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706691" w14:textId="77777777" w:rsidR="00040C3A" w:rsidRPr="0090270B" w:rsidRDefault="00D306D1" w:rsidP="00627C9F">
      <w:pPr>
        <w:jc w:val="both"/>
        <w:rPr>
          <w:rFonts w:asciiTheme="majorHAnsi" w:hAnsiTheme="majorHAnsi" w:cs="Univers"/>
          <w:b/>
          <w:bCs/>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0A6BA128" wp14:editId="5E122E98">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72AF83"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" fillcolor="#4a7194" stroked="f" strokeweight="2pt"/>
            </w:pict>
          </mc:Fallback>
        </mc:AlternateContent>
      </w:r>
      <w:r w:rsidR="003E6CA1" w:rsidRPr="0090270B">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7A92621B" wp14:editId="5CCAA915">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0DF01B7" w14:textId="77777777" w:rsidR="00CB2660" w:rsidRDefault="00AE5488" w:rsidP="00AE5488">
                            <w:r>
                              <w:rPr>
                                <w:noProof/>
                              </w:rPr>
                              <w:drawing>
                                <wp:inline distT="0" distB="0" distL="0" distR="0" wp14:anchorId="3E4ABCF6" wp14:editId="54400441">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92621B"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" filled="f" stroked="f" strokeweight=".5pt">
                <v:textbox>
                  <w:txbxContent>
                    <w:p w14:paraId="00DF01B7" w14:textId="77777777" w:rsidR="00CB2660" w:rsidRDefault="00AE5488" w:rsidP="00AE5488">
                      <w:r>
                        <w:rPr>
                          <w:noProof/>
                        </w:rPr>
                        <w:drawing>
                          <wp:inline distT="0" distB="0" distL="0" distR="0" wp14:anchorId="3E4ABCF6" wp14:editId="54400441">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v:textbox>
              </v:shape>
            </w:pict>
          </mc:Fallback>
        </mc:AlternateContent>
      </w:r>
      <w:r w:rsidR="00071174">
        <w:rPr>
          <w:rFonts w:asciiTheme="majorHAnsi" w:hAnsiTheme="majorHAnsi" w:cs="Univers"/>
          <w:b/>
          <w:bCs/>
          <w:sz w:val="22"/>
          <w:szCs w:val="22"/>
          <w:lang w:val="es-ES_tradnl"/>
        </w:rPr>
        <w:t xml:space="preserve"> </w:t>
      </w:r>
    </w:p>
    <w:p w14:paraId="751BC92D"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4601B0E5"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49EC0A3F" w14:textId="77777777" w:rsidR="005128E4" w:rsidRPr="0090270B" w:rsidRDefault="005128E4" w:rsidP="00040C3A">
      <w:pPr>
        <w:tabs>
          <w:tab w:val="center" w:pos="5400"/>
        </w:tabs>
        <w:suppressAutoHyphens/>
        <w:rPr>
          <w:rFonts w:asciiTheme="majorHAnsi" w:hAnsiTheme="majorHAnsi"/>
          <w:sz w:val="22"/>
          <w:szCs w:val="22"/>
          <w:lang w:val="es-ES_tradnl"/>
        </w:rPr>
      </w:pPr>
    </w:p>
    <w:p w14:paraId="7F51F08B" w14:textId="77777777" w:rsidR="005128E4" w:rsidRPr="0090270B" w:rsidRDefault="005128E4" w:rsidP="00040C3A">
      <w:pPr>
        <w:tabs>
          <w:tab w:val="center" w:pos="5400"/>
        </w:tabs>
        <w:suppressAutoHyphens/>
        <w:rPr>
          <w:rFonts w:asciiTheme="majorHAnsi" w:hAnsiTheme="majorHAnsi"/>
          <w:sz w:val="22"/>
          <w:szCs w:val="22"/>
          <w:lang w:val="es-ES_tradnl"/>
        </w:rPr>
      </w:pPr>
    </w:p>
    <w:p w14:paraId="058606A7" w14:textId="77777777" w:rsidR="005128E4" w:rsidRPr="0090270B" w:rsidRDefault="005128E4" w:rsidP="00040C3A">
      <w:pPr>
        <w:tabs>
          <w:tab w:val="center" w:pos="5400"/>
        </w:tabs>
        <w:suppressAutoHyphens/>
        <w:rPr>
          <w:rFonts w:asciiTheme="majorHAnsi" w:hAnsiTheme="majorHAnsi"/>
          <w:sz w:val="22"/>
          <w:szCs w:val="22"/>
          <w:lang w:val="es-ES_tradnl"/>
        </w:rPr>
      </w:pPr>
    </w:p>
    <w:p w14:paraId="01B9D56A"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513D0572"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2D06BA43"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762470A2"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6F01DDF3"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35ACB115"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D124B92"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01E9EAD2" w14:textId="77777777" w:rsidR="00040C3A" w:rsidRPr="0090270B" w:rsidRDefault="003D3BC2" w:rsidP="00040C3A">
      <w:pPr>
        <w:tabs>
          <w:tab w:val="center" w:pos="5400"/>
        </w:tabs>
        <w:suppressAutoHyphens/>
        <w:jc w:val="center"/>
        <w:rPr>
          <w:rFonts w:asciiTheme="majorHAnsi" w:hAnsiTheme="majorHAnsi"/>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65C56D75" wp14:editId="620511BF">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D7328D9" w14:textId="6EE99C04"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C12ACC">
                              <w:rPr>
                                <w:rFonts w:asciiTheme="majorHAnsi" w:hAnsiTheme="majorHAnsi" w:cs="Arial"/>
                                <w:b/>
                                <w:bCs/>
                                <w:color w:val="0D0D0D" w:themeColor="text1" w:themeTint="F2"/>
                                <w:sz w:val="36"/>
                                <w:szCs w:val="22"/>
                                <w:lang w:val="es-ES_tradnl"/>
                              </w:rPr>
                              <w:t>214</w:t>
                            </w:r>
                            <w:r w:rsidR="007B05C4">
                              <w:rPr>
                                <w:rFonts w:asciiTheme="majorHAnsi" w:hAnsiTheme="majorHAnsi" w:cs="Arial"/>
                                <w:b/>
                                <w:bCs/>
                                <w:color w:val="0D0D0D" w:themeColor="text1" w:themeTint="F2"/>
                                <w:sz w:val="36"/>
                                <w:szCs w:val="22"/>
                                <w:lang w:val="es-ES_tradnl"/>
                              </w:rPr>
                              <w:t>/</w:t>
                            </w:r>
                            <w:r w:rsidR="00C12ACC">
                              <w:rPr>
                                <w:rFonts w:asciiTheme="majorHAnsi" w:hAnsiTheme="majorHAnsi" w:cs="Arial"/>
                                <w:b/>
                                <w:bCs/>
                                <w:color w:val="0D0D0D" w:themeColor="text1" w:themeTint="F2"/>
                                <w:sz w:val="36"/>
                                <w:szCs w:val="22"/>
                                <w:lang w:val="es-ES_tradnl"/>
                              </w:rPr>
                              <w:t>22</w:t>
                            </w:r>
                          </w:p>
                          <w:p w14:paraId="45F30ECA" w14:textId="5A6BE314"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215397">
                              <w:rPr>
                                <w:rFonts w:asciiTheme="majorHAnsi" w:hAnsiTheme="majorHAnsi" w:cs="Arial"/>
                                <w:b/>
                                <w:color w:val="0D0D0D" w:themeColor="text1" w:themeTint="F2"/>
                                <w:sz w:val="36"/>
                                <w:szCs w:val="22"/>
                                <w:lang w:val="es-ES_tradnl"/>
                              </w:rPr>
                              <w:t>867</w:t>
                            </w:r>
                            <w:r w:rsidR="00246D1F" w:rsidRPr="004E2649">
                              <w:rPr>
                                <w:rFonts w:asciiTheme="majorHAnsi" w:hAnsiTheme="majorHAnsi" w:cs="Arial"/>
                                <w:b/>
                                <w:color w:val="0D0D0D" w:themeColor="text1" w:themeTint="F2"/>
                                <w:sz w:val="36"/>
                                <w:szCs w:val="22"/>
                                <w:lang w:val="es-ES_tradnl"/>
                              </w:rPr>
                              <w:t>-</w:t>
                            </w:r>
                            <w:r w:rsidR="00215397">
                              <w:rPr>
                                <w:rFonts w:asciiTheme="majorHAnsi" w:hAnsiTheme="majorHAnsi" w:cs="Arial"/>
                                <w:b/>
                                <w:color w:val="0D0D0D" w:themeColor="text1" w:themeTint="F2"/>
                                <w:sz w:val="36"/>
                                <w:szCs w:val="22"/>
                                <w:lang w:val="es-ES_tradnl"/>
                              </w:rPr>
                              <w:t>09</w:t>
                            </w:r>
                            <w:r w:rsidR="00246D1F" w:rsidRPr="004E2649">
                              <w:rPr>
                                <w:rFonts w:asciiTheme="majorHAnsi" w:hAnsiTheme="majorHAnsi" w:cs="Arial"/>
                                <w:b/>
                                <w:color w:val="0D0D0D" w:themeColor="text1" w:themeTint="F2"/>
                                <w:sz w:val="36"/>
                                <w:szCs w:val="22"/>
                                <w:lang w:val="es-ES_tradnl"/>
                              </w:rPr>
                              <w:t xml:space="preserve"> </w:t>
                            </w:r>
                          </w:p>
                          <w:p w14:paraId="188B4303" w14:textId="59F3F23B"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r w:rsidR="00F519CF" w:rsidRPr="0010736F">
                              <w:rPr>
                                <w:rFonts w:asciiTheme="majorHAnsi" w:hAnsiTheme="majorHAnsi" w:cs="Arial"/>
                                <w:color w:val="0D0D0D" w:themeColor="text1" w:themeTint="F2"/>
                                <w:szCs w:val="22"/>
                                <w:lang w:val="es-ES_tradnl"/>
                              </w:rPr>
                              <w:t xml:space="preserve"> </w:t>
                            </w:r>
                          </w:p>
                          <w:p w14:paraId="31968596"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0" w:name="_ftnref1"/>
                          </w:p>
                          <w:p w14:paraId="768F8782" w14:textId="7FD9EC3B" w:rsidR="005B52B0" w:rsidRPr="0010736F" w:rsidRDefault="00215397"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ABERLARDO ÁREVALO CHOQUE Y OTROS</w:t>
                            </w:r>
                          </w:p>
                          <w:bookmarkEnd w:id="0"/>
                          <w:p w14:paraId="0B9F7D22" w14:textId="6CE95599" w:rsidR="005B52B0" w:rsidRPr="00F56ECB" w:rsidRDefault="00215397" w:rsidP="00F56ECB">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BOLIVIA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C56D75"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" filled="f" stroked="f" strokeweight=".5pt">
                <v:textbox>
                  <w:txbxContent>
                    <w:p w14:paraId="7D7328D9" w14:textId="6EE99C04"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C12ACC">
                        <w:rPr>
                          <w:rFonts w:asciiTheme="majorHAnsi" w:hAnsiTheme="majorHAnsi" w:cs="Arial"/>
                          <w:b/>
                          <w:bCs/>
                          <w:color w:val="0D0D0D" w:themeColor="text1" w:themeTint="F2"/>
                          <w:sz w:val="36"/>
                          <w:szCs w:val="22"/>
                          <w:lang w:val="es-ES_tradnl"/>
                        </w:rPr>
                        <w:t>214</w:t>
                      </w:r>
                      <w:r w:rsidR="007B05C4">
                        <w:rPr>
                          <w:rFonts w:asciiTheme="majorHAnsi" w:hAnsiTheme="majorHAnsi" w:cs="Arial"/>
                          <w:b/>
                          <w:bCs/>
                          <w:color w:val="0D0D0D" w:themeColor="text1" w:themeTint="F2"/>
                          <w:sz w:val="36"/>
                          <w:szCs w:val="22"/>
                          <w:lang w:val="es-ES_tradnl"/>
                        </w:rPr>
                        <w:t>/</w:t>
                      </w:r>
                      <w:r w:rsidR="00C12ACC">
                        <w:rPr>
                          <w:rFonts w:asciiTheme="majorHAnsi" w:hAnsiTheme="majorHAnsi" w:cs="Arial"/>
                          <w:b/>
                          <w:bCs/>
                          <w:color w:val="0D0D0D" w:themeColor="text1" w:themeTint="F2"/>
                          <w:sz w:val="36"/>
                          <w:szCs w:val="22"/>
                          <w:lang w:val="es-ES_tradnl"/>
                        </w:rPr>
                        <w:t>22</w:t>
                      </w:r>
                    </w:p>
                    <w:p w14:paraId="45F30ECA" w14:textId="5A6BE314"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215397">
                        <w:rPr>
                          <w:rFonts w:asciiTheme="majorHAnsi" w:hAnsiTheme="majorHAnsi" w:cs="Arial"/>
                          <w:b/>
                          <w:color w:val="0D0D0D" w:themeColor="text1" w:themeTint="F2"/>
                          <w:sz w:val="36"/>
                          <w:szCs w:val="22"/>
                          <w:lang w:val="es-ES_tradnl"/>
                        </w:rPr>
                        <w:t>867</w:t>
                      </w:r>
                      <w:r w:rsidR="00246D1F" w:rsidRPr="004E2649">
                        <w:rPr>
                          <w:rFonts w:asciiTheme="majorHAnsi" w:hAnsiTheme="majorHAnsi" w:cs="Arial"/>
                          <w:b/>
                          <w:color w:val="0D0D0D" w:themeColor="text1" w:themeTint="F2"/>
                          <w:sz w:val="36"/>
                          <w:szCs w:val="22"/>
                          <w:lang w:val="es-ES_tradnl"/>
                        </w:rPr>
                        <w:t>-</w:t>
                      </w:r>
                      <w:r w:rsidR="00215397">
                        <w:rPr>
                          <w:rFonts w:asciiTheme="majorHAnsi" w:hAnsiTheme="majorHAnsi" w:cs="Arial"/>
                          <w:b/>
                          <w:color w:val="0D0D0D" w:themeColor="text1" w:themeTint="F2"/>
                          <w:sz w:val="36"/>
                          <w:szCs w:val="22"/>
                          <w:lang w:val="es-ES_tradnl"/>
                        </w:rPr>
                        <w:t>09</w:t>
                      </w:r>
                      <w:r w:rsidR="00246D1F" w:rsidRPr="004E2649">
                        <w:rPr>
                          <w:rFonts w:asciiTheme="majorHAnsi" w:hAnsiTheme="majorHAnsi" w:cs="Arial"/>
                          <w:b/>
                          <w:color w:val="0D0D0D" w:themeColor="text1" w:themeTint="F2"/>
                          <w:sz w:val="36"/>
                          <w:szCs w:val="22"/>
                          <w:lang w:val="es-ES_tradnl"/>
                        </w:rPr>
                        <w:t xml:space="preserve"> </w:t>
                      </w:r>
                    </w:p>
                    <w:p w14:paraId="188B4303" w14:textId="59F3F23B"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r w:rsidR="00F519CF" w:rsidRPr="0010736F">
                        <w:rPr>
                          <w:rFonts w:asciiTheme="majorHAnsi" w:hAnsiTheme="majorHAnsi" w:cs="Arial"/>
                          <w:color w:val="0D0D0D" w:themeColor="text1" w:themeTint="F2"/>
                          <w:szCs w:val="22"/>
                          <w:lang w:val="es-ES_tradnl"/>
                        </w:rPr>
                        <w:t xml:space="preserve"> </w:t>
                      </w:r>
                    </w:p>
                    <w:p w14:paraId="31968596"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p w14:paraId="768F8782" w14:textId="7FD9EC3B" w:rsidR="005B52B0" w:rsidRPr="0010736F" w:rsidRDefault="00215397"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ABERLARDO ÁREVALO CHOQUE Y OTROS</w:t>
                      </w:r>
                    </w:p>
                    <w:bookmarkEnd w:id="1"/>
                    <w:p w14:paraId="0B9F7D22" w14:textId="6CE95599" w:rsidR="005B52B0" w:rsidRPr="00F56ECB" w:rsidRDefault="00215397" w:rsidP="00F56ECB">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BOLIVIA</w:t>
                      </w:r>
                    </w:p>
                  </w:txbxContent>
                </v:textbox>
              </v:shape>
            </w:pict>
          </mc:Fallback>
        </mc:AlternateContent>
      </w:r>
      <w:r w:rsidR="004E2649" w:rsidRPr="0090270B">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7786A9F8" wp14:editId="04338A48">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633871B" w14:textId="131331E1" w:rsidR="00627C9F" w:rsidRPr="004E2649" w:rsidRDefault="00834D49"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w:t>
                            </w:r>
                          </w:p>
                          <w:p w14:paraId="71D2D5D2" w14:textId="45A6A0CB" w:rsidR="00627C9F" w:rsidRPr="004E2649" w:rsidRDefault="00627C9F" w:rsidP="007A5817">
                            <w:pPr>
                              <w:spacing w:line="276" w:lineRule="auto"/>
                              <w:jc w:val="right"/>
                              <w:rPr>
                                <w:rFonts w:asciiTheme="minorHAnsi" w:hAnsiTheme="minorHAnsi"/>
                                <w:color w:val="FFFFFF" w:themeColor="background1"/>
                                <w:sz w:val="22"/>
                                <w:lang w:val="pt-BR"/>
                              </w:rPr>
                            </w:pPr>
                            <w:r w:rsidRPr="004E2649">
                              <w:rPr>
                                <w:rFonts w:asciiTheme="minorHAnsi" w:hAnsiTheme="minorHAnsi"/>
                                <w:color w:val="FFFFFF" w:themeColor="background1"/>
                                <w:sz w:val="22"/>
                                <w:lang w:val="pt-BR"/>
                              </w:rPr>
                              <w:t xml:space="preserve">Doc. </w:t>
                            </w:r>
                            <w:r w:rsidR="009D0F37">
                              <w:rPr>
                                <w:rFonts w:asciiTheme="minorHAnsi" w:hAnsiTheme="minorHAnsi"/>
                                <w:color w:val="FFFFFF" w:themeColor="background1"/>
                                <w:sz w:val="22"/>
                                <w:lang w:val="pt-BR"/>
                              </w:rPr>
                              <w:t>217</w:t>
                            </w:r>
                          </w:p>
                          <w:p w14:paraId="4061DBBD" w14:textId="69F43701" w:rsidR="00627C9F" w:rsidRPr="000401EA" w:rsidRDefault="009D0F37" w:rsidP="007A5817">
                            <w:pPr>
                              <w:spacing w:line="276" w:lineRule="auto"/>
                              <w:jc w:val="right"/>
                              <w:rPr>
                                <w:rFonts w:asciiTheme="minorHAnsi" w:hAnsiTheme="minorHAnsi"/>
                                <w:color w:val="FFFFFF" w:themeColor="background1"/>
                                <w:sz w:val="22"/>
                                <w:lang w:val="pt-BR"/>
                              </w:rPr>
                            </w:pPr>
                            <w:r w:rsidRPr="000401EA">
                              <w:rPr>
                                <w:rFonts w:asciiTheme="minorHAnsi" w:hAnsiTheme="minorHAnsi"/>
                                <w:color w:val="FFFFFF" w:themeColor="background1"/>
                                <w:sz w:val="22"/>
                                <w:lang w:val="pt-BR"/>
                              </w:rPr>
                              <w:t>13 agosto</w:t>
                            </w:r>
                            <w:r w:rsidR="00627C9F" w:rsidRPr="000401EA">
                              <w:rPr>
                                <w:rFonts w:asciiTheme="minorHAnsi" w:hAnsiTheme="minorHAnsi"/>
                                <w:color w:val="FFFFFF" w:themeColor="background1"/>
                                <w:sz w:val="22"/>
                                <w:lang w:val="pt-BR"/>
                              </w:rPr>
                              <w:t xml:space="preserve"> 20</w:t>
                            </w:r>
                            <w:r w:rsidR="00C23BA4" w:rsidRPr="000401EA">
                              <w:rPr>
                                <w:rFonts w:asciiTheme="minorHAnsi" w:hAnsiTheme="minorHAnsi"/>
                                <w:color w:val="FFFFFF" w:themeColor="background1"/>
                                <w:sz w:val="22"/>
                                <w:lang w:val="pt-BR"/>
                              </w:rPr>
                              <w:t>2</w:t>
                            </w:r>
                            <w:r w:rsidR="00215397" w:rsidRPr="000401EA">
                              <w:rPr>
                                <w:rFonts w:asciiTheme="minorHAnsi" w:hAnsiTheme="minorHAnsi"/>
                                <w:color w:val="FFFFFF" w:themeColor="background1"/>
                                <w:sz w:val="22"/>
                                <w:lang w:val="pt-BR"/>
                              </w:rPr>
                              <w:t>2</w:t>
                            </w:r>
                          </w:p>
                          <w:p w14:paraId="0537C4A5"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86A9F8"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" filled="f" stroked="f" strokeweight=".5pt">
                <v:textbox>
                  <w:txbxContent>
                    <w:p w14:paraId="3633871B" w14:textId="131331E1" w:rsidR="00627C9F" w:rsidRPr="004E2649" w:rsidRDefault="00834D49"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w:t>
                      </w:r>
                    </w:p>
                    <w:p w14:paraId="71D2D5D2" w14:textId="45A6A0CB" w:rsidR="00627C9F" w:rsidRPr="004E2649" w:rsidRDefault="00627C9F" w:rsidP="007A5817">
                      <w:pPr>
                        <w:spacing w:line="276" w:lineRule="auto"/>
                        <w:jc w:val="right"/>
                        <w:rPr>
                          <w:rFonts w:asciiTheme="minorHAnsi" w:hAnsiTheme="minorHAnsi"/>
                          <w:color w:val="FFFFFF" w:themeColor="background1"/>
                          <w:sz w:val="22"/>
                          <w:lang w:val="pt-BR"/>
                        </w:rPr>
                      </w:pPr>
                      <w:r w:rsidRPr="004E2649">
                        <w:rPr>
                          <w:rFonts w:asciiTheme="minorHAnsi" w:hAnsiTheme="minorHAnsi"/>
                          <w:color w:val="FFFFFF" w:themeColor="background1"/>
                          <w:sz w:val="22"/>
                          <w:lang w:val="pt-BR"/>
                        </w:rPr>
                        <w:t xml:space="preserve">Doc. </w:t>
                      </w:r>
                      <w:r w:rsidR="009D0F37">
                        <w:rPr>
                          <w:rFonts w:asciiTheme="minorHAnsi" w:hAnsiTheme="minorHAnsi"/>
                          <w:color w:val="FFFFFF" w:themeColor="background1"/>
                          <w:sz w:val="22"/>
                          <w:lang w:val="pt-BR"/>
                        </w:rPr>
                        <w:t>217</w:t>
                      </w:r>
                    </w:p>
                    <w:p w14:paraId="4061DBBD" w14:textId="69F43701" w:rsidR="00627C9F" w:rsidRPr="000401EA" w:rsidRDefault="009D0F37" w:rsidP="007A5817">
                      <w:pPr>
                        <w:spacing w:line="276" w:lineRule="auto"/>
                        <w:jc w:val="right"/>
                        <w:rPr>
                          <w:rFonts w:asciiTheme="minorHAnsi" w:hAnsiTheme="minorHAnsi"/>
                          <w:color w:val="FFFFFF" w:themeColor="background1"/>
                          <w:sz w:val="22"/>
                          <w:lang w:val="pt-BR"/>
                        </w:rPr>
                      </w:pPr>
                      <w:r w:rsidRPr="000401EA">
                        <w:rPr>
                          <w:rFonts w:asciiTheme="minorHAnsi" w:hAnsiTheme="minorHAnsi"/>
                          <w:color w:val="FFFFFF" w:themeColor="background1"/>
                          <w:sz w:val="22"/>
                          <w:lang w:val="pt-BR"/>
                        </w:rPr>
                        <w:t>13 agosto</w:t>
                      </w:r>
                      <w:r w:rsidR="00627C9F" w:rsidRPr="000401EA">
                        <w:rPr>
                          <w:rFonts w:asciiTheme="minorHAnsi" w:hAnsiTheme="minorHAnsi"/>
                          <w:color w:val="FFFFFF" w:themeColor="background1"/>
                          <w:sz w:val="22"/>
                          <w:lang w:val="pt-BR"/>
                        </w:rPr>
                        <w:t xml:space="preserve"> 20</w:t>
                      </w:r>
                      <w:r w:rsidR="00C23BA4" w:rsidRPr="000401EA">
                        <w:rPr>
                          <w:rFonts w:asciiTheme="minorHAnsi" w:hAnsiTheme="minorHAnsi"/>
                          <w:color w:val="FFFFFF" w:themeColor="background1"/>
                          <w:sz w:val="22"/>
                          <w:lang w:val="pt-BR"/>
                        </w:rPr>
                        <w:t>2</w:t>
                      </w:r>
                      <w:r w:rsidR="00215397" w:rsidRPr="000401EA">
                        <w:rPr>
                          <w:rFonts w:asciiTheme="minorHAnsi" w:hAnsiTheme="minorHAnsi"/>
                          <w:color w:val="FFFFFF" w:themeColor="background1"/>
                          <w:sz w:val="22"/>
                          <w:lang w:val="pt-BR"/>
                        </w:rPr>
                        <w:t>2</w:t>
                      </w:r>
                    </w:p>
                    <w:p w14:paraId="0537C4A5"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v:textbox>
              </v:shape>
            </w:pict>
          </mc:Fallback>
        </mc:AlternateContent>
      </w:r>
    </w:p>
    <w:p w14:paraId="05E23869"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529AB783"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147F033C" w14:textId="77777777" w:rsidR="00040C3A" w:rsidRPr="0090270B" w:rsidRDefault="00040C3A" w:rsidP="00040C3A">
      <w:pPr>
        <w:tabs>
          <w:tab w:val="center" w:pos="5400"/>
        </w:tabs>
        <w:suppressAutoHyphens/>
        <w:jc w:val="center"/>
        <w:rPr>
          <w:rFonts w:asciiTheme="majorHAnsi" w:hAnsiTheme="majorHAnsi" w:cs="Arial"/>
          <w:sz w:val="22"/>
          <w:szCs w:val="22"/>
          <w:lang w:val="es-ES_tradnl"/>
        </w:rPr>
      </w:pPr>
    </w:p>
    <w:p w14:paraId="67ABD981"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46C4195B"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6C0D9CAF"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6140E39A"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116878DE"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6FF1A208"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23E1EE64"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2D8331F2"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1D1FCC8F"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67F753E7"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165AA979"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2F2457A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20439390"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B80B262"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34846D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6D2C63A"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F0B7F5A"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7218933"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2C99136A"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78A919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6A001DA7"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217E7AA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C34B449"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CF516E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17C9993"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641C6754" w14:textId="77777777"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484C90F2" wp14:editId="3C6174DF">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79E1DD7" w14:textId="080794E8"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electr</w:t>
                            </w:r>
                            <w:r w:rsidRPr="00890650">
                              <w:rPr>
                                <w:rFonts w:asciiTheme="majorHAnsi" w:hAnsiTheme="majorHAnsi"/>
                                <w:color w:val="0D0D0D" w:themeColor="text1" w:themeTint="F2"/>
                                <w:sz w:val="18"/>
                                <w:szCs w:val="22"/>
                                <w:lang w:val="es-ES_tradnl"/>
                              </w:rPr>
                              <w:t>ónicamente</w:t>
                            </w:r>
                            <w:r w:rsidRPr="00890650">
                              <w:rPr>
                                <w:rFonts w:asciiTheme="majorHAnsi" w:hAnsiTheme="majorHAnsi"/>
                                <w:color w:val="0D0D0D" w:themeColor="text1" w:themeTint="F2"/>
                                <w:sz w:val="18"/>
                                <w:szCs w:val="22"/>
                                <w:lang w:val="es-ES"/>
                              </w:rPr>
                              <w:t xml:space="preserve"> por la Comisión el </w:t>
                            </w:r>
                            <w:r w:rsidR="009D0F37">
                              <w:rPr>
                                <w:rFonts w:asciiTheme="majorHAnsi" w:hAnsiTheme="majorHAnsi"/>
                                <w:color w:val="0D0D0D" w:themeColor="text1" w:themeTint="F2"/>
                                <w:sz w:val="18"/>
                                <w:szCs w:val="22"/>
                                <w:lang w:val="es-ES"/>
                              </w:rPr>
                              <w:t>13</w:t>
                            </w:r>
                            <w:r w:rsidRPr="00890650">
                              <w:rPr>
                                <w:rFonts w:asciiTheme="majorHAnsi" w:hAnsiTheme="majorHAnsi"/>
                                <w:color w:val="0D0D0D" w:themeColor="text1" w:themeTint="F2"/>
                                <w:sz w:val="18"/>
                                <w:szCs w:val="22"/>
                                <w:lang w:val="es-ES"/>
                              </w:rPr>
                              <w:t xml:space="preserve"> de </w:t>
                            </w:r>
                            <w:r w:rsidR="009D0F37">
                              <w:rPr>
                                <w:rFonts w:asciiTheme="majorHAnsi" w:hAnsiTheme="majorHAnsi"/>
                                <w:color w:val="0D0D0D" w:themeColor="text1" w:themeTint="F2"/>
                                <w:sz w:val="18"/>
                                <w:szCs w:val="22"/>
                                <w:lang w:val="es-ES"/>
                              </w:rPr>
                              <w:t>agosto</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C23BA4">
                              <w:rPr>
                                <w:rFonts w:asciiTheme="majorHAnsi" w:hAnsiTheme="majorHAnsi"/>
                                <w:color w:val="0D0D0D" w:themeColor="text1" w:themeTint="F2"/>
                                <w:sz w:val="18"/>
                                <w:szCs w:val="22"/>
                                <w:lang w:val="es-ES"/>
                              </w:rPr>
                              <w:t>2</w:t>
                            </w:r>
                            <w:r w:rsidR="00215397">
                              <w:rPr>
                                <w:rFonts w:asciiTheme="majorHAnsi" w:hAnsiTheme="majorHAnsi"/>
                                <w:color w:val="0D0D0D" w:themeColor="text1" w:themeTint="F2"/>
                                <w:sz w:val="18"/>
                                <w:szCs w:val="22"/>
                                <w:lang w:val="es-ES"/>
                              </w:rPr>
                              <w:t>2</w:t>
                            </w:r>
                            <w:r w:rsidR="009D0F37">
                              <w:rPr>
                                <w:rFonts w:asciiTheme="majorHAnsi" w:hAnsiTheme="majorHAnsi"/>
                                <w:color w:val="0D0D0D" w:themeColor="text1" w:themeTint="F2"/>
                                <w:sz w:val="18"/>
                                <w:szCs w:val="22"/>
                                <w:lang w:val="es-ES"/>
                              </w:rPr>
                              <w:t>.</w:t>
                            </w:r>
                          </w:p>
                          <w:p w14:paraId="27EB8538"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11626D1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4C90F2"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" filled="f" stroked="f" strokeweight=".5pt">
                <v:textbox>
                  <w:txbxContent>
                    <w:p w14:paraId="179E1DD7" w14:textId="080794E8"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electr</w:t>
                      </w:r>
                      <w:r w:rsidRPr="00890650">
                        <w:rPr>
                          <w:rFonts w:asciiTheme="majorHAnsi" w:hAnsiTheme="majorHAnsi"/>
                          <w:color w:val="0D0D0D" w:themeColor="text1" w:themeTint="F2"/>
                          <w:sz w:val="18"/>
                          <w:szCs w:val="22"/>
                          <w:lang w:val="es-ES_tradnl"/>
                        </w:rPr>
                        <w:t>ónicamente</w:t>
                      </w:r>
                      <w:r w:rsidRPr="00890650">
                        <w:rPr>
                          <w:rFonts w:asciiTheme="majorHAnsi" w:hAnsiTheme="majorHAnsi"/>
                          <w:color w:val="0D0D0D" w:themeColor="text1" w:themeTint="F2"/>
                          <w:sz w:val="18"/>
                          <w:szCs w:val="22"/>
                          <w:lang w:val="es-ES"/>
                        </w:rPr>
                        <w:t xml:space="preserve"> por la Comisión el </w:t>
                      </w:r>
                      <w:r w:rsidR="009D0F37">
                        <w:rPr>
                          <w:rFonts w:asciiTheme="majorHAnsi" w:hAnsiTheme="majorHAnsi"/>
                          <w:color w:val="0D0D0D" w:themeColor="text1" w:themeTint="F2"/>
                          <w:sz w:val="18"/>
                          <w:szCs w:val="22"/>
                          <w:lang w:val="es-ES"/>
                        </w:rPr>
                        <w:t>13</w:t>
                      </w:r>
                      <w:r w:rsidRPr="00890650">
                        <w:rPr>
                          <w:rFonts w:asciiTheme="majorHAnsi" w:hAnsiTheme="majorHAnsi"/>
                          <w:color w:val="0D0D0D" w:themeColor="text1" w:themeTint="F2"/>
                          <w:sz w:val="18"/>
                          <w:szCs w:val="22"/>
                          <w:lang w:val="es-ES"/>
                        </w:rPr>
                        <w:t xml:space="preserve"> de </w:t>
                      </w:r>
                      <w:r w:rsidR="009D0F37">
                        <w:rPr>
                          <w:rFonts w:asciiTheme="majorHAnsi" w:hAnsiTheme="majorHAnsi"/>
                          <w:color w:val="0D0D0D" w:themeColor="text1" w:themeTint="F2"/>
                          <w:sz w:val="18"/>
                          <w:szCs w:val="22"/>
                          <w:lang w:val="es-ES"/>
                        </w:rPr>
                        <w:t>agosto</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C23BA4">
                        <w:rPr>
                          <w:rFonts w:asciiTheme="majorHAnsi" w:hAnsiTheme="majorHAnsi"/>
                          <w:color w:val="0D0D0D" w:themeColor="text1" w:themeTint="F2"/>
                          <w:sz w:val="18"/>
                          <w:szCs w:val="22"/>
                          <w:lang w:val="es-ES"/>
                        </w:rPr>
                        <w:t>2</w:t>
                      </w:r>
                      <w:r w:rsidR="00215397">
                        <w:rPr>
                          <w:rFonts w:asciiTheme="majorHAnsi" w:hAnsiTheme="majorHAnsi"/>
                          <w:color w:val="0D0D0D" w:themeColor="text1" w:themeTint="F2"/>
                          <w:sz w:val="18"/>
                          <w:szCs w:val="22"/>
                          <w:lang w:val="es-ES"/>
                        </w:rPr>
                        <w:t>2</w:t>
                      </w:r>
                      <w:r w:rsidR="009D0F37">
                        <w:rPr>
                          <w:rFonts w:asciiTheme="majorHAnsi" w:hAnsiTheme="majorHAnsi"/>
                          <w:color w:val="0D0D0D" w:themeColor="text1" w:themeTint="F2"/>
                          <w:sz w:val="18"/>
                          <w:szCs w:val="22"/>
                          <w:lang w:val="es-ES"/>
                        </w:rPr>
                        <w:t>.</w:t>
                      </w:r>
                    </w:p>
                    <w:p w14:paraId="27EB8538"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11626D1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30B4F3EF"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28FED950"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3E3A276"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EDC5EE2"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730F205" w14:textId="77777777"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18"/>
          <w:szCs w:val="22"/>
        </w:rPr>
        <mc:AlternateContent>
          <mc:Choice Requires="wps">
            <w:drawing>
              <wp:anchor distT="0" distB="0" distL="114300" distR="114300" simplePos="0" relativeHeight="251678720" behindDoc="0" locked="0" layoutInCell="1" allowOverlap="1" wp14:anchorId="01CD6A81" wp14:editId="407B8206">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3DFCD9E" w14:textId="77777777" w:rsidR="009D0F37" w:rsidRDefault="00113F73" w:rsidP="00113F73">
                            <w:pPr>
                              <w:spacing w:line="276" w:lineRule="auto"/>
                              <w:rPr>
                                <w:rFonts w:asciiTheme="majorHAnsi" w:hAnsiTheme="majorHAnsi"/>
                                <w:color w:val="595959" w:themeColor="text1" w:themeTint="A6"/>
                                <w:sz w:val="18"/>
                                <w:szCs w:val="18"/>
                                <w:lang w:val="es-ES_tradnl"/>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9D0F37" w:rsidRPr="009D0F37">
                              <w:rPr>
                                <w:rFonts w:asciiTheme="majorHAnsi" w:hAnsiTheme="majorHAnsi"/>
                                <w:color w:val="595959" w:themeColor="text1" w:themeTint="A6"/>
                                <w:sz w:val="18"/>
                                <w:szCs w:val="18"/>
                                <w:lang w:val="pt-BR"/>
                              </w:rPr>
                              <w:t>214</w:t>
                            </w:r>
                            <w:r w:rsidR="007B05C4" w:rsidRPr="009D0F37">
                              <w:rPr>
                                <w:rFonts w:asciiTheme="majorHAnsi" w:hAnsiTheme="majorHAnsi"/>
                                <w:color w:val="595959" w:themeColor="text1" w:themeTint="A6"/>
                                <w:sz w:val="18"/>
                                <w:szCs w:val="18"/>
                                <w:lang w:val="pt-BR"/>
                              </w:rPr>
                              <w:t>/</w:t>
                            </w:r>
                            <w:r w:rsidR="009D0F37" w:rsidRPr="009D0F37">
                              <w:rPr>
                                <w:rFonts w:asciiTheme="majorHAnsi" w:hAnsiTheme="majorHAnsi"/>
                                <w:color w:val="595959" w:themeColor="text1" w:themeTint="A6"/>
                                <w:sz w:val="18"/>
                                <w:szCs w:val="18"/>
                                <w:lang w:val="pt-BR"/>
                              </w:rPr>
                              <w:t>22</w:t>
                            </w:r>
                            <w:r w:rsidRPr="009D0F37">
                              <w:rPr>
                                <w:rFonts w:asciiTheme="majorHAnsi" w:hAnsiTheme="majorHAnsi"/>
                                <w:color w:val="595959" w:themeColor="text1" w:themeTint="A6"/>
                                <w:sz w:val="18"/>
                                <w:szCs w:val="18"/>
                                <w:lang w:val="pt-BR"/>
                              </w:rPr>
                              <w:t xml:space="preserve">. </w:t>
                            </w:r>
                            <w:r w:rsidR="000433C9">
                              <w:rPr>
                                <w:rFonts w:asciiTheme="majorHAnsi" w:hAnsiTheme="majorHAnsi"/>
                                <w:color w:val="595959" w:themeColor="text1" w:themeTint="A6"/>
                                <w:sz w:val="18"/>
                                <w:szCs w:val="18"/>
                                <w:lang w:val="es-ES_tradnl"/>
                              </w:rPr>
                              <w:t>Petici</w:t>
                            </w:r>
                            <w:r w:rsidR="000433C9">
                              <w:rPr>
                                <w:rFonts w:asciiTheme="majorHAnsi" w:hAnsiTheme="majorHAnsi"/>
                                <w:color w:val="595959" w:themeColor="text1" w:themeTint="A6"/>
                                <w:sz w:val="18"/>
                                <w:szCs w:val="18"/>
                                <w:lang w:val="es-ES"/>
                              </w:rPr>
                              <w:t xml:space="preserve">ón </w:t>
                            </w:r>
                            <w:r w:rsidR="00215397">
                              <w:rPr>
                                <w:rFonts w:asciiTheme="majorHAnsi" w:hAnsiTheme="majorHAnsi"/>
                                <w:color w:val="595959" w:themeColor="text1" w:themeTint="A6"/>
                                <w:sz w:val="18"/>
                                <w:szCs w:val="18"/>
                                <w:lang w:val="es-ES"/>
                              </w:rPr>
                              <w:t>867</w:t>
                            </w:r>
                            <w:r w:rsidR="000433C9">
                              <w:rPr>
                                <w:rFonts w:asciiTheme="majorHAnsi" w:hAnsiTheme="majorHAnsi"/>
                                <w:color w:val="595959" w:themeColor="text1" w:themeTint="A6"/>
                                <w:sz w:val="18"/>
                                <w:szCs w:val="18"/>
                                <w:lang w:val="es-ES"/>
                              </w:rPr>
                              <w:t>-</w:t>
                            </w:r>
                            <w:r w:rsidR="00215397">
                              <w:rPr>
                                <w:rFonts w:asciiTheme="majorHAnsi" w:hAnsiTheme="majorHAnsi"/>
                                <w:color w:val="595959" w:themeColor="text1" w:themeTint="A6"/>
                                <w:sz w:val="18"/>
                                <w:szCs w:val="18"/>
                                <w:lang w:val="es-ES"/>
                              </w:rPr>
                              <w:t>09</w:t>
                            </w:r>
                            <w:r w:rsidR="000433C9">
                              <w:rPr>
                                <w:rFonts w:asciiTheme="majorHAnsi" w:hAnsiTheme="majorHAnsi"/>
                                <w:color w:val="595959" w:themeColor="text1" w:themeTint="A6"/>
                                <w:sz w:val="18"/>
                                <w:szCs w:val="18"/>
                                <w:lang w:val="es-ES"/>
                              </w:rPr>
                              <w:t xml:space="preserve">. </w:t>
                            </w:r>
                            <w:r w:rsidRPr="00890650">
                              <w:rPr>
                                <w:rFonts w:asciiTheme="majorHAnsi" w:hAnsiTheme="majorHAnsi"/>
                                <w:color w:val="595959" w:themeColor="text1" w:themeTint="A6"/>
                                <w:sz w:val="18"/>
                                <w:szCs w:val="18"/>
                                <w:lang w:val="es-ES_tradnl"/>
                              </w:rPr>
                              <w:t xml:space="preserve">Admisibilidad. </w:t>
                            </w:r>
                          </w:p>
                          <w:p w14:paraId="7FD77785" w14:textId="7ED31BD6" w:rsidR="00113F73" w:rsidRPr="007B05C4" w:rsidRDefault="00215397" w:rsidP="00113F73">
                            <w:pPr>
                              <w:spacing w:line="276" w:lineRule="auto"/>
                              <w:rPr>
                                <w:rFonts w:asciiTheme="majorHAnsi" w:hAnsiTheme="majorHAnsi"/>
                                <w:color w:val="595959" w:themeColor="text1" w:themeTint="A6"/>
                                <w:sz w:val="18"/>
                                <w:szCs w:val="18"/>
                                <w:lang w:val="es-ES"/>
                              </w:rPr>
                            </w:pPr>
                            <w:r>
                              <w:rPr>
                                <w:rFonts w:asciiTheme="majorHAnsi" w:hAnsiTheme="majorHAnsi"/>
                                <w:color w:val="595959" w:themeColor="text1" w:themeTint="A6"/>
                                <w:sz w:val="18"/>
                                <w:szCs w:val="18"/>
                                <w:lang w:val="es-ES_tradnl"/>
                              </w:rPr>
                              <w:t>Aberlardo Árevalo Choque y otros</w:t>
                            </w:r>
                            <w:r w:rsidR="00113F73" w:rsidRPr="00890650">
                              <w:rPr>
                                <w:rFonts w:asciiTheme="majorHAnsi" w:hAnsiTheme="majorHAnsi"/>
                                <w:color w:val="595959" w:themeColor="text1" w:themeTint="A6"/>
                                <w:sz w:val="18"/>
                                <w:szCs w:val="18"/>
                                <w:lang w:val="es-ES_tradnl"/>
                              </w:rPr>
                              <w:t xml:space="preserve">. </w:t>
                            </w:r>
                            <w:r>
                              <w:rPr>
                                <w:rFonts w:asciiTheme="majorHAnsi" w:hAnsiTheme="majorHAnsi"/>
                                <w:color w:val="595959" w:themeColor="text1" w:themeTint="A6"/>
                                <w:sz w:val="18"/>
                                <w:szCs w:val="18"/>
                                <w:lang w:val="es-ES_tradnl"/>
                              </w:rPr>
                              <w:t>Bolivia</w:t>
                            </w:r>
                            <w:r w:rsidR="00113F73" w:rsidRPr="00890650">
                              <w:rPr>
                                <w:rFonts w:asciiTheme="majorHAnsi" w:hAnsiTheme="majorHAnsi"/>
                                <w:color w:val="595959" w:themeColor="text1" w:themeTint="A6"/>
                                <w:sz w:val="18"/>
                                <w:szCs w:val="18"/>
                                <w:lang w:val="es-ES_tradnl"/>
                              </w:rPr>
                              <w:t xml:space="preserve">. </w:t>
                            </w:r>
                            <w:r w:rsidR="009D0F37">
                              <w:rPr>
                                <w:rFonts w:asciiTheme="majorHAnsi" w:hAnsiTheme="majorHAnsi"/>
                                <w:color w:val="595959" w:themeColor="text1" w:themeTint="A6"/>
                                <w:sz w:val="18"/>
                                <w:szCs w:val="18"/>
                                <w:lang w:val="es-ES"/>
                              </w:rPr>
                              <w:t>13 de agosto de 2022</w:t>
                            </w:r>
                            <w:r w:rsidR="00113F73" w:rsidRPr="007B05C4">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CD6A81"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" filled="f" stroked="f" strokeweight=".5pt">
                <v:textbox>
                  <w:txbxContent>
                    <w:p w14:paraId="03DFCD9E" w14:textId="77777777" w:rsidR="009D0F37" w:rsidRDefault="00113F73" w:rsidP="00113F73">
                      <w:pPr>
                        <w:spacing w:line="276" w:lineRule="auto"/>
                        <w:rPr>
                          <w:rFonts w:asciiTheme="majorHAnsi" w:hAnsiTheme="majorHAnsi"/>
                          <w:color w:val="595959" w:themeColor="text1" w:themeTint="A6"/>
                          <w:sz w:val="18"/>
                          <w:szCs w:val="18"/>
                          <w:lang w:val="es-ES_tradnl"/>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9D0F37" w:rsidRPr="009D0F37">
                        <w:rPr>
                          <w:rFonts w:asciiTheme="majorHAnsi" w:hAnsiTheme="majorHAnsi"/>
                          <w:color w:val="595959" w:themeColor="text1" w:themeTint="A6"/>
                          <w:sz w:val="18"/>
                          <w:szCs w:val="18"/>
                          <w:lang w:val="pt-BR"/>
                        </w:rPr>
                        <w:t>214</w:t>
                      </w:r>
                      <w:r w:rsidR="007B05C4" w:rsidRPr="009D0F37">
                        <w:rPr>
                          <w:rFonts w:asciiTheme="majorHAnsi" w:hAnsiTheme="majorHAnsi"/>
                          <w:color w:val="595959" w:themeColor="text1" w:themeTint="A6"/>
                          <w:sz w:val="18"/>
                          <w:szCs w:val="18"/>
                          <w:lang w:val="pt-BR"/>
                        </w:rPr>
                        <w:t>/</w:t>
                      </w:r>
                      <w:r w:rsidR="009D0F37" w:rsidRPr="009D0F37">
                        <w:rPr>
                          <w:rFonts w:asciiTheme="majorHAnsi" w:hAnsiTheme="majorHAnsi"/>
                          <w:color w:val="595959" w:themeColor="text1" w:themeTint="A6"/>
                          <w:sz w:val="18"/>
                          <w:szCs w:val="18"/>
                          <w:lang w:val="pt-BR"/>
                        </w:rPr>
                        <w:t>22</w:t>
                      </w:r>
                      <w:r w:rsidRPr="009D0F37">
                        <w:rPr>
                          <w:rFonts w:asciiTheme="majorHAnsi" w:hAnsiTheme="majorHAnsi"/>
                          <w:color w:val="595959" w:themeColor="text1" w:themeTint="A6"/>
                          <w:sz w:val="18"/>
                          <w:szCs w:val="18"/>
                          <w:lang w:val="pt-BR"/>
                        </w:rPr>
                        <w:t xml:space="preserve">. </w:t>
                      </w:r>
                      <w:r w:rsidR="000433C9">
                        <w:rPr>
                          <w:rFonts w:asciiTheme="majorHAnsi" w:hAnsiTheme="majorHAnsi"/>
                          <w:color w:val="595959" w:themeColor="text1" w:themeTint="A6"/>
                          <w:sz w:val="18"/>
                          <w:szCs w:val="18"/>
                          <w:lang w:val="es-ES_tradnl"/>
                        </w:rPr>
                        <w:t>Petici</w:t>
                      </w:r>
                      <w:r w:rsidR="000433C9">
                        <w:rPr>
                          <w:rFonts w:asciiTheme="majorHAnsi" w:hAnsiTheme="majorHAnsi"/>
                          <w:color w:val="595959" w:themeColor="text1" w:themeTint="A6"/>
                          <w:sz w:val="18"/>
                          <w:szCs w:val="18"/>
                          <w:lang w:val="es-ES"/>
                        </w:rPr>
                        <w:t xml:space="preserve">ón </w:t>
                      </w:r>
                      <w:r w:rsidR="00215397">
                        <w:rPr>
                          <w:rFonts w:asciiTheme="majorHAnsi" w:hAnsiTheme="majorHAnsi"/>
                          <w:color w:val="595959" w:themeColor="text1" w:themeTint="A6"/>
                          <w:sz w:val="18"/>
                          <w:szCs w:val="18"/>
                          <w:lang w:val="es-ES"/>
                        </w:rPr>
                        <w:t>867</w:t>
                      </w:r>
                      <w:r w:rsidR="000433C9">
                        <w:rPr>
                          <w:rFonts w:asciiTheme="majorHAnsi" w:hAnsiTheme="majorHAnsi"/>
                          <w:color w:val="595959" w:themeColor="text1" w:themeTint="A6"/>
                          <w:sz w:val="18"/>
                          <w:szCs w:val="18"/>
                          <w:lang w:val="es-ES"/>
                        </w:rPr>
                        <w:t>-</w:t>
                      </w:r>
                      <w:r w:rsidR="00215397">
                        <w:rPr>
                          <w:rFonts w:asciiTheme="majorHAnsi" w:hAnsiTheme="majorHAnsi"/>
                          <w:color w:val="595959" w:themeColor="text1" w:themeTint="A6"/>
                          <w:sz w:val="18"/>
                          <w:szCs w:val="18"/>
                          <w:lang w:val="es-ES"/>
                        </w:rPr>
                        <w:t>09</w:t>
                      </w:r>
                      <w:r w:rsidR="000433C9">
                        <w:rPr>
                          <w:rFonts w:asciiTheme="majorHAnsi" w:hAnsiTheme="majorHAnsi"/>
                          <w:color w:val="595959" w:themeColor="text1" w:themeTint="A6"/>
                          <w:sz w:val="18"/>
                          <w:szCs w:val="18"/>
                          <w:lang w:val="es-ES"/>
                        </w:rPr>
                        <w:t xml:space="preserve">. </w:t>
                      </w:r>
                      <w:r w:rsidRPr="00890650">
                        <w:rPr>
                          <w:rFonts w:asciiTheme="majorHAnsi" w:hAnsiTheme="majorHAnsi"/>
                          <w:color w:val="595959" w:themeColor="text1" w:themeTint="A6"/>
                          <w:sz w:val="18"/>
                          <w:szCs w:val="18"/>
                          <w:lang w:val="es-ES_tradnl"/>
                        </w:rPr>
                        <w:t xml:space="preserve">Admisibilidad. </w:t>
                      </w:r>
                    </w:p>
                    <w:p w14:paraId="7FD77785" w14:textId="7ED31BD6" w:rsidR="00113F73" w:rsidRPr="007B05C4" w:rsidRDefault="00215397" w:rsidP="00113F73">
                      <w:pPr>
                        <w:spacing w:line="276" w:lineRule="auto"/>
                        <w:rPr>
                          <w:rFonts w:asciiTheme="majorHAnsi" w:hAnsiTheme="majorHAnsi"/>
                          <w:color w:val="595959" w:themeColor="text1" w:themeTint="A6"/>
                          <w:sz w:val="18"/>
                          <w:szCs w:val="18"/>
                          <w:lang w:val="es-ES"/>
                        </w:rPr>
                      </w:pPr>
                      <w:r>
                        <w:rPr>
                          <w:rFonts w:asciiTheme="majorHAnsi" w:hAnsiTheme="majorHAnsi"/>
                          <w:color w:val="595959" w:themeColor="text1" w:themeTint="A6"/>
                          <w:sz w:val="18"/>
                          <w:szCs w:val="18"/>
                          <w:lang w:val="es-ES_tradnl"/>
                        </w:rPr>
                        <w:t>Aberlardo Árevalo Choque y otros</w:t>
                      </w:r>
                      <w:r w:rsidR="00113F73" w:rsidRPr="00890650">
                        <w:rPr>
                          <w:rFonts w:asciiTheme="majorHAnsi" w:hAnsiTheme="majorHAnsi"/>
                          <w:color w:val="595959" w:themeColor="text1" w:themeTint="A6"/>
                          <w:sz w:val="18"/>
                          <w:szCs w:val="18"/>
                          <w:lang w:val="es-ES_tradnl"/>
                        </w:rPr>
                        <w:t xml:space="preserve">. </w:t>
                      </w:r>
                      <w:r>
                        <w:rPr>
                          <w:rFonts w:asciiTheme="majorHAnsi" w:hAnsiTheme="majorHAnsi"/>
                          <w:color w:val="595959" w:themeColor="text1" w:themeTint="A6"/>
                          <w:sz w:val="18"/>
                          <w:szCs w:val="18"/>
                          <w:lang w:val="es-ES_tradnl"/>
                        </w:rPr>
                        <w:t>Bolivia</w:t>
                      </w:r>
                      <w:r w:rsidR="00113F73" w:rsidRPr="00890650">
                        <w:rPr>
                          <w:rFonts w:asciiTheme="majorHAnsi" w:hAnsiTheme="majorHAnsi"/>
                          <w:color w:val="595959" w:themeColor="text1" w:themeTint="A6"/>
                          <w:sz w:val="18"/>
                          <w:szCs w:val="18"/>
                          <w:lang w:val="es-ES_tradnl"/>
                        </w:rPr>
                        <w:t xml:space="preserve">. </w:t>
                      </w:r>
                      <w:r w:rsidR="009D0F37">
                        <w:rPr>
                          <w:rFonts w:asciiTheme="majorHAnsi" w:hAnsiTheme="majorHAnsi"/>
                          <w:color w:val="595959" w:themeColor="text1" w:themeTint="A6"/>
                          <w:sz w:val="18"/>
                          <w:szCs w:val="18"/>
                          <w:lang w:val="es-ES"/>
                        </w:rPr>
                        <w:t>13 de agosto de 2022</w:t>
                      </w:r>
                      <w:r w:rsidR="00113F73" w:rsidRPr="007B05C4">
                        <w:rPr>
                          <w:rFonts w:asciiTheme="majorHAnsi" w:hAnsiTheme="majorHAnsi"/>
                          <w:color w:val="595959" w:themeColor="text1" w:themeTint="A6"/>
                          <w:sz w:val="18"/>
                          <w:szCs w:val="18"/>
                          <w:lang w:val="es-ES"/>
                        </w:rPr>
                        <w:t>.</w:t>
                      </w:r>
                    </w:p>
                  </w:txbxContent>
                </v:textbox>
              </v:shape>
            </w:pict>
          </mc:Fallback>
        </mc:AlternateContent>
      </w:r>
    </w:p>
    <w:p w14:paraId="3BC19590"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C9396CC" w14:textId="717BEB97" w:rsidR="0090270B" w:rsidRDefault="00D306D1" w:rsidP="005516A1">
      <w:pPr>
        <w:tabs>
          <w:tab w:val="center" w:pos="5400"/>
        </w:tabs>
        <w:suppressAutoHyphens/>
        <w:jc w:val="center"/>
        <w:rPr>
          <w:rFonts w:asciiTheme="majorHAnsi" w:hAnsiTheme="majorHAnsi"/>
          <w:b/>
          <w:sz w:val="20"/>
          <w:lang w:val="es-ES_tradnl"/>
        </w:rPr>
      </w:pPr>
      <w:r w:rsidRPr="00625030">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4BBB9917" wp14:editId="2C693481">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6991772"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BB9917" id="Text Box 4" o:spid="_x0000_s1031"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" filled="f" stroked="f" strokeweight=".5pt">
                <v:textbox>
                  <w:txbxContent>
                    <w:p w14:paraId="76991772"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150CCFA7" w14:textId="3A09FE2F" w:rsidR="0070697F" w:rsidRDefault="009D0F37" w:rsidP="005516A1">
      <w:pPr>
        <w:tabs>
          <w:tab w:val="center" w:pos="5400"/>
        </w:tabs>
        <w:suppressAutoHyphens/>
        <w:jc w:val="center"/>
        <w:rPr>
          <w:rFonts w:asciiTheme="majorHAnsi" w:hAnsiTheme="majorHAnsi"/>
          <w:b/>
          <w:sz w:val="20"/>
          <w:lang w:val="es-ES_tradnl"/>
        </w:rPr>
        <w:sectPr w:rsidR="0070697F" w:rsidSect="00C054DF">
          <w:headerReference w:type="even" r:id="rId9"/>
          <w:headerReference w:type="default" r:id="rId10"/>
          <w:footerReference w:type="default" r:id="rId11"/>
          <w:footerReference w:type="first" r:id="rId12"/>
          <w:type w:val="oddPage"/>
          <w:pgSz w:w="12240" w:h="15840"/>
          <w:pgMar w:top="1440" w:right="1440" w:bottom="1440" w:left="1440" w:header="720" w:footer="720" w:gutter="0"/>
          <w:pgNumType w:start="0"/>
          <w:cols w:space="720"/>
          <w:titlePg/>
          <w:docGrid w:linePitch="326"/>
        </w:sectPr>
      </w:pPr>
      <w:r>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5D37EBA2" wp14:editId="378AB1AC">
                <wp:simplePos x="0" y="0"/>
                <wp:positionH relativeFrom="column">
                  <wp:posOffset>1301115</wp:posOffset>
                </wp:positionH>
                <wp:positionV relativeFrom="paragraph">
                  <wp:posOffset>555988</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6E85441" w14:textId="36B2F143" w:rsidR="00D72DC6" w:rsidRPr="00D72DC6" w:rsidRDefault="001004FE" w:rsidP="00F02AD1">
                            <w:pPr>
                              <w:rPr>
                                <w:color w:val="FFFFFF" w:themeColor="background1"/>
                                <w14:textFill>
                                  <w14:noFill/>
                                </w14:textFill>
                              </w:rPr>
                            </w:pPr>
                            <w:r>
                              <w:rPr>
                                <w:noProof/>
                                <w:color w:val="FFFFFF" w:themeColor="background1"/>
                              </w:rPr>
                              <w:drawing>
                                <wp:inline distT="0" distB="0" distL="0" distR="0" wp14:anchorId="09DE6F16" wp14:editId="0B7D3337">
                                  <wp:extent cx="1824355" cy="469265"/>
                                  <wp:effectExtent l="0" t="0" r="4445" b="6985"/>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3"/>
                                          <a:stretch>
                                            <a:fillRect/>
                                          </a:stretch>
                                        </pic:blipFill>
                                        <pic:spPr>
                                          <a:xfrm>
                                            <a:off x="0" y="0"/>
                                            <a:ext cx="1824355" cy="469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37EBA2" id="Text Box 9" o:spid="_x0000_s1032" type="#_x0000_t202" style="position:absolute;left:0;text-align:left;margin-left:102.45pt;margin-top:43.8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" fillcolor="white [3201]" stroked="f" strokeweight=".5pt">
                <v:textbox>
                  <w:txbxContent>
                    <w:p w14:paraId="16E85441" w14:textId="36B2F143" w:rsidR="00D72DC6" w:rsidRPr="00D72DC6" w:rsidRDefault="001004FE" w:rsidP="00F02AD1">
                      <w:pPr>
                        <w:rPr>
                          <w:color w:val="FFFFFF" w:themeColor="background1"/>
                          <w14:textFill>
                            <w14:noFill/>
                          </w14:textFill>
                        </w:rPr>
                      </w:pPr>
                      <w:r>
                        <w:rPr>
                          <w:noProof/>
                          <w:color w:val="FFFFFF" w:themeColor="background1"/>
                        </w:rPr>
                        <w:drawing>
                          <wp:inline distT="0" distB="0" distL="0" distR="0" wp14:anchorId="09DE6F16" wp14:editId="0B7D3337">
                            <wp:extent cx="1824355" cy="469265"/>
                            <wp:effectExtent l="0" t="0" r="4445" b="6985"/>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3"/>
                                    <a:stretch>
                                      <a:fillRect/>
                                    </a:stretch>
                                  </pic:blipFill>
                                  <pic:spPr>
                                    <a:xfrm>
                                      <a:off x="0" y="0"/>
                                      <a:ext cx="1824355" cy="469265"/>
                                    </a:xfrm>
                                    <a:prstGeom prst="rect">
                                      <a:avLst/>
                                    </a:prstGeom>
                                  </pic:spPr>
                                </pic:pic>
                              </a:graphicData>
                            </a:graphic>
                          </wp:inline>
                        </w:drawing>
                      </w:r>
                    </w:p>
                  </w:txbxContent>
                </v:textbox>
              </v:shape>
            </w:pict>
          </mc:Fallback>
        </mc:AlternateContent>
      </w:r>
      <w:r w:rsidR="004A6A54">
        <w:rPr>
          <w:rFonts w:asciiTheme="majorHAnsi" w:hAnsiTheme="majorHAnsi"/>
          <w:b/>
          <w:sz w:val="20"/>
          <w:lang w:val="es-ES_tradnl"/>
        </w:rPr>
        <w:tab/>
      </w:r>
    </w:p>
    <w:p w14:paraId="2786EE58" w14:textId="77777777" w:rsidR="003239B8" w:rsidRPr="000419AD" w:rsidRDefault="003239B8" w:rsidP="004A6A54">
      <w:pPr>
        <w:spacing w:after="240"/>
        <w:ind w:firstLine="720"/>
        <w:jc w:val="both"/>
        <w:rPr>
          <w:rFonts w:asciiTheme="majorHAnsi" w:hAnsiTheme="majorHAnsi"/>
          <w:b/>
          <w:bCs/>
          <w:sz w:val="20"/>
          <w:szCs w:val="20"/>
          <w:lang w:val="es-ES"/>
        </w:rPr>
      </w:pPr>
      <w:r w:rsidRPr="000419AD">
        <w:rPr>
          <w:rFonts w:asciiTheme="majorHAnsi" w:hAnsiTheme="majorHAnsi"/>
          <w:b/>
          <w:bCs/>
          <w:sz w:val="20"/>
          <w:szCs w:val="20"/>
          <w:lang w:val="es-ES"/>
        </w:rPr>
        <w:lastRenderedPageBreak/>
        <w:t>I.</w:t>
      </w:r>
      <w:r w:rsidRPr="000419AD">
        <w:rPr>
          <w:rFonts w:asciiTheme="majorHAnsi" w:hAnsiTheme="majorHAnsi"/>
          <w:b/>
          <w:bCs/>
          <w:sz w:val="20"/>
          <w:szCs w:val="20"/>
          <w:lang w:val="es-ES"/>
        </w:rPr>
        <w:tab/>
        <w:t xml:space="preserve">DATOS DE LA PETICIÓN </w:t>
      </w:r>
    </w:p>
    <w:tbl>
      <w:tblPr>
        <w:tblStyle w:val="TableGrid"/>
        <w:tblW w:w="9247" w:type="dxa"/>
        <w:tblInd w:w="108" w:type="dxa"/>
        <w:tblBorders>
          <w:insideH w:val="single" w:sz="6" w:space="0" w:color="auto"/>
          <w:insideV w:val="single" w:sz="6" w:space="0" w:color="auto"/>
        </w:tblBorders>
        <w:tblLook w:val="04A0" w:firstRow="1" w:lastRow="0" w:firstColumn="1" w:lastColumn="0" w:noHBand="0" w:noVBand="1"/>
      </w:tblPr>
      <w:tblGrid>
        <w:gridCol w:w="3600"/>
        <w:gridCol w:w="5647"/>
      </w:tblGrid>
      <w:tr w:rsidR="003239B8" w:rsidRPr="000401EA" w14:paraId="6B58C8A4" w14:textId="77777777" w:rsidTr="00394073">
        <w:tc>
          <w:tcPr>
            <w:tcW w:w="3600" w:type="dxa"/>
            <w:tcBorders>
              <w:top w:val="single" w:sz="4" w:space="0" w:color="auto"/>
              <w:bottom w:val="single" w:sz="6" w:space="0" w:color="auto"/>
            </w:tcBorders>
            <w:shd w:val="clear" w:color="auto" w:fill="386294"/>
            <w:vAlign w:val="center"/>
          </w:tcPr>
          <w:p w14:paraId="7E72740A" w14:textId="77777777" w:rsidR="003239B8" w:rsidRPr="000D05CB" w:rsidRDefault="003239B8" w:rsidP="008D2290">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Parte peticionaria:</w:t>
            </w:r>
          </w:p>
        </w:tc>
        <w:tc>
          <w:tcPr>
            <w:tcW w:w="5647" w:type="dxa"/>
            <w:vAlign w:val="center"/>
          </w:tcPr>
          <w:p w14:paraId="07DAAE2E" w14:textId="4E22CEC2" w:rsidR="003239B8" w:rsidRPr="003270E3" w:rsidRDefault="003270E3" w:rsidP="008D2290">
            <w:pPr>
              <w:jc w:val="both"/>
              <w:rPr>
                <w:rFonts w:ascii="Cambria" w:hAnsi="Cambria"/>
                <w:bCs/>
                <w:sz w:val="20"/>
                <w:szCs w:val="20"/>
                <w:lang w:val="es-ES"/>
              </w:rPr>
            </w:pPr>
            <w:r w:rsidRPr="003270E3">
              <w:rPr>
                <w:rFonts w:ascii="Cambria" w:hAnsi="Cambria"/>
                <w:bCs/>
                <w:sz w:val="20"/>
                <w:szCs w:val="20"/>
                <w:lang w:val="es-ES"/>
              </w:rPr>
              <w:t>Derechos en</w:t>
            </w:r>
            <w:r>
              <w:rPr>
                <w:rFonts w:ascii="Cambria" w:hAnsi="Cambria"/>
                <w:bCs/>
                <w:sz w:val="20"/>
                <w:szCs w:val="20"/>
                <w:lang w:val="es-ES"/>
              </w:rPr>
              <w:t xml:space="preserve"> Acción</w:t>
            </w:r>
            <w:r w:rsidR="005F4D7D">
              <w:rPr>
                <w:rFonts w:ascii="Cambria" w:hAnsi="Cambria"/>
                <w:bCs/>
                <w:sz w:val="20"/>
                <w:szCs w:val="20"/>
                <w:lang w:val="es-ES"/>
              </w:rPr>
              <w:t>, Instituto de Terapia e Investigación sobre las secuelas de la tortura y la violencia estatal (ITEI)</w:t>
            </w:r>
            <w:r w:rsidR="00FF656E">
              <w:rPr>
                <w:rFonts w:ascii="Cambria" w:hAnsi="Cambria"/>
                <w:bCs/>
                <w:sz w:val="20"/>
                <w:szCs w:val="20"/>
                <w:lang w:val="es-ES"/>
              </w:rPr>
              <w:t xml:space="preserve">, </w:t>
            </w:r>
            <w:r w:rsidR="006738BB" w:rsidRPr="003270E3">
              <w:rPr>
                <w:rFonts w:ascii="Cambria" w:hAnsi="Cambria"/>
                <w:bCs/>
                <w:sz w:val="20"/>
                <w:szCs w:val="20"/>
                <w:lang w:val="es-ES"/>
              </w:rPr>
              <w:t>Ángel</w:t>
            </w:r>
            <w:r w:rsidR="00FF656E" w:rsidRPr="003270E3">
              <w:rPr>
                <w:rFonts w:ascii="Cambria" w:hAnsi="Cambria"/>
                <w:bCs/>
                <w:sz w:val="20"/>
                <w:szCs w:val="20"/>
                <w:lang w:val="es-ES"/>
              </w:rPr>
              <w:t xml:space="preserve"> Ballejo Ramos</w:t>
            </w:r>
            <w:r>
              <w:rPr>
                <w:rFonts w:ascii="Cambria" w:hAnsi="Cambria"/>
                <w:bCs/>
                <w:sz w:val="20"/>
                <w:szCs w:val="20"/>
                <w:lang w:val="es-ES"/>
              </w:rPr>
              <w:t xml:space="preserve"> y Rielma Mencías</w:t>
            </w:r>
          </w:p>
        </w:tc>
      </w:tr>
      <w:tr w:rsidR="003239B8" w:rsidRPr="000401EA" w14:paraId="0D7F9389" w14:textId="77777777" w:rsidTr="00394073">
        <w:tc>
          <w:tcPr>
            <w:tcW w:w="3600" w:type="dxa"/>
            <w:tcBorders>
              <w:top w:val="single" w:sz="6" w:space="0" w:color="auto"/>
              <w:bottom w:val="single" w:sz="6" w:space="0" w:color="auto"/>
            </w:tcBorders>
            <w:shd w:val="clear" w:color="auto" w:fill="386294"/>
            <w:vAlign w:val="center"/>
          </w:tcPr>
          <w:p w14:paraId="481622AE" w14:textId="77777777" w:rsidR="003239B8" w:rsidRPr="000D05CB" w:rsidRDefault="00FC0140" w:rsidP="008D2290">
            <w:pPr>
              <w:jc w:val="center"/>
              <w:rPr>
                <w:rFonts w:ascii="Cambria" w:hAnsi="Cambria"/>
                <w:b/>
                <w:bCs/>
                <w:color w:val="FFFFFF" w:themeColor="background1"/>
                <w:sz w:val="20"/>
                <w:szCs w:val="20"/>
              </w:rPr>
            </w:pPr>
            <w:sdt>
              <w:sdtPr>
                <w:rPr>
                  <w:rFonts w:ascii="Cambria" w:hAnsi="Cambria"/>
                  <w:b/>
                  <w:bCs/>
                  <w:color w:val="FFFFFF" w:themeColor="background1"/>
                  <w:sz w:val="20"/>
                  <w:szCs w:val="20"/>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3239B8" w:rsidRPr="000D05CB">
                  <w:rPr>
                    <w:rFonts w:ascii="Cambria" w:hAnsi="Cambria"/>
                    <w:b/>
                    <w:bCs/>
                    <w:color w:val="FFFFFF" w:themeColor="background1"/>
                    <w:sz w:val="20"/>
                    <w:szCs w:val="20"/>
                  </w:rPr>
                  <w:t>Presunta víctima</w:t>
                </w:r>
              </w:sdtContent>
            </w:sdt>
            <w:r w:rsidR="003239B8" w:rsidRPr="000D05CB">
              <w:rPr>
                <w:rFonts w:ascii="Cambria" w:hAnsi="Cambria"/>
                <w:b/>
                <w:bCs/>
                <w:color w:val="FFFFFF" w:themeColor="background1"/>
                <w:sz w:val="20"/>
                <w:szCs w:val="20"/>
              </w:rPr>
              <w:t>:</w:t>
            </w:r>
          </w:p>
        </w:tc>
        <w:tc>
          <w:tcPr>
            <w:tcW w:w="5647" w:type="dxa"/>
            <w:vAlign w:val="center"/>
          </w:tcPr>
          <w:p w14:paraId="143D44A8" w14:textId="1868079F" w:rsidR="003239B8" w:rsidRPr="000D05CB" w:rsidRDefault="003270E3" w:rsidP="008D2290">
            <w:pPr>
              <w:jc w:val="both"/>
              <w:rPr>
                <w:rFonts w:ascii="Cambria" w:hAnsi="Cambria"/>
                <w:bCs/>
                <w:sz w:val="20"/>
                <w:szCs w:val="20"/>
                <w:lang w:val="es-ES"/>
              </w:rPr>
            </w:pPr>
            <w:r>
              <w:rPr>
                <w:rFonts w:ascii="Cambria" w:hAnsi="Cambria"/>
                <w:bCs/>
                <w:sz w:val="20"/>
                <w:szCs w:val="20"/>
                <w:lang w:val="es-ES"/>
              </w:rPr>
              <w:t>Abelardo Árevalo Choque y otros</w:t>
            </w:r>
            <w:r w:rsidR="00C3031D">
              <w:rPr>
                <w:rStyle w:val="FootnoteReference"/>
                <w:rFonts w:ascii="Cambria" w:hAnsi="Cambria"/>
                <w:bCs/>
                <w:sz w:val="20"/>
                <w:szCs w:val="20"/>
                <w:lang w:val="es-ES"/>
              </w:rPr>
              <w:footnoteReference w:id="2"/>
            </w:r>
          </w:p>
        </w:tc>
      </w:tr>
      <w:tr w:rsidR="003239B8" w14:paraId="19F69F82" w14:textId="77777777" w:rsidTr="00394073">
        <w:tc>
          <w:tcPr>
            <w:tcW w:w="3600" w:type="dxa"/>
            <w:tcBorders>
              <w:top w:val="single" w:sz="6" w:space="0" w:color="auto"/>
              <w:bottom w:val="single" w:sz="6" w:space="0" w:color="auto"/>
            </w:tcBorders>
            <w:shd w:val="clear" w:color="auto" w:fill="386294"/>
            <w:vAlign w:val="center"/>
          </w:tcPr>
          <w:p w14:paraId="724BB294" w14:textId="77777777" w:rsidR="003239B8" w:rsidRPr="000D05CB" w:rsidRDefault="003239B8" w:rsidP="008D2290">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Estado denunciado:</w:t>
            </w:r>
          </w:p>
        </w:tc>
        <w:tc>
          <w:tcPr>
            <w:tcW w:w="5647" w:type="dxa"/>
            <w:vAlign w:val="center"/>
          </w:tcPr>
          <w:p w14:paraId="5D0EC05D" w14:textId="207CE8A1" w:rsidR="003239B8" w:rsidRPr="000D05CB" w:rsidRDefault="00B34913" w:rsidP="008D2290">
            <w:pPr>
              <w:jc w:val="both"/>
              <w:rPr>
                <w:rFonts w:ascii="Cambria" w:hAnsi="Cambria"/>
                <w:bCs/>
                <w:sz w:val="20"/>
                <w:szCs w:val="20"/>
              </w:rPr>
            </w:pPr>
            <w:r>
              <w:rPr>
                <w:rFonts w:ascii="Cambria" w:hAnsi="Cambria"/>
                <w:bCs/>
                <w:sz w:val="20"/>
                <w:szCs w:val="20"/>
              </w:rPr>
              <w:t>Bolivia</w:t>
            </w:r>
          </w:p>
        </w:tc>
      </w:tr>
      <w:tr w:rsidR="00223A29" w:rsidRPr="000401EA" w14:paraId="256E66EF" w14:textId="77777777" w:rsidTr="00394073">
        <w:tc>
          <w:tcPr>
            <w:tcW w:w="3600" w:type="dxa"/>
            <w:tcBorders>
              <w:top w:val="single" w:sz="6" w:space="0" w:color="auto"/>
              <w:bottom w:val="single" w:sz="6" w:space="0" w:color="auto"/>
            </w:tcBorders>
            <w:shd w:val="clear" w:color="auto" w:fill="386294"/>
            <w:vAlign w:val="center"/>
          </w:tcPr>
          <w:p w14:paraId="2551EB09" w14:textId="77777777" w:rsidR="00223A29" w:rsidRPr="000D05CB" w:rsidRDefault="001B3A00" w:rsidP="00E4118C">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 xml:space="preserve">Derechos </w:t>
            </w:r>
            <w:r w:rsidR="00E4118C" w:rsidRPr="000D05CB">
              <w:rPr>
                <w:rFonts w:ascii="Cambria" w:hAnsi="Cambria"/>
                <w:b/>
                <w:bCs/>
                <w:color w:val="FFFFFF" w:themeColor="background1"/>
                <w:sz w:val="20"/>
                <w:szCs w:val="20"/>
              </w:rPr>
              <w:t>invocados</w:t>
            </w:r>
            <w:r w:rsidRPr="000D05CB">
              <w:rPr>
                <w:rFonts w:ascii="Cambria" w:hAnsi="Cambria"/>
                <w:b/>
                <w:bCs/>
                <w:color w:val="FFFFFF" w:themeColor="background1"/>
                <w:sz w:val="20"/>
                <w:szCs w:val="20"/>
              </w:rPr>
              <w:t>:</w:t>
            </w:r>
          </w:p>
        </w:tc>
        <w:tc>
          <w:tcPr>
            <w:tcW w:w="5647" w:type="dxa"/>
            <w:vAlign w:val="center"/>
          </w:tcPr>
          <w:p w14:paraId="52B28392" w14:textId="63DDA3F6" w:rsidR="00223A29" w:rsidRPr="00C40497" w:rsidRDefault="005F4D7D" w:rsidP="008D2290">
            <w:pPr>
              <w:jc w:val="both"/>
              <w:rPr>
                <w:rFonts w:ascii="Cambria" w:hAnsi="Cambria"/>
                <w:bCs/>
                <w:sz w:val="20"/>
                <w:szCs w:val="20"/>
                <w:lang w:val="es-PE"/>
              </w:rPr>
            </w:pPr>
            <w:r w:rsidRPr="004A65A2">
              <w:rPr>
                <w:rFonts w:ascii="Cambria" w:hAnsi="Cambria"/>
                <w:bCs/>
                <w:sz w:val="20"/>
                <w:szCs w:val="20"/>
                <w:lang w:val="es-ES"/>
              </w:rPr>
              <w:t xml:space="preserve">Artículos </w:t>
            </w:r>
            <w:r w:rsidR="004A65A2">
              <w:rPr>
                <w:rFonts w:ascii="Cambria" w:hAnsi="Cambria"/>
                <w:bCs/>
                <w:sz w:val="20"/>
                <w:szCs w:val="20"/>
                <w:lang w:val="es-ES"/>
              </w:rPr>
              <w:t>5 (</w:t>
            </w:r>
            <w:r w:rsidR="004D4616">
              <w:rPr>
                <w:rFonts w:ascii="Cambria" w:hAnsi="Cambria"/>
                <w:bCs/>
                <w:sz w:val="20"/>
                <w:szCs w:val="20"/>
                <w:lang w:val="es-ES"/>
              </w:rPr>
              <w:t xml:space="preserve">derecho a la </w:t>
            </w:r>
            <w:r w:rsidR="004A65A2">
              <w:rPr>
                <w:rFonts w:ascii="Cambria" w:hAnsi="Cambria"/>
                <w:bCs/>
                <w:sz w:val="20"/>
                <w:szCs w:val="20"/>
                <w:lang w:val="es-ES"/>
              </w:rPr>
              <w:t>integridad personal), 7 (</w:t>
            </w:r>
            <w:r w:rsidR="004D4616">
              <w:rPr>
                <w:rFonts w:ascii="Cambria" w:hAnsi="Cambria"/>
                <w:bCs/>
                <w:sz w:val="20"/>
                <w:szCs w:val="20"/>
                <w:lang w:val="es-ES"/>
              </w:rPr>
              <w:t xml:space="preserve">derecho a la </w:t>
            </w:r>
            <w:r w:rsidR="004A65A2">
              <w:rPr>
                <w:rFonts w:ascii="Cambria" w:hAnsi="Cambria"/>
                <w:bCs/>
                <w:sz w:val="20"/>
                <w:szCs w:val="20"/>
                <w:lang w:val="es-ES"/>
              </w:rPr>
              <w:t>liber</w:t>
            </w:r>
            <w:r w:rsidR="004D4616">
              <w:rPr>
                <w:rFonts w:ascii="Cambria" w:hAnsi="Cambria"/>
                <w:bCs/>
                <w:sz w:val="20"/>
                <w:szCs w:val="20"/>
                <w:lang w:val="es-ES"/>
              </w:rPr>
              <w:t>t</w:t>
            </w:r>
            <w:r w:rsidR="004A65A2">
              <w:rPr>
                <w:rFonts w:ascii="Cambria" w:hAnsi="Cambria"/>
                <w:bCs/>
                <w:sz w:val="20"/>
                <w:szCs w:val="20"/>
                <w:lang w:val="es-ES"/>
              </w:rPr>
              <w:t>ad personal),</w:t>
            </w:r>
            <w:r w:rsidR="003828E9">
              <w:rPr>
                <w:rFonts w:ascii="Cambria" w:hAnsi="Cambria"/>
                <w:bCs/>
                <w:sz w:val="20"/>
                <w:szCs w:val="20"/>
                <w:lang w:val="es-ES"/>
              </w:rPr>
              <w:t xml:space="preserve"> 8 (garantías judiciales),</w:t>
            </w:r>
            <w:r w:rsidR="004A65A2">
              <w:rPr>
                <w:rFonts w:ascii="Cambria" w:hAnsi="Cambria"/>
                <w:bCs/>
                <w:sz w:val="20"/>
                <w:szCs w:val="20"/>
                <w:lang w:val="es-ES"/>
              </w:rPr>
              <w:t xml:space="preserve"> 11 (protección de la honra y de la dignidad),</w:t>
            </w:r>
            <w:r w:rsidR="00C40497">
              <w:rPr>
                <w:rFonts w:ascii="Cambria" w:hAnsi="Cambria"/>
                <w:bCs/>
                <w:sz w:val="20"/>
                <w:szCs w:val="20"/>
                <w:lang w:val="es-ES"/>
              </w:rPr>
              <w:t xml:space="preserve"> 13 (libertad de </w:t>
            </w:r>
            <w:r w:rsidR="004D4616">
              <w:rPr>
                <w:rFonts w:ascii="Cambria" w:hAnsi="Cambria"/>
                <w:bCs/>
                <w:sz w:val="20"/>
                <w:szCs w:val="20"/>
                <w:lang w:val="es-ES"/>
              </w:rPr>
              <w:t xml:space="preserve">pensamiento y </w:t>
            </w:r>
            <w:r w:rsidR="00C40497">
              <w:rPr>
                <w:rFonts w:ascii="Cambria" w:hAnsi="Cambria"/>
                <w:bCs/>
                <w:sz w:val="20"/>
                <w:szCs w:val="20"/>
                <w:lang w:val="es-ES"/>
              </w:rPr>
              <w:t>expresión),</w:t>
            </w:r>
            <w:r w:rsidR="004A65A2">
              <w:rPr>
                <w:rFonts w:ascii="Cambria" w:hAnsi="Cambria"/>
                <w:bCs/>
                <w:sz w:val="20"/>
                <w:szCs w:val="20"/>
                <w:lang w:val="es-ES"/>
              </w:rPr>
              <w:t xml:space="preserve"> 15 (</w:t>
            </w:r>
            <w:r w:rsidR="004D4616">
              <w:rPr>
                <w:rFonts w:ascii="Cambria" w:hAnsi="Cambria"/>
                <w:bCs/>
                <w:sz w:val="20"/>
                <w:szCs w:val="20"/>
                <w:lang w:val="es-ES"/>
              </w:rPr>
              <w:t xml:space="preserve">derecho de </w:t>
            </w:r>
            <w:r w:rsidR="004A65A2">
              <w:rPr>
                <w:rFonts w:ascii="Cambria" w:hAnsi="Cambria"/>
                <w:bCs/>
                <w:sz w:val="20"/>
                <w:szCs w:val="20"/>
                <w:lang w:val="es-ES"/>
              </w:rPr>
              <w:t>reunión), 22 (</w:t>
            </w:r>
            <w:r w:rsidR="004D4616">
              <w:rPr>
                <w:rFonts w:ascii="Cambria" w:hAnsi="Cambria"/>
                <w:bCs/>
                <w:sz w:val="20"/>
                <w:szCs w:val="20"/>
                <w:lang w:val="es-ES"/>
              </w:rPr>
              <w:t xml:space="preserve">derecho de </w:t>
            </w:r>
            <w:r w:rsidR="004A65A2">
              <w:rPr>
                <w:rFonts w:ascii="Cambria" w:hAnsi="Cambria"/>
                <w:bCs/>
                <w:sz w:val="20"/>
                <w:szCs w:val="20"/>
                <w:lang w:val="es-ES"/>
              </w:rPr>
              <w:t>circulación y residencia), 24 (igualdad ante la ley) y 25 (protección judicial) de la Convención Americana sobre Derechos Humanos</w:t>
            </w:r>
            <w:r w:rsidR="00C40497">
              <w:rPr>
                <w:rStyle w:val="FootnoteReference"/>
                <w:rFonts w:ascii="Cambria" w:hAnsi="Cambria"/>
                <w:bCs/>
                <w:sz w:val="20"/>
                <w:szCs w:val="20"/>
                <w:lang w:val="es-PE"/>
              </w:rPr>
              <w:footnoteReference w:id="3"/>
            </w:r>
            <w:r w:rsidR="00C40497">
              <w:rPr>
                <w:rFonts w:ascii="Cambria" w:hAnsi="Cambria"/>
                <w:bCs/>
                <w:sz w:val="20"/>
                <w:szCs w:val="20"/>
                <w:lang w:val="es-PE"/>
              </w:rPr>
              <w:t>; y artículos 2, 3</w:t>
            </w:r>
            <w:r w:rsidR="006004E3">
              <w:rPr>
                <w:rFonts w:ascii="Cambria" w:hAnsi="Cambria"/>
                <w:bCs/>
                <w:sz w:val="20"/>
                <w:szCs w:val="20"/>
                <w:lang w:val="es-PE"/>
              </w:rPr>
              <w:t xml:space="preserve">, </w:t>
            </w:r>
            <w:r w:rsidR="00C40497">
              <w:rPr>
                <w:rFonts w:ascii="Cambria" w:hAnsi="Cambria"/>
                <w:bCs/>
                <w:sz w:val="20"/>
                <w:szCs w:val="20"/>
                <w:lang w:val="es-PE"/>
              </w:rPr>
              <w:t>6</w:t>
            </w:r>
            <w:r w:rsidR="006004E3">
              <w:rPr>
                <w:rFonts w:ascii="Cambria" w:hAnsi="Cambria"/>
                <w:bCs/>
                <w:sz w:val="20"/>
                <w:szCs w:val="20"/>
                <w:lang w:val="es-PE"/>
              </w:rPr>
              <w:t xml:space="preserve"> y 9</w:t>
            </w:r>
            <w:r w:rsidR="00C40497">
              <w:rPr>
                <w:rFonts w:ascii="Cambria" w:hAnsi="Cambria"/>
                <w:bCs/>
                <w:sz w:val="20"/>
                <w:szCs w:val="20"/>
                <w:lang w:val="es-PE"/>
              </w:rPr>
              <w:t xml:space="preserve"> de la Convención Interamericana para Prevenir y Sancionar la Tortura</w:t>
            </w:r>
          </w:p>
        </w:tc>
      </w:tr>
    </w:tbl>
    <w:p w14:paraId="176FB213" w14:textId="77777777" w:rsidR="003239B8" w:rsidRPr="00E4118C" w:rsidRDefault="003239B8" w:rsidP="003239B8">
      <w:pPr>
        <w:spacing w:before="240" w:after="240"/>
        <w:ind w:firstLine="720"/>
        <w:jc w:val="both"/>
        <w:rPr>
          <w:rFonts w:asciiTheme="majorHAnsi" w:hAnsiTheme="majorHAnsi"/>
          <w:b/>
          <w:bCs/>
          <w:sz w:val="20"/>
          <w:szCs w:val="20"/>
          <w:lang w:val="es-ES"/>
        </w:rPr>
      </w:pPr>
      <w:r w:rsidRPr="004C2312">
        <w:rPr>
          <w:rFonts w:asciiTheme="majorHAnsi" w:hAnsiTheme="majorHAnsi"/>
          <w:b/>
          <w:bCs/>
          <w:sz w:val="20"/>
          <w:szCs w:val="20"/>
          <w:lang w:val="es-ES"/>
        </w:rPr>
        <w:t>II.</w:t>
      </w:r>
      <w:r w:rsidRPr="004C2312">
        <w:rPr>
          <w:rFonts w:asciiTheme="majorHAnsi" w:hAnsiTheme="majorHAnsi"/>
          <w:b/>
          <w:bCs/>
          <w:sz w:val="20"/>
          <w:szCs w:val="20"/>
          <w:lang w:val="es-ES"/>
        </w:rPr>
        <w:tab/>
        <w:t>TRÁMITE ANTE LA CIDH</w:t>
      </w:r>
      <w:r w:rsidR="008E3BFE" w:rsidRPr="008E3BFE">
        <w:rPr>
          <w:rStyle w:val="FootnoteReference"/>
          <w:rFonts w:ascii="Cambria" w:hAnsi="Cambria"/>
          <w:b/>
          <w:sz w:val="20"/>
          <w:szCs w:val="20"/>
        </w:rPr>
        <w:footnoteReference w:id="4"/>
      </w:r>
    </w:p>
    <w:tbl>
      <w:tblPr>
        <w:tblStyle w:val="TableGrid"/>
        <w:tblW w:w="9247" w:type="dxa"/>
        <w:tblInd w:w="108" w:type="dxa"/>
        <w:tblBorders>
          <w:insideH w:val="single" w:sz="6" w:space="0" w:color="auto"/>
          <w:insideV w:val="single" w:sz="6" w:space="0" w:color="auto"/>
        </w:tblBorders>
        <w:tblLook w:val="04A0" w:firstRow="1" w:lastRow="0" w:firstColumn="1" w:lastColumn="0" w:noHBand="0" w:noVBand="1"/>
      </w:tblPr>
      <w:tblGrid>
        <w:gridCol w:w="3600"/>
        <w:gridCol w:w="5647"/>
      </w:tblGrid>
      <w:tr w:rsidR="004C2312" w:rsidRPr="004A6A54" w14:paraId="1D831514" w14:textId="77777777" w:rsidTr="00394073">
        <w:tc>
          <w:tcPr>
            <w:tcW w:w="3600" w:type="dxa"/>
            <w:tcBorders>
              <w:top w:val="single" w:sz="6" w:space="0" w:color="auto"/>
              <w:bottom w:val="single" w:sz="6" w:space="0" w:color="auto"/>
            </w:tcBorders>
            <w:shd w:val="clear" w:color="auto" w:fill="386294"/>
            <w:vAlign w:val="center"/>
          </w:tcPr>
          <w:p w14:paraId="330F2ED0" w14:textId="77777777" w:rsidR="004C2312" w:rsidRPr="003239B8" w:rsidRDefault="004A6A54" w:rsidP="004A6A54">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P</w:t>
            </w:r>
            <w:r w:rsidR="004C2312" w:rsidRPr="003239B8">
              <w:rPr>
                <w:rFonts w:ascii="Cambria" w:hAnsi="Cambria"/>
                <w:b/>
                <w:bCs/>
                <w:color w:val="FFFFFF" w:themeColor="background1"/>
                <w:sz w:val="20"/>
                <w:szCs w:val="20"/>
                <w:lang w:val="es-ES"/>
              </w:rPr>
              <w:t>resentación de la petición:</w:t>
            </w:r>
          </w:p>
        </w:tc>
        <w:tc>
          <w:tcPr>
            <w:tcW w:w="5647" w:type="dxa"/>
            <w:vAlign w:val="center"/>
          </w:tcPr>
          <w:p w14:paraId="6883A5F8" w14:textId="7CD389DB" w:rsidR="004C2312" w:rsidRPr="003239B8" w:rsidRDefault="00084D40" w:rsidP="002625EA">
            <w:pPr>
              <w:jc w:val="both"/>
              <w:rPr>
                <w:rFonts w:ascii="Cambria" w:hAnsi="Cambria"/>
                <w:bCs/>
                <w:sz w:val="20"/>
                <w:szCs w:val="20"/>
                <w:lang w:val="es-ES"/>
              </w:rPr>
            </w:pPr>
            <w:r>
              <w:rPr>
                <w:rFonts w:ascii="Cambria" w:hAnsi="Cambria"/>
                <w:bCs/>
                <w:sz w:val="20"/>
                <w:szCs w:val="20"/>
                <w:lang w:val="es-ES"/>
              </w:rPr>
              <w:t>13 de julio de 2009</w:t>
            </w:r>
          </w:p>
        </w:tc>
      </w:tr>
      <w:tr w:rsidR="00131425" w:rsidRPr="000401EA" w14:paraId="54F62341" w14:textId="77777777" w:rsidTr="00394073">
        <w:tc>
          <w:tcPr>
            <w:tcW w:w="3600" w:type="dxa"/>
            <w:tcBorders>
              <w:top w:val="single" w:sz="6" w:space="0" w:color="auto"/>
              <w:bottom w:val="single" w:sz="6" w:space="0" w:color="auto"/>
            </w:tcBorders>
            <w:shd w:val="clear" w:color="auto" w:fill="386294"/>
            <w:vAlign w:val="center"/>
          </w:tcPr>
          <w:p w14:paraId="48CC6F04" w14:textId="77777777" w:rsidR="00131425" w:rsidRDefault="00131425" w:rsidP="004A6A54">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Información adicional recibida durante la etapa de estudio:</w:t>
            </w:r>
          </w:p>
        </w:tc>
        <w:tc>
          <w:tcPr>
            <w:tcW w:w="5647" w:type="dxa"/>
            <w:vAlign w:val="center"/>
          </w:tcPr>
          <w:p w14:paraId="65CBC29E" w14:textId="397A2E92" w:rsidR="00131425" w:rsidRPr="003239B8" w:rsidRDefault="009C0CA2" w:rsidP="002625EA">
            <w:pPr>
              <w:jc w:val="both"/>
              <w:rPr>
                <w:rFonts w:ascii="Cambria" w:hAnsi="Cambria"/>
                <w:bCs/>
                <w:sz w:val="20"/>
                <w:szCs w:val="20"/>
                <w:lang w:val="es-ES"/>
              </w:rPr>
            </w:pPr>
            <w:r>
              <w:rPr>
                <w:rFonts w:ascii="Cambria" w:hAnsi="Cambria"/>
                <w:bCs/>
                <w:sz w:val="20"/>
                <w:szCs w:val="20"/>
                <w:lang w:val="es-ES"/>
              </w:rPr>
              <w:t>18 de noviembre</w:t>
            </w:r>
            <w:r w:rsidR="00B34913">
              <w:rPr>
                <w:rFonts w:ascii="Cambria" w:hAnsi="Cambria"/>
                <w:bCs/>
                <w:sz w:val="20"/>
                <w:szCs w:val="20"/>
                <w:lang w:val="es-ES"/>
              </w:rPr>
              <w:t xml:space="preserve"> de 2015</w:t>
            </w:r>
            <w:r>
              <w:rPr>
                <w:rFonts w:ascii="Cambria" w:hAnsi="Cambria"/>
                <w:bCs/>
                <w:sz w:val="20"/>
                <w:szCs w:val="20"/>
                <w:lang w:val="es-ES"/>
              </w:rPr>
              <w:t xml:space="preserve">, 28 de octubre de 2015, 17 de noviembre de 2016, </w:t>
            </w:r>
            <w:r w:rsidR="005A67EF">
              <w:rPr>
                <w:rFonts w:ascii="Cambria" w:hAnsi="Cambria"/>
                <w:bCs/>
                <w:sz w:val="20"/>
                <w:szCs w:val="20"/>
                <w:lang w:val="es-ES"/>
              </w:rPr>
              <w:t>29</w:t>
            </w:r>
            <w:r>
              <w:rPr>
                <w:rFonts w:ascii="Cambria" w:hAnsi="Cambria"/>
                <w:bCs/>
                <w:sz w:val="20"/>
                <w:szCs w:val="20"/>
                <w:lang w:val="es-ES"/>
              </w:rPr>
              <w:t xml:space="preserve"> de marzo de 2018</w:t>
            </w:r>
            <w:r w:rsidR="00D73994">
              <w:rPr>
                <w:rFonts w:ascii="Cambria" w:hAnsi="Cambria"/>
                <w:bCs/>
                <w:sz w:val="20"/>
                <w:szCs w:val="20"/>
                <w:lang w:val="es-ES"/>
              </w:rPr>
              <w:t xml:space="preserve"> y </w:t>
            </w:r>
            <w:r w:rsidR="005A67EF">
              <w:rPr>
                <w:rFonts w:ascii="Cambria" w:hAnsi="Cambria"/>
                <w:bCs/>
                <w:sz w:val="20"/>
                <w:szCs w:val="20"/>
                <w:lang w:val="es-ES"/>
              </w:rPr>
              <w:t>24 de agosto de 2018</w:t>
            </w:r>
          </w:p>
        </w:tc>
      </w:tr>
      <w:tr w:rsidR="004C2312" w:rsidRPr="00215397" w14:paraId="6A9025D9" w14:textId="77777777" w:rsidTr="00394073">
        <w:tc>
          <w:tcPr>
            <w:tcW w:w="3600" w:type="dxa"/>
            <w:tcBorders>
              <w:top w:val="single" w:sz="6" w:space="0" w:color="auto"/>
              <w:bottom w:val="single" w:sz="6" w:space="0" w:color="auto"/>
            </w:tcBorders>
            <w:shd w:val="clear" w:color="auto" w:fill="386294"/>
            <w:vAlign w:val="center"/>
          </w:tcPr>
          <w:p w14:paraId="01B3581F" w14:textId="77777777" w:rsidR="004C2312" w:rsidRPr="003239B8" w:rsidRDefault="004A6A54" w:rsidP="004A6A54">
            <w:pPr>
              <w:jc w:val="center"/>
              <w:rPr>
                <w:rFonts w:ascii="Cambria" w:hAnsi="Cambria"/>
                <w:b/>
                <w:bCs/>
                <w:color w:val="FFFFFF" w:themeColor="background1"/>
                <w:sz w:val="20"/>
                <w:szCs w:val="20"/>
                <w:lang w:val="es-ES"/>
              </w:rPr>
            </w:pPr>
            <w:r>
              <w:rPr>
                <w:rFonts w:ascii="Cambria" w:hAnsi="Cambria"/>
                <w:b/>
                <w:color w:val="FFFFFF" w:themeColor="background1"/>
                <w:sz w:val="20"/>
                <w:szCs w:val="20"/>
                <w:lang w:val="es-ES"/>
              </w:rPr>
              <w:t>N</w:t>
            </w:r>
            <w:r w:rsidR="004C2312" w:rsidRPr="003239B8">
              <w:rPr>
                <w:rFonts w:ascii="Cambria" w:hAnsi="Cambria"/>
                <w:b/>
                <w:color w:val="FFFFFF" w:themeColor="background1"/>
                <w:sz w:val="20"/>
                <w:szCs w:val="20"/>
                <w:lang w:val="es-ES"/>
              </w:rPr>
              <w:t>otificación de la petición al Estado:</w:t>
            </w:r>
          </w:p>
        </w:tc>
        <w:tc>
          <w:tcPr>
            <w:tcW w:w="5647" w:type="dxa"/>
            <w:vAlign w:val="center"/>
          </w:tcPr>
          <w:p w14:paraId="58485921" w14:textId="100A09FE" w:rsidR="004C2312" w:rsidRPr="003239B8" w:rsidRDefault="005A67EF" w:rsidP="008D2290">
            <w:pPr>
              <w:jc w:val="both"/>
              <w:rPr>
                <w:rFonts w:ascii="Cambria" w:hAnsi="Cambria"/>
                <w:bCs/>
                <w:sz w:val="20"/>
                <w:szCs w:val="20"/>
                <w:lang w:val="es-ES"/>
              </w:rPr>
            </w:pPr>
            <w:r>
              <w:rPr>
                <w:rFonts w:ascii="Cambria" w:hAnsi="Cambria"/>
                <w:bCs/>
                <w:sz w:val="20"/>
                <w:szCs w:val="20"/>
                <w:lang w:val="es-ES"/>
              </w:rPr>
              <w:t>5 de septiembre de 2018</w:t>
            </w:r>
          </w:p>
        </w:tc>
      </w:tr>
      <w:tr w:rsidR="004C2312" w:rsidRPr="004A6A54" w14:paraId="1EC979C3" w14:textId="77777777" w:rsidTr="00394073">
        <w:tc>
          <w:tcPr>
            <w:tcW w:w="3600" w:type="dxa"/>
            <w:tcBorders>
              <w:top w:val="single" w:sz="6" w:space="0" w:color="auto"/>
              <w:bottom w:val="single" w:sz="6" w:space="0" w:color="auto"/>
            </w:tcBorders>
            <w:shd w:val="clear" w:color="auto" w:fill="386294"/>
            <w:vAlign w:val="center"/>
          </w:tcPr>
          <w:p w14:paraId="3708E507" w14:textId="77777777" w:rsidR="004C2312" w:rsidRPr="003239B8" w:rsidRDefault="004A6A54" w:rsidP="004A6A54">
            <w:pPr>
              <w:jc w:val="center"/>
              <w:rPr>
                <w:rFonts w:ascii="Cambria" w:hAnsi="Cambria"/>
                <w:b/>
                <w:bCs/>
                <w:color w:val="FFFFFF" w:themeColor="background1"/>
                <w:sz w:val="20"/>
                <w:szCs w:val="20"/>
                <w:lang w:val="es-ES"/>
              </w:rPr>
            </w:pPr>
            <w:r>
              <w:rPr>
                <w:rFonts w:ascii="Cambria" w:hAnsi="Cambria"/>
                <w:b/>
                <w:color w:val="FFFFFF" w:themeColor="background1"/>
                <w:sz w:val="20"/>
                <w:szCs w:val="20"/>
                <w:lang w:val="es-ES"/>
              </w:rPr>
              <w:t>P</w:t>
            </w:r>
            <w:r w:rsidR="004C2312" w:rsidRPr="003239B8">
              <w:rPr>
                <w:rFonts w:ascii="Cambria" w:hAnsi="Cambria"/>
                <w:b/>
                <w:color w:val="FFFFFF" w:themeColor="background1"/>
                <w:sz w:val="20"/>
                <w:szCs w:val="20"/>
                <w:lang w:val="es-ES"/>
              </w:rPr>
              <w:t>rimera respuesta del Estado:</w:t>
            </w:r>
          </w:p>
        </w:tc>
        <w:tc>
          <w:tcPr>
            <w:tcW w:w="5647" w:type="dxa"/>
            <w:vAlign w:val="center"/>
          </w:tcPr>
          <w:p w14:paraId="6B47064C" w14:textId="57CC47B4" w:rsidR="004C2312" w:rsidRPr="003239B8" w:rsidRDefault="00A935AA" w:rsidP="008D2290">
            <w:pPr>
              <w:jc w:val="both"/>
              <w:rPr>
                <w:rFonts w:ascii="Cambria" w:hAnsi="Cambria"/>
                <w:bCs/>
                <w:sz w:val="20"/>
                <w:szCs w:val="20"/>
                <w:lang w:val="es-ES"/>
              </w:rPr>
            </w:pPr>
            <w:r>
              <w:rPr>
                <w:rFonts w:ascii="Cambria" w:hAnsi="Cambria"/>
                <w:bCs/>
                <w:sz w:val="20"/>
                <w:szCs w:val="20"/>
                <w:lang w:val="es-ES"/>
              </w:rPr>
              <w:t>3 de septiembre de 2019</w:t>
            </w:r>
          </w:p>
        </w:tc>
      </w:tr>
      <w:tr w:rsidR="004C2312" w:rsidRPr="000401EA" w14:paraId="1253D75C" w14:textId="77777777" w:rsidTr="00394073">
        <w:tc>
          <w:tcPr>
            <w:tcW w:w="3600" w:type="dxa"/>
            <w:tcBorders>
              <w:top w:val="single" w:sz="6" w:space="0" w:color="auto"/>
              <w:bottom w:val="single" w:sz="6" w:space="0" w:color="auto"/>
            </w:tcBorders>
            <w:shd w:val="clear" w:color="auto" w:fill="386294"/>
            <w:vAlign w:val="center"/>
          </w:tcPr>
          <w:p w14:paraId="3250F3E6" w14:textId="77777777" w:rsidR="004C2312" w:rsidRPr="003239B8" w:rsidRDefault="008E3BFE" w:rsidP="008E3BFE">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Observaciones adicionales de la parte peticionaria:</w:t>
            </w:r>
          </w:p>
        </w:tc>
        <w:tc>
          <w:tcPr>
            <w:tcW w:w="5647" w:type="dxa"/>
            <w:vAlign w:val="center"/>
          </w:tcPr>
          <w:p w14:paraId="66A99206" w14:textId="434792C3" w:rsidR="004C2312" w:rsidRPr="003239B8" w:rsidRDefault="00D73994" w:rsidP="008D2290">
            <w:pPr>
              <w:jc w:val="both"/>
              <w:rPr>
                <w:rFonts w:ascii="Cambria" w:hAnsi="Cambria"/>
                <w:bCs/>
                <w:sz w:val="20"/>
                <w:szCs w:val="20"/>
                <w:lang w:val="es-ES"/>
              </w:rPr>
            </w:pPr>
            <w:r>
              <w:rPr>
                <w:rFonts w:ascii="Cambria" w:hAnsi="Cambria"/>
                <w:bCs/>
                <w:sz w:val="20"/>
                <w:szCs w:val="20"/>
                <w:lang w:val="es-ES"/>
              </w:rPr>
              <w:t xml:space="preserve">12 de marzo de 2020 y </w:t>
            </w:r>
            <w:r w:rsidR="00482C16">
              <w:rPr>
                <w:rFonts w:ascii="Cambria" w:hAnsi="Cambria"/>
                <w:bCs/>
                <w:sz w:val="20"/>
                <w:szCs w:val="20"/>
                <w:lang w:val="es-ES"/>
              </w:rPr>
              <w:t>20 de abril de 2020</w:t>
            </w:r>
          </w:p>
        </w:tc>
      </w:tr>
      <w:tr w:rsidR="004C2312" w:rsidRPr="009111EC" w14:paraId="30D2D9CB" w14:textId="77777777" w:rsidTr="00394073">
        <w:tc>
          <w:tcPr>
            <w:tcW w:w="3600" w:type="dxa"/>
            <w:tcBorders>
              <w:top w:val="single" w:sz="6" w:space="0" w:color="auto"/>
              <w:bottom w:val="single" w:sz="6" w:space="0" w:color="auto"/>
            </w:tcBorders>
            <w:shd w:val="clear" w:color="auto" w:fill="386294"/>
            <w:vAlign w:val="center"/>
          </w:tcPr>
          <w:p w14:paraId="35799C78" w14:textId="77777777" w:rsidR="004C2312" w:rsidRPr="00706824" w:rsidRDefault="004C2312" w:rsidP="008E3BFE">
            <w:pPr>
              <w:jc w:val="center"/>
              <w:rPr>
                <w:rFonts w:ascii="Cambria" w:hAnsi="Cambria"/>
                <w:b/>
                <w:bCs/>
                <w:color w:val="FFFFFF" w:themeColor="background1"/>
                <w:sz w:val="20"/>
                <w:szCs w:val="20"/>
              </w:rPr>
            </w:pPr>
            <w:r w:rsidRPr="00706824">
              <w:rPr>
                <w:rFonts w:ascii="Cambria" w:hAnsi="Cambria"/>
                <w:b/>
                <w:bCs/>
                <w:color w:val="FFFFFF" w:themeColor="background1"/>
                <w:sz w:val="20"/>
                <w:szCs w:val="20"/>
              </w:rPr>
              <w:t>Observaciones adicionales del Estado:</w:t>
            </w:r>
          </w:p>
        </w:tc>
        <w:tc>
          <w:tcPr>
            <w:tcW w:w="5647" w:type="dxa"/>
            <w:vAlign w:val="center"/>
          </w:tcPr>
          <w:p w14:paraId="15747C57" w14:textId="2FE5CB75" w:rsidR="004C2312" w:rsidRPr="00084D40" w:rsidRDefault="00084D40" w:rsidP="008D2290">
            <w:pPr>
              <w:jc w:val="both"/>
              <w:rPr>
                <w:rFonts w:ascii="Cambria" w:hAnsi="Cambria"/>
                <w:bCs/>
                <w:sz w:val="20"/>
                <w:szCs w:val="20"/>
                <w:lang w:val="es-PE"/>
              </w:rPr>
            </w:pPr>
            <w:r w:rsidRPr="00084D40">
              <w:rPr>
                <w:rFonts w:ascii="Cambria" w:hAnsi="Cambria"/>
                <w:bCs/>
                <w:sz w:val="20"/>
                <w:szCs w:val="20"/>
                <w:lang w:val="es-PE"/>
              </w:rPr>
              <w:t>19 de febrero de 2021</w:t>
            </w:r>
          </w:p>
        </w:tc>
      </w:tr>
    </w:tbl>
    <w:p w14:paraId="0FC6E9E8" w14:textId="77777777" w:rsidR="003239B8" w:rsidRPr="003239B8" w:rsidRDefault="003239B8" w:rsidP="003239B8">
      <w:pPr>
        <w:spacing w:before="240" w:after="240"/>
        <w:ind w:firstLine="720"/>
        <w:jc w:val="both"/>
        <w:rPr>
          <w:rFonts w:asciiTheme="majorHAnsi" w:hAnsiTheme="majorHAnsi"/>
          <w:b/>
          <w:bCs/>
          <w:sz w:val="20"/>
          <w:szCs w:val="20"/>
          <w:lang w:val="es-ES"/>
        </w:rPr>
      </w:pPr>
      <w:r w:rsidRPr="003239B8">
        <w:rPr>
          <w:rFonts w:asciiTheme="majorHAnsi" w:hAnsiTheme="majorHAnsi"/>
          <w:b/>
          <w:bCs/>
          <w:sz w:val="20"/>
          <w:szCs w:val="20"/>
          <w:lang w:val="es-ES"/>
        </w:rPr>
        <w:t xml:space="preserve">III. </w:t>
      </w:r>
      <w:r w:rsidRPr="003239B8">
        <w:rPr>
          <w:rFonts w:asciiTheme="majorHAnsi" w:hAnsiTheme="majorHAnsi"/>
          <w:b/>
          <w:bCs/>
          <w:sz w:val="20"/>
          <w:szCs w:val="20"/>
          <w:lang w:val="es-ES"/>
        </w:rPr>
        <w:tab/>
        <w:t>COMPETENCIA</w:t>
      </w:r>
      <w:r w:rsidR="00EE00E9">
        <w:rPr>
          <w:rFonts w:asciiTheme="majorHAnsi" w:hAnsiTheme="majorHAnsi"/>
          <w:b/>
          <w:bCs/>
          <w:sz w:val="20"/>
          <w:szCs w:val="20"/>
          <w:lang w:val="es-ES"/>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0"/>
        <w:gridCol w:w="5682"/>
      </w:tblGrid>
      <w:tr w:rsidR="003239B8" w:rsidRPr="00540F17" w14:paraId="7D299FC7" w14:textId="77777777" w:rsidTr="004A6A54">
        <w:trPr>
          <w:cantSplit/>
        </w:trPr>
        <w:tc>
          <w:tcPr>
            <w:tcW w:w="3600" w:type="dxa"/>
            <w:tcBorders>
              <w:top w:val="single" w:sz="4" w:space="0" w:color="auto"/>
              <w:bottom w:val="single" w:sz="6" w:space="0" w:color="auto"/>
            </w:tcBorders>
            <w:shd w:val="clear" w:color="auto" w:fill="386294"/>
            <w:vAlign w:val="center"/>
          </w:tcPr>
          <w:p w14:paraId="5D0830E9" w14:textId="77777777" w:rsidR="003239B8" w:rsidRPr="00B3745F" w:rsidRDefault="003239B8" w:rsidP="008D2290">
            <w:pPr>
              <w:jc w:val="center"/>
              <w:rPr>
                <w:rFonts w:ascii="Cambria" w:hAnsi="Cambria"/>
                <w:b/>
                <w:bCs/>
                <w:i/>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personae:</w:t>
            </w:r>
          </w:p>
        </w:tc>
        <w:tc>
          <w:tcPr>
            <w:tcW w:w="5760" w:type="dxa"/>
            <w:vAlign w:val="center"/>
          </w:tcPr>
          <w:p w14:paraId="1E494D5D" w14:textId="251A209F" w:rsidR="003239B8" w:rsidRPr="00B3745F" w:rsidRDefault="003270E3" w:rsidP="008D2290">
            <w:pPr>
              <w:rPr>
                <w:rFonts w:ascii="Cambria" w:hAnsi="Cambria"/>
                <w:bCs/>
                <w:sz w:val="20"/>
                <w:szCs w:val="20"/>
              </w:rPr>
            </w:pPr>
            <w:r>
              <w:rPr>
                <w:rFonts w:ascii="Cambria" w:hAnsi="Cambria"/>
                <w:bCs/>
                <w:sz w:val="20"/>
                <w:szCs w:val="20"/>
              </w:rPr>
              <w:t>Sí</w:t>
            </w:r>
          </w:p>
        </w:tc>
      </w:tr>
      <w:tr w:rsidR="003239B8" w:rsidRPr="00540F17" w14:paraId="54503A4F" w14:textId="77777777" w:rsidTr="004A6A54">
        <w:trPr>
          <w:cantSplit/>
        </w:trPr>
        <w:tc>
          <w:tcPr>
            <w:tcW w:w="3600" w:type="dxa"/>
            <w:tcBorders>
              <w:top w:val="single" w:sz="6" w:space="0" w:color="auto"/>
              <w:bottom w:val="single" w:sz="6" w:space="0" w:color="auto"/>
            </w:tcBorders>
            <w:shd w:val="clear" w:color="auto" w:fill="386294"/>
            <w:vAlign w:val="center"/>
          </w:tcPr>
          <w:p w14:paraId="40E3A1EF" w14:textId="77777777" w:rsidR="003239B8" w:rsidRPr="00B3745F" w:rsidRDefault="003239B8" w:rsidP="008D2290">
            <w:pPr>
              <w:jc w:val="center"/>
              <w:rPr>
                <w:rFonts w:ascii="Cambria" w:hAnsi="Cambria"/>
                <w:b/>
                <w:bCs/>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loci</w:t>
            </w:r>
            <w:r w:rsidRPr="00B3745F">
              <w:rPr>
                <w:rFonts w:ascii="Cambria" w:hAnsi="Cambria"/>
                <w:b/>
                <w:bCs/>
                <w:color w:val="FFFFFF" w:themeColor="background1"/>
                <w:sz w:val="20"/>
                <w:szCs w:val="20"/>
              </w:rPr>
              <w:t>:</w:t>
            </w:r>
          </w:p>
        </w:tc>
        <w:tc>
          <w:tcPr>
            <w:tcW w:w="5760" w:type="dxa"/>
            <w:vAlign w:val="center"/>
          </w:tcPr>
          <w:p w14:paraId="77C8256A" w14:textId="2E99600F" w:rsidR="003239B8" w:rsidRPr="00B3745F" w:rsidRDefault="003270E3" w:rsidP="008D2290">
            <w:pPr>
              <w:rPr>
                <w:rFonts w:ascii="Cambria" w:hAnsi="Cambria"/>
                <w:bCs/>
                <w:sz w:val="20"/>
                <w:szCs w:val="20"/>
              </w:rPr>
            </w:pPr>
            <w:r>
              <w:rPr>
                <w:rFonts w:ascii="Cambria" w:hAnsi="Cambria"/>
                <w:bCs/>
                <w:sz w:val="20"/>
                <w:szCs w:val="20"/>
              </w:rPr>
              <w:t>Sí</w:t>
            </w:r>
          </w:p>
        </w:tc>
      </w:tr>
      <w:tr w:rsidR="003239B8" w:rsidRPr="00540F17" w14:paraId="6618D96A" w14:textId="77777777" w:rsidTr="004A6A54">
        <w:trPr>
          <w:cantSplit/>
        </w:trPr>
        <w:tc>
          <w:tcPr>
            <w:tcW w:w="3600" w:type="dxa"/>
            <w:tcBorders>
              <w:top w:val="single" w:sz="6" w:space="0" w:color="auto"/>
              <w:bottom w:val="single" w:sz="6" w:space="0" w:color="auto"/>
            </w:tcBorders>
            <w:shd w:val="clear" w:color="auto" w:fill="386294"/>
            <w:vAlign w:val="center"/>
          </w:tcPr>
          <w:p w14:paraId="24D9CAA2" w14:textId="77777777" w:rsidR="003239B8" w:rsidRPr="00B3745F" w:rsidRDefault="003239B8" w:rsidP="008D2290">
            <w:pPr>
              <w:jc w:val="center"/>
              <w:rPr>
                <w:rFonts w:ascii="Cambria" w:hAnsi="Cambria"/>
                <w:b/>
                <w:bCs/>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temporis</w:t>
            </w:r>
            <w:r w:rsidRPr="00B3745F">
              <w:rPr>
                <w:rFonts w:ascii="Cambria" w:hAnsi="Cambria"/>
                <w:b/>
                <w:bCs/>
                <w:color w:val="FFFFFF" w:themeColor="background1"/>
                <w:sz w:val="20"/>
                <w:szCs w:val="20"/>
              </w:rPr>
              <w:t>:</w:t>
            </w:r>
          </w:p>
        </w:tc>
        <w:tc>
          <w:tcPr>
            <w:tcW w:w="5760" w:type="dxa"/>
            <w:vAlign w:val="center"/>
          </w:tcPr>
          <w:p w14:paraId="523F6BD6" w14:textId="1BD08903" w:rsidR="003239B8" w:rsidRPr="00B3745F" w:rsidRDefault="003270E3" w:rsidP="008D2290">
            <w:pPr>
              <w:rPr>
                <w:rFonts w:ascii="Cambria" w:hAnsi="Cambria"/>
                <w:bCs/>
                <w:sz w:val="20"/>
                <w:szCs w:val="20"/>
              </w:rPr>
            </w:pPr>
            <w:r>
              <w:rPr>
                <w:rFonts w:ascii="Cambria" w:hAnsi="Cambria"/>
                <w:bCs/>
                <w:sz w:val="20"/>
                <w:szCs w:val="20"/>
              </w:rPr>
              <w:t>Sí</w:t>
            </w:r>
          </w:p>
        </w:tc>
      </w:tr>
      <w:tr w:rsidR="003239B8" w:rsidRPr="000401EA" w14:paraId="34C2A0A9" w14:textId="77777777" w:rsidTr="004A6A54">
        <w:trPr>
          <w:cantSplit/>
        </w:trPr>
        <w:tc>
          <w:tcPr>
            <w:tcW w:w="3600" w:type="dxa"/>
            <w:tcBorders>
              <w:top w:val="single" w:sz="6" w:space="0" w:color="auto"/>
              <w:bottom w:val="single" w:sz="6" w:space="0" w:color="auto"/>
            </w:tcBorders>
            <w:shd w:val="clear" w:color="auto" w:fill="386294"/>
            <w:vAlign w:val="center"/>
          </w:tcPr>
          <w:p w14:paraId="6259AE31" w14:textId="77777777" w:rsidR="003239B8" w:rsidRPr="00B3745F" w:rsidRDefault="003239B8" w:rsidP="008D2290">
            <w:pPr>
              <w:jc w:val="center"/>
              <w:rPr>
                <w:rFonts w:ascii="Cambria" w:hAnsi="Cambria"/>
                <w:b/>
                <w:bCs/>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materia</w:t>
            </w:r>
            <w:r w:rsidR="00EE00E9" w:rsidRPr="00B3745F">
              <w:rPr>
                <w:rFonts w:ascii="Cambria" w:hAnsi="Cambria"/>
                <w:b/>
                <w:bCs/>
                <w:i/>
                <w:color w:val="FFFFFF" w:themeColor="background1"/>
                <w:sz w:val="20"/>
                <w:szCs w:val="20"/>
              </w:rPr>
              <w:t>e</w:t>
            </w:r>
            <w:r w:rsidRPr="00B3745F">
              <w:rPr>
                <w:rFonts w:ascii="Cambria" w:hAnsi="Cambria"/>
                <w:b/>
                <w:bCs/>
                <w:color w:val="FFFFFF" w:themeColor="background1"/>
                <w:sz w:val="20"/>
                <w:szCs w:val="20"/>
              </w:rPr>
              <w:t>:</w:t>
            </w:r>
          </w:p>
        </w:tc>
        <w:tc>
          <w:tcPr>
            <w:tcW w:w="5760" w:type="dxa"/>
            <w:vAlign w:val="center"/>
          </w:tcPr>
          <w:p w14:paraId="257C8337" w14:textId="5F95F422" w:rsidR="003239B8" w:rsidRPr="00B3745F" w:rsidRDefault="003270E3" w:rsidP="008D2290">
            <w:pPr>
              <w:jc w:val="both"/>
              <w:rPr>
                <w:rFonts w:ascii="Cambria" w:hAnsi="Cambria"/>
                <w:bCs/>
                <w:sz w:val="20"/>
                <w:szCs w:val="20"/>
                <w:lang w:val="es-ES"/>
              </w:rPr>
            </w:pPr>
            <w:r>
              <w:rPr>
                <w:rFonts w:ascii="Cambria" w:hAnsi="Cambria"/>
                <w:bCs/>
                <w:sz w:val="20"/>
                <w:szCs w:val="20"/>
                <w:lang w:val="es-ES" w:eastAsia="es-ES"/>
              </w:rPr>
              <w:t xml:space="preserve">Sí, </w:t>
            </w:r>
            <w:r>
              <w:rPr>
                <w:rFonts w:ascii="Cambria" w:hAnsi="Cambria"/>
                <w:bCs/>
                <w:sz w:val="20"/>
                <w:szCs w:val="20"/>
                <w:lang w:val="es-ES_tradnl" w:eastAsia="es-ES"/>
              </w:rPr>
              <w:t>Convención Americana (depósito del instrumento de ratificación realizado el 19 de julio de 1979)</w:t>
            </w:r>
            <w:r w:rsidR="002735C4">
              <w:rPr>
                <w:rFonts w:ascii="Cambria" w:hAnsi="Cambria"/>
                <w:bCs/>
                <w:sz w:val="20"/>
                <w:szCs w:val="20"/>
                <w:lang w:val="es-ES_tradnl" w:eastAsia="es-ES"/>
              </w:rPr>
              <w:t xml:space="preserve">; </w:t>
            </w:r>
            <w:r w:rsidR="00C40497">
              <w:rPr>
                <w:rFonts w:ascii="Cambria" w:hAnsi="Cambria"/>
                <w:bCs/>
                <w:sz w:val="20"/>
                <w:szCs w:val="20"/>
                <w:lang w:val="es-ES_tradnl" w:eastAsia="es-ES"/>
              </w:rPr>
              <w:t>Convención Interamericana para Prevenir y Sancionar la Tortura (depósito del instrumento de ratificación realizado el 21 de noviembre de 2006)</w:t>
            </w:r>
            <w:r w:rsidR="002735C4">
              <w:rPr>
                <w:rFonts w:ascii="Cambria" w:hAnsi="Cambria"/>
                <w:bCs/>
                <w:sz w:val="20"/>
                <w:szCs w:val="20"/>
                <w:lang w:val="es-ES_tradnl" w:eastAsia="es-ES"/>
              </w:rPr>
              <w:t xml:space="preserve"> y Convención Interamericana para Prevenir, Sancionar y Erradicar la Violencia contra la Mujer (depósito del instrumento de ratificación </w:t>
            </w:r>
            <w:r w:rsidR="002735C4" w:rsidRPr="002735C4">
              <w:rPr>
                <w:rFonts w:ascii="Cambria" w:hAnsi="Cambria"/>
                <w:bCs/>
                <w:sz w:val="20"/>
                <w:szCs w:val="20"/>
                <w:lang w:val="es-ES_tradnl" w:eastAsia="es-ES"/>
              </w:rPr>
              <w:t>5</w:t>
            </w:r>
            <w:r w:rsidR="002735C4">
              <w:rPr>
                <w:rFonts w:ascii="Cambria" w:hAnsi="Cambria"/>
                <w:bCs/>
                <w:sz w:val="20"/>
                <w:szCs w:val="20"/>
                <w:lang w:val="es-ES_tradnl" w:eastAsia="es-ES"/>
              </w:rPr>
              <w:t xml:space="preserve"> de diciembre de 19</w:t>
            </w:r>
            <w:r w:rsidR="002735C4" w:rsidRPr="002735C4">
              <w:rPr>
                <w:rFonts w:ascii="Cambria" w:hAnsi="Cambria"/>
                <w:bCs/>
                <w:sz w:val="20"/>
                <w:szCs w:val="20"/>
                <w:lang w:val="es-ES_tradnl" w:eastAsia="es-ES"/>
              </w:rPr>
              <w:t>94</w:t>
            </w:r>
            <w:r w:rsidR="002735C4">
              <w:rPr>
                <w:rFonts w:ascii="Cambria" w:hAnsi="Cambria"/>
                <w:bCs/>
                <w:sz w:val="20"/>
                <w:szCs w:val="20"/>
                <w:lang w:val="es-ES_tradnl" w:eastAsia="es-ES"/>
              </w:rPr>
              <w:t>)</w:t>
            </w:r>
            <w:r w:rsidR="002735C4">
              <w:rPr>
                <w:rStyle w:val="FootnoteReference"/>
                <w:rFonts w:ascii="Cambria" w:hAnsi="Cambria"/>
                <w:bCs/>
                <w:sz w:val="20"/>
                <w:szCs w:val="20"/>
                <w:lang w:val="es-ES_tradnl" w:eastAsia="es-ES"/>
              </w:rPr>
              <w:footnoteReference w:id="5"/>
            </w:r>
          </w:p>
        </w:tc>
      </w:tr>
    </w:tbl>
    <w:p w14:paraId="299A3868" w14:textId="3FB6071B" w:rsidR="003239B8" w:rsidRPr="003239B8" w:rsidRDefault="003239B8" w:rsidP="003239B8">
      <w:pPr>
        <w:spacing w:before="240" w:after="240"/>
        <w:ind w:firstLine="720"/>
        <w:jc w:val="both"/>
        <w:rPr>
          <w:rFonts w:asciiTheme="majorHAnsi" w:hAnsiTheme="majorHAnsi"/>
          <w:b/>
          <w:bCs/>
          <w:sz w:val="20"/>
          <w:szCs w:val="20"/>
          <w:lang w:val="es-ES"/>
        </w:rPr>
      </w:pPr>
      <w:r w:rsidRPr="003239B8">
        <w:rPr>
          <w:rFonts w:asciiTheme="majorHAnsi" w:hAnsiTheme="majorHAnsi"/>
          <w:b/>
          <w:bCs/>
          <w:sz w:val="20"/>
          <w:szCs w:val="20"/>
          <w:lang w:val="es-ES"/>
        </w:rPr>
        <w:lastRenderedPageBreak/>
        <w:t xml:space="preserve">IV. </w:t>
      </w:r>
      <w:r w:rsidRPr="003239B8">
        <w:rPr>
          <w:rFonts w:asciiTheme="majorHAnsi" w:hAnsiTheme="majorHAnsi"/>
          <w:b/>
          <w:bCs/>
          <w:sz w:val="20"/>
          <w:szCs w:val="20"/>
          <w:lang w:val="es-ES"/>
        </w:rPr>
        <w:tab/>
      </w:r>
      <w:r w:rsidR="00EE00E9" w:rsidRPr="003239B8">
        <w:rPr>
          <w:rFonts w:asciiTheme="majorHAnsi" w:hAnsiTheme="majorHAnsi"/>
          <w:b/>
          <w:bCs/>
          <w:sz w:val="20"/>
          <w:szCs w:val="20"/>
          <w:lang w:val="es-ES"/>
        </w:rPr>
        <w:t>DUPLICACIÓN</w:t>
      </w:r>
      <w:r w:rsidR="00EE00E9" w:rsidRPr="003239B8">
        <w:rPr>
          <w:rFonts w:asciiTheme="majorHAnsi" w:hAnsiTheme="majorHAnsi"/>
          <w:b/>
          <w:bCs/>
          <w:color w:val="FFFFFF" w:themeColor="background1"/>
          <w:sz w:val="20"/>
          <w:szCs w:val="20"/>
          <w:lang w:val="es-ES"/>
        </w:rPr>
        <w:t xml:space="preserve"> </w:t>
      </w:r>
      <w:r w:rsidR="00EE00E9" w:rsidRPr="003239B8">
        <w:rPr>
          <w:rFonts w:asciiTheme="majorHAnsi" w:hAnsiTheme="majorHAnsi"/>
          <w:b/>
          <w:bCs/>
          <w:sz w:val="20"/>
          <w:szCs w:val="20"/>
          <w:lang w:val="es-ES"/>
        </w:rPr>
        <w:t>DE PROCEDIMIENTOS Y COSA JUZGADA</w:t>
      </w:r>
      <w:r w:rsidR="00EE00E9" w:rsidRPr="003239B8">
        <w:rPr>
          <w:rFonts w:asciiTheme="majorHAnsi" w:hAnsiTheme="majorHAnsi"/>
          <w:b/>
          <w:bCs/>
          <w:i/>
          <w:sz w:val="20"/>
          <w:szCs w:val="20"/>
          <w:lang w:val="es-ES"/>
        </w:rPr>
        <w:t xml:space="preserve"> </w:t>
      </w:r>
      <w:r w:rsidR="003270E3" w:rsidRPr="003239B8">
        <w:rPr>
          <w:rFonts w:asciiTheme="majorHAnsi" w:hAnsiTheme="majorHAnsi"/>
          <w:b/>
          <w:bCs/>
          <w:sz w:val="20"/>
          <w:szCs w:val="20"/>
          <w:lang w:val="es-ES"/>
        </w:rPr>
        <w:t>INTERNACIONAL</w:t>
      </w:r>
      <w:r w:rsidR="003270E3">
        <w:rPr>
          <w:rFonts w:asciiTheme="majorHAnsi" w:hAnsiTheme="majorHAnsi"/>
          <w:b/>
          <w:bCs/>
          <w:sz w:val="20"/>
          <w:szCs w:val="20"/>
          <w:lang w:val="es-ES"/>
        </w:rPr>
        <w:t xml:space="preserve">, </w:t>
      </w:r>
      <w:r w:rsidR="003270E3" w:rsidRPr="003239B8">
        <w:rPr>
          <w:rFonts w:asciiTheme="majorHAnsi" w:hAnsiTheme="majorHAnsi"/>
          <w:b/>
          <w:bCs/>
          <w:sz w:val="20"/>
          <w:szCs w:val="20"/>
          <w:lang w:val="es-ES"/>
        </w:rPr>
        <w:t>CARACTERIZACIÓN</w:t>
      </w:r>
      <w:r w:rsidRPr="003239B8">
        <w:rPr>
          <w:rFonts w:asciiTheme="majorHAnsi" w:hAnsiTheme="majorHAnsi"/>
          <w:b/>
          <w:bCs/>
          <w:sz w:val="20"/>
          <w:szCs w:val="20"/>
          <w:lang w:val="es-ES"/>
        </w:rPr>
        <w:t xml:space="preserve">, </w:t>
      </w:r>
      <w:r w:rsidRPr="003239B8">
        <w:rPr>
          <w:rFonts w:asciiTheme="majorHAnsi" w:hAnsiTheme="majorHAnsi"/>
          <w:b/>
          <w:sz w:val="20"/>
          <w:szCs w:val="20"/>
          <w:lang w:val="es-ES"/>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3"/>
        <w:gridCol w:w="5679"/>
      </w:tblGrid>
      <w:tr w:rsidR="00EE00E9" w:rsidRPr="004A3BB5" w14:paraId="161C8568" w14:textId="77777777" w:rsidTr="004A6A54">
        <w:trPr>
          <w:cantSplit/>
        </w:trPr>
        <w:tc>
          <w:tcPr>
            <w:tcW w:w="3600" w:type="dxa"/>
            <w:tcBorders>
              <w:top w:val="single" w:sz="4" w:space="0" w:color="auto"/>
              <w:bottom w:val="single" w:sz="6" w:space="0" w:color="auto"/>
            </w:tcBorders>
            <w:shd w:val="clear" w:color="auto" w:fill="386294"/>
            <w:vAlign w:val="center"/>
          </w:tcPr>
          <w:p w14:paraId="1C72AC6C" w14:textId="77777777" w:rsidR="00EE00E9" w:rsidRPr="00DC24E3" w:rsidRDefault="00EE00E9" w:rsidP="008D2290">
            <w:pPr>
              <w:jc w:val="center"/>
              <w:rPr>
                <w:rFonts w:ascii="Cambria" w:hAnsi="Cambria"/>
                <w:b/>
                <w:bCs/>
                <w:color w:val="FFFFFF" w:themeColor="background1"/>
                <w:sz w:val="20"/>
                <w:szCs w:val="20"/>
                <w:lang w:val="es-ES"/>
              </w:rPr>
            </w:pPr>
            <w:r w:rsidRPr="00DC24E3">
              <w:rPr>
                <w:rFonts w:ascii="Cambria" w:hAnsi="Cambria"/>
                <w:b/>
                <w:bCs/>
                <w:color w:val="FFFFFF" w:themeColor="background1"/>
                <w:sz w:val="20"/>
                <w:szCs w:val="20"/>
                <w:lang w:val="es-ES"/>
              </w:rPr>
              <w:t>Duplicación de procedimientos y cosa juzgada internacional:</w:t>
            </w:r>
          </w:p>
        </w:tc>
        <w:tc>
          <w:tcPr>
            <w:tcW w:w="5760" w:type="dxa"/>
            <w:vAlign w:val="center"/>
          </w:tcPr>
          <w:p w14:paraId="764D7F60" w14:textId="7B485EDB" w:rsidR="00EE00E9" w:rsidRPr="00DC24E3" w:rsidRDefault="00B13F67" w:rsidP="008D2290">
            <w:pPr>
              <w:jc w:val="both"/>
              <w:rPr>
                <w:rFonts w:ascii="Cambria" w:hAnsi="Cambria"/>
                <w:bCs/>
                <w:sz w:val="20"/>
                <w:szCs w:val="20"/>
                <w:lang w:val="es-ES"/>
              </w:rPr>
            </w:pPr>
            <w:r>
              <w:rPr>
                <w:rFonts w:ascii="Cambria" w:hAnsi="Cambria"/>
                <w:bCs/>
                <w:sz w:val="20"/>
                <w:szCs w:val="20"/>
                <w:lang w:val="es-ES"/>
              </w:rPr>
              <w:t>Sí</w:t>
            </w:r>
          </w:p>
        </w:tc>
      </w:tr>
      <w:tr w:rsidR="003239B8" w:rsidRPr="000401EA" w14:paraId="3ED57BF3" w14:textId="77777777" w:rsidTr="004A6A54">
        <w:trPr>
          <w:cantSplit/>
        </w:trPr>
        <w:tc>
          <w:tcPr>
            <w:tcW w:w="3600" w:type="dxa"/>
            <w:tcBorders>
              <w:top w:val="single" w:sz="4" w:space="0" w:color="auto"/>
              <w:bottom w:val="single" w:sz="6" w:space="0" w:color="auto"/>
            </w:tcBorders>
            <w:shd w:val="clear" w:color="auto" w:fill="386294"/>
            <w:vAlign w:val="center"/>
          </w:tcPr>
          <w:p w14:paraId="5F36A040" w14:textId="77777777" w:rsidR="003239B8" w:rsidRPr="00DC24E3" w:rsidRDefault="003239B8" w:rsidP="008D2290">
            <w:pPr>
              <w:jc w:val="center"/>
              <w:rPr>
                <w:rFonts w:ascii="Cambria" w:hAnsi="Cambria"/>
                <w:b/>
                <w:bCs/>
                <w:i/>
                <w:color w:val="FFFFFF" w:themeColor="background1"/>
                <w:sz w:val="20"/>
                <w:szCs w:val="20"/>
              </w:rPr>
            </w:pPr>
            <w:r w:rsidRPr="00DC24E3">
              <w:rPr>
                <w:rFonts w:ascii="Cambria" w:hAnsi="Cambria"/>
                <w:b/>
                <w:bCs/>
                <w:color w:val="FFFFFF" w:themeColor="background1"/>
                <w:sz w:val="20"/>
                <w:szCs w:val="20"/>
              </w:rPr>
              <w:t>Derechos declarados admisibles</w:t>
            </w:r>
            <w:r w:rsidRPr="00DC24E3">
              <w:rPr>
                <w:rFonts w:ascii="Cambria" w:hAnsi="Cambria"/>
                <w:b/>
                <w:bCs/>
                <w:i/>
                <w:color w:val="FFFFFF" w:themeColor="background1"/>
                <w:sz w:val="20"/>
                <w:szCs w:val="20"/>
              </w:rPr>
              <w:t>:</w:t>
            </w:r>
          </w:p>
        </w:tc>
        <w:tc>
          <w:tcPr>
            <w:tcW w:w="5760" w:type="dxa"/>
            <w:vAlign w:val="center"/>
          </w:tcPr>
          <w:p w14:paraId="4DAE9D4D" w14:textId="1089C13A" w:rsidR="003239B8" w:rsidRPr="00346E47" w:rsidRDefault="004D4616" w:rsidP="008D2290">
            <w:pPr>
              <w:jc w:val="both"/>
              <w:rPr>
                <w:rFonts w:ascii="Cambria" w:hAnsi="Cambria"/>
                <w:bCs/>
                <w:sz w:val="20"/>
                <w:szCs w:val="20"/>
                <w:lang w:val="es-ES"/>
              </w:rPr>
            </w:pPr>
            <w:r w:rsidRPr="004A65A2">
              <w:rPr>
                <w:rFonts w:ascii="Cambria" w:hAnsi="Cambria"/>
                <w:bCs/>
                <w:sz w:val="20"/>
                <w:szCs w:val="20"/>
                <w:lang w:val="es-ES"/>
              </w:rPr>
              <w:t xml:space="preserve">Artículos </w:t>
            </w:r>
            <w:r>
              <w:rPr>
                <w:rFonts w:ascii="Cambria" w:hAnsi="Cambria"/>
                <w:bCs/>
                <w:sz w:val="20"/>
                <w:szCs w:val="20"/>
                <w:lang w:val="es-ES"/>
              </w:rPr>
              <w:t>5 (derecho a la integridad personal), 7 (derecho a la libertad personal), 8 (garantías judiciales), 11 (protección de la honra y de la dignidad), 13 (libertad de pensamiento y expresión), 15 (derecho de reunión), 22 (derecho de circulación y residencia), 24 (igualdad ante la ley) y 25 (protección judicial) de la Convención Americana</w:t>
            </w:r>
            <w:r w:rsidR="00346E47">
              <w:rPr>
                <w:rFonts w:ascii="Cambria" w:hAnsi="Cambria"/>
                <w:bCs/>
                <w:sz w:val="20"/>
                <w:szCs w:val="20"/>
                <w:lang w:val="es-PE"/>
              </w:rPr>
              <w:t>; 1, 6 y 8 de la Convención Interamericana para Prevenir y Sancionar la Tortura</w:t>
            </w:r>
            <w:r w:rsidR="00B86957">
              <w:rPr>
                <w:rFonts w:ascii="Cambria" w:hAnsi="Cambria"/>
                <w:bCs/>
                <w:sz w:val="20"/>
                <w:szCs w:val="20"/>
                <w:lang w:val="es-PE"/>
              </w:rPr>
              <w:t xml:space="preserve">; y 7 de la </w:t>
            </w:r>
            <w:r w:rsidR="00B86957">
              <w:rPr>
                <w:rFonts w:ascii="Cambria" w:hAnsi="Cambria"/>
                <w:bCs/>
                <w:sz w:val="20"/>
                <w:szCs w:val="20"/>
                <w:lang w:val="es-ES_tradnl" w:eastAsia="es-ES"/>
              </w:rPr>
              <w:t>Convención Belém Do Pará</w:t>
            </w:r>
          </w:p>
        </w:tc>
      </w:tr>
      <w:tr w:rsidR="003239B8" w:rsidRPr="000401EA" w14:paraId="5702249F" w14:textId="77777777" w:rsidTr="004A6A54">
        <w:trPr>
          <w:cantSplit/>
        </w:trPr>
        <w:tc>
          <w:tcPr>
            <w:tcW w:w="3600" w:type="dxa"/>
            <w:tcBorders>
              <w:top w:val="single" w:sz="6" w:space="0" w:color="auto"/>
              <w:bottom w:val="single" w:sz="6" w:space="0" w:color="auto"/>
            </w:tcBorders>
            <w:shd w:val="clear" w:color="auto" w:fill="386294"/>
            <w:vAlign w:val="center"/>
          </w:tcPr>
          <w:p w14:paraId="1F00DF1D" w14:textId="77777777" w:rsidR="003239B8" w:rsidRPr="00DC24E3" w:rsidRDefault="003239B8" w:rsidP="008D2290">
            <w:pPr>
              <w:jc w:val="center"/>
              <w:rPr>
                <w:rFonts w:ascii="Cambria" w:hAnsi="Cambria"/>
                <w:b/>
                <w:bCs/>
                <w:color w:val="FFFFFF" w:themeColor="background1"/>
                <w:sz w:val="20"/>
                <w:szCs w:val="20"/>
                <w:lang w:val="es-ES"/>
              </w:rPr>
            </w:pPr>
            <w:r w:rsidRPr="00DC24E3">
              <w:rPr>
                <w:rFonts w:ascii="Cambria" w:hAnsi="Cambria"/>
                <w:b/>
                <w:bCs/>
                <w:color w:val="FFFFFF" w:themeColor="background1"/>
                <w:sz w:val="20"/>
                <w:szCs w:val="20"/>
                <w:lang w:val="es-ES"/>
              </w:rPr>
              <w:t>Agotamiento de recursos internos</w:t>
            </w:r>
            <w:r w:rsidR="00EE00E9" w:rsidRPr="00DC24E3">
              <w:rPr>
                <w:rFonts w:ascii="Cambria" w:hAnsi="Cambria"/>
                <w:b/>
                <w:bCs/>
                <w:color w:val="FFFFFF" w:themeColor="background1"/>
                <w:sz w:val="20"/>
                <w:szCs w:val="20"/>
                <w:lang w:val="es-ES"/>
              </w:rPr>
              <w:t xml:space="preserve"> o procedencia de una excepción</w:t>
            </w:r>
            <w:r w:rsidRPr="00DC24E3">
              <w:rPr>
                <w:rFonts w:ascii="Cambria" w:hAnsi="Cambria"/>
                <w:b/>
                <w:bCs/>
                <w:color w:val="FFFFFF" w:themeColor="background1"/>
                <w:sz w:val="20"/>
                <w:szCs w:val="20"/>
                <w:lang w:val="es-ES"/>
              </w:rPr>
              <w:t>:</w:t>
            </w:r>
          </w:p>
        </w:tc>
        <w:tc>
          <w:tcPr>
            <w:tcW w:w="5760" w:type="dxa"/>
            <w:vAlign w:val="center"/>
          </w:tcPr>
          <w:p w14:paraId="7F7C1A19" w14:textId="58E8D235" w:rsidR="003239B8" w:rsidRPr="00DC24E3" w:rsidRDefault="00B13F67" w:rsidP="008D2290">
            <w:pPr>
              <w:rPr>
                <w:rFonts w:ascii="Cambria" w:hAnsi="Cambria"/>
                <w:bCs/>
                <w:sz w:val="20"/>
                <w:szCs w:val="20"/>
                <w:lang w:val="es-ES"/>
              </w:rPr>
            </w:pPr>
            <w:r>
              <w:rPr>
                <w:rFonts w:ascii="Cambria" w:hAnsi="Cambria"/>
                <w:bCs/>
                <w:sz w:val="20"/>
                <w:szCs w:val="20"/>
                <w:lang w:val="es-ES"/>
              </w:rPr>
              <w:t>Sí, en los términos de la sección VI</w:t>
            </w:r>
          </w:p>
        </w:tc>
      </w:tr>
      <w:tr w:rsidR="003239B8" w:rsidRPr="000401EA" w14:paraId="7A101B89" w14:textId="77777777" w:rsidTr="004A6A54">
        <w:trPr>
          <w:cantSplit/>
        </w:trPr>
        <w:tc>
          <w:tcPr>
            <w:tcW w:w="3600" w:type="dxa"/>
            <w:tcBorders>
              <w:top w:val="single" w:sz="6" w:space="0" w:color="auto"/>
              <w:bottom w:val="single" w:sz="6" w:space="0" w:color="auto"/>
            </w:tcBorders>
            <w:shd w:val="clear" w:color="auto" w:fill="386294"/>
            <w:vAlign w:val="center"/>
          </w:tcPr>
          <w:p w14:paraId="0843C533" w14:textId="77777777" w:rsidR="003239B8" w:rsidRPr="00DC24E3" w:rsidRDefault="003239B8" w:rsidP="008D2290">
            <w:pPr>
              <w:jc w:val="center"/>
              <w:rPr>
                <w:rFonts w:ascii="Cambria" w:hAnsi="Cambria"/>
                <w:b/>
                <w:bCs/>
                <w:color w:val="FFFFFF" w:themeColor="background1"/>
                <w:sz w:val="20"/>
                <w:szCs w:val="20"/>
              </w:rPr>
            </w:pPr>
            <w:r w:rsidRPr="00DC24E3">
              <w:rPr>
                <w:rFonts w:ascii="Cambria" w:hAnsi="Cambria"/>
                <w:b/>
                <w:bCs/>
                <w:color w:val="FFFFFF" w:themeColor="background1"/>
                <w:sz w:val="20"/>
                <w:szCs w:val="20"/>
              </w:rPr>
              <w:t>Presentación dentro de plazo:</w:t>
            </w:r>
          </w:p>
        </w:tc>
        <w:tc>
          <w:tcPr>
            <w:tcW w:w="5760" w:type="dxa"/>
            <w:vAlign w:val="center"/>
          </w:tcPr>
          <w:p w14:paraId="2AF0FC69" w14:textId="496628AD" w:rsidR="003239B8" w:rsidRPr="00B13F67" w:rsidRDefault="00B13F67" w:rsidP="008D2290">
            <w:pPr>
              <w:rPr>
                <w:rFonts w:ascii="Cambria" w:hAnsi="Cambria"/>
                <w:bCs/>
                <w:sz w:val="20"/>
                <w:szCs w:val="20"/>
                <w:lang w:val="es-ES"/>
              </w:rPr>
            </w:pPr>
            <w:r w:rsidRPr="00B13F67">
              <w:rPr>
                <w:rFonts w:ascii="Cambria" w:hAnsi="Cambria"/>
                <w:bCs/>
                <w:sz w:val="20"/>
                <w:szCs w:val="20"/>
                <w:lang w:val="es-ES"/>
              </w:rPr>
              <w:t>Sí, en los términos de la sección VI</w:t>
            </w:r>
          </w:p>
        </w:tc>
      </w:tr>
    </w:tbl>
    <w:p w14:paraId="56FD5D57" w14:textId="252B1FD5" w:rsidR="003239B8" w:rsidRPr="009B65A5" w:rsidRDefault="00223A29" w:rsidP="003239B8">
      <w:pPr>
        <w:spacing w:before="240" w:after="240"/>
        <w:ind w:firstLine="720"/>
        <w:jc w:val="both"/>
        <w:rPr>
          <w:rFonts w:asciiTheme="majorHAnsi" w:hAnsiTheme="majorHAnsi"/>
          <w:b/>
          <w:sz w:val="20"/>
          <w:szCs w:val="20"/>
          <w:lang w:val="es-ES_tradnl"/>
        </w:rPr>
      </w:pPr>
      <w:r w:rsidRPr="009B65A5">
        <w:rPr>
          <w:rFonts w:asciiTheme="majorHAnsi" w:hAnsiTheme="majorHAnsi"/>
          <w:b/>
          <w:sz w:val="20"/>
          <w:szCs w:val="20"/>
          <w:lang w:val="es-ES_tradnl"/>
        </w:rPr>
        <w:t xml:space="preserve">V. </w:t>
      </w:r>
      <w:r w:rsidRPr="009B65A5">
        <w:rPr>
          <w:rFonts w:asciiTheme="majorHAnsi" w:hAnsiTheme="majorHAnsi"/>
          <w:b/>
          <w:sz w:val="20"/>
          <w:szCs w:val="20"/>
          <w:lang w:val="es-ES_tradnl"/>
        </w:rPr>
        <w:tab/>
      </w:r>
      <w:r w:rsidR="004241A0" w:rsidRPr="009B65A5">
        <w:rPr>
          <w:rFonts w:asciiTheme="majorHAnsi" w:hAnsiTheme="majorHAnsi"/>
          <w:b/>
          <w:sz w:val="20"/>
          <w:szCs w:val="20"/>
          <w:lang w:val="es-ES_tradnl"/>
        </w:rPr>
        <w:t>POSICIÓN DE LAS PARTES</w:t>
      </w:r>
      <w:r w:rsidR="003239B8" w:rsidRPr="009B65A5">
        <w:rPr>
          <w:rFonts w:asciiTheme="majorHAnsi" w:hAnsiTheme="majorHAnsi"/>
          <w:b/>
          <w:sz w:val="20"/>
          <w:szCs w:val="20"/>
          <w:lang w:val="es-ES_tradnl"/>
        </w:rPr>
        <w:t xml:space="preserve"> </w:t>
      </w:r>
    </w:p>
    <w:p w14:paraId="1EF30F13" w14:textId="40607E27" w:rsidR="003270E3" w:rsidRPr="009B65A5" w:rsidRDefault="003270E3" w:rsidP="005552B6">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9B65A5">
        <w:rPr>
          <w:rFonts w:asciiTheme="majorHAnsi" w:hAnsiTheme="majorHAnsi"/>
          <w:sz w:val="20"/>
          <w:szCs w:val="20"/>
          <w:lang w:val="es-ES_tradnl"/>
        </w:rPr>
        <w:t>La parte peticionaria denu</w:t>
      </w:r>
      <w:r w:rsidR="00C148D4" w:rsidRPr="009B65A5">
        <w:rPr>
          <w:rFonts w:asciiTheme="majorHAnsi" w:hAnsiTheme="majorHAnsi"/>
          <w:sz w:val="20"/>
          <w:szCs w:val="20"/>
          <w:lang w:val="es-ES_tradnl"/>
        </w:rPr>
        <w:t xml:space="preserve">ncia que civiles, organizados por funcionarios públicos y organizaciones políticas, atacaron y torturaron a las presuntas víctimas, por su condición de personas indígenas y campesinas. Arguye que </w:t>
      </w:r>
      <w:r w:rsidR="00346E47" w:rsidRPr="009B65A5">
        <w:rPr>
          <w:rFonts w:asciiTheme="majorHAnsi" w:hAnsiTheme="majorHAnsi"/>
          <w:sz w:val="20"/>
          <w:szCs w:val="20"/>
          <w:lang w:val="es-ES_tradnl"/>
        </w:rPr>
        <w:t>a pesar de que</w:t>
      </w:r>
      <w:r w:rsidR="00C148D4" w:rsidRPr="009B65A5">
        <w:rPr>
          <w:rFonts w:asciiTheme="majorHAnsi" w:hAnsiTheme="majorHAnsi"/>
          <w:sz w:val="20"/>
          <w:szCs w:val="20"/>
          <w:lang w:val="es-ES_tradnl"/>
        </w:rPr>
        <w:t xml:space="preserve"> existe una decisión condenatoria contra algunos victimarios, </w:t>
      </w:r>
      <w:r w:rsidR="004129CA" w:rsidRPr="009B65A5">
        <w:rPr>
          <w:rFonts w:asciiTheme="majorHAnsi" w:hAnsiTheme="majorHAnsi"/>
          <w:sz w:val="20"/>
          <w:szCs w:val="20"/>
          <w:lang w:val="es-ES_tradnl"/>
        </w:rPr>
        <w:t>é</w:t>
      </w:r>
      <w:r w:rsidR="00C148D4" w:rsidRPr="009B65A5">
        <w:rPr>
          <w:rFonts w:asciiTheme="majorHAnsi" w:hAnsiTheme="majorHAnsi"/>
          <w:sz w:val="20"/>
          <w:szCs w:val="20"/>
          <w:lang w:val="es-ES_tradnl"/>
        </w:rPr>
        <w:t xml:space="preserve">sta no sancionó debidamente </w:t>
      </w:r>
      <w:r w:rsidR="00200659" w:rsidRPr="009B65A5">
        <w:rPr>
          <w:rFonts w:asciiTheme="majorHAnsi" w:hAnsiTheme="majorHAnsi"/>
          <w:sz w:val="20"/>
          <w:szCs w:val="20"/>
          <w:lang w:val="es-ES_tradnl"/>
        </w:rPr>
        <w:t xml:space="preserve">todos </w:t>
      </w:r>
      <w:r w:rsidR="00C148D4" w:rsidRPr="009B65A5">
        <w:rPr>
          <w:rFonts w:asciiTheme="majorHAnsi" w:hAnsiTheme="majorHAnsi"/>
          <w:sz w:val="20"/>
          <w:szCs w:val="20"/>
          <w:lang w:val="es-ES_tradnl"/>
        </w:rPr>
        <w:t xml:space="preserve">los crímenes cometidos, debido a la aplicación </w:t>
      </w:r>
      <w:r w:rsidR="00346E47" w:rsidRPr="009B65A5">
        <w:rPr>
          <w:rFonts w:asciiTheme="majorHAnsi" w:hAnsiTheme="majorHAnsi"/>
          <w:sz w:val="20"/>
          <w:szCs w:val="20"/>
          <w:lang w:val="es-ES_tradnl"/>
        </w:rPr>
        <w:t>de cláusulas de prescripción</w:t>
      </w:r>
      <w:r w:rsidR="00200659" w:rsidRPr="009B65A5">
        <w:rPr>
          <w:rFonts w:asciiTheme="majorHAnsi" w:hAnsiTheme="majorHAnsi"/>
          <w:sz w:val="20"/>
          <w:szCs w:val="20"/>
          <w:lang w:val="es-ES_tradnl"/>
        </w:rPr>
        <w:t xml:space="preserve"> y </w:t>
      </w:r>
      <w:r w:rsidR="00876B37" w:rsidRPr="009B65A5">
        <w:rPr>
          <w:rFonts w:asciiTheme="majorHAnsi" w:hAnsiTheme="majorHAnsi"/>
          <w:sz w:val="20"/>
          <w:szCs w:val="20"/>
          <w:lang w:val="es-ES_tradnl"/>
        </w:rPr>
        <w:t>de penas irrisorias</w:t>
      </w:r>
      <w:r w:rsidR="004129CA" w:rsidRPr="009B65A5">
        <w:rPr>
          <w:rFonts w:asciiTheme="majorHAnsi" w:hAnsiTheme="majorHAnsi"/>
          <w:sz w:val="20"/>
          <w:szCs w:val="20"/>
          <w:lang w:val="es-ES_tradnl"/>
        </w:rPr>
        <w:t>,</w:t>
      </w:r>
      <w:r w:rsidR="00876B37" w:rsidRPr="009B65A5">
        <w:rPr>
          <w:rFonts w:asciiTheme="majorHAnsi" w:hAnsiTheme="majorHAnsi"/>
          <w:sz w:val="20"/>
          <w:szCs w:val="20"/>
          <w:lang w:val="es-ES_tradnl"/>
        </w:rPr>
        <w:t xml:space="preserve"> </w:t>
      </w:r>
      <w:r w:rsidR="00C148D4" w:rsidRPr="009B65A5">
        <w:rPr>
          <w:rFonts w:asciiTheme="majorHAnsi" w:hAnsiTheme="majorHAnsi"/>
          <w:sz w:val="20"/>
          <w:szCs w:val="20"/>
          <w:lang w:val="es-ES_tradnl"/>
        </w:rPr>
        <w:t>y</w:t>
      </w:r>
      <w:r w:rsidR="00876B37" w:rsidRPr="009B65A5">
        <w:rPr>
          <w:rFonts w:asciiTheme="majorHAnsi" w:hAnsiTheme="majorHAnsi"/>
          <w:sz w:val="20"/>
          <w:szCs w:val="20"/>
          <w:lang w:val="es-ES_tradnl"/>
        </w:rPr>
        <w:t xml:space="preserve"> que</w:t>
      </w:r>
      <w:r w:rsidR="00C148D4" w:rsidRPr="009B65A5">
        <w:rPr>
          <w:rFonts w:asciiTheme="majorHAnsi" w:hAnsiTheme="majorHAnsi"/>
          <w:sz w:val="20"/>
          <w:szCs w:val="20"/>
          <w:lang w:val="es-ES_tradnl"/>
        </w:rPr>
        <w:t xml:space="preserve"> hasta la fecha no </w:t>
      </w:r>
      <w:r w:rsidR="00346E47" w:rsidRPr="009B65A5">
        <w:rPr>
          <w:rFonts w:asciiTheme="majorHAnsi" w:hAnsiTheme="majorHAnsi"/>
          <w:sz w:val="20"/>
          <w:szCs w:val="20"/>
          <w:lang w:val="es-ES_tradnl"/>
        </w:rPr>
        <w:t xml:space="preserve">se encuentra ejecutoriada. </w:t>
      </w:r>
    </w:p>
    <w:p w14:paraId="73D5DF5C" w14:textId="14EE6E30" w:rsidR="00B36444" w:rsidRPr="009B65A5" w:rsidRDefault="00B36444" w:rsidP="004129CA">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i/>
          <w:iCs/>
          <w:sz w:val="20"/>
          <w:szCs w:val="20"/>
          <w:lang w:val="es-ES_tradnl"/>
        </w:rPr>
      </w:pPr>
      <w:r w:rsidRPr="009B65A5">
        <w:rPr>
          <w:rFonts w:asciiTheme="majorHAnsi" w:hAnsiTheme="majorHAnsi"/>
          <w:i/>
          <w:iCs/>
          <w:sz w:val="20"/>
          <w:szCs w:val="20"/>
          <w:lang w:val="es-ES_tradnl"/>
        </w:rPr>
        <w:t>Actos de violencia y racismo ocurridos el 24 de mayo de 2008</w:t>
      </w:r>
    </w:p>
    <w:p w14:paraId="453FE878" w14:textId="5689EDDE" w:rsidR="00FA5D69" w:rsidRPr="009B65A5" w:rsidRDefault="00213052" w:rsidP="00213052">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9B65A5">
        <w:rPr>
          <w:rFonts w:asciiTheme="majorHAnsi" w:hAnsiTheme="majorHAnsi"/>
          <w:sz w:val="20"/>
          <w:szCs w:val="20"/>
          <w:lang w:val="es-ES_tradnl"/>
        </w:rPr>
        <w:t>N</w:t>
      </w:r>
      <w:r w:rsidR="004129CA" w:rsidRPr="009B65A5">
        <w:rPr>
          <w:rFonts w:asciiTheme="majorHAnsi" w:hAnsiTheme="majorHAnsi"/>
          <w:sz w:val="20"/>
          <w:szCs w:val="20"/>
          <w:lang w:val="es-ES_tradnl"/>
        </w:rPr>
        <w:t>arra</w:t>
      </w:r>
      <w:r w:rsidR="004A3BB5" w:rsidRPr="009B65A5">
        <w:rPr>
          <w:rFonts w:asciiTheme="majorHAnsi" w:hAnsiTheme="majorHAnsi"/>
          <w:sz w:val="20"/>
          <w:szCs w:val="20"/>
          <w:lang w:val="es-ES_tradnl"/>
        </w:rPr>
        <w:t xml:space="preserve"> que campesinos indígenas </w:t>
      </w:r>
      <w:r w:rsidR="0072006F" w:rsidRPr="009B65A5">
        <w:rPr>
          <w:rFonts w:asciiTheme="majorHAnsi" w:hAnsiTheme="majorHAnsi"/>
          <w:sz w:val="20"/>
          <w:szCs w:val="20"/>
          <w:lang w:val="es-ES_tradnl"/>
        </w:rPr>
        <w:t xml:space="preserve">originarios </w:t>
      </w:r>
      <w:r w:rsidR="00876B37" w:rsidRPr="009B65A5">
        <w:rPr>
          <w:rFonts w:asciiTheme="majorHAnsi" w:hAnsiTheme="majorHAnsi"/>
          <w:sz w:val="20"/>
          <w:szCs w:val="20"/>
          <w:lang w:val="es-ES_tradnl"/>
        </w:rPr>
        <w:t>quechuas provenientes</w:t>
      </w:r>
      <w:r w:rsidR="0072006F" w:rsidRPr="009B65A5">
        <w:rPr>
          <w:rFonts w:asciiTheme="majorHAnsi" w:hAnsiTheme="majorHAnsi"/>
          <w:sz w:val="20"/>
          <w:szCs w:val="20"/>
          <w:lang w:val="es-ES_tradnl"/>
        </w:rPr>
        <w:t xml:space="preserve"> de las provincias de Chuquisaca y Potosí debían concentrarse </w:t>
      </w:r>
      <w:r w:rsidR="00FB2098" w:rsidRPr="009B65A5">
        <w:rPr>
          <w:rFonts w:asciiTheme="majorHAnsi" w:hAnsiTheme="majorHAnsi"/>
          <w:sz w:val="20"/>
          <w:szCs w:val="20"/>
          <w:lang w:val="es-ES_tradnl"/>
        </w:rPr>
        <w:t xml:space="preserve">el 24 de mayo de 2008 </w:t>
      </w:r>
      <w:r w:rsidR="0072006F" w:rsidRPr="009B65A5">
        <w:rPr>
          <w:rFonts w:asciiTheme="majorHAnsi" w:hAnsiTheme="majorHAnsi"/>
          <w:sz w:val="20"/>
          <w:szCs w:val="20"/>
          <w:lang w:val="es-ES_tradnl"/>
        </w:rPr>
        <w:t>en el estadio Patria</w:t>
      </w:r>
      <w:r w:rsidR="00C072C0" w:rsidRPr="009B65A5">
        <w:rPr>
          <w:rFonts w:asciiTheme="majorHAnsi" w:hAnsiTheme="majorHAnsi"/>
          <w:sz w:val="20"/>
          <w:szCs w:val="20"/>
          <w:lang w:val="es-ES_tradnl"/>
        </w:rPr>
        <w:t>, ubicado</w:t>
      </w:r>
      <w:r w:rsidR="009B7C13" w:rsidRPr="009B65A5">
        <w:rPr>
          <w:rFonts w:asciiTheme="majorHAnsi" w:hAnsiTheme="majorHAnsi"/>
          <w:sz w:val="20"/>
          <w:szCs w:val="20"/>
          <w:lang w:val="es-ES_tradnl"/>
        </w:rPr>
        <w:t xml:space="preserve"> en</w:t>
      </w:r>
      <w:r w:rsidR="00C072C0" w:rsidRPr="009B65A5">
        <w:rPr>
          <w:rFonts w:asciiTheme="majorHAnsi" w:hAnsiTheme="majorHAnsi"/>
          <w:sz w:val="20"/>
          <w:szCs w:val="20"/>
          <w:lang w:val="es-ES_tradnl"/>
        </w:rPr>
        <w:t xml:space="preserve"> Sucre,</w:t>
      </w:r>
      <w:r w:rsidR="0072006F" w:rsidRPr="009B65A5">
        <w:rPr>
          <w:rFonts w:asciiTheme="majorHAnsi" w:hAnsiTheme="majorHAnsi"/>
          <w:sz w:val="20"/>
          <w:szCs w:val="20"/>
          <w:lang w:val="es-ES_tradnl"/>
        </w:rPr>
        <w:t xml:space="preserve"> para un acto </w:t>
      </w:r>
      <w:r w:rsidR="0029675F" w:rsidRPr="009B65A5">
        <w:rPr>
          <w:rFonts w:asciiTheme="majorHAnsi" w:hAnsiTheme="majorHAnsi"/>
          <w:sz w:val="20"/>
          <w:szCs w:val="20"/>
          <w:lang w:val="es-ES_tradnl"/>
        </w:rPr>
        <w:t>en el que iban a recibir</w:t>
      </w:r>
      <w:r w:rsidR="0072006F" w:rsidRPr="009B65A5">
        <w:rPr>
          <w:rFonts w:asciiTheme="majorHAnsi" w:hAnsiTheme="majorHAnsi"/>
          <w:sz w:val="20"/>
          <w:szCs w:val="20"/>
          <w:lang w:val="es-ES_tradnl"/>
        </w:rPr>
        <w:t xml:space="preserve"> de parte del entonces presidente Evo Morales un lote de ambulancias para el servicio de salud en áreas rurales. No obstante, afirma que, </w:t>
      </w:r>
      <w:r w:rsidR="00C072C0" w:rsidRPr="009B65A5">
        <w:rPr>
          <w:rFonts w:asciiTheme="majorHAnsi" w:hAnsiTheme="majorHAnsi"/>
          <w:sz w:val="20"/>
          <w:szCs w:val="20"/>
          <w:lang w:val="es-ES_tradnl"/>
        </w:rPr>
        <w:t>en los días previos, organizaciones políticas y funcionarios públicos de Sucre</w:t>
      </w:r>
      <w:r w:rsidR="00C072C0" w:rsidRPr="009B65A5">
        <w:rPr>
          <w:rStyle w:val="FootnoteReference"/>
          <w:rFonts w:asciiTheme="majorHAnsi" w:hAnsiTheme="majorHAnsi"/>
          <w:sz w:val="20"/>
          <w:szCs w:val="20"/>
          <w:lang w:val="es-ES_tradnl"/>
        </w:rPr>
        <w:footnoteReference w:id="6"/>
      </w:r>
      <w:r w:rsidR="00C072C0" w:rsidRPr="009B65A5">
        <w:rPr>
          <w:rFonts w:asciiTheme="majorHAnsi" w:hAnsiTheme="majorHAnsi"/>
          <w:sz w:val="20"/>
          <w:szCs w:val="20"/>
          <w:lang w:val="es-ES_tradnl"/>
        </w:rPr>
        <w:t xml:space="preserve"> anunciaron que no permitirían la llegada del referido mandatorio</w:t>
      </w:r>
      <w:r w:rsidR="00FA5D69" w:rsidRPr="009B65A5">
        <w:rPr>
          <w:rFonts w:asciiTheme="majorHAnsi" w:hAnsiTheme="majorHAnsi"/>
          <w:sz w:val="20"/>
          <w:szCs w:val="20"/>
          <w:lang w:val="es-ES_tradnl"/>
        </w:rPr>
        <w:t>,</w:t>
      </w:r>
      <w:r w:rsidR="00C072C0" w:rsidRPr="009B65A5">
        <w:rPr>
          <w:rFonts w:asciiTheme="majorHAnsi" w:hAnsiTheme="majorHAnsi"/>
          <w:sz w:val="20"/>
          <w:szCs w:val="20"/>
          <w:lang w:val="es-ES_tradnl"/>
        </w:rPr>
        <w:t xml:space="preserve"> ni tampoco </w:t>
      </w:r>
      <w:r w:rsidR="009B7C13" w:rsidRPr="009B65A5">
        <w:rPr>
          <w:rFonts w:asciiTheme="majorHAnsi" w:hAnsiTheme="majorHAnsi"/>
          <w:sz w:val="20"/>
          <w:szCs w:val="20"/>
          <w:lang w:val="es-ES_tradnl"/>
        </w:rPr>
        <w:t>de los campesinos</w:t>
      </w:r>
      <w:r w:rsidRPr="009B65A5">
        <w:rPr>
          <w:rFonts w:asciiTheme="majorHAnsi" w:hAnsiTheme="majorHAnsi"/>
          <w:sz w:val="20"/>
          <w:szCs w:val="20"/>
          <w:lang w:val="es-ES_tradnl"/>
        </w:rPr>
        <w:t xml:space="preserve">, </w:t>
      </w:r>
      <w:r w:rsidR="008E0F76" w:rsidRPr="009B65A5">
        <w:rPr>
          <w:rFonts w:asciiTheme="majorHAnsi" w:hAnsiTheme="majorHAnsi"/>
          <w:sz w:val="20"/>
          <w:szCs w:val="20"/>
          <w:lang w:val="es-ES_tradnl"/>
        </w:rPr>
        <w:t>acus</w:t>
      </w:r>
      <w:r w:rsidR="00FA5D69" w:rsidRPr="009B65A5">
        <w:rPr>
          <w:rFonts w:asciiTheme="majorHAnsi" w:hAnsiTheme="majorHAnsi"/>
          <w:sz w:val="20"/>
          <w:szCs w:val="20"/>
          <w:lang w:val="es-ES_tradnl"/>
        </w:rPr>
        <w:t>ándolo</w:t>
      </w:r>
      <w:r w:rsidR="008E0F76" w:rsidRPr="009B65A5">
        <w:rPr>
          <w:rFonts w:asciiTheme="majorHAnsi" w:hAnsiTheme="majorHAnsi"/>
          <w:sz w:val="20"/>
          <w:szCs w:val="20"/>
          <w:lang w:val="es-ES_tradnl"/>
        </w:rPr>
        <w:t xml:space="preserve"> de haber reprimido violentamente en noviembre del 2007 </w:t>
      </w:r>
      <w:r w:rsidR="00FA5D69" w:rsidRPr="009B65A5">
        <w:rPr>
          <w:rFonts w:asciiTheme="majorHAnsi" w:hAnsiTheme="majorHAnsi"/>
          <w:sz w:val="20"/>
          <w:szCs w:val="20"/>
          <w:lang w:val="es-ES_tradnl"/>
        </w:rPr>
        <w:t xml:space="preserve">a la población sucrense mientras se manifestaba en favor del reconocimiento de la capitalidad plena de su ciudad. </w:t>
      </w:r>
    </w:p>
    <w:p w14:paraId="677A62B3" w14:textId="7BEFD820" w:rsidR="00C072C0" w:rsidRPr="009B65A5" w:rsidRDefault="00C072C0" w:rsidP="00FB2098">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9B65A5">
        <w:rPr>
          <w:rFonts w:asciiTheme="majorHAnsi" w:hAnsiTheme="majorHAnsi"/>
          <w:sz w:val="20"/>
          <w:szCs w:val="20"/>
          <w:lang w:val="es-ES_tradnl"/>
        </w:rPr>
        <w:t xml:space="preserve">Debido a ello, </w:t>
      </w:r>
      <w:r w:rsidR="0072006F" w:rsidRPr="009B65A5">
        <w:rPr>
          <w:rFonts w:asciiTheme="majorHAnsi" w:hAnsiTheme="majorHAnsi"/>
          <w:sz w:val="20"/>
          <w:szCs w:val="20"/>
          <w:lang w:val="es-ES_tradnl"/>
        </w:rPr>
        <w:t xml:space="preserve">la noche previa, un grupo de choque de universitarios organizados por </w:t>
      </w:r>
      <w:r w:rsidRPr="009B65A5">
        <w:rPr>
          <w:rFonts w:asciiTheme="majorHAnsi" w:hAnsiTheme="majorHAnsi"/>
          <w:sz w:val="20"/>
          <w:szCs w:val="20"/>
          <w:lang w:val="es-ES_tradnl"/>
        </w:rPr>
        <w:t>dichas personas</w:t>
      </w:r>
      <w:r w:rsidR="00A756DE" w:rsidRPr="009B65A5">
        <w:rPr>
          <w:rFonts w:asciiTheme="majorHAnsi" w:hAnsiTheme="majorHAnsi"/>
          <w:sz w:val="20"/>
          <w:szCs w:val="20"/>
          <w:lang w:val="es-ES_tradnl"/>
        </w:rPr>
        <w:t xml:space="preserve"> se apostaron</w:t>
      </w:r>
      <w:r w:rsidRPr="009B65A5">
        <w:rPr>
          <w:rFonts w:asciiTheme="majorHAnsi" w:hAnsiTheme="majorHAnsi"/>
          <w:sz w:val="20"/>
          <w:szCs w:val="20"/>
          <w:lang w:val="es-ES_tradnl"/>
        </w:rPr>
        <w:t xml:space="preserve"> </w:t>
      </w:r>
      <w:r w:rsidR="00A756DE" w:rsidRPr="009B65A5">
        <w:rPr>
          <w:rFonts w:asciiTheme="majorHAnsi" w:hAnsiTheme="majorHAnsi"/>
          <w:sz w:val="20"/>
          <w:szCs w:val="20"/>
          <w:lang w:val="es-ES_tradnl"/>
        </w:rPr>
        <w:t xml:space="preserve">armados </w:t>
      </w:r>
      <w:r w:rsidR="009B7C13" w:rsidRPr="009B65A5">
        <w:rPr>
          <w:rFonts w:asciiTheme="majorHAnsi" w:hAnsiTheme="majorHAnsi"/>
          <w:sz w:val="20"/>
          <w:szCs w:val="20"/>
          <w:lang w:val="es-ES_tradnl"/>
        </w:rPr>
        <w:t xml:space="preserve">de </w:t>
      </w:r>
      <w:r w:rsidR="00A756DE" w:rsidRPr="009B65A5">
        <w:rPr>
          <w:rFonts w:asciiTheme="majorHAnsi" w:hAnsiTheme="majorHAnsi"/>
          <w:sz w:val="20"/>
          <w:szCs w:val="20"/>
          <w:lang w:val="es-ES_tradnl"/>
        </w:rPr>
        <w:t>dinamitas, piedras y otros objetos contundentes</w:t>
      </w:r>
      <w:r w:rsidRPr="009B65A5">
        <w:rPr>
          <w:rFonts w:asciiTheme="majorHAnsi" w:hAnsiTheme="majorHAnsi"/>
          <w:sz w:val="20"/>
          <w:szCs w:val="20"/>
          <w:lang w:val="es-ES_tradnl"/>
        </w:rPr>
        <w:t xml:space="preserve"> </w:t>
      </w:r>
      <w:r w:rsidR="00A756DE" w:rsidRPr="009B65A5">
        <w:rPr>
          <w:rFonts w:asciiTheme="majorHAnsi" w:hAnsiTheme="majorHAnsi"/>
          <w:sz w:val="20"/>
          <w:szCs w:val="20"/>
          <w:lang w:val="es-ES_tradnl"/>
        </w:rPr>
        <w:t>en las inmediaciones del citado estadio, advirtiendo que no permitirían la llegada de los campesinos</w:t>
      </w:r>
      <w:r w:rsidRPr="009B65A5">
        <w:rPr>
          <w:rFonts w:asciiTheme="majorHAnsi" w:hAnsiTheme="majorHAnsi"/>
          <w:sz w:val="20"/>
          <w:szCs w:val="20"/>
          <w:lang w:val="es-ES_tradnl"/>
        </w:rPr>
        <w:t>.</w:t>
      </w:r>
      <w:r w:rsidR="00FB2098" w:rsidRPr="009B65A5">
        <w:rPr>
          <w:rFonts w:asciiTheme="majorHAnsi" w:hAnsiTheme="majorHAnsi"/>
          <w:sz w:val="20"/>
          <w:szCs w:val="20"/>
          <w:lang w:val="es-ES_tradnl"/>
        </w:rPr>
        <w:t xml:space="preserve"> Así, </w:t>
      </w:r>
      <w:r w:rsidRPr="009B65A5">
        <w:rPr>
          <w:rFonts w:asciiTheme="majorHAnsi" w:hAnsiTheme="majorHAnsi"/>
          <w:sz w:val="20"/>
          <w:szCs w:val="20"/>
          <w:lang w:val="es-ES_tradnl"/>
        </w:rPr>
        <w:t xml:space="preserve">el 24 de mayo de 2008, aproximadamente a las 9:30 am, los </w:t>
      </w:r>
      <w:r w:rsidR="009B7C13" w:rsidRPr="009B65A5">
        <w:rPr>
          <w:rFonts w:asciiTheme="majorHAnsi" w:hAnsiTheme="majorHAnsi"/>
          <w:sz w:val="20"/>
          <w:szCs w:val="20"/>
          <w:lang w:val="es-ES_tradnl"/>
        </w:rPr>
        <w:t xml:space="preserve">referidos </w:t>
      </w:r>
      <w:r w:rsidRPr="009B65A5">
        <w:rPr>
          <w:rFonts w:asciiTheme="majorHAnsi" w:hAnsiTheme="majorHAnsi"/>
          <w:sz w:val="20"/>
          <w:szCs w:val="20"/>
          <w:lang w:val="es-ES_tradnl"/>
        </w:rPr>
        <w:t>funcionarios</w:t>
      </w:r>
      <w:r w:rsidR="009B7C13" w:rsidRPr="009B65A5">
        <w:rPr>
          <w:rFonts w:asciiTheme="majorHAnsi" w:hAnsiTheme="majorHAnsi"/>
          <w:sz w:val="20"/>
          <w:szCs w:val="20"/>
          <w:lang w:val="es-ES_tradnl"/>
        </w:rPr>
        <w:t xml:space="preserve"> de Sucre</w:t>
      </w:r>
      <w:r w:rsidRPr="009B65A5">
        <w:rPr>
          <w:rFonts w:asciiTheme="majorHAnsi" w:hAnsiTheme="majorHAnsi"/>
          <w:sz w:val="20"/>
          <w:szCs w:val="20"/>
          <w:lang w:val="es-ES_tradnl"/>
        </w:rPr>
        <w:t xml:space="preserve">, junto con senadores, diputados y la </w:t>
      </w:r>
      <w:r w:rsidR="00876B37" w:rsidRPr="009B65A5">
        <w:rPr>
          <w:rFonts w:asciiTheme="majorHAnsi" w:hAnsiTheme="majorHAnsi"/>
          <w:sz w:val="20"/>
          <w:szCs w:val="20"/>
          <w:lang w:val="es-ES_tradnl"/>
        </w:rPr>
        <w:t xml:space="preserve">entonces </w:t>
      </w:r>
      <w:r w:rsidRPr="009B65A5">
        <w:rPr>
          <w:rFonts w:asciiTheme="majorHAnsi" w:hAnsiTheme="majorHAnsi"/>
          <w:sz w:val="20"/>
          <w:szCs w:val="20"/>
          <w:lang w:val="es-ES_tradnl"/>
        </w:rPr>
        <w:t>prefecta de Chuquisaca, llegaron a las inmediaciones del estad</w:t>
      </w:r>
      <w:r w:rsidR="00876B37" w:rsidRPr="009B65A5">
        <w:rPr>
          <w:rFonts w:asciiTheme="majorHAnsi" w:hAnsiTheme="majorHAnsi"/>
          <w:sz w:val="20"/>
          <w:szCs w:val="20"/>
          <w:lang w:val="es-ES_tradnl"/>
        </w:rPr>
        <w:t>i</w:t>
      </w:r>
      <w:r w:rsidRPr="009B65A5">
        <w:rPr>
          <w:rFonts w:asciiTheme="majorHAnsi" w:hAnsiTheme="majorHAnsi"/>
          <w:sz w:val="20"/>
          <w:szCs w:val="20"/>
          <w:lang w:val="es-ES_tradnl"/>
        </w:rPr>
        <w:t>o Patria y ordenaron a los policías y militares que replieguen sus unidades, dejando sin protección y resguardo a la ciudad. Tras ello, a las 10:</w:t>
      </w:r>
      <w:r w:rsidR="00B36444" w:rsidRPr="009B65A5">
        <w:rPr>
          <w:rFonts w:asciiTheme="majorHAnsi" w:hAnsiTheme="majorHAnsi"/>
          <w:sz w:val="20"/>
          <w:szCs w:val="20"/>
          <w:lang w:val="es-ES_tradnl"/>
        </w:rPr>
        <w:t>10</w:t>
      </w:r>
      <w:r w:rsidRPr="009B65A5">
        <w:rPr>
          <w:rFonts w:asciiTheme="majorHAnsi" w:hAnsiTheme="majorHAnsi"/>
          <w:sz w:val="20"/>
          <w:szCs w:val="20"/>
          <w:lang w:val="es-ES_tradnl"/>
        </w:rPr>
        <w:t xml:space="preserve"> am, </w:t>
      </w:r>
      <w:r w:rsidR="00787C10" w:rsidRPr="009B65A5">
        <w:rPr>
          <w:rFonts w:asciiTheme="majorHAnsi" w:hAnsiTheme="majorHAnsi"/>
          <w:sz w:val="20"/>
          <w:szCs w:val="20"/>
          <w:lang w:val="es-ES_tradnl"/>
        </w:rPr>
        <w:t>los grupos de choque organizados y trasladados en vehículos de propiedad de la Alcaldía</w:t>
      </w:r>
      <w:r w:rsidR="00370D94" w:rsidRPr="009B65A5">
        <w:rPr>
          <w:rFonts w:asciiTheme="majorHAnsi" w:hAnsiTheme="majorHAnsi"/>
          <w:sz w:val="20"/>
          <w:szCs w:val="20"/>
          <w:lang w:val="es-ES_tradnl"/>
        </w:rPr>
        <w:t xml:space="preserve"> de Sucre</w:t>
      </w:r>
      <w:r w:rsidR="00787C10" w:rsidRPr="009B65A5">
        <w:rPr>
          <w:rFonts w:asciiTheme="majorHAnsi" w:hAnsiTheme="majorHAnsi"/>
          <w:sz w:val="20"/>
          <w:szCs w:val="20"/>
          <w:lang w:val="es-ES_tradnl"/>
        </w:rPr>
        <w:t xml:space="preserve"> y de la Universidad Mayor, Real y Pontificia de San Francisco Xavier Chuquisaca, llegaron al sector del primer puente camino al aeropuerto Juana Azurduy de Padilla y protagonizaron las primeras agresiones contra campesinos provenientes de la mancomunidad de Lajas Tambo, Potolo y Molle Molle. </w:t>
      </w:r>
    </w:p>
    <w:p w14:paraId="1067FD5B" w14:textId="4E3814FA" w:rsidR="00787C10" w:rsidRPr="009B65A5" w:rsidRDefault="00787C10" w:rsidP="00787C10">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9B65A5">
        <w:rPr>
          <w:rFonts w:asciiTheme="majorHAnsi" w:hAnsiTheme="majorHAnsi"/>
          <w:sz w:val="20"/>
          <w:szCs w:val="20"/>
          <w:lang w:val="es-ES_tradnl"/>
        </w:rPr>
        <w:t>La parte peticionaria relata que, luego de este primer ataque, los actos de violencia se desarrollaron en el siguiente orden:</w:t>
      </w:r>
    </w:p>
    <w:p w14:paraId="585D6790" w14:textId="01726989" w:rsidR="00787C10" w:rsidRPr="009B65A5" w:rsidRDefault="00787C10" w:rsidP="00787C10">
      <w:pPr>
        <w:pStyle w:val="ListParagraph"/>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_tradnl"/>
        </w:rPr>
      </w:pPr>
      <w:r w:rsidRPr="009B65A5">
        <w:rPr>
          <w:rFonts w:asciiTheme="majorHAnsi" w:hAnsiTheme="majorHAnsi"/>
          <w:sz w:val="20"/>
          <w:szCs w:val="20"/>
          <w:lang w:val="es-ES_tradnl"/>
        </w:rPr>
        <w:lastRenderedPageBreak/>
        <w:t>Cerca de las 10:50 am los agresores, anoticiados de que otro grupo de campesinos se encontraban en el sector Santa Bárbara, en el centro de la ciudad, se movilizaron y golpearon a personas indígenas originarias sin consideración.</w:t>
      </w:r>
    </w:p>
    <w:p w14:paraId="17C8E599" w14:textId="1B5E907B" w:rsidR="00787C10" w:rsidRPr="009B65A5" w:rsidRDefault="00787C10" w:rsidP="00787C10">
      <w:pPr>
        <w:pStyle w:val="ListParagraph"/>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_tradnl"/>
        </w:rPr>
      </w:pPr>
      <w:r w:rsidRPr="009B65A5">
        <w:rPr>
          <w:rFonts w:asciiTheme="majorHAnsi" w:hAnsiTheme="majorHAnsi"/>
          <w:sz w:val="20"/>
          <w:szCs w:val="20"/>
          <w:lang w:val="es-ES_tradnl"/>
        </w:rPr>
        <w:t xml:space="preserve">Aproximadamente a las 12:00 pm, los grupos de choque se transportaron al barrio 6 de agosto, donde agredieron brutalmente a campesinos que retornaban a sus comunidades, </w:t>
      </w:r>
      <w:r w:rsidR="00876B37" w:rsidRPr="009B65A5">
        <w:rPr>
          <w:rFonts w:asciiTheme="majorHAnsi" w:hAnsiTheme="majorHAnsi"/>
          <w:sz w:val="20"/>
          <w:szCs w:val="20"/>
          <w:lang w:val="es-ES_tradnl"/>
        </w:rPr>
        <w:t>tras enterarse</w:t>
      </w:r>
      <w:r w:rsidRPr="009B65A5">
        <w:rPr>
          <w:rFonts w:asciiTheme="majorHAnsi" w:hAnsiTheme="majorHAnsi"/>
          <w:sz w:val="20"/>
          <w:szCs w:val="20"/>
          <w:lang w:val="es-ES_tradnl"/>
        </w:rPr>
        <w:t xml:space="preserve"> de la suspensión del acto. </w:t>
      </w:r>
    </w:p>
    <w:p w14:paraId="34A763E8" w14:textId="4A1EF3F2" w:rsidR="00497D72" w:rsidRPr="009B65A5" w:rsidRDefault="00787C10" w:rsidP="00497D72">
      <w:pPr>
        <w:pStyle w:val="ListParagraph"/>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_tradnl"/>
        </w:rPr>
      </w:pPr>
      <w:r w:rsidRPr="009B65A5">
        <w:rPr>
          <w:rFonts w:asciiTheme="majorHAnsi" w:hAnsiTheme="majorHAnsi"/>
          <w:sz w:val="20"/>
          <w:szCs w:val="20"/>
          <w:lang w:val="es-ES_tradnl"/>
        </w:rPr>
        <w:t>Tras ell</w:t>
      </w:r>
      <w:r w:rsidR="00B36444" w:rsidRPr="009B65A5">
        <w:rPr>
          <w:rFonts w:asciiTheme="majorHAnsi" w:hAnsiTheme="majorHAnsi"/>
          <w:sz w:val="20"/>
          <w:szCs w:val="20"/>
          <w:lang w:val="es-ES_tradnl"/>
        </w:rPr>
        <w:t xml:space="preserve">o, los agresores se dirigieron al sector de El Abra, donde persiguieron e interceptaron a otros indígenas que retornaban a sus comunidades, ocasionándoles innumerables maltratos. </w:t>
      </w:r>
      <w:r w:rsidR="00597C44" w:rsidRPr="009B65A5">
        <w:rPr>
          <w:rFonts w:asciiTheme="majorHAnsi" w:hAnsiTheme="majorHAnsi"/>
          <w:sz w:val="20"/>
          <w:szCs w:val="20"/>
          <w:lang w:val="es-ES_tradnl"/>
        </w:rPr>
        <w:t xml:space="preserve">Agrega, </w:t>
      </w:r>
      <w:r w:rsidR="00876B37" w:rsidRPr="009B65A5">
        <w:rPr>
          <w:rFonts w:asciiTheme="majorHAnsi" w:hAnsiTheme="majorHAnsi"/>
          <w:sz w:val="20"/>
          <w:szCs w:val="20"/>
          <w:lang w:val="es-ES_tradnl"/>
        </w:rPr>
        <w:t>que,</w:t>
      </w:r>
      <w:r w:rsidR="00597C44" w:rsidRPr="009B65A5">
        <w:rPr>
          <w:rFonts w:asciiTheme="majorHAnsi" w:hAnsiTheme="majorHAnsi"/>
          <w:sz w:val="20"/>
          <w:szCs w:val="20"/>
          <w:lang w:val="es-ES_tradnl"/>
        </w:rPr>
        <w:t xml:space="preserve"> al verse cercado</w:t>
      </w:r>
      <w:r w:rsidR="00876B37" w:rsidRPr="009B65A5">
        <w:rPr>
          <w:rFonts w:asciiTheme="majorHAnsi" w:hAnsiTheme="majorHAnsi"/>
          <w:sz w:val="20"/>
          <w:szCs w:val="20"/>
          <w:lang w:val="es-ES_tradnl"/>
        </w:rPr>
        <w:t>s</w:t>
      </w:r>
      <w:r w:rsidR="00597C44" w:rsidRPr="009B65A5">
        <w:rPr>
          <w:rFonts w:asciiTheme="majorHAnsi" w:hAnsiTheme="majorHAnsi"/>
          <w:sz w:val="20"/>
          <w:szCs w:val="20"/>
          <w:lang w:val="es-ES_tradnl"/>
        </w:rPr>
        <w:t xml:space="preserve"> por los grupos de choque en medio de explosiones de dinamita, las personas agraviadas tuvieron que refugiarse en una vivienda. Sin embargo, detalla que los agresores intentaron quemar la casa con las víctimas adentro, provocando que </w:t>
      </w:r>
      <w:r w:rsidR="00497D72" w:rsidRPr="009B65A5">
        <w:rPr>
          <w:rFonts w:asciiTheme="majorHAnsi" w:hAnsiTheme="majorHAnsi"/>
          <w:sz w:val="20"/>
          <w:szCs w:val="20"/>
          <w:lang w:val="es-ES_tradnl"/>
        </w:rPr>
        <w:t xml:space="preserve">salgan del inmueble. Esto generó que dichas personas sean nuevamente atacadas con palos, piedras, escupitajos, patadas y puñetes. </w:t>
      </w:r>
    </w:p>
    <w:p w14:paraId="4D0D69B2" w14:textId="042E2FA4" w:rsidR="00370D94" w:rsidRPr="009B65A5" w:rsidRDefault="0029675F" w:rsidP="0039705D">
      <w:pPr>
        <w:pStyle w:val="ListParagraph"/>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_tradnl"/>
        </w:rPr>
      </w:pPr>
      <w:r w:rsidRPr="009B65A5">
        <w:rPr>
          <w:rFonts w:asciiTheme="majorHAnsi" w:hAnsiTheme="majorHAnsi"/>
          <w:sz w:val="20"/>
          <w:szCs w:val="20"/>
          <w:lang w:val="es-ES_tradnl"/>
        </w:rPr>
        <w:t>C</w:t>
      </w:r>
      <w:r w:rsidR="00497D72" w:rsidRPr="009B65A5">
        <w:rPr>
          <w:rFonts w:asciiTheme="majorHAnsi" w:hAnsiTheme="majorHAnsi"/>
          <w:sz w:val="20"/>
          <w:szCs w:val="20"/>
          <w:lang w:val="es-ES_tradnl"/>
        </w:rPr>
        <w:t xml:space="preserve">erca de las 14:00 horas, los grupos de choque tomaron como rehenes a </w:t>
      </w:r>
      <w:r w:rsidRPr="009B65A5">
        <w:rPr>
          <w:rFonts w:asciiTheme="majorHAnsi" w:hAnsiTheme="majorHAnsi"/>
          <w:sz w:val="20"/>
          <w:szCs w:val="20"/>
          <w:lang w:val="es-ES_tradnl"/>
        </w:rPr>
        <w:t>veinticinco</w:t>
      </w:r>
      <w:r w:rsidR="00497D72" w:rsidRPr="009B65A5">
        <w:rPr>
          <w:rFonts w:asciiTheme="majorHAnsi" w:hAnsiTheme="majorHAnsi"/>
          <w:sz w:val="20"/>
          <w:szCs w:val="20"/>
          <w:lang w:val="es-ES_tradnl"/>
        </w:rPr>
        <w:t xml:space="preserve"> personas y l</w:t>
      </w:r>
      <w:r w:rsidRPr="009B65A5">
        <w:rPr>
          <w:rFonts w:asciiTheme="majorHAnsi" w:hAnsiTheme="majorHAnsi"/>
          <w:sz w:val="20"/>
          <w:szCs w:val="20"/>
          <w:lang w:val="es-ES_tradnl"/>
        </w:rPr>
        <w:t>a</w:t>
      </w:r>
      <w:r w:rsidR="00497D72" w:rsidRPr="009B65A5">
        <w:rPr>
          <w:rFonts w:asciiTheme="majorHAnsi" w:hAnsiTheme="majorHAnsi"/>
          <w:sz w:val="20"/>
          <w:szCs w:val="20"/>
          <w:lang w:val="es-ES_tradnl"/>
        </w:rPr>
        <w:t>s condujeron en constante golpiza hacia la carretera, donde l</w:t>
      </w:r>
      <w:r w:rsidRPr="009B65A5">
        <w:rPr>
          <w:rFonts w:asciiTheme="majorHAnsi" w:hAnsiTheme="majorHAnsi"/>
          <w:sz w:val="20"/>
          <w:szCs w:val="20"/>
          <w:lang w:val="es-ES_tradnl"/>
        </w:rPr>
        <w:t>a</w:t>
      </w:r>
      <w:r w:rsidR="00497D72" w:rsidRPr="009B65A5">
        <w:rPr>
          <w:rFonts w:asciiTheme="majorHAnsi" w:hAnsiTheme="majorHAnsi"/>
          <w:sz w:val="20"/>
          <w:szCs w:val="20"/>
          <w:lang w:val="es-ES_tradnl"/>
        </w:rPr>
        <w:t xml:space="preserve">s obligaron a sacarse las abarcas </w:t>
      </w:r>
      <w:r w:rsidR="00654F32" w:rsidRPr="009B65A5">
        <w:rPr>
          <w:rFonts w:asciiTheme="majorHAnsi" w:hAnsiTheme="majorHAnsi"/>
          <w:sz w:val="20"/>
          <w:szCs w:val="20"/>
          <w:lang w:val="es-ES_tradnl"/>
        </w:rPr>
        <w:t xml:space="preserve">(sandalias típicas bolivianas) </w:t>
      </w:r>
      <w:r w:rsidR="00497D72" w:rsidRPr="009B65A5">
        <w:rPr>
          <w:rFonts w:asciiTheme="majorHAnsi" w:hAnsiTheme="majorHAnsi"/>
          <w:sz w:val="20"/>
          <w:szCs w:val="20"/>
          <w:lang w:val="es-ES_tradnl"/>
        </w:rPr>
        <w:t xml:space="preserve">y calzados. </w:t>
      </w:r>
      <w:r w:rsidR="00654F32" w:rsidRPr="009B65A5">
        <w:rPr>
          <w:rFonts w:asciiTheme="majorHAnsi" w:hAnsiTheme="majorHAnsi"/>
          <w:sz w:val="20"/>
          <w:szCs w:val="20"/>
          <w:lang w:val="es-ES_tradnl"/>
        </w:rPr>
        <w:t>D</w:t>
      </w:r>
      <w:r w:rsidR="00370D94" w:rsidRPr="009B65A5">
        <w:rPr>
          <w:rFonts w:asciiTheme="majorHAnsi" w:hAnsiTheme="majorHAnsi"/>
          <w:sz w:val="20"/>
          <w:szCs w:val="20"/>
          <w:lang w:val="es-ES_tradnl"/>
        </w:rPr>
        <w:t xml:space="preserve">esnudos, el grupo de indígenas descendió por las calles del centro de </w:t>
      </w:r>
      <w:r w:rsidR="00C82B06" w:rsidRPr="009B65A5">
        <w:rPr>
          <w:rFonts w:asciiTheme="majorHAnsi" w:hAnsiTheme="majorHAnsi"/>
          <w:sz w:val="20"/>
          <w:szCs w:val="20"/>
          <w:lang w:val="es-ES_tradnl"/>
        </w:rPr>
        <w:t>Sucre</w:t>
      </w:r>
      <w:r w:rsidR="00370D94" w:rsidRPr="009B65A5">
        <w:rPr>
          <w:rFonts w:asciiTheme="majorHAnsi" w:hAnsiTheme="majorHAnsi"/>
          <w:sz w:val="20"/>
          <w:szCs w:val="20"/>
          <w:lang w:val="es-ES_tradnl"/>
        </w:rPr>
        <w:t xml:space="preserve"> hasta llegar a la Plaza 25 de mayo, donde fueron arrojados al suelo y puestos de rodillas, obligados a besar el piso cubierto por una bandera de la conquista española y forzados a pedir perdón por pisar la capital. </w:t>
      </w:r>
      <w:r w:rsidR="001B1B9E" w:rsidRPr="009B65A5">
        <w:rPr>
          <w:rFonts w:asciiTheme="majorHAnsi" w:hAnsiTheme="majorHAnsi"/>
          <w:sz w:val="20"/>
          <w:szCs w:val="20"/>
          <w:lang w:val="es-ES_tradnl"/>
        </w:rPr>
        <w:t>Finalmente, l</w:t>
      </w:r>
      <w:r w:rsidR="00370D94" w:rsidRPr="009B65A5">
        <w:rPr>
          <w:rFonts w:asciiTheme="majorHAnsi" w:hAnsiTheme="majorHAnsi"/>
          <w:sz w:val="20"/>
          <w:szCs w:val="20"/>
          <w:lang w:val="es-ES_tradnl"/>
        </w:rPr>
        <w:t>os agresores l</w:t>
      </w:r>
      <w:r w:rsidR="001B1B9E" w:rsidRPr="009B65A5">
        <w:rPr>
          <w:rFonts w:asciiTheme="majorHAnsi" w:hAnsiTheme="majorHAnsi"/>
          <w:sz w:val="20"/>
          <w:szCs w:val="20"/>
          <w:lang w:val="es-ES_tradnl"/>
        </w:rPr>
        <w:t>o</w:t>
      </w:r>
      <w:r w:rsidR="00370D94" w:rsidRPr="009B65A5">
        <w:rPr>
          <w:rFonts w:asciiTheme="majorHAnsi" w:hAnsiTheme="majorHAnsi"/>
          <w:sz w:val="20"/>
          <w:szCs w:val="20"/>
          <w:lang w:val="es-ES_tradnl"/>
        </w:rPr>
        <w:t xml:space="preserve">s obligaron a prender fuego a sus prendas tradicionales junto a una Wiphala. </w:t>
      </w:r>
      <w:r w:rsidR="001B1B9E" w:rsidRPr="009B65A5">
        <w:rPr>
          <w:rFonts w:asciiTheme="majorHAnsi" w:hAnsiTheme="majorHAnsi"/>
          <w:sz w:val="20"/>
          <w:szCs w:val="20"/>
          <w:lang w:val="es-ES_tradnl"/>
        </w:rPr>
        <w:t>Estos vejámenes</w:t>
      </w:r>
      <w:r w:rsidR="00DF43FC" w:rsidRPr="009B65A5">
        <w:rPr>
          <w:rFonts w:asciiTheme="majorHAnsi" w:hAnsiTheme="majorHAnsi"/>
          <w:sz w:val="20"/>
          <w:szCs w:val="20"/>
          <w:lang w:val="es-ES_tradnl"/>
        </w:rPr>
        <w:t xml:space="preserve"> </w:t>
      </w:r>
      <w:r w:rsidR="001B1B9E" w:rsidRPr="009B65A5">
        <w:rPr>
          <w:rFonts w:asciiTheme="majorHAnsi" w:hAnsiTheme="majorHAnsi"/>
          <w:sz w:val="20"/>
          <w:szCs w:val="20"/>
          <w:lang w:val="es-ES_tradnl"/>
        </w:rPr>
        <w:t>duraron</w:t>
      </w:r>
      <w:r w:rsidR="00DF43FC" w:rsidRPr="009B65A5">
        <w:rPr>
          <w:rFonts w:asciiTheme="majorHAnsi" w:hAnsiTheme="majorHAnsi"/>
          <w:sz w:val="20"/>
          <w:szCs w:val="20"/>
          <w:lang w:val="es-ES_tradnl"/>
        </w:rPr>
        <w:t xml:space="preserve"> al menos una hora y </w:t>
      </w:r>
      <w:r w:rsidR="001B1B9E" w:rsidRPr="009B65A5">
        <w:rPr>
          <w:rFonts w:asciiTheme="majorHAnsi" w:hAnsiTheme="majorHAnsi"/>
          <w:sz w:val="20"/>
          <w:szCs w:val="20"/>
          <w:lang w:val="es-ES_tradnl"/>
        </w:rPr>
        <w:t>estuvieron</w:t>
      </w:r>
      <w:r w:rsidR="00DF43FC" w:rsidRPr="009B65A5">
        <w:rPr>
          <w:rFonts w:asciiTheme="majorHAnsi" w:hAnsiTheme="majorHAnsi"/>
          <w:sz w:val="20"/>
          <w:szCs w:val="20"/>
          <w:lang w:val="es-ES_tradnl"/>
        </w:rPr>
        <w:t xml:space="preserve"> dirigid</w:t>
      </w:r>
      <w:r w:rsidR="001B1B9E" w:rsidRPr="009B65A5">
        <w:rPr>
          <w:rFonts w:asciiTheme="majorHAnsi" w:hAnsiTheme="majorHAnsi"/>
          <w:sz w:val="20"/>
          <w:szCs w:val="20"/>
          <w:lang w:val="es-ES_tradnl"/>
        </w:rPr>
        <w:t>os</w:t>
      </w:r>
      <w:r w:rsidR="00DF43FC" w:rsidRPr="009B65A5">
        <w:rPr>
          <w:rFonts w:asciiTheme="majorHAnsi" w:hAnsiTheme="majorHAnsi"/>
          <w:sz w:val="20"/>
          <w:szCs w:val="20"/>
          <w:lang w:val="es-ES_tradnl"/>
        </w:rPr>
        <w:t xml:space="preserve"> por un concejal. Además, detalla que en el trayecto las personas indígenas fueron obligadas a llevar la bandera española y a gritar con</w:t>
      </w:r>
      <w:r w:rsidR="00C82B06" w:rsidRPr="009B65A5">
        <w:rPr>
          <w:rFonts w:asciiTheme="majorHAnsi" w:hAnsiTheme="majorHAnsi"/>
          <w:sz w:val="20"/>
          <w:szCs w:val="20"/>
          <w:lang w:val="es-ES_tradnl"/>
        </w:rPr>
        <w:t>tra</w:t>
      </w:r>
      <w:r w:rsidR="00DF43FC" w:rsidRPr="009B65A5">
        <w:rPr>
          <w:rFonts w:asciiTheme="majorHAnsi" w:hAnsiTheme="majorHAnsi"/>
          <w:sz w:val="20"/>
          <w:szCs w:val="20"/>
          <w:lang w:val="es-ES_tradnl"/>
        </w:rPr>
        <w:t xml:space="preserve"> el entonces presidente, su origen y su cultura. </w:t>
      </w:r>
    </w:p>
    <w:p w14:paraId="5D0270A5" w14:textId="43EF9F3F" w:rsidR="00370D94" w:rsidRPr="009B65A5" w:rsidRDefault="00370D94" w:rsidP="0039705D">
      <w:pPr>
        <w:pStyle w:val="ListParagraph"/>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_tradnl"/>
        </w:rPr>
      </w:pPr>
      <w:r w:rsidRPr="009B65A5">
        <w:rPr>
          <w:rFonts w:asciiTheme="majorHAnsi" w:hAnsiTheme="majorHAnsi"/>
          <w:sz w:val="20"/>
          <w:szCs w:val="20"/>
          <w:lang w:val="es-ES_tradnl"/>
        </w:rPr>
        <w:t xml:space="preserve">Sostiene que, recién a las 15:30, los rehenes fueron liberados en medios de golpes e insultos. Detalla que varias de estas personas fueron subidas a camionetas de propiedad de la Alcaldía y de la Universidad Mayor, Real y Pontificia de San Francisco Xavier Chuquisaca y trasladados a la </w:t>
      </w:r>
      <w:r w:rsidR="00DF43FC" w:rsidRPr="009B65A5">
        <w:rPr>
          <w:rFonts w:asciiTheme="majorHAnsi" w:hAnsiTheme="majorHAnsi"/>
          <w:sz w:val="20"/>
          <w:szCs w:val="20"/>
          <w:lang w:val="es-ES_tradnl"/>
        </w:rPr>
        <w:t xml:space="preserve">localidad de Tarabuco, donde fueron liberados. </w:t>
      </w:r>
    </w:p>
    <w:p w14:paraId="5ABD1225" w14:textId="77777777" w:rsidR="00DF43FC" w:rsidRPr="009B65A5" w:rsidRDefault="00DF43FC" w:rsidP="00DF43FC">
      <w:pPr>
        <w:pBdr>
          <w:top w:val="none" w:sz="0" w:space="0" w:color="auto"/>
          <w:left w:val="none" w:sz="0" w:space="0" w:color="auto"/>
          <w:bottom w:val="none" w:sz="0" w:space="0" w:color="auto"/>
          <w:right w:val="none" w:sz="0" w:space="0" w:color="auto"/>
          <w:between w:val="none" w:sz="0" w:space="0" w:color="auto"/>
          <w:bar w:val="none" w:sz="0" w:color="auto"/>
        </w:pBdr>
        <w:suppressAutoHyphens/>
        <w:ind w:left="360"/>
        <w:jc w:val="both"/>
        <w:rPr>
          <w:rFonts w:asciiTheme="majorHAnsi" w:hAnsiTheme="majorHAnsi"/>
          <w:sz w:val="20"/>
          <w:szCs w:val="20"/>
          <w:lang w:val="es-ES_tradnl"/>
        </w:rPr>
      </w:pPr>
    </w:p>
    <w:p w14:paraId="084E5EE1" w14:textId="40EF7776" w:rsidR="00DF43FC" w:rsidRPr="009B65A5" w:rsidRDefault="001B1B9E" w:rsidP="00FF27DE">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9B65A5">
        <w:rPr>
          <w:rFonts w:asciiTheme="majorHAnsi" w:hAnsiTheme="majorHAnsi"/>
          <w:sz w:val="20"/>
          <w:szCs w:val="20"/>
          <w:lang w:val="es-ES_tradnl"/>
        </w:rPr>
        <w:t>La parte peticionaria indica</w:t>
      </w:r>
      <w:r w:rsidR="00DF43FC" w:rsidRPr="009B65A5">
        <w:rPr>
          <w:rFonts w:asciiTheme="majorHAnsi" w:hAnsiTheme="majorHAnsi"/>
          <w:sz w:val="20"/>
          <w:szCs w:val="20"/>
          <w:lang w:val="es-ES_tradnl"/>
        </w:rPr>
        <w:t xml:space="preserve"> que funcionarios públicos, como concejales, la prefecta y </w:t>
      </w:r>
      <w:r w:rsidRPr="009B65A5">
        <w:rPr>
          <w:rFonts w:asciiTheme="majorHAnsi" w:hAnsiTheme="majorHAnsi"/>
          <w:sz w:val="20"/>
          <w:szCs w:val="20"/>
          <w:lang w:val="es-ES_tradnl"/>
        </w:rPr>
        <w:t xml:space="preserve">la </w:t>
      </w:r>
      <w:r w:rsidR="00DF43FC" w:rsidRPr="009B65A5">
        <w:rPr>
          <w:rFonts w:asciiTheme="majorHAnsi" w:hAnsiTheme="majorHAnsi"/>
          <w:sz w:val="20"/>
          <w:szCs w:val="20"/>
          <w:lang w:val="es-ES_tradnl"/>
        </w:rPr>
        <w:t xml:space="preserve">alcaldesa, presenciaron y participaron de estos delitos. Además, enfatiza que las acciones violentas estuvieron </w:t>
      </w:r>
      <w:r w:rsidR="00841C28" w:rsidRPr="009B65A5">
        <w:rPr>
          <w:rFonts w:asciiTheme="majorHAnsi" w:hAnsiTheme="majorHAnsi"/>
          <w:sz w:val="20"/>
          <w:szCs w:val="20"/>
          <w:lang w:val="es-ES_tradnl"/>
        </w:rPr>
        <w:t>acompañadas</w:t>
      </w:r>
      <w:r w:rsidR="00DF43FC" w:rsidRPr="009B65A5">
        <w:rPr>
          <w:rFonts w:asciiTheme="majorHAnsi" w:hAnsiTheme="majorHAnsi"/>
          <w:sz w:val="20"/>
          <w:szCs w:val="20"/>
          <w:lang w:val="es-ES_tradnl"/>
        </w:rPr>
        <w:t xml:space="preserve"> de insultos racistas, tales como: i)</w:t>
      </w:r>
      <w:r w:rsidR="009E2FC5" w:rsidRPr="009B65A5">
        <w:rPr>
          <w:rFonts w:asciiTheme="majorHAnsi" w:hAnsiTheme="majorHAnsi"/>
          <w:sz w:val="20"/>
          <w:szCs w:val="20"/>
          <w:lang w:val="es-ES_tradnl"/>
        </w:rPr>
        <w:t xml:space="preserve"> </w:t>
      </w:r>
      <w:r w:rsidR="009E2FC5" w:rsidRPr="009B65A5">
        <w:rPr>
          <w:rFonts w:asciiTheme="majorHAnsi" w:hAnsiTheme="majorHAnsi"/>
          <w:i/>
          <w:iCs/>
          <w:sz w:val="20"/>
          <w:szCs w:val="20"/>
          <w:lang w:val="es-ES_tradnl"/>
        </w:rPr>
        <w:t>“¡váyanse de aquí indios de mierda!</w:t>
      </w:r>
      <w:r w:rsidRPr="009B65A5">
        <w:rPr>
          <w:rFonts w:asciiTheme="majorHAnsi" w:hAnsiTheme="majorHAnsi"/>
          <w:i/>
          <w:iCs/>
          <w:sz w:val="20"/>
          <w:szCs w:val="20"/>
          <w:lang w:val="es-ES_tradnl"/>
        </w:rPr>
        <w:t>”</w:t>
      </w:r>
      <w:r w:rsidR="00DF43FC" w:rsidRPr="009B65A5">
        <w:rPr>
          <w:rFonts w:asciiTheme="majorHAnsi" w:hAnsiTheme="majorHAnsi"/>
          <w:sz w:val="20"/>
          <w:szCs w:val="20"/>
          <w:lang w:val="es-ES_tradnl"/>
        </w:rPr>
        <w:t>; ii)</w:t>
      </w:r>
      <w:r w:rsidR="00841C28" w:rsidRPr="009B65A5">
        <w:rPr>
          <w:rFonts w:asciiTheme="majorHAnsi" w:hAnsiTheme="majorHAnsi"/>
          <w:sz w:val="20"/>
          <w:szCs w:val="20"/>
          <w:lang w:val="es-ES_tradnl"/>
        </w:rPr>
        <w:t xml:space="preserve"> “</w:t>
      </w:r>
      <w:r w:rsidR="00841C28" w:rsidRPr="009B65A5">
        <w:rPr>
          <w:rFonts w:asciiTheme="majorHAnsi" w:hAnsiTheme="majorHAnsi"/>
          <w:i/>
          <w:iCs/>
          <w:sz w:val="20"/>
          <w:szCs w:val="20"/>
          <w:lang w:val="es-ES_tradnl"/>
        </w:rPr>
        <w:t>ahora ustedes son esclavos, indios masistas, ahora vamos a ver indios, han llegado a nuestras manos, vamos a llevarlos a la plaza a quemarlos</w:t>
      </w:r>
      <w:r w:rsidR="00841C28" w:rsidRPr="009B65A5">
        <w:rPr>
          <w:rFonts w:asciiTheme="majorHAnsi" w:hAnsiTheme="majorHAnsi"/>
          <w:sz w:val="20"/>
          <w:szCs w:val="20"/>
          <w:lang w:val="es-ES_tradnl"/>
        </w:rPr>
        <w:t>”</w:t>
      </w:r>
      <w:r w:rsidR="00DF43FC" w:rsidRPr="009B65A5">
        <w:rPr>
          <w:rFonts w:asciiTheme="majorHAnsi" w:hAnsiTheme="majorHAnsi"/>
          <w:sz w:val="20"/>
          <w:szCs w:val="20"/>
          <w:lang w:val="es-ES_tradnl"/>
        </w:rPr>
        <w:t>;</w:t>
      </w:r>
      <w:r w:rsidR="00841C28" w:rsidRPr="009B65A5">
        <w:rPr>
          <w:rFonts w:asciiTheme="majorHAnsi" w:hAnsiTheme="majorHAnsi"/>
          <w:sz w:val="20"/>
          <w:szCs w:val="20"/>
          <w:lang w:val="es-ES_tradnl"/>
        </w:rPr>
        <w:t xml:space="preserve"> </w:t>
      </w:r>
      <w:r w:rsidRPr="009B65A5">
        <w:rPr>
          <w:rFonts w:asciiTheme="majorHAnsi" w:hAnsiTheme="majorHAnsi"/>
          <w:sz w:val="20"/>
          <w:szCs w:val="20"/>
          <w:lang w:val="es-ES_tradnl"/>
        </w:rPr>
        <w:t xml:space="preserve">entre otros improperios difíciles de reproducir en el presente informe. </w:t>
      </w:r>
      <w:r w:rsidR="00DF43FC" w:rsidRPr="009B65A5">
        <w:rPr>
          <w:rFonts w:asciiTheme="majorHAnsi" w:hAnsiTheme="majorHAnsi"/>
          <w:sz w:val="20"/>
          <w:szCs w:val="20"/>
          <w:lang w:val="es-ES_tradnl"/>
        </w:rPr>
        <w:t xml:space="preserve">A juicio de la parte peticionaria esto demuestra que los crímenes fueron realizados con un claro móvil discriminatorio contra las presuntas víctimas. </w:t>
      </w:r>
    </w:p>
    <w:p w14:paraId="6299CDF3" w14:textId="1D67D922" w:rsidR="00C70806" w:rsidRPr="009B65A5" w:rsidRDefault="00C70806" w:rsidP="001B1B9E">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i/>
          <w:iCs/>
          <w:sz w:val="20"/>
          <w:szCs w:val="20"/>
          <w:lang w:val="es-ES_tradnl"/>
        </w:rPr>
      </w:pPr>
      <w:r w:rsidRPr="009B65A5">
        <w:rPr>
          <w:rFonts w:asciiTheme="majorHAnsi" w:hAnsiTheme="majorHAnsi"/>
          <w:i/>
          <w:iCs/>
          <w:sz w:val="20"/>
          <w:szCs w:val="20"/>
          <w:lang w:val="es-ES_tradnl"/>
        </w:rPr>
        <w:t>Presentación de demanda de amparo</w:t>
      </w:r>
    </w:p>
    <w:p w14:paraId="7CB0F515" w14:textId="089E635D" w:rsidR="00C70806" w:rsidRPr="009B65A5" w:rsidRDefault="001B1B9E" w:rsidP="00C70806">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9B65A5">
        <w:rPr>
          <w:rFonts w:asciiTheme="majorHAnsi" w:hAnsiTheme="majorHAnsi"/>
          <w:sz w:val="20"/>
          <w:szCs w:val="20"/>
          <w:lang w:val="es-ES_tradnl"/>
        </w:rPr>
        <w:t>E</w:t>
      </w:r>
      <w:r w:rsidR="00C70806" w:rsidRPr="009B65A5">
        <w:rPr>
          <w:rFonts w:asciiTheme="majorHAnsi" w:hAnsiTheme="majorHAnsi"/>
          <w:sz w:val="20"/>
          <w:szCs w:val="20"/>
          <w:lang w:val="es-ES_tradnl"/>
        </w:rPr>
        <w:t>l 22 de diciembre de 2008 las presuntas víctimas interpusieron un recurso de amparo constitucional en contra quienes, en ese entonces, ocupaban los cargos de Rector de la Universidad San Francisco Xavier Chuquisaca, Presidente del Comité Cívico de los Intereses de Chuquisaca y Alcaldesa Municipal de Sucre, solicitando: i) resarcimiento moral y económico</w:t>
      </w:r>
      <w:r w:rsidR="00D63C12" w:rsidRPr="009B65A5">
        <w:rPr>
          <w:rFonts w:asciiTheme="majorHAnsi" w:hAnsiTheme="majorHAnsi"/>
          <w:sz w:val="20"/>
          <w:szCs w:val="20"/>
          <w:lang w:val="es-ES_tradnl"/>
        </w:rPr>
        <w:t>;</w:t>
      </w:r>
      <w:r w:rsidR="00C70806" w:rsidRPr="009B65A5">
        <w:rPr>
          <w:rFonts w:asciiTheme="majorHAnsi" w:hAnsiTheme="majorHAnsi"/>
          <w:sz w:val="20"/>
          <w:szCs w:val="20"/>
          <w:lang w:val="es-ES_tradnl"/>
        </w:rPr>
        <w:t xml:space="preserve"> ii) ofrecimiento de garantías para transitar por Sucre</w:t>
      </w:r>
      <w:r w:rsidR="008C4C3E" w:rsidRPr="009B65A5">
        <w:rPr>
          <w:rFonts w:asciiTheme="majorHAnsi" w:hAnsiTheme="majorHAnsi"/>
          <w:sz w:val="20"/>
          <w:szCs w:val="20"/>
          <w:lang w:val="es-ES_tradnl"/>
        </w:rPr>
        <w:t xml:space="preserve"> y emitir libremente sus opiniones</w:t>
      </w:r>
      <w:r w:rsidR="00C70806" w:rsidRPr="009B65A5">
        <w:rPr>
          <w:rFonts w:asciiTheme="majorHAnsi" w:hAnsiTheme="majorHAnsi"/>
          <w:sz w:val="20"/>
          <w:szCs w:val="20"/>
          <w:lang w:val="es-ES_tradnl"/>
        </w:rPr>
        <w:t>; y iii) destitución inmediata de los denunciados. No obstante, el 24 de diciembre de 2008 el Tribunal de Garantías de Chuquisaca, mediante Resolución N°</w:t>
      </w:r>
      <w:r w:rsidR="008C4C3E" w:rsidRPr="009B65A5">
        <w:rPr>
          <w:rFonts w:asciiTheme="majorHAnsi" w:hAnsiTheme="majorHAnsi"/>
          <w:sz w:val="20"/>
          <w:szCs w:val="20"/>
          <w:lang w:val="es-ES_tradnl"/>
        </w:rPr>
        <w:t xml:space="preserve"> </w:t>
      </w:r>
      <w:r w:rsidR="00C70806" w:rsidRPr="009B65A5">
        <w:rPr>
          <w:rFonts w:asciiTheme="majorHAnsi" w:hAnsiTheme="majorHAnsi"/>
          <w:sz w:val="20"/>
          <w:szCs w:val="20"/>
          <w:lang w:val="es-ES_tradnl"/>
        </w:rPr>
        <w:t xml:space="preserve">20, declaró improcedente la acción, al considerar que </w:t>
      </w:r>
      <w:r w:rsidR="0039705D" w:rsidRPr="009B65A5">
        <w:rPr>
          <w:rFonts w:asciiTheme="majorHAnsi" w:hAnsiTheme="majorHAnsi"/>
          <w:sz w:val="20"/>
          <w:szCs w:val="20"/>
          <w:lang w:val="es-ES_tradnl"/>
        </w:rPr>
        <w:t xml:space="preserve">fue </w:t>
      </w:r>
      <w:r w:rsidR="00C70806" w:rsidRPr="009B65A5">
        <w:rPr>
          <w:rFonts w:asciiTheme="majorHAnsi" w:hAnsiTheme="majorHAnsi"/>
          <w:sz w:val="20"/>
          <w:szCs w:val="20"/>
          <w:lang w:val="es-ES_tradnl"/>
        </w:rPr>
        <w:t>presentada de manera extemporánea y que no se cumplió con el principio de subsidiariedad</w:t>
      </w:r>
      <w:r w:rsidR="0039705D" w:rsidRPr="009B65A5">
        <w:rPr>
          <w:rFonts w:asciiTheme="majorHAnsi" w:hAnsiTheme="majorHAnsi"/>
          <w:sz w:val="20"/>
          <w:szCs w:val="20"/>
          <w:lang w:val="es-ES_tradnl"/>
        </w:rPr>
        <w:t>,</w:t>
      </w:r>
      <w:r w:rsidR="00C70806" w:rsidRPr="009B65A5">
        <w:rPr>
          <w:rFonts w:asciiTheme="majorHAnsi" w:hAnsiTheme="majorHAnsi"/>
          <w:sz w:val="20"/>
          <w:szCs w:val="20"/>
          <w:lang w:val="es-ES_tradnl"/>
        </w:rPr>
        <w:t xml:space="preserve"> al no demostrarse el agotamiento previo de la vía legal ordinaria. </w:t>
      </w:r>
    </w:p>
    <w:p w14:paraId="1ED8C2AC" w14:textId="6534F3E1" w:rsidR="00C70806" w:rsidRPr="009B65A5" w:rsidRDefault="00C70806" w:rsidP="0039705D">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9B65A5">
        <w:rPr>
          <w:rFonts w:asciiTheme="majorHAnsi" w:hAnsiTheme="majorHAnsi"/>
          <w:sz w:val="20"/>
          <w:szCs w:val="20"/>
          <w:lang w:val="es-ES_tradnl"/>
        </w:rPr>
        <w:t>Ante ello, el 26 de diciembre de 2008 las presuntas víctimas solicitaron que</w:t>
      </w:r>
      <w:r w:rsidR="00D63C12" w:rsidRPr="009B65A5">
        <w:rPr>
          <w:rFonts w:asciiTheme="majorHAnsi" w:hAnsiTheme="majorHAnsi"/>
          <w:sz w:val="20"/>
          <w:szCs w:val="20"/>
          <w:lang w:val="es-ES_tradnl"/>
        </w:rPr>
        <w:t>:</w:t>
      </w:r>
      <w:r w:rsidRPr="009B65A5">
        <w:rPr>
          <w:rFonts w:asciiTheme="majorHAnsi" w:hAnsiTheme="majorHAnsi"/>
          <w:sz w:val="20"/>
          <w:szCs w:val="20"/>
          <w:lang w:val="es-ES_tradnl"/>
        </w:rPr>
        <w:t xml:space="preserve"> i) se explique por</w:t>
      </w:r>
      <w:r w:rsidR="00D63C12" w:rsidRPr="009B65A5">
        <w:rPr>
          <w:rFonts w:asciiTheme="majorHAnsi" w:hAnsiTheme="majorHAnsi"/>
          <w:sz w:val="20"/>
          <w:szCs w:val="20"/>
          <w:lang w:val="es-ES_tradnl"/>
        </w:rPr>
        <w:t xml:space="preserve"> </w:t>
      </w:r>
      <w:r w:rsidRPr="009B65A5">
        <w:rPr>
          <w:rFonts w:asciiTheme="majorHAnsi" w:hAnsiTheme="majorHAnsi"/>
          <w:sz w:val="20"/>
          <w:szCs w:val="20"/>
          <w:lang w:val="es-ES_tradnl"/>
        </w:rPr>
        <w:t>qu</w:t>
      </w:r>
      <w:r w:rsidR="00D63C12" w:rsidRPr="009B65A5">
        <w:rPr>
          <w:rFonts w:asciiTheme="majorHAnsi" w:hAnsiTheme="majorHAnsi"/>
          <w:sz w:val="20"/>
          <w:szCs w:val="20"/>
          <w:lang w:val="es-ES_tradnl"/>
        </w:rPr>
        <w:t>é</w:t>
      </w:r>
      <w:r w:rsidRPr="009B65A5">
        <w:rPr>
          <w:rFonts w:asciiTheme="majorHAnsi" w:hAnsiTheme="majorHAnsi"/>
          <w:sz w:val="20"/>
          <w:szCs w:val="20"/>
          <w:lang w:val="es-ES_tradnl"/>
        </w:rPr>
        <w:t xml:space="preserve"> no se consideraron las excepciones al principio de inmediatez para la admisión del recurso</w:t>
      </w:r>
      <w:r w:rsidR="00D63C12" w:rsidRPr="009B65A5">
        <w:rPr>
          <w:rFonts w:asciiTheme="majorHAnsi" w:hAnsiTheme="majorHAnsi"/>
          <w:sz w:val="20"/>
          <w:szCs w:val="20"/>
          <w:lang w:val="es-ES_tradnl"/>
        </w:rPr>
        <w:t>;</w:t>
      </w:r>
      <w:r w:rsidRPr="009B65A5">
        <w:rPr>
          <w:rFonts w:asciiTheme="majorHAnsi" w:hAnsiTheme="majorHAnsi"/>
          <w:sz w:val="20"/>
          <w:szCs w:val="20"/>
          <w:lang w:val="es-ES_tradnl"/>
        </w:rPr>
        <w:t xml:space="preserve"> y ii) se precis</w:t>
      </w:r>
      <w:r w:rsidR="0039705D" w:rsidRPr="009B65A5">
        <w:rPr>
          <w:rFonts w:asciiTheme="majorHAnsi" w:hAnsiTheme="majorHAnsi"/>
          <w:sz w:val="20"/>
          <w:szCs w:val="20"/>
          <w:lang w:val="es-ES_tradnl"/>
        </w:rPr>
        <w:t>e</w:t>
      </w:r>
      <w:r w:rsidRPr="009B65A5">
        <w:rPr>
          <w:rFonts w:asciiTheme="majorHAnsi" w:hAnsiTheme="majorHAnsi"/>
          <w:sz w:val="20"/>
          <w:szCs w:val="20"/>
          <w:lang w:val="es-ES_tradnl"/>
        </w:rPr>
        <w:t xml:space="preserve"> textualmente en dicho pronunciamiento su derecho a impugnar. Sin embargo, el 26 de diciembre de 2008 el Tribunal de Garantías señaló que los términos de la Resolución N° 20 eran claros y explícitos, por lo que </w:t>
      </w:r>
      <w:r w:rsidR="00F95F89" w:rsidRPr="009B65A5">
        <w:rPr>
          <w:rFonts w:asciiTheme="majorHAnsi" w:hAnsiTheme="majorHAnsi"/>
          <w:sz w:val="20"/>
          <w:szCs w:val="20"/>
          <w:lang w:val="es-ES_tradnl"/>
        </w:rPr>
        <w:t xml:space="preserve">no </w:t>
      </w:r>
      <w:r w:rsidRPr="009B65A5">
        <w:rPr>
          <w:rFonts w:asciiTheme="majorHAnsi" w:hAnsiTheme="majorHAnsi"/>
          <w:sz w:val="20"/>
          <w:szCs w:val="20"/>
          <w:lang w:val="es-ES_tradnl"/>
        </w:rPr>
        <w:t>había lugar para la explicación y complementación solicitada.</w:t>
      </w:r>
      <w:r w:rsidR="0039705D" w:rsidRPr="009B65A5">
        <w:rPr>
          <w:rFonts w:asciiTheme="majorHAnsi" w:hAnsiTheme="majorHAnsi"/>
          <w:sz w:val="20"/>
          <w:szCs w:val="20"/>
          <w:lang w:val="es-ES_tradnl"/>
        </w:rPr>
        <w:t xml:space="preserve"> </w:t>
      </w:r>
      <w:r w:rsidRPr="009B65A5">
        <w:rPr>
          <w:rFonts w:asciiTheme="majorHAnsi" w:hAnsiTheme="majorHAnsi"/>
          <w:sz w:val="20"/>
          <w:szCs w:val="20"/>
          <w:lang w:val="es-ES_tradnl"/>
        </w:rPr>
        <w:t>Frente a esta situación, el 31 de diciembre de 2008 la representación de las presuntas víctimas impugnó dicha resolución y solicit</w:t>
      </w:r>
      <w:r w:rsidR="003B3FF5" w:rsidRPr="009B65A5">
        <w:rPr>
          <w:rFonts w:asciiTheme="majorHAnsi" w:hAnsiTheme="majorHAnsi"/>
          <w:sz w:val="20"/>
          <w:szCs w:val="20"/>
          <w:lang w:val="es-ES_tradnl"/>
        </w:rPr>
        <w:t>ó</w:t>
      </w:r>
      <w:r w:rsidRPr="009B65A5">
        <w:rPr>
          <w:rFonts w:asciiTheme="majorHAnsi" w:hAnsiTheme="majorHAnsi"/>
          <w:sz w:val="20"/>
          <w:szCs w:val="20"/>
          <w:lang w:val="es-ES_tradnl"/>
        </w:rPr>
        <w:t xml:space="preserve"> la remisión de obrados para la revisión del Tribunal Constitucional. A pesar de ello, el 9 de enero de 2009 las autoridades rechazaron tal impugnación al considerar que se presentó </w:t>
      </w:r>
      <w:r w:rsidR="003B3FF5" w:rsidRPr="009B65A5">
        <w:rPr>
          <w:rFonts w:asciiTheme="majorHAnsi" w:hAnsiTheme="majorHAnsi"/>
          <w:sz w:val="20"/>
          <w:szCs w:val="20"/>
          <w:lang w:val="es-ES_tradnl"/>
        </w:rPr>
        <w:t>extemporáneamente</w:t>
      </w:r>
      <w:r w:rsidRPr="009B65A5">
        <w:rPr>
          <w:rFonts w:asciiTheme="majorHAnsi" w:hAnsiTheme="majorHAnsi"/>
          <w:sz w:val="20"/>
          <w:szCs w:val="20"/>
          <w:lang w:val="es-ES_tradnl"/>
        </w:rPr>
        <w:t xml:space="preserve">. </w:t>
      </w:r>
      <w:r w:rsidR="00EB2C1A" w:rsidRPr="009B65A5">
        <w:rPr>
          <w:rFonts w:asciiTheme="majorHAnsi" w:hAnsiTheme="majorHAnsi"/>
          <w:sz w:val="20"/>
          <w:szCs w:val="20"/>
          <w:lang w:val="es-ES_tradnl"/>
        </w:rPr>
        <w:t>Esta decisión se notificó el 12 de enero de 2009.</w:t>
      </w:r>
    </w:p>
    <w:p w14:paraId="3CBDC5A0" w14:textId="598703E9" w:rsidR="00DF43FC" w:rsidRPr="009B65A5" w:rsidRDefault="00DF43FC" w:rsidP="003B3FF5">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i/>
          <w:iCs/>
          <w:sz w:val="20"/>
          <w:szCs w:val="20"/>
          <w:lang w:val="es-ES_tradnl"/>
        </w:rPr>
      </w:pPr>
      <w:r w:rsidRPr="009B65A5">
        <w:rPr>
          <w:rFonts w:asciiTheme="majorHAnsi" w:hAnsiTheme="majorHAnsi"/>
          <w:i/>
          <w:iCs/>
          <w:sz w:val="20"/>
          <w:szCs w:val="20"/>
          <w:lang w:val="es-ES_tradnl"/>
        </w:rPr>
        <w:lastRenderedPageBreak/>
        <w:t>Denuncia, investigación y condena penal</w:t>
      </w:r>
    </w:p>
    <w:p w14:paraId="7743A7EE" w14:textId="4D023D30" w:rsidR="0035670B" w:rsidRPr="009B65A5" w:rsidRDefault="003B3FF5" w:rsidP="00FF27DE">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9B65A5">
        <w:rPr>
          <w:rFonts w:asciiTheme="majorHAnsi" w:hAnsiTheme="majorHAnsi"/>
          <w:sz w:val="20"/>
          <w:szCs w:val="20"/>
          <w:lang w:val="es-ES_tradnl"/>
        </w:rPr>
        <w:t>Paralelamente</w:t>
      </w:r>
      <w:r w:rsidR="00C70806" w:rsidRPr="009B65A5">
        <w:rPr>
          <w:rFonts w:asciiTheme="majorHAnsi" w:hAnsiTheme="majorHAnsi"/>
          <w:sz w:val="20"/>
          <w:szCs w:val="20"/>
          <w:lang w:val="es-ES_tradnl"/>
        </w:rPr>
        <w:t xml:space="preserve"> </w:t>
      </w:r>
      <w:r w:rsidR="0039705D" w:rsidRPr="009B65A5">
        <w:rPr>
          <w:rFonts w:asciiTheme="majorHAnsi" w:hAnsiTheme="majorHAnsi"/>
          <w:sz w:val="20"/>
          <w:szCs w:val="20"/>
          <w:lang w:val="es-ES_tradnl"/>
        </w:rPr>
        <w:t xml:space="preserve">a </w:t>
      </w:r>
      <w:r w:rsidR="00C70806" w:rsidRPr="009B65A5">
        <w:rPr>
          <w:rFonts w:asciiTheme="majorHAnsi" w:hAnsiTheme="majorHAnsi"/>
          <w:sz w:val="20"/>
          <w:szCs w:val="20"/>
          <w:lang w:val="es-ES_tradnl"/>
        </w:rPr>
        <w:t>la citada acción</w:t>
      </w:r>
      <w:r w:rsidR="0039705D" w:rsidRPr="009B65A5">
        <w:rPr>
          <w:rFonts w:asciiTheme="majorHAnsi" w:hAnsiTheme="majorHAnsi"/>
          <w:sz w:val="20"/>
          <w:szCs w:val="20"/>
          <w:lang w:val="es-ES_tradnl"/>
        </w:rPr>
        <w:t xml:space="preserve"> constitucional</w:t>
      </w:r>
      <w:r w:rsidR="00C70806" w:rsidRPr="009B65A5">
        <w:rPr>
          <w:rFonts w:asciiTheme="majorHAnsi" w:hAnsiTheme="majorHAnsi"/>
          <w:sz w:val="20"/>
          <w:szCs w:val="20"/>
          <w:lang w:val="es-ES_tradnl"/>
        </w:rPr>
        <w:t>, e</w:t>
      </w:r>
      <w:r w:rsidR="0035670B" w:rsidRPr="009B65A5">
        <w:rPr>
          <w:rFonts w:asciiTheme="majorHAnsi" w:hAnsiTheme="majorHAnsi"/>
          <w:sz w:val="20"/>
          <w:szCs w:val="20"/>
          <w:lang w:val="es-ES_tradnl"/>
        </w:rPr>
        <w:t xml:space="preserve">l 24 de mayo de 2008 el señor Ballejos Ramos, en su calidad de presunta víctima, presentó </w:t>
      </w:r>
      <w:r w:rsidRPr="009B65A5">
        <w:rPr>
          <w:rFonts w:asciiTheme="majorHAnsi" w:hAnsiTheme="majorHAnsi"/>
          <w:sz w:val="20"/>
          <w:szCs w:val="20"/>
          <w:lang w:val="es-ES_tradnl"/>
        </w:rPr>
        <w:t xml:space="preserve">una </w:t>
      </w:r>
      <w:r w:rsidR="0035670B" w:rsidRPr="009B65A5">
        <w:rPr>
          <w:rFonts w:asciiTheme="majorHAnsi" w:hAnsiTheme="majorHAnsi"/>
          <w:sz w:val="20"/>
          <w:szCs w:val="20"/>
          <w:lang w:val="es-ES_tradnl"/>
        </w:rPr>
        <w:t>denuncia verbal ante el Ministerio Público de la ciudad de Chuquisaca, contra Epifanía Terrazas y otros, por la presunta comisión del delito de lesiones leves y robo agravado. Producto de ello, 22 de septiembre de 2008 el Ministerio Público emitió imputación formal contra seis personas</w:t>
      </w:r>
      <w:r w:rsidR="0035670B" w:rsidRPr="009B65A5">
        <w:rPr>
          <w:rStyle w:val="FootnoteReference"/>
          <w:rFonts w:asciiTheme="majorHAnsi" w:hAnsiTheme="majorHAnsi"/>
          <w:sz w:val="20"/>
          <w:szCs w:val="20"/>
          <w:lang w:val="es-ES_tradnl"/>
        </w:rPr>
        <w:footnoteReference w:id="7"/>
      </w:r>
      <w:r w:rsidR="0035670B" w:rsidRPr="009B65A5">
        <w:rPr>
          <w:rFonts w:asciiTheme="majorHAnsi" w:hAnsiTheme="majorHAnsi"/>
          <w:sz w:val="20"/>
          <w:szCs w:val="20"/>
          <w:lang w:val="es-ES_tradnl"/>
        </w:rPr>
        <w:t xml:space="preserve">, por la presunta comisión de los delitos de lesiones graves y leves, robo agravado, privación de libertad, tentativa de homicidio, tenencia de sustancias explosivas y coacción. Agrega que, el 6 de octubre, el </w:t>
      </w:r>
      <w:r w:rsidRPr="009B65A5">
        <w:rPr>
          <w:rFonts w:asciiTheme="majorHAnsi" w:hAnsiTheme="majorHAnsi"/>
          <w:sz w:val="20"/>
          <w:szCs w:val="20"/>
          <w:lang w:val="es-ES_tradnl"/>
        </w:rPr>
        <w:t>Ministerio Público</w:t>
      </w:r>
      <w:r w:rsidR="0035670B" w:rsidRPr="009B65A5">
        <w:rPr>
          <w:rFonts w:asciiTheme="majorHAnsi" w:hAnsiTheme="majorHAnsi"/>
          <w:sz w:val="20"/>
          <w:szCs w:val="20"/>
          <w:lang w:val="es-ES_tradnl"/>
        </w:rPr>
        <w:t xml:space="preserve"> amplió y reformuló </w:t>
      </w:r>
      <w:r w:rsidRPr="009B65A5">
        <w:rPr>
          <w:rFonts w:asciiTheme="majorHAnsi" w:hAnsiTheme="majorHAnsi"/>
          <w:sz w:val="20"/>
          <w:szCs w:val="20"/>
          <w:lang w:val="es-ES_tradnl"/>
        </w:rPr>
        <w:t xml:space="preserve">la </w:t>
      </w:r>
      <w:r w:rsidR="0035670B" w:rsidRPr="009B65A5">
        <w:rPr>
          <w:rFonts w:asciiTheme="majorHAnsi" w:hAnsiTheme="majorHAnsi"/>
          <w:sz w:val="20"/>
          <w:szCs w:val="20"/>
          <w:lang w:val="es-ES_tradnl"/>
        </w:rPr>
        <w:t>imputación formal contra diecisiete personas</w:t>
      </w:r>
      <w:r w:rsidR="00CD5F1B" w:rsidRPr="009B65A5">
        <w:rPr>
          <w:rStyle w:val="FootnoteReference"/>
          <w:rFonts w:asciiTheme="majorHAnsi" w:hAnsiTheme="majorHAnsi"/>
          <w:sz w:val="20"/>
          <w:szCs w:val="20"/>
          <w:lang w:val="es-ES_tradnl"/>
        </w:rPr>
        <w:footnoteReference w:id="8"/>
      </w:r>
      <w:r w:rsidR="0035670B" w:rsidRPr="009B65A5">
        <w:rPr>
          <w:rFonts w:asciiTheme="majorHAnsi" w:hAnsiTheme="majorHAnsi"/>
          <w:sz w:val="20"/>
          <w:szCs w:val="20"/>
          <w:lang w:val="es-ES_tradnl"/>
        </w:rPr>
        <w:t xml:space="preserve">, por la presunta comisión de </w:t>
      </w:r>
      <w:r w:rsidR="00CD5F1B" w:rsidRPr="009B65A5">
        <w:rPr>
          <w:rFonts w:asciiTheme="majorHAnsi" w:hAnsiTheme="majorHAnsi"/>
          <w:sz w:val="20"/>
          <w:szCs w:val="20"/>
          <w:lang w:val="es-ES_tradnl"/>
        </w:rPr>
        <w:t>los delitos de asociación delictuosa, instigación pública a delinquir</w:t>
      </w:r>
      <w:r w:rsidR="002523E6" w:rsidRPr="009B65A5">
        <w:rPr>
          <w:rFonts w:asciiTheme="majorHAnsi" w:hAnsiTheme="majorHAnsi"/>
          <w:sz w:val="20"/>
          <w:szCs w:val="20"/>
          <w:lang w:val="es-ES_tradnl"/>
        </w:rPr>
        <w:t xml:space="preserve"> y</w:t>
      </w:r>
      <w:r w:rsidR="00CD5F1B" w:rsidRPr="009B65A5">
        <w:rPr>
          <w:rFonts w:asciiTheme="majorHAnsi" w:hAnsiTheme="majorHAnsi"/>
          <w:sz w:val="20"/>
          <w:szCs w:val="20"/>
          <w:lang w:val="es-ES_tradnl"/>
        </w:rPr>
        <w:t xml:space="preserve"> amenazas</w:t>
      </w:r>
      <w:r w:rsidR="00FF27DE" w:rsidRPr="009B65A5">
        <w:rPr>
          <w:rFonts w:asciiTheme="majorHAnsi" w:hAnsiTheme="majorHAnsi"/>
          <w:sz w:val="20"/>
          <w:szCs w:val="20"/>
          <w:lang w:val="es-ES_tradnl"/>
        </w:rPr>
        <w:t>; y que el 30 de octubre de 2008 se amplió nuevamente la imputación contra otras tres personas</w:t>
      </w:r>
      <w:r w:rsidR="00FF27DE" w:rsidRPr="009B65A5">
        <w:rPr>
          <w:rStyle w:val="FootnoteReference"/>
          <w:rFonts w:asciiTheme="majorHAnsi" w:hAnsiTheme="majorHAnsi"/>
          <w:sz w:val="20"/>
          <w:szCs w:val="20"/>
          <w:lang w:val="es-ES_tradnl"/>
        </w:rPr>
        <w:footnoteReference w:id="9"/>
      </w:r>
      <w:r w:rsidR="00FF27DE" w:rsidRPr="009B65A5">
        <w:rPr>
          <w:rFonts w:asciiTheme="majorHAnsi" w:hAnsiTheme="majorHAnsi"/>
          <w:sz w:val="20"/>
          <w:szCs w:val="20"/>
          <w:lang w:val="es-ES_tradnl"/>
        </w:rPr>
        <w:t>.</w:t>
      </w:r>
    </w:p>
    <w:p w14:paraId="3C5DCDDC" w14:textId="5B3AA8A3" w:rsidR="001E6704" w:rsidRPr="009B65A5" w:rsidRDefault="00A10E39" w:rsidP="001E6704">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9B65A5">
        <w:rPr>
          <w:rFonts w:asciiTheme="majorHAnsi" w:hAnsiTheme="majorHAnsi"/>
          <w:sz w:val="20"/>
          <w:szCs w:val="20"/>
          <w:lang w:val="es-ES_tradnl"/>
        </w:rPr>
        <w:t>Posteriormente</w:t>
      </w:r>
      <w:r w:rsidR="00F22D7C" w:rsidRPr="009B65A5">
        <w:rPr>
          <w:rFonts w:asciiTheme="majorHAnsi" w:hAnsiTheme="majorHAnsi"/>
          <w:sz w:val="20"/>
          <w:szCs w:val="20"/>
          <w:lang w:val="es-ES_tradnl"/>
        </w:rPr>
        <w:t xml:space="preserve">, el 22 de abril de 2010 </w:t>
      </w:r>
      <w:r w:rsidR="00045517" w:rsidRPr="009B65A5">
        <w:rPr>
          <w:rFonts w:asciiTheme="majorHAnsi" w:hAnsiTheme="majorHAnsi"/>
          <w:sz w:val="20"/>
          <w:szCs w:val="20"/>
          <w:lang w:val="es-ES_tradnl"/>
        </w:rPr>
        <w:t>el</w:t>
      </w:r>
      <w:r w:rsidR="00F22D7C" w:rsidRPr="009B65A5">
        <w:rPr>
          <w:rFonts w:asciiTheme="majorHAnsi" w:hAnsiTheme="majorHAnsi"/>
          <w:sz w:val="20"/>
          <w:szCs w:val="20"/>
          <w:lang w:val="es-ES_tradnl"/>
        </w:rPr>
        <w:t xml:space="preserve"> Ministerio Público </w:t>
      </w:r>
      <w:r w:rsidR="00045517" w:rsidRPr="009B65A5">
        <w:rPr>
          <w:rFonts w:asciiTheme="majorHAnsi" w:hAnsiTheme="majorHAnsi"/>
          <w:sz w:val="20"/>
          <w:szCs w:val="20"/>
          <w:lang w:val="es-ES_tradnl"/>
        </w:rPr>
        <w:t>formuló</w:t>
      </w:r>
      <w:r w:rsidR="00F22D7C" w:rsidRPr="009B65A5">
        <w:rPr>
          <w:rFonts w:asciiTheme="majorHAnsi" w:hAnsiTheme="majorHAnsi"/>
          <w:sz w:val="20"/>
          <w:szCs w:val="20"/>
          <w:lang w:val="es-ES_tradnl"/>
        </w:rPr>
        <w:t xml:space="preserve"> acusación formal contra dieciocho personas, por la presunta comisión de los delitos de sedición, instigación pública a delinquir, asociación delictuosa, desórdenes o perturbaciones públicas, tenencia de sustancias explosivas, lesiones graves y leves, privación de libertad, amenazas, coacción vejaciones y tortura</w:t>
      </w:r>
      <w:r w:rsidR="00F93FDC" w:rsidRPr="009B65A5">
        <w:rPr>
          <w:rFonts w:asciiTheme="majorHAnsi" w:hAnsiTheme="majorHAnsi"/>
          <w:sz w:val="20"/>
          <w:szCs w:val="20"/>
          <w:lang w:val="es-ES_tradnl"/>
        </w:rPr>
        <w:t>, en perjuicio de diversas personas agraviadas el 24 de mayo de 2008</w:t>
      </w:r>
      <w:r w:rsidR="00F22D7C" w:rsidRPr="009B65A5">
        <w:rPr>
          <w:rFonts w:asciiTheme="majorHAnsi" w:hAnsiTheme="majorHAnsi"/>
          <w:sz w:val="20"/>
          <w:szCs w:val="20"/>
          <w:lang w:val="es-ES_tradnl"/>
        </w:rPr>
        <w:t xml:space="preserve">. </w:t>
      </w:r>
      <w:r w:rsidR="00F37537" w:rsidRPr="009B65A5">
        <w:rPr>
          <w:rFonts w:asciiTheme="majorHAnsi" w:hAnsiTheme="majorHAnsi"/>
          <w:sz w:val="20"/>
          <w:szCs w:val="20"/>
          <w:lang w:val="es-ES_tradnl"/>
        </w:rPr>
        <w:t>Producto de ello, el 3 de marzo de 2011 inició el juicio oral contra dich</w:t>
      </w:r>
      <w:r w:rsidR="00F93FDC" w:rsidRPr="009B65A5">
        <w:rPr>
          <w:rFonts w:asciiTheme="majorHAnsi" w:hAnsiTheme="majorHAnsi"/>
          <w:sz w:val="20"/>
          <w:szCs w:val="20"/>
          <w:lang w:val="es-ES_tradnl"/>
        </w:rPr>
        <w:t xml:space="preserve">os agresores. </w:t>
      </w:r>
      <w:r w:rsidR="00B85734" w:rsidRPr="009B65A5">
        <w:rPr>
          <w:rFonts w:asciiTheme="majorHAnsi" w:hAnsiTheme="majorHAnsi"/>
          <w:sz w:val="20"/>
          <w:szCs w:val="20"/>
          <w:lang w:val="es-ES_tradnl"/>
        </w:rPr>
        <w:t>D</w:t>
      </w:r>
      <w:r w:rsidR="009600C2" w:rsidRPr="009B65A5">
        <w:rPr>
          <w:rFonts w:asciiTheme="majorHAnsi" w:hAnsiTheme="majorHAnsi"/>
          <w:sz w:val="20"/>
          <w:szCs w:val="20"/>
          <w:lang w:val="es-ES_tradnl"/>
        </w:rPr>
        <w:t>ebido a</w:t>
      </w:r>
      <w:r w:rsidR="001E6704" w:rsidRPr="009B65A5">
        <w:rPr>
          <w:rFonts w:asciiTheme="majorHAnsi" w:hAnsiTheme="majorHAnsi"/>
          <w:sz w:val="20"/>
          <w:szCs w:val="20"/>
          <w:lang w:val="es-ES_tradnl"/>
        </w:rPr>
        <w:t xml:space="preserve"> los escasos recursos económicos de las presuntas víctimas, el Servicio Plurinacional de Asistencia a la Víctima (en adelante, SEPDAVI) se encargó de apoyarlas en el proceso.</w:t>
      </w:r>
    </w:p>
    <w:p w14:paraId="421FF1DE" w14:textId="14A86450" w:rsidR="00A10E39" w:rsidRPr="009B65A5" w:rsidRDefault="00A10E39" w:rsidP="00045517">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i/>
          <w:iCs/>
          <w:sz w:val="20"/>
          <w:szCs w:val="20"/>
          <w:lang w:val="es-ES_tradnl"/>
        </w:rPr>
      </w:pPr>
      <w:r w:rsidRPr="009B65A5">
        <w:rPr>
          <w:rFonts w:asciiTheme="majorHAnsi" w:hAnsiTheme="majorHAnsi"/>
          <w:i/>
          <w:iCs/>
          <w:sz w:val="20"/>
          <w:szCs w:val="20"/>
          <w:lang w:val="es-ES_tradnl"/>
        </w:rPr>
        <w:t>Demoras en el juicio oral y prescripción de ciertos delitos</w:t>
      </w:r>
    </w:p>
    <w:p w14:paraId="299A9BD7" w14:textId="51400613" w:rsidR="00F37537" w:rsidRPr="009B65A5" w:rsidRDefault="00B85734" w:rsidP="00F22D7C">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9B65A5">
        <w:rPr>
          <w:rFonts w:asciiTheme="majorHAnsi" w:hAnsiTheme="majorHAnsi"/>
          <w:sz w:val="20"/>
          <w:szCs w:val="20"/>
          <w:lang w:val="es-ES_tradnl"/>
        </w:rPr>
        <w:t>La parte peticionaria alega</w:t>
      </w:r>
      <w:r w:rsidR="00A10E39" w:rsidRPr="009B65A5">
        <w:rPr>
          <w:rFonts w:asciiTheme="majorHAnsi" w:hAnsiTheme="majorHAnsi"/>
          <w:sz w:val="20"/>
          <w:szCs w:val="20"/>
          <w:lang w:val="es-ES_tradnl"/>
        </w:rPr>
        <w:t xml:space="preserve"> que el juicio oral sufrió innumerables suspensiones desde que se inició, debido al accionar de los acusados como de los operadores de justicia. Indica que en junio de 2012 el Tribunal de Sentencia de Sucre, encargado de sustanciar el proceso, se quedó sin quorum tras la renuncia de varios de sus miembros, incluido </w:t>
      </w:r>
      <w:r w:rsidR="00DA6344" w:rsidRPr="009B65A5">
        <w:rPr>
          <w:rFonts w:asciiTheme="majorHAnsi" w:hAnsiTheme="majorHAnsi"/>
          <w:sz w:val="20"/>
          <w:szCs w:val="20"/>
          <w:lang w:val="es-ES_tradnl"/>
        </w:rPr>
        <w:t>su</w:t>
      </w:r>
      <w:r w:rsidR="00A10E39" w:rsidRPr="009B65A5">
        <w:rPr>
          <w:rFonts w:asciiTheme="majorHAnsi" w:hAnsiTheme="majorHAnsi"/>
          <w:sz w:val="20"/>
          <w:szCs w:val="20"/>
          <w:lang w:val="es-ES_tradnl"/>
        </w:rPr>
        <w:t xml:space="preserve"> presidente, quien había sido denunciado por retardación de justicia. Consecuentemente, el tribunal se disolvió y el juicio oral qued</w:t>
      </w:r>
      <w:r w:rsidR="00F93FDC" w:rsidRPr="009B65A5">
        <w:rPr>
          <w:rFonts w:asciiTheme="majorHAnsi" w:hAnsiTheme="majorHAnsi"/>
          <w:sz w:val="20"/>
          <w:szCs w:val="20"/>
          <w:lang w:val="es-ES_tradnl"/>
        </w:rPr>
        <w:t>ó</w:t>
      </w:r>
      <w:r w:rsidR="00A10E39" w:rsidRPr="009B65A5">
        <w:rPr>
          <w:rFonts w:asciiTheme="majorHAnsi" w:hAnsiTheme="majorHAnsi"/>
          <w:sz w:val="20"/>
          <w:szCs w:val="20"/>
          <w:lang w:val="es-ES_tradnl"/>
        </w:rPr>
        <w:t xml:space="preserve"> suspendido.</w:t>
      </w:r>
    </w:p>
    <w:p w14:paraId="21C83A72" w14:textId="1C4CC60F" w:rsidR="003721F5" w:rsidRPr="009B65A5" w:rsidRDefault="00DA6344" w:rsidP="00F22D7C">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9B65A5">
        <w:rPr>
          <w:rFonts w:asciiTheme="majorHAnsi" w:hAnsiTheme="majorHAnsi"/>
          <w:sz w:val="20"/>
          <w:szCs w:val="20"/>
          <w:lang w:val="es-ES_tradnl"/>
        </w:rPr>
        <w:t>E</w:t>
      </w:r>
      <w:r w:rsidR="003721F5" w:rsidRPr="009B65A5">
        <w:rPr>
          <w:rFonts w:asciiTheme="majorHAnsi" w:hAnsiTheme="majorHAnsi"/>
          <w:sz w:val="20"/>
          <w:szCs w:val="20"/>
          <w:lang w:val="es-ES_tradnl"/>
        </w:rPr>
        <w:t>l 12 de septiembre de 2012 se inició un nuevo juicio oral, ya no en Sucre</w:t>
      </w:r>
      <w:r w:rsidR="00F93FDC" w:rsidRPr="009B65A5">
        <w:rPr>
          <w:rFonts w:asciiTheme="majorHAnsi" w:hAnsiTheme="majorHAnsi"/>
          <w:sz w:val="20"/>
          <w:szCs w:val="20"/>
          <w:lang w:val="es-ES_tradnl"/>
        </w:rPr>
        <w:t xml:space="preserve"> </w:t>
      </w:r>
      <w:r w:rsidR="003721F5" w:rsidRPr="009B65A5">
        <w:rPr>
          <w:rFonts w:asciiTheme="majorHAnsi" w:hAnsiTheme="majorHAnsi"/>
          <w:sz w:val="20"/>
          <w:szCs w:val="20"/>
          <w:lang w:val="es-ES_tradnl"/>
        </w:rPr>
        <w:t>sino en el municipio de Padilla</w:t>
      </w:r>
      <w:r w:rsidR="00F93FDC" w:rsidRPr="009B65A5">
        <w:rPr>
          <w:rFonts w:asciiTheme="majorHAnsi" w:hAnsiTheme="majorHAnsi"/>
          <w:sz w:val="20"/>
          <w:szCs w:val="20"/>
          <w:lang w:val="es-ES_tradnl"/>
        </w:rPr>
        <w:t xml:space="preserve">, </w:t>
      </w:r>
      <w:r w:rsidR="003721F5" w:rsidRPr="009B65A5">
        <w:rPr>
          <w:rFonts w:asciiTheme="majorHAnsi" w:hAnsiTheme="majorHAnsi"/>
          <w:sz w:val="20"/>
          <w:szCs w:val="20"/>
          <w:lang w:val="es-ES_tradnl"/>
        </w:rPr>
        <w:t xml:space="preserve">a casi 200 km de </w:t>
      </w:r>
      <w:r w:rsidR="00C82B06" w:rsidRPr="009B65A5">
        <w:rPr>
          <w:rFonts w:asciiTheme="majorHAnsi" w:hAnsiTheme="majorHAnsi"/>
          <w:sz w:val="20"/>
          <w:szCs w:val="20"/>
          <w:lang w:val="es-ES_tradnl"/>
        </w:rPr>
        <w:t>la citada ciudad</w:t>
      </w:r>
      <w:r w:rsidR="003721F5" w:rsidRPr="009B65A5">
        <w:rPr>
          <w:rFonts w:asciiTheme="majorHAnsi" w:hAnsiTheme="majorHAnsi"/>
          <w:sz w:val="20"/>
          <w:szCs w:val="20"/>
          <w:lang w:val="es-ES_tradnl"/>
        </w:rPr>
        <w:t xml:space="preserve">. </w:t>
      </w:r>
      <w:r w:rsidR="00F93FDC" w:rsidRPr="009B65A5">
        <w:rPr>
          <w:rFonts w:asciiTheme="majorHAnsi" w:hAnsiTheme="majorHAnsi"/>
          <w:sz w:val="20"/>
          <w:szCs w:val="20"/>
          <w:lang w:val="es-ES_tradnl"/>
        </w:rPr>
        <w:t xml:space="preserve">Explica </w:t>
      </w:r>
      <w:r w:rsidR="00641FE6" w:rsidRPr="009B65A5">
        <w:rPr>
          <w:rFonts w:asciiTheme="majorHAnsi" w:hAnsiTheme="majorHAnsi"/>
          <w:sz w:val="20"/>
          <w:szCs w:val="20"/>
          <w:lang w:val="es-ES_tradnl"/>
        </w:rPr>
        <w:t>que,</w:t>
      </w:r>
      <w:r w:rsidR="003721F5" w:rsidRPr="009B65A5">
        <w:rPr>
          <w:rFonts w:asciiTheme="majorHAnsi" w:hAnsiTheme="majorHAnsi"/>
          <w:sz w:val="20"/>
          <w:szCs w:val="20"/>
          <w:lang w:val="es-ES_tradnl"/>
        </w:rPr>
        <w:t xml:space="preserve"> dado que este segundo juicio se instauró en una localidad rural muy lejana para las partes involucradas, el Tribunal de Sentencia de Padilla decidió sesionar solamente dos días por semana, lo que provocó que </w:t>
      </w:r>
      <w:r w:rsidR="00F93FDC" w:rsidRPr="009B65A5">
        <w:rPr>
          <w:rFonts w:asciiTheme="majorHAnsi" w:hAnsiTheme="majorHAnsi"/>
          <w:sz w:val="20"/>
          <w:szCs w:val="20"/>
          <w:lang w:val="es-ES_tradnl"/>
        </w:rPr>
        <w:t>el proceso</w:t>
      </w:r>
      <w:r w:rsidR="003721F5" w:rsidRPr="009B65A5">
        <w:rPr>
          <w:rFonts w:asciiTheme="majorHAnsi" w:hAnsiTheme="majorHAnsi"/>
          <w:sz w:val="20"/>
          <w:szCs w:val="20"/>
          <w:lang w:val="es-ES_tradnl"/>
        </w:rPr>
        <w:t xml:space="preserve"> se extendiera. </w:t>
      </w:r>
    </w:p>
    <w:p w14:paraId="562B2254" w14:textId="1D99C132" w:rsidR="003721F5" w:rsidRPr="009B65A5" w:rsidRDefault="00207BD7" w:rsidP="00F93FDC">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9B65A5">
        <w:rPr>
          <w:rFonts w:asciiTheme="majorHAnsi" w:hAnsiTheme="majorHAnsi"/>
          <w:sz w:val="20"/>
          <w:szCs w:val="20"/>
          <w:lang w:val="es-ES_tradnl"/>
        </w:rPr>
        <w:t>La parte peticionaria alega</w:t>
      </w:r>
      <w:r w:rsidR="003721F5" w:rsidRPr="009B65A5">
        <w:rPr>
          <w:rFonts w:asciiTheme="majorHAnsi" w:hAnsiTheme="majorHAnsi"/>
          <w:sz w:val="20"/>
          <w:szCs w:val="20"/>
          <w:lang w:val="es-ES_tradnl"/>
        </w:rPr>
        <w:t xml:space="preserve"> que en este nuevo juicio oral la estrategia procesal de los acusados consistió en dil</w:t>
      </w:r>
      <w:r w:rsidR="00157D95" w:rsidRPr="009B65A5">
        <w:rPr>
          <w:rFonts w:asciiTheme="majorHAnsi" w:hAnsiTheme="majorHAnsi"/>
          <w:sz w:val="20"/>
          <w:szCs w:val="20"/>
          <w:lang w:val="es-ES_tradnl"/>
        </w:rPr>
        <w:t>a</w:t>
      </w:r>
      <w:r w:rsidR="003721F5" w:rsidRPr="009B65A5">
        <w:rPr>
          <w:rFonts w:asciiTheme="majorHAnsi" w:hAnsiTheme="majorHAnsi"/>
          <w:sz w:val="20"/>
          <w:szCs w:val="20"/>
          <w:lang w:val="es-ES_tradnl"/>
        </w:rPr>
        <w:t xml:space="preserve">tar el desarrollo del proceso para lograr la prescripción de los delitos y la extinción de la acción penal. </w:t>
      </w:r>
      <w:r w:rsidR="00157D95" w:rsidRPr="009B65A5">
        <w:rPr>
          <w:rFonts w:asciiTheme="majorHAnsi" w:hAnsiTheme="majorHAnsi"/>
          <w:sz w:val="20"/>
          <w:szCs w:val="20"/>
          <w:lang w:val="es-ES_tradnl"/>
        </w:rPr>
        <w:t>En esa línea, resalta que tales personas</w:t>
      </w:r>
      <w:r w:rsidR="00F93FDC" w:rsidRPr="009B65A5">
        <w:rPr>
          <w:rFonts w:asciiTheme="majorHAnsi" w:hAnsiTheme="majorHAnsi"/>
          <w:sz w:val="20"/>
          <w:szCs w:val="20"/>
          <w:lang w:val="es-ES_tradnl"/>
        </w:rPr>
        <w:t xml:space="preserve"> presentaron al tribunal un total aproximado de 180 incidentes procesales y</w:t>
      </w:r>
      <w:r w:rsidR="00157D95" w:rsidRPr="009B65A5">
        <w:rPr>
          <w:rFonts w:asciiTheme="majorHAnsi" w:hAnsiTheme="majorHAnsi"/>
          <w:sz w:val="20"/>
          <w:szCs w:val="20"/>
          <w:lang w:val="es-ES_tradnl"/>
        </w:rPr>
        <w:t xml:space="preserve"> lograron numerosas suspensiones de</w:t>
      </w:r>
      <w:r w:rsidR="00F93FDC" w:rsidRPr="009B65A5">
        <w:rPr>
          <w:rFonts w:asciiTheme="majorHAnsi" w:hAnsiTheme="majorHAnsi"/>
          <w:sz w:val="20"/>
          <w:szCs w:val="20"/>
          <w:lang w:val="es-ES_tradnl"/>
        </w:rPr>
        <w:t xml:space="preserve"> </w:t>
      </w:r>
      <w:r w:rsidR="00157D95" w:rsidRPr="009B65A5">
        <w:rPr>
          <w:rFonts w:asciiTheme="majorHAnsi" w:hAnsiTheme="majorHAnsi"/>
          <w:sz w:val="20"/>
          <w:szCs w:val="20"/>
          <w:lang w:val="es-ES_tradnl"/>
        </w:rPr>
        <w:t>audienci</w:t>
      </w:r>
      <w:r w:rsidR="00F93FDC" w:rsidRPr="009B65A5">
        <w:rPr>
          <w:rFonts w:asciiTheme="majorHAnsi" w:hAnsiTheme="majorHAnsi"/>
          <w:sz w:val="20"/>
          <w:szCs w:val="20"/>
          <w:lang w:val="es-ES_tradnl"/>
        </w:rPr>
        <w:t>a.</w:t>
      </w:r>
    </w:p>
    <w:p w14:paraId="363EF73C" w14:textId="303D65C3" w:rsidR="006C59BC" w:rsidRPr="009B65A5" w:rsidRDefault="006C59BC" w:rsidP="00F22D7C">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9B65A5">
        <w:rPr>
          <w:rFonts w:asciiTheme="majorHAnsi" w:hAnsiTheme="majorHAnsi"/>
          <w:sz w:val="20"/>
          <w:szCs w:val="20"/>
          <w:lang w:val="es-ES_tradnl"/>
        </w:rPr>
        <w:t xml:space="preserve">Producto de este </w:t>
      </w:r>
      <w:r w:rsidR="002523E6" w:rsidRPr="009B65A5">
        <w:rPr>
          <w:rFonts w:asciiTheme="majorHAnsi" w:hAnsiTheme="majorHAnsi"/>
          <w:sz w:val="20"/>
          <w:szCs w:val="20"/>
          <w:lang w:val="es-ES_tradnl"/>
        </w:rPr>
        <w:t>accionar</w:t>
      </w:r>
      <w:r w:rsidRPr="009B65A5">
        <w:rPr>
          <w:rFonts w:asciiTheme="majorHAnsi" w:hAnsiTheme="majorHAnsi"/>
          <w:sz w:val="20"/>
          <w:szCs w:val="20"/>
          <w:lang w:val="es-ES_tradnl"/>
        </w:rPr>
        <w:t>, resalta que</w:t>
      </w:r>
      <w:r w:rsidR="002523E6" w:rsidRPr="009B65A5">
        <w:rPr>
          <w:rFonts w:asciiTheme="majorHAnsi" w:hAnsiTheme="majorHAnsi"/>
          <w:sz w:val="20"/>
          <w:szCs w:val="20"/>
          <w:lang w:val="es-ES_tradnl"/>
        </w:rPr>
        <w:t xml:space="preserve"> </w:t>
      </w:r>
      <w:r w:rsidRPr="009B65A5">
        <w:rPr>
          <w:rFonts w:asciiTheme="majorHAnsi" w:hAnsiTheme="majorHAnsi"/>
          <w:sz w:val="20"/>
          <w:szCs w:val="20"/>
          <w:lang w:val="es-ES_tradnl"/>
        </w:rPr>
        <w:t>en febrero de 201</w:t>
      </w:r>
      <w:r w:rsidR="002523E6" w:rsidRPr="009B65A5">
        <w:rPr>
          <w:rFonts w:asciiTheme="majorHAnsi" w:hAnsiTheme="majorHAnsi"/>
          <w:sz w:val="20"/>
          <w:szCs w:val="20"/>
          <w:lang w:val="es-ES_tradnl"/>
        </w:rPr>
        <w:t xml:space="preserve">3 el Tribunal de Sentencia de Padilla, mediante Auto N° 013/2013, aceptó la excepción de prescripción presentada </w:t>
      </w:r>
      <w:r w:rsidR="000B4ED1" w:rsidRPr="009B65A5">
        <w:rPr>
          <w:rFonts w:asciiTheme="majorHAnsi" w:hAnsiTheme="majorHAnsi"/>
          <w:sz w:val="20"/>
          <w:szCs w:val="20"/>
          <w:lang w:val="es-ES_tradnl"/>
        </w:rPr>
        <w:t>por once personas</w:t>
      </w:r>
      <w:r w:rsidR="002523E6" w:rsidRPr="009B65A5">
        <w:rPr>
          <w:rFonts w:asciiTheme="majorHAnsi" w:hAnsiTheme="majorHAnsi"/>
          <w:sz w:val="20"/>
          <w:szCs w:val="20"/>
          <w:lang w:val="es-ES_tradnl"/>
        </w:rPr>
        <w:t xml:space="preserve"> acusad</w:t>
      </w:r>
      <w:r w:rsidR="000B4ED1" w:rsidRPr="009B65A5">
        <w:rPr>
          <w:rFonts w:asciiTheme="majorHAnsi" w:hAnsiTheme="majorHAnsi"/>
          <w:sz w:val="20"/>
          <w:szCs w:val="20"/>
          <w:lang w:val="es-ES_tradnl"/>
        </w:rPr>
        <w:t>a</w:t>
      </w:r>
      <w:r w:rsidR="002523E6" w:rsidRPr="009B65A5">
        <w:rPr>
          <w:rFonts w:asciiTheme="majorHAnsi" w:hAnsiTheme="majorHAnsi"/>
          <w:sz w:val="20"/>
          <w:szCs w:val="20"/>
          <w:lang w:val="es-ES_tradnl"/>
        </w:rPr>
        <w:t xml:space="preserve">s en relación </w:t>
      </w:r>
      <w:r w:rsidR="00F93FDC" w:rsidRPr="009B65A5">
        <w:rPr>
          <w:rFonts w:asciiTheme="majorHAnsi" w:hAnsiTheme="majorHAnsi"/>
          <w:sz w:val="20"/>
          <w:szCs w:val="20"/>
          <w:lang w:val="es-ES_tradnl"/>
        </w:rPr>
        <w:t xml:space="preserve">con </w:t>
      </w:r>
      <w:r w:rsidR="002523E6" w:rsidRPr="009B65A5">
        <w:rPr>
          <w:rFonts w:asciiTheme="majorHAnsi" w:hAnsiTheme="majorHAnsi"/>
          <w:sz w:val="20"/>
          <w:szCs w:val="20"/>
          <w:lang w:val="es-ES_tradnl"/>
        </w:rPr>
        <w:t>los delitos de</w:t>
      </w:r>
      <w:r w:rsidR="00207BD7" w:rsidRPr="009B65A5">
        <w:rPr>
          <w:rFonts w:asciiTheme="majorHAnsi" w:hAnsiTheme="majorHAnsi"/>
          <w:sz w:val="20"/>
          <w:szCs w:val="20"/>
          <w:lang w:val="es-ES_tradnl"/>
        </w:rPr>
        <w:t>:</w:t>
      </w:r>
      <w:r w:rsidR="00F93FDC" w:rsidRPr="009B65A5">
        <w:rPr>
          <w:rFonts w:asciiTheme="majorHAnsi" w:hAnsiTheme="majorHAnsi"/>
          <w:sz w:val="20"/>
          <w:szCs w:val="20"/>
          <w:lang w:val="es-ES_tradnl"/>
        </w:rPr>
        <w:t xml:space="preserve"> </w:t>
      </w:r>
      <w:r w:rsidR="002523E6" w:rsidRPr="009B65A5">
        <w:rPr>
          <w:rFonts w:asciiTheme="majorHAnsi" w:hAnsiTheme="majorHAnsi"/>
          <w:sz w:val="20"/>
          <w:szCs w:val="20"/>
          <w:lang w:val="es-ES_tradnl"/>
        </w:rPr>
        <w:t>i) instigación pública a delinquir; ii) desórdenes o perturbaciones pública; iii) lesiones leves; iv) privación de libertad; y v) amenazas.</w:t>
      </w:r>
      <w:r w:rsidR="000B4ED1" w:rsidRPr="009B65A5">
        <w:rPr>
          <w:rFonts w:asciiTheme="majorHAnsi" w:hAnsiTheme="majorHAnsi"/>
          <w:sz w:val="20"/>
          <w:szCs w:val="20"/>
          <w:lang w:val="es-ES_tradnl"/>
        </w:rPr>
        <w:t xml:space="preserve"> Resalta que el Alto Comisionado de Naciones Unidas, en su informe sobre las actividades de su oficina en Bolivia, constató esta situación y requirió a las autoridades intensificar sus esfuerzos para erradicar la impunidad de este caso</w:t>
      </w:r>
      <w:r w:rsidR="000B4ED1" w:rsidRPr="009B65A5">
        <w:rPr>
          <w:rStyle w:val="FootnoteReference"/>
          <w:rFonts w:asciiTheme="majorHAnsi" w:hAnsiTheme="majorHAnsi"/>
          <w:sz w:val="20"/>
          <w:szCs w:val="20"/>
          <w:lang w:val="es-ES_tradnl"/>
        </w:rPr>
        <w:footnoteReference w:id="10"/>
      </w:r>
      <w:r w:rsidR="000B4ED1" w:rsidRPr="009B65A5">
        <w:rPr>
          <w:rFonts w:asciiTheme="majorHAnsi" w:hAnsiTheme="majorHAnsi"/>
          <w:sz w:val="20"/>
          <w:szCs w:val="20"/>
          <w:lang w:val="es-ES_tradnl"/>
        </w:rPr>
        <w:t>. Sin embargo, la parte peticionaria arguye que la demora en las actuaciones continuó.</w:t>
      </w:r>
    </w:p>
    <w:p w14:paraId="6CEA7C87" w14:textId="0C531EED" w:rsidR="008C6BDD" w:rsidRPr="009B65A5" w:rsidRDefault="006914FB" w:rsidP="00A10E39">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9B65A5">
        <w:rPr>
          <w:rFonts w:asciiTheme="majorHAnsi" w:hAnsiTheme="majorHAnsi"/>
          <w:sz w:val="20"/>
          <w:szCs w:val="20"/>
          <w:lang w:val="es-ES_tradnl"/>
        </w:rPr>
        <w:lastRenderedPageBreak/>
        <w:t xml:space="preserve">Asimismo, resalta que </w:t>
      </w:r>
      <w:r w:rsidR="00207BD7" w:rsidRPr="009B65A5">
        <w:rPr>
          <w:rFonts w:asciiTheme="majorHAnsi" w:hAnsiTheme="majorHAnsi"/>
          <w:sz w:val="20"/>
          <w:szCs w:val="20"/>
          <w:lang w:val="es-ES_tradnl"/>
        </w:rPr>
        <w:t>dos</w:t>
      </w:r>
      <w:r w:rsidRPr="009B65A5">
        <w:rPr>
          <w:rFonts w:asciiTheme="majorHAnsi" w:hAnsiTheme="majorHAnsi"/>
          <w:sz w:val="20"/>
          <w:szCs w:val="20"/>
          <w:lang w:val="es-ES_tradnl"/>
        </w:rPr>
        <w:t xml:space="preserve"> personas</w:t>
      </w:r>
      <w:r w:rsidR="00C32CD5" w:rsidRPr="009B65A5">
        <w:rPr>
          <w:rFonts w:asciiTheme="majorHAnsi" w:hAnsiTheme="majorHAnsi"/>
          <w:sz w:val="20"/>
          <w:szCs w:val="20"/>
          <w:lang w:val="es-ES_tradnl"/>
        </w:rPr>
        <w:t xml:space="preserve"> acusadas se acogieron a la figura procesal del procedimiento abreviado y negociaron su culpabilidad con el Ministerio Público. Producto de ello, tales victimarios fueron sentenciados únicamente a dos años de prisión por </w:t>
      </w:r>
      <w:r w:rsidR="00710E97" w:rsidRPr="009B65A5">
        <w:rPr>
          <w:rFonts w:asciiTheme="majorHAnsi" w:hAnsiTheme="majorHAnsi"/>
          <w:sz w:val="20"/>
          <w:szCs w:val="20"/>
          <w:lang w:val="es-ES_tradnl"/>
        </w:rPr>
        <w:t>el</w:t>
      </w:r>
      <w:r w:rsidR="00C32CD5" w:rsidRPr="009B65A5">
        <w:rPr>
          <w:rFonts w:asciiTheme="majorHAnsi" w:hAnsiTheme="majorHAnsi"/>
          <w:sz w:val="20"/>
          <w:szCs w:val="20"/>
          <w:lang w:val="es-ES_tradnl"/>
        </w:rPr>
        <w:t xml:space="preserve"> delito de </w:t>
      </w:r>
      <w:r w:rsidR="008C6BDD" w:rsidRPr="009B65A5">
        <w:rPr>
          <w:rFonts w:asciiTheme="majorHAnsi" w:hAnsiTheme="majorHAnsi"/>
          <w:sz w:val="20"/>
          <w:szCs w:val="20"/>
          <w:lang w:val="es-ES_tradnl"/>
        </w:rPr>
        <w:t>coacció</w:t>
      </w:r>
      <w:r w:rsidR="00710E97" w:rsidRPr="009B65A5">
        <w:rPr>
          <w:rFonts w:asciiTheme="majorHAnsi" w:hAnsiTheme="majorHAnsi"/>
          <w:sz w:val="20"/>
          <w:szCs w:val="20"/>
          <w:lang w:val="es-ES_tradnl"/>
        </w:rPr>
        <w:t>n</w:t>
      </w:r>
      <w:r w:rsidR="00C32CD5" w:rsidRPr="009B65A5">
        <w:rPr>
          <w:rFonts w:asciiTheme="majorHAnsi" w:hAnsiTheme="majorHAnsi"/>
          <w:sz w:val="20"/>
          <w:szCs w:val="20"/>
          <w:lang w:val="es-ES_tradnl"/>
        </w:rPr>
        <w:t>. A juicio de la parte peticionaria, tal pena resultó ínfima y no guard</w:t>
      </w:r>
      <w:r w:rsidR="00F93FDC" w:rsidRPr="009B65A5">
        <w:rPr>
          <w:rFonts w:asciiTheme="majorHAnsi" w:hAnsiTheme="majorHAnsi"/>
          <w:sz w:val="20"/>
          <w:szCs w:val="20"/>
          <w:lang w:val="es-ES_tradnl"/>
        </w:rPr>
        <w:t>ó</w:t>
      </w:r>
      <w:r w:rsidR="00C32CD5" w:rsidRPr="009B65A5">
        <w:rPr>
          <w:rFonts w:asciiTheme="majorHAnsi" w:hAnsiTheme="majorHAnsi"/>
          <w:sz w:val="20"/>
          <w:szCs w:val="20"/>
          <w:lang w:val="es-ES_tradnl"/>
        </w:rPr>
        <w:t xml:space="preserve"> relación con la gravedad de los hechos delictivos cometidos el 24 de mayo de 2008</w:t>
      </w:r>
      <w:r w:rsidR="008C6BDD" w:rsidRPr="009B65A5">
        <w:rPr>
          <w:rFonts w:asciiTheme="majorHAnsi" w:hAnsiTheme="majorHAnsi"/>
          <w:sz w:val="20"/>
          <w:szCs w:val="20"/>
          <w:lang w:val="es-ES_tradnl"/>
        </w:rPr>
        <w:t>.</w:t>
      </w:r>
    </w:p>
    <w:p w14:paraId="433B5431" w14:textId="698C6539" w:rsidR="00A10E39" w:rsidRPr="009B65A5" w:rsidRDefault="00A10E39" w:rsidP="00207BD7">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_tradnl"/>
        </w:rPr>
      </w:pPr>
      <w:r w:rsidRPr="009B65A5">
        <w:rPr>
          <w:rFonts w:asciiTheme="majorHAnsi" w:hAnsiTheme="majorHAnsi"/>
          <w:i/>
          <w:iCs/>
          <w:sz w:val="20"/>
          <w:szCs w:val="20"/>
          <w:lang w:val="es-ES_tradnl"/>
        </w:rPr>
        <w:t xml:space="preserve">Condena penal </w:t>
      </w:r>
      <w:r w:rsidR="00710E97" w:rsidRPr="009B65A5">
        <w:rPr>
          <w:rFonts w:asciiTheme="majorHAnsi" w:hAnsiTheme="majorHAnsi"/>
          <w:i/>
          <w:iCs/>
          <w:sz w:val="20"/>
          <w:szCs w:val="20"/>
          <w:lang w:val="es-ES_tradnl"/>
        </w:rPr>
        <w:t>contra</w:t>
      </w:r>
      <w:r w:rsidRPr="009B65A5">
        <w:rPr>
          <w:rFonts w:asciiTheme="majorHAnsi" w:hAnsiTheme="majorHAnsi"/>
          <w:i/>
          <w:iCs/>
          <w:sz w:val="20"/>
          <w:szCs w:val="20"/>
          <w:lang w:val="es-ES_tradnl"/>
        </w:rPr>
        <w:t xml:space="preserve"> algunas de las personas acusadas</w:t>
      </w:r>
    </w:p>
    <w:p w14:paraId="28C3C925" w14:textId="4A990F05" w:rsidR="00F22D7C" w:rsidRPr="009B65A5" w:rsidRDefault="006914FB" w:rsidP="005552B6">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9B65A5">
        <w:rPr>
          <w:rFonts w:asciiTheme="majorHAnsi" w:hAnsiTheme="majorHAnsi"/>
          <w:sz w:val="20"/>
          <w:szCs w:val="20"/>
          <w:lang w:val="es-ES_tradnl"/>
        </w:rPr>
        <w:t>Tras los sucesos previamente descritos, la parte peticionaria d</w:t>
      </w:r>
      <w:r w:rsidR="00444083" w:rsidRPr="009B65A5">
        <w:rPr>
          <w:rFonts w:asciiTheme="majorHAnsi" w:hAnsiTheme="majorHAnsi"/>
          <w:sz w:val="20"/>
          <w:szCs w:val="20"/>
          <w:lang w:val="es-ES_tradnl"/>
        </w:rPr>
        <w:t xml:space="preserve">etalla que </w:t>
      </w:r>
      <w:r w:rsidR="004F684D" w:rsidRPr="009B65A5">
        <w:rPr>
          <w:rFonts w:asciiTheme="majorHAnsi" w:hAnsiTheme="majorHAnsi"/>
          <w:sz w:val="20"/>
          <w:szCs w:val="20"/>
          <w:lang w:val="es-ES_tradnl"/>
        </w:rPr>
        <w:t xml:space="preserve">recién </w:t>
      </w:r>
      <w:r w:rsidR="00444083" w:rsidRPr="009B65A5">
        <w:rPr>
          <w:rFonts w:asciiTheme="majorHAnsi" w:hAnsiTheme="majorHAnsi"/>
          <w:sz w:val="20"/>
          <w:szCs w:val="20"/>
          <w:lang w:val="es-ES_tradnl"/>
        </w:rPr>
        <w:t xml:space="preserve">el 2 de marzo de 2016 el Tribunal de Sentencia en lo Penal de Padilla, mediante Sentencia N° 4/2016, </w:t>
      </w:r>
      <w:r w:rsidRPr="009B65A5">
        <w:rPr>
          <w:rFonts w:asciiTheme="majorHAnsi" w:hAnsiTheme="majorHAnsi"/>
          <w:sz w:val="20"/>
          <w:szCs w:val="20"/>
          <w:lang w:val="es-ES_tradnl"/>
        </w:rPr>
        <w:t xml:space="preserve">condenó a </w:t>
      </w:r>
      <w:r w:rsidR="00A057F1" w:rsidRPr="009B65A5">
        <w:rPr>
          <w:rFonts w:asciiTheme="majorHAnsi" w:hAnsiTheme="majorHAnsi"/>
          <w:sz w:val="20"/>
          <w:szCs w:val="20"/>
          <w:lang w:val="es-ES_tradnl"/>
        </w:rPr>
        <w:t>trece</w:t>
      </w:r>
      <w:r w:rsidRPr="009B65A5">
        <w:rPr>
          <w:rFonts w:asciiTheme="majorHAnsi" w:hAnsiTheme="majorHAnsi"/>
          <w:sz w:val="20"/>
          <w:szCs w:val="20"/>
          <w:lang w:val="es-ES_tradnl"/>
        </w:rPr>
        <w:t xml:space="preserve"> personas, en los siguientes términos</w:t>
      </w:r>
      <w:r w:rsidR="004F684D" w:rsidRPr="009B65A5">
        <w:rPr>
          <w:rFonts w:asciiTheme="majorHAnsi" w:hAnsiTheme="majorHAnsi"/>
          <w:sz w:val="20"/>
          <w:szCs w:val="20"/>
          <w:lang w:val="es-ES_tradnl"/>
        </w:rPr>
        <w:t>:</w:t>
      </w:r>
    </w:p>
    <w:p w14:paraId="1A9FB2E5" w14:textId="6D38DA18" w:rsidR="00ED7424" w:rsidRPr="009B65A5" w:rsidRDefault="00ED7424" w:rsidP="000F3A13">
      <w:pPr>
        <w:pStyle w:val="ListParagraph"/>
        <w:numPr>
          <w:ilvl w:val="0"/>
          <w:numId w:val="68"/>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_tradnl"/>
        </w:rPr>
      </w:pPr>
      <w:r w:rsidRPr="009B65A5">
        <w:rPr>
          <w:rFonts w:asciiTheme="majorHAnsi" w:hAnsiTheme="majorHAnsi"/>
          <w:sz w:val="20"/>
          <w:szCs w:val="20"/>
          <w:lang w:val="es-ES_tradnl"/>
        </w:rPr>
        <w:t xml:space="preserve">Absolvió a </w:t>
      </w:r>
      <w:r w:rsidR="00A057F1" w:rsidRPr="009B65A5">
        <w:rPr>
          <w:rFonts w:asciiTheme="majorHAnsi" w:hAnsiTheme="majorHAnsi"/>
          <w:sz w:val="20"/>
          <w:szCs w:val="20"/>
          <w:lang w:val="es-ES_tradnl"/>
        </w:rPr>
        <w:t>diez</w:t>
      </w:r>
      <w:r w:rsidRPr="009B65A5">
        <w:rPr>
          <w:rFonts w:asciiTheme="majorHAnsi" w:hAnsiTheme="majorHAnsi"/>
          <w:sz w:val="20"/>
          <w:szCs w:val="20"/>
          <w:lang w:val="es-ES_tradnl"/>
        </w:rPr>
        <w:t xml:space="preserve"> personas por el delito de sedición;</w:t>
      </w:r>
    </w:p>
    <w:p w14:paraId="1E798B51" w14:textId="3503707B" w:rsidR="00ED7424" w:rsidRPr="009B65A5" w:rsidRDefault="00ED7424" w:rsidP="000F3A13">
      <w:pPr>
        <w:pStyle w:val="ListParagraph"/>
        <w:numPr>
          <w:ilvl w:val="0"/>
          <w:numId w:val="68"/>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_tradnl"/>
        </w:rPr>
      </w:pPr>
      <w:r w:rsidRPr="009B65A5">
        <w:rPr>
          <w:rFonts w:asciiTheme="majorHAnsi" w:hAnsiTheme="majorHAnsi"/>
          <w:sz w:val="20"/>
          <w:szCs w:val="20"/>
          <w:lang w:val="es-ES_tradnl"/>
        </w:rPr>
        <w:t xml:space="preserve">Absolvió a </w:t>
      </w:r>
      <w:r w:rsidR="00A057F1" w:rsidRPr="009B65A5">
        <w:rPr>
          <w:rFonts w:asciiTheme="majorHAnsi" w:hAnsiTheme="majorHAnsi"/>
          <w:sz w:val="20"/>
          <w:szCs w:val="20"/>
          <w:lang w:val="es-ES_tradnl"/>
        </w:rPr>
        <w:t>una</w:t>
      </w:r>
      <w:r w:rsidRPr="009B65A5">
        <w:rPr>
          <w:rFonts w:asciiTheme="majorHAnsi" w:hAnsiTheme="majorHAnsi"/>
          <w:sz w:val="20"/>
          <w:szCs w:val="20"/>
          <w:lang w:val="es-ES_tradnl"/>
        </w:rPr>
        <w:t xml:space="preserve"> persona por asociación delictuosa</w:t>
      </w:r>
      <w:r w:rsidR="00C32CD5" w:rsidRPr="009B65A5">
        <w:rPr>
          <w:rFonts w:asciiTheme="majorHAnsi" w:hAnsiTheme="majorHAnsi"/>
          <w:sz w:val="20"/>
          <w:szCs w:val="20"/>
          <w:lang w:val="es-ES_tradnl"/>
        </w:rPr>
        <w:t>;</w:t>
      </w:r>
    </w:p>
    <w:p w14:paraId="131DF698" w14:textId="27779515" w:rsidR="00ED7424" w:rsidRPr="009B65A5" w:rsidRDefault="00ED7424" w:rsidP="000F3A13">
      <w:pPr>
        <w:pStyle w:val="ListParagraph"/>
        <w:numPr>
          <w:ilvl w:val="0"/>
          <w:numId w:val="68"/>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_tradnl"/>
        </w:rPr>
      </w:pPr>
      <w:r w:rsidRPr="009B65A5">
        <w:rPr>
          <w:rFonts w:asciiTheme="majorHAnsi" w:hAnsiTheme="majorHAnsi"/>
          <w:sz w:val="20"/>
          <w:szCs w:val="20"/>
          <w:lang w:val="es-ES_tradnl"/>
        </w:rPr>
        <w:t xml:space="preserve">Condenó a </w:t>
      </w:r>
      <w:r w:rsidR="00A057F1" w:rsidRPr="009B65A5">
        <w:rPr>
          <w:rFonts w:asciiTheme="majorHAnsi" w:hAnsiTheme="majorHAnsi"/>
          <w:sz w:val="20"/>
          <w:szCs w:val="20"/>
          <w:lang w:val="es-ES_tradnl"/>
        </w:rPr>
        <w:t>diez</w:t>
      </w:r>
      <w:r w:rsidR="000F3A13" w:rsidRPr="009B65A5">
        <w:rPr>
          <w:rFonts w:asciiTheme="majorHAnsi" w:hAnsiTheme="majorHAnsi"/>
          <w:sz w:val="20"/>
          <w:szCs w:val="20"/>
          <w:lang w:val="es-ES_tradnl"/>
        </w:rPr>
        <w:t xml:space="preserve"> personas como </w:t>
      </w:r>
      <w:r w:rsidR="009B65A5" w:rsidRPr="009B65A5">
        <w:rPr>
          <w:rFonts w:asciiTheme="majorHAnsi" w:hAnsiTheme="majorHAnsi"/>
          <w:sz w:val="20"/>
          <w:szCs w:val="20"/>
          <w:lang w:val="es-ES_tradnl"/>
        </w:rPr>
        <w:t>coautores</w:t>
      </w:r>
      <w:r w:rsidR="000F3A13" w:rsidRPr="009B65A5">
        <w:rPr>
          <w:rFonts w:asciiTheme="majorHAnsi" w:hAnsiTheme="majorHAnsi"/>
          <w:sz w:val="20"/>
          <w:szCs w:val="20"/>
          <w:lang w:val="es-ES_tradnl"/>
        </w:rPr>
        <w:t xml:space="preserve"> del delito de asociación delictuosa</w:t>
      </w:r>
      <w:r w:rsidR="00C32CD5" w:rsidRPr="009B65A5">
        <w:rPr>
          <w:rFonts w:asciiTheme="majorHAnsi" w:hAnsiTheme="majorHAnsi"/>
          <w:sz w:val="20"/>
          <w:szCs w:val="20"/>
          <w:lang w:val="es-ES_tradnl"/>
        </w:rPr>
        <w:t>;</w:t>
      </w:r>
    </w:p>
    <w:p w14:paraId="7D85B5B7" w14:textId="3ECD62DD" w:rsidR="000F3A13" w:rsidRPr="009B65A5" w:rsidRDefault="000F3A13" w:rsidP="000F3A13">
      <w:pPr>
        <w:pStyle w:val="ListParagraph"/>
        <w:numPr>
          <w:ilvl w:val="0"/>
          <w:numId w:val="68"/>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_tradnl"/>
        </w:rPr>
      </w:pPr>
      <w:r w:rsidRPr="009B65A5">
        <w:rPr>
          <w:rFonts w:asciiTheme="majorHAnsi" w:hAnsiTheme="majorHAnsi"/>
          <w:sz w:val="20"/>
          <w:szCs w:val="20"/>
          <w:lang w:val="es-ES_tradnl"/>
        </w:rPr>
        <w:t xml:space="preserve">Condenó a tres personas como </w:t>
      </w:r>
      <w:r w:rsidR="009B65A5" w:rsidRPr="009B65A5">
        <w:rPr>
          <w:rFonts w:asciiTheme="majorHAnsi" w:hAnsiTheme="majorHAnsi"/>
          <w:sz w:val="20"/>
          <w:szCs w:val="20"/>
          <w:lang w:val="es-ES_tradnl"/>
        </w:rPr>
        <w:t>coautores</w:t>
      </w:r>
      <w:r w:rsidRPr="009B65A5">
        <w:rPr>
          <w:rFonts w:asciiTheme="majorHAnsi" w:hAnsiTheme="majorHAnsi"/>
          <w:sz w:val="20"/>
          <w:szCs w:val="20"/>
          <w:lang w:val="es-ES_tradnl"/>
        </w:rPr>
        <w:t xml:space="preserve"> del delito de fabricación, comercio o tenencia de sustancias explosivas</w:t>
      </w:r>
      <w:r w:rsidR="00C32CD5" w:rsidRPr="009B65A5">
        <w:rPr>
          <w:rFonts w:asciiTheme="majorHAnsi" w:hAnsiTheme="majorHAnsi"/>
          <w:sz w:val="20"/>
          <w:szCs w:val="20"/>
          <w:lang w:val="es-ES_tradnl"/>
        </w:rPr>
        <w:t>;</w:t>
      </w:r>
    </w:p>
    <w:p w14:paraId="6865C8CD" w14:textId="310D144B" w:rsidR="000F3A13" w:rsidRPr="009B65A5" w:rsidRDefault="000F3A13" w:rsidP="000F3A13">
      <w:pPr>
        <w:pStyle w:val="ListParagraph"/>
        <w:numPr>
          <w:ilvl w:val="0"/>
          <w:numId w:val="68"/>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_tradnl"/>
        </w:rPr>
      </w:pPr>
      <w:r w:rsidRPr="009B65A5">
        <w:rPr>
          <w:rFonts w:asciiTheme="majorHAnsi" w:hAnsiTheme="majorHAnsi"/>
          <w:sz w:val="20"/>
          <w:szCs w:val="20"/>
          <w:lang w:val="es-ES_tradnl"/>
        </w:rPr>
        <w:t>Absolvió a una persona por el delito de tentativo de homicidio</w:t>
      </w:r>
      <w:r w:rsidR="00C32CD5" w:rsidRPr="009B65A5">
        <w:rPr>
          <w:rFonts w:asciiTheme="majorHAnsi" w:hAnsiTheme="majorHAnsi"/>
          <w:sz w:val="20"/>
          <w:szCs w:val="20"/>
          <w:lang w:val="es-ES_tradnl"/>
        </w:rPr>
        <w:t>;</w:t>
      </w:r>
    </w:p>
    <w:p w14:paraId="43EF0899" w14:textId="5BC64C15" w:rsidR="000F3A13" w:rsidRPr="009B65A5" w:rsidRDefault="000F3A13" w:rsidP="000F3A13">
      <w:pPr>
        <w:pStyle w:val="ListParagraph"/>
        <w:numPr>
          <w:ilvl w:val="0"/>
          <w:numId w:val="68"/>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_tradnl"/>
        </w:rPr>
      </w:pPr>
      <w:r w:rsidRPr="009B65A5">
        <w:rPr>
          <w:rFonts w:asciiTheme="majorHAnsi" w:hAnsiTheme="majorHAnsi"/>
          <w:sz w:val="20"/>
          <w:szCs w:val="20"/>
          <w:lang w:val="es-ES_tradnl"/>
        </w:rPr>
        <w:t xml:space="preserve">Condenó a doce personas como </w:t>
      </w:r>
      <w:r w:rsidR="009B65A5" w:rsidRPr="009B65A5">
        <w:rPr>
          <w:rFonts w:asciiTheme="majorHAnsi" w:hAnsiTheme="majorHAnsi"/>
          <w:sz w:val="20"/>
          <w:szCs w:val="20"/>
          <w:lang w:val="es-ES_tradnl"/>
        </w:rPr>
        <w:t>coautores</w:t>
      </w:r>
      <w:r w:rsidRPr="009B65A5">
        <w:rPr>
          <w:rFonts w:asciiTheme="majorHAnsi" w:hAnsiTheme="majorHAnsi"/>
          <w:sz w:val="20"/>
          <w:szCs w:val="20"/>
          <w:lang w:val="es-ES_tradnl"/>
        </w:rPr>
        <w:t xml:space="preserve"> del delito de lesiones graves</w:t>
      </w:r>
      <w:r w:rsidR="00C32CD5" w:rsidRPr="009B65A5">
        <w:rPr>
          <w:rFonts w:asciiTheme="majorHAnsi" w:hAnsiTheme="majorHAnsi"/>
          <w:sz w:val="20"/>
          <w:szCs w:val="20"/>
          <w:lang w:val="es-ES_tradnl"/>
        </w:rPr>
        <w:t>;</w:t>
      </w:r>
    </w:p>
    <w:p w14:paraId="7459CD90" w14:textId="785F7EB8" w:rsidR="000F3A13" w:rsidRPr="009B65A5" w:rsidRDefault="000F3A13" w:rsidP="000F3A13">
      <w:pPr>
        <w:pStyle w:val="ListParagraph"/>
        <w:numPr>
          <w:ilvl w:val="0"/>
          <w:numId w:val="68"/>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_tradnl"/>
        </w:rPr>
      </w:pPr>
      <w:r w:rsidRPr="009B65A5">
        <w:rPr>
          <w:rFonts w:asciiTheme="majorHAnsi" w:hAnsiTheme="majorHAnsi"/>
          <w:sz w:val="20"/>
          <w:szCs w:val="20"/>
          <w:lang w:val="es-ES_tradnl"/>
        </w:rPr>
        <w:t xml:space="preserve">Condenó a trece personas como </w:t>
      </w:r>
      <w:r w:rsidR="009B65A5" w:rsidRPr="009B65A5">
        <w:rPr>
          <w:rFonts w:asciiTheme="majorHAnsi" w:hAnsiTheme="majorHAnsi"/>
          <w:sz w:val="20"/>
          <w:szCs w:val="20"/>
          <w:lang w:val="es-ES_tradnl"/>
        </w:rPr>
        <w:t>coautores</w:t>
      </w:r>
      <w:r w:rsidRPr="009B65A5">
        <w:rPr>
          <w:rFonts w:asciiTheme="majorHAnsi" w:hAnsiTheme="majorHAnsi"/>
          <w:sz w:val="20"/>
          <w:szCs w:val="20"/>
          <w:lang w:val="es-ES_tradnl"/>
        </w:rPr>
        <w:t xml:space="preserve"> del delito de coacción agravada</w:t>
      </w:r>
      <w:r w:rsidR="00C32CD5" w:rsidRPr="009B65A5">
        <w:rPr>
          <w:rFonts w:asciiTheme="majorHAnsi" w:hAnsiTheme="majorHAnsi"/>
          <w:sz w:val="20"/>
          <w:szCs w:val="20"/>
          <w:lang w:val="es-ES_tradnl"/>
        </w:rPr>
        <w:t>;</w:t>
      </w:r>
    </w:p>
    <w:p w14:paraId="5F6DC9C4" w14:textId="03C9113F" w:rsidR="000F3A13" w:rsidRPr="009B65A5" w:rsidRDefault="000F3A13" w:rsidP="000F3A13">
      <w:pPr>
        <w:pStyle w:val="ListParagraph"/>
        <w:numPr>
          <w:ilvl w:val="0"/>
          <w:numId w:val="68"/>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_tradnl"/>
        </w:rPr>
      </w:pPr>
      <w:r w:rsidRPr="009B65A5">
        <w:rPr>
          <w:rFonts w:asciiTheme="majorHAnsi" w:hAnsiTheme="majorHAnsi"/>
          <w:sz w:val="20"/>
          <w:szCs w:val="20"/>
          <w:lang w:val="es-ES_tradnl"/>
        </w:rPr>
        <w:t xml:space="preserve">Condenó a diez personas como </w:t>
      </w:r>
      <w:r w:rsidR="009B65A5" w:rsidRPr="009B65A5">
        <w:rPr>
          <w:rFonts w:asciiTheme="majorHAnsi" w:hAnsiTheme="majorHAnsi"/>
          <w:sz w:val="20"/>
          <w:szCs w:val="20"/>
          <w:lang w:val="es-ES_tradnl"/>
        </w:rPr>
        <w:t>coautores</w:t>
      </w:r>
      <w:r w:rsidRPr="009B65A5">
        <w:rPr>
          <w:rFonts w:asciiTheme="majorHAnsi" w:hAnsiTheme="majorHAnsi"/>
          <w:sz w:val="20"/>
          <w:szCs w:val="20"/>
          <w:lang w:val="es-ES_tradnl"/>
        </w:rPr>
        <w:t xml:space="preserve"> del delito de vejaciones y torturas</w:t>
      </w:r>
      <w:r w:rsidR="00C32CD5" w:rsidRPr="009B65A5">
        <w:rPr>
          <w:rFonts w:asciiTheme="majorHAnsi" w:hAnsiTheme="majorHAnsi"/>
          <w:sz w:val="20"/>
          <w:szCs w:val="20"/>
          <w:lang w:val="es-ES_tradnl"/>
        </w:rPr>
        <w:t>; y</w:t>
      </w:r>
    </w:p>
    <w:p w14:paraId="5FBF09C8" w14:textId="04FCD609" w:rsidR="000F3A13" w:rsidRPr="009B65A5" w:rsidRDefault="000F3A13" w:rsidP="000F3A13">
      <w:pPr>
        <w:pStyle w:val="ListParagraph"/>
        <w:numPr>
          <w:ilvl w:val="0"/>
          <w:numId w:val="68"/>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9B65A5">
        <w:rPr>
          <w:rFonts w:asciiTheme="majorHAnsi" w:hAnsiTheme="majorHAnsi"/>
          <w:sz w:val="20"/>
          <w:szCs w:val="20"/>
          <w:lang w:val="es-ES_tradnl"/>
        </w:rPr>
        <w:t>Absolvió a una persona por delito de fabricación, comercio o tenencia de sustancias explosivas</w:t>
      </w:r>
    </w:p>
    <w:p w14:paraId="25F89E6B" w14:textId="2172542A" w:rsidR="00C32CD5" w:rsidRPr="009B65A5" w:rsidRDefault="00A057F1" w:rsidP="00F93FDC">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9B65A5">
        <w:rPr>
          <w:rFonts w:asciiTheme="majorHAnsi" w:hAnsiTheme="majorHAnsi"/>
          <w:sz w:val="20"/>
          <w:szCs w:val="20"/>
          <w:lang w:val="es-ES_tradnl"/>
        </w:rPr>
        <w:t>T</w:t>
      </w:r>
      <w:r w:rsidR="00C32CD5" w:rsidRPr="009B65A5">
        <w:rPr>
          <w:rFonts w:asciiTheme="majorHAnsi" w:hAnsiTheme="majorHAnsi"/>
          <w:sz w:val="20"/>
          <w:szCs w:val="20"/>
          <w:lang w:val="es-ES_tradnl"/>
        </w:rPr>
        <w:t xml:space="preserve">omando en cuenta el tiempo que dichas personas estuvieron bajo detención preventiva, </w:t>
      </w:r>
      <w:r w:rsidR="006C3C6A" w:rsidRPr="009B65A5">
        <w:rPr>
          <w:rFonts w:asciiTheme="majorHAnsi" w:hAnsiTheme="majorHAnsi"/>
          <w:sz w:val="20"/>
          <w:szCs w:val="20"/>
          <w:lang w:val="es-ES_tradnl"/>
        </w:rPr>
        <w:t xml:space="preserve">el referido Tribunal determinó que </w:t>
      </w:r>
      <w:r w:rsidR="00F93FDC" w:rsidRPr="009B65A5">
        <w:rPr>
          <w:rFonts w:asciiTheme="majorHAnsi" w:hAnsiTheme="majorHAnsi"/>
          <w:sz w:val="20"/>
          <w:szCs w:val="20"/>
          <w:lang w:val="es-ES_tradnl"/>
        </w:rPr>
        <w:t>doce</w:t>
      </w:r>
      <w:r w:rsidR="006C3C6A" w:rsidRPr="009B65A5">
        <w:rPr>
          <w:rFonts w:asciiTheme="majorHAnsi" w:hAnsiTheme="majorHAnsi"/>
          <w:sz w:val="20"/>
          <w:szCs w:val="20"/>
          <w:lang w:val="es-ES_tradnl"/>
        </w:rPr>
        <w:t xml:space="preserve"> de las personas condenadas debían cumplir una pena privativa de libertad de seis años</w:t>
      </w:r>
      <w:r w:rsidR="00C32CD5" w:rsidRPr="009B65A5">
        <w:rPr>
          <w:rFonts w:asciiTheme="majorHAnsi" w:hAnsiTheme="majorHAnsi"/>
          <w:sz w:val="20"/>
          <w:szCs w:val="20"/>
          <w:lang w:val="es-ES_tradnl"/>
        </w:rPr>
        <w:t xml:space="preserve">, mientras que </w:t>
      </w:r>
      <w:r w:rsidR="00F93FDC" w:rsidRPr="009B65A5">
        <w:rPr>
          <w:rFonts w:asciiTheme="majorHAnsi" w:hAnsiTheme="majorHAnsi"/>
          <w:sz w:val="20"/>
          <w:szCs w:val="20"/>
          <w:lang w:val="es-ES_tradnl"/>
        </w:rPr>
        <w:t xml:space="preserve">la última </w:t>
      </w:r>
      <w:r w:rsidR="00C32CD5" w:rsidRPr="009B65A5">
        <w:rPr>
          <w:rFonts w:asciiTheme="majorHAnsi" w:hAnsiTheme="majorHAnsi"/>
          <w:sz w:val="20"/>
          <w:szCs w:val="20"/>
          <w:lang w:val="es-ES_tradnl"/>
        </w:rPr>
        <w:t xml:space="preserve">únicamente debía cumplir con una sanción de tres años de prisión. </w:t>
      </w:r>
    </w:p>
    <w:p w14:paraId="68B6CCEE" w14:textId="29AE2BD3" w:rsidR="00444083" w:rsidRPr="009B65A5" w:rsidRDefault="00444083" w:rsidP="000F3A13">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9B65A5">
        <w:rPr>
          <w:rFonts w:asciiTheme="majorHAnsi" w:hAnsiTheme="majorHAnsi"/>
          <w:sz w:val="20"/>
          <w:szCs w:val="20"/>
          <w:lang w:val="es-ES_tradnl"/>
        </w:rPr>
        <w:t xml:space="preserve">Frente a ello, </w:t>
      </w:r>
      <w:r w:rsidR="00B76FC2" w:rsidRPr="009B65A5">
        <w:rPr>
          <w:rFonts w:asciiTheme="majorHAnsi" w:hAnsiTheme="majorHAnsi"/>
          <w:sz w:val="20"/>
          <w:szCs w:val="20"/>
          <w:lang w:val="es-ES_tradnl"/>
        </w:rPr>
        <w:t>las partes del proceso</w:t>
      </w:r>
      <w:r w:rsidRPr="009B65A5">
        <w:rPr>
          <w:rFonts w:asciiTheme="majorHAnsi" w:hAnsiTheme="majorHAnsi"/>
          <w:sz w:val="20"/>
          <w:szCs w:val="20"/>
          <w:lang w:val="es-ES_tradnl"/>
        </w:rPr>
        <w:t xml:space="preserve"> interpus</w:t>
      </w:r>
      <w:r w:rsidR="00B76FC2" w:rsidRPr="009B65A5">
        <w:rPr>
          <w:rFonts w:asciiTheme="majorHAnsi" w:hAnsiTheme="majorHAnsi"/>
          <w:sz w:val="20"/>
          <w:szCs w:val="20"/>
          <w:lang w:val="es-ES_tradnl"/>
        </w:rPr>
        <w:t>ieron</w:t>
      </w:r>
      <w:r w:rsidRPr="009B65A5">
        <w:rPr>
          <w:rFonts w:asciiTheme="majorHAnsi" w:hAnsiTheme="majorHAnsi"/>
          <w:sz w:val="20"/>
          <w:szCs w:val="20"/>
          <w:lang w:val="es-ES_tradnl"/>
        </w:rPr>
        <w:t xml:space="preserve"> recurso de apelación contra la referida decisión</w:t>
      </w:r>
      <w:r w:rsidR="006E5FC9" w:rsidRPr="009B65A5">
        <w:rPr>
          <w:rFonts w:asciiTheme="majorHAnsi" w:hAnsiTheme="majorHAnsi"/>
          <w:sz w:val="20"/>
          <w:szCs w:val="20"/>
          <w:lang w:val="es-ES_tradnl"/>
        </w:rPr>
        <w:t>;</w:t>
      </w:r>
      <w:r w:rsidR="008C6BDD" w:rsidRPr="009B65A5">
        <w:rPr>
          <w:rFonts w:asciiTheme="majorHAnsi" w:hAnsiTheme="majorHAnsi"/>
          <w:sz w:val="20"/>
          <w:szCs w:val="20"/>
          <w:lang w:val="es-ES_tradnl"/>
        </w:rPr>
        <w:t xml:space="preserve"> </w:t>
      </w:r>
      <w:r w:rsidR="006E5FC9" w:rsidRPr="009B65A5">
        <w:rPr>
          <w:rFonts w:asciiTheme="majorHAnsi" w:hAnsiTheme="majorHAnsi"/>
          <w:sz w:val="20"/>
          <w:szCs w:val="20"/>
          <w:lang w:val="es-ES_tradnl"/>
        </w:rPr>
        <w:t xml:space="preserve">con lo cual </w:t>
      </w:r>
      <w:r w:rsidR="008C6BDD" w:rsidRPr="009B65A5">
        <w:rPr>
          <w:rFonts w:asciiTheme="majorHAnsi" w:hAnsiTheme="majorHAnsi"/>
          <w:sz w:val="20"/>
          <w:szCs w:val="20"/>
          <w:lang w:val="es-ES_tradnl"/>
        </w:rPr>
        <w:t>e</w:t>
      </w:r>
      <w:r w:rsidRPr="009B65A5">
        <w:rPr>
          <w:rFonts w:asciiTheme="majorHAnsi" w:hAnsiTheme="majorHAnsi"/>
          <w:sz w:val="20"/>
          <w:szCs w:val="20"/>
          <w:lang w:val="es-ES_tradnl"/>
        </w:rPr>
        <w:t>l 9 de noviembre</w:t>
      </w:r>
      <w:r w:rsidR="00F93FDC" w:rsidRPr="009B65A5">
        <w:rPr>
          <w:rFonts w:asciiTheme="majorHAnsi" w:hAnsiTheme="majorHAnsi"/>
          <w:sz w:val="20"/>
          <w:szCs w:val="20"/>
          <w:lang w:val="es-ES_tradnl"/>
        </w:rPr>
        <w:t xml:space="preserve"> de 2016</w:t>
      </w:r>
      <w:r w:rsidRPr="009B65A5">
        <w:rPr>
          <w:rFonts w:asciiTheme="majorHAnsi" w:hAnsiTheme="majorHAnsi"/>
          <w:sz w:val="20"/>
          <w:szCs w:val="20"/>
          <w:lang w:val="es-ES_tradnl"/>
        </w:rPr>
        <w:t xml:space="preserve"> la Sala Penal Primera del Tribunal Departamental de Justicia de Chuquisaca, a través del Auto</w:t>
      </w:r>
      <w:r w:rsidR="001F50D4" w:rsidRPr="009B65A5">
        <w:rPr>
          <w:rFonts w:asciiTheme="majorHAnsi" w:hAnsiTheme="majorHAnsi"/>
          <w:sz w:val="20"/>
          <w:szCs w:val="20"/>
          <w:lang w:val="es-ES_tradnl"/>
        </w:rPr>
        <w:t xml:space="preserve"> de</w:t>
      </w:r>
      <w:r w:rsidRPr="009B65A5">
        <w:rPr>
          <w:rFonts w:asciiTheme="majorHAnsi" w:hAnsiTheme="majorHAnsi"/>
          <w:sz w:val="20"/>
          <w:szCs w:val="20"/>
          <w:lang w:val="es-ES_tradnl"/>
        </w:rPr>
        <w:t xml:space="preserve"> Vista N° 369/2016, dispuso </w:t>
      </w:r>
      <w:r w:rsidR="004D2A60" w:rsidRPr="009B65A5">
        <w:rPr>
          <w:rFonts w:asciiTheme="majorHAnsi" w:hAnsiTheme="majorHAnsi"/>
          <w:sz w:val="20"/>
          <w:szCs w:val="20"/>
          <w:lang w:val="es-ES_tradnl"/>
        </w:rPr>
        <w:t xml:space="preserve">el aumento de pena de nueve personas a siete años y seis meses, al constatarse que hubo concurso real de los delitos de lesiones graves y asociación delictuosa. </w:t>
      </w:r>
    </w:p>
    <w:p w14:paraId="51CF941B" w14:textId="3CA37E35" w:rsidR="00CB5C26" w:rsidRPr="009B65A5" w:rsidRDefault="00CB5C26" w:rsidP="006E5FC9">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i/>
          <w:iCs/>
          <w:sz w:val="20"/>
          <w:szCs w:val="20"/>
          <w:lang w:val="es-ES_tradnl"/>
        </w:rPr>
      </w:pPr>
      <w:r w:rsidRPr="009B65A5">
        <w:rPr>
          <w:rFonts w:asciiTheme="majorHAnsi" w:hAnsiTheme="majorHAnsi"/>
          <w:i/>
          <w:iCs/>
          <w:sz w:val="20"/>
          <w:szCs w:val="20"/>
          <w:lang w:val="es-ES_tradnl"/>
        </w:rPr>
        <w:t>Recurso de casación</w:t>
      </w:r>
    </w:p>
    <w:p w14:paraId="170C2925" w14:textId="4CB5DA10" w:rsidR="00FE22A2" w:rsidRPr="009B65A5" w:rsidRDefault="00444083" w:rsidP="00CD4FEC">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9B65A5">
        <w:rPr>
          <w:rFonts w:asciiTheme="majorHAnsi" w:hAnsiTheme="majorHAnsi"/>
          <w:sz w:val="20"/>
          <w:szCs w:val="20"/>
          <w:lang w:val="es-ES_tradnl"/>
        </w:rPr>
        <w:t xml:space="preserve">Días después, entre el 28 y 30 de noviembre de 2016, las personas condenadas por las citadas resoluciones interpusieron </w:t>
      </w:r>
      <w:r w:rsidR="001F580D" w:rsidRPr="009B65A5">
        <w:rPr>
          <w:rFonts w:asciiTheme="majorHAnsi" w:hAnsiTheme="majorHAnsi"/>
          <w:sz w:val="20"/>
          <w:szCs w:val="20"/>
          <w:lang w:val="es-ES_tradnl"/>
        </w:rPr>
        <w:t>sus respectivos recursos de casación</w:t>
      </w:r>
      <w:r w:rsidR="00FA21BD" w:rsidRPr="009B65A5">
        <w:rPr>
          <w:rFonts w:asciiTheme="majorHAnsi" w:hAnsiTheme="majorHAnsi"/>
          <w:sz w:val="20"/>
          <w:szCs w:val="20"/>
          <w:lang w:val="es-ES_tradnl"/>
        </w:rPr>
        <w:t>.</w:t>
      </w:r>
      <w:r w:rsidR="001F580D" w:rsidRPr="009B65A5">
        <w:rPr>
          <w:rFonts w:asciiTheme="majorHAnsi" w:hAnsiTheme="majorHAnsi"/>
          <w:sz w:val="20"/>
          <w:szCs w:val="20"/>
          <w:lang w:val="es-ES_tradnl"/>
        </w:rPr>
        <w:t xml:space="preserve"> </w:t>
      </w:r>
      <w:r w:rsidR="006E5FC9" w:rsidRPr="009B65A5">
        <w:rPr>
          <w:rFonts w:asciiTheme="majorHAnsi" w:hAnsiTheme="majorHAnsi"/>
          <w:sz w:val="20"/>
          <w:szCs w:val="20"/>
          <w:lang w:val="es-ES_tradnl"/>
        </w:rPr>
        <w:t>Así, e</w:t>
      </w:r>
      <w:r w:rsidR="001F580D" w:rsidRPr="009B65A5">
        <w:rPr>
          <w:rFonts w:asciiTheme="majorHAnsi" w:hAnsiTheme="majorHAnsi"/>
          <w:sz w:val="20"/>
          <w:szCs w:val="20"/>
          <w:lang w:val="es-ES_tradnl"/>
        </w:rPr>
        <w:t xml:space="preserve">l 20 enero de 2017 del Tribunal Supremo de Justicia de Bolivia, mediante el Auto Supremo 31/2017, </w:t>
      </w:r>
      <w:r w:rsidR="001149C0" w:rsidRPr="009B65A5">
        <w:rPr>
          <w:rFonts w:asciiTheme="majorHAnsi" w:hAnsiTheme="majorHAnsi"/>
          <w:sz w:val="20"/>
          <w:szCs w:val="20"/>
          <w:lang w:val="es-ES_tradnl"/>
        </w:rPr>
        <w:t xml:space="preserve">decidió declarar admisibles los citados recursos en relación con algunos cuestionamientos planteados contra el </w:t>
      </w:r>
      <w:r w:rsidR="001F50D4" w:rsidRPr="009B65A5">
        <w:rPr>
          <w:rFonts w:asciiTheme="majorHAnsi" w:hAnsiTheme="majorHAnsi"/>
          <w:sz w:val="20"/>
          <w:szCs w:val="20"/>
          <w:lang w:val="es-ES_tradnl"/>
        </w:rPr>
        <w:t xml:space="preserve">Auto de Vista </w:t>
      </w:r>
      <w:r w:rsidR="001149C0" w:rsidRPr="009B65A5">
        <w:rPr>
          <w:rFonts w:asciiTheme="majorHAnsi" w:hAnsiTheme="majorHAnsi"/>
          <w:sz w:val="20"/>
          <w:szCs w:val="20"/>
          <w:lang w:val="es-ES_tradnl"/>
        </w:rPr>
        <w:t xml:space="preserve">N° 369/2016, </w:t>
      </w:r>
      <w:r w:rsidR="001F50D4" w:rsidRPr="009B65A5">
        <w:rPr>
          <w:rFonts w:asciiTheme="majorHAnsi" w:hAnsiTheme="majorHAnsi"/>
          <w:sz w:val="20"/>
          <w:szCs w:val="20"/>
          <w:lang w:val="es-ES_tradnl"/>
        </w:rPr>
        <w:t>pero también determinando la inadmisibilidad</w:t>
      </w:r>
      <w:r w:rsidR="001149C0" w:rsidRPr="009B65A5">
        <w:rPr>
          <w:rFonts w:asciiTheme="majorHAnsi" w:hAnsiTheme="majorHAnsi"/>
          <w:sz w:val="20"/>
          <w:szCs w:val="20"/>
          <w:lang w:val="es-ES_tradnl"/>
        </w:rPr>
        <w:t xml:space="preserve"> en relación con otr</w:t>
      </w:r>
      <w:r w:rsidR="001F50D4" w:rsidRPr="009B65A5">
        <w:rPr>
          <w:rFonts w:asciiTheme="majorHAnsi" w:hAnsiTheme="majorHAnsi"/>
          <w:sz w:val="20"/>
          <w:szCs w:val="20"/>
          <w:lang w:val="es-ES_tradnl"/>
        </w:rPr>
        <w:t>o</w:t>
      </w:r>
      <w:r w:rsidR="001149C0" w:rsidRPr="009B65A5">
        <w:rPr>
          <w:rFonts w:asciiTheme="majorHAnsi" w:hAnsiTheme="majorHAnsi"/>
          <w:sz w:val="20"/>
          <w:szCs w:val="20"/>
          <w:lang w:val="es-ES_tradnl"/>
        </w:rPr>
        <w:t>s</w:t>
      </w:r>
      <w:r w:rsidR="001F50D4" w:rsidRPr="009B65A5">
        <w:rPr>
          <w:rFonts w:asciiTheme="majorHAnsi" w:hAnsiTheme="majorHAnsi"/>
          <w:sz w:val="20"/>
          <w:szCs w:val="20"/>
          <w:lang w:val="es-ES_tradnl"/>
        </w:rPr>
        <w:t xml:space="preserve"> alegatos</w:t>
      </w:r>
      <w:r w:rsidR="001149C0" w:rsidRPr="009B65A5">
        <w:rPr>
          <w:rFonts w:asciiTheme="majorHAnsi" w:hAnsiTheme="majorHAnsi"/>
          <w:sz w:val="20"/>
          <w:szCs w:val="20"/>
          <w:lang w:val="es-ES_tradnl"/>
        </w:rPr>
        <w:t xml:space="preserve">. </w:t>
      </w:r>
    </w:p>
    <w:p w14:paraId="3FB41E0C" w14:textId="77777777" w:rsidR="00706542" w:rsidRPr="009B65A5" w:rsidRDefault="006E5FC9" w:rsidP="00E86033">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9B65A5">
        <w:rPr>
          <w:rFonts w:asciiTheme="majorHAnsi" w:hAnsiTheme="majorHAnsi"/>
          <w:sz w:val="20"/>
          <w:szCs w:val="20"/>
          <w:lang w:val="es-ES_tradnl"/>
        </w:rPr>
        <w:t xml:space="preserve">La parte peticionaria indica que </w:t>
      </w:r>
      <w:r w:rsidR="001149C0" w:rsidRPr="009B65A5">
        <w:rPr>
          <w:rFonts w:asciiTheme="majorHAnsi" w:hAnsiTheme="majorHAnsi"/>
          <w:sz w:val="20"/>
          <w:szCs w:val="20"/>
          <w:lang w:val="es-ES_tradnl"/>
        </w:rPr>
        <w:t>antes de que el Tribunal Supremo decidiera el fondo de los referidos recursos, el 7 de septiembre de 2017 dos de las personas condenadas presentaron una acción de amparo, a efectos de cuestionar el Auto Supremo 31/2017, que inadmitió algunas de las pretensiones de los recursos de casación presentados. En virtud de ello, el 20 de septiembre de 2017, la Jueza Pública de Familia Segunda del Departamento de Chuquisaca, por medio de la Resolución 08/2017, declaró fundada la demanda y, en consecuencia, dispuso dejar sin efecto el Auto Supremo</w:t>
      </w:r>
      <w:r w:rsidRPr="009B65A5">
        <w:rPr>
          <w:rFonts w:asciiTheme="majorHAnsi" w:hAnsiTheme="majorHAnsi"/>
          <w:sz w:val="20"/>
          <w:szCs w:val="20"/>
          <w:lang w:val="es-ES_tradnl"/>
        </w:rPr>
        <w:t xml:space="preserve"> 31/2017;</w:t>
      </w:r>
      <w:r w:rsidR="001149C0" w:rsidRPr="009B65A5">
        <w:rPr>
          <w:rFonts w:asciiTheme="majorHAnsi" w:hAnsiTheme="majorHAnsi"/>
          <w:sz w:val="20"/>
          <w:szCs w:val="20"/>
          <w:lang w:val="es-ES_tradnl"/>
        </w:rPr>
        <w:t xml:space="preserve"> y ordenó al Tribunal Supremo de Justicia emitir una nueva decisión. Afirma</w:t>
      </w:r>
      <w:r w:rsidR="009756E0" w:rsidRPr="009B65A5">
        <w:rPr>
          <w:rFonts w:asciiTheme="majorHAnsi" w:hAnsiTheme="majorHAnsi"/>
          <w:sz w:val="20"/>
          <w:szCs w:val="20"/>
          <w:lang w:val="es-ES_tradnl"/>
        </w:rPr>
        <w:t>n los peticionarios</w:t>
      </w:r>
      <w:r w:rsidR="001149C0" w:rsidRPr="009B65A5">
        <w:rPr>
          <w:rFonts w:asciiTheme="majorHAnsi" w:hAnsiTheme="majorHAnsi"/>
          <w:sz w:val="20"/>
          <w:szCs w:val="20"/>
          <w:lang w:val="es-ES_tradnl"/>
        </w:rPr>
        <w:t xml:space="preserve"> que el 23 de octubre de 2017 el Tribunal Constitucional Plurinacional, mediante sentencia 1127/2017-S2, </w:t>
      </w:r>
      <w:r w:rsidR="00DC5C62" w:rsidRPr="009B65A5">
        <w:rPr>
          <w:rFonts w:asciiTheme="majorHAnsi" w:hAnsiTheme="majorHAnsi"/>
          <w:sz w:val="20"/>
          <w:szCs w:val="20"/>
          <w:lang w:val="es-ES_tradnl"/>
        </w:rPr>
        <w:t xml:space="preserve">revisó de oficio tal resolución y ratificó la decisión. </w:t>
      </w:r>
    </w:p>
    <w:p w14:paraId="78D7EA08" w14:textId="57D5CA06" w:rsidR="00090CBA" w:rsidRPr="009B65A5" w:rsidRDefault="004D2A60" w:rsidP="00E86033">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9B65A5">
        <w:rPr>
          <w:rFonts w:asciiTheme="majorHAnsi" w:hAnsiTheme="majorHAnsi"/>
          <w:sz w:val="20"/>
          <w:szCs w:val="20"/>
          <w:lang w:val="es-ES_tradnl"/>
        </w:rPr>
        <w:t xml:space="preserve">Debido a </w:t>
      </w:r>
      <w:r w:rsidR="009756E0" w:rsidRPr="009B65A5">
        <w:rPr>
          <w:rFonts w:asciiTheme="majorHAnsi" w:hAnsiTheme="majorHAnsi"/>
          <w:sz w:val="20"/>
          <w:szCs w:val="20"/>
          <w:lang w:val="es-ES_tradnl"/>
        </w:rPr>
        <w:t xml:space="preserve">esta </w:t>
      </w:r>
      <w:r w:rsidR="000D16A0" w:rsidRPr="009B65A5">
        <w:rPr>
          <w:rFonts w:asciiTheme="majorHAnsi" w:hAnsiTheme="majorHAnsi"/>
          <w:sz w:val="20"/>
          <w:szCs w:val="20"/>
          <w:lang w:val="es-ES_tradnl"/>
        </w:rPr>
        <w:t>última</w:t>
      </w:r>
      <w:r w:rsidRPr="009B65A5">
        <w:rPr>
          <w:rFonts w:asciiTheme="majorHAnsi" w:hAnsiTheme="majorHAnsi"/>
          <w:sz w:val="20"/>
          <w:szCs w:val="20"/>
          <w:lang w:val="es-ES_tradnl"/>
        </w:rPr>
        <w:t xml:space="preserve"> </w:t>
      </w:r>
      <w:r w:rsidR="00FA21BD" w:rsidRPr="009B65A5">
        <w:rPr>
          <w:rFonts w:asciiTheme="majorHAnsi" w:hAnsiTheme="majorHAnsi"/>
          <w:sz w:val="20"/>
          <w:szCs w:val="20"/>
          <w:lang w:val="es-ES_tradnl"/>
        </w:rPr>
        <w:t>sentencia</w:t>
      </w:r>
      <w:r w:rsidRPr="009B65A5">
        <w:rPr>
          <w:rFonts w:asciiTheme="majorHAnsi" w:hAnsiTheme="majorHAnsi"/>
          <w:sz w:val="20"/>
          <w:szCs w:val="20"/>
          <w:lang w:val="es-ES_tradnl"/>
        </w:rPr>
        <w:t>, el 16 de noviembre de 2018 la Sala Penal del Tribunal Supremo de Justicia declaró admisibles l</w:t>
      </w:r>
      <w:r w:rsidR="00C075BA" w:rsidRPr="009B65A5">
        <w:rPr>
          <w:rFonts w:asciiTheme="majorHAnsi" w:hAnsiTheme="majorHAnsi"/>
          <w:sz w:val="20"/>
          <w:szCs w:val="20"/>
          <w:lang w:val="es-ES_tradnl"/>
        </w:rPr>
        <w:t>as</w:t>
      </w:r>
      <w:r w:rsidRPr="009B65A5">
        <w:rPr>
          <w:rFonts w:asciiTheme="majorHAnsi" w:hAnsiTheme="majorHAnsi"/>
          <w:sz w:val="20"/>
          <w:szCs w:val="20"/>
          <w:lang w:val="es-ES_tradnl"/>
        </w:rPr>
        <w:t xml:space="preserve"> casaci</w:t>
      </w:r>
      <w:r w:rsidR="00C075BA" w:rsidRPr="009B65A5">
        <w:rPr>
          <w:rFonts w:asciiTheme="majorHAnsi" w:hAnsiTheme="majorHAnsi"/>
          <w:sz w:val="20"/>
          <w:szCs w:val="20"/>
          <w:lang w:val="es-ES_tradnl"/>
        </w:rPr>
        <w:t>ones presentadas</w:t>
      </w:r>
      <w:r w:rsidRPr="009B65A5">
        <w:rPr>
          <w:rFonts w:asciiTheme="majorHAnsi" w:hAnsiTheme="majorHAnsi"/>
          <w:sz w:val="20"/>
          <w:szCs w:val="20"/>
          <w:lang w:val="es-ES_tradnl"/>
        </w:rPr>
        <w:t xml:space="preserve">. Sin embargo, </w:t>
      </w:r>
      <w:r w:rsidR="00FC0424" w:rsidRPr="009B65A5">
        <w:rPr>
          <w:rFonts w:asciiTheme="majorHAnsi" w:hAnsiTheme="majorHAnsi"/>
          <w:sz w:val="20"/>
          <w:szCs w:val="20"/>
          <w:lang w:val="es-ES_tradnl"/>
        </w:rPr>
        <w:t>el 24 de mayo de 2019</w:t>
      </w:r>
      <w:r w:rsidRPr="009B65A5">
        <w:rPr>
          <w:rFonts w:asciiTheme="majorHAnsi" w:hAnsiTheme="majorHAnsi"/>
          <w:sz w:val="20"/>
          <w:szCs w:val="20"/>
          <w:lang w:val="es-ES_tradnl"/>
        </w:rPr>
        <w:t xml:space="preserve">, el referido organismo, tras realizar un análisis de fondo, </w:t>
      </w:r>
      <w:r w:rsidR="00FC0424" w:rsidRPr="009B65A5">
        <w:rPr>
          <w:rFonts w:asciiTheme="majorHAnsi" w:hAnsiTheme="majorHAnsi"/>
          <w:sz w:val="20"/>
          <w:szCs w:val="20"/>
          <w:lang w:val="es-ES_tradnl"/>
        </w:rPr>
        <w:t>declaró infunda</w:t>
      </w:r>
      <w:r w:rsidR="00C075BA" w:rsidRPr="009B65A5">
        <w:rPr>
          <w:rFonts w:asciiTheme="majorHAnsi" w:hAnsiTheme="majorHAnsi"/>
          <w:sz w:val="20"/>
          <w:szCs w:val="20"/>
          <w:lang w:val="es-ES_tradnl"/>
        </w:rPr>
        <w:t>do</w:t>
      </w:r>
      <w:r w:rsidR="005D11B4" w:rsidRPr="009B65A5">
        <w:rPr>
          <w:rFonts w:asciiTheme="majorHAnsi" w:hAnsiTheme="majorHAnsi"/>
          <w:sz w:val="20"/>
          <w:szCs w:val="20"/>
          <w:lang w:val="es-ES_tradnl"/>
        </w:rPr>
        <w:t>s</w:t>
      </w:r>
      <w:r w:rsidR="00C075BA" w:rsidRPr="009B65A5">
        <w:rPr>
          <w:rFonts w:asciiTheme="majorHAnsi" w:hAnsiTheme="majorHAnsi"/>
          <w:sz w:val="20"/>
          <w:szCs w:val="20"/>
          <w:lang w:val="es-ES_tradnl"/>
        </w:rPr>
        <w:t xml:space="preserve"> los citados recursos, </w:t>
      </w:r>
      <w:r w:rsidR="005D11B4" w:rsidRPr="009B65A5">
        <w:rPr>
          <w:rFonts w:asciiTheme="majorHAnsi" w:hAnsiTheme="majorHAnsi"/>
          <w:sz w:val="20"/>
          <w:szCs w:val="20"/>
          <w:lang w:val="es-ES_tradnl"/>
        </w:rPr>
        <w:t>quedando el proceso sin otras vías para recurrir</w:t>
      </w:r>
      <w:r w:rsidRPr="009B65A5">
        <w:rPr>
          <w:rFonts w:asciiTheme="majorHAnsi" w:hAnsiTheme="majorHAnsi"/>
          <w:sz w:val="20"/>
          <w:szCs w:val="20"/>
          <w:lang w:val="es-ES_tradnl"/>
        </w:rPr>
        <w:t xml:space="preserve">. </w:t>
      </w:r>
      <w:r w:rsidR="005D11B4" w:rsidRPr="009B65A5">
        <w:rPr>
          <w:rFonts w:asciiTheme="majorHAnsi" w:hAnsiTheme="majorHAnsi"/>
          <w:sz w:val="20"/>
          <w:szCs w:val="20"/>
          <w:lang w:val="es-ES_tradnl"/>
        </w:rPr>
        <w:t>Por ello, l</w:t>
      </w:r>
      <w:r w:rsidR="00FA21BD" w:rsidRPr="009B65A5">
        <w:rPr>
          <w:rFonts w:asciiTheme="majorHAnsi" w:hAnsiTheme="majorHAnsi"/>
          <w:sz w:val="20"/>
          <w:szCs w:val="20"/>
          <w:lang w:val="es-ES_tradnl"/>
        </w:rPr>
        <w:t xml:space="preserve">a parte peticionaria resalta que, tras esta decisión, </w:t>
      </w:r>
      <w:r w:rsidR="005D11B4" w:rsidRPr="009B65A5">
        <w:rPr>
          <w:rFonts w:asciiTheme="majorHAnsi" w:hAnsiTheme="majorHAnsi"/>
          <w:sz w:val="20"/>
          <w:szCs w:val="20"/>
          <w:lang w:val="es-ES_tradnl"/>
        </w:rPr>
        <w:t xml:space="preserve">corresponde a las autoridades ejecutar la condena penal contra los victimarios. A pesar de ello, sostiene que esto aún no ha </w:t>
      </w:r>
      <w:r w:rsidR="005D11B4" w:rsidRPr="009B65A5">
        <w:rPr>
          <w:rFonts w:asciiTheme="majorHAnsi" w:hAnsiTheme="majorHAnsi"/>
          <w:sz w:val="20"/>
          <w:szCs w:val="20"/>
          <w:lang w:val="es-ES_tradnl"/>
        </w:rPr>
        <w:lastRenderedPageBreak/>
        <w:t>ocurrido</w:t>
      </w:r>
      <w:r w:rsidR="00E86033" w:rsidRPr="009B65A5">
        <w:rPr>
          <w:rFonts w:asciiTheme="majorHAnsi" w:hAnsiTheme="majorHAnsi"/>
          <w:sz w:val="20"/>
          <w:szCs w:val="20"/>
          <w:lang w:val="es-ES_tradnl"/>
        </w:rPr>
        <w:t xml:space="preserve">, dado que </w:t>
      </w:r>
      <w:r w:rsidR="00090CBA" w:rsidRPr="009B65A5">
        <w:rPr>
          <w:rFonts w:asciiTheme="majorHAnsi" w:hAnsiTheme="majorHAnsi"/>
          <w:sz w:val="20"/>
          <w:szCs w:val="20"/>
          <w:lang w:val="es-ES_tradnl"/>
        </w:rPr>
        <w:t xml:space="preserve">el 12 de enero de 2021 </w:t>
      </w:r>
      <w:r w:rsidR="00E86033" w:rsidRPr="009B65A5">
        <w:rPr>
          <w:rFonts w:asciiTheme="majorHAnsi" w:hAnsiTheme="majorHAnsi"/>
          <w:sz w:val="20"/>
          <w:szCs w:val="20"/>
          <w:lang w:val="es-ES_tradnl"/>
        </w:rPr>
        <w:t xml:space="preserve">la Sala Penal Primera del Tribunal Departamental de Chuquisaca realizó una audiencia para analizar una excepción de prescripción de la acción penal presentada por los condenadas. </w:t>
      </w:r>
    </w:p>
    <w:p w14:paraId="0E63AFE8" w14:textId="4E694308" w:rsidR="00B82687" w:rsidRPr="009B65A5" w:rsidRDefault="00B82687" w:rsidP="009756E0">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i/>
          <w:iCs/>
          <w:sz w:val="20"/>
          <w:szCs w:val="20"/>
          <w:lang w:val="es-ES_tradnl"/>
        </w:rPr>
      </w:pPr>
      <w:r w:rsidRPr="009B65A5">
        <w:rPr>
          <w:rFonts w:asciiTheme="majorHAnsi" w:hAnsiTheme="majorHAnsi"/>
          <w:i/>
          <w:iCs/>
          <w:sz w:val="20"/>
          <w:szCs w:val="20"/>
          <w:lang w:val="es-ES_tradnl"/>
        </w:rPr>
        <w:t>Alegatos de la parte peticionaria</w:t>
      </w:r>
    </w:p>
    <w:p w14:paraId="49E03576" w14:textId="1DBA6F56" w:rsidR="00B82687" w:rsidRPr="009B65A5" w:rsidRDefault="00FA21BD" w:rsidP="00AD566A">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9B65A5">
        <w:rPr>
          <w:rFonts w:asciiTheme="majorHAnsi" w:hAnsiTheme="majorHAnsi"/>
          <w:sz w:val="20"/>
          <w:szCs w:val="20"/>
          <w:lang w:val="es-ES_tradnl"/>
        </w:rPr>
        <w:t xml:space="preserve">En virtud de las consideraciones </w:t>
      </w:r>
      <w:r w:rsidR="00BF1AA2" w:rsidRPr="009B65A5">
        <w:rPr>
          <w:rFonts w:asciiTheme="majorHAnsi" w:hAnsiTheme="majorHAnsi"/>
          <w:sz w:val="20"/>
          <w:szCs w:val="20"/>
          <w:lang w:val="es-ES_tradnl"/>
        </w:rPr>
        <w:t>expuestas</w:t>
      </w:r>
      <w:r w:rsidRPr="009B65A5">
        <w:rPr>
          <w:rFonts w:asciiTheme="majorHAnsi" w:hAnsiTheme="majorHAnsi"/>
          <w:sz w:val="20"/>
          <w:szCs w:val="20"/>
          <w:lang w:val="es-ES_tradnl"/>
        </w:rPr>
        <w:t xml:space="preserve">, la parte peticionaria </w:t>
      </w:r>
      <w:r w:rsidR="007022D5" w:rsidRPr="009B65A5">
        <w:rPr>
          <w:rFonts w:asciiTheme="majorHAnsi" w:hAnsiTheme="majorHAnsi"/>
          <w:sz w:val="20"/>
          <w:szCs w:val="20"/>
          <w:lang w:val="es-ES_tradnl"/>
        </w:rPr>
        <w:t>afirma</w:t>
      </w:r>
      <w:r w:rsidRPr="009B65A5">
        <w:rPr>
          <w:rFonts w:asciiTheme="majorHAnsi" w:hAnsiTheme="majorHAnsi"/>
          <w:sz w:val="20"/>
          <w:szCs w:val="20"/>
          <w:lang w:val="es-ES_tradnl"/>
        </w:rPr>
        <w:t xml:space="preserve"> que el Estado violó los derechos de las presuntas víctimas, al permitir que sean atacadas y discrimina</w:t>
      </w:r>
      <w:r w:rsidR="007022D5" w:rsidRPr="009B65A5">
        <w:rPr>
          <w:rFonts w:asciiTheme="majorHAnsi" w:hAnsiTheme="majorHAnsi"/>
          <w:sz w:val="20"/>
          <w:szCs w:val="20"/>
          <w:lang w:val="es-ES_tradnl"/>
        </w:rPr>
        <w:t>da</w:t>
      </w:r>
      <w:r w:rsidR="00AD566A" w:rsidRPr="009B65A5">
        <w:rPr>
          <w:rFonts w:asciiTheme="majorHAnsi" w:hAnsiTheme="majorHAnsi"/>
          <w:sz w:val="20"/>
          <w:szCs w:val="20"/>
          <w:lang w:val="es-ES_tradnl"/>
        </w:rPr>
        <w:t xml:space="preserve">s; y posteriormente no aplicar de manera efectiva una sanción adecuada contra los victimarios. </w:t>
      </w:r>
      <w:r w:rsidR="00784AF3" w:rsidRPr="009B65A5">
        <w:rPr>
          <w:rFonts w:asciiTheme="majorHAnsi" w:hAnsiTheme="majorHAnsi"/>
          <w:sz w:val="20"/>
          <w:szCs w:val="20"/>
          <w:lang w:val="es-ES_tradnl"/>
        </w:rPr>
        <w:t xml:space="preserve">Destaca que los peritajes médicos y psicológicos practicados a las presuntas víctimas bajo el Protocolo de Estambul certifican que sufrieron prácticas de tortura y tratos humillantes por razones racistas y discriminatorias. </w:t>
      </w:r>
      <w:r w:rsidR="00AD566A" w:rsidRPr="009B65A5">
        <w:rPr>
          <w:rFonts w:asciiTheme="majorHAnsi" w:hAnsiTheme="majorHAnsi"/>
          <w:sz w:val="20"/>
          <w:szCs w:val="20"/>
          <w:lang w:val="es-ES_tradnl"/>
        </w:rPr>
        <w:t xml:space="preserve">En tal sentido, destaca que </w:t>
      </w:r>
      <w:r w:rsidR="00784AF3" w:rsidRPr="009B65A5">
        <w:rPr>
          <w:rFonts w:asciiTheme="majorHAnsi" w:hAnsiTheme="majorHAnsi"/>
          <w:sz w:val="20"/>
          <w:szCs w:val="20"/>
          <w:lang w:val="es-ES_tradnl"/>
        </w:rPr>
        <w:t xml:space="preserve">todas estas personas padecen trastornos psiquiátricos, </w:t>
      </w:r>
      <w:r w:rsidR="002F343B" w:rsidRPr="009B65A5">
        <w:rPr>
          <w:rFonts w:asciiTheme="majorHAnsi" w:hAnsiTheme="majorHAnsi"/>
          <w:sz w:val="20"/>
          <w:szCs w:val="20"/>
          <w:lang w:val="es-ES_tradnl"/>
        </w:rPr>
        <w:t>necesitando</w:t>
      </w:r>
      <w:r w:rsidR="00784AF3" w:rsidRPr="009B65A5">
        <w:rPr>
          <w:rFonts w:asciiTheme="majorHAnsi" w:hAnsiTheme="majorHAnsi"/>
          <w:sz w:val="20"/>
          <w:szCs w:val="20"/>
          <w:lang w:val="es-ES_tradnl"/>
        </w:rPr>
        <w:t xml:space="preserve"> algunos tratamientos de atención psicoterapéutica y/o médica, o incluso ambos. </w:t>
      </w:r>
    </w:p>
    <w:p w14:paraId="0F282244" w14:textId="4A61E91D" w:rsidR="00DF2630" w:rsidRPr="009B65A5" w:rsidRDefault="00DF2630" w:rsidP="000818E8">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9B65A5">
        <w:rPr>
          <w:rFonts w:asciiTheme="majorHAnsi" w:hAnsiTheme="majorHAnsi"/>
          <w:sz w:val="20"/>
          <w:szCs w:val="20"/>
          <w:lang w:val="es-ES_tradnl"/>
        </w:rPr>
        <w:t xml:space="preserve">En relación </w:t>
      </w:r>
      <w:r w:rsidR="007022D5" w:rsidRPr="009B65A5">
        <w:rPr>
          <w:rFonts w:asciiTheme="majorHAnsi" w:hAnsiTheme="majorHAnsi"/>
          <w:sz w:val="20"/>
          <w:szCs w:val="20"/>
          <w:lang w:val="es-ES_tradnl"/>
        </w:rPr>
        <w:t xml:space="preserve">con </w:t>
      </w:r>
      <w:r w:rsidRPr="009B65A5">
        <w:rPr>
          <w:rFonts w:asciiTheme="majorHAnsi" w:hAnsiTheme="majorHAnsi"/>
          <w:sz w:val="20"/>
          <w:szCs w:val="20"/>
          <w:lang w:val="es-ES_tradnl"/>
        </w:rPr>
        <w:t>el amparo constitucional presentado, alega que el Tribunal de Garantías de Sucre rechazó la acción por</w:t>
      </w:r>
      <w:r w:rsidR="005D11B4" w:rsidRPr="009B65A5">
        <w:rPr>
          <w:rFonts w:asciiTheme="majorHAnsi" w:hAnsiTheme="majorHAnsi"/>
          <w:sz w:val="20"/>
          <w:szCs w:val="20"/>
          <w:lang w:val="es-ES_tradnl"/>
        </w:rPr>
        <w:t xml:space="preserve"> extemporaneidad</w:t>
      </w:r>
      <w:r w:rsidR="000818E8" w:rsidRPr="009B65A5">
        <w:rPr>
          <w:rFonts w:asciiTheme="majorHAnsi" w:hAnsiTheme="majorHAnsi"/>
          <w:sz w:val="20"/>
          <w:szCs w:val="20"/>
          <w:lang w:val="es-ES_tradnl"/>
        </w:rPr>
        <w:t xml:space="preserve">, </w:t>
      </w:r>
      <w:r w:rsidR="005D11B4" w:rsidRPr="009B65A5">
        <w:rPr>
          <w:rFonts w:asciiTheme="majorHAnsi" w:hAnsiTheme="majorHAnsi"/>
          <w:sz w:val="20"/>
          <w:szCs w:val="20"/>
          <w:lang w:val="es-ES_tradnl"/>
        </w:rPr>
        <w:t>a pesar de que</w:t>
      </w:r>
      <w:r w:rsidR="000818E8" w:rsidRPr="009B65A5">
        <w:rPr>
          <w:rFonts w:asciiTheme="majorHAnsi" w:hAnsiTheme="majorHAnsi"/>
          <w:sz w:val="20"/>
          <w:szCs w:val="20"/>
          <w:lang w:val="es-ES_tradnl"/>
        </w:rPr>
        <w:t xml:space="preserve"> </w:t>
      </w:r>
      <w:r w:rsidR="00640BD3" w:rsidRPr="009B65A5">
        <w:rPr>
          <w:rFonts w:asciiTheme="majorHAnsi" w:hAnsiTheme="majorHAnsi"/>
          <w:sz w:val="20"/>
          <w:szCs w:val="20"/>
          <w:lang w:val="es-ES_tradnl"/>
        </w:rPr>
        <w:t>los artículos</w:t>
      </w:r>
      <w:r w:rsidR="000818E8" w:rsidRPr="009B65A5">
        <w:rPr>
          <w:rFonts w:asciiTheme="majorHAnsi" w:hAnsiTheme="majorHAnsi"/>
          <w:sz w:val="20"/>
          <w:szCs w:val="20"/>
          <w:lang w:val="es-ES_tradnl"/>
        </w:rPr>
        <w:t xml:space="preserve"> 96</w:t>
      </w:r>
      <w:r w:rsidR="00640BD3" w:rsidRPr="009B65A5">
        <w:rPr>
          <w:rFonts w:asciiTheme="majorHAnsi" w:hAnsiTheme="majorHAnsi"/>
          <w:sz w:val="20"/>
          <w:szCs w:val="20"/>
          <w:lang w:val="es-ES_tradnl"/>
        </w:rPr>
        <w:t xml:space="preserve"> y 97</w:t>
      </w:r>
      <w:r w:rsidR="000818E8" w:rsidRPr="009B65A5">
        <w:rPr>
          <w:rFonts w:asciiTheme="majorHAnsi" w:hAnsiTheme="majorHAnsi"/>
          <w:sz w:val="20"/>
          <w:szCs w:val="20"/>
          <w:lang w:val="es-ES_tradnl"/>
        </w:rPr>
        <w:t xml:space="preserve"> de la Ley 1836</w:t>
      </w:r>
      <w:r w:rsidR="00640BD3" w:rsidRPr="009B65A5">
        <w:rPr>
          <w:rFonts w:asciiTheme="majorHAnsi" w:hAnsiTheme="majorHAnsi"/>
          <w:sz w:val="20"/>
          <w:szCs w:val="20"/>
          <w:lang w:val="es-ES_tradnl"/>
        </w:rPr>
        <w:t>, Ley del Tribunal Constitucional</w:t>
      </w:r>
      <w:r w:rsidR="00640BD3" w:rsidRPr="009B65A5">
        <w:rPr>
          <w:rStyle w:val="FootnoteReference"/>
          <w:rFonts w:asciiTheme="majorHAnsi" w:hAnsiTheme="majorHAnsi"/>
          <w:sz w:val="20"/>
          <w:szCs w:val="20"/>
          <w:lang w:val="es-ES_tradnl"/>
        </w:rPr>
        <w:footnoteReference w:id="11"/>
      </w:r>
      <w:r w:rsidR="000818E8" w:rsidRPr="009B65A5">
        <w:rPr>
          <w:rFonts w:asciiTheme="majorHAnsi" w:hAnsiTheme="majorHAnsi"/>
          <w:sz w:val="20"/>
          <w:szCs w:val="20"/>
          <w:lang w:val="es-ES_tradnl"/>
        </w:rPr>
        <w:t xml:space="preserve"> no establece</w:t>
      </w:r>
      <w:r w:rsidR="005D11B4" w:rsidRPr="009B65A5">
        <w:rPr>
          <w:rFonts w:asciiTheme="majorHAnsi" w:hAnsiTheme="majorHAnsi"/>
          <w:sz w:val="20"/>
          <w:szCs w:val="20"/>
          <w:lang w:val="es-ES_tradnl"/>
        </w:rPr>
        <w:t>n</w:t>
      </w:r>
      <w:r w:rsidR="000818E8" w:rsidRPr="009B65A5">
        <w:rPr>
          <w:rFonts w:asciiTheme="majorHAnsi" w:hAnsiTheme="majorHAnsi"/>
          <w:sz w:val="20"/>
          <w:szCs w:val="20"/>
          <w:lang w:val="es-ES_tradnl"/>
        </w:rPr>
        <w:t xml:space="preserve"> tal requerimiento.</w:t>
      </w:r>
      <w:r w:rsidRPr="009B65A5">
        <w:rPr>
          <w:rFonts w:asciiTheme="majorHAnsi" w:hAnsiTheme="majorHAnsi"/>
          <w:sz w:val="20"/>
          <w:szCs w:val="20"/>
          <w:lang w:val="es-ES_tradnl"/>
        </w:rPr>
        <w:t xml:space="preserve"> </w:t>
      </w:r>
      <w:r w:rsidR="00BD0B5A" w:rsidRPr="009B65A5">
        <w:rPr>
          <w:rFonts w:asciiTheme="majorHAnsi" w:hAnsiTheme="majorHAnsi"/>
          <w:sz w:val="20"/>
          <w:szCs w:val="20"/>
          <w:lang w:val="es-ES_tradnl"/>
        </w:rPr>
        <w:t>A</w:t>
      </w:r>
      <w:r w:rsidR="000818E8" w:rsidRPr="009B65A5">
        <w:rPr>
          <w:rFonts w:asciiTheme="majorHAnsi" w:hAnsiTheme="majorHAnsi"/>
          <w:sz w:val="20"/>
          <w:szCs w:val="20"/>
          <w:lang w:val="es-ES_tradnl"/>
        </w:rPr>
        <w:t>demás</w:t>
      </w:r>
      <w:r w:rsidRPr="009B65A5">
        <w:rPr>
          <w:rFonts w:asciiTheme="majorHAnsi" w:hAnsiTheme="majorHAnsi"/>
          <w:sz w:val="20"/>
          <w:szCs w:val="20"/>
          <w:lang w:val="es-ES_tradnl"/>
        </w:rPr>
        <w:t xml:space="preserve">, </w:t>
      </w:r>
      <w:r w:rsidR="005D11B4" w:rsidRPr="009B65A5">
        <w:rPr>
          <w:rFonts w:asciiTheme="majorHAnsi" w:hAnsiTheme="majorHAnsi"/>
          <w:sz w:val="20"/>
          <w:szCs w:val="20"/>
          <w:lang w:val="es-ES_tradnl"/>
        </w:rPr>
        <w:t xml:space="preserve">resalta que este órgano </w:t>
      </w:r>
      <w:r w:rsidRPr="009B65A5">
        <w:rPr>
          <w:rFonts w:asciiTheme="majorHAnsi" w:hAnsiTheme="majorHAnsi"/>
          <w:sz w:val="20"/>
          <w:szCs w:val="20"/>
          <w:lang w:val="es-ES_tradnl"/>
        </w:rPr>
        <w:t xml:space="preserve">se rehusó a dar una explicación sobre esta decisión, </w:t>
      </w:r>
      <w:r w:rsidR="005D11B4" w:rsidRPr="009B65A5">
        <w:rPr>
          <w:rFonts w:asciiTheme="majorHAnsi" w:hAnsiTheme="majorHAnsi"/>
          <w:sz w:val="20"/>
          <w:szCs w:val="20"/>
          <w:lang w:val="es-ES_tradnl"/>
        </w:rPr>
        <w:t>pese a que</w:t>
      </w:r>
      <w:r w:rsidRPr="009B65A5">
        <w:rPr>
          <w:rFonts w:asciiTheme="majorHAnsi" w:hAnsiTheme="majorHAnsi"/>
          <w:sz w:val="20"/>
          <w:szCs w:val="20"/>
          <w:lang w:val="es-ES_tradnl"/>
        </w:rPr>
        <w:t xml:space="preserve"> </w:t>
      </w:r>
      <w:r w:rsidR="000818E8" w:rsidRPr="009B65A5">
        <w:rPr>
          <w:rFonts w:asciiTheme="majorHAnsi" w:hAnsiTheme="majorHAnsi"/>
          <w:sz w:val="20"/>
          <w:szCs w:val="20"/>
          <w:lang w:val="es-ES_tradnl"/>
        </w:rPr>
        <w:t xml:space="preserve">las presuntas víctimas habían invocado excepciones a la aplicación del principio de inmediatez. Por ende, a juicio de la parte peticionaria, resulta evidente que existió una denegación de justicia y falta de protección </w:t>
      </w:r>
      <w:r w:rsidR="00D77632" w:rsidRPr="009B65A5">
        <w:rPr>
          <w:rFonts w:asciiTheme="majorHAnsi" w:hAnsiTheme="majorHAnsi"/>
          <w:sz w:val="20"/>
          <w:szCs w:val="20"/>
          <w:lang w:val="es-ES_tradnl"/>
        </w:rPr>
        <w:t>judicial</w:t>
      </w:r>
      <w:r w:rsidR="000818E8" w:rsidRPr="009B65A5">
        <w:rPr>
          <w:rFonts w:asciiTheme="majorHAnsi" w:hAnsiTheme="majorHAnsi"/>
          <w:sz w:val="20"/>
          <w:szCs w:val="20"/>
          <w:lang w:val="es-ES_tradnl"/>
        </w:rPr>
        <w:t xml:space="preserve">, a efectos de garantizar su libertad de circulación en la ciudad de Sucre. </w:t>
      </w:r>
    </w:p>
    <w:p w14:paraId="7E3BE4F0" w14:textId="2938C8C4" w:rsidR="002F343B" w:rsidRPr="009B65A5" w:rsidRDefault="007022D5" w:rsidP="000818E8">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9B65A5">
        <w:rPr>
          <w:rFonts w:asciiTheme="majorHAnsi" w:hAnsiTheme="majorHAnsi"/>
          <w:sz w:val="20"/>
          <w:szCs w:val="20"/>
          <w:lang w:val="es-ES_tradnl"/>
        </w:rPr>
        <w:t>Por otra parte, a</w:t>
      </w:r>
      <w:r w:rsidR="00D77632" w:rsidRPr="009B65A5">
        <w:rPr>
          <w:rFonts w:asciiTheme="majorHAnsi" w:hAnsiTheme="majorHAnsi"/>
          <w:sz w:val="20"/>
          <w:szCs w:val="20"/>
          <w:lang w:val="es-ES_tradnl"/>
        </w:rPr>
        <w:t>rguye que el proceso penal viene demorando cuatro veces más de lo que prevé el artículo 133 del Código de Procedimiento Penal</w:t>
      </w:r>
      <w:r w:rsidR="005D11B4" w:rsidRPr="009B65A5">
        <w:rPr>
          <w:rStyle w:val="FootnoteReference"/>
          <w:rFonts w:asciiTheme="majorHAnsi" w:hAnsiTheme="majorHAnsi"/>
          <w:sz w:val="20"/>
          <w:szCs w:val="20"/>
          <w:lang w:val="es-ES_tradnl"/>
        </w:rPr>
        <w:footnoteReference w:id="12"/>
      </w:r>
      <w:r w:rsidR="00D77632" w:rsidRPr="009B65A5">
        <w:rPr>
          <w:rFonts w:asciiTheme="majorHAnsi" w:hAnsiTheme="majorHAnsi"/>
          <w:sz w:val="20"/>
          <w:szCs w:val="20"/>
          <w:lang w:val="es-ES_tradnl"/>
        </w:rPr>
        <w:t xml:space="preserve">, lo que demuestra que se ha vulnerado el derecho al plazo razonable. Añade </w:t>
      </w:r>
      <w:r w:rsidR="00415F25" w:rsidRPr="009B65A5">
        <w:rPr>
          <w:rFonts w:asciiTheme="majorHAnsi" w:hAnsiTheme="majorHAnsi"/>
          <w:sz w:val="20"/>
          <w:szCs w:val="20"/>
          <w:lang w:val="es-ES_tradnl"/>
        </w:rPr>
        <w:t>que,</w:t>
      </w:r>
      <w:r w:rsidR="00D77632" w:rsidRPr="009B65A5">
        <w:rPr>
          <w:rFonts w:asciiTheme="majorHAnsi" w:hAnsiTheme="majorHAnsi"/>
          <w:sz w:val="20"/>
          <w:szCs w:val="20"/>
          <w:lang w:val="es-ES_tradnl"/>
        </w:rPr>
        <w:t xml:space="preserve"> si bien se trata de una causa compleja y</w:t>
      </w:r>
      <w:r w:rsidRPr="009B65A5">
        <w:rPr>
          <w:rFonts w:asciiTheme="majorHAnsi" w:hAnsiTheme="majorHAnsi"/>
          <w:sz w:val="20"/>
          <w:szCs w:val="20"/>
          <w:lang w:val="es-ES_tradnl"/>
        </w:rPr>
        <w:t xml:space="preserve"> con una</w:t>
      </w:r>
      <w:r w:rsidR="00D77632" w:rsidRPr="009B65A5">
        <w:rPr>
          <w:rFonts w:asciiTheme="majorHAnsi" w:hAnsiTheme="majorHAnsi"/>
          <w:sz w:val="20"/>
          <w:szCs w:val="20"/>
          <w:lang w:val="es-ES_tradnl"/>
        </w:rPr>
        <w:t xml:space="preserve"> pluralidad de personas involucradas, existen centenares de medios de prueba videográfica del preciso momento en que se cometieron los delitos. Asimismo, detalla que las excepciones presentadas durante el proceso son atribuibles a los victimarios y no a las víctimas. Finalmente, destaca que las autoridades jurisdiccionales también provocaron demora en la tramitación del proceso, toda vez que las autoridades jurisdiccionales designadas para el caso no se presentaron a las audiencias, provocando la suspensión de diversas diligencias.  </w:t>
      </w:r>
    </w:p>
    <w:p w14:paraId="72E5099E" w14:textId="19891B1B" w:rsidR="00415F25" w:rsidRPr="009B65A5" w:rsidRDefault="00415F25" w:rsidP="000818E8">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9B65A5">
        <w:rPr>
          <w:rFonts w:asciiTheme="majorHAnsi" w:hAnsiTheme="majorHAnsi"/>
          <w:sz w:val="20"/>
          <w:szCs w:val="20"/>
          <w:lang w:val="es-ES_tradnl"/>
        </w:rPr>
        <w:t>Agrega que el referido accionar de l</w:t>
      </w:r>
      <w:r w:rsidR="007022D5" w:rsidRPr="009B65A5">
        <w:rPr>
          <w:rFonts w:asciiTheme="majorHAnsi" w:hAnsiTheme="majorHAnsi"/>
          <w:sz w:val="20"/>
          <w:szCs w:val="20"/>
          <w:lang w:val="es-ES_tradnl"/>
        </w:rPr>
        <w:t xml:space="preserve">os órganos de justicia </w:t>
      </w:r>
      <w:r w:rsidRPr="009B65A5">
        <w:rPr>
          <w:rFonts w:asciiTheme="majorHAnsi" w:hAnsiTheme="majorHAnsi"/>
          <w:sz w:val="20"/>
          <w:szCs w:val="20"/>
          <w:lang w:val="es-ES_tradnl"/>
        </w:rPr>
        <w:t>coadyuvo a la estrategia procesal de los acusados, destinada a dilatar el proceso y lograr la prescripción de los delitos. En tal sentido, resalta que si el proceso penal hubiese respetado el máximo de tres años establecido por la legislación procesal penal no hubiera operado la prescripción de los delitos de</w:t>
      </w:r>
      <w:r w:rsidR="00F37285" w:rsidRPr="009B65A5">
        <w:rPr>
          <w:rFonts w:asciiTheme="majorHAnsi" w:hAnsiTheme="majorHAnsi"/>
          <w:sz w:val="20"/>
          <w:szCs w:val="20"/>
          <w:lang w:val="es-ES_tradnl"/>
        </w:rPr>
        <w:t>:</w:t>
      </w:r>
      <w:r w:rsidRPr="009B65A5">
        <w:rPr>
          <w:rFonts w:asciiTheme="majorHAnsi" w:hAnsiTheme="majorHAnsi"/>
          <w:sz w:val="20"/>
          <w:szCs w:val="20"/>
          <w:lang w:val="es-ES_tradnl"/>
        </w:rPr>
        <w:t xml:space="preserve"> i) instigación pública a delinquir; ii) desórdenes o perturbaciones pública; iii) lesiones leves; iv) privación de libertad; y v) amenazas. </w:t>
      </w:r>
    </w:p>
    <w:p w14:paraId="08FD9970" w14:textId="48860803" w:rsidR="0017326C" w:rsidRPr="009B65A5" w:rsidRDefault="0017326C" w:rsidP="000818E8">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9B65A5">
        <w:rPr>
          <w:rFonts w:asciiTheme="majorHAnsi" w:hAnsiTheme="majorHAnsi"/>
          <w:sz w:val="20"/>
          <w:szCs w:val="20"/>
          <w:lang w:val="es-ES_tradnl"/>
        </w:rPr>
        <w:t xml:space="preserve">Adicionalmente, en relación con la tipificación del delito de tortura, resalta que </w:t>
      </w:r>
      <w:r w:rsidR="00CD1223" w:rsidRPr="009B65A5">
        <w:rPr>
          <w:rFonts w:asciiTheme="majorHAnsi" w:hAnsiTheme="majorHAnsi"/>
          <w:sz w:val="20"/>
          <w:szCs w:val="20"/>
          <w:lang w:val="es-ES_tradnl"/>
        </w:rPr>
        <w:t>el artículo 295 del Código Penal Boliviano aún vigente</w:t>
      </w:r>
      <w:r w:rsidR="00CC0611" w:rsidRPr="009B65A5">
        <w:rPr>
          <w:rStyle w:val="FootnoteReference"/>
          <w:rFonts w:asciiTheme="majorHAnsi" w:hAnsiTheme="majorHAnsi"/>
          <w:sz w:val="20"/>
          <w:szCs w:val="20"/>
          <w:lang w:val="es-ES_tradnl"/>
        </w:rPr>
        <w:footnoteReference w:id="13"/>
      </w:r>
      <w:r w:rsidR="00CD1223" w:rsidRPr="009B65A5">
        <w:rPr>
          <w:rFonts w:asciiTheme="majorHAnsi" w:hAnsiTheme="majorHAnsi"/>
          <w:sz w:val="20"/>
          <w:szCs w:val="20"/>
          <w:lang w:val="es-ES_tradnl"/>
        </w:rPr>
        <w:t xml:space="preserve"> no contiene una redacción acorde a la definición internacional sobre dicho crimen</w:t>
      </w:r>
      <w:r w:rsidR="00CC0611" w:rsidRPr="009B65A5">
        <w:rPr>
          <w:rFonts w:asciiTheme="majorHAnsi" w:hAnsiTheme="majorHAnsi"/>
          <w:sz w:val="20"/>
          <w:szCs w:val="20"/>
          <w:lang w:val="es-ES_tradnl"/>
        </w:rPr>
        <w:t xml:space="preserve">, al </w:t>
      </w:r>
      <w:r w:rsidR="00090CBA" w:rsidRPr="009B65A5">
        <w:rPr>
          <w:rFonts w:asciiTheme="majorHAnsi" w:hAnsiTheme="majorHAnsi"/>
          <w:sz w:val="20"/>
          <w:szCs w:val="20"/>
          <w:lang w:val="es-ES_tradnl"/>
        </w:rPr>
        <w:t>condicionar</w:t>
      </w:r>
      <w:r w:rsidR="00CC0611" w:rsidRPr="009B65A5">
        <w:rPr>
          <w:rFonts w:asciiTheme="majorHAnsi" w:hAnsiTheme="majorHAnsi"/>
          <w:sz w:val="20"/>
          <w:szCs w:val="20"/>
          <w:lang w:val="es-ES_tradnl"/>
        </w:rPr>
        <w:t xml:space="preserve"> la comisión del delito a que la víctima se encuentre detenida y disponer una pena </w:t>
      </w:r>
      <w:r w:rsidR="00CC0611" w:rsidRPr="009B65A5">
        <w:rPr>
          <w:rFonts w:asciiTheme="majorHAnsi" w:hAnsiTheme="majorHAnsi"/>
          <w:sz w:val="20"/>
          <w:szCs w:val="20"/>
          <w:lang w:val="es-ES_tradnl"/>
        </w:rPr>
        <w:lastRenderedPageBreak/>
        <w:t xml:space="preserve">muy pequeña. </w:t>
      </w:r>
      <w:r w:rsidR="00CD1223" w:rsidRPr="009B65A5">
        <w:rPr>
          <w:rFonts w:asciiTheme="majorHAnsi" w:hAnsiTheme="majorHAnsi"/>
          <w:sz w:val="20"/>
          <w:szCs w:val="20"/>
          <w:lang w:val="es-ES_tradnl"/>
        </w:rPr>
        <w:t>Enfatiza que desde el 2001 el Comité de Derechos Humanos y el Comité contra la Tortura de la</w:t>
      </w:r>
      <w:r w:rsidR="007022D5" w:rsidRPr="009B65A5">
        <w:rPr>
          <w:rFonts w:asciiTheme="majorHAnsi" w:hAnsiTheme="majorHAnsi"/>
          <w:sz w:val="20"/>
          <w:szCs w:val="20"/>
          <w:lang w:val="es-ES_tradnl"/>
        </w:rPr>
        <w:t>s Naciones Unidas</w:t>
      </w:r>
      <w:r w:rsidR="00CD1223" w:rsidRPr="009B65A5">
        <w:rPr>
          <w:rFonts w:asciiTheme="majorHAnsi" w:hAnsiTheme="majorHAnsi"/>
          <w:sz w:val="20"/>
          <w:szCs w:val="20"/>
          <w:lang w:val="es-ES_tradnl"/>
        </w:rPr>
        <w:t xml:space="preserve"> han criticado dicha tipificación y </w:t>
      </w:r>
      <w:r w:rsidR="007022D5" w:rsidRPr="009B65A5">
        <w:rPr>
          <w:rFonts w:asciiTheme="majorHAnsi" w:hAnsiTheme="majorHAnsi"/>
          <w:sz w:val="20"/>
          <w:szCs w:val="20"/>
          <w:lang w:val="es-ES_tradnl"/>
        </w:rPr>
        <w:t>aconsejado</w:t>
      </w:r>
      <w:r w:rsidR="00CD1223" w:rsidRPr="009B65A5">
        <w:rPr>
          <w:rFonts w:asciiTheme="majorHAnsi" w:hAnsiTheme="majorHAnsi"/>
          <w:sz w:val="20"/>
          <w:szCs w:val="20"/>
          <w:lang w:val="es-ES_tradnl"/>
        </w:rPr>
        <w:t xml:space="preserve"> su modificación. Sin embargo, denuncia que el Estado boliviano nunca ha tomado en serio estas recomendaciones</w:t>
      </w:r>
      <w:r w:rsidR="00CC0611" w:rsidRPr="009B65A5">
        <w:rPr>
          <w:rFonts w:asciiTheme="majorHAnsi" w:hAnsiTheme="majorHAnsi"/>
          <w:sz w:val="20"/>
          <w:szCs w:val="20"/>
          <w:lang w:val="es-ES_tradnl"/>
        </w:rPr>
        <w:t>, lo que no permitió, en el presente caso, que algunas personas sean debidamente sancionadas.</w:t>
      </w:r>
    </w:p>
    <w:p w14:paraId="6C2B8BC6" w14:textId="5DB0BCCA" w:rsidR="00DE66DC" w:rsidRPr="009B65A5" w:rsidRDefault="00DE66DC" w:rsidP="000818E8">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9B65A5">
        <w:rPr>
          <w:rFonts w:asciiTheme="majorHAnsi" w:hAnsiTheme="majorHAnsi"/>
          <w:sz w:val="20"/>
          <w:szCs w:val="20"/>
          <w:lang w:val="es-ES_tradnl"/>
        </w:rPr>
        <w:t xml:space="preserve">En sentido similar, arguye que </w:t>
      </w:r>
      <w:r w:rsidR="00F37285" w:rsidRPr="009B65A5">
        <w:rPr>
          <w:rFonts w:asciiTheme="majorHAnsi" w:hAnsiTheme="majorHAnsi"/>
          <w:sz w:val="20"/>
          <w:szCs w:val="20"/>
          <w:lang w:val="es-ES_tradnl"/>
        </w:rPr>
        <w:t>al</w:t>
      </w:r>
      <w:r w:rsidRPr="009B65A5">
        <w:rPr>
          <w:rFonts w:asciiTheme="majorHAnsi" w:hAnsiTheme="majorHAnsi"/>
          <w:sz w:val="20"/>
          <w:szCs w:val="20"/>
          <w:lang w:val="es-ES_tradnl"/>
        </w:rPr>
        <w:t xml:space="preserve"> momento de los hechos el ordenamiento jurídico boliviano no contaba con normas dirigidas a sancionar la discriminación racial. Resalta que recién el 8 de octubre de 2010 se aprobó la Ley 45, Ley Contra el Racismo y toda forma de Discriminación. Por ende, la parte peticionaria sostiene que el Estado incumplió con su obligación establecida en el artículo 2 de la Convención Americana, a la luz de otros instrumentos internacionales como la Convención Internacional sobre la Eliminación de todas las Formas de Discriminación Racial. </w:t>
      </w:r>
    </w:p>
    <w:p w14:paraId="5A76A980" w14:textId="23B6A02A" w:rsidR="0007356C" w:rsidRPr="009B65A5" w:rsidRDefault="0007356C" w:rsidP="000818E8">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9B65A5">
        <w:rPr>
          <w:rFonts w:asciiTheme="majorHAnsi" w:hAnsiTheme="majorHAnsi"/>
          <w:sz w:val="20"/>
          <w:szCs w:val="20"/>
          <w:lang w:val="es-ES_tradnl"/>
        </w:rPr>
        <w:t>Sobre la vulneración al derecho contemplado en el artículo 13 de la Convención, resalta los agresores impidieron de manera violenta que las presuntas víctimas manifiesten su apoyo político al entonces presidente, al momento de recibir la entrega de las ambulancias.</w:t>
      </w:r>
      <w:r w:rsidR="006C59BC" w:rsidRPr="009B65A5">
        <w:rPr>
          <w:rFonts w:asciiTheme="majorHAnsi" w:hAnsiTheme="majorHAnsi"/>
          <w:sz w:val="20"/>
          <w:szCs w:val="20"/>
          <w:lang w:val="es-ES_tradnl"/>
        </w:rPr>
        <w:t xml:space="preserve"> </w:t>
      </w:r>
      <w:r w:rsidR="00481F88" w:rsidRPr="009B65A5">
        <w:rPr>
          <w:rFonts w:asciiTheme="majorHAnsi" w:hAnsiTheme="majorHAnsi"/>
          <w:sz w:val="20"/>
          <w:szCs w:val="20"/>
          <w:lang w:val="es-ES_tradnl"/>
        </w:rPr>
        <w:t>Alega</w:t>
      </w:r>
      <w:r w:rsidR="006C59BC" w:rsidRPr="009B65A5">
        <w:rPr>
          <w:rFonts w:asciiTheme="majorHAnsi" w:hAnsiTheme="majorHAnsi"/>
          <w:sz w:val="20"/>
          <w:szCs w:val="20"/>
          <w:lang w:val="es-ES_tradnl"/>
        </w:rPr>
        <w:t xml:space="preserve"> </w:t>
      </w:r>
      <w:r w:rsidR="00FA21BD" w:rsidRPr="009B65A5">
        <w:rPr>
          <w:rFonts w:asciiTheme="majorHAnsi" w:hAnsiTheme="majorHAnsi"/>
          <w:sz w:val="20"/>
          <w:szCs w:val="20"/>
          <w:lang w:val="es-ES_tradnl"/>
        </w:rPr>
        <w:t>que</w:t>
      </w:r>
      <w:r w:rsidR="006C59BC" w:rsidRPr="009B65A5">
        <w:rPr>
          <w:rFonts w:asciiTheme="majorHAnsi" w:hAnsiTheme="majorHAnsi"/>
          <w:sz w:val="20"/>
          <w:szCs w:val="20"/>
          <w:lang w:val="es-ES_tradnl"/>
        </w:rPr>
        <w:t xml:space="preserve"> al momento del ataque las presuntas víctimas tenían pancartas y banderas indígenas orientadas a difundir ideas de carácter político. A pesar de ello, sus victimarios no les permitieron expresar tales mensajes y, por el contrario, les forzaron a </w:t>
      </w:r>
      <w:r w:rsidR="00FA21BD" w:rsidRPr="009B65A5">
        <w:rPr>
          <w:rFonts w:asciiTheme="majorHAnsi" w:hAnsiTheme="majorHAnsi"/>
          <w:sz w:val="20"/>
          <w:szCs w:val="20"/>
          <w:lang w:val="es-ES_tradnl"/>
        </w:rPr>
        <w:t>comunicar</w:t>
      </w:r>
      <w:r w:rsidR="006C59BC" w:rsidRPr="009B65A5">
        <w:rPr>
          <w:rFonts w:asciiTheme="majorHAnsi" w:hAnsiTheme="majorHAnsi"/>
          <w:sz w:val="20"/>
          <w:szCs w:val="20"/>
          <w:lang w:val="es-ES_tradnl"/>
        </w:rPr>
        <w:t xml:space="preserve"> ideas que no querían, al obligarlos a besar el piso y gritar arengas contra el entonces presidente. </w:t>
      </w:r>
      <w:r w:rsidRPr="009B65A5">
        <w:rPr>
          <w:rFonts w:asciiTheme="majorHAnsi" w:hAnsiTheme="majorHAnsi"/>
          <w:sz w:val="20"/>
          <w:szCs w:val="20"/>
          <w:lang w:val="es-ES_tradnl"/>
        </w:rPr>
        <w:t xml:space="preserve">A juicio de la parte peticionaria, esto representa una clara violación a su derecho a la libertad de expresión. </w:t>
      </w:r>
    </w:p>
    <w:p w14:paraId="1F64D76A" w14:textId="784AE895" w:rsidR="000818E8" w:rsidRPr="009B65A5" w:rsidRDefault="00481F88" w:rsidP="00090CBA">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9B65A5">
        <w:rPr>
          <w:rFonts w:asciiTheme="majorHAnsi" w:hAnsiTheme="majorHAnsi"/>
          <w:sz w:val="20"/>
          <w:szCs w:val="20"/>
          <w:lang w:val="es-ES_tradnl"/>
        </w:rPr>
        <w:t>R</w:t>
      </w:r>
      <w:r w:rsidR="000818E8" w:rsidRPr="009B65A5">
        <w:rPr>
          <w:rFonts w:asciiTheme="majorHAnsi" w:hAnsiTheme="majorHAnsi"/>
          <w:sz w:val="20"/>
          <w:szCs w:val="20"/>
          <w:lang w:val="es-ES_tradnl"/>
        </w:rPr>
        <w:t>especto al agotamiento de los recursos internos, solicita la aplicación</w:t>
      </w:r>
      <w:r w:rsidR="00FA5205" w:rsidRPr="009B65A5">
        <w:rPr>
          <w:rFonts w:asciiTheme="majorHAnsi" w:hAnsiTheme="majorHAnsi"/>
          <w:sz w:val="20"/>
          <w:szCs w:val="20"/>
          <w:lang w:val="es-ES_tradnl"/>
        </w:rPr>
        <w:t xml:space="preserve"> de la excepción</w:t>
      </w:r>
      <w:r w:rsidR="000818E8" w:rsidRPr="009B65A5">
        <w:rPr>
          <w:rFonts w:asciiTheme="majorHAnsi" w:hAnsiTheme="majorHAnsi"/>
          <w:sz w:val="20"/>
          <w:szCs w:val="20"/>
          <w:lang w:val="es-ES_tradnl"/>
        </w:rPr>
        <w:t xml:space="preserve"> prevista en el artículo 46.2.c)</w:t>
      </w:r>
      <w:r w:rsidR="00FA5205" w:rsidRPr="009B65A5">
        <w:rPr>
          <w:rFonts w:asciiTheme="majorHAnsi" w:hAnsiTheme="majorHAnsi"/>
          <w:sz w:val="20"/>
          <w:szCs w:val="20"/>
          <w:lang w:val="es-ES_tradnl"/>
        </w:rPr>
        <w:t xml:space="preserve"> de la Convención Americana</w:t>
      </w:r>
      <w:r w:rsidR="000818E8" w:rsidRPr="009B65A5">
        <w:rPr>
          <w:rFonts w:asciiTheme="majorHAnsi" w:hAnsiTheme="majorHAnsi"/>
          <w:sz w:val="20"/>
          <w:szCs w:val="20"/>
          <w:lang w:val="es-ES_tradnl"/>
        </w:rPr>
        <w:t>, toda vez que el proceso penal aún no ha</w:t>
      </w:r>
      <w:r w:rsidR="00FA5205" w:rsidRPr="009B65A5">
        <w:rPr>
          <w:rFonts w:asciiTheme="majorHAnsi" w:hAnsiTheme="majorHAnsi"/>
          <w:sz w:val="20"/>
          <w:szCs w:val="20"/>
          <w:lang w:val="es-ES_tradnl"/>
        </w:rPr>
        <w:t>bría</w:t>
      </w:r>
      <w:r w:rsidR="000818E8" w:rsidRPr="009B65A5">
        <w:rPr>
          <w:rFonts w:asciiTheme="majorHAnsi" w:hAnsiTheme="majorHAnsi"/>
          <w:sz w:val="20"/>
          <w:szCs w:val="20"/>
          <w:lang w:val="es-ES_tradnl"/>
        </w:rPr>
        <w:t xml:space="preserve"> culminado. </w:t>
      </w:r>
      <w:r w:rsidR="00EB6D42" w:rsidRPr="009B65A5">
        <w:rPr>
          <w:rFonts w:asciiTheme="majorHAnsi" w:hAnsiTheme="majorHAnsi"/>
          <w:sz w:val="20"/>
          <w:szCs w:val="20"/>
          <w:lang w:val="es-ES_tradnl"/>
        </w:rPr>
        <w:t>Resalta que el propio Estado reconoce esta situación, al admitir que la sentencia aún no se encuentra ejecutoriada</w:t>
      </w:r>
      <w:r w:rsidR="00090CBA" w:rsidRPr="009B65A5">
        <w:rPr>
          <w:rFonts w:asciiTheme="majorHAnsi" w:hAnsiTheme="majorHAnsi"/>
          <w:sz w:val="20"/>
          <w:szCs w:val="20"/>
          <w:lang w:val="es-ES_tradnl"/>
        </w:rPr>
        <w:t>, dado que para el 12 de enero de 2021 aún estaba pendiente de decisión una excepción de prescripción de la acción penal interpuesta por los condenados, a fin de evitar la ejecución de la pena</w:t>
      </w:r>
      <w:r w:rsidR="00EB6D42" w:rsidRPr="009B65A5">
        <w:rPr>
          <w:rFonts w:asciiTheme="majorHAnsi" w:hAnsiTheme="majorHAnsi"/>
          <w:sz w:val="20"/>
          <w:szCs w:val="20"/>
          <w:lang w:val="es-ES_tradnl"/>
        </w:rPr>
        <w:t xml:space="preserve">. </w:t>
      </w:r>
      <w:r w:rsidR="00FC4862" w:rsidRPr="009B65A5">
        <w:rPr>
          <w:rFonts w:asciiTheme="majorHAnsi" w:hAnsiTheme="majorHAnsi"/>
          <w:sz w:val="20"/>
          <w:szCs w:val="20"/>
          <w:lang w:val="es-ES_tradnl"/>
        </w:rPr>
        <w:t xml:space="preserve">Asimismo, detalla que este argumento alcanza también a la acción civil de reparación, toda vez que la indemnización del daño depende de la culminación del proceso penal. </w:t>
      </w:r>
    </w:p>
    <w:p w14:paraId="458AC374" w14:textId="2F0DFCFD" w:rsidR="00D116B1" w:rsidRPr="009B65A5" w:rsidRDefault="00415F25" w:rsidP="00415F25">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9B65A5">
        <w:rPr>
          <w:rFonts w:asciiTheme="majorHAnsi" w:hAnsiTheme="majorHAnsi"/>
          <w:sz w:val="20"/>
          <w:szCs w:val="20"/>
          <w:lang w:val="es-ES_tradnl"/>
        </w:rPr>
        <w:t xml:space="preserve">Además, resalta que si bien el Estado alega que las presuntas víctimas debieron presentar </w:t>
      </w:r>
      <w:r w:rsidR="00EF69C3" w:rsidRPr="009B65A5">
        <w:rPr>
          <w:rFonts w:asciiTheme="majorHAnsi" w:hAnsiTheme="majorHAnsi"/>
          <w:sz w:val="20"/>
          <w:szCs w:val="20"/>
          <w:lang w:val="es-ES_tradnl"/>
        </w:rPr>
        <w:t>una</w:t>
      </w:r>
      <w:r w:rsidR="00D116B1" w:rsidRPr="009B65A5">
        <w:rPr>
          <w:rFonts w:asciiTheme="majorHAnsi" w:hAnsiTheme="majorHAnsi"/>
          <w:sz w:val="20"/>
          <w:szCs w:val="20"/>
          <w:lang w:val="es-ES_tradnl"/>
        </w:rPr>
        <w:t xml:space="preserve"> apelación incidental contra los </w:t>
      </w:r>
      <w:r w:rsidR="0015573C" w:rsidRPr="009B65A5">
        <w:rPr>
          <w:rFonts w:asciiTheme="majorHAnsi" w:hAnsiTheme="majorHAnsi"/>
          <w:sz w:val="20"/>
          <w:szCs w:val="20"/>
          <w:lang w:val="es-ES_tradnl"/>
        </w:rPr>
        <w:t>a</w:t>
      </w:r>
      <w:r w:rsidR="00D116B1" w:rsidRPr="009B65A5">
        <w:rPr>
          <w:rFonts w:asciiTheme="majorHAnsi" w:hAnsiTheme="majorHAnsi"/>
          <w:sz w:val="20"/>
          <w:szCs w:val="20"/>
          <w:lang w:val="es-ES_tradnl"/>
        </w:rPr>
        <w:t>utos que determinaron la prescripción de los referidos crímenes, no se presenta ninguna argumentación o prueba que demuestre que est</w:t>
      </w:r>
      <w:r w:rsidR="00EF69C3" w:rsidRPr="009B65A5">
        <w:rPr>
          <w:rFonts w:asciiTheme="majorHAnsi" w:hAnsiTheme="majorHAnsi"/>
          <w:sz w:val="20"/>
          <w:szCs w:val="20"/>
          <w:lang w:val="es-ES_tradnl"/>
        </w:rPr>
        <w:t>a</w:t>
      </w:r>
      <w:r w:rsidR="00D116B1" w:rsidRPr="009B65A5">
        <w:rPr>
          <w:rFonts w:asciiTheme="majorHAnsi" w:hAnsiTheme="majorHAnsi"/>
          <w:sz w:val="20"/>
          <w:szCs w:val="20"/>
          <w:lang w:val="es-ES_tradnl"/>
        </w:rPr>
        <w:t xml:space="preserve"> vía era idónea </w:t>
      </w:r>
      <w:r w:rsidR="00EB6D42" w:rsidRPr="009B65A5">
        <w:rPr>
          <w:rFonts w:asciiTheme="majorHAnsi" w:hAnsiTheme="majorHAnsi"/>
          <w:sz w:val="20"/>
          <w:szCs w:val="20"/>
          <w:lang w:val="es-ES_tradnl"/>
        </w:rPr>
        <w:t>Sobre este punto</w:t>
      </w:r>
      <w:r w:rsidR="00D116B1" w:rsidRPr="009B65A5">
        <w:rPr>
          <w:rFonts w:asciiTheme="majorHAnsi" w:hAnsiTheme="majorHAnsi"/>
          <w:sz w:val="20"/>
          <w:szCs w:val="20"/>
          <w:lang w:val="es-ES_tradnl"/>
        </w:rPr>
        <w:t xml:space="preserve">, la parte peticionaria arguye que el uso de </w:t>
      </w:r>
      <w:r w:rsidR="00EF69C3" w:rsidRPr="009B65A5">
        <w:rPr>
          <w:rFonts w:asciiTheme="majorHAnsi" w:hAnsiTheme="majorHAnsi"/>
          <w:sz w:val="20"/>
          <w:szCs w:val="20"/>
          <w:lang w:val="es-ES_tradnl"/>
        </w:rPr>
        <w:t xml:space="preserve">dicho recurso </w:t>
      </w:r>
      <w:r w:rsidR="00EB6D42" w:rsidRPr="009B65A5">
        <w:rPr>
          <w:rFonts w:asciiTheme="majorHAnsi" w:hAnsiTheme="majorHAnsi"/>
          <w:sz w:val="20"/>
          <w:szCs w:val="20"/>
          <w:lang w:val="es-ES_tradnl"/>
        </w:rPr>
        <w:t xml:space="preserve">para cuestionar los referidos autos </w:t>
      </w:r>
      <w:r w:rsidR="00D116B1" w:rsidRPr="009B65A5">
        <w:rPr>
          <w:rFonts w:asciiTheme="majorHAnsi" w:hAnsiTheme="majorHAnsi"/>
          <w:sz w:val="20"/>
          <w:szCs w:val="20"/>
          <w:lang w:val="es-ES_tradnl"/>
        </w:rPr>
        <w:t>hubiese resultado infructuoso, toda vez qu</w:t>
      </w:r>
      <w:r w:rsidR="00EB6D42" w:rsidRPr="009B65A5">
        <w:rPr>
          <w:rFonts w:asciiTheme="majorHAnsi" w:hAnsiTheme="majorHAnsi"/>
          <w:sz w:val="20"/>
          <w:szCs w:val="20"/>
          <w:lang w:val="es-ES_tradnl"/>
        </w:rPr>
        <w:t xml:space="preserve">e efectivamente la prescripción operó por la tolerancia de los órganos de justicia respecto de la estrategia procesal de los victimarios. </w:t>
      </w:r>
    </w:p>
    <w:p w14:paraId="104F28B3" w14:textId="0A067BC3" w:rsidR="00415F25" w:rsidRPr="009B65A5" w:rsidRDefault="00D116B1" w:rsidP="00CD1223">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9B65A5">
        <w:rPr>
          <w:rFonts w:asciiTheme="majorHAnsi" w:hAnsiTheme="majorHAnsi"/>
          <w:sz w:val="20"/>
          <w:szCs w:val="20"/>
          <w:lang w:val="es-ES_tradnl"/>
        </w:rPr>
        <w:t>Sin perjuicio de ello, agrega que la falta de presentación del citado recurso es atribuible al Estado, dado que el SEPDAVI, en su condición de entidad pública, asumió la defensa legal de las presuntas víctimas. En consecuencia, correspondía a tales funcionarios, de conformidad con la normativa que regula a</w:t>
      </w:r>
      <w:r w:rsidR="001E6704" w:rsidRPr="009B65A5">
        <w:rPr>
          <w:rFonts w:asciiTheme="majorHAnsi" w:hAnsiTheme="majorHAnsi"/>
          <w:sz w:val="20"/>
          <w:szCs w:val="20"/>
          <w:lang w:val="es-ES_tradnl"/>
        </w:rPr>
        <w:t>l citado organismo</w:t>
      </w:r>
      <w:r w:rsidRPr="009B65A5">
        <w:rPr>
          <w:rStyle w:val="FootnoteReference"/>
          <w:rFonts w:asciiTheme="majorHAnsi" w:hAnsiTheme="majorHAnsi"/>
          <w:sz w:val="20"/>
          <w:szCs w:val="20"/>
          <w:lang w:val="es-ES_tradnl"/>
        </w:rPr>
        <w:footnoteReference w:id="14"/>
      </w:r>
      <w:r w:rsidRPr="009B65A5">
        <w:rPr>
          <w:rFonts w:asciiTheme="majorHAnsi" w:hAnsiTheme="majorHAnsi"/>
          <w:sz w:val="20"/>
          <w:szCs w:val="20"/>
          <w:lang w:val="es-ES_tradnl"/>
        </w:rPr>
        <w:t xml:space="preserve">, interponer los recursos que resulten pertinentes para tutelar los derechos de las personas agraviadas. </w:t>
      </w:r>
    </w:p>
    <w:p w14:paraId="27C06A2B" w14:textId="67E35E66" w:rsidR="005A7129" w:rsidRPr="009B65A5" w:rsidRDefault="00CD1223" w:rsidP="00CD4FEC">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9B65A5">
        <w:rPr>
          <w:rFonts w:asciiTheme="majorHAnsi" w:hAnsiTheme="majorHAnsi"/>
          <w:sz w:val="20"/>
          <w:szCs w:val="20"/>
          <w:lang w:val="es-ES_tradnl"/>
        </w:rPr>
        <w:t>Por último, en relación con la situación de algunas presuntas víctimas, explica que Fabia Ticona Calle, como muchas otras personas que fueron víctimas de la violencia racista del 24 de mayo de 2008, no pudo acceder a la jurisdicción nacional por los diversos obstáculos que enfrentan las personas de su condición social (mujer, indígena, campesina, quechua parlante) y económica;</w:t>
      </w:r>
      <w:r w:rsidR="005A7129" w:rsidRPr="009B65A5">
        <w:rPr>
          <w:rFonts w:asciiTheme="majorHAnsi" w:hAnsiTheme="majorHAnsi"/>
          <w:sz w:val="20"/>
          <w:szCs w:val="20"/>
          <w:lang w:val="es-ES_tradnl"/>
        </w:rPr>
        <w:t xml:space="preserve"> además del riesgo que representaba iniciar una acción legal en una coyuntura que tenía a las personas indígenas como un sector </w:t>
      </w:r>
      <w:r w:rsidR="005A7129" w:rsidRPr="009B65A5">
        <w:rPr>
          <w:rFonts w:asciiTheme="majorHAnsi" w:hAnsiTheme="majorHAnsi"/>
          <w:sz w:val="20"/>
          <w:szCs w:val="20"/>
          <w:lang w:val="es-ES_tradnl"/>
        </w:rPr>
        <w:lastRenderedPageBreak/>
        <w:t xml:space="preserve">altamente vulnerable. Sobre </w:t>
      </w:r>
      <w:r w:rsidR="00F451DC" w:rsidRPr="009B65A5">
        <w:rPr>
          <w:rFonts w:asciiTheme="majorHAnsi" w:hAnsiTheme="majorHAnsi"/>
          <w:sz w:val="20"/>
          <w:szCs w:val="20"/>
          <w:lang w:val="es-ES_tradnl"/>
        </w:rPr>
        <w:t>Ambrocio</w:t>
      </w:r>
      <w:r w:rsidR="005A7129" w:rsidRPr="009B65A5">
        <w:rPr>
          <w:rFonts w:asciiTheme="majorHAnsi" w:hAnsiTheme="majorHAnsi"/>
          <w:sz w:val="20"/>
          <w:szCs w:val="20"/>
          <w:lang w:val="es-ES_tradnl"/>
        </w:rPr>
        <w:t xml:space="preserve"> Apaza Arancibia y Leonardo Caballero Choque destaca que no se le puede atribuir la omisión de no presentar un amparo constitucional contra el auto que les rechazo como víctimas, dado que su representación legal dependía del SEPDAVI y, por ende, resulta una negligencia de responsabilidad del Estado. Por los argumentos expuestos, solicita a la CIDH que admita la petición respecto a la totalidad de presuntas víctimas.</w:t>
      </w:r>
    </w:p>
    <w:p w14:paraId="71DE9BB1" w14:textId="75E33049" w:rsidR="00CD4FEC" w:rsidRPr="009B65A5" w:rsidRDefault="00CD4FEC" w:rsidP="00FA5205">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_tradnl"/>
        </w:rPr>
      </w:pPr>
      <w:r w:rsidRPr="009B65A5">
        <w:rPr>
          <w:rFonts w:asciiTheme="majorHAnsi" w:hAnsiTheme="majorHAnsi"/>
          <w:i/>
          <w:iCs/>
          <w:sz w:val="20"/>
          <w:szCs w:val="20"/>
          <w:lang w:val="es-ES_tradnl"/>
        </w:rPr>
        <w:t>Alegatos del Estado</w:t>
      </w:r>
    </w:p>
    <w:p w14:paraId="71CD4201" w14:textId="12A11542" w:rsidR="00CD4FEC" w:rsidRPr="009B65A5" w:rsidRDefault="009D26A2" w:rsidP="00CD4FEC">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9B65A5">
        <w:rPr>
          <w:rFonts w:asciiTheme="majorHAnsi" w:hAnsiTheme="majorHAnsi"/>
          <w:sz w:val="20"/>
          <w:szCs w:val="20"/>
          <w:lang w:val="es-ES_tradnl"/>
        </w:rPr>
        <w:t>El Estado</w:t>
      </w:r>
      <w:r w:rsidR="00A72301" w:rsidRPr="009B65A5">
        <w:rPr>
          <w:rFonts w:asciiTheme="majorHAnsi" w:hAnsiTheme="majorHAnsi"/>
          <w:sz w:val="20"/>
          <w:szCs w:val="20"/>
          <w:lang w:val="es-ES_tradnl"/>
        </w:rPr>
        <w:t xml:space="preserve"> boliviano</w:t>
      </w:r>
      <w:r w:rsidRPr="009B65A5">
        <w:rPr>
          <w:rFonts w:asciiTheme="majorHAnsi" w:hAnsiTheme="majorHAnsi"/>
          <w:sz w:val="20"/>
          <w:szCs w:val="20"/>
          <w:lang w:val="es-ES_tradnl"/>
        </w:rPr>
        <w:t xml:space="preserve">, por su parte, </w:t>
      </w:r>
      <w:r w:rsidR="00A72301" w:rsidRPr="009B65A5">
        <w:rPr>
          <w:rFonts w:asciiTheme="majorHAnsi" w:hAnsiTheme="majorHAnsi"/>
          <w:sz w:val="20"/>
          <w:szCs w:val="20"/>
          <w:lang w:val="es-ES_tradnl"/>
        </w:rPr>
        <w:t>alega</w:t>
      </w:r>
      <w:r w:rsidRPr="009B65A5">
        <w:rPr>
          <w:rFonts w:asciiTheme="majorHAnsi" w:hAnsiTheme="majorHAnsi"/>
          <w:sz w:val="20"/>
          <w:szCs w:val="20"/>
          <w:lang w:val="es-ES_tradnl"/>
        </w:rPr>
        <w:t xml:space="preserve"> que </w:t>
      </w:r>
      <w:r w:rsidR="00C26CBE" w:rsidRPr="009B65A5">
        <w:rPr>
          <w:rFonts w:asciiTheme="majorHAnsi" w:hAnsiTheme="majorHAnsi"/>
          <w:sz w:val="20"/>
          <w:szCs w:val="20"/>
          <w:lang w:val="es-ES_tradnl"/>
        </w:rPr>
        <w:t>la petición es inadmisible</w:t>
      </w:r>
      <w:r w:rsidR="00A72301" w:rsidRPr="009B65A5">
        <w:rPr>
          <w:rFonts w:asciiTheme="majorHAnsi" w:hAnsiTheme="majorHAnsi"/>
          <w:sz w:val="20"/>
          <w:szCs w:val="20"/>
          <w:lang w:val="es-ES_tradnl"/>
        </w:rPr>
        <w:t xml:space="preserve"> por falta de agotamiento de</w:t>
      </w:r>
      <w:r w:rsidR="00C26CBE" w:rsidRPr="009B65A5">
        <w:rPr>
          <w:rFonts w:asciiTheme="majorHAnsi" w:hAnsiTheme="majorHAnsi"/>
          <w:sz w:val="20"/>
          <w:szCs w:val="20"/>
          <w:lang w:val="es-ES_tradnl"/>
        </w:rPr>
        <w:t xml:space="preserve"> los recursos de la jurisdicción interna. </w:t>
      </w:r>
      <w:r w:rsidR="00BA2650" w:rsidRPr="009B65A5">
        <w:rPr>
          <w:rFonts w:asciiTheme="majorHAnsi" w:hAnsiTheme="majorHAnsi"/>
          <w:sz w:val="20"/>
          <w:szCs w:val="20"/>
          <w:lang w:val="es-ES_tradnl"/>
        </w:rPr>
        <w:t xml:space="preserve">En concreto, plantea </w:t>
      </w:r>
      <w:r w:rsidR="00AA27F6" w:rsidRPr="009B65A5">
        <w:rPr>
          <w:rFonts w:asciiTheme="majorHAnsi" w:hAnsiTheme="majorHAnsi"/>
          <w:sz w:val="20"/>
          <w:szCs w:val="20"/>
          <w:lang w:val="es-ES_tradnl"/>
        </w:rPr>
        <w:t>que</w:t>
      </w:r>
      <w:r w:rsidR="00064FDA" w:rsidRPr="009B65A5">
        <w:rPr>
          <w:rFonts w:asciiTheme="majorHAnsi" w:hAnsiTheme="majorHAnsi"/>
          <w:sz w:val="20"/>
          <w:szCs w:val="20"/>
          <w:lang w:val="es-ES_tradnl"/>
        </w:rPr>
        <w:t>:</w:t>
      </w:r>
      <w:r w:rsidR="00BA2650" w:rsidRPr="009B65A5">
        <w:rPr>
          <w:rFonts w:asciiTheme="majorHAnsi" w:hAnsiTheme="majorHAnsi"/>
          <w:sz w:val="20"/>
          <w:szCs w:val="20"/>
          <w:lang w:val="es-ES_tradnl"/>
        </w:rPr>
        <w:t xml:space="preserve"> i)</w:t>
      </w:r>
      <w:r w:rsidR="00AA27F6" w:rsidRPr="009B65A5">
        <w:rPr>
          <w:rFonts w:asciiTheme="majorHAnsi" w:hAnsiTheme="majorHAnsi"/>
          <w:sz w:val="20"/>
          <w:szCs w:val="20"/>
          <w:lang w:val="es-ES_tradnl"/>
        </w:rPr>
        <w:t xml:space="preserve"> las presuntas víctimas no impugnaron los autos que declararon la prescripción de ciertos delitos</w:t>
      </w:r>
      <w:r w:rsidR="00BA2650" w:rsidRPr="009B65A5">
        <w:rPr>
          <w:rFonts w:asciiTheme="majorHAnsi" w:hAnsiTheme="majorHAnsi"/>
          <w:sz w:val="20"/>
          <w:szCs w:val="20"/>
          <w:lang w:val="es-ES_tradnl"/>
        </w:rPr>
        <w:t>; ii)</w:t>
      </w:r>
      <w:r w:rsidR="00AA27F6" w:rsidRPr="009B65A5">
        <w:rPr>
          <w:rFonts w:asciiTheme="majorHAnsi" w:hAnsiTheme="majorHAnsi"/>
          <w:sz w:val="20"/>
          <w:szCs w:val="20"/>
          <w:lang w:val="es-ES_tradnl"/>
        </w:rPr>
        <w:t xml:space="preserve"> el proceso penal aún no está ejecutoriado</w:t>
      </w:r>
      <w:r w:rsidR="00BA2650" w:rsidRPr="009B65A5">
        <w:rPr>
          <w:rFonts w:asciiTheme="majorHAnsi" w:hAnsiTheme="majorHAnsi"/>
          <w:sz w:val="20"/>
          <w:szCs w:val="20"/>
          <w:lang w:val="es-ES_tradnl"/>
        </w:rPr>
        <w:t>; iii)</w:t>
      </w:r>
      <w:r w:rsidR="00AA27F6" w:rsidRPr="009B65A5">
        <w:rPr>
          <w:rFonts w:asciiTheme="majorHAnsi" w:hAnsiTheme="majorHAnsi"/>
          <w:sz w:val="20"/>
          <w:szCs w:val="20"/>
          <w:lang w:val="es-ES_tradnl"/>
        </w:rPr>
        <w:t xml:space="preserve"> no se ha </w:t>
      </w:r>
      <w:r w:rsidR="00876280" w:rsidRPr="009B65A5">
        <w:rPr>
          <w:rFonts w:asciiTheme="majorHAnsi" w:hAnsiTheme="majorHAnsi"/>
          <w:sz w:val="20"/>
          <w:szCs w:val="20"/>
          <w:lang w:val="es-ES_tradnl"/>
        </w:rPr>
        <w:t>utilizado la vía judicial para obtener una indemnización</w:t>
      </w:r>
      <w:r w:rsidR="00BA2650" w:rsidRPr="009B65A5">
        <w:rPr>
          <w:rFonts w:asciiTheme="majorHAnsi" w:hAnsiTheme="majorHAnsi"/>
          <w:sz w:val="20"/>
          <w:szCs w:val="20"/>
          <w:lang w:val="es-ES_tradnl"/>
        </w:rPr>
        <w:t>; y iv)</w:t>
      </w:r>
      <w:r w:rsidR="00876280" w:rsidRPr="009B65A5">
        <w:rPr>
          <w:rFonts w:asciiTheme="majorHAnsi" w:hAnsiTheme="majorHAnsi"/>
          <w:sz w:val="20"/>
          <w:szCs w:val="20"/>
          <w:lang w:val="es-ES_tradnl"/>
        </w:rPr>
        <w:t xml:space="preserve"> tres presuntas víctimas no formaron parte de la causa penal. A </w:t>
      </w:r>
      <w:r w:rsidR="00CD4FEC" w:rsidRPr="009B65A5">
        <w:rPr>
          <w:rFonts w:asciiTheme="majorHAnsi" w:hAnsiTheme="majorHAnsi"/>
          <w:sz w:val="20"/>
          <w:szCs w:val="20"/>
          <w:lang w:val="es-ES_tradnl"/>
        </w:rPr>
        <w:t>continuación,</w:t>
      </w:r>
      <w:r w:rsidR="00876280" w:rsidRPr="009B65A5">
        <w:rPr>
          <w:rFonts w:asciiTheme="majorHAnsi" w:hAnsiTheme="majorHAnsi"/>
          <w:sz w:val="20"/>
          <w:szCs w:val="20"/>
          <w:lang w:val="es-ES_tradnl"/>
        </w:rPr>
        <w:t xml:space="preserve"> se detallan estos alegatos. </w:t>
      </w:r>
    </w:p>
    <w:p w14:paraId="312156E0" w14:textId="26416F7C" w:rsidR="00CD4FEC" w:rsidRPr="009B65A5" w:rsidRDefault="000D38F7" w:rsidP="00CD4FEC">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9B65A5">
        <w:rPr>
          <w:rFonts w:asciiTheme="majorHAnsi" w:hAnsiTheme="majorHAnsi"/>
          <w:sz w:val="20"/>
          <w:szCs w:val="20"/>
          <w:lang w:val="es-ES_tradnl"/>
        </w:rPr>
        <w:t>Respecto al primer punto, a</w:t>
      </w:r>
      <w:r w:rsidR="00C26CBE" w:rsidRPr="009B65A5">
        <w:rPr>
          <w:rFonts w:asciiTheme="majorHAnsi" w:hAnsiTheme="majorHAnsi"/>
          <w:sz w:val="20"/>
          <w:szCs w:val="20"/>
          <w:lang w:val="es-ES_tradnl"/>
        </w:rPr>
        <w:t xml:space="preserve">duce que las presuntas víctimas no impugnaron ninguno de los once </w:t>
      </w:r>
      <w:r w:rsidR="00064FDA" w:rsidRPr="009B65A5">
        <w:rPr>
          <w:rFonts w:asciiTheme="majorHAnsi" w:hAnsiTheme="majorHAnsi"/>
          <w:sz w:val="20"/>
          <w:szCs w:val="20"/>
          <w:lang w:val="es-ES_tradnl"/>
        </w:rPr>
        <w:t>a</w:t>
      </w:r>
      <w:r w:rsidR="00C26CBE" w:rsidRPr="009B65A5">
        <w:rPr>
          <w:rFonts w:asciiTheme="majorHAnsi" w:hAnsiTheme="majorHAnsi"/>
          <w:sz w:val="20"/>
          <w:szCs w:val="20"/>
          <w:lang w:val="es-ES_tradnl"/>
        </w:rPr>
        <w:t xml:space="preserve">utos emitidos en el 2013, a través de los cuales el Tribunal de Sentencia Penal de Padilla aceptó la prescripción de ciertos delitos. </w:t>
      </w:r>
      <w:r w:rsidR="00B218ED" w:rsidRPr="009B65A5">
        <w:rPr>
          <w:rFonts w:asciiTheme="majorHAnsi" w:hAnsiTheme="majorHAnsi"/>
          <w:sz w:val="20"/>
          <w:szCs w:val="20"/>
          <w:lang w:val="es-ES_tradnl"/>
        </w:rPr>
        <w:t>Informa que, de conformidad con el artículo 403.2 del Código de Procedimiento Penal</w:t>
      </w:r>
      <w:r w:rsidR="00B218ED" w:rsidRPr="009B65A5">
        <w:rPr>
          <w:rStyle w:val="FootnoteReference"/>
          <w:rFonts w:asciiTheme="majorHAnsi" w:hAnsiTheme="majorHAnsi"/>
          <w:sz w:val="20"/>
          <w:szCs w:val="20"/>
          <w:lang w:val="es-ES_tradnl"/>
        </w:rPr>
        <w:footnoteReference w:id="15"/>
      </w:r>
      <w:r w:rsidR="00B218ED" w:rsidRPr="009B65A5">
        <w:rPr>
          <w:rFonts w:asciiTheme="majorHAnsi" w:hAnsiTheme="majorHAnsi"/>
          <w:sz w:val="20"/>
          <w:szCs w:val="20"/>
          <w:lang w:val="es-ES_tradnl"/>
        </w:rPr>
        <w:t xml:space="preserve">, tales decisiones judiciales podían haber sido impugnadas a través de un </w:t>
      </w:r>
      <w:r w:rsidR="00064FDA" w:rsidRPr="009B65A5">
        <w:rPr>
          <w:rFonts w:asciiTheme="majorHAnsi" w:hAnsiTheme="majorHAnsi"/>
          <w:sz w:val="20"/>
          <w:szCs w:val="20"/>
          <w:lang w:val="es-ES_tradnl"/>
        </w:rPr>
        <w:t>r</w:t>
      </w:r>
      <w:r w:rsidR="00B218ED" w:rsidRPr="009B65A5">
        <w:rPr>
          <w:rFonts w:asciiTheme="majorHAnsi" w:hAnsiTheme="majorHAnsi"/>
          <w:sz w:val="20"/>
          <w:szCs w:val="20"/>
          <w:lang w:val="es-ES_tradnl"/>
        </w:rPr>
        <w:t xml:space="preserve">ecurso de </w:t>
      </w:r>
      <w:r w:rsidR="00064FDA" w:rsidRPr="009B65A5">
        <w:rPr>
          <w:rFonts w:asciiTheme="majorHAnsi" w:hAnsiTheme="majorHAnsi"/>
          <w:sz w:val="20"/>
          <w:szCs w:val="20"/>
          <w:lang w:val="es-ES_tradnl"/>
        </w:rPr>
        <w:t>a</w:t>
      </w:r>
      <w:r w:rsidR="00B218ED" w:rsidRPr="009B65A5">
        <w:rPr>
          <w:rFonts w:asciiTheme="majorHAnsi" w:hAnsiTheme="majorHAnsi"/>
          <w:sz w:val="20"/>
          <w:szCs w:val="20"/>
          <w:lang w:val="es-ES_tradnl"/>
        </w:rPr>
        <w:t xml:space="preserve">pelación </w:t>
      </w:r>
      <w:r w:rsidR="00064FDA" w:rsidRPr="009B65A5">
        <w:rPr>
          <w:rFonts w:asciiTheme="majorHAnsi" w:hAnsiTheme="majorHAnsi"/>
          <w:sz w:val="20"/>
          <w:szCs w:val="20"/>
          <w:lang w:val="es-ES_tradnl"/>
        </w:rPr>
        <w:t>i</w:t>
      </w:r>
      <w:r w:rsidR="00B218ED" w:rsidRPr="009B65A5">
        <w:rPr>
          <w:rFonts w:asciiTheme="majorHAnsi" w:hAnsiTheme="majorHAnsi"/>
          <w:sz w:val="20"/>
          <w:szCs w:val="20"/>
          <w:lang w:val="es-ES_tradnl"/>
        </w:rPr>
        <w:t>ncidental</w:t>
      </w:r>
      <w:r w:rsidR="002F353B" w:rsidRPr="009B65A5">
        <w:rPr>
          <w:rFonts w:asciiTheme="majorHAnsi" w:hAnsiTheme="majorHAnsi"/>
          <w:sz w:val="20"/>
          <w:szCs w:val="20"/>
          <w:lang w:val="es-ES_tradnl"/>
        </w:rPr>
        <w:t>. A pesar de ello, las presuntas víctimas nunca presentaron mediante escrito debidamente sustentado sus cuestionamientos a las citadas decisiones.</w:t>
      </w:r>
    </w:p>
    <w:p w14:paraId="0662A06A" w14:textId="247339A3" w:rsidR="00CD4FEC" w:rsidRPr="009B65A5" w:rsidRDefault="000D38F7" w:rsidP="00CD4FEC">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9B65A5">
        <w:rPr>
          <w:rFonts w:asciiTheme="majorHAnsi" w:hAnsiTheme="majorHAnsi"/>
          <w:sz w:val="20"/>
          <w:szCs w:val="20"/>
          <w:lang w:val="es-ES_tradnl"/>
        </w:rPr>
        <w:t>En relación con la vigencia de la causa penal, recuerda</w:t>
      </w:r>
      <w:r w:rsidR="00ED49E5" w:rsidRPr="009B65A5">
        <w:rPr>
          <w:rFonts w:asciiTheme="majorHAnsi" w:hAnsiTheme="majorHAnsi"/>
          <w:sz w:val="20"/>
          <w:szCs w:val="20"/>
          <w:lang w:val="es-ES_tradnl"/>
        </w:rPr>
        <w:t xml:space="preserve"> que las personas condenadas interpusieron recursos de casación a efectos de cuestionar la sanción impuesta, provocando que el 24 de mayo de 2019 el Tribunal Supremo de Justicia declare infundadas tales acciones. </w:t>
      </w:r>
      <w:r w:rsidR="00064FDA" w:rsidRPr="009B65A5">
        <w:rPr>
          <w:rFonts w:asciiTheme="majorHAnsi" w:hAnsiTheme="majorHAnsi"/>
          <w:sz w:val="20"/>
          <w:szCs w:val="20"/>
          <w:lang w:val="es-ES_tradnl"/>
        </w:rPr>
        <w:t>E</w:t>
      </w:r>
      <w:r w:rsidR="00ED49E5" w:rsidRPr="009B65A5">
        <w:rPr>
          <w:rFonts w:asciiTheme="majorHAnsi" w:hAnsiTheme="majorHAnsi"/>
          <w:sz w:val="20"/>
          <w:szCs w:val="20"/>
          <w:lang w:val="es-ES_tradnl"/>
        </w:rPr>
        <w:t xml:space="preserve">n agosto de 2019 </w:t>
      </w:r>
      <w:r w:rsidR="00EF69C3" w:rsidRPr="009B65A5">
        <w:rPr>
          <w:rFonts w:asciiTheme="majorHAnsi" w:hAnsiTheme="majorHAnsi"/>
          <w:sz w:val="20"/>
          <w:szCs w:val="20"/>
          <w:lang w:val="es-ES_tradnl"/>
        </w:rPr>
        <w:t>estas decisiones que rechazaron los referidos recursos</w:t>
      </w:r>
      <w:r w:rsidR="00EF69C3" w:rsidRPr="009B65A5">
        <w:rPr>
          <w:rStyle w:val="CommentReference"/>
          <w:rFonts w:asciiTheme="majorHAnsi" w:hAnsiTheme="majorHAnsi"/>
          <w:sz w:val="20"/>
          <w:szCs w:val="20"/>
          <w:lang w:val="es-ES_tradnl"/>
        </w:rPr>
        <w:t xml:space="preserve"> </w:t>
      </w:r>
      <w:r w:rsidR="00ED49E5" w:rsidRPr="009B65A5">
        <w:rPr>
          <w:rFonts w:asciiTheme="majorHAnsi" w:hAnsiTheme="majorHAnsi"/>
          <w:sz w:val="20"/>
          <w:szCs w:val="20"/>
          <w:lang w:val="es-ES_tradnl"/>
        </w:rPr>
        <w:t>aún estaban pendientes de notificación</w:t>
      </w:r>
      <w:r w:rsidR="00064FDA" w:rsidRPr="009B65A5">
        <w:rPr>
          <w:rFonts w:asciiTheme="majorHAnsi" w:hAnsiTheme="majorHAnsi"/>
          <w:sz w:val="20"/>
          <w:szCs w:val="20"/>
          <w:lang w:val="es-ES_tradnl"/>
        </w:rPr>
        <w:t>,</w:t>
      </w:r>
      <w:r w:rsidR="00ED49E5" w:rsidRPr="009B65A5">
        <w:rPr>
          <w:rFonts w:asciiTheme="majorHAnsi" w:hAnsiTheme="majorHAnsi"/>
          <w:sz w:val="20"/>
          <w:szCs w:val="20"/>
          <w:lang w:val="es-ES_tradnl"/>
        </w:rPr>
        <w:t xml:space="preserve"> y que recién después de cumplida dicha diligencia correspond</w:t>
      </w:r>
      <w:r w:rsidR="00FE5D40" w:rsidRPr="009B65A5">
        <w:rPr>
          <w:rFonts w:asciiTheme="majorHAnsi" w:hAnsiTheme="majorHAnsi"/>
          <w:sz w:val="20"/>
          <w:szCs w:val="20"/>
          <w:lang w:val="es-ES_tradnl"/>
        </w:rPr>
        <w:t>ía</w:t>
      </w:r>
      <w:r w:rsidR="00ED49E5" w:rsidRPr="009B65A5">
        <w:rPr>
          <w:rFonts w:asciiTheme="majorHAnsi" w:hAnsiTheme="majorHAnsi"/>
          <w:sz w:val="20"/>
          <w:szCs w:val="20"/>
          <w:lang w:val="es-ES_tradnl"/>
        </w:rPr>
        <w:t xml:space="preserve"> al Juez de Primera instancia declarar la ejecución de la sentencia penal. </w:t>
      </w:r>
      <w:r w:rsidR="008B5826" w:rsidRPr="009B65A5">
        <w:rPr>
          <w:rFonts w:asciiTheme="majorHAnsi" w:hAnsiTheme="majorHAnsi"/>
          <w:sz w:val="20"/>
          <w:szCs w:val="20"/>
          <w:lang w:val="es-ES_tradnl"/>
        </w:rPr>
        <w:t xml:space="preserve">En esa línea, resalta que el 12 de enero de 2021 se realizó una audiencia de excepción de prescripción de la acción penal ante la Sala Penal Primera del Tribunal Departamental de Chuquisaca. </w:t>
      </w:r>
      <w:r w:rsidRPr="009B65A5">
        <w:rPr>
          <w:rFonts w:asciiTheme="majorHAnsi" w:hAnsiTheme="majorHAnsi"/>
          <w:sz w:val="20"/>
          <w:szCs w:val="20"/>
          <w:lang w:val="es-ES_tradnl"/>
        </w:rPr>
        <w:t>Por ende, resulta evidente que el proceso por los sucesos ocurridos el 24 de mayo aún se encuentra en trámite</w:t>
      </w:r>
      <w:r w:rsidR="008B5826" w:rsidRPr="009B65A5">
        <w:rPr>
          <w:rFonts w:asciiTheme="majorHAnsi" w:hAnsiTheme="majorHAnsi"/>
          <w:sz w:val="20"/>
          <w:szCs w:val="20"/>
          <w:lang w:val="es-ES_tradnl"/>
        </w:rPr>
        <w:t>, toda vez que está pendiente de ejecución</w:t>
      </w:r>
      <w:r w:rsidR="00EF69C3" w:rsidRPr="009B65A5">
        <w:rPr>
          <w:rFonts w:asciiTheme="majorHAnsi" w:hAnsiTheme="majorHAnsi"/>
          <w:sz w:val="20"/>
          <w:szCs w:val="20"/>
          <w:lang w:val="es-ES_tradnl"/>
        </w:rPr>
        <w:t xml:space="preserve"> la sentencia condenatoria del 9 de noviembre de 2016, emitida por la Sala Penal Primera del Tribunal Departamental de Justicia de Chuquisaca</w:t>
      </w:r>
    </w:p>
    <w:p w14:paraId="201A90ED" w14:textId="24504C64" w:rsidR="00CD4FEC" w:rsidRPr="009B65A5" w:rsidRDefault="00331F85" w:rsidP="00CD4FEC">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9B65A5">
        <w:rPr>
          <w:rFonts w:asciiTheme="majorHAnsi" w:hAnsiTheme="majorHAnsi"/>
          <w:sz w:val="20"/>
          <w:szCs w:val="20"/>
          <w:lang w:val="es-ES_tradnl"/>
        </w:rPr>
        <w:t xml:space="preserve">En tercer lugar, </w:t>
      </w:r>
      <w:r w:rsidR="0009020B" w:rsidRPr="009B65A5">
        <w:rPr>
          <w:rFonts w:asciiTheme="majorHAnsi" w:hAnsiTheme="majorHAnsi"/>
          <w:sz w:val="20"/>
          <w:szCs w:val="20"/>
          <w:lang w:val="es-ES_tradnl"/>
        </w:rPr>
        <w:t>Bolivia indica</w:t>
      </w:r>
      <w:r w:rsidRPr="009B65A5">
        <w:rPr>
          <w:rFonts w:asciiTheme="majorHAnsi" w:hAnsiTheme="majorHAnsi"/>
          <w:sz w:val="20"/>
          <w:szCs w:val="20"/>
          <w:lang w:val="es-ES_tradnl"/>
        </w:rPr>
        <w:t xml:space="preserve"> que a pesar de que el artículo 382 del Código de Procedimiento Penal</w:t>
      </w:r>
      <w:r w:rsidRPr="009B65A5">
        <w:rPr>
          <w:rStyle w:val="FootnoteReference"/>
          <w:rFonts w:asciiTheme="majorHAnsi" w:hAnsiTheme="majorHAnsi"/>
          <w:sz w:val="20"/>
          <w:szCs w:val="20"/>
          <w:lang w:val="es-ES_tradnl"/>
        </w:rPr>
        <w:footnoteReference w:id="16"/>
      </w:r>
      <w:r w:rsidRPr="009B65A5">
        <w:rPr>
          <w:rFonts w:asciiTheme="majorHAnsi" w:hAnsiTheme="majorHAnsi"/>
          <w:sz w:val="20"/>
          <w:szCs w:val="20"/>
          <w:lang w:val="es-ES_tradnl"/>
        </w:rPr>
        <w:t xml:space="preserve"> reconoce la posibilidad de solicitar una reparación civil tras la emisión de una condena penal, las presuntas víctimas no activaron la citada vía. Por ende, el Estado considera que no existe un agotamiento de la vía interna respecto de la pretensión de la parte peticionaria de otorgar una indemnización a las presuntas víctimas.</w:t>
      </w:r>
    </w:p>
    <w:p w14:paraId="12F5E692" w14:textId="7E9B3398" w:rsidR="00CD4FEC" w:rsidRPr="009B65A5" w:rsidRDefault="00331F85" w:rsidP="00CD4FEC">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9B65A5">
        <w:rPr>
          <w:rFonts w:asciiTheme="majorHAnsi" w:hAnsiTheme="majorHAnsi"/>
          <w:sz w:val="20"/>
          <w:szCs w:val="20"/>
          <w:lang w:val="es-ES_tradnl"/>
        </w:rPr>
        <w:t xml:space="preserve">Finalmente, en relación con </w:t>
      </w:r>
      <w:r w:rsidR="000B2971" w:rsidRPr="009B65A5">
        <w:rPr>
          <w:rFonts w:asciiTheme="majorHAnsi" w:hAnsiTheme="majorHAnsi"/>
          <w:sz w:val="20"/>
          <w:szCs w:val="20"/>
          <w:lang w:val="es-ES_tradnl"/>
        </w:rPr>
        <w:t>la situación de determinadas presuntas víctimas, arguye lo siguiente:</w:t>
      </w:r>
    </w:p>
    <w:p w14:paraId="0268625A" w14:textId="4319FF98" w:rsidR="00CD4FEC" w:rsidRPr="009B65A5" w:rsidRDefault="00CD4FEC" w:rsidP="00CD4FEC">
      <w:pPr>
        <w:pStyle w:val="ListParagraph"/>
        <w:numPr>
          <w:ilvl w:val="0"/>
          <w:numId w:val="65"/>
        </w:numPr>
        <w:suppressAutoHyphens/>
        <w:spacing w:after="240"/>
        <w:jc w:val="both"/>
        <w:rPr>
          <w:rFonts w:asciiTheme="majorHAnsi" w:hAnsiTheme="majorHAnsi"/>
          <w:sz w:val="20"/>
          <w:szCs w:val="20"/>
          <w:lang w:val="es-ES_tradnl"/>
        </w:rPr>
      </w:pPr>
      <w:r w:rsidRPr="009B65A5">
        <w:rPr>
          <w:rFonts w:asciiTheme="majorHAnsi" w:hAnsiTheme="majorHAnsi"/>
          <w:sz w:val="20"/>
          <w:szCs w:val="20"/>
          <w:lang w:val="es-ES_tradnl"/>
        </w:rPr>
        <w:t xml:space="preserve">Sobre Fabia Ticona Calle: </w:t>
      </w:r>
      <w:r w:rsidR="0009020B" w:rsidRPr="009B65A5">
        <w:rPr>
          <w:rFonts w:asciiTheme="majorHAnsi" w:hAnsiTheme="majorHAnsi"/>
          <w:sz w:val="20"/>
          <w:szCs w:val="20"/>
          <w:lang w:val="es-ES_tradnl"/>
        </w:rPr>
        <w:t>a</w:t>
      </w:r>
      <w:r w:rsidRPr="009B65A5">
        <w:rPr>
          <w:rFonts w:asciiTheme="majorHAnsi" w:hAnsiTheme="majorHAnsi"/>
          <w:sz w:val="20"/>
          <w:szCs w:val="20"/>
          <w:lang w:val="es-ES_tradnl"/>
        </w:rPr>
        <w:t xml:space="preserve">firma que </w:t>
      </w:r>
      <w:r w:rsidR="0009020B" w:rsidRPr="009B65A5">
        <w:rPr>
          <w:rFonts w:asciiTheme="majorHAnsi" w:hAnsiTheme="majorHAnsi"/>
          <w:sz w:val="20"/>
          <w:szCs w:val="20"/>
          <w:lang w:val="es-ES_tradnl"/>
        </w:rPr>
        <w:t>esta</w:t>
      </w:r>
      <w:r w:rsidRPr="009B65A5">
        <w:rPr>
          <w:rFonts w:asciiTheme="majorHAnsi" w:hAnsiTheme="majorHAnsi"/>
          <w:sz w:val="20"/>
          <w:szCs w:val="20"/>
          <w:lang w:val="es-ES_tradnl"/>
        </w:rPr>
        <w:t xml:space="preserve"> ni siquiera us</w:t>
      </w:r>
      <w:r w:rsidR="0009020B" w:rsidRPr="009B65A5">
        <w:rPr>
          <w:rFonts w:asciiTheme="majorHAnsi" w:hAnsiTheme="majorHAnsi"/>
          <w:sz w:val="20"/>
          <w:szCs w:val="20"/>
          <w:lang w:val="es-ES_tradnl"/>
        </w:rPr>
        <w:t>ó</w:t>
      </w:r>
      <w:r w:rsidRPr="009B65A5">
        <w:rPr>
          <w:rFonts w:asciiTheme="majorHAnsi" w:hAnsiTheme="majorHAnsi"/>
          <w:sz w:val="20"/>
          <w:szCs w:val="20"/>
          <w:lang w:val="es-ES_tradnl"/>
        </w:rPr>
        <w:t xml:space="preserve"> los recursos de la jurisdicción interna para hacer valer sus derechos, dado que no se apersonó como víctima o acusador particular dentro del proceso penal denominado “24 de mayo”. Indica que en caso no haya contado con los recursos económicos necesarios, la señora Ticona Calle podía haber acudido ante el </w:t>
      </w:r>
      <w:r w:rsidR="00FE5D40" w:rsidRPr="009B65A5">
        <w:rPr>
          <w:rFonts w:asciiTheme="majorHAnsi" w:hAnsiTheme="majorHAnsi"/>
          <w:sz w:val="20"/>
          <w:szCs w:val="20"/>
          <w:lang w:val="es-ES_tradnl"/>
        </w:rPr>
        <w:t>SEPDAVI</w:t>
      </w:r>
      <w:r w:rsidRPr="009B65A5">
        <w:rPr>
          <w:rFonts w:asciiTheme="majorHAnsi" w:hAnsiTheme="majorHAnsi"/>
          <w:sz w:val="20"/>
          <w:szCs w:val="20"/>
          <w:lang w:val="es-ES_tradnl"/>
        </w:rPr>
        <w:t xml:space="preserve"> con la finalidad de </w:t>
      </w:r>
      <w:r w:rsidRPr="009B65A5">
        <w:rPr>
          <w:rFonts w:asciiTheme="majorHAnsi" w:hAnsiTheme="majorHAnsi"/>
          <w:sz w:val="20"/>
          <w:szCs w:val="20"/>
          <w:lang w:val="es-ES_tradnl"/>
        </w:rPr>
        <w:lastRenderedPageBreak/>
        <w:t>obtener el patrocinio legal, asistencia social y psicológica en la investigación y el proceso penal hasta su conclusión.</w:t>
      </w:r>
    </w:p>
    <w:p w14:paraId="23175624" w14:textId="4FEE4B34" w:rsidR="00CD4FEC" w:rsidRPr="009B65A5" w:rsidRDefault="00CD4FEC" w:rsidP="00CD4FEC">
      <w:pPr>
        <w:pStyle w:val="ListParagraph"/>
        <w:numPr>
          <w:ilvl w:val="0"/>
          <w:numId w:val="65"/>
        </w:numPr>
        <w:suppressAutoHyphens/>
        <w:spacing w:after="240"/>
        <w:jc w:val="both"/>
        <w:rPr>
          <w:rFonts w:asciiTheme="majorHAnsi" w:hAnsiTheme="majorHAnsi"/>
          <w:sz w:val="20"/>
          <w:szCs w:val="20"/>
          <w:lang w:val="es-ES_tradnl"/>
        </w:rPr>
      </w:pPr>
      <w:r w:rsidRPr="009B65A5">
        <w:rPr>
          <w:rFonts w:asciiTheme="majorHAnsi" w:hAnsiTheme="majorHAnsi"/>
          <w:sz w:val="20"/>
          <w:szCs w:val="20"/>
          <w:lang w:val="es-ES_tradnl"/>
        </w:rPr>
        <w:t xml:space="preserve">Sobre </w:t>
      </w:r>
      <w:r w:rsidR="00F451DC" w:rsidRPr="009B65A5">
        <w:rPr>
          <w:rFonts w:asciiTheme="majorHAnsi" w:hAnsiTheme="majorHAnsi"/>
          <w:sz w:val="20"/>
          <w:szCs w:val="20"/>
          <w:lang w:val="es-ES_tradnl"/>
        </w:rPr>
        <w:t>Ambrocio</w:t>
      </w:r>
      <w:r w:rsidRPr="009B65A5">
        <w:rPr>
          <w:rFonts w:asciiTheme="majorHAnsi" w:hAnsiTheme="majorHAnsi"/>
          <w:sz w:val="20"/>
          <w:szCs w:val="20"/>
          <w:lang w:val="es-ES_tradnl"/>
        </w:rPr>
        <w:t xml:space="preserve"> Apaza Arancibia y Leonardo Caballero Choque: </w:t>
      </w:r>
      <w:r w:rsidR="0009020B" w:rsidRPr="009B65A5">
        <w:rPr>
          <w:rFonts w:asciiTheme="majorHAnsi" w:hAnsiTheme="majorHAnsi"/>
          <w:sz w:val="20"/>
          <w:szCs w:val="20"/>
          <w:lang w:val="es-ES_tradnl"/>
        </w:rPr>
        <w:t>i</w:t>
      </w:r>
      <w:r w:rsidRPr="009B65A5">
        <w:rPr>
          <w:rFonts w:asciiTheme="majorHAnsi" w:hAnsiTheme="majorHAnsi"/>
          <w:sz w:val="20"/>
          <w:szCs w:val="20"/>
          <w:lang w:val="es-ES_tradnl"/>
        </w:rPr>
        <w:t xml:space="preserve">nforma </w:t>
      </w:r>
      <w:r w:rsidR="00EF69C3" w:rsidRPr="009B65A5">
        <w:rPr>
          <w:rFonts w:asciiTheme="majorHAnsi" w:hAnsiTheme="majorHAnsi"/>
          <w:sz w:val="20"/>
          <w:szCs w:val="20"/>
          <w:lang w:val="es-ES_tradnl"/>
        </w:rPr>
        <w:t>que,</w:t>
      </w:r>
      <w:r w:rsidRPr="009B65A5">
        <w:rPr>
          <w:rFonts w:asciiTheme="majorHAnsi" w:hAnsiTheme="majorHAnsi"/>
          <w:sz w:val="20"/>
          <w:szCs w:val="20"/>
          <w:lang w:val="es-ES_tradnl"/>
        </w:rPr>
        <w:t xml:space="preserve"> en enero de 2012, mediante Auto 006/2012, las autoridades judiciales rechazaron su apersonamiento al proceso penal por los acontecimientos ocurridos el 24 de mayo</w:t>
      </w:r>
      <w:r w:rsidR="00EF69C3" w:rsidRPr="009B65A5">
        <w:rPr>
          <w:rFonts w:asciiTheme="majorHAnsi" w:hAnsiTheme="majorHAnsi"/>
          <w:sz w:val="20"/>
          <w:szCs w:val="20"/>
          <w:lang w:val="es-ES_tradnl"/>
        </w:rPr>
        <w:t xml:space="preserve"> al no haberse acreditado su condición de víctimas</w:t>
      </w:r>
      <w:r w:rsidR="0009020B" w:rsidRPr="009B65A5">
        <w:rPr>
          <w:rFonts w:asciiTheme="majorHAnsi" w:hAnsiTheme="majorHAnsi"/>
          <w:sz w:val="20"/>
          <w:szCs w:val="20"/>
          <w:lang w:val="es-ES_tradnl"/>
        </w:rPr>
        <w:t>;</w:t>
      </w:r>
      <w:r w:rsidRPr="009B65A5">
        <w:rPr>
          <w:rFonts w:asciiTheme="majorHAnsi" w:hAnsiTheme="majorHAnsi"/>
          <w:sz w:val="20"/>
          <w:szCs w:val="20"/>
          <w:lang w:val="es-ES_tradnl"/>
        </w:rPr>
        <w:t xml:space="preserve"> y</w:t>
      </w:r>
      <w:r w:rsidR="0009020B" w:rsidRPr="009B65A5">
        <w:rPr>
          <w:rFonts w:asciiTheme="majorHAnsi" w:hAnsiTheme="majorHAnsi"/>
          <w:sz w:val="20"/>
          <w:szCs w:val="20"/>
          <w:lang w:val="es-ES_tradnl"/>
        </w:rPr>
        <w:t xml:space="preserve"> que aquellos</w:t>
      </w:r>
      <w:r w:rsidRPr="009B65A5">
        <w:rPr>
          <w:rFonts w:asciiTheme="majorHAnsi" w:hAnsiTheme="majorHAnsi"/>
          <w:sz w:val="20"/>
          <w:szCs w:val="20"/>
          <w:lang w:val="es-ES_tradnl"/>
        </w:rPr>
        <w:t xml:space="preserve"> no impugnaron tal decisión. </w:t>
      </w:r>
      <w:r w:rsidR="0009020B" w:rsidRPr="009B65A5">
        <w:rPr>
          <w:rFonts w:asciiTheme="majorHAnsi" w:hAnsiTheme="majorHAnsi"/>
          <w:sz w:val="20"/>
          <w:szCs w:val="20"/>
          <w:lang w:val="es-ES_tradnl"/>
        </w:rPr>
        <w:t>El Estado reconoce que</w:t>
      </w:r>
      <w:r w:rsidRPr="009B65A5">
        <w:rPr>
          <w:rFonts w:asciiTheme="majorHAnsi" w:hAnsiTheme="majorHAnsi"/>
          <w:sz w:val="20"/>
          <w:szCs w:val="20"/>
          <w:lang w:val="es-ES_tradnl"/>
        </w:rPr>
        <w:t xml:space="preserve"> si bien no existía una vía idónea de carácter ordinario para cuestionar tal decisión, el ordenamiento jurídico boliviano prevé como medio extraordinario la acción de amparo constitucional para la defensa y precautela de sus derechos ante la ausencia de otro medio de defensa. </w:t>
      </w:r>
    </w:p>
    <w:p w14:paraId="27052D63" w14:textId="6EB6DE11" w:rsidR="00CD4FEC" w:rsidRPr="009B65A5" w:rsidRDefault="009A780C" w:rsidP="00CD4FEC">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9B65A5">
        <w:rPr>
          <w:rFonts w:asciiTheme="majorHAnsi" w:hAnsiTheme="majorHAnsi"/>
          <w:sz w:val="20"/>
          <w:szCs w:val="20"/>
          <w:lang w:val="es-ES_tradnl"/>
        </w:rPr>
        <w:t xml:space="preserve">Por </w:t>
      </w:r>
      <w:r w:rsidR="0009020B" w:rsidRPr="009B65A5">
        <w:rPr>
          <w:rFonts w:asciiTheme="majorHAnsi" w:hAnsiTheme="majorHAnsi"/>
          <w:sz w:val="20"/>
          <w:szCs w:val="20"/>
          <w:lang w:val="es-ES_tradnl"/>
        </w:rPr>
        <w:t>estas razones</w:t>
      </w:r>
      <w:r w:rsidRPr="009B65A5">
        <w:rPr>
          <w:rFonts w:asciiTheme="majorHAnsi" w:hAnsiTheme="majorHAnsi"/>
          <w:sz w:val="20"/>
          <w:szCs w:val="20"/>
          <w:lang w:val="es-ES_tradnl"/>
        </w:rPr>
        <w:t xml:space="preserve">, </w:t>
      </w:r>
      <w:r w:rsidR="007766A2" w:rsidRPr="009B65A5">
        <w:rPr>
          <w:rFonts w:asciiTheme="majorHAnsi" w:hAnsiTheme="majorHAnsi"/>
          <w:sz w:val="20"/>
          <w:szCs w:val="20"/>
          <w:lang w:val="es-ES_tradnl"/>
        </w:rPr>
        <w:t xml:space="preserve">el Estado solicita a la CIDH que declare que </w:t>
      </w:r>
      <w:r w:rsidR="0009020B" w:rsidRPr="009B65A5">
        <w:rPr>
          <w:rFonts w:asciiTheme="majorHAnsi" w:hAnsiTheme="majorHAnsi"/>
          <w:sz w:val="20"/>
          <w:szCs w:val="20"/>
          <w:lang w:val="es-ES_tradnl"/>
        </w:rPr>
        <w:t>la petición</w:t>
      </w:r>
      <w:r w:rsidR="007766A2" w:rsidRPr="009B65A5">
        <w:rPr>
          <w:rFonts w:asciiTheme="majorHAnsi" w:hAnsiTheme="majorHAnsi"/>
          <w:sz w:val="20"/>
          <w:szCs w:val="20"/>
          <w:lang w:val="es-ES_tradnl"/>
        </w:rPr>
        <w:t xml:space="preserve"> no cumple con el requisito previsto en el artículo 46.1.a) de la Convención Americana y, en consecuencia, disponga su archivo. </w:t>
      </w:r>
    </w:p>
    <w:p w14:paraId="4A999DD4" w14:textId="07EE3237" w:rsidR="00CD4FEC" w:rsidRPr="009B65A5" w:rsidRDefault="000D38F7" w:rsidP="00CD4FEC">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9B65A5">
        <w:rPr>
          <w:rFonts w:asciiTheme="majorHAnsi" w:hAnsiTheme="majorHAnsi"/>
          <w:sz w:val="20"/>
          <w:szCs w:val="20"/>
          <w:lang w:val="es-ES_tradnl"/>
        </w:rPr>
        <w:t xml:space="preserve">Complementariamente, arguye que los hechos denunciados no caracterizan violaciones de derechos humanos que le sean atribuibles. </w:t>
      </w:r>
      <w:r w:rsidR="0036450A" w:rsidRPr="009B65A5">
        <w:rPr>
          <w:rFonts w:asciiTheme="majorHAnsi" w:hAnsiTheme="majorHAnsi"/>
          <w:bCs/>
          <w:sz w:val="20"/>
          <w:szCs w:val="20"/>
          <w:lang w:val="es-ES_tradnl"/>
        </w:rPr>
        <w:t xml:space="preserve">Por el contrario, </w:t>
      </w:r>
      <w:r w:rsidR="007E5C2E" w:rsidRPr="009B65A5">
        <w:rPr>
          <w:rFonts w:asciiTheme="majorHAnsi" w:hAnsiTheme="majorHAnsi"/>
          <w:bCs/>
          <w:sz w:val="20"/>
          <w:szCs w:val="20"/>
          <w:lang w:val="es-ES_tradnl"/>
        </w:rPr>
        <w:t>sostiene</w:t>
      </w:r>
      <w:r w:rsidR="0036450A" w:rsidRPr="009B65A5">
        <w:rPr>
          <w:rFonts w:asciiTheme="majorHAnsi" w:hAnsiTheme="majorHAnsi"/>
          <w:bCs/>
          <w:sz w:val="20"/>
          <w:szCs w:val="20"/>
          <w:lang w:val="es-ES_tradnl"/>
        </w:rPr>
        <w:t xml:space="preserve"> que la parte peticionaria persigue que la CIDH actúe como una cuarta instancia pronunciándose sobre aspectos que ya fueron resueltos internamente por las autoridades jurisdiccionales respetando las garantías procesales y en el marco de sus competencias, tanto en sede ordinaria como constitucional.</w:t>
      </w:r>
    </w:p>
    <w:p w14:paraId="488D81F8" w14:textId="52E76FB2" w:rsidR="00CD4FEC" w:rsidRPr="009B65A5" w:rsidRDefault="000D38F7" w:rsidP="00CD4FEC">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9B65A5">
        <w:rPr>
          <w:rFonts w:asciiTheme="majorHAnsi" w:hAnsiTheme="majorHAnsi"/>
          <w:sz w:val="20"/>
          <w:szCs w:val="20"/>
          <w:lang w:val="es-ES_tradnl"/>
        </w:rPr>
        <w:t>Al respecto, e</w:t>
      </w:r>
      <w:r w:rsidR="002F353B" w:rsidRPr="009B65A5">
        <w:rPr>
          <w:rFonts w:asciiTheme="majorHAnsi" w:hAnsiTheme="majorHAnsi"/>
          <w:sz w:val="20"/>
          <w:szCs w:val="20"/>
          <w:lang w:val="es-ES_tradnl"/>
        </w:rPr>
        <w:t xml:space="preserve">l Estado </w:t>
      </w:r>
      <w:r w:rsidRPr="009B65A5">
        <w:rPr>
          <w:rFonts w:asciiTheme="majorHAnsi" w:hAnsiTheme="majorHAnsi"/>
          <w:sz w:val="20"/>
          <w:szCs w:val="20"/>
          <w:lang w:val="es-ES_tradnl"/>
        </w:rPr>
        <w:t>enfatiza</w:t>
      </w:r>
      <w:r w:rsidR="002F353B" w:rsidRPr="009B65A5">
        <w:rPr>
          <w:rFonts w:asciiTheme="majorHAnsi" w:hAnsiTheme="majorHAnsi"/>
          <w:sz w:val="20"/>
          <w:szCs w:val="20"/>
          <w:lang w:val="es-ES_tradnl"/>
        </w:rPr>
        <w:t xml:space="preserve"> que cumplió a cabalidad con su obligación de investigar y sancionar a l</w:t>
      </w:r>
      <w:r w:rsidR="00882963" w:rsidRPr="009B65A5">
        <w:rPr>
          <w:rFonts w:asciiTheme="majorHAnsi" w:hAnsiTheme="majorHAnsi"/>
          <w:sz w:val="20"/>
          <w:szCs w:val="20"/>
          <w:lang w:val="es-ES_tradnl"/>
        </w:rPr>
        <w:t>o</w:t>
      </w:r>
      <w:r w:rsidR="002F353B" w:rsidRPr="009B65A5">
        <w:rPr>
          <w:rFonts w:asciiTheme="majorHAnsi" w:hAnsiTheme="majorHAnsi"/>
          <w:sz w:val="20"/>
          <w:szCs w:val="20"/>
          <w:lang w:val="es-ES_tradnl"/>
        </w:rPr>
        <w:t>s responsables de los hechos denunciado</w:t>
      </w:r>
      <w:r w:rsidR="003D0116" w:rsidRPr="009B65A5">
        <w:rPr>
          <w:rFonts w:asciiTheme="majorHAnsi" w:hAnsiTheme="majorHAnsi"/>
          <w:sz w:val="20"/>
          <w:szCs w:val="20"/>
          <w:lang w:val="es-ES_tradnl"/>
        </w:rPr>
        <w:t>s</w:t>
      </w:r>
      <w:r w:rsidR="002F353B" w:rsidRPr="009B65A5">
        <w:rPr>
          <w:rFonts w:asciiTheme="majorHAnsi" w:hAnsiTheme="majorHAnsi"/>
          <w:sz w:val="20"/>
          <w:szCs w:val="20"/>
          <w:lang w:val="es-ES_tradnl"/>
        </w:rPr>
        <w:t xml:space="preserve">, ya que encaminó sus acciones a la averiguación de la verdad histórica de los hechos, a efectos de reunir los elementos de convicción necesarios para establecer una sanción penal contra los autores y cómplices de la comisión de los delitos cometidos el 24 de mayo de 2008. Resalta que, prueba de ello, es la emisión de la Sentencia 004/2016, a través de la cual el Tribunal de Sentencia de Padilla condenó a </w:t>
      </w:r>
      <w:r w:rsidR="003D0116" w:rsidRPr="009B65A5">
        <w:rPr>
          <w:rFonts w:asciiTheme="majorHAnsi" w:hAnsiTheme="majorHAnsi"/>
          <w:sz w:val="20"/>
          <w:szCs w:val="20"/>
          <w:lang w:val="es-ES_tradnl"/>
        </w:rPr>
        <w:t>trece</w:t>
      </w:r>
      <w:r w:rsidR="002F353B" w:rsidRPr="009B65A5">
        <w:rPr>
          <w:rFonts w:asciiTheme="majorHAnsi" w:hAnsiTheme="majorHAnsi"/>
          <w:sz w:val="20"/>
          <w:szCs w:val="20"/>
          <w:lang w:val="es-ES_tradnl"/>
        </w:rPr>
        <w:t xml:space="preserve"> personas.</w:t>
      </w:r>
    </w:p>
    <w:p w14:paraId="1E07D1F7" w14:textId="3F9DBA29" w:rsidR="00FE5D40" w:rsidRPr="009B65A5" w:rsidRDefault="00FE5D40" w:rsidP="00FE5D40">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9B65A5">
        <w:rPr>
          <w:rFonts w:asciiTheme="majorHAnsi" w:hAnsiTheme="majorHAnsi"/>
          <w:sz w:val="20"/>
          <w:szCs w:val="20"/>
          <w:lang w:val="es-ES_tradnl"/>
        </w:rPr>
        <w:t xml:space="preserve">En esa línea, </w:t>
      </w:r>
      <w:r w:rsidR="003D0116" w:rsidRPr="009B65A5">
        <w:rPr>
          <w:rFonts w:asciiTheme="majorHAnsi" w:hAnsiTheme="majorHAnsi"/>
          <w:sz w:val="20"/>
          <w:szCs w:val="20"/>
          <w:lang w:val="es-ES_tradnl"/>
        </w:rPr>
        <w:t>alega</w:t>
      </w:r>
      <w:r w:rsidRPr="009B65A5">
        <w:rPr>
          <w:rFonts w:asciiTheme="majorHAnsi" w:hAnsiTheme="majorHAnsi"/>
          <w:sz w:val="20"/>
          <w:szCs w:val="20"/>
          <w:lang w:val="es-ES_tradnl"/>
        </w:rPr>
        <w:t xml:space="preserve"> que no se puede responsabilizar a los abogados patrocinadores del SEPDAVI por no presentar recursos contra los </w:t>
      </w:r>
      <w:r w:rsidR="00D8664D" w:rsidRPr="009B65A5">
        <w:rPr>
          <w:rFonts w:asciiTheme="majorHAnsi" w:hAnsiTheme="majorHAnsi"/>
          <w:sz w:val="20"/>
          <w:szCs w:val="20"/>
          <w:lang w:val="es-ES_tradnl"/>
        </w:rPr>
        <w:t>a</w:t>
      </w:r>
      <w:r w:rsidRPr="009B65A5">
        <w:rPr>
          <w:rFonts w:asciiTheme="majorHAnsi" w:hAnsiTheme="majorHAnsi"/>
          <w:sz w:val="20"/>
          <w:szCs w:val="20"/>
          <w:lang w:val="es-ES_tradnl"/>
        </w:rPr>
        <w:t>utos emitidos en el 2013 que declararon la prescripción de ciertos delitos. Indica que, si bien a través del SEPDAVI se representó a cincuenta de las posibles víctimas en la investigación y proceso penal de manera gratuita, esto no significa que sea su responsabilidad la no presentación del referido recurso, dado que estos actos son personalísimos y requieren el consentimiento de la persona representada.</w:t>
      </w:r>
    </w:p>
    <w:p w14:paraId="77B1FDE2" w14:textId="5C3CC927" w:rsidR="00CD4FEC" w:rsidRPr="009B65A5" w:rsidRDefault="00FC0424" w:rsidP="00CD4FEC">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9B65A5">
        <w:rPr>
          <w:rFonts w:asciiTheme="majorHAnsi" w:hAnsiTheme="majorHAnsi"/>
          <w:sz w:val="20"/>
          <w:szCs w:val="20"/>
          <w:lang w:val="es-ES_tradnl"/>
        </w:rPr>
        <w:t xml:space="preserve">En relación el derecho al plazo razonable afirma que, si bien la normativa penal estableció un plazo de tres años de duración máxima del proceso, tal </w:t>
      </w:r>
      <w:r w:rsidR="008122AE" w:rsidRPr="009B65A5">
        <w:rPr>
          <w:rFonts w:asciiTheme="majorHAnsi" w:hAnsiTheme="majorHAnsi"/>
          <w:sz w:val="20"/>
          <w:szCs w:val="20"/>
          <w:lang w:val="es-ES_tradnl"/>
        </w:rPr>
        <w:t>lapso</w:t>
      </w:r>
      <w:r w:rsidRPr="009B65A5">
        <w:rPr>
          <w:rFonts w:asciiTheme="majorHAnsi" w:hAnsiTheme="majorHAnsi"/>
          <w:sz w:val="20"/>
          <w:szCs w:val="20"/>
          <w:lang w:val="es-ES_tradnl"/>
        </w:rPr>
        <w:t xml:space="preserve"> constituye únicamente un parámetro objetivo a </w:t>
      </w:r>
      <w:r w:rsidR="00FE5D40" w:rsidRPr="009B65A5">
        <w:rPr>
          <w:rFonts w:asciiTheme="majorHAnsi" w:hAnsiTheme="majorHAnsi"/>
          <w:sz w:val="20"/>
          <w:szCs w:val="20"/>
          <w:lang w:val="es-ES_tradnl"/>
        </w:rPr>
        <w:t>partir</w:t>
      </w:r>
      <w:r w:rsidRPr="009B65A5">
        <w:rPr>
          <w:rFonts w:asciiTheme="majorHAnsi" w:hAnsiTheme="majorHAnsi"/>
          <w:sz w:val="20"/>
          <w:szCs w:val="20"/>
          <w:lang w:val="es-ES_tradnl"/>
        </w:rPr>
        <w:t xml:space="preserve"> del cual corresponde analizar cada caso concreto. De este modo, arguye que, siguiendo los criterios establecidos por la Corte Interamericana, no se violó la referida garantía procesal en perjuicio de las presuntas víctimas, dado que: i)</w:t>
      </w:r>
      <w:r w:rsidR="00636675" w:rsidRPr="009B65A5">
        <w:rPr>
          <w:rFonts w:asciiTheme="majorHAnsi" w:hAnsiTheme="majorHAnsi"/>
          <w:sz w:val="20"/>
          <w:szCs w:val="20"/>
          <w:lang w:val="es-ES_tradnl"/>
        </w:rPr>
        <w:t xml:space="preserve"> se trataba de un asunto complejo, debido a la cantidad de personas procesadas, </w:t>
      </w:r>
      <w:r w:rsidR="00AF2EA5" w:rsidRPr="009B65A5">
        <w:rPr>
          <w:rFonts w:asciiTheme="majorHAnsi" w:hAnsiTheme="majorHAnsi"/>
          <w:sz w:val="20"/>
          <w:szCs w:val="20"/>
          <w:lang w:val="es-ES_tradnl"/>
        </w:rPr>
        <w:t>la pluralidad</w:t>
      </w:r>
      <w:r w:rsidR="00636675" w:rsidRPr="009B65A5">
        <w:rPr>
          <w:rFonts w:asciiTheme="majorHAnsi" w:hAnsiTheme="majorHAnsi"/>
          <w:sz w:val="20"/>
          <w:szCs w:val="20"/>
          <w:lang w:val="es-ES_tradnl"/>
        </w:rPr>
        <w:t xml:space="preserve"> de delitos atribuidos, la multitud de posibles víctimas y </w:t>
      </w:r>
      <w:r w:rsidR="00AF2EA5" w:rsidRPr="009B65A5">
        <w:rPr>
          <w:rFonts w:asciiTheme="majorHAnsi" w:hAnsiTheme="majorHAnsi"/>
          <w:sz w:val="20"/>
          <w:szCs w:val="20"/>
          <w:lang w:val="es-ES_tradnl"/>
        </w:rPr>
        <w:t>el número</w:t>
      </w:r>
      <w:r w:rsidR="00636675" w:rsidRPr="009B65A5">
        <w:rPr>
          <w:rFonts w:asciiTheme="majorHAnsi" w:hAnsiTheme="majorHAnsi"/>
          <w:sz w:val="20"/>
          <w:szCs w:val="20"/>
          <w:lang w:val="es-ES_tradnl"/>
        </w:rPr>
        <w:t xml:space="preserve"> de recursos presentados; ii) </w:t>
      </w:r>
      <w:r w:rsidR="00AF2EA5" w:rsidRPr="009B65A5">
        <w:rPr>
          <w:rFonts w:asciiTheme="majorHAnsi" w:hAnsiTheme="majorHAnsi"/>
          <w:sz w:val="20"/>
          <w:szCs w:val="20"/>
          <w:lang w:val="es-ES_tradnl"/>
        </w:rPr>
        <w:t xml:space="preserve">las presuntas víctimas incidieron negativamente en la prolongación del proceso, dado que se presentaron de manera gradual en el desarrollo del juicio oral y no precisaron adecuadamente sus domicilios a efectos de ser notificados debidamente; </w:t>
      </w:r>
      <w:r w:rsidR="007B6284" w:rsidRPr="009B65A5">
        <w:rPr>
          <w:rFonts w:asciiTheme="majorHAnsi" w:hAnsiTheme="majorHAnsi"/>
          <w:sz w:val="20"/>
          <w:szCs w:val="20"/>
          <w:lang w:val="es-ES_tradnl"/>
        </w:rPr>
        <w:t>y iii) finalmente, las autoridades</w:t>
      </w:r>
      <w:r w:rsidR="00FF27DE" w:rsidRPr="009B65A5">
        <w:rPr>
          <w:rFonts w:asciiTheme="majorHAnsi" w:hAnsiTheme="majorHAnsi"/>
          <w:sz w:val="20"/>
          <w:szCs w:val="20"/>
          <w:lang w:val="es-ES_tradnl"/>
        </w:rPr>
        <w:t xml:space="preserve"> actuaron de manera diligente y</w:t>
      </w:r>
      <w:r w:rsidR="00366198" w:rsidRPr="009B65A5">
        <w:rPr>
          <w:rFonts w:asciiTheme="majorHAnsi" w:hAnsiTheme="majorHAnsi"/>
          <w:sz w:val="20"/>
          <w:szCs w:val="20"/>
          <w:lang w:val="es-ES_tradnl"/>
        </w:rPr>
        <w:t xml:space="preserve"> la demora de las actuaciones se debió a los desafíos enfrentados para lograr </w:t>
      </w:r>
      <w:r w:rsidR="007B6284" w:rsidRPr="009B65A5">
        <w:rPr>
          <w:rFonts w:asciiTheme="majorHAnsi" w:hAnsiTheme="majorHAnsi"/>
          <w:sz w:val="20"/>
          <w:szCs w:val="20"/>
          <w:lang w:val="es-ES_tradnl"/>
        </w:rPr>
        <w:t xml:space="preserve">la tramitación y resolución de los mecanismos legales. </w:t>
      </w:r>
    </w:p>
    <w:p w14:paraId="0AE1BA11" w14:textId="30F12DC9" w:rsidR="00CD4FEC" w:rsidRPr="009B65A5" w:rsidRDefault="0094181E" w:rsidP="00CD4FEC">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9B65A5">
        <w:rPr>
          <w:rFonts w:asciiTheme="majorHAnsi" w:hAnsiTheme="majorHAnsi"/>
          <w:sz w:val="20"/>
          <w:szCs w:val="20"/>
          <w:lang w:val="es-ES_tradnl"/>
        </w:rPr>
        <w:t>Con</w:t>
      </w:r>
      <w:r w:rsidR="009A780C" w:rsidRPr="009B65A5">
        <w:rPr>
          <w:rFonts w:asciiTheme="majorHAnsi" w:hAnsiTheme="majorHAnsi"/>
          <w:sz w:val="20"/>
          <w:szCs w:val="20"/>
          <w:lang w:val="es-ES_tradnl"/>
        </w:rPr>
        <w:t xml:space="preserve"> respecto al</w:t>
      </w:r>
      <w:r w:rsidR="00CB7B0C" w:rsidRPr="009B65A5">
        <w:rPr>
          <w:rFonts w:asciiTheme="majorHAnsi" w:hAnsiTheme="majorHAnsi"/>
          <w:sz w:val="20"/>
          <w:szCs w:val="20"/>
          <w:lang w:val="es-ES_tradnl"/>
        </w:rPr>
        <w:t xml:space="preserve"> derecho a la protección judicial, arguye que las presuntas víctimas no cumplieron los requisitos establecidos por la ley en la presentación del de amparo constitucional</w:t>
      </w:r>
      <w:r w:rsidR="007029BA" w:rsidRPr="009B65A5">
        <w:rPr>
          <w:rFonts w:asciiTheme="majorHAnsi" w:hAnsiTheme="majorHAnsi"/>
          <w:sz w:val="20"/>
          <w:szCs w:val="20"/>
          <w:lang w:val="es-ES_tradnl"/>
        </w:rPr>
        <w:t xml:space="preserve"> ni en el recurso de impugnación</w:t>
      </w:r>
      <w:r w:rsidR="00CB7B0C" w:rsidRPr="009B65A5">
        <w:rPr>
          <w:rFonts w:asciiTheme="majorHAnsi" w:hAnsiTheme="majorHAnsi"/>
          <w:sz w:val="20"/>
          <w:szCs w:val="20"/>
          <w:lang w:val="es-ES_tradnl"/>
        </w:rPr>
        <w:t xml:space="preserve">, toda vez que presentaron </w:t>
      </w:r>
      <w:r w:rsidR="007029BA" w:rsidRPr="009B65A5">
        <w:rPr>
          <w:rFonts w:asciiTheme="majorHAnsi" w:hAnsiTheme="majorHAnsi"/>
          <w:sz w:val="20"/>
          <w:szCs w:val="20"/>
          <w:lang w:val="es-ES_tradnl"/>
        </w:rPr>
        <w:t>los escritos extemporáneamente. Detalla que tales requerimientos están claramente establecidos en la legislación procesal y en la jurisprudencia constitucional</w:t>
      </w:r>
      <w:r w:rsidR="00AA1087" w:rsidRPr="009B65A5">
        <w:rPr>
          <w:rFonts w:asciiTheme="majorHAnsi" w:hAnsiTheme="majorHAnsi"/>
          <w:sz w:val="20"/>
          <w:szCs w:val="20"/>
          <w:lang w:val="es-ES_tradnl"/>
        </w:rPr>
        <w:t>, por lo que no resulta irrazonable exigir su cumplimiento</w:t>
      </w:r>
      <w:r w:rsidR="007029BA" w:rsidRPr="009B65A5">
        <w:rPr>
          <w:rFonts w:asciiTheme="majorHAnsi" w:hAnsiTheme="majorHAnsi"/>
          <w:sz w:val="20"/>
          <w:szCs w:val="20"/>
          <w:lang w:val="es-ES_tradnl"/>
        </w:rPr>
        <w:t xml:space="preserve">. </w:t>
      </w:r>
    </w:p>
    <w:p w14:paraId="67FC02F2" w14:textId="2C22D6DF" w:rsidR="00CD4FEC" w:rsidRPr="009B65A5" w:rsidRDefault="00AA1087" w:rsidP="00CD4FEC">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9B65A5">
        <w:rPr>
          <w:rFonts w:asciiTheme="majorHAnsi" w:hAnsiTheme="majorHAnsi"/>
          <w:sz w:val="20"/>
          <w:szCs w:val="20"/>
          <w:lang w:val="es-ES_tradnl"/>
        </w:rPr>
        <w:t>En sentido similar</w:t>
      </w:r>
      <w:r w:rsidR="00213160" w:rsidRPr="009B65A5">
        <w:rPr>
          <w:rFonts w:asciiTheme="majorHAnsi" w:hAnsiTheme="majorHAnsi"/>
          <w:sz w:val="20"/>
          <w:szCs w:val="20"/>
          <w:lang w:val="es-ES_tradnl"/>
        </w:rPr>
        <w:t xml:space="preserve">, afirma que la falta de agotamiento de la vía ordinaria por parte de las presuntas víctimas tampoco permitió que el </w:t>
      </w:r>
      <w:r w:rsidR="00334402" w:rsidRPr="009B65A5">
        <w:rPr>
          <w:rFonts w:asciiTheme="majorHAnsi" w:hAnsiTheme="majorHAnsi"/>
          <w:sz w:val="20"/>
          <w:szCs w:val="20"/>
          <w:lang w:val="es-ES_tradnl"/>
        </w:rPr>
        <w:t>proceso de amparo</w:t>
      </w:r>
      <w:r w:rsidR="00213160" w:rsidRPr="009B65A5">
        <w:rPr>
          <w:rFonts w:asciiTheme="majorHAnsi" w:hAnsiTheme="majorHAnsi"/>
          <w:sz w:val="20"/>
          <w:szCs w:val="20"/>
          <w:lang w:val="es-ES_tradnl"/>
        </w:rPr>
        <w:t xml:space="preserve"> genere el resultado esperado. Al respecto, resalta que, conforme a la normativa interna, la vía efectiva e idónea para llegar a la verdad histórica de los </w:t>
      </w:r>
      <w:r w:rsidR="00213160" w:rsidRPr="009B65A5">
        <w:rPr>
          <w:rFonts w:asciiTheme="majorHAnsi" w:hAnsiTheme="majorHAnsi"/>
          <w:sz w:val="20"/>
          <w:szCs w:val="20"/>
          <w:lang w:val="es-ES_tradnl"/>
        </w:rPr>
        <w:lastRenderedPageBreak/>
        <w:t>hechos, sancionar a los autores de la presunta comisión de los delitos denunciados y obtener una reparación es la vía ordinaria penal.</w:t>
      </w:r>
      <w:r w:rsidRPr="009B65A5">
        <w:rPr>
          <w:rFonts w:asciiTheme="majorHAnsi" w:hAnsiTheme="majorHAnsi"/>
          <w:sz w:val="20"/>
          <w:szCs w:val="20"/>
          <w:lang w:val="es-ES_tradnl"/>
        </w:rPr>
        <w:t xml:space="preserve"> Por ende, arguye que no se puede responsabilizar al Estado por el resultado del proceso de amparo, toda vez que al momento de presentación de la demanda el proceso penal aún no había finalizado. </w:t>
      </w:r>
    </w:p>
    <w:p w14:paraId="210DA3AC" w14:textId="27497F79" w:rsidR="00E4171C" w:rsidRPr="009B65A5" w:rsidRDefault="0094181E" w:rsidP="00E4171C">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9B65A5">
        <w:rPr>
          <w:rFonts w:asciiTheme="majorHAnsi" w:hAnsiTheme="majorHAnsi"/>
          <w:sz w:val="20"/>
          <w:szCs w:val="20"/>
          <w:lang w:val="es-ES_tradnl"/>
        </w:rPr>
        <w:t>Finalmente</w:t>
      </w:r>
      <w:r w:rsidR="00664246" w:rsidRPr="009B65A5">
        <w:rPr>
          <w:rFonts w:asciiTheme="majorHAnsi" w:hAnsiTheme="majorHAnsi"/>
          <w:sz w:val="20"/>
          <w:szCs w:val="20"/>
          <w:lang w:val="es-ES_tradnl"/>
        </w:rPr>
        <w:t>, Estado resalta que ha adoptado diferentes medidas institucionales y legislativas, relacionadas con la prevención y sanción de los delitos vinculados con el racismo y discriminación, a efectos de proporcionar a la población boliviana en general los medios adecuados para hacer respetar sus derechos.</w:t>
      </w:r>
      <w:r w:rsidR="00E4171C" w:rsidRPr="009B65A5">
        <w:rPr>
          <w:rFonts w:asciiTheme="majorHAnsi" w:hAnsiTheme="majorHAnsi"/>
          <w:sz w:val="20"/>
          <w:szCs w:val="20"/>
          <w:lang w:val="es-ES_tradnl"/>
        </w:rPr>
        <w:t xml:space="preserve"> A modo de ejemplo, informa que 8 de octubre de 2010, se promulgó la Ley contra el Racismo y toda forma de Discriminación, la cual tiene por objeto: (i) establecer mecanismos y procedimientos para la prevención y sanción de actos de racismo y toda forma de discriminación en el marco de la CPE y Tratados Internacionales de Derechos Humanos y, (ii) eliminar conductas de racismo y toda forma de discriminación así como consolidar políticas públicas de protección y prevención de delitos de racismo y toda forma de discriminación.</w:t>
      </w:r>
    </w:p>
    <w:p w14:paraId="4D2B3607" w14:textId="4936BCD5" w:rsidR="00DF2630" w:rsidRPr="009B65A5" w:rsidRDefault="00DF2630" w:rsidP="00DF2630">
      <w:pPr>
        <w:pStyle w:val="ListParagraph"/>
        <w:spacing w:before="240" w:after="240"/>
        <w:jc w:val="both"/>
        <w:rPr>
          <w:rFonts w:asciiTheme="majorHAnsi" w:hAnsiTheme="majorHAnsi"/>
          <w:sz w:val="20"/>
          <w:szCs w:val="20"/>
          <w:lang w:val="es-ES_tradnl"/>
        </w:rPr>
      </w:pPr>
      <w:r w:rsidRPr="009B65A5">
        <w:rPr>
          <w:rFonts w:asciiTheme="majorHAnsi" w:hAnsiTheme="majorHAnsi"/>
          <w:b/>
          <w:bCs/>
          <w:sz w:val="20"/>
          <w:szCs w:val="20"/>
          <w:lang w:val="es-ES_tradnl"/>
        </w:rPr>
        <w:t>VI.</w:t>
      </w:r>
      <w:r w:rsidRPr="009B65A5">
        <w:rPr>
          <w:rFonts w:asciiTheme="majorHAnsi" w:hAnsiTheme="majorHAnsi"/>
          <w:b/>
          <w:bCs/>
          <w:sz w:val="20"/>
          <w:szCs w:val="20"/>
          <w:lang w:val="es-ES_tradnl"/>
        </w:rPr>
        <w:tab/>
        <w:t xml:space="preserve">ANÁLISIS DE </w:t>
      </w:r>
      <w:r w:rsidRPr="009B65A5">
        <w:rPr>
          <w:rFonts w:asciiTheme="majorHAnsi" w:hAnsiTheme="majorHAnsi"/>
          <w:b/>
          <w:sz w:val="20"/>
          <w:szCs w:val="20"/>
          <w:lang w:val="es-ES_tradnl"/>
        </w:rPr>
        <w:t>AGOTAMIENTO DE LOS RECURSOS INTERNOS Y PLAZO DE PRESENTACIÓN</w:t>
      </w:r>
      <w:r w:rsidRPr="009B65A5">
        <w:rPr>
          <w:rFonts w:asciiTheme="majorHAnsi" w:hAnsiTheme="majorHAnsi"/>
          <w:b/>
          <w:bCs/>
          <w:sz w:val="20"/>
          <w:szCs w:val="20"/>
          <w:lang w:val="es-ES_tradnl"/>
        </w:rPr>
        <w:t xml:space="preserve"> </w:t>
      </w:r>
    </w:p>
    <w:p w14:paraId="4B456F60" w14:textId="024F0969" w:rsidR="00A241A4" w:rsidRPr="009B65A5" w:rsidRDefault="00FE5D40" w:rsidP="003D7828">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9B65A5">
        <w:rPr>
          <w:rFonts w:asciiTheme="majorHAnsi" w:hAnsiTheme="majorHAnsi"/>
          <w:sz w:val="20"/>
          <w:szCs w:val="20"/>
          <w:lang w:val="es-ES_tradnl"/>
        </w:rPr>
        <w:t xml:space="preserve">La parte peticionaria solicita la aplicación de la excepción prevista en el artículo 46.2.c), toda vez que </w:t>
      </w:r>
      <w:r w:rsidR="00A241A4" w:rsidRPr="009B65A5">
        <w:rPr>
          <w:rFonts w:asciiTheme="majorHAnsi" w:hAnsiTheme="majorHAnsi"/>
          <w:sz w:val="20"/>
          <w:szCs w:val="20"/>
          <w:lang w:val="es-ES_tradnl"/>
        </w:rPr>
        <w:t xml:space="preserve">hasta la fecha no existe una condena penal ejecutoriada contra los victimarios. Además, arguye que no se le puede atribuir responsabilidad a las presuntas víctimas por no cuestionar los autos que declararon la prescripción de ciertos delitos, toda vez que su representación estaba a cargo del SEPDAVI, en su condición de entidad pública. Por su parte, el Estado replica que no se agotaron los recursos de la jurisdicción interna, dado que i) </w:t>
      </w:r>
      <w:r w:rsidR="003D7828" w:rsidRPr="009B65A5">
        <w:rPr>
          <w:rFonts w:asciiTheme="majorHAnsi" w:hAnsiTheme="majorHAnsi"/>
          <w:sz w:val="20"/>
          <w:szCs w:val="20"/>
          <w:lang w:val="es-ES_tradnl"/>
        </w:rPr>
        <w:t>el proceso penal aún no está ejecutoriado; ii) no se ha utilizado la vía judicial para obtener una indemnización; iii) las presuntas víctimas no impugnaron los autos que declararon la prescripción de ciertos delitos</w:t>
      </w:r>
      <w:r w:rsidR="00A241A4" w:rsidRPr="009B65A5">
        <w:rPr>
          <w:rFonts w:asciiTheme="majorHAnsi" w:hAnsiTheme="majorHAnsi"/>
          <w:sz w:val="20"/>
          <w:szCs w:val="20"/>
          <w:lang w:val="es-ES_tradnl"/>
        </w:rPr>
        <w:t xml:space="preserve">; y iv) tres presuntas víctimas no formaron parte de la causa penal. </w:t>
      </w:r>
    </w:p>
    <w:p w14:paraId="5AABFE53" w14:textId="1027A9C4" w:rsidR="00DF2630" w:rsidRPr="009B65A5" w:rsidRDefault="00A241A4" w:rsidP="00DE7CE3">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9B65A5">
        <w:rPr>
          <w:rFonts w:asciiTheme="majorHAnsi" w:hAnsiTheme="majorHAnsi"/>
          <w:sz w:val="20"/>
          <w:szCs w:val="20"/>
          <w:lang w:val="es-ES_tradnl"/>
        </w:rPr>
        <w:t>En relación con los hechos de violencia ocurridos el 24</w:t>
      </w:r>
      <w:r w:rsidR="0020456E" w:rsidRPr="009B65A5">
        <w:rPr>
          <w:rFonts w:asciiTheme="majorHAnsi" w:hAnsiTheme="majorHAnsi"/>
          <w:sz w:val="20"/>
          <w:szCs w:val="20"/>
          <w:lang w:val="es-ES_tradnl"/>
        </w:rPr>
        <w:t xml:space="preserve"> de mayo de 2008</w:t>
      </w:r>
      <w:r w:rsidRPr="009B65A5">
        <w:rPr>
          <w:rFonts w:asciiTheme="majorHAnsi" w:hAnsiTheme="majorHAnsi"/>
          <w:sz w:val="20"/>
          <w:szCs w:val="20"/>
          <w:lang w:val="es-ES_tradnl"/>
        </w:rPr>
        <w:t xml:space="preserve">, </w:t>
      </w:r>
      <w:r w:rsidR="0020456E" w:rsidRPr="009B65A5">
        <w:rPr>
          <w:rFonts w:asciiTheme="majorHAnsi" w:hAnsiTheme="majorHAnsi"/>
          <w:sz w:val="20"/>
          <w:szCs w:val="20"/>
          <w:lang w:val="es-ES_tradnl"/>
        </w:rPr>
        <w:t>l</w:t>
      </w:r>
      <w:r w:rsidRPr="009B65A5">
        <w:rPr>
          <w:rFonts w:asciiTheme="majorHAnsi" w:hAnsiTheme="majorHAnsi"/>
          <w:sz w:val="20"/>
          <w:szCs w:val="20"/>
          <w:lang w:val="es-ES_tradnl"/>
        </w:rPr>
        <w:t xml:space="preserve">a CIDH recuerda </w:t>
      </w:r>
      <w:r w:rsidR="00094EA0" w:rsidRPr="009B65A5">
        <w:rPr>
          <w:rFonts w:asciiTheme="majorHAnsi" w:hAnsiTheme="majorHAnsi"/>
          <w:sz w:val="20"/>
          <w:szCs w:val="20"/>
          <w:lang w:val="es-ES_tradnl"/>
        </w:rPr>
        <w:t>que,</w:t>
      </w:r>
      <w:r w:rsidRPr="009B65A5">
        <w:rPr>
          <w:rFonts w:asciiTheme="majorHAnsi" w:hAnsiTheme="majorHAnsi"/>
          <w:sz w:val="20"/>
          <w:szCs w:val="20"/>
          <w:lang w:val="es-ES_tradnl"/>
        </w:rPr>
        <w:t xml:space="preserve"> frente a posibles delitos contra la vida e integridad personal, los recursos internos que deben tomarse en cuenta a los efectos de la admisibilidad de las peticiones son los relacionados con la investigación penal y sanción de los responsables</w:t>
      </w:r>
      <w:r w:rsidR="005E1BD4" w:rsidRPr="009B65A5">
        <w:rPr>
          <w:rFonts w:asciiTheme="majorHAnsi" w:hAnsiTheme="majorHAnsi"/>
          <w:sz w:val="20"/>
          <w:szCs w:val="20"/>
          <w:lang w:val="es-ES_tradnl"/>
        </w:rPr>
        <w:t>,</w:t>
      </w:r>
      <w:r w:rsidR="00094EA0" w:rsidRPr="009B65A5">
        <w:rPr>
          <w:rFonts w:asciiTheme="majorHAnsi" w:hAnsiTheme="majorHAnsi"/>
          <w:sz w:val="20"/>
          <w:szCs w:val="20"/>
          <w:lang w:val="es-ES_tradnl"/>
        </w:rPr>
        <w:t xml:space="preserve"> además de posibilitar otros modos de reparación de tipo pecuniario</w:t>
      </w:r>
      <w:r w:rsidR="0020456E" w:rsidRPr="009B65A5">
        <w:rPr>
          <w:rStyle w:val="FootnoteReference"/>
          <w:rFonts w:asciiTheme="majorHAnsi" w:hAnsiTheme="majorHAnsi"/>
          <w:sz w:val="20"/>
          <w:szCs w:val="20"/>
          <w:lang w:val="es-ES_tradnl"/>
        </w:rPr>
        <w:footnoteReference w:id="17"/>
      </w:r>
      <w:r w:rsidRPr="009B65A5">
        <w:rPr>
          <w:rFonts w:asciiTheme="majorHAnsi" w:hAnsiTheme="majorHAnsi"/>
          <w:sz w:val="20"/>
          <w:szCs w:val="20"/>
          <w:lang w:val="es-ES_tradnl"/>
        </w:rPr>
        <w:t>.</w:t>
      </w:r>
      <w:r w:rsidR="00DE7CE3" w:rsidRPr="009B65A5">
        <w:rPr>
          <w:rFonts w:asciiTheme="majorHAnsi" w:hAnsiTheme="majorHAnsi"/>
          <w:sz w:val="20"/>
          <w:szCs w:val="20"/>
          <w:lang w:val="es-ES_tradnl"/>
        </w:rPr>
        <w:t xml:space="preserve"> Por lo tanto, el Estado no puede pretender que se declare inadmisible una petición por falta de agotamiento de la vía civil de indemnización o reparación</w:t>
      </w:r>
      <w:r w:rsidR="00DE7CE3" w:rsidRPr="009B65A5">
        <w:rPr>
          <w:rStyle w:val="FootnoteReference"/>
          <w:rFonts w:asciiTheme="majorHAnsi" w:hAnsiTheme="majorHAnsi"/>
          <w:sz w:val="20"/>
          <w:szCs w:val="20"/>
          <w:lang w:val="es-ES_tradnl"/>
        </w:rPr>
        <w:footnoteReference w:id="18"/>
      </w:r>
      <w:r w:rsidR="00DE7CE3" w:rsidRPr="009B65A5">
        <w:rPr>
          <w:rFonts w:asciiTheme="majorHAnsi" w:hAnsiTheme="majorHAnsi"/>
          <w:sz w:val="20"/>
          <w:szCs w:val="20"/>
          <w:lang w:val="es-ES_tradnl"/>
        </w:rPr>
        <w:t>. Asimismo, la</w:t>
      </w:r>
      <w:r w:rsidRPr="009B65A5">
        <w:rPr>
          <w:rFonts w:asciiTheme="majorHAnsi" w:hAnsiTheme="majorHAnsi"/>
          <w:sz w:val="20"/>
          <w:szCs w:val="20"/>
          <w:lang w:val="es-ES_tradnl"/>
        </w:rPr>
        <w:t xml:space="preserve"> investigación debe realizarse prontamente y de manera oficiosa, más aún cuando los delitos denunciados fueron cometidos presuntamente con la aquiescencia del Estado, a fin de proteger los intereses de las víctimas, preservar la prueba e incluso salvaguardar los derechos de toda persona que en el contexto de la investigación sea considerada sospechosa.</w:t>
      </w:r>
    </w:p>
    <w:p w14:paraId="1E9CE4CD" w14:textId="3A6C131D" w:rsidR="00D0778A" w:rsidRPr="009B65A5" w:rsidRDefault="00D0778A" w:rsidP="00094EA0">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9B65A5">
        <w:rPr>
          <w:rFonts w:asciiTheme="majorHAnsi" w:hAnsiTheme="majorHAnsi"/>
          <w:sz w:val="20"/>
          <w:szCs w:val="20"/>
          <w:lang w:val="es-ES_tradnl"/>
        </w:rPr>
        <w:t>En el presente caso, la Comisión observa que las referidas acciones violentas fueron de público conocimiento; fueron difundidas por diversos medios de comunicación y organizaciones de derechos humanos</w:t>
      </w:r>
      <w:r w:rsidR="00D07D37" w:rsidRPr="009B65A5">
        <w:rPr>
          <w:rFonts w:asciiTheme="majorHAnsi" w:hAnsiTheme="majorHAnsi"/>
          <w:sz w:val="20"/>
          <w:szCs w:val="20"/>
          <w:lang w:val="es-ES_tradnl"/>
        </w:rPr>
        <w:t>;</w:t>
      </w:r>
      <w:r w:rsidRPr="009B65A5">
        <w:rPr>
          <w:rFonts w:asciiTheme="majorHAnsi" w:hAnsiTheme="majorHAnsi"/>
          <w:sz w:val="20"/>
          <w:szCs w:val="20"/>
          <w:lang w:val="es-ES_tradnl"/>
        </w:rPr>
        <w:t xml:space="preserve"> y que la Fiscalía</w:t>
      </w:r>
      <w:r w:rsidR="000921C0" w:rsidRPr="009B65A5">
        <w:rPr>
          <w:rFonts w:asciiTheme="majorHAnsi" w:hAnsiTheme="majorHAnsi"/>
          <w:sz w:val="20"/>
          <w:szCs w:val="20"/>
          <w:lang w:val="es-ES_tradnl"/>
        </w:rPr>
        <w:t xml:space="preserve"> </w:t>
      </w:r>
      <w:r w:rsidRPr="009B65A5">
        <w:rPr>
          <w:rFonts w:asciiTheme="majorHAnsi" w:hAnsiTheme="majorHAnsi"/>
          <w:sz w:val="20"/>
          <w:szCs w:val="20"/>
          <w:lang w:val="es-ES_tradnl"/>
        </w:rPr>
        <w:t>inició una investigación para determinar lo ocurrido. Por ende, la CIDH considera que el Estado tenía conocimiento de lo sucedido</w:t>
      </w:r>
      <w:r w:rsidR="002E37A8" w:rsidRPr="009B65A5">
        <w:rPr>
          <w:rFonts w:asciiTheme="majorHAnsi" w:hAnsiTheme="majorHAnsi"/>
          <w:sz w:val="20"/>
          <w:szCs w:val="20"/>
          <w:lang w:val="es-ES_tradnl"/>
        </w:rPr>
        <w:t>,</w:t>
      </w:r>
      <w:r w:rsidRPr="009B65A5">
        <w:rPr>
          <w:rFonts w:asciiTheme="majorHAnsi" w:hAnsiTheme="majorHAnsi"/>
          <w:sz w:val="20"/>
          <w:szCs w:val="20"/>
          <w:lang w:val="es-ES_tradnl"/>
        </w:rPr>
        <w:t xml:space="preserve"> y en consecuencia tenía la obligación de investigar de manera oficiosa lo ocurrido con respecto a todas las presuntas víctimas</w:t>
      </w:r>
      <w:r w:rsidRPr="009B65A5">
        <w:rPr>
          <w:rStyle w:val="FootnoteReference"/>
          <w:rFonts w:asciiTheme="majorHAnsi" w:hAnsiTheme="majorHAnsi"/>
          <w:sz w:val="20"/>
          <w:szCs w:val="20"/>
          <w:lang w:val="es-ES_tradnl"/>
        </w:rPr>
        <w:footnoteReference w:id="19"/>
      </w:r>
      <w:r w:rsidRPr="009B65A5">
        <w:rPr>
          <w:rFonts w:asciiTheme="majorHAnsi" w:hAnsiTheme="majorHAnsi"/>
          <w:sz w:val="20"/>
          <w:szCs w:val="20"/>
          <w:lang w:val="es-ES_tradnl"/>
        </w:rPr>
        <w:t>. A pesar</w:t>
      </w:r>
      <w:r w:rsidR="00094EA0" w:rsidRPr="009B65A5">
        <w:rPr>
          <w:rFonts w:asciiTheme="majorHAnsi" w:hAnsiTheme="majorHAnsi"/>
          <w:sz w:val="20"/>
          <w:szCs w:val="20"/>
          <w:lang w:val="es-ES_tradnl"/>
        </w:rPr>
        <w:t xml:space="preserve"> de ello, la Comisión observa que, conforme a la información aportada por las partes, tras catorce años desde la fecha de los citados sucesos, las autoridades aún no han ejecutado una sentencia penal condenatoria contra los victimarios. </w:t>
      </w:r>
      <w:r w:rsidR="002E37A8" w:rsidRPr="009B65A5">
        <w:rPr>
          <w:rFonts w:asciiTheme="majorHAnsi" w:hAnsiTheme="majorHAnsi"/>
          <w:sz w:val="20"/>
          <w:szCs w:val="20"/>
          <w:lang w:val="es-ES_tradnl"/>
        </w:rPr>
        <w:t xml:space="preserve">Ni han procurado reparar integralmente a las presuntas víctimas. </w:t>
      </w:r>
      <w:r w:rsidR="00094EA0" w:rsidRPr="009B65A5">
        <w:rPr>
          <w:rFonts w:asciiTheme="majorHAnsi" w:hAnsiTheme="majorHAnsi"/>
          <w:sz w:val="20"/>
          <w:szCs w:val="20"/>
          <w:lang w:val="es-ES_tradnl"/>
        </w:rPr>
        <w:t xml:space="preserve">En consecuencia, la Comisión considera que resulta aplicable la excepción al agotamiento de los recursos internos prevista en el artículo 46.2.c) de la Convención. </w:t>
      </w:r>
      <w:r w:rsidRPr="009B65A5">
        <w:rPr>
          <w:rFonts w:asciiTheme="majorHAnsi" w:hAnsiTheme="majorHAnsi"/>
          <w:sz w:val="20"/>
          <w:szCs w:val="20"/>
          <w:lang w:val="es-ES_tradnl"/>
        </w:rPr>
        <w:t>Asimismo, la CIDH considera que los hechos planteados en este extremo de la petición se mantienen vigentes dada su falta de investigación, y que fueron presentados dentro de un plazo razonable en los términos del artículo 32.2 del Reglamento de la CIDH.</w:t>
      </w:r>
    </w:p>
    <w:p w14:paraId="4F88C0D7" w14:textId="3529E081" w:rsidR="007E062C" w:rsidRPr="009B65A5" w:rsidRDefault="00094EA0" w:rsidP="00DE7CE3">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9B65A5">
        <w:rPr>
          <w:rFonts w:asciiTheme="majorHAnsi" w:hAnsiTheme="majorHAnsi"/>
          <w:sz w:val="20"/>
          <w:szCs w:val="20"/>
          <w:lang w:val="es-ES_tradnl"/>
        </w:rPr>
        <w:lastRenderedPageBreak/>
        <w:t xml:space="preserve">Con respecto </w:t>
      </w:r>
      <w:r w:rsidR="00DE7CE3" w:rsidRPr="009B65A5">
        <w:rPr>
          <w:rFonts w:asciiTheme="majorHAnsi" w:hAnsiTheme="majorHAnsi"/>
          <w:sz w:val="20"/>
          <w:szCs w:val="20"/>
          <w:lang w:val="es-ES_tradnl"/>
        </w:rPr>
        <w:t>a la</w:t>
      </w:r>
      <w:r w:rsidR="007E062C" w:rsidRPr="009B65A5">
        <w:rPr>
          <w:rFonts w:asciiTheme="majorHAnsi" w:hAnsiTheme="majorHAnsi"/>
          <w:sz w:val="20"/>
          <w:szCs w:val="20"/>
          <w:lang w:val="es-ES_tradnl"/>
        </w:rPr>
        <w:t xml:space="preserve"> falta de interposición de un recurso de apelación incidental contra </w:t>
      </w:r>
      <w:r w:rsidR="00DE7CE3" w:rsidRPr="009B65A5">
        <w:rPr>
          <w:rFonts w:asciiTheme="majorHAnsi" w:hAnsiTheme="majorHAnsi"/>
          <w:sz w:val="20"/>
          <w:szCs w:val="20"/>
          <w:lang w:val="es-ES_tradnl"/>
        </w:rPr>
        <w:t xml:space="preserve">el Auto N° 013/2013, el cual determinó la prescripción de ciertos delitos, </w:t>
      </w:r>
      <w:r w:rsidR="007E062C" w:rsidRPr="009B65A5">
        <w:rPr>
          <w:rFonts w:asciiTheme="majorHAnsi" w:hAnsiTheme="majorHAnsi"/>
          <w:sz w:val="20"/>
          <w:szCs w:val="20"/>
          <w:lang w:val="es-ES_tradnl"/>
        </w:rPr>
        <w:t xml:space="preserve">la Comisión </w:t>
      </w:r>
      <w:r w:rsidR="00534428" w:rsidRPr="009B65A5">
        <w:rPr>
          <w:rFonts w:asciiTheme="majorHAnsi" w:hAnsiTheme="majorHAnsi"/>
          <w:sz w:val="20"/>
          <w:szCs w:val="20"/>
          <w:lang w:val="es-ES_tradnl"/>
        </w:rPr>
        <w:t>recuerda que toda vez que un Estado alega la falta de agotamiento de los recursos internos no solamente tiene la carga de identificar cuáles serían los recursos no agotados, sino que además debe demostrar que estos resultan adecuados para subsanar la violación alegada, vale decir, que la función de esos recursos dentro del sistema del derecho interno es idónea para proteger la situación jurídica infringid</w:t>
      </w:r>
      <w:r w:rsidR="002E37A8" w:rsidRPr="009B65A5">
        <w:rPr>
          <w:rFonts w:asciiTheme="majorHAnsi" w:hAnsiTheme="majorHAnsi"/>
          <w:sz w:val="20"/>
          <w:szCs w:val="20"/>
          <w:lang w:val="es-ES_tradnl"/>
        </w:rPr>
        <w:t>a</w:t>
      </w:r>
      <w:r w:rsidR="00534428" w:rsidRPr="009B65A5">
        <w:rPr>
          <w:rStyle w:val="FootnoteReference"/>
          <w:rFonts w:asciiTheme="majorHAnsi" w:hAnsiTheme="majorHAnsi"/>
          <w:sz w:val="20"/>
          <w:szCs w:val="20"/>
          <w:lang w:val="es-ES_tradnl"/>
        </w:rPr>
        <w:footnoteReference w:id="20"/>
      </w:r>
      <w:r w:rsidR="00534428" w:rsidRPr="009B65A5">
        <w:rPr>
          <w:rFonts w:asciiTheme="majorHAnsi" w:hAnsiTheme="majorHAnsi"/>
          <w:sz w:val="20"/>
          <w:szCs w:val="20"/>
          <w:lang w:val="es-ES_tradnl"/>
        </w:rPr>
        <w:t xml:space="preserve">. En el presente caso </w:t>
      </w:r>
      <w:r w:rsidR="00B86957" w:rsidRPr="009B65A5">
        <w:rPr>
          <w:rFonts w:asciiTheme="majorHAnsi" w:hAnsiTheme="majorHAnsi"/>
          <w:sz w:val="20"/>
          <w:szCs w:val="20"/>
          <w:lang w:val="es-ES_tradnl"/>
        </w:rPr>
        <w:t>Bolivia</w:t>
      </w:r>
      <w:r w:rsidR="00534428" w:rsidRPr="009B65A5">
        <w:rPr>
          <w:rFonts w:asciiTheme="majorHAnsi" w:hAnsiTheme="majorHAnsi"/>
          <w:sz w:val="20"/>
          <w:szCs w:val="20"/>
          <w:lang w:val="es-ES_tradnl"/>
        </w:rPr>
        <w:t xml:space="preserve"> no ha proporcionado tal información, por lo cual la Comisión no tiene elementos para determinar si las vías mencionadas realmente resultan adecuadas y efectivas.</w:t>
      </w:r>
    </w:p>
    <w:p w14:paraId="3D47F837" w14:textId="3DD490A2" w:rsidR="007E062C" w:rsidRPr="009B65A5" w:rsidRDefault="007E062C" w:rsidP="00DE7CE3">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9B65A5">
        <w:rPr>
          <w:rFonts w:asciiTheme="majorHAnsi" w:hAnsiTheme="majorHAnsi"/>
          <w:sz w:val="20"/>
          <w:szCs w:val="20"/>
          <w:lang w:val="es-ES_tradnl"/>
        </w:rPr>
        <w:t xml:space="preserve">Sin perjuicio de ello, </w:t>
      </w:r>
      <w:r w:rsidR="00E87153" w:rsidRPr="009B65A5">
        <w:rPr>
          <w:rFonts w:asciiTheme="majorHAnsi" w:hAnsiTheme="majorHAnsi"/>
          <w:sz w:val="20"/>
          <w:szCs w:val="20"/>
          <w:lang w:val="es-ES_tradnl"/>
        </w:rPr>
        <w:t>la</w:t>
      </w:r>
      <w:r w:rsidRPr="009B65A5">
        <w:rPr>
          <w:rFonts w:asciiTheme="majorHAnsi" w:hAnsiTheme="majorHAnsi"/>
          <w:sz w:val="20"/>
          <w:szCs w:val="20"/>
          <w:lang w:val="es-ES_tradnl"/>
        </w:rPr>
        <w:t xml:space="preserve"> Comisión nota que la representación legal de las presuntas víctimas estaba a cargo del SEPDAVI en su calidad de organismo público. A juicio de la CIDH, correspondía a los representantes de tal entidad velar por los intereses de las presuntas víctimas, mediante la interposición de los recursos o escritos correspondientes. </w:t>
      </w:r>
      <w:r w:rsidR="002E37A8" w:rsidRPr="009B65A5">
        <w:rPr>
          <w:rFonts w:asciiTheme="majorHAnsi" w:hAnsiTheme="majorHAnsi"/>
          <w:sz w:val="20"/>
          <w:szCs w:val="20"/>
          <w:lang w:val="es-ES_tradnl"/>
        </w:rPr>
        <w:t xml:space="preserve">En un caso como el presente, en el que las presuntas víctimas son evidentemente personas en condiciones de vulnerabilidad que requerían de una defensa pública que efectivamente procurara su acceso a la justicia. </w:t>
      </w:r>
      <w:r w:rsidRPr="009B65A5">
        <w:rPr>
          <w:rFonts w:asciiTheme="majorHAnsi" w:hAnsiTheme="majorHAnsi"/>
          <w:sz w:val="20"/>
          <w:szCs w:val="20"/>
          <w:lang w:val="es-ES_tradnl"/>
        </w:rPr>
        <w:t xml:space="preserve">Por ende, </w:t>
      </w:r>
      <w:r w:rsidR="002E37A8" w:rsidRPr="009B65A5">
        <w:rPr>
          <w:rFonts w:asciiTheme="majorHAnsi" w:hAnsiTheme="majorHAnsi"/>
          <w:sz w:val="20"/>
          <w:szCs w:val="20"/>
          <w:lang w:val="es-ES_tradnl"/>
        </w:rPr>
        <w:t xml:space="preserve">y </w:t>
      </w:r>
      <w:r w:rsidRPr="009B65A5">
        <w:rPr>
          <w:rFonts w:asciiTheme="majorHAnsi" w:hAnsiTheme="majorHAnsi"/>
          <w:sz w:val="20"/>
          <w:szCs w:val="20"/>
          <w:lang w:val="es-ES_tradnl"/>
        </w:rPr>
        <w:t>siguiendo precedentes similares en la materia</w:t>
      </w:r>
      <w:r w:rsidR="00534428" w:rsidRPr="009B65A5">
        <w:rPr>
          <w:rStyle w:val="FootnoteReference"/>
          <w:rFonts w:asciiTheme="majorHAnsi" w:hAnsiTheme="majorHAnsi"/>
          <w:sz w:val="20"/>
          <w:szCs w:val="20"/>
          <w:lang w:val="es-ES_tradnl"/>
        </w:rPr>
        <w:footnoteReference w:id="21"/>
      </w:r>
      <w:r w:rsidRPr="009B65A5">
        <w:rPr>
          <w:rFonts w:asciiTheme="majorHAnsi" w:hAnsiTheme="majorHAnsi"/>
          <w:sz w:val="20"/>
          <w:szCs w:val="20"/>
          <w:lang w:val="es-ES_tradnl"/>
        </w:rPr>
        <w:t>, la Comisión considera que la falta de interposición de un recurso de apelación</w:t>
      </w:r>
      <w:r w:rsidR="00C739BB" w:rsidRPr="009B65A5">
        <w:rPr>
          <w:rFonts w:asciiTheme="majorHAnsi" w:hAnsiTheme="majorHAnsi"/>
          <w:sz w:val="20"/>
          <w:szCs w:val="20"/>
          <w:lang w:val="es-ES_tradnl"/>
        </w:rPr>
        <w:t xml:space="preserve"> no resulta, en principio, atribuible a las presuntas víctimas y que resulta aplicable la excepción prevista en el artículo 46.2.b</w:t>
      </w:r>
      <w:r w:rsidR="002E37A8" w:rsidRPr="009B65A5">
        <w:rPr>
          <w:rFonts w:asciiTheme="majorHAnsi" w:hAnsiTheme="majorHAnsi"/>
          <w:sz w:val="20"/>
          <w:szCs w:val="20"/>
          <w:lang w:val="es-ES_tradnl"/>
        </w:rPr>
        <w:t>)</w:t>
      </w:r>
      <w:r w:rsidR="00C739BB" w:rsidRPr="009B65A5">
        <w:rPr>
          <w:rFonts w:asciiTheme="majorHAnsi" w:hAnsiTheme="majorHAnsi"/>
          <w:sz w:val="20"/>
          <w:szCs w:val="20"/>
          <w:lang w:val="es-ES_tradnl"/>
        </w:rPr>
        <w:t xml:space="preserve"> de la Convención Americana. Asimismo, tomando en cuenta que estas actuaciones formaron parte del proceso penal analizado previamente, la Comisión considera que también se cumple con el requisito previsto en el artículo 32.2 de su Reglamento. </w:t>
      </w:r>
    </w:p>
    <w:p w14:paraId="35DF7975" w14:textId="62690BC2" w:rsidR="00DE7CE3" w:rsidRPr="009B65A5" w:rsidRDefault="00DE7CE3" w:rsidP="00DE7CE3">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9B65A5">
        <w:rPr>
          <w:rFonts w:asciiTheme="majorHAnsi" w:hAnsiTheme="majorHAnsi"/>
          <w:sz w:val="20"/>
          <w:szCs w:val="20"/>
          <w:lang w:val="es-ES_tradnl"/>
        </w:rPr>
        <w:t xml:space="preserve">En relación con </w:t>
      </w:r>
      <w:r w:rsidR="00C739BB" w:rsidRPr="009B65A5">
        <w:rPr>
          <w:rFonts w:asciiTheme="majorHAnsi" w:hAnsiTheme="majorHAnsi"/>
          <w:sz w:val="20"/>
          <w:szCs w:val="20"/>
          <w:lang w:val="es-ES_tradnl"/>
        </w:rPr>
        <w:t xml:space="preserve">la situación de los señores Ambrocio Apaza Arancibia y Leonardo Caballero Choque, la Comisión destaca que estas presuntas víctimas también estaban representadas por el SEPDAVI. En consecuencia, siguiendo el criterio explicado en el párrafo anterior, no se les puede atribuir la falta de presentación de un recurso extraordinario de amparo. Asimismo, respecto a la señora Fabia Ticona Calle, la CIDH reitera que el Estado tenía el deber de oficio de iniciar una investigación respecto a lo sucedido con respecto a todas las presuntas víctimas, dado que tuvo conocimiento de lo ocurrido por distintos medios. </w:t>
      </w:r>
      <w:r w:rsidR="00A7778B" w:rsidRPr="009B65A5">
        <w:rPr>
          <w:rFonts w:asciiTheme="majorHAnsi" w:hAnsiTheme="majorHAnsi"/>
          <w:sz w:val="20"/>
          <w:szCs w:val="20"/>
          <w:lang w:val="es-ES_tradnl"/>
        </w:rPr>
        <w:t>Así</w:t>
      </w:r>
      <w:r w:rsidR="00C739BB" w:rsidRPr="009B65A5">
        <w:rPr>
          <w:rFonts w:asciiTheme="majorHAnsi" w:hAnsiTheme="majorHAnsi"/>
          <w:sz w:val="20"/>
          <w:szCs w:val="20"/>
          <w:lang w:val="es-ES_tradnl"/>
        </w:rPr>
        <w:t xml:space="preserve">, corresponderá en la etapa de fondo determinar </w:t>
      </w:r>
      <w:r w:rsidR="00A306B9" w:rsidRPr="009B65A5">
        <w:rPr>
          <w:rFonts w:asciiTheme="majorHAnsi" w:hAnsiTheme="majorHAnsi"/>
          <w:sz w:val="20"/>
          <w:szCs w:val="20"/>
          <w:lang w:val="es-ES_tradnl"/>
        </w:rPr>
        <w:t>los hechos concretos que sufrieron tales personas, a efectos de verificar la responsabilidad internacional del Estado en este caso.</w:t>
      </w:r>
    </w:p>
    <w:p w14:paraId="4EF8BC42" w14:textId="3B8C1B6C" w:rsidR="00DE7CE3" w:rsidRPr="009B65A5" w:rsidRDefault="00DE7CE3" w:rsidP="00A306B9">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9B65A5">
        <w:rPr>
          <w:rFonts w:asciiTheme="majorHAnsi" w:hAnsiTheme="majorHAnsi"/>
          <w:sz w:val="20"/>
          <w:szCs w:val="20"/>
          <w:lang w:val="es-ES_tradnl"/>
        </w:rPr>
        <w:t xml:space="preserve">Finalmente, </w:t>
      </w:r>
      <w:r w:rsidR="00A306B9" w:rsidRPr="009B65A5">
        <w:rPr>
          <w:rFonts w:asciiTheme="majorHAnsi" w:hAnsiTheme="majorHAnsi"/>
          <w:sz w:val="20"/>
          <w:szCs w:val="20"/>
          <w:lang w:val="es-ES_tradnl"/>
        </w:rPr>
        <w:t xml:space="preserve">en relación con el proceso de amparo presentado por las presuntas víctimas, la Comisión nota que la parte peticionaria alega que se rechazó el recurso mediante un requisito procesal no previsto en la legislación interna. A juicio de la Comisión, tal alegato se relaciona con el derecho a la protección judicial, por lo que es una cuestión sustantiva que la Comisión examinará eventualmente en la etapa posterior del presente caso. En este sentido, la Comisión considera que la petición cumple con el requisito establecido en el artículo 46.1.a de la Convención Americana. Asimismo, la Comisión observa que la petición fue presentada el </w:t>
      </w:r>
      <w:r w:rsidR="00EB2C1A" w:rsidRPr="009B65A5">
        <w:rPr>
          <w:rFonts w:asciiTheme="majorHAnsi" w:hAnsiTheme="majorHAnsi"/>
          <w:sz w:val="20"/>
          <w:szCs w:val="20"/>
          <w:lang w:val="es-ES_tradnl"/>
        </w:rPr>
        <w:t>13 de julio de 2009 y 12 de enero de 2009 se notificó la improcedencia del recurso de amparo</w:t>
      </w:r>
      <w:r w:rsidR="00A306B9" w:rsidRPr="009B65A5">
        <w:rPr>
          <w:rFonts w:asciiTheme="majorHAnsi" w:hAnsiTheme="majorHAnsi"/>
          <w:sz w:val="20"/>
          <w:szCs w:val="20"/>
          <w:lang w:val="es-ES_tradnl"/>
        </w:rPr>
        <w:t>, por lo tanto</w:t>
      </w:r>
      <w:r w:rsidR="00EB2C1A" w:rsidRPr="009B65A5">
        <w:rPr>
          <w:rFonts w:asciiTheme="majorHAnsi" w:hAnsiTheme="majorHAnsi"/>
          <w:sz w:val="20"/>
          <w:szCs w:val="20"/>
          <w:lang w:val="es-ES_tradnl"/>
        </w:rPr>
        <w:t xml:space="preserve"> se cumple el requisito de plazo</w:t>
      </w:r>
      <w:r w:rsidR="00A306B9" w:rsidRPr="009B65A5">
        <w:rPr>
          <w:rFonts w:asciiTheme="majorHAnsi" w:hAnsiTheme="majorHAnsi"/>
          <w:sz w:val="20"/>
          <w:szCs w:val="20"/>
          <w:lang w:val="es-ES_tradnl"/>
        </w:rPr>
        <w:t xml:space="preserve"> establecido en el artículo 46.1.b</w:t>
      </w:r>
      <w:r w:rsidR="009B65A5" w:rsidRPr="009B65A5">
        <w:rPr>
          <w:rFonts w:asciiTheme="majorHAnsi" w:hAnsiTheme="majorHAnsi"/>
          <w:sz w:val="20"/>
          <w:szCs w:val="20"/>
          <w:lang w:val="es-ES_tradnl"/>
        </w:rPr>
        <w:t>)</w:t>
      </w:r>
      <w:r w:rsidR="00A306B9" w:rsidRPr="009B65A5">
        <w:rPr>
          <w:rFonts w:asciiTheme="majorHAnsi" w:hAnsiTheme="majorHAnsi"/>
          <w:sz w:val="20"/>
          <w:szCs w:val="20"/>
          <w:lang w:val="es-ES_tradnl"/>
        </w:rPr>
        <w:t xml:space="preserve"> de la Convención Americana</w:t>
      </w:r>
    </w:p>
    <w:p w14:paraId="7060EC82" w14:textId="249B7EA4" w:rsidR="00DF2630" w:rsidRPr="009B65A5" w:rsidRDefault="00DF2630" w:rsidP="00DF2630">
      <w:pPr>
        <w:pStyle w:val="ListParagraph"/>
        <w:spacing w:before="240" w:after="240"/>
        <w:jc w:val="both"/>
        <w:rPr>
          <w:rFonts w:asciiTheme="majorHAnsi" w:hAnsiTheme="majorHAnsi"/>
          <w:b/>
          <w:sz w:val="20"/>
          <w:szCs w:val="20"/>
          <w:lang w:val="es-ES_tradnl"/>
        </w:rPr>
      </w:pPr>
      <w:r w:rsidRPr="009B65A5">
        <w:rPr>
          <w:rFonts w:asciiTheme="majorHAnsi" w:hAnsiTheme="majorHAnsi"/>
          <w:b/>
          <w:bCs/>
          <w:sz w:val="20"/>
          <w:szCs w:val="20"/>
          <w:lang w:val="es-ES_tradnl"/>
        </w:rPr>
        <w:t>VII.</w:t>
      </w:r>
      <w:r w:rsidRPr="009B65A5">
        <w:rPr>
          <w:rFonts w:asciiTheme="majorHAnsi" w:hAnsiTheme="majorHAnsi"/>
          <w:b/>
          <w:bCs/>
          <w:sz w:val="20"/>
          <w:szCs w:val="20"/>
          <w:lang w:val="es-ES_tradnl"/>
        </w:rPr>
        <w:tab/>
        <w:t>ANÁLISIS DE CARACTERIZACIÓN DE LOS HECHOS ALEGADOS</w:t>
      </w:r>
    </w:p>
    <w:p w14:paraId="33433028" w14:textId="2CDFC853" w:rsidR="00126E82" w:rsidRPr="009B65A5" w:rsidRDefault="00126E82" w:rsidP="00CB4745">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9B65A5">
        <w:rPr>
          <w:rFonts w:asciiTheme="majorHAnsi" w:hAnsiTheme="majorHAnsi"/>
          <w:sz w:val="20"/>
          <w:szCs w:val="20"/>
          <w:lang w:val="es-ES_tradnl"/>
        </w:rPr>
        <w:t>La CIDH recuerda que, en la presente etapa procesal, debe realizar una evaluación prima facie para determinar si la petición establece el fundamento de la violación, posible o potencial, de un derecho garantizado por la Convención, pero no para establecer la existencia de una violación de derechos. Esta determinación sobre la caracterización de violaciones de la Convención Americana constituye un análisis primario, que no implica prejuzgar sobre el fondo del asunto. A los efectos de la admisibilidad, la Comisión debe decidir si los hechos alegados pueden caracterizar una violación de derechos, según lo estipulado en el artículo 47.b) de la Convención Americana o si la petición es "manifiestamente infundada" o es "evidente su total improcedencia", conforme al 47.c) de la Convención Americana.</w:t>
      </w:r>
    </w:p>
    <w:p w14:paraId="3442CB8E" w14:textId="2D28A1BD" w:rsidR="00CB4745" w:rsidRPr="009B65A5" w:rsidRDefault="00126E82" w:rsidP="00CB4745">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9B65A5">
        <w:rPr>
          <w:rFonts w:asciiTheme="majorHAnsi" w:hAnsiTheme="majorHAnsi"/>
          <w:sz w:val="20"/>
          <w:szCs w:val="20"/>
          <w:lang w:val="es-ES_tradnl"/>
        </w:rPr>
        <w:lastRenderedPageBreak/>
        <w:t>En esa línea, l</w:t>
      </w:r>
      <w:r w:rsidR="00CB4745" w:rsidRPr="009B65A5">
        <w:rPr>
          <w:rFonts w:asciiTheme="majorHAnsi" w:hAnsiTheme="majorHAnsi"/>
          <w:sz w:val="20"/>
          <w:szCs w:val="20"/>
          <w:lang w:val="es-ES_tradnl"/>
        </w:rPr>
        <w:t xml:space="preserve">a </w:t>
      </w:r>
      <w:r w:rsidRPr="009B65A5">
        <w:rPr>
          <w:rFonts w:asciiTheme="majorHAnsi" w:hAnsiTheme="majorHAnsi"/>
          <w:sz w:val="20"/>
          <w:szCs w:val="20"/>
          <w:lang w:val="es-ES_tradnl"/>
        </w:rPr>
        <w:t>Comisión</w:t>
      </w:r>
      <w:r w:rsidR="00CB4745" w:rsidRPr="009B65A5">
        <w:rPr>
          <w:rFonts w:asciiTheme="majorHAnsi" w:hAnsiTheme="majorHAnsi"/>
          <w:sz w:val="20"/>
          <w:szCs w:val="20"/>
          <w:lang w:val="es-ES_tradnl"/>
        </w:rPr>
        <w:t xml:space="preserve"> recuerda que ha dado seguimiento a los hechos denunciado por algunos de sus mecanismos de monitoreo. En particular, en su comunicado de prensa N° 22/08, lamentó y condenó enfáticamente los hechos de violencia ocurridos el 28 de mayo de 2008 en la ciudad de Sucre, y repudió su carácter racista y discriminatorio. </w:t>
      </w:r>
      <w:r w:rsidRPr="009B65A5">
        <w:rPr>
          <w:rFonts w:asciiTheme="majorHAnsi" w:hAnsiTheme="majorHAnsi"/>
          <w:sz w:val="20"/>
          <w:szCs w:val="20"/>
          <w:lang w:val="es-ES_tradnl"/>
        </w:rPr>
        <w:t>Asimismo, instó a las autoridades judiciales a iniciar de manera urgente investigaciones independientes e imparciales a fin de esclarecer los hechos, identificar y sancionar a los responsables y reparar los daños morales y materiales a las víctimas</w:t>
      </w:r>
      <w:r w:rsidR="003D7828" w:rsidRPr="009B65A5">
        <w:rPr>
          <w:rStyle w:val="FootnoteReference"/>
          <w:rFonts w:asciiTheme="majorHAnsi" w:hAnsiTheme="majorHAnsi"/>
          <w:sz w:val="20"/>
          <w:szCs w:val="20"/>
          <w:lang w:val="es-ES_tradnl"/>
        </w:rPr>
        <w:footnoteReference w:id="22"/>
      </w:r>
      <w:r w:rsidRPr="009B65A5">
        <w:rPr>
          <w:rFonts w:asciiTheme="majorHAnsi" w:hAnsiTheme="majorHAnsi"/>
          <w:sz w:val="20"/>
          <w:szCs w:val="20"/>
          <w:lang w:val="es-ES_tradnl"/>
        </w:rPr>
        <w:t xml:space="preserve">. En consecuencia, dada la relevancia de los hechos y los elementos aportados al expediente, considera importante analizar en la etapa de fondo la posible responsabilidad internacional del Estado por acontecimientos. </w:t>
      </w:r>
    </w:p>
    <w:p w14:paraId="16E1C590" w14:textId="258B14F3" w:rsidR="00DF2630" w:rsidRPr="009B65A5" w:rsidRDefault="005A6AC9" w:rsidP="003F2B86">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9B65A5">
        <w:rPr>
          <w:rFonts w:asciiTheme="majorHAnsi" w:hAnsiTheme="majorHAnsi"/>
          <w:sz w:val="20"/>
          <w:szCs w:val="20"/>
          <w:lang w:val="es-ES_tradnl"/>
        </w:rPr>
        <w:t xml:space="preserve">En relación con </w:t>
      </w:r>
      <w:r w:rsidR="003D7828" w:rsidRPr="009B65A5">
        <w:rPr>
          <w:rFonts w:asciiTheme="majorHAnsi" w:hAnsiTheme="majorHAnsi"/>
          <w:sz w:val="20"/>
          <w:szCs w:val="20"/>
          <w:lang w:val="es-ES_tradnl"/>
        </w:rPr>
        <w:t>el alegado incumplimiento</w:t>
      </w:r>
      <w:r w:rsidRPr="009B65A5">
        <w:rPr>
          <w:rFonts w:asciiTheme="majorHAnsi" w:hAnsiTheme="majorHAnsi"/>
          <w:sz w:val="20"/>
          <w:szCs w:val="20"/>
          <w:lang w:val="es-ES_tradnl"/>
        </w:rPr>
        <w:t xml:space="preserve"> de la Convención Interamericana para Prevenir y Sancionar la Tortura, </w:t>
      </w:r>
      <w:r w:rsidR="003F2B86" w:rsidRPr="009B65A5">
        <w:rPr>
          <w:rFonts w:asciiTheme="majorHAnsi" w:hAnsiTheme="majorHAnsi"/>
          <w:sz w:val="20"/>
          <w:szCs w:val="20"/>
          <w:lang w:val="es-ES_tradnl"/>
        </w:rPr>
        <w:t xml:space="preserve">la CIDH </w:t>
      </w:r>
      <w:r w:rsidRPr="009B65A5">
        <w:rPr>
          <w:rFonts w:asciiTheme="majorHAnsi" w:hAnsiTheme="majorHAnsi"/>
          <w:sz w:val="20"/>
          <w:szCs w:val="20"/>
          <w:lang w:val="es-ES_tradnl"/>
        </w:rPr>
        <w:t>destaca</w:t>
      </w:r>
      <w:r w:rsidR="003F2B86" w:rsidRPr="009B65A5">
        <w:rPr>
          <w:rFonts w:asciiTheme="majorHAnsi" w:hAnsiTheme="majorHAnsi"/>
          <w:sz w:val="20"/>
          <w:szCs w:val="20"/>
          <w:lang w:val="es-ES_tradnl"/>
        </w:rPr>
        <w:t xml:space="preserve"> que a pesar de que la ratificación de dicho instrumento es posterior a la alegada comisión de actos de tortura en perjuicio de la</w:t>
      </w:r>
      <w:r w:rsidRPr="009B65A5">
        <w:rPr>
          <w:rFonts w:asciiTheme="majorHAnsi" w:hAnsiTheme="majorHAnsi"/>
          <w:sz w:val="20"/>
          <w:szCs w:val="20"/>
          <w:lang w:val="es-ES_tradnl"/>
        </w:rPr>
        <w:t>s</w:t>
      </w:r>
      <w:r w:rsidR="003F2B86" w:rsidRPr="009B65A5">
        <w:rPr>
          <w:rFonts w:asciiTheme="majorHAnsi" w:hAnsiTheme="majorHAnsi"/>
          <w:sz w:val="20"/>
          <w:szCs w:val="20"/>
          <w:lang w:val="es-ES_tradnl"/>
        </w:rPr>
        <w:t xml:space="preserve"> presunta</w:t>
      </w:r>
      <w:r w:rsidRPr="009B65A5">
        <w:rPr>
          <w:rFonts w:asciiTheme="majorHAnsi" w:hAnsiTheme="majorHAnsi"/>
          <w:sz w:val="20"/>
          <w:szCs w:val="20"/>
          <w:lang w:val="es-ES_tradnl"/>
        </w:rPr>
        <w:t>s</w:t>
      </w:r>
      <w:r w:rsidR="003F2B86" w:rsidRPr="009B65A5">
        <w:rPr>
          <w:rFonts w:asciiTheme="majorHAnsi" w:hAnsiTheme="majorHAnsi"/>
          <w:sz w:val="20"/>
          <w:szCs w:val="20"/>
          <w:lang w:val="es-ES_tradnl"/>
        </w:rPr>
        <w:t xml:space="preserve"> víctima</w:t>
      </w:r>
      <w:r w:rsidRPr="009B65A5">
        <w:rPr>
          <w:rFonts w:asciiTheme="majorHAnsi" w:hAnsiTheme="majorHAnsi"/>
          <w:sz w:val="20"/>
          <w:szCs w:val="20"/>
          <w:lang w:val="es-ES_tradnl"/>
        </w:rPr>
        <w:t>s</w:t>
      </w:r>
      <w:r w:rsidR="003F2B86" w:rsidRPr="009B65A5">
        <w:rPr>
          <w:rFonts w:asciiTheme="majorHAnsi" w:hAnsiTheme="majorHAnsi"/>
          <w:sz w:val="20"/>
          <w:szCs w:val="20"/>
          <w:lang w:val="es-ES_tradnl"/>
        </w:rPr>
        <w:t>, existe la obligación del Estado de carácter continuado de investigar y sancionar a los responsables. En este sentido, las disposiciones contenidas en los artículos 1, 6 y 8 de este tratado constituyen el núcleo normativo por medio del cual los Estados parte se comprometen a investigar y sancionar los actos de tortura, obligación esta que es complementaria, pero independiente de la de abstenerse de realizar tales actos</w:t>
      </w:r>
      <w:r w:rsidR="00CB4745" w:rsidRPr="009B65A5">
        <w:rPr>
          <w:rStyle w:val="FootnoteReference"/>
          <w:rFonts w:asciiTheme="majorHAnsi" w:hAnsiTheme="majorHAnsi"/>
          <w:sz w:val="20"/>
          <w:szCs w:val="20"/>
          <w:lang w:val="es-ES_tradnl"/>
        </w:rPr>
        <w:footnoteReference w:id="23"/>
      </w:r>
      <w:r w:rsidR="003F2B86" w:rsidRPr="009B65A5">
        <w:rPr>
          <w:rFonts w:asciiTheme="majorHAnsi" w:hAnsiTheme="majorHAnsi"/>
          <w:sz w:val="20"/>
          <w:szCs w:val="20"/>
          <w:lang w:val="es-ES_tradnl"/>
        </w:rPr>
        <w:t xml:space="preserve">. La falta de investigación diligente de alegados actos de tortura –de acuerdo con los estándares internacionales vigentes en la materia– es, a la luz de la Convención Interamericana para Prevenir y Sancionar la Tortura y de la propia Convención Americana, un ilícito internacional continuado cuyos efectos no cesan hasta que el Estado cumple con su obligación de investigar y, en su caso sancionar, los alegados actos de tortura. En consecuencia, la CIDH tiene competencia para analizar </w:t>
      </w:r>
      <w:r w:rsidRPr="009B65A5">
        <w:rPr>
          <w:rFonts w:asciiTheme="majorHAnsi" w:hAnsiTheme="majorHAnsi"/>
          <w:sz w:val="20"/>
          <w:szCs w:val="20"/>
          <w:lang w:val="es-ES_tradnl"/>
        </w:rPr>
        <w:t>la presente petición</w:t>
      </w:r>
      <w:r w:rsidR="003F2B86" w:rsidRPr="009B65A5">
        <w:rPr>
          <w:rFonts w:asciiTheme="majorHAnsi" w:hAnsiTheme="majorHAnsi"/>
          <w:sz w:val="20"/>
          <w:szCs w:val="20"/>
          <w:lang w:val="es-ES_tradnl"/>
        </w:rPr>
        <w:t xml:space="preserve"> y los posibles efectos de la presunta situación de impunidad sobre la</w:t>
      </w:r>
      <w:r w:rsidRPr="009B65A5">
        <w:rPr>
          <w:rFonts w:asciiTheme="majorHAnsi" w:hAnsiTheme="majorHAnsi"/>
          <w:sz w:val="20"/>
          <w:szCs w:val="20"/>
          <w:lang w:val="es-ES_tradnl"/>
        </w:rPr>
        <w:t>s</w:t>
      </w:r>
      <w:r w:rsidR="003F2B86" w:rsidRPr="009B65A5">
        <w:rPr>
          <w:rFonts w:asciiTheme="majorHAnsi" w:hAnsiTheme="majorHAnsi"/>
          <w:sz w:val="20"/>
          <w:szCs w:val="20"/>
          <w:lang w:val="es-ES_tradnl"/>
        </w:rPr>
        <w:t xml:space="preserve"> presunta</w:t>
      </w:r>
      <w:r w:rsidRPr="009B65A5">
        <w:rPr>
          <w:rFonts w:asciiTheme="majorHAnsi" w:hAnsiTheme="majorHAnsi"/>
          <w:sz w:val="20"/>
          <w:szCs w:val="20"/>
          <w:lang w:val="es-ES_tradnl"/>
        </w:rPr>
        <w:t>s</w:t>
      </w:r>
      <w:r w:rsidR="003F2B86" w:rsidRPr="009B65A5">
        <w:rPr>
          <w:rFonts w:asciiTheme="majorHAnsi" w:hAnsiTheme="majorHAnsi"/>
          <w:sz w:val="20"/>
          <w:szCs w:val="20"/>
          <w:lang w:val="es-ES_tradnl"/>
        </w:rPr>
        <w:t xml:space="preserve"> víctima</w:t>
      </w:r>
      <w:r w:rsidR="00CB4745" w:rsidRPr="009B65A5">
        <w:rPr>
          <w:rFonts w:asciiTheme="majorHAnsi" w:hAnsiTheme="majorHAnsi"/>
          <w:sz w:val="20"/>
          <w:szCs w:val="20"/>
          <w:lang w:val="es-ES_tradnl"/>
        </w:rPr>
        <w:t>s</w:t>
      </w:r>
      <w:r w:rsidR="003F2B86" w:rsidRPr="009B65A5">
        <w:rPr>
          <w:rFonts w:asciiTheme="majorHAnsi" w:hAnsiTheme="majorHAnsi"/>
          <w:sz w:val="20"/>
          <w:szCs w:val="20"/>
          <w:lang w:val="es-ES_tradnl"/>
        </w:rPr>
        <w:t xml:space="preserve">, </w:t>
      </w:r>
      <w:r w:rsidR="001F50D4" w:rsidRPr="009B65A5">
        <w:rPr>
          <w:rFonts w:asciiTheme="majorHAnsi" w:hAnsiTheme="majorHAnsi"/>
          <w:sz w:val="20"/>
          <w:szCs w:val="20"/>
          <w:lang w:val="es-ES_tradnl"/>
        </w:rPr>
        <w:t>con</w:t>
      </w:r>
      <w:r w:rsidR="003F2B86" w:rsidRPr="009B65A5">
        <w:rPr>
          <w:rFonts w:asciiTheme="majorHAnsi" w:hAnsiTheme="majorHAnsi"/>
          <w:sz w:val="20"/>
          <w:szCs w:val="20"/>
          <w:lang w:val="es-ES_tradnl"/>
        </w:rPr>
        <w:t xml:space="preserve"> base al citado instrumento internacional.</w:t>
      </w:r>
    </w:p>
    <w:p w14:paraId="1E15CF78" w14:textId="02779AFE" w:rsidR="003F2B86" w:rsidRPr="009B65A5" w:rsidRDefault="00126E82" w:rsidP="002735C4">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9B65A5">
        <w:rPr>
          <w:rFonts w:asciiTheme="majorHAnsi" w:hAnsiTheme="majorHAnsi"/>
          <w:sz w:val="20"/>
          <w:szCs w:val="20"/>
          <w:lang w:val="es-ES_tradnl"/>
        </w:rPr>
        <w:t>De este modo, e</w:t>
      </w:r>
      <w:r w:rsidR="003F2B86" w:rsidRPr="009B65A5">
        <w:rPr>
          <w:rFonts w:asciiTheme="majorHAnsi" w:hAnsiTheme="majorHAnsi"/>
          <w:sz w:val="20"/>
          <w:szCs w:val="20"/>
          <w:lang w:val="es-ES_tradnl"/>
        </w:rPr>
        <w:t xml:space="preserve">n atención a estas consideraciones y tras examinar los elementos de hecho y de derecho expuestos por las partes, la Comisión estima que los alegatos de la parte peticionaria no resultan manifiestamente infundados y requieren un estudio de fondo. Por lo tanto, la Comisión concluye que los hechos alegados podrían caracterizar prima facie violaciones a los derechos establecidos en los </w:t>
      </w:r>
      <w:r w:rsidR="004D4616" w:rsidRPr="009B65A5">
        <w:rPr>
          <w:rFonts w:asciiTheme="majorHAnsi" w:hAnsiTheme="majorHAnsi"/>
          <w:bCs/>
          <w:sz w:val="20"/>
          <w:szCs w:val="20"/>
          <w:lang w:val="es-ES_tradnl"/>
        </w:rPr>
        <w:t>artículos 5 (derecho a la integridad personal), 7 (derecho a la libertad personal), 8 (garantías judiciales), 11 (protección de la honra y de la dignidad), 13 (libertad de pensamiento y expresión), 15 (derecho de reunión), 22 (derecho de circulación y residencia), 24 (igualdad ante la ley) y 25 (protección judicial) de la Convención Americana</w:t>
      </w:r>
      <w:r w:rsidR="005A6AC9" w:rsidRPr="009B65A5">
        <w:rPr>
          <w:rFonts w:asciiTheme="majorHAnsi" w:hAnsiTheme="majorHAnsi"/>
          <w:bCs/>
          <w:sz w:val="20"/>
          <w:szCs w:val="20"/>
          <w:lang w:val="es-ES_tradnl"/>
        </w:rPr>
        <w:t>, en relación con sus artículos 1.1 y 2; y los artículos 1, 6 y 8 de la Convención Interamericana para Prevenir y Sancionar la Tortura.</w:t>
      </w:r>
      <w:r w:rsidR="002735C4" w:rsidRPr="009B65A5">
        <w:rPr>
          <w:rFonts w:asciiTheme="majorHAnsi" w:hAnsiTheme="majorHAnsi"/>
          <w:bCs/>
          <w:sz w:val="20"/>
          <w:szCs w:val="20"/>
          <w:lang w:val="es-ES_tradnl"/>
        </w:rPr>
        <w:t xml:space="preserve"> Finalmente, la Comisión también evaluará en etapa de fondo el posible incumplimiento del artículo 7 de la Convención Belém Do Pará, dado la posible comisión de actos de violencia basado en el género de las presuntas víctimas mujeres. </w:t>
      </w:r>
    </w:p>
    <w:p w14:paraId="445BF42E" w14:textId="77777777" w:rsidR="003239B8" w:rsidRPr="009B65A5" w:rsidRDefault="003239B8" w:rsidP="003239B8">
      <w:pPr>
        <w:pStyle w:val="ListParagraph"/>
        <w:spacing w:before="240" w:after="240"/>
        <w:jc w:val="both"/>
        <w:rPr>
          <w:rFonts w:asciiTheme="majorHAnsi" w:hAnsiTheme="majorHAnsi"/>
          <w:b/>
          <w:bCs/>
          <w:sz w:val="20"/>
          <w:szCs w:val="20"/>
          <w:lang w:val="es-ES_tradnl"/>
        </w:rPr>
      </w:pPr>
      <w:r w:rsidRPr="009B65A5">
        <w:rPr>
          <w:rFonts w:asciiTheme="majorHAnsi" w:hAnsiTheme="majorHAnsi"/>
          <w:b/>
          <w:bCs/>
          <w:sz w:val="20"/>
          <w:szCs w:val="20"/>
          <w:lang w:val="es-ES_tradnl"/>
        </w:rPr>
        <w:t xml:space="preserve">VIII. </w:t>
      </w:r>
      <w:r w:rsidRPr="009B65A5">
        <w:rPr>
          <w:rFonts w:asciiTheme="majorHAnsi" w:hAnsiTheme="majorHAnsi"/>
          <w:b/>
          <w:bCs/>
          <w:sz w:val="20"/>
          <w:szCs w:val="20"/>
          <w:lang w:val="es-ES_tradnl"/>
        </w:rPr>
        <w:tab/>
        <w:t>DECISIÓN</w:t>
      </w:r>
    </w:p>
    <w:p w14:paraId="547DFF8E" w14:textId="286C81D9" w:rsidR="000419AD" w:rsidRPr="009B65A5" w:rsidRDefault="003239B8" w:rsidP="000419A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color w:val="000000" w:themeColor="text1"/>
          <w:sz w:val="20"/>
          <w:szCs w:val="20"/>
          <w:lang w:val="es-ES_tradnl"/>
        </w:rPr>
      </w:pPr>
      <w:r w:rsidRPr="009B65A5">
        <w:rPr>
          <w:rFonts w:asciiTheme="majorHAnsi" w:hAnsiTheme="majorHAnsi"/>
          <w:sz w:val="20"/>
          <w:szCs w:val="20"/>
          <w:lang w:val="es-ES_tradnl"/>
        </w:rPr>
        <w:t>Declarar admisible la presente petición en relación con</w:t>
      </w:r>
      <w:r w:rsidR="006D532C" w:rsidRPr="009B65A5">
        <w:rPr>
          <w:rFonts w:asciiTheme="majorHAnsi" w:hAnsiTheme="majorHAnsi"/>
          <w:sz w:val="20"/>
          <w:szCs w:val="20"/>
          <w:lang w:val="es-ES_tradnl"/>
        </w:rPr>
        <w:t xml:space="preserve"> los artículos</w:t>
      </w:r>
      <w:r w:rsidR="001D7F96" w:rsidRPr="009B65A5">
        <w:rPr>
          <w:rFonts w:asciiTheme="majorHAnsi" w:hAnsiTheme="majorHAnsi"/>
          <w:sz w:val="20"/>
          <w:szCs w:val="20"/>
          <w:lang w:val="es-ES_tradnl"/>
        </w:rPr>
        <w:t xml:space="preserve"> </w:t>
      </w:r>
      <w:r w:rsidR="005A6AC9" w:rsidRPr="009B65A5">
        <w:rPr>
          <w:rFonts w:asciiTheme="majorHAnsi" w:hAnsiTheme="majorHAnsi"/>
          <w:sz w:val="20"/>
          <w:szCs w:val="20"/>
          <w:lang w:val="es-ES_tradnl"/>
        </w:rPr>
        <w:t xml:space="preserve">5, 7, </w:t>
      </w:r>
      <w:r w:rsidR="003828E9" w:rsidRPr="009B65A5">
        <w:rPr>
          <w:rFonts w:asciiTheme="majorHAnsi" w:hAnsiTheme="majorHAnsi"/>
          <w:sz w:val="20"/>
          <w:szCs w:val="20"/>
          <w:lang w:val="es-ES_tradnl"/>
        </w:rPr>
        <w:t xml:space="preserve">8, </w:t>
      </w:r>
      <w:r w:rsidR="005A6AC9" w:rsidRPr="009B65A5">
        <w:rPr>
          <w:rFonts w:asciiTheme="majorHAnsi" w:hAnsiTheme="majorHAnsi"/>
          <w:sz w:val="20"/>
          <w:szCs w:val="20"/>
          <w:lang w:val="es-ES_tradnl"/>
        </w:rPr>
        <w:t>11, 13, 15, 22, 24 y 25 de la Convención Americana; 1, 6 y 8 de la Convención Interamericana para Prevenir y Sancionar la Tortura</w:t>
      </w:r>
      <w:r w:rsidR="00A758AA" w:rsidRPr="009B65A5">
        <w:rPr>
          <w:rFonts w:asciiTheme="majorHAnsi" w:hAnsiTheme="majorHAnsi"/>
          <w:sz w:val="20"/>
          <w:szCs w:val="20"/>
          <w:lang w:val="es-ES_tradnl"/>
        </w:rPr>
        <w:t>;</w:t>
      </w:r>
      <w:r w:rsidR="007B76D3" w:rsidRPr="009B65A5">
        <w:rPr>
          <w:rFonts w:asciiTheme="majorHAnsi" w:hAnsiTheme="majorHAnsi"/>
          <w:sz w:val="20"/>
          <w:szCs w:val="20"/>
          <w:lang w:val="es-ES_tradnl"/>
        </w:rPr>
        <w:t xml:space="preserve"> y</w:t>
      </w:r>
      <w:r w:rsidR="002735C4" w:rsidRPr="009B65A5">
        <w:rPr>
          <w:rFonts w:asciiTheme="majorHAnsi" w:hAnsiTheme="majorHAnsi"/>
          <w:sz w:val="20"/>
          <w:szCs w:val="20"/>
          <w:lang w:val="es-ES_tradnl"/>
        </w:rPr>
        <w:t xml:space="preserve"> 7 de la Convención Belém Do Pará; y </w:t>
      </w:r>
    </w:p>
    <w:p w14:paraId="20004BC2" w14:textId="7FD596A7" w:rsidR="009A4519" w:rsidRPr="000401EA" w:rsidRDefault="004A6A54" w:rsidP="000401EA">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9B65A5">
        <w:rPr>
          <w:rFonts w:asciiTheme="majorHAnsi" w:hAnsiTheme="majorHAnsi"/>
          <w:color w:val="000000" w:themeColor="text1"/>
          <w:sz w:val="20"/>
          <w:szCs w:val="20"/>
          <w:lang w:val="es-ES_tradnl"/>
        </w:rPr>
        <w:t>Notificar a las partes la presente decisión; continuar con el análisis del fondo de la cuestión</w:t>
      </w:r>
      <w:r w:rsidRPr="009B65A5">
        <w:rPr>
          <w:rFonts w:asciiTheme="majorHAnsi" w:hAnsiTheme="majorHAnsi"/>
          <w:sz w:val="20"/>
          <w:szCs w:val="20"/>
          <w:lang w:val="es-ES_tradnl"/>
        </w:rPr>
        <w:t>; y publicar esta decisión e incluirla en su Informe Anual a la Asamblea General de la Organización de los Estados Americanos</w:t>
      </w:r>
      <w:r w:rsidR="009A4519">
        <w:rPr>
          <w:rFonts w:asciiTheme="majorHAnsi" w:hAnsiTheme="majorHAnsi"/>
          <w:sz w:val="20"/>
          <w:szCs w:val="20"/>
          <w:lang w:val="es-ES_tradnl"/>
        </w:rPr>
        <w:t>.</w:t>
      </w:r>
      <w:bookmarkStart w:id="2" w:name="_Hlk95209781"/>
      <w:bookmarkStart w:id="3" w:name="_Hlk89320357"/>
    </w:p>
    <w:p w14:paraId="6F24C219" w14:textId="400172D0" w:rsidR="009A4519" w:rsidRPr="000401EA" w:rsidRDefault="009A4519" w:rsidP="000401EA">
      <w:pPr>
        <w:ind w:firstLine="720"/>
        <w:jc w:val="both"/>
        <w:rPr>
          <w:rFonts w:asciiTheme="majorHAnsi" w:hAnsiTheme="majorHAnsi" w:cs="Arial"/>
          <w:noProof/>
          <w:spacing w:val="-2"/>
          <w:sz w:val="20"/>
          <w:szCs w:val="20"/>
          <w:lang w:val="es-CL"/>
        </w:rPr>
      </w:pPr>
      <w:r>
        <w:rPr>
          <w:rFonts w:asciiTheme="majorHAnsi" w:hAnsiTheme="majorHAnsi" w:cs="Arial"/>
          <w:noProof/>
          <w:spacing w:val="-2"/>
          <w:sz w:val="20"/>
          <w:szCs w:val="20"/>
          <w:lang w:val="es-CL"/>
        </w:rPr>
        <w:t xml:space="preserve">Aprobado por la Comisión Interamericana de Derechos Humanos </w:t>
      </w:r>
      <w:r w:rsidRPr="00A37B82">
        <w:rPr>
          <w:rFonts w:asciiTheme="majorHAnsi" w:hAnsiTheme="majorHAnsi" w:cs="Arial"/>
          <w:noProof/>
          <w:spacing w:val="-2"/>
          <w:sz w:val="20"/>
          <w:szCs w:val="20"/>
          <w:lang w:val="es-CL"/>
        </w:rPr>
        <w:t xml:space="preserve">a </w:t>
      </w:r>
      <w:r w:rsidRPr="00B76FE0">
        <w:rPr>
          <w:rFonts w:asciiTheme="majorHAnsi" w:hAnsiTheme="majorHAnsi" w:cs="Arial"/>
          <w:noProof/>
          <w:spacing w:val="-2"/>
          <w:sz w:val="20"/>
          <w:szCs w:val="20"/>
          <w:lang w:val="es-CL"/>
        </w:rPr>
        <w:t xml:space="preserve">los </w:t>
      </w:r>
      <w:r>
        <w:rPr>
          <w:rFonts w:asciiTheme="majorHAnsi" w:hAnsiTheme="majorHAnsi" w:cs="Arial"/>
          <w:noProof/>
          <w:spacing w:val="-2"/>
          <w:sz w:val="20"/>
          <w:szCs w:val="20"/>
          <w:lang w:val="es-CL"/>
        </w:rPr>
        <w:t>13</w:t>
      </w:r>
      <w:r w:rsidRPr="00B76FE0">
        <w:rPr>
          <w:rFonts w:asciiTheme="majorHAnsi" w:hAnsiTheme="majorHAnsi" w:cs="Arial"/>
          <w:noProof/>
          <w:spacing w:val="-2"/>
          <w:sz w:val="20"/>
          <w:szCs w:val="20"/>
          <w:lang w:val="es-CL"/>
        </w:rPr>
        <w:t xml:space="preserve"> días del mes de </w:t>
      </w:r>
      <w:r>
        <w:rPr>
          <w:rFonts w:asciiTheme="majorHAnsi" w:hAnsiTheme="majorHAnsi" w:cs="Arial"/>
          <w:noProof/>
          <w:spacing w:val="-2"/>
          <w:sz w:val="20"/>
          <w:szCs w:val="20"/>
          <w:lang w:val="es-CL"/>
        </w:rPr>
        <w:t>agosto</w:t>
      </w:r>
      <w:r w:rsidRPr="00B76FE0">
        <w:rPr>
          <w:rFonts w:asciiTheme="majorHAnsi" w:hAnsiTheme="majorHAnsi" w:cs="Arial"/>
          <w:noProof/>
          <w:spacing w:val="-2"/>
          <w:sz w:val="20"/>
          <w:szCs w:val="20"/>
          <w:lang w:val="es-CL"/>
        </w:rPr>
        <w:t xml:space="preserve"> de 2022.  (Firmado): Julissa Mantilla Falcón, Presidenta; </w:t>
      </w:r>
      <w:r>
        <w:rPr>
          <w:rFonts w:asciiTheme="majorHAnsi" w:hAnsiTheme="majorHAnsi" w:cs="Arial"/>
          <w:noProof/>
          <w:spacing w:val="-2"/>
          <w:sz w:val="20"/>
          <w:szCs w:val="20"/>
          <w:lang w:val="es-CL"/>
        </w:rPr>
        <w:t xml:space="preserve">Stuardo Ralón Orellana, Primer Vicepresidente; </w:t>
      </w:r>
      <w:r w:rsidRPr="00FE6D56">
        <w:rPr>
          <w:rFonts w:asciiTheme="majorHAnsi" w:hAnsiTheme="majorHAnsi" w:cs="Arial"/>
          <w:noProof/>
          <w:spacing w:val="-2"/>
          <w:sz w:val="20"/>
          <w:szCs w:val="20"/>
          <w:lang w:val="es-CL"/>
        </w:rPr>
        <w:t>Esmeralda E. Arosem</w:t>
      </w:r>
      <w:r>
        <w:rPr>
          <w:rFonts w:asciiTheme="majorHAnsi" w:hAnsiTheme="majorHAnsi" w:cs="Arial"/>
          <w:noProof/>
          <w:spacing w:val="-2"/>
          <w:sz w:val="20"/>
          <w:szCs w:val="20"/>
          <w:lang w:val="es-CL"/>
        </w:rPr>
        <w:t>en</w:t>
      </w:r>
      <w:r w:rsidRPr="00FE6D56">
        <w:rPr>
          <w:rFonts w:asciiTheme="majorHAnsi" w:hAnsiTheme="majorHAnsi" w:cs="Arial"/>
          <w:noProof/>
          <w:spacing w:val="-2"/>
          <w:sz w:val="20"/>
          <w:szCs w:val="20"/>
          <w:lang w:val="es-CL"/>
        </w:rPr>
        <w:t>a Bernal de Troitiño</w:t>
      </w:r>
      <w:r>
        <w:rPr>
          <w:rFonts w:asciiTheme="majorHAnsi" w:hAnsiTheme="majorHAnsi" w:cs="Arial"/>
          <w:noProof/>
          <w:spacing w:val="-2"/>
          <w:sz w:val="20"/>
          <w:szCs w:val="20"/>
          <w:lang w:val="es-CL"/>
        </w:rPr>
        <w:t xml:space="preserve"> y Joel Hernández, </w:t>
      </w:r>
      <w:r w:rsidR="000401EA">
        <w:rPr>
          <w:rFonts w:asciiTheme="majorHAnsi" w:hAnsiTheme="majorHAnsi" w:cs="Arial"/>
          <w:noProof/>
          <w:spacing w:val="-2"/>
          <w:sz w:val="20"/>
          <w:szCs w:val="20"/>
          <w:lang w:val="es-CL"/>
        </w:rPr>
        <w:t>m</w:t>
      </w:r>
      <w:r w:rsidRPr="00A37B82">
        <w:rPr>
          <w:rFonts w:asciiTheme="majorHAnsi" w:hAnsiTheme="majorHAnsi" w:cs="Arial"/>
          <w:noProof/>
          <w:spacing w:val="-2"/>
          <w:sz w:val="20"/>
          <w:szCs w:val="20"/>
          <w:lang w:val="es-CL"/>
        </w:rPr>
        <w:t>iembros de la Comisión.</w:t>
      </w:r>
      <w:r w:rsidRPr="00A37B82">
        <w:rPr>
          <w:rFonts w:asciiTheme="majorHAnsi" w:hAnsiTheme="majorHAnsi" w:cs="Arial"/>
          <w:noProof/>
          <w:sz w:val="20"/>
          <w:szCs w:val="20"/>
          <w:lang w:val="es-CL"/>
        </w:rPr>
        <w:t xml:space="preserve"> </w:t>
      </w:r>
      <w:bookmarkEnd w:id="2"/>
      <w:bookmarkEnd w:id="3"/>
      <w:r w:rsidR="002554B2">
        <w:rPr>
          <w:rFonts w:asciiTheme="majorHAnsi" w:hAnsiTheme="majorHAnsi"/>
          <w:sz w:val="20"/>
          <w:szCs w:val="20"/>
          <w:lang w:val="es-ES_tradnl"/>
        </w:rPr>
        <w:br w:type="page"/>
      </w:r>
    </w:p>
    <w:p w14:paraId="2C64AD58" w14:textId="1EAE8308" w:rsidR="00CF3C53" w:rsidRDefault="00204A03" w:rsidP="00204A03">
      <w:pPr>
        <w:ind w:left="720"/>
        <w:jc w:val="center"/>
        <w:rPr>
          <w:rFonts w:asciiTheme="majorHAnsi" w:hAnsiTheme="majorHAnsi" w:cs="Calibri"/>
          <w:b/>
          <w:bCs/>
          <w:sz w:val="20"/>
          <w:szCs w:val="20"/>
          <w:lang w:val="es-ES_tradnl"/>
        </w:rPr>
      </w:pPr>
      <w:r w:rsidRPr="00F451DC">
        <w:rPr>
          <w:rFonts w:asciiTheme="majorHAnsi" w:hAnsiTheme="majorHAnsi" w:cs="Calibri"/>
          <w:b/>
          <w:bCs/>
          <w:sz w:val="20"/>
          <w:szCs w:val="20"/>
          <w:lang w:val="es-ES_tradnl"/>
        </w:rPr>
        <w:lastRenderedPageBreak/>
        <w:t>Anexo</w:t>
      </w:r>
      <w:r w:rsidR="00F451DC" w:rsidRPr="00F451DC">
        <w:rPr>
          <w:rFonts w:asciiTheme="majorHAnsi" w:hAnsiTheme="majorHAnsi" w:cs="Calibri"/>
          <w:b/>
          <w:bCs/>
          <w:sz w:val="20"/>
          <w:szCs w:val="20"/>
          <w:lang w:val="es-ES_tradnl"/>
        </w:rPr>
        <w:t>:</w:t>
      </w:r>
      <w:r w:rsidRPr="00F451DC">
        <w:rPr>
          <w:rFonts w:asciiTheme="majorHAnsi" w:hAnsiTheme="majorHAnsi" w:cs="Calibri"/>
          <w:b/>
          <w:bCs/>
          <w:sz w:val="20"/>
          <w:szCs w:val="20"/>
          <w:lang w:val="es-ES_tradnl"/>
        </w:rPr>
        <w:t xml:space="preserve"> Listado de presuntas víctimas</w:t>
      </w:r>
    </w:p>
    <w:p w14:paraId="0F4A48F4" w14:textId="77777777" w:rsidR="002554B2" w:rsidRPr="00F451DC" w:rsidRDefault="002554B2" w:rsidP="00204A03">
      <w:pPr>
        <w:ind w:left="720"/>
        <w:jc w:val="center"/>
        <w:rPr>
          <w:rFonts w:asciiTheme="majorHAnsi" w:hAnsiTheme="majorHAnsi" w:cs="Calibri"/>
          <w:b/>
          <w:bCs/>
          <w:sz w:val="20"/>
          <w:szCs w:val="20"/>
          <w:lang w:val="es-ES_tradnl"/>
        </w:rPr>
      </w:pPr>
    </w:p>
    <w:p w14:paraId="35BF008E" w14:textId="77777777" w:rsidR="00204A03" w:rsidRPr="00F451DC" w:rsidRDefault="00204A03" w:rsidP="00204A03">
      <w:pPr>
        <w:ind w:left="720"/>
        <w:jc w:val="center"/>
        <w:rPr>
          <w:rFonts w:asciiTheme="majorHAnsi" w:hAnsiTheme="majorHAnsi" w:cs="Calibri"/>
          <w:sz w:val="20"/>
          <w:szCs w:val="20"/>
          <w:lang w:val="es-ES_tradnl"/>
        </w:rPr>
      </w:pPr>
    </w:p>
    <w:p w14:paraId="2448520E" w14:textId="4496FE2A" w:rsidR="00183038" w:rsidRPr="00F451DC" w:rsidRDefault="00183038" w:rsidP="00CF3C53">
      <w:pPr>
        <w:pStyle w:val="ListParagraph"/>
        <w:numPr>
          <w:ilvl w:val="0"/>
          <w:numId w:val="67"/>
        </w:numPr>
        <w:jc w:val="both"/>
        <w:rPr>
          <w:rFonts w:asciiTheme="majorHAnsi" w:hAnsiTheme="majorHAnsi" w:cs="Calibri"/>
          <w:sz w:val="20"/>
          <w:szCs w:val="20"/>
          <w:lang w:val="es-ES_tradnl"/>
        </w:rPr>
      </w:pPr>
      <w:r w:rsidRPr="00F451DC">
        <w:rPr>
          <w:rFonts w:asciiTheme="majorHAnsi" w:hAnsiTheme="majorHAnsi" w:cs="Calibri"/>
          <w:sz w:val="20"/>
          <w:szCs w:val="20"/>
          <w:lang w:val="es-ES_tradnl"/>
        </w:rPr>
        <w:t>Ángel Ballejos Ramos</w:t>
      </w:r>
    </w:p>
    <w:p w14:paraId="11DE9AD5" w14:textId="2AF103F7" w:rsidR="00CF3C53" w:rsidRPr="00F451DC" w:rsidRDefault="00D17604" w:rsidP="00CF3C53">
      <w:pPr>
        <w:pStyle w:val="ListParagraph"/>
        <w:numPr>
          <w:ilvl w:val="0"/>
          <w:numId w:val="67"/>
        </w:numPr>
        <w:jc w:val="both"/>
        <w:rPr>
          <w:rFonts w:asciiTheme="majorHAnsi" w:hAnsiTheme="majorHAnsi" w:cs="Calibri"/>
          <w:sz w:val="20"/>
          <w:szCs w:val="20"/>
          <w:lang w:val="es-ES_tradnl"/>
        </w:rPr>
      </w:pPr>
      <w:r w:rsidRPr="00F451DC">
        <w:rPr>
          <w:rFonts w:asciiTheme="majorHAnsi" w:hAnsiTheme="majorHAnsi" w:cs="Calibri"/>
          <w:sz w:val="20"/>
          <w:szCs w:val="20"/>
          <w:lang w:val="es-ES_tradnl"/>
        </w:rPr>
        <w:t>P</w:t>
      </w:r>
      <w:r w:rsidR="00CF3C53" w:rsidRPr="00F451DC">
        <w:rPr>
          <w:rFonts w:asciiTheme="majorHAnsi" w:hAnsiTheme="majorHAnsi" w:cs="Calibri"/>
          <w:sz w:val="20"/>
          <w:szCs w:val="20"/>
          <w:lang w:val="es-ES_tradnl"/>
        </w:rPr>
        <w:t>olicar</w:t>
      </w:r>
      <w:r w:rsidRPr="00F451DC">
        <w:rPr>
          <w:rFonts w:asciiTheme="majorHAnsi" w:hAnsiTheme="majorHAnsi" w:cs="Calibri"/>
          <w:sz w:val="20"/>
          <w:szCs w:val="20"/>
          <w:lang w:val="es-ES_tradnl"/>
        </w:rPr>
        <w:t>l</w:t>
      </w:r>
      <w:r w:rsidR="00CF3C53" w:rsidRPr="00F451DC">
        <w:rPr>
          <w:rFonts w:asciiTheme="majorHAnsi" w:hAnsiTheme="majorHAnsi" w:cs="Calibri"/>
          <w:sz w:val="20"/>
          <w:szCs w:val="20"/>
          <w:lang w:val="es-ES_tradnl"/>
        </w:rPr>
        <w:t xml:space="preserve">io Flores </w:t>
      </w:r>
      <w:r w:rsidR="00F451DC" w:rsidRPr="00F451DC">
        <w:rPr>
          <w:rFonts w:asciiTheme="majorHAnsi" w:hAnsiTheme="majorHAnsi" w:cs="Calibri"/>
          <w:sz w:val="20"/>
          <w:szCs w:val="20"/>
          <w:lang w:val="es-ES_tradnl"/>
        </w:rPr>
        <w:t>Alegría</w:t>
      </w:r>
    </w:p>
    <w:p w14:paraId="04762FF8" w14:textId="00A5AE22" w:rsidR="00CF3C53" w:rsidRPr="00F451DC" w:rsidRDefault="00CF3C53" w:rsidP="00CF3C53">
      <w:pPr>
        <w:pStyle w:val="ListParagraph"/>
        <w:numPr>
          <w:ilvl w:val="0"/>
          <w:numId w:val="67"/>
        </w:numPr>
        <w:jc w:val="both"/>
        <w:rPr>
          <w:rFonts w:asciiTheme="majorHAnsi" w:hAnsiTheme="majorHAnsi" w:cs="Calibri"/>
          <w:sz w:val="20"/>
          <w:szCs w:val="20"/>
          <w:lang w:val="es-ES_tradnl"/>
        </w:rPr>
      </w:pPr>
      <w:r w:rsidRPr="00F451DC">
        <w:rPr>
          <w:rFonts w:asciiTheme="majorHAnsi" w:hAnsiTheme="majorHAnsi" w:cs="Calibri"/>
          <w:sz w:val="20"/>
          <w:szCs w:val="20"/>
          <w:lang w:val="es-ES_tradnl"/>
        </w:rPr>
        <w:t>Gabriel Saigua Contreras</w:t>
      </w:r>
    </w:p>
    <w:p w14:paraId="6F15FED4" w14:textId="5DF72ED2" w:rsidR="00CF3C53" w:rsidRPr="00F451DC" w:rsidRDefault="00CF3C53" w:rsidP="00CF3C53">
      <w:pPr>
        <w:pStyle w:val="ListParagraph"/>
        <w:numPr>
          <w:ilvl w:val="0"/>
          <w:numId w:val="67"/>
        </w:numPr>
        <w:jc w:val="both"/>
        <w:rPr>
          <w:rFonts w:asciiTheme="majorHAnsi" w:hAnsiTheme="majorHAnsi" w:cs="Calibri"/>
          <w:sz w:val="20"/>
          <w:szCs w:val="20"/>
          <w:lang w:val="es-ES_tradnl"/>
        </w:rPr>
      </w:pPr>
      <w:r w:rsidRPr="00F451DC">
        <w:rPr>
          <w:rFonts w:asciiTheme="majorHAnsi" w:hAnsiTheme="majorHAnsi" w:cs="Calibri"/>
          <w:sz w:val="20"/>
          <w:szCs w:val="20"/>
          <w:lang w:val="es-ES_tradnl"/>
        </w:rPr>
        <w:t>Valerio Ca</w:t>
      </w:r>
      <w:r w:rsidR="00183038" w:rsidRPr="00F451DC">
        <w:rPr>
          <w:rFonts w:asciiTheme="majorHAnsi" w:hAnsiTheme="majorHAnsi" w:cs="Calibri"/>
          <w:sz w:val="20"/>
          <w:szCs w:val="20"/>
          <w:lang w:val="es-ES_tradnl"/>
        </w:rPr>
        <w:t>y</w:t>
      </w:r>
      <w:r w:rsidRPr="00F451DC">
        <w:rPr>
          <w:rFonts w:asciiTheme="majorHAnsi" w:hAnsiTheme="majorHAnsi" w:cs="Calibri"/>
          <w:sz w:val="20"/>
          <w:szCs w:val="20"/>
          <w:lang w:val="es-ES_tradnl"/>
        </w:rPr>
        <w:t>huara Calle</w:t>
      </w:r>
    </w:p>
    <w:p w14:paraId="7FBA69C1" w14:textId="665EAD16" w:rsidR="00CF3C53" w:rsidRPr="00F451DC" w:rsidRDefault="00CF3C53" w:rsidP="00CF3C53">
      <w:pPr>
        <w:pStyle w:val="ListParagraph"/>
        <w:numPr>
          <w:ilvl w:val="0"/>
          <w:numId w:val="67"/>
        </w:numPr>
        <w:jc w:val="both"/>
        <w:rPr>
          <w:rFonts w:asciiTheme="majorHAnsi" w:hAnsiTheme="majorHAnsi" w:cs="Calibri"/>
          <w:sz w:val="20"/>
          <w:szCs w:val="20"/>
          <w:lang w:val="es-ES_tradnl"/>
        </w:rPr>
      </w:pPr>
      <w:r w:rsidRPr="00F451DC">
        <w:rPr>
          <w:rFonts w:asciiTheme="majorHAnsi" w:hAnsiTheme="majorHAnsi" w:cs="Calibri"/>
          <w:sz w:val="20"/>
          <w:szCs w:val="20"/>
          <w:lang w:val="es-ES_tradnl"/>
        </w:rPr>
        <w:t>Lucia Ticona Levito</w:t>
      </w:r>
    </w:p>
    <w:p w14:paraId="59231E73" w14:textId="42F6DF73" w:rsidR="00CF3C53" w:rsidRPr="00F451DC" w:rsidRDefault="00F451DC" w:rsidP="00CF3C53">
      <w:pPr>
        <w:pStyle w:val="ListParagraph"/>
        <w:numPr>
          <w:ilvl w:val="0"/>
          <w:numId w:val="67"/>
        </w:numPr>
        <w:jc w:val="both"/>
        <w:rPr>
          <w:rFonts w:asciiTheme="majorHAnsi" w:hAnsiTheme="majorHAnsi" w:cs="Calibri"/>
          <w:sz w:val="20"/>
          <w:szCs w:val="20"/>
          <w:lang w:val="es-ES_tradnl"/>
        </w:rPr>
      </w:pPr>
      <w:r w:rsidRPr="00F451DC">
        <w:rPr>
          <w:rFonts w:asciiTheme="majorHAnsi" w:hAnsiTheme="majorHAnsi" w:cs="Calibri"/>
          <w:sz w:val="20"/>
          <w:szCs w:val="20"/>
          <w:lang w:val="es-ES_tradnl"/>
        </w:rPr>
        <w:t>Zenón</w:t>
      </w:r>
      <w:r w:rsidR="00CF3C53" w:rsidRPr="00F451DC">
        <w:rPr>
          <w:rFonts w:asciiTheme="majorHAnsi" w:hAnsiTheme="majorHAnsi" w:cs="Calibri"/>
          <w:sz w:val="20"/>
          <w:szCs w:val="20"/>
          <w:lang w:val="es-ES_tradnl"/>
        </w:rPr>
        <w:t xml:space="preserve"> Esquivel Zarate</w:t>
      </w:r>
    </w:p>
    <w:p w14:paraId="0047D3FD" w14:textId="1B6D7846" w:rsidR="00CF3C53" w:rsidRPr="00F451DC" w:rsidRDefault="00CF3C53" w:rsidP="00CF3C53">
      <w:pPr>
        <w:pStyle w:val="ListParagraph"/>
        <w:numPr>
          <w:ilvl w:val="0"/>
          <w:numId w:val="67"/>
        </w:numPr>
        <w:jc w:val="both"/>
        <w:rPr>
          <w:rFonts w:asciiTheme="majorHAnsi" w:hAnsiTheme="majorHAnsi" w:cs="Calibri"/>
          <w:sz w:val="20"/>
          <w:szCs w:val="20"/>
          <w:lang w:val="es-ES_tradnl"/>
        </w:rPr>
      </w:pPr>
      <w:r w:rsidRPr="00F451DC">
        <w:rPr>
          <w:rFonts w:asciiTheme="majorHAnsi" w:hAnsiTheme="majorHAnsi" w:cs="Calibri"/>
          <w:sz w:val="20"/>
          <w:szCs w:val="20"/>
          <w:lang w:val="es-ES_tradnl"/>
        </w:rPr>
        <w:t>Constantino Pinto Yampara</w:t>
      </w:r>
    </w:p>
    <w:p w14:paraId="51ABD33F" w14:textId="615DD591" w:rsidR="00CF3C53" w:rsidRPr="00F451DC" w:rsidRDefault="00CF3C53" w:rsidP="00CF3C53">
      <w:pPr>
        <w:pStyle w:val="ListParagraph"/>
        <w:numPr>
          <w:ilvl w:val="0"/>
          <w:numId w:val="67"/>
        </w:numPr>
        <w:jc w:val="both"/>
        <w:rPr>
          <w:rFonts w:asciiTheme="majorHAnsi" w:hAnsiTheme="majorHAnsi" w:cs="Calibri"/>
          <w:sz w:val="20"/>
          <w:szCs w:val="20"/>
          <w:lang w:val="es-ES_tradnl"/>
        </w:rPr>
      </w:pPr>
      <w:r w:rsidRPr="00F451DC">
        <w:rPr>
          <w:rFonts w:asciiTheme="majorHAnsi" w:hAnsiTheme="majorHAnsi" w:cs="Calibri"/>
          <w:sz w:val="20"/>
          <w:szCs w:val="20"/>
          <w:lang w:val="es-ES_tradnl"/>
        </w:rPr>
        <w:t>Costo Velásquez</w:t>
      </w:r>
    </w:p>
    <w:p w14:paraId="67D7143C" w14:textId="656576BC" w:rsidR="00CF3C53" w:rsidRPr="00F451DC" w:rsidRDefault="00CF3C53" w:rsidP="00CF3C53">
      <w:pPr>
        <w:pStyle w:val="ListParagraph"/>
        <w:numPr>
          <w:ilvl w:val="0"/>
          <w:numId w:val="67"/>
        </w:numPr>
        <w:jc w:val="both"/>
        <w:rPr>
          <w:rFonts w:asciiTheme="majorHAnsi" w:hAnsiTheme="majorHAnsi" w:cs="Calibri"/>
          <w:sz w:val="20"/>
          <w:szCs w:val="20"/>
          <w:lang w:val="es-ES_tradnl"/>
        </w:rPr>
      </w:pPr>
      <w:r w:rsidRPr="00F451DC">
        <w:rPr>
          <w:rFonts w:asciiTheme="majorHAnsi" w:hAnsiTheme="majorHAnsi" w:cs="Calibri"/>
          <w:sz w:val="20"/>
          <w:szCs w:val="20"/>
          <w:lang w:val="es-ES_tradnl"/>
        </w:rPr>
        <w:t>Justo Miranda Condori</w:t>
      </w:r>
    </w:p>
    <w:p w14:paraId="0088EA22" w14:textId="4590CD32" w:rsidR="00CF3C53" w:rsidRPr="00F451DC" w:rsidRDefault="00CF3C53" w:rsidP="00CF3C53">
      <w:pPr>
        <w:pStyle w:val="ListParagraph"/>
        <w:numPr>
          <w:ilvl w:val="0"/>
          <w:numId w:val="67"/>
        </w:numPr>
        <w:jc w:val="both"/>
        <w:rPr>
          <w:rFonts w:asciiTheme="majorHAnsi" w:hAnsiTheme="majorHAnsi" w:cs="Calibri"/>
          <w:sz w:val="20"/>
          <w:szCs w:val="20"/>
          <w:lang w:val="es-ES_tradnl"/>
        </w:rPr>
      </w:pPr>
      <w:r w:rsidRPr="00F451DC">
        <w:rPr>
          <w:rFonts w:asciiTheme="majorHAnsi" w:hAnsiTheme="majorHAnsi" w:cs="Calibri"/>
          <w:sz w:val="20"/>
          <w:szCs w:val="20"/>
          <w:lang w:val="es-ES_tradnl"/>
        </w:rPr>
        <w:t>Sabino Cutipa Sacaca</w:t>
      </w:r>
    </w:p>
    <w:p w14:paraId="5F1CCC22" w14:textId="22AB4274" w:rsidR="00CF3C53" w:rsidRPr="00F451DC" w:rsidRDefault="00F451DC" w:rsidP="00CF3C53">
      <w:pPr>
        <w:pStyle w:val="ListParagraph"/>
        <w:numPr>
          <w:ilvl w:val="0"/>
          <w:numId w:val="67"/>
        </w:numPr>
        <w:jc w:val="both"/>
        <w:rPr>
          <w:rFonts w:asciiTheme="majorHAnsi" w:hAnsiTheme="majorHAnsi" w:cs="Calibri"/>
          <w:sz w:val="20"/>
          <w:szCs w:val="20"/>
          <w:lang w:val="es-ES_tradnl"/>
        </w:rPr>
      </w:pPr>
      <w:r w:rsidRPr="00F451DC">
        <w:rPr>
          <w:rFonts w:asciiTheme="majorHAnsi" w:hAnsiTheme="majorHAnsi" w:cs="Calibri"/>
          <w:sz w:val="20"/>
          <w:szCs w:val="20"/>
          <w:lang w:val="es-ES_tradnl"/>
        </w:rPr>
        <w:t>Sebastián</w:t>
      </w:r>
      <w:r w:rsidR="00CF3C53" w:rsidRPr="00F451DC">
        <w:rPr>
          <w:rFonts w:asciiTheme="majorHAnsi" w:hAnsiTheme="majorHAnsi" w:cs="Calibri"/>
          <w:sz w:val="20"/>
          <w:szCs w:val="20"/>
          <w:lang w:val="es-ES_tradnl"/>
        </w:rPr>
        <w:t xml:space="preserve"> Zarate Vela</w:t>
      </w:r>
    </w:p>
    <w:p w14:paraId="70858E8B" w14:textId="227A718E" w:rsidR="00CF3C53" w:rsidRPr="00F451DC" w:rsidRDefault="00CF3C53" w:rsidP="00CF3C53">
      <w:pPr>
        <w:pStyle w:val="ListParagraph"/>
        <w:numPr>
          <w:ilvl w:val="0"/>
          <w:numId w:val="67"/>
        </w:numPr>
        <w:jc w:val="both"/>
        <w:rPr>
          <w:rFonts w:asciiTheme="majorHAnsi" w:hAnsiTheme="majorHAnsi" w:cs="Calibri"/>
          <w:sz w:val="20"/>
          <w:szCs w:val="20"/>
          <w:lang w:val="es-ES_tradnl"/>
        </w:rPr>
      </w:pPr>
      <w:r w:rsidRPr="00F451DC">
        <w:rPr>
          <w:rFonts w:asciiTheme="majorHAnsi" w:hAnsiTheme="majorHAnsi" w:cs="Calibri"/>
          <w:sz w:val="20"/>
          <w:szCs w:val="20"/>
          <w:lang w:val="es-ES_tradnl"/>
        </w:rPr>
        <w:t>Donaciano Torrez Mendez</w:t>
      </w:r>
    </w:p>
    <w:p w14:paraId="4E6311CD" w14:textId="7317F41A" w:rsidR="00CF3C53" w:rsidRPr="00F451DC" w:rsidRDefault="00CF3C53" w:rsidP="00CF3C53">
      <w:pPr>
        <w:pStyle w:val="ListParagraph"/>
        <w:numPr>
          <w:ilvl w:val="0"/>
          <w:numId w:val="67"/>
        </w:numPr>
        <w:jc w:val="both"/>
        <w:rPr>
          <w:rFonts w:asciiTheme="majorHAnsi" w:hAnsiTheme="majorHAnsi" w:cs="Calibri"/>
          <w:sz w:val="20"/>
          <w:szCs w:val="20"/>
          <w:lang w:val="es-ES_tradnl"/>
        </w:rPr>
      </w:pPr>
      <w:r w:rsidRPr="00F451DC">
        <w:rPr>
          <w:rFonts w:asciiTheme="majorHAnsi" w:hAnsiTheme="majorHAnsi" w:cs="Calibri"/>
          <w:sz w:val="20"/>
          <w:szCs w:val="20"/>
          <w:lang w:val="es-ES_tradnl"/>
        </w:rPr>
        <w:t>Teodora Zarate Yucra</w:t>
      </w:r>
    </w:p>
    <w:p w14:paraId="78FC90D6" w14:textId="612482F7" w:rsidR="00CF3C53" w:rsidRPr="00F451DC" w:rsidRDefault="00CF3C53" w:rsidP="00CF3C53">
      <w:pPr>
        <w:pStyle w:val="ListParagraph"/>
        <w:numPr>
          <w:ilvl w:val="0"/>
          <w:numId w:val="67"/>
        </w:numPr>
        <w:jc w:val="both"/>
        <w:rPr>
          <w:rFonts w:asciiTheme="majorHAnsi" w:hAnsiTheme="majorHAnsi" w:cs="Calibri"/>
          <w:sz w:val="20"/>
          <w:szCs w:val="20"/>
          <w:lang w:val="es-ES_tradnl"/>
        </w:rPr>
      </w:pPr>
      <w:r w:rsidRPr="00F451DC">
        <w:rPr>
          <w:rFonts w:asciiTheme="majorHAnsi" w:hAnsiTheme="majorHAnsi" w:cs="Calibri"/>
          <w:sz w:val="20"/>
          <w:szCs w:val="20"/>
          <w:lang w:val="es-ES_tradnl"/>
        </w:rPr>
        <w:t>Gregoria Yucra Diaz</w:t>
      </w:r>
    </w:p>
    <w:p w14:paraId="50C11BD7" w14:textId="117E62E0" w:rsidR="00CF3C53" w:rsidRPr="00F451DC" w:rsidRDefault="00CF3C53" w:rsidP="00CF3C53">
      <w:pPr>
        <w:pStyle w:val="ListParagraph"/>
        <w:numPr>
          <w:ilvl w:val="0"/>
          <w:numId w:val="67"/>
        </w:numPr>
        <w:jc w:val="both"/>
        <w:rPr>
          <w:rFonts w:asciiTheme="majorHAnsi" w:hAnsiTheme="majorHAnsi" w:cs="Calibri"/>
          <w:sz w:val="20"/>
          <w:szCs w:val="20"/>
          <w:lang w:val="es-ES_tradnl"/>
        </w:rPr>
      </w:pPr>
      <w:r w:rsidRPr="00F451DC">
        <w:rPr>
          <w:rFonts w:asciiTheme="majorHAnsi" w:hAnsiTheme="majorHAnsi" w:cs="Calibri"/>
          <w:sz w:val="20"/>
          <w:szCs w:val="20"/>
          <w:lang w:val="es-ES_tradnl"/>
        </w:rPr>
        <w:t>Lucia Choque</w:t>
      </w:r>
    </w:p>
    <w:p w14:paraId="38A3E00D" w14:textId="23B7334B" w:rsidR="00500DD6" w:rsidRPr="00F451DC" w:rsidRDefault="00500DD6" w:rsidP="00CF3C53">
      <w:pPr>
        <w:pStyle w:val="ListParagraph"/>
        <w:numPr>
          <w:ilvl w:val="0"/>
          <w:numId w:val="67"/>
        </w:numPr>
        <w:jc w:val="both"/>
        <w:rPr>
          <w:rFonts w:asciiTheme="majorHAnsi" w:hAnsiTheme="majorHAnsi" w:cs="Calibri"/>
          <w:sz w:val="20"/>
          <w:szCs w:val="20"/>
          <w:lang w:val="es-ES_tradnl"/>
        </w:rPr>
      </w:pPr>
      <w:r w:rsidRPr="00F451DC">
        <w:rPr>
          <w:rFonts w:asciiTheme="majorHAnsi" w:hAnsiTheme="majorHAnsi" w:cs="Calibri"/>
          <w:sz w:val="20"/>
          <w:szCs w:val="20"/>
          <w:lang w:val="es-ES_tradnl"/>
        </w:rPr>
        <w:t>Alejandro Choque</w:t>
      </w:r>
    </w:p>
    <w:p w14:paraId="4207C292" w14:textId="13D0297D" w:rsidR="00500DD6" w:rsidRPr="00F451DC" w:rsidRDefault="00500DD6" w:rsidP="00CF3C53">
      <w:pPr>
        <w:pStyle w:val="ListParagraph"/>
        <w:numPr>
          <w:ilvl w:val="0"/>
          <w:numId w:val="67"/>
        </w:numPr>
        <w:jc w:val="both"/>
        <w:rPr>
          <w:rFonts w:asciiTheme="majorHAnsi" w:hAnsiTheme="majorHAnsi" w:cs="Calibri"/>
          <w:sz w:val="20"/>
          <w:szCs w:val="20"/>
          <w:lang w:val="es-ES_tradnl"/>
        </w:rPr>
      </w:pPr>
      <w:r w:rsidRPr="00F451DC">
        <w:rPr>
          <w:rFonts w:asciiTheme="majorHAnsi" w:hAnsiTheme="majorHAnsi" w:cs="Calibri"/>
          <w:sz w:val="20"/>
          <w:szCs w:val="20"/>
          <w:lang w:val="es-ES_tradnl"/>
        </w:rPr>
        <w:t>Cayetana Serrudo</w:t>
      </w:r>
    </w:p>
    <w:p w14:paraId="33D46139" w14:textId="42F2A995" w:rsidR="00500DD6" w:rsidRPr="00F451DC" w:rsidRDefault="00500DD6" w:rsidP="00CF3C53">
      <w:pPr>
        <w:pStyle w:val="ListParagraph"/>
        <w:numPr>
          <w:ilvl w:val="0"/>
          <w:numId w:val="67"/>
        </w:numPr>
        <w:jc w:val="both"/>
        <w:rPr>
          <w:rFonts w:asciiTheme="majorHAnsi" w:hAnsiTheme="majorHAnsi" w:cs="Calibri"/>
          <w:sz w:val="20"/>
          <w:szCs w:val="20"/>
          <w:lang w:val="es-ES_tradnl"/>
        </w:rPr>
      </w:pPr>
      <w:r w:rsidRPr="00F451DC">
        <w:rPr>
          <w:rFonts w:asciiTheme="majorHAnsi" w:hAnsiTheme="majorHAnsi" w:cs="Calibri"/>
          <w:sz w:val="20"/>
          <w:szCs w:val="20"/>
          <w:lang w:val="es-ES_tradnl"/>
        </w:rPr>
        <w:t>Estevan Paco Vela</w:t>
      </w:r>
    </w:p>
    <w:p w14:paraId="72609A15" w14:textId="4872AD50" w:rsidR="00500DD6" w:rsidRPr="00F451DC" w:rsidRDefault="00500DD6" w:rsidP="00CF3C53">
      <w:pPr>
        <w:pStyle w:val="ListParagraph"/>
        <w:numPr>
          <w:ilvl w:val="0"/>
          <w:numId w:val="67"/>
        </w:numPr>
        <w:jc w:val="both"/>
        <w:rPr>
          <w:rFonts w:asciiTheme="majorHAnsi" w:hAnsiTheme="majorHAnsi" w:cs="Calibri"/>
          <w:sz w:val="20"/>
          <w:szCs w:val="20"/>
          <w:lang w:val="es-ES_tradnl"/>
        </w:rPr>
      </w:pPr>
      <w:r w:rsidRPr="00F451DC">
        <w:rPr>
          <w:rFonts w:asciiTheme="majorHAnsi" w:hAnsiTheme="majorHAnsi" w:cs="Calibri"/>
          <w:sz w:val="20"/>
          <w:szCs w:val="20"/>
          <w:lang w:val="es-ES_tradnl"/>
        </w:rPr>
        <w:t>Ambrocio Apaza Arancibia</w:t>
      </w:r>
    </w:p>
    <w:p w14:paraId="726FB13F" w14:textId="683BA8A9" w:rsidR="00500DD6" w:rsidRPr="00F451DC" w:rsidRDefault="00500DD6" w:rsidP="00CF3C53">
      <w:pPr>
        <w:pStyle w:val="ListParagraph"/>
        <w:numPr>
          <w:ilvl w:val="0"/>
          <w:numId w:val="67"/>
        </w:numPr>
        <w:jc w:val="both"/>
        <w:rPr>
          <w:rFonts w:asciiTheme="majorHAnsi" w:hAnsiTheme="majorHAnsi" w:cs="Calibri"/>
          <w:sz w:val="20"/>
          <w:szCs w:val="20"/>
          <w:lang w:val="es-ES_tradnl"/>
        </w:rPr>
      </w:pPr>
      <w:r w:rsidRPr="00F451DC">
        <w:rPr>
          <w:rFonts w:asciiTheme="majorHAnsi" w:hAnsiTheme="majorHAnsi" w:cs="Calibri"/>
          <w:sz w:val="20"/>
          <w:szCs w:val="20"/>
          <w:lang w:val="es-ES_tradnl"/>
        </w:rPr>
        <w:t>Eloy Paniagua Pérez</w:t>
      </w:r>
    </w:p>
    <w:p w14:paraId="53C239BA" w14:textId="2AB3F62C" w:rsidR="00500DD6" w:rsidRPr="00F451DC" w:rsidRDefault="00500DD6" w:rsidP="00CF3C53">
      <w:pPr>
        <w:pStyle w:val="ListParagraph"/>
        <w:numPr>
          <w:ilvl w:val="0"/>
          <w:numId w:val="67"/>
        </w:numPr>
        <w:jc w:val="both"/>
        <w:rPr>
          <w:rFonts w:asciiTheme="majorHAnsi" w:hAnsiTheme="majorHAnsi" w:cs="Calibri"/>
          <w:sz w:val="20"/>
          <w:szCs w:val="20"/>
          <w:lang w:val="es-ES_tradnl"/>
        </w:rPr>
      </w:pPr>
      <w:r w:rsidRPr="00F451DC">
        <w:rPr>
          <w:rFonts w:asciiTheme="majorHAnsi" w:hAnsiTheme="majorHAnsi" w:cs="Calibri"/>
          <w:sz w:val="20"/>
          <w:szCs w:val="20"/>
          <w:lang w:val="es-ES_tradnl"/>
        </w:rPr>
        <w:t>Paulina Alva Mel</w:t>
      </w:r>
      <w:r w:rsidR="000D16A0">
        <w:rPr>
          <w:rFonts w:asciiTheme="majorHAnsi" w:hAnsiTheme="majorHAnsi" w:cs="Calibri"/>
          <w:sz w:val="20"/>
          <w:szCs w:val="20"/>
          <w:lang w:val="es-ES_tradnl"/>
        </w:rPr>
        <w:t>e</w:t>
      </w:r>
      <w:r w:rsidRPr="00F451DC">
        <w:rPr>
          <w:rFonts w:asciiTheme="majorHAnsi" w:hAnsiTheme="majorHAnsi" w:cs="Calibri"/>
          <w:sz w:val="20"/>
          <w:szCs w:val="20"/>
          <w:lang w:val="es-ES_tradnl"/>
        </w:rPr>
        <w:t>ndres</w:t>
      </w:r>
    </w:p>
    <w:p w14:paraId="34F7DAB5" w14:textId="54EA94D7" w:rsidR="00500DD6" w:rsidRPr="00F451DC" w:rsidRDefault="00F451DC" w:rsidP="00CF3C53">
      <w:pPr>
        <w:pStyle w:val="ListParagraph"/>
        <w:numPr>
          <w:ilvl w:val="0"/>
          <w:numId w:val="67"/>
        </w:numPr>
        <w:jc w:val="both"/>
        <w:rPr>
          <w:rFonts w:asciiTheme="majorHAnsi" w:hAnsiTheme="majorHAnsi" w:cs="Calibri"/>
          <w:sz w:val="20"/>
          <w:szCs w:val="20"/>
          <w:lang w:val="es-ES_tradnl"/>
        </w:rPr>
      </w:pPr>
      <w:r w:rsidRPr="00F451DC">
        <w:rPr>
          <w:rFonts w:asciiTheme="majorHAnsi" w:hAnsiTheme="majorHAnsi" w:cs="Calibri"/>
          <w:sz w:val="20"/>
          <w:szCs w:val="20"/>
          <w:lang w:val="es-ES_tradnl"/>
        </w:rPr>
        <w:t>Ángel</w:t>
      </w:r>
      <w:r w:rsidR="00500DD6" w:rsidRPr="00F451DC">
        <w:rPr>
          <w:rFonts w:asciiTheme="majorHAnsi" w:hAnsiTheme="majorHAnsi" w:cs="Calibri"/>
          <w:sz w:val="20"/>
          <w:szCs w:val="20"/>
          <w:lang w:val="es-ES_tradnl"/>
        </w:rPr>
        <w:t xml:space="preserve"> Quiroga López</w:t>
      </w:r>
    </w:p>
    <w:p w14:paraId="5D524D6D" w14:textId="3A80E46F" w:rsidR="00500DD6" w:rsidRPr="00F451DC" w:rsidRDefault="00500DD6" w:rsidP="00CF3C53">
      <w:pPr>
        <w:pStyle w:val="ListParagraph"/>
        <w:numPr>
          <w:ilvl w:val="0"/>
          <w:numId w:val="67"/>
        </w:numPr>
        <w:jc w:val="both"/>
        <w:rPr>
          <w:rFonts w:asciiTheme="majorHAnsi" w:hAnsiTheme="majorHAnsi" w:cs="Calibri"/>
          <w:sz w:val="20"/>
          <w:szCs w:val="20"/>
          <w:lang w:val="es-ES_tradnl"/>
        </w:rPr>
      </w:pPr>
      <w:r w:rsidRPr="00F451DC">
        <w:rPr>
          <w:rFonts w:asciiTheme="majorHAnsi" w:hAnsiTheme="majorHAnsi" w:cs="Calibri"/>
          <w:sz w:val="20"/>
          <w:szCs w:val="20"/>
          <w:lang w:val="es-ES_tradnl"/>
        </w:rPr>
        <w:t>Juana Sulka Estrada</w:t>
      </w:r>
    </w:p>
    <w:p w14:paraId="7DC83975" w14:textId="5E1AA501" w:rsidR="00500DD6" w:rsidRPr="00F451DC" w:rsidRDefault="00500DD6" w:rsidP="00CF3C53">
      <w:pPr>
        <w:pStyle w:val="ListParagraph"/>
        <w:numPr>
          <w:ilvl w:val="0"/>
          <w:numId w:val="67"/>
        </w:numPr>
        <w:jc w:val="both"/>
        <w:rPr>
          <w:rFonts w:asciiTheme="majorHAnsi" w:hAnsiTheme="majorHAnsi" w:cs="Calibri"/>
          <w:sz w:val="20"/>
          <w:szCs w:val="20"/>
          <w:lang w:val="es-ES_tradnl"/>
        </w:rPr>
      </w:pPr>
      <w:r w:rsidRPr="00F451DC">
        <w:rPr>
          <w:rFonts w:asciiTheme="majorHAnsi" w:hAnsiTheme="majorHAnsi" w:cs="Calibri"/>
          <w:sz w:val="20"/>
          <w:szCs w:val="20"/>
          <w:lang w:val="es-ES_tradnl"/>
        </w:rPr>
        <w:t>Juana Sona</w:t>
      </w:r>
      <w:r w:rsidR="00900DC2" w:rsidRPr="00F451DC">
        <w:rPr>
          <w:rFonts w:asciiTheme="majorHAnsi" w:hAnsiTheme="majorHAnsi" w:cs="Calibri"/>
          <w:sz w:val="20"/>
          <w:szCs w:val="20"/>
          <w:lang w:val="es-ES_tradnl"/>
        </w:rPr>
        <w:t>b</w:t>
      </w:r>
      <w:r w:rsidRPr="00F451DC">
        <w:rPr>
          <w:rFonts w:asciiTheme="majorHAnsi" w:hAnsiTheme="majorHAnsi" w:cs="Calibri"/>
          <w:sz w:val="20"/>
          <w:szCs w:val="20"/>
          <w:lang w:val="es-ES_tradnl"/>
        </w:rPr>
        <w:t>i Cruz</w:t>
      </w:r>
    </w:p>
    <w:p w14:paraId="2107EE17" w14:textId="3716EAB7" w:rsidR="00500DD6" w:rsidRPr="00F451DC" w:rsidRDefault="00500DD6" w:rsidP="00CF3C53">
      <w:pPr>
        <w:pStyle w:val="ListParagraph"/>
        <w:numPr>
          <w:ilvl w:val="0"/>
          <w:numId w:val="67"/>
        </w:numPr>
        <w:jc w:val="both"/>
        <w:rPr>
          <w:rFonts w:asciiTheme="majorHAnsi" w:hAnsiTheme="majorHAnsi" w:cs="Calibri"/>
          <w:sz w:val="20"/>
          <w:szCs w:val="20"/>
          <w:lang w:val="es-ES_tradnl"/>
        </w:rPr>
      </w:pPr>
      <w:r w:rsidRPr="00F451DC">
        <w:rPr>
          <w:rFonts w:asciiTheme="majorHAnsi" w:hAnsiTheme="majorHAnsi" w:cs="Calibri"/>
          <w:sz w:val="20"/>
          <w:szCs w:val="20"/>
          <w:lang w:val="es-ES_tradnl"/>
        </w:rPr>
        <w:t>Edwin Roque Serrudo</w:t>
      </w:r>
    </w:p>
    <w:p w14:paraId="05374E8B" w14:textId="769EC782" w:rsidR="00500DD6" w:rsidRPr="00F451DC" w:rsidRDefault="00F451DC" w:rsidP="00CF3C53">
      <w:pPr>
        <w:pStyle w:val="ListParagraph"/>
        <w:numPr>
          <w:ilvl w:val="0"/>
          <w:numId w:val="67"/>
        </w:numPr>
        <w:jc w:val="both"/>
        <w:rPr>
          <w:rFonts w:asciiTheme="majorHAnsi" w:hAnsiTheme="majorHAnsi" w:cs="Calibri"/>
          <w:sz w:val="20"/>
          <w:szCs w:val="20"/>
          <w:lang w:val="es-ES_tradnl"/>
        </w:rPr>
      </w:pPr>
      <w:r w:rsidRPr="00F451DC">
        <w:rPr>
          <w:rFonts w:asciiTheme="majorHAnsi" w:hAnsiTheme="majorHAnsi" w:cs="Calibri"/>
          <w:sz w:val="20"/>
          <w:szCs w:val="20"/>
          <w:lang w:val="es-ES_tradnl"/>
        </w:rPr>
        <w:t>Juan</w:t>
      </w:r>
      <w:r w:rsidR="00500DD6" w:rsidRPr="00F451DC">
        <w:rPr>
          <w:rFonts w:asciiTheme="majorHAnsi" w:hAnsiTheme="majorHAnsi" w:cs="Calibri"/>
          <w:sz w:val="20"/>
          <w:szCs w:val="20"/>
          <w:lang w:val="es-ES_tradnl"/>
        </w:rPr>
        <w:t xml:space="preserve"> Ramirez</w:t>
      </w:r>
    </w:p>
    <w:p w14:paraId="6FF42C44" w14:textId="4A346198" w:rsidR="00500DD6" w:rsidRPr="00F451DC" w:rsidRDefault="00500DD6" w:rsidP="00500DD6">
      <w:pPr>
        <w:pStyle w:val="ListParagraph"/>
        <w:numPr>
          <w:ilvl w:val="0"/>
          <w:numId w:val="67"/>
        </w:numPr>
        <w:jc w:val="both"/>
        <w:rPr>
          <w:rFonts w:asciiTheme="majorHAnsi" w:hAnsiTheme="majorHAnsi" w:cs="Calibri"/>
          <w:sz w:val="20"/>
          <w:szCs w:val="20"/>
          <w:lang w:val="es-ES_tradnl"/>
        </w:rPr>
      </w:pPr>
      <w:r w:rsidRPr="00F451DC">
        <w:rPr>
          <w:rFonts w:asciiTheme="majorHAnsi" w:hAnsiTheme="majorHAnsi" w:cs="Calibri"/>
          <w:sz w:val="20"/>
          <w:szCs w:val="20"/>
          <w:lang w:val="es-ES_tradnl"/>
        </w:rPr>
        <w:t>Giverata Thika Quintude Aguilar</w:t>
      </w:r>
    </w:p>
    <w:p w14:paraId="5690E03B" w14:textId="4D15279C" w:rsidR="00500DD6" w:rsidRPr="00F451DC" w:rsidRDefault="00500DD6" w:rsidP="00500DD6">
      <w:pPr>
        <w:pStyle w:val="ListParagraph"/>
        <w:numPr>
          <w:ilvl w:val="0"/>
          <w:numId w:val="67"/>
        </w:numPr>
        <w:jc w:val="both"/>
        <w:rPr>
          <w:rFonts w:asciiTheme="majorHAnsi" w:hAnsiTheme="majorHAnsi" w:cs="Calibri"/>
          <w:sz w:val="20"/>
          <w:szCs w:val="20"/>
          <w:lang w:val="es-ES_tradnl"/>
        </w:rPr>
      </w:pPr>
      <w:r w:rsidRPr="00F451DC">
        <w:rPr>
          <w:rFonts w:asciiTheme="majorHAnsi" w:hAnsiTheme="majorHAnsi" w:cs="Calibri"/>
          <w:sz w:val="20"/>
          <w:szCs w:val="20"/>
          <w:lang w:val="es-ES_tradnl"/>
        </w:rPr>
        <w:t>Mario Ramire</w:t>
      </w:r>
      <w:r w:rsidR="00B93CA8" w:rsidRPr="00F451DC">
        <w:rPr>
          <w:rFonts w:asciiTheme="majorHAnsi" w:hAnsiTheme="majorHAnsi" w:cs="Calibri"/>
          <w:sz w:val="20"/>
          <w:szCs w:val="20"/>
          <w:lang w:val="es-ES_tradnl"/>
        </w:rPr>
        <w:t>z</w:t>
      </w:r>
      <w:r w:rsidRPr="00F451DC">
        <w:rPr>
          <w:rFonts w:asciiTheme="majorHAnsi" w:hAnsiTheme="majorHAnsi" w:cs="Calibri"/>
          <w:sz w:val="20"/>
          <w:szCs w:val="20"/>
          <w:lang w:val="es-ES_tradnl"/>
        </w:rPr>
        <w:t xml:space="preserve"> Caraballo</w:t>
      </w:r>
    </w:p>
    <w:p w14:paraId="1176B159" w14:textId="09CCB528" w:rsidR="00500DD6" w:rsidRPr="00F451DC" w:rsidRDefault="00500DD6" w:rsidP="00500DD6">
      <w:pPr>
        <w:pStyle w:val="ListParagraph"/>
        <w:numPr>
          <w:ilvl w:val="0"/>
          <w:numId w:val="67"/>
        </w:numPr>
        <w:jc w:val="both"/>
        <w:rPr>
          <w:rFonts w:asciiTheme="majorHAnsi" w:hAnsiTheme="majorHAnsi" w:cs="Calibri"/>
          <w:sz w:val="20"/>
          <w:szCs w:val="20"/>
          <w:lang w:val="es-ES_tradnl"/>
        </w:rPr>
      </w:pPr>
      <w:r w:rsidRPr="00F451DC">
        <w:rPr>
          <w:rFonts w:asciiTheme="majorHAnsi" w:hAnsiTheme="majorHAnsi" w:cs="Calibri"/>
          <w:sz w:val="20"/>
          <w:szCs w:val="20"/>
          <w:lang w:val="es-ES_tradnl"/>
        </w:rPr>
        <w:t xml:space="preserve">Jacinto </w:t>
      </w:r>
      <w:r w:rsidR="00204A03" w:rsidRPr="00F451DC">
        <w:rPr>
          <w:rFonts w:asciiTheme="majorHAnsi" w:hAnsiTheme="majorHAnsi" w:cs="Calibri"/>
          <w:sz w:val="20"/>
          <w:szCs w:val="20"/>
          <w:lang w:val="es-ES_tradnl"/>
        </w:rPr>
        <w:t>T</w:t>
      </w:r>
      <w:r w:rsidRPr="00F451DC">
        <w:rPr>
          <w:rFonts w:asciiTheme="majorHAnsi" w:hAnsiTheme="majorHAnsi" w:cs="Calibri"/>
          <w:sz w:val="20"/>
          <w:szCs w:val="20"/>
          <w:lang w:val="es-ES_tradnl"/>
        </w:rPr>
        <w:t>icona Calle</w:t>
      </w:r>
    </w:p>
    <w:p w14:paraId="566E3C8A" w14:textId="6EFF1516" w:rsidR="00204A03" w:rsidRPr="00F451DC" w:rsidRDefault="00204A03" w:rsidP="00204A03">
      <w:pPr>
        <w:pStyle w:val="ListParagraph"/>
        <w:numPr>
          <w:ilvl w:val="0"/>
          <w:numId w:val="67"/>
        </w:numPr>
        <w:jc w:val="both"/>
        <w:rPr>
          <w:rFonts w:asciiTheme="majorHAnsi" w:hAnsiTheme="majorHAnsi" w:cs="Calibri"/>
          <w:sz w:val="20"/>
          <w:szCs w:val="20"/>
          <w:lang w:val="es-ES_tradnl"/>
        </w:rPr>
      </w:pPr>
      <w:r w:rsidRPr="00F451DC">
        <w:rPr>
          <w:rFonts w:asciiTheme="majorHAnsi" w:hAnsiTheme="majorHAnsi" w:cs="Calibri"/>
          <w:sz w:val="20"/>
          <w:szCs w:val="20"/>
          <w:lang w:val="es-ES_tradnl"/>
        </w:rPr>
        <w:t>Luis Vásquez T</w:t>
      </w:r>
      <w:r w:rsidR="00900DC2" w:rsidRPr="00F451DC">
        <w:rPr>
          <w:rFonts w:asciiTheme="majorHAnsi" w:hAnsiTheme="majorHAnsi" w:cs="Calibri"/>
          <w:sz w:val="20"/>
          <w:szCs w:val="20"/>
          <w:lang w:val="es-ES_tradnl"/>
        </w:rPr>
        <w:t>o</w:t>
      </w:r>
      <w:r w:rsidRPr="00F451DC">
        <w:rPr>
          <w:rFonts w:asciiTheme="majorHAnsi" w:hAnsiTheme="majorHAnsi" w:cs="Calibri"/>
          <w:sz w:val="20"/>
          <w:szCs w:val="20"/>
          <w:lang w:val="es-ES_tradnl"/>
        </w:rPr>
        <w:t>rihuano</w:t>
      </w:r>
    </w:p>
    <w:p w14:paraId="6E5E5E2C" w14:textId="7339AA06" w:rsidR="00500DD6" w:rsidRPr="00F451DC" w:rsidRDefault="00500DD6" w:rsidP="00500DD6">
      <w:pPr>
        <w:pStyle w:val="ListParagraph"/>
        <w:numPr>
          <w:ilvl w:val="0"/>
          <w:numId w:val="67"/>
        </w:numPr>
        <w:jc w:val="both"/>
        <w:rPr>
          <w:rFonts w:asciiTheme="majorHAnsi" w:hAnsiTheme="majorHAnsi" w:cs="Calibri"/>
          <w:sz w:val="20"/>
          <w:szCs w:val="20"/>
          <w:lang w:val="es-ES_tradnl"/>
        </w:rPr>
      </w:pPr>
      <w:r w:rsidRPr="00F451DC">
        <w:rPr>
          <w:rFonts w:asciiTheme="majorHAnsi" w:hAnsiTheme="majorHAnsi" w:cs="Calibri"/>
          <w:sz w:val="20"/>
          <w:szCs w:val="20"/>
          <w:lang w:val="es-ES_tradnl"/>
        </w:rPr>
        <w:t xml:space="preserve">Vinita Parcial </w:t>
      </w:r>
    </w:p>
    <w:p w14:paraId="063C8DF0" w14:textId="7C2F012D" w:rsidR="00500DD6" w:rsidRPr="00F451DC" w:rsidRDefault="00500DD6" w:rsidP="00500DD6">
      <w:pPr>
        <w:pStyle w:val="ListParagraph"/>
        <w:numPr>
          <w:ilvl w:val="0"/>
          <w:numId w:val="67"/>
        </w:numPr>
        <w:jc w:val="both"/>
        <w:rPr>
          <w:rFonts w:asciiTheme="majorHAnsi" w:hAnsiTheme="majorHAnsi" w:cs="Calibri"/>
          <w:sz w:val="20"/>
          <w:szCs w:val="20"/>
          <w:lang w:val="es-ES_tradnl"/>
        </w:rPr>
      </w:pPr>
      <w:r w:rsidRPr="00F451DC">
        <w:rPr>
          <w:rFonts w:asciiTheme="majorHAnsi" w:hAnsiTheme="majorHAnsi" w:cs="Calibri"/>
          <w:sz w:val="20"/>
          <w:szCs w:val="20"/>
          <w:lang w:val="es-ES_tradnl"/>
        </w:rPr>
        <w:t>Ge</w:t>
      </w:r>
      <w:r w:rsidR="00900DC2" w:rsidRPr="00F451DC">
        <w:rPr>
          <w:rFonts w:asciiTheme="majorHAnsi" w:hAnsiTheme="majorHAnsi" w:cs="Calibri"/>
          <w:sz w:val="20"/>
          <w:szCs w:val="20"/>
          <w:lang w:val="es-ES_tradnl"/>
        </w:rPr>
        <w:t>r</w:t>
      </w:r>
      <w:r w:rsidRPr="00F451DC">
        <w:rPr>
          <w:rFonts w:asciiTheme="majorHAnsi" w:hAnsiTheme="majorHAnsi" w:cs="Calibri"/>
          <w:sz w:val="20"/>
          <w:szCs w:val="20"/>
          <w:lang w:val="es-ES_tradnl"/>
        </w:rPr>
        <w:t>vacio Calle Bautista</w:t>
      </w:r>
    </w:p>
    <w:p w14:paraId="4A9E2C59" w14:textId="77777777" w:rsidR="00204A03" w:rsidRPr="00F451DC" w:rsidRDefault="00204A03" w:rsidP="00204A03">
      <w:pPr>
        <w:pStyle w:val="ListParagraph"/>
        <w:numPr>
          <w:ilvl w:val="0"/>
          <w:numId w:val="67"/>
        </w:numPr>
        <w:jc w:val="both"/>
        <w:rPr>
          <w:rFonts w:asciiTheme="majorHAnsi" w:hAnsiTheme="majorHAnsi" w:cs="Calibri"/>
          <w:sz w:val="20"/>
          <w:szCs w:val="20"/>
          <w:lang w:val="es-ES_tradnl"/>
        </w:rPr>
      </w:pPr>
      <w:r w:rsidRPr="00F451DC">
        <w:rPr>
          <w:rFonts w:asciiTheme="majorHAnsi" w:hAnsiTheme="majorHAnsi" w:cs="Calibri"/>
          <w:sz w:val="20"/>
          <w:szCs w:val="20"/>
          <w:lang w:val="es-ES_tradnl"/>
        </w:rPr>
        <w:t>Fabia Ticona Calle</w:t>
      </w:r>
    </w:p>
    <w:p w14:paraId="31183C82" w14:textId="77777777" w:rsidR="00204A03" w:rsidRPr="00F451DC" w:rsidRDefault="00204A03" w:rsidP="00204A03">
      <w:pPr>
        <w:pStyle w:val="ListParagraph"/>
        <w:numPr>
          <w:ilvl w:val="0"/>
          <w:numId w:val="67"/>
        </w:numPr>
        <w:jc w:val="both"/>
        <w:rPr>
          <w:rFonts w:asciiTheme="majorHAnsi" w:hAnsiTheme="majorHAnsi" w:cs="Calibri"/>
          <w:sz w:val="20"/>
          <w:szCs w:val="20"/>
          <w:lang w:val="es-ES_tradnl"/>
        </w:rPr>
      </w:pPr>
      <w:r w:rsidRPr="00F451DC">
        <w:rPr>
          <w:rFonts w:asciiTheme="majorHAnsi" w:hAnsiTheme="majorHAnsi" w:cs="Calibri"/>
          <w:sz w:val="20"/>
          <w:szCs w:val="20"/>
          <w:lang w:val="es-ES_tradnl"/>
        </w:rPr>
        <w:t>Benito Llampa Loza</w:t>
      </w:r>
    </w:p>
    <w:p w14:paraId="09D60978" w14:textId="77777777" w:rsidR="00204A03" w:rsidRPr="00F451DC" w:rsidRDefault="00204A03" w:rsidP="00204A03">
      <w:pPr>
        <w:pStyle w:val="ListParagraph"/>
        <w:numPr>
          <w:ilvl w:val="0"/>
          <w:numId w:val="67"/>
        </w:numPr>
        <w:jc w:val="both"/>
        <w:rPr>
          <w:rFonts w:asciiTheme="majorHAnsi" w:hAnsiTheme="majorHAnsi" w:cs="Calibri"/>
          <w:sz w:val="20"/>
          <w:szCs w:val="20"/>
          <w:lang w:val="es-ES_tradnl"/>
        </w:rPr>
      </w:pPr>
      <w:r w:rsidRPr="00F451DC">
        <w:rPr>
          <w:rFonts w:asciiTheme="majorHAnsi" w:hAnsiTheme="majorHAnsi" w:cs="Calibri"/>
          <w:sz w:val="20"/>
          <w:szCs w:val="20"/>
          <w:lang w:val="es-ES_tradnl"/>
        </w:rPr>
        <w:t>Serafín Choque Ávalos</w:t>
      </w:r>
    </w:p>
    <w:p w14:paraId="7335E395" w14:textId="77777777" w:rsidR="00204A03" w:rsidRPr="00F451DC" w:rsidRDefault="00204A03" w:rsidP="00204A03">
      <w:pPr>
        <w:pStyle w:val="ListParagraph"/>
        <w:numPr>
          <w:ilvl w:val="0"/>
          <w:numId w:val="67"/>
        </w:numPr>
        <w:jc w:val="both"/>
        <w:rPr>
          <w:rFonts w:asciiTheme="majorHAnsi" w:hAnsiTheme="majorHAnsi" w:cs="Calibri"/>
          <w:sz w:val="20"/>
          <w:szCs w:val="20"/>
          <w:lang w:val="es-ES_tradnl"/>
        </w:rPr>
      </w:pPr>
      <w:r w:rsidRPr="00F451DC">
        <w:rPr>
          <w:rFonts w:asciiTheme="majorHAnsi" w:hAnsiTheme="majorHAnsi" w:cs="Calibri"/>
          <w:sz w:val="20"/>
          <w:szCs w:val="20"/>
          <w:lang w:val="es-ES_tradnl"/>
        </w:rPr>
        <w:t>Juan Ramírez</w:t>
      </w:r>
    </w:p>
    <w:p w14:paraId="7568C4A9" w14:textId="77777777" w:rsidR="00204A03" w:rsidRPr="00F451DC" w:rsidRDefault="00204A03" w:rsidP="00204A03">
      <w:pPr>
        <w:pStyle w:val="ListParagraph"/>
        <w:numPr>
          <w:ilvl w:val="0"/>
          <w:numId w:val="67"/>
        </w:numPr>
        <w:jc w:val="both"/>
        <w:rPr>
          <w:rFonts w:asciiTheme="majorHAnsi" w:hAnsiTheme="majorHAnsi" w:cs="Calibri"/>
          <w:sz w:val="20"/>
          <w:szCs w:val="20"/>
          <w:lang w:val="es-ES_tradnl"/>
        </w:rPr>
      </w:pPr>
      <w:r w:rsidRPr="00F451DC">
        <w:rPr>
          <w:rFonts w:asciiTheme="majorHAnsi" w:hAnsiTheme="majorHAnsi" w:cs="Calibri"/>
          <w:sz w:val="20"/>
          <w:szCs w:val="20"/>
          <w:lang w:val="es-ES_tradnl"/>
        </w:rPr>
        <w:t>Abelardo Arévalo Choque</w:t>
      </w:r>
    </w:p>
    <w:p w14:paraId="4F4D7936" w14:textId="77777777" w:rsidR="00204A03" w:rsidRPr="00F451DC" w:rsidRDefault="00204A03" w:rsidP="00204A03">
      <w:pPr>
        <w:pStyle w:val="ListParagraph"/>
        <w:numPr>
          <w:ilvl w:val="0"/>
          <w:numId w:val="67"/>
        </w:numPr>
        <w:jc w:val="both"/>
        <w:rPr>
          <w:rFonts w:asciiTheme="majorHAnsi" w:hAnsiTheme="majorHAnsi" w:cs="Calibri"/>
          <w:sz w:val="20"/>
          <w:szCs w:val="20"/>
          <w:lang w:val="es-ES_tradnl"/>
        </w:rPr>
      </w:pPr>
      <w:r w:rsidRPr="00F451DC">
        <w:rPr>
          <w:rFonts w:asciiTheme="majorHAnsi" w:hAnsiTheme="majorHAnsi" w:cs="Calibri"/>
          <w:sz w:val="20"/>
          <w:szCs w:val="20"/>
          <w:lang w:val="es-ES_tradnl"/>
        </w:rPr>
        <w:t>Pedro Nogales Coronado</w:t>
      </w:r>
    </w:p>
    <w:p w14:paraId="6A2FE328" w14:textId="77777777" w:rsidR="00204A03" w:rsidRPr="00F451DC" w:rsidRDefault="00204A03" w:rsidP="00204A03">
      <w:pPr>
        <w:pStyle w:val="ListParagraph"/>
        <w:numPr>
          <w:ilvl w:val="0"/>
          <w:numId w:val="67"/>
        </w:numPr>
        <w:jc w:val="both"/>
        <w:rPr>
          <w:rFonts w:asciiTheme="majorHAnsi" w:hAnsiTheme="majorHAnsi" w:cs="Calibri"/>
          <w:sz w:val="20"/>
          <w:szCs w:val="20"/>
          <w:lang w:val="es-ES_tradnl"/>
        </w:rPr>
      </w:pPr>
      <w:r w:rsidRPr="00F451DC">
        <w:rPr>
          <w:rFonts w:asciiTheme="majorHAnsi" w:hAnsiTheme="majorHAnsi" w:cs="Calibri"/>
          <w:sz w:val="20"/>
          <w:szCs w:val="20"/>
          <w:lang w:val="es-ES_tradnl"/>
        </w:rPr>
        <w:t>Victoriano Ballejos Ramos</w:t>
      </w:r>
    </w:p>
    <w:p w14:paraId="4A2A6DDE" w14:textId="77777777" w:rsidR="00204A03" w:rsidRPr="00F451DC" w:rsidRDefault="00204A03" w:rsidP="00204A03">
      <w:pPr>
        <w:pStyle w:val="ListParagraph"/>
        <w:numPr>
          <w:ilvl w:val="0"/>
          <w:numId w:val="67"/>
        </w:numPr>
        <w:jc w:val="both"/>
        <w:rPr>
          <w:rFonts w:asciiTheme="majorHAnsi" w:hAnsiTheme="majorHAnsi" w:cs="Calibri"/>
          <w:sz w:val="20"/>
          <w:szCs w:val="20"/>
          <w:lang w:val="es-ES_tradnl"/>
        </w:rPr>
      </w:pPr>
      <w:r w:rsidRPr="00F451DC">
        <w:rPr>
          <w:rFonts w:asciiTheme="majorHAnsi" w:hAnsiTheme="majorHAnsi" w:cs="Calibri"/>
          <w:sz w:val="20"/>
          <w:szCs w:val="20"/>
          <w:lang w:val="es-ES_tradnl"/>
        </w:rPr>
        <w:t>Gabriel Caballero</w:t>
      </w:r>
    </w:p>
    <w:p w14:paraId="58C5AC8C" w14:textId="6FA16447" w:rsidR="00204A03" w:rsidRPr="00F451DC" w:rsidRDefault="00204A03" w:rsidP="00204A03">
      <w:pPr>
        <w:pStyle w:val="ListParagraph"/>
        <w:numPr>
          <w:ilvl w:val="0"/>
          <w:numId w:val="67"/>
        </w:numPr>
        <w:jc w:val="both"/>
        <w:rPr>
          <w:rFonts w:asciiTheme="majorHAnsi" w:hAnsiTheme="majorHAnsi" w:cs="Calibri"/>
          <w:sz w:val="20"/>
          <w:szCs w:val="20"/>
          <w:lang w:val="es-ES_tradnl"/>
        </w:rPr>
      </w:pPr>
      <w:r w:rsidRPr="00F451DC">
        <w:rPr>
          <w:rFonts w:asciiTheme="majorHAnsi" w:hAnsiTheme="majorHAnsi" w:cs="Calibri"/>
          <w:sz w:val="20"/>
          <w:szCs w:val="20"/>
          <w:lang w:val="es-ES_tradnl"/>
        </w:rPr>
        <w:t>Leonardo Caballero Choque</w:t>
      </w:r>
    </w:p>
    <w:p w14:paraId="1D90DB86" w14:textId="46B2048D" w:rsidR="00183038" w:rsidRPr="00F451DC" w:rsidRDefault="00183038" w:rsidP="00204A03">
      <w:pPr>
        <w:pStyle w:val="ListParagraph"/>
        <w:numPr>
          <w:ilvl w:val="0"/>
          <w:numId w:val="67"/>
        </w:numPr>
        <w:jc w:val="both"/>
        <w:rPr>
          <w:rFonts w:asciiTheme="majorHAnsi" w:hAnsiTheme="majorHAnsi" w:cs="Calibri"/>
          <w:sz w:val="20"/>
          <w:szCs w:val="20"/>
          <w:lang w:val="es-ES_tradnl"/>
        </w:rPr>
      </w:pPr>
      <w:r w:rsidRPr="00F451DC">
        <w:rPr>
          <w:rFonts w:asciiTheme="majorHAnsi" w:hAnsiTheme="majorHAnsi" w:cs="Calibri"/>
          <w:sz w:val="20"/>
          <w:szCs w:val="20"/>
          <w:lang w:val="es-ES_tradnl"/>
        </w:rPr>
        <w:t>Félix Fernández Tika</w:t>
      </w:r>
    </w:p>
    <w:p w14:paraId="366565EC" w14:textId="7A4E5EBD" w:rsidR="00183038" w:rsidRPr="00F451DC" w:rsidRDefault="00183038" w:rsidP="00204A03">
      <w:pPr>
        <w:pStyle w:val="ListParagraph"/>
        <w:numPr>
          <w:ilvl w:val="0"/>
          <w:numId w:val="67"/>
        </w:numPr>
        <w:jc w:val="both"/>
        <w:rPr>
          <w:rFonts w:asciiTheme="majorHAnsi" w:hAnsiTheme="majorHAnsi" w:cs="Calibri"/>
          <w:sz w:val="20"/>
          <w:szCs w:val="20"/>
          <w:lang w:val="es-ES_tradnl"/>
        </w:rPr>
      </w:pPr>
      <w:r w:rsidRPr="00F451DC">
        <w:rPr>
          <w:rFonts w:asciiTheme="majorHAnsi" w:hAnsiTheme="majorHAnsi" w:cs="Calibri"/>
          <w:sz w:val="20"/>
          <w:szCs w:val="20"/>
          <w:lang w:val="es-ES_tradnl"/>
        </w:rPr>
        <w:t>Feliciana Porcel de Rivera</w:t>
      </w:r>
    </w:p>
    <w:p w14:paraId="6A0A4C73" w14:textId="44E74F69" w:rsidR="00900DC2" w:rsidRPr="00F451DC" w:rsidRDefault="00183038" w:rsidP="00900DC2">
      <w:pPr>
        <w:pStyle w:val="ListParagraph"/>
        <w:numPr>
          <w:ilvl w:val="0"/>
          <w:numId w:val="67"/>
        </w:numPr>
        <w:jc w:val="both"/>
        <w:rPr>
          <w:rFonts w:asciiTheme="majorHAnsi" w:hAnsiTheme="majorHAnsi" w:cs="Calibri"/>
          <w:sz w:val="20"/>
          <w:szCs w:val="20"/>
          <w:lang w:val="es-ES_tradnl"/>
        </w:rPr>
      </w:pPr>
      <w:r w:rsidRPr="00F451DC">
        <w:rPr>
          <w:rFonts w:asciiTheme="majorHAnsi" w:hAnsiTheme="majorHAnsi" w:cs="Calibri"/>
          <w:sz w:val="20"/>
          <w:szCs w:val="20"/>
          <w:lang w:val="es-ES_tradnl"/>
        </w:rPr>
        <w:t>María Flores</w:t>
      </w:r>
      <w:r w:rsidR="00900DC2" w:rsidRPr="00F451DC">
        <w:rPr>
          <w:rFonts w:asciiTheme="majorHAnsi" w:hAnsiTheme="majorHAnsi" w:cs="Calibri"/>
          <w:sz w:val="20"/>
          <w:szCs w:val="20"/>
          <w:lang w:val="es-ES_tradnl"/>
        </w:rPr>
        <w:t xml:space="preserve"> Chumacero</w:t>
      </w:r>
    </w:p>
    <w:p w14:paraId="16FCD318" w14:textId="706A6B85" w:rsidR="00183038" w:rsidRPr="00F451DC" w:rsidRDefault="00183038" w:rsidP="00183038">
      <w:pPr>
        <w:pStyle w:val="ListParagraph"/>
        <w:numPr>
          <w:ilvl w:val="0"/>
          <w:numId w:val="67"/>
        </w:numPr>
        <w:jc w:val="both"/>
        <w:rPr>
          <w:rFonts w:asciiTheme="majorHAnsi" w:hAnsiTheme="majorHAnsi" w:cs="Calibri"/>
          <w:sz w:val="20"/>
          <w:szCs w:val="20"/>
          <w:lang w:val="es-ES_tradnl"/>
        </w:rPr>
      </w:pPr>
      <w:r w:rsidRPr="00F451DC">
        <w:rPr>
          <w:rFonts w:asciiTheme="majorHAnsi" w:hAnsiTheme="majorHAnsi" w:cs="Calibri"/>
          <w:sz w:val="20"/>
          <w:szCs w:val="20"/>
          <w:lang w:val="es-ES_tradnl"/>
        </w:rPr>
        <w:t>Casto Velásquez</w:t>
      </w:r>
    </w:p>
    <w:p w14:paraId="3DABB385" w14:textId="09170437" w:rsidR="00183038" w:rsidRPr="00F451DC" w:rsidRDefault="00183038" w:rsidP="00183038">
      <w:pPr>
        <w:pStyle w:val="ListParagraph"/>
        <w:numPr>
          <w:ilvl w:val="0"/>
          <w:numId w:val="67"/>
        </w:numPr>
        <w:jc w:val="both"/>
        <w:rPr>
          <w:rFonts w:asciiTheme="majorHAnsi" w:hAnsiTheme="majorHAnsi" w:cs="Calibri"/>
          <w:sz w:val="20"/>
          <w:szCs w:val="20"/>
          <w:lang w:val="es-ES_tradnl"/>
        </w:rPr>
      </w:pPr>
      <w:r w:rsidRPr="00F451DC">
        <w:rPr>
          <w:rFonts w:asciiTheme="majorHAnsi" w:hAnsiTheme="majorHAnsi" w:cs="Calibri"/>
          <w:sz w:val="20"/>
          <w:szCs w:val="20"/>
          <w:lang w:val="es-ES_tradnl"/>
        </w:rPr>
        <w:t>María Luz Moscoso Mita</w:t>
      </w:r>
    </w:p>
    <w:p w14:paraId="53095AF7" w14:textId="7FABD5A1" w:rsidR="00183038" w:rsidRPr="00F451DC" w:rsidRDefault="00183038" w:rsidP="00183038">
      <w:pPr>
        <w:pStyle w:val="ListParagraph"/>
        <w:numPr>
          <w:ilvl w:val="0"/>
          <w:numId w:val="67"/>
        </w:numPr>
        <w:jc w:val="both"/>
        <w:rPr>
          <w:rFonts w:asciiTheme="majorHAnsi" w:hAnsiTheme="majorHAnsi" w:cs="Calibri"/>
          <w:sz w:val="20"/>
          <w:szCs w:val="20"/>
          <w:lang w:val="es-ES_tradnl"/>
        </w:rPr>
      </w:pPr>
      <w:r w:rsidRPr="00F451DC">
        <w:rPr>
          <w:rFonts w:asciiTheme="majorHAnsi" w:hAnsiTheme="majorHAnsi" w:cs="Calibri"/>
          <w:sz w:val="20"/>
          <w:szCs w:val="20"/>
          <w:lang w:val="es-ES_tradnl"/>
        </w:rPr>
        <w:t>Trifonia Vargas Calderón</w:t>
      </w:r>
    </w:p>
    <w:p w14:paraId="7E2F78EC" w14:textId="7706671A" w:rsidR="00183038" w:rsidRPr="00F451DC" w:rsidRDefault="00183038" w:rsidP="00183038">
      <w:pPr>
        <w:pStyle w:val="ListParagraph"/>
        <w:numPr>
          <w:ilvl w:val="0"/>
          <w:numId w:val="67"/>
        </w:numPr>
        <w:jc w:val="both"/>
        <w:rPr>
          <w:rFonts w:asciiTheme="majorHAnsi" w:hAnsiTheme="majorHAnsi" w:cs="Calibri"/>
          <w:sz w:val="20"/>
          <w:szCs w:val="20"/>
          <w:lang w:val="es-ES_tradnl"/>
        </w:rPr>
      </w:pPr>
      <w:r w:rsidRPr="00F451DC">
        <w:rPr>
          <w:rFonts w:asciiTheme="majorHAnsi" w:hAnsiTheme="majorHAnsi" w:cs="Calibri"/>
          <w:sz w:val="20"/>
          <w:szCs w:val="20"/>
          <w:lang w:val="es-ES_tradnl"/>
        </w:rPr>
        <w:t>Víctor Soto Pacheque</w:t>
      </w:r>
    </w:p>
    <w:p w14:paraId="4BAE3CCB" w14:textId="10A4805D" w:rsidR="00183038" w:rsidRPr="00F451DC" w:rsidRDefault="00183038" w:rsidP="00183038">
      <w:pPr>
        <w:pStyle w:val="ListParagraph"/>
        <w:numPr>
          <w:ilvl w:val="0"/>
          <w:numId w:val="67"/>
        </w:numPr>
        <w:jc w:val="both"/>
        <w:rPr>
          <w:rFonts w:asciiTheme="majorHAnsi" w:hAnsiTheme="majorHAnsi" w:cs="Calibri"/>
          <w:sz w:val="20"/>
          <w:szCs w:val="20"/>
          <w:lang w:val="es-ES_tradnl"/>
        </w:rPr>
      </w:pPr>
      <w:r w:rsidRPr="00F451DC">
        <w:rPr>
          <w:rFonts w:asciiTheme="majorHAnsi" w:hAnsiTheme="majorHAnsi" w:cs="Calibri"/>
          <w:sz w:val="20"/>
          <w:szCs w:val="20"/>
          <w:lang w:val="es-ES_tradnl"/>
        </w:rPr>
        <w:t>Domingo Flores</w:t>
      </w:r>
    </w:p>
    <w:p w14:paraId="11DD3279" w14:textId="0785B10F" w:rsidR="00183038" w:rsidRPr="00F451DC" w:rsidRDefault="00183038" w:rsidP="00183038">
      <w:pPr>
        <w:pStyle w:val="ListParagraph"/>
        <w:numPr>
          <w:ilvl w:val="0"/>
          <w:numId w:val="67"/>
        </w:numPr>
        <w:jc w:val="both"/>
        <w:rPr>
          <w:rFonts w:asciiTheme="majorHAnsi" w:hAnsiTheme="majorHAnsi" w:cs="Calibri"/>
          <w:sz w:val="20"/>
          <w:szCs w:val="20"/>
          <w:lang w:val="es-ES_tradnl"/>
        </w:rPr>
      </w:pPr>
      <w:r w:rsidRPr="00F451DC">
        <w:rPr>
          <w:rFonts w:asciiTheme="majorHAnsi" w:hAnsiTheme="majorHAnsi" w:cs="Calibri"/>
          <w:sz w:val="20"/>
          <w:szCs w:val="20"/>
          <w:lang w:val="es-ES_tradnl"/>
        </w:rPr>
        <w:t>Benita Porcel Levito de Bautista</w:t>
      </w:r>
    </w:p>
    <w:p w14:paraId="5AF54815" w14:textId="5D3EE723" w:rsidR="00183038" w:rsidRPr="00F451DC" w:rsidRDefault="00183038" w:rsidP="00183038">
      <w:pPr>
        <w:pStyle w:val="ListParagraph"/>
        <w:numPr>
          <w:ilvl w:val="0"/>
          <w:numId w:val="67"/>
        </w:numPr>
        <w:jc w:val="both"/>
        <w:rPr>
          <w:rFonts w:asciiTheme="majorHAnsi" w:hAnsiTheme="majorHAnsi" w:cs="Calibri"/>
          <w:sz w:val="20"/>
          <w:szCs w:val="20"/>
          <w:lang w:val="es-ES_tradnl"/>
        </w:rPr>
      </w:pPr>
      <w:r w:rsidRPr="00F451DC">
        <w:rPr>
          <w:rFonts w:asciiTheme="majorHAnsi" w:hAnsiTheme="majorHAnsi" w:cs="Calibri"/>
          <w:sz w:val="20"/>
          <w:szCs w:val="20"/>
          <w:lang w:val="es-ES_tradnl"/>
        </w:rPr>
        <w:t>Florencia Humacacho Alejandro</w:t>
      </w:r>
    </w:p>
    <w:p w14:paraId="51361995" w14:textId="18F123A5" w:rsidR="00183038" w:rsidRPr="00F451DC" w:rsidRDefault="00183038" w:rsidP="00183038">
      <w:pPr>
        <w:pStyle w:val="ListParagraph"/>
        <w:numPr>
          <w:ilvl w:val="0"/>
          <w:numId w:val="67"/>
        </w:numPr>
        <w:jc w:val="both"/>
        <w:rPr>
          <w:rFonts w:asciiTheme="majorHAnsi" w:hAnsiTheme="majorHAnsi" w:cs="Calibri"/>
          <w:sz w:val="20"/>
          <w:szCs w:val="20"/>
          <w:lang w:val="es-ES_tradnl"/>
        </w:rPr>
      </w:pPr>
      <w:r w:rsidRPr="00F451DC">
        <w:rPr>
          <w:rFonts w:asciiTheme="majorHAnsi" w:hAnsiTheme="majorHAnsi" w:cs="Calibri"/>
          <w:sz w:val="20"/>
          <w:szCs w:val="20"/>
          <w:lang w:val="es-ES_tradnl"/>
        </w:rPr>
        <w:t>Félix Cabello Maturano</w:t>
      </w:r>
    </w:p>
    <w:p w14:paraId="75F12F81" w14:textId="32ADA431" w:rsidR="00183038" w:rsidRPr="00F451DC" w:rsidRDefault="00183038" w:rsidP="00183038">
      <w:pPr>
        <w:pStyle w:val="ListParagraph"/>
        <w:numPr>
          <w:ilvl w:val="0"/>
          <w:numId w:val="67"/>
        </w:numPr>
        <w:jc w:val="both"/>
        <w:rPr>
          <w:rFonts w:asciiTheme="majorHAnsi" w:hAnsiTheme="majorHAnsi" w:cs="Calibri"/>
          <w:sz w:val="20"/>
          <w:szCs w:val="20"/>
          <w:lang w:val="es-ES_tradnl"/>
        </w:rPr>
      </w:pPr>
      <w:r w:rsidRPr="00F451DC">
        <w:rPr>
          <w:rFonts w:asciiTheme="majorHAnsi" w:hAnsiTheme="majorHAnsi" w:cs="Calibri"/>
          <w:sz w:val="20"/>
          <w:szCs w:val="20"/>
          <w:lang w:val="es-ES_tradnl"/>
        </w:rPr>
        <w:lastRenderedPageBreak/>
        <w:t>Nazario Calle Alejandro</w:t>
      </w:r>
    </w:p>
    <w:p w14:paraId="4A80B1C9" w14:textId="5FDAEBD6" w:rsidR="00183038" w:rsidRPr="00F451DC" w:rsidRDefault="00183038" w:rsidP="00183038">
      <w:pPr>
        <w:pStyle w:val="ListParagraph"/>
        <w:numPr>
          <w:ilvl w:val="0"/>
          <w:numId w:val="67"/>
        </w:numPr>
        <w:jc w:val="both"/>
        <w:rPr>
          <w:rFonts w:asciiTheme="majorHAnsi" w:hAnsiTheme="majorHAnsi" w:cs="Calibri"/>
          <w:sz w:val="20"/>
          <w:szCs w:val="20"/>
          <w:lang w:val="es-ES_tradnl"/>
        </w:rPr>
      </w:pPr>
      <w:r w:rsidRPr="00F451DC">
        <w:rPr>
          <w:rFonts w:asciiTheme="majorHAnsi" w:hAnsiTheme="majorHAnsi" w:cs="Calibri"/>
          <w:sz w:val="20"/>
          <w:szCs w:val="20"/>
          <w:lang w:val="es-ES_tradnl"/>
        </w:rPr>
        <w:t>Leonor Sonavi Araoz</w:t>
      </w:r>
    </w:p>
    <w:p w14:paraId="6C96591D" w14:textId="372D2435" w:rsidR="00183038" w:rsidRPr="00F451DC" w:rsidRDefault="00183038" w:rsidP="00183038">
      <w:pPr>
        <w:pStyle w:val="ListParagraph"/>
        <w:numPr>
          <w:ilvl w:val="0"/>
          <w:numId w:val="67"/>
        </w:numPr>
        <w:jc w:val="both"/>
        <w:rPr>
          <w:rFonts w:asciiTheme="majorHAnsi" w:hAnsiTheme="majorHAnsi" w:cs="Calibri"/>
          <w:sz w:val="20"/>
          <w:szCs w:val="20"/>
          <w:lang w:val="es-ES_tradnl"/>
        </w:rPr>
      </w:pPr>
      <w:r w:rsidRPr="00F451DC">
        <w:rPr>
          <w:rFonts w:asciiTheme="majorHAnsi" w:hAnsiTheme="majorHAnsi" w:cs="Calibri"/>
          <w:sz w:val="20"/>
          <w:szCs w:val="20"/>
          <w:lang w:val="es-ES_tradnl"/>
        </w:rPr>
        <w:t>Florentino Garnica</w:t>
      </w:r>
    </w:p>
    <w:p w14:paraId="59D2E3BD" w14:textId="3F7A86CD" w:rsidR="00183038" w:rsidRPr="00F451DC" w:rsidRDefault="00183038" w:rsidP="00183038">
      <w:pPr>
        <w:pStyle w:val="ListParagraph"/>
        <w:numPr>
          <w:ilvl w:val="0"/>
          <w:numId w:val="67"/>
        </w:numPr>
        <w:jc w:val="both"/>
        <w:rPr>
          <w:rFonts w:asciiTheme="majorHAnsi" w:hAnsiTheme="majorHAnsi" w:cs="Calibri"/>
          <w:sz w:val="20"/>
          <w:szCs w:val="20"/>
          <w:lang w:val="es-ES_tradnl"/>
        </w:rPr>
      </w:pPr>
      <w:r w:rsidRPr="00F451DC">
        <w:rPr>
          <w:rFonts w:asciiTheme="majorHAnsi" w:hAnsiTheme="majorHAnsi" w:cs="Calibri"/>
          <w:sz w:val="20"/>
          <w:szCs w:val="20"/>
          <w:lang w:val="es-ES_tradnl"/>
        </w:rPr>
        <w:t>Daniel Vásquez Callata</w:t>
      </w:r>
    </w:p>
    <w:p w14:paraId="5A92499A" w14:textId="0FFE89C9" w:rsidR="00183038" w:rsidRPr="00F451DC" w:rsidRDefault="00183038" w:rsidP="00183038">
      <w:pPr>
        <w:pStyle w:val="ListParagraph"/>
        <w:numPr>
          <w:ilvl w:val="0"/>
          <w:numId w:val="67"/>
        </w:numPr>
        <w:jc w:val="both"/>
        <w:rPr>
          <w:rFonts w:asciiTheme="majorHAnsi" w:hAnsiTheme="majorHAnsi" w:cs="Calibri"/>
          <w:sz w:val="20"/>
          <w:szCs w:val="20"/>
          <w:lang w:val="es-ES_tradnl"/>
        </w:rPr>
      </w:pPr>
      <w:r w:rsidRPr="00F451DC">
        <w:rPr>
          <w:rFonts w:asciiTheme="majorHAnsi" w:hAnsiTheme="majorHAnsi" w:cs="Calibri"/>
          <w:sz w:val="20"/>
          <w:szCs w:val="20"/>
          <w:lang w:val="es-ES_tradnl"/>
        </w:rPr>
        <w:t>Dionicia Llampa Yupanqui</w:t>
      </w:r>
    </w:p>
    <w:p w14:paraId="32F8A19D" w14:textId="64A69D1B" w:rsidR="00183038" w:rsidRPr="00F451DC" w:rsidRDefault="00183038" w:rsidP="00183038">
      <w:pPr>
        <w:pStyle w:val="ListParagraph"/>
        <w:numPr>
          <w:ilvl w:val="0"/>
          <w:numId w:val="67"/>
        </w:numPr>
        <w:jc w:val="both"/>
        <w:rPr>
          <w:rFonts w:asciiTheme="majorHAnsi" w:hAnsiTheme="majorHAnsi" w:cs="Calibri"/>
          <w:sz w:val="20"/>
          <w:szCs w:val="20"/>
          <w:lang w:val="es-ES_tradnl"/>
        </w:rPr>
      </w:pPr>
      <w:r w:rsidRPr="00F451DC">
        <w:rPr>
          <w:rFonts w:asciiTheme="majorHAnsi" w:hAnsiTheme="majorHAnsi" w:cs="Calibri"/>
          <w:sz w:val="20"/>
          <w:szCs w:val="20"/>
          <w:lang w:val="es-ES_tradnl"/>
        </w:rPr>
        <w:t>Martin Flores Carrasco</w:t>
      </w:r>
    </w:p>
    <w:p w14:paraId="66E60486" w14:textId="446C314E" w:rsidR="00183038" w:rsidRPr="00F451DC" w:rsidRDefault="00B93CA8" w:rsidP="00183038">
      <w:pPr>
        <w:pStyle w:val="ListParagraph"/>
        <w:numPr>
          <w:ilvl w:val="0"/>
          <w:numId w:val="67"/>
        </w:numPr>
        <w:jc w:val="both"/>
        <w:rPr>
          <w:rFonts w:asciiTheme="majorHAnsi" w:hAnsiTheme="majorHAnsi" w:cs="Calibri"/>
          <w:sz w:val="20"/>
          <w:szCs w:val="20"/>
          <w:lang w:val="es-ES_tradnl"/>
        </w:rPr>
      </w:pPr>
      <w:r w:rsidRPr="00F451DC">
        <w:rPr>
          <w:rFonts w:asciiTheme="majorHAnsi" w:hAnsiTheme="majorHAnsi" w:cs="Calibri"/>
          <w:sz w:val="20"/>
          <w:szCs w:val="20"/>
          <w:lang w:val="es-ES_tradnl"/>
        </w:rPr>
        <w:t>Leopoldo Ramírez Carballo</w:t>
      </w:r>
    </w:p>
    <w:p w14:paraId="05AC44F9" w14:textId="3A3606D9" w:rsidR="00B93CA8" w:rsidRPr="00F451DC" w:rsidRDefault="00B93CA8" w:rsidP="00183038">
      <w:pPr>
        <w:pStyle w:val="ListParagraph"/>
        <w:numPr>
          <w:ilvl w:val="0"/>
          <w:numId w:val="67"/>
        </w:numPr>
        <w:jc w:val="both"/>
        <w:rPr>
          <w:rFonts w:asciiTheme="majorHAnsi" w:hAnsiTheme="majorHAnsi" w:cs="Calibri"/>
          <w:sz w:val="20"/>
          <w:szCs w:val="20"/>
          <w:lang w:val="es-ES_tradnl"/>
        </w:rPr>
      </w:pPr>
      <w:r w:rsidRPr="00F451DC">
        <w:rPr>
          <w:rFonts w:asciiTheme="majorHAnsi" w:hAnsiTheme="majorHAnsi" w:cs="Calibri"/>
          <w:sz w:val="20"/>
          <w:szCs w:val="20"/>
          <w:lang w:val="es-ES_tradnl"/>
        </w:rPr>
        <w:t>Leonel Urbano Ramírez Carballo</w:t>
      </w:r>
    </w:p>
    <w:p w14:paraId="45B1821B" w14:textId="2CB35DB5" w:rsidR="00B93CA8" w:rsidRPr="00F451DC" w:rsidRDefault="00B93CA8" w:rsidP="00183038">
      <w:pPr>
        <w:pStyle w:val="ListParagraph"/>
        <w:numPr>
          <w:ilvl w:val="0"/>
          <w:numId w:val="67"/>
        </w:numPr>
        <w:jc w:val="both"/>
        <w:rPr>
          <w:rFonts w:asciiTheme="majorHAnsi" w:hAnsiTheme="majorHAnsi" w:cs="Calibri"/>
          <w:sz w:val="20"/>
          <w:szCs w:val="20"/>
          <w:lang w:val="es-ES_tradnl"/>
        </w:rPr>
      </w:pPr>
      <w:r w:rsidRPr="00F451DC">
        <w:rPr>
          <w:rFonts w:asciiTheme="majorHAnsi" w:hAnsiTheme="majorHAnsi" w:cs="Calibri"/>
          <w:sz w:val="20"/>
          <w:szCs w:val="20"/>
          <w:lang w:val="es-ES_tradnl"/>
        </w:rPr>
        <w:t>Demetrio Chumacero Ochoa</w:t>
      </w:r>
    </w:p>
    <w:p w14:paraId="781EA478" w14:textId="1C1A8336" w:rsidR="00B93CA8" w:rsidRPr="00F451DC" w:rsidRDefault="00B93CA8" w:rsidP="00183038">
      <w:pPr>
        <w:pStyle w:val="ListParagraph"/>
        <w:numPr>
          <w:ilvl w:val="0"/>
          <w:numId w:val="67"/>
        </w:numPr>
        <w:jc w:val="both"/>
        <w:rPr>
          <w:rFonts w:asciiTheme="majorHAnsi" w:hAnsiTheme="majorHAnsi" w:cs="Calibri"/>
          <w:sz w:val="20"/>
          <w:szCs w:val="20"/>
          <w:lang w:val="es-ES_tradnl"/>
        </w:rPr>
      </w:pPr>
      <w:r w:rsidRPr="00F451DC">
        <w:rPr>
          <w:rFonts w:asciiTheme="majorHAnsi" w:hAnsiTheme="majorHAnsi" w:cs="Calibri"/>
          <w:sz w:val="20"/>
          <w:szCs w:val="20"/>
          <w:lang w:val="es-ES_tradnl"/>
        </w:rPr>
        <w:t xml:space="preserve">Antonio </w:t>
      </w:r>
      <w:r w:rsidR="00F451DC" w:rsidRPr="00F451DC">
        <w:rPr>
          <w:rFonts w:asciiTheme="majorHAnsi" w:hAnsiTheme="majorHAnsi" w:cs="Calibri"/>
          <w:sz w:val="20"/>
          <w:szCs w:val="20"/>
          <w:lang w:val="es-ES_tradnl"/>
        </w:rPr>
        <w:t>Velásquez</w:t>
      </w:r>
      <w:r w:rsidRPr="00F451DC">
        <w:rPr>
          <w:rFonts w:asciiTheme="majorHAnsi" w:hAnsiTheme="majorHAnsi" w:cs="Calibri"/>
          <w:sz w:val="20"/>
          <w:szCs w:val="20"/>
          <w:lang w:val="es-ES_tradnl"/>
        </w:rPr>
        <w:t xml:space="preserve"> Nogales</w:t>
      </w:r>
    </w:p>
    <w:p w14:paraId="690E71EA" w14:textId="6A9549E0" w:rsidR="00B93CA8" w:rsidRPr="00F451DC" w:rsidRDefault="00F451DC" w:rsidP="00183038">
      <w:pPr>
        <w:pStyle w:val="ListParagraph"/>
        <w:numPr>
          <w:ilvl w:val="0"/>
          <w:numId w:val="67"/>
        </w:numPr>
        <w:jc w:val="both"/>
        <w:rPr>
          <w:rFonts w:asciiTheme="majorHAnsi" w:hAnsiTheme="majorHAnsi" w:cs="Calibri"/>
          <w:sz w:val="20"/>
          <w:szCs w:val="20"/>
          <w:lang w:val="es-ES_tradnl"/>
        </w:rPr>
      </w:pPr>
      <w:r w:rsidRPr="00F451DC">
        <w:rPr>
          <w:rFonts w:asciiTheme="majorHAnsi" w:hAnsiTheme="majorHAnsi" w:cs="Calibri"/>
          <w:sz w:val="20"/>
          <w:szCs w:val="20"/>
          <w:lang w:val="es-ES_tradnl"/>
        </w:rPr>
        <w:t>Porfirio</w:t>
      </w:r>
      <w:r w:rsidR="00B93CA8" w:rsidRPr="00F451DC">
        <w:rPr>
          <w:rFonts w:asciiTheme="majorHAnsi" w:hAnsiTheme="majorHAnsi" w:cs="Calibri"/>
          <w:sz w:val="20"/>
          <w:szCs w:val="20"/>
          <w:lang w:val="es-ES_tradnl"/>
        </w:rPr>
        <w:t xml:space="preserve"> Aguilar</w:t>
      </w:r>
    </w:p>
    <w:p w14:paraId="15C62F63" w14:textId="36FC7D11" w:rsidR="00B93CA8" w:rsidRPr="00F451DC" w:rsidRDefault="00B93CA8" w:rsidP="00183038">
      <w:pPr>
        <w:pStyle w:val="ListParagraph"/>
        <w:numPr>
          <w:ilvl w:val="0"/>
          <w:numId w:val="67"/>
        </w:numPr>
        <w:jc w:val="both"/>
        <w:rPr>
          <w:rFonts w:asciiTheme="majorHAnsi" w:hAnsiTheme="majorHAnsi" w:cs="Calibri"/>
          <w:sz w:val="20"/>
          <w:szCs w:val="20"/>
          <w:lang w:val="es-ES_tradnl"/>
        </w:rPr>
      </w:pPr>
      <w:r w:rsidRPr="00F451DC">
        <w:rPr>
          <w:rFonts w:asciiTheme="majorHAnsi" w:hAnsiTheme="majorHAnsi" w:cs="Calibri"/>
          <w:sz w:val="20"/>
          <w:szCs w:val="20"/>
          <w:lang w:val="es-ES_tradnl"/>
        </w:rPr>
        <w:t>Raymundo Peñaranda Ochoa</w:t>
      </w:r>
    </w:p>
    <w:p w14:paraId="0F56B9AA" w14:textId="18E4653C" w:rsidR="00B93CA8" w:rsidRPr="00F451DC" w:rsidRDefault="00B93CA8" w:rsidP="00183038">
      <w:pPr>
        <w:pStyle w:val="ListParagraph"/>
        <w:numPr>
          <w:ilvl w:val="0"/>
          <w:numId w:val="67"/>
        </w:numPr>
        <w:jc w:val="both"/>
        <w:rPr>
          <w:rFonts w:asciiTheme="majorHAnsi" w:hAnsiTheme="majorHAnsi" w:cs="Calibri"/>
          <w:sz w:val="20"/>
          <w:szCs w:val="20"/>
          <w:lang w:val="es-ES_tradnl"/>
        </w:rPr>
      </w:pPr>
      <w:r w:rsidRPr="00F451DC">
        <w:rPr>
          <w:rFonts w:asciiTheme="majorHAnsi" w:hAnsiTheme="majorHAnsi" w:cs="Calibri"/>
          <w:sz w:val="20"/>
          <w:szCs w:val="20"/>
          <w:lang w:val="es-ES_tradnl"/>
        </w:rPr>
        <w:t>Lucio Peñaranda Ochoa</w:t>
      </w:r>
    </w:p>
    <w:p w14:paraId="0D0C6F17" w14:textId="2C7D4A52" w:rsidR="00B93CA8" w:rsidRPr="00F451DC" w:rsidRDefault="00B93CA8" w:rsidP="00183038">
      <w:pPr>
        <w:pStyle w:val="ListParagraph"/>
        <w:numPr>
          <w:ilvl w:val="0"/>
          <w:numId w:val="67"/>
        </w:numPr>
        <w:jc w:val="both"/>
        <w:rPr>
          <w:rFonts w:asciiTheme="majorHAnsi" w:hAnsiTheme="majorHAnsi" w:cs="Calibri"/>
          <w:sz w:val="20"/>
          <w:szCs w:val="20"/>
          <w:lang w:val="es-ES_tradnl"/>
        </w:rPr>
      </w:pPr>
      <w:r w:rsidRPr="00F451DC">
        <w:rPr>
          <w:rFonts w:asciiTheme="majorHAnsi" w:hAnsiTheme="majorHAnsi" w:cs="Calibri"/>
          <w:sz w:val="20"/>
          <w:szCs w:val="20"/>
          <w:lang w:val="es-ES_tradnl"/>
        </w:rPr>
        <w:t>Alfonso Mamani Quispe</w:t>
      </w:r>
    </w:p>
    <w:p w14:paraId="5D98F2AB" w14:textId="417E1FA3" w:rsidR="00B93CA8" w:rsidRPr="00F451DC" w:rsidRDefault="00B93CA8" w:rsidP="00183038">
      <w:pPr>
        <w:pStyle w:val="ListParagraph"/>
        <w:numPr>
          <w:ilvl w:val="0"/>
          <w:numId w:val="67"/>
        </w:numPr>
        <w:jc w:val="both"/>
        <w:rPr>
          <w:rFonts w:asciiTheme="majorHAnsi" w:hAnsiTheme="majorHAnsi" w:cs="Calibri"/>
          <w:sz w:val="20"/>
          <w:szCs w:val="20"/>
          <w:lang w:val="es-ES_tradnl"/>
        </w:rPr>
      </w:pPr>
      <w:r w:rsidRPr="00F451DC">
        <w:rPr>
          <w:rFonts w:asciiTheme="majorHAnsi" w:hAnsiTheme="majorHAnsi" w:cs="Calibri"/>
          <w:sz w:val="20"/>
          <w:szCs w:val="20"/>
          <w:lang w:val="es-ES_tradnl"/>
        </w:rPr>
        <w:t xml:space="preserve">Beatriz </w:t>
      </w:r>
      <w:r w:rsidR="00F451DC" w:rsidRPr="00F451DC">
        <w:rPr>
          <w:rFonts w:asciiTheme="majorHAnsi" w:hAnsiTheme="majorHAnsi" w:cs="Calibri"/>
          <w:sz w:val="20"/>
          <w:szCs w:val="20"/>
          <w:lang w:val="es-ES_tradnl"/>
        </w:rPr>
        <w:t>Velásquez</w:t>
      </w:r>
      <w:r w:rsidRPr="00F451DC">
        <w:rPr>
          <w:rFonts w:asciiTheme="majorHAnsi" w:hAnsiTheme="majorHAnsi" w:cs="Calibri"/>
          <w:sz w:val="20"/>
          <w:szCs w:val="20"/>
          <w:lang w:val="es-ES_tradnl"/>
        </w:rPr>
        <w:t xml:space="preserve"> Lomar</w:t>
      </w:r>
    </w:p>
    <w:p w14:paraId="095D2354" w14:textId="231D85DE" w:rsidR="00B93CA8" w:rsidRPr="00F451DC" w:rsidRDefault="00B93CA8" w:rsidP="00183038">
      <w:pPr>
        <w:pStyle w:val="ListParagraph"/>
        <w:numPr>
          <w:ilvl w:val="0"/>
          <w:numId w:val="67"/>
        </w:numPr>
        <w:jc w:val="both"/>
        <w:rPr>
          <w:rFonts w:asciiTheme="majorHAnsi" w:hAnsiTheme="majorHAnsi" w:cs="Calibri"/>
          <w:sz w:val="20"/>
          <w:szCs w:val="20"/>
          <w:lang w:val="es-ES_tradnl"/>
        </w:rPr>
      </w:pPr>
      <w:r w:rsidRPr="00F451DC">
        <w:rPr>
          <w:rFonts w:asciiTheme="majorHAnsi" w:hAnsiTheme="majorHAnsi" w:cs="Calibri"/>
          <w:sz w:val="20"/>
          <w:szCs w:val="20"/>
          <w:lang w:val="es-ES_tradnl"/>
        </w:rPr>
        <w:t>Juan Yucra Choque</w:t>
      </w:r>
    </w:p>
    <w:p w14:paraId="0F22F1AD" w14:textId="0FA7042C" w:rsidR="00204A03" w:rsidRPr="00F451DC" w:rsidRDefault="00B93CA8" w:rsidP="00204A03">
      <w:pPr>
        <w:pStyle w:val="ListParagraph"/>
        <w:numPr>
          <w:ilvl w:val="0"/>
          <w:numId w:val="67"/>
        </w:numPr>
        <w:jc w:val="both"/>
        <w:rPr>
          <w:rFonts w:asciiTheme="majorHAnsi" w:hAnsiTheme="majorHAnsi" w:cs="Calibri"/>
          <w:sz w:val="20"/>
          <w:szCs w:val="20"/>
          <w:lang w:val="es-ES_tradnl"/>
        </w:rPr>
      </w:pPr>
      <w:r w:rsidRPr="00F451DC">
        <w:rPr>
          <w:rFonts w:asciiTheme="majorHAnsi" w:hAnsiTheme="majorHAnsi" w:cs="Calibri"/>
          <w:sz w:val="20"/>
          <w:szCs w:val="20"/>
          <w:lang w:val="es-ES_tradnl"/>
        </w:rPr>
        <w:t>Javier Maturano Zarate</w:t>
      </w:r>
    </w:p>
    <w:p w14:paraId="1557C5FB" w14:textId="6DE6BD23" w:rsidR="00B93CA8" w:rsidRPr="00F451DC" w:rsidRDefault="00B93CA8" w:rsidP="00204A03">
      <w:pPr>
        <w:pStyle w:val="ListParagraph"/>
        <w:numPr>
          <w:ilvl w:val="0"/>
          <w:numId w:val="67"/>
        </w:numPr>
        <w:jc w:val="both"/>
        <w:rPr>
          <w:rFonts w:asciiTheme="majorHAnsi" w:hAnsiTheme="majorHAnsi" w:cs="Calibri"/>
          <w:sz w:val="20"/>
          <w:szCs w:val="20"/>
          <w:lang w:val="es-ES_tradnl"/>
        </w:rPr>
      </w:pPr>
      <w:r w:rsidRPr="00F451DC">
        <w:rPr>
          <w:rFonts w:asciiTheme="majorHAnsi" w:hAnsiTheme="majorHAnsi" w:cs="Calibri"/>
          <w:sz w:val="20"/>
          <w:szCs w:val="20"/>
          <w:lang w:val="es-ES_tradnl"/>
        </w:rPr>
        <w:t>Teodoro Reynaga Quiroga</w:t>
      </w:r>
    </w:p>
    <w:p w14:paraId="47F2D675" w14:textId="37DC50D3" w:rsidR="00B93CA8" w:rsidRPr="00F451DC" w:rsidRDefault="00B93CA8" w:rsidP="00204A03">
      <w:pPr>
        <w:pStyle w:val="ListParagraph"/>
        <w:numPr>
          <w:ilvl w:val="0"/>
          <w:numId w:val="67"/>
        </w:numPr>
        <w:jc w:val="both"/>
        <w:rPr>
          <w:rFonts w:asciiTheme="majorHAnsi" w:hAnsiTheme="majorHAnsi" w:cs="Calibri"/>
          <w:sz w:val="20"/>
          <w:szCs w:val="20"/>
          <w:lang w:val="es-ES_tradnl"/>
        </w:rPr>
      </w:pPr>
      <w:r w:rsidRPr="00F451DC">
        <w:rPr>
          <w:rFonts w:asciiTheme="majorHAnsi" w:hAnsiTheme="majorHAnsi" w:cs="Calibri"/>
          <w:sz w:val="20"/>
          <w:szCs w:val="20"/>
          <w:lang w:val="es-ES_tradnl"/>
        </w:rPr>
        <w:t>Vicente Choque Zarate</w:t>
      </w:r>
    </w:p>
    <w:p w14:paraId="1A157AB5" w14:textId="4339CE04" w:rsidR="00B93CA8" w:rsidRPr="00F451DC" w:rsidRDefault="0084035E" w:rsidP="00204A03">
      <w:pPr>
        <w:pStyle w:val="ListParagraph"/>
        <w:numPr>
          <w:ilvl w:val="0"/>
          <w:numId w:val="67"/>
        </w:numPr>
        <w:jc w:val="both"/>
        <w:rPr>
          <w:rFonts w:asciiTheme="majorHAnsi" w:hAnsiTheme="majorHAnsi" w:cs="Calibri"/>
          <w:sz w:val="20"/>
          <w:szCs w:val="20"/>
          <w:lang w:val="es-ES_tradnl"/>
        </w:rPr>
      </w:pPr>
      <w:r w:rsidRPr="00F451DC">
        <w:rPr>
          <w:rFonts w:asciiTheme="majorHAnsi" w:hAnsiTheme="majorHAnsi" w:cs="Calibri"/>
          <w:sz w:val="20"/>
          <w:szCs w:val="20"/>
          <w:lang w:val="es-ES_tradnl"/>
        </w:rPr>
        <w:t>Juana Martina Serrudo Zarate</w:t>
      </w:r>
    </w:p>
    <w:p w14:paraId="6CA2F2D7" w14:textId="14A28106" w:rsidR="0084035E" w:rsidRPr="00F451DC" w:rsidRDefault="0084035E" w:rsidP="0084035E">
      <w:pPr>
        <w:pStyle w:val="ListParagraph"/>
        <w:numPr>
          <w:ilvl w:val="0"/>
          <w:numId w:val="67"/>
        </w:numPr>
        <w:jc w:val="both"/>
        <w:rPr>
          <w:rFonts w:asciiTheme="majorHAnsi" w:hAnsiTheme="majorHAnsi" w:cs="Calibri"/>
          <w:sz w:val="20"/>
          <w:szCs w:val="20"/>
          <w:lang w:val="es-ES_tradnl"/>
        </w:rPr>
      </w:pPr>
      <w:r w:rsidRPr="00F451DC">
        <w:rPr>
          <w:rFonts w:asciiTheme="majorHAnsi" w:hAnsiTheme="majorHAnsi" w:cs="Calibri"/>
          <w:sz w:val="20"/>
          <w:szCs w:val="20"/>
          <w:lang w:val="es-ES_tradnl"/>
        </w:rPr>
        <w:t>María Luz Quispe Zarate</w:t>
      </w:r>
    </w:p>
    <w:p w14:paraId="393C7A7A" w14:textId="1C5122BB" w:rsidR="0084035E" w:rsidRPr="00F451DC" w:rsidRDefault="0084035E" w:rsidP="0084035E">
      <w:pPr>
        <w:pStyle w:val="ListParagraph"/>
        <w:numPr>
          <w:ilvl w:val="0"/>
          <w:numId w:val="67"/>
        </w:numPr>
        <w:jc w:val="both"/>
        <w:rPr>
          <w:rFonts w:asciiTheme="majorHAnsi" w:hAnsiTheme="majorHAnsi" w:cs="Calibri"/>
          <w:sz w:val="20"/>
          <w:szCs w:val="20"/>
          <w:lang w:val="es-ES_tradnl"/>
        </w:rPr>
      </w:pPr>
      <w:r w:rsidRPr="00F451DC">
        <w:rPr>
          <w:rFonts w:asciiTheme="majorHAnsi" w:hAnsiTheme="majorHAnsi" w:cs="Calibri"/>
          <w:sz w:val="20"/>
          <w:szCs w:val="20"/>
          <w:lang w:val="es-ES_tradnl"/>
        </w:rPr>
        <w:t>Claudio Cruz Cayo</w:t>
      </w:r>
    </w:p>
    <w:p w14:paraId="6FAE0FCF" w14:textId="3FEE22F5" w:rsidR="0084035E" w:rsidRPr="00F451DC" w:rsidRDefault="0084035E" w:rsidP="0084035E">
      <w:pPr>
        <w:pStyle w:val="ListParagraph"/>
        <w:numPr>
          <w:ilvl w:val="0"/>
          <w:numId w:val="67"/>
        </w:numPr>
        <w:jc w:val="both"/>
        <w:rPr>
          <w:rFonts w:asciiTheme="majorHAnsi" w:hAnsiTheme="majorHAnsi" w:cs="Calibri"/>
          <w:sz w:val="20"/>
          <w:szCs w:val="20"/>
          <w:lang w:val="es-ES_tradnl"/>
        </w:rPr>
      </w:pPr>
      <w:r w:rsidRPr="00F451DC">
        <w:rPr>
          <w:rFonts w:asciiTheme="majorHAnsi" w:hAnsiTheme="majorHAnsi" w:cs="Calibri"/>
          <w:sz w:val="20"/>
          <w:szCs w:val="20"/>
          <w:lang w:val="es-ES_tradnl"/>
        </w:rPr>
        <w:t>Siprian Condori Avalos</w:t>
      </w:r>
    </w:p>
    <w:p w14:paraId="2DBFEA18" w14:textId="0C859C88" w:rsidR="0084035E" w:rsidRPr="00F451DC" w:rsidRDefault="0084035E" w:rsidP="0084035E">
      <w:pPr>
        <w:pStyle w:val="ListParagraph"/>
        <w:numPr>
          <w:ilvl w:val="0"/>
          <w:numId w:val="67"/>
        </w:numPr>
        <w:jc w:val="both"/>
        <w:rPr>
          <w:rFonts w:asciiTheme="majorHAnsi" w:hAnsiTheme="majorHAnsi" w:cs="Calibri"/>
          <w:sz w:val="20"/>
          <w:szCs w:val="20"/>
          <w:lang w:val="es-ES_tradnl"/>
        </w:rPr>
      </w:pPr>
      <w:r w:rsidRPr="00F451DC">
        <w:rPr>
          <w:rFonts w:asciiTheme="majorHAnsi" w:hAnsiTheme="majorHAnsi" w:cs="Calibri"/>
          <w:sz w:val="20"/>
          <w:szCs w:val="20"/>
          <w:lang w:val="es-ES_tradnl"/>
        </w:rPr>
        <w:t>Humberto Avalos Díaz</w:t>
      </w:r>
    </w:p>
    <w:p w14:paraId="7CD2C6A6" w14:textId="6358E314" w:rsidR="0084035E" w:rsidRPr="00F451DC" w:rsidRDefault="0084035E" w:rsidP="0084035E">
      <w:pPr>
        <w:pStyle w:val="ListParagraph"/>
        <w:numPr>
          <w:ilvl w:val="0"/>
          <w:numId w:val="67"/>
        </w:numPr>
        <w:jc w:val="both"/>
        <w:rPr>
          <w:rFonts w:asciiTheme="majorHAnsi" w:hAnsiTheme="majorHAnsi" w:cs="Calibri"/>
          <w:sz w:val="20"/>
          <w:szCs w:val="20"/>
          <w:lang w:val="es-ES_tradnl"/>
        </w:rPr>
      </w:pPr>
      <w:r w:rsidRPr="00F451DC">
        <w:rPr>
          <w:rFonts w:asciiTheme="majorHAnsi" w:hAnsiTheme="majorHAnsi" w:cs="Calibri"/>
          <w:sz w:val="20"/>
          <w:szCs w:val="20"/>
          <w:lang w:val="es-ES_tradnl"/>
        </w:rPr>
        <w:t>Isabelino Mamani Janko</w:t>
      </w:r>
    </w:p>
    <w:p w14:paraId="640C6B57" w14:textId="5E692F51" w:rsidR="0084035E" w:rsidRPr="00F451DC" w:rsidRDefault="0084035E" w:rsidP="0084035E">
      <w:pPr>
        <w:pStyle w:val="ListParagraph"/>
        <w:numPr>
          <w:ilvl w:val="0"/>
          <w:numId w:val="67"/>
        </w:numPr>
        <w:jc w:val="both"/>
        <w:rPr>
          <w:rFonts w:asciiTheme="majorHAnsi" w:hAnsiTheme="majorHAnsi" w:cs="Calibri"/>
          <w:sz w:val="20"/>
          <w:szCs w:val="20"/>
          <w:lang w:val="es-ES_tradnl"/>
        </w:rPr>
      </w:pPr>
      <w:r w:rsidRPr="00F451DC">
        <w:rPr>
          <w:rFonts w:asciiTheme="majorHAnsi" w:hAnsiTheme="majorHAnsi" w:cs="Calibri"/>
          <w:sz w:val="20"/>
          <w:szCs w:val="20"/>
          <w:lang w:val="es-ES_tradnl"/>
        </w:rPr>
        <w:t>Irineo Fernández Padilla</w:t>
      </w:r>
    </w:p>
    <w:p w14:paraId="044931FD" w14:textId="42EC68D5" w:rsidR="0084035E" w:rsidRPr="00F451DC" w:rsidRDefault="0084035E" w:rsidP="0084035E">
      <w:pPr>
        <w:pStyle w:val="ListParagraph"/>
        <w:numPr>
          <w:ilvl w:val="0"/>
          <w:numId w:val="67"/>
        </w:numPr>
        <w:jc w:val="both"/>
        <w:rPr>
          <w:rFonts w:asciiTheme="majorHAnsi" w:hAnsiTheme="majorHAnsi" w:cs="Calibri"/>
          <w:sz w:val="20"/>
          <w:szCs w:val="20"/>
          <w:lang w:val="es-ES_tradnl"/>
        </w:rPr>
      </w:pPr>
      <w:r w:rsidRPr="00F451DC">
        <w:rPr>
          <w:rFonts w:asciiTheme="majorHAnsi" w:hAnsiTheme="majorHAnsi" w:cs="Calibri"/>
          <w:sz w:val="20"/>
          <w:szCs w:val="20"/>
          <w:lang w:val="es-ES_tradnl"/>
        </w:rPr>
        <w:t>Víctor Miranda Choque</w:t>
      </w:r>
    </w:p>
    <w:p w14:paraId="027E8940" w14:textId="0A8CE34F" w:rsidR="0084035E" w:rsidRPr="00F451DC" w:rsidRDefault="0084035E" w:rsidP="0084035E">
      <w:pPr>
        <w:pStyle w:val="ListParagraph"/>
        <w:numPr>
          <w:ilvl w:val="0"/>
          <w:numId w:val="67"/>
        </w:numPr>
        <w:jc w:val="both"/>
        <w:rPr>
          <w:rFonts w:asciiTheme="majorHAnsi" w:hAnsiTheme="majorHAnsi" w:cs="Calibri"/>
          <w:sz w:val="20"/>
          <w:szCs w:val="20"/>
          <w:lang w:val="es-ES_tradnl"/>
        </w:rPr>
      </w:pPr>
      <w:r w:rsidRPr="00F451DC">
        <w:rPr>
          <w:rFonts w:asciiTheme="majorHAnsi" w:hAnsiTheme="majorHAnsi" w:cs="Calibri"/>
          <w:sz w:val="20"/>
          <w:szCs w:val="20"/>
          <w:lang w:val="es-ES_tradnl"/>
        </w:rPr>
        <w:t>Severino Serrano Camargo</w:t>
      </w:r>
    </w:p>
    <w:p w14:paraId="59F8F137" w14:textId="283F10D1" w:rsidR="0084035E" w:rsidRPr="00F451DC" w:rsidRDefault="0084035E" w:rsidP="0084035E">
      <w:pPr>
        <w:pStyle w:val="ListParagraph"/>
        <w:numPr>
          <w:ilvl w:val="0"/>
          <w:numId w:val="67"/>
        </w:numPr>
        <w:jc w:val="both"/>
        <w:rPr>
          <w:rFonts w:asciiTheme="majorHAnsi" w:hAnsiTheme="majorHAnsi" w:cs="Calibri"/>
          <w:sz w:val="20"/>
          <w:szCs w:val="20"/>
          <w:lang w:val="es-ES_tradnl"/>
        </w:rPr>
      </w:pPr>
      <w:r w:rsidRPr="00F451DC">
        <w:rPr>
          <w:rFonts w:asciiTheme="majorHAnsi" w:hAnsiTheme="majorHAnsi" w:cs="Calibri"/>
          <w:sz w:val="20"/>
          <w:szCs w:val="20"/>
          <w:lang w:val="es-ES_tradnl"/>
        </w:rPr>
        <w:t>Modesto Copa Vidaurre</w:t>
      </w:r>
    </w:p>
    <w:p w14:paraId="1674FD1E" w14:textId="44C423A3" w:rsidR="0084035E" w:rsidRPr="00F451DC" w:rsidRDefault="0084035E" w:rsidP="0084035E">
      <w:pPr>
        <w:pStyle w:val="ListParagraph"/>
        <w:numPr>
          <w:ilvl w:val="0"/>
          <w:numId w:val="67"/>
        </w:numPr>
        <w:jc w:val="both"/>
        <w:rPr>
          <w:rFonts w:asciiTheme="majorHAnsi" w:hAnsiTheme="majorHAnsi" w:cs="Calibri"/>
          <w:sz w:val="20"/>
          <w:szCs w:val="20"/>
          <w:lang w:val="es-ES_tradnl"/>
        </w:rPr>
      </w:pPr>
      <w:r w:rsidRPr="00F451DC">
        <w:rPr>
          <w:rFonts w:asciiTheme="majorHAnsi" w:hAnsiTheme="majorHAnsi" w:cs="Calibri"/>
          <w:sz w:val="20"/>
          <w:szCs w:val="20"/>
          <w:lang w:val="es-ES_tradnl"/>
        </w:rPr>
        <w:t>Victor Hugo Segovia Barriga</w:t>
      </w:r>
    </w:p>
    <w:p w14:paraId="3397F164" w14:textId="5B21F851" w:rsidR="0084035E" w:rsidRPr="00F451DC" w:rsidRDefault="0084035E" w:rsidP="0084035E">
      <w:pPr>
        <w:pStyle w:val="ListParagraph"/>
        <w:numPr>
          <w:ilvl w:val="0"/>
          <w:numId w:val="67"/>
        </w:numPr>
        <w:jc w:val="both"/>
        <w:rPr>
          <w:rFonts w:asciiTheme="majorHAnsi" w:hAnsiTheme="majorHAnsi" w:cs="Calibri"/>
          <w:sz w:val="20"/>
          <w:szCs w:val="20"/>
          <w:lang w:val="es-ES_tradnl"/>
        </w:rPr>
      </w:pPr>
      <w:r w:rsidRPr="00F451DC">
        <w:rPr>
          <w:rFonts w:asciiTheme="majorHAnsi" w:hAnsiTheme="majorHAnsi" w:cs="Calibri"/>
          <w:sz w:val="20"/>
          <w:szCs w:val="20"/>
          <w:lang w:val="es-ES_tradnl"/>
        </w:rPr>
        <w:t>Severo García Vedia</w:t>
      </w:r>
    </w:p>
    <w:p w14:paraId="414028BF" w14:textId="496D91BD" w:rsidR="0084035E" w:rsidRPr="00F451DC" w:rsidRDefault="0084035E" w:rsidP="0084035E">
      <w:pPr>
        <w:pStyle w:val="ListParagraph"/>
        <w:numPr>
          <w:ilvl w:val="0"/>
          <w:numId w:val="67"/>
        </w:numPr>
        <w:jc w:val="both"/>
        <w:rPr>
          <w:rFonts w:asciiTheme="majorHAnsi" w:hAnsiTheme="majorHAnsi" w:cs="Calibri"/>
          <w:sz w:val="20"/>
          <w:szCs w:val="20"/>
          <w:lang w:val="es-ES_tradnl"/>
        </w:rPr>
      </w:pPr>
      <w:r w:rsidRPr="00F451DC">
        <w:rPr>
          <w:rFonts w:asciiTheme="majorHAnsi" w:hAnsiTheme="majorHAnsi" w:cs="Calibri"/>
          <w:sz w:val="20"/>
          <w:szCs w:val="20"/>
          <w:lang w:val="es-ES_tradnl"/>
        </w:rPr>
        <w:t>Rufino Llaveta</w:t>
      </w:r>
    </w:p>
    <w:p w14:paraId="0B7CCAD1" w14:textId="65F8CE37" w:rsidR="0084035E" w:rsidRPr="00F451DC" w:rsidRDefault="0084035E" w:rsidP="0084035E">
      <w:pPr>
        <w:pStyle w:val="ListParagraph"/>
        <w:numPr>
          <w:ilvl w:val="0"/>
          <w:numId w:val="67"/>
        </w:numPr>
        <w:jc w:val="both"/>
        <w:rPr>
          <w:rFonts w:asciiTheme="majorHAnsi" w:hAnsiTheme="majorHAnsi" w:cs="Calibri"/>
          <w:sz w:val="20"/>
          <w:szCs w:val="20"/>
          <w:lang w:val="es-ES_tradnl"/>
        </w:rPr>
      </w:pPr>
      <w:r w:rsidRPr="00F451DC">
        <w:rPr>
          <w:rFonts w:asciiTheme="majorHAnsi" w:hAnsiTheme="majorHAnsi" w:cs="Calibri"/>
          <w:sz w:val="20"/>
          <w:szCs w:val="20"/>
          <w:lang w:val="es-ES_tradnl"/>
        </w:rPr>
        <w:t>Lucia Levito</w:t>
      </w:r>
    </w:p>
    <w:p w14:paraId="150BFC35" w14:textId="756CF549" w:rsidR="0084035E" w:rsidRPr="00F451DC" w:rsidRDefault="00900DC2" w:rsidP="0084035E">
      <w:pPr>
        <w:pStyle w:val="ListParagraph"/>
        <w:numPr>
          <w:ilvl w:val="0"/>
          <w:numId w:val="67"/>
        </w:numPr>
        <w:jc w:val="both"/>
        <w:rPr>
          <w:rFonts w:asciiTheme="majorHAnsi" w:hAnsiTheme="majorHAnsi" w:cs="Calibri"/>
          <w:sz w:val="20"/>
          <w:szCs w:val="20"/>
          <w:lang w:val="es-ES_tradnl"/>
        </w:rPr>
      </w:pPr>
      <w:r w:rsidRPr="00F451DC">
        <w:rPr>
          <w:rFonts w:asciiTheme="majorHAnsi" w:hAnsiTheme="majorHAnsi" w:cs="Calibri"/>
          <w:sz w:val="20"/>
          <w:szCs w:val="20"/>
          <w:lang w:val="es-ES_tradnl"/>
        </w:rPr>
        <w:t>María Falon Choque</w:t>
      </w:r>
    </w:p>
    <w:p w14:paraId="700AFA69" w14:textId="2A138B45" w:rsidR="00900DC2" w:rsidRPr="00F451DC" w:rsidRDefault="00900DC2" w:rsidP="0084035E">
      <w:pPr>
        <w:pStyle w:val="ListParagraph"/>
        <w:numPr>
          <w:ilvl w:val="0"/>
          <w:numId w:val="67"/>
        </w:numPr>
        <w:jc w:val="both"/>
        <w:rPr>
          <w:rFonts w:asciiTheme="majorHAnsi" w:hAnsiTheme="majorHAnsi" w:cs="Calibri"/>
          <w:sz w:val="20"/>
          <w:szCs w:val="20"/>
          <w:lang w:val="es-ES_tradnl"/>
        </w:rPr>
      </w:pPr>
      <w:r w:rsidRPr="00F451DC">
        <w:rPr>
          <w:rFonts w:asciiTheme="majorHAnsi" w:hAnsiTheme="majorHAnsi" w:cs="Calibri"/>
          <w:sz w:val="20"/>
          <w:szCs w:val="20"/>
          <w:lang w:val="es-ES_tradnl"/>
        </w:rPr>
        <w:t>Donaciano Torres</w:t>
      </w:r>
    </w:p>
    <w:p w14:paraId="4AD29920" w14:textId="324D10D6" w:rsidR="00900DC2" w:rsidRPr="00F451DC" w:rsidRDefault="00900DC2" w:rsidP="0084035E">
      <w:pPr>
        <w:pStyle w:val="ListParagraph"/>
        <w:numPr>
          <w:ilvl w:val="0"/>
          <w:numId w:val="67"/>
        </w:numPr>
        <w:jc w:val="both"/>
        <w:rPr>
          <w:rFonts w:asciiTheme="majorHAnsi" w:hAnsiTheme="majorHAnsi" w:cs="Calibri"/>
          <w:sz w:val="20"/>
          <w:szCs w:val="20"/>
          <w:lang w:val="es-ES_tradnl"/>
        </w:rPr>
      </w:pPr>
      <w:r w:rsidRPr="00F451DC">
        <w:rPr>
          <w:rFonts w:asciiTheme="majorHAnsi" w:hAnsiTheme="majorHAnsi" w:cs="Calibri"/>
          <w:sz w:val="20"/>
          <w:szCs w:val="20"/>
          <w:lang w:val="es-ES_tradnl"/>
        </w:rPr>
        <w:t>Aidee Zarate Serrano</w:t>
      </w:r>
    </w:p>
    <w:p w14:paraId="518BB463" w14:textId="6F881A4A" w:rsidR="00900DC2" w:rsidRPr="00F451DC" w:rsidRDefault="00900DC2" w:rsidP="0084035E">
      <w:pPr>
        <w:pStyle w:val="ListParagraph"/>
        <w:numPr>
          <w:ilvl w:val="0"/>
          <w:numId w:val="67"/>
        </w:numPr>
        <w:jc w:val="both"/>
        <w:rPr>
          <w:rFonts w:asciiTheme="majorHAnsi" w:hAnsiTheme="majorHAnsi" w:cs="Calibri"/>
          <w:sz w:val="20"/>
          <w:szCs w:val="20"/>
          <w:lang w:val="es-ES_tradnl"/>
        </w:rPr>
      </w:pPr>
      <w:r w:rsidRPr="00F451DC">
        <w:rPr>
          <w:rFonts w:asciiTheme="majorHAnsi" w:hAnsiTheme="majorHAnsi" w:cs="Calibri"/>
          <w:sz w:val="20"/>
          <w:szCs w:val="20"/>
          <w:lang w:val="es-ES_tradnl"/>
        </w:rPr>
        <w:t>Tomas Calle García</w:t>
      </w:r>
    </w:p>
    <w:p w14:paraId="53658BC8" w14:textId="28FED8EB" w:rsidR="00900DC2" w:rsidRPr="00F451DC" w:rsidRDefault="00F451DC" w:rsidP="0084035E">
      <w:pPr>
        <w:pStyle w:val="ListParagraph"/>
        <w:numPr>
          <w:ilvl w:val="0"/>
          <w:numId w:val="67"/>
        </w:numPr>
        <w:jc w:val="both"/>
        <w:rPr>
          <w:rFonts w:asciiTheme="majorHAnsi" w:hAnsiTheme="majorHAnsi" w:cs="Calibri"/>
          <w:sz w:val="20"/>
          <w:szCs w:val="20"/>
          <w:lang w:val="es-ES_tradnl"/>
        </w:rPr>
      </w:pPr>
      <w:r w:rsidRPr="00F451DC">
        <w:rPr>
          <w:rFonts w:asciiTheme="majorHAnsi" w:hAnsiTheme="majorHAnsi" w:cs="Calibri"/>
          <w:sz w:val="20"/>
          <w:szCs w:val="20"/>
          <w:lang w:val="es-ES_tradnl"/>
        </w:rPr>
        <w:t>Teófilo</w:t>
      </w:r>
      <w:r w:rsidR="00900DC2" w:rsidRPr="00F451DC">
        <w:rPr>
          <w:rFonts w:asciiTheme="majorHAnsi" w:hAnsiTheme="majorHAnsi" w:cs="Calibri"/>
          <w:sz w:val="20"/>
          <w:szCs w:val="20"/>
          <w:lang w:val="es-ES_tradnl"/>
        </w:rPr>
        <w:t xml:space="preserve"> Ramírez Rivera</w:t>
      </w:r>
    </w:p>
    <w:p w14:paraId="65CB72AE" w14:textId="5F279DE5" w:rsidR="00900DC2" w:rsidRPr="00F451DC" w:rsidRDefault="00900DC2" w:rsidP="0084035E">
      <w:pPr>
        <w:pStyle w:val="ListParagraph"/>
        <w:numPr>
          <w:ilvl w:val="0"/>
          <w:numId w:val="67"/>
        </w:numPr>
        <w:jc w:val="both"/>
        <w:rPr>
          <w:rFonts w:asciiTheme="majorHAnsi" w:hAnsiTheme="majorHAnsi" w:cs="Calibri"/>
          <w:sz w:val="20"/>
          <w:szCs w:val="20"/>
          <w:lang w:val="es-ES_tradnl"/>
        </w:rPr>
      </w:pPr>
      <w:r w:rsidRPr="00F451DC">
        <w:rPr>
          <w:rFonts w:asciiTheme="majorHAnsi" w:hAnsiTheme="majorHAnsi" w:cs="Calibri"/>
          <w:sz w:val="20"/>
          <w:szCs w:val="20"/>
          <w:lang w:val="es-ES_tradnl"/>
        </w:rPr>
        <w:t>Gregorio Vela Durán</w:t>
      </w:r>
    </w:p>
    <w:p w14:paraId="0DE137DB" w14:textId="6CD40E1E" w:rsidR="00900DC2" w:rsidRPr="00F451DC" w:rsidRDefault="00900DC2" w:rsidP="0084035E">
      <w:pPr>
        <w:pStyle w:val="ListParagraph"/>
        <w:numPr>
          <w:ilvl w:val="0"/>
          <w:numId w:val="67"/>
        </w:numPr>
        <w:jc w:val="both"/>
        <w:rPr>
          <w:rFonts w:asciiTheme="majorHAnsi" w:hAnsiTheme="majorHAnsi" w:cs="Calibri"/>
          <w:sz w:val="20"/>
          <w:szCs w:val="20"/>
          <w:lang w:val="es-ES_tradnl"/>
        </w:rPr>
      </w:pPr>
      <w:r w:rsidRPr="00F451DC">
        <w:rPr>
          <w:rFonts w:asciiTheme="majorHAnsi" w:hAnsiTheme="majorHAnsi" w:cs="Calibri"/>
          <w:sz w:val="20"/>
          <w:szCs w:val="20"/>
          <w:lang w:val="es-ES_tradnl"/>
        </w:rPr>
        <w:t>Constatino Pinto Yampara</w:t>
      </w:r>
    </w:p>
    <w:p w14:paraId="1E2E7E8D" w14:textId="4DADAB89" w:rsidR="00900DC2" w:rsidRPr="00F451DC" w:rsidRDefault="00900DC2" w:rsidP="0084035E">
      <w:pPr>
        <w:pStyle w:val="ListParagraph"/>
        <w:numPr>
          <w:ilvl w:val="0"/>
          <w:numId w:val="67"/>
        </w:numPr>
        <w:jc w:val="both"/>
        <w:rPr>
          <w:rFonts w:asciiTheme="majorHAnsi" w:hAnsiTheme="majorHAnsi" w:cs="Calibri"/>
          <w:sz w:val="20"/>
          <w:szCs w:val="20"/>
          <w:lang w:val="es-ES_tradnl"/>
        </w:rPr>
      </w:pPr>
      <w:r w:rsidRPr="00F451DC">
        <w:rPr>
          <w:rFonts w:asciiTheme="majorHAnsi" w:hAnsiTheme="majorHAnsi" w:cs="Calibri"/>
          <w:sz w:val="20"/>
          <w:szCs w:val="20"/>
          <w:lang w:val="es-ES_tradnl"/>
        </w:rPr>
        <w:t>Wilber Flores Torres</w:t>
      </w:r>
    </w:p>
    <w:p w14:paraId="1A9A822F" w14:textId="273D11AC" w:rsidR="00900DC2" w:rsidRPr="00F451DC" w:rsidRDefault="00900DC2" w:rsidP="0084035E">
      <w:pPr>
        <w:pStyle w:val="ListParagraph"/>
        <w:numPr>
          <w:ilvl w:val="0"/>
          <w:numId w:val="67"/>
        </w:numPr>
        <w:jc w:val="both"/>
        <w:rPr>
          <w:rFonts w:asciiTheme="majorHAnsi" w:hAnsiTheme="majorHAnsi" w:cs="Calibri"/>
          <w:sz w:val="20"/>
          <w:szCs w:val="20"/>
          <w:lang w:val="es-ES_tradnl"/>
        </w:rPr>
      </w:pPr>
      <w:r w:rsidRPr="00F451DC">
        <w:rPr>
          <w:rFonts w:asciiTheme="majorHAnsi" w:hAnsiTheme="majorHAnsi" w:cs="Calibri"/>
          <w:sz w:val="20"/>
          <w:szCs w:val="20"/>
          <w:lang w:val="es-ES_tradnl"/>
        </w:rPr>
        <w:t>Fidelia Oropeza Luna</w:t>
      </w:r>
    </w:p>
    <w:p w14:paraId="6CDBAF46" w14:textId="67EAFF3F" w:rsidR="00900DC2" w:rsidRPr="00F451DC" w:rsidRDefault="00900DC2" w:rsidP="0084035E">
      <w:pPr>
        <w:pStyle w:val="ListParagraph"/>
        <w:numPr>
          <w:ilvl w:val="0"/>
          <w:numId w:val="67"/>
        </w:numPr>
        <w:jc w:val="both"/>
        <w:rPr>
          <w:rFonts w:asciiTheme="majorHAnsi" w:hAnsiTheme="majorHAnsi" w:cs="Calibri"/>
          <w:sz w:val="20"/>
          <w:szCs w:val="20"/>
          <w:lang w:val="es-ES_tradnl"/>
        </w:rPr>
      </w:pPr>
      <w:r w:rsidRPr="00F451DC">
        <w:rPr>
          <w:rFonts w:asciiTheme="majorHAnsi" w:hAnsiTheme="majorHAnsi" w:cs="Calibri"/>
          <w:sz w:val="20"/>
          <w:szCs w:val="20"/>
          <w:lang w:val="es-ES_tradnl"/>
        </w:rPr>
        <w:t>Sonia Peña Oropeza</w:t>
      </w:r>
    </w:p>
    <w:p w14:paraId="087877B2" w14:textId="6DA8F5AF" w:rsidR="00900DC2" w:rsidRPr="00900DC2" w:rsidRDefault="00900DC2" w:rsidP="00900DC2">
      <w:pPr>
        <w:pStyle w:val="ListParagraph"/>
        <w:numPr>
          <w:ilvl w:val="0"/>
          <w:numId w:val="67"/>
        </w:numPr>
        <w:jc w:val="both"/>
        <w:rPr>
          <w:rFonts w:cs="Calibri"/>
          <w:sz w:val="20"/>
          <w:szCs w:val="20"/>
          <w:lang w:val="es-US"/>
        </w:rPr>
      </w:pPr>
      <w:r w:rsidRPr="00F451DC">
        <w:rPr>
          <w:rFonts w:asciiTheme="majorHAnsi" w:hAnsiTheme="majorHAnsi" w:cs="Calibri"/>
          <w:sz w:val="20"/>
          <w:szCs w:val="20"/>
          <w:lang w:val="es-ES_tradnl"/>
        </w:rPr>
        <w:t>Juan Porc</w:t>
      </w:r>
      <w:r>
        <w:rPr>
          <w:rFonts w:cs="Calibri"/>
          <w:sz w:val="20"/>
          <w:szCs w:val="20"/>
          <w:lang w:val="es-US"/>
        </w:rPr>
        <w:t>el Vásquez</w:t>
      </w:r>
    </w:p>
    <w:sectPr w:rsidR="00900DC2" w:rsidRPr="00900DC2"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382173" w14:textId="77777777" w:rsidR="0011433D" w:rsidRDefault="0011433D">
      <w:r>
        <w:separator/>
      </w:r>
    </w:p>
  </w:endnote>
  <w:endnote w:type="continuationSeparator" w:id="0">
    <w:p w14:paraId="0D6079F5" w14:textId="77777777" w:rsidR="0011433D" w:rsidRDefault="001143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2081886"/>
      <w:docPartObj>
        <w:docPartGallery w:val="Page Numbers (Bottom of Page)"/>
        <w:docPartUnique/>
      </w:docPartObj>
    </w:sdtPr>
    <w:sdtEndPr>
      <w:rPr>
        <w:noProof/>
        <w:sz w:val="16"/>
        <w:szCs w:val="22"/>
      </w:rPr>
    </w:sdtEndPr>
    <w:sdtContent>
      <w:p w14:paraId="0460E969" w14:textId="77777777"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BD0FF5">
          <w:rPr>
            <w:noProof/>
            <w:sz w:val="16"/>
            <w:szCs w:val="22"/>
          </w:rPr>
          <w:t>2</w:t>
        </w:r>
        <w:r w:rsidRPr="00934A2C">
          <w:rPr>
            <w:noProof/>
            <w:sz w:val="16"/>
            <w:szCs w:val="22"/>
          </w:rPr>
          <w:fldChar w:fldCharType="end"/>
        </w:r>
      </w:p>
    </w:sdtContent>
  </w:sdt>
  <w:p w14:paraId="14E72376" w14:textId="77777777" w:rsidR="0070697F" w:rsidRDefault="007069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40711" w14:textId="77777777" w:rsidR="0070697F" w:rsidRPr="00934A2C" w:rsidRDefault="0070697F">
    <w:pPr>
      <w:pStyle w:val="Footer"/>
      <w:jc w:val="center"/>
      <w:rPr>
        <w:sz w:val="16"/>
        <w:szCs w:val="22"/>
      </w:rPr>
    </w:pPr>
  </w:p>
  <w:p w14:paraId="46DFE2DB" w14:textId="77777777" w:rsidR="0070697F" w:rsidRDefault="007069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6FD1F0" w14:textId="77777777" w:rsidR="0011433D" w:rsidRPr="000F35ED" w:rsidRDefault="0011433D">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60332361" w14:textId="77777777" w:rsidR="0011433D" w:rsidRPr="000F35ED" w:rsidRDefault="0011433D" w:rsidP="000F35ED">
      <w:pPr>
        <w:rPr>
          <w:rFonts w:asciiTheme="majorHAnsi" w:hAnsiTheme="majorHAnsi"/>
          <w:sz w:val="16"/>
          <w:szCs w:val="16"/>
        </w:rPr>
      </w:pPr>
      <w:r w:rsidRPr="000F35ED">
        <w:rPr>
          <w:rFonts w:asciiTheme="majorHAnsi" w:hAnsiTheme="majorHAnsi"/>
          <w:sz w:val="16"/>
          <w:szCs w:val="16"/>
        </w:rPr>
        <w:separator/>
      </w:r>
    </w:p>
    <w:p w14:paraId="24E13BB9" w14:textId="77777777" w:rsidR="0011433D" w:rsidRPr="000F35ED" w:rsidRDefault="0011433D"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ontinuación</w:t>
      </w:r>
      <w:r>
        <w:rPr>
          <w:rFonts w:asciiTheme="majorHAnsi" w:hAnsiTheme="majorHAnsi"/>
          <w:sz w:val="16"/>
          <w:szCs w:val="16"/>
        </w:rPr>
        <w:t>]</w:t>
      </w:r>
    </w:p>
  </w:footnote>
  <w:footnote w:type="continuationNotice" w:id="1">
    <w:p w14:paraId="3D3E837C" w14:textId="77777777" w:rsidR="0011433D" w:rsidRPr="000F35ED" w:rsidRDefault="0011433D"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69F91D7A" w14:textId="3A4A17E9" w:rsidR="00C3031D" w:rsidRPr="00565C33" w:rsidRDefault="00C3031D" w:rsidP="00FF656E">
      <w:pPr>
        <w:pStyle w:val="FootnoteText"/>
        <w:ind w:firstLine="720"/>
        <w:jc w:val="both"/>
        <w:rPr>
          <w:rFonts w:asciiTheme="majorHAnsi" w:hAnsiTheme="majorHAnsi"/>
          <w:sz w:val="16"/>
          <w:szCs w:val="16"/>
          <w:lang w:val="es-US"/>
        </w:rPr>
      </w:pPr>
      <w:r w:rsidRPr="00565C33">
        <w:rPr>
          <w:rStyle w:val="FootnoteReference"/>
          <w:rFonts w:asciiTheme="majorHAnsi" w:hAnsiTheme="majorHAnsi"/>
          <w:sz w:val="16"/>
          <w:szCs w:val="16"/>
        </w:rPr>
        <w:footnoteRef/>
      </w:r>
      <w:r w:rsidRPr="00565C33">
        <w:rPr>
          <w:rFonts w:asciiTheme="majorHAnsi" w:hAnsiTheme="majorHAnsi"/>
          <w:sz w:val="16"/>
          <w:szCs w:val="16"/>
          <w:lang w:val="es-ES"/>
        </w:rPr>
        <w:t xml:space="preserve"> </w:t>
      </w:r>
      <w:r w:rsidR="00D73994" w:rsidRPr="00565C33">
        <w:rPr>
          <w:rFonts w:asciiTheme="majorHAnsi" w:hAnsiTheme="majorHAnsi"/>
          <w:sz w:val="16"/>
          <w:szCs w:val="16"/>
          <w:lang w:val="es-ES"/>
        </w:rPr>
        <w:t>El 13 de febrero de 2019 la CIDH</w:t>
      </w:r>
      <w:r w:rsidR="00FF656E" w:rsidRPr="00565C33">
        <w:rPr>
          <w:rFonts w:asciiTheme="majorHAnsi" w:hAnsiTheme="majorHAnsi"/>
          <w:sz w:val="16"/>
          <w:szCs w:val="16"/>
          <w:lang w:val="es-ES"/>
        </w:rPr>
        <w:t xml:space="preserve"> recibió, durante su 171° periodo ordinario de sesiones celebrado en Sucre, Bolivia, una solicitud de adhesión de nuevas presuntas víctimas. Dicho escrito fue presentado por </w:t>
      </w:r>
      <w:r w:rsidR="00FF656E" w:rsidRPr="00565C33">
        <w:rPr>
          <w:rFonts w:asciiTheme="majorHAnsi" w:hAnsiTheme="majorHAnsi"/>
          <w:sz w:val="16"/>
          <w:szCs w:val="16"/>
          <w:lang w:val="es-US"/>
        </w:rPr>
        <w:t xml:space="preserve">Jacinto Ticona Calle y Ángel Ballejos, identificados como presuntas víctimas en la petición inicial. Tras comunicar este escrito a las partes, el 12 de marzo de 2020 los peticionarios, </w:t>
      </w:r>
      <w:r w:rsidR="00FF656E" w:rsidRPr="00565C33">
        <w:rPr>
          <w:rFonts w:asciiTheme="majorHAnsi" w:hAnsiTheme="majorHAnsi"/>
          <w:bCs/>
          <w:sz w:val="16"/>
          <w:szCs w:val="16"/>
          <w:lang w:val="es-ES"/>
        </w:rPr>
        <w:t xml:space="preserve">Derechos en Acción </w:t>
      </w:r>
      <w:r w:rsidR="00B86957">
        <w:rPr>
          <w:rFonts w:asciiTheme="majorHAnsi" w:hAnsiTheme="majorHAnsi"/>
          <w:bCs/>
          <w:sz w:val="16"/>
          <w:szCs w:val="16"/>
          <w:lang w:val="es-ES"/>
        </w:rPr>
        <w:t xml:space="preserve">e </w:t>
      </w:r>
      <w:r w:rsidR="00FF656E" w:rsidRPr="00565C33">
        <w:rPr>
          <w:rFonts w:asciiTheme="majorHAnsi" w:hAnsiTheme="majorHAnsi"/>
          <w:bCs/>
          <w:sz w:val="16"/>
          <w:szCs w:val="16"/>
          <w:lang w:val="es-ES"/>
        </w:rPr>
        <w:t>ITEI, manifestaron</w:t>
      </w:r>
      <w:r w:rsidR="00D1465F" w:rsidRPr="00565C33">
        <w:rPr>
          <w:rFonts w:asciiTheme="majorHAnsi" w:hAnsiTheme="majorHAnsi"/>
          <w:bCs/>
          <w:sz w:val="16"/>
          <w:szCs w:val="16"/>
          <w:lang w:val="es-ES"/>
        </w:rPr>
        <w:t xml:space="preserve"> que no tenían objeción de que “</w:t>
      </w:r>
      <w:r w:rsidR="00D1465F" w:rsidRPr="00565C33">
        <w:rPr>
          <w:rFonts w:asciiTheme="majorHAnsi" w:hAnsiTheme="majorHAnsi"/>
          <w:bCs/>
          <w:i/>
          <w:iCs/>
          <w:sz w:val="16"/>
          <w:szCs w:val="16"/>
          <w:lang w:val="es-ES"/>
        </w:rPr>
        <w:t xml:space="preserve">las nuevas presuntas víctimas se adhirieran al presente trámite, habida de que estas personas habrían sido afectadas en el mismo cuadro de hechos violatorios que las víctimas que hasta hoy integran la petición </w:t>
      </w:r>
      <w:r w:rsidR="006738BB" w:rsidRPr="00565C33">
        <w:rPr>
          <w:rFonts w:asciiTheme="majorHAnsi" w:hAnsiTheme="majorHAnsi"/>
          <w:bCs/>
          <w:sz w:val="16"/>
          <w:szCs w:val="16"/>
          <w:lang w:val="es-ES"/>
        </w:rPr>
        <w:t>[</w:t>
      </w:r>
      <w:r w:rsidR="00D1465F" w:rsidRPr="00565C33">
        <w:rPr>
          <w:rFonts w:asciiTheme="majorHAnsi" w:hAnsiTheme="majorHAnsi"/>
          <w:bCs/>
          <w:sz w:val="16"/>
          <w:szCs w:val="16"/>
          <w:lang w:val="es-ES"/>
        </w:rPr>
        <w:t>…</w:t>
      </w:r>
      <w:r w:rsidR="006738BB" w:rsidRPr="00565C33">
        <w:rPr>
          <w:rFonts w:asciiTheme="majorHAnsi" w:hAnsiTheme="majorHAnsi"/>
          <w:bCs/>
          <w:sz w:val="16"/>
          <w:szCs w:val="16"/>
          <w:lang w:val="es-ES"/>
        </w:rPr>
        <w:t>]</w:t>
      </w:r>
      <w:r w:rsidR="00D1465F" w:rsidRPr="00565C33">
        <w:rPr>
          <w:rFonts w:asciiTheme="majorHAnsi" w:hAnsiTheme="majorHAnsi"/>
          <w:bCs/>
          <w:sz w:val="16"/>
          <w:szCs w:val="16"/>
          <w:lang w:val="es-ES"/>
        </w:rPr>
        <w:t>”. No obstante, precisaron que, tras no poder contactarse con las personas que enviaron la carta, “</w:t>
      </w:r>
      <w:r w:rsidR="00D1465F" w:rsidRPr="00565C33">
        <w:rPr>
          <w:rFonts w:asciiTheme="majorHAnsi" w:hAnsiTheme="majorHAnsi"/>
          <w:bCs/>
          <w:i/>
          <w:iCs/>
          <w:sz w:val="16"/>
          <w:szCs w:val="16"/>
          <w:lang w:val="es-ES"/>
        </w:rPr>
        <w:t>se ven imposibilitados de asumir la defensa legal de todas las presuntas víctimas</w:t>
      </w:r>
      <w:r w:rsidR="00D1465F" w:rsidRPr="00565C33">
        <w:rPr>
          <w:rFonts w:asciiTheme="majorHAnsi" w:hAnsiTheme="majorHAnsi"/>
          <w:bCs/>
          <w:sz w:val="16"/>
          <w:szCs w:val="16"/>
          <w:lang w:val="es-ES"/>
        </w:rPr>
        <w:t xml:space="preserve">”, al desconocer una serie de detalles fácticos y jurídicos sobre su situación. El Estado, por su parte, </w:t>
      </w:r>
      <w:r w:rsidR="006C7934" w:rsidRPr="00565C33">
        <w:rPr>
          <w:rFonts w:asciiTheme="majorHAnsi" w:hAnsiTheme="majorHAnsi"/>
          <w:bCs/>
          <w:sz w:val="16"/>
          <w:szCs w:val="16"/>
          <w:lang w:val="es-ES"/>
        </w:rPr>
        <w:t>expres</w:t>
      </w:r>
      <w:r w:rsidR="00565C33" w:rsidRPr="00565C33">
        <w:rPr>
          <w:rFonts w:asciiTheme="majorHAnsi" w:hAnsiTheme="majorHAnsi"/>
          <w:bCs/>
          <w:sz w:val="16"/>
          <w:szCs w:val="16"/>
          <w:lang w:val="es-ES"/>
        </w:rPr>
        <w:t>ó</w:t>
      </w:r>
      <w:r w:rsidR="006C7934" w:rsidRPr="00565C33">
        <w:rPr>
          <w:rFonts w:asciiTheme="majorHAnsi" w:hAnsiTheme="majorHAnsi"/>
          <w:bCs/>
          <w:sz w:val="16"/>
          <w:szCs w:val="16"/>
          <w:lang w:val="es-ES"/>
        </w:rPr>
        <w:t xml:space="preserve"> que la solicitud no cuenta con asidero legal, ya que la figura de la “adhesión” no se encuentra establecida en el Reglamento de la CIDH. Tomando en consideración que el escrito de inclusión de víctima fue presentado por una de las víctimas del presente caso, y tomando en consideración que las partes peticionarias no se oponen a su inclusión</w:t>
      </w:r>
      <w:r w:rsidR="00565C33" w:rsidRPr="00565C33">
        <w:rPr>
          <w:rFonts w:asciiTheme="majorHAnsi" w:hAnsiTheme="majorHAnsi"/>
          <w:bCs/>
          <w:sz w:val="16"/>
          <w:szCs w:val="16"/>
          <w:lang w:val="es-ES"/>
        </w:rPr>
        <w:t>,</w:t>
      </w:r>
      <w:r w:rsidR="006C7934" w:rsidRPr="00565C33">
        <w:rPr>
          <w:rFonts w:asciiTheme="majorHAnsi" w:hAnsiTheme="majorHAnsi"/>
          <w:bCs/>
          <w:sz w:val="16"/>
          <w:szCs w:val="16"/>
          <w:lang w:val="es-ES"/>
        </w:rPr>
        <w:t xml:space="preserve"> sin perjuicio de que no representen a tales personas en las siguientes etapas procesales</w:t>
      </w:r>
      <w:r w:rsidR="00565C33" w:rsidRPr="00565C33">
        <w:rPr>
          <w:rFonts w:asciiTheme="majorHAnsi" w:hAnsiTheme="majorHAnsi"/>
          <w:bCs/>
          <w:sz w:val="16"/>
          <w:szCs w:val="16"/>
          <w:lang w:val="es-ES"/>
        </w:rPr>
        <w:t xml:space="preserve">, </w:t>
      </w:r>
      <w:r w:rsidR="006C7934" w:rsidRPr="00565C33">
        <w:rPr>
          <w:rFonts w:asciiTheme="majorHAnsi" w:hAnsiTheme="majorHAnsi"/>
          <w:bCs/>
          <w:sz w:val="16"/>
          <w:szCs w:val="16"/>
          <w:lang w:val="es-ES"/>
        </w:rPr>
        <w:t xml:space="preserve">la CIDH tomará en consideración a </w:t>
      </w:r>
      <w:r w:rsidR="00565C33" w:rsidRPr="00565C33">
        <w:rPr>
          <w:rFonts w:asciiTheme="majorHAnsi" w:hAnsiTheme="majorHAnsi"/>
          <w:bCs/>
          <w:sz w:val="16"/>
          <w:szCs w:val="16"/>
          <w:lang w:val="es-ES"/>
        </w:rPr>
        <w:t>estas</w:t>
      </w:r>
      <w:r w:rsidR="006C7934" w:rsidRPr="00565C33">
        <w:rPr>
          <w:rFonts w:asciiTheme="majorHAnsi" w:hAnsiTheme="majorHAnsi"/>
          <w:bCs/>
          <w:sz w:val="16"/>
          <w:szCs w:val="16"/>
          <w:lang w:val="es-ES"/>
        </w:rPr>
        <w:t xml:space="preserve"> personas </w:t>
      </w:r>
      <w:r w:rsidR="00565C33" w:rsidRPr="00565C33">
        <w:rPr>
          <w:rFonts w:asciiTheme="majorHAnsi" w:hAnsiTheme="majorHAnsi"/>
          <w:bCs/>
          <w:sz w:val="16"/>
          <w:szCs w:val="16"/>
          <w:lang w:val="es-ES"/>
        </w:rPr>
        <w:t xml:space="preserve">en </w:t>
      </w:r>
      <w:r w:rsidR="006C7934" w:rsidRPr="00565C33">
        <w:rPr>
          <w:rFonts w:asciiTheme="majorHAnsi" w:hAnsiTheme="majorHAnsi"/>
          <w:bCs/>
          <w:sz w:val="16"/>
          <w:szCs w:val="16"/>
          <w:lang w:val="es-ES"/>
        </w:rPr>
        <w:t xml:space="preserve">el presente informe. El listado de presuntas víctimas está detallado en el Anexo. </w:t>
      </w:r>
    </w:p>
  </w:footnote>
  <w:footnote w:id="3">
    <w:p w14:paraId="0CF0631F" w14:textId="77777777" w:rsidR="00C40497" w:rsidRPr="00565C33" w:rsidRDefault="00C40497" w:rsidP="00C40497">
      <w:pPr>
        <w:pStyle w:val="FootnoteText"/>
        <w:ind w:firstLine="720"/>
        <w:rPr>
          <w:rFonts w:asciiTheme="majorHAnsi" w:hAnsiTheme="majorHAnsi"/>
          <w:color w:val="000000" w:themeColor="text1"/>
          <w:sz w:val="16"/>
          <w:szCs w:val="16"/>
          <w:lang w:val="es-ES"/>
        </w:rPr>
      </w:pPr>
      <w:r w:rsidRPr="00565C33">
        <w:rPr>
          <w:rStyle w:val="FootnoteReference"/>
          <w:rFonts w:asciiTheme="majorHAnsi" w:hAnsiTheme="majorHAnsi"/>
          <w:sz w:val="16"/>
          <w:szCs w:val="16"/>
        </w:rPr>
        <w:footnoteRef/>
      </w:r>
      <w:r w:rsidRPr="00565C33">
        <w:rPr>
          <w:rFonts w:asciiTheme="majorHAnsi" w:hAnsiTheme="majorHAnsi"/>
          <w:sz w:val="16"/>
          <w:szCs w:val="16"/>
          <w:lang w:val="es-ES"/>
        </w:rPr>
        <w:t xml:space="preserve"> En adelante “la Convención Americana” o “la Convención”</w:t>
      </w:r>
    </w:p>
  </w:footnote>
  <w:footnote w:id="4">
    <w:p w14:paraId="1AFEF3B0" w14:textId="05FCBB54" w:rsidR="008E3BFE" w:rsidRPr="00565C33" w:rsidRDefault="008E3BFE" w:rsidP="00306F33">
      <w:pPr>
        <w:pStyle w:val="FootnoteText"/>
        <w:ind w:firstLine="720"/>
        <w:jc w:val="both"/>
        <w:rPr>
          <w:rFonts w:asciiTheme="majorHAnsi" w:hAnsiTheme="majorHAnsi"/>
          <w:sz w:val="16"/>
          <w:szCs w:val="16"/>
          <w:lang w:val="es-ES"/>
        </w:rPr>
      </w:pPr>
      <w:r w:rsidRPr="00565C33">
        <w:rPr>
          <w:rStyle w:val="FootnoteReference"/>
          <w:rFonts w:asciiTheme="majorHAnsi" w:hAnsiTheme="majorHAnsi"/>
          <w:sz w:val="16"/>
          <w:szCs w:val="16"/>
        </w:rPr>
        <w:footnoteRef/>
      </w:r>
      <w:r w:rsidRPr="00565C33">
        <w:rPr>
          <w:rFonts w:asciiTheme="majorHAnsi" w:hAnsiTheme="majorHAnsi"/>
          <w:sz w:val="16"/>
          <w:szCs w:val="16"/>
          <w:lang w:val="es-ES"/>
        </w:rPr>
        <w:t xml:space="preserve"> Las observaciones de cada parte fueron debidamente trasladadas a la parte contraria.</w:t>
      </w:r>
      <w:r w:rsidR="009A56CE" w:rsidRPr="00565C33">
        <w:rPr>
          <w:rFonts w:asciiTheme="majorHAnsi" w:hAnsiTheme="majorHAnsi"/>
          <w:sz w:val="16"/>
          <w:szCs w:val="16"/>
          <w:lang w:val="es-ES"/>
        </w:rPr>
        <w:t xml:space="preserve"> </w:t>
      </w:r>
    </w:p>
  </w:footnote>
  <w:footnote w:id="5">
    <w:p w14:paraId="16C3AEC5" w14:textId="002A6C73" w:rsidR="002735C4" w:rsidRPr="002735C4" w:rsidRDefault="002735C4" w:rsidP="002735C4">
      <w:pPr>
        <w:pStyle w:val="FootnoteText"/>
        <w:ind w:firstLine="720"/>
        <w:jc w:val="both"/>
        <w:rPr>
          <w:rFonts w:asciiTheme="majorHAnsi" w:hAnsiTheme="majorHAnsi"/>
          <w:sz w:val="16"/>
          <w:szCs w:val="16"/>
          <w:lang w:val="es-ES"/>
        </w:rPr>
      </w:pPr>
      <w:r w:rsidRPr="002735C4">
        <w:rPr>
          <w:rStyle w:val="FootnoteReference"/>
          <w:rFonts w:asciiTheme="majorHAnsi" w:hAnsiTheme="majorHAnsi"/>
          <w:sz w:val="16"/>
          <w:szCs w:val="16"/>
        </w:rPr>
        <w:footnoteRef/>
      </w:r>
      <w:r w:rsidRPr="002735C4">
        <w:rPr>
          <w:rFonts w:asciiTheme="majorHAnsi" w:hAnsiTheme="majorHAnsi"/>
          <w:sz w:val="16"/>
          <w:szCs w:val="16"/>
          <w:lang w:val="es-ES"/>
        </w:rPr>
        <w:t xml:space="preserve"> En adelante la “Convención Belém Do Pará” </w:t>
      </w:r>
    </w:p>
  </w:footnote>
  <w:footnote w:id="6">
    <w:p w14:paraId="01B82E32" w14:textId="77777777" w:rsidR="00C072C0" w:rsidRPr="00565C33" w:rsidRDefault="00C072C0" w:rsidP="00C072C0">
      <w:pPr>
        <w:pBdr>
          <w:top w:val="none" w:sz="0" w:space="0" w:color="auto"/>
          <w:left w:val="none" w:sz="0" w:space="0" w:color="auto"/>
          <w:bottom w:val="none" w:sz="0" w:space="0" w:color="auto"/>
          <w:right w:val="none" w:sz="0" w:space="0" w:color="auto"/>
          <w:between w:val="none" w:sz="0" w:space="0" w:color="auto"/>
          <w:bar w:val="none" w:sz="0" w:color="auto"/>
        </w:pBdr>
        <w:suppressAutoHyphens/>
        <w:ind w:firstLine="720"/>
        <w:jc w:val="both"/>
        <w:rPr>
          <w:rFonts w:asciiTheme="majorHAnsi" w:hAnsiTheme="majorHAnsi"/>
          <w:sz w:val="16"/>
          <w:szCs w:val="16"/>
          <w:lang w:val="es-ES_tradnl"/>
        </w:rPr>
      </w:pPr>
      <w:r w:rsidRPr="00565C33">
        <w:rPr>
          <w:rStyle w:val="FootnoteReference"/>
          <w:rFonts w:asciiTheme="majorHAnsi" w:hAnsiTheme="majorHAnsi"/>
          <w:sz w:val="16"/>
          <w:szCs w:val="16"/>
        </w:rPr>
        <w:footnoteRef/>
      </w:r>
      <w:r w:rsidRPr="00565C33">
        <w:rPr>
          <w:rFonts w:asciiTheme="majorHAnsi" w:hAnsiTheme="majorHAnsi"/>
          <w:sz w:val="16"/>
          <w:szCs w:val="16"/>
          <w:lang w:val="es-ES"/>
        </w:rPr>
        <w:t xml:space="preserve"> En concreto, detalla que participaron </w:t>
      </w:r>
      <w:r w:rsidRPr="00565C33">
        <w:rPr>
          <w:rFonts w:asciiTheme="majorHAnsi" w:hAnsiTheme="majorHAnsi"/>
          <w:sz w:val="16"/>
          <w:szCs w:val="16"/>
          <w:lang w:val="es-ES_tradnl"/>
        </w:rPr>
        <w:t>el rector de la Universidad Mayor, Real y Pontificia de San Francisco Xavier Chuquisaca, el presidente del Comité Interinstitucional para la Defensa de la Capitalía, la alcaldesa del Municipio de Sucre, el presidente del Concejo Municipal de Sucre; y el presidente del Comité Cívico de intereses de Chuquisaca</w:t>
      </w:r>
    </w:p>
  </w:footnote>
  <w:footnote w:id="7">
    <w:p w14:paraId="051CD81F" w14:textId="70F86524" w:rsidR="0035670B" w:rsidRPr="003828E9" w:rsidRDefault="0035670B" w:rsidP="00CD5F1B">
      <w:pPr>
        <w:pStyle w:val="FootnoteText"/>
        <w:ind w:firstLine="720"/>
        <w:rPr>
          <w:rFonts w:asciiTheme="majorHAnsi" w:hAnsiTheme="majorHAnsi"/>
          <w:sz w:val="16"/>
          <w:szCs w:val="16"/>
          <w:lang w:val="es-ES_tradnl"/>
        </w:rPr>
      </w:pPr>
      <w:r w:rsidRPr="00565C33">
        <w:rPr>
          <w:rStyle w:val="FootnoteReference"/>
          <w:rFonts w:asciiTheme="majorHAnsi" w:hAnsiTheme="majorHAnsi"/>
          <w:sz w:val="16"/>
          <w:szCs w:val="16"/>
        </w:rPr>
        <w:footnoteRef/>
      </w:r>
      <w:r w:rsidRPr="00565C33">
        <w:rPr>
          <w:rFonts w:asciiTheme="majorHAnsi" w:hAnsiTheme="majorHAnsi"/>
          <w:sz w:val="16"/>
          <w:szCs w:val="16"/>
          <w:lang w:val="es-ES"/>
        </w:rPr>
        <w:t xml:space="preserve"> En concreto, </w:t>
      </w:r>
      <w:r w:rsidRPr="003828E9">
        <w:rPr>
          <w:rFonts w:asciiTheme="majorHAnsi" w:hAnsiTheme="majorHAnsi"/>
          <w:sz w:val="16"/>
          <w:szCs w:val="16"/>
          <w:lang w:val="es-ES_tradnl"/>
        </w:rPr>
        <w:t>Epifania Donata Terrazas Mostacedo, Flavio Huallpa Flores, José Hugo Paniagua Arancibia, Robert Lenin Sandoval Lopez, Franz Quispe Fernández y Cristhian Jaime Flores Vedia.</w:t>
      </w:r>
    </w:p>
  </w:footnote>
  <w:footnote w:id="8">
    <w:p w14:paraId="7920FD1A" w14:textId="1F5BE1E0" w:rsidR="00CD5F1B" w:rsidRPr="003828E9" w:rsidRDefault="00CD5F1B" w:rsidP="00CD5F1B">
      <w:pPr>
        <w:pStyle w:val="NormalWeb"/>
        <w:spacing w:before="0" w:beforeAutospacing="0" w:after="0" w:afterAutospacing="0"/>
        <w:ind w:firstLine="720"/>
        <w:jc w:val="both"/>
        <w:rPr>
          <w:rFonts w:asciiTheme="majorHAnsi" w:hAnsiTheme="majorHAnsi"/>
          <w:sz w:val="16"/>
          <w:szCs w:val="16"/>
          <w:lang w:val="es-ES_tradnl"/>
        </w:rPr>
      </w:pPr>
      <w:r w:rsidRPr="00565C33">
        <w:rPr>
          <w:rStyle w:val="FootnoteReference"/>
          <w:rFonts w:asciiTheme="majorHAnsi" w:hAnsiTheme="majorHAnsi"/>
          <w:sz w:val="16"/>
          <w:szCs w:val="16"/>
        </w:rPr>
        <w:footnoteRef/>
      </w:r>
      <w:r w:rsidRPr="003828E9">
        <w:rPr>
          <w:rFonts w:asciiTheme="majorHAnsi" w:hAnsiTheme="majorHAnsi"/>
          <w:sz w:val="16"/>
          <w:szCs w:val="16"/>
          <w:lang w:val="es-ES_tradnl"/>
        </w:rPr>
        <w:t xml:space="preserve"> En específico, </w:t>
      </w:r>
      <w:r w:rsidRPr="003828E9">
        <w:rPr>
          <w:rFonts w:asciiTheme="majorHAnsi" w:hAnsiTheme="majorHAnsi" w:cs="Calibri"/>
          <w:sz w:val="16"/>
          <w:szCs w:val="16"/>
          <w:lang w:val="es-ES_tradnl"/>
        </w:rPr>
        <w:t xml:space="preserve">Luis Jaime Barrón Poveda, Savina Cuellar Leaños, Luis Fidel Herrera Ressini, Aydee Nava Andrade, Jhon Clive Cava Chavez, Epifania Donata Terrazas Mostacedo, Jamill Pillco Calvimontes, Robert Lenin Sandoval Lopez, Juan Antonio Jesús Mendoza, Cristian Jaime Flores Vedia, José Hugo Paniagua Arancibia, Flavio Huallpa Flores, Eivar Miguel Díaz Gutiérrez, Miguel Rodrigo Anzaldo Taboada, Juan Carlos Zambrana Daza, Franz Quispe Fernández, Iván Álvaro Ríos Escalier. </w:t>
      </w:r>
    </w:p>
  </w:footnote>
  <w:footnote w:id="9">
    <w:p w14:paraId="53F5A3D7" w14:textId="77777777" w:rsidR="00FF27DE" w:rsidRPr="003828E9" w:rsidRDefault="00FF27DE" w:rsidP="00640BD3">
      <w:pPr>
        <w:pStyle w:val="NormalWeb"/>
        <w:spacing w:before="0" w:beforeAutospacing="0" w:after="0" w:afterAutospacing="0"/>
        <w:ind w:firstLine="720"/>
        <w:jc w:val="both"/>
        <w:rPr>
          <w:rFonts w:asciiTheme="majorHAnsi" w:hAnsiTheme="majorHAnsi"/>
          <w:sz w:val="16"/>
          <w:szCs w:val="16"/>
          <w:lang w:val="es-ES"/>
        </w:rPr>
      </w:pPr>
      <w:r w:rsidRPr="00565C33">
        <w:rPr>
          <w:rStyle w:val="FootnoteReference"/>
          <w:rFonts w:asciiTheme="majorHAnsi" w:hAnsiTheme="majorHAnsi"/>
          <w:sz w:val="16"/>
          <w:szCs w:val="16"/>
        </w:rPr>
        <w:footnoteRef/>
      </w:r>
      <w:r w:rsidRPr="003828E9">
        <w:rPr>
          <w:rFonts w:asciiTheme="majorHAnsi" w:hAnsiTheme="majorHAnsi"/>
          <w:sz w:val="16"/>
          <w:szCs w:val="16"/>
          <w:lang w:val="es-ES"/>
        </w:rPr>
        <w:t xml:space="preserve"> </w:t>
      </w:r>
      <w:r w:rsidRPr="00565C33">
        <w:rPr>
          <w:rFonts w:asciiTheme="majorHAnsi" w:hAnsiTheme="majorHAnsi"/>
          <w:sz w:val="16"/>
          <w:szCs w:val="16"/>
          <w:lang w:val="es-ES"/>
        </w:rPr>
        <w:t xml:space="preserve">En concreto, </w:t>
      </w:r>
      <w:r w:rsidRPr="003828E9">
        <w:rPr>
          <w:rFonts w:asciiTheme="majorHAnsi" w:hAnsiTheme="majorHAnsi" w:cs="Calibri"/>
          <w:sz w:val="16"/>
          <w:szCs w:val="16"/>
          <w:lang w:val="es-ES"/>
        </w:rPr>
        <w:t xml:space="preserve">Antonio Aguilar Saavedra, Juan Antonio Jesús Mendoza, Iván Álvaro Ríos Escalier. </w:t>
      </w:r>
    </w:p>
  </w:footnote>
  <w:footnote w:id="10">
    <w:p w14:paraId="620AE4B0" w14:textId="1A238F4B" w:rsidR="000B4ED1" w:rsidRPr="00565C33" w:rsidRDefault="000B4ED1" w:rsidP="00ED7424">
      <w:pPr>
        <w:pStyle w:val="FootnoteText"/>
        <w:ind w:firstLine="720"/>
        <w:jc w:val="both"/>
        <w:rPr>
          <w:rFonts w:asciiTheme="majorHAnsi" w:hAnsiTheme="majorHAnsi"/>
          <w:sz w:val="16"/>
          <w:szCs w:val="16"/>
          <w:lang w:val="es-ES"/>
        </w:rPr>
      </w:pPr>
      <w:r w:rsidRPr="00565C33">
        <w:rPr>
          <w:rStyle w:val="FootnoteReference"/>
          <w:rFonts w:asciiTheme="majorHAnsi" w:hAnsiTheme="majorHAnsi"/>
          <w:sz w:val="16"/>
          <w:szCs w:val="16"/>
        </w:rPr>
        <w:footnoteRef/>
      </w:r>
      <w:r w:rsidRPr="00565C33">
        <w:rPr>
          <w:rFonts w:asciiTheme="majorHAnsi" w:hAnsiTheme="majorHAnsi"/>
          <w:sz w:val="16"/>
          <w:szCs w:val="16"/>
          <w:lang w:val="es-ES"/>
        </w:rPr>
        <w:t xml:space="preserve"> Alto</w:t>
      </w:r>
      <w:r w:rsidR="00ED7424" w:rsidRPr="00565C33">
        <w:rPr>
          <w:rFonts w:asciiTheme="majorHAnsi" w:hAnsiTheme="majorHAnsi"/>
          <w:sz w:val="16"/>
          <w:szCs w:val="16"/>
          <w:lang w:val="es-ES"/>
        </w:rPr>
        <w:t xml:space="preserve"> Comisionada de las Naciones Unidas para los Derechos Humanos, Informe Anual</w:t>
      </w:r>
      <w:r w:rsidRPr="00565C33">
        <w:rPr>
          <w:rFonts w:asciiTheme="majorHAnsi" w:hAnsiTheme="majorHAnsi"/>
          <w:sz w:val="16"/>
          <w:szCs w:val="16"/>
          <w:lang w:val="es-ES"/>
        </w:rPr>
        <w:t>,</w:t>
      </w:r>
      <w:r w:rsidR="00ED7424" w:rsidRPr="00565C33">
        <w:rPr>
          <w:rFonts w:asciiTheme="majorHAnsi" w:hAnsiTheme="majorHAnsi"/>
          <w:sz w:val="16"/>
          <w:szCs w:val="16"/>
          <w:lang w:val="es-ES"/>
        </w:rPr>
        <w:t xml:space="preserve"> A/HRC/25/19/Add.2, 5 de marzo de 2014,</w:t>
      </w:r>
      <w:r w:rsidRPr="00565C33">
        <w:rPr>
          <w:rFonts w:asciiTheme="majorHAnsi" w:hAnsiTheme="majorHAnsi"/>
          <w:sz w:val="16"/>
          <w:szCs w:val="16"/>
          <w:lang w:val="es-ES"/>
        </w:rPr>
        <w:t xml:space="preserve"> párraf</w:t>
      </w:r>
      <w:r w:rsidR="00ED7424" w:rsidRPr="00565C33">
        <w:rPr>
          <w:rFonts w:asciiTheme="majorHAnsi" w:hAnsiTheme="majorHAnsi"/>
          <w:sz w:val="16"/>
          <w:szCs w:val="16"/>
          <w:lang w:val="es-ES"/>
        </w:rPr>
        <w:t>o 60.</w:t>
      </w:r>
    </w:p>
  </w:footnote>
  <w:footnote w:id="11">
    <w:p w14:paraId="7AFEE464" w14:textId="2DA6A9F9" w:rsidR="00640BD3" w:rsidRPr="00565C33" w:rsidRDefault="00640BD3" w:rsidP="00640BD3">
      <w:pPr>
        <w:pStyle w:val="FootnoteText"/>
        <w:ind w:firstLine="720"/>
        <w:jc w:val="both"/>
        <w:rPr>
          <w:rFonts w:asciiTheme="majorHAnsi" w:hAnsiTheme="majorHAnsi"/>
          <w:sz w:val="16"/>
          <w:szCs w:val="16"/>
          <w:lang w:val="es-ES"/>
        </w:rPr>
      </w:pPr>
      <w:r w:rsidRPr="00565C33">
        <w:rPr>
          <w:rStyle w:val="FootnoteReference"/>
          <w:rFonts w:asciiTheme="majorHAnsi" w:hAnsiTheme="majorHAnsi"/>
          <w:sz w:val="16"/>
          <w:szCs w:val="16"/>
        </w:rPr>
        <w:footnoteRef/>
      </w:r>
      <w:r w:rsidRPr="00565C33">
        <w:rPr>
          <w:rFonts w:asciiTheme="majorHAnsi" w:hAnsiTheme="majorHAnsi"/>
          <w:sz w:val="16"/>
          <w:szCs w:val="16"/>
          <w:lang w:val="es-ES"/>
        </w:rPr>
        <w:t xml:space="preserve"> </w:t>
      </w:r>
      <w:r w:rsidRPr="00565C33">
        <w:rPr>
          <w:rFonts w:asciiTheme="majorHAnsi" w:hAnsiTheme="majorHAnsi"/>
          <w:sz w:val="16"/>
          <w:szCs w:val="16"/>
          <w:lang w:val="es-ES_tradnl"/>
        </w:rPr>
        <w:t>Ley 1836, Ley del Tribunal Constitucional</w:t>
      </w:r>
      <w:r w:rsidRPr="00565C33">
        <w:rPr>
          <w:rFonts w:asciiTheme="majorHAnsi" w:hAnsiTheme="majorHAnsi"/>
          <w:sz w:val="16"/>
          <w:szCs w:val="16"/>
          <w:lang w:val="es-ES"/>
        </w:rPr>
        <w:t>. Artículo 96.- Improcedencia. - El Recurso de Amparo no procederá contra: 1) Las Resoluciones cuya ejecución estuviere suspendida por efecto de algún medio de defensa o recurso ordinario o extraordinario interpuesto con anterioridad por el recurrente y en cuya virtud pudieran ser revisadas, modificadas, revocadas o anuladas. 2) Cuando se hubiere interpuesto anteriormente un recurso constitucional con identidad de sujeto, objeto y causa y contra los actos consentidos libre y expresamente o cuando hubieren cesado los efectos del acto reclamado. 3) Las resoluciones judiciales que por cualquier otro recurso puedan ser modificadas o suprimidas aún cuando no se haya hecho uso oportuno de dicho recurso. Artículo 97.- Forma y contenido del recurso. - El recurso será presentado por escrito con el cumplimiento de los siguientes requisitos de contenido: I. Acreditar la personería del recurrente; II. Nombre y domicilio de la parte recurrida o de su representante legal. III. Exponer con precisión y claridad los hechos que le sirvan de fundamento. IV. Precisar los derechos o garantías que se consideren restringidos, suprimidos o amenazados. V. Acompañar las pruebas en que se funda la pretensión; y, VI. Fijar con precisión el amparo que se solicita para preservar o restablecer el derecho o la garantía vulnerados o amenazados.</w:t>
      </w:r>
    </w:p>
  </w:footnote>
  <w:footnote w:id="12">
    <w:p w14:paraId="027AC8C5" w14:textId="386A994A" w:rsidR="005D11B4" w:rsidRPr="00CC0611" w:rsidRDefault="005D11B4" w:rsidP="00CC0611">
      <w:pPr>
        <w:pStyle w:val="FootnoteText"/>
        <w:ind w:firstLine="720"/>
        <w:jc w:val="both"/>
        <w:rPr>
          <w:rFonts w:asciiTheme="majorHAnsi" w:hAnsiTheme="majorHAnsi"/>
          <w:sz w:val="16"/>
          <w:szCs w:val="16"/>
          <w:lang w:val="es-ES"/>
        </w:rPr>
      </w:pPr>
      <w:r w:rsidRPr="00CC0611">
        <w:rPr>
          <w:rStyle w:val="FootnoteReference"/>
          <w:rFonts w:asciiTheme="majorHAnsi" w:hAnsiTheme="majorHAnsi"/>
          <w:sz w:val="16"/>
          <w:szCs w:val="16"/>
        </w:rPr>
        <w:footnoteRef/>
      </w:r>
      <w:r w:rsidRPr="00CC0611">
        <w:rPr>
          <w:rFonts w:asciiTheme="majorHAnsi" w:hAnsiTheme="majorHAnsi"/>
          <w:sz w:val="16"/>
          <w:szCs w:val="16"/>
          <w:lang w:val="es-ES"/>
        </w:rPr>
        <w:t xml:space="preserve"> </w:t>
      </w:r>
      <w:r w:rsidR="00CC0611" w:rsidRPr="00CC0611">
        <w:rPr>
          <w:rFonts w:asciiTheme="majorHAnsi" w:hAnsiTheme="majorHAnsi"/>
          <w:sz w:val="16"/>
          <w:szCs w:val="16"/>
          <w:lang w:val="es-ES"/>
        </w:rPr>
        <w:t>Código de Procedimiento Penal</w:t>
      </w:r>
      <w:r w:rsidR="00CC0611">
        <w:rPr>
          <w:rFonts w:asciiTheme="majorHAnsi" w:hAnsiTheme="majorHAnsi"/>
          <w:sz w:val="16"/>
          <w:szCs w:val="16"/>
          <w:lang w:val="es-ES"/>
        </w:rPr>
        <w:t>.</w:t>
      </w:r>
      <w:r w:rsidR="00CC0611" w:rsidRPr="00CC0611">
        <w:rPr>
          <w:rFonts w:asciiTheme="majorHAnsi" w:hAnsiTheme="majorHAnsi"/>
          <w:sz w:val="16"/>
          <w:szCs w:val="16"/>
          <w:lang w:val="es-ES"/>
        </w:rPr>
        <w:t xml:space="preserve"> Artículo 133º.- (Duración máxima del proceso). Todo proceso tendrá una duración máxima de tres años, contados desde el primer acto del procedimiento, salvo el caso de rebeldía.</w:t>
      </w:r>
      <w:r w:rsidR="00CC0611">
        <w:rPr>
          <w:rFonts w:asciiTheme="majorHAnsi" w:hAnsiTheme="majorHAnsi"/>
          <w:sz w:val="16"/>
          <w:szCs w:val="16"/>
          <w:lang w:val="es-ES"/>
        </w:rPr>
        <w:t xml:space="preserve"> (…)</w:t>
      </w:r>
    </w:p>
  </w:footnote>
  <w:footnote w:id="13">
    <w:p w14:paraId="5A6C1FE5" w14:textId="2C752024" w:rsidR="00CC0611" w:rsidRPr="00CC0611" w:rsidRDefault="00CC0611" w:rsidP="00CC0611">
      <w:pPr>
        <w:pStyle w:val="FootnoteText"/>
        <w:ind w:firstLine="720"/>
        <w:jc w:val="both"/>
        <w:rPr>
          <w:rFonts w:asciiTheme="majorHAnsi" w:hAnsiTheme="majorHAnsi"/>
          <w:sz w:val="16"/>
          <w:szCs w:val="16"/>
          <w:lang w:val="es-ES"/>
        </w:rPr>
      </w:pPr>
      <w:r w:rsidRPr="00CC0611">
        <w:rPr>
          <w:rStyle w:val="FootnoteReference"/>
          <w:rFonts w:asciiTheme="majorHAnsi" w:hAnsiTheme="majorHAnsi"/>
          <w:sz w:val="16"/>
          <w:szCs w:val="16"/>
        </w:rPr>
        <w:footnoteRef/>
      </w:r>
      <w:r w:rsidRPr="00CC0611">
        <w:rPr>
          <w:rFonts w:asciiTheme="majorHAnsi" w:hAnsiTheme="majorHAnsi"/>
          <w:sz w:val="16"/>
          <w:szCs w:val="16"/>
          <w:lang w:val="es-ES"/>
        </w:rPr>
        <w:t xml:space="preserve"> Código Penal. Artículo 295.- Vejaciones y torturas. Será sancionado con privación de libertad de seis meses (6) a dos (2) años, el funcionario que vejare, ordenare o permitiere vejar a un detenido. La pena será de privación de libertad de dos a cuatro años, si le infligiere cualquier especie de tormentos o torturas. Si éstas causaren lesiones, la pena será privación de libertad de dos (2) a seis (6) años; y si causaren la muerte, se aplicará la pena de presidio de diez (10 años).</w:t>
      </w:r>
    </w:p>
  </w:footnote>
  <w:footnote w:id="14">
    <w:p w14:paraId="25D17A3F" w14:textId="043A05B6" w:rsidR="00D116B1" w:rsidRPr="00565C33" w:rsidRDefault="00D116B1" w:rsidP="00CF3C53">
      <w:pPr>
        <w:pStyle w:val="FootnoteText"/>
        <w:ind w:firstLine="720"/>
        <w:jc w:val="both"/>
        <w:rPr>
          <w:rFonts w:asciiTheme="majorHAnsi" w:hAnsiTheme="majorHAnsi"/>
          <w:sz w:val="16"/>
          <w:szCs w:val="16"/>
          <w:lang w:val="es-ES"/>
        </w:rPr>
      </w:pPr>
      <w:r w:rsidRPr="00565C33">
        <w:rPr>
          <w:rStyle w:val="FootnoteReference"/>
          <w:rFonts w:asciiTheme="majorHAnsi" w:hAnsiTheme="majorHAnsi"/>
          <w:sz w:val="16"/>
          <w:szCs w:val="16"/>
        </w:rPr>
        <w:footnoteRef/>
      </w:r>
      <w:r w:rsidRPr="00565C33">
        <w:rPr>
          <w:rFonts w:asciiTheme="majorHAnsi" w:hAnsiTheme="majorHAnsi"/>
          <w:sz w:val="16"/>
          <w:szCs w:val="16"/>
          <w:lang w:val="es-ES"/>
        </w:rPr>
        <w:t xml:space="preserve"> Ley 464</w:t>
      </w:r>
      <w:r w:rsidR="00CF3C53" w:rsidRPr="00565C33">
        <w:rPr>
          <w:rFonts w:asciiTheme="majorHAnsi" w:hAnsiTheme="majorHAnsi"/>
          <w:sz w:val="16"/>
          <w:szCs w:val="16"/>
          <w:lang w:val="es-ES"/>
        </w:rPr>
        <w:t xml:space="preserve">, Ley </w:t>
      </w:r>
      <w:r w:rsidRPr="00565C33">
        <w:rPr>
          <w:rFonts w:asciiTheme="majorHAnsi" w:hAnsiTheme="majorHAnsi"/>
          <w:sz w:val="16"/>
          <w:szCs w:val="16"/>
          <w:lang w:val="es-ES"/>
        </w:rPr>
        <w:t>del Servicio Plurinacional de Asistencia a la Víctima.</w:t>
      </w:r>
      <w:r w:rsidR="00CF3C53" w:rsidRPr="00565C33">
        <w:rPr>
          <w:rFonts w:asciiTheme="majorHAnsi" w:hAnsiTheme="majorHAnsi"/>
          <w:sz w:val="16"/>
          <w:szCs w:val="16"/>
          <w:lang w:val="es-ES"/>
        </w:rPr>
        <w:t xml:space="preserve"> Artículo 29. Artículo 29°.- (Funciones del patrocinante) La Abogada o el Abogado patrocinante, tiene las siguientes funciones: 1) Proporcionar a la víctima orientación legal e información oportuna durante el desarrollo del proceso penal. 2) Ejercer defensa técnica sin necesidad de representación, con todas las facultades procesales contempladas en la Ley. 3) Gestionar el establecimiento de condiciones especiales de trato diferenciado para la recepción del testimonio de la víctima de delito contra la integridad sexual o cuando ésta sea menor de edad. 4) Realizar actuaciones oportunas de intervención para agotar la acción penal y evitar la revictimización. 5) Solicitar actuaciones procesales para la adopción de medidas de protección judicial y extrajudicial. 6) Solicitar la reparación del daño sufrido por la víctima y la indemnización de los perjuicios. 7) Cumplir otras actividades asignadas por la Directora o el Director General Ejecutivo, y la Coordinadora o el Coordinador Departamental, relacionada con el ejercicio de sus funciones. 8) Articular sus acciones con las o los profesionales que integran el Servicio, en procura de la mejor defensa y asistencia integral a la víctima. 9. Otras establecidas por reglamento</w:t>
      </w:r>
    </w:p>
  </w:footnote>
  <w:footnote w:id="15">
    <w:p w14:paraId="08C8AC44" w14:textId="41C6F428" w:rsidR="00B218ED" w:rsidRPr="00565C33" w:rsidRDefault="00B218ED" w:rsidP="00B47EAE">
      <w:pPr>
        <w:pStyle w:val="FootnoteText"/>
        <w:ind w:firstLine="720"/>
        <w:jc w:val="both"/>
        <w:rPr>
          <w:rFonts w:asciiTheme="majorHAnsi" w:hAnsiTheme="majorHAnsi"/>
          <w:sz w:val="16"/>
          <w:szCs w:val="16"/>
          <w:lang w:val="es-ES"/>
        </w:rPr>
      </w:pPr>
      <w:r w:rsidRPr="00565C33">
        <w:rPr>
          <w:rStyle w:val="FootnoteReference"/>
          <w:rFonts w:asciiTheme="majorHAnsi" w:hAnsiTheme="majorHAnsi"/>
          <w:sz w:val="16"/>
          <w:szCs w:val="16"/>
        </w:rPr>
        <w:footnoteRef/>
      </w:r>
      <w:r w:rsidRPr="00565C33">
        <w:rPr>
          <w:rFonts w:asciiTheme="majorHAnsi" w:hAnsiTheme="majorHAnsi"/>
          <w:sz w:val="16"/>
          <w:szCs w:val="16"/>
          <w:lang w:val="es-ES"/>
        </w:rPr>
        <w:t xml:space="preserve"> </w:t>
      </w:r>
      <w:r w:rsidR="00331F85" w:rsidRPr="00565C33">
        <w:rPr>
          <w:rFonts w:asciiTheme="majorHAnsi" w:hAnsiTheme="majorHAnsi"/>
          <w:sz w:val="16"/>
          <w:szCs w:val="16"/>
          <w:lang w:val="es-ES"/>
        </w:rPr>
        <w:t xml:space="preserve">Código de Procedimiento Penal. </w:t>
      </w:r>
      <w:r w:rsidRPr="003828E9">
        <w:rPr>
          <w:rFonts w:asciiTheme="majorHAnsi" w:hAnsiTheme="majorHAnsi"/>
          <w:sz w:val="16"/>
          <w:szCs w:val="16"/>
          <w:lang w:val="es-ES"/>
        </w:rPr>
        <w:t>Artículo 403º.- (Resoluciones apelables) El recurso de apelación incidental procederá contra las siguientes resoluciones: 1. La que resuelve la suspensión condicional del proceso; 2. La que resuelve una excepción; 3. La que resuelve medidas cautelares o su sustitución; 4. La que desestime la querella en delitos de acción privada; 5. La que resuelve la objeción de la querella; 6. La que declara la extinción de la acción penal;</w:t>
      </w:r>
      <w:r w:rsidRPr="00565C33">
        <w:rPr>
          <w:rFonts w:asciiTheme="majorHAnsi" w:hAnsiTheme="majorHAnsi"/>
          <w:sz w:val="16"/>
          <w:szCs w:val="16"/>
          <w:lang w:val="es-ES"/>
        </w:rPr>
        <w:t xml:space="preserve"> </w:t>
      </w:r>
      <w:r w:rsidRPr="003828E9">
        <w:rPr>
          <w:rFonts w:asciiTheme="majorHAnsi" w:hAnsiTheme="majorHAnsi"/>
          <w:sz w:val="16"/>
          <w:szCs w:val="16"/>
          <w:lang w:val="es-ES"/>
        </w:rPr>
        <w:t>7. La que conceda, revoque o rechace la libertad condicional; 8. La que niegue o revoque la solicitud de ampliación de la etapa preparatoria en delitos relacionados con organizaciones criminales; 9. La que admita o niegue la suspensión o extinción de la pena, 10. La que resuelva la reparación del daño; y; 11. Las demás señaladas por este Código</w:t>
      </w:r>
      <w:r w:rsidRPr="00565C33">
        <w:rPr>
          <w:rFonts w:asciiTheme="majorHAnsi" w:hAnsiTheme="majorHAnsi"/>
          <w:sz w:val="16"/>
          <w:szCs w:val="16"/>
          <w:lang w:val="es-ES"/>
        </w:rPr>
        <w:t>.</w:t>
      </w:r>
    </w:p>
  </w:footnote>
  <w:footnote w:id="16">
    <w:p w14:paraId="2F76C4A8" w14:textId="583E478E" w:rsidR="00331F85" w:rsidRPr="003828E9" w:rsidRDefault="00331F85" w:rsidP="00331F85">
      <w:pPr>
        <w:ind w:firstLine="720"/>
        <w:jc w:val="both"/>
        <w:rPr>
          <w:rFonts w:asciiTheme="majorHAnsi" w:eastAsia="Times New Roman" w:hAnsiTheme="majorHAnsi"/>
          <w:sz w:val="16"/>
          <w:szCs w:val="16"/>
          <w:bdr w:val="none" w:sz="0" w:space="0" w:color="auto"/>
          <w:lang w:val="es-ES"/>
        </w:rPr>
      </w:pPr>
      <w:r w:rsidRPr="00565C33">
        <w:rPr>
          <w:rStyle w:val="FootnoteReference"/>
          <w:rFonts w:asciiTheme="majorHAnsi" w:hAnsiTheme="majorHAnsi"/>
          <w:sz w:val="16"/>
          <w:szCs w:val="16"/>
        </w:rPr>
        <w:footnoteRef/>
      </w:r>
      <w:r w:rsidRPr="00565C33">
        <w:rPr>
          <w:rFonts w:asciiTheme="majorHAnsi" w:hAnsiTheme="majorHAnsi"/>
          <w:sz w:val="16"/>
          <w:szCs w:val="16"/>
          <w:lang w:val="es-ES"/>
        </w:rPr>
        <w:t xml:space="preserve"> Código de Procedimiento Penal. </w:t>
      </w:r>
      <w:r w:rsidRPr="003828E9">
        <w:rPr>
          <w:rFonts w:asciiTheme="majorHAnsi" w:eastAsia="Times New Roman" w:hAnsiTheme="majorHAnsi"/>
          <w:sz w:val="16"/>
          <w:szCs w:val="16"/>
          <w:bdr w:val="none" w:sz="0" w:space="0" w:color="auto"/>
          <w:lang w:val="es-ES"/>
        </w:rPr>
        <w:t>Artículo 382º.- (Procedencia). Ejecutoriada la sentencia de condena o la que imponga una medida de seguridad por inimputabilidad o semiimputabilidad, el querellante o el fiscal podrán solicitar al juez de sentencia que ordene la reparación del daño causado o la indemnización correspondiente. La víctima que no haya intervenido en el proceso podrá optar por esta vía, dentro de los tres meses de informada de la sentencia firme.</w:t>
      </w:r>
    </w:p>
    <w:p w14:paraId="57A4CC56" w14:textId="7A63224A" w:rsidR="00331F85" w:rsidRPr="00565C33" w:rsidRDefault="00331F85">
      <w:pPr>
        <w:pStyle w:val="FootnoteText"/>
        <w:rPr>
          <w:rFonts w:asciiTheme="majorHAnsi" w:hAnsiTheme="majorHAnsi"/>
          <w:sz w:val="16"/>
          <w:szCs w:val="16"/>
          <w:lang w:val="es-ES"/>
        </w:rPr>
      </w:pPr>
    </w:p>
  </w:footnote>
  <w:footnote w:id="17">
    <w:p w14:paraId="7EA62854" w14:textId="60F4A389" w:rsidR="0020456E" w:rsidRPr="00565C33" w:rsidRDefault="0020456E" w:rsidP="0005000C">
      <w:pPr>
        <w:pStyle w:val="FootnoteText"/>
        <w:ind w:firstLine="720"/>
        <w:jc w:val="both"/>
        <w:rPr>
          <w:rFonts w:asciiTheme="majorHAnsi" w:hAnsiTheme="majorHAnsi"/>
          <w:sz w:val="16"/>
          <w:szCs w:val="16"/>
          <w:lang w:val="es-ES"/>
        </w:rPr>
      </w:pPr>
      <w:r w:rsidRPr="00565C33">
        <w:rPr>
          <w:rStyle w:val="FootnoteReference"/>
          <w:rFonts w:asciiTheme="majorHAnsi" w:hAnsiTheme="majorHAnsi"/>
          <w:sz w:val="16"/>
          <w:szCs w:val="16"/>
        </w:rPr>
        <w:footnoteRef/>
      </w:r>
      <w:r w:rsidRPr="00565C33">
        <w:rPr>
          <w:rFonts w:asciiTheme="majorHAnsi" w:hAnsiTheme="majorHAnsi"/>
          <w:sz w:val="16"/>
          <w:szCs w:val="16"/>
          <w:lang w:val="es-ES"/>
        </w:rPr>
        <w:t xml:space="preserve"> </w:t>
      </w:r>
      <w:r w:rsidR="00D0778A" w:rsidRPr="00565C33">
        <w:rPr>
          <w:rFonts w:asciiTheme="majorHAnsi" w:hAnsiTheme="majorHAnsi"/>
          <w:sz w:val="16"/>
          <w:szCs w:val="16"/>
          <w:lang w:val="es-ES"/>
        </w:rPr>
        <w:t xml:space="preserve">CIDH, Informe </w:t>
      </w:r>
      <w:r w:rsidR="003D7828" w:rsidRPr="00565C33">
        <w:rPr>
          <w:rFonts w:asciiTheme="majorHAnsi" w:hAnsiTheme="majorHAnsi"/>
          <w:sz w:val="16"/>
          <w:szCs w:val="16"/>
          <w:lang w:val="es-ES"/>
        </w:rPr>
        <w:t>N°</w:t>
      </w:r>
      <w:r w:rsidR="00D0778A" w:rsidRPr="00565C33">
        <w:rPr>
          <w:rFonts w:asciiTheme="majorHAnsi" w:hAnsiTheme="majorHAnsi"/>
          <w:sz w:val="16"/>
          <w:szCs w:val="16"/>
          <w:lang w:val="es-ES"/>
        </w:rPr>
        <w:t xml:space="preserve"> 159/17, Petición 712-08. Admisibilidad. Sebastián Larroza Velázquez y familia. Paraguay. 30 de noviembre de 2017, párr. 14.</w:t>
      </w:r>
    </w:p>
  </w:footnote>
  <w:footnote w:id="18">
    <w:p w14:paraId="65A277BA" w14:textId="03130FB7" w:rsidR="00DE7CE3" w:rsidRPr="00565C33" w:rsidRDefault="00DE7CE3" w:rsidP="00DE7CE3">
      <w:pPr>
        <w:pStyle w:val="FootnoteText"/>
        <w:ind w:firstLine="720"/>
        <w:jc w:val="both"/>
        <w:rPr>
          <w:rFonts w:asciiTheme="majorHAnsi" w:hAnsiTheme="majorHAnsi"/>
          <w:sz w:val="16"/>
          <w:szCs w:val="16"/>
          <w:lang w:val="es-ES"/>
        </w:rPr>
      </w:pPr>
      <w:r w:rsidRPr="00565C33">
        <w:rPr>
          <w:rStyle w:val="FootnoteReference"/>
          <w:rFonts w:asciiTheme="majorHAnsi" w:hAnsiTheme="majorHAnsi"/>
          <w:sz w:val="16"/>
          <w:szCs w:val="16"/>
        </w:rPr>
        <w:footnoteRef/>
      </w:r>
      <w:r w:rsidRPr="00565C33">
        <w:rPr>
          <w:rFonts w:asciiTheme="majorHAnsi" w:hAnsiTheme="majorHAnsi"/>
          <w:sz w:val="16"/>
          <w:szCs w:val="16"/>
          <w:lang w:val="es-ES"/>
        </w:rPr>
        <w:t xml:space="preserve"> CIDH, Informe </w:t>
      </w:r>
      <w:r w:rsidR="003D7828" w:rsidRPr="00565C33">
        <w:rPr>
          <w:rFonts w:asciiTheme="majorHAnsi" w:hAnsiTheme="majorHAnsi"/>
          <w:sz w:val="16"/>
          <w:szCs w:val="16"/>
          <w:lang w:val="es-ES"/>
        </w:rPr>
        <w:t>N°</w:t>
      </w:r>
      <w:r w:rsidRPr="00565C33">
        <w:rPr>
          <w:rFonts w:asciiTheme="majorHAnsi" w:hAnsiTheme="majorHAnsi"/>
          <w:sz w:val="16"/>
          <w:szCs w:val="16"/>
          <w:lang w:val="es-ES"/>
        </w:rPr>
        <w:t xml:space="preserve"> 39/18, Petición 196-07. Admisibilidad. José Ricardo Parra Hurtado, Félix Alberto Páez Suárez y familias. Colombia. 4 de mayo de 2018, párr. 13; CIDH, Informe </w:t>
      </w:r>
      <w:r w:rsidR="003D7828" w:rsidRPr="00565C33">
        <w:rPr>
          <w:rFonts w:asciiTheme="majorHAnsi" w:hAnsiTheme="majorHAnsi"/>
          <w:sz w:val="16"/>
          <w:szCs w:val="16"/>
          <w:lang w:val="es-ES"/>
        </w:rPr>
        <w:t>N°</w:t>
      </w:r>
      <w:r w:rsidRPr="00565C33">
        <w:rPr>
          <w:rFonts w:asciiTheme="majorHAnsi" w:hAnsiTheme="majorHAnsi"/>
          <w:sz w:val="16"/>
          <w:szCs w:val="16"/>
          <w:lang w:val="es-ES"/>
        </w:rPr>
        <w:t xml:space="preserve"> 76/18, Petición 1453-08. Admisibilidad. Yaneth Valderrama y familia. Colombia. 21 de junio de 2018, párr. 12.</w:t>
      </w:r>
    </w:p>
  </w:footnote>
  <w:footnote w:id="19">
    <w:p w14:paraId="66C0F242" w14:textId="66EE0F26" w:rsidR="00D0778A" w:rsidRPr="00565C33" w:rsidRDefault="00D0778A" w:rsidP="00D0778A">
      <w:pPr>
        <w:pStyle w:val="FootnoteText"/>
        <w:ind w:firstLine="720"/>
        <w:jc w:val="both"/>
        <w:rPr>
          <w:rFonts w:asciiTheme="majorHAnsi" w:hAnsiTheme="majorHAnsi"/>
          <w:sz w:val="16"/>
          <w:szCs w:val="16"/>
          <w:lang w:val="es-ES"/>
        </w:rPr>
      </w:pPr>
      <w:r w:rsidRPr="00565C33">
        <w:rPr>
          <w:rStyle w:val="FootnoteReference"/>
          <w:rFonts w:asciiTheme="majorHAnsi" w:hAnsiTheme="majorHAnsi"/>
          <w:sz w:val="16"/>
          <w:szCs w:val="16"/>
        </w:rPr>
        <w:footnoteRef/>
      </w:r>
      <w:r w:rsidRPr="00565C33">
        <w:rPr>
          <w:rFonts w:asciiTheme="majorHAnsi" w:hAnsiTheme="majorHAnsi"/>
          <w:sz w:val="16"/>
          <w:szCs w:val="16"/>
          <w:lang w:val="es-ES"/>
        </w:rPr>
        <w:t xml:space="preserve"> CIDH, Informe </w:t>
      </w:r>
      <w:r w:rsidR="003D7828" w:rsidRPr="00565C33">
        <w:rPr>
          <w:rFonts w:asciiTheme="majorHAnsi" w:hAnsiTheme="majorHAnsi"/>
          <w:sz w:val="16"/>
          <w:szCs w:val="16"/>
          <w:lang w:val="es-ES"/>
        </w:rPr>
        <w:t>N°</w:t>
      </w:r>
      <w:r w:rsidRPr="00565C33">
        <w:rPr>
          <w:rFonts w:asciiTheme="majorHAnsi" w:hAnsiTheme="majorHAnsi"/>
          <w:sz w:val="16"/>
          <w:szCs w:val="16"/>
          <w:lang w:val="es-ES"/>
        </w:rPr>
        <w:t xml:space="preserve"> 19/16, Petición 3546-02. Admisibilidad. Galo Roberto Matute Robles y familia. Ecuador. 15 de abril de 2016, párr. 34; e Informe </w:t>
      </w:r>
      <w:r w:rsidR="003D7828" w:rsidRPr="00565C33">
        <w:rPr>
          <w:rFonts w:asciiTheme="majorHAnsi" w:hAnsiTheme="majorHAnsi"/>
          <w:sz w:val="16"/>
          <w:szCs w:val="16"/>
          <w:lang w:val="es-ES"/>
        </w:rPr>
        <w:t>N°</w:t>
      </w:r>
      <w:r w:rsidRPr="00565C33">
        <w:rPr>
          <w:rFonts w:asciiTheme="majorHAnsi" w:hAnsiTheme="majorHAnsi"/>
          <w:sz w:val="16"/>
          <w:szCs w:val="16"/>
          <w:lang w:val="es-ES"/>
        </w:rPr>
        <w:t xml:space="preserve"> </w:t>
      </w:r>
      <w:r w:rsidR="0005000C" w:rsidRPr="00565C33">
        <w:rPr>
          <w:rFonts w:asciiTheme="majorHAnsi" w:hAnsiTheme="majorHAnsi"/>
          <w:sz w:val="16"/>
          <w:szCs w:val="16"/>
          <w:lang w:val="es-ES"/>
        </w:rPr>
        <w:t>97-21</w:t>
      </w:r>
      <w:r w:rsidRPr="00565C33">
        <w:rPr>
          <w:rFonts w:asciiTheme="majorHAnsi" w:hAnsiTheme="majorHAnsi"/>
          <w:sz w:val="16"/>
          <w:szCs w:val="16"/>
          <w:lang w:val="es-ES"/>
        </w:rPr>
        <w:t xml:space="preserve">, Petición </w:t>
      </w:r>
      <w:r w:rsidR="0005000C" w:rsidRPr="00565C33">
        <w:rPr>
          <w:rFonts w:asciiTheme="majorHAnsi" w:hAnsiTheme="majorHAnsi"/>
          <w:sz w:val="16"/>
          <w:szCs w:val="16"/>
          <w:lang w:val="es-ES"/>
        </w:rPr>
        <w:t>911-09</w:t>
      </w:r>
      <w:r w:rsidRPr="00565C33">
        <w:rPr>
          <w:rFonts w:asciiTheme="majorHAnsi" w:hAnsiTheme="majorHAnsi"/>
          <w:sz w:val="16"/>
          <w:szCs w:val="16"/>
          <w:lang w:val="es-ES"/>
        </w:rPr>
        <w:t>. Admisibilidad</w:t>
      </w:r>
      <w:r w:rsidR="0005000C" w:rsidRPr="00565C33">
        <w:rPr>
          <w:rFonts w:asciiTheme="majorHAnsi" w:hAnsiTheme="majorHAnsi"/>
          <w:sz w:val="16"/>
          <w:szCs w:val="16"/>
          <w:lang w:val="es-ES"/>
        </w:rPr>
        <w:t>. Manfred Reyes Villa Bacigalupi. Bolivia. 20 de mayo de 2021,</w:t>
      </w:r>
      <w:r w:rsidRPr="00565C33">
        <w:rPr>
          <w:rFonts w:asciiTheme="majorHAnsi" w:hAnsiTheme="majorHAnsi"/>
          <w:sz w:val="16"/>
          <w:szCs w:val="16"/>
          <w:lang w:val="es-ES"/>
        </w:rPr>
        <w:t xml:space="preserve"> </w:t>
      </w:r>
      <w:r w:rsidRPr="00565C33">
        <w:rPr>
          <w:rFonts w:asciiTheme="majorHAnsi" w:hAnsiTheme="majorHAnsi"/>
          <w:sz w:val="16"/>
          <w:szCs w:val="16"/>
          <w:lang w:val="es-US"/>
        </w:rPr>
        <w:t xml:space="preserve">párr. </w:t>
      </w:r>
      <w:r w:rsidR="0005000C" w:rsidRPr="00565C33">
        <w:rPr>
          <w:rFonts w:asciiTheme="majorHAnsi" w:hAnsiTheme="majorHAnsi"/>
          <w:sz w:val="16"/>
          <w:szCs w:val="16"/>
          <w:lang w:val="es-US"/>
        </w:rPr>
        <w:t xml:space="preserve">18. </w:t>
      </w:r>
    </w:p>
  </w:footnote>
  <w:footnote w:id="20">
    <w:p w14:paraId="5E9B9D60" w14:textId="6C66030B" w:rsidR="00534428" w:rsidRPr="00565C33" w:rsidRDefault="00534428" w:rsidP="00534428">
      <w:pPr>
        <w:pStyle w:val="FootnoteText"/>
        <w:ind w:firstLine="720"/>
        <w:rPr>
          <w:rFonts w:asciiTheme="majorHAnsi" w:hAnsiTheme="majorHAnsi"/>
          <w:sz w:val="16"/>
          <w:szCs w:val="16"/>
          <w:lang w:val="es-ES"/>
        </w:rPr>
      </w:pPr>
      <w:r w:rsidRPr="00565C33">
        <w:rPr>
          <w:rStyle w:val="FootnoteReference"/>
          <w:rFonts w:asciiTheme="majorHAnsi" w:hAnsiTheme="majorHAnsi"/>
          <w:sz w:val="16"/>
          <w:szCs w:val="16"/>
        </w:rPr>
        <w:footnoteRef/>
      </w:r>
      <w:r w:rsidRPr="00565C33">
        <w:rPr>
          <w:rFonts w:asciiTheme="majorHAnsi" w:hAnsiTheme="majorHAnsi"/>
          <w:sz w:val="16"/>
          <w:szCs w:val="16"/>
          <w:lang w:val="es-ES"/>
        </w:rPr>
        <w:t xml:space="preserve">   CIDH, Informe No. 26/16, Petición 932-03</w:t>
      </w:r>
      <w:r w:rsidR="00C739BB" w:rsidRPr="00565C33">
        <w:rPr>
          <w:rFonts w:asciiTheme="majorHAnsi" w:hAnsiTheme="majorHAnsi"/>
          <w:sz w:val="16"/>
          <w:szCs w:val="16"/>
          <w:lang w:val="es-ES"/>
        </w:rPr>
        <w:t xml:space="preserve">. </w:t>
      </w:r>
      <w:r w:rsidRPr="00565C33">
        <w:rPr>
          <w:rFonts w:asciiTheme="majorHAnsi" w:hAnsiTheme="majorHAnsi"/>
          <w:sz w:val="16"/>
          <w:szCs w:val="16"/>
          <w:lang w:val="es-ES"/>
        </w:rPr>
        <w:t xml:space="preserve">Admisibilidad, Rómulo Jonás Ponce Santamaría, Perú, 15 de abril de 2016, párr. 25 y CIDH, Informe </w:t>
      </w:r>
      <w:r w:rsidR="003D7828" w:rsidRPr="00565C33">
        <w:rPr>
          <w:rFonts w:asciiTheme="majorHAnsi" w:hAnsiTheme="majorHAnsi"/>
          <w:sz w:val="16"/>
          <w:szCs w:val="16"/>
          <w:lang w:val="es-ES"/>
        </w:rPr>
        <w:t>N°</w:t>
      </w:r>
      <w:r w:rsidRPr="00565C33">
        <w:rPr>
          <w:rFonts w:asciiTheme="majorHAnsi" w:hAnsiTheme="majorHAnsi"/>
          <w:sz w:val="16"/>
          <w:szCs w:val="16"/>
          <w:lang w:val="es-ES"/>
        </w:rPr>
        <w:t xml:space="preserve"> 83/17, Petición 151-08. Admisibilidad, José Francisco Cid. Argentina. </w:t>
      </w:r>
      <w:r w:rsidRPr="00565C33">
        <w:rPr>
          <w:rFonts w:asciiTheme="majorHAnsi" w:hAnsiTheme="majorHAnsi"/>
          <w:sz w:val="16"/>
          <w:szCs w:val="16"/>
          <w:lang w:val="es-US"/>
        </w:rPr>
        <w:t>7 de julio de 2017, párr. 17.</w:t>
      </w:r>
    </w:p>
  </w:footnote>
  <w:footnote w:id="21">
    <w:p w14:paraId="68B300A1" w14:textId="4B8AD5D7" w:rsidR="00534428" w:rsidRPr="00565C33" w:rsidRDefault="00534428" w:rsidP="00534428">
      <w:pPr>
        <w:pStyle w:val="FootnoteText"/>
        <w:ind w:firstLine="720"/>
        <w:rPr>
          <w:rFonts w:asciiTheme="majorHAnsi" w:hAnsiTheme="majorHAnsi"/>
          <w:sz w:val="16"/>
          <w:szCs w:val="16"/>
          <w:lang w:val="es-ES"/>
        </w:rPr>
      </w:pPr>
      <w:r w:rsidRPr="00565C33">
        <w:rPr>
          <w:rStyle w:val="FootnoteReference"/>
          <w:rFonts w:asciiTheme="majorHAnsi" w:hAnsiTheme="majorHAnsi"/>
          <w:sz w:val="16"/>
          <w:szCs w:val="16"/>
        </w:rPr>
        <w:footnoteRef/>
      </w:r>
      <w:r w:rsidRPr="00565C33">
        <w:rPr>
          <w:rFonts w:asciiTheme="majorHAnsi" w:hAnsiTheme="majorHAnsi"/>
          <w:sz w:val="16"/>
          <w:szCs w:val="16"/>
          <w:lang w:val="es-ES"/>
        </w:rPr>
        <w:t xml:space="preserve"> CIDH, Informe </w:t>
      </w:r>
      <w:r w:rsidR="003D7828" w:rsidRPr="00565C33">
        <w:rPr>
          <w:rFonts w:asciiTheme="majorHAnsi" w:hAnsiTheme="majorHAnsi"/>
          <w:sz w:val="16"/>
          <w:szCs w:val="16"/>
          <w:lang w:val="es-ES"/>
        </w:rPr>
        <w:t>N°</w:t>
      </w:r>
      <w:r w:rsidRPr="00565C33">
        <w:rPr>
          <w:rFonts w:asciiTheme="majorHAnsi" w:hAnsiTheme="majorHAnsi"/>
          <w:sz w:val="16"/>
          <w:szCs w:val="16"/>
          <w:lang w:val="es-ES"/>
        </w:rPr>
        <w:t xml:space="preserve"> 29/17, Petición 424</w:t>
      </w:r>
      <w:r w:rsidR="00C739BB" w:rsidRPr="00565C33">
        <w:rPr>
          <w:rFonts w:asciiTheme="majorHAnsi" w:hAnsiTheme="majorHAnsi"/>
          <w:sz w:val="16"/>
          <w:szCs w:val="16"/>
          <w:lang w:val="es-ES"/>
        </w:rPr>
        <w:t xml:space="preserve">-12. Admisibilidad. Manuela y familia, El Salvador, 18 de marzo de 2017, párr. 12. </w:t>
      </w:r>
    </w:p>
  </w:footnote>
  <w:footnote w:id="22">
    <w:p w14:paraId="0AD1AA08" w14:textId="396E399C" w:rsidR="003D7828" w:rsidRPr="00565C33" w:rsidRDefault="003D7828" w:rsidP="003D7828">
      <w:pPr>
        <w:pStyle w:val="FootnoteText"/>
        <w:ind w:firstLine="720"/>
        <w:rPr>
          <w:rFonts w:asciiTheme="majorHAnsi" w:hAnsiTheme="majorHAnsi"/>
          <w:sz w:val="16"/>
          <w:szCs w:val="16"/>
          <w:lang w:val="es-ES"/>
        </w:rPr>
      </w:pPr>
      <w:r w:rsidRPr="00565C33">
        <w:rPr>
          <w:rStyle w:val="FootnoteReference"/>
          <w:rFonts w:asciiTheme="majorHAnsi" w:hAnsiTheme="majorHAnsi"/>
          <w:sz w:val="16"/>
          <w:szCs w:val="16"/>
        </w:rPr>
        <w:footnoteRef/>
      </w:r>
      <w:r w:rsidRPr="00565C33">
        <w:rPr>
          <w:rFonts w:asciiTheme="majorHAnsi" w:hAnsiTheme="majorHAnsi"/>
          <w:sz w:val="16"/>
          <w:szCs w:val="16"/>
          <w:lang w:val="es-ES"/>
        </w:rPr>
        <w:t xml:space="preserve"> CIDH, Comunicado de Prensa N° </w:t>
      </w:r>
      <w:r w:rsidRPr="00565C33">
        <w:rPr>
          <w:rFonts w:asciiTheme="majorHAnsi" w:hAnsiTheme="majorHAnsi"/>
          <w:sz w:val="16"/>
          <w:szCs w:val="16"/>
          <w:lang w:val="es-ES_tradnl"/>
        </w:rPr>
        <w:t xml:space="preserve">22/08, 29 de mayo de 2008. </w:t>
      </w:r>
    </w:p>
  </w:footnote>
  <w:footnote w:id="23">
    <w:p w14:paraId="649DC41C" w14:textId="5DDDFC7F" w:rsidR="00CB4745" w:rsidRPr="00565C33" w:rsidRDefault="00CB4745" w:rsidP="00CB4745">
      <w:pPr>
        <w:pStyle w:val="FootnoteText"/>
        <w:ind w:firstLine="720"/>
        <w:rPr>
          <w:rFonts w:asciiTheme="majorHAnsi" w:hAnsiTheme="majorHAnsi"/>
          <w:sz w:val="16"/>
          <w:szCs w:val="16"/>
          <w:lang w:val="es-ES"/>
        </w:rPr>
      </w:pPr>
      <w:r w:rsidRPr="00565C33">
        <w:rPr>
          <w:rStyle w:val="FootnoteReference"/>
          <w:rFonts w:asciiTheme="majorHAnsi" w:hAnsiTheme="majorHAnsi"/>
          <w:sz w:val="16"/>
          <w:szCs w:val="16"/>
        </w:rPr>
        <w:footnoteRef/>
      </w:r>
      <w:r w:rsidRPr="00565C33">
        <w:rPr>
          <w:rFonts w:asciiTheme="majorHAnsi" w:hAnsiTheme="majorHAnsi"/>
          <w:sz w:val="16"/>
          <w:szCs w:val="16"/>
          <w:lang w:val="es-ES"/>
        </w:rPr>
        <w:t xml:space="preserve"> CIDH, Informe</w:t>
      </w:r>
      <w:r w:rsidR="003D7828" w:rsidRPr="00565C33">
        <w:rPr>
          <w:rFonts w:asciiTheme="majorHAnsi" w:hAnsiTheme="majorHAnsi"/>
          <w:sz w:val="16"/>
          <w:szCs w:val="16"/>
          <w:lang w:val="es-ES"/>
        </w:rPr>
        <w:t xml:space="preserve"> N°</w:t>
      </w:r>
      <w:r w:rsidRPr="00565C33">
        <w:rPr>
          <w:rFonts w:asciiTheme="majorHAnsi" w:hAnsiTheme="majorHAnsi"/>
          <w:sz w:val="16"/>
          <w:szCs w:val="16"/>
          <w:lang w:val="es-ES"/>
        </w:rPr>
        <w:t xml:space="preserve"> 125/21, Petición 359-11. Admisibilidad. Asencio Cruz Nina, Bolivia, 3 de junio de 2021, párr. 28. </w:t>
      </w:r>
    </w:p>
    <w:p w14:paraId="42B5EDC7" w14:textId="6211BC0B" w:rsidR="00CB4745" w:rsidRPr="00565C33" w:rsidRDefault="00CB4745" w:rsidP="00CB4745">
      <w:pPr>
        <w:pStyle w:val="FootnoteText"/>
        <w:ind w:firstLine="720"/>
        <w:rPr>
          <w:rFonts w:asciiTheme="majorHAnsi" w:hAnsiTheme="majorHAnsi"/>
          <w:sz w:val="16"/>
          <w:szCs w:val="16"/>
          <w:lang w:val="es-ES"/>
        </w:rPr>
      </w:pPr>
      <w:r w:rsidRPr="00565C33">
        <w:rPr>
          <w:rStyle w:val="FootnoteReference"/>
          <w:rFonts w:asciiTheme="majorHAnsi" w:hAnsiTheme="majorHAnsi"/>
          <w:sz w:val="16"/>
          <w:szCs w:val="16"/>
        </w:rPr>
        <w:footnoteRef/>
      </w:r>
      <w:r w:rsidRPr="00565C33">
        <w:rPr>
          <w:rFonts w:asciiTheme="majorHAnsi" w:hAnsiTheme="majorHAnsi"/>
          <w:sz w:val="16"/>
          <w:szCs w:val="16"/>
          <w:lang w:val="es-ES"/>
        </w:rPr>
        <w:t xml:space="preserve"> CIDH, Informe </w:t>
      </w:r>
      <w:r w:rsidR="003D7828" w:rsidRPr="00565C33">
        <w:rPr>
          <w:rFonts w:asciiTheme="majorHAnsi" w:hAnsiTheme="majorHAnsi"/>
          <w:sz w:val="16"/>
          <w:szCs w:val="16"/>
          <w:lang w:val="es-ES"/>
        </w:rPr>
        <w:t>N°</w:t>
      </w:r>
      <w:r w:rsidRPr="00565C33">
        <w:rPr>
          <w:rFonts w:asciiTheme="majorHAnsi" w:hAnsiTheme="majorHAnsi"/>
          <w:sz w:val="16"/>
          <w:szCs w:val="16"/>
          <w:lang w:val="es-ES"/>
        </w:rPr>
        <w:t xml:space="preserve"> 29/17, Petición 424-12. Admisibilidad. Manuela y familia, El Salvador, 18 de marzo de 2017, párr. 12. </w:t>
      </w:r>
    </w:p>
    <w:p w14:paraId="573260BC" w14:textId="77777777" w:rsidR="00CB4745" w:rsidRPr="00565C33" w:rsidRDefault="00CB4745" w:rsidP="00CB4745">
      <w:pPr>
        <w:pStyle w:val="FootnoteText"/>
        <w:ind w:firstLine="720"/>
        <w:rPr>
          <w:rFonts w:asciiTheme="majorHAnsi" w:hAnsiTheme="majorHAnsi"/>
          <w:sz w:val="16"/>
          <w:szCs w:val="16"/>
          <w:lang w:val="es-E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D4D8B"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13D4C370" w14:textId="77777777" w:rsidR="00040C3A" w:rsidRDefault="00040C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58A65" w14:textId="77777777" w:rsidR="00A50FCF" w:rsidRDefault="00A50FCF" w:rsidP="00A50FCF">
    <w:pPr>
      <w:pStyle w:val="Header"/>
      <w:tabs>
        <w:tab w:val="clear" w:pos="4320"/>
        <w:tab w:val="clear" w:pos="8640"/>
      </w:tabs>
      <w:jc w:val="center"/>
      <w:rPr>
        <w:sz w:val="22"/>
        <w:szCs w:val="22"/>
      </w:rPr>
    </w:pPr>
    <w:r>
      <w:rPr>
        <w:noProof/>
        <w:sz w:val="22"/>
        <w:szCs w:val="22"/>
      </w:rPr>
      <w:drawing>
        <wp:inline distT="0" distB="0" distL="0" distR="0" wp14:anchorId="523DD6CA" wp14:editId="2965DC79">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24BB2C52" w14:textId="77777777" w:rsidR="00040C3A" w:rsidRPr="00EC7D62" w:rsidRDefault="00FC0140" w:rsidP="00A50FCF">
    <w:pPr>
      <w:pStyle w:val="Header"/>
      <w:tabs>
        <w:tab w:val="clear" w:pos="4320"/>
        <w:tab w:val="clear" w:pos="8640"/>
      </w:tabs>
      <w:jc w:val="center"/>
      <w:rPr>
        <w:sz w:val="22"/>
        <w:szCs w:val="22"/>
      </w:rPr>
    </w:pPr>
    <w:r>
      <w:rPr>
        <w:noProof/>
        <w:sz w:val="22"/>
        <w:szCs w:val="22"/>
        <w:bdr w:val="nil"/>
      </w:rPr>
      <w:pict w14:anchorId="534B2DB4">
        <v:rect id="_x0000_i1025" alt="" style="width:468pt;height:.05pt;mso-width-percent:0;mso-height-percent:0;mso-width-percent:0;mso-height-percent:0"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4" w15:restartNumberingAfterBreak="0">
    <w:nsid w:val="0E1D2261"/>
    <w:multiLevelType w:val="hybridMultilevel"/>
    <w:tmpl w:val="24A66696"/>
    <w:lvl w:ilvl="0" w:tplc="F6CC9032">
      <w:start w:val="1"/>
      <w:numFmt w:val="decimal"/>
      <w:lvlText w:val="%1."/>
      <w:lvlJc w:val="left"/>
      <w:pPr>
        <w:tabs>
          <w:tab w:val="num" w:pos="720"/>
        </w:tabs>
        <w:ind w:left="0" w:firstLine="720"/>
      </w:pPr>
      <w:rPr>
        <w:rFonts w:hint="default"/>
        <w:b w:val="0"/>
        <w:bCs w:val="0"/>
        <w:i w:val="0"/>
        <w:iCs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2910588"/>
    <w:multiLevelType w:val="hybridMultilevel"/>
    <w:tmpl w:val="B6160464"/>
    <w:lvl w:ilvl="0" w:tplc="1B2EF6B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7"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9"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2"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5" w15:restartNumberingAfterBreak="0">
    <w:nsid w:val="23DD11FB"/>
    <w:multiLevelType w:val="hybridMultilevel"/>
    <w:tmpl w:val="12F6AF92"/>
    <w:lvl w:ilvl="0" w:tplc="DBD4E0F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7573314"/>
    <w:multiLevelType w:val="hybridMultilevel"/>
    <w:tmpl w:val="77022A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38072793"/>
    <w:multiLevelType w:val="hybridMultilevel"/>
    <w:tmpl w:val="BEF08EF2"/>
    <w:lvl w:ilvl="0" w:tplc="17D219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3986140F"/>
    <w:multiLevelType w:val="hybridMultilevel"/>
    <w:tmpl w:val="7E96C1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1"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2" w15:restartNumberingAfterBreak="0">
    <w:nsid w:val="3B2F348B"/>
    <w:multiLevelType w:val="hybridMultilevel"/>
    <w:tmpl w:val="EBC8EE9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828788D"/>
    <w:multiLevelType w:val="hybridMultilevel"/>
    <w:tmpl w:val="F7B0BAA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15:restartNumberingAfterBreak="0">
    <w:nsid w:val="4A804E46"/>
    <w:multiLevelType w:val="hybridMultilevel"/>
    <w:tmpl w:val="1E1690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15:restartNumberingAfterBreak="0">
    <w:nsid w:val="4AD64250"/>
    <w:multiLevelType w:val="multilevel"/>
    <w:tmpl w:val="8DA0B338"/>
    <w:lvl w:ilvl="0">
      <w:start w:val="6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4"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5"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6"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7"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8"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9"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51"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2" w15:restartNumberingAfterBreak="0">
    <w:nsid w:val="5CE91634"/>
    <w:multiLevelType w:val="hybridMultilevel"/>
    <w:tmpl w:val="B57E4DA4"/>
    <w:lvl w:ilvl="0" w:tplc="0409001B">
      <w:start w:val="1"/>
      <w:numFmt w:val="lowerRoman"/>
      <w:lvlText w:val="%1."/>
      <w:lvlJc w:val="righ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4" w15:restartNumberingAfterBreak="0">
    <w:nsid w:val="6329658A"/>
    <w:multiLevelType w:val="hybridMultilevel"/>
    <w:tmpl w:val="63A08BF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6"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7"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73235EBE"/>
    <w:multiLevelType w:val="hybridMultilevel"/>
    <w:tmpl w:val="24A66696"/>
    <w:lvl w:ilvl="0" w:tplc="FFFFFFFF">
      <w:start w:val="1"/>
      <w:numFmt w:val="decimal"/>
      <w:lvlText w:val="%1."/>
      <w:lvlJc w:val="left"/>
      <w:pPr>
        <w:tabs>
          <w:tab w:val="num" w:pos="720"/>
        </w:tabs>
        <w:ind w:left="0" w:firstLine="720"/>
      </w:pPr>
      <w:rPr>
        <w:rFonts w:hint="default"/>
        <w:b w:val="0"/>
        <w:bCs w:val="0"/>
        <w:i w:val="0"/>
        <w:iCs w:val="0"/>
        <w:color w:val="auto"/>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0"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3"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5"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6"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7"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16cid:durableId="41903036">
    <w:abstractNumId w:val="3"/>
  </w:num>
  <w:num w:numId="2" w16cid:durableId="2119787510">
    <w:abstractNumId w:val="6"/>
  </w:num>
  <w:num w:numId="3" w16cid:durableId="1836843260">
    <w:abstractNumId w:val="62"/>
  </w:num>
  <w:num w:numId="4" w16cid:durableId="2018339747">
    <w:abstractNumId w:val="22"/>
  </w:num>
  <w:num w:numId="5" w16cid:durableId="368341374">
    <w:abstractNumId w:val="55"/>
  </w:num>
  <w:num w:numId="6" w16cid:durableId="1074009954">
    <w:abstractNumId w:val="30"/>
  </w:num>
  <w:num w:numId="7" w16cid:durableId="1545016965">
    <w:abstractNumId w:val="7"/>
  </w:num>
  <w:num w:numId="8" w16cid:durableId="1165165820">
    <w:abstractNumId w:val="18"/>
  </w:num>
  <w:num w:numId="9" w16cid:durableId="751703382">
    <w:abstractNumId w:val="48"/>
  </w:num>
  <w:num w:numId="10" w16cid:durableId="1010065578">
    <w:abstractNumId w:val="0"/>
  </w:num>
  <w:num w:numId="11" w16cid:durableId="599265313">
    <w:abstractNumId w:val="43"/>
  </w:num>
  <w:num w:numId="12" w16cid:durableId="1094203649">
    <w:abstractNumId w:val="44"/>
  </w:num>
  <w:num w:numId="13" w16cid:durableId="393090155">
    <w:abstractNumId w:val="50"/>
  </w:num>
  <w:num w:numId="14" w16cid:durableId="1198931784">
    <w:abstractNumId w:val="1"/>
  </w:num>
  <w:num w:numId="15" w16cid:durableId="2056192837">
    <w:abstractNumId w:val="2"/>
  </w:num>
  <w:num w:numId="16" w16cid:durableId="1680153077">
    <w:abstractNumId w:val="8"/>
  </w:num>
  <w:num w:numId="17" w16cid:durableId="1790273299">
    <w:abstractNumId w:val="9"/>
  </w:num>
  <w:num w:numId="18" w16cid:durableId="2128112662">
    <w:abstractNumId w:val="10"/>
  </w:num>
  <w:num w:numId="19" w16cid:durableId="7217114">
    <w:abstractNumId w:val="11"/>
  </w:num>
  <w:num w:numId="20" w16cid:durableId="1858302314">
    <w:abstractNumId w:val="12"/>
  </w:num>
  <w:num w:numId="21" w16cid:durableId="1702172520">
    <w:abstractNumId w:val="13"/>
  </w:num>
  <w:num w:numId="22" w16cid:durableId="1700861223">
    <w:abstractNumId w:val="14"/>
  </w:num>
  <w:num w:numId="23" w16cid:durableId="1025131478">
    <w:abstractNumId w:val="16"/>
  </w:num>
  <w:num w:numId="24" w16cid:durableId="477890311">
    <w:abstractNumId w:val="17"/>
  </w:num>
  <w:num w:numId="25" w16cid:durableId="1967855925">
    <w:abstractNumId w:val="19"/>
  </w:num>
  <w:num w:numId="26" w16cid:durableId="998537020">
    <w:abstractNumId w:val="20"/>
  </w:num>
  <w:num w:numId="27" w16cid:durableId="642350406">
    <w:abstractNumId w:val="23"/>
  </w:num>
  <w:num w:numId="28" w16cid:durableId="1616718871">
    <w:abstractNumId w:val="24"/>
  </w:num>
  <w:num w:numId="29" w16cid:durableId="1530486082">
    <w:abstractNumId w:val="25"/>
  </w:num>
  <w:num w:numId="30" w16cid:durableId="802582976">
    <w:abstractNumId w:val="28"/>
  </w:num>
  <w:num w:numId="31" w16cid:durableId="287396833">
    <w:abstractNumId w:val="31"/>
  </w:num>
  <w:num w:numId="32" w16cid:durableId="535119711">
    <w:abstractNumId w:val="33"/>
  </w:num>
  <w:num w:numId="33" w16cid:durableId="2078547275">
    <w:abstractNumId w:val="34"/>
  </w:num>
  <w:num w:numId="34" w16cid:durableId="1703632659">
    <w:abstractNumId w:val="35"/>
  </w:num>
  <w:num w:numId="35" w16cid:durableId="1264075887">
    <w:abstractNumId w:val="36"/>
  </w:num>
  <w:num w:numId="36" w16cid:durableId="1752315512">
    <w:abstractNumId w:val="37"/>
  </w:num>
  <w:num w:numId="37" w16cid:durableId="1536426887">
    <w:abstractNumId w:val="39"/>
  </w:num>
  <w:num w:numId="38" w16cid:durableId="949702590">
    <w:abstractNumId w:val="40"/>
  </w:num>
  <w:num w:numId="39" w16cid:durableId="115605940">
    <w:abstractNumId w:val="45"/>
  </w:num>
  <w:num w:numId="40" w16cid:durableId="2008750670">
    <w:abstractNumId w:val="46"/>
  </w:num>
  <w:num w:numId="41" w16cid:durableId="579801488">
    <w:abstractNumId w:val="53"/>
  </w:num>
  <w:num w:numId="42" w16cid:durableId="910309630">
    <w:abstractNumId w:val="56"/>
  </w:num>
  <w:num w:numId="43" w16cid:durableId="221603102">
    <w:abstractNumId w:val="57"/>
  </w:num>
  <w:num w:numId="44" w16cid:durableId="779104680">
    <w:abstractNumId w:val="60"/>
  </w:num>
  <w:num w:numId="45" w16cid:durableId="1713115894">
    <w:abstractNumId w:val="61"/>
  </w:num>
  <w:num w:numId="46" w16cid:durableId="1387951419">
    <w:abstractNumId w:val="63"/>
  </w:num>
  <w:num w:numId="47" w16cid:durableId="648510715">
    <w:abstractNumId w:val="64"/>
  </w:num>
  <w:num w:numId="48" w16cid:durableId="1806315575">
    <w:abstractNumId w:val="65"/>
  </w:num>
  <w:num w:numId="49" w16cid:durableId="1682586011">
    <w:abstractNumId w:val="66"/>
  </w:num>
  <w:num w:numId="50" w16cid:durableId="2025083079">
    <w:abstractNumId w:val="67"/>
  </w:num>
  <w:num w:numId="51" w16cid:durableId="530342504">
    <w:abstractNumId w:val="21"/>
  </w:num>
  <w:num w:numId="52" w16cid:durableId="955454438">
    <w:abstractNumId w:val="47"/>
  </w:num>
  <w:num w:numId="53" w16cid:durableId="586957926">
    <w:abstractNumId w:val="58"/>
  </w:num>
  <w:num w:numId="54" w16cid:durableId="1498381482">
    <w:abstractNumId w:val="51"/>
  </w:num>
  <w:num w:numId="55" w16cid:durableId="1930308158">
    <w:abstractNumId w:val="49"/>
  </w:num>
  <w:num w:numId="56" w16cid:durableId="71783945">
    <w:abstractNumId w:val="29"/>
  </w:num>
  <w:num w:numId="57" w16cid:durableId="327246300">
    <w:abstractNumId w:val="26"/>
  </w:num>
  <w:num w:numId="58" w16cid:durableId="823088829">
    <w:abstractNumId w:val="41"/>
  </w:num>
  <w:num w:numId="59" w16cid:durableId="47068616">
    <w:abstractNumId w:val="4"/>
  </w:num>
  <w:num w:numId="60" w16cid:durableId="1227647793">
    <w:abstractNumId w:val="42"/>
  </w:num>
  <w:num w:numId="61" w16cid:durableId="350765847">
    <w:abstractNumId w:val="5"/>
  </w:num>
  <w:num w:numId="62" w16cid:durableId="1905066430">
    <w:abstractNumId w:val="52"/>
  </w:num>
  <w:num w:numId="63" w16cid:durableId="515657802">
    <w:abstractNumId w:val="54"/>
  </w:num>
  <w:num w:numId="64" w16cid:durableId="1765345315">
    <w:abstractNumId w:val="59"/>
  </w:num>
  <w:num w:numId="65" w16cid:durableId="865144106">
    <w:abstractNumId w:val="38"/>
  </w:num>
  <w:num w:numId="66" w16cid:durableId="381369834">
    <w:abstractNumId w:val="27"/>
  </w:num>
  <w:num w:numId="67" w16cid:durableId="1019819621">
    <w:abstractNumId w:val="15"/>
  </w:num>
  <w:num w:numId="68" w16cid:durableId="2106223270">
    <w:abstractNumId w:val="32"/>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D5C"/>
    <w:rsid w:val="0000036F"/>
    <w:rsid w:val="00000CDA"/>
    <w:rsid w:val="00006E1F"/>
    <w:rsid w:val="000070D7"/>
    <w:rsid w:val="0001788C"/>
    <w:rsid w:val="000337EF"/>
    <w:rsid w:val="000401EA"/>
    <w:rsid w:val="00040C3A"/>
    <w:rsid w:val="000419AD"/>
    <w:rsid w:val="000433C9"/>
    <w:rsid w:val="00045517"/>
    <w:rsid w:val="0005000C"/>
    <w:rsid w:val="00064FDA"/>
    <w:rsid w:val="00071174"/>
    <w:rsid w:val="000716C5"/>
    <w:rsid w:val="0007356C"/>
    <w:rsid w:val="00075E23"/>
    <w:rsid w:val="000818E8"/>
    <w:rsid w:val="00084D40"/>
    <w:rsid w:val="0009020B"/>
    <w:rsid w:val="00090CBA"/>
    <w:rsid w:val="000921C0"/>
    <w:rsid w:val="0009344A"/>
    <w:rsid w:val="00094EA0"/>
    <w:rsid w:val="000A392E"/>
    <w:rsid w:val="000A575F"/>
    <w:rsid w:val="000B2971"/>
    <w:rsid w:val="000B4ED1"/>
    <w:rsid w:val="000D05CB"/>
    <w:rsid w:val="000D10DB"/>
    <w:rsid w:val="000D16A0"/>
    <w:rsid w:val="000D38F7"/>
    <w:rsid w:val="000E5EB5"/>
    <w:rsid w:val="000F35ED"/>
    <w:rsid w:val="000F3A13"/>
    <w:rsid w:val="001004FE"/>
    <w:rsid w:val="00107131"/>
    <w:rsid w:val="0010736F"/>
    <w:rsid w:val="00113F73"/>
    <w:rsid w:val="0011433D"/>
    <w:rsid w:val="001149C0"/>
    <w:rsid w:val="00121CC2"/>
    <w:rsid w:val="00126E82"/>
    <w:rsid w:val="00131425"/>
    <w:rsid w:val="00133EE5"/>
    <w:rsid w:val="0015573C"/>
    <w:rsid w:val="00157D95"/>
    <w:rsid w:val="00167A34"/>
    <w:rsid w:val="0017326C"/>
    <w:rsid w:val="00183038"/>
    <w:rsid w:val="001A520D"/>
    <w:rsid w:val="001A7870"/>
    <w:rsid w:val="001B1B9E"/>
    <w:rsid w:val="001B3A00"/>
    <w:rsid w:val="001B478B"/>
    <w:rsid w:val="001C1B41"/>
    <w:rsid w:val="001D65EF"/>
    <w:rsid w:val="001D7F96"/>
    <w:rsid w:val="001E49E7"/>
    <w:rsid w:val="001E6704"/>
    <w:rsid w:val="001F0B07"/>
    <w:rsid w:val="001F50D4"/>
    <w:rsid w:val="001F580D"/>
    <w:rsid w:val="001F7201"/>
    <w:rsid w:val="00200659"/>
    <w:rsid w:val="0020456E"/>
    <w:rsid w:val="00204A03"/>
    <w:rsid w:val="00207BD7"/>
    <w:rsid w:val="00213052"/>
    <w:rsid w:val="00213160"/>
    <w:rsid w:val="00215397"/>
    <w:rsid w:val="00223A29"/>
    <w:rsid w:val="002250A3"/>
    <w:rsid w:val="00235217"/>
    <w:rsid w:val="00246D1F"/>
    <w:rsid w:val="00247403"/>
    <w:rsid w:val="00247542"/>
    <w:rsid w:val="002523E6"/>
    <w:rsid w:val="002554B2"/>
    <w:rsid w:val="00266B61"/>
    <w:rsid w:val="0026712A"/>
    <w:rsid w:val="002704DB"/>
    <w:rsid w:val="002735C4"/>
    <w:rsid w:val="0029675F"/>
    <w:rsid w:val="002A0AAE"/>
    <w:rsid w:val="002A48A2"/>
    <w:rsid w:val="002A5820"/>
    <w:rsid w:val="002D2B26"/>
    <w:rsid w:val="002D7EA2"/>
    <w:rsid w:val="002E187C"/>
    <w:rsid w:val="002E37A8"/>
    <w:rsid w:val="002F343B"/>
    <w:rsid w:val="002F353B"/>
    <w:rsid w:val="0030264D"/>
    <w:rsid w:val="00302733"/>
    <w:rsid w:val="00305835"/>
    <w:rsid w:val="00306F33"/>
    <w:rsid w:val="00314078"/>
    <w:rsid w:val="0031411E"/>
    <w:rsid w:val="0031535D"/>
    <w:rsid w:val="003239B8"/>
    <w:rsid w:val="003270E3"/>
    <w:rsid w:val="0033169F"/>
    <w:rsid w:val="00331F85"/>
    <w:rsid w:val="00334402"/>
    <w:rsid w:val="00341C3F"/>
    <w:rsid w:val="00344977"/>
    <w:rsid w:val="00346C95"/>
    <w:rsid w:val="00346E47"/>
    <w:rsid w:val="00356185"/>
    <w:rsid w:val="0035670B"/>
    <w:rsid w:val="00360380"/>
    <w:rsid w:val="0036450A"/>
    <w:rsid w:val="00366198"/>
    <w:rsid w:val="00370D94"/>
    <w:rsid w:val="003721F5"/>
    <w:rsid w:val="0037519E"/>
    <w:rsid w:val="003768B7"/>
    <w:rsid w:val="003828E9"/>
    <w:rsid w:val="00384049"/>
    <w:rsid w:val="00386CF0"/>
    <w:rsid w:val="00394073"/>
    <w:rsid w:val="0039705D"/>
    <w:rsid w:val="003B3FF5"/>
    <w:rsid w:val="003B70FB"/>
    <w:rsid w:val="003C676B"/>
    <w:rsid w:val="003D0116"/>
    <w:rsid w:val="003D3BC2"/>
    <w:rsid w:val="003D7828"/>
    <w:rsid w:val="003E43A3"/>
    <w:rsid w:val="003E6CA1"/>
    <w:rsid w:val="003F2B86"/>
    <w:rsid w:val="003F5154"/>
    <w:rsid w:val="00405F9C"/>
    <w:rsid w:val="004065A8"/>
    <w:rsid w:val="00412139"/>
    <w:rsid w:val="004129CA"/>
    <w:rsid w:val="00415F25"/>
    <w:rsid w:val="004165C2"/>
    <w:rsid w:val="004241A0"/>
    <w:rsid w:val="00441ECB"/>
    <w:rsid w:val="00444083"/>
    <w:rsid w:val="004448FB"/>
    <w:rsid w:val="00445193"/>
    <w:rsid w:val="00461CD8"/>
    <w:rsid w:val="00462C1B"/>
    <w:rsid w:val="00467B7E"/>
    <w:rsid w:val="00473BB4"/>
    <w:rsid w:val="00477592"/>
    <w:rsid w:val="00481F88"/>
    <w:rsid w:val="00482C16"/>
    <w:rsid w:val="00486F1C"/>
    <w:rsid w:val="0049419D"/>
    <w:rsid w:val="00497D72"/>
    <w:rsid w:val="004A057B"/>
    <w:rsid w:val="004A3BB5"/>
    <w:rsid w:val="004A65A2"/>
    <w:rsid w:val="004A69A2"/>
    <w:rsid w:val="004A6A54"/>
    <w:rsid w:val="004B421C"/>
    <w:rsid w:val="004C20D2"/>
    <w:rsid w:val="004C2312"/>
    <w:rsid w:val="004C4B62"/>
    <w:rsid w:val="004C54C9"/>
    <w:rsid w:val="004D2A60"/>
    <w:rsid w:val="004D4616"/>
    <w:rsid w:val="004D4ABA"/>
    <w:rsid w:val="004D6025"/>
    <w:rsid w:val="004E2649"/>
    <w:rsid w:val="004F626F"/>
    <w:rsid w:val="004F684D"/>
    <w:rsid w:val="00500DD6"/>
    <w:rsid w:val="00501399"/>
    <w:rsid w:val="005047ED"/>
    <w:rsid w:val="0050633D"/>
    <w:rsid w:val="00507BC4"/>
    <w:rsid w:val="005128E4"/>
    <w:rsid w:val="005133DB"/>
    <w:rsid w:val="00514504"/>
    <w:rsid w:val="00521E1F"/>
    <w:rsid w:val="00525560"/>
    <w:rsid w:val="00534428"/>
    <w:rsid w:val="00544C49"/>
    <w:rsid w:val="005516A1"/>
    <w:rsid w:val="005559EF"/>
    <w:rsid w:val="00563557"/>
    <w:rsid w:val="00565C33"/>
    <w:rsid w:val="0057402A"/>
    <w:rsid w:val="005771D0"/>
    <w:rsid w:val="0059191A"/>
    <w:rsid w:val="005921FF"/>
    <w:rsid w:val="005928A1"/>
    <w:rsid w:val="00597C44"/>
    <w:rsid w:val="005A24ED"/>
    <w:rsid w:val="005A67EF"/>
    <w:rsid w:val="005A6AC9"/>
    <w:rsid w:val="005A6D0E"/>
    <w:rsid w:val="005A7129"/>
    <w:rsid w:val="005B52B0"/>
    <w:rsid w:val="005B6806"/>
    <w:rsid w:val="005C4225"/>
    <w:rsid w:val="005D11B4"/>
    <w:rsid w:val="005E1BD4"/>
    <w:rsid w:val="005F041C"/>
    <w:rsid w:val="005F0DAD"/>
    <w:rsid w:val="005F0F33"/>
    <w:rsid w:val="005F4D7D"/>
    <w:rsid w:val="006004E3"/>
    <w:rsid w:val="00600DEB"/>
    <w:rsid w:val="00627C9F"/>
    <w:rsid w:val="006311E9"/>
    <w:rsid w:val="00632354"/>
    <w:rsid w:val="00635421"/>
    <w:rsid w:val="00636675"/>
    <w:rsid w:val="00640BD3"/>
    <w:rsid w:val="00641FE6"/>
    <w:rsid w:val="00642810"/>
    <w:rsid w:val="00652333"/>
    <w:rsid w:val="00654F32"/>
    <w:rsid w:val="00664246"/>
    <w:rsid w:val="006738BB"/>
    <w:rsid w:val="0068009E"/>
    <w:rsid w:val="006914FB"/>
    <w:rsid w:val="00692219"/>
    <w:rsid w:val="006A17D2"/>
    <w:rsid w:val="006A73E6"/>
    <w:rsid w:val="006B2D5C"/>
    <w:rsid w:val="006C0ECF"/>
    <w:rsid w:val="006C3C6A"/>
    <w:rsid w:val="006C4EB1"/>
    <w:rsid w:val="006C59BC"/>
    <w:rsid w:val="006C7934"/>
    <w:rsid w:val="006D532C"/>
    <w:rsid w:val="006E0166"/>
    <w:rsid w:val="006E1F8F"/>
    <w:rsid w:val="006E2FFB"/>
    <w:rsid w:val="006E5FC9"/>
    <w:rsid w:val="006E7B34"/>
    <w:rsid w:val="006F4C40"/>
    <w:rsid w:val="007022D5"/>
    <w:rsid w:val="007029BA"/>
    <w:rsid w:val="00706542"/>
    <w:rsid w:val="0070697F"/>
    <w:rsid w:val="007103C4"/>
    <w:rsid w:val="00710E97"/>
    <w:rsid w:val="0072006F"/>
    <w:rsid w:val="0072199C"/>
    <w:rsid w:val="00722C9F"/>
    <w:rsid w:val="007253B8"/>
    <w:rsid w:val="0073741F"/>
    <w:rsid w:val="0074632E"/>
    <w:rsid w:val="00750D6F"/>
    <w:rsid w:val="0076643F"/>
    <w:rsid w:val="007766A2"/>
    <w:rsid w:val="00777F63"/>
    <w:rsid w:val="00784AF3"/>
    <w:rsid w:val="00787C10"/>
    <w:rsid w:val="007A5817"/>
    <w:rsid w:val="007B05C4"/>
    <w:rsid w:val="007B60E9"/>
    <w:rsid w:val="007B6284"/>
    <w:rsid w:val="007B6CC3"/>
    <w:rsid w:val="007B76D3"/>
    <w:rsid w:val="007C3334"/>
    <w:rsid w:val="007D03B3"/>
    <w:rsid w:val="007D04CB"/>
    <w:rsid w:val="007D2B98"/>
    <w:rsid w:val="007E062C"/>
    <w:rsid w:val="007E21BC"/>
    <w:rsid w:val="007E5C2E"/>
    <w:rsid w:val="007E7C82"/>
    <w:rsid w:val="007F2AA1"/>
    <w:rsid w:val="007F588D"/>
    <w:rsid w:val="00801A7D"/>
    <w:rsid w:val="00803F1C"/>
    <w:rsid w:val="0080600E"/>
    <w:rsid w:val="008122AE"/>
    <w:rsid w:val="00814688"/>
    <w:rsid w:val="00817612"/>
    <w:rsid w:val="008338A4"/>
    <w:rsid w:val="00834D49"/>
    <w:rsid w:val="00837C45"/>
    <w:rsid w:val="0084035E"/>
    <w:rsid w:val="00841C28"/>
    <w:rsid w:val="00844730"/>
    <w:rsid w:val="008457C2"/>
    <w:rsid w:val="00857A82"/>
    <w:rsid w:val="00873836"/>
    <w:rsid w:val="00876280"/>
    <w:rsid w:val="00876B37"/>
    <w:rsid w:val="00882963"/>
    <w:rsid w:val="00885737"/>
    <w:rsid w:val="00890650"/>
    <w:rsid w:val="008944DC"/>
    <w:rsid w:val="00897E12"/>
    <w:rsid w:val="008A7E0F"/>
    <w:rsid w:val="008B12F5"/>
    <w:rsid w:val="008B5826"/>
    <w:rsid w:val="008C4C3E"/>
    <w:rsid w:val="008C5E2D"/>
    <w:rsid w:val="008C6BDD"/>
    <w:rsid w:val="008D768D"/>
    <w:rsid w:val="008E0F76"/>
    <w:rsid w:val="008E3759"/>
    <w:rsid w:val="008E3BFE"/>
    <w:rsid w:val="008F1912"/>
    <w:rsid w:val="00900DC2"/>
    <w:rsid w:val="0090270B"/>
    <w:rsid w:val="009041DC"/>
    <w:rsid w:val="00907F7A"/>
    <w:rsid w:val="00917B5A"/>
    <w:rsid w:val="00920A58"/>
    <w:rsid w:val="00920A8C"/>
    <w:rsid w:val="0092375E"/>
    <w:rsid w:val="00934A2C"/>
    <w:rsid w:val="0094181E"/>
    <w:rsid w:val="009600C2"/>
    <w:rsid w:val="0096706E"/>
    <w:rsid w:val="00974491"/>
    <w:rsid w:val="009756E0"/>
    <w:rsid w:val="00975C4E"/>
    <w:rsid w:val="00981FBA"/>
    <w:rsid w:val="00997BC5"/>
    <w:rsid w:val="009A4519"/>
    <w:rsid w:val="009A4F41"/>
    <w:rsid w:val="009A56CE"/>
    <w:rsid w:val="009A780C"/>
    <w:rsid w:val="009B381B"/>
    <w:rsid w:val="009B65A5"/>
    <w:rsid w:val="009B7C13"/>
    <w:rsid w:val="009C0CA2"/>
    <w:rsid w:val="009D0F37"/>
    <w:rsid w:val="009D1753"/>
    <w:rsid w:val="009D26A2"/>
    <w:rsid w:val="009D464A"/>
    <w:rsid w:val="009D7611"/>
    <w:rsid w:val="009E0B61"/>
    <w:rsid w:val="009E2FC5"/>
    <w:rsid w:val="009E53DE"/>
    <w:rsid w:val="00A057F1"/>
    <w:rsid w:val="00A10E39"/>
    <w:rsid w:val="00A11212"/>
    <w:rsid w:val="00A11E44"/>
    <w:rsid w:val="00A15562"/>
    <w:rsid w:val="00A241A4"/>
    <w:rsid w:val="00A30100"/>
    <w:rsid w:val="00A306B9"/>
    <w:rsid w:val="00A328B3"/>
    <w:rsid w:val="00A41AC6"/>
    <w:rsid w:val="00A50FCF"/>
    <w:rsid w:val="00A528D1"/>
    <w:rsid w:val="00A610CD"/>
    <w:rsid w:val="00A72301"/>
    <w:rsid w:val="00A756DE"/>
    <w:rsid w:val="00A758AA"/>
    <w:rsid w:val="00A7778B"/>
    <w:rsid w:val="00A935AA"/>
    <w:rsid w:val="00AA09A2"/>
    <w:rsid w:val="00AA1087"/>
    <w:rsid w:val="00AA27F6"/>
    <w:rsid w:val="00AA7996"/>
    <w:rsid w:val="00AC19CB"/>
    <w:rsid w:val="00AC4638"/>
    <w:rsid w:val="00AD566A"/>
    <w:rsid w:val="00AE5488"/>
    <w:rsid w:val="00AE6F91"/>
    <w:rsid w:val="00AF2EA5"/>
    <w:rsid w:val="00AF5571"/>
    <w:rsid w:val="00B04818"/>
    <w:rsid w:val="00B07341"/>
    <w:rsid w:val="00B13F67"/>
    <w:rsid w:val="00B17C95"/>
    <w:rsid w:val="00B218ED"/>
    <w:rsid w:val="00B30539"/>
    <w:rsid w:val="00B314DB"/>
    <w:rsid w:val="00B34913"/>
    <w:rsid w:val="00B361F2"/>
    <w:rsid w:val="00B36444"/>
    <w:rsid w:val="00B3718B"/>
    <w:rsid w:val="00B3745F"/>
    <w:rsid w:val="00B4632A"/>
    <w:rsid w:val="00B47EAE"/>
    <w:rsid w:val="00B5105D"/>
    <w:rsid w:val="00B530F1"/>
    <w:rsid w:val="00B76FC2"/>
    <w:rsid w:val="00B82687"/>
    <w:rsid w:val="00B85734"/>
    <w:rsid w:val="00B86957"/>
    <w:rsid w:val="00B93CA8"/>
    <w:rsid w:val="00B93D7F"/>
    <w:rsid w:val="00BA2650"/>
    <w:rsid w:val="00BA276C"/>
    <w:rsid w:val="00BA7808"/>
    <w:rsid w:val="00BB019D"/>
    <w:rsid w:val="00BB306F"/>
    <w:rsid w:val="00BD0B5A"/>
    <w:rsid w:val="00BD0FF5"/>
    <w:rsid w:val="00BD4B89"/>
    <w:rsid w:val="00BD5922"/>
    <w:rsid w:val="00BF02CB"/>
    <w:rsid w:val="00BF1AA2"/>
    <w:rsid w:val="00BF6FD8"/>
    <w:rsid w:val="00C03680"/>
    <w:rsid w:val="00C054DF"/>
    <w:rsid w:val="00C072C0"/>
    <w:rsid w:val="00C075BA"/>
    <w:rsid w:val="00C12ACC"/>
    <w:rsid w:val="00C148D4"/>
    <w:rsid w:val="00C14D92"/>
    <w:rsid w:val="00C21762"/>
    <w:rsid w:val="00C21FEF"/>
    <w:rsid w:val="00C23BA4"/>
    <w:rsid w:val="00C24543"/>
    <w:rsid w:val="00C256A2"/>
    <w:rsid w:val="00C25ADB"/>
    <w:rsid w:val="00C26CBE"/>
    <w:rsid w:val="00C3031D"/>
    <w:rsid w:val="00C32CD5"/>
    <w:rsid w:val="00C40497"/>
    <w:rsid w:val="00C51515"/>
    <w:rsid w:val="00C5660B"/>
    <w:rsid w:val="00C66B72"/>
    <w:rsid w:val="00C70806"/>
    <w:rsid w:val="00C739BB"/>
    <w:rsid w:val="00C82B06"/>
    <w:rsid w:val="00C87AC4"/>
    <w:rsid w:val="00C9567A"/>
    <w:rsid w:val="00CB212D"/>
    <w:rsid w:val="00CB2660"/>
    <w:rsid w:val="00CB4745"/>
    <w:rsid w:val="00CB5C26"/>
    <w:rsid w:val="00CB7B0C"/>
    <w:rsid w:val="00CC0611"/>
    <w:rsid w:val="00CC5E90"/>
    <w:rsid w:val="00CD046C"/>
    <w:rsid w:val="00CD1223"/>
    <w:rsid w:val="00CD4FEC"/>
    <w:rsid w:val="00CD5F1B"/>
    <w:rsid w:val="00CE076C"/>
    <w:rsid w:val="00CE5199"/>
    <w:rsid w:val="00CE66D5"/>
    <w:rsid w:val="00CF3C53"/>
    <w:rsid w:val="00CF637A"/>
    <w:rsid w:val="00D059DE"/>
    <w:rsid w:val="00D05ABD"/>
    <w:rsid w:val="00D0778A"/>
    <w:rsid w:val="00D07D37"/>
    <w:rsid w:val="00D116B1"/>
    <w:rsid w:val="00D13FCE"/>
    <w:rsid w:val="00D1465F"/>
    <w:rsid w:val="00D17604"/>
    <w:rsid w:val="00D306D1"/>
    <w:rsid w:val="00D30800"/>
    <w:rsid w:val="00D34786"/>
    <w:rsid w:val="00D37BFC"/>
    <w:rsid w:val="00D47A8E"/>
    <w:rsid w:val="00D52D14"/>
    <w:rsid w:val="00D61FE8"/>
    <w:rsid w:val="00D63C12"/>
    <w:rsid w:val="00D712D3"/>
    <w:rsid w:val="00D71422"/>
    <w:rsid w:val="00D72DC6"/>
    <w:rsid w:val="00D73994"/>
    <w:rsid w:val="00D7558D"/>
    <w:rsid w:val="00D77632"/>
    <w:rsid w:val="00D77F3F"/>
    <w:rsid w:val="00D81D92"/>
    <w:rsid w:val="00D8664D"/>
    <w:rsid w:val="00D876F9"/>
    <w:rsid w:val="00D909CD"/>
    <w:rsid w:val="00DA6344"/>
    <w:rsid w:val="00DA7B5F"/>
    <w:rsid w:val="00DC11E7"/>
    <w:rsid w:val="00DC24E3"/>
    <w:rsid w:val="00DC5B95"/>
    <w:rsid w:val="00DC5C62"/>
    <w:rsid w:val="00DC7023"/>
    <w:rsid w:val="00DC769A"/>
    <w:rsid w:val="00DD3D86"/>
    <w:rsid w:val="00DD4AD2"/>
    <w:rsid w:val="00DE2862"/>
    <w:rsid w:val="00DE66DC"/>
    <w:rsid w:val="00DE7CE3"/>
    <w:rsid w:val="00DF1EC4"/>
    <w:rsid w:val="00DF2630"/>
    <w:rsid w:val="00DF43FC"/>
    <w:rsid w:val="00E0340B"/>
    <w:rsid w:val="00E04A90"/>
    <w:rsid w:val="00E0551F"/>
    <w:rsid w:val="00E219C7"/>
    <w:rsid w:val="00E4118C"/>
    <w:rsid w:val="00E4171C"/>
    <w:rsid w:val="00E43157"/>
    <w:rsid w:val="00E461CE"/>
    <w:rsid w:val="00E573E4"/>
    <w:rsid w:val="00E60DCF"/>
    <w:rsid w:val="00E64C3D"/>
    <w:rsid w:val="00E720CA"/>
    <w:rsid w:val="00E84EB5"/>
    <w:rsid w:val="00E85662"/>
    <w:rsid w:val="00E86033"/>
    <w:rsid w:val="00E87153"/>
    <w:rsid w:val="00E8789F"/>
    <w:rsid w:val="00E97B71"/>
    <w:rsid w:val="00EA3D34"/>
    <w:rsid w:val="00EB2C1A"/>
    <w:rsid w:val="00EB454D"/>
    <w:rsid w:val="00EB6D42"/>
    <w:rsid w:val="00ED49E5"/>
    <w:rsid w:val="00ED549D"/>
    <w:rsid w:val="00ED5E10"/>
    <w:rsid w:val="00ED7424"/>
    <w:rsid w:val="00ED76BE"/>
    <w:rsid w:val="00EE00E9"/>
    <w:rsid w:val="00EF1AAA"/>
    <w:rsid w:val="00EF619B"/>
    <w:rsid w:val="00EF69C3"/>
    <w:rsid w:val="00F00B55"/>
    <w:rsid w:val="00F02AD1"/>
    <w:rsid w:val="00F04FF7"/>
    <w:rsid w:val="00F22D7C"/>
    <w:rsid w:val="00F253CC"/>
    <w:rsid w:val="00F37106"/>
    <w:rsid w:val="00F37285"/>
    <w:rsid w:val="00F37537"/>
    <w:rsid w:val="00F44E25"/>
    <w:rsid w:val="00F451DC"/>
    <w:rsid w:val="00F519CF"/>
    <w:rsid w:val="00F56BA5"/>
    <w:rsid w:val="00F56ECB"/>
    <w:rsid w:val="00F60E22"/>
    <w:rsid w:val="00F67C75"/>
    <w:rsid w:val="00F81395"/>
    <w:rsid w:val="00F81BB8"/>
    <w:rsid w:val="00F849AD"/>
    <w:rsid w:val="00F90C64"/>
    <w:rsid w:val="00F917D1"/>
    <w:rsid w:val="00F93FDC"/>
    <w:rsid w:val="00F95F89"/>
    <w:rsid w:val="00F9653B"/>
    <w:rsid w:val="00FA21BD"/>
    <w:rsid w:val="00FA5205"/>
    <w:rsid w:val="00FA5D69"/>
    <w:rsid w:val="00FB2098"/>
    <w:rsid w:val="00FB62CF"/>
    <w:rsid w:val="00FC0140"/>
    <w:rsid w:val="00FC0424"/>
    <w:rsid w:val="00FC4862"/>
    <w:rsid w:val="00FC5044"/>
    <w:rsid w:val="00FD3C3B"/>
    <w:rsid w:val="00FD6AF9"/>
    <w:rsid w:val="00FE07DD"/>
    <w:rsid w:val="00FE22A2"/>
    <w:rsid w:val="00FE5D40"/>
    <w:rsid w:val="00FE6B45"/>
    <w:rsid w:val="00FF27DE"/>
    <w:rsid w:val="00FF55F3"/>
    <w:rsid w:val="00FF5851"/>
    <w:rsid w:val="00FF656E"/>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FCD0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NoList"/>
    <w:pPr>
      <w:numPr>
        <w:numId w:val="31"/>
      </w:numPr>
    </w:pPr>
  </w:style>
  <w:style w:type="numbering" w:customStyle="1" w:styleId="List1">
    <w:name w:val="List 1"/>
    <w:basedOn w:val="NoList"/>
    <w:pPr>
      <w:numPr>
        <w:numId w:val="1"/>
      </w:numPr>
    </w:pPr>
  </w:style>
  <w:style w:type="numbering" w:customStyle="1" w:styleId="List210">
    <w:name w:val="List 21"/>
    <w:basedOn w:val="NoList"/>
    <w:pPr>
      <w:numPr>
        <w:numId w:val="52"/>
      </w:numPr>
    </w:pPr>
  </w:style>
  <w:style w:type="numbering" w:customStyle="1" w:styleId="List31">
    <w:name w:val="List 31"/>
    <w:basedOn w:val="NoList"/>
    <w:pPr>
      <w:numPr>
        <w:numId w:val="51"/>
      </w:numPr>
    </w:pPr>
  </w:style>
  <w:style w:type="numbering" w:customStyle="1" w:styleId="List41">
    <w:name w:val="List 41"/>
    <w:basedOn w:val="NoList"/>
    <w:pPr>
      <w:numPr>
        <w:numId w:val="2"/>
      </w:numPr>
    </w:pPr>
  </w:style>
  <w:style w:type="numbering" w:customStyle="1" w:styleId="List510">
    <w:name w:val="List 51"/>
    <w:basedOn w:val="NoList"/>
    <w:pPr>
      <w:numPr>
        <w:numId w:val="54"/>
      </w:numPr>
    </w:pPr>
  </w:style>
  <w:style w:type="numbering" w:customStyle="1" w:styleId="List6">
    <w:name w:val="List 6"/>
    <w:basedOn w:val="NoList"/>
    <w:pPr>
      <w:numPr>
        <w:numId w:val="3"/>
      </w:numPr>
    </w:pPr>
  </w:style>
  <w:style w:type="numbering" w:customStyle="1" w:styleId="List7">
    <w:name w:val="List 7"/>
    <w:basedOn w:val="NoList"/>
    <w:pPr>
      <w:numPr>
        <w:numId w:val="4"/>
      </w:numPr>
    </w:pPr>
  </w:style>
  <w:style w:type="numbering" w:customStyle="1" w:styleId="List8">
    <w:name w:val="List 8"/>
    <w:basedOn w:val="NoList"/>
    <w:pPr>
      <w:numPr>
        <w:numId w:val="5"/>
      </w:numPr>
    </w:pPr>
  </w:style>
  <w:style w:type="numbering" w:customStyle="1" w:styleId="List9">
    <w:name w:val="List 9"/>
    <w:basedOn w:val="NoList"/>
    <w:pPr>
      <w:numPr>
        <w:numId w:val="22"/>
      </w:numPr>
    </w:pPr>
  </w:style>
  <w:style w:type="numbering" w:customStyle="1" w:styleId="List10">
    <w:name w:val="List 10"/>
    <w:basedOn w:val="NoList"/>
    <w:pPr>
      <w:numPr>
        <w:numId w:val="6"/>
      </w:numPr>
    </w:pPr>
  </w:style>
  <w:style w:type="numbering" w:customStyle="1" w:styleId="List11">
    <w:name w:val="List 11"/>
    <w:basedOn w:val="NoList"/>
    <w:pPr>
      <w:numPr>
        <w:numId w:val="7"/>
      </w:numPr>
    </w:pPr>
  </w:style>
  <w:style w:type="numbering" w:customStyle="1" w:styleId="List12">
    <w:name w:val="List 12"/>
    <w:basedOn w:val="NoList"/>
    <w:pPr>
      <w:numPr>
        <w:numId w:val="36"/>
      </w:numPr>
    </w:pPr>
  </w:style>
  <w:style w:type="numbering" w:customStyle="1" w:styleId="List13">
    <w:name w:val="List 13"/>
    <w:basedOn w:val="NoList"/>
    <w:pPr>
      <w:numPr>
        <w:numId w:val="42"/>
      </w:numPr>
    </w:pPr>
  </w:style>
  <w:style w:type="numbering" w:customStyle="1" w:styleId="List14">
    <w:name w:val="List 14"/>
    <w:basedOn w:val="NoList"/>
    <w:pPr>
      <w:numPr>
        <w:numId w:val="17"/>
      </w:numPr>
    </w:pPr>
  </w:style>
  <w:style w:type="numbering" w:customStyle="1" w:styleId="List15">
    <w:name w:val="List 15"/>
    <w:basedOn w:val="NoList"/>
    <w:pPr>
      <w:numPr>
        <w:numId w:val="16"/>
      </w:numPr>
    </w:pPr>
  </w:style>
  <w:style w:type="numbering" w:customStyle="1" w:styleId="List16">
    <w:name w:val="List 16"/>
    <w:basedOn w:val="NoList"/>
    <w:pPr>
      <w:numPr>
        <w:numId w:val="10"/>
      </w:numPr>
    </w:pPr>
  </w:style>
  <w:style w:type="numbering" w:customStyle="1" w:styleId="List17">
    <w:name w:val="List 17"/>
    <w:basedOn w:val="NoList"/>
    <w:pPr>
      <w:numPr>
        <w:numId w:val="25"/>
      </w:numPr>
    </w:pPr>
  </w:style>
  <w:style w:type="numbering" w:customStyle="1" w:styleId="List18">
    <w:name w:val="List 18"/>
    <w:basedOn w:val="NoList"/>
    <w:pPr>
      <w:numPr>
        <w:numId w:val="27"/>
      </w:numPr>
    </w:pPr>
  </w:style>
  <w:style w:type="numbering" w:customStyle="1" w:styleId="List19">
    <w:name w:val="List 19"/>
    <w:basedOn w:val="NoList"/>
    <w:pPr>
      <w:numPr>
        <w:numId w:val="19"/>
      </w:numPr>
    </w:pPr>
  </w:style>
  <w:style w:type="numbering" w:customStyle="1" w:styleId="List20">
    <w:name w:val="List 20"/>
    <w:basedOn w:val="NoList"/>
    <w:pPr>
      <w:numPr>
        <w:numId w:val="43"/>
      </w:numPr>
    </w:pPr>
  </w:style>
  <w:style w:type="numbering" w:customStyle="1" w:styleId="List21">
    <w:name w:val="List 21"/>
    <w:basedOn w:val="NoList"/>
    <w:pPr>
      <w:numPr>
        <w:numId w:val="38"/>
      </w:numPr>
    </w:pPr>
  </w:style>
  <w:style w:type="numbering" w:customStyle="1" w:styleId="List22">
    <w:name w:val="List 22"/>
    <w:basedOn w:val="NoList"/>
    <w:pPr>
      <w:numPr>
        <w:numId w:val="28"/>
      </w:numPr>
    </w:pPr>
  </w:style>
  <w:style w:type="numbering" w:customStyle="1" w:styleId="List23">
    <w:name w:val="List 23"/>
    <w:basedOn w:val="NoList"/>
    <w:pPr>
      <w:numPr>
        <w:numId w:val="18"/>
      </w:numPr>
    </w:pPr>
  </w:style>
  <w:style w:type="numbering" w:customStyle="1" w:styleId="List24">
    <w:name w:val="List 24"/>
    <w:basedOn w:val="NoList"/>
    <w:pPr>
      <w:numPr>
        <w:numId w:val="13"/>
      </w:numPr>
    </w:pPr>
  </w:style>
  <w:style w:type="numbering" w:customStyle="1" w:styleId="List25">
    <w:name w:val="List 25"/>
    <w:basedOn w:val="NoList"/>
    <w:pPr>
      <w:numPr>
        <w:numId w:val="15"/>
      </w:numPr>
    </w:pPr>
  </w:style>
  <w:style w:type="numbering" w:customStyle="1" w:styleId="List26">
    <w:name w:val="List 26"/>
    <w:basedOn w:val="NoList"/>
    <w:pPr>
      <w:numPr>
        <w:numId w:val="49"/>
      </w:numPr>
    </w:pPr>
  </w:style>
  <w:style w:type="numbering" w:customStyle="1" w:styleId="List27">
    <w:name w:val="List 27"/>
    <w:basedOn w:val="NoList"/>
    <w:pPr>
      <w:numPr>
        <w:numId w:val="41"/>
      </w:numPr>
    </w:pPr>
  </w:style>
  <w:style w:type="numbering" w:customStyle="1" w:styleId="List28">
    <w:name w:val="List 28"/>
    <w:basedOn w:val="NoList"/>
    <w:pPr>
      <w:numPr>
        <w:numId w:val="30"/>
      </w:numPr>
    </w:pPr>
  </w:style>
  <w:style w:type="numbering" w:customStyle="1" w:styleId="List29">
    <w:name w:val="List 29"/>
    <w:basedOn w:val="NoList"/>
    <w:pPr>
      <w:numPr>
        <w:numId w:val="34"/>
      </w:numPr>
    </w:pPr>
  </w:style>
  <w:style w:type="numbering" w:customStyle="1" w:styleId="List30">
    <w:name w:val="List 30"/>
    <w:basedOn w:val="NoList"/>
    <w:pPr>
      <w:numPr>
        <w:numId w:val="32"/>
      </w:numPr>
    </w:pPr>
  </w:style>
  <w:style w:type="numbering" w:customStyle="1" w:styleId="List310">
    <w:name w:val="List 31"/>
    <w:basedOn w:val="NoList"/>
    <w:pPr>
      <w:numPr>
        <w:numId w:val="45"/>
      </w:numPr>
    </w:pPr>
  </w:style>
  <w:style w:type="numbering" w:customStyle="1" w:styleId="List32">
    <w:name w:val="List 32"/>
    <w:basedOn w:val="NoList"/>
    <w:pPr>
      <w:numPr>
        <w:numId w:val="48"/>
      </w:numPr>
    </w:pPr>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qFormat/>
    <w:rPr>
      <w:rFonts w:ascii="Calibri" w:eastAsia="Calibri" w:hAnsi="Calibri" w:cs="Calibri"/>
      <w:color w:val="000000"/>
      <w:u w:color="000000"/>
      <w:lang w:val="en-US"/>
    </w:rPr>
  </w:style>
  <w:style w:type="numbering" w:customStyle="1" w:styleId="List33">
    <w:name w:val="List 33"/>
    <w:basedOn w:val="NoList"/>
    <w:pPr>
      <w:numPr>
        <w:numId w:val="26"/>
      </w:numPr>
    </w:pPr>
  </w:style>
  <w:style w:type="numbering" w:customStyle="1" w:styleId="List34">
    <w:name w:val="List 34"/>
    <w:basedOn w:val="NoList"/>
    <w:pPr>
      <w:numPr>
        <w:numId w:val="11"/>
      </w:numPr>
    </w:pPr>
  </w:style>
  <w:style w:type="numbering" w:customStyle="1" w:styleId="List35">
    <w:name w:val="List 35"/>
    <w:basedOn w:val="NoList"/>
    <w:pPr>
      <w:numPr>
        <w:numId w:val="8"/>
      </w:numPr>
    </w:pPr>
  </w:style>
  <w:style w:type="numbering" w:customStyle="1" w:styleId="List36">
    <w:name w:val="List 36"/>
    <w:basedOn w:val="NoList"/>
    <w:pPr>
      <w:numPr>
        <w:numId w:val="14"/>
      </w:numPr>
    </w:pPr>
  </w:style>
  <w:style w:type="numbering" w:customStyle="1" w:styleId="List37">
    <w:name w:val="List 37"/>
    <w:basedOn w:val="NoList"/>
    <w:pPr>
      <w:numPr>
        <w:numId w:val="47"/>
      </w:numPr>
    </w:pPr>
  </w:style>
  <w:style w:type="numbering" w:customStyle="1" w:styleId="List38">
    <w:name w:val="List 38"/>
    <w:basedOn w:val="NoList"/>
    <w:pPr>
      <w:numPr>
        <w:numId w:val="35"/>
      </w:numPr>
    </w:pPr>
  </w:style>
  <w:style w:type="numbering" w:customStyle="1" w:styleId="List39">
    <w:name w:val="List 39"/>
    <w:basedOn w:val="NoList"/>
    <w:pPr>
      <w:numPr>
        <w:numId w:val="46"/>
      </w:numPr>
    </w:pPr>
  </w:style>
  <w:style w:type="numbering" w:customStyle="1" w:styleId="List40">
    <w:name w:val="List 40"/>
    <w:basedOn w:val="NoList"/>
    <w:pPr>
      <w:numPr>
        <w:numId w:val="21"/>
      </w:numPr>
    </w:pPr>
  </w:style>
  <w:style w:type="numbering" w:customStyle="1" w:styleId="List410">
    <w:name w:val="List 41"/>
    <w:basedOn w:val="NoList"/>
    <w:pPr>
      <w:numPr>
        <w:numId w:val="44"/>
      </w:numPr>
    </w:pPr>
  </w:style>
  <w:style w:type="numbering" w:customStyle="1" w:styleId="List42">
    <w:name w:val="List 42"/>
    <w:basedOn w:val="NoList"/>
    <w:pPr>
      <w:numPr>
        <w:numId w:val="12"/>
      </w:numPr>
    </w:pPr>
  </w:style>
  <w:style w:type="numbering" w:customStyle="1" w:styleId="List43">
    <w:name w:val="List 43"/>
    <w:basedOn w:val="NoList"/>
    <w:pPr>
      <w:numPr>
        <w:numId w:val="23"/>
      </w:numPr>
    </w:pPr>
  </w:style>
  <w:style w:type="numbering" w:customStyle="1" w:styleId="List44">
    <w:name w:val="List 44"/>
    <w:basedOn w:val="NoList"/>
    <w:pPr>
      <w:numPr>
        <w:numId w:val="40"/>
      </w:numPr>
    </w:pPr>
  </w:style>
  <w:style w:type="numbering" w:customStyle="1" w:styleId="List45">
    <w:name w:val="List 45"/>
    <w:basedOn w:val="NoList"/>
    <w:pPr>
      <w:numPr>
        <w:numId w:val="20"/>
      </w:numPr>
    </w:pPr>
  </w:style>
  <w:style w:type="numbering" w:customStyle="1" w:styleId="List46">
    <w:name w:val="List 46"/>
    <w:basedOn w:val="NoList"/>
    <w:pPr>
      <w:numPr>
        <w:numId w:val="24"/>
      </w:numPr>
    </w:pPr>
  </w:style>
  <w:style w:type="numbering" w:customStyle="1" w:styleId="List47">
    <w:name w:val="List 47"/>
    <w:basedOn w:val="NoList"/>
    <w:pPr>
      <w:numPr>
        <w:numId w:val="29"/>
      </w:numPr>
    </w:pPr>
  </w:style>
  <w:style w:type="numbering" w:customStyle="1" w:styleId="List48">
    <w:name w:val="List 48"/>
    <w:basedOn w:val="NoList"/>
    <w:pPr>
      <w:numPr>
        <w:numId w:val="50"/>
      </w:numPr>
    </w:pPr>
  </w:style>
  <w:style w:type="numbering" w:customStyle="1" w:styleId="List49">
    <w:name w:val="List 49"/>
    <w:basedOn w:val="NoList"/>
    <w:pPr>
      <w:numPr>
        <w:numId w:val="39"/>
      </w:numPr>
    </w:pPr>
  </w:style>
  <w:style w:type="numbering" w:customStyle="1" w:styleId="List50">
    <w:name w:val="List 50"/>
    <w:basedOn w:val="NoList"/>
    <w:pPr>
      <w:numPr>
        <w:numId w:val="37"/>
      </w:numPr>
    </w:pPr>
  </w:style>
  <w:style w:type="numbering" w:customStyle="1" w:styleId="List51">
    <w:name w:val="List 51"/>
    <w:basedOn w:val="NoList"/>
    <w:pPr>
      <w:numPr>
        <w:numId w:val="33"/>
      </w:numPr>
    </w:pPr>
  </w:style>
  <w:style w:type="numbering" w:customStyle="1" w:styleId="List52">
    <w:name w:val="List 52"/>
    <w:basedOn w:val="NoList"/>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qForma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213160"/>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styleId="UnresolvedMention">
    <w:name w:val="Unresolved Mention"/>
    <w:basedOn w:val="DefaultParagraphFont"/>
    <w:uiPriority w:val="99"/>
    <w:semiHidden/>
    <w:unhideWhenUsed/>
    <w:rsid w:val="00DF2630"/>
    <w:rPr>
      <w:color w:val="605E5C"/>
      <w:shd w:val="clear" w:color="auto" w:fill="E1DFDD"/>
    </w:rPr>
  </w:style>
  <w:style w:type="character" w:styleId="CommentReference">
    <w:name w:val="annotation reference"/>
    <w:basedOn w:val="DefaultParagraphFont"/>
    <w:uiPriority w:val="99"/>
    <w:semiHidden/>
    <w:unhideWhenUsed/>
    <w:rsid w:val="00207BD7"/>
    <w:rPr>
      <w:sz w:val="16"/>
      <w:szCs w:val="16"/>
    </w:rPr>
  </w:style>
  <w:style w:type="paragraph" w:styleId="CommentText">
    <w:name w:val="annotation text"/>
    <w:basedOn w:val="Normal"/>
    <w:link w:val="CommentTextChar"/>
    <w:uiPriority w:val="99"/>
    <w:unhideWhenUsed/>
    <w:rsid w:val="00207BD7"/>
    <w:rPr>
      <w:sz w:val="20"/>
      <w:szCs w:val="20"/>
    </w:rPr>
  </w:style>
  <w:style w:type="character" w:customStyle="1" w:styleId="CommentTextChar">
    <w:name w:val="Comment Text Char"/>
    <w:basedOn w:val="DefaultParagraphFont"/>
    <w:link w:val="CommentText"/>
    <w:uiPriority w:val="99"/>
    <w:rsid w:val="00207BD7"/>
    <w:rPr>
      <w:lang w:val="en-US" w:eastAsia="en-US"/>
    </w:rPr>
  </w:style>
  <w:style w:type="paragraph" w:styleId="CommentSubject">
    <w:name w:val="annotation subject"/>
    <w:basedOn w:val="CommentText"/>
    <w:next w:val="CommentText"/>
    <w:link w:val="CommentSubjectChar"/>
    <w:uiPriority w:val="99"/>
    <w:semiHidden/>
    <w:unhideWhenUsed/>
    <w:rsid w:val="00207BD7"/>
    <w:rPr>
      <w:b/>
      <w:bCs/>
    </w:rPr>
  </w:style>
  <w:style w:type="character" w:customStyle="1" w:styleId="CommentSubjectChar">
    <w:name w:val="Comment Subject Char"/>
    <w:basedOn w:val="CommentTextChar"/>
    <w:link w:val="CommentSubject"/>
    <w:uiPriority w:val="99"/>
    <w:semiHidden/>
    <w:rsid w:val="00207BD7"/>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026655">
      <w:bodyDiv w:val="1"/>
      <w:marLeft w:val="0"/>
      <w:marRight w:val="0"/>
      <w:marTop w:val="0"/>
      <w:marBottom w:val="0"/>
      <w:divBdr>
        <w:top w:val="none" w:sz="0" w:space="0" w:color="auto"/>
        <w:left w:val="none" w:sz="0" w:space="0" w:color="auto"/>
        <w:bottom w:val="none" w:sz="0" w:space="0" w:color="auto"/>
        <w:right w:val="none" w:sz="0" w:space="0" w:color="auto"/>
      </w:divBdr>
      <w:divsChild>
        <w:div w:id="1380321397">
          <w:marLeft w:val="0"/>
          <w:marRight w:val="0"/>
          <w:marTop w:val="0"/>
          <w:marBottom w:val="0"/>
          <w:divBdr>
            <w:top w:val="none" w:sz="0" w:space="0" w:color="auto"/>
            <w:left w:val="none" w:sz="0" w:space="0" w:color="auto"/>
            <w:bottom w:val="none" w:sz="0" w:space="0" w:color="auto"/>
            <w:right w:val="none" w:sz="0" w:space="0" w:color="auto"/>
          </w:divBdr>
          <w:divsChild>
            <w:div w:id="477233441">
              <w:marLeft w:val="0"/>
              <w:marRight w:val="0"/>
              <w:marTop w:val="0"/>
              <w:marBottom w:val="0"/>
              <w:divBdr>
                <w:top w:val="none" w:sz="0" w:space="0" w:color="auto"/>
                <w:left w:val="none" w:sz="0" w:space="0" w:color="auto"/>
                <w:bottom w:val="none" w:sz="0" w:space="0" w:color="auto"/>
                <w:right w:val="none" w:sz="0" w:space="0" w:color="auto"/>
              </w:divBdr>
              <w:divsChild>
                <w:div w:id="1376201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0460448">
      <w:bodyDiv w:val="1"/>
      <w:marLeft w:val="0"/>
      <w:marRight w:val="0"/>
      <w:marTop w:val="0"/>
      <w:marBottom w:val="0"/>
      <w:divBdr>
        <w:top w:val="none" w:sz="0" w:space="0" w:color="auto"/>
        <w:left w:val="none" w:sz="0" w:space="0" w:color="auto"/>
        <w:bottom w:val="none" w:sz="0" w:space="0" w:color="auto"/>
        <w:right w:val="none" w:sz="0" w:space="0" w:color="auto"/>
      </w:divBdr>
      <w:divsChild>
        <w:div w:id="333536383">
          <w:marLeft w:val="0"/>
          <w:marRight w:val="0"/>
          <w:marTop w:val="0"/>
          <w:marBottom w:val="0"/>
          <w:divBdr>
            <w:top w:val="none" w:sz="0" w:space="0" w:color="auto"/>
            <w:left w:val="none" w:sz="0" w:space="0" w:color="auto"/>
            <w:bottom w:val="none" w:sz="0" w:space="0" w:color="auto"/>
            <w:right w:val="none" w:sz="0" w:space="0" w:color="auto"/>
          </w:divBdr>
          <w:divsChild>
            <w:div w:id="2011060461">
              <w:marLeft w:val="0"/>
              <w:marRight w:val="0"/>
              <w:marTop w:val="0"/>
              <w:marBottom w:val="0"/>
              <w:divBdr>
                <w:top w:val="none" w:sz="0" w:space="0" w:color="auto"/>
                <w:left w:val="none" w:sz="0" w:space="0" w:color="auto"/>
                <w:bottom w:val="none" w:sz="0" w:space="0" w:color="auto"/>
                <w:right w:val="none" w:sz="0" w:space="0" w:color="auto"/>
              </w:divBdr>
              <w:divsChild>
                <w:div w:id="51612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0144698">
      <w:bodyDiv w:val="1"/>
      <w:marLeft w:val="0"/>
      <w:marRight w:val="0"/>
      <w:marTop w:val="0"/>
      <w:marBottom w:val="0"/>
      <w:divBdr>
        <w:top w:val="none" w:sz="0" w:space="0" w:color="auto"/>
        <w:left w:val="none" w:sz="0" w:space="0" w:color="auto"/>
        <w:bottom w:val="none" w:sz="0" w:space="0" w:color="auto"/>
        <w:right w:val="none" w:sz="0" w:space="0" w:color="auto"/>
      </w:divBdr>
    </w:div>
    <w:div w:id="784734049">
      <w:bodyDiv w:val="1"/>
      <w:marLeft w:val="0"/>
      <w:marRight w:val="0"/>
      <w:marTop w:val="0"/>
      <w:marBottom w:val="0"/>
      <w:divBdr>
        <w:top w:val="none" w:sz="0" w:space="0" w:color="auto"/>
        <w:left w:val="none" w:sz="0" w:space="0" w:color="auto"/>
        <w:bottom w:val="none" w:sz="0" w:space="0" w:color="auto"/>
        <w:right w:val="none" w:sz="0" w:space="0" w:color="auto"/>
      </w:divBdr>
      <w:divsChild>
        <w:div w:id="1296642456">
          <w:marLeft w:val="0"/>
          <w:marRight w:val="0"/>
          <w:marTop w:val="0"/>
          <w:marBottom w:val="0"/>
          <w:divBdr>
            <w:top w:val="none" w:sz="0" w:space="0" w:color="auto"/>
            <w:left w:val="none" w:sz="0" w:space="0" w:color="auto"/>
            <w:bottom w:val="none" w:sz="0" w:space="0" w:color="auto"/>
            <w:right w:val="none" w:sz="0" w:space="0" w:color="auto"/>
          </w:divBdr>
          <w:divsChild>
            <w:div w:id="258562627">
              <w:marLeft w:val="0"/>
              <w:marRight w:val="0"/>
              <w:marTop w:val="0"/>
              <w:marBottom w:val="0"/>
              <w:divBdr>
                <w:top w:val="none" w:sz="0" w:space="0" w:color="auto"/>
                <w:left w:val="none" w:sz="0" w:space="0" w:color="auto"/>
                <w:bottom w:val="none" w:sz="0" w:space="0" w:color="auto"/>
                <w:right w:val="none" w:sz="0" w:space="0" w:color="auto"/>
              </w:divBdr>
              <w:divsChild>
                <w:div w:id="1749576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0047707">
      <w:bodyDiv w:val="1"/>
      <w:marLeft w:val="0"/>
      <w:marRight w:val="0"/>
      <w:marTop w:val="0"/>
      <w:marBottom w:val="0"/>
      <w:divBdr>
        <w:top w:val="none" w:sz="0" w:space="0" w:color="auto"/>
        <w:left w:val="none" w:sz="0" w:space="0" w:color="auto"/>
        <w:bottom w:val="none" w:sz="0" w:space="0" w:color="auto"/>
        <w:right w:val="none" w:sz="0" w:space="0" w:color="auto"/>
      </w:divBdr>
      <w:divsChild>
        <w:div w:id="710960433">
          <w:marLeft w:val="0"/>
          <w:marRight w:val="0"/>
          <w:marTop w:val="0"/>
          <w:marBottom w:val="0"/>
          <w:divBdr>
            <w:top w:val="none" w:sz="0" w:space="0" w:color="auto"/>
            <w:left w:val="none" w:sz="0" w:space="0" w:color="auto"/>
            <w:bottom w:val="none" w:sz="0" w:space="0" w:color="auto"/>
            <w:right w:val="none" w:sz="0" w:space="0" w:color="auto"/>
          </w:divBdr>
          <w:divsChild>
            <w:div w:id="1843354965">
              <w:marLeft w:val="0"/>
              <w:marRight w:val="0"/>
              <w:marTop w:val="0"/>
              <w:marBottom w:val="0"/>
              <w:divBdr>
                <w:top w:val="none" w:sz="0" w:space="0" w:color="auto"/>
                <w:left w:val="none" w:sz="0" w:space="0" w:color="auto"/>
                <w:bottom w:val="none" w:sz="0" w:space="0" w:color="auto"/>
                <w:right w:val="none" w:sz="0" w:space="0" w:color="auto"/>
              </w:divBdr>
              <w:divsChild>
                <w:div w:id="681509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935615">
      <w:bodyDiv w:val="1"/>
      <w:marLeft w:val="0"/>
      <w:marRight w:val="0"/>
      <w:marTop w:val="0"/>
      <w:marBottom w:val="0"/>
      <w:divBdr>
        <w:top w:val="none" w:sz="0" w:space="0" w:color="auto"/>
        <w:left w:val="none" w:sz="0" w:space="0" w:color="auto"/>
        <w:bottom w:val="none" w:sz="0" w:space="0" w:color="auto"/>
        <w:right w:val="none" w:sz="0" w:space="0" w:color="auto"/>
      </w:divBdr>
    </w:div>
    <w:div w:id="1073242348">
      <w:bodyDiv w:val="1"/>
      <w:marLeft w:val="0"/>
      <w:marRight w:val="0"/>
      <w:marTop w:val="0"/>
      <w:marBottom w:val="0"/>
      <w:divBdr>
        <w:top w:val="none" w:sz="0" w:space="0" w:color="auto"/>
        <w:left w:val="none" w:sz="0" w:space="0" w:color="auto"/>
        <w:bottom w:val="none" w:sz="0" w:space="0" w:color="auto"/>
        <w:right w:val="none" w:sz="0" w:space="0" w:color="auto"/>
      </w:divBdr>
    </w:div>
    <w:div w:id="1074935790">
      <w:bodyDiv w:val="1"/>
      <w:marLeft w:val="0"/>
      <w:marRight w:val="0"/>
      <w:marTop w:val="0"/>
      <w:marBottom w:val="0"/>
      <w:divBdr>
        <w:top w:val="none" w:sz="0" w:space="0" w:color="auto"/>
        <w:left w:val="none" w:sz="0" w:space="0" w:color="auto"/>
        <w:bottom w:val="none" w:sz="0" w:space="0" w:color="auto"/>
        <w:right w:val="none" w:sz="0" w:space="0" w:color="auto"/>
      </w:divBdr>
    </w:div>
    <w:div w:id="1126436899">
      <w:bodyDiv w:val="1"/>
      <w:marLeft w:val="0"/>
      <w:marRight w:val="0"/>
      <w:marTop w:val="0"/>
      <w:marBottom w:val="0"/>
      <w:divBdr>
        <w:top w:val="none" w:sz="0" w:space="0" w:color="auto"/>
        <w:left w:val="none" w:sz="0" w:space="0" w:color="auto"/>
        <w:bottom w:val="none" w:sz="0" w:space="0" w:color="auto"/>
        <w:right w:val="none" w:sz="0" w:space="0" w:color="auto"/>
      </w:divBdr>
    </w:div>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1858037808">
      <w:bodyDiv w:val="1"/>
      <w:marLeft w:val="0"/>
      <w:marRight w:val="0"/>
      <w:marTop w:val="0"/>
      <w:marBottom w:val="0"/>
      <w:divBdr>
        <w:top w:val="none" w:sz="0" w:space="0" w:color="auto"/>
        <w:left w:val="none" w:sz="0" w:space="0" w:color="auto"/>
        <w:bottom w:val="none" w:sz="0" w:space="0" w:color="auto"/>
        <w:right w:val="none" w:sz="0" w:space="0" w:color="auto"/>
      </w:divBdr>
      <w:divsChild>
        <w:div w:id="376397977">
          <w:marLeft w:val="0"/>
          <w:marRight w:val="0"/>
          <w:marTop w:val="0"/>
          <w:marBottom w:val="0"/>
          <w:divBdr>
            <w:top w:val="none" w:sz="0" w:space="0" w:color="auto"/>
            <w:left w:val="none" w:sz="0" w:space="0" w:color="auto"/>
            <w:bottom w:val="none" w:sz="0" w:space="0" w:color="auto"/>
            <w:right w:val="none" w:sz="0" w:space="0" w:color="auto"/>
          </w:divBdr>
          <w:divsChild>
            <w:div w:id="1852522060">
              <w:marLeft w:val="0"/>
              <w:marRight w:val="0"/>
              <w:marTop w:val="0"/>
              <w:marBottom w:val="0"/>
              <w:divBdr>
                <w:top w:val="none" w:sz="0" w:space="0" w:color="auto"/>
                <w:left w:val="none" w:sz="0" w:space="0" w:color="auto"/>
                <w:bottom w:val="none" w:sz="0" w:space="0" w:color="auto"/>
                <w:right w:val="none" w:sz="0" w:space="0" w:color="auto"/>
              </w:divBdr>
              <w:divsChild>
                <w:div w:id="141112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1629545">
      <w:bodyDiv w:val="1"/>
      <w:marLeft w:val="0"/>
      <w:marRight w:val="0"/>
      <w:marTop w:val="0"/>
      <w:marBottom w:val="0"/>
      <w:divBdr>
        <w:top w:val="none" w:sz="0" w:space="0" w:color="auto"/>
        <w:left w:val="none" w:sz="0" w:space="0" w:color="auto"/>
        <w:bottom w:val="none" w:sz="0" w:space="0" w:color="auto"/>
        <w:right w:val="none" w:sz="0" w:space="0" w:color="auto"/>
      </w:divBdr>
    </w:div>
    <w:div w:id="1980456739">
      <w:bodyDiv w:val="1"/>
      <w:marLeft w:val="0"/>
      <w:marRight w:val="0"/>
      <w:marTop w:val="0"/>
      <w:marBottom w:val="0"/>
      <w:divBdr>
        <w:top w:val="none" w:sz="0" w:space="0" w:color="auto"/>
        <w:left w:val="none" w:sz="0" w:space="0" w:color="auto"/>
        <w:bottom w:val="none" w:sz="0" w:space="0" w:color="auto"/>
        <w:right w:val="none" w:sz="0" w:space="0" w:color="auto"/>
      </w:divBdr>
      <w:divsChild>
        <w:div w:id="725375856">
          <w:marLeft w:val="0"/>
          <w:marRight w:val="0"/>
          <w:marTop w:val="0"/>
          <w:marBottom w:val="0"/>
          <w:divBdr>
            <w:top w:val="none" w:sz="0" w:space="0" w:color="auto"/>
            <w:left w:val="none" w:sz="0" w:space="0" w:color="auto"/>
            <w:bottom w:val="none" w:sz="0" w:space="0" w:color="auto"/>
            <w:right w:val="none" w:sz="0" w:space="0" w:color="auto"/>
          </w:divBdr>
          <w:divsChild>
            <w:div w:id="37241985">
              <w:marLeft w:val="0"/>
              <w:marRight w:val="0"/>
              <w:marTop w:val="0"/>
              <w:marBottom w:val="0"/>
              <w:divBdr>
                <w:top w:val="none" w:sz="0" w:space="0" w:color="auto"/>
                <w:left w:val="none" w:sz="0" w:space="0" w:color="auto"/>
                <w:bottom w:val="none" w:sz="0" w:space="0" w:color="auto"/>
                <w:right w:val="none" w:sz="0" w:space="0" w:color="auto"/>
              </w:divBdr>
              <w:divsChild>
                <w:div w:id="295838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0245448">
      <w:bodyDiv w:val="1"/>
      <w:marLeft w:val="0"/>
      <w:marRight w:val="0"/>
      <w:marTop w:val="0"/>
      <w:marBottom w:val="0"/>
      <w:divBdr>
        <w:top w:val="none" w:sz="0" w:space="0" w:color="auto"/>
        <w:left w:val="none" w:sz="0" w:space="0" w:color="auto"/>
        <w:bottom w:val="none" w:sz="0" w:space="0" w:color="auto"/>
        <w:right w:val="none" w:sz="0" w:space="0" w:color="auto"/>
      </w:divBdr>
    </w:div>
    <w:div w:id="2137554672">
      <w:bodyDiv w:val="1"/>
      <w:marLeft w:val="0"/>
      <w:marRight w:val="0"/>
      <w:marTop w:val="0"/>
      <w:marBottom w:val="0"/>
      <w:divBdr>
        <w:top w:val="none" w:sz="0" w:space="0" w:color="auto"/>
        <w:left w:val="none" w:sz="0" w:space="0" w:color="auto"/>
        <w:bottom w:val="none" w:sz="0" w:space="0" w:color="auto"/>
        <w:right w:val="none" w:sz="0" w:space="0" w:color="auto"/>
      </w:divBdr>
      <w:divsChild>
        <w:div w:id="1622764048">
          <w:marLeft w:val="0"/>
          <w:marRight w:val="0"/>
          <w:marTop w:val="0"/>
          <w:marBottom w:val="0"/>
          <w:divBdr>
            <w:top w:val="none" w:sz="0" w:space="0" w:color="auto"/>
            <w:left w:val="none" w:sz="0" w:space="0" w:color="auto"/>
            <w:bottom w:val="none" w:sz="0" w:space="0" w:color="auto"/>
            <w:right w:val="none" w:sz="0" w:space="0" w:color="auto"/>
          </w:divBdr>
          <w:divsChild>
            <w:div w:id="61801078">
              <w:marLeft w:val="0"/>
              <w:marRight w:val="0"/>
              <w:marTop w:val="0"/>
              <w:marBottom w:val="0"/>
              <w:divBdr>
                <w:top w:val="none" w:sz="0" w:space="0" w:color="auto"/>
                <w:left w:val="none" w:sz="0" w:space="0" w:color="auto"/>
                <w:bottom w:val="none" w:sz="0" w:space="0" w:color="auto"/>
                <w:right w:val="none" w:sz="0" w:space="0" w:color="auto"/>
              </w:divBdr>
              <w:divsChild>
                <w:div w:id="311909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4049"/>
    <w:rsid w:val="000A47C5"/>
    <w:rsid w:val="00117C7F"/>
    <w:rsid w:val="00200821"/>
    <w:rsid w:val="00226E76"/>
    <w:rsid w:val="0025245B"/>
    <w:rsid w:val="002A3923"/>
    <w:rsid w:val="00394049"/>
    <w:rsid w:val="003B0C71"/>
    <w:rsid w:val="004010E3"/>
    <w:rsid w:val="004B5BBB"/>
    <w:rsid w:val="004F2DF8"/>
    <w:rsid w:val="00517E2A"/>
    <w:rsid w:val="006D3128"/>
    <w:rsid w:val="006F24A1"/>
    <w:rsid w:val="007C172C"/>
    <w:rsid w:val="00875B8A"/>
    <w:rsid w:val="008953BC"/>
    <w:rsid w:val="00915DEA"/>
    <w:rsid w:val="009809A9"/>
    <w:rsid w:val="009A261B"/>
    <w:rsid w:val="00A259C1"/>
    <w:rsid w:val="00AA2E17"/>
    <w:rsid w:val="00AC15A4"/>
    <w:rsid w:val="00B0336C"/>
    <w:rsid w:val="00B5604E"/>
    <w:rsid w:val="00BB4F04"/>
    <w:rsid w:val="00BC4930"/>
    <w:rsid w:val="00BE0603"/>
    <w:rsid w:val="00C26F73"/>
    <w:rsid w:val="00C34231"/>
    <w:rsid w:val="00C74A4B"/>
    <w:rsid w:val="00CC280D"/>
    <w:rsid w:val="00D241E9"/>
    <w:rsid w:val="00D7750D"/>
    <w:rsid w:val="00E4652A"/>
    <w:rsid w:val="00F00D2F"/>
    <w:rsid w:val="00F128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C95626-5AB0-4ADD-B919-3F5DD81424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7049</Words>
  <Characters>40182</Characters>
  <Application>Microsoft Office Word</Application>
  <DocSecurity>0</DocSecurity>
  <Lines>334</Lines>
  <Paragraphs>94</Paragraphs>
  <ScaleCrop>false</ScaleCrop>
  <Company/>
  <LinksUpToDate>false</LinksUpToDate>
  <CharactersWithSpaces>47137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2022-10-14T13:51:00Z</dcterms:created>
  <dcterms:modified xsi:type="dcterms:W3CDTF">2022-10-14T13:51:00Z</dcterms:modified>
</cp:coreProperties>
</file>