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9E0DC"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E0418" w14:textId="4DE9E8B4"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2A4DF0">
                              <w:rPr>
                                <w:rFonts w:ascii="Cambria" w:hAnsi="Cambria" w:cs="Arial"/>
                                <w:b/>
                                <w:bCs/>
                                <w:color w:val="0D0D0D"/>
                                <w:sz w:val="36"/>
                                <w:szCs w:val="22"/>
                                <w:lang w:val="es-ES_tradnl"/>
                              </w:rPr>
                              <w:t>297</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34E96A12"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CE7283">
                              <w:rPr>
                                <w:rFonts w:ascii="Cambria" w:hAnsi="Cambria" w:cs="Arial"/>
                                <w:b/>
                                <w:color w:val="0D0D0D"/>
                                <w:sz w:val="36"/>
                                <w:szCs w:val="22"/>
                                <w:lang w:val="es-ES_tradnl"/>
                              </w:rPr>
                              <w:t>1719-15</w:t>
                            </w:r>
                            <w:r w:rsidRPr="00333146">
                              <w:rPr>
                                <w:rFonts w:ascii="Cambria" w:hAnsi="Cambria" w:cs="Arial"/>
                                <w:b/>
                                <w:color w:val="0D0D0D"/>
                                <w:sz w:val="36"/>
                                <w:szCs w:val="22"/>
                                <w:lang w:val="es-ES_tradnl"/>
                              </w:rPr>
                              <w:t xml:space="preserve"> </w:t>
                            </w:r>
                          </w:p>
                          <w:p w14:paraId="1AA12708" w14:textId="2958C5CB"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00085B4B">
                              <w:rPr>
                                <w:rFonts w:ascii="Cambria" w:hAnsi="Cambria" w:cs="Arial"/>
                                <w:color w:val="0D0D0D"/>
                                <w:szCs w:val="22"/>
                                <w:lang w:val="es-ES_tradnl"/>
                              </w:rPr>
                              <w:t>IN</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7E05A716" w14:textId="14DB0EF8" w:rsidR="00071600" w:rsidRPr="00C92C03" w:rsidRDefault="00CE7283"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JONATHAN MOREYRA CIRONI </w:t>
                            </w:r>
                          </w:p>
                          <w:bookmarkEnd w:id="0"/>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78E0418" w14:textId="4DE9E8B4"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2A4DF0">
                        <w:rPr>
                          <w:rFonts w:ascii="Cambria" w:hAnsi="Cambria" w:cs="Arial"/>
                          <w:b/>
                          <w:bCs/>
                          <w:color w:val="0D0D0D"/>
                          <w:sz w:val="36"/>
                          <w:szCs w:val="22"/>
                          <w:lang w:val="es-ES_tradnl"/>
                        </w:rPr>
                        <w:t>297</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34E96A12"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CE7283">
                        <w:rPr>
                          <w:rFonts w:ascii="Cambria" w:hAnsi="Cambria" w:cs="Arial"/>
                          <w:b/>
                          <w:color w:val="0D0D0D"/>
                          <w:sz w:val="36"/>
                          <w:szCs w:val="22"/>
                          <w:lang w:val="es-ES_tradnl"/>
                        </w:rPr>
                        <w:t>1719-15</w:t>
                      </w:r>
                      <w:r w:rsidRPr="00333146">
                        <w:rPr>
                          <w:rFonts w:ascii="Cambria" w:hAnsi="Cambria" w:cs="Arial"/>
                          <w:b/>
                          <w:color w:val="0D0D0D"/>
                          <w:sz w:val="36"/>
                          <w:szCs w:val="22"/>
                          <w:lang w:val="es-ES_tradnl"/>
                        </w:rPr>
                        <w:t xml:space="preserve"> </w:t>
                      </w:r>
                    </w:p>
                    <w:p w14:paraId="1AA12708" w14:textId="2958C5CB"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00085B4B">
                        <w:rPr>
                          <w:rFonts w:ascii="Cambria" w:hAnsi="Cambria" w:cs="Arial"/>
                          <w:color w:val="0D0D0D"/>
                          <w:szCs w:val="22"/>
                          <w:lang w:val="es-ES_tradnl"/>
                        </w:rPr>
                        <w:t>IN</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7E05A716" w14:textId="14DB0EF8" w:rsidR="00071600" w:rsidRPr="00C92C03" w:rsidRDefault="00CE7283"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JONATHAN MOREYRA CIRONI </w:t>
                      </w:r>
                    </w:p>
                    <w:bookmarkEnd w:id="1"/>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3176B996" w:rsidR="00F115A5" w:rsidRPr="0073361D" w:rsidRDefault="00F115A5" w:rsidP="000673D0">
                            <w:pPr>
                              <w:spacing w:line="276" w:lineRule="auto"/>
                              <w:jc w:val="right"/>
                              <w:rPr>
                                <w:rFonts w:asciiTheme="minorHAnsi" w:hAnsiTheme="minorHAnsi"/>
                                <w:color w:val="FFFFFF" w:themeColor="background1"/>
                                <w:sz w:val="22"/>
                                <w:lang w:val="es-419"/>
                              </w:rPr>
                            </w:pPr>
                            <w:r w:rsidRPr="0073361D">
                              <w:rPr>
                                <w:rFonts w:asciiTheme="minorHAnsi" w:hAnsiTheme="minorHAnsi"/>
                                <w:color w:val="FFFFFF" w:themeColor="background1"/>
                                <w:sz w:val="22"/>
                                <w:lang w:val="es-419"/>
                              </w:rPr>
                              <w:t>OEA/Ser.L/V/II</w:t>
                            </w:r>
                          </w:p>
                          <w:p w14:paraId="3449BBFC" w14:textId="09E73800" w:rsidR="00F115A5" w:rsidRPr="0073361D" w:rsidRDefault="00F115A5" w:rsidP="000673D0">
                            <w:pPr>
                              <w:spacing w:line="276" w:lineRule="auto"/>
                              <w:jc w:val="right"/>
                              <w:rPr>
                                <w:rFonts w:asciiTheme="minorHAnsi" w:hAnsiTheme="minorHAnsi"/>
                                <w:color w:val="FFFFFF" w:themeColor="background1"/>
                                <w:sz w:val="22"/>
                                <w:lang w:val="es-419"/>
                              </w:rPr>
                            </w:pPr>
                            <w:r w:rsidRPr="0073361D">
                              <w:rPr>
                                <w:rFonts w:asciiTheme="minorHAnsi" w:hAnsiTheme="minorHAnsi"/>
                                <w:color w:val="FFFFFF" w:themeColor="background1"/>
                                <w:sz w:val="22"/>
                                <w:lang w:val="es-419"/>
                              </w:rPr>
                              <w:t xml:space="preserve">Doc. </w:t>
                            </w:r>
                            <w:r w:rsidR="00A075A7" w:rsidRPr="0073361D">
                              <w:rPr>
                                <w:rFonts w:asciiTheme="minorHAnsi" w:hAnsiTheme="minorHAnsi"/>
                                <w:color w:val="FFFFFF" w:themeColor="background1"/>
                                <w:sz w:val="22"/>
                                <w:lang w:val="es-419"/>
                              </w:rPr>
                              <w:t>302</w:t>
                            </w:r>
                          </w:p>
                          <w:p w14:paraId="0BBD91A2" w14:textId="3F4B3AF8" w:rsidR="00F115A5" w:rsidRPr="00C25ADB" w:rsidRDefault="00A075A7"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21 octubre </w:t>
                            </w:r>
                            <w:r w:rsidR="00F115A5" w:rsidRPr="00C25ADB">
                              <w:rPr>
                                <w:rFonts w:asciiTheme="minorHAnsi" w:hAnsiTheme="minorHAnsi"/>
                                <w:color w:val="FFFFFF" w:themeColor="background1"/>
                                <w:sz w:val="22"/>
                                <w:lang w:val="es-PA"/>
                              </w:rPr>
                              <w:t>202</w:t>
                            </w:r>
                            <w:r w:rsidR="00CE7283">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3176B996" w:rsidR="00F115A5" w:rsidRPr="0073361D" w:rsidRDefault="00F115A5" w:rsidP="000673D0">
                      <w:pPr>
                        <w:spacing w:line="276" w:lineRule="auto"/>
                        <w:jc w:val="right"/>
                        <w:rPr>
                          <w:rFonts w:asciiTheme="minorHAnsi" w:hAnsiTheme="minorHAnsi"/>
                          <w:color w:val="FFFFFF" w:themeColor="background1"/>
                          <w:sz w:val="22"/>
                          <w:lang w:val="es-419"/>
                        </w:rPr>
                      </w:pPr>
                      <w:r w:rsidRPr="0073361D">
                        <w:rPr>
                          <w:rFonts w:asciiTheme="minorHAnsi" w:hAnsiTheme="minorHAnsi"/>
                          <w:color w:val="FFFFFF" w:themeColor="background1"/>
                          <w:sz w:val="22"/>
                          <w:lang w:val="es-419"/>
                        </w:rPr>
                        <w:t>OEA/Ser.L/V/II</w:t>
                      </w:r>
                    </w:p>
                    <w:p w14:paraId="3449BBFC" w14:textId="09E73800" w:rsidR="00F115A5" w:rsidRPr="0073361D" w:rsidRDefault="00F115A5" w:rsidP="000673D0">
                      <w:pPr>
                        <w:spacing w:line="276" w:lineRule="auto"/>
                        <w:jc w:val="right"/>
                        <w:rPr>
                          <w:rFonts w:asciiTheme="minorHAnsi" w:hAnsiTheme="minorHAnsi"/>
                          <w:color w:val="FFFFFF" w:themeColor="background1"/>
                          <w:sz w:val="22"/>
                          <w:lang w:val="es-419"/>
                        </w:rPr>
                      </w:pPr>
                      <w:r w:rsidRPr="0073361D">
                        <w:rPr>
                          <w:rFonts w:asciiTheme="minorHAnsi" w:hAnsiTheme="minorHAnsi"/>
                          <w:color w:val="FFFFFF" w:themeColor="background1"/>
                          <w:sz w:val="22"/>
                          <w:lang w:val="es-419"/>
                        </w:rPr>
                        <w:t xml:space="preserve">Doc. </w:t>
                      </w:r>
                      <w:r w:rsidR="00A075A7" w:rsidRPr="0073361D">
                        <w:rPr>
                          <w:rFonts w:asciiTheme="minorHAnsi" w:hAnsiTheme="minorHAnsi"/>
                          <w:color w:val="FFFFFF" w:themeColor="background1"/>
                          <w:sz w:val="22"/>
                          <w:lang w:val="es-419"/>
                        </w:rPr>
                        <w:t>302</w:t>
                      </w:r>
                    </w:p>
                    <w:p w14:paraId="0BBD91A2" w14:textId="3F4B3AF8" w:rsidR="00F115A5" w:rsidRPr="00C25ADB" w:rsidRDefault="00A075A7"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21 octubre </w:t>
                      </w:r>
                      <w:r w:rsidR="00F115A5" w:rsidRPr="00C25ADB">
                        <w:rPr>
                          <w:rFonts w:asciiTheme="minorHAnsi" w:hAnsiTheme="minorHAnsi"/>
                          <w:color w:val="FFFFFF" w:themeColor="background1"/>
                          <w:sz w:val="22"/>
                          <w:lang w:val="es-PA"/>
                        </w:rPr>
                        <w:t>202</w:t>
                      </w:r>
                      <w:r w:rsidR="00CE7283">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78655E57"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A4DF0">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2A4DF0">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E7283">
                              <w:rPr>
                                <w:rFonts w:asciiTheme="majorHAnsi" w:hAnsiTheme="majorHAnsi"/>
                                <w:color w:val="0D0D0D" w:themeColor="text1" w:themeTint="F2"/>
                                <w:sz w:val="18"/>
                                <w:szCs w:val="22"/>
                                <w:lang w:val="es-ES"/>
                              </w:rPr>
                              <w:t>2</w:t>
                            </w:r>
                            <w:r w:rsidR="002A4DF0">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78655E57"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A4DF0">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2A4DF0">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E7283">
                        <w:rPr>
                          <w:rFonts w:asciiTheme="majorHAnsi" w:hAnsiTheme="majorHAnsi"/>
                          <w:color w:val="0D0D0D" w:themeColor="text1" w:themeTint="F2"/>
                          <w:sz w:val="18"/>
                          <w:szCs w:val="22"/>
                          <w:lang w:val="es-ES"/>
                        </w:rPr>
                        <w:t>2</w:t>
                      </w:r>
                      <w:r w:rsidR="002A4DF0">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99FC" w14:textId="77777777" w:rsidR="009354FF"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9354FF" w:rsidRPr="009354FF">
                              <w:rPr>
                                <w:rFonts w:ascii="Cambria" w:hAnsi="Cambria"/>
                                <w:color w:val="595959"/>
                                <w:sz w:val="18"/>
                                <w:szCs w:val="18"/>
                                <w:lang w:val="pt-BR"/>
                              </w:rPr>
                              <w:t>297</w:t>
                            </w:r>
                            <w:r w:rsidRPr="009354FF">
                              <w:rPr>
                                <w:rFonts w:ascii="Cambria" w:hAnsi="Cambria"/>
                                <w:color w:val="595959"/>
                                <w:sz w:val="18"/>
                                <w:szCs w:val="18"/>
                                <w:lang w:val="pt-BR"/>
                              </w:rPr>
                              <w:t>/2</w:t>
                            </w:r>
                            <w:r w:rsidR="009354FF" w:rsidRPr="009354FF">
                              <w:rPr>
                                <w:rFonts w:ascii="Cambria" w:hAnsi="Cambria"/>
                                <w:color w:val="595959"/>
                                <w:sz w:val="18"/>
                                <w:szCs w:val="18"/>
                                <w:lang w:val="pt-BR"/>
                              </w:rPr>
                              <w:t>2</w:t>
                            </w:r>
                            <w:r w:rsidRPr="009354FF">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w:t>
                            </w:r>
                            <w:r w:rsidR="00C72339">
                              <w:rPr>
                                <w:rFonts w:ascii="Cambria" w:hAnsi="Cambria"/>
                                <w:color w:val="595959"/>
                                <w:sz w:val="18"/>
                                <w:szCs w:val="18"/>
                                <w:lang w:val="es-ES"/>
                              </w:rPr>
                              <w:t>1719-15</w:t>
                            </w:r>
                            <w:r w:rsidRPr="00333146">
                              <w:rPr>
                                <w:rFonts w:ascii="Cambria" w:hAnsi="Cambria"/>
                                <w:color w:val="595959"/>
                                <w:sz w:val="18"/>
                                <w:szCs w:val="18"/>
                                <w:lang w:val="es-ES"/>
                              </w:rPr>
                              <w:t xml:space="preserve">. </w:t>
                            </w:r>
                            <w:r w:rsidR="00085B4B">
                              <w:rPr>
                                <w:rFonts w:ascii="Cambria" w:hAnsi="Cambria"/>
                                <w:color w:val="595959"/>
                                <w:sz w:val="18"/>
                                <w:szCs w:val="18"/>
                                <w:lang w:val="es-ES_tradnl"/>
                              </w:rPr>
                              <w:t>Ina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p>
                          <w:p w14:paraId="25AFCBDA" w14:textId="5F11F8EA" w:rsidR="00071600" w:rsidRPr="00333146" w:rsidRDefault="00C72339"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Pr>
                                <w:rFonts w:ascii="Cambria" w:hAnsi="Cambria" w:cs="Arial"/>
                                <w:color w:val="595959"/>
                                <w:sz w:val="18"/>
                                <w:szCs w:val="18"/>
                                <w:lang w:val="es-ES_tradnl"/>
                              </w:rPr>
                              <w:t>Jonathan Moreyra Cironi</w:t>
                            </w:r>
                            <w:r w:rsidR="00071600" w:rsidRPr="00333146">
                              <w:rPr>
                                <w:rFonts w:ascii="Cambria" w:hAnsi="Cambria"/>
                                <w:color w:val="595959"/>
                                <w:sz w:val="18"/>
                                <w:szCs w:val="18"/>
                                <w:lang w:val="es-ES_tradnl"/>
                              </w:rPr>
                              <w:t xml:space="preserve">. Argentina. </w:t>
                            </w:r>
                            <w:r w:rsidR="002A4DF0">
                              <w:rPr>
                                <w:rFonts w:ascii="Cambria" w:hAnsi="Cambria"/>
                                <w:color w:val="595959"/>
                                <w:sz w:val="18"/>
                                <w:szCs w:val="18"/>
                                <w:lang w:val="es-ES_tradnl"/>
                              </w:rPr>
                              <w:t>21 de octubre de 2022</w:t>
                            </w:r>
                            <w:r w:rsidR="00071600" w:rsidRPr="00333146">
                              <w:rPr>
                                <w:rFonts w:ascii="Cambria" w:hAnsi="Cambria"/>
                                <w:color w:val="595959"/>
                                <w:sz w:val="18"/>
                                <w:szCs w:val="18"/>
                                <w:lang w:val="es-ES"/>
                              </w:rPr>
                              <w:t>.</w:t>
                            </w:r>
                          </w:p>
                          <w:p w14:paraId="0CF2B52A" w14:textId="2E0234C9" w:rsidR="00F115A5" w:rsidRPr="007B05C4" w:rsidRDefault="00F115A5" w:rsidP="000673D0">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F7A99FC" w14:textId="77777777" w:rsidR="009354FF"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9354FF" w:rsidRPr="009354FF">
                        <w:rPr>
                          <w:rFonts w:ascii="Cambria" w:hAnsi="Cambria"/>
                          <w:color w:val="595959"/>
                          <w:sz w:val="18"/>
                          <w:szCs w:val="18"/>
                          <w:lang w:val="pt-BR"/>
                        </w:rPr>
                        <w:t>297</w:t>
                      </w:r>
                      <w:r w:rsidRPr="009354FF">
                        <w:rPr>
                          <w:rFonts w:ascii="Cambria" w:hAnsi="Cambria"/>
                          <w:color w:val="595959"/>
                          <w:sz w:val="18"/>
                          <w:szCs w:val="18"/>
                          <w:lang w:val="pt-BR"/>
                        </w:rPr>
                        <w:t>/2</w:t>
                      </w:r>
                      <w:r w:rsidR="009354FF" w:rsidRPr="009354FF">
                        <w:rPr>
                          <w:rFonts w:ascii="Cambria" w:hAnsi="Cambria"/>
                          <w:color w:val="595959"/>
                          <w:sz w:val="18"/>
                          <w:szCs w:val="18"/>
                          <w:lang w:val="pt-BR"/>
                        </w:rPr>
                        <w:t>2</w:t>
                      </w:r>
                      <w:r w:rsidRPr="009354FF">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w:t>
                      </w:r>
                      <w:r w:rsidR="00C72339">
                        <w:rPr>
                          <w:rFonts w:ascii="Cambria" w:hAnsi="Cambria"/>
                          <w:color w:val="595959"/>
                          <w:sz w:val="18"/>
                          <w:szCs w:val="18"/>
                          <w:lang w:val="es-ES"/>
                        </w:rPr>
                        <w:t>1719-15</w:t>
                      </w:r>
                      <w:r w:rsidRPr="00333146">
                        <w:rPr>
                          <w:rFonts w:ascii="Cambria" w:hAnsi="Cambria"/>
                          <w:color w:val="595959"/>
                          <w:sz w:val="18"/>
                          <w:szCs w:val="18"/>
                          <w:lang w:val="es-ES"/>
                        </w:rPr>
                        <w:t xml:space="preserve">. </w:t>
                      </w:r>
                      <w:r w:rsidR="00085B4B">
                        <w:rPr>
                          <w:rFonts w:ascii="Cambria" w:hAnsi="Cambria"/>
                          <w:color w:val="595959"/>
                          <w:sz w:val="18"/>
                          <w:szCs w:val="18"/>
                          <w:lang w:val="es-ES_tradnl"/>
                        </w:rPr>
                        <w:t>Ina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p>
                    <w:p w14:paraId="25AFCBDA" w14:textId="5F11F8EA" w:rsidR="00071600" w:rsidRPr="00333146" w:rsidRDefault="00C72339"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Pr>
                          <w:rFonts w:ascii="Cambria" w:hAnsi="Cambria" w:cs="Arial"/>
                          <w:color w:val="595959"/>
                          <w:sz w:val="18"/>
                          <w:szCs w:val="18"/>
                          <w:lang w:val="es-ES_tradnl"/>
                        </w:rPr>
                        <w:t>Jonathan Moreyra Cironi</w:t>
                      </w:r>
                      <w:r w:rsidR="00071600" w:rsidRPr="00333146">
                        <w:rPr>
                          <w:rFonts w:ascii="Cambria" w:hAnsi="Cambria"/>
                          <w:color w:val="595959"/>
                          <w:sz w:val="18"/>
                          <w:szCs w:val="18"/>
                          <w:lang w:val="es-ES_tradnl"/>
                        </w:rPr>
                        <w:t xml:space="preserve">. Argentina. </w:t>
                      </w:r>
                      <w:r w:rsidR="002A4DF0">
                        <w:rPr>
                          <w:rFonts w:ascii="Cambria" w:hAnsi="Cambria"/>
                          <w:color w:val="595959"/>
                          <w:sz w:val="18"/>
                          <w:szCs w:val="18"/>
                          <w:lang w:val="es-ES_tradnl"/>
                        </w:rPr>
                        <w:t>21 de octubre de 2022</w:t>
                      </w:r>
                      <w:r w:rsidR="00071600" w:rsidRPr="00333146">
                        <w:rPr>
                          <w:rFonts w:ascii="Cambria" w:hAnsi="Cambria"/>
                          <w:color w:val="595959"/>
                          <w:sz w:val="18"/>
                          <w:szCs w:val="18"/>
                          <w:lang w:val="es-ES"/>
                        </w:rPr>
                        <w:t>.</w:t>
                      </w:r>
                    </w:p>
                    <w:p w14:paraId="0CF2B52A" w14:textId="2E0234C9" w:rsidR="00F115A5" w:rsidRPr="007B05C4" w:rsidRDefault="00F115A5" w:rsidP="000673D0">
                      <w:pPr>
                        <w:spacing w:line="276" w:lineRule="auto"/>
                        <w:rPr>
                          <w:rFonts w:asciiTheme="majorHAnsi" w:hAnsiTheme="majorHAnsi"/>
                          <w:color w:val="595959" w:themeColor="text1" w:themeTint="A6"/>
                          <w:sz w:val="18"/>
                          <w:szCs w:val="18"/>
                          <w:lang w:val="es-ES"/>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4EA231F4"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5F79172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3F634C76" w:rsidR="000673D0" w:rsidRDefault="009354FF"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338A7A22">
                <wp:simplePos x="0" y="0"/>
                <wp:positionH relativeFrom="column">
                  <wp:posOffset>1289685</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181C7115" w:rsidR="00F115A5" w:rsidRPr="00D72DC6" w:rsidRDefault="00905089" w:rsidP="000673D0">
                            <w:pPr>
                              <w:rPr>
                                <w:color w:val="FFFFFF" w:themeColor="background1"/>
                                <w14:textFill>
                                  <w14:noFill/>
                                </w14:textFill>
                              </w:rPr>
                            </w:pPr>
                            <w:r>
                              <w:rPr>
                                <w:noProof/>
                                <w:color w:val="FFFFFF" w:themeColor="background1"/>
                              </w:rPr>
                              <w:drawing>
                                <wp:inline distT="0" distB="0" distL="0" distR="0" wp14:anchorId="162AF47E" wp14:editId="08F252A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1.55pt;margin-top:43.7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" fillcolor="white [3201]" stroked="f" strokeweight=".5pt">
                <v:textbox>
                  <w:txbxContent>
                    <w:p w14:paraId="561CB564" w14:textId="181C7115" w:rsidR="00F115A5" w:rsidRPr="00D72DC6" w:rsidRDefault="00905089" w:rsidP="000673D0">
                      <w:pPr>
                        <w:rPr>
                          <w:color w:val="FFFFFF" w:themeColor="background1"/>
                          <w14:textFill>
                            <w14:noFill/>
                          </w14:textFill>
                        </w:rPr>
                      </w:pPr>
                      <w:r>
                        <w:rPr>
                          <w:noProof/>
                          <w:color w:val="FFFFFF" w:themeColor="background1"/>
                        </w:rPr>
                        <w:drawing>
                          <wp:inline distT="0" distB="0" distL="0" distR="0" wp14:anchorId="162AF47E" wp14:editId="08F252A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470D83"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Parte peticionaria:</w:t>
            </w:r>
          </w:p>
        </w:tc>
        <w:tc>
          <w:tcPr>
            <w:tcW w:w="5760" w:type="dxa"/>
            <w:vAlign w:val="center"/>
          </w:tcPr>
          <w:p w14:paraId="5A4F615E" w14:textId="69DE21DA" w:rsidR="000673D0" w:rsidRPr="00F940C0" w:rsidRDefault="00CE7283" w:rsidP="00B46185">
            <w:pPr>
              <w:jc w:val="both"/>
              <w:rPr>
                <w:rFonts w:asciiTheme="majorHAnsi" w:hAnsiTheme="majorHAnsi"/>
                <w:bCs/>
                <w:sz w:val="19"/>
                <w:szCs w:val="19"/>
                <w:lang w:val="es-PA"/>
              </w:rPr>
            </w:pPr>
            <w:r>
              <w:rPr>
                <w:rFonts w:asciiTheme="majorHAnsi" w:hAnsiTheme="majorHAnsi"/>
                <w:bCs/>
                <w:sz w:val="19"/>
                <w:szCs w:val="19"/>
                <w:lang w:val="es-PA"/>
              </w:rPr>
              <w:t>Defensoría General de la Provincia de Chubut</w:t>
            </w:r>
          </w:p>
        </w:tc>
      </w:tr>
      <w:tr w:rsidR="000673D0" w:rsidRPr="009C6CB7"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9C6CB7" w:rsidRDefault="00666BBA"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C6CB7">
                  <w:rPr>
                    <w:rFonts w:asciiTheme="majorHAnsi" w:hAnsiTheme="majorHAnsi"/>
                    <w:b/>
                    <w:bCs/>
                    <w:color w:val="FFFFFF" w:themeColor="background1"/>
                    <w:sz w:val="19"/>
                    <w:szCs w:val="19"/>
                  </w:rPr>
                  <w:t>Presunta víctima</w:t>
                </w:r>
              </w:sdtContent>
            </w:sdt>
            <w:r w:rsidR="000673D0" w:rsidRPr="009C6CB7">
              <w:rPr>
                <w:rFonts w:asciiTheme="majorHAnsi" w:hAnsiTheme="majorHAnsi"/>
                <w:b/>
                <w:bCs/>
                <w:color w:val="FFFFFF" w:themeColor="background1"/>
                <w:sz w:val="19"/>
                <w:szCs w:val="19"/>
              </w:rPr>
              <w:t>:</w:t>
            </w:r>
          </w:p>
        </w:tc>
        <w:tc>
          <w:tcPr>
            <w:tcW w:w="5760" w:type="dxa"/>
            <w:vAlign w:val="center"/>
          </w:tcPr>
          <w:p w14:paraId="23FE9BA4" w14:textId="0CE359C7" w:rsidR="000673D0" w:rsidRPr="009C6CB7" w:rsidRDefault="00CE7283" w:rsidP="00B46185">
            <w:pPr>
              <w:jc w:val="both"/>
              <w:rPr>
                <w:rFonts w:asciiTheme="majorHAnsi" w:hAnsiTheme="majorHAnsi"/>
                <w:bCs/>
                <w:sz w:val="19"/>
                <w:szCs w:val="19"/>
                <w:lang w:val="es-ES"/>
              </w:rPr>
            </w:pPr>
            <w:r>
              <w:rPr>
                <w:rFonts w:ascii="Cambria" w:hAnsi="Cambria"/>
                <w:bCs/>
                <w:sz w:val="20"/>
                <w:szCs w:val="20"/>
                <w:lang w:val="es-ES"/>
              </w:rPr>
              <w:t>Jonathan Morey</w:t>
            </w:r>
            <w:r w:rsidR="00A9295D">
              <w:rPr>
                <w:rFonts w:ascii="Cambria" w:hAnsi="Cambria"/>
                <w:bCs/>
                <w:sz w:val="20"/>
                <w:szCs w:val="20"/>
                <w:lang w:val="es-ES"/>
              </w:rPr>
              <w:t xml:space="preserve">ra Cironi </w:t>
            </w:r>
          </w:p>
        </w:tc>
      </w:tr>
      <w:tr w:rsidR="000673D0" w:rsidRPr="009C6CB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Estado denunciado:</w:t>
            </w:r>
          </w:p>
        </w:tc>
        <w:tc>
          <w:tcPr>
            <w:tcW w:w="5760" w:type="dxa"/>
            <w:vAlign w:val="center"/>
          </w:tcPr>
          <w:p w14:paraId="057DC689" w14:textId="77777777" w:rsidR="000673D0" w:rsidRPr="009C6CB7" w:rsidRDefault="000673D0" w:rsidP="00B46185">
            <w:pPr>
              <w:jc w:val="both"/>
              <w:rPr>
                <w:rFonts w:asciiTheme="majorHAnsi" w:hAnsiTheme="majorHAnsi"/>
                <w:bCs/>
                <w:sz w:val="19"/>
                <w:szCs w:val="19"/>
              </w:rPr>
            </w:pPr>
            <w:r w:rsidRPr="009C6CB7">
              <w:rPr>
                <w:rFonts w:asciiTheme="majorHAnsi" w:hAnsiTheme="majorHAnsi"/>
                <w:bCs/>
                <w:sz w:val="19"/>
                <w:szCs w:val="19"/>
              </w:rPr>
              <w:t>Argentina</w:t>
            </w:r>
          </w:p>
        </w:tc>
      </w:tr>
      <w:tr w:rsidR="000673D0" w:rsidRPr="00470D83"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Derechos invocados:</w:t>
            </w:r>
          </w:p>
        </w:tc>
        <w:tc>
          <w:tcPr>
            <w:tcW w:w="5760" w:type="dxa"/>
            <w:vAlign w:val="center"/>
          </w:tcPr>
          <w:p w14:paraId="4E238173" w14:textId="08F7ECE8" w:rsidR="000673D0" w:rsidRPr="009C6CB7" w:rsidRDefault="00A9295D" w:rsidP="00BB79D4">
            <w:pPr>
              <w:jc w:val="both"/>
              <w:rPr>
                <w:rFonts w:asciiTheme="majorHAnsi" w:hAnsiTheme="majorHAnsi"/>
                <w:bCs/>
                <w:sz w:val="19"/>
                <w:szCs w:val="19"/>
                <w:lang w:val="es-PA"/>
              </w:rPr>
            </w:pPr>
            <w:r>
              <w:rPr>
                <w:rFonts w:asciiTheme="majorHAnsi" w:hAnsiTheme="majorHAnsi"/>
                <w:bCs/>
                <w:sz w:val="19"/>
                <w:szCs w:val="19"/>
                <w:lang w:val="es-PA"/>
              </w:rPr>
              <w:t>Artículo 8 (garantías judiciales) de la Convención Americana</w:t>
            </w:r>
            <w:r w:rsidR="000673D0" w:rsidRPr="009C6CB7">
              <w:rPr>
                <w:rFonts w:asciiTheme="majorHAnsi" w:hAnsiTheme="majorHAnsi"/>
                <w:bCs/>
                <w:sz w:val="19"/>
                <w:szCs w:val="19"/>
                <w:lang w:val="es-PA"/>
              </w:rPr>
              <w:t xml:space="preserve"> sobre Derechos Humano</w:t>
            </w:r>
            <w:r w:rsidR="00F940C0">
              <w:rPr>
                <w:rFonts w:asciiTheme="majorHAnsi" w:hAnsiTheme="majorHAnsi"/>
                <w:bCs/>
                <w:sz w:val="19"/>
                <w:szCs w:val="19"/>
                <w:lang w:val="es-PA"/>
              </w:rPr>
              <w:t>s</w:t>
            </w:r>
            <w:r w:rsidR="000673D0" w:rsidRPr="009C6CB7">
              <w:rPr>
                <w:rStyle w:val="FootnoteReference"/>
                <w:rFonts w:asciiTheme="majorHAnsi" w:hAnsiTheme="majorHAnsi"/>
                <w:bCs/>
                <w:sz w:val="19"/>
                <w:szCs w:val="19"/>
                <w:lang w:val="es-PA"/>
              </w:rPr>
              <w:footnoteReference w:id="2"/>
            </w:r>
            <w:r w:rsidR="00F940C0">
              <w:rPr>
                <w:rFonts w:asciiTheme="majorHAnsi" w:hAnsiTheme="majorHAnsi"/>
                <w:bCs/>
                <w:sz w:val="19"/>
                <w:szCs w:val="19"/>
                <w:lang w:val="es-PA"/>
              </w:rPr>
              <w:t xml:space="preserve"> </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9C6CB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Presentación de la petición:</w:t>
            </w:r>
          </w:p>
        </w:tc>
        <w:tc>
          <w:tcPr>
            <w:tcW w:w="5760" w:type="dxa"/>
            <w:vAlign w:val="center"/>
          </w:tcPr>
          <w:p w14:paraId="5B768921" w14:textId="58B0416E" w:rsidR="000673D0" w:rsidRPr="009C6CB7" w:rsidRDefault="00A9295D" w:rsidP="006C3525">
            <w:pPr>
              <w:jc w:val="both"/>
              <w:rPr>
                <w:rFonts w:asciiTheme="majorHAnsi" w:hAnsiTheme="majorHAnsi"/>
                <w:bCs/>
                <w:sz w:val="19"/>
                <w:szCs w:val="19"/>
                <w:lang w:val="es-ES"/>
              </w:rPr>
            </w:pPr>
            <w:r>
              <w:rPr>
                <w:rFonts w:asciiTheme="majorHAnsi" w:hAnsiTheme="majorHAnsi"/>
                <w:bCs/>
                <w:sz w:val="19"/>
                <w:szCs w:val="19"/>
                <w:lang w:val="es-ES"/>
              </w:rPr>
              <w:t>21 de octubre de 2015</w:t>
            </w:r>
          </w:p>
        </w:tc>
      </w:tr>
      <w:tr w:rsidR="000673D0" w:rsidRPr="009C6CB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Notificación de la petición al Estado:</w:t>
            </w:r>
          </w:p>
        </w:tc>
        <w:tc>
          <w:tcPr>
            <w:tcW w:w="5760" w:type="dxa"/>
            <w:vAlign w:val="center"/>
          </w:tcPr>
          <w:p w14:paraId="311A328A" w14:textId="39AD2EF1" w:rsidR="000673D0" w:rsidRPr="009C6CB7" w:rsidRDefault="00010877" w:rsidP="006C3525">
            <w:pPr>
              <w:jc w:val="both"/>
              <w:rPr>
                <w:rFonts w:asciiTheme="majorHAnsi" w:hAnsiTheme="majorHAnsi"/>
                <w:bCs/>
                <w:sz w:val="19"/>
                <w:szCs w:val="19"/>
                <w:lang w:val="es-ES"/>
              </w:rPr>
            </w:pPr>
            <w:r>
              <w:rPr>
                <w:rFonts w:asciiTheme="majorHAnsi" w:hAnsiTheme="majorHAnsi"/>
                <w:bCs/>
                <w:sz w:val="19"/>
                <w:szCs w:val="19"/>
                <w:lang w:val="es-ES"/>
              </w:rPr>
              <w:t>19 de agosto de 2019</w:t>
            </w:r>
          </w:p>
        </w:tc>
      </w:tr>
      <w:tr w:rsidR="000673D0" w:rsidRPr="009C6CB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Primera respuesta del Estado:</w:t>
            </w:r>
          </w:p>
        </w:tc>
        <w:tc>
          <w:tcPr>
            <w:tcW w:w="5760" w:type="dxa"/>
            <w:vAlign w:val="center"/>
          </w:tcPr>
          <w:p w14:paraId="62EA084B" w14:textId="088D4A59" w:rsidR="000673D0" w:rsidRPr="009C6CB7" w:rsidRDefault="00262240" w:rsidP="006C3525">
            <w:pPr>
              <w:jc w:val="both"/>
              <w:rPr>
                <w:rFonts w:asciiTheme="majorHAnsi" w:hAnsiTheme="majorHAnsi"/>
                <w:bCs/>
                <w:sz w:val="19"/>
                <w:szCs w:val="19"/>
                <w:lang w:val="es-ES"/>
              </w:rPr>
            </w:pPr>
            <w:r>
              <w:rPr>
                <w:rFonts w:asciiTheme="majorHAnsi" w:hAnsiTheme="majorHAnsi"/>
                <w:bCs/>
                <w:sz w:val="19"/>
                <w:szCs w:val="19"/>
                <w:lang w:val="es-ES"/>
              </w:rPr>
              <w:t>15 de diciembre de 2020</w:t>
            </w:r>
          </w:p>
        </w:tc>
      </w:tr>
      <w:tr w:rsidR="0096697B" w:rsidRPr="00470D83"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9C6CB7" w:rsidRDefault="0096697B" w:rsidP="00B46185">
            <w:pPr>
              <w:jc w:val="center"/>
              <w:rPr>
                <w:rFonts w:asciiTheme="majorHAnsi" w:hAnsiTheme="majorHAnsi"/>
                <w:b/>
                <w:color w:val="FFFFFF" w:themeColor="background1"/>
                <w:sz w:val="19"/>
                <w:szCs w:val="19"/>
                <w:lang w:val="es-ES"/>
              </w:rPr>
            </w:pPr>
            <w:r w:rsidRPr="009C6CB7">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435B23E" w14:textId="08C7F987" w:rsidR="0096697B" w:rsidRPr="008C119E" w:rsidRDefault="00010877" w:rsidP="006C3525">
            <w:pPr>
              <w:jc w:val="both"/>
              <w:rPr>
                <w:rFonts w:asciiTheme="majorHAnsi" w:hAnsiTheme="majorHAnsi"/>
                <w:bCs/>
                <w:sz w:val="19"/>
                <w:szCs w:val="19"/>
                <w:lang w:val="es-PA"/>
              </w:rPr>
            </w:pPr>
            <w:r>
              <w:rPr>
                <w:rFonts w:asciiTheme="majorHAnsi" w:hAnsiTheme="majorHAnsi"/>
                <w:bCs/>
                <w:sz w:val="19"/>
                <w:szCs w:val="19"/>
                <w:lang w:val="es-ES"/>
              </w:rPr>
              <w:t>3 de septiembre de 2019</w:t>
            </w:r>
            <w:r w:rsidR="00262240">
              <w:rPr>
                <w:rFonts w:asciiTheme="majorHAnsi" w:hAnsiTheme="majorHAnsi"/>
                <w:bCs/>
                <w:sz w:val="19"/>
                <w:szCs w:val="19"/>
                <w:lang w:val="es-ES"/>
              </w:rPr>
              <w:t xml:space="preserve"> y 1 de marzo de 2021</w:t>
            </w:r>
          </w:p>
        </w:tc>
      </w:tr>
      <w:tr w:rsidR="008C119E" w:rsidRPr="00F940C0" w14:paraId="15AC3B97" w14:textId="77777777" w:rsidTr="00B46185">
        <w:tc>
          <w:tcPr>
            <w:tcW w:w="3600" w:type="dxa"/>
            <w:tcBorders>
              <w:top w:val="single" w:sz="6" w:space="0" w:color="auto"/>
              <w:bottom w:val="single" w:sz="6" w:space="0" w:color="auto"/>
            </w:tcBorders>
            <w:shd w:val="clear" w:color="auto" w:fill="386294"/>
            <w:vAlign w:val="center"/>
          </w:tcPr>
          <w:p w14:paraId="0427D482" w14:textId="105BF85F" w:rsidR="008C119E" w:rsidRPr="009C6CB7" w:rsidRDefault="008C119E" w:rsidP="00B46185">
            <w:pPr>
              <w:jc w:val="center"/>
              <w:rPr>
                <w:rFonts w:asciiTheme="majorHAnsi" w:hAnsiTheme="majorHAnsi"/>
                <w:b/>
                <w:bCs/>
                <w:color w:val="FFFFFF" w:themeColor="background1"/>
                <w:sz w:val="19"/>
                <w:szCs w:val="19"/>
                <w:lang w:val="es-ES"/>
              </w:rPr>
            </w:pPr>
            <w:r>
              <w:rPr>
                <w:rFonts w:asciiTheme="majorHAnsi" w:hAnsiTheme="majorHAnsi"/>
                <w:b/>
                <w:bCs/>
                <w:color w:val="FFFFFF" w:themeColor="background1"/>
                <w:sz w:val="19"/>
                <w:szCs w:val="19"/>
                <w:lang w:val="es-ES"/>
              </w:rPr>
              <w:t>Observaciones adicionales del Estado:</w:t>
            </w:r>
          </w:p>
        </w:tc>
        <w:tc>
          <w:tcPr>
            <w:tcW w:w="5760" w:type="dxa"/>
            <w:vAlign w:val="center"/>
          </w:tcPr>
          <w:p w14:paraId="07104178" w14:textId="1E41643A" w:rsidR="008C119E" w:rsidRDefault="00262240" w:rsidP="006C3525">
            <w:pPr>
              <w:jc w:val="both"/>
              <w:rPr>
                <w:rFonts w:asciiTheme="majorHAnsi" w:hAnsiTheme="majorHAnsi"/>
                <w:bCs/>
                <w:sz w:val="19"/>
                <w:szCs w:val="19"/>
                <w:lang w:val="es-ES"/>
              </w:rPr>
            </w:pPr>
            <w:r>
              <w:rPr>
                <w:rFonts w:asciiTheme="majorHAnsi" w:hAnsiTheme="majorHAnsi"/>
                <w:bCs/>
                <w:sz w:val="19"/>
                <w:szCs w:val="19"/>
                <w:lang w:val="es-ES"/>
              </w:rPr>
              <w:t>25 de julio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9C6CB7" w14:paraId="3225DD29" w14:textId="77777777" w:rsidTr="004408F5">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personae:</w:t>
            </w:r>
          </w:p>
        </w:tc>
        <w:tc>
          <w:tcPr>
            <w:tcW w:w="5776" w:type="dxa"/>
            <w:vAlign w:val="center"/>
          </w:tcPr>
          <w:p w14:paraId="55AEE8CD"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9C6CB7" w14:paraId="10BCE6F2" w14:textId="77777777" w:rsidTr="004408F5">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loci</w:t>
            </w:r>
            <w:r w:rsidRPr="009C6CB7">
              <w:rPr>
                <w:rFonts w:asciiTheme="majorHAnsi" w:hAnsiTheme="majorHAnsi"/>
                <w:b/>
                <w:bCs/>
                <w:color w:val="FFFFFF" w:themeColor="background1"/>
                <w:sz w:val="19"/>
                <w:szCs w:val="19"/>
              </w:rPr>
              <w:t>:</w:t>
            </w:r>
          </w:p>
        </w:tc>
        <w:tc>
          <w:tcPr>
            <w:tcW w:w="5776" w:type="dxa"/>
            <w:vAlign w:val="center"/>
          </w:tcPr>
          <w:p w14:paraId="77DDBD87"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071600" w14:paraId="351D9A06" w14:textId="77777777" w:rsidTr="004408F5">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temporis</w:t>
            </w:r>
            <w:r w:rsidRPr="009C6CB7">
              <w:rPr>
                <w:rFonts w:asciiTheme="majorHAnsi" w:hAnsiTheme="majorHAnsi"/>
                <w:b/>
                <w:bCs/>
                <w:color w:val="FFFFFF" w:themeColor="background1"/>
                <w:sz w:val="19"/>
                <w:szCs w:val="19"/>
              </w:rPr>
              <w:t>:</w:t>
            </w:r>
          </w:p>
        </w:tc>
        <w:tc>
          <w:tcPr>
            <w:tcW w:w="5776" w:type="dxa"/>
            <w:vAlign w:val="center"/>
          </w:tcPr>
          <w:p w14:paraId="76910945" w14:textId="01DD63C3" w:rsidR="000673D0" w:rsidRPr="009C6CB7" w:rsidRDefault="000673D0" w:rsidP="009C6CB7">
            <w:pPr>
              <w:rPr>
                <w:rFonts w:asciiTheme="majorHAnsi" w:hAnsiTheme="majorHAnsi"/>
                <w:bCs/>
                <w:sz w:val="19"/>
                <w:szCs w:val="19"/>
                <w:lang w:val="es-PA"/>
              </w:rPr>
            </w:pPr>
            <w:r w:rsidRPr="009C6CB7">
              <w:rPr>
                <w:rFonts w:asciiTheme="majorHAnsi" w:hAnsiTheme="majorHAnsi"/>
                <w:bCs/>
                <w:sz w:val="19"/>
                <w:szCs w:val="19"/>
                <w:lang w:val="es-PA"/>
              </w:rPr>
              <w:t>Sí</w:t>
            </w:r>
          </w:p>
        </w:tc>
      </w:tr>
      <w:tr w:rsidR="000673D0" w:rsidRPr="00470D83" w14:paraId="160B34C2" w14:textId="77777777" w:rsidTr="004408F5">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materiae</w:t>
            </w:r>
            <w:r w:rsidRPr="009C6CB7">
              <w:rPr>
                <w:rFonts w:asciiTheme="majorHAnsi" w:hAnsiTheme="majorHAnsi"/>
                <w:b/>
                <w:bCs/>
                <w:color w:val="FFFFFF" w:themeColor="background1"/>
                <w:sz w:val="19"/>
                <w:szCs w:val="19"/>
              </w:rPr>
              <w:t>:</w:t>
            </w:r>
          </w:p>
        </w:tc>
        <w:tc>
          <w:tcPr>
            <w:tcW w:w="5776" w:type="dxa"/>
            <w:vAlign w:val="center"/>
          </w:tcPr>
          <w:p w14:paraId="6AB0A733"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Sí, Convención Americana (depósito del instrumento de ratificación realizado el 5 de septiembre de 1984)</w:t>
            </w:r>
          </w:p>
        </w:tc>
      </w:tr>
    </w:tbl>
    <w:p w14:paraId="46F3B92A" w14:textId="04B84A75"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5C0974">
        <w:rPr>
          <w:rFonts w:asciiTheme="majorHAnsi" w:hAnsiTheme="majorHAnsi"/>
          <w:b/>
          <w:bCs/>
          <w:i/>
          <w:sz w:val="19"/>
          <w:szCs w:val="19"/>
          <w:lang w:val="es-ES"/>
        </w:rPr>
        <w:t xml:space="preserve"> </w:t>
      </w:r>
      <w:r w:rsidRPr="009C6CB7">
        <w:rPr>
          <w:rFonts w:asciiTheme="majorHAnsi" w:hAnsiTheme="majorHAnsi"/>
          <w:b/>
          <w:bCs/>
          <w:sz w:val="19"/>
          <w:szCs w:val="19"/>
          <w:lang w:val="es-ES"/>
        </w:rPr>
        <w:t xml:space="preserve">INTERNACIONAL, CARACTERIZACIÓN, </w:t>
      </w:r>
      <w:r w:rsidRPr="009C6CB7">
        <w:rPr>
          <w:rFonts w:asciiTheme="majorHAnsi" w:hAnsiTheme="majorHAnsi"/>
          <w:b/>
          <w:sz w:val="19"/>
          <w:szCs w:val="19"/>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0673D0" w:rsidRPr="009C6CB7" w14:paraId="3755C687" w14:textId="77777777" w:rsidTr="004408F5">
        <w:trPr>
          <w:cantSplit/>
        </w:trPr>
        <w:tc>
          <w:tcPr>
            <w:tcW w:w="3566" w:type="dxa"/>
            <w:tcBorders>
              <w:top w:val="single" w:sz="4" w:space="0" w:color="auto"/>
              <w:bottom w:val="single" w:sz="6" w:space="0" w:color="auto"/>
            </w:tcBorders>
            <w:shd w:val="clear" w:color="auto" w:fill="386294"/>
            <w:vAlign w:val="center"/>
          </w:tcPr>
          <w:p w14:paraId="0F134D1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Duplicación de procedimientos y cosa juzgada internacional:</w:t>
            </w:r>
          </w:p>
        </w:tc>
        <w:tc>
          <w:tcPr>
            <w:tcW w:w="5771" w:type="dxa"/>
            <w:vAlign w:val="center"/>
          </w:tcPr>
          <w:p w14:paraId="72801941"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No</w:t>
            </w:r>
          </w:p>
        </w:tc>
      </w:tr>
      <w:tr w:rsidR="000673D0" w:rsidRPr="00CA232E" w14:paraId="5733AA78" w14:textId="77777777" w:rsidTr="004408F5">
        <w:trPr>
          <w:cantSplit/>
        </w:trPr>
        <w:tc>
          <w:tcPr>
            <w:tcW w:w="3566" w:type="dxa"/>
            <w:tcBorders>
              <w:top w:val="single" w:sz="4" w:space="0" w:color="auto"/>
              <w:bottom w:val="single" w:sz="6" w:space="0" w:color="auto"/>
            </w:tcBorders>
            <w:shd w:val="clear" w:color="auto" w:fill="386294"/>
            <w:vAlign w:val="center"/>
          </w:tcPr>
          <w:p w14:paraId="70AE02E1"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Derechos declarados admisibles</w:t>
            </w:r>
            <w:r w:rsidRPr="009C6CB7">
              <w:rPr>
                <w:rFonts w:asciiTheme="majorHAnsi" w:hAnsiTheme="majorHAnsi"/>
                <w:b/>
                <w:bCs/>
                <w:i/>
                <w:color w:val="FFFFFF" w:themeColor="background1"/>
                <w:sz w:val="19"/>
                <w:szCs w:val="19"/>
              </w:rPr>
              <w:t>:</w:t>
            </w:r>
          </w:p>
        </w:tc>
        <w:tc>
          <w:tcPr>
            <w:tcW w:w="5771" w:type="dxa"/>
            <w:vAlign w:val="center"/>
          </w:tcPr>
          <w:p w14:paraId="5EB169C6" w14:textId="6AB44DC4" w:rsidR="000673D0" w:rsidRPr="009C6CB7" w:rsidRDefault="00067905" w:rsidP="009C6CB7">
            <w:pPr>
              <w:jc w:val="both"/>
              <w:rPr>
                <w:rFonts w:asciiTheme="majorHAnsi" w:hAnsiTheme="majorHAnsi"/>
                <w:bCs/>
                <w:sz w:val="19"/>
                <w:szCs w:val="19"/>
                <w:lang w:val="es-PA" w:eastAsia="es-ES"/>
              </w:rPr>
            </w:pPr>
            <w:r>
              <w:rPr>
                <w:rFonts w:asciiTheme="majorHAnsi" w:hAnsiTheme="majorHAnsi"/>
                <w:bCs/>
                <w:sz w:val="19"/>
                <w:szCs w:val="19"/>
                <w:lang w:val="es-ES" w:eastAsia="es-ES"/>
              </w:rPr>
              <w:t>Ninguno</w:t>
            </w:r>
            <w:r w:rsidR="00C72339">
              <w:rPr>
                <w:rFonts w:asciiTheme="majorHAnsi" w:hAnsiTheme="majorHAnsi"/>
                <w:bCs/>
                <w:sz w:val="19"/>
                <w:szCs w:val="19"/>
                <w:lang w:val="es-ES" w:eastAsia="es-ES"/>
              </w:rPr>
              <w:t xml:space="preserve"> </w:t>
            </w:r>
            <w:r w:rsidR="00874720" w:rsidRPr="009C6CB7">
              <w:rPr>
                <w:rFonts w:asciiTheme="majorHAnsi" w:hAnsiTheme="majorHAnsi"/>
                <w:bCs/>
                <w:sz w:val="19"/>
                <w:szCs w:val="19"/>
                <w:lang w:val="es-PA" w:eastAsia="es-ES"/>
              </w:rPr>
              <w:t xml:space="preserve"> </w:t>
            </w:r>
          </w:p>
        </w:tc>
      </w:tr>
      <w:tr w:rsidR="000673D0" w:rsidRPr="00CE7283" w14:paraId="56C738B6" w14:textId="77777777" w:rsidTr="004408F5">
        <w:trPr>
          <w:cantSplit/>
        </w:trPr>
        <w:tc>
          <w:tcPr>
            <w:tcW w:w="3566" w:type="dxa"/>
            <w:tcBorders>
              <w:top w:val="single" w:sz="6" w:space="0" w:color="auto"/>
              <w:bottom w:val="single" w:sz="6" w:space="0" w:color="auto"/>
            </w:tcBorders>
            <w:shd w:val="clear" w:color="auto" w:fill="386294"/>
            <w:vAlign w:val="center"/>
          </w:tcPr>
          <w:p w14:paraId="741F99C1"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Agotamiento de recursos internos o procedencia de una excepción:</w:t>
            </w:r>
          </w:p>
        </w:tc>
        <w:tc>
          <w:tcPr>
            <w:tcW w:w="5771" w:type="dxa"/>
            <w:vAlign w:val="center"/>
          </w:tcPr>
          <w:p w14:paraId="7B5A6AFC" w14:textId="4C4927F6" w:rsidR="000673D0" w:rsidRPr="009C6CB7" w:rsidRDefault="000673D0" w:rsidP="00D06F66">
            <w:pPr>
              <w:rPr>
                <w:rFonts w:asciiTheme="majorHAnsi" w:hAnsiTheme="majorHAnsi"/>
                <w:bCs/>
                <w:sz w:val="19"/>
                <w:szCs w:val="19"/>
                <w:lang w:val="es-ES"/>
              </w:rPr>
            </w:pPr>
            <w:r w:rsidRPr="009C6CB7">
              <w:rPr>
                <w:rFonts w:asciiTheme="majorHAnsi" w:hAnsiTheme="majorHAnsi"/>
                <w:bCs/>
                <w:sz w:val="19"/>
                <w:szCs w:val="19"/>
                <w:lang w:val="es-ES"/>
              </w:rPr>
              <w:t xml:space="preserve">Sí, </w:t>
            </w:r>
            <w:r w:rsidR="00C72339">
              <w:rPr>
                <w:rFonts w:asciiTheme="majorHAnsi" w:hAnsiTheme="majorHAnsi"/>
                <w:bCs/>
                <w:sz w:val="19"/>
                <w:szCs w:val="19"/>
                <w:lang w:val="es-ES"/>
              </w:rPr>
              <w:t>11 de mayo de 2015</w:t>
            </w:r>
          </w:p>
        </w:tc>
      </w:tr>
      <w:tr w:rsidR="000673D0" w:rsidRPr="00CE7283" w14:paraId="64377EF5" w14:textId="77777777" w:rsidTr="004408F5">
        <w:trPr>
          <w:cantSplit/>
        </w:trPr>
        <w:tc>
          <w:tcPr>
            <w:tcW w:w="3566" w:type="dxa"/>
            <w:tcBorders>
              <w:top w:val="single" w:sz="6" w:space="0" w:color="auto"/>
              <w:bottom w:val="single" w:sz="6" w:space="0" w:color="auto"/>
            </w:tcBorders>
            <w:shd w:val="clear" w:color="auto" w:fill="386294"/>
            <w:vAlign w:val="center"/>
          </w:tcPr>
          <w:p w14:paraId="33D77F00"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Presentación dentro de plaz</w:t>
            </w:r>
            <w:r w:rsidRPr="009C6CB7">
              <w:rPr>
                <w:rFonts w:asciiTheme="majorHAnsi" w:hAnsiTheme="majorHAnsi"/>
                <w:b/>
                <w:bCs/>
                <w:color w:val="FFFFFF" w:themeColor="background1"/>
                <w:sz w:val="19"/>
                <w:szCs w:val="19"/>
              </w:rPr>
              <w:t>o:</w:t>
            </w:r>
          </w:p>
        </w:tc>
        <w:tc>
          <w:tcPr>
            <w:tcW w:w="5771" w:type="dxa"/>
            <w:vAlign w:val="center"/>
          </w:tcPr>
          <w:p w14:paraId="6D2FF784" w14:textId="1621F7B6" w:rsidR="000673D0" w:rsidRPr="005C0974" w:rsidRDefault="00D06F66" w:rsidP="00D06F66">
            <w:pPr>
              <w:rPr>
                <w:rFonts w:asciiTheme="majorHAnsi" w:hAnsiTheme="majorHAnsi"/>
                <w:bCs/>
                <w:sz w:val="19"/>
                <w:szCs w:val="19"/>
                <w:lang w:val="es-PA"/>
              </w:rPr>
            </w:pPr>
            <w:r w:rsidRPr="005C0974">
              <w:rPr>
                <w:rFonts w:asciiTheme="majorHAnsi" w:hAnsiTheme="majorHAnsi"/>
                <w:bCs/>
                <w:sz w:val="19"/>
                <w:szCs w:val="19"/>
                <w:lang w:val="es-PA"/>
              </w:rPr>
              <w:t>Sí</w:t>
            </w:r>
          </w:p>
        </w:tc>
      </w:tr>
    </w:tbl>
    <w:p w14:paraId="45289755" w14:textId="77777777" w:rsidR="00840AE8" w:rsidRDefault="00840AE8" w:rsidP="004217A5">
      <w:pPr>
        <w:ind w:firstLine="720"/>
        <w:jc w:val="both"/>
        <w:rPr>
          <w:rFonts w:asciiTheme="majorHAnsi" w:hAnsiTheme="majorHAnsi"/>
          <w:b/>
          <w:sz w:val="20"/>
          <w:szCs w:val="20"/>
          <w:lang w:val="es-UY"/>
        </w:rPr>
      </w:pPr>
    </w:p>
    <w:p w14:paraId="18E6423B" w14:textId="1DA45A4A" w:rsidR="003239B8" w:rsidRPr="00221A21" w:rsidRDefault="00223A29" w:rsidP="004217A5">
      <w:pPr>
        <w:ind w:firstLine="720"/>
        <w:jc w:val="both"/>
        <w:rPr>
          <w:rFonts w:asciiTheme="majorHAnsi" w:hAnsiTheme="majorHAnsi"/>
          <w:b/>
          <w:sz w:val="20"/>
          <w:szCs w:val="20"/>
          <w:lang w:val="es-ES_tradnl"/>
        </w:rPr>
      </w:pPr>
      <w:r w:rsidRPr="00221A21">
        <w:rPr>
          <w:rFonts w:asciiTheme="majorHAnsi" w:hAnsiTheme="majorHAnsi"/>
          <w:b/>
          <w:sz w:val="20"/>
          <w:szCs w:val="20"/>
          <w:lang w:val="es-ES_tradnl"/>
        </w:rPr>
        <w:t xml:space="preserve">V. </w:t>
      </w:r>
      <w:r w:rsidRPr="00221A21">
        <w:rPr>
          <w:rFonts w:asciiTheme="majorHAnsi" w:hAnsiTheme="majorHAnsi"/>
          <w:b/>
          <w:sz w:val="20"/>
          <w:szCs w:val="20"/>
          <w:lang w:val="es-ES_tradnl"/>
        </w:rPr>
        <w:tab/>
      </w:r>
      <w:r w:rsidR="003239B8" w:rsidRPr="00221A21">
        <w:rPr>
          <w:rFonts w:asciiTheme="majorHAnsi" w:hAnsiTheme="majorHAnsi"/>
          <w:b/>
          <w:sz w:val="20"/>
          <w:szCs w:val="20"/>
          <w:lang w:val="es-ES_tradnl"/>
        </w:rPr>
        <w:t xml:space="preserve">HECHOS ALEGADOS </w:t>
      </w:r>
    </w:p>
    <w:p w14:paraId="2E1705C0" w14:textId="77777777" w:rsidR="00840AE8" w:rsidRPr="00221A21"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68B9AF6" w14:textId="108EA229" w:rsidR="003851E5" w:rsidRPr="00221A21" w:rsidRDefault="00725B0E"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bCs/>
          <w:sz w:val="20"/>
          <w:szCs w:val="20"/>
          <w:lang w:val="es-ES_tradnl"/>
        </w:rPr>
        <w:t xml:space="preserve"> </w:t>
      </w:r>
      <w:r w:rsidR="000D2BCE" w:rsidRPr="00221A21">
        <w:rPr>
          <w:rFonts w:asciiTheme="majorHAnsi" w:hAnsiTheme="majorHAnsi"/>
          <w:bCs/>
          <w:sz w:val="20"/>
          <w:szCs w:val="20"/>
          <w:lang w:val="es-ES_tradnl"/>
        </w:rPr>
        <w:t>L</w:t>
      </w:r>
      <w:r w:rsidRPr="00221A21">
        <w:rPr>
          <w:rFonts w:asciiTheme="majorHAnsi" w:hAnsiTheme="majorHAnsi"/>
          <w:bCs/>
          <w:sz w:val="20"/>
          <w:szCs w:val="20"/>
          <w:lang w:val="es-ES_tradnl"/>
        </w:rPr>
        <w:t xml:space="preserve">a presunta víctima fue </w:t>
      </w:r>
      <w:r w:rsidR="00470D83" w:rsidRPr="00221A21">
        <w:rPr>
          <w:rFonts w:asciiTheme="majorHAnsi" w:hAnsiTheme="majorHAnsi"/>
          <w:bCs/>
          <w:sz w:val="20"/>
          <w:szCs w:val="20"/>
          <w:lang w:val="es-ES_tradnl"/>
        </w:rPr>
        <w:t>condenada</w:t>
      </w:r>
      <w:r w:rsidRPr="00221A21">
        <w:rPr>
          <w:rFonts w:asciiTheme="majorHAnsi" w:hAnsiTheme="majorHAnsi"/>
          <w:bCs/>
          <w:sz w:val="20"/>
          <w:szCs w:val="20"/>
          <w:lang w:val="es-ES_tradnl"/>
        </w:rPr>
        <w:t xml:space="preserve"> penalmente por homicidio simple. Posteriormente, esa condena fue revocada</w:t>
      </w:r>
      <w:r w:rsidR="00ED715D" w:rsidRPr="00221A21">
        <w:rPr>
          <w:rFonts w:asciiTheme="majorHAnsi" w:hAnsiTheme="majorHAnsi"/>
          <w:bCs/>
          <w:sz w:val="20"/>
          <w:szCs w:val="20"/>
          <w:lang w:val="es-ES_tradnl"/>
        </w:rPr>
        <w:t xml:space="preserve"> </w:t>
      </w:r>
      <w:r w:rsidRPr="00221A21">
        <w:rPr>
          <w:rFonts w:asciiTheme="majorHAnsi" w:hAnsiTheme="majorHAnsi"/>
          <w:bCs/>
          <w:sz w:val="20"/>
          <w:szCs w:val="20"/>
          <w:lang w:val="es-ES_tradnl"/>
        </w:rPr>
        <w:t>y se profi</w:t>
      </w:r>
      <w:r w:rsidR="000D2BCE" w:rsidRPr="00221A21">
        <w:rPr>
          <w:rFonts w:asciiTheme="majorHAnsi" w:hAnsiTheme="majorHAnsi"/>
          <w:bCs/>
          <w:sz w:val="20"/>
          <w:szCs w:val="20"/>
          <w:lang w:val="es-ES_tradnl"/>
        </w:rPr>
        <w:t xml:space="preserve">rió una nueva condena contra </w:t>
      </w:r>
      <w:r w:rsidR="00292BF4" w:rsidRPr="00221A21">
        <w:rPr>
          <w:rFonts w:asciiTheme="majorHAnsi" w:hAnsiTheme="majorHAnsi"/>
          <w:bCs/>
          <w:sz w:val="20"/>
          <w:szCs w:val="20"/>
          <w:lang w:val="es-ES_tradnl"/>
        </w:rPr>
        <w:t>él</w:t>
      </w:r>
      <w:r w:rsidR="000D2BCE" w:rsidRPr="00221A21">
        <w:rPr>
          <w:rFonts w:asciiTheme="majorHAnsi" w:hAnsiTheme="majorHAnsi"/>
          <w:bCs/>
          <w:sz w:val="20"/>
          <w:szCs w:val="20"/>
          <w:lang w:val="es-ES_tradnl"/>
        </w:rPr>
        <w:t xml:space="preserve"> por homicidio calificado. La petición </w:t>
      </w:r>
      <w:r w:rsidR="00FE236B" w:rsidRPr="00221A21">
        <w:rPr>
          <w:rFonts w:asciiTheme="majorHAnsi" w:hAnsiTheme="majorHAnsi"/>
          <w:bCs/>
          <w:sz w:val="20"/>
          <w:szCs w:val="20"/>
          <w:lang w:val="es-ES_tradnl"/>
        </w:rPr>
        <w:t xml:space="preserve">reclama que el ordenamiento interno no establecía un recurso ordinario que permitiera a la presunta víctima obtener la revisión integral de la sentencia </w:t>
      </w:r>
      <w:r w:rsidR="00ED715D" w:rsidRPr="00221A21">
        <w:rPr>
          <w:rFonts w:asciiTheme="majorHAnsi" w:hAnsiTheme="majorHAnsi"/>
          <w:bCs/>
          <w:sz w:val="20"/>
          <w:szCs w:val="20"/>
          <w:lang w:val="es-ES_tradnl"/>
        </w:rPr>
        <w:t xml:space="preserve">que lo condenó por homicidio calificado. </w:t>
      </w:r>
    </w:p>
    <w:p w14:paraId="67C5D0B4" w14:textId="77777777" w:rsidR="00ED715D" w:rsidRPr="00221A21" w:rsidRDefault="00ED715D" w:rsidP="00ED715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D884144" w14:textId="67B4C287" w:rsidR="00ED715D" w:rsidRPr="00221A21" w:rsidRDefault="00D56E2A"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La petición relata que</w:t>
      </w:r>
      <w:r w:rsidR="00ED715D" w:rsidRPr="00221A21">
        <w:rPr>
          <w:rFonts w:asciiTheme="majorHAnsi" w:hAnsiTheme="majorHAnsi"/>
          <w:sz w:val="20"/>
          <w:szCs w:val="20"/>
          <w:lang w:val="es-ES_tradnl"/>
        </w:rPr>
        <w:t xml:space="preserve"> </w:t>
      </w:r>
      <w:r w:rsidR="005E531B" w:rsidRPr="00221A21">
        <w:rPr>
          <w:rFonts w:asciiTheme="majorHAnsi" w:hAnsiTheme="majorHAnsi"/>
          <w:sz w:val="20"/>
          <w:szCs w:val="20"/>
          <w:lang w:val="es-ES_tradnl"/>
        </w:rPr>
        <w:t xml:space="preserve">la presunta víctima fue </w:t>
      </w:r>
      <w:r w:rsidR="00470D83" w:rsidRPr="00221A21">
        <w:rPr>
          <w:rFonts w:asciiTheme="majorHAnsi" w:hAnsiTheme="majorHAnsi"/>
          <w:sz w:val="20"/>
          <w:szCs w:val="20"/>
          <w:lang w:val="es-ES_tradnl"/>
        </w:rPr>
        <w:t>procesada</w:t>
      </w:r>
      <w:r w:rsidR="005E531B" w:rsidRPr="00221A21">
        <w:rPr>
          <w:rFonts w:asciiTheme="majorHAnsi" w:hAnsiTheme="majorHAnsi"/>
          <w:sz w:val="20"/>
          <w:szCs w:val="20"/>
          <w:lang w:val="es-ES_tradnl"/>
        </w:rPr>
        <w:t xml:space="preserve"> penalmente imputándosele responsabilidad en la muerte </w:t>
      </w:r>
      <w:r w:rsidRPr="00221A21">
        <w:rPr>
          <w:rFonts w:asciiTheme="majorHAnsi" w:hAnsiTheme="majorHAnsi"/>
          <w:sz w:val="20"/>
          <w:szCs w:val="20"/>
          <w:lang w:val="es-ES_tradnl"/>
        </w:rPr>
        <w:t xml:space="preserve">de un agente policial. Según la imputación, el 8 de agosto de 2010 la presunta víctima se encontraba en el exterior de un supermercado mientras que el agente policial iba caminando por el área. La presunta víctima se acercó al agente y comenzó a increparlo de manera desafiante. El agente trató de calmar a la presunta víctima extrayendo con una mano su arma de reglamento y haciéndole un gesto de cese con la otra. </w:t>
      </w:r>
      <w:r w:rsidR="00D704FD" w:rsidRPr="00221A21">
        <w:rPr>
          <w:rFonts w:asciiTheme="majorHAnsi" w:hAnsiTheme="majorHAnsi"/>
          <w:sz w:val="20"/>
          <w:szCs w:val="20"/>
          <w:lang w:val="es-ES_tradnl"/>
        </w:rPr>
        <w:t>No obstante, la presunta víctima continuó hostigando al agente por lo que el agente realizó un disparo intimidatorio contra el suelo. La presunta víctima tomó al agente por el cuello y lo tiró al suelo para luego proferirle puños en el rostro y puntapiés en la zona de los pulmones. Luego, la presunta víctima se dio a la fuga y el agente falleció por traumatismo de tórax.</w:t>
      </w:r>
    </w:p>
    <w:p w14:paraId="1FFC6AE8" w14:textId="77777777" w:rsidR="00D704FD" w:rsidRPr="00221A21" w:rsidRDefault="00D704FD" w:rsidP="00D704FD">
      <w:pPr>
        <w:pStyle w:val="ListParagraph"/>
        <w:rPr>
          <w:rFonts w:asciiTheme="majorHAnsi" w:hAnsiTheme="majorHAnsi"/>
          <w:sz w:val="20"/>
          <w:szCs w:val="20"/>
          <w:lang w:val="es-ES_tradnl"/>
        </w:rPr>
      </w:pPr>
    </w:p>
    <w:p w14:paraId="63ADDCCC" w14:textId="2EE4DC80" w:rsidR="00D704FD" w:rsidRPr="00221A21" w:rsidRDefault="001134A1"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lastRenderedPageBreak/>
        <w:t>A consecuencia de la referida imputación, el 4 de octubre de 2011 el Tribunal de Juicio de Comodoro Rivadavia profirió condena contra la presunta víctima encontrándole responsable del delito de homicidio simple</w:t>
      </w:r>
      <w:r w:rsidR="004E3564" w:rsidRPr="00221A21">
        <w:rPr>
          <w:rFonts w:asciiTheme="majorHAnsi" w:hAnsiTheme="majorHAnsi"/>
          <w:sz w:val="20"/>
          <w:szCs w:val="20"/>
          <w:lang w:val="es-ES_tradnl"/>
        </w:rPr>
        <w:t xml:space="preserve"> imponiéndole pena de quince años de prisión</w:t>
      </w:r>
      <w:r w:rsidRPr="00221A21">
        <w:rPr>
          <w:rFonts w:asciiTheme="majorHAnsi" w:hAnsiTheme="majorHAnsi"/>
          <w:sz w:val="20"/>
          <w:szCs w:val="20"/>
          <w:lang w:val="es-ES_tradnl"/>
        </w:rPr>
        <w:t xml:space="preserve">. Esa decisión fue objeto de una impugnación ordinaria ante la Cámara Penal por parte de la Defensa Pública quien solicitó la absolución de la presunta víctima argumentado que la acción típica reprochada a este debió encuadrarse en la causal de justificación de legítima defensa. </w:t>
      </w:r>
      <w:r w:rsidR="00E25454" w:rsidRPr="00221A21">
        <w:rPr>
          <w:rFonts w:asciiTheme="majorHAnsi" w:hAnsiTheme="majorHAnsi"/>
          <w:sz w:val="20"/>
          <w:szCs w:val="20"/>
          <w:lang w:val="es-ES_tradnl"/>
        </w:rPr>
        <w:t>Paralelamente, el Ministerio Público Fiscal y la parte querellante presentaron</w:t>
      </w:r>
      <w:r w:rsidR="004E3564" w:rsidRPr="00221A21">
        <w:rPr>
          <w:rFonts w:asciiTheme="majorHAnsi" w:hAnsiTheme="majorHAnsi"/>
          <w:sz w:val="20"/>
          <w:szCs w:val="20"/>
          <w:lang w:val="es-ES_tradnl"/>
        </w:rPr>
        <w:t xml:space="preserve"> ante la Sala Penal del Superior Tribunal Provincial una impugnación extraordinaria local, contra la sentencia que condenó por homicidio simple y solicitando que esa calificación fuera cambiada por la de homicidio calificado. </w:t>
      </w:r>
    </w:p>
    <w:p w14:paraId="238DB955" w14:textId="77777777" w:rsidR="004E3564" w:rsidRPr="00221A21" w:rsidRDefault="004E3564" w:rsidP="004E3564">
      <w:pPr>
        <w:pStyle w:val="ListParagraph"/>
        <w:rPr>
          <w:rFonts w:asciiTheme="majorHAnsi" w:hAnsiTheme="majorHAnsi"/>
          <w:sz w:val="20"/>
          <w:szCs w:val="20"/>
          <w:lang w:val="es-ES_tradnl"/>
        </w:rPr>
      </w:pPr>
    </w:p>
    <w:p w14:paraId="1CEBF7CA" w14:textId="02A698A2" w:rsidR="004E3564" w:rsidRPr="00221A21" w:rsidRDefault="00431AEE"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El 5 de marzo de 2012 la Cámara en lo Penal de Comodoro Rivadavia emitió sentencia en la que declaró no a lugar la impugnación ordinaria planteada por la defensa de la presunta víctima y confirmó en todas sus partes la sentencia impugnada. Contra esta decisión la defensa de la presunta víctima presentó una impugnación extraordinaria local ante el Superior Tribunal de la Provincia. </w:t>
      </w:r>
    </w:p>
    <w:p w14:paraId="6D0BD052" w14:textId="77777777" w:rsidR="00620511" w:rsidRPr="00221A21" w:rsidRDefault="00620511" w:rsidP="00620511">
      <w:pPr>
        <w:pStyle w:val="ListParagraph"/>
        <w:rPr>
          <w:rFonts w:asciiTheme="majorHAnsi" w:hAnsiTheme="majorHAnsi"/>
          <w:sz w:val="20"/>
          <w:szCs w:val="20"/>
          <w:lang w:val="es-ES_tradnl"/>
        </w:rPr>
      </w:pPr>
    </w:p>
    <w:p w14:paraId="4C3A20DE" w14:textId="6E869465" w:rsidR="00620511" w:rsidRPr="00221A21" w:rsidRDefault="00620511"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El 9 de abril de 2013 el Superior Tribunal de Justicia de la Provincia de Chubut declaró procedente </w:t>
      </w:r>
      <w:r w:rsidR="00A62142" w:rsidRPr="00221A21">
        <w:rPr>
          <w:rFonts w:asciiTheme="majorHAnsi" w:hAnsiTheme="majorHAnsi"/>
          <w:sz w:val="20"/>
          <w:szCs w:val="20"/>
          <w:lang w:val="es-ES_tradnl"/>
        </w:rPr>
        <w:t>las impugnaciones extraordinarias presentadas por el Ministerio Público Fiscal y la parte querellante. En consecuencia, el Superior Tribunal decidió anular parcialmente la sentencia recurrida en lo referido al encuadramiento legal y recalificar el hecho para declarar a la presunta víctima responsable por delito de homicidio calificado</w:t>
      </w:r>
      <w:r w:rsidR="00095DFF" w:rsidRPr="00221A21">
        <w:rPr>
          <w:rFonts w:asciiTheme="majorHAnsi" w:hAnsiTheme="majorHAnsi"/>
          <w:sz w:val="20"/>
          <w:szCs w:val="20"/>
          <w:lang w:val="es-ES_tradnl"/>
        </w:rPr>
        <w:t xml:space="preserve">. El Superior Tribunal dispuso el reenvío de la causa para que el </w:t>
      </w:r>
      <w:r w:rsidR="00C661B1" w:rsidRPr="00221A21">
        <w:rPr>
          <w:rFonts w:asciiTheme="majorHAnsi" w:hAnsiTheme="majorHAnsi"/>
          <w:sz w:val="20"/>
          <w:szCs w:val="20"/>
          <w:lang w:val="es-ES_tradnl"/>
        </w:rPr>
        <w:t xml:space="preserve">tribunal de instancia dictara la pena a ser aplicada a la presunta </w:t>
      </w:r>
      <w:r w:rsidR="00221A21" w:rsidRPr="00221A21">
        <w:rPr>
          <w:rFonts w:asciiTheme="majorHAnsi" w:hAnsiTheme="majorHAnsi"/>
          <w:sz w:val="20"/>
          <w:szCs w:val="20"/>
          <w:lang w:val="es-ES_tradnl"/>
        </w:rPr>
        <w:t>víctima</w:t>
      </w:r>
      <w:r w:rsidR="00C661B1" w:rsidRPr="00221A21">
        <w:rPr>
          <w:rFonts w:asciiTheme="majorHAnsi" w:hAnsiTheme="majorHAnsi"/>
          <w:sz w:val="20"/>
          <w:szCs w:val="20"/>
          <w:lang w:val="es-ES_tradnl"/>
        </w:rPr>
        <w:t xml:space="preserve"> conforme a la nueva calificación del hecho delictivo. La parte peticionaria sostiene que, pese a esta formalidad, la pena inevitablemente sería la de prisión perpetua por ser la única permitida por la ley para un hecho calificado como homicidio calificado. </w:t>
      </w:r>
    </w:p>
    <w:p w14:paraId="7ABC790B" w14:textId="77777777" w:rsidR="00C661B1" w:rsidRPr="00221A21" w:rsidRDefault="00C661B1" w:rsidP="00C661B1">
      <w:pPr>
        <w:pStyle w:val="ListParagraph"/>
        <w:rPr>
          <w:rFonts w:asciiTheme="majorHAnsi" w:hAnsiTheme="majorHAnsi"/>
          <w:sz w:val="20"/>
          <w:szCs w:val="20"/>
          <w:lang w:val="es-ES_tradnl"/>
        </w:rPr>
      </w:pPr>
    </w:p>
    <w:p w14:paraId="08A9F22E" w14:textId="7DD7A4F0" w:rsidR="00C661B1" w:rsidRPr="00221A21" w:rsidRDefault="00C661B1"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La parte peticionaria reclama que el ordenamiento doméstico no </w:t>
      </w:r>
      <w:r w:rsidR="0084689A" w:rsidRPr="00221A21">
        <w:rPr>
          <w:rFonts w:asciiTheme="majorHAnsi" w:hAnsiTheme="majorHAnsi"/>
          <w:sz w:val="20"/>
          <w:szCs w:val="20"/>
          <w:lang w:val="es-ES_tradnl"/>
        </w:rPr>
        <w:t>contemplaba</w:t>
      </w:r>
      <w:r w:rsidRPr="00221A21">
        <w:rPr>
          <w:rFonts w:asciiTheme="majorHAnsi" w:hAnsiTheme="majorHAnsi"/>
          <w:sz w:val="20"/>
          <w:szCs w:val="20"/>
          <w:lang w:val="es-ES_tradnl"/>
        </w:rPr>
        <w:t xml:space="preserve"> ningún recurso ordinario que permitiera a la presunta impugnar la condena por homicidio calificado que le fue proferida tras la</w:t>
      </w:r>
      <w:r w:rsidR="00B44CE6" w:rsidRPr="00221A21">
        <w:rPr>
          <w:rFonts w:asciiTheme="majorHAnsi" w:hAnsiTheme="majorHAnsi"/>
          <w:sz w:val="20"/>
          <w:szCs w:val="20"/>
          <w:lang w:val="es-ES_tradnl"/>
        </w:rPr>
        <w:t xml:space="preserve"> revoc</w:t>
      </w:r>
      <w:r w:rsidR="008E107C" w:rsidRPr="00221A21">
        <w:rPr>
          <w:rFonts w:asciiTheme="majorHAnsi" w:hAnsiTheme="majorHAnsi"/>
          <w:sz w:val="20"/>
          <w:szCs w:val="20"/>
          <w:lang w:val="es-ES_tradnl"/>
        </w:rPr>
        <w:t>atoria</w:t>
      </w:r>
      <w:r w:rsidR="00B44CE6" w:rsidRPr="00221A21">
        <w:rPr>
          <w:rFonts w:asciiTheme="majorHAnsi" w:hAnsiTheme="majorHAnsi"/>
          <w:sz w:val="20"/>
          <w:szCs w:val="20"/>
          <w:lang w:val="es-ES_tradnl"/>
        </w:rPr>
        <w:t xml:space="preserve"> de su condena previa por homicidio simple. A</w:t>
      </w:r>
      <w:r w:rsidR="008F3A97" w:rsidRPr="00221A21">
        <w:rPr>
          <w:rFonts w:asciiTheme="majorHAnsi" w:hAnsiTheme="majorHAnsi"/>
          <w:sz w:val="20"/>
          <w:szCs w:val="20"/>
          <w:lang w:val="es-ES_tradnl"/>
        </w:rPr>
        <w:t xml:space="preserve"> su</w:t>
      </w:r>
      <w:r w:rsidR="00B44CE6" w:rsidRPr="00221A21">
        <w:rPr>
          <w:rFonts w:asciiTheme="majorHAnsi" w:hAnsiTheme="majorHAnsi"/>
          <w:sz w:val="20"/>
          <w:szCs w:val="20"/>
          <w:lang w:val="es-ES_tradnl"/>
        </w:rPr>
        <w:t xml:space="preserve"> juicio,</w:t>
      </w:r>
      <w:r w:rsidR="008E107C" w:rsidRPr="00221A21">
        <w:rPr>
          <w:rFonts w:asciiTheme="majorHAnsi" w:hAnsiTheme="majorHAnsi"/>
          <w:sz w:val="20"/>
          <w:szCs w:val="20"/>
          <w:lang w:val="es-ES_tradnl"/>
        </w:rPr>
        <w:t xml:space="preserve"> la condena por homicidio calificado constituye una condena nueva</w:t>
      </w:r>
      <w:r w:rsidR="0012027B" w:rsidRPr="00221A21">
        <w:rPr>
          <w:rFonts w:asciiTheme="majorHAnsi" w:hAnsiTheme="majorHAnsi"/>
          <w:sz w:val="20"/>
          <w:szCs w:val="20"/>
          <w:lang w:val="es-ES_tradnl"/>
        </w:rPr>
        <w:t xml:space="preserve">; puesto que </w:t>
      </w:r>
      <w:r w:rsidR="008F3A97" w:rsidRPr="00221A21">
        <w:rPr>
          <w:rFonts w:asciiTheme="majorHAnsi" w:hAnsiTheme="majorHAnsi"/>
          <w:sz w:val="20"/>
          <w:szCs w:val="20"/>
          <w:lang w:val="es-ES_tradnl"/>
        </w:rPr>
        <w:t>aquella</w:t>
      </w:r>
      <w:r w:rsidR="0012027B" w:rsidRPr="00221A21">
        <w:rPr>
          <w:rFonts w:asciiTheme="majorHAnsi" w:hAnsiTheme="majorHAnsi"/>
          <w:sz w:val="20"/>
          <w:szCs w:val="20"/>
          <w:lang w:val="es-ES_tradnl"/>
        </w:rPr>
        <w:t xml:space="preserve"> por homicidio simple quedó anulada y reemplazada. </w:t>
      </w:r>
      <w:r w:rsidR="008F3A97" w:rsidRPr="00221A21">
        <w:rPr>
          <w:rFonts w:asciiTheme="majorHAnsi" w:hAnsiTheme="majorHAnsi"/>
          <w:sz w:val="20"/>
          <w:szCs w:val="20"/>
          <w:lang w:val="es-ES_tradnl"/>
        </w:rPr>
        <w:t>L</w:t>
      </w:r>
      <w:r w:rsidR="0012027B" w:rsidRPr="00221A21">
        <w:rPr>
          <w:rFonts w:asciiTheme="majorHAnsi" w:hAnsiTheme="majorHAnsi"/>
          <w:sz w:val="20"/>
          <w:szCs w:val="20"/>
          <w:lang w:val="es-ES_tradnl"/>
        </w:rPr>
        <w:t>a parte peticionaria argumenta que la ausencia de un recurso que permitiera a la presunta víctima procurar la revisión integra</w:t>
      </w:r>
      <w:r w:rsidR="007A601B" w:rsidRPr="00221A21">
        <w:rPr>
          <w:rFonts w:asciiTheme="majorHAnsi" w:hAnsiTheme="majorHAnsi"/>
          <w:sz w:val="20"/>
          <w:szCs w:val="20"/>
          <w:lang w:val="es-ES_tradnl"/>
        </w:rPr>
        <w:t>l, formal y material</w:t>
      </w:r>
      <w:r w:rsidR="0012027B" w:rsidRPr="00221A21">
        <w:rPr>
          <w:rFonts w:asciiTheme="majorHAnsi" w:hAnsiTheme="majorHAnsi"/>
          <w:sz w:val="20"/>
          <w:szCs w:val="20"/>
          <w:lang w:val="es-ES_tradnl"/>
        </w:rPr>
        <w:t xml:space="preserve"> de la condena por </w:t>
      </w:r>
      <w:r w:rsidR="00FE0584" w:rsidRPr="00221A21">
        <w:rPr>
          <w:rFonts w:asciiTheme="majorHAnsi" w:hAnsiTheme="majorHAnsi"/>
          <w:sz w:val="20"/>
          <w:szCs w:val="20"/>
          <w:lang w:val="es-ES_tradnl"/>
        </w:rPr>
        <w:t>homicidio calificado</w:t>
      </w:r>
      <w:r w:rsidR="007A601B" w:rsidRPr="00221A21">
        <w:rPr>
          <w:rFonts w:asciiTheme="majorHAnsi" w:hAnsiTheme="majorHAnsi"/>
          <w:sz w:val="20"/>
          <w:szCs w:val="20"/>
          <w:lang w:val="es-ES_tradnl"/>
        </w:rPr>
        <w:t xml:space="preserve"> es incompatible con el artículo 8.2(h) de la Convención Americana; así como con la jurisprudencia sentada por la Corte Interamericana en el caso Mohamed vs. Argentina y por la Corte Suprema de Justicia de Argentina en la causa Casal. </w:t>
      </w:r>
    </w:p>
    <w:p w14:paraId="437239E2" w14:textId="77777777" w:rsidR="007A601B" w:rsidRPr="00221A21" w:rsidRDefault="007A601B" w:rsidP="007A601B">
      <w:pPr>
        <w:pStyle w:val="ListParagraph"/>
        <w:rPr>
          <w:rFonts w:asciiTheme="majorHAnsi" w:hAnsiTheme="majorHAnsi"/>
          <w:sz w:val="20"/>
          <w:szCs w:val="20"/>
          <w:lang w:val="es-ES_tradnl"/>
        </w:rPr>
      </w:pPr>
    </w:p>
    <w:p w14:paraId="73B6B608" w14:textId="306770AE" w:rsidR="007A601B" w:rsidRPr="00221A21" w:rsidRDefault="007A601B"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Conforme continúa el relato de la parte peticionaria, dada la ausencia de recursos ordinarios, la defensa de la presunta víctima recurrió la sentencia que lo condenó por homicidio calificado mediante el único recurso que le era posible</w:t>
      </w:r>
      <w:r w:rsidR="00DB597D" w:rsidRPr="00221A21">
        <w:rPr>
          <w:rFonts w:asciiTheme="majorHAnsi" w:hAnsiTheme="majorHAnsi"/>
          <w:sz w:val="20"/>
          <w:szCs w:val="20"/>
          <w:lang w:val="es-ES_tradnl"/>
        </w:rPr>
        <w:t xml:space="preserve">, el extraordinario federal. El 10 de junio de 2013 el Tribunal de Justicia de la Provincia </w:t>
      </w:r>
      <w:r w:rsidR="00221A21" w:rsidRPr="00221A21">
        <w:rPr>
          <w:rFonts w:asciiTheme="majorHAnsi" w:hAnsiTheme="majorHAnsi"/>
          <w:sz w:val="20"/>
          <w:szCs w:val="20"/>
          <w:lang w:val="es-ES_tradnl"/>
        </w:rPr>
        <w:t>de</w:t>
      </w:r>
      <w:r w:rsidR="00DB597D" w:rsidRPr="00221A21">
        <w:rPr>
          <w:rFonts w:asciiTheme="majorHAnsi" w:hAnsiTheme="majorHAnsi"/>
          <w:sz w:val="20"/>
          <w:szCs w:val="20"/>
          <w:lang w:val="es-ES_tradnl"/>
        </w:rPr>
        <w:t xml:space="preserve"> Chubut determinó no conceder el recurso extraordinario federal en cuestión. Por lo tanto, la defensa de la presunta víctima interpuso ante la Corte Suprema de Justicia de la Nación un recurso de queja por denegación de recurso extraordinario federal. El 7 de abril de 2015 la Corte Suprema de Justicia de la Nación </w:t>
      </w:r>
      <w:r w:rsidR="009170E3" w:rsidRPr="00221A21">
        <w:rPr>
          <w:rFonts w:asciiTheme="majorHAnsi" w:hAnsiTheme="majorHAnsi"/>
          <w:sz w:val="20"/>
          <w:szCs w:val="20"/>
          <w:lang w:val="es-ES_tradnl"/>
        </w:rPr>
        <w:t>emitió resolución declarando el recurso de queja inadmisible sin fundamentación conforme lo dispuesto en el artículo 280 del Código Procesal, Civil y Comercial de la Nación</w:t>
      </w:r>
      <w:r w:rsidR="000F465A" w:rsidRPr="00221A21">
        <w:rPr>
          <w:rFonts w:asciiTheme="majorHAnsi" w:hAnsiTheme="majorHAnsi"/>
          <w:sz w:val="20"/>
          <w:szCs w:val="20"/>
          <w:lang w:val="es-ES_tradnl"/>
        </w:rPr>
        <w:t xml:space="preserve"> (</w:t>
      </w:r>
      <w:r w:rsidR="000F465A" w:rsidRPr="00221A21">
        <w:rPr>
          <w:rFonts w:asciiTheme="majorHAnsi" w:hAnsiTheme="majorHAnsi"/>
          <w:i/>
          <w:iCs/>
          <w:sz w:val="20"/>
          <w:szCs w:val="20"/>
          <w:lang w:val="es-ES_tradnl"/>
        </w:rPr>
        <w:t>certiorari</w:t>
      </w:r>
      <w:r w:rsidR="000F465A" w:rsidRPr="00221A21">
        <w:rPr>
          <w:rFonts w:asciiTheme="majorHAnsi" w:hAnsiTheme="majorHAnsi"/>
          <w:sz w:val="20"/>
          <w:szCs w:val="20"/>
          <w:lang w:val="es-ES_tradnl"/>
        </w:rPr>
        <w:t>)</w:t>
      </w:r>
      <w:r w:rsidR="009170E3" w:rsidRPr="00221A21">
        <w:rPr>
          <w:rFonts w:asciiTheme="majorHAnsi" w:hAnsiTheme="majorHAnsi"/>
          <w:sz w:val="20"/>
          <w:szCs w:val="20"/>
          <w:lang w:val="es-ES_tradnl"/>
        </w:rPr>
        <w:t xml:space="preserve">. </w:t>
      </w:r>
      <w:r w:rsidR="00B02958" w:rsidRPr="00221A21">
        <w:rPr>
          <w:rFonts w:asciiTheme="majorHAnsi" w:hAnsiTheme="majorHAnsi"/>
          <w:sz w:val="20"/>
          <w:szCs w:val="20"/>
          <w:lang w:val="es-ES_tradnl"/>
        </w:rPr>
        <w:t>La parte peticionaria señala que la decisión que rechazó el recurso de queja le fue notificada el 11 de mayo de 2015</w:t>
      </w:r>
      <w:r w:rsidR="000F465A" w:rsidRPr="00221A21">
        <w:rPr>
          <w:rFonts w:asciiTheme="majorHAnsi" w:hAnsiTheme="majorHAnsi"/>
          <w:sz w:val="20"/>
          <w:szCs w:val="20"/>
          <w:lang w:val="es-ES_tradnl"/>
        </w:rPr>
        <w:t>,</w:t>
      </w:r>
      <w:r w:rsidR="00B02958" w:rsidRPr="00221A21">
        <w:rPr>
          <w:rFonts w:asciiTheme="majorHAnsi" w:hAnsiTheme="majorHAnsi"/>
          <w:sz w:val="20"/>
          <w:szCs w:val="20"/>
          <w:lang w:val="es-ES_tradnl"/>
        </w:rPr>
        <w:t xml:space="preserve"> y que esta constituye la decisión final de la justicia doméstica que agotó los recursos internos. </w:t>
      </w:r>
    </w:p>
    <w:p w14:paraId="48FAE145" w14:textId="77777777" w:rsidR="006B1378" w:rsidRPr="00221A21" w:rsidRDefault="006B1378" w:rsidP="006B1378">
      <w:pPr>
        <w:pStyle w:val="ListParagraph"/>
        <w:rPr>
          <w:rFonts w:asciiTheme="majorHAnsi" w:hAnsiTheme="majorHAnsi"/>
          <w:sz w:val="20"/>
          <w:szCs w:val="20"/>
          <w:lang w:val="es-ES_tradnl"/>
        </w:rPr>
      </w:pPr>
    </w:p>
    <w:p w14:paraId="435903FD" w14:textId="659CB4B6" w:rsidR="006B1378" w:rsidRPr="00221A21" w:rsidRDefault="006B1378"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El Estado, por su parte, considera que la petición debe ser archivada o inadmitida porque la presunta víctima no cumplió con el requisito de agotamiento de los recursos internos, porque ella no expone hechos que caractericen violaciones a derechos garantizados en la Convención Americana, y porque </w:t>
      </w:r>
      <w:r w:rsidR="000F465A" w:rsidRPr="00221A21">
        <w:rPr>
          <w:rFonts w:asciiTheme="majorHAnsi" w:hAnsiTheme="majorHAnsi"/>
          <w:sz w:val="20"/>
          <w:szCs w:val="20"/>
          <w:lang w:val="es-ES_tradnl"/>
        </w:rPr>
        <w:t xml:space="preserve">considera que </w:t>
      </w:r>
      <w:r w:rsidRPr="00221A21">
        <w:rPr>
          <w:rFonts w:asciiTheme="majorHAnsi" w:hAnsiTheme="majorHAnsi"/>
          <w:sz w:val="20"/>
          <w:szCs w:val="20"/>
          <w:lang w:val="es-ES_tradnl"/>
        </w:rPr>
        <w:t xml:space="preserve">le fue trasladada al Estado en forma extemporánea. </w:t>
      </w:r>
    </w:p>
    <w:p w14:paraId="34CE4727" w14:textId="77777777" w:rsidR="006B1378" w:rsidRPr="00221A21" w:rsidRDefault="006B1378" w:rsidP="006B1378">
      <w:pPr>
        <w:pStyle w:val="ListParagraph"/>
        <w:rPr>
          <w:rFonts w:asciiTheme="majorHAnsi" w:hAnsiTheme="majorHAnsi"/>
          <w:sz w:val="20"/>
          <w:szCs w:val="20"/>
          <w:lang w:val="es-ES_tradnl"/>
        </w:rPr>
      </w:pPr>
    </w:p>
    <w:p w14:paraId="2E8EBBFB" w14:textId="2B5890AF" w:rsidR="006B1378" w:rsidRPr="00221A21" w:rsidRDefault="00592102"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El Estado </w:t>
      </w:r>
      <w:r w:rsidR="00720524" w:rsidRPr="00221A21">
        <w:rPr>
          <w:rFonts w:asciiTheme="majorHAnsi" w:hAnsiTheme="majorHAnsi"/>
          <w:sz w:val="20"/>
          <w:szCs w:val="20"/>
          <w:lang w:val="es-ES_tradnl"/>
        </w:rPr>
        <w:t>señala</w:t>
      </w:r>
      <w:r w:rsidRPr="00221A21">
        <w:rPr>
          <w:rFonts w:asciiTheme="majorHAnsi" w:hAnsiTheme="majorHAnsi"/>
          <w:sz w:val="20"/>
          <w:szCs w:val="20"/>
          <w:lang w:val="es-ES_tradnl"/>
        </w:rPr>
        <w:t xml:space="preserve"> que </w:t>
      </w:r>
      <w:r w:rsidR="00720524" w:rsidRPr="00221A21">
        <w:rPr>
          <w:rFonts w:asciiTheme="majorHAnsi" w:hAnsiTheme="majorHAnsi"/>
          <w:sz w:val="20"/>
          <w:szCs w:val="20"/>
          <w:lang w:val="es-ES_tradnl"/>
        </w:rPr>
        <w:t>paralelamente a su presentación de un recurso extraordinario federal contra la condena por homicidio calificado, e incluso después de presentar su petición ante el Sistema Interamericano, la presunta víctima continuó presentado otros recursos a nivel doméstico. Así</w:t>
      </w:r>
      <w:r w:rsidR="00414D51" w:rsidRPr="00221A21">
        <w:rPr>
          <w:rFonts w:asciiTheme="majorHAnsi" w:hAnsiTheme="majorHAnsi"/>
          <w:sz w:val="20"/>
          <w:szCs w:val="20"/>
          <w:lang w:val="es-ES_tradnl"/>
        </w:rPr>
        <w:t>,</w:t>
      </w:r>
      <w:r w:rsidR="00720524" w:rsidRPr="00221A21">
        <w:rPr>
          <w:rFonts w:asciiTheme="majorHAnsi" w:hAnsiTheme="majorHAnsi"/>
          <w:sz w:val="20"/>
          <w:szCs w:val="20"/>
          <w:lang w:val="es-ES_tradnl"/>
        </w:rPr>
        <w:t xml:space="preserve"> explica que tras proferir la condena por homicidio calificado el Superior Tribunal de Justicia de Chubut reenvió la causa al tribunal de origen para que fuera </w:t>
      </w:r>
      <w:r w:rsidR="00111FDC" w:rsidRPr="00221A21">
        <w:rPr>
          <w:rFonts w:asciiTheme="majorHAnsi" w:hAnsiTheme="majorHAnsi"/>
          <w:sz w:val="20"/>
          <w:szCs w:val="20"/>
          <w:lang w:val="es-ES_tradnl"/>
        </w:rPr>
        <w:t xml:space="preserve">aquel quien definiera, en el marco de un procedimiento contradictorio y con posibilidad de revisión, la nueva condena que debía aplicarse al imputado a partir de la calificación legal determinada. A juicio del Estado, si bien al momento de la presentación de la petición las vías judiciales se </w:t>
      </w:r>
      <w:r w:rsidR="00111FDC" w:rsidRPr="00221A21">
        <w:rPr>
          <w:rFonts w:asciiTheme="majorHAnsi" w:hAnsiTheme="majorHAnsi"/>
          <w:sz w:val="20"/>
          <w:szCs w:val="20"/>
          <w:lang w:val="es-ES_tradnl"/>
        </w:rPr>
        <w:lastRenderedPageBreak/>
        <w:t xml:space="preserve">encontraban agotadas en cuanto a la responsabilidad penal de la presunta víctima y la calificación jurídica de su conducta, aún </w:t>
      </w:r>
      <w:r w:rsidR="00930D2A" w:rsidRPr="00221A21">
        <w:rPr>
          <w:rFonts w:asciiTheme="majorHAnsi" w:hAnsiTheme="majorHAnsi"/>
          <w:sz w:val="20"/>
          <w:szCs w:val="20"/>
          <w:lang w:val="es-ES_tradnl"/>
        </w:rPr>
        <w:t xml:space="preserve">quedaban instancias que agotar para determinar las consecuencias punitivas y la pena a ser aplicada. </w:t>
      </w:r>
    </w:p>
    <w:p w14:paraId="7E5E8B6A" w14:textId="77777777" w:rsidR="00930D2A" w:rsidRPr="00221A21" w:rsidRDefault="00930D2A" w:rsidP="00930D2A">
      <w:pPr>
        <w:pStyle w:val="ListParagraph"/>
        <w:rPr>
          <w:rFonts w:asciiTheme="majorHAnsi" w:hAnsiTheme="majorHAnsi"/>
          <w:sz w:val="20"/>
          <w:szCs w:val="20"/>
          <w:lang w:val="es-ES_tradnl"/>
        </w:rPr>
      </w:pPr>
    </w:p>
    <w:p w14:paraId="554620A0" w14:textId="2EE2A9D2" w:rsidR="00930D2A" w:rsidRPr="00221A21" w:rsidRDefault="00930D2A"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El Estado señala que el recurso que surgió a raíz del reenvío de la causa al tribunal de origen para la determinación de la pena tenía pocas posibilidades “</w:t>
      </w:r>
      <w:r w:rsidRPr="00221A21">
        <w:rPr>
          <w:rFonts w:asciiTheme="majorHAnsi" w:hAnsiTheme="majorHAnsi"/>
          <w:i/>
          <w:iCs/>
          <w:sz w:val="20"/>
          <w:szCs w:val="20"/>
          <w:lang w:val="es-ES_tradnl"/>
        </w:rPr>
        <w:t>en función del tipo penal concreto y la pena única que prevé el Código Penal para aquél</w:t>
      </w:r>
      <w:r w:rsidRPr="00221A21">
        <w:rPr>
          <w:rFonts w:asciiTheme="majorHAnsi" w:hAnsiTheme="majorHAnsi"/>
          <w:sz w:val="20"/>
          <w:szCs w:val="20"/>
          <w:lang w:val="es-ES_tradnl"/>
        </w:rPr>
        <w:t xml:space="preserve">”. Sin embargo, sostiene que aquello no implica que el recurso pueda considerarse </w:t>
      </w:r>
      <w:r w:rsidRPr="00221A21">
        <w:rPr>
          <w:rFonts w:asciiTheme="majorHAnsi" w:hAnsiTheme="majorHAnsi"/>
          <w:i/>
          <w:iCs/>
          <w:sz w:val="20"/>
          <w:szCs w:val="20"/>
          <w:lang w:val="es-ES_tradnl"/>
        </w:rPr>
        <w:t>a priori</w:t>
      </w:r>
      <w:r w:rsidRPr="00221A21">
        <w:rPr>
          <w:rFonts w:asciiTheme="majorHAnsi" w:hAnsiTheme="majorHAnsi"/>
          <w:sz w:val="20"/>
          <w:szCs w:val="20"/>
          <w:lang w:val="es-ES_tradnl"/>
        </w:rPr>
        <w:t xml:space="preserve"> como un recurso inútil o ineficaz</w:t>
      </w:r>
      <w:r w:rsidR="00FD50A4" w:rsidRPr="00221A21">
        <w:rPr>
          <w:rFonts w:asciiTheme="majorHAnsi" w:hAnsiTheme="majorHAnsi"/>
          <w:sz w:val="20"/>
          <w:szCs w:val="20"/>
          <w:lang w:val="es-ES_tradnl"/>
        </w:rPr>
        <w:t>;</w:t>
      </w:r>
      <w:r w:rsidRPr="00221A21">
        <w:rPr>
          <w:rFonts w:asciiTheme="majorHAnsi" w:hAnsiTheme="majorHAnsi"/>
          <w:sz w:val="20"/>
          <w:szCs w:val="20"/>
          <w:lang w:val="es-ES_tradnl"/>
        </w:rPr>
        <w:t xml:space="preserve"> </w:t>
      </w:r>
      <w:r w:rsidR="00FD50A4" w:rsidRPr="00221A21">
        <w:rPr>
          <w:rFonts w:asciiTheme="majorHAnsi" w:hAnsiTheme="majorHAnsi"/>
          <w:sz w:val="20"/>
          <w:szCs w:val="20"/>
          <w:lang w:val="es-ES_tradnl"/>
        </w:rPr>
        <w:t>dado que</w:t>
      </w:r>
      <w:r w:rsidRPr="00221A21">
        <w:rPr>
          <w:rFonts w:asciiTheme="majorHAnsi" w:hAnsiTheme="majorHAnsi"/>
          <w:sz w:val="20"/>
          <w:szCs w:val="20"/>
          <w:lang w:val="es-ES_tradnl"/>
        </w:rPr>
        <w:t xml:space="preserve"> existen en Argentina </w:t>
      </w:r>
      <w:r w:rsidR="00F06359" w:rsidRPr="00221A21">
        <w:rPr>
          <w:rFonts w:asciiTheme="majorHAnsi" w:hAnsiTheme="majorHAnsi"/>
          <w:sz w:val="20"/>
          <w:szCs w:val="20"/>
          <w:lang w:val="es-ES_tradnl"/>
        </w:rPr>
        <w:t xml:space="preserve">antecedentes jurisprudenciales que demuestran que, bajo ciertas circunstancias, los tribunales han decidido apartarse de la pena de prisión perpetua contemplada para el delito como pena única. </w:t>
      </w:r>
    </w:p>
    <w:p w14:paraId="46A22571" w14:textId="77777777" w:rsidR="00F06359" w:rsidRPr="00221A21" w:rsidRDefault="00F06359" w:rsidP="00F06359">
      <w:pPr>
        <w:pStyle w:val="ListParagraph"/>
        <w:rPr>
          <w:rFonts w:asciiTheme="majorHAnsi" w:hAnsiTheme="majorHAnsi"/>
          <w:sz w:val="20"/>
          <w:szCs w:val="20"/>
          <w:lang w:val="es-ES_tradnl"/>
        </w:rPr>
      </w:pPr>
    </w:p>
    <w:p w14:paraId="7D2F184F" w14:textId="50061260" w:rsidR="0086038A" w:rsidRPr="00221A21" w:rsidRDefault="007E3525" w:rsidP="000C76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Conforme relata el Estado,</w:t>
      </w:r>
      <w:r w:rsidR="00AC0FB1" w:rsidRPr="00221A21">
        <w:rPr>
          <w:rFonts w:asciiTheme="majorHAnsi" w:hAnsiTheme="majorHAnsi"/>
          <w:sz w:val="20"/>
          <w:szCs w:val="20"/>
          <w:lang w:val="es-ES_tradnl"/>
        </w:rPr>
        <w:t xml:space="preserve"> tras recibir el reenvío por parte del Tribunal Superior</w:t>
      </w:r>
      <w:r w:rsidRPr="00221A21">
        <w:rPr>
          <w:rFonts w:asciiTheme="majorHAnsi" w:hAnsiTheme="majorHAnsi"/>
          <w:sz w:val="20"/>
          <w:szCs w:val="20"/>
          <w:lang w:val="es-ES_tradnl"/>
        </w:rPr>
        <w:t xml:space="preserve"> el Tribunal Colegiado de Comodoro Ri</w:t>
      </w:r>
      <w:r w:rsidR="00AC0FB1" w:rsidRPr="00221A21">
        <w:rPr>
          <w:rFonts w:asciiTheme="majorHAnsi" w:hAnsiTheme="majorHAnsi"/>
          <w:sz w:val="20"/>
          <w:szCs w:val="20"/>
          <w:lang w:val="es-ES_tradnl"/>
        </w:rPr>
        <w:t xml:space="preserve">vadavia convocó a una audiencia en la que la presunta víctima y su defensor público tuvieron una nueva oportunidad de insistir en sus planteos. </w:t>
      </w:r>
      <w:r w:rsidR="007C05DE" w:rsidRPr="00221A21">
        <w:rPr>
          <w:rFonts w:asciiTheme="majorHAnsi" w:hAnsiTheme="majorHAnsi"/>
          <w:sz w:val="20"/>
          <w:szCs w:val="20"/>
          <w:lang w:val="es-ES_tradnl"/>
        </w:rPr>
        <w:t>La defensa de la presunta víctima solicitó la inaplicabilidad de la pena de prisión perpetua al caso concreto y</w:t>
      </w:r>
      <w:r w:rsidR="00B050C7" w:rsidRPr="00221A21">
        <w:rPr>
          <w:rFonts w:asciiTheme="majorHAnsi" w:hAnsiTheme="majorHAnsi"/>
          <w:sz w:val="20"/>
          <w:szCs w:val="20"/>
          <w:lang w:val="es-ES_tradnl"/>
        </w:rPr>
        <w:t xml:space="preserve">, en subsidio, que se declarara la inconstitucionalidad del artículo 13 del Código Penal según el cual la persona condenada a prisión perpetua no podría solicitar libertad condicional sino hasta luego de haber cumplido treinta y cinco años de privación de libertad. El 8 de </w:t>
      </w:r>
      <w:r w:rsidR="001C376C" w:rsidRPr="00221A21">
        <w:rPr>
          <w:rFonts w:asciiTheme="majorHAnsi" w:hAnsiTheme="majorHAnsi"/>
          <w:sz w:val="20"/>
          <w:szCs w:val="20"/>
          <w:lang w:val="es-ES_tradnl"/>
        </w:rPr>
        <w:t xml:space="preserve">noviembre </w:t>
      </w:r>
      <w:r w:rsidR="00B050C7" w:rsidRPr="00221A21">
        <w:rPr>
          <w:rFonts w:asciiTheme="majorHAnsi" w:hAnsiTheme="majorHAnsi"/>
          <w:sz w:val="20"/>
          <w:szCs w:val="20"/>
          <w:lang w:val="es-ES_tradnl"/>
        </w:rPr>
        <w:t xml:space="preserve">de 2013 el Tribunal Colegiado </w:t>
      </w:r>
      <w:r w:rsidR="0086038A" w:rsidRPr="00221A21">
        <w:rPr>
          <w:rFonts w:asciiTheme="majorHAnsi" w:hAnsiTheme="majorHAnsi"/>
          <w:sz w:val="20"/>
          <w:szCs w:val="20"/>
          <w:lang w:val="es-ES_tradnl"/>
        </w:rPr>
        <w:t>emitió resolución en la que condenó a la presunta víctima a pena de prisión perpetua</w:t>
      </w:r>
      <w:r w:rsidR="00F20330" w:rsidRPr="00221A21">
        <w:rPr>
          <w:rFonts w:asciiTheme="majorHAnsi" w:hAnsiTheme="majorHAnsi"/>
          <w:sz w:val="20"/>
          <w:szCs w:val="20"/>
          <w:lang w:val="es-ES_tradnl"/>
        </w:rPr>
        <w:t>,</w:t>
      </w:r>
      <w:r w:rsidR="0086038A" w:rsidRPr="00221A21">
        <w:rPr>
          <w:rFonts w:asciiTheme="majorHAnsi" w:hAnsiTheme="majorHAnsi"/>
          <w:sz w:val="20"/>
          <w:szCs w:val="20"/>
          <w:lang w:val="es-ES_tradnl"/>
        </w:rPr>
        <w:t xml:space="preserve"> pero declaró la inconstitucionalidad del artículo 13 del Código Penal por considerar que este establecía un plazo “irracionalmente alto para acceder a la libertad condicional en el caso de los condenados a prisión perpetua”. </w:t>
      </w:r>
    </w:p>
    <w:p w14:paraId="63F4DE9E" w14:textId="77777777" w:rsidR="001C376C" w:rsidRPr="00221A21" w:rsidRDefault="001C376C" w:rsidP="001C376C">
      <w:pPr>
        <w:pStyle w:val="ListParagraph"/>
        <w:rPr>
          <w:rFonts w:asciiTheme="majorHAnsi" w:hAnsiTheme="majorHAnsi"/>
          <w:sz w:val="20"/>
          <w:szCs w:val="20"/>
          <w:lang w:val="es-ES_tradnl"/>
        </w:rPr>
      </w:pPr>
    </w:p>
    <w:p w14:paraId="13FBCBD0" w14:textId="70C70B87" w:rsidR="00F20330" w:rsidRPr="00221A21" w:rsidRDefault="00F20330" w:rsidP="00F203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La decisión referida en el párrafo precedente fue objeto de impugnación ordinaria por parte de la defensa de la presunta víctima</w:t>
      </w:r>
      <w:r w:rsidR="009E3735" w:rsidRPr="00221A21">
        <w:rPr>
          <w:rFonts w:asciiTheme="majorHAnsi" w:hAnsiTheme="majorHAnsi"/>
          <w:sz w:val="20"/>
          <w:szCs w:val="20"/>
          <w:lang w:val="es-ES_tradnl"/>
        </w:rPr>
        <w:t>,</w:t>
      </w:r>
      <w:r w:rsidRPr="00221A21">
        <w:rPr>
          <w:rFonts w:asciiTheme="majorHAnsi" w:hAnsiTheme="majorHAnsi"/>
          <w:sz w:val="20"/>
          <w:szCs w:val="20"/>
          <w:lang w:val="es-ES_tradnl"/>
        </w:rPr>
        <w:t xml:space="preserve"> pero resultó confirmada el 3 de abril de 2014 por la Cámara Penal de Comodoro Rivadavia. También </w:t>
      </w:r>
      <w:r w:rsidR="009E3735" w:rsidRPr="00221A21">
        <w:rPr>
          <w:rFonts w:asciiTheme="majorHAnsi" w:hAnsiTheme="majorHAnsi"/>
          <w:sz w:val="20"/>
          <w:szCs w:val="20"/>
          <w:lang w:val="es-ES_tradnl"/>
        </w:rPr>
        <w:t xml:space="preserve">fue objeto de una impugnación extraordinaria realizada por el Ministerio Público contra la declaratoria de inconstitucionalidad del artículo 13 del Código Penal. Esta impugnación fue hecha a lugar por el Superior Tribunal de Justicia de Chubut quien consideró prematura la declaración de inconstitucionalidad hecha en la resolución impugnada. Contra esta decisión del Superior Tribunal la presunta víctima interpuso un recurso extraordinario federal que resultó desestimado y un recurso de queja por recurso extraordinario federal denegado que fue rechazado por la Corte Suprema el 11 de octubre de 2016. </w:t>
      </w:r>
      <w:r w:rsidR="008C12AE" w:rsidRPr="00221A21">
        <w:rPr>
          <w:rFonts w:asciiTheme="majorHAnsi" w:hAnsiTheme="majorHAnsi"/>
          <w:sz w:val="20"/>
          <w:szCs w:val="20"/>
          <w:lang w:val="es-ES_tradnl"/>
        </w:rPr>
        <w:t xml:space="preserve"> A esto, el Estado añade que la condena contra la presunta víctima quedó en firme recién el 5 de julio de 2017. </w:t>
      </w:r>
    </w:p>
    <w:p w14:paraId="1890BD3A" w14:textId="77777777" w:rsidR="008C12AE" w:rsidRPr="00221A21" w:rsidRDefault="008C12AE" w:rsidP="008C12AE">
      <w:pPr>
        <w:pStyle w:val="ListParagraph"/>
        <w:rPr>
          <w:rFonts w:asciiTheme="majorHAnsi" w:hAnsiTheme="majorHAnsi"/>
          <w:sz w:val="20"/>
          <w:szCs w:val="20"/>
          <w:lang w:val="es-ES_tradnl"/>
        </w:rPr>
      </w:pPr>
    </w:p>
    <w:p w14:paraId="1F12353A" w14:textId="46DA5020" w:rsidR="008C12AE" w:rsidRPr="00221A21" w:rsidRDefault="00467811" w:rsidP="00F203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A juicio del Estado, el que la presunta víctima presentara recursos incluso luego de la presentación de la petición </w:t>
      </w:r>
      <w:r w:rsidR="00F27404" w:rsidRPr="00221A21">
        <w:rPr>
          <w:rFonts w:asciiTheme="majorHAnsi" w:hAnsiTheme="majorHAnsi"/>
          <w:sz w:val="20"/>
          <w:szCs w:val="20"/>
          <w:lang w:val="es-ES_tradnl"/>
        </w:rPr>
        <w:t xml:space="preserve">evidencia que esta debe ser considerada inadmisible por imperio del artículo 46.1(a) de la Convención Americana. En este sentido, el Estado destaca que los recursos en cuestión fueron conocidos por tribunales imparciales e independientes y que incluso algunos de los planteamientos de la defensa de la presunta víctima tuvieron acogida en esas instancias. </w:t>
      </w:r>
    </w:p>
    <w:p w14:paraId="0AFA84E0" w14:textId="77777777" w:rsidR="00F27404" w:rsidRPr="00221A21" w:rsidRDefault="00F27404" w:rsidP="00F27404">
      <w:pPr>
        <w:pStyle w:val="ListParagraph"/>
        <w:rPr>
          <w:rFonts w:asciiTheme="majorHAnsi" w:hAnsiTheme="majorHAnsi"/>
          <w:sz w:val="20"/>
          <w:szCs w:val="20"/>
          <w:lang w:val="es-ES_tradnl"/>
        </w:rPr>
      </w:pPr>
    </w:p>
    <w:p w14:paraId="72A66D6C" w14:textId="29C58254" w:rsidR="00600D0F" w:rsidRPr="00221A21" w:rsidRDefault="00600D0F" w:rsidP="00F203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El Estado también sostiene que la petición no expone hechos que caractericen violaciones a la Convención Americana</w:t>
      </w:r>
      <w:r w:rsidR="006235D9" w:rsidRPr="00221A21">
        <w:rPr>
          <w:rFonts w:asciiTheme="majorHAnsi" w:hAnsiTheme="majorHAnsi"/>
          <w:sz w:val="20"/>
          <w:szCs w:val="20"/>
          <w:lang w:val="es-ES_tradnl"/>
        </w:rPr>
        <w:t>,</w:t>
      </w:r>
      <w:r w:rsidRPr="00221A21">
        <w:rPr>
          <w:rFonts w:asciiTheme="majorHAnsi" w:hAnsiTheme="majorHAnsi"/>
          <w:sz w:val="20"/>
          <w:szCs w:val="20"/>
          <w:lang w:val="es-ES_tradnl"/>
        </w:rPr>
        <w:t xml:space="preserve"> y que se limita a manifestar discrepancia </w:t>
      </w:r>
      <w:r w:rsidR="006235D9" w:rsidRPr="00221A21">
        <w:rPr>
          <w:rFonts w:asciiTheme="majorHAnsi" w:hAnsiTheme="majorHAnsi"/>
          <w:sz w:val="20"/>
          <w:szCs w:val="20"/>
          <w:lang w:val="es-ES_tradnl"/>
        </w:rPr>
        <w:t xml:space="preserve">subjetiva </w:t>
      </w:r>
      <w:r w:rsidRPr="00221A21">
        <w:rPr>
          <w:rFonts w:asciiTheme="majorHAnsi" w:hAnsiTheme="majorHAnsi"/>
          <w:sz w:val="20"/>
          <w:szCs w:val="20"/>
          <w:lang w:val="es-ES_tradnl"/>
        </w:rPr>
        <w:t>de la parte peticionaria con el resultado de una contienda judicial</w:t>
      </w:r>
      <w:r w:rsidR="0048671B" w:rsidRPr="00221A21">
        <w:rPr>
          <w:rFonts w:asciiTheme="majorHAnsi" w:hAnsiTheme="majorHAnsi"/>
          <w:sz w:val="20"/>
          <w:szCs w:val="20"/>
          <w:lang w:val="es-ES_tradnl"/>
        </w:rPr>
        <w:t>; circunstancia que</w:t>
      </w:r>
      <w:r w:rsidR="006235D9" w:rsidRPr="00221A21">
        <w:rPr>
          <w:rFonts w:asciiTheme="majorHAnsi" w:hAnsiTheme="majorHAnsi"/>
          <w:sz w:val="20"/>
          <w:szCs w:val="20"/>
          <w:lang w:val="es-ES_tradnl"/>
        </w:rPr>
        <w:t xml:space="preserve">, a su juicio, haría </w:t>
      </w:r>
      <w:r w:rsidR="0048671B" w:rsidRPr="00221A21">
        <w:rPr>
          <w:rFonts w:asciiTheme="majorHAnsi" w:hAnsiTheme="majorHAnsi"/>
          <w:sz w:val="20"/>
          <w:szCs w:val="20"/>
          <w:lang w:val="es-ES_tradnl"/>
        </w:rPr>
        <w:t xml:space="preserve">a la petición inadmisible conforme a la </w:t>
      </w:r>
      <w:r w:rsidR="006235D9" w:rsidRPr="00221A21">
        <w:rPr>
          <w:rFonts w:asciiTheme="majorHAnsi" w:hAnsiTheme="majorHAnsi"/>
          <w:sz w:val="20"/>
          <w:szCs w:val="20"/>
          <w:lang w:val="es-ES_tradnl"/>
        </w:rPr>
        <w:t xml:space="preserve">denominada </w:t>
      </w:r>
      <w:r w:rsidR="0048671B" w:rsidRPr="00221A21">
        <w:rPr>
          <w:rFonts w:asciiTheme="majorHAnsi" w:hAnsiTheme="majorHAnsi"/>
          <w:sz w:val="20"/>
          <w:szCs w:val="20"/>
          <w:lang w:val="es-ES_tradnl"/>
        </w:rPr>
        <w:t xml:space="preserve">doctrina de la “cuarta instancia”. </w:t>
      </w:r>
      <w:r w:rsidR="00F27404" w:rsidRPr="00221A21">
        <w:rPr>
          <w:rFonts w:asciiTheme="majorHAnsi" w:hAnsiTheme="majorHAnsi"/>
          <w:sz w:val="20"/>
          <w:szCs w:val="20"/>
          <w:lang w:val="es-ES_tradnl"/>
        </w:rPr>
        <w:t>E</w:t>
      </w:r>
      <w:r w:rsidR="0048671B" w:rsidRPr="00221A21">
        <w:rPr>
          <w:rFonts w:asciiTheme="majorHAnsi" w:hAnsiTheme="majorHAnsi"/>
          <w:sz w:val="20"/>
          <w:szCs w:val="20"/>
          <w:lang w:val="es-ES_tradnl"/>
        </w:rPr>
        <w:t xml:space="preserve">n este sentido, el Estado argumenta que </w:t>
      </w:r>
      <w:r w:rsidR="00F27404" w:rsidRPr="00221A21">
        <w:rPr>
          <w:rFonts w:asciiTheme="majorHAnsi" w:hAnsiTheme="majorHAnsi"/>
          <w:sz w:val="20"/>
          <w:szCs w:val="20"/>
          <w:lang w:val="es-ES_tradnl"/>
        </w:rPr>
        <w:t xml:space="preserve">el que la presunta víctima haya podido presentar recursos adicionales </w:t>
      </w:r>
      <w:r w:rsidR="00B84304" w:rsidRPr="00221A21">
        <w:rPr>
          <w:rFonts w:asciiTheme="majorHAnsi" w:hAnsiTheme="majorHAnsi"/>
          <w:sz w:val="20"/>
          <w:szCs w:val="20"/>
          <w:lang w:val="es-ES_tradnl"/>
        </w:rPr>
        <w:t>luego de su condena por homicidio calificado contradice la alegada violación al derecho contemplado en el artículo 8.2(h) de la Convención Americana.</w:t>
      </w:r>
      <w:r w:rsidRPr="00221A21">
        <w:rPr>
          <w:rFonts w:asciiTheme="majorHAnsi" w:hAnsiTheme="majorHAnsi"/>
          <w:sz w:val="20"/>
          <w:szCs w:val="20"/>
          <w:lang w:val="es-ES_tradnl"/>
        </w:rPr>
        <w:t xml:space="preserve"> </w:t>
      </w:r>
      <w:r w:rsidR="00A3035E" w:rsidRPr="00221A21">
        <w:rPr>
          <w:rFonts w:asciiTheme="majorHAnsi" w:hAnsiTheme="majorHAnsi"/>
          <w:sz w:val="20"/>
          <w:szCs w:val="20"/>
          <w:lang w:val="es-ES_tradnl"/>
        </w:rPr>
        <w:t>Es</w:t>
      </w:r>
      <w:r w:rsidR="003D5EAE" w:rsidRPr="00221A21">
        <w:rPr>
          <w:rFonts w:asciiTheme="majorHAnsi" w:hAnsiTheme="majorHAnsi"/>
          <w:sz w:val="20"/>
          <w:szCs w:val="20"/>
          <w:lang w:val="es-ES_tradnl"/>
        </w:rPr>
        <w:t>to puesto que tras el cambio de calificación del hecho delictivo la presunta víctima tuvo acceso a un</w:t>
      </w:r>
      <w:r w:rsidR="0076239A" w:rsidRPr="00221A21">
        <w:rPr>
          <w:rFonts w:asciiTheme="majorHAnsi" w:hAnsiTheme="majorHAnsi"/>
          <w:sz w:val="20"/>
          <w:szCs w:val="20"/>
          <w:lang w:val="es-ES_tradnl"/>
        </w:rPr>
        <w:t xml:space="preserve"> nuevo juicio para la determinación de la pena a aplicársele. </w:t>
      </w:r>
    </w:p>
    <w:p w14:paraId="75C0B10E" w14:textId="77777777" w:rsidR="00600D0F" w:rsidRPr="00221A21" w:rsidRDefault="00600D0F" w:rsidP="00600D0F">
      <w:pPr>
        <w:pStyle w:val="ListParagraph"/>
        <w:rPr>
          <w:rFonts w:asciiTheme="majorHAnsi" w:hAnsiTheme="majorHAnsi"/>
          <w:sz w:val="20"/>
          <w:szCs w:val="20"/>
          <w:lang w:val="es-ES_tradnl"/>
        </w:rPr>
      </w:pPr>
    </w:p>
    <w:p w14:paraId="4040A4AE" w14:textId="00A9DF3D" w:rsidR="00F27404" w:rsidRPr="00221A21" w:rsidRDefault="00B84304" w:rsidP="00F203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 </w:t>
      </w:r>
      <w:r w:rsidR="008D6733" w:rsidRPr="00221A21">
        <w:rPr>
          <w:rFonts w:asciiTheme="majorHAnsi" w:hAnsiTheme="majorHAnsi"/>
          <w:sz w:val="20"/>
          <w:szCs w:val="20"/>
          <w:lang w:val="es-ES_tradnl"/>
        </w:rPr>
        <w:t xml:space="preserve">El Estado destaca </w:t>
      </w:r>
      <w:r w:rsidR="0048671B" w:rsidRPr="00221A21">
        <w:rPr>
          <w:rFonts w:asciiTheme="majorHAnsi" w:hAnsiTheme="majorHAnsi"/>
          <w:sz w:val="20"/>
          <w:szCs w:val="20"/>
          <w:lang w:val="es-ES_tradnl"/>
        </w:rPr>
        <w:t xml:space="preserve">además </w:t>
      </w:r>
      <w:r w:rsidR="008D6733" w:rsidRPr="00221A21">
        <w:rPr>
          <w:rFonts w:asciiTheme="majorHAnsi" w:hAnsiTheme="majorHAnsi"/>
          <w:sz w:val="20"/>
          <w:szCs w:val="20"/>
          <w:lang w:val="es-ES_tradnl"/>
        </w:rPr>
        <w:t xml:space="preserve">que la presunta víctima fue </w:t>
      </w:r>
      <w:r w:rsidR="00470D83" w:rsidRPr="00221A21">
        <w:rPr>
          <w:rFonts w:asciiTheme="majorHAnsi" w:hAnsiTheme="majorHAnsi"/>
          <w:sz w:val="20"/>
          <w:szCs w:val="20"/>
          <w:lang w:val="es-ES_tradnl"/>
        </w:rPr>
        <w:t>condenada</w:t>
      </w:r>
      <w:r w:rsidR="008D6733" w:rsidRPr="00221A21">
        <w:rPr>
          <w:rFonts w:asciiTheme="majorHAnsi" w:hAnsiTheme="majorHAnsi"/>
          <w:sz w:val="20"/>
          <w:szCs w:val="20"/>
          <w:lang w:val="es-ES_tradnl"/>
        </w:rPr>
        <w:t xml:space="preserve"> como autor de un homicidio y que esa condena fue luego revisada y confirmada por un tribunal diferente respetándose así su derecho a un “</w:t>
      </w:r>
      <w:r w:rsidR="008D6733" w:rsidRPr="00221A21">
        <w:rPr>
          <w:rFonts w:asciiTheme="majorHAnsi" w:hAnsiTheme="majorHAnsi"/>
          <w:i/>
          <w:iCs/>
          <w:sz w:val="20"/>
          <w:szCs w:val="20"/>
          <w:lang w:val="es-ES_tradnl"/>
        </w:rPr>
        <w:t>doble conforme</w:t>
      </w:r>
      <w:r w:rsidR="008D6733" w:rsidRPr="00221A21">
        <w:rPr>
          <w:rFonts w:asciiTheme="majorHAnsi" w:hAnsiTheme="majorHAnsi"/>
          <w:sz w:val="20"/>
          <w:szCs w:val="20"/>
          <w:lang w:val="es-ES_tradnl"/>
        </w:rPr>
        <w:t xml:space="preserve">” respecto a la materialidad del hecho y la responsabilidad criminal por él. </w:t>
      </w:r>
      <w:r w:rsidR="006B77EA" w:rsidRPr="00221A21">
        <w:rPr>
          <w:rFonts w:asciiTheme="majorHAnsi" w:hAnsiTheme="majorHAnsi"/>
          <w:sz w:val="20"/>
          <w:szCs w:val="20"/>
          <w:lang w:val="es-ES_tradnl"/>
        </w:rPr>
        <w:t>E</w:t>
      </w:r>
      <w:r w:rsidR="00600D0F" w:rsidRPr="00221A21">
        <w:rPr>
          <w:rFonts w:asciiTheme="majorHAnsi" w:hAnsiTheme="majorHAnsi"/>
          <w:sz w:val="20"/>
          <w:szCs w:val="20"/>
          <w:lang w:val="es-ES_tradnl"/>
        </w:rPr>
        <w:t xml:space="preserve">l Estado reconoce que </w:t>
      </w:r>
      <w:r w:rsidR="006B77EA" w:rsidRPr="00221A21">
        <w:rPr>
          <w:rFonts w:asciiTheme="majorHAnsi" w:hAnsiTheme="majorHAnsi"/>
          <w:sz w:val="20"/>
          <w:szCs w:val="20"/>
          <w:lang w:val="es-ES_tradnl"/>
        </w:rPr>
        <w:t xml:space="preserve">un tribunal superior decidió modificar la calificación </w:t>
      </w:r>
      <w:r w:rsidR="00600D0F" w:rsidRPr="00221A21">
        <w:rPr>
          <w:rFonts w:asciiTheme="majorHAnsi" w:hAnsiTheme="majorHAnsi"/>
          <w:sz w:val="20"/>
          <w:szCs w:val="20"/>
          <w:lang w:val="es-ES_tradnl"/>
        </w:rPr>
        <w:t xml:space="preserve">jurídica del hecho por el que se condenó a la presunta víctima y que, en abstracto, la sentencia de ese superior tribunal no admitía recurso ordinario por parte del imputado. Sin embargo, resalta que la discusión sobre la calificación jurídica que debía aplicarse al caso estuvo presente </w:t>
      </w:r>
      <w:r w:rsidR="00A47F17" w:rsidRPr="00221A21">
        <w:rPr>
          <w:rFonts w:asciiTheme="majorHAnsi" w:hAnsiTheme="majorHAnsi"/>
          <w:sz w:val="20"/>
          <w:szCs w:val="20"/>
          <w:lang w:val="es-ES_tradnl"/>
        </w:rPr>
        <w:t xml:space="preserve">desde la acusación y fue objeto de amplia revisión a lo largo de todo el proceso penal. </w:t>
      </w:r>
    </w:p>
    <w:p w14:paraId="107D3C23" w14:textId="77777777" w:rsidR="003D1FDE" w:rsidRPr="00221A21" w:rsidRDefault="003D1FDE" w:rsidP="003D1FDE">
      <w:pPr>
        <w:pStyle w:val="ListParagraph"/>
        <w:rPr>
          <w:rFonts w:asciiTheme="majorHAnsi" w:hAnsiTheme="majorHAnsi"/>
          <w:sz w:val="20"/>
          <w:szCs w:val="20"/>
          <w:lang w:val="es-ES_tradnl"/>
        </w:rPr>
      </w:pPr>
    </w:p>
    <w:p w14:paraId="595AEE85" w14:textId="47AF0138" w:rsidR="003D1FDE" w:rsidRPr="00221A21" w:rsidRDefault="003D1FDE" w:rsidP="00F203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lastRenderedPageBreak/>
        <w:t xml:space="preserve">Explica también el Estado que para arribar a la calificación jurídica de homicidio calificado el Superior Tribunal no realzó una valoración probatoria diferente a la que efectuó el tribunal de juicio, sino que simplemente </w:t>
      </w:r>
      <w:r w:rsidR="00816C16" w:rsidRPr="00221A21">
        <w:rPr>
          <w:rFonts w:asciiTheme="majorHAnsi" w:hAnsiTheme="majorHAnsi"/>
          <w:sz w:val="20"/>
          <w:szCs w:val="20"/>
          <w:lang w:val="es-ES_tradnl"/>
        </w:rPr>
        <w:t>subsanó un error que había ocurrido en la calificación</w:t>
      </w:r>
      <w:r w:rsidRPr="00221A21">
        <w:rPr>
          <w:rFonts w:asciiTheme="majorHAnsi" w:hAnsiTheme="majorHAnsi"/>
          <w:sz w:val="20"/>
          <w:szCs w:val="20"/>
          <w:lang w:val="es-ES_tradnl"/>
        </w:rPr>
        <w:t xml:space="preserve"> jurídica </w:t>
      </w:r>
      <w:r w:rsidR="00816C16" w:rsidRPr="00221A21">
        <w:rPr>
          <w:rFonts w:asciiTheme="majorHAnsi" w:hAnsiTheme="majorHAnsi"/>
          <w:sz w:val="20"/>
          <w:szCs w:val="20"/>
          <w:lang w:val="es-ES_tradnl"/>
        </w:rPr>
        <w:t xml:space="preserve">de los hechos que habían sido dados por acreditados por el Tribunal de Mérito. </w:t>
      </w:r>
      <w:r w:rsidRPr="00221A21">
        <w:rPr>
          <w:rFonts w:asciiTheme="majorHAnsi" w:hAnsiTheme="majorHAnsi"/>
          <w:sz w:val="20"/>
          <w:szCs w:val="20"/>
          <w:lang w:val="es-ES_tradnl"/>
        </w:rPr>
        <w:t xml:space="preserve">Por lo tanto, no se produjo una valoración probatoria nueva </w:t>
      </w:r>
      <w:r w:rsidR="00982926" w:rsidRPr="00221A21">
        <w:rPr>
          <w:rFonts w:asciiTheme="majorHAnsi" w:hAnsiTheme="majorHAnsi"/>
          <w:sz w:val="20"/>
          <w:szCs w:val="20"/>
          <w:lang w:val="es-ES_tradnl"/>
        </w:rPr>
        <w:t xml:space="preserve">contra la que la presunta víctima quedara carente de recursos. </w:t>
      </w:r>
      <w:r w:rsidR="00915722" w:rsidRPr="00221A21">
        <w:rPr>
          <w:rFonts w:asciiTheme="majorHAnsi" w:hAnsiTheme="majorHAnsi"/>
          <w:sz w:val="20"/>
          <w:szCs w:val="20"/>
          <w:lang w:val="es-ES_tradnl"/>
        </w:rPr>
        <w:t xml:space="preserve">Por lo tanto, el Estado considera que, aunque la sentencia del Superior Tribunal implicó colocar a la presunta víctima en una situación más gravosa que la que se encontraba previamente, aquella no puede considerar una nueva condena que justifique un nuevo recurso amplio en los términos del artículo 8.2(h) de la Convención Americana. A juicio del Estado, el artículo 8.2(h) no puede interpretarse, abstractamente y de modo mecánico, en un sentido que implique que cada resolución más gravosa para la persona imputada </w:t>
      </w:r>
      <w:r w:rsidR="00A3035E" w:rsidRPr="00221A21">
        <w:rPr>
          <w:rFonts w:asciiTheme="majorHAnsi" w:hAnsiTheme="majorHAnsi"/>
          <w:sz w:val="20"/>
          <w:szCs w:val="20"/>
          <w:lang w:val="es-ES_tradnl"/>
        </w:rPr>
        <w:t xml:space="preserve">constituya una nueva condena contra la que se exija un recurso amplio. </w:t>
      </w:r>
    </w:p>
    <w:p w14:paraId="056B3893" w14:textId="77777777" w:rsidR="00F20330" w:rsidRPr="00221A21" w:rsidRDefault="00F20330" w:rsidP="006235D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F4D4171" w14:textId="03016921" w:rsidR="003239B8" w:rsidRPr="00221A21"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r w:rsidRPr="00221A21">
        <w:rPr>
          <w:rFonts w:asciiTheme="majorHAnsi" w:eastAsia="Cambria" w:hAnsiTheme="majorHAnsi" w:cs="Cambria"/>
          <w:b/>
          <w:bCs/>
          <w:color w:val="000000"/>
          <w:sz w:val="20"/>
          <w:szCs w:val="20"/>
          <w:u w:color="000000"/>
          <w:lang w:val="es-ES_tradnl" w:eastAsia="es-ES"/>
        </w:rPr>
        <w:t>VI.</w:t>
      </w:r>
      <w:r w:rsidRPr="00221A21">
        <w:rPr>
          <w:rFonts w:asciiTheme="majorHAnsi" w:eastAsia="Cambria" w:hAnsiTheme="majorHAnsi" w:cs="Cambria"/>
          <w:b/>
          <w:bCs/>
          <w:color w:val="000000"/>
          <w:sz w:val="20"/>
          <w:szCs w:val="20"/>
          <w:u w:color="000000"/>
          <w:lang w:val="es-ES_tradnl" w:eastAsia="es-ES"/>
        </w:rPr>
        <w:tab/>
      </w:r>
      <w:r w:rsidR="004A6A54" w:rsidRPr="00221A21">
        <w:rPr>
          <w:rFonts w:asciiTheme="majorHAnsi" w:hAnsiTheme="majorHAnsi"/>
          <w:b/>
          <w:bCs/>
          <w:sz w:val="20"/>
          <w:szCs w:val="20"/>
          <w:lang w:val="es-ES_tradnl"/>
        </w:rPr>
        <w:t xml:space="preserve">ANÁLISIS DE </w:t>
      </w:r>
      <w:r w:rsidR="00C21FEF" w:rsidRPr="00221A21">
        <w:rPr>
          <w:rFonts w:asciiTheme="majorHAnsi" w:hAnsiTheme="majorHAnsi"/>
          <w:b/>
          <w:sz w:val="20"/>
          <w:szCs w:val="20"/>
          <w:lang w:val="es-ES_tradnl"/>
        </w:rPr>
        <w:t>AGOTAMIENTO DE LOS RECURSOS INTERNOS Y PLAZO DE PRESENTACIÓN</w:t>
      </w:r>
      <w:r w:rsidR="00C21FEF" w:rsidRPr="00221A21">
        <w:rPr>
          <w:rFonts w:asciiTheme="majorHAnsi" w:eastAsia="Cambria" w:hAnsiTheme="majorHAnsi" w:cs="Cambria"/>
          <w:b/>
          <w:bCs/>
          <w:color w:val="000000"/>
          <w:sz w:val="20"/>
          <w:szCs w:val="20"/>
          <w:u w:color="000000"/>
          <w:lang w:val="es-ES_tradnl" w:eastAsia="es-ES"/>
        </w:rPr>
        <w:t xml:space="preserve"> </w:t>
      </w:r>
    </w:p>
    <w:p w14:paraId="7C6FC7AA" w14:textId="77777777" w:rsidR="0076239A" w:rsidRPr="00221A21" w:rsidRDefault="0076239A" w:rsidP="009201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2A7761D6" w14:textId="79F19877" w:rsidR="0076239A" w:rsidRPr="00221A21" w:rsidRDefault="005407EF" w:rsidP="007623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221A21">
        <w:rPr>
          <w:rFonts w:asciiTheme="majorHAnsi" w:hAnsiTheme="majorHAnsi"/>
          <w:bCs/>
          <w:sz w:val="20"/>
          <w:szCs w:val="20"/>
          <w:lang w:val="es-ES_tradnl"/>
        </w:rPr>
        <w:t>Para determinar la vía procesal adecuada que debía ser agotada a nivel doméstico para dar cumplimiento al requisito de agotamiento de los recursos internos la Comisión debe identificar preliminarmente el objeto de la petición presentada a su conocimiento</w:t>
      </w:r>
      <w:r w:rsidRPr="00221A21">
        <w:rPr>
          <w:rStyle w:val="FootnoteReference"/>
          <w:rFonts w:asciiTheme="majorHAnsi" w:hAnsiTheme="majorHAnsi" w:cs="Calibri"/>
          <w:sz w:val="20"/>
          <w:szCs w:val="20"/>
          <w:lang w:val="es-ES_tradnl"/>
        </w:rPr>
        <w:footnoteReference w:id="4"/>
      </w:r>
      <w:r w:rsidRPr="00221A21">
        <w:rPr>
          <w:rFonts w:asciiTheme="majorHAnsi" w:hAnsiTheme="majorHAnsi" w:cs="Calibri"/>
          <w:sz w:val="20"/>
          <w:szCs w:val="20"/>
          <w:lang w:val="es-ES_tradnl"/>
        </w:rPr>
        <w:t>.</w:t>
      </w:r>
      <w:r w:rsidRPr="00221A21">
        <w:rPr>
          <w:rFonts w:asciiTheme="majorHAnsi" w:hAnsiTheme="majorHAnsi"/>
          <w:bCs/>
          <w:sz w:val="20"/>
          <w:szCs w:val="20"/>
          <w:lang w:val="es-ES_tradnl"/>
        </w:rPr>
        <w:t xml:space="preserve"> La Comisión entiende que el objeto de la presente petición es reclamar porque </w:t>
      </w:r>
      <w:r w:rsidR="00221A21" w:rsidRPr="00221A21">
        <w:rPr>
          <w:rFonts w:asciiTheme="majorHAnsi" w:hAnsiTheme="majorHAnsi"/>
          <w:bCs/>
          <w:sz w:val="20"/>
          <w:szCs w:val="20"/>
          <w:lang w:val="es-ES_tradnl"/>
        </w:rPr>
        <w:t>el Sr. Moreyra Cironi</w:t>
      </w:r>
      <w:r w:rsidRPr="00221A21">
        <w:rPr>
          <w:rFonts w:asciiTheme="majorHAnsi" w:hAnsiTheme="majorHAnsi"/>
          <w:bCs/>
          <w:sz w:val="20"/>
          <w:szCs w:val="20"/>
          <w:lang w:val="es-ES_tradnl"/>
        </w:rPr>
        <w:t xml:space="preserve"> no tuvo acceso a un recurso ordinario que permitiera la revisión integral de la sentencia que reemplazó su condena por homicidio simple con una por homicidio calificado. </w:t>
      </w:r>
    </w:p>
    <w:p w14:paraId="5D0C4A5C" w14:textId="77777777" w:rsidR="005407EF" w:rsidRPr="00221A21" w:rsidRDefault="005407EF" w:rsidP="005407EF">
      <w:pPr>
        <w:pStyle w:val="ListParagraph"/>
        <w:rPr>
          <w:rFonts w:asciiTheme="majorHAnsi" w:hAnsiTheme="majorHAnsi"/>
          <w:b/>
          <w:sz w:val="20"/>
          <w:szCs w:val="20"/>
          <w:lang w:val="es-ES_tradnl"/>
        </w:rPr>
      </w:pPr>
    </w:p>
    <w:p w14:paraId="17D18C9E" w14:textId="5B59B631" w:rsidR="005407EF" w:rsidRPr="00221A21" w:rsidRDefault="005407EF" w:rsidP="007623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221A21">
        <w:rPr>
          <w:rFonts w:asciiTheme="majorHAnsi" w:hAnsiTheme="majorHAnsi"/>
          <w:bCs/>
          <w:sz w:val="20"/>
          <w:szCs w:val="20"/>
          <w:lang w:val="es-ES_tradnl"/>
        </w:rPr>
        <w:t xml:space="preserve">Surge del expediente que la sentencia que estableció la condena por homicidio calificado fue proferida por </w:t>
      </w:r>
      <w:r w:rsidR="003875BC" w:rsidRPr="00221A21">
        <w:rPr>
          <w:rFonts w:asciiTheme="majorHAnsi" w:hAnsiTheme="majorHAnsi"/>
          <w:sz w:val="20"/>
          <w:szCs w:val="20"/>
          <w:lang w:val="es-ES_tradnl"/>
        </w:rPr>
        <w:t xml:space="preserve">el 9 de abril de 2013 el Superior Tribunal de Justicia de la Provincia de Chubut. Contra esa sentencia no procedían recursos ordinarios por lo que </w:t>
      </w:r>
      <w:r w:rsidR="00221A21" w:rsidRPr="00221A21">
        <w:rPr>
          <w:rFonts w:asciiTheme="majorHAnsi" w:hAnsiTheme="majorHAnsi"/>
          <w:bCs/>
          <w:sz w:val="20"/>
          <w:szCs w:val="20"/>
          <w:lang w:val="es-ES_tradnl"/>
        </w:rPr>
        <w:t xml:space="preserve">el Sr. Moreyra Cironi </w:t>
      </w:r>
      <w:r w:rsidR="003875BC" w:rsidRPr="00221A21">
        <w:rPr>
          <w:rFonts w:asciiTheme="majorHAnsi" w:hAnsiTheme="majorHAnsi"/>
          <w:sz w:val="20"/>
          <w:szCs w:val="20"/>
          <w:lang w:val="es-ES_tradnl"/>
        </w:rPr>
        <w:t xml:space="preserve">interpuso un recurso extraordinario federal </w:t>
      </w:r>
      <w:r w:rsidR="005B707C" w:rsidRPr="00221A21">
        <w:rPr>
          <w:rFonts w:asciiTheme="majorHAnsi" w:hAnsiTheme="majorHAnsi"/>
          <w:sz w:val="20"/>
          <w:szCs w:val="20"/>
          <w:lang w:val="es-ES_tradnl"/>
        </w:rPr>
        <w:t xml:space="preserve">el cual el 10 de junio de 2013 resultó no concedido por el Tribunal de Justicia de la Provincia de Chubut.  determinó no conceder el recurso extraordinario federal en cuestión. Luego, la defensa de </w:t>
      </w:r>
      <w:r w:rsidR="00221A21" w:rsidRPr="00221A21">
        <w:rPr>
          <w:rFonts w:asciiTheme="majorHAnsi" w:hAnsiTheme="majorHAnsi"/>
          <w:sz w:val="20"/>
          <w:szCs w:val="20"/>
          <w:lang w:val="es-ES_tradnl"/>
        </w:rPr>
        <w:t>aquel</w:t>
      </w:r>
      <w:r w:rsidR="005B707C" w:rsidRPr="00221A21">
        <w:rPr>
          <w:rFonts w:asciiTheme="majorHAnsi" w:hAnsiTheme="majorHAnsi"/>
          <w:sz w:val="20"/>
          <w:szCs w:val="20"/>
          <w:lang w:val="es-ES_tradnl"/>
        </w:rPr>
        <w:t xml:space="preserve"> interpuso un recurso de queja contra la denegación de su recurso extraordinario federal, siendo la queja rechazada por la Corte Suprema de Justicia el 7 de abril de 2015 en decisión notificada a la representación </w:t>
      </w:r>
      <w:r w:rsidR="00221A21" w:rsidRPr="00221A21">
        <w:rPr>
          <w:rFonts w:asciiTheme="majorHAnsi" w:hAnsiTheme="majorHAnsi"/>
          <w:sz w:val="20"/>
          <w:szCs w:val="20"/>
          <w:lang w:val="es-ES_tradnl"/>
        </w:rPr>
        <w:t>d</w:t>
      </w:r>
      <w:r w:rsidR="00221A21" w:rsidRPr="00221A21">
        <w:rPr>
          <w:rFonts w:asciiTheme="majorHAnsi" w:hAnsiTheme="majorHAnsi"/>
          <w:bCs/>
          <w:sz w:val="20"/>
          <w:szCs w:val="20"/>
          <w:lang w:val="es-ES_tradnl"/>
        </w:rPr>
        <w:t xml:space="preserve">el Sr. Moreyra Cironi </w:t>
      </w:r>
      <w:r w:rsidR="005B707C" w:rsidRPr="00221A21">
        <w:rPr>
          <w:rFonts w:asciiTheme="majorHAnsi" w:hAnsiTheme="majorHAnsi"/>
          <w:sz w:val="20"/>
          <w:szCs w:val="20"/>
          <w:lang w:val="es-ES_tradnl"/>
        </w:rPr>
        <w:t xml:space="preserve">el 11 de mayo de 2015. </w:t>
      </w:r>
    </w:p>
    <w:p w14:paraId="2CB1D5C0" w14:textId="77777777" w:rsidR="00D07E2F" w:rsidRPr="00221A21" w:rsidRDefault="00D07E2F" w:rsidP="00D07E2F">
      <w:pPr>
        <w:pStyle w:val="ListParagraph"/>
        <w:rPr>
          <w:rFonts w:asciiTheme="majorHAnsi" w:hAnsiTheme="majorHAnsi"/>
          <w:b/>
          <w:sz w:val="20"/>
          <w:szCs w:val="20"/>
          <w:lang w:val="es-ES_tradnl"/>
        </w:rPr>
      </w:pPr>
    </w:p>
    <w:p w14:paraId="44DEA6CD" w14:textId="2F5F7129" w:rsidR="00D07E2F" w:rsidRPr="00221A21" w:rsidRDefault="00D07E2F" w:rsidP="007623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221A21">
        <w:rPr>
          <w:rFonts w:asciiTheme="majorHAnsi" w:hAnsiTheme="majorHAnsi"/>
          <w:bCs/>
          <w:sz w:val="20"/>
          <w:szCs w:val="20"/>
          <w:lang w:val="es-ES_tradnl"/>
        </w:rPr>
        <w:t xml:space="preserve">El Estado ha hecho referencia a una serie de recursos interpuestos por </w:t>
      </w:r>
      <w:r w:rsidR="00221A21" w:rsidRPr="00221A21">
        <w:rPr>
          <w:rFonts w:asciiTheme="majorHAnsi" w:hAnsiTheme="majorHAnsi"/>
          <w:bCs/>
          <w:sz w:val="20"/>
          <w:szCs w:val="20"/>
          <w:lang w:val="es-ES_tradnl"/>
        </w:rPr>
        <w:t xml:space="preserve">el Sr. Moreyra Cironi </w:t>
      </w:r>
      <w:r w:rsidRPr="00221A21">
        <w:rPr>
          <w:rFonts w:asciiTheme="majorHAnsi" w:hAnsiTheme="majorHAnsi"/>
          <w:bCs/>
          <w:sz w:val="20"/>
          <w:szCs w:val="20"/>
          <w:lang w:val="es-ES_tradnl"/>
        </w:rPr>
        <w:t xml:space="preserve">en relación con la fijación de la pena a serle aplicada por su condena por homicidio calificado, algunos de los cuales se presentaron con posterioridad a la presentación de la petición. La Comisión estima que estos recursos no son relevantes para el análisis de admisibilidad puesto que </w:t>
      </w:r>
      <w:r w:rsidR="00E8086F" w:rsidRPr="00221A21">
        <w:rPr>
          <w:rFonts w:asciiTheme="majorHAnsi" w:hAnsiTheme="majorHAnsi"/>
          <w:bCs/>
          <w:sz w:val="20"/>
          <w:szCs w:val="20"/>
          <w:lang w:val="es-ES_tradnl"/>
        </w:rPr>
        <w:t xml:space="preserve">no guardan relación con el objeto de la petición. En todo caso, la Comisión ha sostenido reiteradamente que la situación que debe tomarse en cuenta para establecer si se han agotado los recursos internos es aquella existente al momento de decidir sobre la admisibilidad. </w:t>
      </w:r>
      <w:r w:rsidR="00030ECF" w:rsidRPr="00221A21">
        <w:rPr>
          <w:rFonts w:asciiTheme="majorHAnsi" w:hAnsiTheme="majorHAnsi"/>
          <w:bCs/>
          <w:sz w:val="20"/>
          <w:szCs w:val="20"/>
          <w:lang w:val="es-ES_tradnl"/>
        </w:rPr>
        <w:t xml:space="preserve">En el presente caso, el Estado no ha indicado ni surge del expediente que existan recursos adicionales no agotados que pudieran ser idóneos para solicitar a nivel doméstico la revisión de la condena proferida contra </w:t>
      </w:r>
      <w:r w:rsidR="00221A21" w:rsidRPr="00221A21">
        <w:rPr>
          <w:rFonts w:asciiTheme="majorHAnsi" w:hAnsiTheme="majorHAnsi"/>
          <w:bCs/>
          <w:sz w:val="20"/>
          <w:szCs w:val="20"/>
          <w:lang w:val="es-ES_tradnl"/>
        </w:rPr>
        <w:t xml:space="preserve">el Sr. Moreyra Cironi </w:t>
      </w:r>
      <w:r w:rsidR="00030ECF" w:rsidRPr="00221A21">
        <w:rPr>
          <w:rFonts w:asciiTheme="majorHAnsi" w:hAnsiTheme="majorHAnsi"/>
          <w:bCs/>
          <w:sz w:val="20"/>
          <w:szCs w:val="20"/>
          <w:lang w:val="es-ES_tradnl"/>
        </w:rPr>
        <w:t xml:space="preserve">o la pena impuesta a este. </w:t>
      </w:r>
    </w:p>
    <w:p w14:paraId="2C0EDE49" w14:textId="77777777" w:rsidR="00030ECF" w:rsidRPr="00221A21" w:rsidRDefault="00030ECF" w:rsidP="00030ECF">
      <w:pPr>
        <w:pStyle w:val="ListParagraph"/>
        <w:rPr>
          <w:rFonts w:asciiTheme="majorHAnsi" w:hAnsiTheme="majorHAnsi"/>
          <w:b/>
          <w:sz w:val="20"/>
          <w:szCs w:val="20"/>
          <w:lang w:val="es-ES_tradnl"/>
        </w:rPr>
      </w:pPr>
    </w:p>
    <w:p w14:paraId="45C4DAE8" w14:textId="5A95F03D" w:rsidR="00030ECF" w:rsidRPr="00221A21" w:rsidRDefault="00030ECF" w:rsidP="007623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221A21">
        <w:rPr>
          <w:rFonts w:asciiTheme="majorHAnsi" w:hAnsiTheme="majorHAnsi"/>
          <w:bCs/>
          <w:sz w:val="20"/>
          <w:szCs w:val="20"/>
          <w:lang w:val="es-ES_tradnl"/>
        </w:rPr>
        <w:t xml:space="preserve">Por las razones expuestas, la Comisión concluye que la decisión definitiva de la justicia doméstica con respecto a la materia objeto de la petición fue aquella por la que la Corte Suprema de Justicia rechazó el recurso de queja interpuesto contra la denegatoria del recurso extraordinario federal presentado contra la sentencia que condenó </w:t>
      </w:r>
      <w:r w:rsidR="00221A21" w:rsidRPr="00221A21">
        <w:rPr>
          <w:rFonts w:asciiTheme="majorHAnsi" w:hAnsiTheme="majorHAnsi"/>
          <w:bCs/>
          <w:sz w:val="20"/>
          <w:szCs w:val="20"/>
          <w:lang w:val="es-ES_tradnl"/>
        </w:rPr>
        <w:t xml:space="preserve">al Sr. Moreyra Cironi </w:t>
      </w:r>
      <w:r w:rsidRPr="00221A21">
        <w:rPr>
          <w:rFonts w:asciiTheme="majorHAnsi" w:hAnsiTheme="majorHAnsi"/>
          <w:bCs/>
          <w:sz w:val="20"/>
          <w:szCs w:val="20"/>
          <w:lang w:val="es-ES_tradnl"/>
        </w:rPr>
        <w:t xml:space="preserve">por homicidio calificado. </w:t>
      </w:r>
      <w:r w:rsidR="001B49DD" w:rsidRPr="00221A21">
        <w:rPr>
          <w:rFonts w:asciiTheme="majorHAnsi" w:hAnsiTheme="majorHAnsi"/>
          <w:bCs/>
          <w:sz w:val="20"/>
          <w:szCs w:val="20"/>
          <w:lang w:val="es-ES_tradnl"/>
        </w:rPr>
        <w:t xml:space="preserve">Por lo tanto, y dado que esa decisión fue notificada a la representación de </w:t>
      </w:r>
      <w:r w:rsidR="00221A21" w:rsidRPr="00221A21">
        <w:rPr>
          <w:rFonts w:asciiTheme="majorHAnsi" w:hAnsiTheme="majorHAnsi"/>
          <w:bCs/>
          <w:sz w:val="20"/>
          <w:szCs w:val="20"/>
          <w:lang w:val="es-ES_tradnl"/>
        </w:rPr>
        <w:t>este</w:t>
      </w:r>
      <w:r w:rsidR="001B49DD" w:rsidRPr="00221A21">
        <w:rPr>
          <w:rFonts w:asciiTheme="majorHAnsi" w:hAnsiTheme="majorHAnsi"/>
          <w:bCs/>
          <w:sz w:val="20"/>
          <w:szCs w:val="20"/>
          <w:lang w:val="es-ES_tradnl"/>
        </w:rPr>
        <w:t xml:space="preserve"> el 11 de mayo de 2015 y la petición presentada el 21 de octubre de 2015, la Comisión concluye que la presente petición cumple con los requisitos del artículo 46.1(a) y (b) de la Convención Americana. </w:t>
      </w:r>
    </w:p>
    <w:p w14:paraId="4650C532" w14:textId="77777777" w:rsidR="00840AE8" w:rsidRPr="00221A21" w:rsidRDefault="00840AE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FFBE378" w14:textId="228AEA71" w:rsidR="003239B8" w:rsidRPr="00221A21"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r w:rsidRPr="00221A21">
        <w:rPr>
          <w:rFonts w:asciiTheme="majorHAnsi" w:hAnsiTheme="majorHAnsi"/>
          <w:b/>
          <w:bCs/>
          <w:sz w:val="20"/>
          <w:szCs w:val="20"/>
          <w:lang w:val="es-ES_tradnl"/>
        </w:rPr>
        <w:t>VII.</w:t>
      </w:r>
      <w:r w:rsidRPr="00221A21">
        <w:rPr>
          <w:rFonts w:asciiTheme="majorHAnsi" w:hAnsiTheme="majorHAnsi"/>
          <w:b/>
          <w:bCs/>
          <w:sz w:val="20"/>
          <w:szCs w:val="20"/>
          <w:lang w:val="es-ES_tradnl"/>
        </w:rPr>
        <w:tab/>
      </w:r>
      <w:r w:rsidR="004A6A54" w:rsidRPr="00221A21">
        <w:rPr>
          <w:rFonts w:asciiTheme="majorHAnsi" w:hAnsiTheme="majorHAnsi"/>
          <w:b/>
          <w:bCs/>
          <w:sz w:val="20"/>
          <w:szCs w:val="20"/>
          <w:lang w:val="es-ES_tradnl"/>
        </w:rPr>
        <w:t xml:space="preserve">ANÁLISIS DE </w:t>
      </w:r>
      <w:r w:rsidR="00C21FEF" w:rsidRPr="00221A21">
        <w:rPr>
          <w:rFonts w:asciiTheme="majorHAnsi" w:hAnsiTheme="majorHAnsi"/>
          <w:b/>
          <w:bCs/>
          <w:sz w:val="20"/>
          <w:szCs w:val="20"/>
          <w:lang w:val="es-ES_tradnl"/>
        </w:rPr>
        <w:t>CARACTERIZACIÓN DE LOS HECHOS ALEGADOS</w:t>
      </w:r>
    </w:p>
    <w:p w14:paraId="4842BE33" w14:textId="77777777" w:rsidR="00840AE8" w:rsidRPr="00221A21" w:rsidRDefault="00840AE8" w:rsidP="00840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10"/>
        <w:jc w:val="both"/>
        <w:rPr>
          <w:rFonts w:asciiTheme="majorHAnsi" w:hAnsiTheme="majorHAnsi"/>
          <w:sz w:val="20"/>
          <w:szCs w:val="20"/>
          <w:lang w:val="es-ES_tradnl"/>
        </w:rPr>
      </w:pPr>
    </w:p>
    <w:p w14:paraId="37C5D1CC" w14:textId="71533349" w:rsidR="00336D02" w:rsidRPr="00221A21" w:rsidRDefault="001B49DD" w:rsidP="004217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ind w:left="90"/>
        <w:jc w:val="both"/>
        <w:rPr>
          <w:rFonts w:asciiTheme="majorHAnsi" w:hAnsiTheme="majorHAnsi"/>
          <w:sz w:val="20"/>
          <w:szCs w:val="20"/>
          <w:lang w:val="es-ES_tradnl"/>
        </w:rPr>
      </w:pPr>
      <w:r w:rsidRPr="00221A21">
        <w:rPr>
          <w:rFonts w:asciiTheme="majorHAnsi" w:hAnsiTheme="majorHAnsi"/>
          <w:sz w:val="20"/>
          <w:szCs w:val="20"/>
          <w:lang w:val="es-ES_tradnl"/>
        </w:rPr>
        <w:t>Preliminarmente y dado que el Estado ha presentado argumentos relacionados con la fórmula de la “cuarta instancia”</w:t>
      </w:r>
      <w:r w:rsidR="00D61D36" w:rsidRPr="00221A21">
        <w:rPr>
          <w:rFonts w:asciiTheme="majorHAnsi" w:hAnsiTheme="majorHAnsi"/>
          <w:sz w:val="20"/>
          <w:szCs w:val="20"/>
          <w:lang w:val="es-ES_tradnl"/>
        </w:rPr>
        <w:t>,</w:t>
      </w:r>
      <w:r w:rsidR="00336D02" w:rsidRPr="00221A21">
        <w:rPr>
          <w:rFonts w:asciiTheme="majorHAnsi" w:hAnsiTheme="majorHAnsi"/>
          <w:sz w:val="20"/>
          <w:szCs w:val="20"/>
          <w:lang w:val="es-ES_tradnl"/>
        </w:rPr>
        <w:t xml:space="preserve"> </w:t>
      </w:r>
      <w:r w:rsidR="00D61D36" w:rsidRPr="00221A21">
        <w:rPr>
          <w:rFonts w:asciiTheme="majorHAnsi" w:hAnsiTheme="majorHAnsi"/>
          <w:sz w:val="20"/>
          <w:szCs w:val="20"/>
          <w:lang w:val="es-ES_tradnl"/>
        </w:rPr>
        <w:t>l</w:t>
      </w:r>
      <w:r w:rsidR="00336D02" w:rsidRPr="00221A21">
        <w:rPr>
          <w:rFonts w:asciiTheme="majorHAnsi" w:hAnsiTheme="majorHAnsi"/>
          <w:sz w:val="20"/>
          <w:szCs w:val="20"/>
          <w:lang w:val="es-ES_tradnl"/>
        </w:rPr>
        <w:t>a C</w:t>
      </w:r>
      <w:r w:rsidRPr="00221A21">
        <w:rPr>
          <w:rFonts w:asciiTheme="majorHAnsi" w:hAnsiTheme="majorHAnsi"/>
          <w:sz w:val="20"/>
          <w:szCs w:val="20"/>
          <w:lang w:val="es-ES_tradnl"/>
        </w:rPr>
        <w:t>omisión</w:t>
      </w:r>
      <w:r w:rsidR="00336D02" w:rsidRPr="00221A21">
        <w:rPr>
          <w:rFonts w:asciiTheme="majorHAnsi" w:hAnsiTheme="majorHAnsi"/>
          <w:sz w:val="20"/>
          <w:szCs w:val="20"/>
          <w:lang w:val="es-ES_tradnl"/>
        </w:rPr>
        <w:t xml:space="preserve"> reitera que </w:t>
      </w:r>
      <w:r w:rsidR="0092018B" w:rsidRPr="00221A21">
        <w:rPr>
          <w:rFonts w:asciiTheme="majorHAnsi" w:hAnsiTheme="majorHAnsi"/>
          <w:sz w:val="20"/>
          <w:szCs w:val="20"/>
          <w:lang w:val="es-ES_tradnl"/>
        </w:rPr>
        <w:t>–</w:t>
      </w:r>
      <w:r w:rsidR="00CA0D76" w:rsidRPr="00221A21">
        <w:rPr>
          <w:rFonts w:asciiTheme="majorHAnsi" w:hAnsiTheme="majorHAnsi"/>
          <w:sz w:val="20"/>
          <w:szCs w:val="20"/>
          <w:lang w:val="es-ES_tradnl"/>
        </w:rPr>
        <w:t>a</w:t>
      </w:r>
      <w:r w:rsidR="00336D02" w:rsidRPr="00221A21">
        <w:rPr>
          <w:rFonts w:asciiTheme="majorHAnsi" w:hAnsiTheme="majorHAnsi"/>
          <w:sz w:val="20"/>
          <w:szCs w:val="20"/>
          <w:lang w:val="es-ES_tradnl"/>
        </w:rPr>
        <w:t xml:space="preserve"> efectos de la admisibilidad</w:t>
      </w:r>
      <w:r w:rsidR="0092018B" w:rsidRPr="00221A21">
        <w:rPr>
          <w:rFonts w:asciiTheme="majorHAnsi" w:hAnsiTheme="majorHAnsi"/>
          <w:sz w:val="20"/>
          <w:szCs w:val="20"/>
          <w:lang w:val="es-ES_tradnl"/>
        </w:rPr>
        <w:t>–</w:t>
      </w:r>
      <w:r w:rsidR="00336D02" w:rsidRPr="00221A21">
        <w:rPr>
          <w:rFonts w:asciiTheme="majorHAnsi" w:hAnsiTheme="majorHAnsi"/>
          <w:sz w:val="20"/>
          <w:szCs w:val="20"/>
          <w:lang w:val="es-ES_tradnl"/>
        </w:rPr>
        <w:t xml:space="preserve"> debe decidir si los hechos alegados pueden caracterizar una violación de derechos, según lo estipulado en el artículo 47(b) de la </w:t>
      </w:r>
      <w:r w:rsidR="00336D02" w:rsidRPr="00221A21">
        <w:rPr>
          <w:rFonts w:asciiTheme="majorHAnsi" w:hAnsiTheme="majorHAnsi"/>
          <w:sz w:val="20"/>
          <w:szCs w:val="20"/>
          <w:lang w:val="es-ES_tradnl"/>
        </w:rPr>
        <w:lastRenderedPageBreak/>
        <w:t>Convención Americana</w:t>
      </w:r>
      <w:r w:rsidR="00CA0D76" w:rsidRPr="00221A21">
        <w:rPr>
          <w:rFonts w:asciiTheme="majorHAnsi" w:hAnsiTheme="majorHAnsi"/>
          <w:sz w:val="20"/>
          <w:szCs w:val="20"/>
          <w:lang w:val="es-ES_tradnl"/>
        </w:rPr>
        <w:t>;</w:t>
      </w:r>
      <w:r w:rsidR="00336D02" w:rsidRPr="00221A21">
        <w:rPr>
          <w:rFonts w:asciiTheme="majorHAnsi" w:hAnsiTheme="majorHAnsi"/>
          <w:sz w:val="20"/>
          <w:szCs w:val="20"/>
          <w:lang w:val="es-ES_tradnl"/>
        </w:rPr>
        <w:t xml:space="preserve"> o si la petición es manifiestamente infundada o es evidente su total improcedencia conforme al inciso (c) de dicho artículo. El criterio de evaluación de </w:t>
      </w:r>
      <w:r w:rsidR="00CA0D76" w:rsidRPr="00221A21">
        <w:rPr>
          <w:rFonts w:asciiTheme="majorHAnsi" w:hAnsiTheme="majorHAnsi"/>
          <w:sz w:val="20"/>
          <w:szCs w:val="20"/>
          <w:lang w:val="es-ES_tradnl"/>
        </w:rPr>
        <w:t>dichos</w:t>
      </w:r>
      <w:r w:rsidR="00336D02" w:rsidRPr="00221A21">
        <w:rPr>
          <w:rFonts w:asciiTheme="majorHAnsi" w:hAnsiTheme="majorHAnsi"/>
          <w:sz w:val="20"/>
          <w:szCs w:val="20"/>
          <w:lang w:val="es-ES_tradnl"/>
        </w:rPr>
        <w:t xml:space="preserve"> requisitos difiere del que se utiliza para pronunciarse sobre el fondo de una petición. Asimismo, dentro del marco de su mandato </w:t>
      </w:r>
      <w:r w:rsidR="009E5A77" w:rsidRPr="00221A21">
        <w:rPr>
          <w:rFonts w:asciiTheme="majorHAnsi" w:hAnsiTheme="majorHAnsi"/>
          <w:sz w:val="20"/>
          <w:szCs w:val="20"/>
          <w:lang w:val="es-ES_tradnl"/>
        </w:rPr>
        <w:t xml:space="preserve">la Comisión Interamericana </w:t>
      </w:r>
      <w:r w:rsidR="00336D02" w:rsidRPr="00221A21">
        <w:rPr>
          <w:rFonts w:asciiTheme="majorHAnsi" w:hAnsiTheme="majorHAnsi"/>
          <w:sz w:val="20"/>
          <w:szCs w:val="20"/>
          <w:lang w:val="es-ES_tradnl"/>
        </w:rPr>
        <w:t xml:space="preserve">es competente para declarar admisible una petición cuando se refiere a procesos internos que podrían ser violatorios de derechos garantizados por la Convención Americana. </w:t>
      </w:r>
    </w:p>
    <w:p w14:paraId="40ABBECC" w14:textId="77777777" w:rsidR="00840AE8" w:rsidRPr="00221A21"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06E7ADE" w14:textId="72E42216" w:rsidR="00FA61A4" w:rsidRPr="00221A21" w:rsidRDefault="00D61D36" w:rsidP="001B49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221A21">
        <w:rPr>
          <w:rFonts w:asciiTheme="majorHAnsi" w:hAnsiTheme="majorHAnsi"/>
          <w:sz w:val="20"/>
          <w:szCs w:val="20"/>
          <w:lang w:val="es-ES_tradnl"/>
        </w:rPr>
        <w:t xml:space="preserve">La </w:t>
      </w:r>
      <w:r w:rsidR="001B49DD" w:rsidRPr="00221A21">
        <w:rPr>
          <w:rFonts w:asciiTheme="majorHAnsi" w:hAnsiTheme="majorHAnsi"/>
          <w:sz w:val="20"/>
          <w:szCs w:val="20"/>
          <w:lang w:val="es-ES_tradnl"/>
        </w:rPr>
        <w:t xml:space="preserve">presente petición alega que </w:t>
      </w:r>
      <w:r w:rsidR="00221A21" w:rsidRPr="00221A21">
        <w:rPr>
          <w:rFonts w:asciiTheme="majorHAnsi" w:hAnsiTheme="majorHAnsi"/>
          <w:sz w:val="20"/>
          <w:szCs w:val="20"/>
          <w:lang w:val="es-ES_tradnl"/>
        </w:rPr>
        <w:t>el Sr. Moreyra Cironi</w:t>
      </w:r>
      <w:r w:rsidR="001B49DD" w:rsidRPr="00221A21">
        <w:rPr>
          <w:rFonts w:asciiTheme="majorHAnsi" w:hAnsiTheme="majorHAnsi"/>
          <w:sz w:val="20"/>
          <w:szCs w:val="20"/>
          <w:lang w:val="es-ES_tradnl"/>
        </w:rPr>
        <w:t xml:space="preserve"> fue condenado inicialmente por homicidio simple y que</w:t>
      </w:r>
      <w:r w:rsidR="001A6789" w:rsidRPr="00221A21">
        <w:rPr>
          <w:rFonts w:asciiTheme="majorHAnsi" w:hAnsiTheme="majorHAnsi"/>
          <w:sz w:val="20"/>
          <w:szCs w:val="20"/>
          <w:lang w:val="es-ES_tradnl"/>
        </w:rPr>
        <w:t xml:space="preserve">, tras recursos </w:t>
      </w:r>
      <w:r w:rsidR="00C06FD6" w:rsidRPr="00221A21">
        <w:rPr>
          <w:rFonts w:asciiTheme="majorHAnsi" w:hAnsiTheme="majorHAnsi"/>
          <w:sz w:val="20"/>
          <w:szCs w:val="20"/>
          <w:lang w:val="es-ES_tradnl"/>
        </w:rPr>
        <w:t xml:space="preserve">exitosos </w:t>
      </w:r>
      <w:r w:rsidR="001A6789" w:rsidRPr="00221A21">
        <w:rPr>
          <w:rFonts w:asciiTheme="majorHAnsi" w:hAnsiTheme="majorHAnsi"/>
          <w:sz w:val="20"/>
          <w:szCs w:val="20"/>
          <w:lang w:val="es-ES_tradnl"/>
        </w:rPr>
        <w:t xml:space="preserve">de las partes acusadoras, un tribunal superior modificó la calificación del hecho delictivo y condenó </w:t>
      </w:r>
      <w:r w:rsidR="00221A21" w:rsidRPr="00221A21">
        <w:rPr>
          <w:rFonts w:asciiTheme="majorHAnsi" w:hAnsiTheme="majorHAnsi"/>
          <w:sz w:val="20"/>
          <w:szCs w:val="20"/>
          <w:lang w:val="es-ES_tradnl"/>
        </w:rPr>
        <w:t xml:space="preserve">al Sr. </w:t>
      </w:r>
      <w:r w:rsidR="00221A21" w:rsidRPr="00221A21">
        <w:rPr>
          <w:rFonts w:asciiTheme="majorHAnsi" w:hAnsiTheme="majorHAnsi"/>
          <w:bCs/>
          <w:sz w:val="20"/>
          <w:szCs w:val="20"/>
          <w:lang w:val="es-ES_tradnl"/>
        </w:rPr>
        <w:t>Moreyra Cironi</w:t>
      </w:r>
      <w:r w:rsidR="001A6789" w:rsidRPr="00221A21">
        <w:rPr>
          <w:rFonts w:asciiTheme="majorHAnsi" w:hAnsiTheme="majorHAnsi"/>
          <w:sz w:val="20"/>
          <w:szCs w:val="20"/>
          <w:lang w:val="es-ES_tradnl"/>
        </w:rPr>
        <w:t xml:space="preserve"> por homicidio calificado. La parte peticionaria reclama que </w:t>
      </w:r>
      <w:r w:rsidR="00221A21" w:rsidRPr="00221A21">
        <w:rPr>
          <w:rFonts w:asciiTheme="majorHAnsi" w:hAnsiTheme="majorHAnsi"/>
          <w:sz w:val="20"/>
          <w:szCs w:val="20"/>
          <w:lang w:val="es-ES_tradnl"/>
        </w:rPr>
        <w:t>este</w:t>
      </w:r>
      <w:r w:rsidR="001A6789" w:rsidRPr="00221A21">
        <w:rPr>
          <w:rFonts w:asciiTheme="majorHAnsi" w:hAnsiTheme="majorHAnsi"/>
          <w:sz w:val="20"/>
          <w:szCs w:val="20"/>
          <w:lang w:val="es-ES_tradnl"/>
        </w:rPr>
        <w:t xml:space="preserve"> no tuvo acceso a un recurso ordinario que permitiera la revisión integral de la sentencia que le condenó por homicidio calificado; argumentando que esa sentencia se trató de una condena nueva respecto a la que la posibilidad de revisión integral era exigida por el artículo 8.2(h) de la Convención Americana. </w:t>
      </w:r>
    </w:p>
    <w:p w14:paraId="6B270C6D" w14:textId="77777777" w:rsidR="00CA232E" w:rsidRPr="00221A21" w:rsidRDefault="00CA232E" w:rsidP="00CA232E">
      <w:pPr>
        <w:pStyle w:val="ListParagraph"/>
        <w:rPr>
          <w:rFonts w:asciiTheme="majorHAnsi" w:hAnsiTheme="majorHAnsi"/>
          <w:b/>
          <w:bCs/>
          <w:sz w:val="20"/>
          <w:szCs w:val="20"/>
          <w:lang w:val="es-ES_tradnl"/>
        </w:rPr>
      </w:pPr>
    </w:p>
    <w:p w14:paraId="2E7C21BD" w14:textId="0CF20F76" w:rsidR="00CA232E" w:rsidRPr="00221A21" w:rsidRDefault="006F16D7" w:rsidP="001B49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221A21">
        <w:rPr>
          <w:rFonts w:asciiTheme="majorHAnsi" w:hAnsiTheme="majorHAnsi"/>
          <w:sz w:val="20"/>
          <w:szCs w:val="20"/>
          <w:lang w:val="es-ES_tradnl"/>
        </w:rPr>
        <w:t>La Corte Interamericana ha determinado que el artículo 8.2(h) exige que toda condena penal pueda ser revisada mediante “</w:t>
      </w:r>
      <w:r w:rsidRPr="00221A21">
        <w:rPr>
          <w:rFonts w:asciiTheme="majorHAnsi" w:hAnsiTheme="majorHAnsi"/>
          <w:i/>
          <w:iCs/>
          <w:sz w:val="20"/>
          <w:szCs w:val="20"/>
          <w:lang w:val="es-ES_tradnl"/>
        </w:rPr>
        <w:t>un recurso ordinario, accesible y eficaz, que permita un examen o revisión integral del fallo recurrido, esté al alcance de toda persona condenada y respete las garantías procesales mínima</w:t>
      </w:r>
      <w:r w:rsidR="006215B7" w:rsidRPr="00221A21">
        <w:rPr>
          <w:rFonts w:asciiTheme="majorHAnsi" w:hAnsiTheme="majorHAnsi"/>
          <w:i/>
          <w:iCs/>
          <w:sz w:val="20"/>
          <w:szCs w:val="20"/>
          <w:lang w:val="es-ES_tradnl"/>
        </w:rPr>
        <w:t>s</w:t>
      </w:r>
      <w:r w:rsidR="006215B7" w:rsidRPr="00221A21">
        <w:rPr>
          <w:rFonts w:asciiTheme="majorHAnsi" w:hAnsiTheme="majorHAnsi"/>
          <w:sz w:val="20"/>
          <w:szCs w:val="20"/>
          <w:lang w:val="es-ES_tradnl"/>
        </w:rPr>
        <w:t>”</w:t>
      </w:r>
      <w:r w:rsidR="006215B7" w:rsidRPr="00221A21">
        <w:rPr>
          <w:rStyle w:val="FootnoteReference"/>
          <w:rFonts w:asciiTheme="majorHAnsi" w:hAnsiTheme="majorHAnsi"/>
          <w:sz w:val="20"/>
          <w:szCs w:val="20"/>
          <w:lang w:val="es-ES_tradnl"/>
        </w:rPr>
        <w:footnoteReference w:id="5"/>
      </w:r>
      <w:r w:rsidR="00873681" w:rsidRPr="00221A21">
        <w:rPr>
          <w:rFonts w:asciiTheme="majorHAnsi" w:hAnsiTheme="majorHAnsi"/>
          <w:sz w:val="20"/>
          <w:szCs w:val="20"/>
          <w:lang w:val="es-ES_tradnl"/>
        </w:rPr>
        <w:t xml:space="preserve">. </w:t>
      </w:r>
    </w:p>
    <w:p w14:paraId="637D0BA2" w14:textId="77777777" w:rsidR="00873681" w:rsidRPr="00221A21" w:rsidRDefault="00873681" w:rsidP="00873681">
      <w:pPr>
        <w:pStyle w:val="ListParagraph"/>
        <w:rPr>
          <w:rFonts w:asciiTheme="majorHAnsi" w:hAnsiTheme="majorHAnsi"/>
          <w:b/>
          <w:bCs/>
          <w:sz w:val="20"/>
          <w:szCs w:val="20"/>
          <w:lang w:val="es-ES_tradnl"/>
        </w:rPr>
      </w:pPr>
    </w:p>
    <w:p w14:paraId="652E1C01" w14:textId="25A4B06B" w:rsidR="000E7075" w:rsidRPr="00221A21" w:rsidRDefault="00873681" w:rsidP="000E70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221A21">
        <w:rPr>
          <w:rFonts w:asciiTheme="majorHAnsi" w:hAnsiTheme="majorHAnsi"/>
          <w:sz w:val="20"/>
          <w:szCs w:val="20"/>
          <w:lang w:val="es-ES_tradnl"/>
        </w:rPr>
        <w:t>En el presente caso</w:t>
      </w:r>
      <w:r w:rsidR="0022044E" w:rsidRPr="00221A21">
        <w:rPr>
          <w:rFonts w:asciiTheme="majorHAnsi" w:hAnsiTheme="majorHAnsi"/>
          <w:sz w:val="20"/>
          <w:szCs w:val="20"/>
          <w:lang w:val="es-ES_tradnl"/>
        </w:rPr>
        <w:t xml:space="preserve">, la parte peticionaria no cuestiona que </w:t>
      </w:r>
      <w:r w:rsidR="00221A21" w:rsidRPr="00221A21">
        <w:rPr>
          <w:rFonts w:asciiTheme="majorHAnsi" w:hAnsiTheme="majorHAnsi"/>
          <w:sz w:val="20"/>
          <w:szCs w:val="20"/>
          <w:lang w:val="es-ES_tradnl"/>
        </w:rPr>
        <w:t>el Sr. Moreyra Cironi</w:t>
      </w:r>
      <w:r w:rsidR="00C94A24" w:rsidRPr="00221A21">
        <w:rPr>
          <w:rFonts w:asciiTheme="majorHAnsi" w:hAnsiTheme="majorHAnsi"/>
          <w:sz w:val="20"/>
          <w:szCs w:val="20"/>
          <w:lang w:val="es-ES_tradnl"/>
        </w:rPr>
        <w:t xml:space="preserve"> tuvo la oportunidad de recurrir</w:t>
      </w:r>
      <w:r w:rsidR="0022044E" w:rsidRPr="00221A21">
        <w:rPr>
          <w:rFonts w:asciiTheme="majorHAnsi" w:hAnsiTheme="majorHAnsi"/>
          <w:sz w:val="20"/>
          <w:szCs w:val="20"/>
          <w:lang w:val="es-ES_tradnl"/>
        </w:rPr>
        <w:t xml:space="preserve"> y obtener la revisión integral de</w:t>
      </w:r>
      <w:r w:rsidR="00C94A24" w:rsidRPr="00221A21">
        <w:rPr>
          <w:rFonts w:asciiTheme="majorHAnsi" w:hAnsiTheme="majorHAnsi"/>
          <w:sz w:val="20"/>
          <w:szCs w:val="20"/>
          <w:lang w:val="es-ES_tradnl"/>
        </w:rPr>
        <w:t xml:space="preserve"> la sentencia que </w:t>
      </w:r>
      <w:r w:rsidR="0022044E" w:rsidRPr="00221A21">
        <w:rPr>
          <w:rFonts w:asciiTheme="majorHAnsi" w:hAnsiTheme="majorHAnsi"/>
          <w:sz w:val="20"/>
          <w:szCs w:val="20"/>
          <w:lang w:val="es-ES_tradnl"/>
        </w:rPr>
        <w:t>lo encontró</w:t>
      </w:r>
      <w:r w:rsidR="00C94A24" w:rsidRPr="00221A21">
        <w:rPr>
          <w:rFonts w:asciiTheme="majorHAnsi" w:hAnsiTheme="majorHAnsi"/>
          <w:sz w:val="20"/>
          <w:szCs w:val="20"/>
          <w:lang w:val="es-ES_tradnl"/>
        </w:rPr>
        <w:t xml:space="preserve"> penalmente responsable por la muerte de una persona</w:t>
      </w:r>
      <w:r w:rsidR="00006268" w:rsidRPr="00221A21">
        <w:rPr>
          <w:rFonts w:asciiTheme="majorHAnsi" w:hAnsiTheme="majorHAnsi"/>
          <w:sz w:val="20"/>
          <w:szCs w:val="20"/>
          <w:lang w:val="es-ES_tradnl"/>
        </w:rPr>
        <w:t xml:space="preserve">. Luego de revisada y confirmada la sentencia condenatoria se profirió </w:t>
      </w:r>
      <w:r w:rsidR="009B3FC4" w:rsidRPr="00221A21">
        <w:rPr>
          <w:rFonts w:asciiTheme="majorHAnsi" w:hAnsiTheme="majorHAnsi"/>
          <w:sz w:val="20"/>
          <w:szCs w:val="20"/>
          <w:lang w:val="es-ES_tradnl"/>
        </w:rPr>
        <w:t xml:space="preserve">otra sentencia que modificó la condena en lo relacionado con la calificación jurídica del hecho delictivo en un sentido perjudicial a los intereses </w:t>
      </w:r>
      <w:r w:rsidR="00221A21" w:rsidRPr="00221A21">
        <w:rPr>
          <w:rFonts w:asciiTheme="majorHAnsi" w:hAnsiTheme="majorHAnsi"/>
          <w:sz w:val="20"/>
          <w:szCs w:val="20"/>
          <w:lang w:val="es-ES_tradnl"/>
        </w:rPr>
        <w:t>d</w:t>
      </w:r>
      <w:r w:rsidR="00221A21" w:rsidRPr="00221A21">
        <w:rPr>
          <w:rFonts w:asciiTheme="majorHAnsi" w:hAnsiTheme="majorHAnsi"/>
          <w:bCs/>
          <w:sz w:val="20"/>
          <w:szCs w:val="20"/>
          <w:lang w:val="es-ES_tradnl"/>
        </w:rPr>
        <w:t>el Sr. Moreyra Cironi</w:t>
      </w:r>
      <w:r w:rsidR="009B3FC4" w:rsidRPr="00221A21">
        <w:rPr>
          <w:rFonts w:asciiTheme="majorHAnsi" w:hAnsiTheme="majorHAnsi"/>
          <w:sz w:val="20"/>
          <w:szCs w:val="20"/>
          <w:lang w:val="es-ES_tradnl"/>
        </w:rPr>
        <w:t xml:space="preserve">. </w:t>
      </w:r>
      <w:r w:rsidR="0022044E" w:rsidRPr="00221A21">
        <w:rPr>
          <w:rFonts w:asciiTheme="majorHAnsi" w:hAnsiTheme="majorHAnsi"/>
          <w:sz w:val="20"/>
          <w:szCs w:val="20"/>
          <w:lang w:val="es-ES_tradnl"/>
        </w:rPr>
        <w:t xml:space="preserve"> </w:t>
      </w:r>
      <w:r w:rsidR="009B3FC4" w:rsidRPr="00221A21">
        <w:rPr>
          <w:rFonts w:asciiTheme="majorHAnsi" w:hAnsiTheme="majorHAnsi"/>
          <w:sz w:val="20"/>
          <w:szCs w:val="20"/>
          <w:lang w:val="es-ES_tradnl"/>
        </w:rPr>
        <w:t>El reclamo planteado en la petición se centra exclusivamente en la ausencia de un recurso ordinario que permitiera la revisión integral de la sentencia que dispuso el cambio de calificación. El Estado reconoce la inexistencia de tal recurso o</w:t>
      </w:r>
      <w:r w:rsidR="000E7075" w:rsidRPr="00221A21">
        <w:rPr>
          <w:rFonts w:asciiTheme="majorHAnsi" w:hAnsiTheme="majorHAnsi"/>
          <w:sz w:val="20"/>
          <w:szCs w:val="20"/>
          <w:lang w:val="es-ES_tradnl"/>
        </w:rPr>
        <w:t>rdinario</w:t>
      </w:r>
      <w:r w:rsidR="009926DA" w:rsidRPr="00221A21">
        <w:rPr>
          <w:rFonts w:asciiTheme="majorHAnsi" w:hAnsiTheme="majorHAnsi"/>
          <w:sz w:val="20"/>
          <w:szCs w:val="20"/>
          <w:lang w:val="es-ES_tradnl"/>
        </w:rPr>
        <w:t>. Sin embargo,</w:t>
      </w:r>
      <w:r w:rsidR="009B3FC4" w:rsidRPr="00221A21">
        <w:rPr>
          <w:rFonts w:asciiTheme="majorHAnsi" w:hAnsiTheme="majorHAnsi"/>
          <w:sz w:val="20"/>
          <w:szCs w:val="20"/>
          <w:lang w:val="es-ES_tradnl"/>
        </w:rPr>
        <w:t xml:space="preserve"> ha sustentado que la sentencia </w:t>
      </w:r>
      <w:r w:rsidR="000E7075" w:rsidRPr="00221A21">
        <w:rPr>
          <w:rFonts w:asciiTheme="majorHAnsi" w:hAnsiTheme="majorHAnsi"/>
          <w:sz w:val="20"/>
          <w:szCs w:val="20"/>
          <w:lang w:val="es-ES_tradnl"/>
        </w:rPr>
        <w:t>en cuestión no modificó las conclusiones fácticas que llevaron a la condena de</w:t>
      </w:r>
      <w:r w:rsidR="00221A21" w:rsidRPr="00221A21">
        <w:rPr>
          <w:rFonts w:asciiTheme="majorHAnsi" w:hAnsiTheme="majorHAnsi"/>
          <w:sz w:val="20"/>
          <w:szCs w:val="20"/>
          <w:lang w:val="es-ES_tradnl"/>
        </w:rPr>
        <w:t>l imputado</w:t>
      </w:r>
      <w:r w:rsidR="000E7075" w:rsidRPr="00221A21">
        <w:rPr>
          <w:rFonts w:asciiTheme="majorHAnsi" w:hAnsiTheme="majorHAnsi"/>
          <w:sz w:val="20"/>
          <w:szCs w:val="20"/>
          <w:lang w:val="es-ES_tradnl"/>
        </w:rPr>
        <w:t>, sino que se limitó a corregir lo que a su juicio fue un error jurídico sobre el asunto puntual de la calificación del hecho. La Comisión no encuentra en las alegaciones de la parte peticionaria ni en el expediente elementos suficientes para desacreditar esta aseveración del Estado.</w:t>
      </w:r>
    </w:p>
    <w:p w14:paraId="3E76A400" w14:textId="77777777" w:rsidR="000E7075" w:rsidRPr="00221A21" w:rsidRDefault="000E7075" w:rsidP="000E70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0A62D539" w14:textId="2DBED7D9" w:rsidR="00F37E90" w:rsidRPr="00221A21" w:rsidRDefault="000E7075" w:rsidP="00F37E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221A21">
        <w:rPr>
          <w:rFonts w:asciiTheme="majorHAnsi" w:hAnsiTheme="majorHAnsi"/>
          <w:sz w:val="20"/>
          <w:szCs w:val="20"/>
          <w:lang w:val="es-ES_tradnl"/>
        </w:rPr>
        <w:t>En las circunstancias descritas, la Com</w:t>
      </w:r>
      <w:r w:rsidR="007B09E7" w:rsidRPr="00221A21">
        <w:rPr>
          <w:rFonts w:asciiTheme="majorHAnsi" w:hAnsiTheme="majorHAnsi"/>
          <w:sz w:val="20"/>
          <w:szCs w:val="20"/>
          <w:lang w:val="es-ES_tradnl"/>
        </w:rPr>
        <w:t xml:space="preserve">isión considera que la sentencia que </w:t>
      </w:r>
      <w:r w:rsidR="00F37E90" w:rsidRPr="00221A21">
        <w:rPr>
          <w:rFonts w:asciiTheme="majorHAnsi" w:hAnsiTheme="majorHAnsi"/>
          <w:sz w:val="20"/>
          <w:szCs w:val="20"/>
          <w:lang w:val="es-ES_tradnl"/>
        </w:rPr>
        <w:t xml:space="preserve">realizó </w:t>
      </w:r>
      <w:r w:rsidR="007B09E7" w:rsidRPr="00221A21">
        <w:rPr>
          <w:rFonts w:asciiTheme="majorHAnsi" w:hAnsiTheme="majorHAnsi"/>
          <w:sz w:val="20"/>
          <w:szCs w:val="20"/>
          <w:lang w:val="es-ES_tradnl"/>
        </w:rPr>
        <w:t xml:space="preserve">el cambio de calificación no puede equipararse a una nueva condena </w:t>
      </w:r>
      <w:r w:rsidR="009926DA" w:rsidRPr="00221A21">
        <w:rPr>
          <w:rFonts w:asciiTheme="majorHAnsi" w:hAnsiTheme="majorHAnsi"/>
          <w:sz w:val="20"/>
          <w:szCs w:val="20"/>
          <w:lang w:val="es-ES_tradnl"/>
        </w:rPr>
        <w:t>que exigiera la posibilidad de revisión integral mediante un recurso ordinario conforme a lo dispuesto en el artículo 8.2(h) de la Convención Americana.</w:t>
      </w:r>
      <w:r w:rsidR="00AE21A6" w:rsidRPr="00221A21">
        <w:rPr>
          <w:rFonts w:asciiTheme="majorHAnsi" w:hAnsiTheme="majorHAnsi"/>
          <w:sz w:val="20"/>
          <w:szCs w:val="20"/>
          <w:lang w:val="es-ES_tradnl"/>
        </w:rPr>
        <w:t xml:space="preserve"> </w:t>
      </w:r>
      <w:r w:rsidR="00D71B72" w:rsidRPr="00221A21">
        <w:rPr>
          <w:rFonts w:asciiTheme="majorHAnsi" w:hAnsiTheme="majorHAnsi"/>
          <w:sz w:val="20"/>
          <w:szCs w:val="20"/>
          <w:lang w:val="es-ES_tradnl"/>
        </w:rPr>
        <w:t xml:space="preserve">Surge además del expediente que </w:t>
      </w:r>
      <w:r w:rsidR="00221A21" w:rsidRPr="00221A21">
        <w:rPr>
          <w:rFonts w:asciiTheme="majorHAnsi" w:hAnsiTheme="majorHAnsi"/>
          <w:bCs/>
          <w:sz w:val="20"/>
          <w:szCs w:val="20"/>
          <w:lang w:val="es-ES_tradnl"/>
        </w:rPr>
        <w:t xml:space="preserve">el Sr. Moreyra Cironi </w:t>
      </w:r>
      <w:r w:rsidR="00D71B72" w:rsidRPr="00221A21">
        <w:rPr>
          <w:rFonts w:asciiTheme="majorHAnsi" w:hAnsiTheme="majorHAnsi"/>
          <w:sz w:val="20"/>
          <w:szCs w:val="20"/>
          <w:lang w:val="es-ES_tradnl"/>
        </w:rPr>
        <w:t xml:space="preserve">tuvo acceso a recursos, aunque extraordinarios, para impugnar la sentencia que dispuso el cambio de la calificación del hecho delictivo. </w:t>
      </w:r>
      <w:r w:rsidR="00F37E90" w:rsidRPr="00221A21">
        <w:rPr>
          <w:rFonts w:asciiTheme="majorHAnsi" w:hAnsiTheme="majorHAnsi"/>
          <w:sz w:val="20"/>
          <w:szCs w:val="20"/>
          <w:lang w:val="es-ES_tradnl"/>
        </w:rPr>
        <w:t>Por lo tanto, la Comisión estima que la ausencia de recursos ordinarios para impugnar la sentencia que realizó el cambio de calificación no alcanza por s</w:t>
      </w:r>
      <w:r w:rsidR="00221A21" w:rsidRPr="00221A21">
        <w:rPr>
          <w:rFonts w:asciiTheme="majorHAnsi" w:hAnsiTheme="majorHAnsi"/>
          <w:sz w:val="20"/>
          <w:szCs w:val="20"/>
          <w:lang w:val="es-ES_tradnl"/>
        </w:rPr>
        <w:t>í</w:t>
      </w:r>
      <w:r w:rsidR="00F37E90" w:rsidRPr="00221A21">
        <w:rPr>
          <w:rFonts w:asciiTheme="majorHAnsi" w:hAnsiTheme="majorHAnsi"/>
          <w:sz w:val="20"/>
          <w:szCs w:val="20"/>
          <w:lang w:val="es-ES_tradnl"/>
        </w:rPr>
        <w:t xml:space="preserve"> sola para caracterizar una posible violación a la Convención Americana ni a los demás instrumentos respecto a los que la Comisión tiene competencia. En consecuencia, y dado que la petición no plantea ningún otro reclamo</w:t>
      </w:r>
      <w:r w:rsidR="00221A21" w:rsidRPr="00221A21">
        <w:rPr>
          <w:rFonts w:asciiTheme="majorHAnsi" w:hAnsiTheme="majorHAnsi"/>
          <w:sz w:val="20"/>
          <w:szCs w:val="20"/>
          <w:lang w:val="es-ES_tradnl"/>
        </w:rPr>
        <w:t xml:space="preserve"> concreto en sí mismo</w:t>
      </w:r>
      <w:r w:rsidR="00F37E90" w:rsidRPr="00221A21">
        <w:rPr>
          <w:rFonts w:asciiTheme="majorHAnsi" w:hAnsiTheme="majorHAnsi"/>
          <w:sz w:val="20"/>
          <w:szCs w:val="20"/>
          <w:lang w:val="es-ES_tradnl"/>
        </w:rPr>
        <w:t xml:space="preserve">, la Comisión concluye que </w:t>
      </w:r>
      <w:r w:rsidR="00085B4B" w:rsidRPr="00221A21">
        <w:rPr>
          <w:rFonts w:asciiTheme="majorHAnsi" w:hAnsiTheme="majorHAnsi"/>
          <w:sz w:val="20"/>
          <w:szCs w:val="20"/>
          <w:lang w:val="es-ES_tradnl"/>
        </w:rPr>
        <w:t xml:space="preserve">la presente petición resulta inadmisible conforme a lo dispuesto en el artículo 47(b) de la Convención Americana. </w:t>
      </w:r>
    </w:p>
    <w:p w14:paraId="347E81E3" w14:textId="77777777" w:rsidR="00840AE8" w:rsidRPr="00221A21" w:rsidRDefault="00840AE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9BB41F5" w14:textId="7D9411DF" w:rsidR="003239B8" w:rsidRPr="00221A21"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221A21">
        <w:rPr>
          <w:rFonts w:asciiTheme="majorHAnsi" w:hAnsiTheme="majorHAnsi"/>
          <w:b/>
          <w:bCs/>
          <w:sz w:val="20"/>
          <w:szCs w:val="20"/>
          <w:lang w:val="es-ES_tradnl"/>
        </w:rPr>
        <w:t xml:space="preserve">VIII. </w:t>
      </w:r>
      <w:r w:rsidRPr="00221A21">
        <w:rPr>
          <w:rFonts w:asciiTheme="majorHAnsi" w:hAnsiTheme="majorHAnsi"/>
          <w:b/>
          <w:bCs/>
          <w:sz w:val="20"/>
          <w:szCs w:val="20"/>
          <w:lang w:val="es-ES_tradnl"/>
        </w:rPr>
        <w:tab/>
        <w:t>DECISIÓN</w:t>
      </w:r>
    </w:p>
    <w:p w14:paraId="49AF4783" w14:textId="77777777" w:rsidR="00840AE8" w:rsidRPr="00221A21"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70DA61C" w14:textId="64E405C0" w:rsidR="000419AD" w:rsidRPr="00221A21" w:rsidRDefault="003239B8" w:rsidP="004217A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 xml:space="preserve">Declarar </w:t>
      </w:r>
      <w:r w:rsidR="00085B4B" w:rsidRPr="00221A21">
        <w:rPr>
          <w:rFonts w:asciiTheme="majorHAnsi" w:hAnsiTheme="majorHAnsi"/>
          <w:sz w:val="20"/>
          <w:szCs w:val="20"/>
          <w:lang w:val="es-ES_tradnl"/>
        </w:rPr>
        <w:t>inadmisible la presente petición con fundamento en el artículo 47(b) de la Convención Americana</w:t>
      </w:r>
      <w:r w:rsidR="0073361D">
        <w:rPr>
          <w:rFonts w:asciiTheme="majorHAnsi" w:hAnsiTheme="majorHAnsi"/>
          <w:sz w:val="20"/>
          <w:szCs w:val="20"/>
          <w:lang w:val="es-ES_tradnl"/>
        </w:rPr>
        <w:t>; y</w:t>
      </w:r>
    </w:p>
    <w:p w14:paraId="015E50D9" w14:textId="77777777" w:rsidR="00840AE8" w:rsidRPr="00221A21"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CD4DFBD" w14:textId="52D58B13" w:rsidR="003239B8" w:rsidRPr="00221A21" w:rsidRDefault="004A6A54" w:rsidP="004217A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21A21">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AC80CA6" w14:textId="69C64FA7" w:rsidR="00722C9F" w:rsidRDefault="00722C9F" w:rsidP="004217A5">
      <w:pPr>
        <w:rPr>
          <w:rFonts w:asciiTheme="majorHAnsi" w:hAnsiTheme="majorHAnsi" w:cs="Calibri"/>
          <w:sz w:val="20"/>
          <w:szCs w:val="20"/>
          <w:lang w:val="es-ES_tradnl"/>
        </w:rPr>
      </w:pPr>
    </w:p>
    <w:p w14:paraId="363511D8" w14:textId="6F036BC1" w:rsidR="007E514C" w:rsidRPr="00470D83" w:rsidRDefault="00BE5E6F" w:rsidP="00470D83">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FA2B24">
        <w:rPr>
          <w:rFonts w:asciiTheme="majorHAnsi" w:hAnsiTheme="majorHAnsi" w:cs="Arial"/>
          <w:noProof/>
          <w:spacing w:val="-2"/>
          <w:sz w:val="20"/>
          <w:szCs w:val="20"/>
          <w:lang w:val="es-CL"/>
        </w:rPr>
        <w:t>2</w:t>
      </w:r>
      <w:r>
        <w:rPr>
          <w:rFonts w:asciiTheme="majorHAnsi" w:hAnsiTheme="majorHAnsi" w:cs="Arial"/>
          <w:noProof/>
          <w:spacing w:val="-2"/>
          <w:sz w:val="20"/>
          <w:szCs w:val="20"/>
          <w:lang w:val="es-CL"/>
        </w:rPr>
        <w:t>1</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470D83">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7E514C" w:rsidRPr="00470D83"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7591" w14:textId="77777777" w:rsidR="007B124F" w:rsidRDefault="007B124F">
      <w:r>
        <w:separator/>
      </w:r>
    </w:p>
  </w:endnote>
  <w:endnote w:type="continuationSeparator" w:id="0">
    <w:p w14:paraId="17EE98E4" w14:textId="77777777" w:rsidR="007B124F" w:rsidRDefault="007B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F115A5" w:rsidRDefault="00F1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F115A5" w:rsidRPr="00934A2C" w:rsidRDefault="00F115A5">
    <w:pPr>
      <w:pStyle w:val="Footer"/>
      <w:jc w:val="center"/>
      <w:rPr>
        <w:sz w:val="16"/>
        <w:szCs w:val="22"/>
      </w:rPr>
    </w:pPr>
  </w:p>
  <w:p w14:paraId="4EA5439C" w14:textId="77777777" w:rsidR="00F115A5" w:rsidRDefault="00F1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82FE2"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6CB7">
          <w:rPr>
            <w:noProof/>
            <w:sz w:val="16"/>
            <w:szCs w:val="22"/>
          </w:rPr>
          <w:t>6</w:t>
        </w:r>
        <w:r w:rsidRPr="00934A2C">
          <w:rPr>
            <w:noProof/>
            <w:sz w:val="16"/>
            <w:szCs w:val="22"/>
          </w:rPr>
          <w:fldChar w:fldCharType="end"/>
        </w:r>
      </w:p>
    </w:sdtContent>
  </w:sdt>
  <w:p w14:paraId="68530E6A" w14:textId="77777777" w:rsidR="00F115A5" w:rsidRDefault="00F1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115A5" w:rsidRPr="00934A2C" w:rsidRDefault="00F115A5">
    <w:pPr>
      <w:pStyle w:val="Footer"/>
      <w:jc w:val="center"/>
      <w:rPr>
        <w:sz w:val="16"/>
        <w:szCs w:val="22"/>
      </w:rPr>
    </w:pPr>
  </w:p>
  <w:p w14:paraId="49059CE3" w14:textId="77777777" w:rsidR="00F115A5" w:rsidRDefault="00F1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3724" w14:textId="77777777" w:rsidR="007B124F" w:rsidRPr="000F35ED" w:rsidRDefault="007B124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6861BD" w14:textId="77777777" w:rsidR="007B124F" w:rsidRPr="000F35ED" w:rsidRDefault="007B124F" w:rsidP="000F35ED">
      <w:pPr>
        <w:rPr>
          <w:rFonts w:asciiTheme="majorHAnsi" w:hAnsiTheme="majorHAnsi"/>
          <w:sz w:val="16"/>
          <w:szCs w:val="16"/>
        </w:rPr>
      </w:pPr>
      <w:r w:rsidRPr="000F35ED">
        <w:rPr>
          <w:rFonts w:asciiTheme="majorHAnsi" w:hAnsiTheme="majorHAnsi"/>
          <w:sz w:val="16"/>
          <w:szCs w:val="16"/>
        </w:rPr>
        <w:separator/>
      </w:r>
    </w:p>
    <w:p w14:paraId="487A5B90" w14:textId="77777777" w:rsidR="007B124F" w:rsidRPr="000F35ED" w:rsidRDefault="007B124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2BF2B6" w14:textId="77777777" w:rsidR="007B124F" w:rsidRPr="000F35ED" w:rsidRDefault="007B124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77777777" w:rsidR="00F115A5" w:rsidRPr="000B47BF" w:rsidRDefault="00F115A5" w:rsidP="000B47BF">
      <w:pPr>
        <w:pStyle w:val="FootnoteText"/>
        <w:ind w:firstLine="720"/>
        <w:jc w:val="both"/>
        <w:rPr>
          <w:rFonts w:asciiTheme="majorHAnsi" w:hAnsiTheme="majorHAnsi"/>
          <w:sz w:val="16"/>
          <w:szCs w:val="16"/>
          <w:lang w:val="es-PA"/>
        </w:rPr>
      </w:pPr>
      <w:r w:rsidRPr="000B47BF">
        <w:rPr>
          <w:rStyle w:val="FootnoteReference"/>
          <w:rFonts w:asciiTheme="majorHAnsi" w:hAnsiTheme="majorHAnsi"/>
          <w:sz w:val="16"/>
          <w:szCs w:val="16"/>
        </w:rPr>
        <w:footnoteRef/>
      </w:r>
      <w:r w:rsidRPr="000B47BF">
        <w:rPr>
          <w:rFonts w:asciiTheme="majorHAnsi" w:hAnsiTheme="majorHAnsi"/>
          <w:sz w:val="16"/>
          <w:szCs w:val="16"/>
          <w:lang w:val="es-PA"/>
        </w:rPr>
        <w:t xml:space="preserve"> En adelante “la Convención Americana”.</w:t>
      </w:r>
    </w:p>
  </w:footnote>
  <w:footnote w:id="3">
    <w:p w14:paraId="08CD6656" w14:textId="77777777" w:rsidR="00F115A5" w:rsidRPr="000B47BF" w:rsidRDefault="00F115A5" w:rsidP="000B47BF">
      <w:pPr>
        <w:pStyle w:val="FootnoteText"/>
        <w:ind w:firstLine="720"/>
        <w:jc w:val="both"/>
        <w:rPr>
          <w:rFonts w:asciiTheme="majorHAnsi" w:hAnsiTheme="majorHAnsi"/>
          <w:sz w:val="16"/>
          <w:szCs w:val="16"/>
          <w:lang w:val="es-ES"/>
        </w:rPr>
      </w:pPr>
      <w:r w:rsidRPr="000B47BF">
        <w:rPr>
          <w:rStyle w:val="FootnoteReference"/>
          <w:rFonts w:asciiTheme="majorHAnsi" w:hAnsiTheme="majorHAnsi"/>
          <w:sz w:val="16"/>
          <w:szCs w:val="16"/>
        </w:rPr>
        <w:footnoteRef/>
      </w:r>
      <w:r w:rsidRPr="000B47BF">
        <w:rPr>
          <w:rFonts w:asciiTheme="majorHAnsi" w:hAnsiTheme="majorHAnsi"/>
          <w:sz w:val="16"/>
          <w:szCs w:val="16"/>
          <w:lang w:val="es-ES"/>
        </w:rPr>
        <w:t xml:space="preserve"> Las observaciones de cada parte fueron debidamente trasladadas a la parte contraria.</w:t>
      </w:r>
    </w:p>
  </w:footnote>
  <w:footnote w:id="4">
    <w:p w14:paraId="3E12EBF0" w14:textId="77777777" w:rsidR="005407EF" w:rsidRPr="000B47BF" w:rsidRDefault="005407EF" w:rsidP="000B47BF">
      <w:pPr>
        <w:ind w:firstLine="720"/>
        <w:contextualSpacing/>
        <w:jc w:val="both"/>
        <w:rPr>
          <w:rFonts w:asciiTheme="majorHAnsi" w:hAnsiTheme="majorHAnsi" w:cs="Calibri"/>
          <w:sz w:val="16"/>
          <w:szCs w:val="16"/>
          <w:lang w:val="es-ES_tradnl"/>
        </w:rPr>
      </w:pPr>
      <w:r w:rsidRPr="000B47BF">
        <w:rPr>
          <w:rStyle w:val="FootnoteReference"/>
          <w:rFonts w:asciiTheme="majorHAnsi" w:hAnsiTheme="majorHAnsi" w:cs="Calibri"/>
          <w:sz w:val="16"/>
          <w:szCs w:val="16"/>
        </w:rPr>
        <w:footnoteRef/>
      </w:r>
      <w:r w:rsidRPr="000B47BF">
        <w:rPr>
          <w:rFonts w:asciiTheme="majorHAnsi" w:hAnsiTheme="majorHAnsi" w:cs="Calibri"/>
          <w:sz w:val="16"/>
          <w:szCs w:val="16"/>
          <w:lang w:val="es-ES"/>
        </w:rPr>
        <w:t xml:space="preserve">  </w:t>
      </w:r>
      <w:r w:rsidRPr="000B47BF">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5">
    <w:p w14:paraId="60CF61D9" w14:textId="03657BD3" w:rsidR="006215B7" w:rsidRPr="000B47BF" w:rsidRDefault="006215B7" w:rsidP="000B47BF">
      <w:pPr>
        <w:pStyle w:val="FootnoteText"/>
        <w:ind w:firstLine="720"/>
        <w:jc w:val="both"/>
        <w:rPr>
          <w:rFonts w:asciiTheme="majorHAnsi" w:hAnsiTheme="majorHAnsi"/>
          <w:sz w:val="16"/>
          <w:szCs w:val="16"/>
          <w:lang w:val="es-PA"/>
        </w:rPr>
      </w:pPr>
      <w:r w:rsidRPr="000B47BF">
        <w:rPr>
          <w:rStyle w:val="FootnoteReference"/>
          <w:rFonts w:asciiTheme="majorHAnsi" w:hAnsiTheme="majorHAnsi"/>
          <w:sz w:val="16"/>
          <w:szCs w:val="16"/>
        </w:rPr>
        <w:footnoteRef/>
      </w:r>
      <w:r w:rsidRPr="000B47BF">
        <w:rPr>
          <w:rFonts w:asciiTheme="majorHAnsi" w:hAnsiTheme="majorHAnsi"/>
          <w:sz w:val="16"/>
          <w:szCs w:val="16"/>
          <w:lang w:val="es-PA"/>
        </w:rPr>
        <w:t xml:space="preserve"> Corte IDH. Caso Norín Catrimán y otros (Dirigentes, miembros y activista del Pueblo Indígena Mapuche) Vs. Chile. Fondo, Reparaciones y Costas. Sentencia de 29 de mayo de 2014. </w:t>
      </w:r>
      <w:r w:rsidRPr="00FA2B24">
        <w:rPr>
          <w:rFonts w:asciiTheme="majorHAnsi" w:hAnsiTheme="majorHAnsi"/>
          <w:sz w:val="16"/>
          <w:szCs w:val="16"/>
          <w:lang w:val="es-ES"/>
        </w:rPr>
        <w:t>Serie C No. 279, párr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F115A5" w:rsidRDefault="00F1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F115A5" w:rsidRPr="00EC7D62" w:rsidRDefault="00666BBA"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15A5" w:rsidRDefault="00F1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15A5" w:rsidRPr="00EC7D62" w:rsidRDefault="00666BBA"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EEB47D7"/>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7411783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656962515">
    <w:abstractNumId w:val="5"/>
  </w:num>
  <w:num w:numId="3" w16cid:durableId="468204570">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1431463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995600337">
    <w:abstractNumId w:val="7"/>
  </w:num>
  <w:num w:numId="6" w16cid:durableId="1175729445">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618832402">
    <w:abstractNumId w:val="61"/>
  </w:num>
  <w:num w:numId="8" w16cid:durableId="1064987804">
    <w:abstractNumId w:val="23"/>
  </w:num>
  <w:num w:numId="9" w16cid:durableId="1719820014">
    <w:abstractNumId w:val="52"/>
  </w:num>
  <w:num w:numId="10" w16cid:durableId="1016150432">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721950393">
    <w:abstractNumId w:val="29"/>
  </w:num>
  <w:num w:numId="12" w16cid:durableId="1778326051">
    <w:abstractNumId w:val="59"/>
  </w:num>
  <w:num w:numId="13" w16cid:durableId="113213893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434785356">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493716253">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073236624">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274333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5782947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43510444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257207031">
    <w:abstractNumId w:val="8"/>
  </w:num>
  <w:num w:numId="21" w16cid:durableId="23793985">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430613218">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4598565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134535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9342352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98894215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84498138">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7127364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9272307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90482638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212291269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728333055">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061751695">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510486579">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31642672">
    <w:abstractNumId w:val="19"/>
  </w:num>
  <w:num w:numId="36" w16cid:durableId="1217090361">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493571305">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12264576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12025299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41447495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41759705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907957289">
    <w:abstractNumId w:val="41"/>
  </w:num>
  <w:num w:numId="43" w16cid:durableId="1482768528">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411928666">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645745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7078634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822241733">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4761722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66258556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55824747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2923959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95250028">
    <w:abstractNumId w:val="46"/>
  </w:num>
  <w:num w:numId="53" w16cid:durableId="775291394">
    <w:abstractNumId w:val="0"/>
  </w:num>
  <w:num w:numId="54" w16cid:durableId="209267392">
    <w:abstractNumId w:val="40"/>
  </w:num>
  <w:num w:numId="55" w16cid:durableId="1592618133">
    <w:abstractNumId w:val="41"/>
  </w:num>
  <w:num w:numId="56" w16cid:durableId="1079445404">
    <w:abstractNumId w:val="48"/>
  </w:num>
  <w:num w:numId="57" w16cid:durableId="336156830">
    <w:abstractNumId w:val="1"/>
  </w:num>
  <w:num w:numId="58" w16cid:durableId="1938519885">
    <w:abstractNumId w:val="2"/>
  </w:num>
  <w:num w:numId="59" w16cid:durableId="732772355">
    <w:abstractNumId w:val="9"/>
  </w:num>
  <w:num w:numId="60" w16cid:durableId="501089969">
    <w:abstractNumId w:val="10"/>
  </w:num>
  <w:num w:numId="61" w16cid:durableId="980813465">
    <w:abstractNumId w:val="11"/>
  </w:num>
  <w:num w:numId="62" w16cid:durableId="717124975">
    <w:abstractNumId w:val="12"/>
  </w:num>
  <w:num w:numId="63" w16cid:durableId="230383380">
    <w:abstractNumId w:val="13"/>
  </w:num>
  <w:num w:numId="64" w16cid:durableId="136991826">
    <w:abstractNumId w:val="15"/>
  </w:num>
  <w:num w:numId="65" w16cid:durableId="667244550">
    <w:abstractNumId w:val="16"/>
  </w:num>
  <w:num w:numId="66" w16cid:durableId="353532445">
    <w:abstractNumId w:val="17"/>
  </w:num>
  <w:num w:numId="67" w16cid:durableId="1865902894">
    <w:abstractNumId w:val="18"/>
  </w:num>
  <w:num w:numId="68" w16cid:durableId="1920865627">
    <w:abstractNumId w:val="20"/>
  </w:num>
  <w:num w:numId="69" w16cid:durableId="1790472679">
    <w:abstractNumId w:val="21"/>
  </w:num>
  <w:num w:numId="70" w16cid:durableId="1149176556">
    <w:abstractNumId w:val="24"/>
  </w:num>
  <w:num w:numId="71" w16cid:durableId="196743193">
    <w:abstractNumId w:val="25"/>
  </w:num>
  <w:num w:numId="72" w16cid:durableId="441651617">
    <w:abstractNumId w:val="26"/>
  </w:num>
  <w:num w:numId="73" w16cid:durableId="152836190">
    <w:abstractNumId w:val="28"/>
  </w:num>
  <w:num w:numId="74" w16cid:durableId="103306248">
    <w:abstractNumId w:val="30"/>
  </w:num>
  <w:num w:numId="75" w16cid:durableId="434252405">
    <w:abstractNumId w:val="32"/>
  </w:num>
  <w:num w:numId="76" w16cid:durableId="906232335">
    <w:abstractNumId w:val="33"/>
  </w:num>
  <w:num w:numId="77" w16cid:durableId="207786">
    <w:abstractNumId w:val="34"/>
  </w:num>
  <w:num w:numId="78" w16cid:durableId="1211112598">
    <w:abstractNumId w:val="35"/>
  </w:num>
  <w:num w:numId="79" w16cid:durableId="1038318597">
    <w:abstractNumId w:val="36"/>
  </w:num>
  <w:num w:numId="80" w16cid:durableId="56754644">
    <w:abstractNumId w:val="37"/>
  </w:num>
  <w:num w:numId="81" w16cid:durableId="388697336">
    <w:abstractNumId w:val="38"/>
  </w:num>
  <w:num w:numId="82" w16cid:durableId="1633512072">
    <w:abstractNumId w:val="43"/>
  </w:num>
  <w:num w:numId="83" w16cid:durableId="622729549">
    <w:abstractNumId w:val="44"/>
  </w:num>
  <w:num w:numId="84" w16cid:durableId="1217161884">
    <w:abstractNumId w:val="50"/>
  </w:num>
  <w:num w:numId="85" w16cid:durableId="967205603">
    <w:abstractNumId w:val="53"/>
  </w:num>
  <w:num w:numId="86" w16cid:durableId="160850851">
    <w:abstractNumId w:val="56"/>
  </w:num>
  <w:num w:numId="87" w16cid:durableId="1983271188">
    <w:abstractNumId w:val="58"/>
  </w:num>
  <w:num w:numId="88" w16cid:durableId="301664369">
    <w:abstractNumId w:val="60"/>
  </w:num>
  <w:num w:numId="89" w16cid:durableId="355548700">
    <w:abstractNumId w:val="62"/>
  </w:num>
  <w:num w:numId="90" w16cid:durableId="1796407407">
    <w:abstractNumId w:val="63"/>
  </w:num>
  <w:num w:numId="91" w16cid:durableId="628978582">
    <w:abstractNumId w:val="64"/>
  </w:num>
  <w:num w:numId="92" w16cid:durableId="1864975440">
    <w:abstractNumId w:val="65"/>
  </w:num>
  <w:num w:numId="93" w16cid:durableId="40634129">
    <w:abstractNumId w:val="67"/>
  </w:num>
  <w:num w:numId="94" w16cid:durableId="811406163">
    <w:abstractNumId w:val="22"/>
  </w:num>
  <w:num w:numId="95" w16cid:durableId="589970955">
    <w:abstractNumId w:val="45"/>
  </w:num>
  <w:num w:numId="96" w16cid:durableId="1391415378">
    <w:abstractNumId w:val="57"/>
  </w:num>
  <w:num w:numId="97" w16cid:durableId="865487196">
    <w:abstractNumId w:val="54"/>
  </w:num>
  <w:num w:numId="98" w16cid:durableId="1052390749">
    <w:abstractNumId w:val="49"/>
  </w:num>
  <w:num w:numId="99" w16cid:durableId="1591236541">
    <w:abstractNumId w:val="39"/>
  </w:num>
  <w:num w:numId="100" w16cid:durableId="1434087564">
    <w:abstractNumId w:val="3"/>
  </w:num>
  <w:num w:numId="101" w16cid:durableId="1453012708">
    <w:abstractNumId w:val="27"/>
  </w:num>
  <w:num w:numId="102" w16cid:durableId="2122411193">
    <w:abstractNumId w:val="51"/>
  </w:num>
  <w:num w:numId="103" w16cid:durableId="2026635638">
    <w:abstractNumId w:val="6"/>
  </w:num>
  <w:num w:numId="104" w16cid:durableId="1924030638">
    <w:abstractNumId w:val="66"/>
  </w:num>
  <w:num w:numId="105" w16cid:durableId="2142919863">
    <w:abstractNumId w:val="55"/>
  </w:num>
  <w:num w:numId="106" w16cid:durableId="102771433">
    <w:abstractNumId w:val="4"/>
  </w:num>
  <w:num w:numId="107" w16cid:durableId="814444178">
    <w:abstractNumId w:val="31"/>
  </w:num>
  <w:num w:numId="108" w16cid:durableId="1541162991">
    <w:abstractNumId w:val="14"/>
  </w:num>
  <w:num w:numId="109" w16cid:durableId="810711906">
    <w:abstractNumId w:val="47"/>
  </w:num>
  <w:num w:numId="110" w16cid:durableId="1175651849">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268"/>
    <w:rsid w:val="00006E1F"/>
    <w:rsid w:val="000070D7"/>
    <w:rsid w:val="0001034D"/>
    <w:rsid w:val="00010877"/>
    <w:rsid w:val="000112E0"/>
    <w:rsid w:val="00012F86"/>
    <w:rsid w:val="00013A1E"/>
    <w:rsid w:val="00014313"/>
    <w:rsid w:val="00014461"/>
    <w:rsid w:val="0001788C"/>
    <w:rsid w:val="0002227C"/>
    <w:rsid w:val="00030ECF"/>
    <w:rsid w:val="000337EF"/>
    <w:rsid w:val="00033DB0"/>
    <w:rsid w:val="00040C3A"/>
    <w:rsid w:val="000419AD"/>
    <w:rsid w:val="000433C9"/>
    <w:rsid w:val="00043AF7"/>
    <w:rsid w:val="0004627C"/>
    <w:rsid w:val="00047262"/>
    <w:rsid w:val="00050A0B"/>
    <w:rsid w:val="00054317"/>
    <w:rsid w:val="00056CD8"/>
    <w:rsid w:val="000673D0"/>
    <w:rsid w:val="00067905"/>
    <w:rsid w:val="00071600"/>
    <w:rsid w:val="000716C5"/>
    <w:rsid w:val="00072E35"/>
    <w:rsid w:val="00075E23"/>
    <w:rsid w:val="00085B4B"/>
    <w:rsid w:val="00086968"/>
    <w:rsid w:val="0008770E"/>
    <w:rsid w:val="0009344A"/>
    <w:rsid w:val="00095DFF"/>
    <w:rsid w:val="000A0A3E"/>
    <w:rsid w:val="000A392E"/>
    <w:rsid w:val="000A4746"/>
    <w:rsid w:val="000A575F"/>
    <w:rsid w:val="000B47BF"/>
    <w:rsid w:val="000C225B"/>
    <w:rsid w:val="000C29DF"/>
    <w:rsid w:val="000D05CB"/>
    <w:rsid w:val="000D10DB"/>
    <w:rsid w:val="000D2BCE"/>
    <w:rsid w:val="000D407B"/>
    <w:rsid w:val="000E1E37"/>
    <w:rsid w:val="000E5EB5"/>
    <w:rsid w:val="000E7075"/>
    <w:rsid w:val="000F02EC"/>
    <w:rsid w:val="000F056E"/>
    <w:rsid w:val="000F0824"/>
    <w:rsid w:val="000F35ED"/>
    <w:rsid w:val="000F3C3B"/>
    <w:rsid w:val="000F465A"/>
    <w:rsid w:val="000F59E2"/>
    <w:rsid w:val="000F5F2D"/>
    <w:rsid w:val="00107131"/>
    <w:rsid w:val="0010736F"/>
    <w:rsid w:val="00111FDC"/>
    <w:rsid w:val="001134A1"/>
    <w:rsid w:val="00113F73"/>
    <w:rsid w:val="0012027B"/>
    <w:rsid w:val="00121CC2"/>
    <w:rsid w:val="00130420"/>
    <w:rsid w:val="00131425"/>
    <w:rsid w:val="00133EE5"/>
    <w:rsid w:val="00135499"/>
    <w:rsid w:val="001510C5"/>
    <w:rsid w:val="0015692A"/>
    <w:rsid w:val="001641BA"/>
    <w:rsid w:val="00165EB6"/>
    <w:rsid w:val="00167A34"/>
    <w:rsid w:val="00174378"/>
    <w:rsid w:val="00175057"/>
    <w:rsid w:val="00176E5D"/>
    <w:rsid w:val="001813E1"/>
    <w:rsid w:val="00194CC6"/>
    <w:rsid w:val="001A6789"/>
    <w:rsid w:val="001A7870"/>
    <w:rsid w:val="001B3A00"/>
    <w:rsid w:val="001B49DD"/>
    <w:rsid w:val="001B7932"/>
    <w:rsid w:val="001C1B41"/>
    <w:rsid w:val="001C376C"/>
    <w:rsid w:val="001D3954"/>
    <w:rsid w:val="001D65EF"/>
    <w:rsid w:val="001E2632"/>
    <w:rsid w:val="001E42F7"/>
    <w:rsid w:val="001E49E7"/>
    <w:rsid w:val="001F7201"/>
    <w:rsid w:val="001F755E"/>
    <w:rsid w:val="00210593"/>
    <w:rsid w:val="00216A1D"/>
    <w:rsid w:val="0022044E"/>
    <w:rsid w:val="0022072D"/>
    <w:rsid w:val="00221A21"/>
    <w:rsid w:val="00222F75"/>
    <w:rsid w:val="00223A29"/>
    <w:rsid w:val="002250A3"/>
    <w:rsid w:val="00235217"/>
    <w:rsid w:val="0023774E"/>
    <w:rsid w:val="00237C14"/>
    <w:rsid w:val="00246D1F"/>
    <w:rsid w:val="00247403"/>
    <w:rsid w:val="00247542"/>
    <w:rsid w:val="00251109"/>
    <w:rsid w:val="0025568F"/>
    <w:rsid w:val="00262240"/>
    <w:rsid w:val="00266B61"/>
    <w:rsid w:val="0026712A"/>
    <w:rsid w:val="002704DB"/>
    <w:rsid w:val="002725D9"/>
    <w:rsid w:val="00292BF4"/>
    <w:rsid w:val="00292FAD"/>
    <w:rsid w:val="002A0AAE"/>
    <w:rsid w:val="002A4DF0"/>
    <w:rsid w:val="002A5820"/>
    <w:rsid w:val="002B0B90"/>
    <w:rsid w:val="002C3A5E"/>
    <w:rsid w:val="002C3B2B"/>
    <w:rsid w:val="002D1AB4"/>
    <w:rsid w:val="002D2B26"/>
    <w:rsid w:val="002D7EA2"/>
    <w:rsid w:val="002E187C"/>
    <w:rsid w:val="002E4781"/>
    <w:rsid w:val="002F3179"/>
    <w:rsid w:val="002F3BFD"/>
    <w:rsid w:val="002F6E47"/>
    <w:rsid w:val="00302733"/>
    <w:rsid w:val="00314078"/>
    <w:rsid w:val="0031535D"/>
    <w:rsid w:val="00320752"/>
    <w:rsid w:val="003239B8"/>
    <w:rsid w:val="00330F68"/>
    <w:rsid w:val="003312DF"/>
    <w:rsid w:val="0033169F"/>
    <w:rsid w:val="00336D02"/>
    <w:rsid w:val="00344977"/>
    <w:rsid w:val="00346C95"/>
    <w:rsid w:val="00356185"/>
    <w:rsid w:val="00360380"/>
    <w:rsid w:val="00366053"/>
    <w:rsid w:val="0037519E"/>
    <w:rsid w:val="00375317"/>
    <w:rsid w:val="00377E2B"/>
    <w:rsid w:val="003808BD"/>
    <w:rsid w:val="003812C4"/>
    <w:rsid w:val="0038223E"/>
    <w:rsid w:val="003851E5"/>
    <w:rsid w:val="00386902"/>
    <w:rsid w:val="00386CF0"/>
    <w:rsid w:val="003875BC"/>
    <w:rsid w:val="003A2774"/>
    <w:rsid w:val="003A3E87"/>
    <w:rsid w:val="003B4E83"/>
    <w:rsid w:val="003B5776"/>
    <w:rsid w:val="003B70FB"/>
    <w:rsid w:val="003C4D17"/>
    <w:rsid w:val="003C676B"/>
    <w:rsid w:val="003D1FDE"/>
    <w:rsid w:val="003D3BC2"/>
    <w:rsid w:val="003D5EAE"/>
    <w:rsid w:val="003E04BE"/>
    <w:rsid w:val="003E6CA1"/>
    <w:rsid w:val="004065A8"/>
    <w:rsid w:val="00411591"/>
    <w:rsid w:val="00414D51"/>
    <w:rsid w:val="004165C2"/>
    <w:rsid w:val="004217A5"/>
    <w:rsid w:val="004273CC"/>
    <w:rsid w:val="00431AEE"/>
    <w:rsid w:val="004408F5"/>
    <w:rsid w:val="00441ECB"/>
    <w:rsid w:val="004448FD"/>
    <w:rsid w:val="00445193"/>
    <w:rsid w:val="004514EE"/>
    <w:rsid w:val="0045175F"/>
    <w:rsid w:val="00454E8C"/>
    <w:rsid w:val="00462C1B"/>
    <w:rsid w:val="00467811"/>
    <w:rsid w:val="00467B7E"/>
    <w:rsid w:val="00470D83"/>
    <w:rsid w:val="00473BB4"/>
    <w:rsid w:val="00477592"/>
    <w:rsid w:val="0048136A"/>
    <w:rsid w:val="00484027"/>
    <w:rsid w:val="0048440B"/>
    <w:rsid w:val="0048671B"/>
    <w:rsid w:val="00486F1C"/>
    <w:rsid w:val="0049419D"/>
    <w:rsid w:val="00494CCE"/>
    <w:rsid w:val="004A4B9C"/>
    <w:rsid w:val="004A6A54"/>
    <w:rsid w:val="004A7056"/>
    <w:rsid w:val="004B052B"/>
    <w:rsid w:val="004B2127"/>
    <w:rsid w:val="004C0E8D"/>
    <w:rsid w:val="004C1EDB"/>
    <w:rsid w:val="004C20D2"/>
    <w:rsid w:val="004C2312"/>
    <w:rsid w:val="004C4B62"/>
    <w:rsid w:val="004C4DA6"/>
    <w:rsid w:val="004C54C9"/>
    <w:rsid w:val="004D4ABA"/>
    <w:rsid w:val="004D6025"/>
    <w:rsid w:val="004D70F9"/>
    <w:rsid w:val="004E2649"/>
    <w:rsid w:val="004E3248"/>
    <w:rsid w:val="004E3564"/>
    <w:rsid w:val="004F1980"/>
    <w:rsid w:val="004F516B"/>
    <w:rsid w:val="004F626F"/>
    <w:rsid w:val="00501399"/>
    <w:rsid w:val="00503066"/>
    <w:rsid w:val="0050633D"/>
    <w:rsid w:val="00507BC4"/>
    <w:rsid w:val="00511602"/>
    <w:rsid w:val="005128E4"/>
    <w:rsid w:val="005133DB"/>
    <w:rsid w:val="00514504"/>
    <w:rsid w:val="00514BBA"/>
    <w:rsid w:val="005252DB"/>
    <w:rsid w:val="00525560"/>
    <w:rsid w:val="00530A97"/>
    <w:rsid w:val="00533A62"/>
    <w:rsid w:val="0053487B"/>
    <w:rsid w:val="005407EF"/>
    <w:rsid w:val="00544C49"/>
    <w:rsid w:val="00550353"/>
    <w:rsid w:val="005516A1"/>
    <w:rsid w:val="0055189F"/>
    <w:rsid w:val="005559EF"/>
    <w:rsid w:val="005612C0"/>
    <w:rsid w:val="00563557"/>
    <w:rsid w:val="0057402A"/>
    <w:rsid w:val="00575C7B"/>
    <w:rsid w:val="00576510"/>
    <w:rsid w:val="005771D0"/>
    <w:rsid w:val="0057722B"/>
    <w:rsid w:val="00585A16"/>
    <w:rsid w:val="0059191A"/>
    <w:rsid w:val="00592102"/>
    <w:rsid w:val="005921FF"/>
    <w:rsid w:val="005A24ED"/>
    <w:rsid w:val="005A6D0E"/>
    <w:rsid w:val="005B1F7D"/>
    <w:rsid w:val="005B458D"/>
    <w:rsid w:val="005B52B0"/>
    <w:rsid w:val="005B6806"/>
    <w:rsid w:val="005B707C"/>
    <w:rsid w:val="005C0974"/>
    <w:rsid w:val="005C4225"/>
    <w:rsid w:val="005C5F50"/>
    <w:rsid w:val="005D0747"/>
    <w:rsid w:val="005D6FF2"/>
    <w:rsid w:val="005E1769"/>
    <w:rsid w:val="005E531B"/>
    <w:rsid w:val="005E7F2E"/>
    <w:rsid w:val="005F0DAD"/>
    <w:rsid w:val="005F0F33"/>
    <w:rsid w:val="00600D0F"/>
    <w:rsid w:val="00600DEB"/>
    <w:rsid w:val="00601040"/>
    <w:rsid w:val="00614C17"/>
    <w:rsid w:val="00620511"/>
    <w:rsid w:val="006215B7"/>
    <w:rsid w:val="006235D9"/>
    <w:rsid w:val="00627C9F"/>
    <w:rsid w:val="006311E9"/>
    <w:rsid w:val="00632354"/>
    <w:rsid w:val="00635421"/>
    <w:rsid w:val="00636BE2"/>
    <w:rsid w:val="006400A3"/>
    <w:rsid w:val="00642810"/>
    <w:rsid w:val="006428C3"/>
    <w:rsid w:val="00644D7B"/>
    <w:rsid w:val="00652333"/>
    <w:rsid w:val="00653281"/>
    <w:rsid w:val="00656506"/>
    <w:rsid w:val="00666BBA"/>
    <w:rsid w:val="00675B2C"/>
    <w:rsid w:val="0068009E"/>
    <w:rsid w:val="006856C8"/>
    <w:rsid w:val="00691772"/>
    <w:rsid w:val="00692219"/>
    <w:rsid w:val="0069536F"/>
    <w:rsid w:val="00696E84"/>
    <w:rsid w:val="006A17D2"/>
    <w:rsid w:val="006A53B4"/>
    <w:rsid w:val="006A73E6"/>
    <w:rsid w:val="006B1378"/>
    <w:rsid w:val="006B2D5C"/>
    <w:rsid w:val="006B2F11"/>
    <w:rsid w:val="006B77EA"/>
    <w:rsid w:val="006C0B13"/>
    <w:rsid w:val="006C3525"/>
    <w:rsid w:val="006C4EB1"/>
    <w:rsid w:val="006C6FCF"/>
    <w:rsid w:val="006D2CF2"/>
    <w:rsid w:val="006D46DB"/>
    <w:rsid w:val="006D4A83"/>
    <w:rsid w:val="006E0166"/>
    <w:rsid w:val="006E2FFB"/>
    <w:rsid w:val="006E3931"/>
    <w:rsid w:val="006E7B34"/>
    <w:rsid w:val="006F16D7"/>
    <w:rsid w:val="006F2CD3"/>
    <w:rsid w:val="0070697F"/>
    <w:rsid w:val="00711AC0"/>
    <w:rsid w:val="00713516"/>
    <w:rsid w:val="00720524"/>
    <w:rsid w:val="0072199C"/>
    <w:rsid w:val="00721AA7"/>
    <w:rsid w:val="00722C9F"/>
    <w:rsid w:val="007253B8"/>
    <w:rsid w:val="00725B0E"/>
    <w:rsid w:val="00725ED7"/>
    <w:rsid w:val="0073361D"/>
    <w:rsid w:val="0073741F"/>
    <w:rsid w:val="00750723"/>
    <w:rsid w:val="00750DE0"/>
    <w:rsid w:val="0076239A"/>
    <w:rsid w:val="00763850"/>
    <w:rsid w:val="0076643F"/>
    <w:rsid w:val="00777F63"/>
    <w:rsid w:val="0078377F"/>
    <w:rsid w:val="00785D5C"/>
    <w:rsid w:val="007A2CE0"/>
    <w:rsid w:val="007A5817"/>
    <w:rsid w:val="007A601B"/>
    <w:rsid w:val="007A6729"/>
    <w:rsid w:val="007B05C4"/>
    <w:rsid w:val="007B09E7"/>
    <w:rsid w:val="007B124F"/>
    <w:rsid w:val="007B543E"/>
    <w:rsid w:val="007B60E9"/>
    <w:rsid w:val="007B6CC3"/>
    <w:rsid w:val="007B767B"/>
    <w:rsid w:val="007B76D3"/>
    <w:rsid w:val="007B7D07"/>
    <w:rsid w:val="007C05DE"/>
    <w:rsid w:val="007C3334"/>
    <w:rsid w:val="007C4159"/>
    <w:rsid w:val="007D18E4"/>
    <w:rsid w:val="007D2B98"/>
    <w:rsid w:val="007D328D"/>
    <w:rsid w:val="007D7946"/>
    <w:rsid w:val="007E21BC"/>
    <w:rsid w:val="007E3525"/>
    <w:rsid w:val="007E42AB"/>
    <w:rsid w:val="007E514C"/>
    <w:rsid w:val="007E75F4"/>
    <w:rsid w:val="007E7C82"/>
    <w:rsid w:val="007F2AA1"/>
    <w:rsid w:val="007F588D"/>
    <w:rsid w:val="007F58A4"/>
    <w:rsid w:val="007F72F1"/>
    <w:rsid w:val="00803423"/>
    <w:rsid w:val="00803C12"/>
    <w:rsid w:val="00803F1C"/>
    <w:rsid w:val="0080600E"/>
    <w:rsid w:val="00807EA2"/>
    <w:rsid w:val="00811520"/>
    <w:rsid w:val="00812C82"/>
    <w:rsid w:val="00814688"/>
    <w:rsid w:val="00816C16"/>
    <w:rsid w:val="00817612"/>
    <w:rsid w:val="008338A4"/>
    <w:rsid w:val="00834D49"/>
    <w:rsid w:val="00835105"/>
    <w:rsid w:val="00837C45"/>
    <w:rsid w:val="00840AE8"/>
    <w:rsid w:val="00844730"/>
    <w:rsid w:val="008457C2"/>
    <w:rsid w:val="0084689A"/>
    <w:rsid w:val="00857A82"/>
    <w:rsid w:val="0086038A"/>
    <w:rsid w:val="00861DE4"/>
    <w:rsid w:val="00866A35"/>
    <w:rsid w:val="0086785F"/>
    <w:rsid w:val="00873681"/>
    <w:rsid w:val="00873836"/>
    <w:rsid w:val="00874720"/>
    <w:rsid w:val="00877CC5"/>
    <w:rsid w:val="00885737"/>
    <w:rsid w:val="00885993"/>
    <w:rsid w:val="00890650"/>
    <w:rsid w:val="008915D3"/>
    <w:rsid w:val="00895C51"/>
    <w:rsid w:val="00897E12"/>
    <w:rsid w:val="008A1AB1"/>
    <w:rsid w:val="008A7D0D"/>
    <w:rsid w:val="008A7E0F"/>
    <w:rsid w:val="008B12F5"/>
    <w:rsid w:val="008B35B3"/>
    <w:rsid w:val="008B46CA"/>
    <w:rsid w:val="008B75ED"/>
    <w:rsid w:val="008C119E"/>
    <w:rsid w:val="008C12AE"/>
    <w:rsid w:val="008C2E5A"/>
    <w:rsid w:val="008C5E2D"/>
    <w:rsid w:val="008D114A"/>
    <w:rsid w:val="008D5BF9"/>
    <w:rsid w:val="008D6733"/>
    <w:rsid w:val="008D768D"/>
    <w:rsid w:val="008E107C"/>
    <w:rsid w:val="008E3759"/>
    <w:rsid w:val="008E3BFE"/>
    <w:rsid w:val="008E4ADB"/>
    <w:rsid w:val="008E4F1C"/>
    <w:rsid w:val="008E580E"/>
    <w:rsid w:val="008F1291"/>
    <w:rsid w:val="008F1912"/>
    <w:rsid w:val="008F3A97"/>
    <w:rsid w:val="0090270B"/>
    <w:rsid w:val="00903910"/>
    <w:rsid w:val="00904013"/>
    <w:rsid w:val="009041DC"/>
    <w:rsid w:val="00904913"/>
    <w:rsid w:val="00904C8E"/>
    <w:rsid w:val="00904DA3"/>
    <w:rsid w:val="00905089"/>
    <w:rsid w:val="009125DA"/>
    <w:rsid w:val="009148D8"/>
    <w:rsid w:val="00915722"/>
    <w:rsid w:val="009170E3"/>
    <w:rsid w:val="00917B5A"/>
    <w:rsid w:val="0092018B"/>
    <w:rsid w:val="00920A58"/>
    <w:rsid w:val="00920A8C"/>
    <w:rsid w:val="009222E5"/>
    <w:rsid w:val="00930D2A"/>
    <w:rsid w:val="00934A2C"/>
    <w:rsid w:val="009354FF"/>
    <w:rsid w:val="0094529B"/>
    <w:rsid w:val="00965DB6"/>
    <w:rsid w:val="0096697B"/>
    <w:rsid w:val="0096706E"/>
    <w:rsid w:val="009678C1"/>
    <w:rsid w:val="00974491"/>
    <w:rsid w:val="00975C4E"/>
    <w:rsid w:val="00980F2C"/>
    <w:rsid w:val="00981FBA"/>
    <w:rsid w:val="00982926"/>
    <w:rsid w:val="00986760"/>
    <w:rsid w:val="00990498"/>
    <w:rsid w:val="009926DA"/>
    <w:rsid w:val="00997BC5"/>
    <w:rsid w:val="009A4F41"/>
    <w:rsid w:val="009A7A58"/>
    <w:rsid w:val="009B12E1"/>
    <w:rsid w:val="009B381B"/>
    <w:rsid w:val="009B3FC4"/>
    <w:rsid w:val="009C6CB7"/>
    <w:rsid w:val="009D1753"/>
    <w:rsid w:val="009D7611"/>
    <w:rsid w:val="009E0B61"/>
    <w:rsid w:val="009E3735"/>
    <w:rsid w:val="009E41D6"/>
    <w:rsid w:val="009E4EC3"/>
    <w:rsid w:val="009E53DE"/>
    <w:rsid w:val="009E5A77"/>
    <w:rsid w:val="009E5B34"/>
    <w:rsid w:val="009E5BFC"/>
    <w:rsid w:val="00A059AE"/>
    <w:rsid w:val="00A075A7"/>
    <w:rsid w:val="00A11212"/>
    <w:rsid w:val="00A11E44"/>
    <w:rsid w:val="00A16C90"/>
    <w:rsid w:val="00A244EB"/>
    <w:rsid w:val="00A30100"/>
    <w:rsid w:val="00A3035E"/>
    <w:rsid w:val="00A322E4"/>
    <w:rsid w:val="00A328B3"/>
    <w:rsid w:val="00A3454F"/>
    <w:rsid w:val="00A36259"/>
    <w:rsid w:val="00A47F17"/>
    <w:rsid w:val="00A50FCF"/>
    <w:rsid w:val="00A528D1"/>
    <w:rsid w:val="00A55249"/>
    <w:rsid w:val="00A553B1"/>
    <w:rsid w:val="00A603CD"/>
    <w:rsid w:val="00A610CD"/>
    <w:rsid w:val="00A62142"/>
    <w:rsid w:val="00A64E7D"/>
    <w:rsid w:val="00A71294"/>
    <w:rsid w:val="00A758AA"/>
    <w:rsid w:val="00A75E36"/>
    <w:rsid w:val="00A850E6"/>
    <w:rsid w:val="00A861CD"/>
    <w:rsid w:val="00A9295D"/>
    <w:rsid w:val="00A93C5B"/>
    <w:rsid w:val="00AA09A2"/>
    <w:rsid w:val="00AA7996"/>
    <w:rsid w:val="00AB2DCE"/>
    <w:rsid w:val="00AC0FB1"/>
    <w:rsid w:val="00AC19CB"/>
    <w:rsid w:val="00AC75CA"/>
    <w:rsid w:val="00AE0953"/>
    <w:rsid w:val="00AE21A6"/>
    <w:rsid w:val="00AE5488"/>
    <w:rsid w:val="00AE6F91"/>
    <w:rsid w:val="00AF5571"/>
    <w:rsid w:val="00AF5738"/>
    <w:rsid w:val="00AF6BF7"/>
    <w:rsid w:val="00AF752C"/>
    <w:rsid w:val="00B02958"/>
    <w:rsid w:val="00B050C7"/>
    <w:rsid w:val="00B07341"/>
    <w:rsid w:val="00B12A05"/>
    <w:rsid w:val="00B168CA"/>
    <w:rsid w:val="00B2016D"/>
    <w:rsid w:val="00B209A8"/>
    <w:rsid w:val="00B22BAC"/>
    <w:rsid w:val="00B23183"/>
    <w:rsid w:val="00B261A9"/>
    <w:rsid w:val="00B30049"/>
    <w:rsid w:val="00B30539"/>
    <w:rsid w:val="00B314DB"/>
    <w:rsid w:val="00B318C1"/>
    <w:rsid w:val="00B361F2"/>
    <w:rsid w:val="00B3718B"/>
    <w:rsid w:val="00B3745F"/>
    <w:rsid w:val="00B43081"/>
    <w:rsid w:val="00B43505"/>
    <w:rsid w:val="00B44CE6"/>
    <w:rsid w:val="00B45E23"/>
    <w:rsid w:val="00B46185"/>
    <w:rsid w:val="00B4632A"/>
    <w:rsid w:val="00B52C2E"/>
    <w:rsid w:val="00B530F1"/>
    <w:rsid w:val="00B53C36"/>
    <w:rsid w:val="00B72CC1"/>
    <w:rsid w:val="00B737C4"/>
    <w:rsid w:val="00B7549F"/>
    <w:rsid w:val="00B832CD"/>
    <w:rsid w:val="00B84304"/>
    <w:rsid w:val="00BA276C"/>
    <w:rsid w:val="00BB306F"/>
    <w:rsid w:val="00BB49AE"/>
    <w:rsid w:val="00BB50FF"/>
    <w:rsid w:val="00BB79D4"/>
    <w:rsid w:val="00BD4B89"/>
    <w:rsid w:val="00BD5922"/>
    <w:rsid w:val="00BE5E6F"/>
    <w:rsid w:val="00BE646F"/>
    <w:rsid w:val="00BE75F5"/>
    <w:rsid w:val="00BF02CB"/>
    <w:rsid w:val="00BF6FD8"/>
    <w:rsid w:val="00C01815"/>
    <w:rsid w:val="00C03680"/>
    <w:rsid w:val="00C054DF"/>
    <w:rsid w:val="00C06FD6"/>
    <w:rsid w:val="00C14BD4"/>
    <w:rsid w:val="00C21762"/>
    <w:rsid w:val="00C21FEF"/>
    <w:rsid w:val="00C237D9"/>
    <w:rsid w:val="00C23BA4"/>
    <w:rsid w:val="00C24543"/>
    <w:rsid w:val="00C256A2"/>
    <w:rsid w:val="00C25ADB"/>
    <w:rsid w:val="00C2623F"/>
    <w:rsid w:val="00C318F4"/>
    <w:rsid w:val="00C329D3"/>
    <w:rsid w:val="00C470F1"/>
    <w:rsid w:val="00C51515"/>
    <w:rsid w:val="00C5407F"/>
    <w:rsid w:val="00C5660B"/>
    <w:rsid w:val="00C57398"/>
    <w:rsid w:val="00C6279E"/>
    <w:rsid w:val="00C64D9E"/>
    <w:rsid w:val="00C65A7C"/>
    <w:rsid w:val="00C661B1"/>
    <w:rsid w:val="00C66B72"/>
    <w:rsid w:val="00C67C1E"/>
    <w:rsid w:val="00C70198"/>
    <w:rsid w:val="00C72339"/>
    <w:rsid w:val="00C72A01"/>
    <w:rsid w:val="00C74717"/>
    <w:rsid w:val="00C87AC4"/>
    <w:rsid w:val="00C92C03"/>
    <w:rsid w:val="00C9491D"/>
    <w:rsid w:val="00C94A24"/>
    <w:rsid w:val="00C9567A"/>
    <w:rsid w:val="00CA0D76"/>
    <w:rsid w:val="00CA232E"/>
    <w:rsid w:val="00CA499E"/>
    <w:rsid w:val="00CA4D19"/>
    <w:rsid w:val="00CA6F30"/>
    <w:rsid w:val="00CB212D"/>
    <w:rsid w:val="00CB2660"/>
    <w:rsid w:val="00CC388E"/>
    <w:rsid w:val="00CC5E90"/>
    <w:rsid w:val="00CD046C"/>
    <w:rsid w:val="00CD29BB"/>
    <w:rsid w:val="00CD7AF9"/>
    <w:rsid w:val="00CE076C"/>
    <w:rsid w:val="00CE5199"/>
    <w:rsid w:val="00CE66D5"/>
    <w:rsid w:val="00CE7283"/>
    <w:rsid w:val="00CF637A"/>
    <w:rsid w:val="00CF7AFD"/>
    <w:rsid w:val="00D03ABC"/>
    <w:rsid w:val="00D059DE"/>
    <w:rsid w:val="00D05ABD"/>
    <w:rsid w:val="00D06F66"/>
    <w:rsid w:val="00D07E2F"/>
    <w:rsid w:val="00D13FCE"/>
    <w:rsid w:val="00D14F49"/>
    <w:rsid w:val="00D16A77"/>
    <w:rsid w:val="00D2102D"/>
    <w:rsid w:val="00D276C6"/>
    <w:rsid w:val="00D306D1"/>
    <w:rsid w:val="00D30800"/>
    <w:rsid w:val="00D34786"/>
    <w:rsid w:val="00D349A9"/>
    <w:rsid w:val="00D34BDB"/>
    <w:rsid w:val="00D37BFC"/>
    <w:rsid w:val="00D47A8E"/>
    <w:rsid w:val="00D52D14"/>
    <w:rsid w:val="00D555CE"/>
    <w:rsid w:val="00D56E2A"/>
    <w:rsid w:val="00D61D36"/>
    <w:rsid w:val="00D704FD"/>
    <w:rsid w:val="00D712D3"/>
    <w:rsid w:val="00D71422"/>
    <w:rsid w:val="00D71B72"/>
    <w:rsid w:val="00D72DC6"/>
    <w:rsid w:val="00D73BA4"/>
    <w:rsid w:val="00D7558D"/>
    <w:rsid w:val="00D81D92"/>
    <w:rsid w:val="00D848AC"/>
    <w:rsid w:val="00D876F9"/>
    <w:rsid w:val="00DA23D4"/>
    <w:rsid w:val="00DA7B5F"/>
    <w:rsid w:val="00DB597D"/>
    <w:rsid w:val="00DC11E7"/>
    <w:rsid w:val="00DC24E3"/>
    <w:rsid w:val="00DC5DC6"/>
    <w:rsid w:val="00DC7023"/>
    <w:rsid w:val="00DC769A"/>
    <w:rsid w:val="00DD3D86"/>
    <w:rsid w:val="00DD4AD2"/>
    <w:rsid w:val="00DE0342"/>
    <w:rsid w:val="00DE52FF"/>
    <w:rsid w:val="00DF1EC4"/>
    <w:rsid w:val="00DF6EFB"/>
    <w:rsid w:val="00E0340B"/>
    <w:rsid w:val="00E04A90"/>
    <w:rsid w:val="00E0551F"/>
    <w:rsid w:val="00E17F9D"/>
    <w:rsid w:val="00E219C7"/>
    <w:rsid w:val="00E25454"/>
    <w:rsid w:val="00E4118C"/>
    <w:rsid w:val="00E421E3"/>
    <w:rsid w:val="00E43157"/>
    <w:rsid w:val="00E461CE"/>
    <w:rsid w:val="00E573E4"/>
    <w:rsid w:val="00E614FE"/>
    <w:rsid w:val="00E67981"/>
    <w:rsid w:val="00E67AE5"/>
    <w:rsid w:val="00E71C69"/>
    <w:rsid w:val="00E720CA"/>
    <w:rsid w:val="00E8086F"/>
    <w:rsid w:val="00E84EB5"/>
    <w:rsid w:val="00E85662"/>
    <w:rsid w:val="00E8789F"/>
    <w:rsid w:val="00E92899"/>
    <w:rsid w:val="00E97B71"/>
    <w:rsid w:val="00EA3D34"/>
    <w:rsid w:val="00EA7F7F"/>
    <w:rsid w:val="00EB2FE4"/>
    <w:rsid w:val="00EB454D"/>
    <w:rsid w:val="00EB507E"/>
    <w:rsid w:val="00EC747F"/>
    <w:rsid w:val="00ED3636"/>
    <w:rsid w:val="00ED549D"/>
    <w:rsid w:val="00ED560B"/>
    <w:rsid w:val="00ED715D"/>
    <w:rsid w:val="00ED76BE"/>
    <w:rsid w:val="00EE00E9"/>
    <w:rsid w:val="00EE247F"/>
    <w:rsid w:val="00EE57EB"/>
    <w:rsid w:val="00EF1AAA"/>
    <w:rsid w:val="00EF1E3A"/>
    <w:rsid w:val="00EF4225"/>
    <w:rsid w:val="00EF4A29"/>
    <w:rsid w:val="00EF619B"/>
    <w:rsid w:val="00EF6510"/>
    <w:rsid w:val="00F007EE"/>
    <w:rsid w:val="00F00B55"/>
    <w:rsid w:val="00F02AD1"/>
    <w:rsid w:val="00F06359"/>
    <w:rsid w:val="00F115A5"/>
    <w:rsid w:val="00F14B36"/>
    <w:rsid w:val="00F20330"/>
    <w:rsid w:val="00F253CC"/>
    <w:rsid w:val="00F27404"/>
    <w:rsid w:val="00F3260F"/>
    <w:rsid w:val="00F37106"/>
    <w:rsid w:val="00F37E90"/>
    <w:rsid w:val="00F44E25"/>
    <w:rsid w:val="00F51856"/>
    <w:rsid w:val="00F519CF"/>
    <w:rsid w:val="00F52F40"/>
    <w:rsid w:val="00F56BA5"/>
    <w:rsid w:val="00F60E22"/>
    <w:rsid w:val="00F63A2C"/>
    <w:rsid w:val="00F65FC7"/>
    <w:rsid w:val="00F66E5C"/>
    <w:rsid w:val="00F7295F"/>
    <w:rsid w:val="00F81395"/>
    <w:rsid w:val="00F81BB8"/>
    <w:rsid w:val="00F8437D"/>
    <w:rsid w:val="00F90C64"/>
    <w:rsid w:val="00F917D1"/>
    <w:rsid w:val="00F940C0"/>
    <w:rsid w:val="00F94965"/>
    <w:rsid w:val="00F9653B"/>
    <w:rsid w:val="00FA0C29"/>
    <w:rsid w:val="00FA12E5"/>
    <w:rsid w:val="00FA2B24"/>
    <w:rsid w:val="00FA2D1B"/>
    <w:rsid w:val="00FA61A4"/>
    <w:rsid w:val="00FB35E7"/>
    <w:rsid w:val="00FB62CF"/>
    <w:rsid w:val="00FC0324"/>
    <w:rsid w:val="00FC03F3"/>
    <w:rsid w:val="00FD3C3B"/>
    <w:rsid w:val="00FD50A4"/>
    <w:rsid w:val="00FE0584"/>
    <w:rsid w:val="00FE07DD"/>
    <w:rsid w:val="00FE236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1D3"/>
    <w:rsid w:val="0002647A"/>
    <w:rsid w:val="001C2FE6"/>
    <w:rsid w:val="00200821"/>
    <w:rsid w:val="00251339"/>
    <w:rsid w:val="0025245B"/>
    <w:rsid w:val="00253913"/>
    <w:rsid w:val="002C52A7"/>
    <w:rsid w:val="002E45B9"/>
    <w:rsid w:val="00310904"/>
    <w:rsid w:val="00394049"/>
    <w:rsid w:val="00422A7E"/>
    <w:rsid w:val="00425C3C"/>
    <w:rsid w:val="004B5BBB"/>
    <w:rsid w:val="004F2DF8"/>
    <w:rsid w:val="00555DD5"/>
    <w:rsid w:val="006F24A1"/>
    <w:rsid w:val="0081121B"/>
    <w:rsid w:val="00834D3E"/>
    <w:rsid w:val="008B205E"/>
    <w:rsid w:val="00930FDC"/>
    <w:rsid w:val="009A261B"/>
    <w:rsid w:val="009C33C1"/>
    <w:rsid w:val="009E5C9A"/>
    <w:rsid w:val="009F0134"/>
    <w:rsid w:val="009F1AE2"/>
    <w:rsid w:val="00AA2E17"/>
    <w:rsid w:val="00AC15A4"/>
    <w:rsid w:val="00B0336C"/>
    <w:rsid w:val="00B17E31"/>
    <w:rsid w:val="00B81461"/>
    <w:rsid w:val="00BE2C6D"/>
    <w:rsid w:val="00C35B5F"/>
    <w:rsid w:val="00D241E9"/>
    <w:rsid w:val="00D25363"/>
    <w:rsid w:val="00D54B5E"/>
    <w:rsid w:val="00D7750D"/>
    <w:rsid w:val="00F00D2F"/>
    <w:rsid w:val="00F128DF"/>
    <w:rsid w:val="00F5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E9BB-CD80-4287-8AB9-88D9724B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3147</Words>
  <Characters>17939</Characters>
  <Application>Microsoft Office Word</Application>
  <DocSecurity>0</DocSecurity>
  <Lines>149</Lines>
  <Paragraphs>42</Paragraphs>
  <ScaleCrop>false</ScaleCrop>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2023-01-25T16:51:00Z</dcterms:created>
  <dcterms:modified xsi:type="dcterms:W3CDTF">2023-01-25T16:51:00Z</dcterms:modified>
</cp:coreProperties>
</file>