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2396D" w14:textId="03437AEF" w:rsidR="008874B2" w:rsidRPr="0058501F" w:rsidRDefault="00F24336" w:rsidP="008874B2">
      <w:pPr>
        <w:pBdr>
          <w:top w:val="nil"/>
          <w:left w:val="nil"/>
          <w:bottom w:val="nil"/>
          <w:right w:val="nil"/>
          <w:between w:val="nil"/>
          <w:bar w:val="nil"/>
        </w:pBdr>
        <w:spacing w:after="0" w:line="240" w:lineRule="auto"/>
        <w:jc w:val="both"/>
        <w:rPr>
          <w:rFonts w:ascii="Cambria" w:eastAsia="Arial Unicode MS" w:hAnsi="Cambria" w:cs="Univers"/>
          <w:b/>
          <w:bCs/>
          <w:bdr w:val="nil"/>
          <w:lang w:val="es-ES_tradnl"/>
        </w:rPr>
      </w:pPr>
      <w:r>
        <w:rPr>
          <w:noProof/>
        </w:rPr>
        <mc:AlternateContent>
          <mc:Choice Requires="wps">
            <w:drawing>
              <wp:anchor distT="0" distB="0" distL="114300" distR="114300" simplePos="0" relativeHeight="251660800" behindDoc="0" locked="0" layoutInCell="1" allowOverlap="1" wp14:anchorId="1CE044A7" wp14:editId="008ED9BB">
                <wp:simplePos x="0" y="0"/>
                <wp:positionH relativeFrom="column">
                  <wp:posOffset>-417830</wp:posOffset>
                </wp:positionH>
                <wp:positionV relativeFrom="paragraph">
                  <wp:posOffset>-359410</wp:posOffset>
                </wp:positionV>
                <wp:extent cx="1543050" cy="9096375"/>
                <wp:effectExtent l="0" t="0" r="0" b="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543050" cy="9096375"/>
                        </a:xfrm>
                        <a:prstGeom prst="rect">
                          <a:avLst/>
                        </a:prstGeom>
                        <a:solidFill>
                          <a:srgbClr val="4A7194"/>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0DA354" id="Rectangle 14" o:spid="_x0000_s1026" style="position:absolute;margin-left:-32.9pt;margin-top:-28.3pt;width:121.5pt;height:716.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" fillcolor="#4a7194" stroked="f" strokeweight="1pt"/>
            </w:pict>
          </mc:Fallback>
        </mc:AlternateContent>
      </w:r>
      <w:r>
        <w:rPr>
          <w:noProof/>
        </w:rPr>
        <mc:AlternateContent>
          <mc:Choice Requires="wps">
            <w:drawing>
              <wp:anchor distT="0" distB="0" distL="114300" distR="114300" simplePos="0" relativeHeight="251652608" behindDoc="0" locked="0" layoutInCell="1" allowOverlap="1" wp14:anchorId="62B67423" wp14:editId="72E4D3DE">
                <wp:simplePos x="0" y="0"/>
                <wp:positionH relativeFrom="column">
                  <wp:posOffset>-415925</wp:posOffset>
                </wp:positionH>
                <wp:positionV relativeFrom="paragraph">
                  <wp:posOffset>-356870</wp:posOffset>
                </wp:positionV>
                <wp:extent cx="1409700" cy="8977630"/>
                <wp:effectExtent l="0" t="0" r="0" b="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409700" cy="8977630"/>
                        </a:xfrm>
                        <a:prstGeom prst="rect">
                          <a:avLst/>
                        </a:prstGeom>
                        <a:solidFill>
                          <a:srgbClr val="67AE3C"/>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FE164E" id="Rectangle 13" o:spid="_x0000_s1026" style="position:absolute;margin-left:-32.75pt;margin-top:-28.1pt;width:111pt;height:706.9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" fillcolor="#67ae3c" stroked="f" strokeweight="2pt"/>
            </w:pict>
          </mc:Fallback>
        </mc:AlternateContent>
      </w:r>
      <w:r>
        <w:rPr>
          <w:noProof/>
        </w:rPr>
        <mc:AlternateContent>
          <mc:Choice Requires="wps">
            <w:drawing>
              <wp:anchor distT="0" distB="0" distL="114300" distR="114300" simplePos="0" relativeHeight="251656704" behindDoc="0" locked="0" layoutInCell="1" allowOverlap="1" wp14:anchorId="0C9248C5" wp14:editId="3BB9F240">
                <wp:simplePos x="0" y="0"/>
                <wp:positionH relativeFrom="column">
                  <wp:posOffset>1143000</wp:posOffset>
                </wp:positionH>
                <wp:positionV relativeFrom="paragraph">
                  <wp:posOffset>-371475</wp:posOffset>
                </wp:positionV>
                <wp:extent cx="4486275" cy="752475"/>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4486275" cy="752475"/>
                        </a:xfrm>
                        <a:prstGeom prst="rect">
                          <a:avLst/>
                        </a:prstGeom>
                        <a:noFill/>
                        <a:ln w="6350">
                          <a:noFill/>
                        </a:ln>
                        <a:effectLst/>
                      </wps:spPr>
                      <wps:txbx>
                        <w:txbxContent>
                          <w:p w14:paraId="477E0143" w14:textId="3978BE15" w:rsidR="00CC0FA0" w:rsidRDefault="00F24336" w:rsidP="008874B2">
                            <w:r w:rsidRPr="00FC423D">
                              <w:rPr>
                                <w:noProof/>
                              </w:rPr>
                              <w:drawing>
                                <wp:inline distT="0" distB="0" distL="0" distR="0" wp14:anchorId="7C7CFDC6" wp14:editId="080B6D9C">
                                  <wp:extent cx="2667000" cy="514350"/>
                                  <wp:effectExtent l="0" t="0" r="0" b="0"/>
                                  <wp:docPr id="3"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7000" cy="514350"/>
                                          </a:xfrm>
                                          <a:prstGeom prst="rect">
                                            <a:avLst/>
                                          </a:prstGeom>
                                          <a:noFill/>
                                          <a:ln>
                                            <a:noFill/>
                                          </a:ln>
                                        </pic:spPr>
                                      </pic:pic>
                                    </a:graphicData>
                                  </a:graphic>
                                </wp:inline>
                              </w:drawing>
                            </w:r>
                            <w:r w:rsidR="00CC0FA0">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9248C5" id="_x0000_t202" coordsize="21600,21600" o:spt="202" path="m,l,21600r21600,l21600,xe">
                <v:stroke joinstyle="miter"/>
                <v:path gradientshapeok="t" o:connecttype="rect"/>
              </v:shapetype>
              <v:shape id="Text Box 12" o:spid="_x0000_s1026" type="#_x0000_t202" style="position:absolute;left:0;text-align:left;margin-left:90pt;margin-top:-29.25pt;width:353.25pt;height:59.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" filled="f" stroked="f" strokeweight=".5pt">
                <v:textbox>
                  <w:txbxContent>
                    <w:p w14:paraId="477E0143" w14:textId="3978BE15" w:rsidR="00CC0FA0" w:rsidRDefault="00F24336" w:rsidP="008874B2">
                      <w:r w:rsidRPr="00FC423D">
                        <w:rPr>
                          <w:noProof/>
                        </w:rPr>
                        <w:drawing>
                          <wp:inline distT="0" distB="0" distL="0" distR="0" wp14:anchorId="7C7CFDC6" wp14:editId="080B6D9C">
                            <wp:extent cx="2667000" cy="514350"/>
                            <wp:effectExtent l="0" t="0" r="0" b="0"/>
                            <wp:docPr id="3"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7000" cy="514350"/>
                                    </a:xfrm>
                                    <a:prstGeom prst="rect">
                                      <a:avLst/>
                                    </a:prstGeom>
                                    <a:noFill/>
                                    <a:ln>
                                      <a:noFill/>
                                    </a:ln>
                                  </pic:spPr>
                                </pic:pic>
                              </a:graphicData>
                            </a:graphic>
                          </wp:inline>
                        </w:drawing>
                      </w:r>
                      <w:r w:rsidR="00CC0FA0">
                        <w:t xml:space="preserve">                                               </w:t>
                      </w:r>
                    </w:p>
                  </w:txbxContent>
                </v:textbox>
              </v:shape>
            </w:pict>
          </mc:Fallback>
        </mc:AlternateContent>
      </w:r>
    </w:p>
    <w:p w14:paraId="2EE1E3C4" w14:textId="77777777" w:rsidR="008874B2" w:rsidRPr="0058501F" w:rsidRDefault="008874B2" w:rsidP="008874B2">
      <w:pPr>
        <w:pBdr>
          <w:top w:val="nil"/>
          <w:left w:val="nil"/>
          <w:bottom w:val="nil"/>
          <w:right w:val="nil"/>
          <w:between w:val="nil"/>
          <w:bar w:val="nil"/>
        </w:pBdr>
        <w:tabs>
          <w:tab w:val="center" w:pos="5400"/>
        </w:tabs>
        <w:suppressAutoHyphens/>
        <w:spacing w:after="0" w:line="240" w:lineRule="auto"/>
        <w:jc w:val="both"/>
        <w:rPr>
          <w:rFonts w:ascii="Cambria" w:eastAsia="Arial Unicode MS" w:hAnsi="Cambria"/>
          <w:bdr w:val="nil"/>
          <w:lang w:val="es-ES_tradnl"/>
        </w:rPr>
      </w:pPr>
    </w:p>
    <w:p w14:paraId="2AEB8F86" w14:textId="77777777" w:rsidR="008874B2" w:rsidRPr="0058501F" w:rsidRDefault="008874B2" w:rsidP="008874B2">
      <w:pPr>
        <w:pBdr>
          <w:top w:val="nil"/>
          <w:left w:val="nil"/>
          <w:bottom w:val="nil"/>
          <w:right w:val="nil"/>
          <w:between w:val="nil"/>
          <w:bar w:val="nil"/>
        </w:pBdr>
        <w:tabs>
          <w:tab w:val="center" w:pos="5400"/>
        </w:tabs>
        <w:suppressAutoHyphens/>
        <w:spacing w:after="0" w:line="240" w:lineRule="auto"/>
        <w:jc w:val="both"/>
        <w:rPr>
          <w:rFonts w:ascii="Cambria" w:eastAsia="Arial Unicode MS" w:hAnsi="Cambria"/>
          <w:bdr w:val="nil"/>
          <w:lang w:val="es-ES_tradnl"/>
        </w:rPr>
      </w:pPr>
    </w:p>
    <w:p w14:paraId="29EDDFCC" w14:textId="77777777" w:rsidR="008874B2" w:rsidRPr="0058501F" w:rsidRDefault="008874B2" w:rsidP="008874B2">
      <w:pPr>
        <w:pBdr>
          <w:top w:val="nil"/>
          <w:left w:val="nil"/>
          <w:bottom w:val="nil"/>
          <w:right w:val="nil"/>
          <w:between w:val="nil"/>
          <w:bar w:val="nil"/>
        </w:pBdr>
        <w:tabs>
          <w:tab w:val="center" w:pos="5400"/>
        </w:tabs>
        <w:suppressAutoHyphens/>
        <w:spacing w:after="0" w:line="240" w:lineRule="auto"/>
        <w:rPr>
          <w:rFonts w:ascii="Cambria" w:eastAsia="Arial Unicode MS" w:hAnsi="Cambria"/>
          <w:bdr w:val="nil"/>
          <w:lang w:val="es-ES_tradnl"/>
        </w:rPr>
      </w:pPr>
    </w:p>
    <w:p w14:paraId="25AF5FF7" w14:textId="77777777" w:rsidR="008874B2" w:rsidRPr="0058501F" w:rsidRDefault="008874B2" w:rsidP="008874B2">
      <w:pPr>
        <w:pBdr>
          <w:top w:val="nil"/>
          <w:left w:val="nil"/>
          <w:bottom w:val="nil"/>
          <w:right w:val="nil"/>
          <w:between w:val="nil"/>
          <w:bar w:val="nil"/>
        </w:pBdr>
        <w:tabs>
          <w:tab w:val="center" w:pos="5400"/>
        </w:tabs>
        <w:suppressAutoHyphens/>
        <w:spacing w:after="0" w:line="240" w:lineRule="auto"/>
        <w:rPr>
          <w:rFonts w:ascii="Cambria" w:eastAsia="Arial Unicode MS" w:hAnsi="Cambria"/>
          <w:bdr w:val="nil"/>
          <w:lang w:val="es-ES_tradnl"/>
        </w:rPr>
      </w:pPr>
    </w:p>
    <w:p w14:paraId="54014BD0" w14:textId="77777777" w:rsidR="008874B2" w:rsidRPr="0058501F" w:rsidRDefault="008874B2" w:rsidP="008874B2">
      <w:pPr>
        <w:pBdr>
          <w:top w:val="nil"/>
          <w:left w:val="nil"/>
          <w:bottom w:val="nil"/>
          <w:right w:val="nil"/>
          <w:between w:val="nil"/>
          <w:bar w:val="nil"/>
        </w:pBdr>
        <w:tabs>
          <w:tab w:val="center" w:pos="5400"/>
        </w:tabs>
        <w:suppressAutoHyphens/>
        <w:spacing w:after="0" w:line="240" w:lineRule="auto"/>
        <w:rPr>
          <w:rFonts w:ascii="Cambria" w:eastAsia="Arial Unicode MS" w:hAnsi="Cambria"/>
          <w:bdr w:val="nil"/>
          <w:lang w:val="es-ES_tradnl"/>
        </w:rPr>
      </w:pPr>
    </w:p>
    <w:p w14:paraId="50C65689" w14:textId="77777777" w:rsidR="008874B2" w:rsidRPr="0058501F" w:rsidRDefault="008874B2" w:rsidP="008874B2">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bdr w:val="nil"/>
          <w:lang w:val="es-ES_tradnl"/>
        </w:rPr>
      </w:pPr>
    </w:p>
    <w:p w14:paraId="63F295CB" w14:textId="77777777" w:rsidR="008874B2" w:rsidRPr="0058501F" w:rsidRDefault="008874B2" w:rsidP="008874B2">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bdr w:val="nil"/>
          <w:lang w:val="es-ES_tradnl"/>
        </w:rPr>
      </w:pPr>
    </w:p>
    <w:p w14:paraId="6C696648" w14:textId="77777777" w:rsidR="008874B2" w:rsidRPr="0058501F" w:rsidRDefault="008874B2" w:rsidP="008874B2">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bdr w:val="nil"/>
          <w:lang w:val="es-ES_tradnl"/>
        </w:rPr>
      </w:pPr>
    </w:p>
    <w:p w14:paraId="2285DAAF" w14:textId="77777777" w:rsidR="008874B2" w:rsidRPr="0058501F" w:rsidRDefault="008874B2" w:rsidP="008874B2">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bdr w:val="nil"/>
          <w:lang w:val="es-ES_tradnl"/>
        </w:rPr>
      </w:pPr>
    </w:p>
    <w:p w14:paraId="04232F3D" w14:textId="77777777" w:rsidR="008874B2" w:rsidRPr="0058501F" w:rsidRDefault="008874B2" w:rsidP="008874B2">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bdr w:val="nil"/>
          <w:lang w:val="es-ES_tradnl"/>
        </w:rPr>
      </w:pPr>
    </w:p>
    <w:p w14:paraId="54D7EB76" w14:textId="77777777" w:rsidR="008874B2" w:rsidRPr="0058501F" w:rsidRDefault="008874B2" w:rsidP="008874B2">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bdr w:val="nil"/>
          <w:lang w:val="es-ES_tradnl"/>
        </w:rPr>
      </w:pPr>
    </w:p>
    <w:p w14:paraId="7A70DF76" w14:textId="77777777" w:rsidR="008874B2" w:rsidRPr="0058501F" w:rsidRDefault="008874B2" w:rsidP="008874B2">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bdr w:val="nil"/>
          <w:lang w:val="es-ES_tradnl"/>
        </w:rPr>
      </w:pPr>
    </w:p>
    <w:p w14:paraId="5739AAA7" w14:textId="77777777" w:rsidR="008874B2" w:rsidRPr="0058501F" w:rsidRDefault="008874B2" w:rsidP="008874B2">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bdr w:val="nil"/>
          <w:lang w:val="es-ES_tradnl"/>
        </w:rPr>
      </w:pPr>
    </w:p>
    <w:p w14:paraId="5A549B03" w14:textId="4F4C5E82" w:rsidR="008874B2" w:rsidRPr="0058501F" w:rsidRDefault="00F24336" w:rsidP="008874B2">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bdr w:val="nil"/>
          <w:lang w:val="es-ES_tradnl"/>
        </w:rPr>
      </w:pPr>
      <w:r>
        <w:rPr>
          <w:noProof/>
        </w:rPr>
        <mc:AlternateContent>
          <mc:Choice Requires="wps">
            <w:drawing>
              <wp:anchor distT="0" distB="0" distL="114300" distR="114300" simplePos="0" relativeHeight="251662848" behindDoc="0" locked="0" layoutInCell="1" allowOverlap="1" wp14:anchorId="62FE702D" wp14:editId="264F67C3">
                <wp:simplePos x="0" y="0"/>
                <wp:positionH relativeFrom="column">
                  <wp:posOffset>-300355</wp:posOffset>
                </wp:positionH>
                <wp:positionV relativeFrom="paragraph">
                  <wp:posOffset>123825</wp:posOffset>
                </wp:positionV>
                <wp:extent cx="1334135" cy="137731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334135" cy="1377315"/>
                        </a:xfrm>
                        <a:prstGeom prst="rect">
                          <a:avLst/>
                        </a:prstGeom>
                        <a:noFill/>
                        <a:ln w="6350">
                          <a:noFill/>
                        </a:ln>
                        <a:effectLst/>
                      </wps:spPr>
                      <wps:txbx>
                        <w:txbxContent>
                          <w:p w14:paraId="3E81038D" w14:textId="77777777" w:rsidR="00CC0FA0" w:rsidRPr="00993B63" w:rsidRDefault="00CC0FA0" w:rsidP="001D36DC">
                            <w:pPr>
                              <w:spacing w:after="0"/>
                              <w:jc w:val="right"/>
                              <w:rPr>
                                <w:color w:val="FFFFFF"/>
                                <w:lang w:val="es-ES_tradnl"/>
                              </w:rPr>
                            </w:pPr>
                            <w:r w:rsidRPr="00D006F7">
                              <w:rPr>
                                <w:color w:val="FFFFFF"/>
                                <w:lang w:val="es-ES_tradnl"/>
                              </w:rPr>
                              <w:t>OEA/</w:t>
                            </w:r>
                            <w:proofErr w:type="spellStart"/>
                            <w:r w:rsidRPr="00D006F7">
                              <w:rPr>
                                <w:color w:val="FFFFFF"/>
                                <w:lang w:val="es-ES_tradnl"/>
                              </w:rPr>
                              <w:t>Ser.L</w:t>
                            </w:r>
                            <w:proofErr w:type="spellEnd"/>
                            <w:r w:rsidRPr="00D006F7">
                              <w:rPr>
                                <w:color w:val="FFFFFF"/>
                                <w:lang w:val="es-ES_tradnl"/>
                              </w:rPr>
                              <w:t>/V/II</w:t>
                            </w:r>
                          </w:p>
                          <w:p w14:paraId="7671FBA8" w14:textId="77777777" w:rsidR="00CC0FA0" w:rsidRPr="00993B63" w:rsidRDefault="00CC0FA0" w:rsidP="001D36DC">
                            <w:pPr>
                              <w:spacing w:after="0"/>
                              <w:jc w:val="right"/>
                              <w:rPr>
                                <w:color w:val="FFFFFF"/>
                                <w:lang w:val="es-ES_tradnl"/>
                              </w:rPr>
                            </w:pPr>
                            <w:r w:rsidRPr="00993B63">
                              <w:rPr>
                                <w:color w:val="FFFFFF"/>
                                <w:lang w:val="es-ES_tradnl"/>
                              </w:rPr>
                              <w:t xml:space="preserve">Doc. </w:t>
                            </w:r>
                            <w:r w:rsidR="00195551">
                              <w:rPr>
                                <w:color w:val="FFFFFF"/>
                                <w:lang w:val="es-ES_tradnl"/>
                              </w:rPr>
                              <w:t>470</w:t>
                            </w:r>
                          </w:p>
                          <w:p w14:paraId="0DD04828" w14:textId="44B98F67" w:rsidR="00CC0FA0" w:rsidRPr="00993B63" w:rsidRDefault="00CC0FA0" w:rsidP="001D36DC">
                            <w:pPr>
                              <w:spacing w:after="0"/>
                              <w:jc w:val="right"/>
                              <w:rPr>
                                <w:color w:val="FFFFFF"/>
                                <w:lang w:val="es-ES_tradnl"/>
                              </w:rPr>
                            </w:pPr>
                            <w:r w:rsidRPr="00993B63">
                              <w:rPr>
                                <w:color w:val="FFFFFF"/>
                                <w:lang w:val="es-ES_tradnl"/>
                              </w:rPr>
                              <w:t xml:space="preserve"> </w:t>
                            </w:r>
                            <w:r w:rsidR="001D36DC">
                              <w:rPr>
                                <w:color w:val="FFFFFF"/>
                                <w:lang w:val="es-ES_tradnl"/>
                              </w:rPr>
                              <w:t xml:space="preserve">31 </w:t>
                            </w:r>
                            <w:proofErr w:type="gramStart"/>
                            <w:r w:rsidR="00D006F7" w:rsidRPr="00993B63">
                              <w:rPr>
                                <w:color w:val="FFFFFF"/>
                                <w:lang w:val="es-ES_tradnl"/>
                              </w:rPr>
                              <w:t>Diciembre</w:t>
                            </w:r>
                            <w:proofErr w:type="gramEnd"/>
                            <w:r w:rsidR="00D006F7" w:rsidRPr="00993B63">
                              <w:rPr>
                                <w:color w:val="FFFFFF"/>
                                <w:lang w:val="es-ES_tradnl"/>
                              </w:rPr>
                              <w:t xml:space="preserve"> </w:t>
                            </w:r>
                            <w:r w:rsidRPr="00993B63">
                              <w:rPr>
                                <w:color w:val="FFFFFF"/>
                                <w:lang w:val="es-ES_tradnl"/>
                              </w:rPr>
                              <w:t>2021</w:t>
                            </w:r>
                          </w:p>
                          <w:p w14:paraId="0A6CDE35" w14:textId="77777777" w:rsidR="00CC0FA0" w:rsidRPr="00993B63" w:rsidRDefault="00CC0FA0" w:rsidP="001D36DC">
                            <w:pPr>
                              <w:spacing w:after="0"/>
                              <w:jc w:val="right"/>
                              <w:rPr>
                                <w:color w:val="FFFFFF"/>
                                <w:lang w:val="es-ES_tradnl"/>
                              </w:rPr>
                            </w:pPr>
                            <w:r w:rsidRPr="00993B63">
                              <w:rPr>
                                <w:color w:val="FFFFFF"/>
                                <w:lang w:val="es-ES_tradnl"/>
                              </w:rPr>
                              <w:t xml:space="preserve">Original: </w:t>
                            </w:r>
                            <w:proofErr w:type="gramStart"/>
                            <w:r w:rsidRPr="00993B63">
                              <w:rPr>
                                <w:color w:val="FFFFFF"/>
                                <w:lang w:val="es-ES_tradnl"/>
                              </w:rPr>
                              <w:t>Inglés</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FE702D" id="Text Box 11" o:spid="_x0000_s1027" type="#_x0000_t202" style="position:absolute;left:0;text-align:left;margin-left:-23.65pt;margin-top:9.75pt;width:105.05pt;height:108.4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" filled="f" stroked="f" strokeweight=".5pt">
                <v:textbox>
                  <w:txbxContent>
                    <w:p w14:paraId="3E81038D" w14:textId="77777777" w:rsidR="00CC0FA0" w:rsidRPr="00993B63" w:rsidRDefault="00CC0FA0" w:rsidP="001D36DC">
                      <w:pPr>
                        <w:spacing w:after="0"/>
                        <w:jc w:val="right"/>
                        <w:rPr>
                          <w:color w:val="FFFFFF"/>
                          <w:lang w:val="es-ES_tradnl"/>
                        </w:rPr>
                      </w:pPr>
                      <w:r w:rsidRPr="00D006F7">
                        <w:rPr>
                          <w:color w:val="FFFFFF"/>
                          <w:lang w:val="es-ES_tradnl"/>
                        </w:rPr>
                        <w:t>OEA/</w:t>
                      </w:r>
                      <w:proofErr w:type="spellStart"/>
                      <w:r w:rsidRPr="00D006F7">
                        <w:rPr>
                          <w:color w:val="FFFFFF"/>
                          <w:lang w:val="es-ES_tradnl"/>
                        </w:rPr>
                        <w:t>Ser.L</w:t>
                      </w:r>
                      <w:proofErr w:type="spellEnd"/>
                      <w:r w:rsidRPr="00D006F7">
                        <w:rPr>
                          <w:color w:val="FFFFFF"/>
                          <w:lang w:val="es-ES_tradnl"/>
                        </w:rPr>
                        <w:t>/V/II</w:t>
                      </w:r>
                    </w:p>
                    <w:p w14:paraId="7671FBA8" w14:textId="77777777" w:rsidR="00CC0FA0" w:rsidRPr="00993B63" w:rsidRDefault="00CC0FA0" w:rsidP="001D36DC">
                      <w:pPr>
                        <w:spacing w:after="0"/>
                        <w:jc w:val="right"/>
                        <w:rPr>
                          <w:color w:val="FFFFFF"/>
                          <w:lang w:val="es-ES_tradnl"/>
                        </w:rPr>
                      </w:pPr>
                      <w:r w:rsidRPr="00993B63">
                        <w:rPr>
                          <w:color w:val="FFFFFF"/>
                          <w:lang w:val="es-ES_tradnl"/>
                        </w:rPr>
                        <w:t xml:space="preserve">Doc. </w:t>
                      </w:r>
                      <w:r w:rsidR="00195551">
                        <w:rPr>
                          <w:color w:val="FFFFFF"/>
                          <w:lang w:val="es-ES_tradnl"/>
                        </w:rPr>
                        <w:t>470</w:t>
                      </w:r>
                    </w:p>
                    <w:p w14:paraId="0DD04828" w14:textId="44B98F67" w:rsidR="00CC0FA0" w:rsidRPr="00993B63" w:rsidRDefault="00CC0FA0" w:rsidP="001D36DC">
                      <w:pPr>
                        <w:spacing w:after="0"/>
                        <w:jc w:val="right"/>
                        <w:rPr>
                          <w:color w:val="FFFFFF"/>
                          <w:lang w:val="es-ES_tradnl"/>
                        </w:rPr>
                      </w:pPr>
                      <w:r w:rsidRPr="00993B63">
                        <w:rPr>
                          <w:color w:val="FFFFFF"/>
                          <w:lang w:val="es-ES_tradnl"/>
                        </w:rPr>
                        <w:t xml:space="preserve"> </w:t>
                      </w:r>
                      <w:r w:rsidR="001D36DC">
                        <w:rPr>
                          <w:color w:val="FFFFFF"/>
                          <w:lang w:val="es-ES_tradnl"/>
                        </w:rPr>
                        <w:t xml:space="preserve">31 </w:t>
                      </w:r>
                      <w:proofErr w:type="gramStart"/>
                      <w:r w:rsidR="00D006F7" w:rsidRPr="00993B63">
                        <w:rPr>
                          <w:color w:val="FFFFFF"/>
                          <w:lang w:val="es-ES_tradnl"/>
                        </w:rPr>
                        <w:t>Diciembre</w:t>
                      </w:r>
                      <w:proofErr w:type="gramEnd"/>
                      <w:r w:rsidR="00D006F7" w:rsidRPr="00993B63">
                        <w:rPr>
                          <w:color w:val="FFFFFF"/>
                          <w:lang w:val="es-ES_tradnl"/>
                        </w:rPr>
                        <w:t xml:space="preserve"> </w:t>
                      </w:r>
                      <w:r w:rsidRPr="00993B63">
                        <w:rPr>
                          <w:color w:val="FFFFFF"/>
                          <w:lang w:val="es-ES_tradnl"/>
                        </w:rPr>
                        <w:t>2021</w:t>
                      </w:r>
                    </w:p>
                    <w:p w14:paraId="0A6CDE35" w14:textId="77777777" w:rsidR="00CC0FA0" w:rsidRPr="00993B63" w:rsidRDefault="00CC0FA0" w:rsidP="001D36DC">
                      <w:pPr>
                        <w:spacing w:after="0"/>
                        <w:jc w:val="right"/>
                        <w:rPr>
                          <w:color w:val="FFFFFF"/>
                          <w:lang w:val="es-ES_tradnl"/>
                        </w:rPr>
                      </w:pPr>
                      <w:r w:rsidRPr="00993B63">
                        <w:rPr>
                          <w:color w:val="FFFFFF"/>
                          <w:lang w:val="es-ES_tradnl"/>
                        </w:rPr>
                        <w:t xml:space="preserve">Original: </w:t>
                      </w:r>
                      <w:proofErr w:type="gramStart"/>
                      <w:r w:rsidRPr="00993B63">
                        <w:rPr>
                          <w:color w:val="FFFFFF"/>
                          <w:lang w:val="es-ES_tradnl"/>
                        </w:rPr>
                        <w:t>Inglés</w:t>
                      </w:r>
                      <w:proofErr w:type="gramEnd"/>
                    </w:p>
                  </w:txbxContent>
                </v:textbox>
              </v:shape>
            </w:pict>
          </mc:Fallback>
        </mc:AlternateContent>
      </w:r>
      <w:r>
        <w:rPr>
          <w:noProof/>
        </w:rPr>
        <mc:AlternateContent>
          <mc:Choice Requires="wps">
            <w:drawing>
              <wp:anchor distT="0" distB="0" distL="114300" distR="114300" simplePos="0" relativeHeight="251655680" behindDoc="0" locked="0" layoutInCell="1" allowOverlap="1" wp14:anchorId="56225A8B" wp14:editId="7DC50AB6">
                <wp:simplePos x="0" y="0"/>
                <wp:positionH relativeFrom="column">
                  <wp:posOffset>-341630</wp:posOffset>
                </wp:positionH>
                <wp:positionV relativeFrom="paragraph">
                  <wp:posOffset>167005</wp:posOffset>
                </wp:positionV>
                <wp:extent cx="1334135" cy="137731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334135" cy="1377315"/>
                        </a:xfrm>
                        <a:prstGeom prst="rect">
                          <a:avLst/>
                        </a:prstGeom>
                        <a:noFill/>
                        <a:ln w="6350">
                          <a:noFill/>
                        </a:ln>
                        <a:effectLst/>
                      </wps:spPr>
                      <wps:txbx>
                        <w:txbxContent>
                          <w:p w14:paraId="33245C53" w14:textId="77777777" w:rsidR="00CC0FA0" w:rsidRPr="008874B2" w:rsidRDefault="00CC0FA0" w:rsidP="008874B2">
                            <w:pPr>
                              <w:jc w:val="right"/>
                              <w:rPr>
                                <w:color w:val="FFFFFF"/>
                                <w:lang w:val="pt-BR"/>
                              </w:rPr>
                            </w:pPr>
                            <w:r w:rsidRPr="008874B2">
                              <w:rPr>
                                <w:color w:val="FFFFFF"/>
                                <w:lang w:val="pt-BR"/>
                              </w:rPr>
                              <w:t>OEA/Ser.L/V/II.1</w:t>
                            </w:r>
                            <w:r w:rsidRPr="008874B2">
                              <w:rPr>
                                <w:color w:val="FF0000"/>
                                <w:lang w:val="pt-BR"/>
                              </w:rPr>
                              <w:t>XX</w:t>
                            </w:r>
                          </w:p>
                          <w:p w14:paraId="14F698FF" w14:textId="77777777" w:rsidR="00CC0FA0" w:rsidRPr="008874B2" w:rsidRDefault="00CC0FA0" w:rsidP="008874B2">
                            <w:pPr>
                              <w:jc w:val="right"/>
                              <w:rPr>
                                <w:color w:val="FFFFFF"/>
                                <w:lang w:val="pt-BR"/>
                              </w:rPr>
                            </w:pPr>
                            <w:r w:rsidRPr="008874B2">
                              <w:rPr>
                                <w:color w:val="FFFFFF"/>
                                <w:lang w:val="pt-BR"/>
                              </w:rPr>
                              <w:t xml:space="preserve">Doc. </w:t>
                            </w:r>
                            <w:r w:rsidRPr="008874B2">
                              <w:rPr>
                                <w:color w:val="FF0000"/>
                                <w:lang w:val="pt-BR"/>
                              </w:rPr>
                              <w:t>XX</w:t>
                            </w:r>
                          </w:p>
                          <w:p w14:paraId="535834FE" w14:textId="77777777" w:rsidR="00CC0FA0" w:rsidRPr="001D36DC" w:rsidRDefault="00CC0FA0" w:rsidP="008874B2">
                            <w:pPr>
                              <w:jc w:val="right"/>
                              <w:rPr>
                                <w:color w:val="FFFFFF"/>
                                <w:lang w:val="en-US"/>
                              </w:rPr>
                            </w:pPr>
                            <w:r w:rsidRPr="008874B2">
                              <w:rPr>
                                <w:color w:val="FFFFFF"/>
                                <w:lang w:val="pt-BR"/>
                              </w:rPr>
                              <w:t xml:space="preserve"> </w:t>
                            </w:r>
                            <w:r w:rsidRPr="001D36DC">
                              <w:rPr>
                                <w:color w:val="FF0000"/>
                                <w:lang w:val="en-US"/>
                              </w:rPr>
                              <w:t>Month day</w:t>
                            </w:r>
                            <w:r w:rsidRPr="001D36DC">
                              <w:rPr>
                                <w:color w:val="FFFFFF"/>
                                <w:lang w:val="en-US"/>
                              </w:rPr>
                              <w:t>, 20</w:t>
                            </w:r>
                            <w:r w:rsidRPr="001D36DC">
                              <w:rPr>
                                <w:color w:val="FF0000"/>
                                <w:lang w:val="en-US"/>
                              </w:rPr>
                              <w:t>XX</w:t>
                            </w:r>
                          </w:p>
                          <w:p w14:paraId="79F5E39D" w14:textId="77777777" w:rsidR="00CC0FA0" w:rsidRPr="001D36DC" w:rsidRDefault="00CC0FA0" w:rsidP="008874B2">
                            <w:pPr>
                              <w:jc w:val="right"/>
                              <w:rPr>
                                <w:color w:val="FFFFFF"/>
                                <w:lang w:val="en-US"/>
                              </w:rPr>
                            </w:pPr>
                            <w:r w:rsidRPr="001D36DC">
                              <w:rPr>
                                <w:color w:val="FFFFFF"/>
                                <w:lang w:val="en-US"/>
                              </w:rPr>
                              <w:t xml:space="preserve">Original: </w:t>
                            </w:r>
                            <w:r w:rsidRPr="001D36DC">
                              <w:rPr>
                                <w:color w:val="FF0000"/>
                                <w:lang w:val="en-US"/>
                              </w:rPr>
                              <w:t>English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225A8B" id="Text Box 10" o:spid="_x0000_s1028" type="#_x0000_t202" style="position:absolute;left:0;text-align:left;margin-left:-26.9pt;margin-top:13.15pt;width:105.05pt;height:108.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" filled="f" stroked="f" strokeweight=".5pt">
                <v:textbox>
                  <w:txbxContent>
                    <w:p w14:paraId="33245C53" w14:textId="77777777" w:rsidR="00CC0FA0" w:rsidRPr="008874B2" w:rsidRDefault="00CC0FA0" w:rsidP="008874B2">
                      <w:pPr>
                        <w:jc w:val="right"/>
                        <w:rPr>
                          <w:color w:val="FFFFFF"/>
                          <w:lang w:val="pt-BR"/>
                        </w:rPr>
                      </w:pPr>
                      <w:r w:rsidRPr="008874B2">
                        <w:rPr>
                          <w:color w:val="FFFFFF"/>
                          <w:lang w:val="pt-BR"/>
                        </w:rPr>
                        <w:t>OEA/Ser.L/V/II.1</w:t>
                      </w:r>
                      <w:r w:rsidRPr="008874B2">
                        <w:rPr>
                          <w:color w:val="FF0000"/>
                          <w:lang w:val="pt-BR"/>
                        </w:rPr>
                        <w:t>XX</w:t>
                      </w:r>
                    </w:p>
                    <w:p w14:paraId="14F698FF" w14:textId="77777777" w:rsidR="00CC0FA0" w:rsidRPr="008874B2" w:rsidRDefault="00CC0FA0" w:rsidP="008874B2">
                      <w:pPr>
                        <w:jc w:val="right"/>
                        <w:rPr>
                          <w:color w:val="FFFFFF"/>
                          <w:lang w:val="pt-BR"/>
                        </w:rPr>
                      </w:pPr>
                      <w:r w:rsidRPr="008874B2">
                        <w:rPr>
                          <w:color w:val="FFFFFF"/>
                          <w:lang w:val="pt-BR"/>
                        </w:rPr>
                        <w:t xml:space="preserve">Doc. </w:t>
                      </w:r>
                      <w:r w:rsidRPr="008874B2">
                        <w:rPr>
                          <w:color w:val="FF0000"/>
                          <w:lang w:val="pt-BR"/>
                        </w:rPr>
                        <w:t>XX</w:t>
                      </w:r>
                    </w:p>
                    <w:p w14:paraId="535834FE" w14:textId="77777777" w:rsidR="00CC0FA0" w:rsidRPr="001D36DC" w:rsidRDefault="00CC0FA0" w:rsidP="008874B2">
                      <w:pPr>
                        <w:jc w:val="right"/>
                        <w:rPr>
                          <w:color w:val="FFFFFF"/>
                          <w:lang w:val="en-US"/>
                        </w:rPr>
                      </w:pPr>
                      <w:r w:rsidRPr="008874B2">
                        <w:rPr>
                          <w:color w:val="FFFFFF"/>
                          <w:lang w:val="pt-BR"/>
                        </w:rPr>
                        <w:t xml:space="preserve"> </w:t>
                      </w:r>
                      <w:r w:rsidRPr="001D36DC">
                        <w:rPr>
                          <w:color w:val="FF0000"/>
                          <w:lang w:val="en-US"/>
                        </w:rPr>
                        <w:t>Month day</w:t>
                      </w:r>
                      <w:r w:rsidRPr="001D36DC">
                        <w:rPr>
                          <w:color w:val="FFFFFF"/>
                          <w:lang w:val="en-US"/>
                        </w:rPr>
                        <w:t>, 20</w:t>
                      </w:r>
                      <w:r w:rsidRPr="001D36DC">
                        <w:rPr>
                          <w:color w:val="FF0000"/>
                          <w:lang w:val="en-US"/>
                        </w:rPr>
                        <w:t>XX</w:t>
                      </w:r>
                    </w:p>
                    <w:p w14:paraId="79F5E39D" w14:textId="77777777" w:rsidR="00CC0FA0" w:rsidRPr="001D36DC" w:rsidRDefault="00CC0FA0" w:rsidP="008874B2">
                      <w:pPr>
                        <w:jc w:val="right"/>
                        <w:rPr>
                          <w:color w:val="FFFFFF"/>
                          <w:lang w:val="en-US"/>
                        </w:rPr>
                      </w:pPr>
                      <w:r w:rsidRPr="001D36DC">
                        <w:rPr>
                          <w:color w:val="FFFFFF"/>
                          <w:lang w:val="en-US"/>
                        </w:rPr>
                        <w:t xml:space="preserve">Original: </w:t>
                      </w:r>
                      <w:r w:rsidRPr="001D36DC">
                        <w:rPr>
                          <w:color w:val="FF0000"/>
                          <w:lang w:val="en-US"/>
                        </w:rPr>
                        <w:t>English</w:t>
                      </w:r>
                    </w:p>
                  </w:txbxContent>
                </v:textbox>
              </v:shape>
            </w:pict>
          </mc:Fallback>
        </mc:AlternateContent>
      </w:r>
      <w:r>
        <w:rPr>
          <w:noProof/>
        </w:rPr>
        <mc:AlternateContent>
          <mc:Choice Requires="wps">
            <w:drawing>
              <wp:anchor distT="0" distB="0" distL="114300" distR="114300" simplePos="0" relativeHeight="251653632" behindDoc="0" locked="0" layoutInCell="1" allowOverlap="1" wp14:anchorId="7EF86B6C" wp14:editId="521824DF">
                <wp:simplePos x="0" y="0"/>
                <wp:positionH relativeFrom="column">
                  <wp:posOffset>1209675</wp:posOffset>
                </wp:positionH>
                <wp:positionV relativeFrom="paragraph">
                  <wp:posOffset>79375</wp:posOffset>
                </wp:positionV>
                <wp:extent cx="4333875" cy="235077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4333875" cy="2350770"/>
                        </a:xfrm>
                        <a:prstGeom prst="rect">
                          <a:avLst/>
                        </a:prstGeom>
                        <a:noFill/>
                        <a:ln w="6350">
                          <a:noFill/>
                        </a:ln>
                        <a:effectLst/>
                      </wps:spPr>
                      <wps:txbx>
                        <w:txbxContent>
                          <w:p w14:paraId="0A928158" w14:textId="77777777" w:rsidR="00CC0FA0" w:rsidRPr="005147DA" w:rsidRDefault="00CC0FA0" w:rsidP="001D36DC">
                            <w:pPr>
                              <w:spacing w:after="0"/>
                              <w:rPr>
                                <w:rFonts w:ascii="Cambria" w:hAnsi="Cambria" w:cs="Arial"/>
                                <w:b/>
                                <w:bCs/>
                                <w:color w:val="0D0D0D"/>
                                <w:sz w:val="36"/>
                                <w:szCs w:val="40"/>
                                <w:lang w:val="es-ES"/>
                              </w:rPr>
                            </w:pPr>
                            <w:r w:rsidRPr="005147DA">
                              <w:rPr>
                                <w:rFonts w:ascii="Cambria" w:hAnsi="Cambria" w:cs="Arial"/>
                                <w:b/>
                                <w:bCs/>
                                <w:color w:val="0D0D0D"/>
                                <w:sz w:val="36"/>
                                <w:szCs w:val="40"/>
                                <w:lang w:val="es-ES"/>
                              </w:rPr>
                              <w:t xml:space="preserve">INFORME No. </w:t>
                            </w:r>
                            <w:r w:rsidR="00195551">
                              <w:rPr>
                                <w:rFonts w:ascii="Cambria" w:hAnsi="Cambria" w:cs="Arial"/>
                                <w:b/>
                                <w:bCs/>
                                <w:color w:val="0D0D0D"/>
                                <w:sz w:val="36"/>
                                <w:szCs w:val="40"/>
                                <w:lang w:val="es-ES"/>
                              </w:rPr>
                              <w:t>456</w:t>
                            </w:r>
                            <w:r w:rsidRPr="005147DA">
                              <w:rPr>
                                <w:rFonts w:ascii="Cambria" w:hAnsi="Cambria" w:cs="Arial"/>
                                <w:b/>
                                <w:bCs/>
                                <w:color w:val="0D0D0D"/>
                                <w:sz w:val="36"/>
                                <w:szCs w:val="40"/>
                                <w:lang w:val="es-ES"/>
                              </w:rPr>
                              <w:t>/</w:t>
                            </w:r>
                            <w:r>
                              <w:rPr>
                                <w:rFonts w:ascii="Cambria" w:hAnsi="Cambria" w:cs="Arial"/>
                                <w:b/>
                                <w:bCs/>
                                <w:color w:val="0D0D0D"/>
                                <w:sz w:val="36"/>
                                <w:szCs w:val="40"/>
                                <w:lang w:val="es-ES"/>
                              </w:rPr>
                              <w:t>21</w:t>
                            </w:r>
                          </w:p>
                          <w:p w14:paraId="3178B43B" w14:textId="77777777" w:rsidR="00CC0FA0" w:rsidRPr="005147DA" w:rsidRDefault="00CC0FA0" w:rsidP="001D36DC">
                            <w:pPr>
                              <w:spacing w:after="0"/>
                              <w:rPr>
                                <w:rFonts w:ascii="Cambria" w:hAnsi="Cambria" w:cs="Arial"/>
                                <w:b/>
                                <w:bCs/>
                                <w:color w:val="0D0D0D"/>
                                <w:sz w:val="36"/>
                                <w:szCs w:val="40"/>
                                <w:lang w:val="es-ES"/>
                              </w:rPr>
                            </w:pPr>
                            <w:r w:rsidRPr="005147DA">
                              <w:rPr>
                                <w:rFonts w:ascii="Cambria" w:hAnsi="Cambria" w:cs="Arial"/>
                                <w:b/>
                                <w:bCs/>
                                <w:color w:val="0D0D0D"/>
                                <w:sz w:val="36"/>
                                <w:szCs w:val="40"/>
                                <w:lang w:val="es-ES"/>
                              </w:rPr>
                              <w:t xml:space="preserve">PETICION </w:t>
                            </w:r>
                            <w:r>
                              <w:rPr>
                                <w:rFonts w:ascii="Cambria" w:hAnsi="Cambria" w:cs="Arial"/>
                                <w:b/>
                                <w:bCs/>
                                <w:color w:val="0D0D0D"/>
                                <w:sz w:val="36"/>
                                <w:szCs w:val="40"/>
                                <w:lang w:val="es-ES"/>
                              </w:rPr>
                              <w:t>13.829</w:t>
                            </w:r>
                          </w:p>
                          <w:p w14:paraId="7EA71C2A" w14:textId="77777777" w:rsidR="00CC0FA0" w:rsidRPr="005147DA" w:rsidRDefault="00CC0FA0" w:rsidP="001D36DC">
                            <w:pPr>
                              <w:spacing w:after="0"/>
                              <w:rPr>
                                <w:rFonts w:ascii="Cambria" w:hAnsi="Cambria" w:cs="Arial"/>
                                <w:color w:val="0D0D0D"/>
                                <w:lang w:val="es-ES"/>
                              </w:rPr>
                            </w:pPr>
                            <w:r w:rsidRPr="005147DA">
                              <w:rPr>
                                <w:rFonts w:ascii="Cambria" w:hAnsi="Cambria" w:cs="Arial"/>
                                <w:color w:val="0D0D0D"/>
                                <w:lang w:val="es-ES"/>
                              </w:rPr>
                              <w:t>INFORME DE ADMISIBILIDAD</w:t>
                            </w:r>
                            <w:r>
                              <w:rPr>
                                <w:rFonts w:ascii="Cambria" w:hAnsi="Cambria" w:cs="Arial"/>
                                <w:color w:val="0D0D0D"/>
                                <w:lang w:val="es-ES"/>
                              </w:rPr>
                              <w:t xml:space="preserve"> (</w:t>
                            </w:r>
                            <w:r w:rsidR="00D006F7" w:rsidRPr="00195551">
                              <w:rPr>
                                <w:rFonts w:ascii="Cambria" w:hAnsi="Cambria" w:cs="Arial"/>
                                <w:color w:val="0D0D0D"/>
                                <w:lang w:val="es-ES"/>
                              </w:rPr>
                              <w:t>P</w:t>
                            </w:r>
                            <w:r w:rsidR="00A6499B" w:rsidRPr="00195551">
                              <w:rPr>
                                <w:rFonts w:ascii="Cambria" w:hAnsi="Cambria" w:cs="Arial"/>
                                <w:color w:val="0D0D0D"/>
                                <w:lang w:val="es-ES"/>
                              </w:rPr>
                              <w:t>UBLICACIÓN</w:t>
                            </w:r>
                            <w:r>
                              <w:rPr>
                                <w:rFonts w:ascii="Cambria" w:hAnsi="Cambria" w:cs="Arial"/>
                                <w:color w:val="0D0D0D"/>
                                <w:lang w:val="es-ES"/>
                              </w:rPr>
                              <w:t>)</w:t>
                            </w:r>
                          </w:p>
                          <w:p w14:paraId="6BF06434" w14:textId="77777777" w:rsidR="00CC0FA0" w:rsidRPr="005147DA" w:rsidRDefault="00CC0FA0" w:rsidP="001D36DC">
                            <w:pPr>
                              <w:spacing w:after="0"/>
                              <w:rPr>
                                <w:rFonts w:ascii="Cambria" w:hAnsi="Cambria" w:cs="Arial"/>
                                <w:color w:val="0D0D0D"/>
                                <w:lang w:val="es-ES"/>
                              </w:rPr>
                            </w:pPr>
                          </w:p>
                          <w:p w14:paraId="0040FCEE" w14:textId="77777777" w:rsidR="00CC0FA0" w:rsidRPr="005147DA" w:rsidRDefault="00CC0FA0" w:rsidP="001D36DC">
                            <w:pPr>
                              <w:spacing w:after="0"/>
                              <w:rPr>
                                <w:rFonts w:ascii="Cambria" w:hAnsi="Cambria" w:cs="Arial"/>
                                <w:color w:val="0D0D0D"/>
                                <w:lang w:val="es-ES"/>
                              </w:rPr>
                            </w:pPr>
                            <w:r>
                              <w:rPr>
                                <w:rFonts w:ascii="Cambria" w:hAnsi="Cambria" w:cs="Arial"/>
                                <w:color w:val="0D0D0D"/>
                                <w:lang w:val="es-ES"/>
                              </w:rPr>
                              <w:t>RAMIRO IBARRA RUBI</w:t>
                            </w:r>
                          </w:p>
                          <w:p w14:paraId="5833E870" w14:textId="77777777" w:rsidR="00CC0FA0" w:rsidRPr="005147DA" w:rsidRDefault="00CC0FA0" w:rsidP="001D36DC">
                            <w:pPr>
                              <w:spacing w:after="0"/>
                              <w:rPr>
                                <w:rFonts w:ascii="Cambria" w:hAnsi="Cambria" w:cs="Arial"/>
                                <w:color w:val="0D0D0D"/>
                                <w:lang w:val="es-ES"/>
                              </w:rPr>
                            </w:pPr>
                            <w:r w:rsidRPr="005147DA">
                              <w:rPr>
                                <w:rFonts w:ascii="Cambria" w:hAnsi="Cambria" w:cs="Arial"/>
                                <w:color w:val="0D0D0D"/>
                                <w:lang w:val="es-ES"/>
                              </w:rPr>
                              <w:t>ESTADOS UNIDOS DE A</w:t>
                            </w:r>
                            <w:r>
                              <w:rPr>
                                <w:rFonts w:ascii="Cambria" w:hAnsi="Cambria" w:cs="Arial"/>
                                <w:color w:val="0D0D0D"/>
                                <w:lang w:val="es-ES"/>
                              </w:rPr>
                              <w:t>MERICA</w:t>
                            </w:r>
                          </w:p>
                          <w:p w14:paraId="5A68F072" w14:textId="77777777" w:rsidR="00CC0FA0" w:rsidRPr="005147DA" w:rsidRDefault="00CC0FA0" w:rsidP="008874B2">
                            <w:pPr>
                              <w:rPr>
                                <w:rFonts w:ascii="Cambria" w:hAnsi="Cambria"/>
                                <w:color w:val="0D0D0D"/>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F86B6C" id="Text Box 9" o:spid="_x0000_s1029" type="#_x0000_t202" style="position:absolute;left:0;text-align:left;margin-left:95.25pt;margin-top:6.25pt;width:341.25pt;height:185.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" filled="f" stroked="f" strokeweight=".5pt">
                <v:textbox>
                  <w:txbxContent>
                    <w:p w14:paraId="0A928158" w14:textId="77777777" w:rsidR="00CC0FA0" w:rsidRPr="005147DA" w:rsidRDefault="00CC0FA0" w:rsidP="001D36DC">
                      <w:pPr>
                        <w:spacing w:after="0"/>
                        <w:rPr>
                          <w:rFonts w:ascii="Cambria" w:hAnsi="Cambria" w:cs="Arial"/>
                          <w:b/>
                          <w:bCs/>
                          <w:color w:val="0D0D0D"/>
                          <w:sz w:val="36"/>
                          <w:szCs w:val="40"/>
                          <w:lang w:val="es-ES"/>
                        </w:rPr>
                      </w:pPr>
                      <w:r w:rsidRPr="005147DA">
                        <w:rPr>
                          <w:rFonts w:ascii="Cambria" w:hAnsi="Cambria" w:cs="Arial"/>
                          <w:b/>
                          <w:bCs/>
                          <w:color w:val="0D0D0D"/>
                          <w:sz w:val="36"/>
                          <w:szCs w:val="40"/>
                          <w:lang w:val="es-ES"/>
                        </w:rPr>
                        <w:t xml:space="preserve">INFORME No. </w:t>
                      </w:r>
                      <w:r w:rsidR="00195551">
                        <w:rPr>
                          <w:rFonts w:ascii="Cambria" w:hAnsi="Cambria" w:cs="Arial"/>
                          <w:b/>
                          <w:bCs/>
                          <w:color w:val="0D0D0D"/>
                          <w:sz w:val="36"/>
                          <w:szCs w:val="40"/>
                          <w:lang w:val="es-ES"/>
                        </w:rPr>
                        <w:t>456</w:t>
                      </w:r>
                      <w:r w:rsidRPr="005147DA">
                        <w:rPr>
                          <w:rFonts w:ascii="Cambria" w:hAnsi="Cambria" w:cs="Arial"/>
                          <w:b/>
                          <w:bCs/>
                          <w:color w:val="0D0D0D"/>
                          <w:sz w:val="36"/>
                          <w:szCs w:val="40"/>
                          <w:lang w:val="es-ES"/>
                        </w:rPr>
                        <w:t>/</w:t>
                      </w:r>
                      <w:r>
                        <w:rPr>
                          <w:rFonts w:ascii="Cambria" w:hAnsi="Cambria" w:cs="Arial"/>
                          <w:b/>
                          <w:bCs/>
                          <w:color w:val="0D0D0D"/>
                          <w:sz w:val="36"/>
                          <w:szCs w:val="40"/>
                          <w:lang w:val="es-ES"/>
                        </w:rPr>
                        <w:t>21</w:t>
                      </w:r>
                    </w:p>
                    <w:p w14:paraId="3178B43B" w14:textId="77777777" w:rsidR="00CC0FA0" w:rsidRPr="005147DA" w:rsidRDefault="00CC0FA0" w:rsidP="001D36DC">
                      <w:pPr>
                        <w:spacing w:after="0"/>
                        <w:rPr>
                          <w:rFonts w:ascii="Cambria" w:hAnsi="Cambria" w:cs="Arial"/>
                          <w:b/>
                          <w:bCs/>
                          <w:color w:val="0D0D0D"/>
                          <w:sz w:val="36"/>
                          <w:szCs w:val="40"/>
                          <w:lang w:val="es-ES"/>
                        </w:rPr>
                      </w:pPr>
                      <w:r w:rsidRPr="005147DA">
                        <w:rPr>
                          <w:rFonts w:ascii="Cambria" w:hAnsi="Cambria" w:cs="Arial"/>
                          <w:b/>
                          <w:bCs/>
                          <w:color w:val="0D0D0D"/>
                          <w:sz w:val="36"/>
                          <w:szCs w:val="40"/>
                          <w:lang w:val="es-ES"/>
                        </w:rPr>
                        <w:t xml:space="preserve">PETICION </w:t>
                      </w:r>
                      <w:r>
                        <w:rPr>
                          <w:rFonts w:ascii="Cambria" w:hAnsi="Cambria" w:cs="Arial"/>
                          <w:b/>
                          <w:bCs/>
                          <w:color w:val="0D0D0D"/>
                          <w:sz w:val="36"/>
                          <w:szCs w:val="40"/>
                          <w:lang w:val="es-ES"/>
                        </w:rPr>
                        <w:t>13.829</w:t>
                      </w:r>
                    </w:p>
                    <w:p w14:paraId="7EA71C2A" w14:textId="77777777" w:rsidR="00CC0FA0" w:rsidRPr="005147DA" w:rsidRDefault="00CC0FA0" w:rsidP="001D36DC">
                      <w:pPr>
                        <w:spacing w:after="0"/>
                        <w:rPr>
                          <w:rFonts w:ascii="Cambria" w:hAnsi="Cambria" w:cs="Arial"/>
                          <w:color w:val="0D0D0D"/>
                          <w:lang w:val="es-ES"/>
                        </w:rPr>
                      </w:pPr>
                      <w:r w:rsidRPr="005147DA">
                        <w:rPr>
                          <w:rFonts w:ascii="Cambria" w:hAnsi="Cambria" w:cs="Arial"/>
                          <w:color w:val="0D0D0D"/>
                          <w:lang w:val="es-ES"/>
                        </w:rPr>
                        <w:t>INFORME DE ADMISIBILIDAD</w:t>
                      </w:r>
                      <w:r>
                        <w:rPr>
                          <w:rFonts w:ascii="Cambria" w:hAnsi="Cambria" w:cs="Arial"/>
                          <w:color w:val="0D0D0D"/>
                          <w:lang w:val="es-ES"/>
                        </w:rPr>
                        <w:t xml:space="preserve"> (</w:t>
                      </w:r>
                      <w:r w:rsidR="00D006F7" w:rsidRPr="00195551">
                        <w:rPr>
                          <w:rFonts w:ascii="Cambria" w:hAnsi="Cambria" w:cs="Arial"/>
                          <w:color w:val="0D0D0D"/>
                          <w:lang w:val="es-ES"/>
                        </w:rPr>
                        <w:t>P</w:t>
                      </w:r>
                      <w:r w:rsidR="00A6499B" w:rsidRPr="00195551">
                        <w:rPr>
                          <w:rFonts w:ascii="Cambria" w:hAnsi="Cambria" w:cs="Arial"/>
                          <w:color w:val="0D0D0D"/>
                          <w:lang w:val="es-ES"/>
                        </w:rPr>
                        <w:t>UBLICACIÓN</w:t>
                      </w:r>
                      <w:r>
                        <w:rPr>
                          <w:rFonts w:ascii="Cambria" w:hAnsi="Cambria" w:cs="Arial"/>
                          <w:color w:val="0D0D0D"/>
                          <w:lang w:val="es-ES"/>
                        </w:rPr>
                        <w:t>)</w:t>
                      </w:r>
                    </w:p>
                    <w:p w14:paraId="6BF06434" w14:textId="77777777" w:rsidR="00CC0FA0" w:rsidRPr="005147DA" w:rsidRDefault="00CC0FA0" w:rsidP="001D36DC">
                      <w:pPr>
                        <w:spacing w:after="0"/>
                        <w:rPr>
                          <w:rFonts w:ascii="Cambria" w:hAnsi="Cambria" w:cs="Arial"/>
                          <w:color w:val="0D0D0D"/>
                          <w:lang w:val="es-ES"/>
                        </w:rPr>
                      </w:pPr>
                    </w:p>
                    <w:p w14:paraId="0040FCEE" w14:textId="77777777" w:rsidR="00CC0FA0" w:rsidRPr="005147DA" w:rsidRDefault="00CC0FA0" w:rsidP="001D36DC">
                      <w:pPr>
                        <w:spacing w:after="0"/>
                        <w:rPr>
                          <w:rFonts w:ascii="Cambria" w:hAnsi="Cambria" w:cs="Arial"/>
                          <w:color w:val="0D0D0D"/>
                          <w:lang w:val="es-ES"/>
                        </w:rPr>
                      </w:pPr>
                      <w:r>
                        <w:rPr>
                          <w:rFonts w:ascii="Cambria" w:hAnsi="Cambria" w:cs="Arial"/>
                          <w:color w:val="0D0D0D"/>
                          <w:lang w:val="es-ES"/>
                        </w:rPr>
                        <w:t>RAMIRO IBARRA RUBI</w:t>
                      </w:r>
                    </w:p>
                    <w:p w14:paraId="5833E870" w14:textId="77777777" w:rsidR="00CC0FA0" w:rsidRPr="005147DA" w:rsidRDefault="00CC0FA0" w:rsidP="001D36DC">
                      <w:pPr>
                        <w:spacing w:after="0"/>
                        <w:rPr>
                          <w:rFonts w:ascii="Cambria" w:hAnsi="Cambria" w:cs="Arial"/>
                          <w:color w:val="0D0D0D"/>
                          <w:lang w:val="es-ES"/>
                        </w:rPr>
                      </w:pPr>
                      <w:r w:rsidRPr="005147DA">
                        <w:rPr>
                          <w:rFonts w:ascii="Cambria" w:hAnsi="Cambria" w:cs="Arial"/>
                          <w:color w:val="0D0D0D"/>
                          <w:lang w:val="es-ES"/>
                        </w:rPr>
                        <w:t>ESTADOS UNIDOS DE A</w:t>
                      </w:r>
                      <w:r>
                        <w:rPr>
                          <w:rFonts w:ascii="Cambria" w:hAnsi="Cambria" w:cs="Arial"/>
                          <w:color w:val="0D0D0D"/>
                          <w:lang w:val="es-ES"/>
                        </w:rPr>
                        <w:t>MERICA</w:t>
                      </w:r>
                    </w:p>
                    <w:p w14:paraId="5A68F072" w14:textId="77777777" w:rsidR="00CC0FA0" w:rsidRPr="005147DA" w:rsidRDefault="00CC0FA0" w:rsidP="008874B2">
                      <w:pPr>
                        <w:rPr>
                          <w:rFonts w:ascii="Cambria" w:hAnsi="Cambria"/>
                          <w:color w:val="0D0D0D"/>
                          <w:lang w:val="es-ES"/>
                        </w:rPr>
                      </w:pPr>
                    </w:p>
                  </w:txbxContent>
                </v:textbox>
              </v:shape>
            </w:pict>
          </mc:Fallback>
        </mc:AlternateContent>
      </w:r>
    </w:p>
    <w:p w14:paraId="7ACBB3D4" w14:textId="77777777" w:rsidR="008874B2" w:rsidRPr="0058501F" w:rsidRDefault="008874B2" w:rsidP="008874B2">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bdr w:val="nil"/>
          <w:lang w:val="es-ES_tradnl"/>
        </w:rPr>
      </w:pPr>
    </w:p>
    <w:p w14:paraId="73BEC1E0" w14:textId="77777777" w:rsidR="008874B2" w:rsidRPr="0058501F" w:rsidRDefault="008874B2" w:rsidP="008874B2">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Arial"/>
          <w:bdr w:val="nil"/>
          <w:lang w:val="es-ES_tradnl"/>
        </w:rPr>
      </w:pPr>
    </w:p>
    <w:p w14:paraId="7820A3EF" w14:textId="77777777" w:rsidR="008874B2" w:rsidRPr="0058501F" w:rsidRDefault="008874B2" w:rsidP="008874B2">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bdr w:val="nil"/>
          <w:lang w:val="es-ES_tradnl"/>
        </w:rPr>
      </w:pPr>
    </w:p>
    <w:p w14:paraId="173E07E1" w14:textId="77777777" w:rsidR="008874B2" w:rsidRPr="0058501F" w:rsidRDefault="008874B2" w:rsidP="008874B2">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bdr w:val="nil"/>
          <w:lang w:val="es-ES_tradnl"/>
        </w:rPr>
      </w:pPr>
    </w:p>
    <w:p w14:paraId="41C1068C" w14:textId="77777777" w:rsidR="008874B2" w:rsidRPr="0058501F" w:rsidRDefault="008874B2" w:rsidP="008874B2">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bdr w:val="nil"/>
          <w:lang w:val="es-ES_tradnl"/>
        </w:rPr>
      </w:pPr>
    </w:p>
    <w:p w14:paraId="25251176" w14:textId="77777777" w:rsidR="008874B2" w:rsidRPr="0058501F" w:rsidRDefault="008874B2" w:rsidP="008874B2">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bdr w:val="nil"/>
          <w:lang w:val="es-ES_tradnl"/>
        </w:rPr>
      </w:pPr>
    </w:p>
    <w:p w14:paraId="1A1BA53A" w14:textId="77777777" w:rsidR="008874B2" w:rsidRPr="0058501F" w:rsidRDefault="008874B2" w:rsidP="008874B2">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bdr w:val="nil"/>
          <w:lang w:val="es-ES_tradnl"/>
        </w:rPr>
      </w:pPr>
    </w:p>
    <w:p w14:paraId="319E4EE1" w14:textId="77777777" w:rsidR="008874B2" w:rsidRPr="0058501F" w:rsidRDefault="008874B2" w:rsidP="008874B2">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bdr w:val="nil"/>
          <w:lang w:val="es-ES_tradnl"/>
        </w:rPr>
      </w:pPr>
    </w:p>
    <w:p w14:paraId="2144D90B" w14:textId="77777777" w:rsidR="008874B2" w:rsidRPr="0058501F" w:rsidRDefault="008874B2" w:rsidP="008874B2">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bdr w:val="nil"/>
          <w:lang w:val="es-ES_tradnl"/>
        </w:rPr>
      </w:pPr>
    </w:p>
    <w:p w14:paraId="69474386" w14:textId="77777777" w:rsidR="008874B2" w:rsidRPr="0058501F" w:rsidRDefault="008874B2" w:rsidP="008874B2">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bdr w:val="nil"/>
          <w:lang w:val="es-ES_tradnl"/>
        </w:rPr>
      </w:pPr>
    </w:p>
    <w:p w14:paraId="6DF66549" w14:textId="77777777" w:rsidR="008874B2" w:rsidRPr="0058501F" w:rsidRDefault="008874B2" w:rsidP="008874B2">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bdr w:val="nil"/>
          <w:lang w:val="es-ES_tradnl"/>
        </w:rPr>
      </w:pPr>
    </w:p>
    <w:p w14:paraId="20989A28" w14:textId="77777777" w:rsidR="008874B2" w:rsidRPr="0058501F" w:rsidRDefault="008874B2" w:rsidP="008874B2">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bdr w:val="nil"/>
          <w:lang w:val="es-ES_tradnl"/>
        </w:rPr>
      </w:pPr>
    </w:p>
    <w:p w14:paraId="195EB518" w14:textId="77777777" w:rsidR="008874B2" w:rsidRPr="0058501F" w:rsidRDefault="008874B2" w:rsidP="008874B2">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bdr w:val="nil"/>
          <w:lang w:val="es-ES_tradnl"/>
        </w:rPr>
      </w:pPr>
    </w:p>
    <w:p w14:paraId="615614E9" w14:textId="77777777" w:rsidR="008874B2" w:rsidRPr="0058501F" w:rsidRDefault="008874B2" w:rsidP="008874B2">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sz w:val="18"/>
          <w:bdr w:val="nil"/>
          <w:lang w:val="es-ES_tradnl"/>
        </w:rPr>
      </w:pPr>
    </w:p>
    <w:p w14:paraId="3E6D1B84" w14:textId="77777777" w:rsidR="008874B2" w:rsidRPr="0058501F" w:rsidRDefault="008874B2" w:rsidP="008874B2">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sz w:val="18"/>
          <w:bdr w:val="nil"/>
          <w:lang w:val="es-ES_tradnl"/>
        </w:rPr>
      </w:pPr>
    </w:p>
    <w:p w14:paraId="7AC56DDE" w14:textId="77777777" w:rsidR="008874B2" w:rsidRPr="0058501F" w:rsidRDefault="008874B2" w:rsidP="008874B2">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sz w:val="18"/>
          <w:bdr w:val="nil"/>
          <w:lang w:val="es-ES_tradnl"/>
        </w:rPr>
      </w:pPr>
    </w:p>
    <w:p w14:paraId="0314D277" w14:textId="77777777" w:rsidR="008874B2" w:rsidRPr="0058501F" w:rsidRDefault="008874B2" w:rsidP="008874B2">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sz w:val="18"/>
          <w:bdr w:val="nil"/>
          <w:lang w:val="es-ES_tradnl"/>
        </w:rPr>
      </w:pPr>
    </w:p>
    <w:p w14:paraId="50DAD999" w14:textId="77777777" w:rsidR="008874B2" w:rsidRPr="0058501F" w:rsidRDefault="008874B2" w:rsidP="008874B2">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sz w:val="18"/>
          <w:bdr w:val="nil"/>
          <w:lang w:val="es-ES_tradnl"/>
        </w:rPr>
      </w:pPr>
    </w:p>
    <w:p w14:paraId="76DAAF87" w14:textId="77777777" w:rsidR="008874B2" w:rsidRPr="0058501F" w:rsidRDefault="008874B2" w:rsidP="008874B2">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sz w:val="18"/>
          <w:bdr w:val="nil"/>
          <w:lang w:val="es-ES_tradnl"/>
        </w:rPr>
      </w:pPr>
    </w:p>
    <w:p w14:paraId="3E8CC2EE" w14:textId="77777777" w:rsidR="008874B2" w:rsidRPr="0058501F" w:rsidRDefault="008874B2" w:rsidP="008874B2">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sz w:val="18"/>
          <w:bdr w:val="nil"/>
          <w:lang w:val="es-ES_tradnl"/>
        </w:rPr>
      </w:pPr>
    </w:p>
    <w:p w14:paraId="391F0C16" w14:textId="77777777" w:rsidR="008874B2" w:rsidRPr="0058501F" w:rsidRDefault="008874B2" w:rsidP="008874B2">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sz w:val="18"/>
          <w:bdr w:val="nil"/>
          <w:lang w:val="es-ES_tradnl"/>
        </w:rPr>
      </w:pPr>
    </w:p>
    <w:p w14:paraId="771F89D8" w14:textId="77777777" w:rsidR="008874B2" w:rsidRPr="0058501F" w:rsidRDefault="008874B2" w:rsidP="008874B2">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sz w:val="18"/>
          <w:bdr w:val="nil"/>
          <w:lang w:val="es-ES_tradnl"/>
        </w:rPr>
      </w:pPr>
    </w:p>
    <w:p w14:paraId="0FF82C37" w14:textId="77777777" w:rsidR="008874B2" w:rsidRPr="0058501F" w:rsidRDefault="008874B2" w:rsidP="008874B2">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sz w:val="18"/>
          <w:bdr w:val="nil"/>
          <w:lang w:val="es-ES_tradnl"/>
        </w:rPr>
      </w:pPr>
    </w:p>
    <w:p w14:paraId="3EC5007D" w14:textId="77777777" w:rsidR="008874B2" w:rsidRPr="0058501F" w:rsidRDefault="008874B2" w:rsidP="008874B2">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sz w:val="18"/>
          <w:bdr w:val="nil"/>
          <w:lang w:val="es-ES_tradnl"/>
        </w:rPr>
      </w:pPr>
    </w:p>
    <w:p w14:paraId="26B09254" w14:textId="77777777" w:rsidR="008874B2" w:rsidRPr="0058501F" w:rsidRDefault="008874B2" w:rsidP="008874B2">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sz w:val="18"/>
          <w:bdr w:val="nil"/>
          <w:lang w:val="es-ES_tradnl"/>
        </w:rPr>
      </w:pPr>
    </w:p>
    <w:p w14:paraId="5EEA6EF7" w14:textId="22B0FA55" w:rsidR="008874B2" w:rsidRPr="0058501F" w:rsidRDefault="00F24336" w:rsidP="008874B2">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sz w:val="18"/>
          <w:bdr w:val="nil"/>
          <w:lang w:val="es-ES_tradnl"/>
        </w:rPr>
      </w:pPr>
      <w:r>
        <w:rPr>
          <w:noProof/>
        </w:rPr>
        <mc:AlternateContent>
          <mc:Choice Requires="wps">
            <w:drawing>
              <wp:anchor distT="0" distB="0" distL="114300" distR="114300" simplePos="0" relativeHeight="251654656" behindDoc="0" locked="0" layoutInCell="1" allowOverlap="1" wp14:anchorId="1B3E01C7" wp14:editId="4E335782">
                <wp:simplePos x="0" y="0"/>
                <wp:positionH relativeFrom="column">
                  <wp:posOffset>1208405</wp:posOffset>
                </wp:positionH>
                <wp:positionV relativeFrom="paragraph">
                  <wp:posOffset>69850</wp:posOffset>
                </wp:positionV>
                <wp:extent cx="4595495" cy="62674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4595495" cy="626745"/>
                        </a:xfrm>
                        <a:prstGeom prst="rect">
                          <a:avLst/>
                        </a:prstGeom>
                        <a:noFill/>
                        <a:ln w="6350">
                          <a:noFill/>
                        </a:ln>
                        <a:effectLst/>
                      </wps:spPr>
                      <wps:txbx>
                        <w:txbxContent>
                          <w:p w14:paraId="6EF5F066" w14:textId="1DBF299A" w:rsidR="00CC0FA0" w:rsidRDefault="00CC0FA0" w:rsidP="008874B2">
                            <w:pPr>
                              <w:tabs>
                                <w:tab w:val="center" w:pos="5400"/>
                              </w:tabs>
                              <w:suppressAutoHyphens/>
                              <w:spacing w:before="60"/>
                              <w:rPr>
                                <w:rFonts w:ascii="Cambria" w:hAnsi="Cambria"/>
                                <w:color w:val="0D0D0D"/>
                                <w:sz w:val="18"/>
                                <w:szCs w:val="20"/>
                                <w:lang w:val="es-ES"/>
                              </w:rPr>
                            </w:pPr>
                            <w:r w:rsidRPr="005147DA">
                              <w:rPr>
                                <w:rFonts w:ascii="Cambria" w:hAnsi="Cambria"/>
                                <w:color w:val="0D0D0D"/>
                                <w:sz w:val="18"/>
                                <w:szCs w:val="20"/>
                                <w:lang w:val="es-ES"/>
                              </w:rPr>
                              <w:t xml:space="preserve">Aprobado </w:t>
                            </w:r>
                            <w:r>
                              <w:rPr>
                                <w:rFonts w:ascii="Cambria" w:hAnsi="Cambria"/>
                                <w:color w:val="0D0D0D"/>
                                <w:sz w:val="18"/>
                                <w:szCs w:val="20"/>
                                <w:lang w:val="es-ES"/>
                              </w:rPr>
                              <w:t xml:space="preserve">electrónicamente </w:t>
                            </w:r>
                            <w:r w:rsidRPr="005147DA">
                              <w:rPr>
                                <w:rFonts w:ascii="Cambria" w:hAnsi="Cambria"/>
                                <w:color w:val="0D0D0D"/>
                                <w:sz w:val="18"/>
                                <w:szCs w:val="20"/>
                                <w:lang w:val="es-ES"/>
                              </w:rPr>
                              <w:t xml:space="preserve">por la Comisión el día </w:t>
                            </w:r>
                            <w:r w:rsidR="00195551">
                              <w:rPr>
                                <w:rFonts w:ascii="Cambria" w:hAnsi="Cambria"/>
                                <w:color w:val="0D0D0D"/>
                                <w:sz w:val="18"/>
                                <w:szCs w:val="20"/>
                                <w:lang w:val="es-ES"/>
                              </w:rPr>
                              <w:t>31</w:t>
                            </w:r>
                            <w:r w:rsidRPr="005147DA">
                              <w:rPr>
                                <w:rFonts w:ascii="Cambria" w:hAnsi="Cambria"/>
                                <w:color w:val="0D0D0D"/>
                                <w:sz w:val="18"/>
                                <w:szCs w:val="20"/>
                                <w:lang w:val="es-ES"/>
                              </w:rPr>
                              <w:t xml:space="preserve"> de </w:t>
                            </w:r>
                            <w:r w:rsidR="00D006F7">
                              <w:rPr>
                                <w:rFonts w:ascii="Cambria" w:hAnsi="Cambria"/>
                                <w:color w:val="0D0D0D"/>
                                <w:sz w:val="18"/>
                                <w:szCs w:val="20"/>
                                <w:lang w:val="es-ES"/>
                              </w:rPr>
                              <w:t>diciembre</w:t>
                            </w:r>
                            <w:r w:rsidRPr="005147DA">
                              <w:rPr>
                                <w:rFonts w:ascii="Cambria" w:hAnsi="Cambria"/>
                                <w:color w:val="0D0D0D"/>
                                <w:sz w:val="18"/>
                                <w:szCs w:val="20"/>
                                <w:lang w:val="es-ES"/>
                              </w:rPr>
                              <w:t xml:space="preserve"> de </w:t>
                            </w:r>
                            <w:r>
                              <w:rPr>
                                <w:rFonts w:ascii="Cambria" w:hAnsi="Cambria"/>
                                <w:color w:val="0D0D0D"/>
                                <w:sz w:val="18"/>
                                <w:szCs w:val="20"/>
                                <w:lang w:val="es-ES"/>
                              </w:rPr>
                              <w:t>2021</w:t>
                            </w:r>
                            <w:r w:rsidR="001D36DC">
                              <w:rPr>
                                <w:rFonts w:ascii="Cambria" w:hAnsi="Cambria"/>
                                <w:color w:val="0D0D0D"/>
                                <w:sz w:val="18"/>
                                <w:szCs w:val="20"/>
                                <w:lang w:val="es-ES"/>
                              </w:rPr>
                              <w:t>.</w:t>
                            </w:r>
                          </w:p>
                          <w:p w14:paraId="6C147343" w14:textId="77777777" w:rsidR="00CC0FA0" w:rsidRPr="005147DA" w:rsidRDefault="00CC0FA0" w:rsidP="008874B2">
                            <w:pPr>
                              <w:tabs>
                                <w:tab w:val="center" w:pos="5400"/>
                              </w:tabs>
                              <w:suppressAutoHyphens/>
                              <w:spacing w:before="60"/>
                              <w:rPr>
                                <w:rFonts w:ascii="Cambria" w:hAnsi="Cambria"/>
                                <w:color w:val="0D0D0D"/>
                                <w:sz w:val="18"/>
                                <w:szCs w:val="20"/>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3E01C7" id="Text Box 8" o:spid="_x0000_s1030" type="#_x0000_t202" style="position:absolute;left:0;text-align:left;margin-left:95.15pt;margin-top:5.5pt;width:361.85pt;height:49.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" filled="f" stroked="f" strokeweight=".5pt">
                <v:textbox>
                  <w:txbxContent>
                    <w:p w14:paraId="6EF5F066" w14:textId="1DBF299A" w:rsidR="00CC0FA0" w:rsidRDefault="00CC0FA0" w:rsidP="008874B2">
                      <w:pPr>
                        <w:tabs>
                          <w:tab w:val="center" w:pos="5400"/>
                        </w:tabs>
                        <w:suppressAutoHyphens/>
                        <w:spacing w:before="60"/>
                        <w:rPr>
                          <w:rFonts w:ascii="Cambria" w:hAnsi="Cambria"/>
                          <w:color w:val="0D0D0D"/>
                          <w:sz w:val="18"/>
                          <w:szCs w:val="20"/>
                          <w:lang w:val="es-ES"/>
                        </w:rPr>
                      </w:pPr>
                      <w:r w:rsidRPr="005147DA">
                        <w:rPr>
                          <w:rFonts w:ascii="Cambria" w:hAnsi="Cambria"/>
                          <w:color w:val="0D0D0D"/>
                          <w:sz w:val="18"/>
                          <w:szCs w:val="20"/>
                          <w:lang w:val="es-ES"/>
                        </w:rPr>
                        <w:t xml:space="preserve">Aprobado </w:t>
                      </w:r>
                      <w:r>
                        <w:rPr>
                          <w:rFonts w:ascii="Cambria" w:hAnsi="Cambria"/>
                          <w:color w:val="0D0D0D"/>
                          <w:sz w:val="18"/>
                          <w:szCs w:val="20"/>
                          <w:lang w:val="es-ES"/>
                        </w:rPr>
                        <w:t xml:space="preserve">electrónicamente </w:t>
                      </w:r>
                      <w:r w:rsidRPr="005147DA">
                        <w:rPr>
                          <w:rFonts w:ascii="Cambria" w:hAnsi="Cambria"/>
                          <w:color w:val="0D0D0D"/>
                          <w:sz w:val="18"/>
                          <w:szCs w:val="20"/>
                          <w:lang w:val="es-ES"/>
                        </w:rPr>
                        <w:t xml:space="preserve">por la Comisión el día </w:t>
                      </w:r>
                      <w:r w:rsidR="00195551">
                        <w:rPr>
                          <w:rFonts w:ascii="Cambria" w:hAnsi="Cambria"/>
                          <w:color w:val="0D0D0D"/>
                          <w:sz w:val="18"/>
                          <w:szCs w:val="20"/>
                          <w:lang w:val="es-ES"/>
                        </w:rPr>
                        <w:t>31</w:t>
                      </w:r>
                      <w:r w:rsidRPr="005147DA">
                        <w:rPr>
                          <w:rFonts w:ascii="Cambria" w:hAnsi="Cambria"/>
                          <w:color w:val="0D0D0D"/>
                          <w:sz w:val="18"/>
                          <w:szCs w:val="20"/>
                          <w:lang w:val="es-ES"/>
                        </w:rPr>
                        <w:t xml:space="preserve"> de </w:t>
                      </w:r>
                      <w:r w:rsidR="00D006F7">
                        <w:rPr>
                          <w:rFonts w:ascii="Cambria" w:hAnsi="Cambria"/>
                          <w:color w:val="0D0D0D"/>
                          <w:sz w:val="18"/>
                          <w:szCs w:val="20"/>
                          <w:lang w:val="es-ES"/>
                        </w:rPr>
                        <w:t>diciembre</w:t>
                      </w:r>
                      <w:r w:rsidRPr="005147DA">
                        <w:rPr>
                          <w:rFonts w:ascii="Cambria" w:hAnsi="Cambria"/>
                          <w:color w:val="0D0D0D"/>
                          <w:sz w:val="18"/>
                          <w:szCs w:val="20"/>
                          <w:lang w:val="es-ES"/>
                        </w:rPr>
                        <w:t xml:space="preserve"> de </w:t>
                      </w:r>
                      <w:r>
                        <w:rPr>
                          <w:rFonts w:ascii="Cambria" w:hAnsi="Cambria"/>
                          <w:color w:val="0D0D0D"/>
                          <w:sz w:val="18"/>
                          <w:szCs w:val="20"/>
                          <w:lang w:val="es-ES"/>
                        </w:rPr>
                        <w:t>2021</w:t>
                      </w:r>
                      <w:r w:rsidR="001D36DC">
                        <w:rPr>
                          <w:rFonts w:ascii="Cambria" w:hAnsi="Cambria"/>
                          <w:color w:val="0D0D0D"/>
                          <w:sz w:val="18"/>
                          <w:szCs w:val="20"/>
                          <w:lang w:val="es-ES"/>
                        </w:rPr>
                        <w:t>.</w:t>
                      </w:r>
                    </w:p>
                    <w:p w14:paraId="6C147343" w14:textId="77777777" w:rsidR="00CC0FA0" w:rsidRPr="005147DA" w:rsidRDefault="00CC0FA0" w:rsidP="008874B2">
                      <w:pPr>
                        <w:tabs>
                          <w:tab w:val="center" w:pos="5400"/>
                        </w:tabs>
                        <w:suppressAutoHyphens/>
                        <w:spacing w:before="60"/>
                        <w:rPr>
                          <w:rFonts w:ascii="Cambria" w:hAnsi="Cambria"/>
                          <w:color w:val="0D0D0D"/>
                          <w:sz w:val="18"/>
                          <w:szCs w:val="20"/>
                          <w:lang w:val="es-ES"/>
                        </w:rPr>
                      </w:pPr>
                    </w:p>
                  </w:txbxContent>
                </v:textbox>
              </v:shape>
            </w:pict>
          </mc:Fallback>
        </mc:AlternateContent>
      </w:r>
    </w:p>
    <w:p w14:paraId="62AFDA63" w14:textId="77777777" w:rsidR="008874B2" w:rsidRPr="0058501F" w:rsidRDefault="008874B2" w:rsidP="008874B2">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sz w:val="18"/>
          <w:bdr w:val="nil"/>
          <w:lang w:val="es-ES_tradnl"/>
        </w:rPr>
      </w:pPr>
    </w:p>
    <w:p w14:paraId="0F59EDF2" w14:textId="77777777" w:rsidR="008874B2" w:rsidRPr="0058501F" w:rsidRDefault="008874B2" w:rsidP="008874B2">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sz w:val="18"/>
          <w:bdr w:val="nil"/>
          <w:lang w:val="es-ES_tradnl"/>
        </w:rPr>
      </w:pPr>
    </w:p>
    <w:p w14:paraId="080A1890" w14:textId="77777777" w:rsidR="008874B2" w:rsidRPr="0058501F" w:rsidRDefault="008874B2" w:rsidP="008874B2">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sz w:val="18"/>
          <w:bdr w:val="nil"/>
          <w:lang w:val="es-ES_tradnl"/>
        </w:rPr>
      </w:pPr>
    </w:p>
    <w:p w14:paraId="065CEFE8" w14:textId="77777777" w:rsidR="008874B2" w:rsidRPr="0058501F" w:rsidRDefault="008874B2" w:rsidP="008874B2">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sz w:val="18"/>
          <w:bdr w:val="nil"/>
          <w:lang w:val="es-ES_tradnl"/>
        </w:rPr>
      </w:pPr>
    </w:p>
    <w:p w14:paraId="366C5579" w14:textId="3C8A44AF" w:rsidR="008874B2" w:rsidRPr="0058501F" w:rsidRDefault="00F24336" w:rsidP="008874B2">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sz w:val="18"/>
          <w:bdr w:val="nil"/>
          <w:lang w:val="es-ES_tradnl"/>
        </w:rPr>
      </w:pPr>
      <w:r>
        <w:rPr>
          <w:noProof/>
        </w:rPr>
        <mc:AlternateContent>
          <mc:Choice Requires="wps">
            <w:drawing>
              <wp:anchor distT="0" distB="0" distL="114300" distR="114300" simplePos="0" relativeHeight="251657728" behindDoc="0" locked="0" layoutInCell="1" allowOverlap="1" wp14:anchorId="34D6E65E" wp14:editId="58B540F8">
                <wp:simplePos x="0" y="0"/>
                <wp:positionH relativeFrom="column">
                  <wp:posOffset>1209675</wp:posOffset>
                </wp:positionH>
                <wp:positionV relativeFrom="paragraph">
                  <wp:posOffset>92075</wp:posOffset>
                </wp:positionV>
                <wp:extent cx="4824095" cy="60960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4824095" cy="609600"/>
                        </a:xfrm>
                        <a:prstGeom prst="rect">
                          <a:avLst/>
                        </a:prstGeom>
                        <a:noFill/>
                        <a:ln w="6350">
                          <a:noFill/>
                        </a:ln>
                        <a:effectLst/>
                      </wps:spPr>
                      <wps:txbx>
                        <w:txbxContent>
                          <w:p w14:paraId="1BAD4464" w14:textId="77777777" w:rsidR="00CC0FA0" w:rsidRPr="00D006F7" w:rsidRDefault="00CC0FA0" w:rsidP="008874B2">
                            <w:pPr>
                              <w:rPr>
                                <w:rFonts w:ascii="Cambria" w:hAnsi="Cambria"/>
                                <w:color w:val="595959"/>
                                <w:sz w:val="18"/>
                                <w:lang w:val="es-ES_tradnl"/>
                              </w:rPr>
                            </w:pPr>
                            <w:r w:rsidRPr="00D006F7">
                              <w:rPr>
                                <w:rFonts w:ascii="Cambria" w:hAnsi="Cambria"/>
                                <w:b/>
                                <w:color w:val="595959"/>
                                <w:sz w:val="18"/>
                                <w:lang w:val="es-ES_tradnl"/>
                              </w:rPr>
                              <w:t xml:space="preserve">Citar como: </w:t>
                            </w:r>
                            <w:r w:rsidRPr="00D006F7">
                              <w:rPr>
                                <w:rFonts w:ascii="Cambria" w:hAnsi="Cambria"/>
                                <w:color w:val="595959"/>
                                <w:sz w:val="18"/>
                                <w:lang w:val="es-ES_tradnl"/>
                              </w:rPr>
                              <w:t xml:space="preserve">CIDH, Informe No. </w:t>
                            </w:r>
                            <w:r w:rsidR="00195551">
                              <w:rPr>
                                <w:rFonts w:ascii="Cambria" w:hAnsi="Cambria"/>
                                <w:color w:val="595959"/>
                                <w:sz w:val="18"/>
                                <w:lang w:val="es-ES_tradnl"/>
                              </w:rPr>
                              <w:t>456</w:t>
                            </w:r>
                            <w:r w:rsidRPr="00D006F7">
                              <w:rPr>
                                <w:rFonts w:ascii="Cambria" w:hAnsi="Cambria"/>
                                <w:color w:val="595959"/>
                                <w:sz w:val="18"/>
                                <w:lang w:val="es-ES_tradnl"/>
                              </w:rPr>
                              <w:t>/21, Petición 13.829. Admisibilidad y Fondo (</w:t>
                            </w:r>
                            <w:r w:rsidR="00D006F7" w:rsidRPr="00D006F7">
                              <w:rPr>
                                <w:rFonts w:ascii="Cambria" w:hAnsi="Cambria"/>
                                <w:color w:val="595959"/>
                                <w:sz w:val="18"/>
                                <w:lang w:val="es-ES_tradnl"/>
                              </w:rPr>
                              <w:t>Publicación</w:t>
                            </w:r>
                            <w:r w:rsidRPr="00D006F7">
                              <w:rPr>
                                <w:rFonts w:ascii="Cambria" w:hAnsi="Cambria"/>
                                <w:color w:val="595959"/>
                                <w:sz w:val="18"/>
                                <w:lang w:val="es-ES_tradnl"/>
                              </w:rPr>
                              <w:t xml:space="preserve">). Ramiro Ibarra </w:t>
                            </w:r>
                            <w:proofErr w:type="spellStart"/>
                            <w:r w:rsidRPr="00D006F7">
                              <w:rPr>
                                <w:rFonts w:ascii="Cambria" w:hAnsi="Cambria"/>
                                <w:color w:val="595959"/>
                                <w:sz w:val="18"/>
                                <w:lang w:val="es-ES_tradnl"/>
                              </w:rPr>
                              <w:t>Rubi</w:t>
                            </w:r>
                            <w:proofErr w:type="spellEnd"/>
                            <w:r w:rsidRPr="00D006F7">
                              <w:rPr>
                                <w:rFonts w:ascii="Cambria" w:hAnsi="Cambria"/>
                                <w:color w:val="595959"/>
                                <w:sz w:val="18"/>
                                <w:lang w:val="es-ES_tradnl"/>
                              </w:rPr>
                              <w:t xml:space="preserve">. Estados Unidos de América. </w:t>
                            </w:r>
                            <w:r w:rsidR="00195551">
                              <w:rPr>
                                <w:rFonts w:ascii="Cambria" w:hAnsi="Cambria"/>
                                <w:color w:val="595959"/>
                                <w:sz w:val="18"/>
                                <w:lang w:val="es-ES_tradnl"/>
                              </w:rPr>
                              <w:t>31</w:t>
                            </w:r>
                            <w:r w:rsidR="00D006F7" w:rsidRPr="00D006F7">
                              <w:rPr>
                                <w:rFonts w:ascii="Cambria" w:hAnsi="Cambria"/>
                                <w:color w:val="595959"/>
                                <w:sz w:val="18"/>
                                <w:lang w:val="es-ES_tradnl"/>
                              </w:rPr>
                              <w:t xml:space="preserve"> de</w:t>
                            </w:r>
                            <w:r w:rsidRPr="00D006F7">
                              <w:rPr>
                                <w:rFonts w:ascii="Cambria" w:hAnsi="Cambria"/>
                                <w:color w:val="595959"/>
                                <w:sz w:val="18"/>
                                <w:lang w:val="es-ES_tradnl"/>
                              </w:rPr>
                              <w:t xml:space="preserve"> </w:t>
                            </w:r>
                            <w:r w:rsidR="00D006F7" w:rsidRPr="00D006F7">
                              <w:rPr>
                                <w:rFonts w:ascii="Cambria" w:hAnsi="Cambria"/>
                                <w:color w:val="595959"/>
                                <w:sz w:val="18"/>
                                <w:lang w:val="es-ES_tradnl"/>
                              </w:rPr>
                              <w:t>diciembre de</w:t>
                            </w:r>
                            <w:r w:rsidRPr="00D006F7">
                              <w:rPr>
                                <w:rFonts w:ascii="Cambria" w:hAnsi="Cambria"/>
                                <w:color w:val="595959"/>
                                <w:sz w:val="18"/>
                                <w:lang w:val="es-ES_tradnl"/>
                              </w:rPr>
                              <w:t xml:space="preserve">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D6E65E" id="Text Box 7" o:spid="_x0000_s1031" type="#_x0000_t202" style="position:absolute;left:0;text-align:left;margin-left:95.25pt;margin-top:7.25pt;width:379.85pt;height:4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" filled="f" stroked="f" strokeweight=".5pt">
                <v:textbox>
                  <w:txbxContent>
                    <w:p w14:paraId="1BAD4464" w14:textId="77777777" w:rsidR="00CC0FA0" w:rsidRPr="00D006F7" w:rsidRDefault="00CC0FA0" w:rsidP="008874B2">
                      <w:pPr>
                        <w:rPr>
                          <w:rFonts w:ascii="Cambria" w:hAnsi="Cambria"/>
                          <w:color w:val="595959"/>
                          <w:sz w:val="18"/>
                          <w:lang w:val="es-ES_tradnl"/>
                        </w:rPr>
                      </w:pPr>
                      <w:r w:rsidRPr="00D006F7">
                        <w:rPr>
                          <w:rFonts w:ascii="Cambria" w:hAnsi="Cambria"/>
                          <w:b/>
                          <w:color w:val="595959"/>
                          <w:sz w:val="18"/>
                          <w:lang w:val="es-ES_tradnl"/>
                        </w:rPr>
                        <w:t xml:space="preserve">Citar como: </w:t>
                      </w:r>
                      <w:r w:rsidRPr="00D006F7">
                        <w:rPr>
                          <w:rFonts w:ascii="Cambria" w:hAnsi="Cambria"/>
                          <w:color w:val="595959"/>
                          <w:sz w:val="18"/>
                          <w:lang w:val="es-ES_tradnl"/>
                        </w:rPr>
                        <w:t xml:space="preserve">CIDH, Informe No. </w:t>
                      </w:r>
                      <w:r w:rsidR="00195551">
                        <w:rPr>
                          <w:rFonts w:ascii="Cambria" w:hAnsi="Cambria"/>
                          <w:color w:val="595959"/>
                          <w:sz w:val="18"/>
                          <w:lang w:val="es-ES_tradnl"/>
                        </w:rPr>
                        <w:t>456</w:t>
                      </w:r>
                      <w:r w:rsidRPr="00D006F7">
                        <w:rPr>
                          <w:rFonts w:ascii="Cambria" w:hAnsi="Cambria"/>
                          <w:color w:val="595959"/>
                          <w:sz w:val="18"/>
                          <w:lang w:val="es-ES_tradnl"/>
                        </w:rPr>
                        <w:t>/21, Petición 13.829. Admisibilidad y Fondo (</w:t>
                      </w:r>
                      <w:r w:rsidR="00D006F7" w:rsidRPr="00D006F7">
                        <w:rPr>
                          <w:rFonts w:ascii="Cambria" w:hAnsi="Cambria"/>
                          <w:color w:val="595959"/>
                          <w:sz w:val="18"/>
                          <w:lang w:val="es-ES_tradnl"/>
                        </w:rPr>
                        <w:t>Publicación</w:t>
                      </w:r>
                      <w:r w:rsidRPr="00D006F7">
                        <w:rPr>
                          <w:rFonts w:ascii="Cambria" w:hAnsi="Cambria"/>
                          <w:color w:val="595959"/>
                          <w:sz w:val="18"/>
                          <w:lang w:val="es-ES_tradnl"/>
                        </w:rPr>
                        <w:t xml:space="preserve">). Ramiro Ibarra </w:t>
                      </w:r>
                      <w:proofErr w:type="spellStart"/>
                      <w:r w:rsidRPr="00D006F7">
                        <w:rPr>
                          <w:rFonts w:ascii="Cambria" w:hAnsi="Cambria"/>
                          <w:color w:val="595959"/>
                          <w:sz w:val="18"/>
                          <w:lang w:val="es-ES_tradnl"/>
                        </w:rPr>
                        <w:t>Rubi</w:t>
                      </w:r>
                      <w:proofErr w:type="spellEnd"/>
                      <w:r w:rsidRPr="00D006F7">
                        <w:rPr>
                          <w:rFonts w:ascii="Cambria" w:hAnsi="Cambria"/>
                          <w:color w:val="595959"/>
                          <w:sz w:val="18"/>
                          <w:lang w:val="es-ES_tradnl"/>
                        </w:rPr>
                        <w:t xml:space="preserve">. Estados Unidos de América. </w:t>
                      </w:r>
                      <w:r w:rsidR="00195551">
                        <w:rPr>
                          <w:rFonts w:ascii="Cambria" w:hAnsi="Cambria"/>
                          <w:color w:val="595959"/>
                          <w:sz w:val="18"/>
                          <w:lang w:val="es-ES_tradnl"/>
                        </w:rPr>
                        <w:t>31</w:t>
                      </w:r>
                      <w:r w:rsidR="00D006F7" w:rsidRPr="00D006F7">
                        <w:rPr>
                          <w:rFonts w:ascii="Cambria" w:hAnsi="Cambria"/>
                          <w:color w:val="595959"/>
                          <w:sz w:val="18"/>
                          <w:lang w:val="es-ES_tradnl"/>
                        </w:rPr>
                        <w:t xml:space="preserve"> de</w:t>
                      </w:r>
                      <w:r w:rsidRPr="00D006F7">
                        <w:rPr>
                          <w:rFonts w:ascii="Cambria" w:hAnsi="Cambria"/>
                          <w:color w:val="595959"/>
                          <w:sz w:val="18"/>
                          <w:lang w:val="es-ES_tradnl"/>
                        </w:rPr>
                        <w:t xml:space="preserve"> </w:t>
                      </w:r>
                      <w:r w:rsidR="00D006F7" w:rsidRPr="00D006F7">
                        <w:rPr>
                          <w:rFonts w:ascii="Cambria" w:hAnsi="Cambria"/>
                          <w:color w:val="595959"/>
                          <w:sz w:val="18"/>
                          <w:lang w:val="es-ES_tradnl"/>
                        </w:rPr>
                        <w:t>diciembre de</w:t>
                      </w:r>
                      <w:r w:rsidRPr="00D006F7">
                        <w:rPr>
                          <w:rFonts w:ascii="Cambria" w:hAnsi="Cambria"/>
                          <w:color w:val="595959"/>
                          <w:sz w:val="18"/>
                          <w:lang w:val="es-ES_tradnl"/>
                        </w:rPr>
                        <w:t xml:space="preserve"> 2021.</w:t>
                      </w:r>
                    </w:p>
                  </w:txbxContent>
                </v:textbox>
              </v:shape>
            </w:pict>
          </mc:Fallback>
        </mc:AlternateContent>
      </w:r>
    </w:p>
    <w:p w14:paraId="7517D3A7" w14:textId="77777777" w:rsidR="008874B2" w:rsidRPr="0058501F" w:rsidRDefault="008874B2" w:rsidP="008874B2">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sz w:val="18"/>
          <w:bdr w:val="nil"/>
          <w:lang w:val="es-ES_tradnl"/>
        </w:rPr>
      </w:pPr>
    </w:p>
    <w:p w14:paraId="2E1F9F8F" w14:textId="77777777" w:rsidR="008874B2" w:rsidRPr="0058501F" w:rsidRDefault="008874B2" w:rsidP="008874B2">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sz w:val="18"/>
          <w:bdr w:val="nil"/>
          <w:lang w:val="es-ES_tradnl"/>
        </w:rPr>
      </w:pPr>
    </w:p>
    <w:p w14:paraId="0E390E63" w14:textId="77777777" w:rsidR="008874B2" w:rsidRPr="0058501F" w:rsidRDefault="008874B2" w:rsidP="008874B2">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sz w:val="18"/>
          <w:bdr w:val="nil"/>
          <w:lang w:val="es-ES_tradnl"/>
        </w:rPr>
      </w:pPr>
    </w:p>
    <w:p w14:paraId="3DE9B2D9" w14:textId="38E7F7A1" w:rsidR="008874B2" w:rsidRPr="0058501F" w:rsidRDefault="00F24336" w:rsidP="008874B2">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sz w:val="18"/>
          <w:bdr w:val="nil"/>
          <w:lang w:val="es-ES_tradnl"/>
        </w:rPr>
      </w:pPr>
      <w:r>
        <w:rPr>
          <w:noProof/>
        </w:rPr>
        <mc:AlternateContent>
          <mc:Choice Requires="wps">
            <w:drawing>
              <wp:anchor distT="0" distB="0" distL="114300" distR="114300" simplePos="0" relativeHeight="251661824" behindDoc="0" locked="0" layoutInCell="1" allowOverlap="1" wp14:anchorId="33506B08" wp14:editId="4E8E01CD">
                <wp:simplePos x="0" y="0"/>
                <wp:positionH relativeFrom="column">
                  <wp:posOffset>-302260</wp:posOffset>
                </wp:positionH>
                <wp:positionV relativeFrom="paragraph">
                  <wp:posOffset>878205</wp:posOffset>
                </wp:positionV>
                <wp:extent cx="1181100" cy="33274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181100" cy="332740"/>
                        </a:xfrm>
                        <a:prstGeom prst="rect">
                          <a:avLst/>
                        </a:prstGeom>
                        <a:noFill/>
                        <a:ln w="6350">
                          <a:noFill/>
                        </a:ln>
                        <a:effectLst/>
                      </wps:spPr>
                      <wps:txbx>
                        <w:txbxContent>
                          <w:p w14:paraId="72644827" w14:textId="77777777" w:rsidR="00CC0FA0" w:rsidRPr="00DA7486" w:rsidRDefault="00CC0FA0" w:rsidP="00DA7486">
                            <w:pPr>
                              <w:jc w:val="center"/>
                              <w:rPr>
                                <w:b/>
                                <w:color w:val="FFFFFF"/>
                              </w:rPr>
                            </w:pPr>
                            <w:r w:rsidRPr="00DA7486">
                              <w:rPr>
                                <w:b/>
                                <w:color w:val="FFFFFF"/>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506B08" id="Text Box 6" o:spid="_x0000_s1032" type="#_x0000_t202" style="position:absolute;left:0;text-align:left;margin-left:-23.8pt;margin-top:69.15pt;width:93pt;height:26.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" filled="f" stroked="f" strokeweight=".5pt">
                <v:textbox>
                  <w:txbxContent>
                    <w:p w14:paraId="72644827" w14:textId="77777777" w:rsidR="00CC0FA0" w:rsidRPr="00DA7486" w:rsidRDefault="00CC0FA0" w:rsidP="00DA7486">
                      <w:pPr>
                        <w:jc w:val="center"/>
                        <w:rPr>
                          <w:b/>
                          <w:color w:val="FFFFFF"/>
                        </w:rPr>
                      </w:pPr>
                      <w:r w:rsidRPr="00DA7486">
                        <w:rPr>
                          <w:b/>
                          <w:color w:val="FFFFFF"/>
                          <w:lang w:val="pt-BR"/>
                        </w:rPr>
                        <w:t>www.cidh.org</w:t>
                      </w:r>
                    </w:p>
                  </w:txbxContent>
                </v:textbox>
              </v:shape>
            </w:pict>
          </mc:Fallback>
        </mc:AlternateContent>
      </w:r>
      <w:r>
        <w:rPr>
          <w:noProof/>
        </w:rPr>
        <mc:AlternateContent>
          <mc:Choice Requires="wps">
            <w:drawing>
              <wp:anchor distT="0" distB="0" distL="114300" distR="114300" simplePos="0" relativeHeight="251659776" behindDoc="0" locked="0" layoutInCell="1" allowOverlap="1" wp14:anchorId="2F26E54E" wp14:editId="12AE4504">
                <wp:simplePos x="0" y="0"/>
                <wp:positionH relativeFrom="column">
                  <wp:posOffset>-299085</wp:posOffset>
                </wp:positionH>
                <wp:positionV relativeFrom="paragraph">
                  <wp:posOffset>859155</wp:posOffset>
                </wp:positionV>
                <wp:extent cx="1181100" cy="33274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181100" cy="332740"/>
                        </a:xfrm>
                        <a:prstGeom prst="rect">
                          <a:avLst/>
                        </a:prstGeom>
                        <a:noFill/>
                        <a:ln w="6350">
                          <a:noFill/>
                        </a:ln>
                        <a:effectLst/>
                      </wps:spPr>
                      <wps:txbx>
                        <w:txbxContent>
                          <w:p w14:paraId="4C2D8D9C" w14:textId="77777777" w:rsidR="00CC0FA0" w:rsidRPr="008874B2" w:rsidRDefault="00CC0FA0" w:rsidP="008874B2">
                            <w:pPr>
                              <w:jc w:val="center"/>
                              <w:rPr>
                                <w:b/>
                                <w:color w:val="FFFFFF"/>
                              </w:rPr>
                            </w:pPr>
                            <w:r w:rsidRPr="008874B2">
                              <w:rPr>
                                <w:b/>
                                <w:color w:val="FFFFFF"/>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26E54E" id="Text Box 5" o:spid="_x0000_s1033" type="#_x0000_t202" style="position:absolute;left:0;text-align:left;margin-left:-23.55pt;margin-top:67.65pt;width:93pt;height:26.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" filled="f" stroked="f" strokeweight=".5pt">
                <v:textbox>
                  <w:txbxContent>
                    <w:p w14:paraId="4C2D8D9C" w14:textId="77777777" w:rsidR="00CC0FA0" w:rsidRPr="008874B2" w:rsidRDefault="00CC0FA0" w:rsidP="008874B2">
                      <w:pPr>
                        <w:jc w:val="center"/>
                        <w:rPr>
                          <w:b/>
                          <w:color w:val="FFFFFF"/>
                        </w:rPr>
                      </w:pPr>
                      <w:r w:rsidRPr="008874B2">
                        <w:rPr>
                          <w:b/>
                          <w:color w:val="FFFFFF"/>
                          <w:lang w:val="pt-BR"/>
                        </w:rPr>
                        <w:t>www.cidh.org</w:t>
                      </w:r>
                    </w:p>
                  </w:txbxContent>
                </v:textbox>
              </v:shape>
            </w:pict>
          </mc:Fallback>
        </mc:AlternateContent>
      </w:r>
      <w:r>
        <w:rPr>
          <w:noProof/>
        </w:rPr>
        <mc:AlternateContent>
          <mc:Choice Requires="wps">
            <w:drawing>
              <wp:anchor distT="0" distB="0" distL="114300" distR="114300" simplePos="0" relativeHeight="251658752" behindDoc="0" locked="0" layoutInCell="1" allowOverlap="1" wp14:anchorId="02379B2F" wp14:editId="71573A0A">
                <wp:simplePos x="0" y="0"/>
                <wp:positionH relativeFrom="column">
                  <wp:posOffset>1208405</wp:posOffset>
                </wp:positionH>
                <wp:positionV relativeFrom="paragraph">
                  <wp:posOffset>722630</wp:posOffset>
                </wp:positionV>
                <wp:extent cx="2085975" cy="4857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2085975" cy="485775"/>
                        </a:xfrm>
                        <a:prstGeom prst="rect">
                          <a:avLst/>
                        </a:prstGeom>
                        <a:solidFill>
                          <a:sysClr val="window" lastClr="FFFFFF"/>
                        </a:solidFill>
                        <a:ln w="6350">
                          <a:noFill/>
                        </a:ln>
                        <a:effectLst/>
                      </wps:spPr>
                      <wps:txbx>
                        <w:txbxContent>
                          <w:p w14:paraId="7C49542E" w14:textId="0279D74B" w:rsidR="00CC0FA0" w:rsidRDefault="00F24336" w:rsidP="008874B2">
                            <w:r w:rsidRPr="00AA5E31">
                              <w:rPr>
                                <w:noProof/>
                                <w:color w:val="FFFFFF"/>
                              </w:rPr>
                              <w:drawing>
                                <wp:inline distT="0" distB="0" distL="0" distR="0" wp14:anchorId="62209FB2" wp14:editId="64C55C7B">
                                  <wp:extent cx="1400175" cy="361950"/>
                                  <wp:effectExtent l="0" t="0" r="0" b="0"/>
                                  <wp:docPr id="4" name="Picture 15"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 close up of a sign&#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0175" cy="3619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379B2F" id="Text Box 2" o:spid="_x0000_s1034" type="#_x0000_t202" style="position:absolute;left:0;text-align:left;margin-left:95.15pt;margin-top:56.9pt;width:164.25pt;height:38.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" fillcolor="window" stroked="f" strokeweight=".5pt">
                <v:textbox>
                  <w:txbxContent>
                    <w:p w14:paraId="7C49542E" w14:textId="0279D74B" w:rsidR="00CC0FA0" w:rsidRDefault="00F24336" w:rsidP="008874B2">
                      <w:r w:rsidRPr="00AA5E31">
                        <w:rPr>
                          <w:noProof/>
                          <w:color w:val="FFFFFF"/>
                        </w:rPr>
                        <w:drawing>
                          <wp:inline distT="0" distB="0" distL="0" distR="0" wp14:anchorId="62209FB2" wp14:editId="64C55C7B">
                            <wp:extent cx="1400175" cy="361950"/>
                            <wp:effectExtent l="0" t="0" r="0" b="0"/>
                            <wp:docPr id="4" name="Picture 15"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 close up of a sign&#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0175" cy="361950"/>
                                    </a:xfrm>
                                    <a:prstGeom prst="rect">
                                      <a:avLst/>
                                    </a:prstGeom>
                                    <a:noFill/>
                                    <a:ln>
                                      <a:noFill/>
                                    </a:ln>
                                  </pic:spPr>
                                </pic:pic>
                              </a:graphicData>
                            </a:graphic>
                          </wp:inline>
                        </w:drawing>
                      </w:r>
                    </w:p>
                  </w:txbxContent>
                </v:textbox>
              </v:shape>
            </w:pict>
          </mc:Fallback>
        </mc:AlternateContent>
      </w:r>
    </w:p>
    <w:p w14:paraId="497F023A" w14:textId="77777777" w:rsidR="008874B2" w:rsidRPr="0058501F" w:rsidRDefault="008874B2" w:rsidP="008874B2">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sz w:val="18"/>
          <w:bdr w:val="nil"/>
          <w:lang w:val="es-ES_tradnl"/>
        </w:rPr>
        <w:sectPr w:rsidR="008874B2" w:rsidRPr="0058501F" w:rsidSect="008874B2">
          <w:headerReference w:type="even" r:id="rId10"/>
          <w:headerReference w:type="default" r:id="rId11"/>
          <w:footerReference w:type="default" r:id="rId12"/>
          <w:footerReference w:type="first" r:id="rId13"/>
          <w:pgSz w:w="12240" w:h="15840"/>
          <w:pgMar w:top="1440" w:right="1440" w:bottom="1440" w:left="1440" w:header="720" w:footer="720" w:gutter="0"/>
          <w:pgNumType w:start="0"/>
          <w:cols w:space="720"/>
          <w:titlePg/>
          <w:docGrid w:linePitch="326"/>
        </w:sectPr>
      </w:pPr>
    </w:p>
    <w:p w14:paraId="28854B48" w14:textId="77777777" w:rsidR="00AF5EB8" w:rsidRPr="00103034" w:rsidRDefault="00B45567" w:rsidP="0058501F">
      <w:pPr>
        <w:pBdr>
          <w:top w:val="nil"/>
          <w:left w:val="nil"/>
          <w:bottom w:val="nil"/>
          <w:right w:val="nil"/>
          <w:between w:val="nil"/>
          <w:bar w:val="nil"/>
        </w:pBdr>
        <w:spacing w:after="240" w:line="240" w:lineRule="auto"/>
        <w:jc w:val="center"/>
        <w:rPr>
          <w:rFonts w:ascii="Cambria" w:eastAsia="Arial Unicode MS" w:hAnsi="Cambria"/>
          <w:sz w:val="20"/>
          <w:szCs w:val="20"/>
          <w:bdr w:val="nil"/>
          <w:lang w:val="es-ES_tradnl"/>
        </w:rPr>
      </w:pPr>
      <w:r w:rsidRPr="00103034">
        <w:rPr>
          <w:rFonts w:ascii="Cambria" w:eastAsia="Arial Unicode MS" w:hAnsi="Cambria"/>
          <w:sz w:val="20"/>
          <w:szCs w:val="20"/>
          <w:bdr w:val="nil"/>
          <w:lang w:val="es-ES_tradnl"/>
        </w:rPr>
        <w:lastRenderedPageBreak/>
        <w:t>ÍNDICE</w:t>
      </w:r>
    </w:p>
    <w:p w14:paraId="1CA5C553" w14:textId="4732C97A" w:rsidR="00103034" w:rsidRPr="00993B63" w:rsidRDefault="00AF5EB8">
      <w:pPr>
        <w:pStyle w:val="TOC1"/>
        <w:tabs>
          <w:tab w:val="left" w:pos="440"/>
          <w:tab w:val="right" w:leader="dot" w:pos="9350"/>
        </w:tabs>
        <w:rPr>
          <w:rFonts w:ascii="Cambria" w:eastAsia="DengXian" w:hAnsi="Cambria" w:cs="Arial"/>
          <w:b w:val="0"/>
          <w:bCs w:val="0"/>
          <w:i w:val="0"/>
          <w:iCs w:val="0"/>
          <w:noProof/>
          <w:sz w:val="20"/>
          <w:szCs w:val="20"/>
          <w:lang w:eastAsia="zh-CN"/>
        </w:rPr>
      </w:pPr>
      <w:r w:rsidRPr="00103034">
        <w:rPr>
          <w:rFonts w:ascii="Cambria" w:hAnsi="Cambria"/>
          <w:b w:val="0"/>
          <w:bCs w:val="0"/>
          <w:i w:val="0"/>
          <w:iCs w:val="0"/>
          <w:sz w:val="20"/>
          <w:szCs w:val="20"/>
          <w:lang w:val="es-ES_tradnl"/>
        </w:rPr>
        <w:fldChar w:fldCharType="begin"/>
      </w:r>
      <w:r w:rsidRPr="00103034">
        <w:rPr>
          <w:rFonts w:ascii="Cambria" w:hAnsi="Cambria"/>
          <w:b w:val="0"/>
          <w:bCs w:val="0"/>
          <w:i w:val="0"/>
          <w:iCs w:val="0"/>
          <w:sz w:val="20"/>
          <w:szCs w:val="20"/>
          <w:lang w:val="es-ES_tradnl"/>
        </w:rPr>
        <w:instrText xml:space="preserve"> TOC \o "1-3" \h \z \u </w:instrText>
      </w:r>
      <w:r w:rsidRPr="00103034">
        <w:rPr>
          <w:rFonts w:ascii="Cambria" w:hAnsi="Cambria"/>
          <w:b w:val="0"/>
          <w:bCs w:val="0"/>
          <w:i w:val="0"/>
          <w:iCs w:val="0"/>
          <w:sz w:val="20"/>
          <w:szCs w:val="20"/>
          <w:lang w:val="es-ES_tradnl"/>
        </w:rPr>
        <w:fldChar w:fldCharType="separate"/>
      </w:r>
      <w:hyperlink w:anchor="_Toc90117824" w:history="1">
        <w:r w:rsidR="00103034" w:rsidRPr="00103034">
          <w:rPr>
            <w:rStyle w:val="Hyperlink"/>
            <w:rFonts w:ascii="Cambria" w:eastAsia="Arial Unicode MS" w:hAnsi="Cambria"/>
            <w:b w:val="0"/>
            <w:bCs w:val="0"/>
            <w:i w:val="0"/>
            <w:iCs w:val="0"/>
            <w:noProof/>
            <w:sz w:val="20"/>
            <w:szCs w:val="20"/>
            <w:bdr w:val="nil"/>
            <w:lang w:val="es-ES_tradnl"/>
          </w:rPr>
          <w:t>I.</w:t>
        </w:r>
        <w:r w:rsidR="00103034" w:rsidRPr="00993B63">
          <w:rPr>
            <w:rFonts w:ascii="Cambria" w:eastAsia="DengXian" w:hAnsi="Cambria" w:cs="Arial"/>
            <w:b w:val="0"/>
            <w:bCs w:val="0"/>
            <w:i w:val="0"/>
            <w:iCs w:val="0"/>
            <w:noProof/>
            <w:sz w:val="20"/>
            <w:szCs w:val="20"/>
            <w:lang w:eastAsia="zh-CN"/>
          </w:rPr>
          <w:tab/>
        </w:r>
        <w:r w:rsidR="00103034" w:rsidRPr="00103034">
          <w:rPr>
            <w:rStyle w:val="Hyperlink"/>
            <w:rFonts w:ascii="Cambria" w:eastAsia="Arial Unicode MS" w:hAnsi="Cambria"/>
            <w:b w:val="0"/>
            <w:bCs w:val="0"/>
            <w:i w:val="0"/>
            <w:iCs w:val="0"/>
            <w:noProof/>
            <w:sz w:val="20"/>
            <w:szCs w:val="20"/>
            <w:bdr w:val="nil"/>
            <w:lang w:val="es-ES_tradnl"/>
          </w:rPr>
          <w:t>INTRODUCCIÓN</w:t>
        </w:r>
        <w:r w:rsidR="00103034" w:rsidRPr="00103034">
          <w:rPr>
            <w:rFonts w:ascii="Cambria" w:hAnsi="Cambria"/>
            <w:b w:val="0"/>
            <w:bCs w:val="0"/>
            <w:i w:val="0"/>
            <w:iCs w:val="0"/>
            <w:noProof/>
            <w:webHidden/>
            <w:sz w:val="20"/>
            <w:szCs w:val="20"/>
          </w:rPr>
          <w:tab/>
        </w:r>
        <w:r w:rsidR="00103034" w:rsidRPr="00103034">
          <w:rPr>
            <w:rFonts w:ascii="Cambria" w:hAnsi="Cambria"/>
            <w:b w:val="0"/>
            <w:bCs w:val="0"/>
            <w:i w:val="0"/>
            <w:iCs w:val="0"/>
            <w:noProof/>
            <w:webHidden/>
            <w:sz w:val="20"/>
            <w:szCs w:val="20"/>
          </w:rPr>
          <w:fldChar w:fldCharType="begin"/>
        </w:r>
        <w:r w:rsidR="00103034" w:rsidRPr="00103034">
          <w:rPr>
            <w:rFonts w:ascii="Cambria" w:hAnsi="Cambria"/>
            <w:b w:val="0"/>
            <w:bCs w:val="0"/>
            <w:i w:val="0"/>
            <w:iCs w:val="0"/>
            <w:noProof/>
            <w:webHidden/>
            <w:sz w:val="20"/>
            <w:szCs w:val="20"/>
          </w:rPr>
          <w:instrText xml:space="preserve"> PAGEREF _Toc90117824 \h </w:instrText>
        </w:r>
        <w:r w:rsidR="00103034" w:rsidRPr="00103034">
          <w:rPr>
            <w:rFonts w:ascii="Cambria" w:hAnsi="Cambria"/>
            <w:b w:val="0"/>
            <w:bCs w:val="0"/>
            <w:i w:val="0"/>
            <w:iCs w:val="0"/>
            <w:noProof/>
            <w:webHidden/>
            <w:sz w:val="20"/>
            <w:szCs w:val="20"/>
          </w:rPr>
        </w:r>
        <w:r w:rsidR="00103034" w:rsidRPr="00103034">
          <w:rPr>
            <w:rFonts w:ascii="Cambria" w:hAnsi="Cambria"/>
            <w:b w:val="0"/>
            <w:bCs w:val="0"/>
            <w:i w:val="0"/>
            <w:iCs w:val="0"/>
            <w:noProof/>
            <w:webHidden/>
            <w:sz w:val="20"/>
            <w:szCs w:val="20"/>
          </w:rPr>
          <w:fldChar w:fldCharType="separate"/>
        </w:r>
        <w:r w:rsidR="00E22184">
          <w:rPr>
            <w:rFonts w:ascii="Cambria" w:hAnsi="Cambria"/>
            <w:b w:val="0"/>
            <w:bCs w:val="0"/>
            <w:i w:val="0"/>
            <w:iCs w:val="0"/>
            <w:noProof/>
            <w:webHidden/>
            <w:sz w:val="20"/>
            <w:szCs w:val="20"/>
          </w:rPr>
          <w:t>2</w:t>
        </w:r>
        <w:r w:rsidR="00103034" w:rsidRPr="00103034">
          <w:rPr>
            <w:rFonts w:ascii="Cambria" w:hAnsi="Cambria"/>
            <w:b w:val="0"/>
            <w:bCs w:val="0"/>
            <w:i w:val="0"/>
            <w:iCs w:val="0"/>
            <w:noProof/>
            <w:webHidden/>
            <w:sz w:val="20"/>
            <w:szCs w:val="20"/>
          </w:rPr>
          <w:fldChar w:fldCharType="end"/>
        </w:r>
      </w:hyperlink>
    </w:p>
    <w:p w14:paraId="1E8FD586" w14:textId="6E4C260F" w:rsidR="00103034" w:rsidRPr="00993B63" w:rsidRDefault="00127170">
      <w:pPr>
        <w:pStyle w:val="TOC1"/>
        <w:tabs>
          <w:tab w:val="left" w:pos="660"/>
          <w:tab w:val="right" w:leader="dot" w:pos="9350"/>
        </w:tabs>
        <w:rPr>
          <w:rFonts w:ascii="Cambria" w:eastAsia="DengXian" w:hAnsi="Cambria" w:cs="Arial"/>
          <w:b w:val="0"/>
          <w:bCs w:val="0"/>
          <w:i w:val="0"/>
          <w:iCs w:val="0"/>
          <w:noProof/>
          <w:sz w:val="20"/>
          <w:szCs w:val="20"/>
          <w:lang w:eastAsia="zh-CN"/>
        </w:rPr>
      </w:pPr>
      <w:hyperlink w:anchor="_Toc90117825" w:history="1">
        <w:r w:rsidR="00103034" w:rsidRPr="00103034">
          <w:rPr>
            <w:rStyle w:val="Hyperlink"/>
            <w:rFonts w:ascii="Cambria" w:eastAsia="Arial Unicode MS" w:hAnsi="Cambria"/>
            <w:b w:val="0"/>
            <w:bCs w:val="0"/>
            <w:i w:val="0"/>
            <w:iCs w:val="0"/>
            <w:noProof/>
            <w:sz w:val="20"/>
            <w:szCs w:val="20"/>
            <w:bdr w:val="nil"/>
            <w:lang w:val="es-ES_tradnl"/>
          </w:rPr>
          <w:t>II.</w:t>
        </w:r>
        <w:r w:rsidR="00103034" w:rsidRPr="00993B63">
          <w:rPr>
            <w:rFonts w:ascii="Cambria" w:eastAsia="DengXian" w:hAnsi="Cambria" w:cs="Arial"/>
            <w:b w:val="0"/>
            <w:bCs w:val="0"/>
            <w:i w:val="0"/>
            <w:iCs w:val="0"/>
            <w:noProof/>
            <w:sz w:val="20"/>
            <w:szCs w:val="20"/>
            <w:lang w:eastAsia="zh-CN"/>
          </w:rPr>
          <w:tab/>
        </w:r>
        <w:r w:rsidR="00103034" w:rsidRPr="00103034">
          <w:rPr>
            <w:rStyle w:val="Hyperlink"/>
            <w:rFonts w:ascii="Cambria" w:eastAsia="Arial Unicode MS" w:hAnsi="Cambria"/>
            <w:b w:val="0"/>
            <w:bCs w:val="0"/>
            <w:i w:val="0"/>
            <w:iCs w:val="0"/>
            <w:noProof/>
            <w:sz w:val="20"/>
            <w:szCs w:val="20"/>
            <w:bdr w:val="nil"/>
            <w:lang w:val="es-ES_tradnl"/>
          </w:rPr>
          <w:t>POSICIÓN DE LAS PARTES</w:t>
        </w:r>
        <w:r w:rsidR="00103034" w:rsidRPr="00103034">
          <w:rPr>
            <w:rFonts w:ascii="Cambria" w:hAnsi="Cambria"/>
            <w:b w:val="0"/>
            <w:bCs w:val="0"/>
            <w:i w:val="0"/>
            <w:iCs w:val="0"/>
            <w:noProof/>
            <w:webHidden/>
            <w:sz w:val="20"/>
            <w:szCs w:val="20"/>
          </w:rPr>
          <w:tab/>
        </w:r>
        <w:r w:rsidR="00103034" w:rsidRPr="00103034">
          <w:rPr>
            <w:rFonts w:ascii="Cambria" w:hAnsi="Cambria"/>
            <w:b w:val="0"/>
            <w:bCs w:val="0"/>
            <w:i w:val="0"/>
            <w:iCs w:val="0"/>
            <w:noProof/>
            <w:webHidden/>
            <w:sz w:val="20"/>
            <w:szCs w:val="20"/>
          </w:rPr>
          <w:fldChar w:fldCharType="begin"/>
        </w:r>
        <w:r w:rsidR="00103034" w:rsidRPr="00103034">
          <w:rPr>
            <w:rFonts w:ascii="Cambria" w:hAnsi="Cambria"/>
            <w:b w:val="0"/>
            <w:bCs w:val="0"/>
            <w:i w:val="0"/>
            <w:iCs w:val="0"/>
            <w:noProof/>
            <w:webHidden/>
            <w:sz w:val="20"/>
            <w:szCs w:val="20"/>
          </w:rPr>
          <w:instrText xml:space="preserve"> PAGEREF _Toc90117825 \h </w:instrText>
        </w:r>
        <w:r w:rsidR="00103034" w:rsidRPr="00103034">
          <w:rPr>
            <w:rFonts w:ascii="Cambria" w:hAnsi="Cambria"/>
            <w:b w:val="0"/>
            <w:bCs w:val="0"/>
            <w:i w:val="0"/>
            <w:iCs w:val="0"/>
            <w:noProof/>
            <w:webHidden/>
            <w:sz w:val="20"/>
            <w:szCs w:val="20"/>
          </w:rPr>
        </w:r>
        <w:r w:rsidR="00103034" w:rsidRPr="00103034">
          <w:rPr>
            <w:rFonts w:ascii="Cambria" w:hAnsi="Cambria"/>
            <w:b w:val="0"/>
            <w:bCs w:val="0"/>
            <w:i w:val="0"/>
            <w:iCs w:val="0"/>
            <w:noProof/>
            <w:webHidden/>
            <w:sz w:val="20"/>
            <w:szCs w:val="20"/>
          </w:rPr>
          <w:fldChar w:fldCharType="separate"/>
        </w:r>
        <w:r w:rsidR="00E22184">
          <w:rPr>
            <w:rFonts w:ascii="Cambria" w:hAnsi="Cambria"/>
            <w:b w:val="0"/>
            <w:bCs w:val="0"/>
            <w:i w:val="0"/>
            <w:iCs w:val="0"/>
            <w:noProof/>
            <w:webHidden/>
            <w:sz w:val="20"/>
            <w:szCs w:val="20"/>
          </w:rPr>
          <w:t>2</w:t>
        </w:r>
        <w:r w:rsidR="00103034" w:rsidRPr="00103034">
          <w:rPr>
            <w:rFonts w:ascii="Cambria" w:hAnsi="Cambria"/>
            <w:b w:val="0"/>
            <w:bCs w:val="0"/>
            <w:i w:val="0"/>
            <w:iCs w:val="0"/>
            <w:noProof/>
            <w:webHidden/>
            <w:sz w:val="20"/>
            <w:szCs w:val="20"/>
          </w:rPr>
          <w:fldChar w:fldCharType="end"/>
        </w:r>
      </w:hyperlink>
    </w:p>
    <w:p w14:paraId="0EFF3D64" w14:textId="0D2A004F" w:rsidR="00103034" w:rsidRPr="00993B63" w:rsidRDefault="00127170">
      <w:pPr>
        <w:pStyle w:val="TOC2"/>
        <w:tabs>
          <w:tab w:val="left" w:pos="660"/>
          <w:tab w:val="right" w:leader="dot" w:pos="9350"/>
        </w:tabs>
        <w:rPr>
          <w:rFonts w:ascii="Cambria" w:eastAsia="DengXian" w:hAnsi="Cambria" w:cs="Arial"/>
          <w:b w:val="0"/>
          <w:bCs w:val="0"/>
          <w:noProof/>
          <w:sz w:val="20"/>
          <w:szCs w:val="20"/>
          <w:lang w:eastAsia="zh-CN"/>
        </w:rPr>
      </w:pPr>
      <w:hyperlink w:anchor="_Toc90117826" w:history="1">
        <w:r w:rsidR="00103034" w:rsidRPr="00103034">
          <w:rPr>
            <w:rStyle w:val="Hyperlink"/>
            <w:rFonts w:ascii="Cambria" w:eastAsia="Arial Unicode MS" w:hAnsi="Cambria"/>
            <w:b w:val="0"/>
            <w:bCs w:val="0"/>
            <w:noProof/>
            <w:sz w:val="20"/>
            <w:szCs w:val="20"/>
            <w:bdr w:val="nil"/>
            <w:lang w:val="es-ES_tradnl"/>
          </w:rPr>
          <w:t>A.</w:t>
        </w:r>
        <w:r w:rsidR="00103034" w:rsidRPr="00993B63">
          <w:rPr>
            <w:rFonts w:ascii="Cambria" w:eastAsia="DengXian" w:hAnsi="Cambria" w:cs="Arial"/>
            <w:b w:val="0"/>
            <w:bCs w:val="0"/>
            <w:noProof/>
            <w:sz w:val="20"/>
            <w:szCs w:val="20"/>
            <w:lang w:eastAsia="zh-CN"/>
          </w:rPr>
          <w:tab/>
        </w:r>
        <w:r w:rsidR="00103034" w:rsidRPr="00103034">
          <w:rPr>
            <w:rStyle w:val="Hyperlink"/>
            <w:rFonts w:ascii="Cambria" w:eastAsia="Arial Unicode MS" w:hAnsi="Cambria"/>
            <w:b w:val="0"/>
            <w:bCs w:val="0"/>
            <w:noProof/>
            <w:sz w:val="20"/>
            <w:szCs w:val="20"/>
            <w:bdr w:val="nil"/>
            <w:lang w:val="es-ES_tradnl"/>
          </w:rPr>
          <w:t>Peticionarios</w:t>
        </w:r>
        <w:r w:rsidR="00103034" w:rsidRPr="00103034">
          <w:rPr>
            <w:rFonts w:ascii="Cambria" w:hAnsi="Cambria"/>
            <w:b w:val="0"/>
            <w:bCs w:val="0"/>
            <w:noProof/>
            <w:webHidden/>
            <w:sz w:val="20"/>
            <w:szCs w:val="20"/>
          </w:rPr>
          <w:tab/>
        </w:r>
        <w:r w:rsidR="00103034" w:rsidRPr="00103034">
          <w:rPr>
            <w:rFonts w:ascii="Cambria" w:hAnsi="Cambria"/>
            <w:b w:val="0"/>
            <w:bCs w:val="0"/>
            <w:noProof/>
            <w:webHidden/>
            <w:sz w:val="20"/>
            <w:szCs w:val="20"/>
          </w:rPr>
          <w:fldChar w:fldCharType="begin"/>
        </w:r>
        <w:r w:rsidR="00103034" w:rsidRPr="00103034">
          <w:rPr>
            <w:rFonts w:ascii="Cambria" w:hAnsi="Cambria"/>
            <w:b w:val="0"/>
            <w:bCs w:val="0"/>
            <w:noProof/>
            <w:webHidden/>
            <w:sz w:val="20"/>
            <w:szCs w:val="20"/>
          </w:rPr>
          <w:instrText xml:space="preserve"> PAGEREF _Toc90117826 \h </w:instrText>
        </w:r>
        <w:r w:rsidR="00103034" w:rsidRPr="00103034">
          <w:rPr>
            <w:rFonts w:ascii="Cambria" w:hAnsi="Cambria"/>
            <w:b w:val="0"/>
            <w:bCs w:val="0"/>
            <w:noProof/>
            <w:webHidden/>
            <w:sz w:val="20"/>
            <w:szCs w:val="20"/>
          </w:rPr>
        </w:r>
        <w:r w:rsidR="00103034" w:rsidRPr="00103034">
          <w:rPr>
            <w:rFonts w:ascii="Cambria" w:hAnsi="Cambria"/>
            <w:b w:val="0"/>
            <w:bCs w:val="0"/>
            <w:noProof/>
            <w:webHidden/>
            <w:sz w:val="20"/>
            <w:szCs w:val="20"/>
          </w:rPr>
          <w:fldChar w:fldCharType="separate"/>
        </w:r>
        <w:r w:rsidR="00E22184">
          <w:rPr>
            <w:rFonts w:ascii="Cambria" w:hAnsi="Cambria"/>
            <w:b w:val="0"/>
            <w:bCs w:val="0"/>
            <w:noProof/>
            <w:webHidden/>
            <w:sz w:val="20"/>
            <w:szCs w:val="20"/>
          </w:rPr>
          <w:t>2</w:t>
        </w:r>
        <w:r w:rsidR="00103034" w:rsidRPr="00103034">
          <w:rPr>
            <w:rFonts w:ascii="Cambria" w:hAnsi="Cambria"/>
            <w:b w:val="0"/>
            <w:bCs w:val="0"/>
            <w:noProof/>
            <w:webHidden/>
            <w:sz w:val="20"/>
            <w:szCs w:val="20"/>
          </w:rPr>
          <w:fldChar w:fldCharType="end"/>
        </w:r>
      </w:hyperlink>
    </w:p>
    <w:p w14:paraId="70E2D248" w14:textId="7DBA07DF" w:rsidR="00103034" w:rsidRPr="00993B63" w:rsidRDefault="00127170">
      <w:pPr>
        <w:pStyle w:val="TOC2"/>
        <w:tabs>
          <w:tab w:val="left" w:pos="660"/>
          <w:tab w:val="right" w:leader="dot" w:pos="9350"/>
        </w:tabs>
        <w:rPr>
          <w:rFonts w:ascii="Cambria" w:eastAsia="DengXian" w:hAnsi="Cambria" w:cs="Arial"/>
          <w:b w:val="0"/>
          <w:bCs w:val="0"/>
          <w:noProof/>
          <w:sz w:val="20"/>
          <w:szCs w:val="20"/>
          <w:lang w:eastAsia="zh-CN"/>
        </w:rPr>
      </w:pPr>
      <w:hyperlink w:anchor="_Toc90117827" w:history="1">
        <w:r w:rsidR="00103034" w:rsidRPr="00103034">
          <w:rPr>
            <w:rStyle w:val="Hyperlink"/>
            <w:rFonts w:ascii="Cambria" w:eastAsia="Cambria" w:hAnsi="Cambria"/>
            <w:b w:val="0"/>
            <w:bCs w:val="0"/>
            <w:noProof/>
            <w:sz w:val="20"/>
            <w:szCs w:val="20"/>
            <w:bdr w:val="nil"/>
            <w:lang w:val="es-ES_tradnl" w:eastAsia="es-ES"/>
          </w:rPr>
          <w:t>B.</w:t>
        </w:r>
        <w:r w:rsidR="00103034" w:rsidRPr="00993B63">
          <w:rPr>
            <w:rFonts w:ascii="Cambria" w:eastAsia="DengXian" w:hAnsi="Cambria" w:cs="Arial"/>
            <w:b w:val="0"/>
            <w:bCs w:val="0"/>
            <w:noProof/>
            <w:sz w:val="20"/>
            <w:szCs w:val="20"/>
            <w:lang w:eastAsia="zh-CN"/>
          </w:rPr>
          <w:tab/>
        </w:r>
        <w:r w:rsidR="00103034" w:rsidRPr="00103034">
          <w:rPr>
            <w:rStyle w:val="Hyperlink"/>
            <w:rFonts w:ascii="Cambria" w:eastAsia="Cambria" w:hAnsi="Cambria"/>
            <w:b w:val="0"/>
            <w:bCs w:val="0"/>
            <w:noProof/>
            <w:sz w:val="20"/>
            <w:szCs w:val="20"/>
            <w:bdr w:val="nil"/>
            <w:lang w:val="es-ES_tradnl" w:eastAsia="es-ES"/>
          </w:rPr>
          <w:t>Estado</w:t>
        </w:r>
        <w:r w:rsidR="00103034" w:rsidRPr="00103034">
          <w:rPr>
            <w:rFonts w:ascii="Cambria" w:hAnsi="Cambria"/>
            <w:b w:val="0"/>
            <w:bCs w:val="0"/>
            <w:noProof/>
            <w:webHidden/>
            <w:sz w:val="20"/>
            <w:szCs w:val="20"/>
          </w:rPr>
          <w:tab/>
        </w:r>
        <w:r w:rsidR="00103034" w:rsidRPr="00103034">
          <w:rPr>
            <w:rFonts w:ascii="Cambria" w:hAnsi="Cambria"/>
            <w:b w:val="0"/>
            <w:bCs w:val="0"/>
            <w:noProof/>
            <w:webHidden/>
            <w:sz w:val="20"/>
            <w:szCs w:val="20"/>
          </w:rPr>
          <w:fldChar w:fldCharType="begin"/>
        </w:r>
        <w:r w:rsidR="00103034" w:rsidRPr="00103034">
          <w:rPr>
            <w:rFonts w:ascii="Cambria" w:hAnsi="Cambria"/>
            <w:b w:val="0"/>
            <w:bCs w:val="0"/>
            <w:noProof/>
            <w:webHidden/>
            <w:sz w:val="20"/>
            <w:szCs w:val="20"/>
          </w:rPr>
          <w:instrText xml:space="preserve"> PAGEREF _Toc90117827 \h </w:instrText>
        </w:r>
        <w:r w:rsidR="00103034" w:rsidRPr="00103034">
          <w:rPr>
            <w:rFonts w:ascii="Cambria" w:hAnsi="Cambria"/>
            <w:b w:val="0"/>
            <w:bCs w:val="0"/>
            <w:noProof/>
            <w:webHidden/>
            <w:sz w:val="20"/>
            <w:szCs w:val="20"/>
          </w:rPr>
        </w:r>
        <w:r w:rsidR="00103034" w:rsidRPr="00103034">
          <w:rPr>
            <w:rFonts w:ascii="Cambria" w:hAnsi="Cambria"/>
            <w:b w:val="0"/>
            <w:bCs w:val="0"/>
            <w:noProof/>
            <w:webHidden/>
            <w:sz w:val="20"/>
            <w:szCs w:val="20"/>
          </w:rPr>
          <w:fldChar w:fldCharType="separate"/>
        </w:r>
        <w:r w:rsidR="00E22184">
          <w:rPr>
            <w:rFonts w:ascii="Cambria" w:hAnsi="Cambria"/>
            <w:b w:val="0"/>
            <w:bCs w:val="0"/>
            <w:noProof/>
            <w:webHidden/>
            <w:sz w:val="20"/>
            <w:szCs w:val="20"/>
          </w:rPr>
          <w:t>6</w:t>
        </w:r>
        <w:r w:rsidR="00103034" w:rsidRPr="00103034">
          <w:rPr>
            <w:rFonts w:ascii="Cambria" w:hAnsi="Cambria"/>
            <w:b w:val="0"/>
            <w:bCs w:val="0"/>
            <w:noProof/>
            <w:webHidden/>
            <w:sz w:val="20"/>
            <w:szCs w:val="20"/>
          </w:rPr>
          <w:fldChar w:fldCharType="end"/>
        </w:r>
      </w:hyperlink>
    </w:p>
    <w:p w14:paraId="48AA13C2" w14:textId="78E1DB3D" w:rsidR="00103034" w:rsidRPr="00993B63" w:rsidRDefault="00127170">
      <w:pPr>
        <w:pStyle w:val="TOC1"/>
        <w:tabs>
          <w:tab w:val="left" w:pos="660"/>
          <w:tab w:val="right" w:leader="dot" w:pos="9350"/>
        </w:tabs>
        <w:rPr>
          <w:rFonts w:ascii="Cambria" w:eastAsia="DengXian" w:hAnsi="Cambria" w:cs="Arial"/>
          <w:b w:val="0"/>
          <w:bCs w:val="0"/>
          <w:i w:val="0"/>
          <w:iCs w:val="0"/>
          <w:noProof/>
          <w:sz w:val="20"/>
          <w:szCs w:val="20"/>
          <w:lang w:eastAsia="zh-CN"/>
        </w:rPr>
      </w:pPr>
      <w:hyperlink w:anchor="_Toc90117828" w:history="1">
        <w:r w:rsidR="00103034" w:rsidRPr="00103034">
          <w:rPr>
            <w:rStyle w:val="Hyperlink"/>
            <w:rFonts w:ascii="Cambria" w:eastAsia="Cambria" w:hAnsi="Cambria"/>
            <w:b w:val="0"/>
            <w:bCs w:val="0"/>
            <w:i w:val="0"/>
            <w:iCs w:val="0"/>
            <w:noProof/>
            <w:sz w:val="20"/>
            <w:szCs w:val="20"/>
            <w:bdr w:val="nil"/>
            <w:lang w:val="es-ES_tradnl" w:eastAsia="es-ES"/>
          </w:rPr>
          <w:t>III.</w:t>
        </w:r>
        <w:r w:rsidR="00103034" w:rsidRPr="00993B63">
          <w:rPr>
            <w:rFonts w:ascii="Cambria" w:eastAsia="DengXian" w:hAnsi="Cambria" w:cs="Arial"/>
            <w:b w:val="0"/>
            <w:bCs w:val="0"/>
            <w:i w:val="0"/>
            <w:iCs w:val="0"/>
            <w:noProof/>
            <w:sz w:val="20"/>
            <w:szCs w:val="20"/>
            <w:lang w:eastAsia="zh-CN"/>
          </w:rPr>
          <w:tab/>
        </w:r>
        <w:r w:rsidR="00103034" w:rsidRPr="00103034">
          <w:rPr>
            <w:rStyle w:val="Hyperlink"/>
            <w:rFonts w:ascii="Cambria" w:eastAsia="Cambria" w:hAnsi="Cambria"/>
            <w:b w:val="0"/>
            <w:bCs w:val="0"/>
            <w:i w:val="0"/>
            <w:iCs w:val="0"/>
            <w:noProof/>
            <w:sz w:val="20"/>
            <w:szCs w:val="20"/>
            <w:bdr w:val="nil"/>
            <w:lang w:val="es-ES_tradnl" w:eastAsia="es-ES"/>
          </w:rPr>
          <w:t>ADMISIBILIDAD</w:t>
        </w:r>
        <w:r w:rsidR="00103034" w:rsidRPr="00103034">
          <w:rPr>
            <w:rFonts w:ascii="Cambria" w:hAnsi="Cambria"/>
            <w:b w:val="0"/>
            <w:bCs w:val="0"/>
            <w:i w:val="0"/>
            <w:iCs w:val="0"/>
            <w:noProof/>
            <w:webHidden/>
            <w:sz w:val="20"/>
            <w:szCs w:val="20"/>
          </w:rPr>
          <w:tab/>
        </w:r>
        <w:r w:rsidR="00103034" w:rsidRPr="00103034">
          <w:rPr>
            <w:rFonts w:ascii="Cambria" w:hAnsi="Cambria"/>
            <w:b w:val="0"/>
            <w:bCs w:val="0"/>
            <w:i w:val="0"/>
            <w:iCs w:val="0"/>
            <w:noProof/>
            <w:webHidden/>
            <w:sz w:val="20"/>
            <w:szCs w:val="20"/>
          </w:rPr>
          <w:fldChar w:fldCharType="begin"/>
        </w:r>
        <w:r w:rsidR="00103034" w:rsidRPr="00103034">
          <w:rPr>
            <w:rFonts w:ascii="Cambria" w:hAnsi="Cambria"/>
            <w:b w:val="0"/>
            <w:bCs w:val="0"/>
            <w:i w:val="0"/>
            <w:iCs w:val="0"/>
            <w:noProof/>
            <w:webHidden/>
            <w:sz w:val="20"/>
            <w:szCs w:val="20"/>
          </w:rPr>
          <w:instrText xml:space="preserve"> PAGEREF _Toc90117828 \h </w:instrText>
        </w:r>
        <w:r w:rsidR="00103034" w:rsidRPr="00103034">
          <w:rPr>
            <w:rFonts w:ascii="Cambria" w:hAnsi="Cambria"/>
            <w:b w:val="0"/>
            <w:bCs w:val="0"/>
            <w:i w:val="0"/>
            <w:iCs w:val="0"/>
            <w:noProof/>
            <w:webHidden/>
            <w:sz w:val="20"/>
            <w:szCs w:val="20"/>
          </w:rPr>
        </w:r>
        <w:r w:rsidR="00103034" w:rsidRPr="00103034">
          <w:rPr>
            <w:rFonts w:ascii="Cambria" w:hAnsi="Cambria"/>
            <w:b w:val="0"/>
            <w:bCs w:val="0"/>
            <w:i w:val="0"/>
            <w:iCs w:val="0"/>
            <w:noProof/>
            <w:webHidden/>
            <w:sz w:val="20"/>
            <w:szCs w:val="20"/>
          </w:rPr>
          <w:fldChar w:fldCharType="separate"/>
        </w:r>
        <w:r w:rsidR="00E22184">
          <w:rPr>
            <w:rFonts w:ascii="Cambria" w:hAnsi="Cambria"/>
            <w:b w:val="0"/>
            <w:bCs w:val="0"/>
            <w:i w:val="0"/>
            <w:iCs w:val="0"/>
            <w:noProof/>
            <w:webHidden/>
            <w:sz w:val="20"/>
            <w:szCs w:val="20"/>
          </w:rPr>
          <w:t>9</w:t>
        </w:r>
        <w:r w:rsidR="00103034" w:rsidRPr="00103034">
          <w:rPr>
            <w:rFonts w:ascii="Cambria" w:hAnsi="Cambria"/>
            <w:b w:val="0"/>
            <w:bCs w:val="0"/>
            <w:i w:val="0"/>
            <w:iCs w:val="0"/>
            <w:noProof/>
            <w:webHidden/>
            <w:sz w:val="20"/>
            <w:szCs w:val="20"/>
          </w:rPr>
          <w:fldChar w:fldCharType="end"/>
        </w:r>
      </w:hyperlink>
    </w:p>
    <w:p w14:paraId="3FC4E034" w14:textId="3FB7984C" w:rsidR="00103034" w:rsidRPr="00993B63" w:rsidRDefault="00127170">
      <w:pPr>
        <w:pStyle w:val="TOC2"/>
        <w:tabs>
          <w:tab w:val="left" w:pos="660"/>
          <w:tab w:val="right" w:leader="dot" w:pos="9350"/>
        </w:tabs>
        <w:rPr>
          <w:rFonts w:ascii="Cambria" w:eastAsia="DengXian" w:hAnsi="Cambria" w:cs="Arial"/>
          <w:b w:val="0"/>
          <w:bCs w:val="0"/>
          <w:noProof/>
          <w:sz w:val="20"/>
          <w:szCs w:val="20"/>
          <w:lang w:eastAsia="zh-CN"/>
        </w:rPr>
      </w:pPr>
      <w:hyperlink w:anchor="_Toc90117829" w:history="1">
        <w:r w:rsidR="00103034" w:rsidRPr="00103034">
          <w:rPr>
            <w:rStyle w:val="Hyperlink"/>
            <w:rFonts w:ascii="Cambria" w:eastAsia="Cambria" w:hAnsi="Cambria"/>
            <w:b w:val="0"/>
            <w:bCs w:val="0"/>
            <w:noProof/>
            <w:sz w:val="20"/>
            <w:szCs w:val="20"/>
            <w:bdr w:val="nil"/>
            <w:lang w:val="es-ES_tradnl" w:eastAsia="es-ES"/>
          </w:rPr>
          <w:t>A.</w:t>
        </w:r>
        <w:r w:rsidR="00103034" w:rsidRPr="00993B63">
          <w:rPr>
            <w:rFonts w:ascii="Cambria" w:eastAsia="DengXian" w:hAnsi="Cambria" w:cs="Arial"/>
            <w:b w:val="0"/>
            <w:bCs w:val="0"/>
            <w:noProof/>
            <w:sz w:val="20"/>
            <w:szCs w:val="20"/>
            <w:lang w:eastAsia="zh-CN"/>
          </w:rPr>
          <w:tab/>
        </w:r>
        <w:r w:rsidR="00103034" w:rsidRPr="00103034">
          <w:rPr>
            <w:rStyle w:val="Hyperlink"/>
            <w:rFonts w:ascii="Cambria" w:eastAsia="Cambria" w:hAnsi="Cambria"/>
            <w:b w:val="0"/>
            <w:bCs w:val="0"/>
            <w:noProof/>
            <w:sz w:val="20"/>
            <w:szCs w:val="20"/>
            <w:bdr w:val="nil"/>
            <w:lang w:val="es-ES_tradnl" w:eastAsia="es-ES"/>
          </w:rPr>
          <w:t>Competencia, duplicación de procedimientos y res judicata internacional</w:t>
        </w:r>
        <w:r w:rsidR="00103034" w:rsidRPr="00103034">
          <w:rPr>
            <w:rFonts w:ascii="Cambria" w:hAnsi="Cambria"/>
            <w:b w:val="0"/>
            <w:bCs w:val="0"/>
            <w:noProof/>
            <w:webHidden/>
            <w:sz w:val="20"/>
            <w:szCs w:val="20"/>
          </w:rPr>
          <w:tab/>
        </w:r>
        <w:r w:rsidR="00103034" w:rsidRPr="00103034">
          <w:rPr>
            <w:rFonts w:ascii="Cambria" w:hAnsi="Cambria"/>
            <w:b w:val="0"/>
            <w:bCs w:val="0"/>
            <w:noProof/>
            <w:webHidden/>
            <w:sz w:val="20"/>
            <w:szCs w:val="20"/>
          </w:rPr>
          <w:fldChar w:fldCharType="begin"/>
        </w:r>
        <w:r w:rsidR="00103034" w:rsidRPr="00103034">
          <w:rPr>
            <w:rFonts w:ascii="Cambria" w:hAnsi="Cambria"/>
            <w:b w:val="0"/>
            <w:bCs w:val="0"/>
            <w:noProof/>
            <w:webHidden/>
            <w:sz w:val="20"/>
            <w:szCs w:val="20"/>
          </w:rPr>
          <w:instrText xml:space="preserve"> PAGEREF _Toc90117829 \h </w:instrText>
        </w:r>
        <w:r w:rsidR="00103034" w:rsidRPr="00103034">
          <w:rPr>
            <w:rFonts w:ascii="Cambria" w:hAnsi="Cambria"/>
            <w:b w:val="0"/>
            <w:bCs w:val="0"/>
            <w:noProof/>
            <w:webHidden/>
            <w:sz w:val="20"/>
            <w:szCs w:val="20"/>
          </w:rPr>
        </w:r>
        <w:r w:rsidR="00103034" w:rsidRPr="00103034">
          <w:rPr>
            <w:rFonts w:ascii="Cambria" w:hAnsi="Cambria"/>
            <w:b w:val="0"/>
            <w:bCs w:val="0"/>
            <w:noProof/>
            <w:webHidden/>
            <w:sz w:val="20"/>
            <w:szCs w:val="20"/>
          </w:rPr>
          <w:fldChar w:fldCharType="separate"/>
        </w:r>
        <w:r w:rsidR="00E22184">
          <w:rPr>
            <w:rFonts w:ascii="Cambria" w:hAnsi="Cambria"/>
            <w:b w:val="0"/>
            <w:bCs w:val="0"/>
            <w:noProof/>
            <w:webHidden/>
            <w:sz w:val="20"/>
            <w:szCs w:val="20"/>
          </w:rPr>
          <w:t>9</w:t>
        </w:r>
        <w:r w:rsidR="00103034" w:rsidRPr="00103034">
          <w:rPr>
            <w:rFonts w:ascii="Cambria" w:hAnsi="Cambria"/>
            <w:b w:val="0"/>
            <w:bCs w:val="0"/>
            <w:noProof/>
            <w:webHidden/>
            <w:sz w:val="20"/>
            <w:szCs w:val="20"/>
          </w:rPr>
          <w:fldChar w:fldCharType="end"/>
        </w:r>
      </w:hyperlink>
    </w:p>
    <w:p w14:paraId="7EDA05DA" w14:textId="495E36CB" w:rsidR="00103034" w:rsidRPr="00993B63" w:rsidRDefault="00127170">
      <w:pPr>
        <w:pStyle w:val="TOC2"/>
        <w:tabs>
          <w:tab w:val="left" w:pos="660"/>
          <w:tab w:val="right" w:leader="dot" w:pos="9350"/>
        </w:tabs>
        <w:rPr>
          <w:rFonts w:ascii="Cambria" w:eastAsia="DengXian" w:hAnsi="Cambria" w:cs="Arial"/>
          <w:b w:val="0"/>
          <w:bCs w:val="0"/>
          <w:noProof/>
          <w:sz w:val="20"/>
          <w:szCs w:val="20"/>
          <w:lang w:eastAsia="zh-CN"/>
        </w:rPr>
      </w:pPr>
      <w:hyperlink w:anchor="_Toc90117830" w:history="1">
        <w:r w:rsidR="00103034" w:rsidRPr="00103034">
          <w:rPr>
            <w:rStyle w:val="Hyperlink"/>
            <w:rFonts w:ascii="Cambria" w:eastAsia="Cambria" w:hAnsi="Cambria"/>
            <w:b w:val="0"/>
            <w:bCs w:val="0"/>
            <w:noProof/>
            <w:sz w:val="20"/>
            <w:szCs w:val="20"/>
            <w:bdr w:val="nil"/>
            <w:lang w:val="es-ES_tradnl" w:eastAsia="es-ES"/>
          </w:rPr>
          <w:t>B.</w:t>
        </w:r>
        <w:r w:rsidR="00103034" w:rsidRPr="00993B63">
          <w:rPr>
            <w:rFonts w:ascii="Cambria" w:eastAsia="DengXian" w:hAnsi="Cambria" w:cs="Arial"/>
            <w:b w:val="0"/>
            <w:bCs w:val="0"/>
            <w:noProof/>
            <w:sz w:val="20"/>
            <w:szCs w:val="20"/>
            <w:lang w:eastAsia="zh-CN"/>
          </w:rPr>
          <w:tab/>
        </w:r>
        <w:r w:rsidR="00103034" w:rsidRPr="00103034">
          <w:rPr>
            <w:rStyle w:val="Hyperlink"/>
            <w:rFonts w:ascii="Cambria" w:eastAsia="Cambria" w:hAnsi="Cambria"/>
            <w:b w:val="0"/>
            <w:bCs w:val="0"/>
            <w:noProof/>
            <w:sz w:val="20"/>
            <w:szCs w:val="20"/>
            <w:bdr w:val="nil"/>
            <w:lang w:val="es-ES_tradnl" w:eastAsia="es-ES"/>
          </w:rPr>
          <w:t>Agotamiento de los recursos internos y plazo de la presentación de la petición</w:t>
        </w:r>
        <w:r w:rsidR="00103034" w:rsidRPr="00103034">
          <w:rPr>
            <w:rFonts w:ascii="Cambria" w:hAnsi="Cambria"/>
            <w:b w:val="0"/>
            <w:bCs w:val="0"/>
            <w:noProof/>
            <w:webHidden/>
            <w:sz w:val="20"/>
            <w:szCs w:val="20"/>
          </w:rPr>
          <w:tab/>
        </w:r>
        <w:r w:rsidR="00103034" w:rsidRPr="00103034">
          <w:rPr>
            <w:rFonts w:ascii="Cambria" w:hAnsi="Cambria"/>
            <w:b w:val="0"/>
            <w:bCs w:val="0"/>
            <w:noProof/>
            <w:webHidden/>
            <w:sz w:val="20"/>
            <w:szCs w:val="20"/>
          </w:rPr>
          <w:fldChar w:fldCharType="begin"/>
        </w:r>
        <w:r w:rsidR="00103034" w:rsidRPr="00103034">
          <w:rPr>
            <w:rFonts w:ascii="Cambria" w:hAnsi="Cambria"/>
            <w:b w:val="0"/>
            <w:bCs w:val="0"/>
            <w:noProof/>
            <w:webHidden/>
            <w:sz w:val="20"/>
            <w:szCs w:val="20"/>
          </w:rPr>
          <w:instrText xml:space="preserve"> PAGEREF _Toc90117830 \h </w:instrText>
        </w:r>
        <w:r w:rsidR="00103034" w:rsidRPr="00103034">
          <w:rPr>
            <w:rFonts w:ascii="Cambria" w:hAnsi="Cambria"/>
            <w:b w:val="0"/>
            <w:bCs w:val="0"/>
            <w:noProof/>
            <w:webHidden/>
            <w:sz w:val="20"/>
            <w:szCs w:val="20"/>
          </w:rPr>
        </w:r>
        <w:r w:rsidR="00103034" w:rsidRPr="00103034">
          <w:rPr>
            <w:rFonts w:ascii="Cambria" w:hAnsi="Cambria"/>
            <w:b w:val="0"/>
            <w:bCs w:val="0"/>
            <w:noProof/>
            <w:webHidden/>
            <w:sz w:val="20"/>
            <w:szCs w:val="20"/>
          </w:rPr>
          <w:fldChar w:fldCharType="separate"/>
        </w:r>
        <w:r w:rsidR="00E22184">
          <w:rPr>
            <w:rFonts w:ascii="Cambria" w:hAnsi="Cambria"/>
            <w:b w:val="0"/>
            <w:bCs w:val="0"/>
            <w:noProof/>
            <w:webHidden/>
            <w:sz w:val="20"/>
            <w:szCs w:val="20"/>
          </w:rPr>
          <w:t>9</w:t>
        </w:r>
        <w:r w:rsidR="00103034" w:rsidRPr="00103034">
          <w:rPr>
            <w:rFonts w:ascii="Cambria" w:hAnsi="Cambria"/>
            <w:b w:val="0"/>
            <w:bCs w:val="0"/>
            <w:noProof/>
            <w:webHidden/>
            <w:sz w:val="20"/>
            <w:szCs w:val="20"/>
          </w:rPr>
          <w:fldChar w:fldCharType="end"/>
        </w:r>
      </w:hyperlink>
    </w:p>
    <w:p w14:paraId="0D1F69AB" w14:textId="02B6A703" w:rsidR="00103034" w:rsidRPr="00993B63" w:rsidRDefault="00127170">
      <w:pPr>
        <w:pStyle w:val="TOC2"/>
        <w:tabs>
          <w:tab w:val="left" w:pos="660"/>
          <w:tab w:val="right" w:leader="dot" w:pos="9350"/>
        </w:tabs>
        <w:rPr>
          <w:rFonts w:ascii="Cambria" w:eastAsia="DengXian" w:hAnsi="Cambria" w:cs="Arial"/>
          <w:b w:val="0"/>
          <w:bCs w:val="0"/>
          <w:noProof/>
          <w:sz w:val="20"/>
          <w:szCs w:val="20"/>
          <w:lang w:eastAsia="zh-CN"/>
        </w:rPr>
      </w:pPr>
      <w:hyperlink w:anchor="_Toc90117831" w:history="1">
        <w:r w:rsidR="00103034" w:rsidRPr="00103034">
          <w:rPr>
            <w:rStyle w:val="Hyperlink"/>
            <w:rFonts w:ascii="Cambria" w:eastAsia="Cambria" w:hAnsi="Cambria"/>
            <w:b w:val="0"/>
            <w:bCs w:val="0"/>
            <w:noProof/>
            <w:sz w:val="20"/>
            <w:szCs w:val="20"/>
            <w:bdr w:val="nil"/>
            <w:lang w:val="es-ES_tradnl" w:eastAsia="es-ES"/>
          </w:rPr>
          <w:t>C.</w:t>
        </w:r>
        <w:r w:rsidR="00103034" w:rsidRPr="00993B63">
          <w:rPr>
            <w:rFonts w:ascii="Cambria" w:eastAsia="DengXian" w:hAnsi="Cambria" w:cs="Arial"/>
            <w:b w:val="0"/>
            <w:bCs w:val="0"/>
            <w:noProof/>
            <w:sz w:val="20"/>
            <w:szCs w:val="20"/>
            <w:lang w:eastAsia="zh-CN"/>
          </w:rPr>
          <w:tab/>
        </w:r>
        <w:r w:rsidR="00103034" w:rsidRPr="00103034">
          <w:rPr>
            <w:rStyle w:val="Hyperlink"/>
            <w:rFonts w:ascii="Cambria" w:eastAsia="Cambria" w:hAnsi="Cambria"/>
            <w:b w:val="0"/>
            <w:bCs w:val="0"/>
            <w:noProof/>
            <w:sz w:val="20"/>
            <w:szCs w:val="20"/>
            <w:bdr w:val="nil"/>
            <w:lang w:val="es-ES_tradnl" w:eastAsia="es-ES"/>
          </w:rPr>
          <w:t>Caracterización</w:t>
        </w:r>
        <w:r w:rsidR="00103034" w:rsidRPr="00103034">
          <w:rPr>
            <w:rFonts w:ascii="Cambria" w:hAnsi="Cambria"/>
            <w:b w:val="0"/>
            <w:bCs w:val="0"/>
            <w:noProof/>
            <w:webHidden/>
            <w:sz w:val="20"/>
            <w:szCs w:val="20"/>
          </w:rPr>
          <w:tab/>
        </w:r>
        <w:r w:rsidR="00103034" w:rsidRPr="00103034">
          <w:rPr>
            <w:rFonts w:ascii="Cambria" w:hAnsi="Cambria"/>
            <w:b w:val="0"/>
            <w:bCs w:val="0"/>
            <w:noProof/>
            <w:webHidden/>
            <w:sz w:val="20"/>
            <w:szCs w:val="20"/>
          </w:rPr>
          <w:fldChar w:fldCharType="begin"/>
        </w:r>
        <w:r w:rsidR="00103034" w:rsidRPr="00103034">
          <w:rPr>
            <w:rFonts w:ascii="Cambria" w:hAnsi="Cambria"/>
            <w:b w:val="0"/>
            <w:bCs w:val="0"/>
            <w:noProof/>
            <w:webHidden/>
            <w:sz w:val="20"/>
            <w:szCs w:val="20"/>
          </w:rPr>
          <w:instrText xml:space="preserve"> PAGEREF _Toc90117831 \h </w:instrText>
        </w:r>
        <w:r w:rsidR="00103034" w:rsidRPr="00103034">
          <w:rPr>
            <w:rFonts w:ascii="Cambria" w:hAnsi="Cambria"/>
            <w:b w:val="0"/>
            <w:bCs w:val="0"/>
            <w:noProof/>
            <w:webHidden/>
            <w:sz w:val="20"/>
            <w:szCs w:val="20"/>
          </w:rPr>
        </w:r>
        <w:r w:rsidR="00103034" w:rsidRPr="00103034">
          <w:rPr>
            <w:rFonts w:ascii="Cambria" w:hAnsi="Cambria"/>
            <w:b w:val="0"/>
            <w:bCs w:val="0"/>
            <w:noProof/>
            <w:webHidden/>
            <w:sz w:val="20"/>
            <w:szCs w:val="20"/>
          </w:rPr>
          <w:fldChar w:fldCharType="separate"/>
        </w:r>
        <w:r w:rsidR="00E22184">
          <w:rPr>
            <w:rFonts w:ascii="Cambria" w:hAnsi="Cambria"/>
            <w:b w:val="0"/>
            <w:bCs w:val="0"/>
            <w:noProof/>
            <w:webHidden/>
            <w:sz w:val="20"/>
            <w:szCs w:val="20"/>
          </w:rPr>
          <w:t>10</w:t>
        </w:r>
        <w:r w:rsidR="00103034" w:rsidRPr="00103034">
          <w:rPr>
            <w:rFonts w:ascii="Cambria" w:hAnsi="Cambria"/>
            <w:b w:val="0"/>
            <w:bCs w:val="0"/>
            <w:noProof/>
            <w:webHidden/>
            <w:sz w:val="20"/>
            <w:szCs w:val="20"/>
          </w:rPr>
          <w:fldChar w:fldCharType="end"/>
        </w:r>
      </w:hyperlink>
    </w:p>
    <w:p w14:paraId="09258723" w14:textId="11875B1F" w:rsidR="00103034" w:rsidRPr="00993B63" w:rsidRDefault="00127170">
      <w:pPr>
        <w:pStyle w:val="TOC1"/>
        <w:tabs>
          <w:tab w:val="left" w:pos="660"/>
          <w:tab w:val="right" w:leader="dot" w:pos="9350"/>
        </w:tabs>
        <w:rPr>
          <w:rFonts w:ascii="Cambria" w:eastAsia="DengXian" w:hAnsi="Cambria" w:cs="Arial"/>
          <w:b w:val="0"/>
          <w:bCs w:val="0"/>
          <w:i w:val="0"/>
          <w:iCs w:val="0"/>
          <w:noProof/>
          <w:sz w:val="20"/>
          <w:szCs w:val="20"/>
          <w:lang w:eastAsia="zh-CN"/>
        </w:rPr>
      </w:pPr>
      <w:hyperlink w:anchor="_Toc90117832" w:history="1">
        <w:r w:rsidR="00103034" w:rsidRPr="00103034">
          <w:rPr>
            <w:rStyle w:val="Hyperlink"/>
            <w:rFonts w:ascii="Cambria" w:eastAsia="Cambria" w:hAnsi="Cambria"/>
            <w:b w:val="0"/>
            <w:bCs w:val="0"/>
            <w:i w:val="0"/>
            <w:iCs w:val="0"/>
            <w:noProof/>
            <w:sz w:val="20"/>
            <w:szCs w:val="20"/>
            <w:bdr w:val="nil"/>
            <w:lang w:val="es-ES_tradnl" w:eastAsia="es-ES"/>
          </w:rPr>
          <w:t>IV.</w:t>
        </w:r>
        <w:r w:rsidR="00103034" w:rsidRPr="00993B63">
          <w:rPr>
            <w:rFonts w:ascii="Cambria" w:eastAsia="DengXian" w:hAnsi="Cambria" w:cs="Arial"/>
            <w:b w:val="0"/>
            <w:bCs w:val="0"/>
            <w:i w:val="0"/>
            <w:iCs w:val="0"/>
            <w:noProof/>
            <w:sz w:val="20"/>
            <w:szCs w:val="20"/>
            <w:lang w:eastAsia="zh-CN"/>
          </w:rPr>
          <w:tab/>
        </w:r>
        <w:r w:rsidR="00103034" w:rsidRPr="00103034">
          <w:rPr>
            <w:rStyle w:val="Hyperlink"/>
            <w:rFonts w:ascii="Cambria" w:eastAsia="Cambria" w:hAnsi="Cambria"/>
            <w:b w:val="0"/>
            <w:bCs w:val="0"/>
            <w:i w:val="0"/>
            <w:iCs w:val="0"/>
            <w:noProof/>
            <w:sz w:val="20"/>
            <w:szCs w:val="20"/>
            <w:bdr w:val="nil"/>
            <w:lang w:val="es-ES_tradnl" w:eastAsia="es-ES"/>
          </w:rPr>
          <w:t>HECHOS PROBADOS</w:t>
        </w:r>
        <w:r w:rsidR="00103034" w:rsidRPr="00103034">
          <w:rPr>
            <w:rFonts w:ascii="Cambria" w:hAnsi="Cambria"/>
            <w:b w:val="0"/>
            <w:bCs w:val="0"/>
            <w:i w:val="0"/>
            <w:iCs w:val="0"/>
            <w:noProof/>
            <w:webHidden/>
            <w:sz w:val="20"/>
            <w:szCs w:val="20"/>
          </w:rPr>
          <w:tab/>
        </w:r>
        <w:r w:rsidR="00103034" w:rsidRPr="00103034">
          <w:rPr>
            <w:rFonts w:ascii="Cambria" w:hAnsi="Cambria"/>
            <w:b w:val="0"/>
            <w:bCs w:val="0"/>
            <w:i w:val="0"/>
            <w:iCs w:val="0"/>
            <w:noProof/>
            <w:webHidden/>
            <w:sz w:val="20"/>
            <w:szCs w:val="20"/>
          </w:rPr>
          <w:fldChar w:fldCharType="begin"/>
        </w:r>
        <w:r w:rsidR="00103034" w:rsidRPr="00103034">
          <w:rPr>
            <w:rFonts w:ascii="Cambria" w:hAnsi="Cambria"/>
            <w:b w:val="0"/>
            <w:bCs w:val="0"/>
            <w:i w:val="0"/>
            <w:iCs w:val="0"/>
            <w:noProof/>
            <w:webHidden/>
            <w:sz w:val="20"/>
            <w:szCs w:val="20"/>
          </w:rPr>
          <w:instrText xml:space="preserve"> PAGEREF _Toc90117832 \h </w:instrText>
        </w:r>
        <w:r w:rsidR="00103034" w:rsidRPr="00103034">
          <w:rPr>
            <w:rFonts w:ascii="Cambria" w:hAnsi="Cambria"/>
            <w:b w:val="0"/>
            <w:bCs w:val="0"/>
            <w:i w:val="0"/>
            <w:iCs w:val="0"/>
            <w:noProof/>
            <w:webHidden/>
            <w:sz w:val="20"/>
            <w:szCs w:val="20"/>
          </w:rPr>
        </w:r>
        <w:r w:rsidR="00103034" w:rsidRPr="00103034">
          <w:rPr>
            <w:rFonts w:ascii="Cambria" w:hAnsi="Cambria"/>
            <w:b w:val="0"/>
            <w:bCs w:val="0"/>
            <w:i w:val="0"/>
            <w:iCs w:val="0"/>
            <w:noProof/>
            <w:webHidden/>
            <w:sz w:val="20"/>
            <w:szCs w:val="20"/>
          </w:rPr>
          <w:fldChar w:fldCharType="separate"/>
        </w:r>
        <w:r w:rsidR="00E22184">
          <w:rPr>
            <w:rFonts w:ascii="Cambria" w:hAnsi="Cambria"/>
            <w:b w:val="0"/>
            <w:bCs w:val="0"/>
            <w:i w:val="0"/>
            <w:iCs w:val="0"/>
            <w:noProof/>
            <w:webHidden/>
            <w:sz w:val="20"/>
            <w:szCs w:val="20"/>
          </w:rPr>
          <w:t>10</w:t>
        </w:r>
        <w:r w:rsidR="00103034" w:rsidRPr="00103034">
          <w:rPr>
            <w:rFonts w:ascii="Cambria" w:hAnsi="Cambria"/>
            <w:b w:val="0"/>
            <w:bCs w:val="0"/>
            <w:i w:val="0"/>
            <w:iCs w:val="0"/>
            <w:noProof/>
            <w:webHidden/>
            <w:sz w:val="20"/>
            <w:szCs w:val="20"/>
          </w:rPr>
          <w:fldChar w:fldCharType="end"/>
        </w:r>
      </w:hyperlink>
    </w:p>
    <w:p w14:paraId="7FBDFE29" w14:textId="5879664E" w:rsidR="00103034" w:rsidRPr="00993B63" w:rsidRDefault="00127170">
      <w:pPr>
        <w:pStyle w:val="TOC2"/>
        <w:tabs>
          <w:tab w:val="left" w:pos="660"/>
          <w:tab w:val="right" w:leader="dot" w:pos="9350"/>
        </w:tabs>
        <w:rPr>
          <w:rFonts w:ascii="Cambria" w:eastAsia="DengXian" w:hAnsi="Cambria" w:cs="Arial"/>
          <w:b w:val="0"/>
          <w:bCs w:val="0"/>
          <w:noProof/>
          <w:sz w:val="20"/>
          <w:szCs w:val="20"/>
          <w:lang w:eastAsia="zh-CN"/>
        </w:rPr>
      </w:pPr>
      <w:hyperlink w:anchor="_Toc90117833" w:history="1">
        <w:r w:rsidR="00103034" w:rsidRPr="00103034">
          <w:rPr>
            <w:rStyle w:val="Hyperlink"/>
            <w:rFonts w:ascii="Cambria" w:eastAsia="Cambria" w:hAnsi="Cambria"/>
            <w:b w:val="0"/>
            <w:bCs w:val="0"/>
            <w:noProof/>
            <w:sz w:val="20"/>
            <w:szCs w:val="20"/>
            <w:bdr w:val="nil"/>
            <w:lang w:val="es-ES_tradnl" w:eastAsia="es-ES"/>
          </w:rPr>
          <w:t>A.</w:t>
        </w:r>
        <w:r w:rsidR="00103034" w:rsidRPr="00993B63">
          <w:rPr>
            <w:rFonts w:ascii="Cambria" w:eastAsia="DengXian" w:hAnsi="Cambria" w:cs="Arial"/>
            <w:b w:val="0"/>
            <w:bCs w:val="0"/>
            <w:noProof/>
            <w:sz w:val="20"/>
            <w:szCs w:val="20"/>
            <w:lang w:eastAsia="zh-CN"/>
          </w:rPr>
          <w:tab/>
        </w:r>
        <w:r w:rsidR="00103034" w:rsidRPr="00103034">
          <w:rPr>
            <w:rStyle w:val="Hyperlink"/>
            <w:rFonts w:ascii="Cambria" w:eastAsia="Cambria" w:hAnsi="Cambria"/>
            <w:b w:val="0"/>
            <w:bCs w:val="0"/>
            <w:noProof/>
            <w:sz w:val="20"/>
            <w:szCs w:val="20"/>
            <w:bdr w:val="nil"/>
            <w:lang w:val="es-ES_tradnl" w:eastAsia="es-ES"/>
          </w:rPr>
          <w:t>Hechos del caso</w:t>
        </w:r>
        <w:r w:rsidR="00103034" w:rsidRPr="00103034">
          <w:rPr>
            <w:rFonts w:ascii="Cambria" w:hAnsi="Cambria"/>
            <w:b w:val="0"/>
            <w:bCs w:val="0"/>
            <w:noProof/>
            <w:webHidden/>
            <w:sz w:val="20"/>
            <w:szCs w:val="20"/>
          </w:rPr>
          <w:tab/>
        </w:r>
        <w:r w:rsidR="00103034" w:rsidRPr="00103034">
          <w:rPr>
            <w:rFonts w:ascii="Cambria" w:hAnsi="Cambria"/>
            <w:b w:val="0"/>
            <w:bCs w:val="0"/>
            <w:noProof/>
            <w:webHidden/>
            <w:sz w:val="20"/>
            <w:szCs w:val="20"/>
          </w:rPr>
          <w:fldChar w:fldCharType="begin"/>
        </w:r>
        <w:r w:rsidR="00103034" w:rsidRPr="00103034">
          <w:rPr>
            <w:rFonts w:ascii="Cambria" w:hAnsi="Cambria"/>
            <w:b w:val="0"/>
            <w:bCs w:val="0"/>
            <w:noProof/>
            <w:webHidden/>
            <w:sz w:val="20"/>
            <w:szCs w:val="20"/>
          </w:rPr>
          <w:instrText xml:space="preserve"> PAGEREF _Toc90117833 \h </w:instrText>
        </w:r>
        <w:r w:rsidR="00103034" w:rsidRPr="00103034">
          <w:rPr>
            <w:rFonts w:ascii="Cambria" w:hAnsi="Cambria"/>
            <w:b w:val="0"/>
            <w:bCs w:val="0"/>
            <w:noProof/>
            <w:webHidden/>
            <w:sz w:val="20"/>
            <w:szCs w:val="20"/>
          </w:rPr>
        </w:r>
        <w:r w:rsidR="00103034" w:rsidRPr="00103034">
          <w:rPr>
            <w:rFonts w:ascii="Cambria" w:hAnsi="Cambria"/>
            <w:b w:val="0"/>
            <w:bCs w:val="0"/>
            <w:noProof/>
            <w:webHidden/>
            <w:sz w:val="20"/>
            <w:szCs w:val="20"/>
          </w:rPr>
          <w:fldChar w:fldCharType="separate"/>
        </w:r>
        <w:r w:rsidR="00E22184">
          <w:rPr>
            <w:rFonts w:ascii="Cambria" w:hAnsi="Cambria"/>
            <w:b w:val="0"/>
            <w:bCs w:val="0"/>
            <w:noProof/>
            <w:webHidden/>
            <w:sz w:val="20"/>
            <w:szCs w:val="20"/>
          </w:rPr>
          <w:t>10</w:t>
        </w:r>
        <w:r w:rsidR="00103034" w:rsidRPr="00103034">
          <w:rPr>
            <w:rFonts w:ascii="Cambria" w:hAnsi="Cambria"/>
            <w:b w:val="0"/>
            <w:bCs w:val="0"/>
            <w:noProof/>
            <w:webHidden/>
            <w:sz w:val="20"/>
            <w:szCs w:val="20"/>
          </w:rPr>
          <w:fldChar w:fldCharType="end"/>
        </w:r>
      </w:hyperlink>
    </w:p>
    <w:p w14:paraId="36CC70CB" w14:textId="5216AD54" w:rsidR="00103034" w:rsidRPr="00993B63" w:rsidRDefault="00127170">
      <w:pPr>
        <w:pStyle w:val="TOC2"/>
        <w:tabs>
          <w:tab w:val="left" w:pos="660"/>
          <w:tab w:val="right" w:leader="dot" w:pos="9350"/>
        </w:tabs>
        <w:rPr>
          <w:rFonts w:ascii="Cambria" w:eastAsia="DengXian" w:hAnsi="Cambria" w:cs="Arial"/>
          <w:b w:val="0"/>
          <w:bCs w:val="0"/>
          <w:noProof/>
          <w:sz w:val="20"/>
          <w:szCs w:val="20"/>
          <w:lang w:eastAsia="zh-CN"/>
        </w:rPr>
      </w:pPr>
      <w:hyperlink w:anchor="_Toc90117834" w:history="1">
        <w:r w:rsidR="00103034" w:rsidRPr="00103034">
          <w:rPr>
            <w:rStyle w:val="Hyperlink"/>
            <w:rFonts w:ascii="Cambria" w:eastAsia="Cambria" w:hAnsi="Cambria"/>
            <w:b w:val="0"/>
            <w:bCs w:val="0"/>
            <w:noProof/>
            <w:sz w:val="20"/>
            <w:szCs w:val="20"/>
            <w:bdr w:val="nil"/>
            <w:lang w:val="es-ES_tradnl" w:eastAsia="es-ES"/>
          </w:rPr>
          <w:t>B.</w:t>
        </w:r>
        <w:r w:rsidR="00103034" w:rsidRPr="00993B63">
          <w:rPr>
            <w:rFonts w:ascii="Cambria" w:eastAsia="DengXian" w:hAnsi="Cambria" w:cs="Arial"/>
            <w:b w:val="0"/>
            <w:bCs w:val="0"/>
            <w:noProof/>
            <w:sz w:val="20"/>
            <w:szCs w:val="20"/>
            <w:lang w:eastAsia="zh-CN"/>
          </w:rPr>
          <w:tab/>
        </w:r>
        <w:r w:rsidR="00103034" w:rsidRPr="00103034">
          <w:rPr>
            <w:rStyle w:val="Hyperlink"/>
            <w:rFonts w:ascii="Cambria" w:eastAsia="Cambria" w:hAnsi="Cambria"/>
            <w:b w:val="0"/>
            <w:bCs w:val="0"/>
            <w:noProof/>
            <w:sz w:val="20"/>
            <w:szCs w:val="20"/>
            <w:bdr w:val="nil"/>
            <w:lang w:val="es-ES_tradnl" w:eastAsia="es-ES"/>
          </w:rPr>
          <w:t>Juicio y sentencia de muerte</w:t>
        </w:r>
        <w:r w:rsidR="00103034" w:rsidRPr="00103034">
          <w:rPr>
            <w:rFonts w:ascii="Cambria" w:hAnsi="Cambria"/>
            <w:b w:val="0"/>
            <w:bCs w:val="0"/>
            <w:noProof/>
            <w:webHidden/>
            <w:sz w:val="20"/>
            <w:szCs w:val="20"/>
          </w:rPr>
          <w:tab/>
        </w:r>
        <w:r w:rsidR="00103034" w:rsidRPr="00103034">
          <w:rPr>
            <w:rFonts w:ascii="Cambria" w:hAnsi="Cambria"/>
            <w:b w:val="0"/>
            <w:bCs w:val="0"/>
            <w:noProof/>
            <w:webHidden/>
            <w:sz w:val="20"/>
            <w:szCs w:val="20"/>
          </w:rPr>
          <w:fldChar w:fldCharType="begin"/>
        </w:r>
        <w:r w:rsidR="00103034" w:rsidRPr="00103034">
          <w:rPr>
            <w:rFonts w:ascii="Cambria" w:hAnsi="Cambria"/>
            <w:b w:val="0"/>
            <w:bCs w:val="0"/>
            <w:noProof/>
            <w:webHidden/>
            <w:sz w:val="20"/>
            <w:szCs w:val="20"/>
          </w:rPr>
          <w:instrText xml:space="preserve"> PAGEREF _Toc90117834 \h </w:instrText>
        </w:r>
        <w:r w:rsidR="00103034" w:rsidRPr="00103034">
          <w:rPr>
            <w:rFonts w:ascii="Cambria" w:hAnsi="Cambria"/>
            <w:b w:val="0"/>
            <w:bCs w:val="0"/>
            <w:noProof/>
            <w:webHidden/>
            <w:sz w:val="20"/>
            <w:szCs w:val="20"/>
          </w:rPr>
        </w:r>
        <w:r w:rsidR="00103034" w:rsidRPr="00103034">
          <w:rPr>
            <w:rFonts w:ascii="Cambria" w:hAnsi="Cambria"/>
            <w:b w:val="0"/>
            <w:bCs w:val="0"/>
            <w:noProof/>
            <w:webHidden/>
            <w:sz w:val="20"/>
            <w:szCs w:val="20"/>
          </w:rPr>
          <w:fldChar w:fldCharType="separate"/>
        </w:r>
        <w:r w:rsidR="00E22184">
          <w:rPr>
            <w:rFonts w:ascii="Cambria" w:hAnsi="Cambria"/>
            <w:b w:val="0"/>
            <w:bCs w:val="0"/>
            <w:noProof/>
            <w:webHidden/>
            <w:sz w:val="20"/>
            <w:szCs w:val="20"/>
          </w:rPr>
          <w:t>11</w:t>
        </w:r>
        <w:r w:rsidR="00103034" w:rsidRPr="00103034">
          <w:rPr>
            <w:rFonts w:ascii="Cambria" w:hAnsi="Cambria"/>
            <w:b w:val="0"/>
            <w:bCs w:val="0"/>
            <w:noProof/>
            <w:webHidden/>
            <w:sz w:val="20"/>
            <w:szCs w:val="20"/>
          </w:rPr>
          <w:fldChar w:fldCharType="end"/>
        </w:r>
      </w:hyperlink>
    </w:p>
    <w:p w14:paraId="5C0FE600" w14:textId="65DBFBD4" w:rsidR="00103034" w:rsidRPr="00993B63" w:rsidRDefault="00127170">
      <w:pPr>
        <w:pStyle w:val="TOC2"/>
        <w:tabs>
          <w:tab w:val="left" w:pos="660"/>
          <w:tab w:val="right" w:leader="dot" w:pos="9350"/>
        </w:tabs>
        <w:rPr>
          <w:rFonts w:ascii="Cambria" w:eastAsia="DengXian" w:hAnsi="Cambria" w:cs="Arial"/>
          <w:b w:val="0"/>
          <w:bCs w:val="0"/>
          <w:noProof/>
          <w:sz w:val="20"/>
          <w:szCs w:val="20"/>
          <w:lang w:eastAsia="zh-CN"/>
        </w:rPr>
      </w:pPr>
      <w:hyperlink w:anchor="_Toc90117835" w:history="1">
        <w:r w:rsidR="00103034" w:rsidRPr="00103034">
          <w:rPr>
            <w:rStyle w:val="Hyperlink"/>
            <w:rFonts w:ascii="Cambria" w:eastAsia="Cambria" w:hAnsi="Cambria"/>
            <w:b w:val="0"/>
            <w:bCs w:val="0"/>
            <w:noProof/>
            <w:sz w:val="20"/>
            <w:szCs w:val="20"/>
            <w:bdr w:val="nil"/>
            <w:lang w:val="es-ES_tradnl" w:eastAsia="es-ES"/>
          </w:rPr>
          <w:t>C.</w:t>
        </w:r>
        <w:r w:rsidR="00103034" w:rsidRPr="00993B63">
          <w:rPr>
            <w:rFonts w:ascii="Cambria" w:eastAsia="DengXian" w:hAnsi="Cambria" w:cs="Arial"/>
            <w:b w:val="0"/>
            <w:bCs w:val="0"/>
            <w:noProof/>
            <w:sz w:val="20"/>
            <w:szCs w:val="20"/>
            <w:lang w:eastAsia="zh-CN"/>
          </w:rPr>
          <w:tab/>
        </w:r>
        <w:r w:rsidR="00103034" w:rsidRPr="00103034">
          <w:rPr>
            <w:rStyle w:val="Hyperlink"/>
            <w:rFonts w:ascii="Cambria" w:eastAsia="Cambria" w:hAnsi="Cambria"/>
            <w:b w:val="0"/>
            <w:bCs w:val="0"/>
            <w:noProof/>
            <w:sz w:val="20"/>
            <w:szCs w:val="20"/>
            <w:bdr w:val="nil"/>
            <w:lang w:val="es-ES_tradnl" w:eastAsia="es-ES"/>
          </w:rPr>
          <w:t>Reparación posterior a la condena y otros remedios</w:t>
        </w:r>
        <w:r w:rsidR="00103034" w:rsidRPr="00103034">
          <w:rPr>
            <w:rFonts w:ascii="Cambria" w:hAnsi="Cambria"/>
            <w:b w:val="0"/>
            <w:bCs w:val="0"/>
            <w:noProof/>
            <w:webHidden/>
            <w:sz w:val="20"/>
            <w:szCs w:val="20"/>
          </w:rPr>
          <w:tab/>
        </w:r>
        <w:r w:rsidR="00103034" w:rsidRPr="00103034">
          <w:rPr>
            <w:rFonts w:ascii="Cambria" w:hAnsi="Cambria"/>
            <w:b w:val="0"/>
            <w:bCs w:val="0"/>
            <w:noProof/>
            <w:webHidden/>
            <w:sz w:val="20"/>
            <w:szCs w:val="20"/>
          </w:rPr>
          <w:fldChar w:fldCharType="begin"/>
        </w:r>
        <w:r w:rsidR="00103034" w:rsidRPr="00103034">
          <w:rPr>
            <w:rFonts w:ascii="Cambria" w:hAnsi="Cambria"/>
            <w:b w:val="0"/>
            <w:bCs w:val="0"/>
            <w:noProof/>
            <w:webHidden/>
            <w:sz w:val="20"/>
            <w:szCs w:val="20"/>
          </w:rPr>
          <w:instrText xml:space="preserve"> PAGEREF _Toc90117835 \h </w:instrText>
        </w:r>
        <w:r w:rsidR="00103034" w:rsidRPr="00103034">
          <w:rPr>
            <w:rFonts w:ascii="Cambria" w:hAnsi="Cambria"/>
            <w:b w:val="0"/>
            <w:bCs w:val="0"/>
            <w:noProof/>
            <w:webHidden/>
            <w:sz w:val="20"/>
            <w:szCs w:val="20"/>
          </w:rPr>
        </w:r>
        <w:r w:rsidR="00103034" w:rsidRPr="00103034">
          <w:rPr>
            <w:rFonts w:ascii="Cambria" w:hAnsi="Cambria"/>
            <w:b w:val="0"/>
            <w:bCs w:val="0"/>
            <w:noProof/>
            <w:webHidden/>
            <w:sz w:val="20"/>
            <w:szCs w:val="20"/>
          </w:rPr>
          <w:fldChar w:fldCharType="separate"/>
        </w:r>
        <w:r w:rsidR="00E22184">
          <w:rPr>
            <w:rFonts w:ascii="Cambria" w:hAnsi="Cambria"/>
            <w:b w:val="0"/>
            <w:bCs w:val="0"/>
            <w:noProof/>
            <w:webHidden/>
            <w:sz w:val="20"/>
            <w:szCs w:val="20"/>
          </w:rPr>
          <w:t>11</w:t>
        </w:r>
        <w:r w:rsidR="00103034" w:rsidRPr="00103034">
          <w:rPr>
            <w:rFonts w:ascii="Cambria" w:hAnsi="Cambria"/>
            <w:b w:val="0"/>
            <w:bCs w:val="0"/>
            <w:noProof/>
            <w:webHidden/>
            <w:sz w:val="20"/>
            <w:szCs w:val="20"/>
          </w:rPr>
          <w:fldChar w:fldCharType="end"/>
        </w:r>
      </w:hyperlink>
    </w:p>
    <w:p w14:paraId="68F76810" w14:textId="483F0982" w:rsidR="00103034" w:rsidRPr="00993B63" w:rsidRDefault="00127170">
      <w:pPr>
        <w:pStyle w:val="TOC2"/>
        <w:tabs>
          <w:tab w:val="left" w:pos="880"/>
          <w:tab w:val="right" w:leader="dot" w:pos="9350"/>
        </w:tabs>
        <w:rPr>
          <w:rFonts w:ascii="Cambria" w:eastAsia="DengXian" w:hAnsi="Cambria" w:cs="Arial"/>
          <w:b w:val="0"/>
          <w:bCs w:val="0"/>
          <w:noProof/>
          <w:sz w:val="20"/>
          <w:szCs w:val="20"/>
          <w:lang w:eastAsia="zh-CN"/>
        </w:rPr>
      </w:pPr>
      <w:hyperlink w:anchor="_Toc90117836" w:history="1">
        <w:r w:rsidR="00103034" w:rsidRPr="00103034">
          <w:rPr>
            <w:rStyle w:val="Hyperlink"/>
            <w:rFonts w:ascii="Cambria" w:eastAsia="Cambria" w:hAnsi="Cambria"/>
            <w:b w:val="0"/>
            <w:bCs w:val="0"/>
            <w:noProof/>
            <w:sz w:val="20"/>
            <w:szCs w:val="20"/>
            <w:bdr w:val="nil"/>
            <w:lang w:val="es-ES_tradnl" w:eastAsia="es-ES"/>
          </w:rPr>
          <w:t>D.</w:t>
        </w:r>
        <w:r w:rsidR="00103034" w:rsidRPr="00993B63">
          <w:rPr>
            <w:rFonts w:ascii="Cambria" w:eastAsia="DengXian" w:hAnsi="Cambria" w:cs="Arial"/>
            <w:b w:val="0"/>
            <w:bCs w:val="0"/>
            <w:noProof/>
            <w:sz w:val="20"/>
            <w:szCs w:val="20"/>
            <w:lang w:eastAsia="zh-CN"/>
          </w:rPr>
          <w:tab/>
        </w:r>
        <w:r w:rsidR="00103034" w:rsidRPr="00103034">
          <w:rPr>
            <w:rStyle w:val="Hyperlink"/>
            <w:rFonts w:ascii="Cambria" w:eastAsia="Cambria" w:hAnsi="Cambria"/>
            <w:b w:val="0"/>
            <w:bCs w:val="0"/>
            <w:noProof/>
            <w:sz w:val="20"/>
            <w:szCs w:val="20"/>
            <w:bdr w:val="nil"/>
            <w:lang w:val="es-ES_tradnl" w:eastAsia="es-ES"/>
          </w:rPr>
          <w:t>Moción para descalificar y denuncia de mala conducta judicial</w:t>
        </w:r>
        <w:r w:rsidR="00103034" w:rsidRPr="00103034">
          <w:rPr>
            <w:rFonts w:ascii="Cambria" w:hAnsi="Cambria"/>
            <w:b w:val="0"/>
            <w:bCs w:val="0"/>
            <w:noProof/>
            <w:webHidden/>
            <w:sz w:val="20"/>
            <w:szCs w:val="20"/>
          </w:rPr>
          <w:tab/>
        </w:r>
        <w:r w:rsidR="00103034" w:rsidRPr="00103034">
          <w:rPr>
            <w:rFonts w:ascii="Cambria" w:hAnsi="Cambria"/>
            <w:b w:val="0"/>
            <w:bCs w:val="0"/>
            <w:noProof/>
            <w:webHidden/>
            <w:sz w:val="20"/>
            <w:szCs w:val="20"/>
          </w:rPr>
          <w:fldChar w:fldCharType="begin"/>
        </w:r>
        <w:r w:rsidR="00103034" w:rsidRPr="00103034">
          <w:rPr>
            <w:rFonts w:ascii="Cambria" w:hAnsi="Cambria"/>
            <w:b w:val="0"/>
            <w:bCs w:val="0"/>
            <w:noProof/>
            <w:webHidden/>
            <w:sz w:val="20"/>
            <w:szCs w:val="20"/>
          </w:rPr>
          <w:instrText xml:space="preserve"> PAGEREF _Toc90117836 \h </w:instrText>
        </w:r>
        <w:r w:rsidR="00103034" w:rsidRPr="00103034">
          <w:rPr>
            <w:rFonts w:ascii="Cambria" w:hAnsi="Cambria"/>
            <w:b w:val="0"/>
            <w:bCs w:val="0"/>
            <w:noProof/>
            <w:webHidden/>
            <w:sz w:val="20"/>
            <w:szCs w:val="20"/>
          </w:rPr>
        </w:r>
        <w:r w:rsidR="00103034" w:rsidRPr="00103034">
          <w:rPr>
            <w:rFonts w:ascii="Cambria" w:hAnsi="Cambria"/>
            <w:b w:val="0"/>
            <w:bCs w:val="0"/>
            <w:noProof/>
            <w:webHidden/>
            <w:sz w:val="20"/>
            <w:szCs w:val="20"/>
          </w:rPr>
          <w:fldChar w:fldCharType="separate"/>
        </w:r>
        <w:r w:rsidR="00E22184">
          <w:rPr>
            <w:rFonts w:ascii="Cambria" w:hAnsi="Cambria"/>
            <w:b w:val="0"/>
            <w:bCs w:val="0"/>
            <w:noProof/>
            <w:webHidden/>
            <w:sz w:val="20"/>
            <w:szCs w:val="20"/>
          </w:rPr>
          <w:t>13</w:t>
        </w:r>
        <w:r w:rsidR="00103034" w:rsidRPr="00103034">
          <w:rPr>
            <w:rFonts w:ascii="Cambria" w:hAnsi="Cambria"/>
            <w:b w:val="0"/>
            <w:bCs w:val="0"/>
            <w:noProof/>
            <w:webHidden/>
            <w:sz w:val="20"/>
            <w:szCs w:val="20"/>
          </w:rPr>
          <w:fldChar w:fldCharType="end"/>
        </w:r>
      </w:hyperlink>
    </w:p>
    <w:p w14:paraId="76601463" w14:textId="06AE78D4" w:rsidR="00103034" w:rsidRPr="00993B63" w:rsidRDefault="00127170">
      <w:pPr>
        <w:pStyle w:val="TOC1"/>
        <w:tabs>
          <w:tab w:val="right" w:leader="dot" w:pos="9350"/>
        </w:tabs>
        <w:rPr>
          <w:rFonts w:ascii="Cambria" w:eastAsia="DengXian" w:hAnsi="Cambria" w:cs="Arial"/>
          <w:b w:val="0"/>
          <w:bCs w:val="0"/>
          <w:i w:val="0"/>
          <w:iCs w:val="0"/>
          <w:noProof/>
          <w:sz w:val="20"/>
          <w:szCs w:val="20"/>
          <w:lang w:eastAsia="zh-CN"/>
        </w:rPr>
      </w:pPr>
      <w:hyperlink w:anchor="_Toc90117837" w:history="1">
        <w:r w:rsidR="00103034" w:rsidRPr="00103034">
          <w:rPr>
            <w:rStyle w:val="Hyperlink"/>
            <w:rFonts w:ascii="Cambria" w:eastAsia="SimSun" w:hAnsi="Cambria"/>
            <w:b w:val="0"/>
            <w:bCs w:val="0"/>
            <w:i w:val="0"/>
            <w:iCs w:val="0"/>
            <w:noProof/>
            <w:sz w:val="20"/>
            <w:szCs w:val="20"/>
            <w:bdr w:val="nil"/>
            <w:lang w:val="es-ES_tradnl"/>
          </w:rPr>
          <w:t>V. ANÁLISIS DE DERECHO</w:t>
        </w:r>
        <w:r w:rsidR="00103034" w:rsidRPr="00103034">
          <w:rPr>
            <w:rFonts w:ascii="Cambria" w:hAnsi="Cambria"/>
            <w:b w:val="0"/>
            <w:bCs w:val="0"/>
            <w:i w:val="0"/>
            <w:iCs w:val="0"/>
            <w:noProof/>
            <w:webHidden/>
            <w:sz w:val="20"/>
            <w:szCs w:val="20"/>
          </w:rPr>
          <w:tab/>
        </w:r>
        <w:r w:rsidR="00103034" w:rsidRPr="00103034">
          <w:rPr>
            <w:rFonts w:ascii="Cambria" w:hAnsi="Cambria"/>
            <w:b w:val="0"/>
            <w:bCs w:val="0"/>
            <w:i w:val="0"/>
            <w:iCs w:val="0"/>
            <w:noProof/>
            <w:webHidden/>
            <w:sz w:val="20"/>
            <w:szCs w:val="20"/>
          </w:rPr>
          <w:fldChar w:fldCharType="begin"/>
        </w:r>
        <w:r w:rsidR="00103034" w:rsidRPr="00103034">
          <w:rPr>
            <w:rFonts w:ascii="Cambria" w:hAnsi="Cambria"/>
            <w:b w:val="0"/>
            <w:bCs w:val="0"/>
            <w:i w:val="0"/>
            <w:iCs w:val="0"/>
            <w:noProof/>
            <w:webHidden/>
            <w:sz w:val="20"/>
            <w:szCs w:val="20"/>
          </w:rPr>
          <w:instrText xml:space="preserve"> PAGEREF _Toc90117837 \h </w:instrText>
        </w:r>
        <w:r w:rsidR="00103034" w:rsidRPr="00103034">
          <w:rPr>
            <w:rFonts w:ascii="Cambria" w:hAnsi="Cambria"/>
            <w:b w:val="0"/>
            <w:bCs w:val="0"/>
            <w:i w:val="0"/>
            <w:iCs w:val="0"/>
            <w:noProof/>
            <w:webHidden/>
            <w:sz w:val="20"/>
            <w:szCs w:val="20"/>
          </w:rPr>
        </w:r>
        <w:r w:rsidR="00103034" w:rsidRPr="00103034">
          <w:rPr>
            <w:rFonts w:ascii="Cambria" w:hAnsi="Cambria"/>
            <w:b w:val="0"/>
            <w:bCs w:val="0"/>
            <w:i w:val="0"/>
            <w:iCs w:val="0"/>
            <w:noProof/>
            <w:webHidden/>
            <w:sz w:val="20"/>
            <w:szCs w:val="20"/>
          </w:rPr>
          <w:fldChar w:fldCharType="separate"/>
        </w:r>
        <w:r w:rsidR="00E22184">
          <w:rPr>
            <w:rFonts w:ascii="Cambria" w:hAnsi="Cambria"/>
            <w:b w:val="0"/>
            <w:bCs w:val="0"/>
            <w:i w:val="0"/>
            <w:iCs w:val="0"/>
            <w:noProof/>
            <w:webHidden/>
            <w:sz w:val="20"/>
            <w:szCs w:val="20"/>
          </w:rPr>
          <w:t>14</w:t>
        </w:r>
        <w:r w:rsidR="00103034" w:rsidRPr="00103034">
          <w:rPr>
            <w:rFonts w:ascii="Cambria" w:hAnsi="Cambria"/>
            <w:b w:val="0"/>
            <w:bCs w:val="0"/>
            <w:i w:val="0"/>
            <w:iCs w:val="0"/>
            <w:noProof/>
            <w:webHidden/>
            <w:sz w:val="20"/>
            <w:szCs w:val="20"/>
          </w:rPr>
          <w:fldChar w:fldCharType="end"/>
        </w:r>
      </w:hyperlink>
    </w:p>
    <w:p w14:paraId="5EFB0D5A" w14:textId="4578FEF5" w:rsidR="00103034" w:rsidRPr="00993B63" w:rsidRDefault="00127170">
      <w:pPr>
        <w:pStyle w:val="TOC2"/>
        <w:tabs>
          <w:tab w:val="left" w:pos="660"/>
          <w:tab w:val="right" w:leader="dot" w:pos="9350"/>
        </w:tabs>
        <w:rPr>
          <w:rFonts w:ascii="Cambria" w:eastAsia="DengXian" w:hAnsi="Cambria" w:cs="Arial"/>
          <w:b w:val="0"/>
          <w:bCs w:val="0"/>
          <w:noProof/>
          <w:sz w:val="20"/>
          <w:szCs w:val="20"/>
          <w:lang w:eastAsia="zh-CN"/>
        </w:rPr>
      </w:pPr>
      <w:hyperlink w:anchor="_Toc90117838" w:history="1">
        <w:r w:rsidR="00103034" w:rsidRPr="00103034">
          <w:rPr>
            <w:rStyle w:val="Hyperlink"/>
            <w:rFonts w:ascii="Cambria" w:eastAsia="SimSun" w:hAnsi="Cambria"/>
            <w:b w:val="0"/>
            <w:bCs w:val="0"/>
            <w:noProof/>
            <w:sz w:val="20"/>
            <w:szCs w:val="20"/>
            <w:bdr w:val="nil"/>
            <w:lang w:val="es-ES_tradnl"/>
          </w:rPr>
          <w:t>A.</w:t>
        </w:r>
        <w:r w:rsidR="00103034" w:rsidRPr="00993B63">
          <w:rPr>
            <w:rFonts w:ascii="Cambria" w:eastAsia="DengXian" w:hAnsi="Cambria" w:cs="Arial"/>
            <w:b w:val="0"/>
            <w:bCs w:val="0"/>
            <w:noProof/>
            <w:sz w:val="20"/>
            <w:szCs w:val="20"/>
            <w:lang w:eastAsia="zh-CN"/>
          </w:rPr>
          <w:tab/>
        </w:r>
        <w:r w:rsidR="00103034" w:rsidRPr="00103034">
          <w:rPr>
            <w:rStyle w:val="Hyperlink"/>
            <w:rFonts w:ascii="Cambria" w:eastAsia="SimSun" w:hAnsi="Cambria"/>
            <w:b w:val="0"/>
            <w:bCs w:val="0"/>
            <w:noProof/>
            <w:sz w:val="20"/>
            <w:szCs w:val="20"/>
            <w:bdr w:val="nil"/>
            <w:lang w:val="es-ES_tradnl"/>
          </w:rPr>
          <w:t>Consideraciones preliminares</w:t>
        </w:r>
        <w:r w:rsidR="00103034" w:rsidRPr="00103034">
          <w:rPr>
            <w:rFonts w:ascii="Cambria" w:hAnsi="Cambria"/>
            <w:b w:val="0"/>
            <w:bCs w:val="0"/>
            <w:noProof/>
            <w:webHidden/>
            <w:sz w:val="20"/>
            <w:szCs w:val="20"/>
          </w:rPr>
          <w:tab/>
        </w:r>
        <w:r w:rsidR="00103034" w:rsidRPr="00103034">
          <w:rPr>
            <w:rFonts w:ascii="Cambria" w:hAnsi="Cambria"/>
            <w:b w:val="0"/>
            <w:bCs w:val="0"/>
            <w:noProof/>
            <w:webHidden/>
            <w:sz w:val="20"/>
            <w:szCs w:val="20"/>
          </w:rPr>
          <w:fldChar w:fldCharType="begin"/>
        </w:r>
        <w:r w:rsidR="00103034" w:rsidRPr="00103034">
          <w:rPr>
            <w:rFonts w:ascii="Cambria" w:hAnsi="Cambria"/>
            <w:b w:val="0"/>
            <w:bCs w:val="0"/>
            <w:noProof/>
            <w:webHidden/>
            <w:sz w:val="20"/>
            <w:szCs w:val="20"/>
          </w:rPr>
          <w:instrText xml:space="preserve"> PAGEREF _Toc90117838 \h </w:instrText>
        </w:r>
        <w:r w:rsidR="00103034" w:rsidRPr="00103034">
          <w:rPr>
            <w:rFonts w:ascii="Cambria" w:hAnsi="Cambria"/>
            <w:b w:val="0"/>
            <w:bCs w:val="0"/>
            <w:noProof/>
            <w:webHidden/>
            <w:sz w:val="20"/>
            <w:szCs w:val="20"/>
          </w:rPr>
        </w:r>
        <w:r w:rsidR="00103034" w:rsidRPr="00103034">
          <w:rPr>
            <w:rFonts w:ascii="Cambria" w:hAnsi="Cambria"/>
            <w:b w:val="0"/>
            <w:bCs w:val="0"/>
            <w:noProof/>
            <w:webHidden/>
            <w:sz w:val="20"/>
            <w:szCs w:val="20"/>
          </w:rPr>
          <w:fldChar w:fldCharType="separate"/>
        </w:r>
        <w:r w:rsidR="00E22184">
          <w:rPr>
            <w:rFonts w:ascii="Cambria" w:hAnsi="Cambria"/>
            <w:b w:val="0"/>
            <w:bCs w:val="0"/>
            <w:noProof/>
            <w:webHidden/>
            <w:sz w:val="20"/>
            <w:szCs w:val="20"/>
          </w:rPr>
          <w:t>14</w:t>
        </w:r>
        <w:r w:rsidR="00103034" w:rsidRPr="00103034">
          <w:rPr>
            <w:rFonts w:ascii="Cambria" w:hAnsi="Cambria"/>
            <w:b w:val="0"/>
            <w:bCs w:val="0"/>
            <w:noProof/>
            <w:webHidden/>
            <w:sz w:val="20"/>
            <w:szCs w:val="20"/>
          </w:rPr>
          <w:fldChar w:fldCharType="end"/>
        </w:r>
      </w:hyperlink>
    </w:p>
    <w:p w14:paraId="603C2B68" w14:textId="725B1C11" w:rsidR="00103034" w:rsidRPr="00993B63" w:rsidRDefault="00127170">
      <w:pPr>
        <w:pStyle w:val="TOC2"/>
        <w:tabs>
          <w:tab w:val="left" w:pos="660"/>
          <w:tab w:val="right" w:leader="dot" w:pos="9350"/>
        </w:tabs>
        <w:rPr>
          <w:rFonts w:ascii="Cambria" w:eastAsia="DengXian" w:hAnsi="Cambria" w:cs="Arial"/>
          <w:b w:val="0"/>
          <w:bCs w:val="0"/>
          <w:noProof/>
          <w:sz w:val="20"/>
          <w:szCs w:val="20"/>
          <w:lang w:eastAsia="zh-CN"/>
        </w:rPr>
      </w:pPr>
      <w:hyperlink w:anchor="_Toc90117839" w:history="1">
        <w:r w:rsidR="00103034" w:rsidRPr="00103034">
          <w:rPr>
            <w:rStyle w:val="Hyperlink"/>
            <w:rFonts w:ascii="Cambria" w:eastAsia="SimSun" w:hAnsi="Cambria"/>
            <w:b w:val="0"/>
            <w:bCs w:val="0"/>
            <w:noProof/>
            <w:sz w:val="20"/>
            <w:szCs w:val="20"/>
            <w:bdr w:val="nil"/>
            <w:lang w:val="es-ES_tradnl"/>
          </w:rPr>
          <w:t>B.</w:t>
        </w:r>
        <w:r w:rsidR="00103034" w:rsidRPr="00993B63">
          <w:rPr>
            <w:rFonts w:ascii="Cambria" w:eastAsia="DengXian" w:hAnsi="Cambria" w:cs="Arial"/>
            <w:b w:val="0"/>
            <w:bCs w:val="0"/>
            <w:noProof/>
            <w:sz w:val="20"/>
            <w:szCs w:val="20"/>
            <w:lang w:eastAsia="zh-CN"/>
          </w:rPr>
          <w:tab/>
        </w:r>
        <w:r w:rsidR="00103034" w:rsidRPr="00103034">
          <w:rPr>
            <w:rStyle w:val="Hyperlink"/>
            <w:rFonts w:ascii="Cambria" w:eastAsia="SimSun" w:hAnsi="Cambria"/>
            <w:b w:val="0"/>
            <w:bCs w:val="0"/>
            <w:noProof/>
            <w:sz w:val="20"/>
            <w:szCs w:val="20"/>
            <w:bdr w:val="nil"/>
            <w:lang w:val="es-ES_tradnl"/>
          </w:rPr>
          <w:t>Derecho de justicia y derecho a un proceso regular</w:t>
        </w:r>
        <w:r w:rsidR="00103034" w:rsidRPr="00103034">
          <w:rPr>
            <w:rFonts w:ascii="Cambria" w:hAnsi="Cambria"/>
            <w:b w:val="0"/>
            <w:bCs w:val="0"/>
            <w:noProof/>
            <w:webHidden/>
            <w:sz w:val="20"/>
            <w:szCs w:val="20"/>
          </w:rPr>
          <w:tab/>
        </w:r>
        <w:r w:rsidR="00103034" w:rsidRPr="00103034">
          <w:rPr>
            <w:rFonts w:ascii="Cambria" w:hAnsi="Cambria"/>
            <w:b w:val="0"/>
            <w:bCs w:val="0"/>
            <w:noProof/>
            <w:webHidden/>
            <w:sz w:val="20"/>
            <w:szCs w:val="20"/>
          </w:rPr>
          <w:fldChar w:fldCharType="begin"/>
        </w:r>
        <w:r w:rsidR="00103034" w:rsidRPr="00103034">
          <w:rPr>
            <w:rFonts w:ascii="Cambria" w:hAnsi="Cambria"/>
            <w:b w:val="0"/>
            <w:bCs w:val="0"/>
            <w:noProof/>
            <w:webHidden/>
            <w:sz w:val="20"/>
            <w:szCs w:val="20"/>
          </w:rPr>
          <w:instrText xml:space="preserve"> PAGEREF _Toc90117839 \h </w:instrText>
        </w:r>
        <w:r w:rsidR="00103034" w:rsidRPr="00103034">
          <w:rPr>
            <w:rFonts w:ascii="Cambria" w:hAnsi="Cambria"/>
            <w:b w:val="0"/>
            <w:bCs w:val="0"/>
            <w:noProof/>
            <w:webHidden/>
            <w:sz w:val="20"/>
            <w:szCs w:val="20"/>
          </w:rPr>
        </w:r>
        <w:r w:rsidR="00103034" w:rsidRPr="00103034">
          <w:rPr>
            <w:rFonts w:ascii="Cambria" w:hAnsi="Cambria"/>
            <w:b w:val="0"/>
            <w:bCs w:val="0"/>
            <w:noProof/>
            <w:webHidden/>
            <w:sz w:val="20"/>
            <w:szCs w:val="20"/>
          </w:rPr>
          <w:fldChar w:fldCharType="separate"/>
        </w:r>
        <w:r w:rsidR="00E22184">
          <w:rPr>
            <w:rFonts w:ascii="Cambria" w:hAnsi="Cambria"/>
            <w:b w:val="0"/>
            <w:bCs w:val="0"/>
            <w:noProof/>
            <w:webHidden/>
            <w:sz w:val="20"/>
            <w:szCs w:val="20"/>
          </w:rPr>
          <w:t>15</w:t>
        </w:r>
        <w:r w:rsidR="00103034" w:rsidRPr="00103034">
          <w:rPr>
            <w:rFonts w:ascii="Cambria" w:hAnsi="Cambria"/>
            <w:b w:val="0"/>
            <w:bCs w:val="0"/>
            <w:noProof/>
            <w:webHidden/>
            <w:sz w:val="20"/>
            <w:szCs w:val="20"/>
          </w:rPr>
          <w:fldChar w:fldCharType="end"/>
        </w:r>
      </w:hyperlink>
    </w:p>
    <w:p w14:paraId="7F5A1C54" w14:textId="405146E8" w:rsidR="00103034" w:rsidRPr="00993B63" w:rsidRDefault="00127170">
      <w:pPr>
        <w:pStyle w:val="TOC3"/>
        <w:tabs>
          <w:tab w:val="left" w:pos="880"/>
          <w:tab w:val="right" w:leader="dot" w:pos="9350"/>
        </w:tabs>
        <w:rPr>
          <w:rFonts w:ascii="Cambria" w:eastAsia="DengXian" w:hAnsi="Cambria" w:cs="Arial"/>
          <w:noProof/>
          <w:lang w:eastAsia="zh-CN"/>
        </w:rPr>
      </w:pPr>
      <w:hyperlink w:anchor="_Toc90117840" w:history="1">
        <w:r w:rsidR="00103034" w:rsidRPr="00103034">
          <w:rPr>
            <w:rStyle w:val="Hyperlink"/>
            <w:rFonts w:ascii="Cambria" w:hAnsi="Cambria"/>
            <w:noProof/>
            <w:lang w:val="es-ES_tradnl"/>
          </w:rPr>
          <w:t>1.</w:t>
        </w:r>
        <w:r w:rsidR="00103034" w:rsidRPr="00993B63">
          <w:rPr>
            <w:rFonts w:ascii="Cambria" w:eastAsia="DengXian" w:hAnsi="Cambria" w:cs="Arial"/>
            <w:noProof/>
            <w:lang w:eastAsia="zh-CN"/>
          </w:rPr>
          <w:tab/>
        </w:r>
        <w:r w:rsidR="00103034" w:rsidRPr="00103034">
          <w:rPr>
            <w:rStyle w:val="Hyperlink"/>
            <w:rFonts w:ascii="Cambria" w:hAnsi="Cambria"/>
            <w:noProof/>
            <w:lang w:val="es-ES_tradnl"/>
          </w:rPr>
          <w:t>Derecho a la información sobre asistencia consular</w:t>
        </w:r>
        <w:r w:rsidR="00103034" w:rsidRPr="00103034">
          <w:rPr>
            <w:rFonts w:ascii="Cambria" w:hAnsi="Cambria"/>
            <w:noProof/>
            <w:webHidden/>
          </w:rPr>
          <w:tab/>
        </w:r>
        <w:r w:rsidR="00103034" w:rsidRPr="00103034">
          <w:rPr>
            <w:rFonts w:ascii="Cambria" w:hAnsi="Cambria"/>
            <w:noProof/>
            <w:webHidden/>
          </w:rPr>
          <w:fldChar w:fldCharType="begin"/>
        </w:r>
        <w:r w:rsidR="00103034" w:rsidRPr="00103034">
          <w:rPr>
            <w:rFonts w:ascii="Cambria" w:hAnsi="Cambria"/>
            <w:noProof/>
            <w:webHidden/>
          </w:rPr>
          <w:instrText xml:space="preserve"> PAGEREF _Toc90117840 \h </w:instrText>
        </w:r>
        <w:r w:rsidR="00103034" w:rsidRPr="00103034">
          <w:rPr>
            <w:rFonts w:ascii="Cambria" w:hAnsi="Cambria"/>
            <w:noProof/>
            <w:webHidden/>
          </w:rPr>
        </w:r>
        <w:r w:rsidR="00103034" w:rsidRPr="00103034">
          <w:rPr>
            <w:rFonts w:ascii="Cambria" w:hAnsi="Cambria"/>
            <w:noProof/>
            <w:webHidden/>
          </w:rPr>
          <w:fldChar w:fldCharType="separate"/>
        </w:r>
        <w:r w:rsidR="00E22184">
          <w:rPr>
            <w:rFonts w:ascii="Cambria" w:hAnsi="Cambria"/>
            <w:noProof/>
            <w:webHidden/>
          </w:rPr>
          <w:t>15</w:t>
        </w:r>
        <w:r w:rsidR="00103034" w:rsidRPr="00103034">
          <w:rPr>
            <w:rFonts w:ascii="Cambria" w:hAnsi="Cambria"/>
            <w:noProof/>
            <w:webHidden/>
          </w:rPr>
          <w:fldChar w:fldCharType="end"/>
        </w:r>
      </w:hyperlink>
    </w:p>
    <w:p w14:paraId="3EFDC3C4" w14:textId="3E9D7430" w:rsidR="00103034" w:rsidRPr="00993B63" w:rsidRDefault="00127170">
      <w:pPr>
        <w:pStyle w:val="TOC3"/>
        <w:tabs>
          <w:tab w:val="right" w:leader="dot" w:pos="9350"/>
        </w:tabs>
        <w:rPr>
          <w:rFonts w:ascii="Cambria" w:eastAsia="DengXian" w:hAnsi="Cambria" w:cs="Arial"/>
          <w:noProof/>
          <w:lang w:eastAsia="zh-CN"/>
        </w:rPr>
      </w:pPr>
      <w:hyperlink w:anchor="_Toc90117841" w:history="1">
        <w:r w:rsidR="00103034" w:rsidRPr="00103034">
          <w:rPr>
            <w:rStyle w:val="Hyperlink"/>
            <w:rFonts w:ascii="Cambria" w:eastAsia="SimSun" w:hAnsi="Cambria"/>
            <w:noProof/>
            <w:bdr w:val="nil"/>
            <w:lang w:val="es-ES_tradnl"/>
          </w:rPr>
          <w:t>2. Asistencia ineficaz del abogado designado por el tribunal</w:t>
        </w:r>
        <w:r w:rsidR="00103034" w:rsidRPr="00103034">
          <w:rPr>
            <w:rFonts w:ascii="Cambria" w:hAnsi="Cambria"/>
            <w:noProof/>
            <w:webHidden/>
          </w:rPr>
          <w:tab/>
        </w:r>
        <w:r w:rsidR="00103034" w:rsidRPr="00103034">
          <w:rPr>
            <w:rFonts w:ascii="Cambria" w:hAnsi="Cambria"/>
            <w:noProof/>
            <w:webHidden/>
          </w:rPr>
          <w:fldChar w:fldCharType="begin"/>
        </w:r>
        <w:r w:rsidR="00103034" w:rsidRPr="00103034">
          <w:rPr>
            <w:rFonts w:ascii="Cambria" w:hAnsi="Cambria"/>
            <w:noProof/>
            <w:webHidden/>
          </w:rPr>
          <w:instrText xml:space="preserve"> PAGEREF _Toc90117841 \h </w:instrText>
        </w:r>
        <w:r w:rsidR="00103034" w:rsidRPr="00103034">
          <w:rPr>
            <w:rFonts w:ascii="Cambria" w:hAnsi="Cambria"/>
            <w:noProof/>
            <w:webHidden/>
          </w:rPr>
        </w:r>
        <w:r w:rsidR="00103034" w:rsidRPr="00103034">
          <w:rPr>
            <w:rFonts w:ascii="Cambria" w:hAnsi="Cambria"/>
            <w:noProof/>
            <w:webHidden/>
          </w:rPr>
          <w:fldChar w:fldCharType="separate"/>
        </w:r>
        <w:r w:rsidR="00E22184">
          <w:rPr>
            <w:rFonts w:ascii="Cambria" w:hAnsi="Cambria"/>
            <w:noProof/>
            <w:webHidden/>
          </w:rPr>
          <w:t>17</w:t>
        </w:r>
        <w:r w:rsidR="00103034" w:rsidRPr="00103034">
          <w:rPr>
            <w:rFonts w:ascii="Cambria" w:hAnsi="Cambria"/>
            <w:noProof/>
            <w:webHidden/>
          </w:rPr>
          <w:fldChar w:fldCharType="end"/>
        </w:r>
      </w:hyperlink>
    </w:p>
    <w:p w14:paraId="284C1CC8" w14:textId="2362B16A" w:rsidR="00103034" w:rsidRPr="00993B63" w:rsidRDefault="00127170">
      <w:pPr>
        <w:pStyle w:val="TOC3"/>
        <w:tabs>
          <w:tab w:val="left" w:pos="880"/>
          <w:tab w:val="right" w:leader="dot" w:pos="9350"/>
        </w:tabs>
        <w:rPr>
          <w:rFonts w:ascii="Cambria" w:eastAsia="DengXian" w:hAnsi="Cambria" w:cs="Arial"/>
          <w:noProof/>
          <w:lang w:eastAsia="zh-CN"/>
        </w:rPr>
      </w:pPr>
      <w:hyperlink w:anchor="_Toc90117842" w:history="1">
        <w:r w:rsidR="00103034" w:rsidRPr="00103034">
          <w:rPr>
            <w:rStyle w:val="Hyperlink"/>
            <w:rFonts w:ascii="Cambria" w:eastAsia="SimSun" w:hAnsi="Cambria"/>
            <w:noProof/>
            <w:bdr w:val="nil"/>
            <w:lang w:val="es-ES_tradnl" w:eastAsia="es-ES"/>
          </w:rPr>
          <w:t>3.</w:t>
        </w:r>
        <w:r w:rsidR="00103034" w:rsidRPr="00993B63">
          <w:rPr>
            <w:rFonts w:ascii="Cambria" w:eastAsia="DengXian" w:hAnsi="Cambria" w:cs="Arial"/>
            <w:noProof/>
            <w:lang w:eastAsia="zh-CN"/>
          </w:rPr>
          <w:tab/>
        </w:r>
        <w:r w:rsidR="00103034" w:rsidRPr="00103034">
          <w:rPr>
            <w:rStyle w:val="Hyperlink"/>
            <w:rFonts w:ascii="Cambria" w:eastAsia="SimSun" w:hAnsi="Cambria"/>
            <w:noProof/>
            <w:bdr w:val="nil"/>
            <w:lang w:val="es-ES_tradnl" w:eastAsia="es-ES"/>
          </w:rPr>
          <w:t>Derecho a un tiempo adecuado para preparar la defensa y a ser asistido por un abogado</w:t>
        </w:r>
        <w:r w:rsidR="00103034" w:rsidRPr="00103034">
          <w:rPr>
            <w:rFonts w:ascii="Cambria" w:hAnsi="Cambria"/>
            <w:noProof/>
            <w:webHidden/>
          </w:rPr>
          <w:tab/>
        </w:r>
        <w:r w:rsidR="00103034" w:rsidRPr="00103034">
          <w:rPr>
            <w:rFonts w:ascii="Cambria" w:hAnsi="Cambria"/>
            <w:noProof/>
            <w:webHidden/>
          </w:rPr>
          <w:fldChar w:fldCharType="begin"/>
        </w:r>
        <w:r w:rsidR="00103034" w:rsidRPr="00103034">
          <w:rPr>
            <w:rFonts w:ascii="Cambria" w:hAnsi="Cambria"/>
            <w:noProof/>
            <w:webHidden/>
          </w:rPr>
          <w:instrText xml:space="preserve"> PAGEREF _Toc90117842 \h </w:instrText>
        </w:r>
        <w:r w:rsidR="00103034" w:rsidRPr="00103034">
          <w:rPr>
            <w:rFonts w:ascii="Cambria" w:hAnsi="Cambria"/>
            <w:noProof/>
            <w:webHidden/>
          </w:rPr>
        </w:r>
        <w:r w:rsidR="00103034" w:rsidRPr="00103034">
          <w:rPr>
            <w:rFonts w:ascii="Cambria" w:hAnsi="Cambria"/>
            <w:noProof/>
            <w:webHidden/>
          </w:rPr>
          <w:fldChar w:fldCharType="separate"/>
        </w:r>
        <w:r w:rsidR="00E22184">
          <w:rPr>
            <w:rFonts w:ascii="Cambria" w:hAnsi="Cambria"/>
            <w:noProof/>
            <w:webHidden/>
          </w:rPr>
          <w:t>18</w:t>
        </w:r>
        <w:r w:rsidR="00103034" w:rsidRPr="00103034">
          <w:rPr>
            <w:rFonts w:ascii="Cambria" w:hAnsi="Cambria"/>
            <w:noProof/>
            <w:webHidden/>
          </w:rPr>
          <w:fldChar w:fldCharType="end"/>
        </w:r>
      </w:hyperlink>
    </w:p>
    <w:p w14:paraId="0AF8F1B0" w14:textId="115849AF" w:rsidR="00103034" w:rsidRPr="00993B63" w:rsidRDefault="00127170">
      <w:pPr>
        <w:pStyle w:val="TOC3"/>
        <w:tabs>
          <w:tab w:val="left" w:pos="880"/>
          <w:tab w:val="right" w:leader="dot" w:pos="9350"/>
        </w:tabs>
        <w:rPr>
          <w:rFonts w:ascii="Cambria" w:eastAsia="DengXian" w:hAnsi="Cambria" w:cs="Arial"/>
          <w:noProof/>
          <w:lang w:eastAsia="zh-CN"/>
        </w:rPr>
      </w:pPr>
      <w:hyperlink w:anchor="_Toc90117843" w:history="1">
        <w:r w:rsidR="00103034" w:rsidRPr="00103034">
          <w:rPr>
            <w:rStyle w:val="Hyperlink"/>
            <w:rFonts w:ascii="Cambria" w:eastAsia="SimSun" w:hAnsi="Cambria"/>
            <w:noProof/>
            <w:bdr w:val="nil"/>
            <w:lang w:val="es-ES_tradnl"/>
          </w:rPr>
          <w:t>4.</w:t>
        </w:r>
        <w:r w:rsidR="00103034" w:rsidRPr="00993B63">
          <w:rPr>
            <w:rFonts w:ascii="Cambria" w:eastAsia="DengXian" w:hAnsi="Cambria" w:cs="Arial"/>
            <w:noProof/>
            <w:lang w:eastAsia="zh-CN"/>
          </w:rPr>
          <w:tab/>
        </w:r>
        <w:r w:rsidR="00103034" w:rsidRPr="00103034">
          <w:rPr>
            <w:rStyle w:val="Hyperlink"/>
            <w:rFonts w:ascii="Cambria" w:eastAsia="SimSun" w:hAnsi="Cambria"/>
            <w:noProof/>
            <w:bdr w:val="nil"/>
            <w:lang w:val="es-ES_tradnl"/>
          </w:rPr>
          <w:t>Derecho a un recurso efectivo, a ser juzgado por un juez imparcial y a la igualdad ante la ley y no discriminación</w:t>
        </w:r>
        <w:r w:rsidR="00103034" w:rsidRPr="00103034">
          <w:rPr>
            <w:rFonts w:ascii="Cambria" w:hAnsi="Cambria"/>
            <w:noProof/>
            <w:webHidden/>
          </w:rPr>
          <w:tab/>
        </w:r>
        <w:r w:rsidR="00103034" w:rsidRPr="00103034">
          <w:rPr>
            <w:rFonts w:ascii="Cambria" w:hAnsi="Cambria"/>
            <w:noProof/>
            <w:webHidden/>
          </w:rPr>
          <w:fldChar w:fldCharType="begin"/>
        </w:r>
        <w:r w:rsidR="00103034" w:rsidRPr="00103034">
          <w:rPr>
            <w:rFonts w:ascii="Cambria" w:hAnsi="Cambria"/>
            <w:noProof/>
            <w:webHidden/>
          </w:rPr>
          <w:instrText xml:space="preserve"> PAGEREF _Toc90117843 \h </w:instrText>
        </w:r>
        <w:r w:rsidR="00103034" w:rsidRPr="00103034">
          <w:rPr>
            <w:rFonts w:ascii="Cambria" w:hAnsi="Cambria"/>
            <w:noProof/>
            <w:webHidden/>
          </w:rPr>
        </w:r>
        <w:r w:rsidR="00103034" w:rsidRPr="00103034">
          <w:rPr>
            <w:rFonts w:ascii="Cambria" w:hAnsi="Cambria"/>
            <w:noProof/>
            <w:webHidden/>
          </w:rPr>
          <w:fldChar w:fldCharType="separate"/>
        </w:r>
        <w:r w:rsidR="00E22184">
          <w:rPr>
            <w:rFonts w:ascii="Cambria" w:hAnsi="Cambria"/>
            <w:noProof/>
            <w:webHidden/>
          </w:rPr>
          <w:t>19</w:t>
        </w:r>
        <w:r w:rsidR="00103034" w:rsidRPr="00103034">
          <w:rPr>
            <w:rFonts w:ascii="Cambria" w:hAnsi="Cambria"/>
            <w:noProof/>
            <w:webHidden/>
          </w:rPr>
          <w:fldChar w:fldCharType="end"/>
        </w:r>
      </w:hyperlink>
    </w:p>
    <w:p w14:paraId="0B5C95ED" w14:textId="4D2561BC" w:rsidR="00103034" w:rsidRPr="00993B63" w:rsidRDefault="00127170">
      <w:pPr>
        <w:pStyle w:val="TOC2"/>
        <w:tabs>
          <w:tab w:val="left" w:pos="660"/>
          <w:tab w:val="right" w:leader="dot" w:pos="9350"/>
        </w:tabs>
        <w:rPr>
          <w:rFonts w:ascii="Cambria" w:eastAsia="DengXian" w:hAnsi="Cambria" w:cs="Arial"/>
          <w:b w:val="0"/>
          <w:bCs w:val="0"/>
          <w:noProof/>
          <w:sz w:val="20"/>
          <w:szCs w:val="20"/>
          <w:lang w:eastAsia="zh-CN"/>
        </w:rPr>
      </w:pPr>
      <w:hyperlink w:anchor="_Toc90117844" w:history="1">
        <w:r w:rsidR="00103034" w:rsidRPr="00103034">
          <w:rPr>
            <w:rStyle w:val="Hyperlink"/>
            <w:rFonts w:ascii="Cambria" w:eastAsia="SimSun" w:hAnsi="Cambria"/>
            <w:b w:val="0"/>
            <w:bCs w:val="0"/>
            <w:noProof/>
            <w:sz w:val="20"/>
            <w:szCs w:val="20"/>
            <w:bdr w:val="nil"/>
            <w:lang w:val="es-ES_tradnl"/>
          </w:rPr>
          <w:t>C.</w:t>
        </w:r>
        <w:r w:rsidR="00103034" w:rsidRPr="00993B63">
          <w:rPr>
            <w:rFonts w:ascii="Cambria" w:eastAsia="DengXian" w:hAnsi="Cambria" w:cs="Arial"/>
            <w:b w:val="0"/>
            <w:bCs w:val="0"/>
            <w:noProof/>
            <w:sz w:val="20"/>
            <w:szCs w:val="20"/>
            <w:lang w:eastAsia="zh-CN"/>
          </w:rPr>
          <w:tab/>
        </w:r>
        <w:r w:rsidR="00103034" w:rsidRPr="00103034">
          <w:rPr>
            <w:rStyle w:val="Hyperlink"/>
            <w:rFonts w:ascii="Cambria" w:eastAsia="SimSun" w:hAnsi="Cambria"/>
            <w:b w:val="0"/>
            <w:bCs w:val="0"/>
            <w:noProof/>
            <w:sz w:val="20"/>
            <w:szCs w:val="20"/>
            <w:bdr w:val="nil"/>
            <w:lang w:val="es-ES_tradnl"/>
          </w:rPr>
          <w:t>Derecho de toda persona con discapacidad mental o intelectual a no ser sometida a la pena de muerte</w:t>
        </w:r>
        <w:r w:rsidR="00103034" w:rsidRPr="00103034">
          <w:rPr>
            <w:rFonts w:ascii="Cambria" w:hAnsi="Cambria"/>
            <w:b w:val="0"/>
            <w:bCs w:val="0"/>
            <w:noProof/>
            <w:webHidden/>
            <w:sz w:val="20"/>
            <w:szCs w:val="20"/>
          </w:rPr>
          <w:tab/>
        </w:r>
        <w:r w:rsidR="00103034" w:rsidRPr="00103034">
          <w:rPr>
            <w:rFonts w:ascii="Cambria" w:hAnsi="Cambria"/>
            <w:b w:val="0"/>
            <w:bCs w:val="0"/>
            <w:noProof/>
            <w:webHidden/>
            <w:sz w:val="20"/>
            <w:szCs w:val="20"/>
          </w:rPr>
          <w:fldChar w:fldCharType="begin"/>
        </w:r>
        <w:r w:rsidR="00103034" w:rsidRPr="00103034">
          <w:rPr>
            <w:rFonts w:ascii="Cambria" w:hAnsi="Cambria"/>
            <w:b w:val="0"/>
            <w:bCs w:val="0"/>
            <w:noProof/>
            <w:webHidden/>
            <w:sz w:val="20"/>
            <w:szCs w:val="20"/>
          </w:rPr>
          <w:instrText xml:space="preserve"> PAGEREF _Toc90117844 \h </w:instrText>
        </w:r>
        <w:r w:rsidR="00103034" w:rsidRPr="00103034">
          <w:rPr>
            <w:rFonts w:ascii="Cambria" w:hAnsi="Cambria"/>
            <w:b w:val="0"/>
            <w:bCs w:val="0"/>
            <w:noProof/>
            <w:webHidden/>
            <w:sz w:val="20"/>
            <w:szCs w:val="20"/>
          </w:rPr>
        </w:r>
        <w:r w:rsidR="00103034" w:rsidRPr="00103034">
          <w:rPr>
            <w:rFonts w:ascii="Cambria" w:hAnsi="Cambria"/>
            <w:b w:val="0"/>
            <w:bCs w:val="0"/>
            <w:noProof/>
            <w:webHidden/>
            <w:sz w:val="20"/>
            <w:szCs w:val="20"/>
          </w:rPr>
          <w:fldChar w:fldCharType="separate"/>
        </w:r>
        <w:r w:rsidR="00E22184">
          <w:rPr>
            <w:rFonts w:ascii="Cambria" w:hAnsi="Cambria"/>
            <w:b w:val="0"/>
            <w:bCs w:val="0"/>
            <w:noProof/>
            <w:webHidden/>
            <w:sz w:val="20"/>
            <w:szCs w:val="20"/>
          </w:rPr>
          <w:t>21</w:t>
        </w:r>
        <w:r w:rsidR="00103034" w:rsidRPr="00103034">
          <w:rPr>
            <w:rFonts w:ascii="Cambria" w:hAnsi="Cambria"/>
            <w:b w:val="0"/>
            <w:bCs w:val="0"/>
            <w:noProof/>
            <w:webHidden/>
            <w:sz w:val="20"/>
            <w:szCs w:val="20"/>
          </w:rPr>
          <w:fldChar w:fldCharType="end"/>
        </w:r>
      </w:hyperlink>
    </w:p>
    <w:p w14:paraId="79F06648" w14:textId="352C2EBD" w:rsidR="00103034" w:rsidRPr="00993B63" w:rsidRDefault="00127170">
      <w:pPr>
        <w:pStyle w:val="TOC2"/>
        <w:tabs>
          <w:tab w:val="left" w:pos="880"/>
          <w:tab w:val="right" w:leader="dot" w:pos="9350"/>
        </w:tabs>
        <w:rPr>
          <w:rFonts w:ascii="Cambria" w:eastAsia="DengXian" w:hAnsi="Cambria" w:cs="Arial"/>
          <w:b w:val="0"/>
          <w:bCs w:val="0"/>
          <w:noProof/>
          <w:sz w:val="20"/>
          <w:szCs w:val="20"/>
          <w:lang w:eastAsia="zh-CN"/>
        </w:rPr>
      </w:pPr>
      <w:hyperlink w:anchor="_Toc90117845" w:history="1">
        <w:r w:rsidR="00103034" w:rsidRPr="00103034">
          <w:rPr>
            <w:rStyle w:val="Hyperlink"/>
            <w:rFonts w:ascii="Cambria" w:eastAsia="SimSun" w:hAnsi="Cambria"/>
            <w:b w:val="0"/>
            <w:bCs w:val="0"/>
            <w:noProof/>
            <w:sz w:val="20"/>
            <w:szCs w:val="20"/>
            <w:bdr w:val="nil"/>
            <w:lang w:val="es-ES_tradnl"/>
          </w:rPr>
          <w:t>D.</w:t>
        </w:r>
        <w:r w:rsidR="00103034" w:rsidRPr="00993B63">
          <w:rPr>
            <w:rFonts w:ascii="Cambria" w:eastAsia="DengXian" w:hAnsi="Cambria" w:cs="Arial"/>
            <w:b w:val="0"/>
            <w:bCs w:val="0"/>
            <w:noProof/>
            <w:sz w:val="20"/>
            <w:szCs w:val="20"/>
            <w:lang w:eastAsia="zh-CN"/>
          </w:rPr>
          <w:tab/>
        </w:r>
        <w:r w:rsidR="00103034" w:rsidRPr="00103034">
          <w:rPr>
            <w:rStyle w:val="Hyperlink"/>
            <w:rFonts w:ascii="Cambria" w:eastAsia="SimSun" w:hAnsi="Cambria"/>
            <w:b w:val="0"/>
            <w:bCs w:val="0"/>
            <w:noProof/>
            <w:sz w:val="20"/>
            <w:szCs w:val="20"/>
            <w:bdr w:val="nil"/>
            <w:lang w:val="es-ES_tradnl"/>
          </w:rPr>
          <w:t>La privación de libertad en el corredor de la muerte y el derecho a la protección contra castigos crueles, infamantes o inusuales</w:t>
        </w:r>
        <w:r w:rsidR="00103034" w:rsidRPr="00103034">
          <w:rPr>
            <w:rFonts w:ascii="Cambria" w:hAnsi="Cambria"/>
            <w:b w:val="0"/>
            <w:bCs w:val="0"/>
            <w:noProof/>
            <w:webHidden/>
            <w:sz w:val="20"/>
            <w:szCs w:val="20"/>
          </w:rPr>
          <w:tab/>
        </w:r>
        <w:r w:rsidR="00103034" w:rsidRPr="00103034">
          <w:rPr>
            <w:rFonts w:ascii="Cambria" w:hAnsi="Cambria"/>
            <w:b w:val="0"/>
            <w:bCs w:val="0"/>
            <w:noProof/>
            <w:webHidden/>
            <w:sz w:val="20"/>
            <w:szCs w:val="20"/>
          </w:rPr>
          <w:fldChar w:fldCharType="begin"/>
        </w:r>
        <w:r w:rsidR="00103034" w:rsidRPr="00103034">
          <w:rPr>
            <w:rFonts w:ascii="Cambria" w:hAnsi="Cambria"/>
            <w:b w:val="0"/>
            <w:bCs w:val="0"/>
            <w:noProof/>
            <w:webHidden/>
            <w:sz w:val="20"/>
            <w:szCs w:val="20"/>
          </w:rPr>
          <w:instrText xml:space="preserve"> PAGEREF _Toc90117845 \h </w:instrText>
        </w:r>
        <w:r w:rsidR="00103034" w:rsidRPr="00103034">
          <w:rPr>
            <w:rFonts w:ascii="Cambria" w:hAnsi="Cambria"/>
            <w:b w:val="0"/>
            <w:bCs w:val="0"/>
            <w:noProof/>
            <w:webHidden/>
            <w:sz w:val="20"/>
            <w:szCs w:val="20"/>
          </w:rPr>
        </w:r>
        <w:r w:rsidR="00103034" w:rsidRPr="00103034">
          <w:rPr>
            <w:rFonts w:ascii="Cambria" w:hAnsi="Cambria"/>
            <w:b w:val="0"/>
            <w:bCs w:val="0"/>
            <w:noProof/>
            <w:webHidden/>
            <w:sz w:val="20"/>
            <w:szCs w:val="20"/>
          </w:rPr>
          <w:fldChar w:fldCharType="separate"/>
        </w:r>
        <w:r w:rsidR="00E22184">
          <w:rPr>
            <w:rFonts w:ascii="Cambria" w:hAnsi="Cambria"/>
            <w:b w:val="0"/>
            <w:bCs w:val="0"/>
            <w:noProof/>
            <w:webHidden/>
            <w:sz w:val="20"/>
            <w:szCs w:val="20"/>
          </w:rPr>
          <w:t>24</w:t>
        </w:r>
        <w:r w:rsidR="00103034" w:rsidRPr="00103034">
          <w:rPr>
            <w:rFonts w:ascii="Cambria" w:hAnsi="Cambria"/>
            <w:b w:val="0"/>
            <w:bCs w:val="0"/>
            <w:noProof/>
            <w:webHidden/>
            <w:sz w:val="20"/>
            <w:szCs w:val="20"/>
          </w:rPr>
          <w:fldChar w:fldCharType="end"/>
        </w:r>
      </w:hyperlink>
    </w:p>
    <w:p w14:paraId="1690D969" w14:textId="130EEF08" w:rsidR="00103034" w:rsidRPr="00993B63" w:rsidRDefault="00127170">
      <w:pPr>
        <w:pStyle w:val="TOC2"/>
        <w:tabs>
          <w:tab w:val="left" w:pos="660"/>
          <w:tab w:val="right" w:leader="dot" w:pos="9350"/>
        </w:tabs>
        <w:rPr>
          <w:rFonts w:ascii="Cambria" w:eastAsia="DengXian" w:hAnsi="Cambria" w:cs="Arial"/>
          <w:b w:val="0"/>
          <w:bCs w:val="0"/>
          <w:noProof/>
          <w:sz w:val="20"/>
          <w:szCs w:val="20"/>
          <w:lang w:eastAsia="zh-CN"/>
        </w:rPr>
      </w:pPr>
      <w:hyperlink w:anchor="_Toc90117846" w:history="1">
        <w:r w:rsidR="00103034" w:rsidRPr="00103034">
          <w:rPr>
            <w:rStyle w:val="Hyperlink"/>
            <w:rFonts w:ascii="Cambria" w:eastAsia="SimSun" w:hAnsi="Cambria"/>
            <w:b w:val="0"/>
            <w:bCs w:val="0"/>
            <w:noProof/>
            <w:sz w:val="20"/>
            <w:szCs w:val="20"/>
            <w:bdr w:val="nil"/>
            <w:lang w:val="es-ES_tradnl"/>
          </w:rPr>
          <w:t>E.</w:t>
        </w:r>
        <w:r w:rsidR="00103034" w:rsidRPr="00993B63">
          <w:rPr>
            <w:rFonts w:ascii="Cambria" w:eastAsia="DengXian" w:hAnsi="Cambria" w:cs="Arial"/>
            <w:b w:val="0"/>
            <w:bCs w:val="0"/>
            <w:noProof/>
            <w:sz w:val="20"/>
            <w:szCs w:val="20"/>
            <w:lang w:eastAsia="zh-CN"/>
          </w:rPr>
          <w:tab/>
        </w:r>
        <w:r w:rsidR="00103034" w:rsidRPr="00103034">
          <w:rPr>
            <w:rStyle w:val="Hyperlink"/>
            <w:rFonts w:ascii="Cambria" w:eastAsia="SimSun" w:hAnsi="Cambria"/>
            <w:b w:val="0"/>
            <w:bCs w:val="0"/>
            <w:noProof/>
            <w:sz w:val="20"/>
            <w:szCs w:val="20"/>
            <w:bdr w:val="nil"/>
            <w:lang w:val="es-ES_tradnl"/>
          </w:rPr>
          <w:t>Derecho a la vida y a la protección contra penas crueles, infamantes o inusuales con respecto a la eventual ejecución de Ramiro Ibarra Rubí</w:t>
        </w:r>
        <w:r w:rsidR="00103034" w:rsidRPr="00103034">
          <w:rPr>
            <w:rFonts w:ascii="Cambria" w:hAnsi="Cambria"/>
            <w:b w:val="0"/>
            <w:bCs w:val="0"/>
            <w:noProof/>
            <w:webHidden/>
            <w:sz w:val="20"/>
            <w:szCs w:val="20"/>
          </w:rPr>
          <w:tab/>
        </w:r>
        <w:r w:rsidR="00103034" w:rsidRPr="00103034">
          <w:rPr>
            <w:rFonts w:ascii="Cambria" w:hAnsi="Cambria"/>
            <w:b w:val="0"/>
            <w:bCs w:val="0"/>
            <w:noProof/>
            <w:webHidden/>
            <w:sz w:val="20"/>
            <w:szCs w:val="20"/>
          </w:rPr>
          <w:fldChar w:fldCharType="begin"/>
        </w:r>
        <w:r w:rsidR="00103034" w:rsidRPr="00103034">
          <w:rPr>
            <w:rFonts w:ascii="Cambria" w:hAnsi="Cambria"/>
            <w:b w:val="0"/>
            <w:bCs w:val="0"/>
            <w:noProof/>
            <w:webHidden/>
            <w:sz w:val="20"/>
            <w:szCs w:val="20"/>
          </w:rPr>
          <w:instrText xml:space="preserve"> PAGEREF _Toc90117846 \h </w:instrText>
        </w:r>
        <w:r w:rsidR="00103034" w:rsidRPr="00103034">
          <w:rPr>
            <w:rFonts w:ascii="Cambria" w:hAnsi="Cambria"/>
            <w:b w:val="0"/>
            <w:bCs w:val="0"/>
            <w:noProof/>
            <w:webHidden/>
            <w:sz w:val="20"/>
            <w:szCs w:val="20"/>
          </w:rPr>
        </w:r>
        <w:r w:rsidR="00103034" w:rsidRPr="00103034">
          <w:rPr>
            <w:rFonts w:ascii="Cambria" w:hAnsi="Cambria"/>
            <w:b w:val="0"/>
            <w:bCs w:val="0"/>
            <w:noProof/>
            <w:webHidden/>
            <w:sz w:val="20"/>
            <w:szCs w:val="20"/>
          </w:rPr>
          <w:fldChar w:fldCharType="separate"/>
        </w:r>
        <w:r w:rsidR="00E22184">
          <w:rPr>
            <w:rFonts w:ascii="Cambria" w:hAnsi="Cambria"/>
            <w:b w:val="0"/>
            <w:bCs w:val="0"/>
            <w:noProof/>
            <w:webHidden/>
            <w:sz w:val="20"/>
            <w:szCs w:val="20"/>
          </w:rPr>
          <w:t>27</w:t>
        </w:r>
        <w:r w:rsidR="00103034" w:rsidRPr="00103034">
          <w:rPr>
            <w:rFonts w:ascii="Cambria" w:hAnsi="Cambria"/>
            <w:b w:val="0"/>
            <w:bCs w:val="0"/>
            <w:noProof/>
            <w:webHidden/>
            <w:sz w:val="20"/>
            <w:szCs w:val="20"/>
          </w:rPr>
          <w:fldChar w:fldCharType="end"/>
        </w:r>
      </w:hyperlink>
    </w:p>
    <w:p w14:paraId="4DF1515C" w14:textId="2EE25A0E" w:rsidR="00103034" w:rsidRPr="00993B63" w:rsidRDefault="00127170">
      <w:pPr>
        <w:pStyle w:val="TOC1"/>
        <w:tabs>
          <w:tab w:val="left" w:pos="660"/>
          <w:tab w:val="right" w:leader="dot" w:pos="9350"/>
        </w:tabs>
        <w:rPr>
          <w:rFonts w:ascii="Cambria" w:eastAsia="DengXian" w:hAnsi="Cambria" w:cs="Arial"/>
          <w:b w:val="0"/>
          <w:bCs w:val="0"/>
          <w:i w:val="0"/>
          <w:iCs w:val="0"/>
          <w:noProof/>
          <w:sz w:val="20"/>
          <w:szCs w:val="20"/>
          <w:lang w:eastAsia="zh-CN"/>
        </w:rPr>
      </w:pPr>
      <w:hyperlink w:anchor="_Toc90117847" w:history="1">
        <w:r w:rsidR="00103034" w:rsidRPr="00103034">
          <w:rPr>
            <w:rStyle w:val="Hyperlink"/>
            <w:rFonts w:ascii="Cambria" w:eastAsia="SimSun" w:hAnsi="Cambria"/>
            <w:b w:val="0"/>
            <w:bCs w:val="0"/>
            <w:i w:val="0"/>
            <w:iCs w:val="0"/>
            <w:noProof/>
            <w:sz w:val="20"/>
            <w:szCs w:val="20"/>
            <w:bdr w:val="nil"/>
            <w:lang w:val="es-ES_tradnl"/>
          </w:rPr>
          <w:t>VI.</w:t>
        </w:r>
        <w:r w:rsidR="00103034" w:rsidRPr="00993B63">
          <w:rPr>
            <w:rFonts w:ascii="Cambria" w:eastAsia="DengXian" w:hAnsi="Cambria" w:cs="Arial"/>
            <w:b w:val="0"/>
            <w:bCs w:val="0"/>
            <w:i w:val="0"/>
            <w:iCs w:val="0"/>
            <w:noProof/>
            <w:sz w:val="20"/>
            <w:szCs w:val="20"/>
            <w:lang w:eastAsia="zh-CN"/>
          </w:rPr>
          <w:tab/>
        </w:r>
        <w:r w:rsidR="00103034" w:rsidRPr="00103034">
          <w:rPr>
            <w:rStyle w:val="Hyperlink"/>
            <w:rFonts w:ascii="Cambria" w:eastAsia="SimSun" w:hAnsi="Cambria"/>
            <w:b w:val="0"/>
            <w:bCs w:val="0"/>
            <w:i w:val="0"/>
            <w:iCs w:val="0"/>
            <w:noProof/>
            <w:sz w:val="20"/>
            <w:szCs w:val="20"/>
            <w:bdr w:val="nil"/>
            <w:lang w:val="es-ES_tradnl"/>
          </w:rPr>
          <w:t>INFORME No. 9/21 E INFORMACIÓN SOBRE CUMPLIMIENTO</w:t>
        </w:r>
        <w:r w:rsidR="00103034" w:rsidRPr="00103034">
          <w:rPr>
            <w:rFonts w:ascii="Cambria" w:hAnsi="Cambria"/>
            <w:b w:val="0"/>
            <w:bCs w:val="0"/>
            <w:i w:val="0"/>
            <w:iCs w:val="0"/>
            <w:noProof/>
            <w:webHidden/>
            <w:sz w:val="20"/>
            <w:szCs w:val="20"/>
          </w:rPr>
          <w:tab/>
        </w:r>
        <w:r w:rsidR="00103034" w:rsidRPr="00103034">
          <w:rPr>
            <w:rFonts w:ascii="Cambria" w:hAnsi="Cambria"/>
            <w:b w:val="0"/>
            <w:bCs w:val="0"/>
            <w:i w:val="0"/>
            <w:iCs w:val="0"/>
            <w:noProof/>
            <w:webHidden/>
            <w:sz w:val="20"/>
            <w:szCs w:val="20"/>
          </w:rPr>
          <w:fldChar w:fldCharType="begin"/>
        </w:r>
        <w:r w:rsidR="00103034" w:rsidRPr="00103034">
          <w:rPr>
            <w:rFonts w:ascii="Cambria" w:hAnsi="Cambria"/>
            <w:b w:val="0"/>
            <w:bCs w:val="0"/>
            <w:i w:val="0"/>
            <w:iCs w:val="0"/>
            <w:noProof/>
            <w:webHidden/>
            <w:sz w:val="20"/>
            <w:szCs w:val="20"/>
          </w:rPr>
          <w:instrText xml:space="preserve"> PAGEREF _Toc90117847 \h </w:instrText>
        </w:r>
        <w:r w:rsidR="00103034" w:rsidRPr="00103034">
          <w:rPr>
            <w:rFonts w:ascii="Cambria" w:hAnsi="Cambria"/>
            <w:b w:val="0"/>
            <w:bCs w:val="0"/>
            <w:i w:val="0"/>
            <w:iCs w:val="0"/>
            <w:noProof/>
            <w:webHidden/>
            <w:sz w:val="20"/>
            <w:szCs w:val="20"/>
          </w:rPr>
        </w:r>
        <w:r w:rsidR="00103034" w:rsidRPr="00103034">
          <w:rPr>
            <w:rFonts w:ascii="Cambria" w:hAnsi="Cambria"/>
            <w:b w:val="0"/>
            <w:bCs w:val="0"/>
            <w:i w:val="0"/>
            <w:iCs w:val="0"/>
            <w:noProof/>
            <w:webHidden/>
            <w:sz w:val="20"/>
            <w:szCs w:val="20"/>
          </w:rPr>
          <w:fldChar w:fldCharType="separate"/>
        </w:r>
        <w:r w:rsidR="00E22184">
          <w:rPr>
            <w:rFonts w:ascii="Cambria" w:hAnsi="Cambria"/>
            <w:b w:val="0"/>
            <w:bCs w:val="0"/>
            <w:i w:val="0"/>
            <w:iCs w:val="0"/>
            <w:noProof/>
            <w:webHidden/>
            <w:sz w:val="20"/>
            <w:szCs w:val="20"/>
          </w:rPr>
          <w:t>27</w:t>
        </w:r>
        <w:r w:rsidR="00103034" w:rsidRPr="00103034">
          <w:rPr>
            <w:rFonts w:ascii="Cambria" w:hAnsi="Cambria"/>
            <w:b w:val="0"/>
            <w:bCs w:val="0"/>
            <w:i w:val="0"/>
            <w:iCs w:val="0"/>
            <w:noProof/>
            <w:webHidden/>
            <w:sz w:val="20"/>
            <w:szCs w:val="20"/>
          </w:rPr>
          <w:fldChar w:fldCharType="end"/>
        </w:r>
      </w:hyperlink>
    </w:p>
    <w:p w14:paraId="3DCB0373" w14:textId="3B776114" w:rsidR="00103034" w:rsidRPr="00195551" w:rsidRDefault="00127170">
      <w:pPr>
        <w:pStyle w:val="TOC1"/>
        <w:tabs>
          <w:tab w:val="left" w:pos="660"/>
          <w:tab w:val="right" w:leader="dot" w:pos="9350"/>
        </w:tabs>
        <w:rPr>
          <w:rFonts w:ascii="Cambria" w:eastAsia="DengXian" w:hAnsi="Cambria" w:cs="Arial"/>
          <w:b w:val="0"/>
          <w:bCs w:val="0"/>
          <w:i w:val="0"/>
          <w:iCs w:val="0"/>
          <w:noProof/>
          <w:sz w:val="20"/>
          <w:szCs w:val="20"/>
          <w:lang w:eastAsia="zh-CN"/>
        </w:rPr>
      </w:pPr>
      <w:hyperlink w:anchor="_Toc90117848" w:history="1">
        <w:r w:rsidR="00103034" w:rsidRPr="00195551">
          <w:rPr>
            <w:rStyle w:val="Hyperlink"/>
            <w:rFonts w:ascii="Cambria" w:eastAsia="SimSun" w:hAnsi="Cambria"/>
            <w:b w:val="0"/>
            <w:bCs w:val="0"/>
            <w:i w:val="0"/>
            <w:iCs w:val="0"/>
            <w:noProof/>
            <w:sz w:val="20"/>
            <w:szCs w:val="20"/>
            <w:bdr w:val="nil"/>
            <w:lang w:val="es-ES_tradnl"/>
          </w:rPr>
          <w:t>VII.</w:t>
        </w:r>
        <w:r w:rsidR="00103034" w:rsidRPr="00195551">
          <w:rPr>
            <w:rFonts w:ascii="Cambria" w:eastAsia="DengXian" w:hAnsi="Cambria" w:cs="Arial"/>
            <w:b w:val="0"/>
            <w:bCs w:val="0"/>
            <w:i w:val="0"/>
            <w:iCs w:val="0"/>
            <w:noProof/>
            <w:sz w:val="20"/>
            <w:szCs w:val="20"/>
            <w:lang w:eastAsia="zh-CN"/>
          </w:rPr>
          <w:tab/>
        </w:r>
        <w:r w:rsidR="00103034" w:rsidRPr="00195551">
          <w:rPr>
            <w:rStyle w:val="Hyperlink"/>
            <w:rFonts w:ascii="Cambria" w:eastAsia="SimSun" w:hAnsi="Cambria"/>
            <w:b w:val="0"/>
            <w:bCs w:val="0"/>
            <w:i w:val="0"/>
            <w:iCs w:val="0"/>
            <w:noProof/>
            <w:sz w:val="20"/>
            <w:szCs w:val="20"/>
            <w:bdr w:val="nil"/>
            <w:lang w:val="es-ES_tradnl"/>
          </w:rPr>
          <w:t>ACCIONES POSTERIORES AL INFORME No. 325/21</w:t>
        </w:r>
        <w:r w:rsidR="00103034" w:rsidRPr="00195551">
          <w:rPr>
            <w:rFonts w:ascii="Cambria" w:hAnsi="Cambria"/>
            <w:b w:val="0"/>
            <w:bCs w:val="0"/>
            <w:i w:val="0"/>
            <w:iCs w:val="0"/>
            <w:noProof/>
            <w:webHidden/>
            <w:sz w:val="20"/>
            <w:szCs w:val="20"/>
          </w:rPr>
          <w:tab/>
        </w:r>
        <w:r w:rsidR="00103034" w:rsidRPr="00195551">
          <w:rPr>
            <w:rFonts w:ascii="Cambria" w:hAnsi="Cambria"/>
            <w:b w:val="0"/>
            <w:bCs w:val="0"/>
            <w:i w:val="0"/>
            <w:iCs w:val="0"/>
            <w:noProof/>
            <w:webHidden/>
            <w:sz w:val="20"/>
            <w:szCs w:val="20"/>
          </w:rPr>
          <w:fldChar w:fldCharType="begin"/>
        </w:r>
        <w:r w:rsidR="00103034" w:rsidRPr="00195551">
          <w:rPr>
            <w:rFonts w:ascii="Cambria" w:hAnsi="Cambria"/>
            <w:b w:val="0"/>
            <w:bCs w:val="0"/>
            <w:i w:val="0"/>
            <w:iCs w:val="0"/>
            <w:noProof/>
            <w:webHidden/>
            <w:sz w:val="20"/>
            <w:szCs w:val="20"/>
          </w:rPr>
          <w:instrText xml:space="preserve"> PAGEREF _Toc90117848 \h </w:instrText>
        </w:r>
        <w:r w:rsidR="00103034" w:rsidRPr="00195551">
          <w:rPr>
            <w:rFonts w:ascii="Cambria" w:hAnsi="Cambria"/>
            <w:b w:val="0"/>
            <w:bCs w:val="0"/>
            <w:i w:val="0"/>
            <w:iCs w:val="0"/>
            <w:noProof/>
            <w:webHidden/>
            <w:sz w:val="20"/>
            <w:szCs w:val="20"/>
          </w:rPr>
        </w:r>
        <w:r w:rsidR="00103034" w:rsidRPr="00195551">
          <w:rPr>
            <w:rFonts w:ascii="Cambria" w:hAnsi="Cambria"/>
            <w:b w:val="0"/>
            <w:bCs w:val="0"/>
            <w:i w:val="0"/>
            <w:iCs w:val="0"/>
            <w:noProof/>
            <w:webHidden/>
            <w:sz w:val="20"/>
            <w:szCs w:val="20"/>
          </w:rPr>
          <w:fldChar w:fldCharType="separate"/>
        </w:r>
        <w:r w:rsidR="00E22184">
          <w:rPr>
            <w:rFonts w:ascii="Cambria" w:hAnsi="Cambria"/>
            <w:b w:val="0"/>
            <w:bCs w:val="0"/>
            <w:i w:val="0"/>
            <w:iCs w:val="0"/>
            <w:noProof/>
            <w:webHidden/>
            <w:sz w:val="20"/>
            <w:szCs w:val="20"/>
          </w:rPr>
          <w:t>28</w:t>
        </w:r>
        <w:r w:rsidR="00103034" w:rsidRPr="00195551">
          <w:rPr>
            <w:rFonts w:ascii="Cambria" w:hAnsi="Cambria"/>
            <w:b w:val="0"/>
            <w:bCs w:val="0"/>
            <w:i w:val="0"/>
            <w:iCs w:val="0"/>
            <w:noProof/>
            <w:webHidden/>
            <w:sz w:val="20"/>
            <w:szCs w:val="20"/>
          </w:rPr>
          <w:fldChar w:fldCharType="end"/>
        </w:r>
      </w:hyperlink>
    </w:p>
    <w:p w14:paraId="30502221" w14:textId="7DFA53B7" w:rsidR="00103034" w:rsidRPr="00195551" w:rsidRDefault="00127170">
      <w:pPr>
        <w:pStyle w:val="TOC1"/>
        <w:tabs>
          <w:tab w:val="left" w:pos="880"/>
          <w:tab w:val="right" w:leader="dot" w:pos="9350"/>
        </w:tabs>
        <w:rPr>
          <w:rFonts w:ascii="Cambria" w:eastAsia="DengXian" w:hAnsi="Cambria" w:cs="Arial"/>
          <w:b w:val="0"/>
          <w:bCs w:val="0"/>
          <w:i w:val="0"/>
          <w:iCs w:val="0"/>
          <w:noProof/>
          <w:sz w:val="20"/>
          <w:szCs w:val="20"/>
          <w:lang w:eastAsia="zh-CN"/>
        </w:rPr>
      </w:pPr>
      <w:hyperlink w:anchor="_Toc90117849" w:history="1">
        <w:r w:rsidR="00103034" w:rsidRPr="00195551">
          <w:rPr>
            <w:rStyle w:val="Hyperlink"/>
            <w:rFonts w:ascii="Cambria" w:eastAsia="SimSun" w:hAnsi="Cambria"/>
            <w:b w:val="0"/>
            <w:bCs w:val="0"/>
            <w:i w:val="0"/>
            <w:iCs w:val="0"/>
            <w:noProof/>
            <w:sz w:val="20"/>
            <w:szCs w:val="20"/>
            <w:bdr w:val="nil"/>
            <w:lang w:val="es-ES_tradnl"/>
          </w:rPr>
          <w:t>VIII.</w:t>
        </w:r>
        <w:r w:rsidR="00103034" w:rsidRPr="00195551">
          <w:rPr>
            <w:rFonts w:ascii="Cambria" w:eastAsia="DengXian" w:hAnsi="Cambria" w:cs="Arial"/>
            <w:b w:val="0"/>
            <w:bCs w:val="0"/>
            <w:i w:val="0"/>
            <w:iCs w:val="0"/>
            <w:noProof/>
            <w:sz w:val="20"/>
            <w:szCs w:val="20"/>
            <w:lang w:eastAsia="zh-CN"/>
          </w:rPr>
          <w:tab/>
        </w:r>
        <w:r w:rsidR="00103034" w:rsidRPr="00195551">
          <w:rPr>
            <w:rStyle w:val="Hyperlink"/>
            <w:rFonts w:ascii="Cambria" w:eastAsia="SimSun" w:hAnsi="Cambria"/>
            <w:b w:val="0"/>
            <w:bCs w:val="0"/>
            <w:i w:val="0"/>
            <w:iCs w:val="0"/>
            <w:noProof/>
            <w:sz w:val="20"/>
            <w:szCs w:val="20"/>
            <w:bdr w:val="nil"/>
            <w:lang w:val="es-ES_tradnl"/>
          </w:rPr>
          <w:t>CONCLUSIONES Y RECOMENDACIONES FINALES</w:t>
        </w:r>
        <w:r w:rsidR="00103034" w:rsidRPr="00195551">
          <w:rPr>
            <w:rFonts w:ascii="Cambria" w:hAnsi="Cambria"/>
            <w:b w:val="0"/>
            <w:bCs w:val="0"/>
            <w:i w:val="0"/>
            <w:iCs w:val="0"/>
            <w:noProof/>
            <w:webHidden/>
            <w:sz w:val="20"/>
            <w:szCs w:val="20"/>
          </w:rPr>
          <w:tab/>
        </w:r>
        <w:r w:rsidR="00103034" w:rsidRPr="00195551">
          <w:rPr>
            <w:rFonts w:ascii="Cambria" w:hAnsi="Cambria"/>
            <w:b w:val="0"/>
            <w:bCs w:val="0"/>
            <w:i w:val="0"/>
            <w:iCs w:val="0"/>
            <w:noProof/>
            <w:webHidden/>
            <w:sz w:val="20"/>
            <w:szCs w:val="20"/>
          </w:rPr>
          <w:fldChar w:fldCharType="begin"/>
        </w:r>
        <w:r w:rsidR="00103034" w:rsidRPr="00195551">
          <w:rPr>
            <w:rFonts w:ascii="Cambria" w:hAnsi="Cambria"/>
            <w:b w:val="0"/>
            <w:bCs w:val="0"/>
            <w:i w:val="0"/>
            <w:iCs w:val="0"/>
            <w:noProof/>
            <w:webHidden/>
            <w:sz w:val="20"/>
            <w:szCs w:val="20"/>
          </w:rPr>
          <w:instrText xml:space="preserve"> PAGEREF _Toc90117849 \h </w:instrText>
        </w:r>
        <w:r w:rsidR="00103034" w:rsidRPr="00195551">
          <w:rPr>
            <w:rFonts w:ascii="Cambria" w:hAnsi="Cambria"/>
            <w:b w:val="0"/>
            <w:bCs w:val="0"/>
            <w:i w:val="0"/>
            <w:iCs w:val="0"/>
            <w:noProof/>
            <w:webHidden/>
            <w:sz w:val="20"/>
            <w:szCs w:val="20"/>
          </w:rPr>
        </w:r>
        <w:r w:rsidR="00103034" w:rsidRPr="00195551">
          <w:rPr>
            <w:rFonts w:ascii="Cambria" w:hAnsi="Cambria"/>
            <w:b w:val="0"/>
            <w:bCs w:val="0"/>
            <w:i w:val="0"/>
            <w:iCs w:val="0"/>
            <w:noProof/>
            <w:webHidden/>
            <w:sz w:val="20"/>
            <w:szCs w:val="20"/>
          </w:rPr>
          <w:fldChar w:fldCharType="separate"/>
        </w:r>
        <w:r w:rsidR="00E22184">
          <w:rPr>
            <w:rFonts w:ascii="Cambria" w:hAnsi="Cambria"/>
            <w:b w:val="0"/>
            <w:bCs w:val="0"/>
            <w:i w:val="0"/>
            <w:iCs w:val="0"/>
            <w:noProof/>
            <w:webHidden/>
            <w:sz w:val="20"/>
            <w:szCs w:val="20"/>
          </w:rPr>
          <w:t>29</w:t>
        </w:r>
        <w:r w:rsidR="00103034" w:rsidRPr="00195551">
          <w:rPr>
            <w:rFonts w:ascii="Cambria" w:hAnsi="Cambria"/>
            <w:b w:val="0"/>
            <w:bCs w:val="0"/>
            <w:i w:val="0"/>
            <w:iCs w:val="0"/>
            <w:noProof/>
            <w:webHidden/>
            <w:sz w:val="20"/>
            <w:szCs w:val="20"/>
          </w:rPr>
          <w:fldChar w:fldCharType="end"/>
        </w:r>
      </w:hyperlink>
    </w:p>
    <w:p w14:paraId="0D3A0D2E" w14:textId="64CE57B3" w:rsidR="00103034" w:rsidRPr="00993B63" w:rsidRDefault="00127170">
      <w:pPr>
        <w:pStyle w:val="TOC1"/>
        <w:tabs>
          <w:tab w:val="left" w:pos="660"/>
          <w:tab w:val="right" w:leader="dot" w:pos="9350"/>
        </w:tabs>
        <w:rPr>
          <w:rFonts w:ascii="Cambria" w:eastAsia="DengXian" w:hAnsi="Cambria" w:cs="Arial"/>
          <w:b w:val="0"/>
          <w:bCs w:val="0"/>
          <w:i w:val="0"/>
          <w:iCs w:val="0"/>
          <w:noProof/>
          <w:sz w:val="20"/>
          <w:szCs w:val="20"/>
          <w:lang w:eastAsia="zh-CN"/>
        </w:rPr>
      </w:pPr>
      <w:hyperlink w:anchor="_Toc90117850" w:history="1">
        <w:r w:rsidR="00103034" w:rsidRPr="00195551">
          <w:rPr>
            <w:rStyle w:val="Hyperlink"/>
            <w:rFonts w:ascii="Cambria" w:eastAsia="SimSun" w:hAnsi="Cambria"/>
            <w:b w:val="0"/>
            <w:bCs w:val="0"/>
            <w:i w:val="0"/>
            <w:iCs w:val="0"/>
            <w:noProof/>
            <w:sz w:val="20"/>
            <w:szCs w:val="20"/>
            <w:bdr w:val="nil"/>
            <w:lang w:val="es-ES_tradnl"/>
          </w:rPr>
          <w:t>IX.</w:t>
        </w:r>
        <w:r w:rsidR="00103034" w:rsidRPr="00195551">
          <w:rPr>
            <w:rFonts w:ascii="Cambria" w:eastAsia="DengXian" w:hAnsi="Cambria" w:cs="Arial"/>
            <w:b w:val="0"/>
            <w:bCs w:val="0"/>
            <w:i w:val="0"/>
            <w:iCs w:val="0"/>
            <w:noProof/>
            <w:sz w:val="20"/>
            <w:szCs w:val="20"/>
            <w:lang w:eastAsia="zh-CN"/>
          </w:rPr>
          <w:tab/>
        </w:r>
        <w:r w:rsidR="00103034" w:rsidRPr="00195551">
          <w:rPr>
            <w:rStyle w:val="Hyperlink"/>
            <w:rFonts w:ascii="Cambria" w:eastAsia="SimSun" w:hAnsi="Cambria"/>
            <w:b w:val="0"/>
            <w:bCs w:val="0"/>
            <w:i w:val="0"/>
            <w:iCs w:val="0"/>
            <w:noProof/>
            <w:sz w:val="20"/>
            <w:szCs w:val="20"/>
            <w:bdr w:val="nil"/>
            <w:lang w:val="es-ES_tradnl"/>
          </w:rPr>
          <w:t>PUBLICACIÓN</w:t>
        </w:r>
        <w:r w:rsidR="00103034" w:rsidRPr="00195551">
          <w:rPr>
            <w:rFonts w:ascii="Cambria" w:hAnsi="Cambria"/>
            <w:b w:val="0"/>
            <w:bCs w:val="0"/>
            <w:i w:val="0"/>
            <w:iCs w:val="0"/>
            <w:noProof/>
            <w:webHidden/>
            <w:sz w:val="20"/>
            <w:szCs w:val="20"/>
          </w:rPr>
          <w:tab/>
        </w:r>
        <w:r w:rsidR="00103034" w:rsidRPr="00195551">
          <w:rPr>
            <w:rFonts w:ascii="Cambria" w:hAnsi="Cambria"/>
            <w:b w:val="0"/>
            <w:bCs w:val="0"/>
            <w:i w:val="0"/>
            <w:iCs w:val="0"/>
            <w:noProof/>
            <w:webHidden/>
            <w:sz w:val="20"/>
            <w:szCs w:val="20"/>
          </w:rPr>
          <w:fldChar w:fldCharType="begin"/>
        </w:r>
        <w:r w:rsidR="00103034" w:rsidRPr="00195551">
          <w:rPr>
            <w:rFonts w:ascii="Cambria" w:hAnsi="Cambria"/>
            <w:b w:val="0"/>
            <w:bCs w:val="0"/>
            <w:i w:val="0"/>
            <w:iCs w:val="0"/>
            <w:noProof/>
            <w:webHidden/>
            <w:sz w:val="20"/>
            <w:szCs w:val="20"/>
          </w:rPr>
          <w:instrText xml:space="preserve"> PAGEREF _Toc90117850 \h </w:instrText>
        </w:r>
        <w:r w:rsidR="00103034" w:rsidRPr="00195551">
          <w:rPr>
            <w:rFonts w:ascii="Cambria" w:hAnsi="Cambria"/>
            <w:b w:val="0"/>
            <w:bCs w:val="0"/>
            <w:i w:val="0"/>
            <w:iCs w:val="0"/>
            <w:noProof/>
            <w:webHidden/>
            <w:sz w:val="20"/>
            <w:szCs w:val="20"/>
          </w:rPr>
        </w:r>
        <w:r w:rsidR="00103034" w:rsidRPr="00195551">
          <w:rPr>
            <w:rFonts w:ascii="Cambria" w:hAnsi="Cambria"/>
            <w:b w:val="0"/>
            <w:bCs w:val="0"/>
            <w:i w:val="0"/>
            <w:iCs w:val="0"/>
            <w:noProof/>
            <w:webHidden/>
            <w:sz w:val="20"/>
            <w:szCs w:val="20"/>
          </w:rPr>
          <w:fldChar w:fldCharType="separate"/>
        </w:r>
        <w:r w:rsidR="00E22184">
          <w:rPr>
            <w:rFonts w:ascii="Cambria" w:hAnsi="Cambria"/>
            <w:b w:val="0"/>
            <w:bCs w:val="0"/>
            <w:i w:val="0"/>
            <w:iCs w:val="0"/>
            <w:noProof/>
            <w:webHidden/>
            <w:sz w:val="20"/>
            <w:szCs w:val="20"/>
          </w:rPr>
          <w:t>29</w:t>
        </w:r>
        <w:r w:rsidR="00103034" w:rsidRPr="00195551">
          <w:rPr>
            <w:rFonts w:ascii="Cambria" w:hAnsi="Cambria"/>
            <w:b w:val="0"/>
            <w:bCs w:val="0"/>
            <w:i w:val="0"/>
            <w:iCs w:val="0"/>
            <w:noProof/>
            <w:webHidden/>
            <w:sz w:val="20"/>
            <w:szCs w:val="20"/>
          </w:rPr>
          <w:fldChar w:fldCharType="end"/>
        </w:r>
      </w:hyperlink>
    </w:p>
    <w:p w14:paraId="0718523D" w14:textId="77777777" w:rsidR="009706CC" w:rsidRDefault="00AF5EB8" w:rsidP="009706CC">
      <w:pPr>
        <w:rPr>
          <w:rFonts w:ascii="Cambria" w:hAnsi="Cambria"/>
          <w:sz w:val="20"/>
          <w:szCs w:val="20"/>
          <w:lang w:val="es-ES_tradnl"/>
        </w:rPr>
      </w:pPr>
      <w:r w:rsidRPr="00103034">
        <w:rPr>
          <w:rFonts w:ascii="Cambria" w:hAnsi="Cambria"/>
          <w:sz w:val="20"/>
          <w:szCs w:val="20"/>
          <w:lang w:val="es-ES_tradnl"/>
        </w:rPr>
        <w:fldChar w:fldCharType="end"/>
      </w:r>
    </w:p>
    <w:p w14:paraId="4B17AE4C" w14:textId="77777777" w:rsidR="0058501F" w:rsidRPr="009706CC" w:rsidRDefault="009706CC" w:rsidP="009706CC">
      <w:pPr>
        <w:rPr>
          <w:rFonts w:ascii="Cambria" w:hAnsi="Cambria"/>
          <w:sz w:val="20"/>
          <w:szCs w:val="20"/>
          <w:lang w:val="es-ES_tradnl"/>
        </w:rPr>
      </w:pPr>
      <w:r>
        <w:rPr>
          <w:rFonts w:ascii="Cambria" w:hAnsi="Cambria"/>
          <w:sz w:val="20"/>
          <w:szCs w:val="20"/>
          <w:lang w:val="es-ES_tradnl"/>
        </w:rPr>
        <w:br w:type="page"/>
      </w:r>
    </w:p>
    <w:p w14:paraId="66868607" w14:textId="77777777" w:rsidR="00B45567" w:rsidRPr="0058501F" w:rsidRDefault="00B45567" w:rsidP="00470EC4">
      <w:pPr>
        <w:pStyle w:val="Heading1"/>
        <w:numPr>
          <w:ilvl w:val="0"/>
          <w:numId w:val="10"/>
        </w:numPr>
        <w:tabs>
          <w:tab w:val="left" w:pos="450"/>
        </w:tabs>
        <w:ind w:left="0" w:firstLine="0"/>
        <w:rPr>
          <w:rFonts w:ascii="Cambria" w:eastAsia="Arial Unicode MS" w:hAnsi="Cambria"/>
          <w:sz w:val="20"/>
          <w:szCs w:val="20"/>
          <w:bdr w:val="nil"/>
          <w:lang w:val="es-ES_tradnl"/>
        </w:rPr>
      </w:pPr>
      <w:bookmarkStart w:id="0" w:name="_Toc90117824"/>
      <w:r w:rsidRPr="0058501F">
        <w:rPr>
          <w:rFonts w:ascii="Cambria" w:eastAsia="Arial Unicode MS" w:hAnsi="Cambria"/>
          <w:sz w:val="20"/>
          <w:szCs w:val="20"/>
          <w:bdr w:val="nil"/>
          <w:lang w:val="es-ES_tradnl"/>
        </w:rPr>
        <w:lastRenderedPageBreak/>
        <w:t>INTRODUCCIÓN</w:t>
      </w:r>
      <w:bookmarkEnd w:id="0"/>
    </w:p>
    <w:p w14:paraId="51D0B460" w14:textId="77777777" w:rsidR="00B45567" w:rsidRPr="0058501F" w:rsidRDefault="00B45567" w:rsidP="00470EC4">
      <w:pPr>
        <w:numPr>
          <w:ilvl w:val="0"/>
          <w:numId w:val="1"/>
        </w:numPr>
        <w:pBdr>
          <w:top w:val="nil"/>
          <w:left w:val="nil"/>
          <w:bottom w:val="nil"/>
          <w:right w:val="nil"/>
          <w:between w:val="nil"/>
          <w:bar w:val="nil"/>
        </w:pBdr>
        <w:tabs>
          <w:tab w:val="left" w:pos="450"/>
        </w:tabs>
        <w:spacing w:after="240" w:line="240" w:lineRule="auto"/>
        <w:ind w:firstLine="0"/>
        <w:jc w:val="both"/>
        <w:rPr>
          <w:rFonts w:ascii="Cambria" w:eastAsia="Arial Unicode MS" w:hAnsi="Cambria"/>
          <w:sz w:val="20"/>
          <w:szCs w:val="20"/>
          <w:bdr w:val="nil"/>
          <w:lang w:val="es-ES_tradnl"/>
        </w:rPr>
      </w:pPr>
      <w:r w:rsidRPr="0058501F">
        <w:rPr>
          <w:rFonts w:ascii="Cambria" w:eastAsia="Arial Unicode MS" w:hAnsi="Cambria"/>
          <w:sz w:val="20"/>
          <w:szCs w:val="20"/>
          <w:bdr w:val="nil"/>
          <w:lang w:val="es-ES_tradnl"/>
        </w:rPr>
        <w:t xml:space="preserve">El 2 de febrero de 2018, la Comisión Interamericana de Derechos Humanos (la “Comisión Interamericana”, “Comisión” o “CIDH”) recibió una petición presentada por </w:t>
      </w:r>
      <w:proofErr w:type="spellStart"/>
      <w:r w:rsidRPr="0058501F">
        <w:rPr>
          <w:rFonts w:ascii="Cambria" w:eastAsia="Arial Unicode MS" w:hAnsi="Cambria"/>
          <w:sz w:val="20"/>
          <w:szCs w:val="20"/>
          <w:bdr w:val="nil"/>
          <w:lang w:val="es-ES_tradnl"/>
        </w:rPr>
        <w:t>Kuykendall</w:t>
      </w:r>
      <w:proofErr w:type="spellEnd"/>
      <w:r w:rsidRPr="0058501F">
        <w:rPr>
          <w:rFonts w:ascii="Cambria" w:eastAsia="Arial Unicode MS" w:hAnsi="Cambria"/>
          <w:sz w:val="20"/>
          <w:szCs w:val="20"/>
          <w:bdr w:val="nil"/>
          <w:lang w:val="es-ES_tradnl"/>
        </w:rPr>
        <w:t xml:space="preserve"> y Asociados en representación de Ramiro Ibarra Rubí (“Sr. Ibarra” o</w:t>
      </w:r>
      <w:r w:rsidR="00C07A74" w:rsidRPr="0058501F">
        <w:rPr>
          <w:rFonts w:ascii="Cambria" w:eastAsia="Arial Unicode MS" w:hAnsi="Cambria"/>
          <w:sz w:val="20"/>
          <w:szCs w:val="20"/>
          <w:bdr w:val="nil"/>
          <w:lang w:val="es-ES_tradnl"/>
        </w:rPr>
        <w:t xml:space="preserve"> </w:t>
      </w:r>
      <w:r w:rsidRPr="0058501F">
        <w:rPr>
          <w:rFonts w:ascii="Cambria" w:eastAsia="Arial Unicode MS" w:hAnsi="Cambria"/>
          <w:sz w:val="20"/>
          <w:szCs w:val="20"/>
          <w:bdr w:val="nil"/>
          <w:lang w:val="es-ES_tradnl"/>
        </w:rPr>
        <w:t xml:space="preserve">“la presunta víctima”) alegando la responsabilidad internacional de los Estados Unidos de América (el “Estado ”o “Estados Unidos ”) por la violación de los derechos del Sr. Ibarra, ciudadano mexicano que se encuentra condenado a muerte en el estado de Texas y su </w:t>
      </w:r>
      <w:proofErr w:type="spellStart"/>
      <w:r w:rsidRPr="0058501F">
        <w:rPr>
          <w:rFonts w:ascii="Cambria" w:eastAsia="Arial Unicode MS" w:hAnsi="Cambria"/>
          <w:sz w:val="20"/>
          <w:szCs w:val="20"/>
          <w:bdr w:val="nil"/>
          <w:lang w:val="es-ES_tradnl"/>
        </w:rPr>
        <w:t>Revis</w:t>
      </w:r>
      <w:proofErr w:type="spellEnd"/>
      <w:r w:rsidR="00E83844" w:rsidRPr="0058501F">
        <w:rPr>
          <w:rFonts w:ascii="Cambria" w:eastAsia="Arial Unicode MS" w:hAnsi="Cambria"/>
          <w:sz w:val="20"/>
          <w:szCs w:val="20"/>
          <w:bdr w:val="nil"/>
          <w:lang w:val="es-ES_tradnl"/>
        </w:rPr>
        <w:t>.</w:t>
      </w:r>
      <w:r w:rsidR="00E83844" w:rsidRPr="0058501F">
        <w:rPr>
          <w:rStyle w:val="FootnoteReference"/>
          <w:rFonts w:ascii="Cambria" w:eastAsia="Arial Unicode MS" w:hAnsi="Cambria"/>
          <w:sz w:val="20"/>
          <w:szCs w:val="20"/>
          <w:bdr w:val="nil"/>
          <w:lang w:val="es-ES_tradnl"/>
        </w:rPr>
        <w:footnoteReference w:id="1"/>
      </w:r>
    </w:p>
    <w:p w14:paraId="4EA4AE0D" w14:textId="77777777" w:rsidR="00B45567" w:rsidRPr="0058501F" w:rsidRDefault="00B45567" w:rsidP="00470EC4">
      <w:pPr>
        <w:numPr>
          <w:ilvl w:val="0"/>
          <w:numId w:val="1"/>
        </w:numPr>
        <w:pBdr>
          <w:top w:val="nil"/>
          <w:left w:val="nil"/>
          <w:bottom w:val="nil"/>
          <w:right w:val="nil"/>
          <w:between w:val="nil"/>
          <w:bar w:val="nil"/>
        </w:pBdr>
        <w:tabs>
          <w:tab w:val="left" w:pos="450"/>
        </w:tabs>
        <w:spacing w:after="240" w:line="240" w:lineRule="auto"/>
        <w:ind w:firstLine="0"/>
        <w:jc w:val="both"/>
        <w:rPr>
          <w:rFonts w:ascii="Cambria" w:eastAsia="Arial Unicode MS" w:hAnsi="Cambria"/>
          <w:sz w:val="20"/>
          <w:szCs w:val="20"/>
          <w:bdr w:val="nil"/>
          <w:lang w:val="es-ES_tradnl"/>
        </w:rPr>
      </w:pPr>
      <w:r w:rsidRPr="0058501F">
        <w:rPr>
          <w:rFonts w:ascii="Cambria" w:eastAsia="Arial Unicode MS" w:hAnsi="Cambria"/>
          <w:sz w:val="20"/>
          <w:szCs w:val="20"/>
          <w:bdr w:val="nil"/>
          <w:lang w:val="es-ES_tradnl"/>
        </w:rPr>
        <w:t xml:space="preserve">El 16 de octubre de 2019 la Comisión notificó a las partes la aplicación del artículo 36 (3) de su Reglamento, ya que la petición se enmarca </w:t>
      </w:r>
      <w:r w:rsidR="00C07A74" w:rsidRPr="0058501F">
        <w:rPr>
          <w:rFonts w:ascii="Cambria" w:eastAsia="Arial Unicode MS" w:hAnsi="Cambria"/>
          <w:sz w:val="20"/>
          <w:szCs w:val="20"/>
          <w:bdr w:val="nil"/>
          <w:lang w:val="es-ES_tradnl"/>
        </w:rPr>
        <w:t>en</w:t>
      </w:r>
      <w:r w:rsidRPr="0058501F">
        <w:rPr>
          <w:rFonts w:ascii="Cambria" w:eastAsia="Arial Unicode MS" w:hAnsi="Cambria"/>
          <w:sz w:val="20"/>
          <w:szCs w:val="20"/>
          <w:bdr w:val="nil"/>
          <w:lang w:val="es-ES_tradnl"/>
        </w:rPr>
        <w:t xml:space="preserve"> los criterios establecidos en su Resolución 1/16 y se puso a disposición de las partes para llegar a una solución amistosa. Las partes d</w:t>
      </w:r>
      <w:r w:rsidR="00E83844" w:rsidRPr="0058501F">
        <w:rPr>
          <w:rFonts w:ascii="Cambria" w:eastAsia="Arial Unicode MS" w:hAnsi="Cambria"/>
          <w:sz w:val="20"/>
          <w:szCs w:val="20"/>
          <w:bdr w:val="nil"/>
          <w:lang w:val="es-ES_tradnl"/>
        </w:rPr>
        <w:t>ispusieron</w:t>
      </w:r>
      <w:r w:rsidRPr="0058501F">
        <w:rPr>
          <w:rFonts w:ascii="Cambria" w:eastAsia="Arial Unicode MS" w:hAnsi="Cambria"/>
          <w:sz w:val="20"/>
          <w:szCs w:val="20"/>
          <w:bdr w:val="nil"/>
          <w:lang w:val="es-ES_tradnl"/>
        </w:rPr>
        <w:t xml:space="preserve"> de los plazos previstos en el Reglamento de la CIDH para presentar observaciones adicionales sobre el fondo. Toda la información recibida por la Comisión fue debidamente transmitida a las partes.</w:t>
      </w:r>
    </w:p>
    <w:p w14:paraId="1EB60722" w14:textId="77777777" w:rsidR="00E83844" w:rsidRPr="0058501F" w:rsidRDefault="00E83844" w:rsidP="00470EC4">
      <w:pPr>
        <w:pStyle w:val="Heading1"/>
        <w:numPr>
          <w:ilvl w:val="0"/>
          <w:numId w:val="10"/>
        </w:numPr>
        <w:tabs>
          <w:tab w:val="left" w:pos="450"/>
        </w:tabs>
        <w:ind w:left="0" w:firstLine="0"/>
        <w:rPr>
          <w:rFonts w:ascii="Cambria" w:eastAsia="Arial Unicode MS" w:hAnsi="Cambria"/>
          <w:sz w:val="20"/>
          <w:szCs w:val="20"/>
          <w:bdr w:val="nil"/>
          <w:lang w:val="es-ES_tradnl"/>
        </w:rPr>
      </w:pPr>
      <w:bookmarkStart w:id="1" w:name="_Toc90117825"/>
      <w:r w:rsidRPr="0058501F">
        <w:rPr>
          <w:rFonts w:ascii="Cambria" w:eastAsia="Arial Unicode MS" w:hAnsi="Cambria"/>
          <w:sz w:val="20"/>
          <w:szCs w:val="20"/>
          <w:bdr w:val="nil"/>
          <w:lang w:val="es-ES_tradnl"/>
        </w:rPr>
        <w:t>POSICIÓN DE LAS PARTES</w:t>
      </w:r>
      <w:bookmarkEnd w:id="1"/>
    </w:p>
    <w:p w14:paraId="483C7818" w14:textId="77777777" w:rsidR="00E83844" w:rsidRPr="0058501F" w:rsidRDefault="00E83844" w:rsidP="00470EC4">
      <w:pPr>
        <w:pStyle w:val="Heading2"/>
        <w:numPr>
          <w:ilvl w:val="0"/>
          <w:numId w:val="11"/>
        </w:numPr>
        <w:tabs>
          <w:tab w:val="left" w:pos="450"/>
        </w:tabs>
        <w:ind w:left="0" w:firstLine="0"/>
        <w:rPr>
          <w:rFonts w:ascii="Cambria" w:eastAsia="Arial Unicode MS" w:hAnsi="Cambria"/>
          <w:sz w:val="20"/>
          <w:szCs w:val="20"/>
          <w:bdr w:val="nil"/>
          <w:lang w:val="es-ES_tradnl"/>
        </w:rPr>
      </w:pPr>
      <w:bookmarkStart w:id="2" w:name="_Toc90117826"/>
      <w:r w:rsidRPr="0058501F">
        <w:rPr>
          <w:rFonts w:ascii="Cambria" w:eastAsia="Arial Unicode MS" w:hAnsi="Cambria"/>
          <w:sz w:val="20"/>
          <w:szCs w:val="20"/>
          <w:bdr w:val="nil"/>
          <w:lang w:val="es-ES_tradnl"/>
        </w:rPr>
        <w:t>Peticionarios</w:t>
      </w:r>
      <w:bookmarkEnd w:id="2"/>
    </w:p>
    <w:p w14:paraId="52D81B44" w14:textId="77777777" w:rsidR="00E83844" w:rsidRPr="0058501F" w:rsidRDefault="00E83844" w:rsidP="00470EC4">
      <w:pPr>
        <w:numPr>
          <w:ilvl w:val="0"/>
          <w:numId w:val="1"/>
        </w:numPr>
        <w:pBdr>
          <w:top w:val="nil"/>
          <w:left w:val="nil"/>
          <w:bottom w:val="nil"/>
          <w:right w:val="nil"/>
          <w:between w:val="nil"/>
          <w:bar w:val="nil"/>
        </w:pBdr>
        <w:tabs>
          <w:tab w:val="left" w:pos="450"/>
        </w:tabs>
        <w:spacing w:after="240" w:line="240" w:lineRule="auto"/>
        <w:ind w:firstLine="0"/>
        <w:jc w:val="both"/>
        <w:rPr>
          <w:rFonts w:ascii="Cambria" w:eastAsia="Arial Unicode MS" w:hAnsi="Cambria"/>
          <w:sz w:val="20"/>
          <w:szCs w:val="20"/>
          <w:bdr w:val="nil"/>
          <w:lang w:val="es-ES_tradnl"/>
        </w:rPr>
      </w:pPr>
      <w:r w:rsidRPr="0058501F">
        <w:rPr>
          <w:rFonts w:ascii="Cambria" w:eastAsia="Arial Unicode MS" w:hAnsi="Cambria"/>
          <w:sz w:val="20"/>
          <w:szCs w:val="20"/>
          <w:bdr w:val="nil"/>
          <w:lang w:val="es-ES_tradnl"/>
        </w:rPr>
        <w:t>Los peticionarios alegan que el Estado ha violado los derechos del Sr. Ibarra consagrados en los artículos I, II, XVIII, XXV y XXVI de la Declaración Americana.</w:t>
      </w:r>
    </w:p>
    <w:p w14:paraId="479AE4C8" w14:textId="77777777" w:rsidR="00E83844" w:rsidRPr="0058501F" w:rsidRDefault="00E83844" w:rsidP="00470EC4">
      <w:pPr>
        <w:numPr>
          <w:ilvl w:val="0"/>
          <w:numId w:val="1"/>
        </w:numPr>
        <w:pBdr>
          <w:top w:val="nil"/>
          <w:left w:val="nil"/>
          <w:bottom w:val="nil"/>
          <w:right w:val="nil"/>
          <w:between w:val="nil"/>
          <w:bar w:val="nil"/>
        </w:pBdr>
        <w:tabs>
          <w:tab w:val="left" w:pos="450"/>
        </w:tabs>
        <w:suppressAutoHyphens/>
        <w:spacing w:after="240" w:line="240" w:lineRule="auto"/>
        <w:ind w:firstLine="0"/>
        <w:jc w:val="both"/>
        <w:rPr>
          <w:rFonts w:ascii="Cambria" w:eastAsia="Arial Unicode MS" w:hAnsi="Cambria"/>
          <w:sz w:val="20"/>
          <w:szCs w:val="20"/>
          <w:bdr w:val="nil"/>
          <w:lang w:val="es-ES_tradnl"/>
        </w:rPr>
      </w:pPr>
      <w:r w:rsidRPr="0058501F">
        <w:rPr>
          <w:rFonts w:ascii="Cambria" w:eastAsia="Arial Unicode MS" w:hAnsi="Cambria"/>
          <w:sz w:val="20"/>
          <w:szCs w:val="20"/>
          <w:bdr w:val="nil"/>
          <w:lang w:val="es-ES_tradnl"/>
        </w:rPr>
        <w:t>Los peticionarios alegan en particular que el Sr. Ibarra fue privado de una revisión justa, imparcial y científicamente válida por los tribunales nacionales sobre su reclamo de discapacidad intelectual, así como sobre su reclamo de tener discapacidad psicosocial crónica y severa. S</w:t>
      </w:r>
      <w:r w:rsidR="007528E3" w:rsidRPr="0058501F">
        <w:rPr>
          <w:rFonts w:ascii="Cambria" w:eastAsia="Arial Unicode MS" w:hAnsi="Cambria"/>
          <w:sz w:val="20"/>
          <w:szCs w:val="20"/>
          <w:bdr w:val="nil"/>
          <w:lang w:val="es-ES_tradnl"/>
        </w:rPr>
        <w:t>ostienen</w:t>
      </w:r>
      <w:r w:rsidRPr="0058501F">
        <w:rPr>
          <w:rFonts w:ascii="Cambria" w:eastAsia="Arial Unicode MS" w:hAnsi="Cambria"/>
          <w:sz w:val="20"/>
          <w:szCs w:val="20"/>
          <w:bdr w:val="nil"/>
          <w:lang w:val="es-ES_tradnl"/>
        </w:rPr>
        <w:t xml:space="preserve"> que el tribunal estatal denegó al Sr. Ibarra el tiempo y los fondos adecuados para prepararse para su audiencia </w:t>
      </w:r>
      <w:r w:rsidR="007528E3" w:rsidRPr="0058501F">
        <w:rPr>
          <w:rFonts w:ascii="Cambria" w:eastAsia="Arial Unicode MS" w:hAnsi="Cambria"/>
          <w:sz w:val="20"/>
          <w:szCs w:val="20"/>
          <w:bdr w:val="nil"/>
          <w:lang w:val="es-ES_tradnl"/>
        </w:rPr>
        <w:t>relativa a su</w:t>
      </w:r>
      <w:r w:rsidRPr="0058501F">
        <w:rPr>
          <w:rFonts w:ascii="Cambria" w:eastAsia="Arial Unicode MS" w:hAnsi="Cambria"/>
          <w:sz w:val="20"/>
          <w:szCs w:val="20"/>
          <w:bdr w:val="nil"/>
          <w:lang w:val="es-ES_tradnl"/>
        </w:rPr>
        <w:t xml:space="preserve"> discapacidad intelectual. Los peticionarios explican que con respecto al recurso de hábeas corpus del </w:t>
      </w:r>
      <w:r w:rsidR="007528E3" w:rsidRPr="0058501F">
        <w:rPr>
          <w:rFonts w:ascii="Cambria" w:eastAsia="Arial Unicode MS" w:hAnsi="Cambria"/>
          <w:sz w:val="20"/>
          <w:szCs w:val="20"/>
          <w:bdr w:val="nil"/>
          <w:lang w:val="es-ES_tradnl"/>
        </w:rPr>
        <w:t>Sr.</w:t>
      </w:r>
      <w:r w:rsidRPr="0058501F">
        <w:rPr>
          <w:rFonts w:ascii="Cambria" w:eastAsia="Arial Unicode MS" w:hAnsi="Cambria"/>
          <w:sz w:val="20"/>
          <w:szCs w:val="20"/>
          <w:bdr w:val="nil"/>
          <w:lang w:val="es-ES_tradnl"/>
        </w:rPr>
        <w:t xml:space="preserve"> Ibarra el 19 de junio de 2003, ni el </w:t>
      </w:r>
      <w:r w:rsidR="00DD040D" w:rsidRPr="0058501F">
        <w:rPr>
          <w:rFonts w:ascii="Cambria" w:eastAsia="Arial Unicode MS" w:hAnsi="Cambria"/>
          <w:sz w:val="20"/>
          <w:szCs w:val="20"/>
          <w:bdr w:val="nil"/>
          <w:lang w:val="es-ES_tradnl"/>
        </w:rPr>
        <w:t>Tribunal Penal de Apelaciones de Texas</w:t>
      </w:r>
      <w:r w:rsidRPr="0058501F">
        <w:rPr>
          <w:rFonts w:ascii="Cambria" w:eastAsia="Arial Unicode MS" w:hAnsi="Cambria"/>
          <w:sz w:val="20"/>
          <w:szCs w:val="20"/>
          <w:bdr w:val="nil"/>
          <w:lang w:val="es-ES_tradnl"/>
        </w:rPr>
        <w:t xml:space="preserve"> de Texas, ni el tribunal de primera instancia al que se remitió la revisión del reclamo, designaron un abogado para representar al </w:t>
      </w:r>
      <w:r w:rsidR="007528E3" w:rsidRPr="0058501F">
        <w:rPr>
          <w:rFonts w:ascii="Cambria" w:eastAsia="Arial Unicode MS" w:hAnsi="Cambria"/>
          <w:sz w:val="20"/>
          <w:szCs w:val="20"/>
          <w:bdr w:val="nil"/>
          <w:lang w:val="es-ES_tradnl"/>
        </w:rPr>
        <w:t>Sr.</w:t>
      </w:r>
      <w:r w:rsidRPr="0058501F">
        <w:rPr>
          <w:rFonts w:ascii="Cambria" w:eastAsia="Arial Unicode MS" w:hAnsi="Cambria"/>
          <w:sz w:val="20"/>
          <w:szCs w:val="20"/>
          <w:bdr w:val="nil"/>
          <w:lang w:val="es-ES_tradnl"/>
        </w:rPr>
        <w:t xml:space="preserve"> Ibarra. Esta subsecuente solicitud de hábeas </w:t>
      </w:r>
      <w:r w:rsidR="007528E3" w:rsidRPr="0058501F">
        <w:rPr>
          <w:rFonts w:ascii="Cambria" w:eastAsia="Arial Unicode MS" w:hAnsi="Cambria"/>
          <w:sz w:val="20"/>
          <w:szCs w:val="20"/>
          <w:bdr w:val="nil"/>
          <w:lang w:val="es-ES_tradnl"/>
        </w:rPr>
        <w:t>a nivel estatal</w:t>
      </w:r>
      <w:r w:rsidRPr="0058501F">
        <w:rPr>
          <w:rFonts w:ascii="Cambria" w:eastAsia="Arial Unicode MS" w:hAnsi="Cambria"/>
          <w:sz w:val="20"/>
          <w:szCs w:val="20"/>
          <w:bdr w:val="nil"/>
          <w:lang w:val="es-ES_tradnl"/>
        </w:rPr>
        <w:t xml:space="preserve"> fue presentada por su abogado de hábeas</w:t>
      </w:r>
      <w:r w:rsidR="007528E3" w:rsidRPr="0058501F">
        <w:rPr>
          <w:rFonts w:ascii="Cambria" w:eastAsia="Arial Unicode MS" w:hAnsi="Cambria"/>
          <w:sz w:val="20"/>
          <w:szCs w:val="20"/>
          <w:bdr w:val="nil"/>
          <w:lang w:val="es-ES_tradnl"/>
        </w:rPr>
        <w:t xml:space="preserve"> corpus</w:t>
      </w:r>
      <w:r w:rsidRPr="0058501F">
        <w:rPr>
          <w:rFonts w:ascii="Cambria" w:eastAsia="Arial Unicode MS" w:hAnsi="Cambria"/>
          <w:sz w:val="20"/>
          <w:szCs w:val="20"/>
          <w:bdr w:val="nil"/>
          <w:lang w:val="es-ES_tradnl"/>
        </w:rPr>
        <w:t xml:space="preserve"> federal en calidad pro</w:t>
      </w:r>
      <w:r w:rsidR="00C07A74" w:rsidRPr="0058501F">
        <w:rPr>
          <w:rFonts w:ascii="Cambria" w:eastAsia="Arial Unicode MS" w:hAnsi="Cambria"/>
          <w:sz w:val="20"/>
          <w:szCs w:val="20"/>
          <w:bdr w:val="nil"/>
          <w:lang w:val="es-ES_tradnl"/>
        </w:rPr>
        <w:t>-</w:t>
      </w:r>
      <w:r w:rsidRPr="0058501F">
        <w:rPr>
          <w:rFonts w:ascii="Cambria" w:eastAsia="Arial Unicode MS" w:hAnsi="Cambria"/>
          <w:sz w:val="20"/>
          <w:szCs w:val="20"/>
          <w:bdr w:val="nil"/>
          <w:lang w:val="es-ES_tradnl"/>
        </w:rPr>
        <w:t xml:space="preserve">bono, sin embargo, el abogado no era elegible para ser nombrado en el procedimiento de hábeas estatal ni recibir compensación alguna. </w:t>
      </w:r>
      <w:r w:rsidR="007528E3" w:rsidRPr="0058501F">
        <w:rPr>
          <w:rFonts w:ascii="Cambria" w:eastAsia="Arial Unicode MS" w:hAnsi="Cambria"/>
          <w:sz w:val="20"/>
          <w:szCs w:val="20"/>
          <w:bdr w:val="nil"/>
          <w:lang w:val="es-ES_tradnl"/>
        </w:rPr>
        <w:t>Los peticionarios sostienen</w:t>
      </w:r>
      <w:r w:rsidRPr="0058501F">
        <w:rPr>
          <w:rFonts w:ascii="Cambria" w:eastAsia="Arial Unicode MS" w:hAnsi="Cambria"/>
          <w:sz w:val="20"/>
          <w:szCs w:val="20"/>
          <w:bdr w:val="nil"/>
          <w:lang w:val="es-ES_tradnl"/>
        </w:rPr>
        <w:t xml:space="preserve"> que el </w:t>
      </w:r>
      <w:r w:rsidR="007528E3" w:rsidRPr="0058501F">
        <w:rPr>
          <w:rFonts w:ascii="Cambria" w:eastAsia="Arial Unicode MS" w:hAnsi="Cambria"/>
          <w:sz w:val="20"/>
          <w:szCs w:val="20"/>
          <w:bdr w:val="nil"/>
          <w:lang w:val="es-ES_tradnl"/>
        </w:rPr>
        <w:t>Sr.</w:t>
      </w:r>
      <w:r w:rsidRPr="0058501F">
        <w:rPr>
          <w:rFonts w:ascii="Cambria" w:eastAsia="Arial Unicode MS" w:hAnsi="Cambria"/>
          <w:sz w:val="20"/>
          <w:szCs w:val="20"/>
          <w:bdr w:val="nil"/>
          <w:lang w:val="es-ES_tradnl"/>
        </w:rPr>
        <w:t xml:space="preserve"> Ibarra, quien era indigente, </w:t>
      </w:r>
      <w:r w:rsidR="007528E3" w:rsidRPr="0058501F">
        <w:rPr>
          <w:rFonts w:ascii="Cambria" w:eastAsia="Arial Unicode MS" w:hAnsi="Cambria"/>
          <w:sz w:val="20"/>
          <w:szCs w:val="20"/>
          <w:bdr w:val="nil"/>
          <w:lang w:val="es-ES_tradnl"/>
        </w:rPr>
        <w:t>permaneció sin representación</w:t>
      </w:r>
      <w:r w:rsidRPr="0058501F">
        <w:rPr>
          <w:rFonts w:ascii="Cambria" w:eastAsia="Arial Unicode MS" w:hAnsi="Cambria"/>
          <w:sz w:val="20"/>
          <w:szCs w:val="20"/>
          <w:bdr w:val="nil"/>
          <w:lang w:val="es-ES_tradnl"/>
        </w:rPr>
        <w:t xml:space="preserve"> </w:t>
      </w:r>
      <w:r w:rsidR="007528E3" w:rsidRPr="0058501F">
        <w:rPr>
          <w:rFonts w:ascii="Cambria" w:eastAsia="Arial Unicode MS" w:hAnsi="Cambria"/>
          <w:sz w:val="20"/>
          <w:szCs w:val="20"/>
          <w:bdr w:val="nil"/>
          <w:lang w:val="es-ES_tradnl"/>
        </w:rPr>
        <w:t>ante el</w:t>
      </w:r>
      <w:r w:rsidRPr="0058501F">
        <w:rPr>
          <w:rFonts w:ascii="Cambria" w:eastAsia="Arial Unicode MS" w:hAnsi="Cambria"/>
          <w:sz w:val="20"/>
          <w:szCs w:val="20"/>
          <w:bdr w:val="nil"/>
          <w:lang w:val="es-ES_tradnl"/>
        </w:rPr>
        <w:t xml:space="preserve"> tribunal estatal hasta que un abogado voluntario compareció el 18 de julio de 2006, dos meses antes de la audiencia de 'Atkins' programada para el 18 de septiembre de 2006.</w:t>
      </w:r>
      <w:r w:rsidRPr="0058501F">
        <w:rPr>
          <w:rStyle w:val="FootnoteReference"/>
          <w:rFonts w:ascii="Cambria" w:eastAsia="Arial Unicode MS" w:hAnsi="Cambria"/>
          <w:sz w:val="20"/>
          <w:szCs w:val="20"/>
          <w:bdr w:val="nil"/>
          <w:lang w:val="es-ES_tradnl"/>
        </w:rPr>
        <w:footnoteReference w:id="2"/>
      </w:r>
    </w:p>
    <w:p w14:paraId="1C47A7C6" w14:textId="77777777" w:rsidR="007528E3" w:rsidRPr="0058501F" w:rsidRDefault="007528E3" w:rsidP="00470EC4">
      <w:pPr>
        <w:numPr>
          <w:ilvl w:val="0"/>
          <w:numId w:val="1"/>
        </w:numPr>
        <w:pBdr>
          <w:top w:val="nil"/>
          <w:left w:val="nil"/>
          <w:bottom w:val="nil"/>
          <w:right w:val="nil"/>
          <w:between w:val="nil"/>
          <w:bar w:val="nil"/>
        </w:pBdr>
        <w:tabs>
          <w:tab w:val="left" w:pos="450"/>
        </w:tabs>
        <w:suppressAutoHyphens/>
        <w:spacing w:after="240" w:line="240" w:lineRule="auto"/>
        <w:ind w:firstLine="0"/>
        <w:jc w:val="both"/>
        <w:rPr>
          <w:rFonts w:ascii="Cambria" w:eastAsia="Arial Unicode MS" w:hAnsi="Cambria"/>
          <w:sz w:val="20"/>
          <w:szCs w:val="20"/>
          <w:bdr w:val="nil"/>
          <w:lang w:val="es-ES_tradnl"/>
        </w:rPr>
      </w:pPr>
      <w:r w:rsidRPr="0058501F">
        <w:rPr>
          <w:rFonts w:ascii="Cambria" w:eastAsia="Arial Unicode MS" w:hAnsi="Cambria"/>
          <w:sz w:val="20"/>
          <w:szCs w:val="20"/>
          <w:bdr w:val="nil"/>
          <w:lang w:val="es-ES_tradnl"/>
        </w:rPr>
        <w:t xml:space="preserve">Los peticionarios afirman que los abogados voluntarios presentaron múltiples solicitudes para continuar la audiencia y requiriendo financiamiento adecuado para investigar y descubrir pruebas tanto en los Estados Unidos como en México sobre la discapacidad intelectual del </w:t>
      </w:r>
      <w:r w:rsidR="00DD040D" w:rsidRPr="0058501F">
        <w:rPr>
          <w:rFonts w:ascii="Cambria" w:eastAsia="Arial Unicode MS" w:hAnsi="Cambria"/>
          <w:sz w:val="20"/>
          <w:szCs w:val="20"/>
          <w:bdr w:val="nil"/>
          <w:lang w:val="es-ES_tradnl"/>
        </w:rPr>
        <w:t>Sr.</w:t>
      </w:r>
      <w:r w:rsidRPr="0058501F">
        <w:rPr>
          <w:rFonts w:ascii="Cambria" w:eastAsia="Arial Unicode MS" w:hAnsi="Cambria"/>
          <w:sz w:val="20"/>
          <w:szCs w:val="20"/>
          <w:bdr w:val="nil"/>
          <w:lang w:val="es-ES_tradnl"/>
        </w:rPr>
        <w:t xml:space="preserve"> Ibarra. El tribunal de primera instancia se negó a continuar la audiencia a pesar de la declaración jurada de un investigador de la defensa que atestiguaba que aún no había localizado y entrevistado a quince testigos adicionales que residían en México y que pudieran brindar información crítica sobre la denuncia de Atkins del Sr. Ibarra.  Los peticionarios afirman que </w:t>
      </w:r>
      <w:proofErr w:type="spellStart"/>
      <w:r w:rsidRPr="0058501F">
        <w:rPr>
          <w:rFonts w:ascii="Cambria" w:eastAsia="Arial Unicode MS" w:hAnsi="Cambria"/>
          <w:sz w:val="20"/>
          <w:szCs w:val="20"/>
          <w:bdr w:val="nil"/>
          <w:lang w:val="es-ES_tradnl"/>
        </w:rPr>
        <w:t>que</w:t>
      </w:r>
      <w:proofErr w:type="spellEnd"/>
      <w:r w:rsidRPr="0058501F">
        <w:rPr>
          <w:rFonts w:ascii="Cambria" w:eastAsia="Arial Unicode MS" w:hAnsi="Cambria"/>
          <w:sz w:val="20"/>
          <w:szCs w:val="20"/>
          <w:bdr w:val="nil"/>
          <w:lang w:val="es-ES_tradnl"/>
        </w:rPr>
        <w:t xml:space="preserve"> el tribunal de primera instancia autorizó solo $ 7.500 para gastos de investigación y denegó todas las solicitudes de financiación adicionales. Además, el 15 de septiembre de 2006, apenas tres días antes de la audiencia de Atkins, el tribunal negó los fondos para asegurar la presencia y el testimonio del perito psicólogo que había evaluado al </w:t>
      </w:r>
      <w:r w:rsidR="00F03471" w:rsidRPr="0058501F">
        <w:rPr>
          <w:rFonts w:ascii="Cambria" w:eastAsia="Arial Unicode MS" w:hAnsi="Cambria"/>
          <w:sz w:val="20"/>
          <w:szCs w:val="20"/>
          <w:bdr w:val="nil"/>
          <w:lang w:val="es-ES_tradnl"/>
        </w:rPr>
        <w:t>Sr.</w:t>
      </w:r>
      <w:r w:rsidRPr="0058501F">
        <w:rPr>
          <w:rFonts w:ascii="Cambria" w:eastAsia="Arial Unicode MS" w:hAnsi="Cambria"/>
          <w:sz w:val="20"/>
          <w:szCs w:val="20"/>
          <w:bdr w:val="nil"/>
          <w:lang w:val="es-ES_tradnl"/>
        </w:rPr>
        <w:t xml:space="preserve"> Ibarra y </w:t>
      </w:r>
      <w:r w:rsidR="00F03471" w:rsidRPr="0058501F">
        <w:rPr>
          <w:rFonts w:ascii="Cambria" w:eastAsia="Arial Unicode MS" w:hAnsi="Cambria"/>
          <w:sz w:val="20"/>
          <w:szCs w:val="20"/>
          <w:bdr w:val="nil"/>
          <w:lang w:val="es-ES_tradnl"/>
        </w:rPr>
        <w:t xml:space="preserve">quien </w:t>
      </w:r>
      <w:r w:rsidRPr="0058501F">
        <w:rPr>
          <w:rFonts w:ascii="Cambria" w:eastAsia="Arial Unicode MS" w:hAnsi="Cambria"/>
          <w:sz w:val="20"/>
          <w:szCs w:val="20"/>
          <w:bdr w:val="nil"/>
          <w:lang w:val="es-ES_tradnl"/>
        </w:rPr>
        <w:t xml:space="preserve">determinó inequívocamente que era una persona con discapacidad intelectual. Además, el día de la audiencia, el tribunal admitió como prueba la declaración jurada del investigador de la defensa en la que se discutió la información sobre la historia de vida descubierta hasta ese momento, pero se </w:t>
      </w:r>
      <w:r w:rsidRPr="0058501F">
        <w:rPr>
          <w:rFonts w:ascii="Cambria" w:eastAsia="Arial Unicode MS" w:hAnsi="Cambria"/>
          <w:sz w:val="20"/>
          <w:szCs w:val="20"/>
          <w:bdr w:val="nil"/>
          <w:lang w:val="es-ES_tradnl"/>
        </w:rPr>
        <w:lastRenderedPageBreak/>
        <w:t xml:space="preserve">negó por motivos de procedimiento a considerar la declaración jurada del psicólogo que concluyó sobre la discapacidad intelectual del </w:t>
      </w:r>
      <w:r w:rsidR="00F03471" w:rsidRPr="0058501F">
        <w:rPr>
          <w:rFonts w:ascii="Cambria" w:eastAsia="Arial Unicode MS" w:hAnsi="Cambria"/>
          <w:sz w:val="20"/>
          <w:szCs w:val="20"/>
          <w:bdr w:val="nil"/>
          <w:lang w:val="es-ES_tradnl"/>
        </w:rPr>
        <w:t>Sr.</w:t>
      </w:r>
      <w:r w:rsidRPr="0058501F">
        <w:rPr>
          <w:rFonts w:ascii="Cambria" w:eastAsia="Arial Unicode MS" w:hAnsi="Cambria"/>
          <w:sz w:val="20"/>
          <w:szCs w:val="20"/>
          <w:bdr w:val="nil"/>
          <w:lang w:val="es-ES_tradnl"/>
        </w:rPr>
        <w:t xml:space="preserve"> Ibarra</w:t>
      </w:r>
      <w:r w:rsidR="00F03471" w:rsidRPr="0058501F">
        <w:rPr>
          <w:rFonts w:ascii="Cambria" w:eastAsia="Arial Unicode MS" w:hAnsi="Cambria"/>
          <w:sz w:val="20"/>
          <w:szCs w:val="20"/>
          <w:bdr w:val="nil"/>
          <w:lang w:val="es-ES_tradnl"/>
        </w:rPr>
        <w:t>,</w:t>
      </w:r>
      <w:r w:rsidRPr="0058501F">
        <w:rPr>
          <w:rFonts w:ascii="Cambria" w:eastAsia="Arial Unicode MS" w:hAnsi="Cambria"/>
          <w:sz w:val="20"/>
          <w:szCs w:val="20"/>
          <w:bdr w:val="nil"/>
          <w:lang w:val="es-ES_tradnl"/>
        </w:rPr>
        <w:t xml:space="preserve"> en lugar de un testimonio </w:t>
      </w:r>
      <w:r w:rsidR="00F03471" w:rsidRPr="0058501F">
        <w:rPr>
          <w:rFonts w:ascii="Cambria" w:eastAsia="Arial Unicode MS" w:hAnsi="Cambria"/>
          <w:sz w:val="20"/>
          <w:szCs w:val="20"/>
          <w:bdr w:val="nil"/>
          <w:lang w:val="es-ES_tradnl"/>
        </w:rPr>
        <w:t>presencial</w:t>
      </w:r>
      <w:r w:rsidRPr="0058501F">
        <w:rPr>
          <w:rFonts w:ascii="Cambria" w:eastAsia="Arial Unicode MS" w:hAnsi="Cambria"/>
          <w:sz w:val="20"/>
          <w:szCs w:val="20"/>
          <w:bdr w:val="nil"/>
          <w:lang w:val="es-ES_tradnl"/>
        </w:rPr>
        <w:t>.</w:t>
      </w:r>
    </w:p>
    <w:p w14:paraId="03FC059D" w14:textId="77777777" w:rsidR="00F03471" w:rsidRPr="0058501F" w:rsidRDefault="00F03471" w:rsidP="00470EC4">
      <w:pPr>
        <w:numPr>
          <w:ilvl w:val="0"/>
          <w:numId w:val="1"/>
        </w:numPr>
        <w:pBdr>
          <w:top w:val="nil"/>
          <w:left w:val="nil"/>
          <w:bottom w:val="nil"/>
          <w:right w:val="nil"/>
          <w:between w:val="nil"/>
          <w:bar w:val="nil"/>
        </w:pBdr>
        <w:tabs>
          <w:tab w:val="left" w:pos="450"/>
        </w:tabs>
        <w:suppressAutoHyphens/>
        <w:spacing w:after="240" w:line="240" w:lineRule="auto"/>
        <w:ind w:firstLine="0"/>
        <w:jc w:val="both"/>
        <w:rPr>
          <w:rFonts w:ascii="Cambria" w:eastAsia="Arial Unicode MS" w:hAnsi="Cambria"/>
          <w:sz w:val="20"/>
          <w:szCs w:val="20"/>
          <w:bdr w:val="nil"/>
          <w:lang w:val="es-ES_tradnl"/>
        </w:rPr>
      </w:pPr>
      <w:r w:rsidRPr="0058501F">
        <w:rPr>
          <w:rFonts w:ascii="Cambria" w:eastAsia="Arial Unicode MS" w:hAnsi="Cambria"/>
          <w:sz w:val="20"/>
          <w:szCs w:val="20"/>
          <w:bdr w:val="nil"/>
          <w:lang w:val="es-ES_tradnl"/>
        </w:rPr>
        <w:t xml:space="preserve">Los peticionarios alegan en segundo lugar que el tribunal de primera instancia hizo una valoración irrazonable y poco científica del expediente. Afirman que el tribunal adoptó textualmente las conclusiones de hecho propuestas por el fiscal, basándose casi exclusivamente en el recuerdo de las actuaciones del juicio por parte de este último e inexplicablemente ignorando la información contenida en la declaración jurada del investigador de la defensa. Los peticionarios afirman que el tribunal de primera instancia basó su decisión en gran medida en los hechos y circunstancias del delito subyacente, y no en información relevante para una determinación clínica de discapacidad intelectual. Se afirma que el tribunal también se basó en la declaración jurada de un psiquiatra que evaluó al Sr. Ibarra durante el juicio y antes de que se decidiera el caso Atkins, y que nunca administró ninguna prueba de discapacidad intelectual validada científicamente. Además, se menciona que este médico comentó despreocupadamente su opinión de que el Sr. Ibarra no tiene "retraso mental" a pesar de que no lo evaluó formalmente respecto de dicha discapacidad. Además, los peticionarios señalan que el tribunal federal se negó arbitrariamente a considerar las pruebas adicionales, que incluían declaraciones juradas de varios familiares y del ex maestro de escuela del </w:t>
      </w:r>
      <w:r w:rsidR="00DD040D" w:rsidRPr="0058501F">
        <w:rPr>
          <w:rFonts w:ascii="Cambria" w:eastAsia="Arial Unicode MS" w:hAnsi="Cambria"/>
          <w:sz w:val="20"/>
          <w:szCs w:val="20"/>
          <w:bdr w:val="nil"/>
          <w:lang w:val="es-ES_tradnl"/>
        </w:rPr>
        <w:t>Sr.</w:t>
      </w:r>
      <w:r w:rsidRPr="0058501F">
        <w:rPr>
          <w:rFonts w:ascii="Cambria" w:eastAsia="Arial Unicode MS" w:hAnsi="Cambria"/>
          <w:sz w:val="20"/>
          <w:szCs w:val="20"/>
          <w:bdr w:val="nil"/>
          <w:lang w:val="es-ES_tradnl"/>
        </w:rPr>
        <w:t xml:space="preserve"> Ibarra, así como la declaración jurada de la psicóloga experta Carol M. </w:t>
      </w:r>
      <w:proofErr w:type="spellStart"/>
      <w:r w:rsidRPr="0058501F">
        <w:rPr>
          <w:rFonts w:ascii="Cambria" w:eastAsia="Arial Unicode MS" w:hAnsi="Cambria"/>
          <w:sz w:val="20"/>
          <w:szCs w:val="20"/>
          <w:bdr w:val="nil"/>
          <w:lang w:val="es-ES_tradnl"/>
        </w:rPr>
        <w:t>Romey</w:t>
      </w:r>
      <w:proofErr w:type="spellEnd"/>
      <w:r w:rsidRPr="0058501F">
        <w:rPr>
          <w:rFonts w:ascii="Cambria" w:eastAsia="Arial Unicode MS" w:hAnsi="Cambria"/>
          <w:sz w:val="20"/>
          <w:szCs w:val="20"/>
          <w:bdr w:val="nil"/>
          <w:lang w:val="es-ES_tradnl"/>
        </w:rPr>
        <w:t xml:space="preserve">, </w:t>
      </w:r>
      <w:proofErr w:type="spellStart"/>
      <w:r w:rsidRPr="0058501F">
        <w:rPr>
          <w:rFonts w:ascii="Cambria" w:eastAsia="Arial Unicode MS" w:hAnsi="Cambria"/>
          <w:sz w:val="20"/>
          <w:szCs w:val="20"/>
          <w:bdr w:val="nil"/>
          <w:lang w:val="es-ES_tradnl"/>
        </w:rPr>
        <w:t>Ph.D</w:t>
      </w:r>
      <w:proofErr w:type="spellEnd"/>
      <w:r w:rsidRPr="0058501F">
        <w:rPr>
          <w:rFonts w:ascii="Cambria" w:eastAsia="Arial Unicode MS" w:hAnsi="Cambria"/>
          <w:sz w:val="20"/>
          <w:szCs w:val="20"/>
          <w:bdr w:val="nil"/>
          <w:lang w:val="es-ES_tradnl"/>
        </w:rPr>
        <w:t>., respecto de la discapacidad intelectual del Sr. Ibarra que fue presentada durante su habeas federal. Esto, explican los peticionarios, se debió a que la prueba no fue aceptada en el expediente probatorio por el tribunal estatal, a pesar de que, según afirman, fue el tribunal estatal el que frustró los esfuerzos del Sr. Ibarra para presentar su reclamo al negarle el tiempo y los fondos necesarios para prepararse y presentar pruebas en su audiencia de Atkins.</w:t>
      </w:r>
    </w:p>
    <w:p w14:paraId="767011BA" w14:textId="77777777" w:rsidR="00F03471" w:rsidRPr="0058501F" w:rsidRDefault="00F03471" w:rsidP="00470EC4">
      <w:pPr>
        <w:numPr>
          <w:ilvl w:val="0"/>
          <w:numId w:val="1"/>
        </w:numPr>
        <w:pBdr>
          <w:top w:val="nil"/>
          <w:left w:val="nil"/>
          <w:bottom w:val="nil"/>
          <w:right w:val="nil"/>
          <w:between w:val="nil"/>
          <w:bar w:val="nil"/>
        </w:pBdr>
        <w:tabs>
          <w:tab w:val="left" w:pos="450"/>
        </w:tabs>
        <w:suppressAutoHyphens/>
        <w:spacing w:after="240" w:line="240" w:lineRule="auto"/>
        <w:ind w:firstLine="0"/>
        <w:jc w:val="both"/>
        <w:rPr>
          <w:rFonts w:ascii="Cambria" w:eastAsia="Arial Unicode MS" w:hAnsi="Cambria"/>
          <w:sz w:val="20"/>
          <w:szCs w:val="20"/>
          <w:bdr w:val="nil"/>
          <w:lang w:val="es-ES_tradnl"/>
        </w:rPr>
      </w:pPr>
      <w:r w:rsidRPr="0058501F">
        <w:rPr>
          <w:rFonts w:ascii="Cambria" w:eastAsia="Arial Unicode MS" w:hAnsi="Cambria"/>
          <w:sz w:val="20"/>
          <w:szCs w:val="20"/>
          <w:bdr w:val="nil"/>
          <w:lang w:val="es-ES_tradnl"/>
        </w:rPr>
        <w:t xml:space="preserve">Esto, alegan los peticionarios, es una violación de los derechos de juicio justo y debido proceso del </w:t>
      </w:r>
      <w:r w:rsidR="00BC7CC8" w:rsidRPr="0058501F">
        <w:rPr>
          <w:rFonts w:ascii="Cambria" w:eastAsia="Arial Unicode MS" w:hAnsi="Cambria"/>
          <w:sz w:val="20"/>
          <w:szCs w:val="20"/>
          <w:bdr w:val="nil"/>
          <w:lang w:val="es-ES_tradnl"/>
        </w:rPr>
        <w:t>Sr.</w:t>
      </w:r>
      <w:r w:rsidRPr="0058501F">
        <w:rPr>
          <w:rFonts w:ascii="Cambria" w:eastAsia="Arial Unicode MS" w:hAnsi="Cambria"/>
          <w:sz w:val="20"/>
          <w:szCs w:val="20"/>
          <w:bdr w:val="nil"/>
          <w:lang w:val="es-ES_tradnl"/>
        </w:rPr>
        <w:t xml:space="preserve"> Ibarra como sujeto </w:t>
      </w:r>
      <w:r w:rsidR="00BC7CC8" w:rsidRPr="0058501F">
        <w:rPr>
          <w:rFonts w:ascii="Cambria" w:eastAsia="Arial Unicode MS" w:hAnsi="Cambria"/>
          <w:sz w:val="20"/>
          <w:szCs w:val="20"/>
          <w:bdr w:val="nil"/>
          <w:lang w:val="es-ES_tradnl"/>
        </w:rPr>
        <w:t>sobre el que está pendiente</w:t>
      </w:r>
      <w:r w:rsidRPr="0058501F">
        <w:rPr>
          <w:rFonts w:ascii="Cambria" w:eastAsia="Arial Unicode MS" w:hAnsi="Cambria"/>
          <w:sz w:val="20"/>
          <w:szCs w:val="20"/>
          <w:bdr w:val="nil"/>
          <w:lang w:val="es-ES_tradnl"/>
        </w:rPr>
        <w:t xml:space="preserve"> la pena de muerte y que el Estado está obligado a atender una denuncia de discapacidad mental o intelectual </w:t>
      </w:r>
      <w:r w:rsidR="00BC7CC8" w:rsidRPr="0058501F">
        <w:rPr>
          <w:rFonts w:ascii="Cambria" w:eastAsia="Arial Unicode MS" w:hAnsi="Cambria"/>
          <w:sz w:val="20"/>
          <w:szCs w:val="20"/>
          <w:bdr w:val="nil"/>
          <w:lang w:val="es-ES_tradnl"/>
        </w:rPr>
        <w:t xml:space="preserve">sobre el </w:t>
      </w:r>
      <w:r w:rsidRPr="0058501F">
        <w:rPr>
          <w:rFonts w:ascii="Cambria" w:eastAsia="Arial Unicode MS" w:hAnsi="Cambria"/>
          <w:sz w:val="20"/>
          <w:szCs w:val="20"/>
          <w:bdr w:val="nil"/>
          <w:lang w:val="es-ES_tradnl"/>
        </w:rPr>
        <w:t xml:space="preserve">fondo, en cualquier momento del proceso en el que haya indicios de tal reclamación por parte de un acusado o condenado. </w:t>
      </w:r>
      <w:r w:rsidR="00BC7CC8" w:rsidRPr="0058501F">
        <w:rPr>
          <w:rFonts w:ascii="Cambria" w:eastAsia="Arial Unicode MS" w:hAnsi="Cambria"/>
          <w:sz w:val="20"/>
          <w:szCs w:val="20"/>
          <w:bdr w:val="nil"/>
          <w:lang w:val="es-ES_tradnl"/>
        </w:rPr>
        <w:t>Sostienen</w:t>
      </w:r>
      <w:r w:rsidRPr="0058501F">
        <w:rPr>
          <w:rFonts w:ascii="Cambria" w:eastAsia="Arial Unicode MS" w:hAnsi="Cambria"/>
          <w:sz w:val="20"/>
          <w:szCs w:val="20"/>
          <w:bdr w:val="nil"/>
          <w:lang w:val="es-ES_tradnl"/>
        </w:rPr>
        <w:t xml:space="preserve"> que el Estado tiene dos obligaciones principales, basadas en la jurisprudencia de la Comisión; </w:t>
      </w:r>
      <w:r w:rsidR="00BC7CC8" w:rsidRPr="0058501F">
        <w:rPr>
          <w:rFonts w:ascii="Cambria" w:eastAsia="Arial Unicode MS" w:hAnsi="Cambria"/>
          <w:sz w:val="20"/>
          <w:szCs w:val="20"/>
          <w:bdr w:val="nil"/>
          <w:lang w:val="es-ES_tradnl"/>
        </w:rPr>
        <w:t>la</w:t>
      </w:r>
      <w:r w:rsidRPr="0058501F">
        <w:rPr>
          <w:rFonts w:ascii="Cambria" w:eastAsia="Arial Unicode MS" w:hAnsi="Cambria"/>
          <w:sz w:val="20"/>
          <w:szCs w:val="20"/>
          <w:bdr w:val="nil"/>
          <w:lang w:val="es-ES_tradnl"/>
        </w:rPr>
        <w:t xml:space="preserve"> primer</w:t>
      </w:r>
      <w:r w:rsidR="00BC7CC8" w:rsidRPr="0058501F">
        <w:rPr>
          <w:rFonts w:ascii="Cambria" w:eastAsia="Arial Unicode MS" w:hAnsi="Cambria"/>
          <w:sz w:val="20"/>
          <w:szCs w:val="20"/>
          <w:bdr w:val="nil"/>
          <w:lang w:val="es-ES_tradnl"/>
        </w:rPr>
        <w:t>a</w:t>
      </w:r>
      <w:r w:rsidRPr="0058501F">
        <w:rPr>
          <w:rFonts w:ascii="Cambria" w:eastAsia="Arial Unicode MS" w:hAnsi="Cambria"/>
          <w:sz w:val="20"/>
          <w:szCs w:val="20"/>
          <w:bdr w:val="nil"/>
          <w:lang w:val="es-ES_tradnl"/>
        </w:rPr>
        <w:t xml:space="preserve"> es examinar todos los registros e información en su poder sobre la salud mental de una persona acusada de un delito capital; y </w:t>
      </w:r>
      <w:r w:rsidR="00BC7CC8" w:rsidRPr="0058501F">
        <w:rPr>
          <w:rFonts w:ascii="Cambria" w:eastAsia="Arial Unicode MS" w:hAnsi="Cambria"/>
          <w:sz w:val="20"/>
          <w:szCs w:val="20"/>
          <w:bdr w:val="nil"/>
          <w:lang w:val="es-ES_tradnl"/>
        </w:rPr>
        <w:t>la</w:t>
      </w:r>
      <w:r w:rsidRPr="0058501F">
        <w:rPr>
          <w:rFonts w:ascii="Cambria" w:eastAsia="Arial Unicode MS" w:hAnsi="Cambria"/>
          <w:sz w:val="20"/>
          <w:szCs w:val="20"/>
          <w:bdr w:val="nil"/>
          <w:lang w:val="es-ES_tradnl"/>
        </w:rPr>
        <w:t xml:space="preserve"> segund</w:t>
      </w:r>
      <w:r w:rsidR="00BC7CC8" w:rsidRPr="0058501F">
        <w:rPr>
          <w:rFonts w:ascii="Cambria" w:eastAsia="Arial Unicode MS" w:hAnsi="Cambria"/>
          <w:sz w:val="20"/>
          <w:szCs w:val="20"/>
          <w:bdr w:val="nil"/>
          <w:lang w:val="es-ES_tradnl"/>
        </w:rPr>
        <w:t>a</w:t>
      </w:r>
      <w:r w:rsidRPr="0058501F">
        <w:rPr>
          <w:rFonts w:ascii="Cambria" w:eastAsia="Arial Unicode MS" w:hAnsi="Cambria"/>
          <w:sz w:val="20"/>
          <w:szCs w:val="20"/>
          <w:bdr w:val="nil"/>
          <w:lang w:val="es-ES_tradnl"/>
        </w:rPr>
        <w:t>, proporcionar a cualquier indigente los medios necesarios para que se le realice una evaluación independiente de salud mental de manera oportuna.</w:t>
      </w:r>
    </w:p>
    <w:p w14:paraId="44650787" w14:textId="77777777" w:rsidR="00BC7CC8" w:rsidRPr="0058501F" w:rsidRDefault="00BC7CC8" w:rsidP="00470EC4">
      <w:pPr>
        <w:numPr>
          <w:ilvl w:val="0"/>
          <w:numId w:val="1"/>
        </w:numPr>
        <w:pBdr>
          <w:top w:val="nil"/>
          <w:left w:val="nil"/>
          <w:bottom w:val="nil"/>
          <w:right w:val="nil"/>
          <w:between w:val="nil"/>
          <w:bar w:val="nil"/>
        </w:pBdr>
        <w:tabs>
          <w:tab w:val="left" w:pos="450"/>
        </w:tabs>
        <w:suppressAutoHyphens/>
        <w:spacing w:after="240" w:line="240" w:lineRule="auto"/>
        <w:ind w:firstLine="0"/>
        <w:jc w:val="both"/>
        <w:rPr>
          <w:rFonts w:ascii="Cambria" w:eastAsia="Arial Unicode MS" w:hAnsi="Cambria"/>
          <w:sz w:val="20"/>
          <w:szCs w:val="20"/>
          <w:bdr w:val="nil"/>
          <w:lang w:val="es-ES_tradnl"/>
        </w:rPr>
      </w:pPr>
      <w:r w:rsidRPr="0058501F">
        <w:rPr>
          <w:rFonts w:ascii="Cambria" w:eastAsia="Arial Unicode MS" w:hAnsi="Cambria"/>
          <w:sz w:val="20"/>
          <w:szCs w:val="20"/>
          <w:bdr w:val="nil"/>
          <w:lang w:val="es-ES_tradnl"/>
        </w:rPr>
        <w:t xml:space="preserve">Los peticionarios afirman que el Estado no intentó seriamente cuestionar la abrumadora evidencia sobre la discapacidad intelectual del Sr. Ibarra, y se basó en la declaración jurada del doctor Stephen Mark, quien evaluó al </w:t>
      </w:r>
      <w:r w:rsidR="00DD040D" w:rsidRPr="0058501F">
        <w:rPr>
          <w:rFonts w:ascii="Cambria" w:eastAsia="Arial Unicode MS" w:hAnsi="Cambria"/>
          <w:sz w:val="20"/>
          <w:szCs w:val="20"/>
          <w:bdr w:val="nil"/>
          <w:lang w:val="es-ES_tradnl"/>
        </w:rPr>
        <w:t>Sr.</w:t>
      </w:r>
      <w:r w:rsidRPr="0058501F">
        <w:rPr>
          <w:rFonts w:ascii="Cambria" w:eastAsia="Arial Unicode MS" w:hAnsi="Cambria"/>
          <w:sz w:val="20"/>
          <w:szCs w:val="20"/>
          <w:bdr w:val="nil"/>
          <w:lang w:val="es-ES_tradnl"/>
        </w:rPr>
        <w:t xml:space="preserve"> Ibarra antes de la decisión de Atkins y no administró ninguna prueba de discapacidad intelectual, pero quien casualmente opinó, cinco años después, que el Sr. Ibarra no tenía discapacidad intelectual. Los peticionarios alegan que, al no considerar en forma completa y adecuada la evidencia de que el Sr. Ibarra sufre de Trastorno por Estrés Postraumático (TEPT), Estados Unidos ha violado no solo su obligación sustantiva de abstenerse de ejecutar a personas con discapacidad psicosocial, sino también su obligación de proporcionar procedimientos adecuados a quienes puedan calificar para la protección y de atender el reclamo sobre el fondo en cualquier momento del proceso.</w:t>
      </w:r>
    </w:p>
    <w:p w14:paraId="72DEA2BA" w14:textId="77777777" w:rsidR="00BC7CC8" w:rsidRPr="0058501F" w:rsidRDefault="00BC7CC8" w:rsidP="00470EC4">
      <w:pPr>
        <w:numPr>
          <w:ilvl w:val="0"/>
          <w:numId w:val="1"/>
        </w:numPr>
        <w:pBdr>
          <w:top w:val="nil"/>
          <w:left w:val="nil"/>
          <w:bottom w:val="nil"/>
          <w:right w:val="nil"/>
          <w:between w:val="nil"/>
          <w:bar w:val="nil"/>
        </w:pBdr>
        <w:tabs>
          <w:tab w:val="left" w:pos="450"/>
        </w:tabs>
        <w:suppressAutoHyphens/>
        <w:spacing w:after="240" w:line="240" w:lineRule="auto"/>
        <w:ind w:firstLine="0"/>
        <w:jc w:val="both"/>
        <w:rPr>
          <w:rFonts w:ascii="Cambria" w:eastAsia="Arial Unicode MS" w:hAnsi="Cambria"/>
          <w:sz w:val="20"/>
          <w:szCs w:val="20"/>
          <w:bdr w:val="nil"/>
          <w:lang w:val="es-ES_tradnl"/>
        </w:rPr>
      </w:pPr>
      <w:r w:rsidRPr="0058501F">
        <w:rPr>
          <w:rFonts w:ascii="Cambria" w:eastAsia="Arial Unicode MS" w:hAnsi="Cambria"/>
          <w:sz w:val="20"/>
          <w:szCs w:val="20"/>
          <w:bdr w:val="nil"/>
          <w:lang w:val="es-ES_tradnl"/>
        </w:rPr>
        <w:t xml:space="preserve">Los peticionarios destacan que el </w:t>
      </w:r>
      <w:r w:rsidR="00DD040D" w:rsidRPr="0058501F">
        <w:rPr>
          <w:rFonts w:ascii="Cambria" w:eastAsia="Arial Unicode MS" w:hAnsi="Cambria"/>
          <w:sz w:val="20"/>
          <w:szCs w:val="20"/>
          <w:bdr w:val="nil"/>
          <w:lang w:val="es-ES_tradnl"/>
        </w:rPr>
        <w:t>Sr.</w:t>
      </w:r>
      <w:r w:rsidRPr="0058501F">
        <w:rPr>
          <w:rFonts w:ascii="Cambria" w:eastAsia="Arial Unicode MS" w:hAnsi="Cambria"/>
          <w:sz w:val="20"/>
          <w:szCs w:val="20"/>
          <w:bdr w:val="nil"/>
          <w:lang w:val="es-ES_tradnl"/>
        </w:rPr>
        <w:t xml:space="preserve"> Ibarra permanece condenado a muerte a pesar de la evidencia inequívoca de que cumple con los criterios clínicos para un diagnóstico de discapacidad intelectual. Los peticionarios alegan que la ejecución del Sr. Ibarra violaría la prohibición de ejecutar a personas con discapacidad psicosocial, contemplada en la Declaración Americana y en los principios del derecho internacional consuetudinario. Sostienen que, en última instancia, ejecutarlo constituiría así una denegación de su derecho a la vida, a una audiencia imparcial y a la protección de un castigo cruel, infam</w:t>
      </w:r>
      <w:r w:rsidR="00414931" w:rsidRPr="0058501F">
        <w:rPr>
          <w:rFonts w:ascii="Cambria" w:eastAsia="Arial Unicode MS" w:hAnsi="Cambria"/>
          <w:sz w:val="20"/>
          <w:szCs w:val="20"/>
          <w:bdr w:val="nil"/>
          <w:lang w:val="es-ES_tradnl"/>
        </w:rPr>
        <w:t>ante</w:t>
      </w:r>
      <w:r w:rsidRPr="0058501F">
        <w:rPr>
          <w:rFonts w:ascii="Cambria" w:eastAsia="Arial Unicode MS" w:hAnsi="Cambria"/>
          <w:sz w:val="20"/>
          <w:szCs w:val="20"/>
          <w:bdr w:val="nil"/>
          <w:lang w:val="es-ES_tradnl"/>
        </w:rPr>
        <w:t xml:space="preserve"> e inus</w:t>
      </w:r>
      <w:r w:rsidR="00414931" w:rsidRPr="0058501F">
        <w:rPr>
          <w:rFonts w:ascii="Cambria" w:eastAsia="Arial Unicode MS" w:hAnsi="Cambria"/>
          <w:sz w:val="20"/>
          <w:szCs w:val="20"/>
          <w:bdr w:val="nil"/>
          <w:lang w:val="es-ES_tradnl"/>
        </w:rPr>
        <w:t>itado</w:t>
      </w:r>
      <w:r w:rsidRPr="0058501F">
        <w:rPr>
          <w:rFonts w:ascii="Cambria" w:eastAsia="Arial Unicode MS" w:hAnsi="Cambria"/>
          <w:sz w:val="20"/>
          <w:szCs w:val="20"/>
          <w:bdr w:val="nil"/>
          <w:lang w:val="es-ES_tradnl"/>
        </w:rPr>
        <w:t>, en violación de los artículos I, XVIII y XXVI de la Declaración Americana.</w:t>
      </w:r>
    </w:p>
    <w:p w14:paraId="6215ADDB" w14:textId="77777777" w:rsidR="00414931" w:rsidRPr="0058501F" w:rsidRDefault="00414931" w:rsidP="00470EC4">
      <w:pPr>
        <w:numPr>
          <w:ilvl w:val="0"/>
          <w:numId w:val="1"/>
        </w:numPr>
        <w:pBdr>
          <w:top w:val="nil"/>
          <w:left w:val="nil"/>
          <w:bottom w:val="nil"/>
          <w:right w:val="nil"/>
          <w:between w:val="nil"/>
          <w:bar w:val="nil"/>
        </w:pBdr>
        <w:tabs>
          <w:tab w:val="left" w:pos="450"/>
        </w:tabs>
        <w:suppressAutoHyphens/>
        <w:spacing w:after="240" w:line="240" w:lineRule="auto"/>
        <w:ind w:firstLine="0"/>
        <w:jc w:val="both"/>
        <w:rPr>
          <w:rFonts w:ascii="Cambria" w:eastAsia="Arial Unicode MS" w:hAnsi="Cambria"/>
          <w:sz w:val="20"/>
          <w:szCs w:val="20"/>
          <w:bdr w:val="nil"/>
          <w:lang w:val="es-ES_tradnl"/>
        </w:rPr>
      </w:pPr>
      <w:r w:rsidRPr="0058501F">
        <w:rPr>
          <w:rFonts w:ascii="Cambria" w:eastAsia="Arial Unicode MS" w:hAnsi="Cambria"/>
          <w:sz w:val="20"/>
          <w:szCs w:val="20"/>
          <w:bdr w:val="nil"/>
          <w:lang w:val="es-ES_tradnl"/>
        </w:rPr>
        <w:t xml:space="preserve">Los peticionarios alegan que los abogados de juicio y los designados luego de la condena por el estado de Texas para representar al Sr. Ibarra fueron inexcusablemente negligentes al no realizar una investigación adecuada de la vida del Sr. Ibarra y no presentar pruebas atenuantes, como la salud, dando lugar a violaciones de los artículos XVIII y XXVI de la Declaración Americana. El abogado litigante del Sr. Ibarra nunca contrató a </w:t>
      </w:r>
      <w:r w:rsidRPr="0058501F">
        <w:rPr>
          <w:rFonts w:ascii="Cambria" w:eastAsia="Arial Unicode MS" w:hAnsi="Cambria"/>
          <w:sz w:val="20"/>
          <w:szCs w:val="20"/>
          <w:bdr w:val="nil"/>
          <w:lang w:val="es-ES_tradnl"/>
        </w:rPr>
        <w:lastRenderedPageBreak/>
        <w:t>un investigador de mitigación, nunca buscó la ayuda del consulado mexicano para preparar una investigación de mitigación sobre su niñez o sus antecedentes médicos, educativos, laborales o familiares en México.</w:t>
      </w:r>
    </w:p>
    <w:p w14:paraId="74BBA729" w14:textId="77777777" w:rsidR="00414931" w:rsidRPr="0058501F" w:rsidRDefault="00414931" w:rsidP="00470EC4">
      <w:pPr>
        <w:numPr>
          <w:ilvl w:val="0"/>
          <w:numId w:val="1"/>
        </w:numPr>
        <w:pBdr>
          <w:top w:val="nil"/>
          <w:left w:val="nil"/>
          <w:bottom w:val="nil"/>
          <w:right w:val="nil"/>
          <w:between w:val="nil"/>
          <w:bar w:val="nil"/>
        </w:pBdr>
        <w:tabs>
          <w:tab w:val="left" w:pos="450"/>
        </w:tabs>
        <w:suppressAutoHyphens/>
        <w:spacing w:after="240" w:line="240" w:lineRule="auto"/>
        <w:ind w:firstLine="0"/>
        <w:jc w:val="both"/>
        <w:rPr>
          <w:rFonts w:ascii="Cambria" w:eastAsia="Arial Unicode MS" w:hAnsi="Cambria"/>
          <w:sz w:val="20"/>
          <w:szCs w:val="20"/>
          <w:bdr w:val="nil"/>
          <w:lang w:val="es-ES_tradnl"/>
        </w:rPr>
      </w:pPr>
      <w:r w:rsidRPr="0058501F">
        <w:rPr>
          <w:rFonts w:ascii="Cambria" w:eastAsia="Arial Unicode MS" w:hAnsi="Cambria"/>
          <w:sz w:val="20"/>
          <w:szCs w:val="20"/>
          <w:bdr w:val="nil"/>
          <w:lang w:val="es-ES_tradnl"/>
        </w:rPr>
        <w:t>Específicamente, se alega que, en la fase de determinación de la pena del juicio, el abogado defensor no presentó prácticamente ninguna de las pruebas atenuantes fácilmente disponibles que respaldaran una sentencia de cadena perpetua. El abogado del juicio no buscó fondos específicos para una investigación en fase de sanción hasta el 27 de agosto de 1997, once días antes del juicio, que fue cuando este solicitó y obtuvo fondos para una evaluación de salud mental. El abogado designado contrató a un experto en salud mental, el Dr. Mark, que se reunió con el Sr. Ibarra durante poco más de una hora. Los peticionarios sostienen que el abogado no llevó a cabo más investigaciones incluso después de que el Dr. Mark informó que el Sr. Ibarra tuvo dificultades para aprender cuando era niño, que tuvo una juventud en la pobreza en México y que había tenido problemas con el alcohol anteriormente.</w:t>
      </w:r>
    </w:p>
    <w:p w14:paraId="5E08D2B8" w14:textId="77777777" w:rsidR="00414931" w:rsidRPr="0058501F" w:rsidRDefault="00414931" w:rsidP="00470EC4">
      <w:pPr>
        <w:numPr>
          <w:ilvl w:val="0"/>
          <w:numId w:val="1"/>
        </w:numPr>
        <w:pBdr>
          <w:top w:val="nil"/>
          <w:left w:val="nil"/>
          <w:bottom w:val="nil"/>
          <w:right w:val="nil"/>
          <w:between w:val="nil"/>
          <w:bar w:val="nil"/>
        </w:pBdr>
        <w:tabs>
          <w:tab w:val="left" w:pos="450"/>
        </w:tabs>
        <w:suppressAutoHyphens/>
        <w:spacing w:after="240" w:line="240" w:lineRule="auto"/>
        <w:ind w:firstLine="0"/>
        <w:jc w:val="both"/>
        <w:rPr>
          <w:rFonts w:ascii="Cambria" w:eastAsia="Arial Unicode MS" w:hAnsi="Cambria"/>
          <w:sz w:val="20"/>
          <w:szCs w:val="20"/>
          <w:bdr w:val="nil"/>
          <w:lang w:val="es-ES_tradnl"/>
        </w:rPr>
      </w:pPr>
      <w:r w:rsidRPr="0058501F">
        <w:rPr>
          <w:rFonts w:ascii="Cambria" w:eastAsia="Arial Unicode MS" w:hAnsi="Cambria"/>
          <w:sz w:val="20"/>
          <w:szCs w:val="20"/>
          <w:bdr w:val="nil"/>
          <w:lang w:val="es-ES_tradnl"/>
        </w:rPr>
        <w:t xml:space="preserve">Se afirma que el abogado que lo representó en su petición de hábeas corpus estatal, presentó una petición de cinco páginas que planteaba un solo argumento legal, que era un tema que ya había sido planteado y rechazado en apelación directa, y ni siquiera reconocible en los procedimientos estatales de hábeas corpus. Se afirma que el abogado designado nunca lo visitó y nunca respondió a las cartas del Sr. Ibarra. Además, si bien la hermana y la esposa del Sr. Ibarra testificaron en su nombre, la defensa no obtuvo ningún testimonio sobre su vida en México, donde vivió hasta los 18 años. Las declaraciones juradas de los familiares del </w:t>
      </w:r>
      <w:r w:rsidR="000B09F5" w:rsidRPr="0058501F">
        <w:rPr>
          <w:rFonts w:ascii="Cambria" w:eastAsia="Arial Unicode MS" w:hAnsi="Cambria"/>
          <w:sz w:val="20"/>
          <w:szCs w:val="20"/>
          <w:bdr w:val="nil"/>
          <w:lang w:val="es-ES_tradnl"/>
        </w:rPr>
        <w:t>Sr.</w:t>
      </w:r>
      <w:r w:rsidRPr="0058501F">
        <w:rPr>
          <w:rFonts w:ascii="Cambria" w:eastAsia="Arial Unicode MS" w:hAnsi="Cambria"/>
          <w:sz w:val="20"/>
          <w:szCs w:val="20"/>
          <w:bdr w:val="nil"/>
          <w:lang w:val="es-ES_tradnl"/>
        </w:rPr>
        <w:t xml:space="preserve"> Ibarra indican que nunca fueron contactados por ningún miembro del equipo de la defensa, ni para dar testimonio ni para proporcionar pruebas a la defensa. El abogado defensor llamó solo a dos hermanos y a la esposa del Sr. Ibarra para declarar en el juicio. A uno de esos hermanos solo se le pidió que testificara en la </w:t>
      </w:r>
      <w:r w:rsidR="000B09F5" w:rsidRPr="0058501F">
        <w:rPr>
          <w:rFonts w:ascii="Cambria" w:eastAsia="Arial Unicode MS" w:hAnsi="Cambria"/>
          <w:sz w:val="20"/>
          <w:szCs w:val="20"/>
          <w:bdr w:val="nil"/>
          <w:lang w:val="es-ES_tradnl"/>
        </w:rPr>
        <w:t>etapa de determinación de la prueba</w:t>
      </w:r>
      <w:r w:rsidRPr="0058501F">
        <w:rPr>
          <w:rFonts w:ascii="Cambria" w:eastAsia="Arial Unicode MS" w:hAnsi="Cambria"/>
          <w:sz w:val="20"/>
          <w:szCs w:val="20"/>
          <w:bdr w:val="nil"/>
          <w:lang w:val="es-ES_tradnl"/>
        </w:rPr>
        <w:t xml:space="preserve"> y nunca habló con un abogado antes de testificar. Según los peticionarios, ninguno de estos testigos conocía al </w:t>
      </w:r>
      <w:r w:rsidR="000B09F5" w:rsidRPr="0058501F">
        <w:rPr>
          <w:rFonts w:ascii="Cambria" w:eastAsia="Arial Unicode MS" w:hAnsi="Cambria"/>
          <w:sz w:val="20"/>
          <w:szCs w:val="20"/>
          <w:bdr w:val="nil"/>
          <w:lang w:val="es-ES_tradnl"/>
        </w:rPr>
        <w:t>Sr.</w:t>
      </w:r>
      <w:r w:rsidRPr="0058501F">
        <w:rPr>
          <w:rFonts w:ascii="Cambria" w:eastAsia="Arial Unicode MS" w:hAnsi="Cambria"/>
          <w:sz w:val="20"/>
          <w:szCs w:val="20"/>
          <w:bdr w:val="nil"/>
          <w:lang w:val="es-ES_tradnl"/>
        </w:rPr>
        <w:t xml:space="preserve"> Ibarra antes de que cumpliera los dieciocho años. Alegan que el prejuicio aquí fue particularmente agudo debido a la falta de información presentada sobre su historia, carácter y estado mental.</w:t>
      </w:r>
    </w:p>
    <w:p w14:paraId="1388BC61" w14:textId="77777777" w:rsidR="000B09F5" w:rsidRPr="0058501F" w:rsidRDefault="000B09F5" w:rsidP="00470EC4">
      <w:pPr>
        <w:numPr>
          <w:ilvl w:val="0"/>
          <w:numId w:val="1"/>
        </w:numPr>
        <w:pBdr>
          <w:top w:val="nil"/>
          <w:left w:val="nil"/>
          <w:bottom w:val="nil"/>
          <w:right w:val="nil"/>
          <w:between w:val="nil"/>
          <w:bar w:val="nil"/>
        </w:pBdr>
        <w:tabs>
          <w:tab w:val="left" w:pos="450"/>
        </w:tabs>
        <w:suppressAutoHyphens/>
        <w:spacing w:after="240" w:line="240" w:lineRule="auto"/>
        <w:ind w:firstLine="0"/>
        <w:jc w:val="both"/>
        <w:rPr>
          <w:rFonts w:ascii="Cambria" w:eastAsia="Arial Unicode MS" w:hAnsi="Cambria"/>
          <w:sz w:val="20"/>
          <w:szCs w:val="20"/>
          <w:bdr w:val="nil"/>
          <w:lang w:val="es-ES_tradnl"/>
        </w:rPr>
      </w:pPr>
      <w:r w:rsidRPr="0058501F">
        <w:rPr>
          <w:rFonts w:ascii="Cambria" w:eastAsia="Arial Unicode MS" w:hAnsi="Cambria"/>
          <w:sz w:val="20"/>
          <w:szCs w:val="20"/>
          <w:bdr w:val="nil"/>
          <w:lang w:val="es-ES_tradnl"/>
        </w:rPr>
        <w:t xml:space="preserve">Los peticionarios también sostienen que el Sr. Ibarra, quien prácticamente no hablaba inglés y tenía una educación de tercer grado, estuvo detenido durante más de un año en espera de su juicio por homicidio agravado sin ser informado de sus derechos de notificación y acceso consular. El 22 de septiembre de 1997, cuando el Sr. Ibarra fue condenado a muerte, un periodista mexicano se comunicó con el consulado de México en Austin, Texas, y los funcionarios consulares se comunicaron de inmediato con la defensa y los familiares del Sr. Ibarra para confirmar su nacionalidad. Los peticionarios alegan que al no notificar al </w:t>
      </w:r>
      <w:r w:rsidR="00DD040D" w:rsidRPr="0058501F">
        <w:rPr>
          <w:rFonts w:ascii="Cambria" w:eastAsia="Arial Unicode MS" w:hAnsi="Cambria"/>
          <w:sz w:val="20"/>
          <w:szCs w:val="20"/>
          <w:bdr w:val="nil"/>
          <w:lang w:val="es-ES_tradnl"/>
        </w:rPr>
        <w:t>Sr.</w:t>
      </w:r>
      <w:r w:rsidRPr="0058501F">
        <w:rPr>
          <w:rFonts w:ascii="Cambria" w:eastAsia="Arial Unicode MS" w:hAnsi="Cambria"/>
          <w:sz w:val="20"/>
          <w:szCs w:val="20"/>
          <w:bdr w:val="nil"/>
          <w:lang w:val="es-ES_tradnl"/>
        </w:rPr>
        <w:t xml:space="preserve"> Ibarra sobre sus derechos de acceso consular y notificación al momento de su detención, el Estado violó sus obligaciones vinculantes bajo el artículo 36 (1) (b) de la Convención de Viena sobre Relaciones Consulares (VCCR). Alegan que, como consecuencia de esa violación, el </w:t>
      </w:r>
      <w:r w:rsidR="001369A2" w:rsidRPr="0058501F">
        <w:rPr>
          <w:rFonts w:ascii="Cambria" w:eastAsia="Arial Unicode MS" w:hAnsi="Cambria"/>
          <w:sz w:val="20"/>
          <w:szCs w:val="20"/>
          <w:bdr w:val="nil"/>
          <w:lang w:val="es-ES_tradnl"/>
        </w:rPr>
        <w:t>Sr.</w:t>
      </w:r>
      <w:r w:rsidRPr="0058501F">
        <w:rPr>
          <w:rFonts w:ascii="Cambria" w:eastAsia="Arial Unicode MS" w:hAnsi="Cambria"/>
          <w:sz w:val="20"/>
          <w:szCs w:val="20"/>
          <w:bdr w:val="nil"/>
          <w:lang w:val="es-ES_tradnl"/>
        </w:rPr>
        <w:t xml:space="preserve"> Ibarra fue privado de un componente fundamental del debido proceso. Además, sostienen que los tribunales estatales y federales no han proporcionado en forma sistemática ningún remedio por la violación admitida de los derechos consulares del </w:t>
      </w:r>
      <w:r w:rsidR="001369A2" w:rsidRPr="0058501F">
        <w:rPr>
          <w:rFonts w:ascii="Cambria" w:eastAsia="Arial Unicode MS" w:hAnsi="Cambria"/>
          <w:sz w:val="20"/>
          <w:szCs w:val="20"/>
          <w:bdr w:val="nil"/>
          <w:lang w:val="es-ES_tradnl"/>
        </w:rPr>
        <w:t>Sr.</w:t>
      </w:r>
      <w:r w:rsidRPr="0058501F">
        <w:rPr>
          <w:rFonts w:ascii="Cambria" w:eastAsia="Arial Unicode MS" w:hAnsi="Cambria"/>
          <w:sz w:val="20"/>
          <w:szCs w:val="20"/>
          <w:bdr w:val="nil"/>
          <w:lang w:val="es-ES_tradnl"/>
        </w:rPr>
        <w:t xml:space="preserve"> Ibarra, en violación del artículo 36 (2) de la VCCR.</w:t>
      </w:r>
    </w:p>
    <w:p w14:paraId="7FAF9F6A" w14:textId="77777777" w:rsidR="00930A61" w:rsidRPr="0058501F" w:rsidRDefault="001369A2" w:rsidP="00470EC4">
      <w:pPr>
        <w:numPr>
          <w:ilvl w:val="0"/>
          <w:numId w:val="1"/>
        </w:numPr>
        <w:pBdr>
          <w:top w:val="nil"/>
          <w:left w:val="nil"/>
          <w:bottom w:val="nil"/>
          <w:right w:val="nil"/>
          <w:between w:val="nil"/>
          <w:bar w:val="nil"/>
        </w:pBdr>
        <w:tabs>
          <w:tab w:val="left" w:pos="450"/>
        </w:tabs>
        <w:suppressAutoHyphens/>
        <w:spacing w:after="240" w:line="240" w:lineRule="auto"/>
        <w:ind w:firstLine="0"/>
        <w:jc w:val="both"/>
        <w:rPr>
          <w:rFonts w:ascii="Cambria" w:eastAsia="Arial Unicode MS" w:hAnsi="Cambria"/>
          <w:sz w:val="20"/>
          <w:szCs w:val="20"/>
          <w:bdr w:val="nil"/>
          <w:lang w:val="es-ES_tradnl"/>
        </w:rPr>
      </w:pPr>
      <w:r w:rsidRPr="0058501F">
        <w:rPr>
          <w:rFonts w:ascii="Cambria" w:eastAsia="Arial Unicode MS" w:hAnsi="Cambria"/>
          <w:sz w:val="20"/>
          <w:szCs w:val="20"/>
          <w:bdr w:val="nil"/>
          <w:lang w:val="es-ES_tradnl"/>
        </w:rPr>
        <w:t xml:space="preserve">Los peticionarios también afirman que el 10 de noviembre de 2004, la </w:t>
      </w:r>
      <w:r w:rsidR="00DD040D" w:rsidRPr="0058501F">
        <w:rPr>
          <w:rFonts w:ascii="Cambria" w:eastAsia="Arial Unicode MS" w:hAnsi="Cambria"/>
          <w:sz w:val="20"/>
          <w:szCs w:val="20"/>
          <w:bdr w:val="nil"/>
          <w:lang w:val="es-ES_tradnl"/>
        </w:rPr>
        <w:t>Tribunal Penal de Apelaciones de Texas</w:t>
      </w:r>
      <w:r w:rsidRPr="0058501F">
        <w:rPr>
          <w:rFonts w:ascii="Cambria" w:eastAsia="Arial Unicode MS" w:hAnsi="Cambria"/>
          <w:sz w:val="20"/>
          <w:szCs w:val="20"/>
          <w:bdr w:val="nil"/>
          <w:lang w:val="es-ES_tradnl"/>
        </w:rPr>
        <w:t xml:space="preserve"> Penal de Texas remitió el caso al tribunal de primera instancia para que se ocupara de los méritos del reclamo Atkins del Sr. Ibarra, pero ninguno de los dos tribunales designó un abogado para representarlo durante este proceso. Señalan que no se tomaron más acciones hasta el 28 de junio de 2006, cuando la </w:t>
      </w:r>
      <w:r w:rsidR="00DD040D" w:rsidRPr="0058501F">
        <w:rPr>
          <w:rFonts w:ascii="Cambria" w:eastAsia="Arial Unicode MS" w:hAnsi="Cambria"/>
          <w:sz w:val="20"/>
          <w:szCs w:val="20"/>
          <w:bdr w:val="nil"/>
          <w:lang w:val="es-ES_tradnl"/>
        </w:rPr>
        <w:t>Tribunal Penal de Apelaciones de Texas</w:t>
      </w:r>
      <w:r w:rsidRPr="0058501F">
        <w:rPr>
          <w:rFonts w:ascii="Cambria" w:eastAsia="Arial Unicode MS" w:hAnsi="Cambria"/>
          <w:sz w:val="20"/>
          <w:szCs w:val="20"/>
          <w:bdr w:val="nil"/>
          <w:lang w:val="es-ES_tradnl"/>
        </w:rPr>
        <w:t xml:space="preserve"> Penal ordenó abruptamente al tribunal de primera instancia resolver el caso en un plazo de noventa días. El Sr. Ibarra, que es indigente, permaneció sin representación en la corte estatal hasta que un abogado voluntario compareció el 18 de julio de 2006, apenas dos meses antes de la audiencia de Atkins programada para el 18 de septiembre de 2006.</w:t>
      </w:r>
    </w:p>
    <w:p w14:paraId="0F839EF8" w14:textId="77777777" w:rsidR="00930A61" w:rsidRPr="0058501F" w:rsidRDefault="00930A61" w:rsidP="00470EC4">
      <w:pPr>
        <w:numPr>
          <w:ilvl w:val="0"/>
          <w:numId w:val="1"/>
        </w:numPr>
        <w:pBdr>
          <w:top w:val="nil"/>
          <w:left w:val="nil"/>
          <w:bottom w:val="nil"/>
          <w:right w:val="nil"/>
          <w:between w:val="nil"/>
          <w:bar w:val="nil"/>
        </w:pBdr>
        <w:tabs>
          <w:tab w:val="left" w:pos="450"/>
        </w:tabs>
        <w:suppressAutoHyphens/>
        <w:spacing w:after="240" w:line="240" w:lineRule="auto"/>
        <w:ind w:firstLine="0"/>
        <w:jc w:val="both"/>
        <w:rPr>
          <w:rFonts w:ascii="Cambria" w:eastAsia="Arial Unicode MS" w:hAnsi="Cambria"/>
          <w:sz w:val="20"/>
          <w:szCs w:val="20"/>
          <w:bdr w:val="nil"/>
          <w:lang w:val="es-ES_tradnl"/>
        </w:rPr>
      </w:pPr>
      <w:r w:rsidRPr="0058501F">
        <w:rPr>
          <w:rFonts w:ascii="Cambria" w:eastAsia="Arial Unicode MS" w:hAnsi="Cambria"/>
          <w:sz w:val="20"/>
          <w:szCs w:val="20"/>
          <w:bdr w:val="nil"/>
          <w:lang w:val="es-ES_tradnl"/>
        </w:rPr>
        <w:t xml:space="preserve">La petición afirma que la revisión posterior a la condena del caso del Sr. Ibarra estuvo teñida de manera inadmisible por prejuicios raciales, étnicos y de origen nacional, en forma de declaraciones públicas hechas por uno de los jueces federales superiores asignados para revisar su caso. La petición señala que el 20 de febrero de 2013, mientras la solicitud del Sr. Ibarra respecto de una nueva audiencia </w:t>
      </w:r>
      <w:r w:rsidRPr="0058501F">
        <w:rPr>
          <w:rFonts w:ascii="Cambria" w:eastAsia="Arial Unicode MS" w:hAnsi="Cambria"/>
          <w:i/>
          <w:iCs/>
          <w:sz w:val="20"/>
          <w:szCs w:val="20"/>
          <w:bdr w:val="nil"/>
          <w:lang w:val="es-ES_tradnl"/>
        </w:rPr>
        <w:t xml:space="preserve">en </w:t>
      </w:r>
      <w:proofErr w:type="spellStart"/>
      <w:r w:rsidRPr="0058501F">
        <w:rPr>
          <w:rFonts w:ascii="Cambria" w:eastAsia="Arial Unicode MS" w:hAnsi="Cambria"/>
          <w:i/>
          <w:iCs/>
          <w:sz w:val="20"/>
          <w:szCs w:val="20"/>
          <w:bdr w:val="nil"/>
          <w:lang w:val="es-ES_tradnl"/>
        </w:rPr>
        <w:t>banc</w:t>
      </w:r>
      <w:proofErr w:type="spellEnd"/>
      <w:r w:rsidRPr="0058501F">
        <w:rPr>
          <w:rFonts w:ascii="Cambria" w:eastAsia="Arial Unicode MS" w:hAnsi="Cambria"/>
          <w:sz w:val="20"/>
          <w:szCs w:val="20"/>
          <w:bdr w:val="nil"/>
          <w:lang w:val="es-ES_tradnl"/>
        </w:rPr>
        <w:t xml:space="preserve"> estaba pendiente ante el Tribunal de Apelaciones del Quinto Circuito de los Estados Unidos, la jueza del Tribunal del Quinto Circuito, </w:t>
      </w:r>
      <w:r w:rsidRPr="0058501F">
        <w:rPr>
          <w:rFonts w:ascii="Cambria" w:eastAsia="Arial Unicode MS" w:hAnsi="Cambria"/>
          <w:sz w:val="20"/>
          <w:szCs w:val="20"/>
          <w:bdr w:val="nil"/>
          <w:lang w:val="es-ES_tradnl"/>
        </w:rPr>
        <w:lastRenderedPageBreak/>
        <w:t xml:space="preserve">Edith Jones, brindó una conferencia sobre la pena de muerte en la Facultad de Derecho de la Universidad de Pensilvania. Se alega que la jueza Jones discutió varios casos individuales durante su conferencia, incluido el caso del Sr. Ibarra, que ella presidía en ese momento. En particular, </w:t>
      </w:r>
      <w:proofErr w:type="gramStart"/>
      <w:r w:rsidRPr="0058501F">
        <w:rPr>
          <w:rFonts w:ascii="Cambria" w:eastAsia="Arial Unicode MS" w:hAnsi="Cambria"/>
          <w:sz w:val="20"/>
          <w:szCs w:val="20"/>
          <w:bdr w:val="nil"/>
          <w:lang w:val="es-ES_tradnl"/>
        </w:rPr>
        <w:t>que</w:t>
      </w:r>
      <w:proofErr w:type="gramEnd"/>
      <w:r w:rsidRPr="0058501F">
        <w:rPr>
          <w:rFonts w:ascii="Cambria" w:eastAsia="Arial Unicode MS" w:hAnsi="Cambria"/>
          <w:sz w:val="20"/>
          <w:szCs w:val="20"/>
          <w:bdr w:val="nil"/>
          <w:lang w:val="es-ES_tradnl"/>
        </w:rPr>
        <w:t xml:space="preserve"> durante la conferencia, la jueza Jones presuntamente hizo varias declaraciones que dieron la apariencia de prejuicio y parcialidad contra el Sr. Ibarra, incluidas declaraciones que sugerían prejuicios raciales, étnicos y de origen nacional, al tiempo que denigraba las afirmaciones sobre discapacidad intelectual y derechos consulares planteadas por el Sr. Ibarra.</w:t>
      </w:r>
    </w:p>
    <w:p w14:paraId="47765481" w14:textId="77777777" w:rsidR="00930A61" w:rsidRPr="0058501F" w:rsidRDefault="00930A61" w:rsidP="00470EC4">
      <w:pPr>
        <w:numPr>
          <w:ilvl w:val="0"/>
          <w:numId w:val="1"/>
        </w:numPr>
        <w:pBdr>
          <w:top w:val="nil"/>
          <w:left w:val="nil"/>
          <w:bottom w:val="nil"/>
          <w:right w:val="nil"/>
          <w:between w:val="nil"/>
          <w:bar w:val="nil"/>
        </w:pBdr>
        <w:tabs>
          <w:tab w:val="left" w:pos="450"/>
        </w:tabs>
        <w:spacing w:before="240" w:after="240" w:line="240" w:lineRule="auto"/>
        <w:ind w:firstLine="0"/>
        <w:jc w:val="both"/>
        <w:rPr>
          <w:rFonts w:ascii="Cambria" w:eastAsia="Cambria" w:hAnsi="Cambria" w:cs="Cambria"/>
          <w:color w:val="000000"/>
          <w:sz w:val="20"/>
          <w:szCs w:val="20"/>
          <w:u w:color="000000"/>
          <w:bdr w:val="nil"/>
          <w:lang w:val="es-ES_tradnl" w:eastAsia="es-ES"/>
        </w:rPr>
      </w:pPr>
      <w:r w:rsidRPr="0058501F">
        <w:rPr>
          <w:rFonts w:ascii="Cambria" w:eastAsia="Cambria" w:hAnsi="Cambria" w:cs="Cambria"/>
          <w:color w:val="000000"/>
          <w:sz w:val="20"/>
          <w:szCs w:val="20"/>
          <w:u w:color="000000"/>
          <w:bdr w:val="nil"/>
          <w:lang w:val="es-ES_tradnl" w:eastAsia="es-ES"/>
        </w:rPr>
        <w:t>Los peticionarios proporcionaron referencias a supuestas declaraciones realizadas por l</w:t>
      </w:r>
      <w:r w:rsidR="00BD0449" w:rsidRPr="0058501F">
        <w:rPr>
          <w:rFonts w:ascii="Cambria" w:eastAsia="Cambria" w:hAnsi="Cambria" w:cs="Cambria"/>
          <w:color w:val="000000"/>
          <w:sz w:val="20"/>
          <w:szCs w:val="20"/>
          <w:u w:color="000000"/>
          <w:bdr w:val="nil"/>
          <w:lang w:val="es-ES_tradnl" w:eastAsia="es-ES"/>
        </w:rPr>
        <w:t>a</w:t>
      </w:r>
      <w:r w:rsidRPr="0058501F">
        <w:rPr>
          <w:rFonts w:ascii="Cambria" w:eastAsia="Cambria" w:hAnsi="Cambria" w:cs="Cambria"/>
          <w:color w:val="000000"/>
          <w:sz w:val="20"/>
          <w:szCs w:val="20"/>
          <w:u w:color="000000"/>
          <w:bdr w:val="nil"/>
          <w:lang w:val="es-ES_tradnl" w:eastAsia="es-ES"/>
        </w:rPr>
        <w:t xml:space="preserve"> juez</w:t>
      </w:r>
      <w:r w:rsidR="00BD0449" w:rsidRPr="0058501F">
        <w:rPr>
          <w:rFonts w:ascii="Cambria" w:eastAsia="Cambria" w:hAnsi="Cambria" w:cs="Cambria"/>
          <w:color w:val="000000"/>
          <w:sz w:val="20"/>
          <w:szCs w:val="20"/>
          <w:u w:color="000000"/>
          <w:bdr w:val="nil"/>
          <w:lang w:val="es-ES_tradnl" w:eastAsia="es-ES"/>
        </w:rPr>
        <w:t>a</w:t>
      </w:r>
      <w:r w:rsidRPr="0058501F">
        <w:rPr>
          <w:rFonts w:ascii="Cambria" w:eastAsia="Cambria" w:hAnsi="Cambria" w:cs="Cambria"/>
          <w:color w:val="000000"/>
          <w:sz w:val="20"/>
          <w:szCs w:val="20"/>
          <w:u w:color="000000"/>
          <w:bdr w:val="nil"/>
          <w:lang w:val="es-ES_tradnl" w:eastAsia="es-ES"/>
        </w:rPr>
        <w:t xml:space="preserve"> Jones en apoyo de esta denuncia:</w:t>
      </w:r>
    </w:p>
    <w:p w14:paraId="2194AC7C" w14:textId="77777777" w:rsidR="00BD0449" w:rsidRPr="0058501F" w:rsidRDefault="00930A61" w:rsidP="00BD0449">
      <w:pPr>
        <w:pBdr>
          <w:top w:val="nil"/>
          <w:left w:val="nil"/>
          <w:bottom w:val="nil"/>
          <w:right w:val="nil"/>
          <w:between w:val="nil"/>
          <w:bar w:val="nil"/>
        </w:pBdr>
        <w:spacing w:after="0" w:line="240" w:lineRule="auto"/>
        <w:ind w:left="360"/>
        <w:jc w:val="both"/>
        <w:rPr>
          <w:rFonts w:ascii="Cambria" w:eastAsia="Cambria" w:hAnsi="Cambria" w:cs="Cambria"/>
          <w:color w:val="000000"/>
          <w:sz w:val="16"/>
          <w:szCs w:val="16"/>
          <w:u w:color="000000"/>
          <w:bdr w:val="nil"/>
          <w:lang w:val="es-ES_tradnl" w:eastAsia="es-ES"/>
        </w:rPr>
      </w:pPr>
      <w:r w:rsidRPr="0058501F">
        <w:rPr>
          <w:rFonts w:ascii="Cambria" w:eastAsia="Cambria" w:hAnsi="Cambria" w:cs="Cambria"/>
          <w:color w:val="000000"/>
          <w:sz w:val="16"/>
          <w:szCs w:val="16"/>
          <w:u w:color="000000"/>
          <w:bdr w:val="nil"/>
          <w:lang w:val="es-ES_tradnl" w:eastAsia="es-ES"/>
        </w:rPr>
        <w:t>“Los grupos [r]aciales como los afroamericanos y los hispanos están predispuestos al crimen”, son “'propensos' a cometer actos de violencia” y se involucran en crímenes más violentos y “atroces” que las personas de otras razas, etnias y nacionalidades;</w:t>
      </w:r>
    </w:p>
    <w:p w14:paraId="5FA9DFCB" w14:textId="77777777" w:rsidR="00930A61" w:rsidRPr="0058501F" w:rsidRDefault="00930A61" w:rsidP="00BD0449">
      <w:pPr>
        <w:pBdr>
          <w:top w:val="nil"/>
          <w:left w:val="nil"/>
          <w:bottom w:val="nil"/>
          <w:right w:val="nil"/>
          <w:between w:val="nil"/>
          <w:bar w:val="nil"/>
        </w:pBdr>
        <w:spacing w:after="0" w:line="240" w:lineRule="auto"/>
        <w:ind w:left="360"/>
        <w:jc w:val="both"/>
        <w:rPr>
          <w:rFonts w:ascii="Cambria" w:eastAsia="Cambria" w:hAnsi="Cambria" w:cs="Cambria"/>
          <w:color w:val="000000"/>
          <w:sz w:val="16"/>
          <w:szCs w:val="16"/>
          <w:u w:color="000000"/>
          <w:bdr w:val="nil"/>
          <w:lang w:val="es-ES_tradnl" w:eastAsia="es-ES"/>
        </w:rPr>
      </w:pPr>
      <w:r w:rsidRPr="0058501F">
        <w:rPr>
          <w:rFonts w:ascii="Cambria" w:eastAsia="Cambria" w:hAnsi="Cambria" w:cs="Cambria"/>
          <w:color w:val="000000"/>
          <w:sz w:val="16"/>
          <w:szCs w:val="16"/>
          <w:u w:color="000000"/>
          <w:bdr w:val="nil"/>
          <w:lang w:val="es-ES_tradnl" w:eastAsia="es-ES"/>
        </w:rPr>
        <w:t>México no brinda las protecciones legales dentro de su sistema de justicia penal que recibiría un ciudadano mexicano que enfrenta una sentencia de muerte en los Estados Unidos;</w:t>
      </w:r>
    </w:p>
    <w:p w14:paraId="12FB6B48" w14:textId="77777777" w:rsidR="00BD0449" w:rsidRPr="0058501F" w:rsidRDefault="00930A61" w:rsidP="00BD0449">
      <w:pPr>
        <w:pBdr>
          <w:top w:val="nil"/>
          <w:left w:val="nil"/>
          <w:bottom w:val="nil"/>
          <w:right w:val="nil"/>
          <w:between w:val="nil"/>
          <w:bar w:val="nil"/>
        </w:pBdr>
        <w:spacing w:after="0" w:line="240" w:lineRule="auto"/>
        <w:ind w:left="360"/>
        <w:jc w:val="both"/>
        <w:rPr>
          <w:rFonts w:ascii="Cambria" w:eastAsia="Cambria" w:hAnsi="Cambria" w:cs="Cambria"/>
          <w:color w:val="000000"/>
          <w:sz w:val="16"/>
          <w:szCs w:val="16"/>
          <w:u w:color="000000"/>
          <w:bdr w:val="nil"/>
          <w:lang w:val="es-ES_tradnl" w:eastAsia="es-ES"/>
        </w:rPr>
      </w:pPr>
      <w:r w:rsidRPr="0058501F">
        <w:rPr>
          <w:rFonts w:ascii="Cambria" w:eastAsia="Cambria" w:hAnsi="Cambria" w:cs="Cambria"/>
          <w:color w:val="000000"/>
          <w:sz w:val="16"/>
          <w:szCs w:val="16"/>
          <w:u w:color="000000"/>
          <w:bdr w:val="nil"/>
          <w:lang w:val="es-ES_tradnl" w:eastAsia="es-ES"/>
        </w:rPr>
        <w:t>Los ciudadanos mexicanos en el corredor de la muerte, como el Sr. Ibarra, preferirían estar en el corredor de la muerte en los Estados Unidos que en prisión en México”;</w:t>
      </w:r>
    </w:p>
    <w:p w14:paraId="524F5849" w14:textId="77777777" w:rsidR="008874B2" w:rsidRPr="0058501F" w:rsidRDefault="00BD0449" w:rsidP="00470EC4">
      <w:pPr>
        <w:numPr>
          <w:ilvl w:val="0"/>
          <w:numId w:val="1"/>
        </w:numPr>
        <w:pBdr>
          <w:top w:val="nil"/>
          <w:left w:val="nil"/>
          <w:bottom w:val="nil"/>
          <w:right w:val="nil"/>
          <w:between w:val="nil"/>
          <w:bar w:val="nil"/>
        </w:pBdr>
        <w:tabs>
          <w:tab w:val="clear" w:pos="720"/>
          <w:tab w:val="num" w:pos="450"/>
        </w:tabs>
        <w:spacing w:before="240" w:after="240" w:line="240" w:lineRule="auto"/>
        <w:ind w:firstLine="0"/>
        <w:jc w:val="both"/>
        <w:rPr>
          <w:rFonts w:ascii="Cambria" w:eastAsia="Cambria" w:hAnsi="Cambria" w:cs="Cambria"/>
          <w:color w:val="000000"/>
          <w:sz w:val="20"/>
          <w:szCs w:val="20"/>
          <w:u w:color="000000"/>
          <w:bdr w:val="nil"/>
          <w:lang w:val="es-ES_tradnl" w:eastAsia="es-ES"/>
        </w:rPr>
      </w:pPr>
      <w:r w:rsidRPr="0058501F">
        <w:rPr>
          <w:rFonts w:ascii="Cambria" w:eastAsia="Cambria" w:hAnsi="Cambria" w:cs="Cambria"/>
          <w:color w:val="000000"/>
          <w:sz w:val="20"/>
          <w:szCs w:val="20"/>
          <w:u w:color="000000"/>
          <w:bdr w:val="nil"/>
          <w:lang w:val="es-ES_tradnl" w:eastAsia="es-ES"/>
        </w:rPr>
        <w:t>El Consejo Judicial de los Estados Unidos recibió una denuncia con respecto a los comentarios hechos en la conferencia por varios grupos de asistencia legal y de libertades civiles, y el Comité Especial inició una investigación. Sin embargo, el 7 de julio de 2014, el Comité Especial emitió un informe detallando sus hallazgos y recomendó que el Consejo de la Judicatura desestimara la denuncia. Los peticionarios afirman que un panel de jueces superiores realizó una revisión parcial y que buscaba proteger a la juega Jones ante la denuncia por mala conducta judicial. Cabe destacar que a los denunciantes se les negó el acceso a los materiales en los que el Comité Especial se basó como más creíbles que las numerosas declaraciones juradas que respaldan la denuncia. Sostienen que el proceso deficiente fue claramente insuficiente para brindar "recursos adecuados y efectivos" por las presuntas violaciones de los derechos del Sr. Ibarra. Además, el procedimiento de revisión de la denuncia por mala conducta judicial violó el derecho del Sr. Ibarra a una revisión justa y a recursos efectivos.</w:t>
      </w:r>
    </w:p>
    <w:p w14:paraId="48FACC06" w14:textId="77777777" w:rsidR="00BD0449" w:rsidRPr="0058501F" w:rsidRDefault="00BD0449" w:rsidP="00470EC4">
      <w:pPr>
        <w:numPr>
          <w:ilvl w:val="0"/>
          <w:numId w:val="1"/>
        </w:numPr>
        <w:pBdr>
          <w:top w:val="nil"/>
          <w:left w:val="nil"/>
          <w:bottom w:val="nil"/>
          <w:right w:val="nil"/>
          <w:between w:val="nil"/>
          <w:bar w:val="nil"/>
        </w:pBdr>
        <w:tabs>
          <w:tab w:val="clear" w:pos="720"/>
          <w:tab w:val="num" w:pos="450"/>
        </w:tabs>
        <w:spacing w:before="240" w:after="240" w:line="240" w:lineRule="auto"/>
        <w:ind w:firstLine="0"/>
        <w:jc w:val="both"/>
        <w:rPr>
          <w:rFonts w:ascii="Cambria" w:eastAsia="Cambria" w:hAnsi="Cambria" w:cs="Cambria"/>
          <w:color w:val="000000"/>
          <w:sz w:val="20"/>
          <w:szCs w:val="20"/>
          <w:u w:color="000000"/>
          <w:bdr w:val="nil"/>
          <w:lang w:val="es-ES_tradnl" w:eastAsia="es-ES"/>
        </w:rPr>
      </w:pPr>
      <w:r w:rsidRPr="0058501F">
        <w:rPr>
          <w:rFonts w:ascii="Cambria" w:eastAsia="Cambria" w:hAnsi="Cambria" w:cs="Cambria"/>
          <w:color w:val="000000"/>
          <w:sz w:val="20"/>
          <w:szCs w:val="20"/>
          <w:u w:color="000000"/>
          <w:bdr w:val="nil"/>
          <w:lang w:val="es-ES_tradnl" w:eastAsia="es-ES"/>
        </w:rPr>
        <w:t>El 12 de agosto de 2014, el Consejo de la Judicatura adoptó el informe y la recomendación del Comité Especial. El 14 de octubre de 2014 los denunciantes interpusieron un recurso de apelación ante la Comisión de Conducta Judicial y Discapacidad, solicitando la revocación de la decisión del Consejo Judicial desestimando la denuncia. El 19 de febrero de 2015, el Comité de Conducta Judicial y Discapacidad desestimó la apelación y ratificó la decisión del Consejo Judicial.</w:t>
      </w:r>
    </w:p>
    <w:p w14:paraId="5871E469" w14:textId="77777777" w:rsidR="00370216" w:rsidRPr="0058501F" w:rsidRDefault="00370216" w:rsidP="00470EC4">
      <w:pPr>
        <w:numPr>
          <w:ilvl w:val="0"/>
          <w:numId w:val="1"/>
        </w:numPr>
        <w:pBdr>
          <w:top w:val="nil"/>
          <w:left w:val="nil"/>
          <w:bottom w:val="nil"/>
          <w:right w:val="nil"/>
          <w:between w:val="nil"/>
          <w:bar w:val="nil"/>
        </w:pBdr>
        <w:tabs>
          <w:tab w:val="clear" w:pos="720"/>
          <w:tab w:val="num" w:pos="450"/>
        </w:tabs>
        <w:spacing w:before="240" w:after="240" w:line="240" w:lineRule="auto"/>
        <w:ind w:firstLine="0"/>
        <w:jc w:val="both"/>
        <w:rPr>
          <w:rFonts w:ascii="Cambria" w:eastAsia="Cambria" w:hAnsi="Cambria" w:cs="Cambria"/>
          <w:color w:val="000000"/>
          <w:sz w:val="20"/>
          <w:szCs w:val="20"/>
          <w:u w:color="000000"/>
          <w:bdr w:val="nil"/>
          <w:lang w:val="es-ES_tradnl" w:eastAsia="es-ES"/>
        </w:rPr>
      </w:pPr>
      <w:r w:rsidRPr="0058501F">
        <w:rPr>
          <w:rFonts w:ascii="Cambria" w:eastAsia="Cambria" w:hAnsi="Cambria" w:cs="Cambria"/>
          <w:color w:val="000000"/>
          <w:sz w:val="20"/>
          <w:szCs w:val="20"/>
          <w:u w:color="000000"/>
          <w:bdr w:val="nil"/>
          <w:lang w:val="es-ES_tradnl" w:eastAsia="es-ES"/>
        </w:rPr>
        <w:t>Los peticionarios alegan que a los denunciantes se les negó el acceso a los materiales que el Comité Especial consideró más creíbles al compararlos con las numerosas declaraciones juradas que respaldaban su denuncia. No se les permitió testificar, ni siquiera asistir a la audiencia sobre su denuncia, ni tampoco pudieron interrogar al juez, ni se les proporcionó el informe de investigación ni los informes complementarios preparados por el Asesor Jurídico Especial del Comité. Afirman que cuando los querellantes apelaron el sobreseimiento alegando que el proceso fue atrozmente unilateral y fundamentalmente injusto, su recurso fue rechazado por considerar que los procedimientos seguidos por el Comité Especial se ajustaban a las normas reguladoras establecidas por el Comité de Conducta Judicial. y Discapacidad, sin investigar la idoneidad o suficiencia de esas reglas. Los peticionarios afirman que la adjudicación secreta y selectiva de las acusaciones de mala conducta nunca sopesó las declaraciones juradas de los querellantes ni explicó por qué deberían descartarse. El único mecanismo de reparación disponible en el derecho interno, según los peticionarios, fue por lo tanto ineficaz y dejó una fuerte impresión de parcialidad y este proceso profundamente defectuoso fue claramente insuficiente para brindar "recursos adecuados y efectivos".</w:t>
      </w:r>
    </w:p>
    <w:p w14:paraId="24546F01" w14:textId="77777777" w:rsidR="005A161A" w:rsidRPr="0058501F" w:rsidRDefault="005A161A" w:rsidP="00470EC4">
      <w:pPr>
        <w:numPr>
          <w:ilvl w:val="0"/>
          <w:numId w:val="1"/>
        </w:numPr>
        <w:pBdr>
          <w:top w:val="nil"/>
          <w:left w:val="nil"/>
          <w:bottom w:val="nil"/>
          <w:right w:val="nil"/>
          <w:between w:val="nil"/>
          <w:bar w:val="nil"/>
        </w:pBdr>
        <w:tabs>
          <w:tab w:val="clear" w:pos="720"/>
          <w:tab w:val="num" w:pos="450"/>
        </w:tabs>
        <w:spacing w:before="240" w:after="240" w:line="240" w:lineRule="auto"/>
        <w:ind w:firstLine="0"/>
        <w:jc w:val="both"/>
        <w:rPr>
          <w:rFonts w:ascii="Cambria" w:eastAsia="Cambria" w:hAnsi="Cambria" w:cs="Cambria"/>
          <w:color w:val="000000"/>
          <w:sz w:val="20"/>
          <w:szCs w:val="20"/>
          <w:u w:color="000000"/>
          <w:bdr w:val="nil"/>
          <w:lang w:val="es-ES_tradnl" w:eastAsia="es-ES"/>
        </w:rPr>
      </w:pPr>
      <w:r w:rsidRPr="0058501F">
        <w:rPr>
          <w:rFonts w:ascii="Cambria" w:eastAsia="Cambria" w:hAnsi="Cambria" w:cs="Cambria"/>
          <w:color w:val="000000"/>
          <w:sz w:val="20"/>
          <w:szCs w:val="20"/>
          <w:u w:color="000000"/>
          <w:bdr w:val="nil"/>
          <w:lang w:val="es-ES_tradnl" w:eastAsia="es-ES"/>
        </w:rPr>
        <w:t xml:space="preserve">Según los peticionarios, la negativa de la jueza Jones a la moción del </w:t>
      </w:r>
      <w:r w:rsidR="00DD040D" w:rsidRPr="0058501F">
        <w:rPr>
          <w:rFonts w:ascii="Cambria" w:eastAsia="Cambria" w:hAnsi="Cambria" w:cs="Cambria"/>
          <w:color w:val="000000"/>
          <w:sz w:val="20"/>
          <w:szCs w:val="20"/>
          <w:u w:color="000000"/>
          <w:bdr w:val="nil"/>
          <w:lang w:val="es-ES_tradnl" w:eastAsia="es-ES"/>
        </w:rPr>
        <w:t>Sr.</w:t>
      </w:r>
      <w:r w:rsidRPr="0058501F">
        <w:rPr>
          <w:rFonts w:ascii="Cambria" w:eastAsia="Cambria" w:hAnsi="Cambria" w:cs="Cambria"/>
          <w:color w:val="000000"/>
          <w:sz w:val="20"/>
          <w:szCs w:val="20"/>
          <w:u w:color="000000"/>
          <w:bdr w:val="nil"/>
          <w:lang w:val="es-ES_tradnl" w:eastAsia="es-ES"/>
        </w:rPr>
        <w:t xml:space="preserve"> Ibarra de inhabilitarla para escuchar su apelación con base en sus declaraciones públicas sobre el fondo de su caso violó otro aspecto fundamental de la imparcialidad judicial. Se sostiene que estas circunstancias constituyen una violación de los derechos del Sr. Ibarra a la igualdad ante la ley sin distinción de raza o nacionalidad, a no ser objeto de discriminación y a un recurso justo.</w:t>
      </w:r>
    </w:p>
    <w:p w14:paraId="5633518E" w14:textId="77777777" w:rsidR="005A161A" w:rsidRPr="0058501F" w:rsidRDefault="005A161A" w:rsidP="00470EC4">
      <w:pPr>
        <w:numPr>
          <w:ilvl w:val="0"/>
          <w:numId w:val="1"/>
        </w:numPr>
        <w:pBdr>
          <w:top w:val="nil"/>
          <w:left w:val="nil"/>
          <w:bottom w:val="nil"/>
          <w:right w:val="nil"/>
          <w:between w:val="nil"/>
          <w:bar w:val="nil"/>
        </w:pBdr>
        <w:tabs>
          <w:tab w:val="clear" w:pos="720"/>
          <w:tab w:val="num" w:pos="450"/>
        </w:tabs>
        <w:spacing w:before="240" w:after="240" w:line="240" w:lineRule="auto"/>
        <w:ind w:firstLine="0"/>
        <w:jc w:val="both"/>
        <w:rPr>
          <w:rFonts w:ascii="Cambria" w:eastAsia="Cambria" w:hAnsi="Cambria" w:cs="Cambria"/>
          <w:color w:val="000000"/>
          <w:sz w:val="20"/>
          <w:szCs w:val="20"/>
          <w:u w:color="000000"/>
          <w:bdr w:val="nil"/>
          <w:lang w:val="es-ES_tradnl" w:eastAsia="es-ES"/>
        </w:rPr>
      </w:pPr>
      <w:r w:rsidRPr="0058501F">
        <w:rPr>
          <w:rFonts w:ascii="Cambria" w:eastAsia="Cambria" w:hAnsi="Cambria" w:cs="Cambria"/>
          <w:color w:val="000000"/>
          <w:sz w:val="20"/>
          <w:szCs w:val="20"/>
          <w:u w:color="000000"/>
          <w:bdr w:val="nil"/>
          <w:lang w:val="es-ES_tradnl" w:eastAsia="es-ES"/>
        </w:rPr>
        <w:lastRenderedPageBreak/>
        <w:t>Los peticionarios afirman que el Sr. Ibarra ha sufrido 20 años de prisión en el corredor de la muerte en condiciones de confinamiento extremadamente inhumanas e innecesariamente duras, y que el confinamiento prolongado en el corredor de la muerte en tales condiciones viola el derecho a la integridad personal bajo custodia garantizado por el artículo XXV y la prohibición del castigo cruel en virtud del artículo XXVI de la Declaración Americana. Se afirma que las celdas en el corredor de la muerte miden aproximadamente dos metros y medio por doce pies, con un lavabo, un inodoro y una litera de treinta pulgadas de ancho, y con una sola ventana pequeña donde los presos solo pueden ver hacia afuera si se paran en sus literas.</w:t>
      </w:r>
    </w:p>
    <w:p w14:paraId="09CC8669" w14:textId="77777777" w:rsidR="005A161A" w:rsidRPr="0058501F" w:rsidRDefault="005A161A" w:rsidP="00470EC4">
      <w:pPr>
        <w:numPr>
          <w:ilvl w:val="0"/>
          <w:numId w:val="1"/>
        </w:numPr>
        <w:pBdr>
          <w:top w:val="nil"/>
          <w:left w:val="nil"/>
          <w:bottom w:val="nil"/>
          <w:right w:val="nil"/>
          <w:between w:val="nil"/>
          <w:bar w:val="nil"/>
        </w:pBdr>
        <w:tabs>
          <w:tab w:val="clear" w:pos="720"/>
          <w:tab w:val="num" w:pos="450"/>
        </w:tabs>
        <w:spacing w:before="240" w:after="240" w:line="240" w:lineRule="auto"/>
        <w:ind w:firstLine="0"/>
        <w:jc w:val="both"/>
        <w:rPr>
          <w:rFonts w:ascii="Cambria" w:eastAsia="Cambria" w:hAnsi="Cambria" w:cs="Cambria"/>
          <w:color w:val="000000"/>
          <w:sz w:val="20"/>
          <w:szCs w:val="20"/>
          <w:u w:color="000000"/>
          <w:bdr w:val="nil"/>
          <w:lang w:val="es-ES_tradnl" w:eastAsia="es-ES"/>
        </w:rPr>
      </w:pPr>
      <w:r w:rsidRPr="0058501F">
        <w:rPr>
          <w:rFonts w:ascii="Cambria" w:eastAsia="Cambria" w:hAnsi="Cambria" w:cs="Cambria"/>
          <w:color w:val="000000"/>
          <w:sz w:val="20"/>
          <w:szCs w:val="20"/>
          <w:u w:color="000000"/>
          <w:bdr w:val="nil"/>
          <w:lang w:val="es-ES_tradnl" w:eastAsia="es-ES"/>
        </w:rPr>
        <w:t>Además, a los presos condenados a muerte se les permite hacer ejercicio solo en incrementos limitados y solo en pequeñas "jaulas". Los reclusos no tienen acceso a la televisión ni a ningún programa educativo, están separados de los demás reclusos en todos los aspectos de sus vidas, incluidos la comida, la ducha y el culto. Pueden comunicarse entre sí solo gritando entre celdas y no se les permite ningún contacto físico con familiares, amigos o abogados. Incluso el sindicato que representa a los guardias del corredor de la muerte de Texas ha pedido un mejor tratamiento de los reclusos, señalando que “se vuelven locos, se vuelven clínicamente enfermos mentales, en condiciones de soledad allí”. El Sr. Ibarra fue condenado a muerte en Texas el 22 de septiembre de 1997. Los peticionarios alegan que corresponde a los Estados que se comprometen a imponer la pena capital establecer un sistema de revisión eficaz y expedito que asegure la confiabilidad de sus sentencias.</w:t>
      </w:r>
    </w:p>
    <w:p w14:paraId="064D2B1C" w14:textId="77777777" w:rsidR="005A161A" w:rsidRPr="0058501F" w:rsidRDefault="005A161A" w:rsidP="00470EC4">
      <w:pPr>
        <w:numPr>
          <w:ilvl w:val="0"/>
          <w:numId w:val="1"/>
        </w:numPr>
        <w:pBdr>
          <w:top w:val="nil"/>
          <w:left w:val="nil"/>
          <w:bottom w:val="nil"/>
          <w:right w:val="nil"/>
          <w:between w:val="nil"/>
          <w:bar w:val="nil"/>
        </w:pBdr>
        <w:tabs>
          <w:tab w:val="clear" w:pos="720"/>
          <w:tab w:val="num" w:pos="450"/>
        </w:tabs>
        <w:spacing w:before="240" w:after="240" w:line="240" w:lineRule="auto"/>
        <w:ind w:firstLine="0"/>
        <w:jc w:val="both"/>
        <w:rPr>
          <w:rFonts w:ascii="Cambria" w:eastAsia="Cambria" w:hAnsi="Cambria" w:cs="Cambria"/>
          <w:color w:val="000000"/>
          <w:sz w:val="20"/>
          <w:szCs w:val="20"/>
          <w:u w:color="000000"/>
          <w:bdr w:val="nil"/>
          <w:lang w:val="es-ES_tradnl" w:eastAsia="es-ES"/>
        </w:rPr>
      </w:pPr>
      <w:r w:rsidRPr="0058501F">
        <w:rPr>
          <w:rFonts w:ascii="Cambria" w:eastAsia="Cambria" w:hAnsi="Cambria" w:cs="Cambria"/>
          <w:color w:val="000000"/>
          <w:sz w:val="20"/>
          <w:szCs w:val="20"/>
          <w:u w:color="000000"/>
          <w:bdr w:val="nil"/>
          <w:lang w:val="es-ES_tradnl" w:eastAsia="es-ES"/>
        </w:rPr>
        <w:t>Los peticionarios alegan, por último, que el Sr. Ibarra enfrenta la ejecución por inyección letal en un momento en que el protocolo de ejecución de Texas está envuelto en secreto, en violación del derecho del Sr. Ibarra a impugnar la forma de ejecución. También alegan que el uso de drogas de eficacia incierta crea un riesgo inaceptable de causar un dolor insoportable, en violación de los artículos XXV y XXVI de la Declaración Americana.</w:t>
      </w:r>
    </w:p>
    <w:p w14:paraId="597B9727" w14:textId="77777777" w:rsidR="005A161A" w:rsidRPr="0058501F" w:rsidRDefault="005A161A" w:rsidP="00470EC4">
      <w:pPr>
        <w:numPr>
          <w:ilvl w:val="0"/>
          <w:numId w:val="1"/>
        </w:numPr>
        <w:pBdr>
          <w:top w:val="nil"/>
          <w:left w:val="nil"/>
          <w:bottom w:val="nil"/>
          <w:right w:val="nil"/>
          <w:between w:val="nil"/>
          <w:bar w:val="nil"/>
        </w:pBdr>
        <w:tabs>
          <w:tab w:val="clear" w:pos="720"/>
          <w:tab w:val="num" w:pos="450"/>
        </w:tabs>
        <w:spacing w:before="240" w:after="240" w:line="240" w:lineRule="auto"/>
        <w:ind w:firstLine="0"/>
        <w:jc w:val="both"/>
        <w:rPr>
          <w:rFonts w:ascii="Cambria" w:eastAsia="Cambria" w:hAnsi="Cambria" w:cs="Cambria"/>
          <w:color w:val="000000"/>
          <w:sz w:val="20"/>
          <w:szCs w:val="20"/>
          <w:u w:color="000000"/>
          <w:bdr w:val="nil"/>
          <w:lang w:val="es-ES_tradnl" w:eastAsia="es-ES"/>
        </w:rPr>
      </w:pPr>
      <w:r w:rsidRPr="0058501F">
        <w:rPr>
          <w:rFonts w:ascii="Cambria" w:eastAsia="Cambria" w:hAnsi="Cambria" w:cs="Cambria"/>
          <w:color w:val="000000"/>
          <w:sz w:val="20"/>
          <w:szCs w:val="20"/>
          <w:u w:color="000000"/>
          <w:bdr w:val="nil"/>
          <w:lang w:val="es-ES_tradnl" w:eastAsia="es-ES"/>
        </w:rPr>
        <w:t xml:space="preserve">Los peticionarios afirman </w:t>
      </w:r>
      <w:proofErr w:type="gramStart"/>
      <w:r w:rsidRPr="0058501F">
        <w:rPr>
          <w:rFonts w:ascii="Cambria" w:eastAsia="Cambria" w:hAnsi="Cambria" w:cs="Cambria"/>
          <w:color w:val="000000"/>
          <w:sz w:val="20"/>
          <w:szCs w:val="20"/>
          <w:u w:color="000000"/>
          <w:bdr w:val="nil"/>
          <w:lang w:val="es-ES_tradnl" w:eastAsia="es-ES"/>
        </w:rPr>
        <w:t>que</w:t>
      </w:r>
      <w:proofErr w:type="gramEnd"/>
      <w:r w:rsidRPr="0058501F">
        <w:rPr>
          <w:rFonts w:ascii="Cambria" w:eastAsia="Cambria" w:hAnsi="Cambria" w:cs="Cambria"/>
          <w:color w:val="000000"/>
          <w:sz w:val="20"/>
          <w:szCs w:val="20"/>
          <w:u w:color="000000"/>
          <w:bdr w:val="nil"/>
          <w:lang w:val="es-ES_tradnl" w:eastAsia="es-ES"/>
        </w:rPr>
        <w:t xml:space="preserve"> dada la dificultad actual para la adquisición de pentobarbital, el fármaco utilizado anteriormente en el protocolo de inyección letal, un nuevo protocolo equivaldría a pura experimentación. Se sostiene que el Estado elegiría los medicamentos en función de la disponibilidad y no de la capacidad para minimizar el riesgo de sufrimiento. Además, se alega que Texas, como muchos otros estados, se niega a proporcionar a los reclusos que enfrentan una ejecución inminente información detallada sobre las drogas que se planea usar sobre ellos, incluida su fuente, cómo fueron almacenadas, cuándo fueron fabricadas y cómo y por quién fueron probad</w:t>
      </w:r>
      <w:r w:rsidR="000102DC" w:rsidRPr="0058501F">
        <w:rPr>
          <w:rFonts w:ascii="Cambria" w:eastAsia="Cambria" w:hAnsi="Cambria" w:cs="Cambria"/>
          <w:color w:val="000000"/>
          <w:sz w:val="20"/>
          <w:szCs w:val="20"/>
          <w:u w:color="000000"/>
          <w:bdr w:val="nil"/>
          <w:lang w:val="es-ES_tradnl" w:eastAsia="es-ES"/>
        </w:rPr>
        <w:t>a</w:t>
      </w:r>
      <w:r w:rsidRPr="0058501F">
        <w:rPr>
          <w:rFonts w:ascii="Cambria" w:eastAsia="Cambria" w:hAnsi="Cambria" w:cs="Cambria"/>
          <w:color w:val="000000"/>
          <w:sz w:val="20"/>
          <w:szCs w:val="20"/>
          <w:u w:color="000000"/>
          <w:bdr w:val="nil"/>
          <w:lang w:val="es-ES_tradnl" w:eastAsia="es-ES"/>
        </w:rPr>
        <w:t>s. Los tribunales federales han permitido que se mantenga esta negativa. Se sostiene que la información sobre el protocolo que ha proporcionado Texas es vaga sobre la composición y capacitación del equipo de ejecución, requiriendo solo que haya un “individuo capacitado médicamente” en el equipo, sin especificar sus antecedentes, nivel de capacitación o Licencia.</w:t>
      </w:r>
    </w:p>
    <w:p w14:paraId="7562A608" w14:textId="77777777" w:rsidR="008874B2" w:rsidRPr="0058501F" w:rsidRDefault="00540E3D" w:rsidP="00470EC4">
      <w:pPr>
        <w:pStyle w:val="Heading2"/>
        <w:numPr>
          <w:ilvl w:val="0"/>
          <w:numId w:val="11"/>
        </w:numPr>
        <w:tabs>
          <w:tab w:val="num" w:pos="450"/>
        </w:tabs>
        <w:ind w:left="0" w:firstLine="0"/>
        <w:rPr>
          <w:rFonts w:ascii="Cambria" w:eastAsia="Cambria" w:hAnsi="Cambria"/>
          <w:sz w:val="20"/>
          <w:szCs w:val="20"/>
          <w:u w:color="000000"/>
          <w:bdr w:val="nil"/>
          <w:lang w:val="es-ES_tradnl" w:eastAsia="es-ES"/>
        </w:rPr>
      </w:pPr>
      <w:bookmarkStart w:id="3" w:name="_Toc90117827"/>
      <w:r w:rsidRPr="0058501F">
        <w:rPr>
          <w:rFonts w:ascii="Cambria" w:eastAsia="Cambria" w:hAnsi="Cambria"/>
          <w:sz w:val="20"/>
          <w:szCs w:val="20"/>
          <w:u w:color="000000"/>
          <w:bdr w:val="nil"/>
          <w:lang w:val="es-ES_tradnl" w:eastAsia="es-ES"/>
        </w:rPr>
        <w:t>Estado</w:t>
      </w:r>
      <w:bookmarkEnd w:id="3"/>
    </w:p>
    <w:p w14:paraId="64886C34" w14:textId="77777777" w:rsidR="000102DC" w:rsidRPr="0058501F" w:rsidRDefault="000102DC" w:rsidP="00470EC4">
      <w:pPr>
        <w:numPr>
          <w:ilvl w:val="0"/>
          <w:numId w:val="1"/>
        </w:numPr>
        <w:pBdr>
          <w:top w:val="nil"/>
          <w:left w:val="nil"/>
          <w:bottom w:val="nil"/>
          <w:right w:val="nil"/>
          <w:between w:val="nil"/>
          <w:bar w:val="nil"/>
        </w:pBdr>
        <w:tabs>
          <w:tab w:val="clear" w:pos="720"/>
          <w:tab w:val="num" w:pos="450"/>
        </w:tabs>
        <w:spacing w:after="0" w:line="240" w:lineRule="auto"/>
        <w:ind w:firstLine="0"/>
        <w:jc w:val="both"/>
        <w:rPr>
          <w:rFonts w:ascii="Cambria" w:eastAsia="Cambria" w:hAnsi="Cambria" w:cs="Cambria"/>
          <w:color w:val="000000"/>
          <w:sz w:val="20"/>
          <w:szCs w:val="20"/>
          <w:u w:color="000000"/>
          <w:bdr w:val="nil"/>
          <w:lang w:val="es-ES_tradnl" w:eastAsia="es-ES"/>
        </w:rPr>
      </w:pPr>
      <w:r w:rsidRPr="0058501F">
        <w:rPr>
          <w:rFonts w:ascii="Cambria" w:eastAsia="Cambria" w:hAnsi="Cambria" w:cs="Cambria"/>
          <w:color w:val="000000"/>
          <w:sz w:val="20"/>
          <w:szCs w:val="20"/>
          <w:u w:color="000000"/>
          <w:bdr w:val="nil"/>
          <w:lang w:val="es-ES_tradnl" w:eastAsia="es-ES"/>
        </w:rPr>
        <w:t xml:space="preserve">El Estado alega que la petición fue inadmisible cuando se presentó por no haberse agotado los recursos internos, por lo que no cumplió con los requisitos para ser considerados por la Comisión de acuerdo con los artículos 31 y 34 de su reglamento. </w:t>
      </w:r>
    </w:p>
    <w:p w14:paraId="60ABE4ED" w14:textId="77777777" w:rsidR="00DD040D" w:rsidRPr="0058501F" w:rsidRDefault="00DD040D" w:rsidP="00470EC4">
      <w:pPr>
        <w:pBdr>
          <w:top w:val="nil"/>
          <w:left w:val="nil"/>
          <w:bottom w:val="nil"/>
          <w:right w:val="nil"/>
          <w:between w:val="nil"/>
          <w:bar w:val="nil"/>
        </w:pBdr>
        <w:tabs>
          <w:tab w:val="num" w:pos="450"/>
        </w:tabs>
        <w:spacing w:after="0" w:line="240" w:lineRule="auto"/>
        <w:jc w:val="both"/>
        <w:rPr>
          <w:rFonts w:ascii="Cambria" w:eastAsia="Cambria" w:hAnsi="Cambria" w:cs="Cambria"/>
          <w:color w:val="000000"/>
          <w:sz w:val="20"/>
          <w:szCs w:val="20"/>
          <w:u w:color="000000"/>
          <w:bdr w:val="nil"/>
          <w:lang w:val="es-ES_tradnl" w:eastAsia="es-ES"/>
        </w:rPr>
      </w:pPr>
    </w:p>
    <w:p w14:paraId="3D7A305D" w14:textId="77777777" w:rsidR="000102DC" w:rsidRPr="0058501F" w:rsidRDefault="000102DC" w:rsidP="00470EC4">
      <w:pPr>
        <w:numPr>
          <w:ilvl w:val="0"/>
          <w:numId w:val="1"/>
        </w:numPr>
        <w:pBdr>
          <w:top w:val="nil"/>
          <w:left w:val="nil"/>
          <w:bottom w:val="nil"/>
          <w:right w:val="nil"/>
          <w:between w:val="nil"/>
          <w:bar w:val="nil"/>
        </w:pBdr>
        <w:tabs>
          <w:tab w:val="clear" w:pos="720"/>
          <w:tab w:val="num" w:pos="450"/>
        </w:tabs>
        <w:spacing w:after="0" w:line="240" w:lineRule="auto"/>
        <w:ind w:firstLine="0"/>
        <w:jc w:val="both"/>
        <w:rPr>
          <w:rFonts w:ascii="Cambria" w:eastAsia="Cambria" w:hAnsi="Cambria" w:cs="Cambria"/>
          <w:color w:val="000000"/>
          <w:sz w:val="20"/>
          <w:szCs w:val="20"/>
          <w:u w:color="000000"/>
          <w:bdr w:val="nil"/>
          <w:lang w:val="es-ES_tradnl" w:eastAsia="es-ES"/>
        </w:rPr>
      </w:pPr>
      <w:r w:rsidRPr="0058501F">
        <w:rPr>
          <w:rFonts w:ascii="Cambria" w:eastAsia="Cambria" w:hAnsi="Cambria" w:cs="Cambria"/>
          <w:color w:val="000000"/>
          <w:sz w:val="20"/>
          <w:szCs w:val="20"/>
          <w:u w:color="000000"/>
          <w:bdr w:val="nil"/>
          <w:lang w:val="es-ES_tradnl" w:eastAsia="es-ES"/>
        </w:rPr>
        <w:t>Se alega que la petición es inadmisible de conformidad con el artículo 31, ya que los peticionarios continuaron interponiendo recursos internos sin haberlos agotado aún luego de la presentación de su petición. Asimismo, el Estado alega que la Comisión mantuvo la petición en suspenso a la espera del agotamiento de los recursos internos. Con respecto al fundamento expresado por la Comisión para el aplazamiento de una decisión de admisibilidad, que se refería al tema de una petición sobre la pena de muerte, el Estado alega que este fundamento es incompatible con el artículo 36 (3).</w:t>
      </w:r>
    </w:p>
    <w:p w14:paraId="139E3894" w14:textId="77777777" w:rsidR="000102DC" w:rsidRPr="0058501F" w:rsidRDefault="000102DC" w:rsidP="00470EC4">
      <w:pPr>
        <w:pBdr>
          <w:top w:val="nil"/>
          <w:left w:val="nil"/>
          <w:bottom w:val="nil"/>
          <w:right w:val="nil"/>
          <w:between w:val="nil"/>
          <w:bar w:val="nil"/>
        </w:pBdr>
        <w:tabs>
          <w:tab w:val="num" w:pos="450"/>
        </w:tabs>
        <w:spacing w:after="0" w:line="240" w:lineRule="auto"/>
        <w:jc w:val="both"/>
        <w:rPr>
          <w:rFonts w:ascii="Cambria" w:eastAsia="Cambria" w:hAnsi="Cambria" w:cs="Cambria"/>
          <w:color w:val="000000"/>
          <w:sz w:val="20"/>
          <w:szCs w:val="20"/>
          <w:u w:color="000000"/>
          <w:bdr w:val="nil"/>
          <w:lang w:val="es-ES_tradnl" w:eastAsia="es-ES"/>
        </w:rPr>
      </w:pPr>
    </w:p>
    <w:p w14:paraId="37ED429C" w14:textId="77777777" w:rsidR="008D3754" w:rsidRPr="0058501F" w:rsidRDefault="000102DC" w:rsidP="00470EC4">
      <w:pPr>
        <w:numPr>
          <w:ilvl w:val="0"/>
          <w:numId w:val="1"/>
        </w:numPr>
        <w:pBdr>
          <w:top w:val="nil"/>
          <w:left w:val="nil"/>
          <w:bottom w:val="nil"/>
          <w:right w:val="nil"/>
          <w:between w:val="nil"/>
          <w:bar w:val="nil"/>
        </w:pBdr>
        <w:tabs>
          <w:tab w:val="clear" w:pos="720"/>
          <w:tab w:val="num" w:pos="450"/>
        </w:tabs>
        <w:spacing w:after="0" w:line="240" w:lineRule="auto"/>
        <w:ind w:firstLine="0"/>
        <w:jc w:val="both"/>
        <w:rPr>
          <w:rFonts w:ascii="Cambria" w:eastAsia="Cambria" w:hAnsi="Cambria" w:cs="Cambria"/>
          <w:color w:val="000000"/>
          <w:sz w:val="20"/>
          <w:szCs w:val="20"/>
          <w:u w:color="000000"/>
          <w:bdr w:val="nil"/>
          <w:lang w:val="es-ES_tradnl" w:eastAsia="es-ES"/>
        </w:rPr>
      </w:pPr>
      <w:r w:rsidRPr="0058501F">
        <w:rPr>
          <w:rFonts w:ascii="Cambria" w:eastAsia="Cambria" w:hAnsi="Cambria" w:cs="Cambria"/>
          <w:color w:val="000000"/>
          <w:sz w:val="20"/>
          <w:szCs w:val="20"/>
          <w:u w:color="000000"/>
          <w:bdr w:val="nil"/>
          <w:lang w:val="es-ES_tradnl" w:eastAsia="es-ES"/>
        </w:rPr>
        <w:t xml:space="preserve">El Estado afirma que la petición no establece hechos que puedan sustentar un reclamo de violación de la Declaración Americana, de conformidad con el artículo 34, por lo que también la hace inadmisible y manifiestamente infundada. Con respecto a la afirmación del peticionario de que el abogado designado por el Estado fue inadecuado, el Estado se refiere a la sentencia del Tribunal Federal de Distrito que revisó la prueba y concluyó que nada sustentaba la afirmación del </w:t>
      </w:r>
      <w:r w:rsidR="008D3754" w:rsidRPr="0058501F">
        <w:rPr>
          <w:rFonts w:ascii="Cambria" w:eastAsia="Cambria" w:hAnsi="Cambria" w:cs="Cambria"/>
          <w:color w:val="000000"/>
          <w:sz w:val="20"/>
          <w:szCs w:val="20"/>
          <w:u w:color="000000"/>
          <w:bdr w:val="nil"/>
          <w:lang w:val="es-ES_tradnl" w:eastAsia="es-ES"/>
        </w:rPr>
        <w:t>Sr.</w:t>
      </w:r>
      <w:r w:rsidRPr="0058501F">
        <w:rPr>
          <w:rFonts w:ascii="Cambria" w:eastAsia="Cambria" w:hAnsi="Cambria" w:cs="Cambria"/>
          <w:color w:val="000000"/>
          <w:sz w:val="20"/>
          <w:szCs w:val="20"/>
          <w:u w:color="000000"/>
          <w:bdr w:val="nil"/>
          <w:lang w:val="es-ES_tradnl" w:eastAsia="es-ES"/>
        </w:rPr>
        <w:t xml:space="preserve"> Ibarra de que el abogado no investigó ni presentó pruebas </w:t>
      </w:r>
      <w:r w:rsidRPr="0058501F">
        <w:rPr>
          <w:rFonts w:ascii="Cambria" w:eastAsia="Cambria" w:hAnsi="Cambria" w:cs="Cambria"/>
          <w:color w:val="000000"/>
          <w:sz w:val="20"/>
          <w:szCs w:val="20"/>
          <w:u w:color="000000"/>
          <w:bdr w:val="nil"/>
          <w:lang w:val="es-ES_tradnl" w:eastAsia="es-ES"/>
        </w:rPr>
        <w:lastRenderedPageBreak/>
        <w:t xml:space="preserve">atenuantes durante la etapa de sanción, o que el primer </w:t>
      </w:r>
      <w:r w:rsidR="008D3754" w:rsidRPr="0058501F">
        <w:rPr>
          <w:rFonts w:ascii="Cambria" w:eastAsia="Cambria" w:hAnsi="Cambria" w:cs="Cambria"/>
          <w:color w:val="000000"/>
          <w:sz w:val="20"/>
          <w:szCs w:val="20"/>
          <w:u w:color="000000"/>
          <w:bdr w:val="nil"/>
          <w:lang w:val="es-ES_tradnl" w:eastAsia="es-ES"/>
        </w:rPr>
        <w:t xml:space="preserve">abogado que presentó el </w:t>
      </w:r>
      <w:r w:rsidRPr="0058501F">
        <w:rPr>
          <w:rFonts w:ascii="Cambria" w:eastAsia="Cambria" w:hAnsi="Cambria" w:cs="Cambria"/>
          <w:color w:val="000000"/>
          <w:sz w:val="20"/>
          <w:szCs w:val="20"/>
          <w:u w:color="000000"/>
          <w:bdr w:val="nil"/>
          <w:lang w:val="es-ES_tradnl" w:eastAsia="es-ES"/>
        </w:rPr>
        <w:t>hábeas fue ineficaz por no</w:t>
      </w:r>
      <w:r w:rsidR="008D3754" w:rsidRPr="0058501F">
        <w:rPr>
          <w:rFonts w:ascii="Cambria" w:eastAsia="Cambria" w:hAnsi="Cambria" w:cs="Cambria"/>
          <w:color w:val="000000"/>
          <w:sz w:val="20"/>
          <w:szCs w:val="20"/>
          <w:u w:color="000000"/>
          <w:bdr w:val="nil"/>
          <w:lang w:val="es-ES_tradnl" w:eastAsia="es-ES"/>
        </w:rPr>
        <w:t xml:space="preserve"> plantear</w:t>
      </w:r>
      <w:r w:rsidRPr="0058501F">
        <w:rPr>
          <w:rFonts w:ascii="Cambria" w:eastAsia="Cambria" w:hAnsi="Cambria" w:cs="Cambria"/>
          <w:color w:val="000000"/>
          <w:sz w:val="20"/>
          <w:szCs w:val="20"/>
          <w:u w:color="000000"/>
          <w:bdr w:val="nil"/>
          <w:lang w:val="es-ES_tradnl" w:eastAsia="es-ES"/>
        </w:rPr>
        <w:t xml:space="preserve"> asistencia letrada en lo relacionado con la mitigación.</w:t>
      </w:r>
    </w:p>
    <w:p w14:paraId="24212108" w14:textId="77777777" w:rsidR="008D3754" w:rsidRPr="0058501F" w:rsidRDefault="008D3754" w:rsidP="00470EC4">
      <w:pPr>
        <w:pBdr>
          <w:top w:val="nil"/>
          <w:left w:val="nil"/>
          <w:bottom w:val="nil"/>
          <w:right w:val="nil"/>
          <w:between w:val="nil"/>
          <w:bar w:val="nil"/>
        </w:pBdr>
        <w:tabs>
          <w:tab w:val="num" w:pos="450"/>
        </w:tabs>
        <w:spacing w:after="0" w:line="240" w:lineRule="auto"/>
        <w:jc w:val="both"/>
        <w:rPr>
          <w:rFonts w:ascii="Cambria" w:eastAsia="Cambria" w:hAnsi="Cambria" w:cs="Cambria"/>
          <w:color w:val="000000"/>
          <w:sz w:val="20"/>
          <w:szCs w:val="20"/>
          <w:u w:color="000000"/>
          <w:bdr w:val="nil"/>
          <w:lang w:val="es-ES_tradnl" w:eastAsia="es-ES"/>
        </w:rPr>
      </w:pPr>
    </w:p>
    <w:p w14:paraId="25FCF8E3" w14:textId="77777777" w:rsidR="008D3754" w:rsidRPr="0058501F" w:rsidRDefault="008D3754" w:rsidP="00470EC4">
      <w:pPr>
        <w:numPr>
          <w:ilvl w:val="0"/>
          <w:numId w:val="1"/>
        </w:numPr>
        <w:pBdr>
          <w:top w:val="nil"/>
          <w:left w:val="nil"/>
          <w:bottom w:val="nil"/>
          <w:right w:val="nil"/>
          <w:between w:val="nil"/>
          <w:bar w:val="nil"/>
        </w:pBdr>
        <w:tabs>
          <w:tab w:val="clear" w:pos="720"/>
          <w:tab w:val="num" w:pos="450"/>
        </w:tabs>
        <w:spacing w:after="0" w:line="240" w:lineRule="auto"/>
        <w:ind w:firstLine="0"/>
        <w:jc w:val="both"/>
        <w:rPr>
          <w:rFonts w:ascii="Cambria" w:eastAsia="Cambria" w:hAnsi="Cambria" w:cs="Cambria"/>
          <w:color w:val="000000"/>
          <w:sz w:val="20"/>
          <w:szCs w:val="20"/>
          <w:u w:color="000000"/>
          <w:bdr w:val="nil"/>
          <w:lang w:val="es-ES_tradnl" w:eastAsia="es-ES"/>
        </w:rPr>
      </w:pPr>
      <w:r w:rsidRPr="0058501F">
        <w:rPr>
          <w:rFonts w:ascii="Cambria" w:eastAsia="Cambria" w:hAnsi="Cambria" w:cs="Cambria"/>
          <w:color w:val="000000"/>
          <w:sz w:val="20"/>
          <w:szCs w:val="20"/>
          <w:u w:color="000000"/>
          <w:bdr w:val="nil"/>
          <w:lang w:val="es-ES_tradnl" w:eastAsia="es-ES"/>
        </w:rPr>
        <w:t>El Estado destaca que el Juzgado de Distrito señaló que los abogados litigantes del Sr. Ibarra interpusieron múltiples recursos, incluso de asistencia investigativa y evaluación psicológica. Además, el Sr. Ibarra fue evaluado dos veces por el Dr. Mark, un psiquiatra, quien no encontró evidencia de discapacidad intelectual; discutió con él su infancia, su educación, su historia laboral y su abuso del alcohol; y sospechaba que “fingía”. Además, el tribunal determinó que muchas de las pruebas atenuantes que ofreció el Sr. Ibarra fueron de hecho presentadas al jurado a través del testimonio de la esposa y la hermana del Sr. Ibarra.</w:t>
      </w:r>
    </w:p>
    <w:p w14:paraId="74E4F327" w14:textId="77777777" w:rsidR="008D3754" w:rsidRPr="0058501F" w:rsidRDefault="008D3754" w:rsidP="00470EC4">
      <w:pPr>
        <w:pBdr>
          <w:top w:val="nil"/>
          <w:left w:val="nil"/>
          <w:bottom w:val="nil"/>
          <w:right w:val="nil"/>
          <w:between w:val="nil"/>
          <w:bar w:val="nil"/>
        </w:pBdr>
        <w:tabs>
          <w:tab w:val="num" w:pos="450"/>
        </w:tabs>
        <w:spacing w:after="0" w:line="240" w:lineRule="auto"/>
        <w:jc w:val="both"/>
        <w:rPr>
          <w:rFonts w:ascii="Cambria" w:eastAsia="Cambria" w:hAnsi="Cambria" w:cs="Cambria"/>
          <w:color w:val="000000"/>
          <w:sz w:val="20"/>
          <w:szCs w:val="20"/>
          <w:u w:color="000000"/>
          <w:bdr w:val="nil"/>
          <w:lang w:val="es-ES_tradnl" w:eastAsia="es-ES"/>
        </w:rPr>
      </w:pPr>
    </w:p>
    <w:p w14:paraId="0E512571" w14:textId="77777777" w:rsidR="008D3754" w:rsidRPr="0058501F" w:rsidRDefault="008D3754" w:rsidP="00470EC4">
      <w:pPr>
        <w:numPr>
          <w:ilvl w:val="0"/>
          <w:numId w:val="1"/>
        </w:numPr>
        <w:pBdr>
          <w:top w:val="nil"/>
          <w:left w:val="nil"/>
          <w:bottom w:val="nil"/>
          <w:right w:val="nil"/>
          <w:between w:val="nil"/>
          <w:bar w:val="nil"/>
        </w:pBdr>
        <w:tabs>
          <w:tab w:val="clear" w:pos="720"/>
          <w:tab w:val="num" w:pos="450"/>
        </w:tabs>
        <w:spacing w:after="0" w:line="240" w:lineRule="auto"/>
        <w:ind w:firstLine="0"/>
        <w:jc w:val="both"/>
        <w:rPr>
          <w:rFonts w:ascii="Cambria" w:eastAsia="Cambria" w:hAnsi="Cambria" w:cs="Cambria"/>
          <w:color w:val="000000"/>
          <w:sz w:val="20"/>
          <w:szCs w:val="20"/>
          <w:u w:color="000000"/>
          <w:bdr w:val="nil"/>
          <w:lang w:val="es-ES_tradnl" w:eastAsia="es-ES"/>
        </w:rPr>
      </w:pPr>
      <w:r w:rsidRPr="0058501F">
        <w:rPr>
          <w:rFonts w:ascii="Cambria" w:eastAsia="Cambria" w:hAnsi="Cambria" w:cs="Cambria"/>
          <w:color w:val="000000"/>
          <w:sz w:val="20"/>
          <w:szCs w:val="20"/>
          <w:u w:color="000000"/>
          <w:bdr w:val="nil"/>
          <w:lang w:val="es-ES_tradnl" w:eastAsia="es-ES"/>
        </w:rPr>
        <w:t>Con respecto a las alegaciones de prejuicio racial y étnico, el Estado sostiene que el peticionario no explica cómo las declaraciones presuntamente realizadas por la jueza Jones lo sometieron a una mala conducta judicial o afectaron de otra manera su derecho a la igualdad ante la ley. El Estado destaca que el panel del Comité Especial en la materia concluyó que el juez “no incurrió en faltas en la discusión de los casos específicos citados por los querellantes”. El Estado destaca, en apoyo, la explicación contenida en el informe del Comité Especial al Consejo Judicial del Circuito del Distrito de Columbia que dispuso que:</w:t>
      </w:r>
    </w:p>
    <w:p w14:paraId="5A1626B5" w14:textId="77777777" w:rsidR="008D3754" w:rsidRPr="0058501F" w:rsidRDefault="008D3754" w:rsidP="008D3754">
      <w:pPr>
        <w:pBdr>
          <w:top w:val="nil"/>
          <w:left w:val="nil"/>
          <w:bottom w:val="nil"/>
          <w:right w:val="nil"/>
          <w:between w:val="nil"/>
          <w:bar w:val="nil"/>
        </w:pBdr>
        <w:spacing w:after="0" w:line="240" w:lineRule="auto"/>
        <w:ind w:left="720"/>
        <w:jc w:val="both"/>
        <w:rPr>
          <w:rFonts w:ascii="Cambria" w:eastAsia="Cambria" w:hAnsi="Cambria" w:cs="Cambria"/>
          <w:color w:val="000000"/>
          <w:sz w:val="20"/>
          <w:szCs w:val="20"/>
          <w:u w:color="000000"/>
          <w:bdr w:val="nil"/>
          <w:lang w:val="es-ES_tradnl" w:eastAsia="es-ES"/>
        </w:rPr>
      </w:pPr>
    </w:p>
    <w:p w14:paraId="1ED7D29C" w14:textId="77777777" w:rsidR="000102DC" w:rsidRPr="0058501F" w:rsidRDefault="008D3754" w:rsidP="008D3754">
      <w:pPr>
        <w:pBdr>
          <w:top w:val="nil"/>
          <w:left w:val="nil"/>
          <w:bottom w:val="nil"/>
          <w:right w:val="nil"/>
          <w:between w:val="nil"/>
          <w:bar w:val="nil"/>
        </w:pBdr>
        <w:spacing w:after="0" w:line="240" w:lineRule="auto"/>
        <w:ind w:left="720"/>
        <w:jc w:val="both"/>
        <w:rPr>
          <w:rFonts w:ascii="Cambria" w:eastAsia="Cambria" w:hAnsi="Cambria" w:cs="Cambria"/>
          <w:color w:val="000000"/>
          <w:sz w:val="18"/>
          <w:szCs w:val="18"/>
          <w:u w:color="000000"/>
          <w:bdr w:val="nil"/>
          <w:lang w:val="es-ES_tradnl" w:eastAsia="es-ES"/>
        </w:rPr>
      </w:pPr>
      <w:r w:rsidRPr="0058501F">
        <w:rPr>
          <w:rFonts w:ascii="Cambria" w:eastAsia="Cambria" w:hAnsi="Cambria" w:cs="Cambria"/>
          <w:color w:val="000000"/>
          <w:sz w:val="18"/>
          <w:szCs w:val="18"/>
          <w:u w:color="000000"/>
          <w:bdr w:val="nil"/>
          <w:lang w:val="es-ES_tradnl" w:eastAsia="es-ES"/>
        </w:rPr>
        <w:t xml:space="preserve">[E] l asunto que involucraba al Sr. Ibarra y que estaba pendiente al momento de la conferencia era la petición del Sr. Ibarra de reconsiderar </w:t>
      </w:r>
      <w:r w:rsidRPr="0058501F">
        <w:rPr>
          <w:rFonts w:ascii="Cambria" w:eastAsia="Cambria" w:hAnsi="Cambria" w:cs="Cambria"/>
          <w:i/>
          <w:iCs/>
          <w:color w:val="000000"/>
          <w:sz w:val="18"/>
          <w:szCs w:val="18"/>
          <w:u w:color="000000"/>
          <w:bdr w:val="nil"/>
          <w:lang w:val="es-ES_tradnl" w:eastAsia="es-ES"/>
        </w:rPr>
        <w:t xml:space="preserve">en </w:t>
      </w:r>
      <w:proofErr w:type="spellStart"/>
      <w:r w:rsidRPr="0058501F">
        <w:rPr>
          <w:rFonts w:ascii="Cambria" w:eastAsia="Cambria" w:hAnsi="Cambria" w:cs="Cambria"/>
          <w:i/>
          <w:iCs/>
          <w:color w:val="000000"/>
          <w:sz w:val="18"/>
          <w:szCs w:val="18"/>
          <w:u w:color="000000"/>
          <w:bdr w:val="nil"/>
          <w:lang w:val="es-ES_tradnl" w:eastAsia="es-ES"/>
        </w:rPr>
        <w:t>banc</w:t>
      </w:r>
      <w:proofErr w:type="spellEnd"/>
      <w:r w:rsidRPr="0058501F">
        <w:rPr>
          <w:rFonts w:ascii="Cambria" w:eastAsia="Cambria" w:hAnsi="Cambria" w:cs="Cambria"/>
          <w:color w:val="000000"/>
          <w:sz w:val="18"/>
          <w:szCs w:val="18"/>
          <w:u w:color="000000"/>
          <w:bdr w:val="nil"/>
          <w:lang w:val="es-ES_tradnl" w:eastAsia="es-ES"/>
        </w:rPr>
        <w:t xml:space="preserve"> el rechazo del panel de sus impugnaciones a la denegación del hábeas por parte del tribunal de distrito. La única cuestión planteada por esa petición fue una impugnación de la determinación del grupo de que la ineficaz reclamación de abogado del Sr. Ibarra había sido procesada en incumplimiento y que la jurisprudencia anterior no permitía al Sr. Ibarra evitar el incumplimiento. Nadie sostiene que los comentarios de la jueza Jones sobre Ibarra abordaran ese tema, ya sea con respecto al fondo o de otro tipo.</w:t>
      </w:r>
    </w:p>
    <w:p w14:paraId="58B770E1" w14:textId="77777777" w:rsidR="008D3754" w:rsidRPr="0058501F" w:rsidRDefault="008D3754" w:rsidP="008D3754">
      <w:pPr>
        <w:pBdr>
          <w:top w:val="nil"/>
          <w:left w:val="nil"/>
          <w:bottom w:val="nil"/>
          <w:right w:val="nil"/>
          <w:between w:val="nil"/>
          <w:bar w:val="nil"/>
        </w:pBdr>
        <w:spacing w:after="0" w:line="240" w:lineRule="auto"/>
        <w:ind w:left="720"/>
        <w:jc w:val="both"/>
        <w:rPr>
          <w:rFonts w:ascii="Cambria" w:eastAsia="Cambria" w:hAnsi="Cambria" w:cs="Cambria"/>
          <w:color w:val="000000"/>
          <w:sz w:val="20"/>
          <w:szCs w:val="20"/>
          <w:u w:color="000000"/>
          <w:bdr w:val="nil"/>
          <w:lang w:val="es-ES_tradnl" w:eastAsia="es-ES"/>
        </w:rPr>
      </w:pPr>
    </w:p>
    <w:p w14:paraId="10724926" w14:textId="77777777" w:rsidR="000102DC" w:rsidRPr="0058501F" w:rsidRDefault="008D3754" w:rsidP="00470EC4">
      <w:pPr>
        <w:numPr>
          <w:ilvl w:val="0"/>
          <w:numId w:val="1"/>
        </w:numPr>
        <w:pBdr>
          <w:top w:val="nil"/>
          <w:left w:val="nil"/>
          <w:bottom w:val="nil"/>
          <w:right w:val="nil"/>
          <w:between w:val="nil"/>
          <w:bar w:val="nil"/>
        </w:pBdr>
        <w:tabs>
          <w:tab w:val="clear" w:pos="720"/>
          <w:tab w:val="num" w:pos="450"/>
        </w:tabs>
        <w:spacing w:after="0" w:line="240" w:lineRule="auto"/>
        <w:ind w:firstLine="0"/>
        <w:jc w:val="both"/>
        <w:rPr>
          <w:rFonts w:ascii="Cambria" w:eastAsia="Cambria" w:hAnsi="Cambria" w:cs="Cambria"/>
          <w:color w:val="000000"/>
          <w:sz w:val="20"/>
          <w:szCs w:val="20"/>
          <w:u w:color="000000"/>
          <w:bdr w:val="nil"/>
          <w:lang w:val="es-ES_tradnl" w:eastAsia="es-ES"/>
        </w:rPr>
      </w:pPr>
      <w:r w:rsidRPr="0058501F">
        <w:rPr>
          <w:rFonts w:ascii="Cambria" w:eastAsia="Cambria" w:hAnsi="Cambria" w:cs="Cambria"/>
          <w:color w:val="000000"/>
          <w:sz w:val="20"/>
          <w:szCs w:val="20"/>
          <w:u w:color="000000"/>
          <w:bdr w:val="nil"/>
          <w:lang w:val="es-ES_tradnl" w:eastAsia="es-ES"/>
        </w:rPr>
        <w:t>El Estado alega que el reclamo de notificación consular del peticionario no es reconocible bajo la Declaración Americana y mantiene su firme posición de que la Comisión, de hecho, no tiene competencia para revisar los reclamos derivados de la Convención de Viena. Establece que esta falta de jurisdicción no se evita caracterizando una reclamación como surgida en virtud de la Declaración Americana, y que las reclamaciones relativas a la notificación consular no dan lugar a una violación de un derecho humano consagrado en ningún instrumento internacional al que los Estados Unidos sea parte o ha respaldado.</w:t>
      </w:r>
    </w:p>
    <w:p w14:paraId="0B6CEF61" w14:textId="77777777" w:rsidR="001E5C7E" w:rsidRPr="0058501F" w:rsidRDefault="001E5C7E" w:rsidP="00470EC4">
      <w:pPr>
        <w:pBdr>
          <w:top w:val="nil"/>
          <w:left w:val="nil"/>
          <w:bottom w:val="nil"/>
          <w:right w:val="nil"/>
          <w:between w:val="nil"/>
          <w:bar w:val="nil"/>
        </w:pBdr>
        <w:tabs>
          <w:tab w:val="num" w:pos="450"/>
        </w:tabs>
        <w:spacing w:after="0" w:line="240" w:lineRule="auto"/>
        <w:ind w:left="720"/>
        <w:jc w:val="both"/>
        <w:rPr>
          <w:rFonts w:ascii="Cambria" w:eastAsia="Cambria" w:hAnsi="Cambria" w:cs="Cambria"/>
          <w:color w:val="000000"/>
          <w:sz w:val="20"/>
          <w:szCs w:val="20"/>
          <w:u w:color="000000"/>
          <w:bdr w:val="nil"/>
          <w:lang w:val="es-ES_tradnl" w:eastAsia="es-ES"/>
        </w:rPr>
      </w:pPr>
    </w:p>
    <w:p w14:paraId="6D281508" w14:textId="77777777" w:rsidR="001E5C7E" w:rsidRPr="0058501F" w:rsidRDefault="001E5C7E" w:rsidP="00470EC4">
      <w:pPr>
        <w:numPr>
          <w:ilvl w:val="0"/>
          <w:numId w:val="1"/>
        </w:numPr>
        <w:pBdr>
          <w:top w:val="nil"/>
          <w:left w:val="nil"/>
          <w:bottom w:val="nil"/>
          <w:right w:val="nil"/>
          <w:between w:val="nil"/>
          <w:bar w:val="nil"/>
        </w:pBdr>
        <w:tabs>
          <w:tab w:val="clear" w:pos="720"/>
          <w:tab w:val="num" w:pos="450"/>
        </w:tabs>
        <w:spacing w:after="0" w:line="240" w:lineRule="auto"/>
        <w:ind w:firstLine="0"/>
        <w:jc w:val="both"/>
        <w:rPr>
          <w:rFonts w:ascii="Cambria" w:eastAsia="Cambria" w:hAnsi="Cambria" w:cs="Cambria"/>
          <w:color w:val="000000"/>
          <w:sz w:val="20"/>
          <w:szCs w:val="20"/>
          <w:u w:color="000000"/>
          <w:bdr w:val="nil"/>
          <w:lang w:val="es-ES_tradnl" w:eastAsia="es-ES"/>
        </w:rPr>
      </w:pPr>
      <w:r w:rsidRPr="0058501F">
        <w:rPr>
          <w:rFonts w:ascii="Cambria" w:eastAsia="Cambria" w:hAnsi="Cambria" w:cs="Cambria"/>
          <w:color w:val="000000"/>
          <w:sz w:val="20"/>
          <w:szCs w:val="20"/>
          <w:u w:color="000000"/>
          <w:bdr w:val="nil"/>
          <w:lang w:val="es-ES_tradnl" w:eastAsia="es-ES"/>
        </w:rPr>
        <w:t>El Estado sostiene que las protecciones de las notificaciones consulares se basan en los principios de reciprocidad, nacionalidad y mandato, y que cualquier derecho que surja de esas protecciones se atribuye a los funcionarios consulares con el fin de facilitar la información y el acceso de un estado extranjero sobre sus nacionales. El Estado enfatiza que la notificación consular no es un componente necesario del derecho a un juicio justo ni del derecho al debido proceso en los procesos penales. Además, esa disponibilidad de notificación y acceso consular se basa en la existencia de relaciones consulares entre gobiernos y, por lo tanto, es innegable que el Estado de nacionalidad del detenido, a través de sus funcionarios consulares, ejerce su derecho a facilitar el acceso de ese Estado a su nacional. Si bien el Estado de la nacionalidad puede protestar diplomáticamente por cualquier incumplimiento de los términos de la Convención de Viena sobre Relaciones Consulares (VCCR) e intentar negociar una solución, el individuo no tiene el derecho judicialmente exigible de obligar al cumplimiento. Adicionalmente, el Estado sostiene que el tribunal federal de distrito proporcionó una revisión alternativa sobre el prejuicio para el peticionario con base en su denuncia de notificación consular, encontrando que el peticionario no fue perjudicado respecto del momento de notificación al consulado mexicano.</w:t>
      </w:r>
    </w:p>
    <w:p w14:paraId="35BBC7F9" w14:textId="77777777" w:rsidR="001E5C7E" w:rsidRPr="0058501F" w:rsidRDefault="001E5C7E" w:rsidP="00470EC4">
      <w:pPr>
        <w:pBdr>
          <w:top w:val="nil"/>
          <w:left w:val="nil"/>
          <w:bottom w:val="nil"/>
          <w:right w:val="nil"/>
          <w:between w:val="nil"/>
          <w:bar w:val="nil"/>
        </w:pBdr>
        <w:tabs>
          <w:tab w:val="num" w:pos="450"/>
        </w:tabs>
        <w:spacing w:after="0" w:line="240" w:lineRule="auto"/>
        <w:ind w:left="720"/>
        <w:jc w:val="both"/>
        <w:rPr>
          <w:rFonts w:ascii="Cambria" w:eastAsia="Cambria" w:hAnsi="Cambria" w:cs="Cambria"/>
          <w:color w:val="000000"/>
          <w:sz w:val="20"/>
          <w:szCs w:val="20"/>
          <w:u w:color="000000"/>
          <w:bdr w:val="nil"/>
          <w:lang w:val="es-ES_tradnl" w:eastAsia="es-ES"/>
        </w:rPr>
      </w:pPr>
    </w:p>
    <w:p w14:paraId="7FF35CDE" w14:textId="77777777" w:rsidR="001E5C7E" w:rsidRPr="0058501F" w:rsidRDefault="001E5C7E" w:rsidP="00470EC4">
      <w:pPr>
        <w:numPr>
          <w:ilvl w:val="0"/>
          <w:numId w:val="1"/>
        </w:numPr>
        <w:pBdr>
          <w:top w:val="nil"/>
          <w:left w:val="nil"/>
          <w:bottom w:val="nil"/>
          <w:right w:val="nil"/>
          <w:between w:val="nil"/>
          <w:bar w:val="nil"/>
        </w:pBdr>
        <w:tabs>
          <w:tab w:val="clear" w:pos="720"/>
          <w:tab w:val="num" w:pos="450"/>
        </w:tabs>
        <w:spacing w:after="0" w:line="240" w:lineRule="auto"/>
        <w:ind w:firstLine="0"/>
        <w:jc w:val="both"/>
        <w:rPr>
          <w:rFonts w:ascii="Cambria" w:eastAsia="Cambria" w:hAnsi="Cambria" w:cs="Cambria"/>
          <w:color w:val="000000"/>
          <w:sz w:val="20"/>
          <w:szCs w:val="20"/>
          <w:u w:color="000000"/>
          <w:bdr w:val="nil"/>
          <w:lang w:val="es-ES_tradnl" w:eastAsia="es-ES"/>
        </w:rPr>
      </w:pPr>
      <w:r w:rsidRPr="0058501F">
        <w:rPr>
          <w:rFonts w:ascii="Cambria" w:eastAsia="Cambria" w:hAnsi="Cambria" w:cs="Cambria"/>
          <w:color w:val="000000"/>
          <w:sz w:val="20"/>
          <w:szCs w:val="20"/>
          <w:u w:color="000000"/>
          <w:bdr w:val="nil"/>
          <w:lang w:val="es-ES_tradnl" w:eastAsia="es-ES"/>
        </w:rPr>
        <w:t>El Estado destaca que ni la Declaración Americana ni la ley estadounidense prohíben la pena capital para las personas que padecen enfermedades mentales graves pero cuya condición mental no alcanza el nivel de locura o discapacidad intelectual. Además, el hecho de que no se haya establecido una definición acordada internacionalmente de personas con "enfermedades mentales graves" demuestra la falta de consenso internacional. Asimismo, el Estado alega que el peticionario no demostró, en ningún momento de su proceso judicial y de apelación, que no había entendido que sería ejecutado por los delitos por los que fue condenado.</w:t>
      </w:r>
    </w:p>
    <w:p w14:paraId="363EA071" w14:textId="77777777" w:rsidR="001E5C7E" w:rsidRPr="0058501F" w:rsidRDefault="001E5C7E" w:rsidP="00470EC4">
      <w:pPr>
        <w:pBdr>
          <w:top w:val="nil"/>
          <w:left w:val="nil"/>
          <w:bottom w:val="nil"/>
          <w:right w:val="nil"/>
          <w:between w:val="nil"/>
          <w:bar w:val="nil"/>
        </w:pBdr>
        <w:tabs>
          <w:tab w:val="num" w:pos="450"/>
        </w:tabs>
        <w:spacing w:after="0" w:line="240" w:lineRule="auto"/>
        <w:jc w:val="both"/>
        <w:rPr>
          <w:rFonts w:ascii="Cambria" w:eastAsia="Cambria" w:hAnsi="Cambria" w:cs="Cambria"/>
          <w:color w:val="000000"/>
          <w:sz w:val="20"/>
          <w:szCs w:val="20"/>
          <w:u w:color="000000"/>
          <w:bdr w:val="nil"/>
          <w:lang w:val="es-ES_tradnl" w:eastAsia="es-ES"/>
        </w:rPr>
      </w:pPr>
    </w:p>
    <w:p w14:paraId="1B9DE931" w14:textId="77777777" w:rsidR="00EA2D09" w:rsidRPr="0058501F" w:rsidRDefault="001E5C7E" w:rsidP="00470EC4">
      <w:pPr>
        <w:numPr>
          <w:ilvl w:val="0"/>
          <w:numId w:val="1"/>
        </w:numPr>
        <w:pBdr>
          <w:top w:val="nil"/>
          <w:left w:val="nil"/>
          <w:bottom w:val="nil"/>
          <w:right w:val="nil"/>
          <w:between w:val="nil"/>
          <w:bar w:val="nil"/>
        </w:pBdr>
        <w:tabs>
          <w:tab w:val="clear" w:pos="720"/>
          <w:tab w:val="num" w:pos="450"/>
        </w:tabs>
        <w:spacing w:after="0" w:line="240" w:lineRule="auto"/>
        <w:ind w:firstLine="0"/>
        <w:jc w:val="both"/>
        <w:rPr>
          <w:rFonts w:ascii="Cambria" w:eastAsia="Cambria" w:hAnsi="Cambria" w:cs="Cambria"/>
          <w:color w:val="000000"/>
          <w:sz w:val="20"/>
          <w:szCs w:val="20"/>
          <w:u w:color="000000"/>
          <w:bdr w:val="nil"/>
          <w:lang w:val="es-ES_tradnl" w:eastAsia="es-ES"/>
        </w:rPr>
      </w:pPr>
      <w:r w:rsidRPr="0058501F">
        <w:rPr>
          <w:rFonts w:ascii="Cambria" w:eastAsia="Cambria" w:hAnsi="Cambria" w:cs="Cambria"/>
          <w:color w:val="000000"/>
          <w:sz w:val="20"/>
          <w:szCs w:val="20"/>
          <w:u w:color="000000"/>
          <w:bdr w:val="nil"/>
          <w:lang w:val="es-ES_tradnl" w:eastAsia="es-ES"/>
        </w:rPr>
        <w:lastRenderedPageBreak/>
        <w:t xml:space="preserve">El Estado alega además que el Dr. Stephen Mark evaluó al </w:t>
      </w:r>
      <w:r w:rsidR="00DD040D" w:rsidRPr="0058501F">
        <w:rPr>
          <w:rFonts w:ascii="Cambria" w:eastAsia="Cambria" w:hAnsi="Cambria" w:cs="Cambria"/>
          <w:color w:val="000000"/>
          <w:sz w:val="20"/>
          <w:szCs w:val="20"/>
          <w:u w:color="000000"/>
          <w:bdr w:val="nil"/>
          <w:lang w:val="es-ES_tradnl" w:eastAsia="es-ES"/>
        </w:rPr>
        <w:t>Sr.</w:t>
      </w:r>
      <w:r w:rsidRPr="0058501F">
        <w:rPr>
          <w:rFonts w:ascii="Cambria" w:eastAsia="Cambria" w:hAnsi="Cambria" w:cs="Cambria"/>
          <w:color w:val="000000"/>
          <w:sz w:val="20"/>
          <w:szCs w:val="20"/>
          <w:u w:color="000000"/>
          <w:bdr w:val="nil"/>
          <w:lang w:val="es-ES_tradnl" w:eastAsia="es-ES"/>
        </w:rPr>
        <w:t xml:space="preserve"> Ibarra en dos ocasiones, encontrando que era competente para ser juzgado y que no tenía “retraso mental”. El Estado alega que el dictamen pericial proporcionado por el peticionario, que se completó en 2003 después de la decisión Atkins, es deficiente, ya que se completó en un momento en que el peticionario tenía un incentivo para aparecer lo más comprometido intelectualmente posible. Además, el Estado afirma que el peticionario no estableció que sea un incompetente mental o que su condición mental se haya deteriorado hasta el punto de la locura que haría inadmisible la aplicación de la pena de muerte. Se afirma que la capacidad mental del Sr. Ibarra fue investigada y revisada en múltiples ocasiones en las que se determinó que no cumplía con el estándar constitucionalmente requerido. Por último, el Estado destaca que la Corte Suprema de Estados Unidos ha sostenido que las personas con enfermedades mentales pueden ser ejecutadas siempre que comprendan el motivo de su ejecución.</w:t>
      </w:r>
    </w:p>
    <w:p w14:paraId="1407C3FC" w14:textId="77777777" w:rsidR="00EA2D09" w:rsidRPr="0058501F" w:rsidRDefault="00EA2D09" w:rsidP="00470EC4">
      <w:pPr>
        <w:pBdr>
          <w:top w:val="nil"/>
          <w:left w:val="nil"/>
          <w:bottom w:val="nil"/>
          <w:right w:val="nil"/>
          <w:between w:val="nil"/>
          <w:bar w:val="nil"/>
        </w:pBdr>
        <w:tabs>
          <w:tab w:val="num" w:pos="450"/>
        </w:tabs>
        <w:spacing w:after="0" w:line="240" w:lineRule="auto"/>
        <w:jc w:val="both"/>
        <w:rPr>
          <w:rFonts w:ascii="Cambria" w:eastAsia="Cambria" w:hAnsi="Cambria" w:cs="Cambria"/>
          <w:color w:val="000000"/>
          <w:sz w:val="20"/>
          <w:szCs w:val="20"/>
          <w:u w:color="000000"/>
          <w:bdr w:val="nil"/>
          <w:lang w:val="es-ES_tradnl" w:eastAsia="es-ES"/>
        </w:rPr>
      </w:pPr>
    </w:p>
    <w:p w14:paraId="08F66375" w14:textId="77777777" w:rsidR="00EA2D09" w:rsidRPr="0058501F" w:rsidRDefault="00EA2D09" w:rsidP="00470EC4">
      <w:pPr>
        <w:numPr>
          <w:ilvl w:val="0"/>
          <w:numId w:val="1"/>
        </w:numPr>
        <w:pBdr>
          <w:top w:val="nil"/>
          <w:left w:val="nil"/>
          <w:bottom w:val="nil"/>
          <w:right w:val="nil"/>
          <w:between w:val="nil"/>
          <w:bar w:val="nil"/>
        </w:pBdr>
        <w:tabs>
          <w:tab w:val="clear" w:pos="720"/>
          <w:tab w:val="num" w:pos="450"/>
        </w:tabs>
        <w:spacing w:after="0" w:line="240" w:lineRule="auto"/>
        <w:ind w:firstLine="0"/>
        <w:jc w:val="both"/>
        <w:rPr>
          <w:rFonts w:ascii="Cambria" w:eastAsia="Cambria" w:hAnsi="Cambria" w:cs="Cambria"/>
          <w:color w:val="000000"/>
          <w:sz w:val="20"/>
          <w:szCs w:val="20"/>
          <w:u w:color="000000"/>
          <w:bdr w:val="nil"/>
          <w:lang w:val="es-ES_tradnl" w:eastAsia="es-ES"/>
        </w:rPr>
      </w:pPr>
      <w:r w:rsidRPr="0058501F">
        <w:rPr>
          <w:rFonts w:ascii="Cambria" w:eastAsia="Cambria" w:hAnsi="Cambria" w:cs="Cambria"/>
          <w:color w:val="000000"/>
          <w:sz w:val="20"/>
          <w:szCs w:val="20"/>
          <w:u w:color="000000"/>
          <w:bdr w:val="nil"/>
          <w:lang w:val="es-ES_tradnl" w:eastAsia="es-ES"/>
        </w:rPr>
        <w:t xml:space="preserve">Con respecto a la denuncia del </w:t>
      </w:r>
      <w:r w:rsidR="00DD040D" w:rsidRPr="0058501F">
        <w:rPr>
          <w:rFonts w:ascii="Cambria" w:eastAsia="Cambria" w:hAnsi="Cambria" w:cs="Cambria"/>
          <w:color w:val="000000"/>
          <w:sz w:val="20"/>
          <w:szCs w:val="20"/>
          <w:u w:color="000000"/>
          <w:bdr w:val="nil"/>
          <w:lang w:val="es-ES_tradnl" w:eastAsia="es-ES"/>
        </w:rPr>
        <w:t>Sr.</w:t>
      </w:r>
      <w:r w:rsidRPr="0058501F">
        <w:rPr>
          <w:rFonts w:ascii="Cambria" w:eastAsia="Cambria" w:hAnsi="Cambria" w:cs="Cambria"/>
          <w:color w:val="000000"/>
          <w:sz w:val="20"/>
          <w:szCs w:val="20"/>
          <w:u w:color="000000"/>
          <w:bdr w:val="nil"/>
          <w:lang w:val="es-ES_tradnl" w:eastAsia="es-ES"/>
        </w:rPr>
        <w:t xml:space="preserve"> Ibarra que padece el fenómeno del corredor de la muerte, el Estado afirma que el proceso de apelación interno otorga a los condenados por delitos capitales el más alto nivel de protección internacionalmente reconocido y brinda vías para la revisión a través de los tribunales estatales y federales de cada condena penal. Además, los procedimientos de hábeas corpus federales permiten a los tribunales federales revisar los méritos sustantivos y procesales de cada pena de muerte impuesta por tribunales estatales. Es el derecho del individuo aprovechar al máximo las apelaciones obligatorias y discrecionales a nivel estatal y federal, y no es raro que pasen muchos años antes de que se complete este extenso proceso de apelaciones.</w:t>
      </w:r>
    </w:p>
    <w:p w14:paraId="6F5228DD" w14:textId="77777777" w:rsidR="00EA2D09" w:rsidRPr="0058501F" w:rsidRDefault="00EA2D09" w:rsidP="00470EC4">
      <w:pPr>
        <w:pBdr>
          <w:top w:val="nil"/>
          <w:left w:val="nil"/>
          <w:bottom w:val="nil"/>
          <w:right w:val="nil"/>
          <w:between w:val="nil"/>
          <w:bar w:val="nil"/>
        </w:pBdr>
        <w:tabs>
          <w:tab w:val="num" w:pos="450"/>
        </w:tabs>
        <w:spacing w:after="0" w:line="240" w:lineRule="auto"/>
        <w:jc w:val="both"/>
        <w:rPr>
          <w:rFonts w:ascii="Cambria" w:eastAsia="Cambria" w:hAnsi="Cambria" w:cs="Cambria"/>
          <w:color w:val="000000"/>
          <w:sz w:val="20"/>
          <w:szCs w:val="20"/>
          <w:u w:color="000000"/>
          <w:bdr w:val="nil"/>
          <w:lang w:val="es-ES_tradnl" w:eastAsia="es-ES"/>
        </w:rPr>
      </w:pPr>
    </w:p>
    <w:p w14:paraId="3DF68A51" w14:textId="77777777" w:rsidR="001E5C7E" w:rsidRPr="0058501F" w:rsidRDefault="00EA2D09" w:rsidP="00470EC4">
      <w:pPr>
        <w:numPr>
          <w:ilvl w:val="0"/>
          <w:numId w:val="1"/>
        </w:numPr>
        <w:pBdr>
          <w:top w:val="nil"/>
          <w:left w:val="nil"/>
          <w:bottom w:val="nil"/>
          <w:right w:val="nil"/>
          <w:between w:val="nil"/>
          <w:bar w:val="nil"/>
        </w:pBdr>
        <w:tabs>
          <w:tab w:val="clear" w:pos="720"/>
          <w:tab w:val="num" w:pos="450"/>
        </w:tabs>
        <w:spacing w:after="0" w:line="240" w:lineRule="auto"/>
        <w:ind w:firstLine="0"/>
        <w:jc w:val="both"/>
        <w:rPr>
          <w:rFonts w:ascii="Cambria" w:eastAsia="Cambria" w:hAnsi="Cambria" w:cs="Cambria"/>
          <w:color w:val="000000"/>
          <w:sz w:val="20"/>
          <w:szCs w:val="20"/>
          <w:u w:color="000000"/>
          <w:bdr w:val="nil"/>
          <w:lang w:val="es-ES_tradnl" w:eastAsia="es-ES"/>
        </w:rPr>
      </w:pPr>
      <w:r w:rsidRPr="0058501F">
        <w:rPr>
          <w:rFonts w:ascii="Cambria" w:eastAsia="Cambria" w:hAnsi="Cambria" w:cs="Cambria"/>
          <w:color w:val="000000"/>
          <w:sz w:val="20"/>
          <w:szCs w:val="20"/>
          <w:u w:color="000000"/>
          <w:bdr w:val="nil"/>
          <w:lang w:val="es-ES_tradnl" w:eastAsia="es-ES"/>
        </w:rPr>
        <w:t>El Estado rechaza la afirmación de que la Declaración Americana exige a los Estados que revisen las condiciones de detención, que pueden estar condicionadas por los riesgos de seguridad que plantean los presos condenados en el corredor de la muerte, de modo que puedan evitar las penurias potencialmente asociadas con una detención prolongada. Los largos períodos de detención en el corredor de la muerte son a menudo el resultado de un exhaustivo proceso de apelación ordenado por la constitución, como el que se ha llevado a cabo en este caso, en el que el peticionario ha tenido numerosas revisiones de su caso por parte de los tribunales federales y estatales.</w:t>
      </w:r>
    </w:p>
    <w:p w14:paraId="36250BC9" w14:textId="77777777" w:rsidR="00EA2D09" w:rsidRPr="0058501F" w:rsidRDefault="00EA2D09" w:rsidP="00470EC4">
      <w:pPr>
        <w:pBdr>
          <w:top w:val="nil"/>
          <w:left w:val="nil"/>
          <w:bottom w:val="nil"/>
          <w:right w:val="nil"/>
          <w:between w:val="nil"/>
          <w:bar w:val="nil"/>
        </w:pBdr>
        <w:tabs>
          <w:tab w:val="num" w:pos="450"/>
        </w:tabs>
        <w:spacing w:after="0" w:line="240" w:lineRule="auto"/>
        <w:jc w:val="both"/>
        <w:rPr>
          <w:rFonts w:ascii="Cambria" w:eastAsia="Cambria" w:hAnsi="Cambria" w:cs="Cambria"/>
          <w:color w:val="000000"/>
          <w:sz w:val="20"/>
          <w:szCs w:val="20"/>
          <w:u w:color="000000"/>
          <w:bdr w:val="nil"/>
          <w:lang w:val="es-ES_tradnl" w:eastAsia="es-ES"/>
        </w:rPr>
      </w:pPr>
    </w:p>
    <w:p w14:paraId="4641E700" w14:textId="77777777" w:rsidR="001E5C7E" w:rsidRPr="0058501F" w:rsidRDefault="00EA2D09" w:rsidP="00470EC4">
      <w:pPr>
        <w:numPr>
          <w:ilvl w:val="0"/>
          <w:numId w:val="1"/>
        </w:numPr>
        <w:pBdr>
          <w:top w:val="nil"/>
          <w:left w:val="nil"/>
          <w:bottom w:val="nil"/>
          <w:right w:val="nil"/>
          <w:between w:val="nil"/>
          <w:bar w:val="nil"/>
        </w:pBdr>
        <w:tabs>
          <w:tab w:val="clear" w:pos="720"/>
          <w:tab w:val="num" w:pos="450"/>
        </w:tabs>
        <w:spacing w:after="0" w:line="240" w:lineRule="auto"/>
        <w:ind w:firstLine="0"/>
        <w:jc w:val="both"/>
        <w:rPr>
          <w:rFonts w:ascii="Cambria" w:eastAsia="Cambria" w:hAnsi="Cambria" w:cs="Cambria"/>
          <w:color w:val="000000"/>
          <w:sz w:val="20"/>
          <w:szCs w:val="20"/>
          <w:u w:color="000000"/>
          <w:bdr w:val="nil"/>
          <w:lang w:val="es-ES_tradnl" w:eastAsia="es-ES"/>
        </w:rPr>
      </w:pPr>
      <w:r w:rsidRPr="0058501F">
        <w:rPr>
          <w:rFonts w:ascii="Cambria" w:eastAsia="Cambria" w:hAnsi="Cambria" w:cs="Cambria"/>
          <w:color w:val="000000"/>
          <w:sz w:val="20"/>
          <w:szCs w:val="20"/>
          <w:u w:color="000000"/>
          <w:bdr w:val="nil"/>
          <w:lang w:val="es-ES_tradnl" w:eastAsia="es-ES"/>
        </w:rPr>
        <w:t>El Est</w:t>
      </w:r>
      <w:r w:rsidR="000D6DBE" w:rsidRPr="0058501F">
        <w:rPr>
          <w:rFonts w:ascii="Cambria" w:eastAsia="Cambria" w:hAnsi="Cambria" w:cs="Cambria"/>
          <w:color w:val="000000"/>
          <w:sz w:val="20"/>
          <w:szCs w:val="20"/>
          <w:u w:color="000000"/>
          <w:bdr w:val="nil"/>
          <w:lang w:val="es-ES_tradnl" w:eastAsia="es-ES"/>
        </w:rPr>
        <w:t>a</w:t>
      </w:r>
      <w:r w:rsidRPr="0058501F">
        <w:rPr>
          <w:rFonts w:ascii="Cambria" w:eastAsia="Cambria" w:hAnsi="Cambria" w:cs="Cambria"/>
          <w:color w:val="000000"/>
          <w:sz w:val="20"/>
          <w:szCs w:val="20"/>
          <w:u w:color="000000"/>
          <w:bdr w:val="nil"/>
          <w:lang w:val="es-ES_tradnl" w:eastAsia="es-ES"/>
        </w:rPr>
        <w:t xml:space="preserve">do afirma que las condiciones de detención durante lo que puede ser una demora prolongada entre la sentencia y la ejecución son consecuencia de la pena capital impuesta legalmente. El Estado agrega </w:t>
      </w:r>
      <w:proofErr w:type="gramStart"/>
      <w:r w:rsidRPr="0058501F">
        <w:rPr>
          <w:rFonts w:ascii="Cambria" w:eastAsia="Cambria" w:hAnsi="Cambria" w:cs="Cambria"/>
          <w:color w:val="000000"/>
          <w:sz w:val="20"/>
          <w:szCs w:val="20"/>
          <w:u w:color="000000"/>
          <w:bdr w:val="nil"/>
          <w:lang w:val="es-ES_tradnl" w:eastAsia="es-ES"/>
        </w:rPr>
        <w:t>que</w:t>
      </w:r>
      <w:proofErr w:type="gramEnd"/>
      <w:r w:rsidRPr="0058501F">
        <w:rPr>
          <w:rFonts w:ascii="Cambria" w:eastAsia="Cambria" w:hAnsi="Cambria" w:cs="Cambria"/>
          <w:color w:val="000000"/>
          <w:sz w:val="20"/>
          <w:szCs w:val="20"/>
          <w:u w:color="000000"/>
          <w:bdr w:val="nil"/>
          <w:lang w:val="es-ES_tradnl" w:eastAsia="es-ES"/>
        </w:rPr>
        <w:t xml:space="preserve"> bajo la Cláusula de Debido Proceso de la Decimocuarta Enmienda, los reclusos tienen </w:t>
      </w:r>
      <w:r w:rsidR="000D6DBE" w:rsidRPr="0058501F">
        <w:rPr>
          <w:rFonts w:ascii="Cambria" w:eastAsia="Cambria" w:hAnsi="Cambria" w:cs="Cambria"/>
          <w:color w:val="000000"/>
          <w:sz w:val="20"/>
          <w:szCs w:val="20"/>
          <w:u w:color="000000"/>
          <w:bdr w:val="nil"/>
          <w:lang w:val="es-ES_tradnl" w:eastAsia="es-ES"/>
        </w:rPr>
        <w:t>el derecho a</w:t>
      </w:r>
      <w:r w:rsidRPr="0058501F">
        <w:rPr>
          <w:rFonts w:ascii="Cambria" w:eastAsia="Cambria" w:hAnsi="Cambria" w:cs="Cambria"/>
          <w:color w:val="000000"/>
          <w:sz w:val="20"/>
          <w:szCs w:val="20"/>
          <w:u w:color="000000"/>
          <w:bdr w:val="nil"/>
          <w:lang w:val="es-ES_tradnl" w:eastAsia="es-ES"/>
        </w:rPr>
        <w:t xml:space="preserve"> evitar ciertos tipos de confinamiento solitario y no pueden ser sometidos a confinamiento solitario sin una audiencia administrativa y otros procedimientos que protejan su derecho al debido proceso. El Estado afirma que la conclusión de que las condiciones de detención de los presos condenados a muerte violan la Declaración socavaría la autoridad del Estado para tomar las medidas de seguridad y protección adecuadas para proteger a otras personas durante este período de revisión.</w:t>
      </w:r>
    </w:p>
    <w:p w14:paraId="6947C1B1" w14:textId="77777777" w:rsidR="000D6DBE" w:rsidRPr="0058501F" w:rsidRDefault="000D6DBE" w:rsidP="00470EC4">
      <w:pPr>
        <w:pStyle w:val="ListParagraph"/>
        <w:tabs>
          <w:tab w:val="num" w:pos="450"/>
        </w:tabs>
        <w:spacing w:after="0" w:line="240" w:lineRule="auto"/>
        <w:ind w:left="0"/>
        <w:rPr>
          <w:rFonts w:ascii="Cambria" w:eastAsia="Cambria" w:hAnsi="Cambria" w:cs="Cambria"/>
          <w:color w:val="000000"/>
          <w:sz w:val="20"/>
          <w:szCs w:val="20"/>
          <w:u w:color="000000"/>
          <w:bdr w:val="nil"/>
          <w:lang w:val="es-ES_tradnl" w:eastAsia="es-ES"/>
        </w:rPr>
      </w:pPr>
    </w:p>
    <w:p w14:paraId="00DE8337" w14:textId="77777777" w:rsidR="000D6DBE" w:rsidRPr="0058501F" w:rsidRDefault="000D6DBE" w:rsidP="00470EC4">
      <w:pPr>
        <w:numPr>
          <w:ilvl w:val="0"/>
          <w:numId w:val="1"/>
        </w:numPr>
        <w:pBdr>
          <w:top w:val="nil"/>
          <w:left w:val="nil"/>
          <w:bottom w:val="nil"/>
          <w:right w:val="nil"/>
          <w:between w:val="nil"/>
          <w:bar w:val="nil"/>
        </w:pBdr>
        <w:tabs>
          <w:tab w:val="clear" w:pos="720"/>
          <w:tab w:val="num" w:pos="450"/>
        </w:tabs>
        <w:spacing w:after="0" w:line="240" w:lineRule="auto"/>
        <w:ind w:firstLine="0"/>
        <w:jc w:val="both"/>
        <w:rPr>
          <w:rFonts w:ascii="Cambria" w:eastAsia="Cambria" w:hAnsi="Cambria" w:cs="Cambria"/>
          <w:color w:val="000000"/>
          <w:sz w:val="20"/>
          <w:szCs w:val="20"/>
          <w:u w:color="000000"/>
          <w:bdr w:val="nil"/>
          <w:lang w:val="es-ES_tradnl" w:eastAsia="es-ES"/>
        </w:rPr>
      </w:pPr>
      <w:r w:rsidRPr="0058501F">
        <w:rPr>
          <w:rFonts w:ascii="Cambria" w:eastAsia="Cambria" w:hAnsi="Cambria" w:cs="Cambria"/>
          <w:color w:val="000000"/>
          <w:sz w:val="20"/>
          <w:szCs w:val="20"/>
          <w:u w:color="000000"/>
          <w:bdr w:val="nil"/>
          <w:lang w:val="es-ES_tradnl" w:eastAsia="es-ES"/>
        </w:rPr>
        <w:t xml:space="preserve">Finalmente, se alega que la doctrina de la cuarta instancia impide que la Comisión revise los reclamos de los peticionarios. Se alega que la presunta víctima se acogió al marco legal interno para impugnar su condena y sentencia en múltiples procesos durante varios años. En cada uno de estos procesos, los tribunales revisaron cuidadosamente las pruebas y rechazaron los argumentos de la presunta víctima por carecer de fundamento. El Estado afirma </w:t>
      </w:r>
      <w:proofErr w:type="gramStart"/>
      <w:r w:rsidRPr="0058501F">
        <w:rPr>
          <w:rFonts w:ascii="Cambria" w:eastAsia="Cambria" w:hAnsi="Cambria" w:cs="Cambria"/>
          <w:color w:val="000000"/>
          <w:sz w:val="20"/>
          <w:szCs w:val="20"/>
          <w:u w:color="000000"/>
          <w:bdr w:val="nil"/>
          <w:lang w:val="es-ES_tradnl" w:eastAsia="es-ES"/>
        </w:rPr>
        <w:t>que</w:t>
      </w:r>
      <w:proofErr w:type="gramEnd"/>
      <w:r w:rsidRPr="0058501F">
        <w:rPr>
          <w:rFonts w:ascii="Cambria" w:eastAsia="Cambria" w:hAnsi="Cambria" w:cs="Cambria"/>
          <w:color w:val="000000"/>
          <w:sz w:val="20"/>
          <w:szCs w:val="20"/>
          <w:u w:color="000000"/>
          <w:bdr w:val="nil"/>
          <w:lang w:val="es-ES_tradnl" w:eastAsia="es-ES"/>
        </w:rPr>
        <w:t xml:space="preserve"> al revisar los reclamos, la Comisión cuestionaría las determinaciones legales y fácticas de los tribunales estatales y federales en múltiples niveles, que se llevaron a cabo de conformidad con las protecciones del debido proceso de conformidad con la ley de EE. UU. Y plenamente coherentes con los compromisos asumidos por EE. UU. en la Declaración Americana.</w:t>
      </w:r>
    </w:p>
    <w:p w14:paraId="0A4BBEE7" w14:textId="77777777" w:rsidR="00470EC4" w:rsidRDefault="00470EC4">
      <w:pPr>
        <w:spacing w:after="0" w:line="240" w:lineRule="auto"/>
        <w:rPr>
          <w:rFonts w:ascii="Cambria" w:eastAsia="Cambria" w:hAnsi="Cambria"/>
          <w:b/>
          <w:bCs/>
          <w:kern w:val="32"/>
          <w:sz w:val="20"/>
          <w:szCs w:val="20"/>
          <w:u w:color="000000"/>
          <w:bdr w:val="nil"/>
          <w:lang w:val="es-ES_tradnl" w:eastAsia="es-ES"/>
        </w:rPr>
      </w:pPr>
      <w:bookmarkStart w:id="4" w:name="_Toc90117828"/>
      <w:r>
        <w:rPr>
          <w:rFonts w:ascii="Cambria" w:eastAsia="Cambria" w:hAnsi="Cambria"/>
          <w:sz w:val="20"/>
          <w:szCs w:val="20"/>
          <w:u w:color="000000"/>
          <w:bdr w:val="nil"/>
          <w:lang w:val="es-ES_tradnl" w:eastAsia="es-ES"/>
        </w:rPr>
        <w:br w:type="page"/>
      </w:r>
    </w:p>
    <w:p w14:paraId="3D0BE349" w14:textId="47FE8547" w:rsidR="000D6DBE" w:rsidRPr="0058501F" w:rsidRDefault="000D6DBE" w:rsidP="00AF5EB8">
      <w:pPr>
        <w:pStyle w:val="Heading1"/>
        <w:numPr>
          <w:ilvl w:val="0"/>
          <w:numId w:val="10"/>
        </w:numPr>
        <w:rPr>
          <w:rFonts w:ascii="Cambria" w:eastAsia="Cambria" w:hAnsi="Cambria"/>
          <w:sz w:val="20"/>
          <w:szCs w:val="20"/>
          <w:u w:color="000000"/>
          <w:bdr w:val="nil"/>
          <w:lang w:val="es-ES_tradnl" w:eastAsia="es-ES"/>
        </w:rPr>
      </w:pPr>
      <w:r w:rsidRPr="0058501F">
        <w:rPr>
          <w:rFonts w:ascii="Cambria" w:eastAsia="Cambria" w:hAnsi="Cambria"/>
          <w:sz w:val="20"/>
          <w:szCs w:val="20"/>
          <w:u w:color="000000"/>
          <w:bdr w:val="nil"/>
          <w:lang w:val="es-ES_tradnl" w:eastAsia="es-ES"/>
        </w:rPr>
        <w:lastRenderedPageBreak/>
        <w:t>ADMISIBILIDAD</w:t>
      </w:r>
      <w:bookmarkEnd w:id="4"/>
    </w:p>
    <w:p w14:paraId="0C1B3945" w14:textId="77777777" w:rsidR="000D6DBE" w:rsidRPr="0058501F" w:rsidRDefault="000D6DBE" w:rsidP="00AF5EB8">
      <w:pPr>
        <w:pStyle w:val="Heading2"/>
        <w:numPr>
          <w:ilvl w:val="0"/>
          <w:numId w:val="12"/>
        </w:numPr>
        <w:rPr>
          <w:rFonts w:ascii="Cambria" w:eastAsia="Cambria" w:hAnsi="Cambria"/>
          <w:sz w:val="20"/>
          <w:szCs w:val="20"/>
          <w:u w:color="000000"/>
          <w:bdr w:val="nil"/>
          <w:lang w:val="es-ES_tradnl" w:eastAsia="es-ES"/>
        </w:rPr>
      </w:pPr>
      <w:bookmarkStart w:id="5" w:name="_Toc90117829"/>
      <w:r w:rsidRPr="0058501F">
        <w:rPr>
          <w:rFonts w:ascii="Cambria" w:eastAsia="Cambria" w:hAnsi="Cambria"/>
          <w:sz w:val="20"/>
          <w:szCs w:val="20"/>
          <w:u w:color="000000"/>
          <w:bdr w:val="nil"/>
          <w:lang w:val="es-ES_tradnl" w:eastAsia="es-ES"/>
        </w:rPr>
        <w:t xml:space="preserve">Competencia, duplicación de procedimientos y res </w:t>
      </w:r>
      <w:proofErr w:type="spellStart"/>
      <w:r w:rsidRPr="0058501F">
        <w:rPr>
          <w:rFonts w:ascii="Cambria" w:eastAsia="Cambria" w:hAnsi="Cambria"/>
          <w:sz w:val="20"/>
          <w:szCs w:val="20"/>
          <w:u w:color="000000"/>
          <w:bdr w:val="nil"/>
          <w:lang w:val="es-ES_tradnl" w:eastAsia="es-ES"/>
        </w:rPr>
        <w:t>judicata</w:t>
      </w:r>
      <w:proofErr w:type="spellEnd"/>
      <w:r w:rsidRPr="0058501F">
        <w:rPr>
          <w:rFonts w:ascii="Cambria" w:eastAsia="Cambria" w:hAnsi="Cambria"/>
          <w:sz w:val="20"/>
          <w:szCs w:val="20"/>
          <w:u w:color="000000"/>
          <w:bdr w:val="nil"/>
          <w:lang w:val="es-ES_tradnl" w:eastAsia="es-ES"/>
        </w:rPr>
        <w:t xml:space="preserve"> internacional</w:t>
      </w:r>
      <w:bookmarkEnd w:id="5"/>
      <w:r w:rsidRPr="0058501F">
        <w:rPr>
          <w:rFonts w:ascii="Cambria" w:eastAsia="Cambria" w:hAnsi="Cambria"/>
          <w:sz w:val="20"/>
          <w:szCs w:val="20"/>
          <w:u w:color="000000"/>
          <w:bdr w:val="nil"/>
          <w:lang w:val="es-ES_tradnl" w:eastAsia="es-ES"/>
        </w:rPr>
        <w:t xml:space="preserve"> </w:t>
      </w:r>
    </w:p>
    <w:p w14:paraId="0B70C610" w14:textId="77777777" w:rsidR="000D6DBE" w:rsidRPr="0058501F" w:rsidRDefault="000D6DBE" w:rsidP="000D6DBE">
      <w:pPr>
        <w:pBdr>
          <w:top w:val="nil"/>
          <w:left w:val="nil"/>
          <w:bottom w:val="nil"/>
          <w:right w:val="nil"/>
          <w:between w:val="nil"/>
          <w:bar w:val="nil"/>
        </w:pBdr>
        <w:spacing w:after="0" w:line="240" w:lineRule="auto"/>
        <w:jc w:val="both"/>
        <w:rPr>
          <w:rFonts w:ascii="Cambria" w:eastAsia="Cambria" w:hAnsi="Cambria" w:cs="Cambria"/>
          <w:b/>
          <w:bCs/>
          <w:color w:val="000000"/>
          <w:sz w:val="20"/>
          <w:szCs w:val="20"/>
          <w:u w:color="000000"/>
          <w:bdr w:val="nil"/>
          <w:lang w:val="es-ES_tradnl"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565"/>
        <w:gridCol w:w="5677"/>
      </w:tblGrid>
      <w:tr w:rsidR="000D6DBE" w:rsidRPr="0058501F" w14:paraId="2785D2F5" w14:textId="77777777" w:rsidTr="00AF5EB8">
        <w:trPr>
          <w:cantSplit/>
        </w:trPr>
        <w:tc>
          <w:tcPr>
            <w:tcW w:w="3600" w:type="dxa"/>
            <w:tcBorders>
              <w:top w:val="single" w:sz="4" w:space="0" w:color="auto"/>
              <w:bottom w:val="single" w:sz="6" w:space="0" w:color="auto"/>
            </w:tcBorders>
            <w:shd w:val="clear" w:color="auto" w:fill="386294"/>
            <w:vAlign w:val="center"/>
          </w:tcPr>
          <w:p w14:paraId="006B1DEC" w14:textId="77777777" w:rsidR="000D6DBE" w:rsidRPr="0058501F" w:rsidRDefault="000D6DBE" w:rsidP="00AF5EB8">
            <w:pPr>
              <w:pBdr>
                <w:top w:val="nil"/>
                <w:left w:val="nil"/>
                <w:bottom w:val="nil"/>
                <w:right w:val="nil"/>
                <w:between w:val="nil"/>
                <w:bar w:val="nil"/>
              </w:pBdr>
              <w:jc w:val="center"/>
              <w:rPr>
                <w:rFonts w:ascii="Cambria" w:eastAsia="Arial Unicode MS" w:hAnsi="Cambria"/>
                <w:b/>
                <w:bCs/>
                <w:i/>
                <w:color w:val="FFFFFF"/>
                <w:sz w:val="20"/>
                <w:szCs w:val="20"/>
                <w:bdr w:val="nil"/>
                <w:lang w:val="es-ES_tradnl"/>
              </w:rPr>
            </w:pPr>
            <w:r w:rsidRPr="0058501F">
              <w:rPr>
                <w:rFonts w:ascii="Cambria" w:eastAsia="Arial Unicode MS" w:hAnsi="Cambria"/>
                <w:b/>
                <w:bCs/>
                <w:color w:val="FFFFFF"/>
                <w:sz w:val="20"/>
                <w:szCs w:val="20"/>
                <w:bdr w:val="nil"/>
                <w:lang w:val="es-ES_tradnl"/>
              </w:rPr>
              <w:t>Competencia</w:t>
            </w:r>
            <w:r w:rsidRPr="0058501F">
              <w:rPr>
                <w:rFonts w:ascii="Cambria" w:eastAsia="Arial Unicode MS" w:hAnsi="Cambria"/>
                <w:b/>
                <w:bCs/>
                <w:i/>
                <w:color w:val="FFFFFF"/>
                <w:sz w:val="20"/>
                <w:szCs w:val="20"/>
                <w:bdr w:val="nil"/>
                <w:lang w:val="es-ES_tradnl"/>
              </w:rPr>
              <w:t xml:space="preserve"> </w:t>
            </w:r>
            <w:proofErr w:type="spellStart"/>
            <w:r w:rsidRPr="0058501F">
              <w:rPr>
                <w:rFonts w:ascii="Cambria" w:eastAsia="Arial Unicode MS" w:hAnsi="Cambria"/>
                <w:b/>
                <w:bCs/>
                <w:i/>
                <w:color w:val="FFFFFF"/>
                <w:sz w:val="20"/>
                <w:szCs w:val="20"/>
                <w:bdr w:val="nil"/>
                <w:lang w:val="es-ES_tradnl"/>
              </w:rPr>
              <w:t>Ratione</w:t>
            </w:r>
            <w:proofErr w:type="spellEnd"/>
            <w:r w:rsidRPr="0058501F">
              <w:rPr>
                <w:rFonts w:ascii="Cambria" w:eastAsia="Arial Unicode MS" w:hAnsi="Cambria"/>
                <w:b/>
                <w:bCs/>
                <w:i/>
                <w:color w:val="FFFFFF"/>
                <w:sz w:val="20"/>
                <w:szCs w:val="20"/>
                <w:bdr w:val="nil"/>
                <w:lang w:val="es-ES_tradnl"/>
              </w:rPr>
              <w:t xml:space="preserve"> </w:t>
            </w:r>
            <w:proofErr w:type="spellStart"/>
            <w:r w:rsidRPr="0058501F">
              <w:rPr>
                <w:rFonts w:ascii="Cambria" w:eastAsia="Arial Unicode MS" w:hAnsi="Cambria"/>
                <w:b/>
                <w:bCs/>
                <w:i/>
                <w:color w:val="FFFFFF"/>
                <w:sz w:val="20"/>
                <w:szCs w:val="20"/>
                <w:bdr w:val="nil"/>
                <w:lang w:val="es-ES_tradnl"/>
              </w:rPr>
              <w:t>personae</w:t>
            </w:r>
            <w:proofErr w:type="spellEnd"/>
            <w:r w:rsidRPr="0058501F">
              <w:rPr>
                <w:rFonts w:ascii="Cambria" w:eastAsia="Arial Unicode MS" w:hAnsi="Cambria"/>
                <w:b/>
                <w:bCs/>
                <w:i/>
                <w:color w:val="FFFFFF"/>
                <w:sz w:val="20"/>
                <w:szCs w:val="20"/>
                <w:bdr w:val="nil"/>
                <w:lang w:val="es-ES_tradnl"/>
              </w:rPr>
              <w:t>:</w:t>
            </w:r>
          </w:p>
        </w:tc>
        <w:tc>
          <w:tcPr>
            <w:tcW w:w="5760" w:type="dxa"/>
            <w:shd w:val="clear" w:color="auto" w:fill="auto"/>
            <w:vAlign w:val="center"/>
          </w:tcPr>
          <w:p w14:paraId="28678C80" w14:textId="77777777" w:rsidR="000D6DBE" w:rsidRPr="0058501F" w:rsidRDefault="000D6DBE" w:rsidP="00AF5EB8">
            <w:pPr>
              <w:pBdr>
                <w:top w:val="nil"/>
                <w:left w:val="nil"/>
                <w:bottom w:val="nil"/>
                <w:right w:val="nil"/>
                <w:between w:val="nil"/>
                <w:bar w:val="nil"/>
              </w:pBdr>
              <w:rPr>
                <w:rFonts w:ascii="Cambria" w:eastAsia="Arial Unicode MS" w:hAnsi="Cambria"/>
                <w:bCs/>
                <w:sz w:val="20"/>
                <w:szCs w:val="20"/>
                <w:bdr w:val="nil"/>
                <w:lang w:val="es-ES_tradnl"/>
              </w:rPr>
            </w:pPr>
            <w:r w:rsidRPr="0058501F">
              <w:rPr>
                <w:rFonts w:ascii="Cambria" w:eastAsia="Arial Unicode MS" w:hAnsi="Cambria"/>
                <w:bCs/>
                <w:sz w:val="20"/>
                <w:szCs w:val="20"/>
                <w:bdr w:val="nil"/>
                <w:lang w:val="es-ES_tradnl"/>
              </w:rPr>
              <w:t>Sí</w:t>
            </w:r>
          </w:p>
        </w:tc>
      </w:tr>
      <w:tr w:rsidR="000D6DBE" w:rsidRPr="0058501F" w14:paraId="1FF37884" w14:textId="77777777" w:rsidTr="00AF5EB8">
        <w:trPr>
          <w:cantSplit/>
        </w:trPr>
        <w:tc>
          <w:tcPr>
            <w:tcW w:w="3600" w:type="dxa"/>
            <w:tcBorders>
              <w:top w:val="single" w:sz="6" w:space="0" w:color="auto"/>
              <w:bottom w:val="single" w:sz="6" w:space="0" w:color="auto"/>
            </w:tcBorders>
            <w:shd w:val="clear" w:color="auto" w:fill="386294"/>
            <w:vAlign w:val="center"/>
          </w:tcPr>
          <w:p w14:paraId="53FAD8C8" w14:textId="77777777" w:rsidR="000D6DBE" w:rsidRPr="0058501F" w:rsidRDefault="000D6DBE" w:rsidP="00AF5EB8">
            <w:pPr>
              <w:pBdr>
                <w:top w:val="nil"/>
                <w:left w:val="nil"/>
                <w:bottom w:val="nil"/>
                <w:right w:val="nil"/>
                <w:between w:val="nil"/>
                <w:bar w:val="nil"/>
              </w:pBdr>
              <w:jc w:val="center"/>
              <w:rPr>
                <w:rFonts w:ascii="Cambria" w:eastAsia="Arial Unicode MS" w:hAnsi="Cambria"/>
                <w:b/>
                <w:bCs/>
                <w:color w:val="FFFFFF"/>
                <w:sz w:val="20"/>
                <w:szCs w:val="20"/>
                <w:bdr w:val="nil"/>
                <w:lang w:val="es-ES_tradnl"/>
              </w:rPr>
            </w:pPr>
            <w:r w:rsidRPr="0058501F">
              <w:rPr>
                <w:rFonts w:ascii="Cambria" w:eastAsia="Arial Unicode MS" w:hAnsi="Cambria"/>
                <w:b/>
                <w:bCs/>
                <w:color w:val="FFFFFF"/>
                <w:sz w:val="20"/>
                <w:szCs w:val="20"/>
                <w:bdr w:val="nil"/>
                <w:lang w:val="es-ES_tradnl"/>
              </w:rPr>
              <w:t>Competencia</w:t>
            </w:r>
            <w:r w:rsidRPr="0058501F">
              <w:rPr>
                <w:rFonts w:ascii="Cambria" w:eastAsia="Arial Unicode MS" w:hAnsi="Cambria"/>
                <w:b/>
                <w:bCs/>
                <w:i/>
                <w:color w:val="FFFFFF"/>
                <w:sz w:val="20"/>
                <w:szCs w:val="20"/>
                <w:bdr w:val="nil"/>
                <w:lang w:val="es-ES_tradnl"/>
              </w:rPr>
              <w:t xml:space="preserve"> </w:t>
            </w:r>
            <w:proofErr w:type="spellStart"/>
            <w:r w:rsidRPr="0058501F">
              <w:rPr>
                <w:rFonts w:ascii="Cambria" w:eastAsia="Arial Unicode MS" w:hAnsi="Cambria"/>
                <w:b/>
                <w:bCs/>
                <w:i/>
                <w:color w:val="FFFFFF"/>
                <w:sz w:val="20"/>
                <w:szCs w:val="20"/>
                <w:bdr w:val="nil"/>
                <w:lang w:val="es-ES_tradnl"/>
              </w:rPr>
              <w:t>Ratione</w:t>
            </w:r>
            <w:proofErr w:type="spellEnd"/>
            <w:r w:rsidRPr="0058501F">
              <w:rPr>
                <w:rFonts w:ascii="Cambria" w:eastAsia="Arial Unicode MS" w:hAnsi="Cambria"/>
                <w:b/>
                <w:bCs/>
                <w:i/>
                <w:color w:val="FFFFFF"/>
                <w:sz w:val="20"/>
                <w:szCs w:val="20"/>
                <w:bdr w:val="nil"/>
                <w:lang w:val="es-ES_tradnl"/>
              </w:rPr>
              <w:t xml:space="preserve"> loci</w:t>
            </w:r>
            <w:r w:rsidRPr="0058501F">
              <w:rPr>
                <w:rFonts w:ascii="Cambria" w:eastAsia="Arial Unicode MS" w:hAnsi="Cambria"/>
                <w:b/>
                <w:bCs/>
                <w:color w:val="FFFFFF"/>
                <w:sz w:val="20"/>
                <w:szCs w:val="20"/>
                <w:bdr w:val="nil"/>
                <w:lang w:val="es-ES_tradnl"/>
              </w:rPr>
              <w:t>:</w:t>
            </w:r>
          </w:p>
        </w:tc>
        <w:tc>
          <w:tcPr>
            <w:tcW w:w="5760" w:type="dxa"/>
            <w:shd w:val="clear" w:color="auto" w:fill="auto"/>
            <w:vAlign w:val="center"/>
          </w:tcPr>
          <w:p w14:paraId="595B55B2" w14:textId="77777777" w:rsidR="000D6DBE" w:rsidRPr="0058501F" w:rsidRDefault="000D6DBE" w:rsidP="00AF5EB8">
            <w:pPr>
              <w:pBdr>
                <w:top w:val="nil"/>
                <w:left w:val="nil"/>
                <w:bottom w:val="nil"/>
                <w:right w:val="nil"/>
                <w:between w:val="nil"/>
                <w:bar w:val="nil"/>
              </w:pBdr>
              <w:rPr>
                <w:rFonts w:ascii="Cambria" w:eastAsia="Arial Unicode MS" w:hAnsi="Cambria"/>
                <w:bCs/>
                <w:sz w:val="20"/>
                <w:szCs w:val="20"/>
                <w:bdr w:val="nil"/>
                <w:lang w:val="es-ES_tradnl"/>
              </w:rPr>
            </w:pPr>
            <w:r w:rsidRPr="0058501F">
              <w:rPr>
                <w:rFonts w:ascii="Cambria" w:eastAsia="Arial Unicode MS" w:hAnsi="Cambria"/>
                <w:bCs/>
                <w:sz w:val="20"/>
                <w:szCs w:val="20"/>
                <w:bdr w:val="nil"/>
                <w:lang w:val="es-ES_tradnl"/>
              </w:rPr>
              <w:t>Sí</w:t>
            </w:r>
          </w:p>
        </w:tc>
      </w:tr>
      <w:tr w:rsidR="000D6DBE" w:rsidRPr="0058501F" w14:paraId="66C92725" w14:textId="77777777" w:rsidTr="00AF5EB8">
        <w:trPr>
          <w:cantSplit/>
        </w:trPr>
        <w:tc>
          <w:tcPr>
            <w:tcW w:w="3600" w:type="dxa"/>
            <w:tcBorders>
              <w:top w:val="single" w:sz="6" w:space="0" w:color="auto"/>
              <w:bottom w:val="single" w:sz="6" w:space="0" w:color="auto"/>
            </w:tcBorders>
            <w:shd w:val="clear" w:color="auto" w:fill="386294"/>
            <w:vAlign w:val="center"/>
          </w:tcPr>
          <w:p w14:paraId="5A63142D" w14:textId="77777777" w:rsidR="000D6DBE" w:rsidRPr="0058501F" w:rsidRDefault="000D6DBE" w:rsidP="00AF5EB8">
            <w:pPr>
              <w:pBdr>
                <w:top w:val="nil"/>
                <w:left w:val="nil"/>
                <w:bottom w:val="nil"/>
                <w:right w:val="nil"/>
                <w:between w:val="nil"/>
                <w:bar w:val="nil"/>
              </w:pBdr>
              <w:jc w:val="center"/>
              <w:rPr>
                <w:rFonts w:ascii="Cambria" w:eastAsia="Arial Unicode MS" w:hAnsi="Cambria"/>
                <w:b/>
                <w:bCs/>
                <w:color w:val="FFFFFF"/>
                <w:sz w:val="20"/>
                <w:szCs w:val="20"/>
                <w:bdr w:val="nil"/>
                <w:lang w:val="es-ES_tradnl"/>
              </w:rPr>
            </w:pPr>
            <w:r w:rsidRPr="0058501F">
              <w:rPr>
                <w:rFonts w:ascii="Cambria" w:eastAsia="Arial Unicode MS" w:hAnsi="Cambria"/>
                <w:b/>
                <w:bCs/>
                <w:color w:val="FFFFFF"/>
                <w:sz w:val="20"/>
                <w:szCs w:val="20"/>
                <w:bdr w:val="nil"/>
                <w:lang w:val="es-ES_tradnl"/>
              </w:rPr>
              <w:t>Competencia</w:t>
            </w:r>
            <w:r w:rsidRPr="0058501F">
              <w:rPr>
                <w:rFonts w:ascii="Cambria" w:eastAsia="Arial Unicode MS" w:hAnsi="Cambria"/>
                <w:b/>
                <w:bCs/>
                <w:i/>
                <w:color w:val="FFFFFF"/>
                <w:sz w:val="20"/>
                <w:szCs w:val="20"/>
                <w:bdr w:val="nil"/>
                <w:lang w:val="es-ES_tradnl"/>
              </w:rPr>
              <w:t xml:space="preserve"> </w:t>
            </w:r>
            <w:proofErr w:type="spellStart"/>
            <w:r w:rsidRPr="0058501F">
              <w:rPr>
                <w:rFonts w:ascii="Cambria" w:eastAsia="Arial Unicode MS" w:hAnsi="Cambria"/>
                <w:b/>
                <w:bCs/>
                <w:i/>
                <w:color w:val="FFFFFF"/>
                <w:sz w:val="20"/>
                <w:szCs w:val="20"/>
                <w:bdr w:val="nil"/>
                <w:lang w:val="es-ES_tradnl"/>
              </w:rPr>
              <w:t>Ratione</w:t>
            </w:r>
            <w:proofErr w:type="spellEnd"/>
            <w:r w:rsidRPr="0058501F">
              <w:rPr>
                <w:rFonts w:ascii="Cambria" w:eastAsia="Arial Unicode MS" w:hAnsi="Cambria"/>
                <w:b/>
                <w:bCs/>
                <w:i/>
                <w:color w:val="FFFFFF"/>
                <w:sz w:val="20"/>
                <w:szCs w:val="20"/>
                <w:bdr w:val="nil"/>
                <w:lang w:val="es-ES_tradnl"/>
              </w:rPr>
              <w:t xml:space="preserve"> </w:t>
            </w:r>
            <w:proofErr w:type="spellStart"/>
            <w:r w:rsidRPr="0058501F">
              <w:rPr>
                <w:rFonts w:ascii="Cambria" w:eastAsia="Arial Unicode MS" w:hAnsi="Cambria"/>
                <w:b/>
                <w:bCs/>
                <w:i/>
                <w:color w:val="FFFFFF"/>
                <w:sz w:val="20"/>
                <w:szCs w:val="20"/>
                <w:bdr w:val="nil"/>
                <w:lang w:val="es-ES_tradnl"/>
              </w:rPr>
              <w:t>temporis</w:t>
            </w:r>
            <w:proofErr w:type="spellEnd"/>
            <w:r w:rsidRPr="0058501F">
              <w:rPr>
                <w:rFonts w:ascii="Cambria" w:eastAsia="Arial Unicode MS" w:hAnsi="Cambria"/>
                <w:b/>
                <w:bCs/>
                <w:color w:val="FFFFFF"/>
                <w:sz w:val="20"/>
                <w:szCs w:val="20"/>
                <w:bdr w:val="nil"/>
                <w:lang w:val="es-ES_tradnl"/>
              </w:rPr>
              <w:t>:</w:t>
            </w:r>
          </w:p>
        </w:tc>
        <w:tc>
          <w:tcPr>
            <w:tcW w:w="5760" w:type="dxa"/>
            <w:shd w:val="clear" w:color="auto" w:fill="auto"/>
            <w:vAlign w:val="center"/>
          </w:tcPr>
          <w:p w14:paraId="2609F357" w14:textId="77777777" w:rsidR="000D6DBE" w:rsidRPr="0058501F" w:rsidRDefault="000D6DBE" w:rsidP="00AF5EB8">
            <w:pPr>
              <w:pBdr>
                <w:top w:val="nil"/>
                <w:left w:val="nil"/>
                <w:bottom w:val="nil"/>
                <w:right w:val="nil"/>
                <w:between w:val="nil"/>
                <w:bar w:val="nil"/>
              </w:pBdr>
              <w:rPr>
                <w:rFonts w:ascii="Cambria" w:eastAsia="Arial Unicode MS" w:hAnsi="Cambria"/>
                <w:bCs/>
                <w:sz w:val="20"/>
                <w:szCs w:val="20"/>
                <w:bdr w:val="nil"/>
                <w:lang w:val="es-ES_tradnl"/>
              </w:rPr>
            </w:pPr>
            <w:r w:rsidRPr="0058501F">
              <w:rPr>
                <w:rFonts w:ascii="Cambria" w:eastAsia="Arial Unicode MS" w:hAnsi="Cambria"/>
                <w:bCs/>
                <w:sz w:val="20"/>
                <w:szCs w:val="20"/>
                <w:bdr w:val="nil"/>
                <w:lang w:val="es-ES_tradnl"/>
              </w:rPr>
              <w:t>Sí</w:t>
            </w:r>
          </w:p>
        </w:tc>
      </w:tr>
      <w:tr w:rsidR="000D6DBE" w:rsidRPr="0058501F" w14:paraId="441C56E8" w14:textId="77777777" w:rsidTr="00AF5EB8">
        <w:trPr>
          <w:cantSplit/>
        </w:trPr>
        <w:tc>
          <w:tcPr>
            <w:tcW w:w="3600" w:type="dxa"/>
            <w:tcBorders>
              <w:top w:val="single" w:sz="6" w:space="0" w:color="auto"/>
              <w:bottom w:val="single" w:sz="6" w:space="0" w:color="auto"/>
            </w:tcBorders>
            <w:shd w:val="clear" w:color="auto" w:fill="386294"/>
            <w:vAlign w:val="center"/>
          </w:tcPr>
          <w:p w14:paraId="4DEFAEC7" w14:textId="77777777" w:rsidR="000D6DBE" w:rsidRPr="0058501F" w:rsidRDefault="000D6DBE" w:rsidP="00AF5EB8">
            <w:pPr>
              <w:pBdr>
                <w:top w:val="nil"/>
                <w:left w:val="nil"/>
                <w:bottom w:val="nil"/>
                <w:right w:val="nil"/>
                <w:between w:val="nil"/>
                <w:bar w:val="nil"/>
              </w:pBdr>
              <w:jc w:val="center"/>
              <w:rPr>
                <w:rFonts w:ascii="Cambria" w:eastAsia="Arial Unicode MS" w:hAnsi="Cambria"/>
                <w:b/>
                <w:bCs/>
                <w:color w:val="FFFFFF"/>
                <w:sz w:val="20"/>
                <w:szCs w:val="20"/>
                <w:bdr w:val="nil"/>
                <w:lang w:val="es-ES_tradnl"/>
              </w:rPr>
            </w:pPr>
            <w:r w:rsidRPr="0058501F">
              <w:rPr>
                <w:rFonts w:ascii="Cambria" w:eastAsia="Arial Unicode MS" w:hAnsi="Cambria"/>
                <w:b/>
                <w:bCs/>
                <w:color w:val="FFFFFF"/>
                <w:sz w:val="20"/>
                <w:szCs w:val="20"/>
                <w:bdr w:val="nil"/>
                <w:lang w:val="es-ES_tradnl"/>
              </w:rPr>
              <w:t>Competencia</w:t>
            </w:r>
            <w:r w:rsidRPr="0058501F">
              <w:rPr>
                <w:rFonts w:ascii="Cambria" w:eastAsia="Arial Unicode MS" w:hAnsi="Cambria"/>
                <w:b/>
                <w:bCs/>
                <w:i/>
                <w:color w:val="FFFFFF"/>
                <w:sz w:val="20"/>
                <w:szCs w:val="20"/>
                <w:bdr w:val="nil"/>
                <w:lang w:val="es-ES_tradnl"/>
              </w:rPr>
              <w:t xml:space="preserve"> </w:t>
            </w:r>
            <w:proofErr w:type="spellStart"/>
            <w:r w:rsidRPr="0058501F">
              <w:rPr>
                <w:rFonts w:ascii="Cambria" w:eastAsia="Arial Unicode MS" w:hAnsi="Cambria"/>
                <w:b/>
                <w:bCs/>
                <w:i/>
                <w:color w:val="FFFFFF"/>
                <w:sz w:val="20"/>
                <w:szCs w:val="20"/>
                <w:bdr w:val="nil"/>
                <w:lang w:val="es-ES_tradnl"/>
              </w:rPr>
              <w:t>Ratione</w:t>
            </w:r>
            <w:proofErr w:type="spellEnd"/>
            <w:r w:rsidRPr="0058501F">
              <w:rPr>
                <w:rFonts w:ascii="Cambria" w:eastAsia="Arial Unicode MS" w:hAnsi="Cambria"/>
                <w:b/>
                <w:bCs/>
                <w:i/>
                <w:color w:val="FFFFFF"/>
                <w:sz w:val="20"/>
                <w:szCs w:val="20"/>
                <w:bdr w:val="nil"/>
                <w:lang w:val="es-ES_tradnl"/>
              </w:rPr>
              <w:t xml:space="preserve"> </w:t>
            </w:r>
            <w:proofErr w:type="spellStart"/>
            <w:r w:rsidRPr="0058501F">
              <w:rPr>
                <w:rFonts w:ascii="Cambria" w:eastAsia="Arial Unicode MS" w:hAnsi="Cambria"/>
                <w:b/>
                <w:bCs/>
                <w:i/>
                <w:color w:val="FFFFFF"/>
                <w:sz w:val="20"/>
                <w:szCs w:val="20"/>
                <w:bdr w:val="nil"/>
                <w:lang w:val="es-ES_tradnl"/>
              </w:rPr>
              <w:t>materiae</w:t>
            </w:r>
            <w:proofErr w:type="spellEnd"/>
            <w:r w:rsidRPr="0058501F">
              <w:rPr>
                <w:rFonts w:ascii="Cambria" w:eastAsia="Arial Unicode MS" w:hAnsi="Cambria"/>
                <w:b/>
                <w:bCs/>
                <w:color w:val="FFFFFF"/>
                <w:sz w:val="20"/>
                <w:szCs w:val="20"/>
                <w:bdr w:val="nil"/>
                <w:lang w:val="es-ES_tradnl"/>
              </w:rPr>
              <w:t>:</w:t>
            </w:r>
          </w:p>
        </w:tc>
        <w:tc>
          <w:tcPr>
            <w:tcW w:w="5760" w:type="dxa"/>
            <w:shd w:val="clear" w:color="auto" w:fill="auto"/>
            <w:vAlign w:val="center"/>
          </w:tcPr>
          <w:p w14:paraId="7F10D730" w14:textId="77777777" w:rsidR="000D6DBE" w:rsidRPr="0058501F" w:rsidRDefault="000D6DBE" w:rsidP="00AF5EB8">
            <w:pPr>
              <w:pBdr>
                <w:top w:val="nil"/>
                <w:left w:val="nil"/>
                <w:bottom w:val="nil"/>
                <w:right w:val="nil"/>
                <w:between w:val="nil"/>
                <w:bar w:val="nil"/>
              </w:pBdr>
              <w:jc w:val="both"/>
              <w:rPr>
                <w:rFonts w:ascii="Cambria" w:eastAsia="Arial Unicode MS" w:hAnsi="Cambria"/>
                <w:bCs/>
                <w:sz w:val="20"/>
                <w:szCs w:val="20"/>
                <w:bdr w:val="nil"/>
                <w:lang w:val="es-ES_tradnl"/>
              </w:rPr>
            </w:pPr>
            <w:r w:rsidRPr="0058501F">
              <w:rPr>
                <w:rFonts w:ascii="Cambria" w:eastAsia="Arial Unicode MS" w:hAnsi="Cambria"/>
                <w:bCs/>
                <w:sz w:val="20"/>
                <w:szCs w:val="20"/>
                <w:bdr w:val="nil"/>
                <w:lang w:val="es-ES_tradnl"/>
              </w:rPr>
              <w:t xml:space="preserve">Sí, Declaración Americana de los Derechos y Deberes del Hombre (ratificada por la Carta de la OEA el 19 de junio de 1951) </w:t>
            </w:r>
          </w:p>
        </w:tc>
      </w:tr>
      <w:tr w:rsidR="000D6DBE" w:rsidRPr="0058501F" w14:paraId="659DC695" w14:textId="77777777" w:rsidTr="00AF5EB8">
        <w:trPr>
          <w:cantSplit/>
        </w:trPr>
        <w:tc>
          <w:tcPr>
            <w:tcW w:w="3600" w:type="dxa"/>
            <w:tcBorders>
              <w:top w:val="single" w:sz="6" w:space="0" w:color="auto"/>
              <w:bottom w:val="single" w:sz="6" w:space="0" w:color="auto"/>
            </w:tcBorders>
            <w:shd w:val="clear" w:color="auto" w:fill="386294"/>
            <w:vAlign w:val="center"/>
          </w:tcPr>
          <w:p w14:paraId="0E3ECF89" w14:textId="77777777" w:rsidR="000D6DBE" w:rsidRPr="0058501F" w:rsidRDefault="000D6DBE" w:rsidP="00AF5EB8">
            <w:pPr>
              <w:pBdr>
                <w:top w:val="nil"/>
                <w:left w:val="nil"/>
                <w:bottom w:val="nil"/>
                <w:right w:val="nil"/>
                <w:between w:val="nil"/>
                <w:bar w:val="nil"/>
              </w:pBdr>
              <w:jc w:val="center"/>
              <w:rPr>
                <w:rFonts w:ascii="Cambria" w:eastAsia="Arial Unicode MS" w:hAnsi="Cambria"/>
                <w:b/>
                <w:bCs/>
                <w:color w:val="FFFFFF"/>
                <w:sz w:val="20"/>
                <w:szCs w:val="20"/>
                <w:bdr w:val="nil"/>
                <w:lang w:val="es-ES_tradnl"/>
              </w:rPr>
            </w:pPr>
            <w:r w:rsidRPr="0058501F">
              <w:rPr>
                <w:rFonts w:ascii="Cambria" w:eastAsia="Arial Unicode MS" w:hAnsi="Cambria"/>
                <w:b/>
                <w:bCs/>
                <w:color w:val="FFFFFF"/>
                <w:sz w:val="20"/>
                <w:szCs w:val="20"/>
                <w:bdr w:val="nil"/>
                <w:lang w:val="es-ES_tradnl"/>
              </w:rPr>
              <w:t xml:space="preserve">Duplicación de procedimientos </w:t>
            </w:r>
            <w:proofErr w:type="gramStart"/>
            <w:r w:rsidRPr="0058501F">
              <w:rPr>
                <w:rFonts w:ascii="Cambria" w:eastAsia="Arial Unicode MS" w:hAnsi="Cambria"/>
                <w:b/>
                <w:bCs/>
                <w:color w:val="FFFFFF"/>
                <w:sz w:val="20"/>
                <w:szCs w:val="20"/>
                <w:bdr w:val="nil"/>
                <w:lang w:val="es-ES_tradnl"/>
              </w:rPr>
              <w:t xml:space="preserve">y  </w:t>
            </w:r>
            <w:r w:rsidRPr="0058501F">
              <w:rPr>
                <w:rFonts w:ascii="Cambria" w:eastAsia="Arial Unicode MS" w:hAnsi="Cambria"/>
                <w:b/>
                <w:bCs/>
                <w:i/>
                <w:iCs/>
                <w:color w:val="FFFFFF"/>
                <w:sz w:val="20"/>
                <w:szCs w:val="20"/>
                <w:bdr w:val="nil"/>
                <w:lang w:val="es-ES_tradnl"/>
              </w:rPr>
              <w:t>res</w:t>
            </w:r>
            <w:proofErr w:type="gramEnd"/>
            <w:r w:rsidRPr="0058501F">
              <w:rPr>
                <w:rFonts w:ascii="Cambria" w:eastAsia="Arial Unicode MS" w:hAnsi="Cambria"/>
                <w:b/>
                <w:bCs/>
                <w:i/>
                <w:iCs/>
                <w:color w:val="FFFFFF"/>
                <w:sz w:val="20"/>
                <w:szCs w:val="20"/>
                <w:bdr w:val="nil"/>
                <w:lang w:val="es-ES_tradnl"/>
              </w:rPr>
              <w:t xml:space="preserve"> </w:t>
            </w:r>
            <w:proofErr w:type="spellStart"/>
            <w:r w:rsidRPr="0058501F">
              <w:rPr>
                <w:rFonts w:ascii="Cambria" w:eastAsia="Arial Unicode MS" w:hAnsi="Cambria"/>
                <w:b/>
                <w:bCs/>
                <w:i/>
                <w:iCs/>
                <w:color w:val="FFFFFF"/>
                <w:sz w:val="20"/>
                <w:szCs w:val="20"/>
                <w:bdr w:val="nil"/>
                <w:lang w:val="es-ES_tradnl"/>
              </w:rPr>
              <w:t>judicata</w:t>
            </w:r>
            <w:proofErr w:type="spellEnd"/>
            <w:r w:rsidRPr="0058501F">
              <w:rPr>
                <w:rFonts w:ascii="Cambria" w:eastAsia="Arial Unicode MS" w:hAnsi="Cambria"/>
                <w:b/>
                <w:bCs/>
                <w:i/>
                <w:iCs/>
                <w:color w:val="FFFFFF"/>
                <w:sz w:val="20"/>
                <w:szCs w:val="20"/>
                <w:bdr w:val="nil"/>
                <w:lang w:val="es-ES_tradnl"/>
              </w:rPr>
              <w:t xml:space="preserve"> </w:t>
            </w:r>
            <w:r w:rsidRPr="0058501F">
              <w:rPr>
                <w:rFonts w:ascii="Cambria" w:eastAsia="Arial Unicode MS" w:hAnsi="Cambria"/>
                <w:b/>
                <w:bCs/>
                <w:color w:val="FFFFFF"/>
                <w:sz w:val="20"/>
                <w:szCs w:val="20"/>
                <w:bdr w:val="nil"/>
                <w:lang w:val="es-ES_tradnl"/>
              </w:rPr>
              <w:t>internacional:</w:t>
            </w:r>
          </w:p>
        </w:tc>
        <w:tc>
          <w:tcPr>
            <w:tcW w:w="5760" w:type="dxa"/>
            <w:shd w:val="clear" w:color="auto" w:fill="auto"/>
            <w:vAlign w:val="center"/>
          </w:tcPr>
          <w:p w14:paraId="1AAC78AA" w14:textId="77777777" w:rsidR="000D6DBE" w:rsidRPr="0058501F" w:rsidRDefault="000D6DBE" w:rsidP="00AF5EB8">
            <w:pPr>
              <w:pBdr>
                <w:top w:val="nil"/>
                <w:left w:val="nil"/>
                <w:bottom w:val="nil"/>
                <w:right w:val="nil"/>
                <w:between w:val="nil"/>
                <w:bar w:val="nil"/>
              </w:pBdr>
              <w:jc w:val="both"/>
              <w:rPr>
                <w:rFonts w:ascii="Cambria" w:eastAsia="Arial Unicode MS" w:hAnsi="Cambria"/>
                <w:bCs/>
                <w:sz w:val="20"/>
                <w:szCs w:val="20"/>
                <w:bdr w:val="nil"/>
                <w:lang w:val="es-ES_tradnl"/>
              </w:rPr>
            </w:pPr>
            <w:r w:rsidRPr="0058501F">
              <w:rPr>
                <w:rFonts w:ascii="Cambria" w:eastAsia="Arial Unicode MS" w:hAnsi="Cambria"/>
                <w:bCs/>
                <w:sz w:val="20"/>
                <w:szCs w:val="20"/>
                <w:bdr w:val="nil"/>
                <w:lang w:val="es-ES_tradnl"/>
              </w:rPr>
              <w:t>No</w:t>
            </w:r>
          </w:p>
        </w:tc>
      </w:tr>
    </w:tbl>
    <w:p w14:paraId="70D81E23" w14:textId="77777777" w:rsidR="000D6DBE" w:rsidRPr="0058501F" w:rsidRDefault="000D6DBE" w:rsidP="00470EC4">
      <w:pPr>
        <w:pBdr>
          <w:top w:val="nil"/>
          <w:left w:val="nil"/>
          <w:bottom w:val="nil"/>
          <w:right w:val="nil"/>
          <w:between w:val="nil"/>
          <w:bar w:val="nil"/>
        </w:pBdr>
        <w:tabs>
          <w:tab w:val="left" w:pos="450"/>
        </w:tabs>
        <w:spacing w:after="0" w:line="240" w:lineRule="auto"/>
        <w:jc w:val="both"/>
        <w:rPr>
          <w:rFonts w:ascii="Cambria" w:eastAsia="Cambria" w:hAnsi="Cambria" w:cs="Cambria"/>
          <w:b/>
          <w:bCs/>
          <w:color w:val="000000"/>
          <w:sz w:val="20"/>
          <w:szCs w:val="20"/>
          <w:u w:color="000000"/>
          <w:bdr w:val="nil"/>
          <w:lang w:val="es-ES_tradnl" w:eastAsia="es-ES"/>
        </w:rPr>
      </w:pPr>
    </w:p>
    <w:p w14:paraId="2E092704" w14:textId="77777777" w:rsidR="00CC0FA0" w:rsidRPr="0058501F" w:rsidRDefault="000D6DBE" w:rsidP="00470EC4">
      <w:pPr>
        <w:numPr>
          <w:ilvl w:val="0"/>
          <w:numId w:val="1"/>
        </w:numPr>
        <w:pBdr>
          <w:top w:val="nil"/>
          <w:left w:val="nil"/>
          <w:bottom w:val="nil"/>
          <w:right w:val="nil"/>
          <w:between w:val="nil"/>
          <w:bar w:val="nil"/>
        </w:pBdr>
        <w:tabs>
          <w:tab w:val="left" w:pos="450"/>
        </w:tabs>
        <w:spacing w:after="0" w:line="240" w:lineRule="auto"/>
        <w:ind w:firstLine="0"/>
        <w:jc w:val="both"/>
        <w:rPr>
          <w:rFonts w:ascii="Cambria" w:eastAsia="Cambria" w:hAnsi="Cambria" w:cs="Cambria"/>
          <w:color w:val="000000"/>
          <w:sz w:val="20"/>
          <w:szCs w:val="20"/>
          <w:u w:color="000000"/>
          <w:bdr w:val="nil"/>
          <w:lang w:val="es-ES_tradnl" w:eastAsia="es-ES"/>
        </w:rPr>
      </w:pPr>
      <w:r w:rsidRPr="0058501F">
        <w:rPr>
          <w:rFonts w:ascii="Cambria" w:eastAsia="Cambria" w:hAnsi="Cambria" w:cs="Cambria"/>
          <w:color w:val="000000"/>
          <w:sz w:val="20"/>
          <w:szCs w:val="20"/>
          <w:u w:color="000000"/>
          <w:bdr w:val="nil"/>
          <w:lang w:val="es-ES_tradnl" w:eastAsia="es-ES"/>
        </w:rPr>
        <w:t>La CIDH toma nota de la posición del Estado de que la Comisión no tiene competencia para examinar las denuncias derivadas de la Convención de Viena. Como se abordará más adelante, si bien la Comisión no tiene jurisdicción para conocer sobre una violación de tales disposiciones, puede considerarlas a los efectos de evaluar el cumplimiento por parte del Estado de los derechos al debido proceso de un extranjero en virtud de la Declaración Americana.</w:t>
      </w:r>
    </w:p>
    <w:p w14:paraId="6D4F7D31" w14:textId="77777777" w:rsidR="00CC0FA0" w:rsidRPr="0058501F" w:rsidRDefault="00CC0FA0" w:rsidP="00470EC4">
      <w:pPr>
        <w:pStyle w:val="Heading2"/>
        <w:numPr>
          <w:ilvl w:val="0"/>
          <w:numId w:val="12"/>
        </w:numPr>
        <w:tabs>
          <w:tab w:val="left" w:pos="450"/>
        </w:tabs>
        <w:ind w:left="0" w:firstLine="0"/>
        <w:rPr>
          <w:rFonts w:ascii="Cambria" w:eastAsia="Cambria" w:hAnsi="Cambria"/>
          <w:sz w:val="20"/>
          <w:szCs w:val="20"/>
          <w:u w:color="000000"/>
          <w:bdr w:val="nil"/>
          <w:lang w:val="es-ES_tradnl" w:eastAsia="es-ES"/>
        </w:rPr>
      </w:pPr>
      <w:bookmarkStart w:id="6" w:name="_Toc90117830"/>
      <w:r w:rsidRPr="0058501F">
        <w:rPr>
          <w:rFonts w:ascii="Cambria" w:eastAsia="Cambria" w:hAnsi="Cambria"/>
          <w:sz w:val="20"/>
          <w:szCs w:val="20"/>
          <w:u w:color="000000"/>
          <w:bdr w:val="nil"/>
          <w:lang w:val="es-ES_tradnl" w:eastAsia="es-ES"/>
        </w:rPr>
        <w:t>Agotamiento de los recursos internos y plazo de la presentación</w:t>
      </w:r>
      <w:r w:rsidR="00DD040D" w:rsidRPr="0058501F">
        <w:rPr>
          <w:rFonts w:ascii="Cambria" w:eastAsia="Cambria" w:hAnsi="Cambria"/>
          <w:sz w:val="20"/>
          <w:szCs w:val="20"/>
          <w:u w:color="000000"/>
          <w:bdr w:val="nil"/>
          <w:lang w:val="es-ES_tradnl" w:eastAsia="es-ES"/>
        </w:rPr>
        <w:t xml:space="preserve"> de la petición</w:t>
      </w:r>
      <w:bookmarkEnd w:id="6"/>
    </w:p>
    <w:p w14:paraId="1D82BBC3" w14:textId="77777777" w:rsidR="00CC0FA0" w:rsidRPr="0058501F" w:rsidRDefault="00CC0FA0" w:rsidP="00470EC4">
      <w:pPr>
        <w:pBdr>
          <w:top w:val="nil"/>
          <w:left w:val="nil"/>
          <w:bottom w:val="nil"/>
          <w:right w:val="nil"/>
          <w:between w:val="nil"/>
          <w:bar w:val="nil"/>
        </w:pBdr>
        <w:tabs>
          <w:tab w:val="left" w:pos="450"/>
        </w:tabs>
        <w:spacing w:after="0" w:line="240" w:lineRule="auto"/>
        <w:jc w:val="both"/>
        <w:rPr>
          <w:rFonts w:ascii="Cambria" w:eastAsia="Cambria" w:hAnsi="Cambria" w:cs="Cambria"/>
          <w:b/>
          <w:bCs/>
          <w:color w:val="000000"/>
          <w:sz w:val="20"/>
          <w:szCs w:val="20"/>
          <w:u w:color="000000"/>
          <w:bdr w:val="nil"/>
          <w:lang w:val="es-ES_tradnl" w:eastAsia="es-ES"/>
        </w:rPr>
      </w:pPr>
    </w:p>
    <w:p w14:paraId="3B69DE2A" w14:textId="77777777" w:rsidR="00CC0FA0" w:rsidRPr="0058501F" w:rsidRDefault="00CC0FA0" w:rsidP="00470EC4">
      <w:pPr>
        <w:numPr>
          <w:ilvl w:val="0"/>
          <w:numId w:val="1"/>
        </w:numPr>
        <w:pBdr>
          <w:top w:val="nil"/>
          <w:left w:val="nil"/>
          <w:bottom w:val="nil"/>
          <w:right w:val="nil"/>
          <w:between w:val="nil"/>
          <w:bar w:val="nil"/>
        </w:pBdr>
        <w:tabs>
          <w:tab w:val="left" w:pos="450"/>
        </w:tabs>
        <w:spacing w:after="0" w:line="240" w:lineRule="auto"/>
        <w:ind w:firstLine="0"/>
        <w:jc w:val="both"/>
        <w:rPr>
          <w:rFonts w:ascii="Cambria" w:eastAsia="Cambria" w:hAnsi="Cambria" w:cs="Cambria"/>
          <w:color w:val="000000"/>
          <w:sz w:val="20"/>
          <w:szCs w:val="20"/>
          <w:u w:color="000000"/>
          <w:bdr w:val="nil"/>
          <w:lang w:val="es-ES_tradnl" w:eastAsia="es-ES"/>
        </w:rPr>
      </w:pPr>
      <w:r w:rsidRPr="0058501F">
        <w:rPr>
          <w:rFonts w:ascii="Cambria" w:eastAsia="Cambria" w:hAnsi="Cambria" w:cs="Cambria"/>
          <w:color w:val="000000"/>
          <w:sz w:val="20"/>
          <w:szCs w:val="20"/>
          <w:u w:color="000000"/>
          <w:bdr w:val="nil"/>
          <w:lang w:val="es-ES_tradnl" w:eastAsia="es-ES"/>
        </w:rPr>
        <w:t>Según consta en el expediente judicial,</w:t>
      </w:r>
      <w:r w:rsidRPr="0058501F">
        <w:rPr>
          <w:rStyle w:val="FootnoteReference"/>
          <w:rFonts w:ascii="Cambria" w:eastAsia="Cambria" w:hAnsi="Cambria"/>
          <w:color w:val="000000"/>
          <w:sz w:val="20"/>
          <w:szCs w:val="20"/>
          <w:u w:color="000000"/>
          <w:bdr w:val="nil"/>
          <w:lang w:val="es-ES_tradnl" w:eastAsia="es-ES"/>
        </w:rPr>
        <w:footnoteReference w:id="3"/>
      </w:r>
      <w:r w:rsidRPr="0058501F">
        <w:rPr>
          <w:rFonts w:ascii="Cambria" w:eastAsia="Cambria" w:hAnsi="Cambria" w:cs="Cambria"/>
          <w:color w:val="000000"/>
          <w:sz w:val="20"/>
          <w:szCs w:val="20"/>
          <w:u w:color="000000"/>
          <w:bdr w:val="nil"/>
          <w:lang w:val="es-ES_tradnl" w:eastAsia="es-ES"/>
        </w:rPr>
        <w:t xml:space="preserve"> la decisión y sentencia del Sr. Ibarra culminaron el 22 de septiembre de 1997, con su solicitud de nuevo juicio anulada por el Tribunal de Distrito del Estado el 9 de diciembre de 1997. Su condena y sentencia fueron confirmadas en Apelación Directa. el 9 de octubre de 1999, con una nueva audiencia denegada el 8 de diciembre de 1999,</w:t>
      </w:r>
      <w:r w:rsidRPr="0058501F">
        <w:rPr>
          <w:rStyle w:val="FootnoteReference"/>
          <w:rFonts w:ascii="Cambria" w:eastAsia="Cambria" w:hAnsi="Cambria"/>
          <w:color w:val="000000"/>
          <w:sz w:val="20"/>
          <w:szCs w:val="20"/>
          <w:u w:color="000000"/>
          <w:bdr w:val="nil"/>
          <w:lang w:val="es-ES_tradnl" w:eastAsia="es-ES"/>
        </w:rPr>
        <w:footnoteReference w:id="4"/>
      </w:r>
      <w:r w:rsidRPr="0058501F">
        <w:rPr>
          <w:rFonts w:ascii="Cambria" w:eastAsia="Cambria" w:hAnsi="Cambria" w:cs="Cambria"/>
          <w:color w:val="000000"/>
          <w:sz w:val="20"/>
          <w:szCs w:val="20"/>
          <w:u w:color="000000"/>
          <w:bdr w:val="nil"/>
          <w:lang w:val="es-ES_tradnl" w:eastAsia="es-ES"/>
        </w:rPr>
        <w:t xml:space="preserve"> y su solicitud de Auto de </w:t>
      </w:r>
      <w:proofErr w:type="spellStart"/>
      <w:r w:rsidRPr="0058501F">
        <w:rPr>
          <w:rFonts w:ascii="Cambria" w:eastAsia="Cambria" w:hAnsi="Cambria" w:cs="Cambria"/>
          <w:color w:val="000000"/>
          <w:sz w:val="20"/>
          <w:szCs w:val="20"/>
          <w:u w:color="000000"/>
          <w:bdr w:val="nil"/>
          <w:lang w:val="es-ES_tradnl" w:eastAsia="es-ES"/>
        </w:rPr>
        <w:t>Certiorari</w:t>
      </w:r>
      <w:proofErr w:type="spellEnd"/>
      <w:r w:rsidRPr="0058501F">
        <w:rPr>
          <w:rFonts w:ascii="Cambria" w:eastAsia="Cambria" w:hAnsi="Cambria" w:cs="Cambria"/>
          <w:color w:val="000000"/>
          <w:sz w:val="20"/>
          <w:szCs w:val="20"/>
          <w:u w:color="000000"/>
          <w:bdr w:val="nil"/>
          <w:lang w:val="es-ES_tradnl" w:eastAsia="es-ES"/>
        </w:rPr>
        <w:t xml:space="preserve"> denegada el 2 de octubre de 2000.</w:t>
      </w:r>
      <w:r w:rsidRPr="0058501F">
        <w:rPr>
          <w:rStyle w:val="FootnoteReference"/>
          <w:rFonts w:ascii="Cambria" w:eastAsia="Cambria" w:hAnsi="Cambria"/>
          <w:color w:val="000000"/>
          <w:sz w:val="20"/>
          <w:szCs w:val="20"/>
          <w:u w:color="000000"/>
          <w:bdr w:val="nil"/>
          <w:lang w:val="es-ES_tradnl" w:eastAsia="es-ES"/>
        </w:rPr>
        <w:footnoteReference w:id="5"/>
      </w:r>
      <w:r w:rsidRPr="0058501F">
        <w:rPr>
          <w:rFonts w:ascii="Cambria" w:eastAsia="Cambria" w:hAnsi="Cambria" w:cs="Cambria"/>
          <w:color w:val="000000"/>
          <w:sz w:val="20"/>
          <w:szCs w:val="20"/>
          <w:u w:color="000000"/>
          <w:bdr w:val="nil"/>
          <w:lang w:val="es-ES_tradnl" w:eastAsia="es-ES"/>
        </w:rPr>
        <w:t xml:space="preserve"> La </w:t>
      </w:r>
      <w:r w:rsidR="00DD040D" w:rsidRPr="0058501F">
        <w:rPr>
          <w:rFonts w:ascii="Cambria" w:eastAsia="Cambria" w:hAnsi="Cambria" w:cs="Cambria"/>
          <w:color w:val="000000"/>
          <w:sz w:val="20"/>
          <w:szCs w:val="20"/>
          <w:u w:color="000000"/>
          <w:bdr w:val="nil"/>
          <w:lang w:val="es-ES_tradnl" w:eastAsia="es-ES"/>
        </w:rPr>
        <w:t>Tribunal Penal de Apelaciones de Texas</w:t>
      </w:r>
      <w:r w:rsidRPr="0058501F">
        <w:rPr>
          <w:rFonts w:ascii="Cambria" w:eastAsia="Cambria" w:hAnsi="Cambria" w:cs="Cambria"/>
          <w:color w:val="000000"/>
          <w:sz w:val="20"/>
          <w:szCs w:val="20"/>
          <w:u w:color="000000"/>
          <w:bdr w:val="nil"/>
          <w:lang w:val="es-ES_tradnl" w:eastAsia="es-ES"/>
        </w:rPr>
        <w:t xml:space="preserve"> Penal denegó su hábeas corpus inicial el 4 de abril de 2001,</w:t>
      </w:r>
      <w:r w:rsidRPr="0058501F">
        <w:rPr>
          <w:rStyle w:val="FootnoteReference"/>
          <w:rFonts w:ascii="Cambria" w:eastAsia="Cambria" w:hAnsi="Cambria"/>
          <w:color w:val="000000"/>
          <w:sz w:val="20"/>
          <w:szCs w:val="20"/>
          <w:u w:color="000000"/>
          <w:bdr w:val="nil"/>
          <w:lang w:val="es-ES_tradnl" w:eastAsia="es-ES"/>
        </w:rPr>
        <w:footnoteReference w:id="6"/>
      </w:r>
      <w:r w:rsidRPr="0058501F">
        <w:rPr>
          <w:rFonts w:ascii="Cambria" w:eastAsia="Cambria" w:hAnsi="Cambria" w:cs="Cambria"/>
          <w:color w:val="000000"/>
          <w:sz w:val="20"/>
          <w:szCs w:val="20"/>
          <w:u w:color="000000"/>
          <w:bdr w:val="nil"/>
          <w:lang w:val="es-ES_tradnl" w:eastAsia="es-ES"/>
        </w:rPr>
        <w:t xml:space="preserve"> posteriormente la Corte desestimó el segundo y tercer recurso de hábeas corpus el 26 de septiembre de 2007</w:t>
      </w:r>
      <w:r w:rsidRPr="0058501F">
        <w:rPr>
          <w:rStyle w:val="FootnoteReference"/>
          <w:rFonts w:ascii="Cambria" w:eastAsia="Cambria" w:hAnsi="Cambria"/>
          <w:color w:val="000000"/>
          <w:sz w:val="20"/>
          <w:szCs w:val="20"/>
          <w:u w:color="000000"/>
          <w:bdr w:val="nil"/>
          <w:lang w:val="es-ES_tradnl" w:eastAsia="es-ES"/>
        </w:rPr>
        <w:footnoteReference w:id="7"/>
      </w:r>
      <w:r w:rsidRPr="0058501F">
        <w:rPr>
          <w:rFonts w:ascii="Cambria" w:eastAsia="Cambria" w:hAnsi="Cambria" w:cs="Cambria"/>
          <w:color w:val="000000"/>
          <w:sz w:val="20"/>
          <w:szCs w:val="20"/>
          <w:u w:color="000000"/>
          <w:bdr w:val="nil"/>
          <w:lang w:val="es-ES_tradnl" w:eastAsia="es-ES"/>
        </w:rPr>
        <w:t xml:space="preserve"> y el 19 de mayo de 2008 se denegó su recurso de </w:t>
      </w:r>
      <w:proofErr w:type="spellStart"/>
      <w:r w:rsidRPr="0058501F">
        <w:rPr>
          <w:rFonts w:ascii="Cambria" w:eastAsia="Cambria" w:hAnsi="Cambria" w:cs="Cambria"/>
          <w:color w:val="000000"/>
          <w:sz w:val="20"/>
          <w:szCs w:val="20"/>
          <w:u w:color="000000"/>
          <w:bdr w:val="nil"/>
          <w:lang w:val="es-ES_tradnl" w:eastAsia="es-ES"/>
        </w:rPr>
        <w:t>certiorari</w:t>
      </w:r>
      <w:proofErr w:type="spellEnd"/>
      <w:r w:rsidRPr="0058501F">
        <w:rPr>
          <w:rFonts w:ascii="Cambria" w:eastAsia="Cambria" w:hAnsi="Cambria" w:cs="Cambria"/>
          <w:color w:val="000000"/>
          <w:sz w:val="20"/>
          <w:szCs w:val="20"/>
          <w:u w:color="000000"/>
          <w:bdr w:val="nil"/>
          <w:lang w:val="es-ES_tradnl" w:eastAsia="es-ES"/>
        </w:rPr>
        <w:t>.</w:t>
      </w:r>
      <w:r w:rsidR="00D11422" w:rsidRPr="0058501F">
        <w:rPr>
          <w:rStyle w:val="FootnoteReference"/>
          <w:rFonts w:ascii="Cambria" w:eastAsia="Cambria" w:hAnsi="Cambria"/>
          <w:color w:val="000000"/>
          <w:sz w:val="20"/>
          <w:szCs w:val="20"/>
          <w:u w:color="000000"/>
          <w:bdr w:val="nil"/>
          <w:lang w:val="es-ES_tradnl" w:eastAsia="es-ES"/>
        </w:rPr>
        <w:footnoteReference w:id="8"/>
      </w:r>
      <w:r w:rsidRPr="0058501F">
        <w:rPr>
          <w:rFonts w:ascii="Cambria" w:eastAsia="Cambria" w:hAnsi="Cambria" w:cs="Cambria"/>
          <w:color w:val="000000"/>
          <w:sz w:val="20"/>
          <w:szCs w:val="20"/>
          <w:u w:color="000000"/>
          <w:bdr w:val="nil"/>
          <w:lang w:val="es-ES_tradnl" w:eastAsia="es-ES"/>
        </w:rPr>
        <w:t xml:space="preserve"> La cuarta petición de hábeas corpus de reparación fue desestimada por el </w:t>
      </w:r>
      <w:r w:rsidR="00DD040D" w:rsidRPr="0058501F">
        <w:rPr>
          <w:rFonts w:ascii="Cambria" w:eastAsia="Cambria" w:hAnsi="Cambria" w:cs="Cambria"/>
          <w:color w:val="000000"/>
          <w:sz w:val="20"/>
          <w:szCs w:val="20"/>
          <w:u w:color="000000"/>
          <w:bdr w:val="nil"/>
          <w:lang w:val="es-ES_tradnl" w:eastAsia="es-ES"/>
        </w:rPr>
        <w:t>Tribunal Penal de Apelaciones de Texas</w:t>
      </w:r>
      <w:r w:rsidRPr="0058501F">
        <w:rPr>
          <w:rFonts w:ascii="Cambria" w:eastAsia="Cambria" w:hAnsi="Cambria" w:cs="Cambria"/>
          <w:color w:val="000000"/>
          <w:sz w:val="20"/>
          <w:szCs w:val="20"/>
          <w:u w:color="000000"/>
          <w:bdr w:val="nil"/>
          <w:lang w:val="es-ES_tradnl" w:eastAsia="es-ES"/>
        </w:rPr>
        <w:t xml:space="preserve"> el 1 de octubre de 2008</w:t>
      </w:r>
      <w:r w:rsidRPr="0058501F">
        <w:rPr>
          <w:rStyle w:val="FootnoteReference"/>
          <w:rFonts w:ascii="Cambria" w:eastAsia="Cambria" w:hAnsi="Cambria"/>
          <w:color w:val="000000"/>
          <w:sz w:val="20"/>
          <w:szCs w:val="20"/>
          <w:u w:color="000000"/>
          <w:bdr w:val="nil"/>
          <w:lang w:val="es-ES_tradnl" w:eastAsia="es-ES"/>
        </w:rPr>
        <w:footnoteReference w:id="9"/>
      </w:r>
      <w:r w:rsidRPr="0058501F">
        <w:rPr>
          <w:rFonts w:ascii="Cambria" w:eastAsia="Cambria" w:hAnsi="Cambria" w:cs="Cambria"/>
          <w:color w:val="000000"/>
          <w:sz w:val="20"/>
          <w:szCs w:val="20"/>
          <w:u w:color="000000"/>
          <w:bdr w:val="nil"/>
          <w:lang w:val="es-ES_tradnl" w:eastAsia="es-ES"/>
        </w:rPr>
        <w:t xml:space="preserve"> y el Tribunal de Distrito de los Estados Unidos denegó el hábeas corpus federal el 31 de marzo de 2011;</w:t>
      </w:r>
      <w:r w:rsidRPr="0058501F">
        <w:rPr>
          <w:rStyle w:val="FootnoteReference"/>
          <w:rFonts w:ascii="Cambria" w:eastAsia="Cambria" w:hAnsi="Cambria"/>
          <w:color w:val="000000"/>
          <w:sz w:val="20"/>
          <w:szCs w:val="20"/>
          <w:u w:color="000000"/>
          <w:bdr w:val="nil"/>
          <w:lang w:val="es-ES_tradnl" w:eastAsia="es-ES"/>
        </w:rPr>
        <w:footnoteReference w:id="10"/>
      </w:r>
      <w:r w:rsidRPr="0058501F">
        <w:rPr>
          <w:rFonts w:ascii="Cambria" w:eastAsia="Cambria" w:hAnsi="Cambria" w:cs="Cambria"/>
          <w:color w:val="000000"/>
          <w:sz w:val="20"/>
          <w:szCs w:val="20"/>
          <w:u w:color="000000"/>
          <w:bdr w:val="nil"/>
          <w:lang w:val="es-ES_tradnl" w:eastAsia="es-ES"/>
        </w:rPr>
        <w:t xml:space="preserve"> con excepciones sostenidas desestimadas en parte.</w:t>
      </w:r>
      <w:r w:rsidRPr="0058501F">
        <w:rPr>
          <w:rStyle w:val="FootnoteReference"/>
          <w:rFonts w:ascii="Cambria" w:eastAsia="Cambria" w:hAnsi="Cambria"/>
          <w:color w:val="000000"/>
          <w:sz w:val="20"/>
          <w:szCs w:val="20"/>
          <w:u w:color="000000"/>
          <w:bdr w:val="nil"/>
          <w:lang w:val="es-ES_tradnl" w:eastAsia="es-ES"/>
        </w:rPr>
        <w:footnoteReference w:id="11"/>
      </w:r>
      <w:r w:rsidRPr="0058501F">
        <w:rPr>
          <w:rFonts w:ascii="Cambria" w:eastAsia="Cambria" w:hAnsi="Cambria" w:cs="Cambria"/>
          <w:color w:val="000000"/>
          <w:sz w:val="20"/>
          <w:szCs w:val="20"/>
          <w:u w:color="000000"/>
          <w:bdr w:val="nil"/>
          <w:lang w:val="es-ES_tradnl" w:eastAsia="es-ES"/>
        </w:rPr>
        <w:t xml:space="preserve"> El Tribunal de Apelaciones del Quinto Circuito de los Estados Unidos confirmó la denegación del recurso de hábeas federal por parte del Tribunal de Distrito el 26 de agosto de 2019,</w:t>
      </w:r>
      <w:r w:rsidRPr="0058501F">
        <w:rPr>
          <w:rStyle w:val="FootnoteReference"/>
          <w:rFonts w:ascii="Cambria" w:eastAsia="Cambria" w:hAnsi="Cambria"/>
          <w:color w:val="000000"/>
          <w:sz w:val="20"/>
          <w:szCs w:val="20"/>
          <w:u w:color="000000"/>
          <w:bdr w:val="nil"/>
          <w:lang w:val="es-ES_tradnl" w:eastAsia="es-ES"/>
        </w:rPr>
        <w:footnoteReference w:id="12"/>
      </w:r>
      <w:r w:rsidRPr="0058501F">
        <w:rPr>
          <w:rFonts w:ascii="Cambria" w:eastAsia="Cambria" w:hAnsi="Cambria" w:cs="Cambria"/>
          <w:color w:val="000000"/>
          <w:sz w:val="20"/>
          <w:szCs w:val="20"/>
          <w:u w:color="000000"/>
          <w:bdr w:val="nil"/>
          <w:lang w:val="es-ES_tradnl" w:eastAsia="es-ES"/>
        </w:rPr>
        <w:t xml:space="preserve"> y su petición de auto de </w:t>
      </w:r>
      <w:proofErr w:type="spellStart"/>
      <w:r w:rsidRPr="0058501F">
        <w:rPr>
          <w:rFonts w:ascii="Cambria" w:eastAsia="Cambria" w:hAnsi="Cambria" w:cs="Cambria"/>
          <w:color w:val="000000"/>
          <w:sz w:val="20"/>
          <w:szCs w:val="20"/>
          <w:u w:color="000000"/>
          <w:bdr w:val="nil"/>
          <w:lang w:val="es-ES_tradnl" w:eastAsia="es-ES"/>
        </w:rPr>
        <w:t>certiorari</w:t>
      </w:r>
      <w:proofErr w:type="spellEnd"/>
      <w:r w:rsidRPr="0058501F">
        <w:rPr>
          <w:rFonts w:ascii="Cambria" w:eastAsia="Cambria" w:hAnsi="Cambria" w:cs="Cambria"/>
          <w:color w:val="000000"/>
          <w:sz w:val="20"/>
          <w:szCs w:val="20"/>
          <w:u w:color="000000"/>
          <w:bdr w:val="nil"/>
          <w:lang w:val="es-ES_tradnl" w:eastAsia="es-ES"/>
        </w:rPr>
        <w:t xml:space="preserve"> fue denegada el 8 de junio de 2020.</w:t>
      </w:r>
      <w:r w:rsidR="00D11422" w:rsidRPr="0058501F">
        <w:rPr>
          <w:rStyle w:val="FootnoteReference"/>
          <w:rFonts w:ascii="Cambria" w:eastAsia="Cambria" w:hAnsi="Cambria"/>
          <w:color w:val="000000"/>
          <w:sz w:val="20"/>
          <w:szCs w:val="20"/>
          <w:u w:color="000000"/>
          <w:bdr w:val="nil"/>
          <w:lang w:val="es-ES_tradnl" w:eastAsia="es-ES"/>
        </w:rPr>
        <w:footnoteReference w:id="13"/>
      </w:r>
      <w:r w:rsidRPr="0058501F">
        <w:rPr>
          <w:rFonts w:ascii="Cambria" w:eastAsia="Cambria" w:hAnsi="Cambria" w:cs="Cambria"/>
          <w:color w:val="000000"/>
          <w:sz w:val="20"/>
          <w:szCs w:val="20"/>
          <w:u w:color="000000"/>
          <w:bdr w:val="nil"/>
          <w:lang w:val="es-ES_tradnl" w:eastAsia="es-ES"/>
        </w:rPr>
        <w:t xml:space="preserve"> El 6 de agosto de 2020, en virtud de la Orden del Tribunal de Distrito del Estado, la ejecución del </w:t>
      </w:r>
      <w:r w:rsidR="00DD040D" w:rsidRPr="0058501F">
        <w:rPr>
          <w:rFonts w:ascii="Cambria" w:eastAsia="Cambria" w:hAnsi="Cambria" w:cs="Cambria"/>
          <w:color w:val="000000"/>
          <w:sz w:val="20"/>
          <w:szCs w:val="20"/>
          <w:u w:color="000000"/>
          <w:bdr w:val="nil"/>
          <w:lang w:val="es-ES_tradnl" w:eastAsia="es-ES"/>
        </w:rPr>
        <w:t>Sr.</w:t>
      </w:r>
      <w:r w:rsidRPr="0058501F">
        <w:rPr>
          <w:rFonts w:ascii="Cambria" w:eastAsia="Cambria" w:hAnsi="Cambria" w:cs="Cambria"/>
          <w:color w:val="000000"/>
          <w:sz w:val="20"/>
          <w:szCs w:val="20"/>
          <w:u w:color="000000"/>
          <w:bdr w:val="nil"/>
          <w:lang w:val="es-ES_tradnl" w:eastAsia="es-ES"/>
        </w:rPr>
        <w:t xml:space="preserve"> Ibarra estaba programada para el 4 de marzo de 2021.</w:t>
      </w:r>
      <w:r w:rsidR="00D11422" w:rsidRPr="0058501F">
        <w:rPr>
          <w:rStyle w:val="FootnoteReference"/>
          <w:rFonts w:ascii="Cambria" w:eastAsia="Cambria" w:hAnsi="Cambria"/>
          <w:color w:val="000000"/>
          <w:sz w:val="20"/>
          <w:szCs w:val="20"/>
          <w:u w:color="000000"/>
          <w:bdr w:val="nil"/>
          <w:lang w:val="es-ES_tradnl" w:eastAsia="es-ES"/>
        </w:rPr>
        <w:footnoteReference w:id="14"/>
      </w:r>
    </w:p>
    <w:p w14:paraId="677CBF2E" w14:textId="77777777" w:rsidR="00D11422" w:rsidRPr="0058501F" w:rsidRDefault="00D11422" w:rsidP="00470EC4">
      <w:pPr>
        <w:pBdr>
          <w:top w:val="nil"/>
          <w:left w:val="nil"/>
          <w:bottom w:val="nil"/>
          <w:right w:val="nil"/>
          <w:between w:val="nil"/>
          <w:bar w:val="nil"/>
        </w:pBdr>
        <w:tabs>
          <w:tab w:val="left" w:pos="450"/>
        </w:tabs>
        <w:spacing w:after="0" w:line="240" w:lineRule="auto"/>
        <w:jc w:val="both"/>
        <w:rPr>
          <w:rFonts w:ascii="Cambria" w:eastAsia="Cambria" w:hAnsi="Cambria" w:cs="Cambria"/>
          <w:color w:val="000000"/>
          <w:sz w:val="20"/>
          <w:szCs w:val="20"/>
          <w:u w:color="000000"/>
          <w:bdr w:val="nil"/>
          <w:lang w:val="es-ES_tradnl" w:eastAsia="es-ES"/>
        </w:rPr>
      </w:pPr>
    </w:p>
    <w:p w14:paraId="37BF4451" w14:textId="77777777" w:rsidR="008250FA" w:rsidRPr="0058501F" w:rsidRDefault="00D11422" w:rsidP="00470EC4">
      <w:pPr>
        <w:numPr>
          <w:ilvl w:val="0"/>
          <w:numId w:val="1"/>
        </w:numPr>
        <w:pBdr>
          <w:top w:val="nil"/>
          <w:left w:val="nil"/>
          <w:bottom w:val="nil"/>
          <w:right w:val="nil"/>
          <w:between w:val="nil"/>
          <w:bar w:val="nil"/>
        </w:pBdr>
        <w:tabs>
          <w:tab w:val="left" w:pos="450"/>
        </w:tabs>
        <w:spacing w:after="0" w:line="240" w:lineRule="auto"/>
        <w:ind w:firstLine="0"/>
        <w:jc w:val="both"/>
        <w:rPr>
          <w:rFonts w:ascii="Cambria" w:eastAsia="Cambria" w:hAnsi="Cambria" w:cs="Cambria"/>
          <w:color w:val="000000"/>
          <w:sz w:val="20"/>
          <w:szCs w:val="20"/>
          <w:u w:color="000000"/>
          <w:bdr w:val="nil"/>
          <w:lang w:val="es-ES_tradnl" w:eastAsia="es-ES"/>
        </w:rPr>
      </w:pPr>
      <w:r w:rsidRPr="0058501F">
        <w:rPr>
          <w:rFonts w:ascii="Cambria" w:eastAsia="Cambria" w:hAnsi="Cambria" w:cs="Cambria"/>
          <w:color w:val="000000"/>
          <w:sz w:val="20"/>
          <w:szCs w:val="20"/>
          <w:u w:color="000000"/>
          <w:bdr w:val="nil"/>
          <w:lang w:val="es-ES_tradnl" w:eastAsia="es-ES"/>
        </w:rPr>
        <w:t>El Estado alega que la petición es inadmisible por no haberse agotado los recursos internos al momento de su presentación. En primer lugar, la CIDH observa al respecto que el requisito previsto en el artículo 31 del Reglamento se analiza a la luz de la situación vigente al momento de decidir la admisibilidad de la petición.</w:t>
      </w:r>
      <w:r w:rsidR="00F442C7" w:rsidRPr="0058501F">
        <w:rPr>
          <w:rStyle w:val="FootnoteReference"/>
          <w:rFonts w:ascii="Cambria" w:eastAsia="Cambria" w:hAnsi="Cambria"/>
          <w:color w:val="000000"/>
          <w:sz w:val="20"/>
          <w:szCs w:val="20"/>
          <w:u w:color="000000"/>
          <w:bdr w:val="nil"/>
          <w:lang w:val="es-ES_tradnl" w:eastAsia="es-ES"/>
        </w:rPr>
        <w:footnoteReference w:id="15"/>
      </w:r>
      <w:r w:rsidRPr="0058501F">
        <w:rPr>
          <w:rFonts w:ascii="Cambria" w:eastAsia="Cambria" w:hAnsi="Cambria" w:cs="Cambria"/>
          <w:color w:val="000000"/>
          <w:sz w:val="20"/>
          <w:szCs w:val="20"/>
          <w:u w:color="000000"/>
          <w:bdr w:val="nil"/>
          <w:lang w:val="es-ES_tradnl" w:eastAsia="es-ES"/>
        </w:rPr>
        <w:t xml:space="preserve"> Como se indicó anteriormente, se han agotado todos los recursos ordinarios y extraordinarios. En segundo lugar, el propósito de la norma que exige el previo agotamiento de los recursos internos es darle al Estado la oportunidad de remediar el asunto dentro de su jurisdicción antes de que llegue a un organismo internacional.</w:t>
      </w:r>
      <w:r w:rsidR="00F442C7" w:rsidRPr="0058501F">
        <w:rPr>
          <w:rStyle w:val="FootnoteReference"/>
          <w:rFonts w:ascii="Cambria" w:eastAsia="Cambria" w:hAnsi="Cambria"/>
          <w:color w:val="000000"/>
          <w:sz w:val="20"/>
          <w:szCs w:val="20"/>
          <w:u w:color="000000"/>
          <w:bdr w:val="nil"/>
          <w:lang w:val="es-ES_tradnl" w:eastAsia="es-ES"/>
        </w:rPr>
        <w:footnoteReference w:id="16"/>
      </w:r>
      <w:r w:rsidRPr="0058501F">
        <w:rPr>
          <w:rFonts w:ascii="Cambria" w:eastAsia="Cambria" w:hAnsi="Cambria" w:cs="Cambria"/>
          <w:color w:val="000000"/>
          <w:sz w:val="20"/>
          <w:szCs w:val="20"/>
          <w:u w:color="000000"/>
          <w:bdr w:val="nil"/>
          <w:lang w:val="es-ES_tradnl" w:eastAsia="es-ES"/>
        </w:rPr>
        <w:t xml:space="preserve"> En el presente caso, incluso al momento de la presentación de la petición, el </w:t>
      </w:r>
      <w:r w:rsidR="00F442C7" w:rsidRPr="0058501F">
        <w:rPr>
          <w:rFonts w:ascii="Cambria" w:eastAsia="Cambria" w:hAnsi="Cambria" w:cs="Cambria"/>
          <w:color w:val="000000"/>
          <w:sz w:val="20"/>
          <w:szCs w:val="20"/>
          <w:u w:color="000000"/>
          <w:bdr w:val="nil"/>
          <w:lang w:val="es-ES_tradnl" w:eastAsia="es-ES"/>
        </w:rPr>
        <w:t>Sr.</w:t>
      </w:r>
      <w:r w:rsidRPr="0058501F">
        <w:rPr>
          <w:rFonts w:ascii="Cambria" w:eastAsia="Cambria" w:hAnsi="Cambria" w:cs="Cambria"/>
          <w:color w:val="000000"/>
          <w:sz w:val="20"/>
          <w:szCs w:val="20"/>
          <w:u w:color="000000"/>
          <w:bdr w:val="nil"/>
          <w:lang w:val="es-ES_tradnl" w:eastAsia="es-ES"/>
        </w:rPr>
        <w:t xml:space="preserve"> Ibarra había agotado un recurso de apelación directo, un recurso de </w:t>
      </w:r>
      <w:proofErr w:type="spellStart"/>
      <w:r w:rsidRPr="0058501F">
        <w:rPr>
          <w:rFonts w:ascii="Cambria" w:eastAsia="Cambria" w:hAnsi="Cambria" w:cs="Cambria"/>
          <w:color w:val="000000"/>
          <w:sz w:val="20"/>
          <w:szCs w:val="20"/>
          <w:u w:color="000000"/>
          <w:bdr w:val="nil"/>
          <w:lang w:val="es-ES_tradnl" w:eastAsia="es-ES"/>
        </w:rPr>
        <w:t>certiorari</w:t>
      </w:r>
      <w:proofErr w:type="spellEnd"/>
      <w:r w:rsidRPr="0058501F">
        <w:rPr>
          <w:rFonts w:ascii="Cambria" w:eastAsia="Cambria" w:hAnsi="Cambria" w:cs="Cambria"/>
          <w:color w:val="000000"/>
          <w:sz w:val="20"/>
          <w:szCs w:val="20"/>
          <w:u w:color="000000"/>
          <w:bdr w:val="nil"/>
          <w:lang w:val="es-ES_tradnl" w:eastAsia="es-ES"/>
        </w:rPr>
        <w:t xml:space="preserve"> y cuatro recursos de hábeas corpus. Por lo tanto, incluso antes de la presentación de la petición ante la CIDH, el </w:t>
      </w:r>
      <w:r w:rsidR="00F442C7" w:rsidRPr="0058501F">
        <w:rPr>
          <w:rFonts w:ascii="Cambria" w:eastAsia="Cambria" w:hAnsi="Cambria" w:cs="Cambria"/>
          <w:color w:val="000000"/>
          <w:sz w:val="20"/>
          <w:szCs w:val="20"/>
          <w:u w:color="000000"/>
          <w:bdr w:val="nil"/>
          <w:lang w:val="es-ES_tradnl" w:eastAsia="es-ES"/>
        </w:rPr>
        <w:t>Sr.</w:t>
      </w:r>
      <w:r w:rsidRPr="0058501F">
        <w:rPr>
          <w:rFonts w:ascii="Cambria" w:eastAsia="Cambria" w:hAnsi="Cambria" w:cs="Cambria"/>
          <w:color w:val="000000"/>
          <w:sz w:val="20"/>
          <w:szCs w:val="20"/>
          <w:u w:color="000000"/>
          <w:bdr w:val="nil"/>
          <w:lang w:val="es-ES_tradnl" w:eastAsia="es-ES"/>
        </w:rPr>
        <w:t xml:space="preserve"> Ibarra había planteado el tema a nivel interno, por lo que se ha cumplido el propósito de la norma internacional.</w:t>
      </w:r>
    </w:p>
    <w:p w14:paraId="3FACB3E3" w14:textId="77777777" w:rsidR="008250FA" w:rsidRPr="0058501F" w:rsidRDefault="008250FA" w:rsidP="00470EC4">
      <w:pPr>
        <w:pBdr>
          <w:top w:val="nil"/>
          <w:left w:val="nil"/>
          <w:bottom w:val="nil"/>
          <w:right w:val="nil"/>
          <w:between w:val="nil"/>
          <w:bar w:val="nil"/>
        </w:pBdr>
        <w:tabs>
          <w:tab w:val="left" w:pos="450"/>
        </w:tabs>
        <w:spacing w:after="0" w:line="240" w:lineRule="auto"/>
        <w:jc w:val="both"/>
        <w:rPr>
          <w:rFonts w:ascii="Cambria" w:eastAsia="Cambria" w:hAnsi="Cambria" w:cs="Cambria"/>
          <w:color w:val="000000"/>
          <w:sz w:val="20"/>
          <w:szCs w:val="20"/>
          <w:u w:color="000000"/>
          <w:bdr w:val="nil"/>
          <w:lang w:val="es-ES_tradnl" w:eastAsia="es-ES"/>
        </w:rPr>
      </w:pPr>
    </w:p>
    <w:p w14:paraId="5F7DEAD9" w14:textId="77777777" w:rsidR="008250FA" w:rsidRPr="0058501F" w:rsidRDefault="008250FA" w:rsidP="00470EC4">
      <w:pPr>
        <w:numPr>
          <w:ilvl w:val="0"/>
          <w:numId w:val="1"/>
        </w:numPr>
        <w:pBdr>
          <w:top w:val="nil"/>
          <w:left w:val="nil"/>
          <w:bottom w:val="nil"/>
          <w:right w:val="nil"/>
          <w:between w:val="nil"/>
          <w:bar w:val="nil"/>
        </w:pBdr>
        <w:tabs>
          <w:tab w:val="left" w:pos="450"/>
        </w:tabs>
        <w:spacing w:after="0" w:line="240" w:lineRule="auto"/>
        <w:ind w:firstLine="0"/>
        <w:jc w:val="both"/>
        <w:rPr>
          <w:rFonts w:ascii="Cambria" w:eastAsia="Cambria" w:hAnsi="Cambria" w:cs="Cambria"/>
          <w:color w:val="000000"/>
          <w:sz w:val="20"/>
          <w:szCs w:val="20"/>
          <w:u w:color="000000"/>
          <w:bdr w:val="nil"/>
          <w:lang w:val="es-ES_tradnl" w:eastAsia="es-ES"/>
        </w:rPr>
      </w:pPr>
      <w:r w:rsidRPr="0058501F">
        <w:rPr>
          <w:rFonts w:ascii="Cambria" w:eastAsia="Cambria" w:hAnsi="Cambria" w:cs="Cambria"/>
          <w:color w:val="000000"/>
          <w:sz w:val="20"/>
          <w:szCs w:val="20"/>
          <w:u w:color="000000"/>
          <w:bdr w:val="nil"/>
          <w:lang w:val="es-ES_tradnl" w:eastAsia="es-ES"/>
        </w:rPr>
        <w:t>Con base en los factores anteriores, la Comisión Interamericana concluye que la presunta víctima agotó debidamente los recursos internos disponibles en el ordenamiento jurídico interno y, por tanto, que los reclamos ante la Comisión no están excluidos de consideración por el requisito de agotamiento de los recursos internos. recursos de conformidad con el artículo 31 (1) de su Reglamento.</w:t>
      </w:r>
    </w:p>
    <w:p w14:paraId="7CA7696F" w14:textId="77777777" w:rsidR="008250FA" w:rsidRPr="0058501F" w:rsidRDefault="008250FA" w:rsidP="00470EC4">
      <w:pPr>
        <w:pBdr>
          <w:top w:val="nil"/>
          <w:left w:val="nil"/>
          <w:bottom w:val="nil"/>
          <w:right w:val="nil"/>
          <w:between w:val="nil"/>
          <w:bar w:val="nil"/>
        </w:pBdr>
        <w:tabs>
          <w:tab w:val="left" w:pos="450"/>
        </w:tabs>
        <w:spacing w:after="0" w:line="240" w:lineRule="auto"/>
        <w:jc w:val="both"/>
        <w:rPr>
          <w:rFonts w:ascii="Cambria" w:eastAsia="Cambria" w:hAnsi="Cambria" w:cs="Cambria"/>
          <w:color w:val="000000"/>
          <w:sz w:val="20"/>
          <w:szCs w:val="20"/>
          <w:u w:color="000000"/>
          <w:bdr w:val="nil"/>
          <w:lang w:val="es-ES_tradnl" w:eastAsia="es-ES"/>
        </w:rPr>
      </w:pPr>
    </w:p>
    <w:p w14:paraId="3D84C907" w14:textId="77777777" w:rsidR="008250FA" w:rsidRPr="0058501F" w:rsidRDefault="008250FA" w:rsidP="00470EC4">
      <w:pPr>
        <w:numPr>
          <w:ilvl w:val="0"/>
          <w:numId w:val="1"/>
        </w:numPr>
        <w:pBdr>
          <w:top w:val="nil"/>
          <w:left w:val="nil"/>
          <w:bottom w:val="nil"/>
          <w:right w:val="nil"/>
          <w:between w:val="nil"/>
          <w:bar w:val="nil"/>
        </w:pBdr>
        <w:tabs>
          <w:tab w:val="left" w:pos="450"/>
        </w:tabs>
        <w:spacing w:after="0" w:line="240" w:lineRule="auto"/>
        <w:ind w:firstLine="0"/>
        <w:jc w:val="both"/>
        <w:rPr>
          <w:rFonts w:ascii="Cambria" w:eastAsia="Cambria" w:hAnsi="Cambria" w:cs="Cambria"/>
          <w:color w:val="000000"/>
          <w:sz w:val="20"/>
          <w:szCs w:val="20"/>
          <w:u w:color="000000"/>
          <w:bdr w:val="nil"/>
          <w:lang w:val="es-ES_tradnl" w:eastAsia="es-ES"/>
        </w:rPr>
      </w:pPr>
      <w:r w:rsidRPr="0058501F">
        <w:rPr>
          <w:rFonts w:ascii="Cambria" w:eastAsia="Cambria" w:hAnsi="Cambria" w:cs="Cambria"/>
          <w:color w:val="000000"/>
          <w:sz w:val="20"/>
          <w:szCs w:val="20"/>
          <w:u w:color="000000"/>
          <w:bdr w:val="nil"/>
          <w:lang w:val="es-ES_tradnl" w:eastAsia="es-ES"/>
        </w:rPr>
        <w:t xml:space="preserve">La petición ante la CIDH fue presentada el 2 de febrero de 2018. Se observa que la Corte de Apelaciones de los Estados Unidos no había emitido una decisión sobre la denegación de la Corte de Distrito de la petición de hábeas corpus federal del Sr. Ibarra a esta fecha, pero que las violaciones alegadas subsistieron más allá de esa fecha y continuaron siendo objeto de recursos de amparo hasta que su solicitud de </w:t>
      </w:r>
      <w:proofErr w:type="spellStart"/>
      <w:r w:rsidRPr="0058501F">
        <w:rPr>
          <w:rFonts w:ascii="Cambria" w:eastAsia="Cambria" w:hAnsi="Cambria" w:cs="Cambria"/>
          <w:color w:val="000000"/>
          <w:sz w:val="20"/>
          <w:szCs w:val="20"/>
          <w:u w:color="000000"/>
          <w:bdr w:val="nil"/>
          <w:lang w:val="es-ES_tradnl" w:eastAsia="es-ES"/>
        </w:rPr>
        <w:t>certiorari</w:t>
      </w:r>
      <w:proofErr w:type="spellEnd"/>
      <w:r w:rsidRPr="0058501F">
        <w:rPr>
          <w:rFonts w:ascii="Cambria" w:eastAsia="Cambria" w:hAnsi="Cambria" w:cs="Cambria"/>
          <w:color w:val="000000"/>
          <w:sz w:val="20"/>
          <w:szCs w:val="20"/>
          <w:u w:color="000000"/>
          <w:bdr w:val="nil"/>
          <w:lang w:val="es-ES_tradnl" w:eastAsia="es-ES"/>
        </w:rPr>
        <w:t xml:space="preserve"> fue denegada el 8 de junio de 2020. En consecuencia, la Comisión concluye que el requisito previsto en el artículo 32.1 de su Reglamento ha cumplido el procedimiento.</w:t>
      </w:r>
    </w:p>
    <w:p w14:paraId="48A0068E" w14:textId="77777777" w:rsidR="008250FA" w:rsidRPr="0058501F" w:rsidRDefault="008250FA" w:rsidP="00470EC4">
      <w:pPr>
        <w:pStyle w:val="Heading2"/>
        <w:numPr>
          <w:ilvl w:val="0"/>
          <w:numId w:val="12"/>
        </w:numPr>
        <w:tabs>
          <w:tab w:val="left" w:pos="450"/>
        </w:tabs>
        <w:ind w:left="0" w:firstLine="0"/>
        <w:rPr>
          <w:rFonts w:ascii="Cambria" w:eastAsia="Cambria" w:hAnsi="Cambria"/>
          <w:sz w:val="20"/>
          <w:szCs w:val="20"/>
          <w:u w:color="000000"/>
          <w:bdr w:val="nil"/>
          <w:lang w:val="es-ES_tradnl" w:eastAsia="es-ES"/>
        </w:rPr>
      </w:pPr>
      <w:bookmarkStart w:id="7" w:name="_Toc90117831"/>
      <w:r w:rsidRPr="0058501F">
        <w:rPr>
          <w:rFonts w:ascii="Cambria" w:eastAsia="Cambria" w:hAnsi="Cambria"/>
          <w:sz w:val="20"/>
          <w:szCs w:val="20"/>
          <w:u w:color="000000"/>
          <w:bdr w:val="nil"/>
          <w:lang w:val="es-ES_tradnl" w:eastAsia="es-ES"/>
        </w:rPr>
        <w:t>Caracterización</w:t>
      </w:r>
      <w:bookmarkEnd w:id="7"/>
    </w:p>
    <w:p w14:paraId="3E28472F" w14:textId="77777777" w:rsidR="008250FA" w:rsidRPr="0058501F" w:rsidRDefault="008250FA" w:rsidP="00470EC4">
      <w:pPr>
        <w:pBdr>
          <w:top w:val="nil"/>
          <w:left w:val="nil"/>
          <w:bottom w:val="nil"/>
          <w:right w:val="nil"/>
          <w:between w:val="nil"/>
          <w:bar w:val="nil"/>
        </w:pBdr>
        <w:tabs>
          <w:tab w:val="left" w:pos="450"/>
        </w:tabs>
        <w:spacing w:after="0" w:line="240" w:lineRule="auto"/>
        <w:jc w:val="both"/>
        <w:rPr>
          <w:rFonts w:ascii="Cambria" w:eastAsia="Cambria" w:hAnsi="Cambria" w:cs="Cambria"/>
          <w:b/>
          <w:bCs/>
          <w:color w:val="000000"/>
          <w:sz w:val="20"/>
          <w:szCs w:val="20"/>
          <w:u w:color="000000"/>
          <w:bdr w:val="nil"/>
          <w:lang w:val="es-ES_tradnl" w:eastAsia="es-ES"/>
        </w:rPr>
      </w:pPr>
    </w:p>
    <w:p w14:paraId="2A3FA87F" w14:textId="77777777" w:rsidR="008250FA" w:rsidRPr="0058501F" w:rsidRDefault="008250FA" w:rsidP="00470EC4">
      <w:pPr>
        <w:numPr>
          <w:ilvl w:val="0"/>
          <w:numId w:val="1"/>
        </w:numPr>
        <w:pBdr>
          <w:top w:val="nil"/>
          <w:left w:val="nil"/>
          <w:bottom w:val="nil"/>
          <w:right w:val="nil"/>
          <w:between w:val="nil"/>
          <w:bar w:val="nil"/>
        </w:pBdr>
        <w:tabs>
          <w:tab w:val="left" w:pos="450"/>
        </w:tabs>
        <w:spacing w:after="0" w:line="240" w:lineRule="auto"/>
        <w:ind w:firstLine="0"/>
        <w:jc w:val="both"/>
        <w:rPr>
          <w:rFonts w:ascii="Cambria" w:eastAsia="Cambria" w:hAnsi="Cambria" w:cs="Cambria"/>
          <w:color w:val="000000"/>
          <w:sz w:val="20"/>
          <w:szCs w:val="20"/>
          <w:u w:color="000000"/>
          <w:bdr w:val="nil"/>
          <w:lang w:val="es-ES_tradnl" w:eastAsia="es-ES"/>
        </w:rPr>
      </w:pPr>
      <w:r w:rsidRPr="0058501F">
        <w:rPr>
          <w:rFonts w:ascii="Cambria" w:eastAsia="Cambria" w:hAnsi="Cambria" w:cs="Cambria"/>
          <w:color w:val="000000"/>
          <w:sz w:val="20"/>
          <w:szCs w:val="20"/>
          <w:u w:color="000000"/>
          <w:bdr w:val="nil"/>
          <w:lang w:val="es-ES_tradnl" w:eastAsia="es-ES"/>
        </w:rPr>
        <w:t>La Comisión considera que, de probarse, los hechos alegados tenderían a establecer violaciones a los derechos consagrados en los artículos I, II, XVIII, XXV y XXVI de la Declaración Americana, en perjuicio del Sr. Ibarra.</w:t>
      </w:r>
    </w:p>
    <w:p w14:paraId="33107A6D" w14:textId="77777777" w:rsidR="008250FA" w:rsidRPr="0058501F" w:rsidRDefault="008250FA" w:rsidP="00470EC4">
      <w:pPr>
        <w:pStyle w:val="Heading1"/>
        <w:numPr>
          <w:ilvl w:val="0"/>
          <w:numId w:val="10"/>
        </w:numPr>
        <w:tabs>
          <w:tab w:val="left" w:pos="450"/>
        </w:tabs>
        <w:ind w:left="0" w:firstLine="0"/>
        <w:rPr>
          <w:rFonts w:ascii="Cambria" w:eastAsia="Cambria" w:hAnsi="Cambria"/>
          <w:sz w:val="20"/>
          <w:szCs w:val="20"/>
          <w:u w:color="000000"/>
          <w:bdr w:val="nil"/>
          <w:lang w:val="es-ES_tradnl" w:eastAsia="es-ES"/>
        </w:rPr>
      </w:pPr>
      <w:bookmarkStart w:id="8" w:name="_Toc90117832"/>
      <w:r w:rsidRPr="0058501F">
        <w:rPr>
          <w:rFonts w:ascii="Cambria" w:eastAsia="Cambria" w:hAnsi="Cambria"/>
          <w:sz w:val="20"/>
          <w:szCs w:val="20"/>
          <w:u w:color="000000"/>
          <w:bdr w:val="nil"/>
          <w:lang w:val="es-ES_tradnl" w:eastAsia="es-ES"/>
        </w:rPr>
        <w:t>HECHOS PROBADOS</w:t>
      </w:r>
      <w:bookmarkEnd w:id="8"/>
    </w:p>
    <w:p w14:paraId="1026C936" w14:textId="77777777" w:rsidR="008250FA" w:rsidRPr="0058501F" w:rsidRDefault="008250FA" w:rsidP="00470EC4">
      <w:pPr>
        <w:pStyle w:val="Heading2"/>
        <w:numPr>
          <w:ilvl w:val="0"/>
          <w:numId w:val="13"/>
        </w:numPr>
        <w:tabs>
          <w:tab w:val="left" w:pos="450"/>
        </w:tabs>
        <w:ind w:left="0" w:firstLine="0"/>
        <w:rPr>
          <w:rFonts w:ascii="Cambria" w:eastAsia="Cambria" w:hAnsi="Cambria"/>
          <w:sz w:val="20"/>
          <w:szCs w:val="20"/>
          <w:u w:color="000000"/>
          <w:bdr w:val="nil"/>
          <w:lang w:val="es-ES_tradnl" w:eastAsia="es-ES"/>
        </w:rPr>
      </w:pPr>
      <w:bookmarkStart w:id="9" w:name="_Toc90117833"/>
      <w:r w:rsidRPr="0058501F">
        <w:rPr>
          <w:rFonts w:ascii="Cambria" w:eastAsia="Cambria" w:hAnsi="Cambria"/>
          <w:sz w:val="20"/>
          <w:szCs w:val="20"/>
          <w:u w:color="000000"/>
          <w:bdr w:val="nil"/>
          <w:lang w:val="es-ES_tradnl" w:eastAsia="es-ES"/>
        </w:rPr>
        <w:t>Hechos del caso</w:t>
      </w:r>
      <w:bookmarkEnd w:id="9"/>
    </w:p>
    <w:p w14:paraId="3B01C8E7" w14:textId="77777777" w:rsidR="008250FA" w:rsidRPr="0058501F" w:rsidRDefault="008250FA" w:rsidP="00470EC4">
      <w:pPr>
        <w:pBdr>
          <w:top w:val="nil"/>
          <w:left w:val="nil"/>
          <w:bottom w:val="nil"/>
          <w:right w:val="nil"/>
          <w:between w:val="nil"/>
          <w:bar w:val="nil"/>
        </w:pBdr>
        <w:tabs>
          <w:tab w:val="left" w:pos="450"/>
        </w:tabs>
        <w:spacing w:after="0" w:line="240" w:lineRule="auto"/>
        <w:jc w:val="both"/>
        <w:rPr>
          <w:rFonts w:ascii="Cambria" w:eastAsia="Cambria" w:hAnsi="Cambria" w:cs="Cambria"/>
          <w:color w:val="000000"/>
          <w:sz w:val="20"/>
          <w:szCs w:val="20"/>
          <w:u w:color="000000"/>
          <w:bdr w:val="nil"/>
          <w:lang w:val="es-ES_tradnl" w:eastAsia="es-ES"/>
        </w:rPr>
      </w:pPr>
    </w:p>
    <w:p w14:paraId="4E8506CE" w14:textId="77777777" w:rsidR="008250FA" w:rsidRPr="0058501F" w:rsidRDefault="008250FA" w:rsidP="00470EC4">
      <w:pPr>
        <w:numPr>
          <w:ilvl w:val="0"/>
          <w:numId w:val="1"/>
        </w:numPr>
        <w:pBdr>
          <w:top w:val="nil"/>
          <w:left w:val="nil"/>
          <w:bottom w:val="nil"/>
          <w:right w:val="nil"/>
          <w:between w:val="nil"/>
          <w:bar w:val="nil"/>
        </w:pBdr>
        <w:tabs>
          <w:tab w:val="left" w:pos="450"/>
        </w:tabs>
        <w:spacing w:after="0" w:line="240" w:lineRule="auto"/>
        <w:ind w:firstLine="0"/>
        <w:jc w:val="both"/>
        <w:rPr>
          <w:rFonts w:ascii="Cambria" w:eastAsia="Cambria" w:hAnsi="Cambria" w:cs="Cambria"/>
          <w:color w:val="000000"/>
          <w:sz w:val="20"/>
          <w:szCs w:val="20"/>
          <w:u w:color="000000"/>
          <w:bdr w:val="nil"/>
          <w:lang w:val="es-ES_tradnl" w:eastAsia="es-ES"/>
        </w:rPr>
      </w:pPr>
      <w:r w:rsidRPr="0058501F">
        <w:rPr>
          <w:rFonts w:ascii="Cambria" w:eastAsia="Cambria" w:hAnsi="Cambria" w:cs="Cambria"/>
          <w:color w:val="000000"/>
          <w:sz w:val="20"/>
          <w:szCs w:val="20"/>
          <w:u w:color="000000"/>
          <w:bdr w:val="nil"/>
          <w:lang w:val="es-ES_tradnl" w:eastAsia="es-ES"/>
        </w:rPr>
        <w:t>Según los hechos contabilizados por los tribunales,</w:t>
      </w:r>
      <w:r w:rsidR="00555669" w:rsidRPr="0058501F">
        <w:rPr>
          <w:rStyle w:val="FootnoteReference"/>
          <w:rFonts w:ascii="Cambria" w:eastAsia="Cambria" w:hAnsi="Cambria"/>
          <w:color w:val="000000"/>
          <w:sz w:val="20"/>
          <w:szCs w:val="20"/>
          <w:u w:color="000000"/>
          <w:bdr w:val="nil"/>
          <w:lang w:val="es-ES_tradnl" w:eastAsia="es-ES"/>
        </w:rPr>
        <w:footnoteReference w:id="17"/>
      </w:r>
      <w:r w:rsidRPr="0058501F">
        <w:rPr>
          <w:rFonts w:ascii="Cambria" w:eastAsia="Cambria" w:hAnsi="Cambria" w:cs="Cambria"/>
          <w:color w:val="000000"/>
          <w:sz w:val="20"/>
          <w:szCs w:val="20"/>
          <w:u w:color="000000"/>
          <w:bdr w:val="nil"/>
          <w:lang w:val="es-ES_tradnl" w:eastAsia="es-ES"/>
        </w:rPr>
        <w:t xml:space="preserve"> Ramiro Ibarra fue condenado por homicidio capital por la violación y estrangulamiento de una joven de 16 años. Los hechos establecidos en el juicio reflejan que María De La Paz Zúñiga, de 16 años, fue violada, sodomizada y asesinada la mañana del 6 de marzo de 1987. La policía obtuvo una orden de allanamiento el 10 de marzo de 1987 para obtener</w:t>
      </w:r>
      <w:r w:rsidR="00555669" w:rsidRPr="0058501F">
        <w:rPr>
          <w:rFonts w:ascii="Cambria" w:eastAsia="Cambria" w:hAnsi="Cambria" w:cs="Cambria"/>
          <w:color w:val="000000"/>
          <w:sz w:val="20"/>
          <w:szCs w:val="20"/>
          <w:u w:color="000000"/>
          <w:bdr w:val="nil"/>
          <w:lang w:val="es-ES_tradnl" w:eastAsia="es-ES"/>
        </w:rPr>
        <w:t xml:space="preserve"> muestras de</w:t>
      </w:r>
      <w:r w:rsidRPr="0058501F">
        <w:rPr>
          <w:rFonts w:ascii="Cambria" w:eastAsia="Cambria" w:hAnsi="Cambria" w:cs="Cambria"/>
          <w:color w:val="000000"/>
          <w:sz w:val="20"/>
          <w:szCs w:val="20"/>
          <w:u w:color="000000"/>
          <w:bdr w:val="nil"/>
          <w:lang w:val="es-ES_tradnl" w:eastAsia="es-ES"/>
        </w:rPr>
        <w:t xml:space="preserve"> sangre</w:t>
      </w:r>
      <w:r w:rsidR="00555669" w:rsidRPr="0058501F">
        <w:rPr>
          <w:rFonts w:ascii="Cambria" w:eastAsia="Cambria" w:hAnsi="Cambria" w:cs="Cambria"/>
          <w:color w:val="000000"/>
          <w:sz w:val="20"/>
          <w:szCs w:val="20"/>
          <w:u w:color="000000"/>
          <w:bdr w:val="nil"/>
          <w:lang w:val="es-ES_tradnl" w:eastAsia="es-ES"/>
        </w:rPr>
        <w:t xml:space="preserve"> y </w:t>
      </w:r>
      <w:r w:rsidRPr="0058501F">
        <w:rPr>
          <w:rFonts w:ascii="Cambria" w:eastAsia="Cambria" w:hAnsi="Cambria" w:cs="Cambria"/>
          <w:color w:val="000000"/>
          <w:sz w:val="20"/>
          <w:szCs w:val="20"/>
          <w:u w:color="000000"/>
          <w:bdr w:val="nil"/>
          <w:lang w:val="es-ES_tradnl" w:eastAsia="es-ES"/>
        </w:rPr>
        <w:t xml:space="preserve">de cabello del Sr. Ibarra para compararlas con el cabello y los fluidos corporales encontrados en la escena del crimen. El 27 de mayo de 1987 se dictó auto de procesamiento por homicidio contra el </w:t>
      </w:r>
      <w:r w:rsidR="00555669" w:rsidRPr="0058501F">
        <w:rPr>
          <w:rFonts w:ascii="Cambria" w:eastAsia="Cambria" w:hAnsi="Cambria" w:cs="Cambria"/>
          <w:color w:val="000000"/>
          <w:sz w:val="20"/>
          <w:szCs w:val="20"/>
          <w:u w:color="000000"/>
          <w:bdr w:val="nil"/>
          <w:lang w:val="es-ES_tradnl" w:eastAsia="es-ES"/>
        </w:rPr>
        <w:t>Sr.</w:t>
      </w:r>
      <w:r w:rsidRPr="0058501F">
        <w:rPr>
          <w:rFonts w:ascii="Cambria" w:eastAsia="Cambria" w:hAnsi="Cambria" w:cs="Cambria"/>
          <w:color w:val="000000"/>
          <w:sz w:val="20"/>
          <w:szCs w:val="20"/>
          <w:u w:color="000000"/>
          <w:bdr w:val="nil"/>
          <w:lang w:val="es-ES_tradnl" w:eastAsia="es-ES"/>
        </w:rPr>
        <w:t xml:space="preserve"> Ibarra. Posteriormente, el </w:t>
      </w:r>
      <w:r w:rsidR="00DD040D" w:rsidRPr="0058501F">
        <w:rPr>
          <w:rFonts w:ascii="Cambria" w:eastAsia="Cambria" w:hAnsi="Cambria" w:cs="Cambria"/>
          <w:color w:val="000000"/>
          <w:sz w:val="20"/>
          <w:szCs w:val="20"/>
          <w:u w:color="000000"/>
          <w:bdr w:val="nil"/>
          <w:lang w:val="es-ES_tradnl" w:eastAsia="es-ES"/>
        </w:rPr>
        <w:t>Sr.</w:t>
      </w:r>
      <w:r w:rsidRPr="0058501F">
        <w:rPr>
          <w:rFonts w:ascii="Cambria" w:eastAsia="Cambria" w:hAnsi="Cambria" w:cs="Cambria"/>
          <w:color w:val="000000"/>
          <w:sz w:val="20"/>
          <w:szCs w:val="20"/>
          <w:u w:color="000000"/>
          <w:bdr w:val="nil"/>
          <w:lang w:val="es-ES_tradnl" w:eastAsia="es-ES"/>
        </w:rPr>
        <w:t xml:space="preserve"> Ibarra interpuso recurso de supresión, el cual fue concedido porque la orden de allanamiento no fue emitida por el juzgado correspondiente. En ese momento, la ley de Texas impedía a la policía obtener una segunda orden de registro. Por considerar que no había pruebas suficientes sin las comparaciones de sangre y cabello, el Estado desestimó la acusación el 19 de julio de 1998 y el </w:t>
      </w:r>
      <w:r w:rsidR="00555669" w:rsidRPr="0058501F">
        <w:rPr>
          <w:rFonts w:ascii="Cambria" w:eastAsia="Cambria" w:hAnsi="Cambria" w:cs="Cambria"/>
          <w:color w:val="000000"/>
          <w:sz w:val="20"/>
          <w:szCs w:val="20"/>
          <w:u w:color="000000"/>
          <w:bdr w:val="nil"/>
          <w:lang w:val="es-ES_tradnl" w:eastAsia="es-ES"/>
        </w:rPr>
        <w:t>Sr.</w:t>
      </w:r>
      <w:r w:rsidRPr="0058501F">
        <w:rPr>
          <w:rFonts w:ascii="Cambria" w:eastAsia="Cambria" w:hAnsi="Cambria" w:cs="Cambria"/>
          <w:color w:val="000000"/>
          <w:sz w:val="20"/>
          <w:szCs w:val="20"/>
          <w:u w:color="000000"/>
          <w:bdr w:val="nil"/>
          <w:lang w:val="es-ES_tradnl" w:eastAsia="es-ES"/>
        </w:rPr>
        <w:t xml:space="preserve"> Ibarra fue puesto en libertad.</w:t>
      </w:r>
    </w:p>
    <w:p w14:paraId="6062F236" w14:textId="77777777" w:rsidR="00555669" w:rsidRPr="0058501F" w:rsidRDefault="00555669" w:rsidP="00470EC4">
      <w:pPr>
        <w:pBdr>
          <w:top w:val="nil"/>
          <w:left w:val="nil"/>
          <w:bottom w:val="nil"/>
          <w:right w:val="nil"/>
          <w:between w:val="nil"/>
          <w:bar w:val="nil"/>
        </w:pBdr>
        <w:tabs>
          <w:tab w:val="left" w:pos="450"/>
        </w:tabs>
        <w:spacing w:after="0" w:line="240" w:lineRule="auto"/>
        <w:jc w:val="both"/>
        <w:rPr>
          <w:rFonts w:ascii="Cambria" w:eastAsia="Cambria" w:hAnsi="Cambria" w:cs="Cambria"/>
          <w:color w:val="000000"/>
          <w:sz w:val="20"/>
          <w:szCs w:val="20"/>
          <w:u w:color="000000"/>
          <w:bdr w:val="nil"/>
          <w:lang w:val="es-ES_tradnl" w:eastAsia="es-ES"/>
        </w:rPr>
      </w:pPr>
    </w:p>
    <w:p w14:paraId="4EF2F89A" w14:textId="77777777" w:rsidR="00555669" w:rsidRPr="0058501F" w:rsidRDefault="00555669" w:rsidP="00470EC4">
      <w:pPr>
        <w:numPr>
          <w:ilvl w:val="0"/>
          <w:numId w:val="1"/>
        </w:numPr>
        <w:pBdr>
          <w:top w:val="nil"/>
          <w:left w:val="nil"/>
          <w:bottom w:val="nil"/>
          <w:right w:val="nil"/>
          <w:between w:val="nil"/>
          <w:bar w:val="nil"/>
        </w:pBdr>
        <w:tabs>
          <w:tab w:val="left" w:pos="450"/>
        </w:tabs>
        <w:spacing w:after="0" w:line="240" w:lineRule="auto"/>
        <w:ind w:firstLine="0"/>
        <w:jc w:val="both"/>
        <w:rPr>
          <w:rFonts w:ascii="Cambria" w:eastAsia="Cambria" w:hAnsi="Cambria" w:cs="Cambria"/>
          <w:color w:val="000000"/>
          <w:sz w:val="20"/>
          <w:szCs w:val="20"/>
          <w:u w:color="000000"/>
          <w:bdr w:val="nil"/>
          <w:lang w:val="es-ES_tradnl" w:eastAsia="es-ES"/>
        </w:rPr>
      </w:pPr>
      <w:r w:rsidRPr="0058501F">
        <w:rPr>
          <w:rFonts w:ascii="Cambria" w:eastAsia="Cambria" w:hAnsi="Cambria" w:cs="Cambria"/>
          <w:color w:val="000000"/>
          <w:sz w:val="20"/>
          <w:szCs w:val="20"/>
          <w:u w:color="000000"/>
          <w:bdr w:val="nil"/>
          <w:lang w:val="es-ES_tradnl" w:eastAsia="es-ES"/>
        </w:rPr>
        <w:t>Según los hechos relatados por los tribunales,</w:t>
      </w:r>
      <w:r w:rsidRPr="0058501F">
        <w:rPr>
          <w:rStyle w:val="FootnoteReference"/>
          <w:rFonts w:ascii="Cambria" w:eastAsia="Cambria" w:hAnsi="Cambria"/>
          <w:color w:val="000000"/>
          <w:sz w:val="20"/>
          <w:szCs w:val="20"/>
          <w:u w:color="000000"/>
          <w:bdr w:val="nil"/>
          <w:lang w:val="es-ES_tradnl" w:eastAsia="es-ES"/>
        </w:rPr>
        <w:footnoteReference w:id="18"/>
      </w:r>
      <w:r w:rsidRPr="0058501F">
        <w:rPr>
          <w:rFonts w:ascii="Cambria" w:eastAsia="Cambria" w:hAnsi="Cambria" w:cs="Cambria"/>
          <w:color w:val="000000"/>
          <w:sz w:val="20"/>
          <w:szCs w:val="20"/>
          <w:u w:color="000000"/>
          <w:bdr w:val="nil"/>
          <w:lang w:val="es-ES_tradnl" w:eastAsia="es-ES"/>
        </w:rPr>
        <w:t xml:space="preserve"> la ley de Texas cambió en 1995, permitiendo a la policía obtener la emisión de más de una orden de registro de pruebas en un caso. La policía obtuvo una segunda orden </w:t>
      </w:r>
      <w:r w:rsidRPr="0058501F">
        <w:rPr>
          <w:rFonts w:ascii="Cambria" w:eastAsia="Cambria" w:hAnsi="Cambria" w:cs="Cambria"/>
          <w:color w:val="000000"/>
          <w:sz w:val="20"/>
          <w:szCs w:val="20"/>
          <w:u w:color="000000"/>
          <w:bdr w:val="nil"/>
          <w:lang w:val="es-ES_tradnl" w:eastAsia="es-ES"/>
        </w:rPr>
        <w:lastRenderedPageBreak/>
        <w:t xml:space="preserve">de captura de muestras de cabello y sangre del Sr. Ibarra el 2 de julio de 1996 y pudo obtener dicha evidencia. El examen de la evidencia reveló que los vellos faciales y púbicos encontrados en María De La Paz Zúñiga y sus alrededores eran similares a los del Sr. Ibarra, y su ADN coincidía con el semen recuperado de su cuerpo y ropa interior, así como con el material debajo de sus uñas. Posteriormente, el Sr. Ibarra fue procesado nuevamente por el asesinato de María de la Paz </w:t>
      </w:r>
      <w:proofErr w:type="spellStart"/>
      <w:r w:rsidRPr="0058501F">
        <w:rPr>
          <w:rFonts w:ascii="Cambria" w:eastAsia="Cambria" w:hAnsi="Cambria" w:cs="Cambria"/>
          <w:color w:val="000000"/>
          <w:sz w:val="20"/>
          <w:szCs w:val="20"/>
          <w:u w:color="000000"/>
          <w:bdr w:val="nil"/>
          <w:lang w:val="es-ES_tradnl" w:eastAsia="es-ES"/>
        </w:rPr>
        <w:t>Zuniga</w:t>
      </w:r>
      <w:proofErr w:type="spellEnd"/>
      <w:r w:rsidRPr="0058501F">
        <w:rPr>
          <w:rFonts w:ascii="Cambria" w:eastAsia="Cambria" w:hAnsi="Cambria" w:cs="Cambria"/>
          <w:color w:val="000000"/>
          <w:sz w:val="20"/>
          <w:szCs w:val="20"/>
          <w:u w:color="000000"/>
          <w:bdr w:val="nil"/>
          <w:lang w:val="es-ES_tradnl" w:eastAsia="es-ES"/>
        </w:rPr>
        <w:t xml:space="preserve"> el 18 de septiembre de 1996.</w:t>
      </w:r>
    </w:p>
    <w:p w14:paraId="34D22435" w14:textId="77777777" w:rsidR="00555669" w:rsidRPr="0058501F" w:rsidRDefault="00555669" w:rsidP="00470EC4">
      <w:pPr>
        <w:pStyle w:val="Heading2"/>
        <w:numPr>
          <w:ilvl w:val="0"/>
          <w:numId w:val="13"/>
        </w:numPr>
        <w:tabs>
          <w:tab w:val="left" w:pos="450"/>
        </w:tabs>
        <w:ind w:left="0" w:firstLine="0"/>
        <w:rPr>
          <w:rFonts w:ascii="Cambria" w:eastAsia="Cambria" w:hAnsi="Cambria"/>
          <w:sz w:val="20"/>
          <w:szCs w:val="20"/>
          <w:u w:color="000000"/>
          <w:bdr w:val="nil"/>
          <w:lang w:val="es-ES_tradnl" w:eastAsia="es-ES"/>
        </w:rPr>
      </w:pPr>
      <w:bookmarkStart w:id="10" w:name="_Toc90117834"/>
      <w:r w:rsidRPr="0058501F">
        <w:rPr>
          <w:rFonts w:ascii="Cambria" w:eastAsia="Cambria" w:hAnsi="Cambria"/>
          <w:sz w:val="20"/>
          <w:szCs w:val="20"/>
          <w:u w:color="000000"/>
          <w:bdr w:val="nil"/>
          <w:lang w:val="es-ES_tradnl" w:eastAsia="es-ES"/>
        </w:rPr>
        <w:t>Juicio y sentencia de muerte</w:t>
      </w:r>
      <w:bookmarkEnd w:id="10"/>
    </w:p>
    <w:p w14:paraId="7CC3CBC2" w14:textId="77777777" w:rsidR="00555669" w:rsidRPr="0058501F" w:rsidRDefault="00555669" w:rsidP="00470EC4">
      <w:pPr>
        <w:pBdr>
          <w:top w:val="nil"/>
          <w:left w:val="nil"/>
          <w:bottom w:val="nil"/>
          <w:right w:val="nil"/>
          <w:between w:val="nil"/>
          <w:bar w:val="nil"/>
        </w:pBdr>
        <w:tabs>
          <w:tab w:val="left" w:pos="450"/>
        </w:tabs>
        <w:spacing w:after="0" w:line="240" w:lineRule="auto"/>
        <w:jc w:val="both"/>
        <w:rPr>
          <w:rFonts w:ascii="Cambria" w:eastAsia="Cambria" w:hAnsi="Cambria" w:cs="Cambria"/>
          <w:b/>
          <w:bCs/>
          <w:color w:val="000000"/>
          <w:sz w:val="20"/>
          <w:szCs w:val="20"/>
          <w:u w:color="000000"/>
          <w:bdr w:val="nil"/>
          <w:lang w:val="es-ES_tradnl" w:eastAsia="es-ES"/>
        </w:rPr>
      </w:pPr>
    </w:p>
    <w:p w14:paraId="7E6CCEC1" w14:textId="77777777" w:rsidR="00555669" w:rsidRPr="0058501F" w:rsidRDefault="00555669" w:rsidP="00470EC4">
      <w:pPr>
        <w:numPr>
          <w:ilvl w:val="0"/>
          <w:numId w:val="1"/>
        </w:numPr>
        <w:pBdr>
          <w:top w:val="nil"/>
          <w:left w:val="nil"/>
          <w:bottom w:val="nil"/>
          <w:right w:val="nil"/>
          <w:between w:val="nil"/>
          <w:bar w:val="nil"/>
        </w:pBdr>
        <w:tabs>
          <w:tab w:val="left" w:pos="450"/>
        </w:tabs>
        <w:spacing w:after="0" w:line="240" w:lineRule="auto"/>
        <w:ind w:firstLine="0"/>
        <w:jc w:val="both"/>
        <w:rPr>
          <w:rFonts w:ascii="Cambria" w:eastAsia="Cambria" w:hAnsi="Cambria" w:cs="Cambria"/>
          <w:color w:val="000000"/>
          <w:sz w:val="20"/>
          <w:szCs w:val="20"/>
          <w:u w:color="000000"/>
          <w:bdr w:val="nil"/>
          <w:lang w:val="es-ES_tradnl" w:eastAsia="es-ES"/>
        </w:rPr>
      </w:pPr>
      <w:r w:rsidRPr="0058501F">
        <w:rPr>
          <w:rFonts w:ascii="Cambria" w:eastAsia="Cambria" w:hAnsi="Cambria" w:cs="Cambria"/>
          <w:color w:val="000000"/>
          <w:sz w:val="20"/>
          <w:szCs w:val="20"/>
          <w:u w:color="000000"/>
          <w:bdr w:val="nil"/>
          <w:lang w:val="es-ES_tradnl" w:eastAsia="es-ES"/>
        </w:rPr>
        <w:t>El 17 de septiembre de 1997 el Sr. Ibarra fue declarado culpable de homicidio.</w:t>
      </w:r>
      <w:r w:rsidRPr="0058501F">
        <w:rPr>
          <w:rStyle w:val="FootnoteReference"/>
          <w:rFonts w:ascii="Cambria" w:eastAsia="Cambria" w:hAnsi="Cambria"/>
          <w:color w:val="000000"/>
          <w:sz w:val="20"/>
          <w:szCs w:val="20"/>
          <w:u w:color="000000"/>
          <w:bdr w:val="nil"/>
          <w:lang w:val="es-ES_tradnl" w:eastAsia="es-ES"/>
        </w:rPr>
        <w:footnoteReference w:id="19"/>
      </w:r>
      <w:r w:rsidRPr="0058501F">
        <w:rPr>
          <w:rFonts w:ascii="Cambria" w:eastAsia="Cambria" w:hAnsi="Cambria" w:cs="Cambria"/>
          <w:color w:val="000000"/>
          <w:sz w:val="20"/>
          <w:szCs w:val="20"/>
          <w:u w:color="000000"/>
          <w:bdr w:val="nil"/>
          <w:lang w:val="es-ES_tradnl" w:eastAsia="es-ES"/>
        </w:rPr>
        <w:t xml:space="preserve"> El 22 de septiembre de 1997 fue condenado a muerte.</w:t>
      </w:r>
      <w:r w:rsidRPr="0058501F">
        <w:rPr>
          <w:rStyle w:val="FootnoteReference"/>
          <w:rFonts w:ascii="Cambria" w:eastAsia="Cambria" w:hAnsi="Cambria"/>
          <w:color w:val="000000"/>
          <w:sz w:val="20"/>
          <w:szCs w:val="20"/>
          <w:u w:color="000000"/>
          <w:bdr w:val="nil"/>
          <w:lang w:val="es-ES_tradnl" w:eastAsia="es-ES"/>
        </w:rPr>
        <w:footnoteReference w:id="20"/>
      </w:r>
      <w:r w:rsidRPr="0058501F">
        <w:rPr>
          <w:rFonts w:ascii="Cambria" w:eastAsia="Cambria" w:hAnsi="Cambria" w:cs="Cambria"/>
          <w:color w:val="000000"/>
          <w:sz w:val="20"/>
          <w:szCs w:val="20"/>
          <w:u w:color="000000"/>
          <w:bdr w:val="nil"/>
          <w:lang w:val="es-ES_tradnl" w:eastAsia="es-ES"/>
        </w:rPr>
        <w:t xml:space="preserve"> Los peticionarios señalan </w:t>
      </w:r>
      <w:proofErr w:type="gramStart"/>
      <w:r w:rsidRPr="0058501F">
        <w:rPr>
          <w:rFonts w:ascii="Cambria" w:eastAsia="Cambria" w:hAnsi="Cambria" w:cs="Cambria"/>
          <w:color w:val="000000"/>
          <w:sz w:val="20"/>
          <w:szCs w:val="20"/>
          <w:u w:color="000000"/>
          <w:bdr w:val="nil"/>
          <w:lang w:val="es-ES_tradnl" w:eastAsia="es-ES"/>
        </w:rPr>
        <w:t>que</w:t>
      </w:r>
      <w:proofErr w:type="gramEnd"/>
      <w:r w:rsidRPr="0058501F">
        <w:rPr>
          <w:rFonts w:ascii="Cambria" w:eastAsia="Cambria" w:hAnsi="Cambria" w:cs="Cambria"/>
          <w:color w:val="000000"/>
          <w:sz w:val="20"/>
          <w:szCs w:val="20"/>
          <w:u w:color="000000"/>
          <w:bdr w:val="nil"/>
          <w:lang w:val="es-ES_tradnl" w:eastAsia="es-ES"/>
        </w:rPr>
        <w:t xml:space="preserve"> con la asistencia de los funcionarios consulares mexicanos, el abogado defensor del Sr. Ibarra presentó un recurso de nuevo juicio por incumplimiento de la Convención de Viena sobre Relaciones Consulares (“VCCR”). La policía admitió libremente que sabía que el Sr. Ibarra era ciudadano mexicano, pero no sabía que tenía derecho a consultar con el consulado mexicano. El 9 de diciembre de 1997, el Tribunal de Distrito del Estado anuló su solicitud de un nuevo juicio.</w:t>
      </w:r>
      <w:r w:rsidRPr="0058501F">
        <w:rPr>
          <w:rStyle w:val="FootnoteReference"/>
          <w:rFonts w:ascii="Cambria" w:eastAsia="Cambria" w:hAnsi="Cambria"/>
          <w:color w:val="000000"/>
          <w:sz w:val="20"/>
          <w:szCs w:val="20"/>
          <w:u w:color="000000"/>
          <w:bdr w:val="nil"/>
          <w:lang w:val="es-ES_tradnl" w:eastAsia="es-ES"/>
        </w:rPr>
        <w:footnoteReference w:id="21"/>
      </w:r>
    </w:p>
    <w:p w14:paraId="7A2A82D4" w14:textId="77777777" w:rsidR="00555669" w:rsidRPr="0058501F" w:rsidRDefault="00555669" w:rsidP="00470EC4">
      <w:pPr>
        <w:pStyle w:val="Heading2"/>
        <w:numPr>
          <w:ilvl w:val="0"/>
          <w:numId w:val="13"/>
        </w:numPr>
        <w:tabs>
          <w:tab w:val="left" w:pos="450"/>
        </w:tabs>
        <w:ind w:left="0" w:firstLine="0"/>
        <w:rPr>
          <w:rFonts w:ascii="Cambria" w:eastAsia="Cambria" w:hAnsi="Cambria"/>
          <w:sz w:val="20"/>
          <w:szCs w:val="20"/>
          <w:u w:color="000000"/>
          <w:bdr w:val="nil"/>
          <w:lang w:val="es-ES_tradnl" w:eastAsia="es-ES"/>
        </w:rPr>
      </w:pPr>
      <w:bookmarkStart w:id="11" w:name="_Toc90117835"/>
      <w:r w:rsidRPr="0058501F">
        <w:rPr>
          <w:rFonts w:ascii="Cambria" w:eastAsia="Cambria" w:hAnsi="Cambria"/>
          <w:sz w:val="20"/>
          <w:szCs w:val="20"/>
          <w:u w:color="000000"/>
          <w:bdr w:val="nil"/>
          <w:lang w:val="es-ES_tradnl" w:eastAsia="es-ES"/>
        </w:rPr>
        <w:t>Reparación posterior a la condena y otros remedios</w:t>
      </w:r>
      <w:bookmarkEnd w:id="11"/>
    </w:p>
    <w:p w14:paraId="4BE9EBF6" w14:textId="77777777" w:rsidR="00555669" w:rsidRPr="0058501F" w:rsidRDefault="00555669" w:rsidP="00470EC4">
      <w:pPr>
        <w:pBdr>
          <w:top w:val="nil"/>
          <w:left w:val="nil"/>
          <w:bottom w:val="nil"/>
          <w:right w:val="nil"/>
          <w:between w:val="nil"/>
          <w:bar w:val="nil"/>
        </w:pBdr>
        <w:tabs>
          <w:tab w:val="left" w:pos="450"/>
        </w:tabs>
        <w:spacing w:after="0" w:line="240" w:lineRule="auto"/>
        <w:jc w:val="both"/>
        <w:rPr>
          <w:rFonts w:ascii="Cambria" w:eastAsia="Cambria" w:hAnsi="Cambria" w:cs="Cambria"/>
          <w:b/>
          <w:bCs/>
          <w:color w:val="000000"/>
          <w:sz w:val="20"/>
          <w:szCs w:val="20"/>
          <w:u w:color="000000"/>
          <w:bdr w:val="nil"/>
          <w:lang w:val="es-ES_tradnl" w:eastAsia="es-ES"/>
        </w:rPr>
      </w:pPr>
    </w:p>
    <w:p w14:paraId="680E1A66" w14:textId="77777777" w:rsidR="00555669" w:rsidRPr="0058501F" w:rsidRDefault="00555669" w:rsidP="00470EC4">
      <w:pPr>
        <w:numPr>
          <w:ilvl w:val="0"/>
          <w:numId w:val="1"/>
        </w:numPr>
        <w:pBdr>
          <w:top w:val="nil"/>
          <w:left w:val="nil"/>
          <w:bottom w:val="nil"/>
          <w:right w:val="nil"/>
          <w:between w:val="nil"/>
          <w:bar w:val="nil"/>
        </w:pBdr>
        <w:tabs>
          <w:tab w:val="left" w:pos="450"/>
        </w:tabs>
        <w:spacing w:after="0" w:line="240" w:lineRule="auto"/>
        <w:ind w:firstLine="0"/>
        <w:jc w:val="both"/>
        <w:rPr>
          <w:rFonts w:ascii="Cambria" w:eastAsia="Cambria" w:hAnsi="Cambria" w:cs="Cambria"/>
          <w:color w:val="000000"/>
          <w:sz w:val="20"/>
          <w:szCs w:val="20"/>
          <w:u w:color="000000"/>
          <w:bdr w:val="nil"/>
          <w:lang w:val="es-ES_tradnl" w:eastAsia="es-ES"/>
        </w:rPr>
      </w:pPr>
      <w:r w:rsidRPr="0058501F">
        <w:rPr>
          <w:rFonts w:ascii="Cambria" w:eastAsia="Cambria" w:hAnsi="Cambria" w:cs="Cambria"/>
          <w:color w:val="000000"/>
          <w:sz w:val="20"/>
          <w:szCs w:val="20"/>
          <w:u w:color="000000"/>
          <w:bdr w:val="nil"/>
          <w:lang w:val="es-ES_tradnl" w:eastAsia="es-ES"/>
        </w:rPr>
        <w:t>Según consta en el expediente judicial,</w:t>
      </w:r>
      <w:r w:rsidRPr="0058501F">
        <w:rPr>
          <w:rStyle w:val="FootnoteReference"/>
          <w:rFonts w:ascii="Cambria" w:eastAsia="Cambria" w:hAnsi="Cambria"/>
          <w:color w:val="000000"/>
          <w:sz w:val="20"/>
          <w:szCs w:val="20"/>
          <w:u w:color="000000"/>
          <w:bdr w:val="nil"/>
          <w:lang w:val="es-ES_tradnl" w:eastAsia="es-ES"/>
        </w:rPr>
        <w:footnoteReference w:id="22"/>
      </w:r>
      <w:r w:rsidRPr="0058501F">
        <w:rPr>
          <w:rFonts w:ascii="Cambria" w:eastAsia="Cambria" w:hAnsi="Cambria" w:cs="Cambria"/>
          <w:color w:val="000000"/>
          <w:sz w:val="20"/>
          <w:szCs w:val="20"/>
          <w:u w:color="000000"/>
          <w:bdr w:val="nil"/>
          <w:lang w:val="es-ES_tradnl" w:eastAsia="es-ES"/>
        </w:rPr>
        <w:t xml:space="preserve"> la sentencia y condena de la presunta víctima quedó firme en apelación directa el 9 de octubre de 1999, con una nueva audiencia denegada el 8 de diciembre de 1999.</w:t>
      </w:r>
      <w:r w:rsidRPr="0058501F">
        <w:rPr>
          <w:rStyle w:val="FootnoteReference"/>
          <w:rFonts w:ascii="Cambria" w:eastAsia="Cambria" w:hAnsi="Cambria"/>
          <w:color w:val="000000"/>
          <w:sz w:val="20"/>
          <w:szCs w:val="20"/>
          <w:u w:color="000000"/>
          <w:bdr w:val="nil"/>
          <w:lang w:val="es-ES_tradnl" w:eastAsia="es-ES"/>
        </w:rPr>
        <w:footnoteReference w:id="23"/>
      </w:r>
      <w:r w:rsidRPr="0058501F">
        <w:rPr>
          <w:rFonts w:ascii="Cambria" w:eastAsia="Cambria" w:hAnsi="Cambria" w:cs="Cambria"/>
          <w:color w:val="000000"/>
          <w:sz w:val="20"/>
          <w:szCs w:val="20"/>
          <w:u w:color="000000"/>
          <w:bdr w:val="nil"/>
          <w:lang w:val="es-ES_tradnl" w:eastAsia="es-ES"/>
        </w:rPr>
        <w:t xml:space="preserve"> La solicitud de auto de </w:t>
      </w:r>
      <w:proofErr w:type="spellStart"/>
      <w:r w:rsidRPr="0058501F">
        <w:rPr>
          <w:rFonts w:ascii="Cambria" w:eastAsia="Cambria" w:hAnsi="Cambria" w:cs="Cambria"/>
          <w:color w:val="000000"/>
          <w:sz w:val="20"/>
          <w:szCs w:val="20"/>
          <w:u w:color="000000"/>
          <w:bdr w:val="nil"/>
          <w:lang w:val="es-ES_tradnl" w:eastAsia="es-ES"/>
        </w:rPr>
        <w:t>certiorari</w:t>
      </w:r>
      <w:proofErr w:type="spellEnd"/>
      <w:r w:rsidRPr="0058501F">
        <w:rPr>
          <w:rFonts w:ascii="Cambria" w:eastAsia="Cambria" w:hAnsi="Cambria" w:cs="Cambria"/>
          <w:color w:val="000000"/>
          <w:sz w:val="20"/>
          <w:szCs w:val="20"/>
          <w:u w:color="000000"/>
          <w:bdr w:val="nil"/>
          <w:lang w:val="es-ES_tradnl" w:eastAsia="es-ES"/>
        </w:rPr>
        <w:t xml:space="preserve"> fue denegada el 2 de octubre de 2000</w:t>
      </w:r>
      <w:r w:rsidRPr="0058501F">
        <w:rPr>
          <w:rStyle w:val="FootnoteReference"/>
          <w:rFonts w:ascii="Cambria" w:eastAsia="Cambria" w:hAnsi="Cambria"/>
          <w:color w:val="000000"/>
          <w:sz w:val="20"/>
          <w:szCs w:val="20"/>
          <w:u w:color="000000"/>
          <w:bdr w:val="nil"/>
          <w:lang w:val="es-ES_tradnl" w:eastAsia="es-ES"/>
        </w:rPr>
        <w:footnoteReference w:id="24"/>
      </w:r>
      <w:r w:rsidRPr="0058501F">
        <w:rPr>
          <w:rFonts w:ascii="Cambria" w:eastAsia="Cambria" w:hAnsi="Cambria" w:cs="Cambria"/>
          <w:color w:val="000000"/>
          <w:sz w:val="20"/>
          <w:szCs w:val="20"/>
          <w:u w:color="000000"/>
          <w:bdr w:val="nil"/>
          <w:lang w:val="es-ES_tradnl" w:eastAsia="es-ES"/>
        </w:rPr>
        <w:t xml:space="preserve"> y la primera petición de hábeas corpus estatal fue denegada el 4 de abril de 2001.</w:t>
      </w:r>
      <w:r w:rsidRPr="0058501F">
        <w:rPr>
          <w:rStyle w:val="FootnoteReference"/>
          <w:rFonts w:ascii="Cambria" w:eastAsia="Cambria" w:hAnsi="Cambria"/>
          <w:color w:val="000000"/>
          <w:sz w:val="20"/>
          <w:szCs w:val="20"/>
          <w:u w:color="000000"/>
          <w:bdr w:val="nil"/>
          <w:lang w:val="es-ES_tradnl" w:eastAsia="es-ES"/>
        </w:rPr>
        <w:footnoteReference w:id="25"/>
      </w:r>
    </w:p>
    <w:p w14:paraId="0017B9B0" w14:textId="77777777" w:rsidR="00555669" w:rsidRPr="0058501F" w:rsidRDefault="00555669" w:rsidP="00470EC4">
      <w:pPr>
        <w:pBdr>
          <w:top w:val="nil"/>
          <w:left w:val="nil"/>
          <w:bottom w:val="nil"/>
          <w:right w:val="nil"/>
          <w:between w:val="nil"/>
          <w:bar w:val="nil"/>
        </w:pBdr>
        <w:tabs>
          <w:tab w:val="left" w:pos="450"/>
        </w:tabs>
        <w:spacing w:after="0" w:line="240" w:lineRule="auto"/>
        <w:jc w:val="both"/>
        <w:rPr>
          <w:rFonts w:ascii="Cambria" w:eastAsia="Cambria" w:hAnsi="Cambria" w:cs="Cambria"/>
          <w:color w:val="000000"/>
          <w:sz w:val="20"/>
          <w:szCs w:val="20"/>
          <w:u w:color="000000"/>
          <w:bdr w:val="nil"/>
          <w:lang w:val="es-ES_tradnl" w:eastAsia="es-ES"/>
        </w:rPr>
      </w:pPr>
    </w:p>
    <w:p w14:paraId="293B475E" w14:textId="77777777" w:rsidR="00555669" w:rsidRPr="0058501F" w:rsidRDefault="00555669" w:rsidP="00470EC4">
      <w:pPr>
        <w:numPr>
          <w:ilvl w:val="0"/>
          <w:numId w:val="1"/>
        </w:numPr>
        <w:pBdr>
          <w:top w:val="nil"/>
          <w:left w:val="nil"/>
          <w:bottom w:val="nil"/>
          <w:right w:val="nil"/>
          <w:between w:val="nil"/>
          <w:bar w:val="nil"/>
        </w:pBdr>
        <w:tabs>
          <w:tab w:val="left" w:pos="450"/>
        </w:tabs>
        <w:spacing w:after="0" w:line="240" w:lineRule="auto"/>
        <w:ind w:firstLine="0"/>
        <w:jc w:val="both"/>
        <w:rPr>
          <w:rFonts w:ascii="Cambria" w:eastAsia="Cambria" w:hAnsi="Cambria" w:cs="Cambria"/>
          <w:color w:val="000000"/>
          <w:sz w:val="20"/>
          <w:szCs w:val="20"/>
          <w:u w:color="000000"/>
          <w:bdr w:val="nil"/>
          <w:lang w:val="es-ES_tradnl" w:eastAsia="es-ES"/>
        </w:rPr>
      </w:pPr>
      <w:r w:rsidRPr="0058501F">
        <w:rPr>
          <w:rFonts w:ascii="Cambria" w:eastAsia="Cambria" w:hAnsi="Cambria" w:cs="Cambria"/>
          <w:color w:val="000000"/>
          <w:sz w:val="20"/>
          <w:szCs w:val="20"/>
          <w:u w:color="000000"/>
          <w:bdr w:val="nil"/>
          <w:lang w:val="es-ES_tradnl" w:eastAsia="es-ES"/>
        </w:rPr>
        <w:t>Tras la decisión de la Corte Suprema de los Estados Unidos en Atkins (2002),</w:t>
      </w:r>
      <w:r w:rsidRPr="0058501F">
        <w:rPr>
          <w:rStyle w:val="FootnoteReference"/>
          <w:rFonts w:ascii="Cambria" w:eastAsia="Cambria" w:hAnsi="Cambria"/>
          <w:color w:val="000000"/>
          <w:sz w:val="20"/>
          <w:szCs w:val="20"/>
          <w:u w:color="000000"/>
          <w:bdr w:val="nil"/>
          <w:lang w:val="es-ES_tradnl" w:eastAsia="es-ES"/>
        </w:rPr>
        <w:footnoteReference w:id="26"/>
      </w:r>
      <w:r w:rsidRPr="0058501F">
        <w:rPr>
          <w:rFonts w:ascii="Cambria" w:eastAsia="Cambria" w:hAnsi="Cambria" w:cs="Cambria"/>
          <w:color w:val="000000"/>
          <w:sz w:val="20"/>
          <w:szCs w:val="20"/>
          <w:u w:color="000000"/>
          <w:bdr w:val="nil"/>
          <w:lang w:val="es-ES_tradnl" w:eastAsia="es-ES"/>
        </w:rPr>
        <w:t xml:space="preserve"> el Sr. Ibarra posteriormente presentó una solicitud de recurso de hábeas corpus que se suspendió mientras agotaba las reclamaciones adicionales de los tribunales estatales de conformidad con la decisión de Atkins (2002). Su petición se pospuso aún más mientras perseguía las demandas de los tribunales estatales tras el anuncio del presidente Bush de que los tribunales estatales de Estados Unidos darían efecto al fallo en el 'caso Avena', una opinión de la Corte Internacional de Justicia (CIJ) que declaraba que los ciudadanos mexicanos tenían derecho a revisar y reconsiderar sus condenas por incumplimiento de la VCCR por parte de los Estados, requiriéndoles informar a estos imputados de su derecho a comunicarse con el consulado mexicano.</w:t>
      </w:r>
      <w:r w:rsidRPr="0058501F">
        <w:rPr>
          <w:rStyle w:val="FootnoteReference"/>
          <w:rFonts w:ascii="Cambria" w:eastAsia="Cambria" w:hAnsi="Cambria"/>
          <w:color w:val="000000"/>
          <w:sz w:val="20"/>
          <w:szCs w:val="20"/>
          <w:u w:color="000000"/>
          <w:bdr w:val="nil"/>
          <w:lang w:val="es-ES_tradnl" w:eastAsia="es-ES"/>
        </w:rPr>
        <w:footnoteReference w:id="27"/>
      </w:r>
    </w:p>
    <w:p w14:paraId="622D9DFD" w14:textId="77777777" w:rsidR="00555669" w:rsidRPr="0058501F" w:rsidRDefault="00555669" w:rsidP="00470EC4">
      <w:pPr>
        <w:pBdr>
          <w:top w:val="nil"/>
          <w:left w:val="nil"/>
          <w:bottom w:val="nil"/>
          <w:right w:val="nil"/>
          <w:between w:val="nil"/>
          <w:bar w:val="nil"/>
        </w:pBdr>
        <w:tabs>
          <w:tab w:val="left" w:pos="450"/>
        </w:tabs>
        <w:spacing w:after="0" w:line="240" w:lineRule="auto"/>
        <w:jc w:val="both"/>
        <w:rPr>
          <w:rFonts w:ascii="Cambria" w:eastAsia="Cambria" w:hAnsi="Cambria" w:cs="Cambria"/>
          <w:color w:val="000000"/>
          <w:sz w:val="20"/>
          <w:szCs w:val="20"/>
          <w:u w:color="000000"/>
          <w:bdr w:val="nil"/>
          <w:lang w:val="es-ES_tradnl" w:eastAsia="es-ES"/>
        </w:rPr>
      </w:pPr>
    </w:p>
    <w:p w14:paraId="0B12ED46" w14:textId="77777777" w:rsidR="00555669" w:rsidRPr="0058501F" w:rsidRDefault="00555669" w:rsidP="00470EC4">
      <w:pPr>
        <w:numPr>
          <w:ilvl w:val="0"/>
          <w:numId w:val="1"/>
        </w:numPr>
        <w:pBdr>
          <w:top w:val="nil"/>
          <w:left w:val="nil"/>
          <w:bottom w:val="nil"/>
          <w:right w:val="nil"/>
          <w:between w:val="nil"/>
          <w:bar w:val="nil"/>
        </w:pBdr>
        <w:tabs>
          <w:tab w:val="left" w:pos="450"/>
        </w:tabs>
        <w:spacing w:after="0" w:line="240" w:lineRule="auto"/>
        <w:ind w:firstLine="0"/>
        <w:jc w:val="both"/>
        <w:rPr>
          <w:rFonts w:ascii="Cambria" w:eastAsia="Cambria" w:hAnsi="Cambria" w:cs="Cambria"/>
          <w:color w:val="000000"/>
          <w:sz w:val="20"/>
          <w:szCs w:val="20"/>
          <w:u w:color="000000"/>
          <w:bdr w:val="nil"/>
          <w:lang w:val="es-ES_tradnl" w:eastAsia="es-ES"/>
        </w:rPr>
      </w:pPr>
      <w:r w:rsidRPr="0058501F">
        <w:rPr>
          <w:rFonts w:ascii="Cambria" w:eastAsia="Cambria" w:hAnsi="Cambria" w:cs="Cambria"/>
          <w:color w:val="000000"/>
          <w:sz w:val="20"/>
          <w:szCs w:val="20"/>
          <w:u w:color="000000"/>
          <w:bdr w:val="nil"/>
          <w:lang w:val="es-ES_tradnl" w:eastAsia="es-ES"/>
        </w:rPr>
        <w:t>Como lo señaló el tribunal,</w:t>
      </w:r>
      <w:r w:rsidRPr="0058501F">
        <w:rPr>
          <w:rStyle w:val="FootnoteReference"/>
          <w:rFonts w:ascii="Cambria" w:eastAsia="Cambria" w:hAnsi="Cambria"/>
          <w:color w:val="000000"/>
          <w:sz w:val="20"/>
          <w:szCs w:val="20"/>
          <w:u w:color="000000"/>
          <w:bdr w:val="nil"/>
          <w:lang w:val="es-ES_tradnl" w:eastAsia="es-ES"/>
        </w:rPr>
        <w:footnoteReference w:id="28"/>
      </w:r>
      <w:r w:rsidRPr="0058501F">
        <w:rPr>
          <w:rFonts w:ascii="Cambria" w:eastAsia="Cambria" w:hAnsi="Cambria" w:cs="Cambria"/>
          <w:color w:val="000000"/>
          <w:sz w:val="20"/>
          <w:szCs w:val="20"/>
          <w:u w:color="000000"/>
          <w:bdr w:val="nil"/>
          <w:lang w:val="es-ES_tradnl" w:eastAsia="es-ES"/>
        </w:rPr>
        <w:t xml:space="preserve"> el Tribunal Penal de Apelaciones de Texas remitió el reclamo de Atkins de la presunta víctima al tribunal de primera instancia para una audiencia probatoria que estaba programada para septiembre de 2006. La defensa presentó una declaración jurada firmada por la Dra. Carol M. Romney, una psicóloga clínica con licencia, que concluyó que el </w:t>
      </w:r>
      <w:r w:rsidR="00DD040D" w:rsidRPr="0058501F">
        <w:rPr>
          <w:rFonts w:ascii="Cambria" w:eastAsia="Cambria" w:hAnsi="Cambria" w:cs="Cambria"/>
          <w:color w:val="000000"/>
          <w:sz w:val="20"/>
          <w:szCs w:val="20"/>
          <w:u w:color="000000"/>
          <w:bdr w:val="nil"/>
          <w:lang w:val="es-ES_tradnl" w:eastAsia="es-ES"/>
        </w:rPr>
        <w:t>Sr.</w:t>
      </w:r>
      <w:r w:rsidRPr="0058501F">
        <w:rPr>
          <w:rFonts w:ascii="Cambria" w:eastAsia="Cambria" w:hAnsi="Cambria" w:cs="Cambria"/>
          <w:color w:val="000000"/>
          <w:sz w:val="20"/>
          <w:szCs w:val="20"/>
          <w:u w:color="000000"/>
          <w:bdr w:val="nil"/>
          <w:lang w:val="es-ES_tradnl" w:eastAsia="es-ES"/>
        </w:rPr>
        <w:t xml:space="preserve"> Ibarra “tiene retraso mental” luego de que se le realizaron dos exámenes psicológicos el 9 y 10 de junio de 2003. Una prueba de desarrollo intelectual reveló un coeficiente intelectual de 65 en escala completa, que el Sr. Ibarra exhibía nivel difuso de déficits cognitivos”, sus habilidades para la resolución de problemas eran “confusas “y mostró una “capacidad deteriorada para la secuenciación”.</w:t>
      </w:r>
      <w:r w:rsidRPr="0058501F">
        <w:rPr>
          <w:rStyle w:val="FootnoteReference"/>
          <w:rFonts w:ascii="Cambria" w:eastAsia="Cambria" w:hAnsi="Cambria"/>
          <w:color w:val="000000"/>
          <w:sz w:val="20"/>
          <w:szCs w:val="20"/>
          <w:u w:color="000000"/>
          <w:bdr w:val="nil"/>
          <w:lang w:val="es-ES_tradnl" w:eastAsia="es-ES"/>
        </w:rPr>
        <w:footnoteReference w:id="29"/>
      </w:r>
    </w:p>
    <w:p w14:paraId="70253B4B" w14:textId="77777777" w:rsidR="00555669" w:rsidRPr="0058501F" w:rsidRDefault="00555669" w:rsidP="00470EC4">
      <w:pPr>
        <w:pBdr>
          <w:top w:val="nil"/>
          <w:left w:val="nil"/>
          <w:bottom w:val="nil"/>
          <w:right w:val="nil"/>
          <w:between w:val="nil"/>
          <w:bar w:val="nil"/>
        </w:pBdr>
        <w:tabs>
          <w:tab w:val="left" w:pos="450"/>
        </w:tabs>
        <w:spacing w:after="0" w:line="240" w:lineRule="auto"/>
        <w:jc w:val="both"/>
        <w:rPr>
          <w:rFonts w:ascii="Cambria" w:eastAsia="Cambria" w:hAnsi="Cambria" w:cs="Cambria"/>
          <w:color w:val="000000"/>
          <w:sz w:val="20"/>
          <w:szCs w:val="20"/>
          <w:u w:color="000000"/>
          <w:bdr w:val="nil"/>
          <w:lang w:val="es-ES_tradnl" w:eastAsia="es-ES"/>
        </w:rPr>
      </w:pPr>
    </w:p>
    <w:p w14:paraId="5F60942C" w14:textId="77777777" w:rsidR="00555669" w:rsidRPr="0058501F" w:rsidRDefault="00555669" w:rsidP="00470EC4">
      <w:pPr>
        <w:numPr>
          <w:ilvl w:val="0"/>
          <w:numId w:val="1"/>
        </w:numPr>
        <w:pBdr>
          <w:top w:val="nil"/>
          <w:left w:val="nil"/>
          <w:bottom w:val="nil"/>
          <w:right w:val="nil"/>
          <w:between w:val="nil"/>
          <w:bar w:val="nil"/>
        </w:pBdr>
        <w:tabs>
          <w:tab w:val="left" w:pos="450"/>
        </w:tabs>
        <w:spacing w:after="0" w:line="240" w:lineRule="auto"/>
        <w:ind w:firstLine="0"/>
        <w:jc w:val="both"/>
        <w:rPr>
          <w:rFonts w:ascii="Cambria" w:eastAsia="Cambria" w:hAnsi="Cambria" w:cs="Cambria"/>
          <w:color w:val="000000"/>
          <w:sz w:val="20"/>
          <w:szCs w:val="20"/>
          <w:u w:color="000000"/>
          <w:bdr w:val="nil"/>
          <w:lang w:val="es-ES_tradnl" w:eastAsia="es-ES"/>
        </w:rPr>
      </w:pPr>
      <w:r w:rsidRPr="0058501F">
        <w:rPr>
          <w:rFonts w:ascii="Cambria" w:eastAsia="Cambria" w:hAnsi="Cambria" w:cs="Cambria"/>
          <w:color w:val="000000"/>
          <w:sz w:val="20"/>
          <w:szCs w:val="20"/>
          <w:u w:color="000000"/>
          <w:bdr w:val="nil"/>
          <w:lang w:val="es-ES_tradnl" w:eastAsia="es-ES"/>
        </w:rPr>
        <w:lastRenderedPageBreak/>
        <w:t>La declaración jurada fue declarada inadmisible por no haber sido certificada ante escribano. La Dra. Romney hizo la siguiente anotación al final de la declaración jurada:</w:t>
      </w:r>
      <w:r w:rsidRPr="0058501F">
        <w:rPr>
          <w:rStyle w:val="FootnoteReference"/>
          <w:rFonts w:ascii="Cambria" w:eastAsia="Cambria" w:hAnsi="Cambria"/>
          <w:color w:val="000000"/>
          <w:sz w:val="20"/>
          <w:szCs w:val="20"/>
          <w:u w:color="000000"/>
          <w:bdr w:val="nil"/>
          <w:lang w:val="es-ES_tradnl" w:eastAsia="es-ES"/>
        </w:rPr>
        <w:footnoteReference w:id="30"/>
      </w:r>
    </w:p>
    <w:p w14:paraId="1721336E" w14:textId="77777777" w:rsidR="00555669" w:rsidRPr="0058501F" w:rsidRDefault="00555669" w:rsidP="00555669">
      <w:pPr>
        <w:pBdr>
          <w:top w:val="nil"/>
          <w:left w:val="nil"/>
          <w:bottom w:val="nil"/>
          <w:right w:val="nil"/>
          <w:between w:val="nil"/>
          <w:bar w:val="nil"/>
        </w:pBdr>
        <w:spacing w:after="0" w:line="240" w:lineRule="auto"/>
        <w:ind w:left="720"/>
        <w:jc w:val="both"/>
        <w:rPr>
          <w:rFonts w:ascii="Cambria" w:eastAsia="Cambria" w:hAnsi="Cambria" w:cs="Cambria"/>
          <w:color w:val="000000"/>
          <w:sz w:val="20"/>
          <w:szCs w:val="20"/>
          <w:u w:color="000000"/>
          <w:bdr w:val="nil"/>
          <w:lang w:val="es-ES_tradnl" w:eastAsia="es-ES"/>
        </w:rPr>
      </w:pPr>
    </w:p>
    <w:p w14:paraId="6FBEB576" w14:textId="77777777" w:rsidR="00555669" w:rsidRPr="0058501F" w:rsidRDefault="00555669" w:rsidP="00555669">
      <w:pPr>
        <w:pBdr>
          <w:top w:val="nil"/>
          <w:left w:val="nil"/>
          <w:bottom w:val="nil"/>
          <w:right w:val="nil"/>
          <w:between w:val="nil"/>
          <w:bar w:val="nil"/>
        </w:pBdr>
        <w:spacing w:after="0" w:line="240" w:lineRule="auto"/>
        <w:ind w:left="720"/>
        <w:jc w:val="both"/>
        <w:rPr>
          <w:rFonts w:ascii="Cambria" w:eastAsia="Cambria" w:hAnsi="Cambria" w:cs="Cambria"/>
          <w:color w:val="000000"/>
          <w:sz w:val="20"/>
          <w:szCs w:val="20"/>
          <w:u w:color="000000"/>
          <w:bdr w:val="nil"/>
          <w:lang w:val="es-ES_tradnl" w:eastAsia="es-ES"/>
        </w:rPr>
      </w:pPr>
      <w:r w:rsidRPr="0058501F">
        <w:rPr>
          <w:rFonts w:ascii="Cambria" w:eastAsia="Cambria" w:hAnsi="Cambria" w:cs="Cambria"/>
          <w:color w:val="000000"/>
          <w:sz w:val="20"/>
          <w:szCs w:val="20"/>
          <w:u w:color="000000"/>
          <w:bdr w:val="nil"/>
          <w:lang w:val="es-ES_tradnl" w:eastAsia="es-ES"/>
        </w:rPr>
        <w:t>“Este documento no está certificado porque el abogado del Sr. Ibarra me solicitó que presente una declaración jurada el viernes 15 de septiembre de 2006. No pude comunicarme con un escribano público durante el fin de semana. Una declaración jurada firmada y certificada sustituirá a esta declaración en la primera oportunidad disponible ".</w:t>
      </w:r>
    </w:p>
    <w:p w14:paraId="02445A0B" w14:textId="77777777" w:rsidR="00555669" w:rsidRPr="0058501F" w:rsidRDefault="00555669" w:rsidP="00555669">
      <w:pPr>
        <w:pBdr>
          <w:top w:val="nil"/>
          <w:left w:val="nil"/>
          <w:bottom w:val="nil"/>
          <w:right w:val="nil"/>
          <w:between w:val="nil"/>
          <w:bar w:val="nil"/>
        </w:pBdr>
        <w:spacing w:after="0" w:line="240" w:lineRule="auto"/>
        <w:ind w:left="720"/>
        <w:jc w:val="both"/>
        <w:rPr>
          <w:rFonts w:ascii="Cambria" w:eastAsia="Cambria" w:hAnsi="Cambria" w:cs="Cambria"/>
          <w:color w:val="000000"/>
          <w:sz w:val="20"/>
          <w:szCs w:val="20"/>
          <w:u w:color="000000"/>
          <w:bdr w:val="nil"/>
          <w:lang w:val="es-ES_tradnl" w:eastAsia="es-ES"/>
        </w:rPr>
      </w:pPr>
    </w:p>
    <w:p w14:paraId="133F1A50" w14:textId="77777777" w:rsidR="00555669" w:rsidRPr="0058501F" w:rsidRDefault="00555669" w:rsidP="00470EC4">
      <w:pPr>
        <w:numPr>
          <w:ilvl w:val="0"/>
          <w:numId w:val="1"/>
        </w:numPr>
        <w:pBdr>
          <w:top w:val="nil"/>
          <w:left w:val="nil"/>
          <w:bottom w:val="nil"/>
          <w:right w:val="nil"/>
          <w:between w:val="nil"/>
          <w:bar w:val="nil"/>
        </w:pBdr>
        <w:tabs>
          <w:tab w:val="clear" w:pos="720"/>
          <w:tab w:val="num" w:pos="450"/>
        </w:tabs>
        <w:spacing w:after="0" w:line="240" w:lineRule="auto"/>
        <w:ind w:firstLine="0"/>
        <w:jc w:val="both"/>
        <w:rPr>
          <w:rFonts w:ascii="Cambria" w:eastAsia="Cambria" w:hAnsi="Cambria" w:cs="Cambria"/>
          <w:color w:val="000000"/>
          <w:sz w:val="20"/>
          <w:szCs w:val="20"/>
          <w:u w:color="000000"/>
          <w:bdr w:val="nil"/>
          <w:lang w:val="es-ES_tradnl" w:eastAsia="es-ES"/>
        </w:rPr>
      </w:pPr>
      <w:r w:rsidRPr="0058501F">
        <w:rPr>
          <w:rFonts w:ascii="Cambria" w:eastAsia="Cambria" w:hAnsi="Cambria" w:cs="Cambria"/>
          <w:color w:val="000000"/>
          <w:sz w:val="20"/>
          <w:szCs w:val="20"/>
          <w:u w:color="000000"/>
          <w:bdr w:val="nil"/>
          <w:lang w:val="es-ES_tradnl" w:eastAsia="es-ES"/>
        </w:rPr>
        <w:t xml:space="preserve">El tribunal de primera instancia determinó que el Sr. Ibarra no tenía una discapacidad mental basándose, entre otras cosas, en la opinión del Dr. Stephen Mark, quien no había encontrado evidencia de discapacidad mental después de dos exámenes al Sr. Ibarra. Esta decisión fue adoptada en apelación por el Tribunal Penal de Apelaciones de Texas. En la misma orden, el Tribunal Penal de Apelaciones de Texas desestimó su petición separada de reparación en virtud del reclamo de Avena, por motivos de procedimiento, al considerar que el fallo de la CIJ no constituía una base para una petición de hábeas corpus sucesiva según la ley estatal. Posteriormente, el Tribunal </w:t>
      </w:r>
      <w:r w:rsidR="00C5469C" w:rsidRPr="0058501F">
        <w:rPr>
          <w:rFonts w:ascii="Cambria" w:eastAsia="Cambria" w:hAnsi="Cambria" w:cs="Cambria"/>
          <w:color w:val="000000"/>
          <w:sz w:val="20"/>
          <w:szCs w:val="20"/>
          <w:u w:color="000000"/>
          <w:bdr w:val="nil"/>
          <w:lang w:val="es-ES_tradnl" w:eastAsia="es-ES"/>
        </w:rPr>
        <w:t xml:space="preserve">Penal </w:t>
      </w:r>
      <w:r w:rsidRPr="0058501F">
        <w:rPr>
          <w:rFonts w:ascii="Cambria" w:eastAsia="Cambria" w:hAnsi="Cambria" w:cs="Cambria"/>
          <w:color w:val="000000"/>
          <w:sz w:val="20"/>
          <w:szCs w:val="20"/>
          <w:u w:color="000000"/>
          <w:bdr w:val="nil"/>
          <w:lang w:val="es-ES_tradnl" w:eastAsia="es-ES"/>
        </w:rPr>
        <w:t>de Apelaciones desestimó el segundo y tercer recurso de hábeas corpus el 26 de septiembre de 2007.</w:t>
      </w:r>
      <w:r w:rsidR="00C5469C" w:rsidRPr="0058501F">
        <w:rPr>
          <w:rStyle w:val="FootnoteReference"/>
          <w:rFonts w:ascii="Cambria" w:eastAsia="Cambria" w:hAnsi="Cambria"/>
          <w:color w:val="000000"/>
          <w:sz w:val="20"/>
          <w:szCs w:val="20"/>
          <w:u w:color="000000"/>
          <w:bdr w:val="nil"/>
          <w:lang w:val="es-ES_tradnl" w:eastAsia="es-ES"/>
        </w:rPr>
        <w:footnoteReference w:id="31"/>
      </w:r>
      <w:r w:rsidRPr="0058501F">
        <w:rPr>
          <w:rFonts w:ascii="Cambria" w:eastAsia="Cambria" w:hAnsi="Cambria" w:cs="Cambria"/>
          <w:color w:val="000000"/>
          <w:sz w:val="20"/>
          <w:szCs w:val="20"/>
          <w:u w:color="000000"/>
          <w:bdr w:val="nil"/>
          <w:lang w:val="es-ES_tradnl" w:eastAsia="es-ES"/>
        </w:rPr>
        <w:t xml:space="preserve"> La solicitud de </w:t>
      </w:r>
      <w:proofErr w:type="spellStart"/>
      <w:r w:rsidRPr="0058501F">
        <w:rPr>
          <w:rFonts w:ascii="Cambria" w:eastAsia="Cambria" w:hAnsi="Cambria" w:cs="Cambria"/>
          <w:color w:val="000000"/>
          <w:sz w:val="20"/>
          <w:szCs w:val="20"/>
          <w:u w:color="000000"/>
          <w:bdr w:val="nil"/>
          <w:lang w:val="es-ES_tradnl" w:eastAsia="es-ES"/>
        </w:rPr>
        <w:t>certiorari</w:t>
      </w:r>
      <w:proofErr w:type="spellEnd"/>
      <w:r w:rsidRPr="0058501F">
        <w:rPr>
          <w:rFonts w:ascii="Cambria" w:eastAsia="Cambria" w:hAnsi="Cambria" w:cs="Cambria"/>
          <w:color w:val="000000"/>
          <w:sz w:val="20"/>
          <w:szCs w:val="20"/>
          <w:u w:color="000000"/>
          <w:bdr w:val="nil"/>
          <w:lang w:val="es-ES_tradnl" w:eastAsia="es-ES"/>
        </w:rPr>
        <w:t xml:space="preserve"> del </w:t>
      </w:r>
      <w:r w:rsidR="00C5469C" w:rsidRPr="0058501F">
        <w:rPr>
          <w:rFonts w:ascii="Cambria" w:eastAsia="Cambria" w:hAnsi="Cambria" w:cs="Cambria"/>
          <w:color w:val="000000"/>
          <w:sz w:val="20"/>
          <w:szCs w:val="20"/>
          <w:u w:color="000000"/>
          <w:bdr w:val="nil"/>
          <w:lang w:val="es-ES_tradnl" w:eastAsia="es-ES"/>
        </w:rPr>
        <w:t>Sr.</w:t>
      </w:r>
      <w:r w:rsidRPr="0058501F">
        <w:rPr>
          <w:rFonts w:ascii="Cambria" w:eastAsia="Cambria" w:hAnsi="Cambria" w:cs="Cambria"/>
          <w:color w:val="000000"/>
          <w:sz w:val="20"/>
          <w:szCs w:val="20"/>
          <w:u w:color="000000"/>
          <w:bdr w:val="nil"/>
          <w:lang w:val="es-ES_tradnl" w:eastAsia="es-ES"/>
        </w:rPr>
        <w:t xml:space="preserve"> Ibarra sobre su demanda de Avena fue denegada posteriormente el 19 de mayo de 2008.</w:t>
      </w:r>
    </w:p>
    <w:p w14:paraId="76E11906" w14:textId="77777777" w:rsidR="00C5469C" w:rsidRPr="0058501F" w:rsidRDefault="00C5469C" w:rsidP="00470EC4">
      <w:pPr>
        <w:pBdr>
          <w:top w:val="nil"/>
          <w:left w:val="nil"/>
          <w:bottom w:val="nil"/>
          <w:right w:val="nil"/>
          <w:between w:val="nil"/>
          <w:bar w:val="nil"/>
        </w:pBdr>
        <w:tabs>
          <w:tab w:val="num" w:pos="450"/>
        </w:tabs>
        <w:spacing w:after="0" w:line="240" w:lineRule="auto"/>
        <w:ind w:left="720"/>
        <w:jc w:val="both"/>
        <w:rPr>
          <w:rFonts w:ascii="Cambria" w:eastAsia="Cambria" w:hAnsi="Cambria" w:cs="Cambria"/>
          <w:color w:val="000000"/>
          <w:sz w:val="20"/>
          <w:szCs w:val="20"/>
          <w:u w:color="000000"/>
          <w:bdr w:val="nil"/>
          <w:lang w:val="es-ES_tradnl" w:eastAsia="es-ES"/>
        </w:rPr>
      </w:pPr>
    </w:p>
    <w:p w14:paraId="3489E13C" w14:textId="77777777" w:rsidR="00C5469C" w:rsidRPr="0058501F" w:rsidRDefault="00C5469C" w:rsidP="00470EC4">
      <w:pPr>
        <w:numPr>
          <w:ilvl w:val="0"/>
          <w:numId w:val="1"/>
        </w:numPr>
        <w:pBdr>
          <w:top w:val="nil"/>
          <w:left w:val="nil"/>
          <w:bottom w:val="nil"/>
          <w:right w:val="nil"/>
          <w:between w:val="nil"/>
          <w:bar w:val="nil"/>
        </w:pBdr>
        <w:tabs>
          <w:tab w:val="clear" w:pos="720"/>
          <w:tab w:val="num" w:pos="450"/>
        </w:tabs>
        <w:spacing w:after="0" w:line="240" w:lineRule="auto"/>
        <w:ind w:firstLine="0"/>
        <w:jc w:val="both"/>
        <w:rPr>
          <w:rFonts w:ascii="Cambria" w:eastAsia="Cambria" w:hAnsi="Cambria" w:cs="Cambria"/>
          <w:color w:val="000000"/>
          <w:sz w:val="20"/>
          <w:szCs w:val="20"/>
          <w:u w:color="000000"/>
          <w:bdr w:val="nil"/>
          <w:lang w:val="es-ES_tradnl" w:eastAsia="es-ES"/>
        </w:rPr>
      </w:pPr>
      <w:r w:rsidRPr="0058501F">
        <w:rPr>
          <w:rFonts w:ascii="Cambria" w:eastAsia="Cambria" w:hAnsi="Cambria" w:cs="Cambria"/>
          <w:color w:val="000000"/>
          <w:sz w:val="20"/>
          <w:szCs w:val="20"/>
          <w:u w:color="000000"/>
          <w:bdr w:val="nil"/>
          <w:lang w:val="es-ES_tradnl" w:eastAsia="es-ES"/>
        </w:rPr>
        <w:t>De acuerdo con el historial procesal delineado por el tribunal,</w:t>
      </w:r>
      <w:r w:rsidRPr="0058501F">
        <w:rPr>
          <w:rStyle w:val="FootnoteReference"/>
          <w:rFonts w:ascii="Cambria" w:eastAsia="Cambria" w:hAnsi="Cambria"/>
          <w:color w:val="000000"/>
          <w:sz w:val="20"/>
          <w:szCs w:val="20"/>
          <w:u w:color="000000"/>
          <w:bdr w:val="nil"/>
          <w:lang w:val="es-ES_tradnl" w:eastAsia="es-ES"/>
        </w:rPr>
        <w:footnoteReference w:id="32"/>
      </w:r>
      <w:r w:rsidRPr="0058501F">
        <w:rPr>
          <w:rFonts w:ascii="Cambria" w:eastAsia="Cambria" w:hAnsi="Cambria" w:cs="Cambria"/>
          <w:color w:val="000000"/>
          <w:sz w:val="20"/>
          <w:szCs w:val="20"/>
          <w:u w:color="000000"/>
          <w:bdr w:val="nil"/>
          <w:lang w:val="es-ES_tradnl" w:eastAsia="es-ES"/>
        </w:rPr>
        <w:t xml:space="preserve"> una petición de hábeas en el cuarto estado, en la que se alegaba que su abogado fue ineficaz, basándose en la opinión de </w:t>
      </w:r>
      <w:proofErr w:type="spellStart"/>
      <w:r w:rsidRPr="0058501F">
        <w:rPr>
          <w:rFonts w:ascii="Cambria" w:eastAsia="Cambria" w:hAnsi="Cambria" w:cs="Cambria"/>
          <w:color w:val="000000"/>
          <w:sz w:val="20"/>
          <w:szCs w:val="20"/>
          <w:u w:color="000000"/>
          <w:bdr w:val="nil"/>
          <w:lang w:val="es-ES_tradnl" w:eastAsia="es-ES"/>
        </w:rPr>
        <w:t>Wiggins</w:t>
      </w:r>
      <w:proofErr w:type="spellEnd"/>
      <w:r w:rsidRPr="0058501F">
        <w:rPr>
          <w:rFonts w:ascii="Cambria" w:eastAsia="Cambria" w:hAnsi="Cambria" w:cs="Cambria"/>
          <w:color w:val="000000"/>
          <w:sz w:val="20"/>
          <w:szCs w:val="20"/>
          <w:u w:color="000000"/>
          <w:bdr w:val="nil"/>
          <w:lang w:val="es-ES_tradnl" w:eastAsia="es-ES"/>
        </w:rPr>
        <w:t xml:space="preserve"> v. Smith,</w:t>
      </w:r>
      <w:r w:rsidRPr="0058501F">
        <w:rPr>
          <w:rStyle w:val="FootnoteReference"/>
          <w:rFonts w:ascii="Cambria" w:eastAsia="Cambria" w:hAnsi="Cambria"/>
          <w:color w:val="000000"/>
          <w:sz w:val="20"/>
          <w:szCs w:val="20"/>
          <w:u w:color="000000"/>
          <w:bdr w:val="nil"/>
          <w:lang w:val="es-ES_tradnl" w:eastAsia="es-ES"/>
        </w:rPr>
        <w:footnoteReference w:id="33"/>
      </w:r>
      <w:r w:rsidRPr="0058501F">
        <w:rPr>
          <w:rFonts w:ascii="Cambria" w:eastAsia="Cambria" w:hAnsi="Cambria" w:cs="Cambria"/>
          <w:color w:val="000000"/>
          <w:sz w:val="20"/>
          <w:szCs w:val="20"/>
          <w:u w:color="000000"/>
          <w:bdr w:val="nil"/>
          <w:lang w:val="es-ES_tradnl" w:eastAsia="es-ES"/>
        </w:rPr>
        <w:t xml:space="preserve"> también fue desestimada por el Tribunal Penal de Apelaciones de Texas el 1 de octubre de 2008, como abuso de esta acción. Según el expediente judicial,</w:t>
      </w:r>
      <w:r w:rsidRPr="0058501F">
        <w:rPr>
          <w:rStyle w:val="FootnoteReference"/>
          <w:rFonts w:ascii="Cambria" w:eastAsia="Cambria" w:hAnsi="Cambria"/>
          <w:color w:val="000000"/>
          <w:sz w:val="20"/>
          <w:szCs w:val="20"/>
          <w:u w:color="000000"/>
          <w:bdr w:val="nil"/>
          <w:lang w:val="es-ES_tradnl" w:eastAsia="es-ES"/>
        </w:rPr>
        <w:footnoteReference w:id="34"/>
      </w:r>
      <w:r w:rsidRPr="0058501F">
        <w:rPr>
          <w:rFonts w:ascii="Cambria" w:eastAsia="Cambria" w:hAnsi="Cambria" w:cs="Cambria"/>
          <w:color w:val="000000"/>
          <w:sz w:val="20"/>
          <w:szCs w:val="20"/>
          <w:u w:color="000000"/>
          <w:bdr w:val="nil"/>
          <w:lang w:val="es-ES_tradnl" w:eastAsia="es-ES"/>
        </w:rPr>
        <w:t xml:space="preserve"> el Sr. Ibarra sostuvo que “su abogado litigante fue ineficaz en su investigación, desarrollo y presentación de pruebas atenuantes, así como en el desarrollo de pruebas de refutación de los factores agravantes del estado en la sentencia” en violación de la Sexta Enmienda y decisión de </w:t>
      </w:r>
      <w:proofErr w:type="spellStart"/>
      <w:r w:rsidRPr="0058501F">
        <w:rPr>
          <w:rFonts w:ascii="Cambria" w:eastAsia="Cambria" w:hAnsi="Cambria" w:cs="Cambria"/>
          <w:color w:val="000000"/>
          <w:sz w:val="20"/>
          <w:szCs w:val="20"/>
          <w:u w:color="000000"/>
          <w:bdr w:val="nil"/>
          <w:lang w:val="es-ES_tradnl" w:eastAsia="es-ES"/>
        </w:rPr>
        <w:t>Wiggins</w:t>
      </w:r>
      <w:proofErr w:type="spellEnd"/>
      <w:r w:rsidRPr="0058501F">
        <w:rPr>
          <w:rFonts w:ascii="Cambria" w:eastAsia="Cambria" w:hAnsi="Cambria" w:cs="Cambria"/>
          <w:color w:val="000000"/>
          <w:sz w:val="20"/>
          <w:szCs w:val="20"/>
          <w:u w:color="000000"/>
          <w:bdr w:val="nil"/>
          <w:lang w:val="es-ES_tradnl" w:eastAsia="es-ES"/>
        </w:rPr>
        <w:t>.</w:t>
      </w:r>
    </w:p>
    <w:p w14:paraId="28927D8F" w14:textId="77777777" w:rsidR="00C5469C" w:rsidRPr="0058501F" w:rsidRDefault="00C5469C" w:rsidP="00470EC4">
      <w:pPr>
        <w:pBdr>
          <w:top w:val="nil"/>
          <w:left w:val="nil"/>
          <w:bottom w:val="nil"/>
          <w:right w:val="nil"/>
          <w:between w:val="nil"/>
          <w:bar w:val="nil"/>
        </w:pBdr>
        <w:tabs>
          <w:tab w:val="num" w:pos="450"/>
        </w:tabs>
        <w:spacing w:after="0" w:line="240" w:lineRule="auto"/>
        <w:jc w:val="both"/>
        <w:rPr>
          <w:rFonts w:ascii="Cambria" w:eastAsia="Cambria" w:hAnsi="Cambria" w:cs="Cambria"/>
          <w:color w:val="000000"/>
          <w:sz w:val="20"/>
          <w:szCs w:val="20"/>
          <w:u w:color="000000"/>
          <w:bdr w:val="nil"/>
          <w:lang w:val="es-ES_tradnl" w:eastAsia="es-ES"/>
        </w:rPr>
      </w:pPr>
    </w:p>
    <w:p w14:paraId="16E7AAB9" w14:textId="77777777" w:rsidR="00C5469C" w:rsidRPr="0058501F" w:rsidRDefault="00C5469C" w:rsidP="00470EC4">
      <w:pPr>
        <w:numPr>
          <w:ilvl w:val="0"/>
          <w:numId w:val="1"/>
        </w:numPr>
        <w:pBdr>
          <w:top w:val="nil"/>
          <w:left w:val="nil"/>
          <w:bottom w:val="nil"/>
          <w:right w:val="nil"/>
          <w:between w:val="nil"/>
          <w:bar w:val="nil"/>
        </w:pBdr>
        <w:tabs>
          <w:tab w:val="clear" w:pos="720"/>
          <w:tab w:val="num" w:pos="450"/>
        </w:tabs>
        <w:spacing w:after="0" w:line="240" w:lineRule="auto"/>
        <w:ind w:firstLine="0"/>
        <w:jc w:val="both"/>
        <w:rPr>
          <w:rFonts w:ascii="Cambria" w:eastAsia="Cambria" w:hAnsi="Cambria" w:cs="Cambria"/>
          <w:color w:val="000000"/>
          <w:sz w:val="20"/>
          <w:szCs w:val="20"/>
          <w:u w:color="000000"/>
          <w:bdr w:val="nil"/>
          <w:lang w:val="es-ES_tradnl" w:eastAsia="es-ES"/>
        </w:rPr>
      </w:pPr>
      <w:r w:rsidRPr="0058501F">
        <w:rPr>
          <w:rFonts w:ascii="Cambria" w:eastAsia="Cambria" w:hAnsi="Cambria" w:cs="Cambria"/>
          <w:color w:val="000000"/>
          <w:sz w:val="20"/>
          <w:szCs w:val="20"/>
          <w:u w:color="000000"/>
          <w:bdr w:val="nil"/>
          <w:lang w:val="es-ES_tradnl" w:eastAsia="es-ES"/>
        </w:rPr>
        <w:t>Posteriormente, el Tribunal de Distrito de los Estados Unidos denegó el hábeas corpus federal el 31 de marzo de 2011,</w:t>
      </w:r>
      <w:r w:rsidRPr="0058501F">
        <w:rPr>
          <w:rStyle w:val="FootnoteReference"/>
          <w:rFonts w:ascii="Cambria" w:eastAsia="Cambria" w:hAnsi="Cambria"/>
          <w:color w:val="000000"/>
          <w:sz w:val="20"/>
          <w:szCs w:val="20"/>
          <w:u w:color="000000"/>
          <w:bdr w:val="nil"/>
          <w:lang w:val="es-ES_tradnl" w:eastAsia="es-ES"/>
        </w:rPr>
        <w:footnoteReference w:id="35"/>
      </w:r>
      <w:r w:rsidRPr="0058501F">
        <w:rPr>
          <w:rFonts w:ascii="Cambria" w:eastAsia="Cambria" w:hAnsi="Cambria" w:cs="Cambria"/>
          <w:color w:val="000000"/>
          <w:sz w:val="20"/>
          <w:szCs w:val="20"/>
          <w:u w:color="000000"/>
          <w:bdr w:val="nil"/>
          <w:lang w:val="es-ES_tradnl" w:eastAsia="es-ES"/>
        </w:rPr>
        <w:t xml:space="preserve"> rechazando el reclamo por dos razones independientes. La primera razón fue que el reclamo estaba sujeto a incumplimiento procesal de conformidad con el precedente principal, y segundo, que alternativamente, su reclamo fue infundado, porque el Sr. Ibarra no pudo demostrar prejuicio.</w:t>
      </w:r>
    </w:p>
    <w:p w14:paraId="508D3188" w14:textId="77777777" w:rsidR="00C5469C" w:rsidRPr="0058501F" w:rsidRDefault="00C5469C" w:rsidP="00470EC4">
      <w:pPr>
        <w:pBdr>
          <w:top w:val="nil"/>
          <w:left w:val="nil"/>
          <w:bottom w:val="nil"/>
          <w:right w:val="nil"/>
          <w:between w:val="nil"/>
          <w:bar w:val="nil"/>
        </w:pBdr>
        <w:tabs>
          <w:tab w:val="num" w:pos="450"/>
        </w:tabs>
        <w:spacing w:after="0" w:line="240" w:lineRule="auto"/>
        <w:jc w:val="both"/>
        <w:rPr>
          <w:rFonts w:ascii="Cambria" w:eastAsia="Cambria" w:hAnsi="Cambria" w:cs="Cambria"/>
          <w:color w:val="000000"/>
          <w:sz w:val="20"/>
          <w:szCs w:val="20"/>
          <w:u w:color="000000"/>
          <w:bdr w:val="nil"/>
          <w:lang w:val="es-ES_tradnl" w:eastAsia="es-ES"/>
        </w:rPr>
      </w:pPr>
    </w:p>
    <w:p w14:paraId="53B1FC55" w14:textId="77777777" w:rsidR="00C5469C" w:rsidRPr="0058501F" w:rsidRDefault="00C5469C" w:rsidP="00470EC4">
      <w:pPr>
        <w:numPr>
          <w:ilvl w:val="0"/>
          <w:numId w:val="1"/>
        </w:numPr>
        <w:pBdr>
          <w:top w:val="nil"/>
          <w:left w:val="nil"/>
          <w:bottom w:val="nil"/>
          <w:right w:val="nil"/>
          <w:between w:val="nil"/>
          <w:bar w:val="nil"/>
        </w:pBdr>
        <w:tabs>
          <w:tab w:val="clear" w:pos="720"/>
          <w:tab w:val="num" w:pos="450"/>
        </w:tabs>
        <w:spacing w:after="0" w:line="240" w:lineRule="auto"/>
        <w:ind w:firstLine="0"/>
        <w:jc w:val="both"/>
        <w:rPr>
          <w:rFonts w:ascii="Cambria" w:eastAsia="Cambria" w:hAnsi="Cambria" w:cs="Cambria"/>
          <w:color w:val="000000"/>
          <w:sz w:val="20"/>
          <w:szCs w:val="20"/>
          <w:u w:color="000000"/>
          <w:bdr w:val="nil"/>
          <w:lang w:val="es-ES_tradnl" w:eastAsia="es-ES"/>
        </w:rPr>
      </w:pPr>
      <w:r w:rsidRPr="0058501F">
        <w:rPr>
          <w:rFonts w:ascii="Cambria" w:eastAsia="Cambria" w:hAnsi="Cambria" w:cs="Cambria"/>
          <w:color w:val="000000"/>
          <w:sz w:val="20"/>
          <w:szCs w:val="20"/>
          <w:u w:color="000000"/>
          <w:bdr w:val="nil"/>
          <w:lang w:val="es-ES_tradnl" w:eastAsia="es-ES"/>
        </w:rPr>
        <w:t xml:space="preserve">El habeas corpus federal fue denegado por la Corte de Apelaciones de los Estados Unidos, que sostuvo que jueces razonables “no podían estar en desacuerdo con la conclusión del tribunal de distrito de que la reclamación de </w:t>
      </w:r>
      <w:proofErr w:type="spellStart"/>
      <w:r w:rsidRPr="0058501F">
        <w:rPr>
          <w:rFonts w:ascii="Cambria" w:eastAsia="Cambria" w:hAnsi="Cambria" w:cs="Cambria"/>
          <w:color w:val="000000"/>
          <w:sz w:val="20"/>
          <w:szCs w:val="20"/>
          <w:u w:color="000000"/>
          <w:bdr w:val="nil"/>
          <w:lang w:val="es-ES_tradnl" w:eastAsia="es-ES"/>
        </w:rPr>
        <w:t>Wiggins</w:t>
      </w:r>
      <w:proofErr w:type="spellEnd"/>
      <w:r w:rsidRPr="0058501F">
        <w:rPr>
          <w:rFonts w:ascii="Cambria" w:eastAsia="Cambria" w:hAnsi="Cambria" w:cs="Cambria"/>
          <w:color w:val="000000"/>
          <w:sz w:val="20"/>
          <w:szCs w:val="20"/>
          <w:u w:color="000000"/>
          <w:bdr w:val="nil"/>
          <w:lang w:val="es-ES_tradnl" w:eastAsia="es-ES"/>
        </w:rPr>
        <w:t xml:space="preserve"> del peticionario estaba en incumplimiento con el procedimiento” y denegó un certificado de apelación.</w:t>
      </w:r>
    </w:p>
    <w:p w14:paraId="6E2A1F1E" w14:textId="77777777" w:rsidR="00C5469C" w:rsidRPr="0058501F" w:rsidRDefault="00C5469C" w:rsidP="00470EC4">
      <w:pPr>
        <w:pBdr>
          <w:top w:val="nil"/>
          <w:left w:val="nil"/>
          <w:bottom w:val="nil"/>
          <w:right w:val="nil"/>
          <w:between w:val="nil"/>
          <w:bar w:val="nil"/>
        </w:pBdr>
        <w:tabs>
          <w:tab w:val="num" w:pos="450"/>
        </w:tabs>
        <w:spacing w:after="0" w:line="240" w:lineRule="auto"/>
        <w:jc w:val="both"/>
        <w:rPr>
          <w:rFonts w:ascii="Cambria" w:eastAsia="Cambria" w:hAnsi="Cambria" w:cs="Cambria"/>
          <w:color w:val="000000"/>
          <w:sz w:val="20"/>
          <w:szCs w:val="20"/>
          <w:u w:color="000000"/>
          <w:bdr w:val="nil"/>
          <w:lang w:val="es-ES_tradnl" w:eastAsia="es-ES"/>
        </w:rPr>
      </w:pPr>
    </w:p>
    <w:p w14:paraId="60F8C4B9" w14:textId="77777777" w:rsidR="00C5469C" w:rsidRPr="0058501F" w:rsidRDefault="00C5469C" w:rsidP="00470EC4">
      <w:pPr>
        <w:numPr>
          <w:ilvl w:val="0"/>
          <w:numId w:val="1"/>
        </w:numPr>
        <w:pBdr>
          <w:top w:val="nil"/>
          <w:left w:val="nil"/>
          <w:bottom w:val="nil"/>
          <w:right w:val="nil"/>
          <w:between w:val="nil"/>
          <w:bar w:val="nil"/>
        </w:pBdr>
        <w:tabs>
          <w:tab w:val="clear" w:pos="720"/>
          <w:tab w:val="num" w:pos="450"/>
        </w:tabs>
        <w:spacing w:after="0" w:line="240" w:lineRule="auto"/>
        <w:ind w:firstLine="0"/>
        <w:jc w:val="both"/>
        <w:rPr>
          <w:rFonts w:ascii="Cambria" w:eastAsia="Cambria" w:hAnsi="Cambria" w:cs="Cambria"/>
          <w:color w:val="000000"/>
          <w:sz w:val="20"/>
          <w:szCs w:val="20"/>
          <w:u w:color="000000"/>
          <w:bdr w:val="nil"/>
          <w:lang w:val="es-ES_tradnl" w:eastAsia="es-ES"/>
        </w:rPr>
      </w:pPr>
      <w:r w:rsidRPr="0058501F">
        <w:rPr>
          <w:rFonts w:ascii="Cambria" w:eastAsia="Cambria" w:hAnsi="Cambria" w:cs="Cambria"/>
          <w:color w:val="000000"/>
          <w:sz w:val="20"/>
          <w:szCs w:val="20"/>
          <w:u w:color="000000"/>
          <w:bdr w:val="nil"/>
          <w:lang w:val="es-ES_tradnl" w:eastAsia="es-ES"/>
        </w:rPr>
        <w:t>En cuanto al reclamo de Atkins,</w:t>
      </w:r>
      <w:r w:rsidRPr="0058501F">
        <w:rPr>
          <w:rStyle w:val="FootnoteReference"/>
          <w:rFonts w:ascii="Cambria" w:eastAsia="Cambria" w:hAnsi="Cambria"/>
          <w:color w:val="000000"/>
          <w:sz w:val="20"/>
          <w:szCs w:val="20"/>
          <w:u w:color="000000"/>
          <w:bdr w:val="nil"/>
          <w:lang w:val="es-ES_tradnl" w:eastAsia="es-ES"/>
        </w:rPr>
        <w:footnoteReference w:id="36"/>
      </w:r>
      <w:r w:rsidRPr="0058501F">
        <w:rPr>
          <w:rFonts w:ascii="Cambria" w:eastAsia="Cambria" w:hAnsi="Cambria" w:cs="Cambria"/>
          <w:color w:val="000000"/>
          <w:sz w:val="20"/>
          <w:szCs w:val="20"/>
          <w:u w:color="000000"/>
          <w:bdr w:val="nil"/>
          <w:lang w:val="es-ES_tradnl" w:eastAsia="es-ES"/>
        </w:rPr>
        <w:t xml:space="preserve"> el Tribunal de Apelación de los Estados Unidos denegó un certificado de apelación por motivos alternativos de exclusión procesal, no agotamiento y falta de mérito. El Tribunal señaló que las pruebas ofrecidas por el Sr. Ibarra en el tribunal estatal incluían una declaración de un perito no jurada e inadmisible sobre el coeficiente intelectual del Sr. Ibarra; un informe de investigación sobre sus supuestos déficits adaptativos; y la opinión del Dr. Stephen Mark, quien no encontró evidencia de discapacidad mental después de dos exámenes del Sr. Ibarra. Además, el tribunal señaló que para establecer que pertenece a Atkins, el peticionario debe demostrar que posee un funcionamiento intelectual significativamente inferior al promedio y un funcionamiento adaptativo deteriorado, los cuales se manifestaron antes de los 18 </w:t>
      </w:r>
      <w:proofErr w:type="gramStart"/>
      <w:r w:rsidRPr="0058501F">
        <w:rPr>
          <w:rFonts w:ascii="Cambria" w:eastAsia="Cambria" w:hAnsi="Cambria" w:cs="Cambria"/>
          <w:color w:val="000000"/>
          <w:sz w:val="20"/>
          <w:szCs w:val="20"/>
          <w:u w:color="000000"/>
          <w:bdr w:val="nil"/>
          <w:lang w:val="es-ES_tradnl" w:eastAsia="es-ES"/>
        </w:rPr>
        <w:t>años de edad</w:t>
      </w:r>
      <w:proofErr w:type="gramEnd"/>
      <w:r w:rsidRPr="0058501F">
        <w:rPr>
          <w:rFonts w:ascii="Cambria" w:eastAsia="Cambria" w:hAnsi="Cambria" w:cs="Cambria"/>
          <w:color w:val="000000"/>
          <w:sz w:val="20"/>
          <w:szCs w:val="20"/>
          <w:u w:color="000000"/>
          <w:bdr w:val="nil"/>
          <w:lang w:val="es-ES_tradnl" w:eastAsia="es-ES"/>
        </w:rPr>
        <w:t xml:space="preserve">. </w:t>
      </w:r>
      <w:r w:rsidRPr="0058501F">
        <w:rPr>
          <w:rFonts w:ascii="Cambria" w:eastAsia="Cambria" w:hAnsi="Cambria" w:cs="Cambria"/>
          <w:color w:val="000000"/>
          <w:sz w:val="20"/>
          <w:szCs w:val="20"/>
          <w:u w:color="000000"/>
          <w:bdr w:val="nil"/>
          <w:lang w:val="es-ES_tradnl" w:eastAsia="es-ES"/>
        </w:rPr>
        <w:lastRenderedPageBreak/>
        <w:t>El Tribunal Penal de Apelaciones rechazó el reclamo sobre el fondo y, en consecuencia, el Sr. Ibarra ofreció nueva prueba material en el tribunal federal, lo que dejó su reclamo sin agotar y procedimentalmente excluido.</w:t>
      </w:r>
    </w:p>
    <w:p w14:paraId="429FCCBE" w14:textId="77777777" w:rsidR="00C5469C" w:rsidRPr="0058501F" w:rsidRDefault="00C5469C" w:rsidP="00470EC4">
      <w:pPr>
        <w:pBdr>
          <w:top w:val="nil"/>
          <w:left w:val="nil"/>
          <w:bottom w:val="nil"/>
          <w:right w:val="nil"/>
          <w:between w:val="nil"/>
          <w:bar w:val="nil"/>
        </w:pBdr>
        <w:tabs>
          <w:tab w:val="num" w:pos="450"/>
        </w:tabs>
        <w:spacing w:after="0" w:line="240" w:lineRule="auto"/>
        <w:jc w:val="both"/>
        <w:rPr>
          <w:rFonts w:ascii="Cambria" w:eastAsia="Cambria" w:hAnsi="Cambria" w:cs="Cambria"/>
          <w:color w:val="000000"/>
          <w:sz w:val="20"/>
          <w:szCs w:val="20"/>
          <w:u w:color="000000"/>
          <w:bdr w:val="nil"/>
          <w:lang w:val="es-ES_tradnl" w:eastAsia="es-ES"/>
        </w:rPr>
      </w:pPr>
    </w:p>
    <w:p w14:paraId="077E5F35" w14:textId="77777777" w:rsidR="00C5469C" w:rsidRPr="0058501F" w:rsidRDefault="00C5469C" w:rsidP="00470EC4">
      <w:pPr>
        <w:numPr>
          <w:ilvl w:val="0"/>
          <w:numId w:val="1"/>
        </w:numPr>
        <w:pBdr>
          <w:top w:val="nil"/>
          <w:left w:val="nil"/>
          <w:bottom w:val="nil"/>
          <w:right w:val="nil"/>
          <w:between w:val="nil"/>
          <w:bar w:val="nil"/>
        </w:pBdr>
        <w:tabs>
          <w:tab w:val="clear" w:pos="720"/>
          <w:tab w:val="num" w:pos="450"/>
        </w:tabs>
        <w:spacing w:after="0" w:line="240" w:lineRule="auto"/>
        <w:ind w:firstLine="0"/>
        <w:jc w:val="both"/>
        <w:rPr>
          <w:rFonts w:ascii="Cambria" w:eastAsia="Cambria" w:hAnsi="Cambria" w:cs="Cambria"/>
          <w:color w:val="000000"/>
          <w:sz w:val="20"/>
          <w:szCs w:val="20"/>
          <w:u w:color="000000"/>
          <w:bdr w:val="nil"/>
          <w:lang w:val="es-ES_tradnl" w:eastAsia="es-ES"/>
        </w:rPr>
      </w:pPr>
      <w:r w:rsidRPr="0058501F">
        <w:rPr>
          <w:rFonts w:ascii="Cambria" w:eastAsia="Cambria" w:hAnsi="Cambria" w:cs="Cambria"/>
          <w:color w:val="000000"/>
          <w:sz w:val="20"/>
          <w:szCs w:val="20"/>
          <w:u w:color="000000"/>
          <w:bdr w:val="nil"/>
          <w:lang w:val="es-ES_tradnl" w:eastAsia="es-ES"/>
        </w:rPr>
        <w:t>Finalmente, el tribunal consideró prescrito su reclamo basado en el caso Avena por incumplimiento procesal, reconociendo que el reclamo de su apelación directa fue desestimado por falta de objeción contemporánea. Además, el tribunal dispuso que, incluso si la demanda no estaba en incumplimiento procesal, para tener éxito, el Sr. Ibarra tendría que demostrar que estaba perjudicado por el hecho de que el estado no informara de su derecho a notificar al consulado sobre su arresto y condena.</w:t>
      </w:r>
    </w:p>
    <w:p w14:paraId="161720FD" w14:textId="77777777" w:rsidR="00C5469C" w:rsidRPr="0058501F" w:rsidRDefault="00C5469C" w:rsidP="00470EC4">
      <w:pPr>
        <w:pBdr>
          <w:top w:val="nil"/>
          <w:left w:val="nil"/>
          <w:bottom w:val="nil"/>
          <w:right w:val="nil"/>
          <w:between w:val="nil"/>
          <w:bar w:val="nil"/>
        </w:pBdr>
        <w:tabs>
          <w:tab w:val="num" w:pos="450"/>
        </w:tabs>
        <w:spacing w:after="0" w:line="240" w:lineRule="auto"/>
        <w:jc w:val="both"/>
        <w:rPr>
          <w:rFonts w:ascii="Cambria" w:eastAsia="Cambria" w:hAnsi="Cambria" w:cs="Cambria"/>
          <w:color w:val="000000"/>
          <w:sz w:val="20"/>
          <w:szCs w:val="20"/>
          <w:u w:color="000000"/>
          <w:bdr w:val="nil"/>
          <w:lang w:val="es-ES_tradnl" w:eastAsia="es-ES"/>
        </w:rPr>
      </w:pPr>
    </w:p>
    <w:p w14:paraId="10594E3F" w14:textId="77777777" w:rsidR="00C5469C" w:rsidRPr="0058501F" w:rsidRDefault="00C5469C" w:rsidP="00470EC4">
      <w:pPr>
        <w:numPr>
          <w:ilvl w:val="0"/>
          <w:numId w:val="1"/>
        </w:numPr>
        <w:pBdr>
          <w:top w:val="nil"/>
          <w:left w:val="nil"/>
          <w:bottom w:val="nil"/>
          <w:right w:val="nil"/>
          <w:between w:val="nil"/>
          <w:bar w:val="nil"/>
        </w:pBdr>
        <w:tabs>
          <w:tab w:val="clear" w:pos="720"/>
          <w:tab w:val="num" w:pos="450"/>
        </w:tabs>
        <w:spacing w:after="0" w:line="240" w:lineRule="auto"/>
        <w:ind w:firstLine="0"/>
        <w:jc w:val="both"/>
        <w:rPr>
          <w:rFonts w:ascii="Cambria" w:eastAsia="Cambria" w:hAnsi="Cambria" w:cs="Cambria"/>
          <w:color w:val="000000"/>
          <w:sz w:val="20"/>
          <w:szCs w:val="20"/>
          <w:u w:color="000000"/>
          <w:bdr w:val="nil"/>
          <w:lang w:val="es-ES_tradnl" w:eastAsia="es-ES"/>
        </w:rPr>
      </w:pPr>
      <w:r w:rsidRPr="0058501F">
        <w:rPr>
          <w:rFonts w:ascii="Cambria" w:eastAsia="Cambria" w:hAnsi="Cambria" w:cs="Cambria"/>
          <w:color w:val="000000"/>
          <w:sz w:val="20"/>
          <w:szCs w:val="20"/>
          <w:u w:color="000000"/>
          <w:bdr w:val="nil"/>
          <w:lang w:val="es-ES_tradnl" w:eastAsia="es-ES"/>
        </w:rPr>
        <w:t>Al revisar el expediente de la corte estatal, la Corte de Apelaciones de EE. UU. consideró que no era discutible que el rechazo de las cortes estatales al reclamo de Atkins del Sr. Ibarra sobre el fondo no hubiera sido violado. El tribunal confirmó la denegación del recurso de hábeas federal por parte del Tribunal de Distrito el 26 de agosto de 2019.</w:t>
      </w:r>
      <w:r w:rsidRPr="0058501F">
        <w:rPr>
          <w:rStyle w:val="FootnoteReference"/>
          <w:rFonts w:ascii="Cambria" w:eastAsia="Cambria" w:hAnsi="Cambria"/>
          <w:color w:val="000000"/>
          <w:sz w:val="20"/>
          <w:szCs w:val="20"/>
          <w:u w:color="000000"/>
          <w:bdr w:val="nil"/>
          <w:lang w:val="es-ES_tradnl" w:eastAsia="es-ES"/>
        </w:rPr>
        <w:footnoteReference w:id="37"/>
      </w:r>
      <w:r w:rsidRPr="0058501F">
        <w:rPr>
          <w:rFonts w:ascii="Cambria" w:eastAsia="Cambria" w:hAnsi="Cambria" w:cs="Cambria"/>
          <w:color w:val="000000"/>
          <w:sz w:val="20"/>
          <w:szCs w:val="20"/>
          <w:u w:color="000000"/>
          <w:bdr w:val="nil"/>
          <w:lang w:val="es-ES_tradnl" w:eastAsia="es-ES"/>
        </w:rPr>
        <w:t xml:space="preserve"> La petición del Sr. Ibarra de auto de certificación fue denegada el 8 de junio de 2020.</w:t>
      </w:r>
      <w:r w:rsidRPr="0058501F">
        <w:rPr>
          <w:rStyle w:val="FootnoteReference"/>
          <w:rFonts w:ascii="Cambria" w:eastAsia="Cambria" w:hAnsi="Cambria"/>
          <w:color w:val="000000"/>
          <w:sz w:val="20"/>
          <w:szCs w:val="20"/>
          <w:u w:color="000000"/>
          <w:bdr w:val="nil"/>
          <w:lang w:val="es-ES_tradnl" w:eastAsia="es-ES"/>
        </w:rPr>
        <w:footnoteReference w:id="38"/>
      </w:r>
      <w:r w:rsidRPr="0058501F">
        <w:rPr>
          <w:rFonts w:ascii="Cambria" w:eastAsia="Cambria" w:hAnsi="Cambria" w:cs="Cambria"/>
          <w:color w:val="000000"/>
          <w:sz w:val="20"/>
          <w:szCs w:val="20"/>
          <w:u w:color="000000"/>
          <w:bdr w:val="nil"/>
          <w:lang w:val="es-ES_tradnl" w:eastAsia="es-ES"/>
        </w:rPr>
        <w:t xml:space="preserve"> El 6 de agosto de 2020, en virtud de la orden del Tribunal de Distrito, la ejecución del Sr. Ibarra se fijó para el 4 de marzo de 2021.</w:t>
      </w:r>
      <w:r w:rsidRPr="0058501F">
        <w:rPr>
          <w:rStyle w:val="FootnoteReference"/>
          <w:rFonts w:ascii="Cambria" w:eastAsia="Cambria" w:hAnsi="Cambria"/>
          <w:color w:val="000000"/>
          <w:sz w:val="20"/>
          <w:szCs w:val="20"/>
          <w:u w:color="000000"/>
          <w:bdr w:val="nil"/>
          <w:lang w:val="es-ES_tradnl" w:eastAsia="es-ES"/>
        </w:rPr>
        <w:footnoteReference w:id="39"/>
      </w:r>
    </w:p>
    <w:p w14:paraId="35F7E801" w14:textId="77777777" w:rsidR="00C5469C" w:rsidRPr="0058501F" w:rsidRDefault="00C5469C" w:rsidP="00470EC4">
      <w:pPr>
        <w:pStyle w:val="Heading2"/>
        <w:numPr>
          <w:ilvl w:val="0"/>
          <w:numId w:val="13"/>
        </w:numPr>
        <w:tabs>
          <w:tab w:val="num" w:pos="450"/>
        </w:tabs>
        <w:ind w:left="0" w:firstLine="0"/>
        <w:rPr>
          <w:rFonts w:ascii="Cambria" w:eastAsia="Cambria" w:hAnsi="Cambria"/>
          <w:sz w:val="20"/>
          <w:szCs w:val="20"/>
          <w:u w:color="000000"/>
          <w:bdr w:val="nil"/>
          <w:lang w:val="es-ES_tradnl" w:eastAsia="es-ES"/>
        </w:rPr>
      </w:pPr>
      <w:bookmarkStart w:id="12" w:name="_Toc90117836"/>
      <w:r w:rsidRPr="0058501F">
        <w:rPr>
          <w:rFonts w:ascii="Cambria" w:eastAsia="Cambria" w:hAnsi="Cambria"/>
          <w:sz w:val="20"/>
          <w:szCs w:val="20"/>
          <w:u w:color="000000"/>
          <w:bdr w:val="nil"/>
          <w:lang w:val="es-ES_tradnl" w:eastAsia="es-ES"/>
        </w:rPr>
        <w:t>Moción para descalificar y denuncia de mala conducta judicial</w:t>
      </w:r>
      <w:r w:rsidRPr="0058501F">
        <w:rPr>
          <w:rStyle w:val="FootnoteReference"/>
          <w:rFonts w:ascii="Cambria" w:eastAsia="Cambria" w:hAnsi="Cambria"/>
          <w:b w:val="0"/>
          <w:bCs w:val="0"/>
          <w:color w:val="000000"/>
          <w:sz w:val="20"/>
          <w:szCs w:val="20"/>
          <w:u w:color="000000"/>
          <w:bdr w:val="nil"/>
          <w:lang w:val="es-ES_tradnl" w:eastAsia="es-ES"/>
        </w:rPr>
        <w:footnoteReference w:id="40"/>
      </w:r>
      <w:bookmarkEnd w:id="12"/>
    </w:p>
    <w:p w14:paraId="028C4429" w14:textId="77777777" w:rsidR="00C5469C" w:rsidRPr="0058501F" w:rsidRDefault="00C5469C" w:rsidP="00470EC4">
      <w:pPr>
        <w:pBdr>
          <w:top w:val="nil"/>
          <w:left w:val="nil"/>
          <w:bottom w:val="nil"/>
          <w:right w:val="nil"/>
          <w:between w:val="nil"/>
          <w:bar w:val="nil"/>
        </w:pBdr>
        <w:tabs>
          <w:tab w:val="num" w:pos="450"/>
        </w:tabs>
        <w:spacing w:after="0" w:line="240" w:lineRule="auto"/>
        <w:jc w:val="both"/>
        <w:rPr>
          <w:rFonts w:ascii="Cambria" w:eastAsia="Cambria" w:hAnsi="Cambria" w:cs="Cambria"/>
          <w:b/>
          <w:bCs/>
          <w:color w:val="000000"/>
          <w:sz w:val="20"/>
          <w:szCs w:val="20"/>
          <w:u w:color="000000"/>
          <w:bdr w:val="nil"/>
          <w:lang w:val="es-ES_tradnl" w:eastAsia="es-ES"/>
        </w:rPr>
      </w:pPr>
    </w:p>
    <w:p w14:paraId="5A1F8B8B" w14:textId="77777777" w:rsidR="00C5469C" w:rsidRPr="0058501F" w:rsidRDefault="00C5469C" w:rsidP="00470EC4">
      <w:pPr>
        <w:numPr>
          <w:ilvl w:val="0"/>
          <w:numId w:val="1"/>
        </w:numPr>
        <w:pBdr>
          <w:top w:val="nil"/>
          <w:left w:val="nil"/>
          <w:bottom w:val="nil"/>
          <w:right w:val="nil"/>
          <w:between w:val="nil"/>
          <w:bar w:val="nil"/>
        </w:pBdr>
        <w:tabs>
          <w:tab w:val="clear" w:pos="720"/>
          <w:tab w:val="num" w:pos="450"/>
        </w:tabs>
        <w:spacing w:after="0" w:line="240" w:lineRule="auto"/>
        <w:ind w:firstLine="0"/>
        <w:jc w:val="both"/>
        <w:rPr>
          <w:rFonts w:ascii="Cambria" w:eastAsia="Cambria" w:hAnsi="Cambria" w:cs="Cambria"/>
          <w:color w:val="000000"/>
          <w:sz w:val="20"/>
          <w:szCs w:val="20"/>
          <w:u w:color="000000"/>
          <w:bdr w:val="nil"/>
          <w:lang w:val="es-ES_tradnl" w:eastAsia="es-ES"/>
        </w:rPr>
      </w:pPr>
      <w:r w:rsidRPr="0058501F">
        <w:rPr>
          <w:rFonts w:ascii="Cambria" w:eastAsia="Cambria" w:hAnsi="Cambria" w:cs="Cambria"/>
          <w:color w:val="000000"/>
          <w:sz w:val="20"/>
          <w:szCs w:val="20"/>
          <w:u w:color="000000"/>
          <w:bdr w:val="nil"/>
          <w:lang w:val="es-ES_tradnl" w:eastAsia="es-ES"/>
        </w:rPr>
        <w:t xml:space="preserve">El 5 de junio de 2013, el Sr. Ibarra presentó una moción para descalificar a la jueza Jones de cualquier participación adicional en su caso y para anular la opinión del </w:t>
      </w:r>
      <w:proofErr w:type="spellStart"/>
      <w:r w:rsidR="00DD040D" w:rsidRPr="0058501F">
        <w:rPr>
          <w:rFonts w:ascii="Cambria" w:eastAsia="Cambria" w:hAnsi="Cambria" w:cs="Cambria"/>
          <w:color w:val="000000"/>
          <w:sz w:val="20"/>
          <w:szCs w:val="20"/>
          <w:u w:color="000000"/>
          <w:bdr w:val="nil"/>
          <w:lang w:val="es-ES_tradnl" w:eastAsia="es-ES"/>
        </w:rPr>
        <w:t>Quinto</w:t>
      </w:r>
      <w:r w:rsidRPr="0058501F">
        <w:rPr>
          <w:rFonts w:ascii="Cambria" w:eastAsia="Cambria" w:hAnsi="Cambria" w:cs="Cambria"/>
          <w:color w:val="000000"/>
          <w:sz w:val="20"/>
          <w:szCs w:val="20"/>
          <w:u w:color="000000"/>
          <w:bdr w:val="nil"/>
          <w:lang w:val="es-ES_tradnl" w:eastAsia="es-ES"/>
        </w:rPr>
        <w:t>to</w:t>
      </w:r>
      <w:proofErr w:type="spellEnd"/>
      <w:r w:rsidRPr="0058501F">
        <w:rPr>
          <w:rFonts w:ascii="Cambria" w:eastAsia="Cambria" w:hAnsi="Cambria" w:cs="Cambria"/>
          <w:color w:val="000000"/>
          <w:sz w:val="20"/>
          <w:szCs w:val="20"/>
          <w:u w:color="000000"/>
          <w:bdr w:val="nil"/>
          <w:lang w:val="es-ES_tradnl" w:eastAsia="es-ES"/>
        </w:rPr>
        <w:t xml:space="preserve"> Circuito denegando su solicitud de certificado de apelación, que había sido escrita por la jueza Jones. El 10 de junio de 2013, la jueza Jones emitió una orden denegando la moción del Sr. Ibarra. La orden, firmada dice lo siguiente:</w:t>
      </w:r>
      <w:r w:rsidRPr="0058501F">
        <w:rPr>
          <w:rStyle w:val="FootnoteReference"/>
          <w:rFonts w:ascii="Cambria" w:eastAsia="Cambria" w:hAnsi="Cambria"/>
          <w:color w:val="000000"/>
          <w:sz w:val="20"/>
          <w:szCs w:val="20"/>
          <w:u w:color="000000"/>
          <w:bdr w:val="nil"/>
          <w:lang w:val="es-ES_tradnl" w:eastAsia="es-ES"/>
        </w:rPr>
        <w:footnoteReference w:id="41"/>
      </w:r>
    </w:p>
    <w:p w14:paraId="07394B9D" w14:textId="77777777" w:rsidR="00C5469C" w:rsidRPr="0058501F" w:rsidRDefault="00C5469C" w:rsidP="00C5469C">
      <w:pPr>
        <w:pBdr>
          <w:top w:val="nil"/>
          <w:left w:val="nil"/>
          <w:bottom w:val="nil"/>
          <w:right w:val="nil"/>
          <w:between w:val="nil"/>
          <w:bar w:val="nil"/>
        </w:pBdr>
        <w:spacing w:after="0" w:line="240" w:lineRule="auto"/>
        <w:ind w:left="720"/>
        <w:jc w:val="both"/>
        <w:rPr>
          <w:rFonts w:ascii="Cambria" w:eastAsia="Cambria" w:hAnsi="Cambria" w:cs="Cambria"/>
          <w:color w:val="000000"/>
          <w:sz w:val="20"/>
          <w:szCs w:val="20"/>
          <w:u w:color="000000"/>
          <w:bdr w:val="nil"/>
          <w:lang w:val="es-ES_tradnl" w:eastAsia="es-ES"/>
        </w:rPr>
      </w:pPr>
    </w:p>
    <w:p w14:paraId="3C1670AC" w14:textId="77777777" w:rsidR="00C5469C" w:rsidRPr="0058501F" w:rsidRDefault="00C5469C" w:rsidP="00C5469C">
      <w:pPr>
        <w:pBdr>
          <w:top w:val="nil"/>
          <w:left w:val="nil"/>
          <w:bottom w:val="nil"/>
          <w:right w:val="nil"/>
          <w:between w:val="nil"/>
          <w:bar w:val="nil"/>
        </w:pBdr>
        <w:spacing w:after="0" w:line="240" w:lineRule="auto"/>
        <w:ind w:left="720"/>
        <w:jc w:val="both"/>
        <w:rPr>
          <w:rFonts w:ascii="Cambria" w:eastAsia="Cambria" w:hAnsi="Cambria" w:cs="Cambria"/>
          <w:color w:val="000000"/>
          <w:sz w:val="20"/>
          <w:szCs w:val="20"/>
          <w:u w:color="000000"/>
          <w:bdr w:val="nil"/>
          <w:lang w:val="es-ES_tradnl" w:eastAsia="es-ES"/>
        </w:rPr>
      </w:pPr>
      <w:r w:rsidRPr="0058501F">
        <w:rPr>
          <w:rFonts w:ascii="Cambria" w:eastAsia="Cambria" w:hAnsi="Cambria" w:cs="Cambria"/>
          <w:color w:val="000000"/>
          <w:sz w:val="20"/>
          <w:szCs w:val="20"/>
          <w:u w:color="000000"/>
          <w:bdr w:val="nil"/>
          <w:lang w:val="es-ES_tradnl" w:eastAsia="es-ES"/>
        </w:rPr>
        <w:t>“SOLICITUD</w:t>
      </w:r>
    </w:p>
    <w:p w14:paraId="43ED3786" w14:textId="77777777" w:rsidR="00C5469C" w:rsidRPr="0058501F" w:rsidRDefault="00C5469C" w:rsidP="00C5469C">
      <w:pPr>
        <w:pBdr>
          <w:top w:val="nil"/>
          <w:left w:val="nil"/>
          <w:bottom w:val="nil"/>
          <w:right w:val="nil"/>
          <w:between w:val="nil"/>
          <w:bar w:val="nil"/>
        </w:pBdr>
        <w:spacing w:after="0" w:line="240" w:lineRule="auto"/>
        <w:ind w:left="720"/>
        <w:jc w:val="both"/>
        <w:rPr>
          <w:rFonts w:ascii="Cambria" w:eastAsia="Cambria" w:hAnsi="Cambria" w:cs="Cambria"/>
          <w:color w:val="000000"/>
          <w:sz w:val="20"/>
          <w:szCs w:val="20"/>
          <w:u w:color="000000"/>
          <w:bdr w:val="nil"/>
          <w:lang w:val="es-ES_tradnl" w:eastAsia="es-ES"/>
        </w:rPr>
      </w:pPr>
      <w:r w:rsidRPr="0058501F">
        <w:rPr>
          <w:rFonts w:ascii="Cambria" w:eastAsia="Cambria" w:hAnsi="Cambria" w:cs="Cambria"/>
          <w:color w:val="000000"/>
          <w:sz w:val="20"/>
          <w:szCs w:val="20"/>
          <w:u w:color="000000"/>
          <w:bdr w:val="nil"/>
          <w:lang w:val="es-ES_tradnl" w:eastAsia="es-ES"/>
        </w:rPr>
        <w:t>SE ORDENA que se deniegue la moción del apelante para descalificar a la jueza Edith H. Jones”.</w:t>
      </w:r>
    </w:p>
    <w:p w14:paraId="7E77DCA1" w14:textId="77777777" w:rsidR="00540E3D" w:rsidRPr="0058501F" w:rsidRDefault="00540E3D" w:rsidP="00C5469C">
      <w:pPr>
        <w:pBdr>
          <w:top w:val="nil"/>
          <w:left w:val="nil"/>
          <w:bottom w:val="nil"/>
          <w:right w:val="nil"/>
          <w:between w:val="nil"/>
          <w:bar w:val="nil"/>
        </w:pBdr>
        <w:spacing w:after="0" w:line="240" w:lineRule="auto"/>
        <w:ind w:left="720"/>
        <w:jc w:val="both"/>
        <w:rPr>
          <w:rFonts w:ascii="Cambria" w:eastAsia="Cambria" w:hAnsi="Cambria" w:cs="Cambria"/>
          <w:color w:val="000000"/>
          <w:sz w:val="20"/>
          <w:szCs w:val="20"/>
          <w:u w:color="000000"/>
          <w:bdr w:val="nil"/>
          <w:lang w:val="es-ES_tradnl" w:eastAsia="es-ES"/>
        </w:rPr>
      </w:pPr>
    </w:p>
    <w:p w14:paraId="5757FB3B" w14:textId="77777777" w:rsidR="000D6DBE" w:rsidRPr="0058501F" w:rsidRDefault="00C5469C" w:rsidP="00470EC4">
      <w:pPr>
        <w:numPr>
          <w:ilvl w:val="0"/>
          <w:numId w:val="1"/>
        </w:numPr>
        <w:pBdr>
          <w:top w:val="nil"/>
          <w:left w:val="nil"/>
          <w:bottom w:val="nil"/>
          <w:right w:val="nil"/>
          <w:between w:val="nil"/>
          <w:bar w:val="nil"/>
        </w:pBdr>
        <w:spacing w:after="0" w:line="240" w:lineRule="auto"/>
        <w:ind w:firstLine="0"/>
        <w:jc w:val="both"/>
        <w:rPr>
          <w:rFonts w:ascii="Cambria" w:eastAsia="Cambria" w:hAnsi="Cambria" w:cs="Cambria"/>
          <w:color w:val="000000"/>
          <w:sz w:val="20"/>
          <w:szCs w:val="20"/>
          <w:u w:color="000000"/>
          <w:bdr w:val="nil"/>
          <w:lang w:val="es-ES_tradnl" w:eastAsia="es-ES"/>
        </w:rPr>
      </w:pPr>
      <w:r w:rsidRPr="0058501F">
        <w:rPr>
          <w:rFonts w:ascii="Cambria" w:eastAsia="Cambria" w:hAnsi="Cambria" w:cs="Cambria"/>
          <w:color w:val="000000"/>
          <w:sz w:val="20"/>
          <w:szCs w:val="20"/>
          <w:u w:color="000000"/>
          <w:bdr w:val="nil"/>
          <w:lang w:val="es-ES_tradnl" w:eastAsia="es-ES"/>
        </w:rPr>
        <w:t xml:space="preserve">Según el informe del Comité Especial al Consejo Judicial del Circuito del Distrito de Columbia, en adelante 'el Comité', emitido en 2014, trece grupos de asistencia letrada y libertades civiles presentaron posteriormente una denuncia por mala conducta judicial contra la jueza Edith Jones de la Corte de Apelaciones del </w:t>
      </w:r>
      <w:proofErr w:type="spellStart"/>
      <w:r w:rsidR="00DD040D" w:rsidRPr="0058501F">
        <w:rPr>
          <w:rFonts w:ascii="Cambria" w:eastAsia="Cambria" w:hAnsi="Cambria" w:cs="Cambria"/>
          <w:color w:val="000000"/>
          <w:sz w:val="20"/>
          <w:szCs w:val="20"/>
          <w:u w:color="000000"/>
          <w:bdr w:val="nil"/>
          <w:lang w:val="es-ES_tradnl" w:eastAsia="es-ES"/>
        </w:rPr>
        <w:t>Quinto</w:t>
      </w:r>
      <w:r w:rsidRPr="0058501F">
        <w:rPr>
          <w:rFonts w:ascii="Cambria" w:eastAsia="Cambria" w:hAnsi="Cambria" w:cs="Cambria"/>
          <w:color w:val="000000"/>
          <w:sz w:val="20"/>
          <w:szCs w:val="20"/>
          <w:u w:color="000000"/>
          <w:bdr w:val="nil"/>
          <w:lang w:val="es-ES_tradnl" w:eastAsia="es-ES"/>
        </w:rPr>
        <w:t>to</w:t>
      </w:r>
      <w:proofErr w:type="spellEnd"/>
      <w:r w:rsidRPr="0058501F">
        <w:rPr>
          <w:rFonts w:ascii="Cambria" w:eastAsia="Cambria" w:hAnsi="Cambria" w:cs="Cambria"/>
          <w:color w:val="000000"/>
          <w:sz w:val="20"/>
          <w:szCs w:val="20"/>
          <w:u w:color="000000"/>
          <w:bdr w:val="nil"/>
          <w:lang w:val="es-ES_tradnl" w:eastAsia="es-ES"/>
        </w:rPr>
        <w:t xml:space="preserve"> Circuito de los Estados Unidos. La denuncia alegaba mala conducta derivada de las declaraciones que hizo la jueza en una conferencia sobre la pena de muerte en la Facultad de Derecho de la Universidad de Pensilvania el 20 de febrero de 2013.</w:t>
      </w:r>
    </w:p>
    <w:p w14:paraId="654DF241" w14:textId="77777777" w:rsidR="00C5469C" w:rsidRPr="0058501F" w:rsidRDefault="00C5469C" w:rsidP="00470EC4">
      <w:pPr>
        <w:pBdr>
          <w:top w:val="nil"/>
          <w:left w:val="nil"/>
          <w:bottom w:val="nil"/>
          <w:right w:val="nil"/>
          <w:between w:val="nil"/>
          <w:bar w:val="nil"/>
        </w:pBdr>
        <w:spacing w:after="0" w:line="240" w:lineRule="auto"/>
        <w:jc w:val="both"/>
        <w:rPr>
          <w:rFonts w:ascii="Cambria" w:eastAsia="Cambria" w:hAnsi="Cambria" w:cs="Cambria"/>
          <w:color w:val="000000"/>
          <w:sz w:val="20"/>
          <w:szCs w:val="20"/>
          <w:u w:color="000000"/>
          <w:bdr w:val="nil"/>
          <w:lang w:val="es-ES_tradnl" w:eastAsia="es-ES"/>
        </w:rPr>
      </w:pPr>
    </w:p>
    <w:p w14:paraId="7A53900F" w14:textId="77777777" w:rsidR="00C5469C" w:rsidRPr="0058501F" w:rsidRDefault="00C5469C" w:rsidP="00470EC4">
      <w:pPr>
        <w:numPr>
          <w:ilvl w:val="0"/>
          <w:numId w:val="1"/>
        </w:numPr>
        <w:pBdr>
          <w:top w:val="nil"/>
          <w:left w:val="nil"/>
          <w:bottom w:val="nil"/>
          <w:right w:val="nil"/>
          <w:between w:val="nil"/>
          <w:bar w:val="nil"/>
        </w:pBdr>
        <w:spacing w:after="0" w:line="240" w:lineRule="auto"/>
        <w:ind w:firstLine="0"/>
        <w:jc w:val="both"/>
        <w:rPr>
          <w:rFonts w:ascii="Cambria" w:eastAsia="Cambria" w:hAnsi="Cambria" w:cs="Cambria"/>
          <w:color w:val="000000"/>
          <w:sz w:val="20"/>
          <w:szCs w:val="20"/>
          <w:u w:color="000000"/>
          <w:bdr w:val="nil"/>
          <w:lang w:val="es-ES_tradnl" w:eastAsia="es-ES"/>
        </w:rPr>
      </w:pPr>
      <w:r w:rsidRPr="0058501F">
        <w:rPr>
          <w:rFonts w:ascii="Cambria" w:eastAsia="Cambria" w:hAnsi="Cambria" w:cs="Cambria"/>
          <w:color w:val="000000"/>
          <w:sz w:val="20"/>
          <w:szCs w:val="20"/>
          <w:u w:color="000000"/>
          <w:bdr w:val="nil"/>
          <w:lang w:val="es-ES_tradnl" w:eastAsia="es-ES"/>
        </w:rPr>
        <w:t>El Comité, tras examinar varias pruebas, estableció por primera vez en el informe que, en ausencia de una grabación de la conferencia, no pudo determinar la naturaleza del tono o la conducta de la jueza Jones y, por lo tanto, no pudo formular una conclusión basada en la gravedad de la evidencia. Las conclusiones del Comité se basaron en la presentación de las notas de la jueza, las declaraciones juradas de los asistentes a la conferencia y otras declaraciones de testigos.</w:t>
      </w:r>
    </w:p>
    <w:p w14:paraId="72CA9797" w14:textId="77777777" w:rsidR="00C5469C" w:rsidRPr="0058501F" w:rsidRDefault="00C5469C" w:rsidP="00470EC4">
      <w:pPr>
        <w:pBdr>
          <w:top w:val="nil"/>
          <w:left w:val="nil"/>
          <w:bottom w:val="nil"/>
          <w:right w:val="nil"/>
          <w:between w:val="nil"/>
          <w:bar w:val="nil"/>
        </w:pBdr>
        <w:spacing w:after="0" w:line="240" w:lineRule="auto"/>
        <w:jc w:val="both"/>
        <w:rPr>
          <w:rFonts w:ascii="Cambria" w:eastAsia="Cambria" w:hAnsi="Cambria" w:cs="Cambria"/>
          <w:color w:val="000000"/>
          <w:sz w:val="20"/>
          <w:szCs w:val="20"/>
          <w:u w:color="000000"/>
          <w:bdr w:val="nil"/>
          <w:lang w:val="es-ES_tradnl" w:eastAsia="es-ES"/>
        </w:rPr>
      </w:pPr>
    </w:p>
    <w:p w14:paraId="61267DB4" w14:textId="77777777" w:rsidR="00C5469C" w:rsidRPr="0058501F" w:rsidRDefault="00C5469C" w:rsidP="00470EC4">
      <w:pPr>
        <w:numPr>
          <w:ilvl w:val="0"/>
          <w:numId w:val="1"/>
        </w:numPr>
        <w:pBdr>
          <w:top w:val="nil"/>
          <w:left w:val="nil"/>
          <w:bottom w:val="nil"/>
          <w:right w:val="nil"/>
          <w:between w:val="nil"/>
          <w:bar w:val="nil"/>
        </w:pBdr>
        <w:spacing w:after="0" w:line="240" w:lineRule="auto"/>
        <w:ind w:firstLine="0"/>
        <w:jc w:val="both"/>
        <w:rPr>
          <w:rFonts w:ascii="Cambria" w:eastAsia="Cambria" w:hAnsi="Cambria" w:cs="Cambria"/>
          <w:color w:val="000000"/>
          <w:sz w:val="20"/>
          <w:szCs w:val="20"/>
          <w:u w:color="000000"/>
          <w:bdr w:val="nil"/>
          <w:lang w:val="es-ES_tradnl" w:eastAsia="es-ES"/>
        </w:rPr>
      </w:pPr>
      <w:r w:rsidRPr="0058501F">
        <w:rPr>
          <w:rFonts w:ascii="Cambria" w:eastAsia="Cambria" w:hAnsi="Cambria" w:cs="Cambria"/>
          <w:color w:val="000000"/>
          <w:sz w:val="20"/>
          <w:szCs w:val="20"/>
          <w:u w:color="000000"/>
          <w:bdr w:val="nil"/>
          <w:lang w:val="es-ES_tradnl" w:eastAsia="es-ES"/>
        </w:rPr>
        <w:t xml:space="preserve">Se señaló </w:t>
      </w:r>
      <w:proofErr w:type="gramStart"/>
      <w:r w:rsidRPr="0058501F">
        <w:rPr>
          <w:rFonts w:ascii="Cambria" w:eastAsia="Cambria" w:hAnsi="Cambria" w:cs="Cambria"/>
          <w:color w:val="000000"/>
          <w:sz w:val="20"/>
          <w:szCs w:val="20"/>
          <w:u w:color="000000"/>
          <w:bdr w:val="nil"/>
          <w:lang w:val="es-ES_tradnl" w:eastAsia="es-ES"/>
        </w:rPr>
        <w:t>que</w:t>
      </w:r>
      <w:proofErr w:type="gramEnd"/>
      <w:r w:rsidRPr="0058501F">
        <w:rPr>
          <w:rFonts w:ascii="Cambria" w:eastAsia="Cambria" w:hAnsi="Cambria" w:cs="Cambria"/>
          <w:color w:val="000000"/>
          <w:sz w:val="20"/>
          <w:szCs w:val="20"/>
          <w:u w:color="000000"/>
          <w:bdr w:val="nil"/>
          <w:lang w:val="es-ES_tradnl" w:eastAsia="es-ES"/>
        </w:rPr>
        <w:t xml:space="preserve"> en algún momento de la conferencia, la jueza Jones dijo que ciertos tipos de impugnaciones a la pena capital son “m</w:t>
      </w:r>
      <w:r w:rsidR="00540E3D" w:rsidRPr="0058501F">
        <w:rPr>
          <w:rFonts w:ascii="Cambria" w:eastAsia="Cambria" w:hAnsi="Cambria" w:cs="Cambria"/>
          <w:color w:val="000000"/>
          <w:sz w:val="20"/>
          <w:szCs w:val="20"/>
          <w:u w:color="000000"/>
          <w:bdr w:val="nil"/>
          <w:lang w:val="es-ES_tradnl" w:eastAsia="es-ES"/>
        </w:rPr>
        <w:t>aniobras de distracción</w:t>
      </w:r>
      <w:r w:rsidRPr="0058501F">
        <w:rPr>
          <w:rFonts w:ascii="Cambria" w:eastAsia="Cambria" w:hAnsi="Cambria" w:cs="Cambria"/>
          <w:color w:val="000000"/>
          <w:sz w:val="20"/>
          <w:szCs w:val="20"/>
          <w:u w:color="000000"/>
          <w:bdr w:val="nil"/>
          <w:lang w:val="es-ES_tradnl" w:eastAsia="es-ES"/>
        </w:rPr>
        <w:t>”, como las reclamaciones sobre discapacidad intelectual y el derecho a la notificación consular.</w:t>
      </w:r>
    </w:p>
    <w:p w14:paraId="1CB15A5A" w14:textId="77777777" w:rsidR="00C5469C" w:rsidRPr="0058501F" w:rsidRDefault="00C5469C" w:rsidP="00470EC4">
      <w:pPr>
        <w:pBdr>
          <w:top w:val="nil"/>
          <w:left w:val="nil"/>
          <w:bottom w:val="nil"/>
          <w:right w:val="nil"/>
          <w:between w:val="nil"/>
          <w:bar w:val="nil"/>
        </w:pBdr>
        <w:spacing w:after="0" w:line="240" w:lineRule="auto"/>
        <w:jc w:val="both"/>
        <w:rPr>
          <w:rFonts w:ascii="Cambria" w:eastAsia="Cambria" w:hAnsi="Cambria" w:cs="Cambria"/>
          <w:color w:val="000000"/>
          <w:sz w:val="20"/>
          <w:szCs w:val="20"/>
          <w:u w:color="000000"/>
          <w:bdr w:val="nil"/>
          <w:lang w:val="es-ES_tradnl" w:eastAsia="es-ES"/>
        </w:rPr>
      </w:pPr>
    </w:p>
    <w:p w14:paraId="5AE4011D" w14:textId="77777777" w:rsidR="00C5469C" w:rsidRPr="0058501F" w:rsidRDefault="00C5469C" w:rsidP="00470EC4">
      <w:pPr>
        <w:numPr>
          <w:ilvl w:val="0"/>
          <w:numId w:val="1"/>
        </w:numPr>
        <w:pBdr>
          <w:top w:val="nil"/>
          <w:left w:val="nil"/>
          <w:bottom w:val="nil"/>
          <w:right w:val="nil"/>
          <w:between w:val="nil"/>
          <w:bar w:val="nil"/>
        </w:pBdr>
        <w:spacing w:after="0" w:line="240" w:lineRule="auto"/>
        <w:ind w:firstLine="0"/>
        <w:jc w:val="both"/>
        <w:rPr>
          <w:rFonts w:ascii="Cambria" w:eastAsia="Cambria" w:hAnsi="Cambria" w:cs="Cambria"/>
          <w:color w:val="000000"/>
          <w:sz w:val="20"/>
          <w:szCs w:val="20"/>
          <w:u w:color="000000"/>
          <w:bdr w:val="nil"/>
          <w:lang w:val="es-ES_tradnl" w:eastAsia="es-ES"/>
        </w:rPr>
      </w:pPr>
      <w:r w:rsidRPr="0058501F">
        <w:rPr>
          <w:rFonts w:ascii="Cambria" w:eastAsia="Cambria" w:hAnsi="Cambria" w:cs="Cambria"/>
          <w:color w:val="000000"/>
          <w:sz w:val="20"/>
          <w:szCs w:val="20"/>
          <w:u w:color="000000"/>
          <w:bdr w:val="nil"/>
          <w:lang w:val="es-ES_tradnl" w:eastAsia="es-ES"/>
        </w:rPr>
        <w:t xml:space="preserve">Con respecto a la afirmación de que las palabras pronunciadas comunicaban prejuicios raciales, la jueza Jones reconoció que en su conferencia dijo que “lamentablemente, los afroamericanos parecen estar desproporcionadamente en el corredor de la muerte” y que “puede haber dicho” que “lamentablemente algunos grupos parecen cometer crímenes más atroces”, pero insiste en que ella “estaba hablando de datos estadísticos </w:t>
      </w:r>
      <w:r w:rsidRPr="0058501F">
        <w:rPr>
          <w:rFonts w:ascii="Cambria" w:eastAsia="Cambria" w:hAnsi="Cambria" w:cs="Cambria"/>
          <w:color w:val="000000"/>
          <w:sz w:val="20"/>
          <w:szCs w:val="20"/>
          <w:u w:color="000000"/>
          <w:bdr w:val="nil"/>
          <w:lang w:val="es-ES_tradnl" w:eastAsia="es-ES"/>
        </w:rPr>
        <w:lastRenderedPageBreak/>
        <w:t>... [y] no hablando de propensión a cometer delitos”. El Comité determinó que, basándose en los recuerdos de los testigos, no pudo encontrar que la Jueza Jones hiciera esos comentarios en sus observaciones iniciales; y que todo lo que dijo inicialmente, se aclaró dentro del período de preguntas y respuestas en el que ella aclaró que no se adhirió a tales puntos de vista. Además, se reconoció que, sin una explicación o salvedad, decir que ciertos grupos están “más involucrados en” o “cometen más” ciertos delitos puede sonar como decir que esos grupos son “propensos a cometer” tales delitos, pero el Comité razonó que, independientemente de que sus declaraciones estadísticas fueran o no exactas, o exactas sólo con salvedades, no indicaban por sí mismas prejuicios raciales o incapacidad para ser imparcial.</w:t>
      </w:r>
    </w:p>
    <w:p w14:paraId="780BAE3E" w14:textId="77777777" w:rsidR="00C5469C" w:rsidRPr="0058501F" w:rsidRDefault="00C5469C" w:rsidP="00470EC4">
      <w:pPr>
        <w:pBdr>
          <w:top w:val="nil"/>
          <w:left w:val="nil"/>
          <w:bottom w:val="nil"/>
          <w:right w:val="nil"/>
          <w:between w:val="nil"/>
          <w:bar w:val="nil"/>
        </w:pBdr>
        <w:spacing w:after="0" w:line="240" w:lineRule="auto"/>
        <w:jc w:val="both"/>
        <w:rPr>
          <w:rFonts w:ascii="Cambria" w:eastAsia="Cambria" w:hAnsi="Cambria" w:cs="Cambria"/>
          <w:color w:val="000000"/>
          <w:sz w:val="20"/>
          <w:szCs w:val="20"/>
          <w:u w:color="000000"/>
          <w:bdr w:val="nil"/>
          <w:lang w:val="es-ES_tradnl" w:eastAsia="es-ES"/>
        </w:rPr>
      </w:pPr>
    </w:p>
    <w:p w14:paraId="73287243" w14:textId="77777777" w:rsidR="00C5469C" w:rsidRPr="0058501F" w:rsidRDefault="00C5469C" w:rsidP="00470EC4">
      <w:pPr>
        <w:numPr>
          <w:ilvl w:val="0"/>
          <w:numId w:val="1"/>
        </w:numPr>
        <w:pBdr>
          <w:top w:val="nil"/>
          <w:left w:val="nil"/>
          <w:bottom w:val="nil"/>
          <w:right w:val="nil"/>
          <w:between w:val="nil"/>
          <w:bar w:val="nil"/>
        </w:pBdr>
        <w:spacing w:after="0" w:line="240" w:lineRule="auto"/>
        <w:ind w:firstLine="0"/>
        <w:jc w:val="both"/>
        <w:rPr>
          <w:rFonts w:ascii="Cambria" w:eastAsia="Cambria" w:hAnsi="Cambria" w:cs="Cambria"/>
          <w:color w:val="000000"/>
          <w:sz w:val="20"/>
          <w:szCs w:val="20"/>
          <w:u w:color="000000"/>
          <w:bdr w:val="nil"/>
          <w:lang w:val="es-ES_tradnl" w:eastAsia="es-ES"/>
        </w:rPr>
      </w:pPr>
      <w:r w:rsidRPr="0058501F">
        <w:rPr>
          <w:rFonts w:ascii="Cambria" w:eastAsia="Cambria" w:hAnsi="Cambria" w:cs="Cambria"/>
          <w:color w:val="000000"/>
          <w:sz w:val="20"/>
          <w:szCs w:val="20"/>
          <w:u w:color="000000"/>
          <w:bdr w:val="nil"/>
          <w:lang w:val="es-ES_tradnl" w:eastAsia="es-ES"/>
        </w:rPr>
        <w:t>En respuesta a una denuncia de declaraciones hechas por la jueza sobre que la discapacidad intelectual no puede ser una defensa, el Comité concluyó que ninguna declaración jurada o testigo reportó declaraciones hechas por la jueza Jones que hubieran apoyado este reclamo. El Comité señaló que la Jueza Jones explicó que al referirse al tipo de reclamo como un “</w:t>
      </w:r>
      <w:r w:rsidR="00540E3D" w:rsidRPr="0058501F">
        <w:rPr>
          <w:rFonts w:ascii="Cambria" w:eastAsia="Cambria" w:hAnsi="Cambria" w:cs="Cambria"/>
          <w:color w:val="000000"/>
          <w:sz w:val="20"/>
          <w:szCs w:val="20"/>
          <w:u w:color="000000"/>
          <w:bdr w:val="nil"/>
          <w:lang w:val="es-ES_tradnl" w:eastAsia="es-ES"/>
        </w:rPr>
        <w:t>maniobras de distracción</w:t>
      </w:r>
      <w:r w:rsidRPr="0058501F">
        <w:rPr>
          <w:rFonts w:ascii="Cambria" w:eastAsia="Cambria" w:hAnsi="Cambria" w:cs="Cambria"/>
          <w:color w:val="000000"/>
          <w:sz w:val="20"/>
          <w:szCs w:val="20"/>
          <w:u w:color="000000"/>
          <w:bdr w:val="nil"/>
          <w:lang w:val="es-ES_tradnl" w:eastAsia="es-ES"/>
        </w:rPr>
        <w:t>”, estaba describiendo un reclamo que, en su experiencia, rara vez tiene éxito; a lo que el Comité no encontró indicios de parcialidad o imparcialidad.</w:t>
      </w:r>
    </w:p>
    <w:p w14:paraId="71B46A59" w14:textId="77777777" w:rsidR="00C5469C" w:rsidRPr="0058501F" w:rsidRDefault="00C5469C" w:rsidP="00470EC4">
      <w:pPr>
        <w:pBdr>
          <w:top w:val="nil"/>
          <w:left w:val="nil"/>
          <w:bottom w:val="nil"/>
          <w:right w:val="nil"/>
          <w:between w:val="nil"/>
          <w:bar w:val="nil"/>
        </w:pBdr>
        <w:spacing w:after="0" w:line="240" w:lineRule="auto"/>
        <w:jc w:val="both"/>
        <w:rPr>
          <w:rFonts w:ascii="Cambria" w:eastAsia="Cambria" w:hAnsi="Cambria" w:cs="Cambria"/>
          <w:color w:val="000000"/>
          <w:sz w:val="20"/>
          <w:szCs w:val="20"/>
          <w:u w:color="000000"/>
          <w:bdr w:val="nil"/>
          <w:lang w:val="es-ES_tradnl" w:eastAsia="es-ES"/>
        </w:rPr>
      </w:pPr>
    </w:p>
    <w:p w14:paraId="3160DBD5" w14:textId="77777777" w:rsidR="00C5469C" w:rsidRPr="0058501F" w:rsidRDefault="00C5469C" w:rsidP="00470EC4">
      <w:pPr>
        <w:numPr>
          <w:ilvl w:val="0"/>
          <w:numId w:val="1"/>
        </w:numPr>
        <w:pBdr>
          <w:top w:val="nil"/>
          <w:left w:val="nil"/>
          <w:bottom w:val="nil"/>
          <w:right w:val="nil"/>
          <w:between w:val="nil"/>
          <w:bar w:val="nil"/>
        </w:pBdr>
        <w:spacing w:after="0" w:line="240" w:lineRule="auto"/>
        <w:ind w:firstLine="0"/>
        <w:jc w:val="both"/>
        <w:rPr>
          <w:rFonts w:ascii="Cambria" w:eastAsia="Cambria" w:hAnsi="Cambria" w:cs="Cambria"/>
          <w:color w:val="000000"/>
          <w:sz w:val="20"/>
          <w:szCs w:val="20"/>
          <w:u w:color="000000"/>
          <w:bdr w:val="nil"/>
          <w:lang w:val="es-ES_tradnl" w:eastAsia="es-ES"/>
        </w:rPr>
      </w:pPr>
      <w:r w:rsidRPr="0058501F">
        <w:rPr>
          <w:rFonts w:ascii="Cambria" w:eastAsia="Cambria" w:hAnsi="Cambria" w:cs="Cambria"/>
          <w:color w:val="000000"/>
          <w:sz w:val="20"/>
          <w:szCs w:val="20"/>
          <w:u w:color="000000"/>
          <w:bdr w:val="nil"/>
          <w:lang w:val="es-ES_tradnl" w:eastAsia="es-ES"/>
        </w:rPr>
        <w:t>Con respecto a una denuncia de que la jueza Jones “denigró el sistema de justicia de la nación de. . . México, los nacionales mexicanos y el uso de estándares internacionales en los casos de pena capital” el Comité consideró que las declaraciones de la jueza, evidenciadas por las declaraciones juradas, testigos y sus notas, expresaron el recuerdo de opiniones de una mayoría de la Corte Suprema sobre similares asuntos. Se razonó que la afirmación de la jueza Jones de que una defensa basada en la incapacidad del acusado para consultar con funcionarios consulares probablemente no tenga éxito, no se consideraría mala conducta. Además, el Comité afirmó que a un juez no se le impide declarar lo que ella percibe como las ventajas del sistema jurídico de su propio país sobre el de otros.</w:t>
      </w:r>
    </w:p>
    <w:p w14:paraId="6BDE4BD3" w14:textId="77777777" w:rsidR="00C5469C" w:rsidRPr="0058501F" w:rsidRDefault="00C5469C" w:rsidP="00470EC4">
      <w:pPr>
        <w:pBdr>
          <w:top w:val="nil"/>
          <w:left w:val="nil"/>
          <w:bottom w:val="nil"/>
          <w:right w:val="nil"/>
          <w:between w:val="nil"/>
          <w:bar w:val="nil"/>
        </w:pBdr>
        <w:spacing w:after="0" w:line="240" w:lineRule="auto"/>
        <w:jc w:val="both"/>
        <w:rPr>
          <w:rFonts w:ascii="Cambria" w:eastAsia="Cambria" w:hAnsi="Cambria" w:cs="Cambria"/>
          <w:color w:val="000000"/>
          <w:sz w:val="20"/>
          <w:szCs w:val="20"/>
          <w:u w:color="000000"/>
          <w:bdr w:val="nil"/>
          <w:lang w:val="es-ES_tradnl" w:eastAsia="es-ES"/>
        </w:rPr>
      </w:pPr>
    </w:p>
    <w:p w14:paraId="4A0FC880" w14:textId="77777777" w:rsidR="00C5469C" w:rsidRPr="0058501F" w:rsidRDefault="00C5469C" w:rsidP="00470EC4">
      <w:pPr>
        <w:numPr>
          <w:ilvl w:val="0"/>
          <w:numId w:val="1"/>
        </w:numPr>
        <w:pBdr>
          <w:top w:val="nil"/>
          <w:left w:val="nil"/>
          <w:bottom w:val="nil"/>
          <w:right w:val="nil"/>
          <w:between w:val="nil"/>
          <w:bar w:val="nil"/>
        </w:pBdr>
        <w:spacing w:after="0" w:line="240" w:lineRule="auto"/>
        <w:ind w:firstLine="0"/>
        <w:jc w:val="both"/>
        <w:rPr>
          <w:rFonts w:ascii="Cambria" w:eastAsia="Cambria" w:hAnsi="Cambria" w:cs="Cambria"/>
          <w:color w:val="000000"/>
          <w:sz w:val="20"/>
          <w:szCs w:val="20"/>
          <w:u w:color="000000"/>
          <w:bdr w:val="nil"/>
          <w:lang w:val="es-ES_tradnl" w:eastAsia="es-ES"/>
        </w:rPr>
      </w:pPr>
      <w:r w:rsidRPr="0058501F">
        <w:rPr>
          <w:rFonts w:ascii="Cambria" w:eastAsia="Cambria" w:hAnsi="Cambria" w:cs="Cambria"/>
          <w:color w:val="000000"/>
          <w:sz w:val="20"/>
          <w:szCs w:val="20"/>
          <w:u w:color="000000"/>
          <w:bdr w:val="nil"/>
          <w:lang w:val="es-ES_tradnl" w:eastAsia="es-ES"/>
        </w:rPr>
        <w:t>El Comité concluyó que, si bien encontró una serie de asuntos que involucraban a personas cuyos casos estaban pendientes o inminentes y fueron abordados dentro de la conferencia de la jueza, y que algunos de los comentarios de la jueza pudieron haber sido sobre el fondo de esos asuntos, los comentarios no violaron el código de conducta judicial porque se aplicó la excepción de presentaciones académicas. Además, concluyó que los comentarios no menoscaban la confianza del público en la integridad o imparcialidad del poder judicial y, por lo tanto, no violaban el código de conducta judicial ni constituían falta de conducta. La excepción de presentaciones académicas se refiere a una disposición dentro del código que hace una excepción para ofrecer tales comentarios en el contexto de “presentaciones académicas hechas con fines de educación jurídica”.</w:t>
      </w:r>
    </w:p>
    <w:p w14:paraId="3C1B49BA" w14:textId="14B0977D" w:rsidR="00540E3D" w:rsidRPr="0058501F" w:rsidRDefault="00540E3D" w:rsidP="00470EC4">
      <w:pPr>
        <w:pStyle w:val="Heading1"/>
        <w:ind w:left="450" w:hanging="450"/>
        <w:rPr>
          <w:rFonts w:ascii="Cambria" w:eastAsia="SimSun" w:hAnsi="Cambria"/>
          <w:sz w:val="20"/>
          <w:szCs w:val="20"/>
          <w:bdr w:val="nil"/>
          <w:lang w:val="es-ES_tradnl"/>
        </w:rPr>
      </w:pPr>
      <w:bookmarkStart w:id="13" w:name="_Toc90117837"/>
      <w:r w:rsidRPr="0058501F">
        <w:rPr>
          <w:rFonts w:ascii="Cambria" w:eastAsia="SimSun" w:hAnsi="Cambria"/>
          <w:sz w:val="20"/>
          <w:szCs w:val="20"/>
          <w:bdr w:val="nil"/>
          <w:lang w:val="es-ES_tradnl"/>
        </w:rPr>
        <w:t xml:space="preserve">V. </w:t>
      </w:r>
      <w:r w:rsidR="00470EC4">
        <w:rPr>
          <w:rFonts w:ascii="Cambria" w:eastAsia="SimSun" w:hAnsi="Cambria"/>
          <w:sz w:val="20"/>
          <w:szCs w:val="20"/>
          <w:bdr w:val="nil"/>
          <w:lang w:val="es-ES_tradnl"/>
        </w:rPr>
        <w:t xml:space="preserve"> </w:t>
      </w:r>
      <w:r w:rsidR="00666042">
        <w:rPr>
          <w:rFonts w:ascii="Cambria" w:eastAsia="SimSun" w:hAnsi="Cambria"/>
          <w:sz w:val="20"/>
          <w:szCs w:val="20"/>
          <w:bdr w:val="nil"/>
          <w:lang w:val="es-ES_tradnl"/>
        </w:rPr>
        <w:tab/>
      </w:r>
      <w:r w:rsidR="0058501F" w:rsidRPr="0058501F">
        <w:rPr>
          <w:rFonts w:ascii="Cambria" w:eastAsia="SimSun" w:hAnsi="Cambria"/>
          <w:sz w:val="20"/>
          <w:szCs w:val="20"/>
          <w:bdr w:val="nil"/>
          <w:lang w:val="es-ES_tradnl"/>
        </w:rPr>
        <w:t>ANÁLISIS</w:t>
      </w:r>
      <w:r w:rsidRPr="0058501F">
        <w:rPr>
          <w:rFonts w:ascii="Cambria" w:eastAsia="SimSun" w:hAnsi="Cambria"/>
          <w:sz w:val="20"/>
          <w:szCs w:val="20"/>
          <w:bdr w:val="nil"/>
          <w:lang w:val="es-ES_tradnl"/>
        </w:rPr>
        <w:t xml:space="preserve"> DE DERECHO</w:t>
      </w:r>
      <w:bookmarkEnd w:id="13"/>
    </w:p>
    <w:p w14:paraId="7DE832DE" w14:textId="77777777" w:rsidR="00540E3D" w:rsidRPr="0058501F" w:rsidRDefault="00540E3D" w:rsidP="00470EC4">
      <w:pPr>
        <w:pStyle w:val="Heading2"/>
        <w:numPr>
          <w:ilvl w:val="0"/>
          <w:numId w:val="20"/>
        </w:numPr>
        <w:tabs>
          <w:tab w:val="left" w:pos="450"/>
        </w:tabs>
        <w:ind w:left="0" w:firstLine="0"/>
        <w:rPr>
          <w:rFonts w:ascii="Cambria" w:eastAsia="SimSun" w:hAnsi="Cambria"/>
          <w:i w:val="0"/>
          <w:iCs w:val="0"/>
          <w:sz w:val="20"/>
          <w:szCs w:val="20"/>
          <w:bdr w:val="nil"/>
          <w:lang w:val="es-ES_tradnl"/>
        </w:rPr>
      </w:pPr>
      <w:bookmarkStart w:id="14" w:name="_Toc90117838"/>
      <w:r w:rsidRPr="0058501F">
        <w:rPr>
          <w:rFonts w:ascii="Cambria" w:eastAsia="SimSun" w:hAnsi="Cambria"/>
          <w:i w:val="0"/>
          <w:iCs w:val="0"/>
          <w:sz w:val="20"/>
          <w:szCs w:val="20"/>
          <w:bdr w:val="nil"/>
          <w:lang w:val="es-ES_tradnl"/>
        </w:rPr>
        <w:t>Consideraciones preliminares</w:t>
      </w:r>
      <w:bookmarkEnd w:id="14"/>
    </w:p>
    <w:p w14:paraId="4FF467BB" w14:textId="77777777" w:rsidR="00540E3D" w:rsidRPr="0058501F" w:rsidRDefault="00540E3D" w:rsidP="00470EC4">
      <w:pPr>
        <w:pBdr>
          <w:top w:val="nil"/>
          <w:left w:val="nil"/>
          <w:bottom w:val="nil"/>
          <w:right w:val="nil"/>
          <w:between w:val="nil"/>
          <w:bar w:val="nil"/>
        </w:pBdr>
        <w:spacing w:after="0" w:line="240" w:lineRule="auto"/>
        <w:rPr>
          <w:rFonts w:ascii="Cambria" w:eastAsia="Cambria" w:hAnsi="Cambria" w:cs="Cambria"/>
          <w:color w:val="000000"/>
          <w:sz w:val="20"/>
          <w:szCs w:val="20"/>
          <w:u w:color="000000"/>
          <w:bdr w:val="nil"/>
          <w:lang w:val="es-ES_tradnl" w:eastAsia="es-ES"/>
        </w:rPr>
      </w:pPr>
    </w:p>
    <w:p w14:paraId="6E3C5F27" w14:textId="77777777" w:rsidR="00540E3D" w:rsidRPr="0058501F" w:rsidRDefault="00540E3D" w:rsidP="00470EC4">
      <w:pPr>
        <w:numPr>
          <w:ilvl w:val="0"/>
          <w:numId w:val="1"/>
        </w:numPr>
        <w:pBdr>
          <w:top w:val="nil"/>
          <w:left w:val="nil"/>
          <w:bottom w:val="nil"/>
          <w:right w:val="nil"/>
          <w:between w:val="nil"/>
          <w:bar w:val="nil"/>
        </w:pBdr>
        <w:tabs>
          <w:tab w:val="left" w:pos="360"/>
          <w:tab w:val="left" w:pos="1440"/>
        </w:tabs>
        <w:spacing w:after="0" w:line="240" w:lineRule="auto"/>
        <w:ind w:firstLine="0"/>
        <w:jc w:val="both"/>
        <w:rPr>
          <w:rFonts w:ascii="Cambria" w:eastAsia="Arial Unicode MS" w:hAnsi="Cambria"/>
          <w:color w:val="000000"/>
          <w:sz w:val="20"/>
          <w:szCs w:val="20"/>
          <w:bdr w:val="nil"/>
          <w:lang w:val="es-ES_tradnl"/>
        </w:rPr>
      </w:pPr>
      <w:r w:rsidRPr="0058501F">
        <w:rPr>
          <w:rFonts w:ascii="Cambria" w:eastAsia="Arial Unicode MS" w:hAnsi="Cambria"/>
          <w:color w:val="000000"/>
          <w:sz w:val="20"/>
          <w:szCs w:val="20"/>
          <w:bdr w:val="nil"/>
          <w:lang w:val="es-ES_tradnl"/>
        </w:rPr>
        <w:t xml:space="preserve">Antes de emprender su análisis de fondo en el caso de Ramiro Ibarra </w:t>
      </w:r>
      <w:proofErr w:type="spellStart"/>
      <w:r w:rsidRPr="0058501F">
        <w:rPr>
          <w:rFonts w:ascii="Cambria" w:eastAsia="Arial Unicode MS" w:hAnsi="Cambria"/>
          <w:color w:val="000000"/>
          <w:sz w:val="20"/>
          <w:szCs w:val="20"/>
          <w:bdr w:val="nil"/>
          <w:lang w:val="es-ES_tradnl"/>
        </w:rPr>
        <w:t>Ibarra</w:t>
      </w:r>
      <w:proofErr w:type="spellEnd"/>
      <w:r w:rsidRPr="0058501F">
        <w:rPr>
          <w:rFonts w:ascii="Cambria" w:eastAsia="Arial Unicode MS" w:hAnsi="Cambria"/>
          <w:color w:val="000000"/>
          <w:sz w:val="20"/>
          <w:szCs w:val="20"/>
          <w:bdr w:val="nil"/>
          <w:lang w:val="es-ES_tradnl"/>
        </w:rPr>
        <w:t>, la Comisión Interamericana reitera sus decisiones previas sobre el escrutinio más riguroso que debe utilizarse en los casos relacionados con la pena de muerte. El derecho a la vida ha recibido un amplio reconocimiento como derecho humano supremo y como condición sine qua non para el disfrute de todos los demás derechos.</w:t>
      </w:r>
    </w:p>
    <w:p w14:paraId="1D1B3C6D" w14:textId="77777777" w:rsidR="00540E3D" w:rsidRPr="0058501F" w:rsidRDefault="00540E3D" w:rsidP="00470EC4">
      <w:pPr>
        <w:spacing w:after="0" w:line="240" w:lineRule="auto"/>
        <w:jc w:val="both"/>
        <w:rPr>
          <w:rFonts w:ascii="Cambria" w:eastAsia="Arial Unicode MS" w:hAnsi="Cambria"/>
          <w:sz w:val="20"/>
          <w:szCs w:val="20"/>
          <w:bdr w:val="nil"/>
          <w:lang w:val="es-ES_tradnl"/>
        </w:rPr>
      </w:pPr>
    </w:p>
    <w:p w14:paraId="38E9F2BF" w14:textId="77777777" w:rsidR="00540E3D" w:rsidRPr="0058501F" w:rsidRDefault="00540E3D" w:rsidP="00470EC4">
      <w:pPr>
        <w:numPr>
          <w:ilvl w:val="0"/>
          <w:numId w:val="1"/>
        </w:numPr>
        <w:pBdr>
          <w:top w:val="nil"/>
          <w:left w:val="nil"/>
          <w:bottom w:val="nil"/>
          <w:right w:val="nil"/>
          <w:between w:val="nil"/>
          <w:bar w:val="nil"/>
        </w:pBdr>
        <w:tabs>
          <w:tab w:val="left" w:pos="360"/>
          <w:tab w:val="left" w:pos="1440"/>
        </w:tabs>
        <w:spacing w:after="0" w:line="240" w:lineRule="auto"/>
        <w:ind w:firstLine="0"/>
        <w:jc w:val="both"/>
        <w:rPr>
          <w:rFonts w:ascii="Cambria" w:eastAsia="Arial Unicode MS" w:hAnsi="Cambria"/>
          <w:color w:val="000000"/>
          <w:sz w:val="20"/>
          <w:szCs w:val="20"/>
          <w:bdr w:val="nil"/>
          <w:lang w:val="es-ES_tradnl"/>
        </w:rPr>
      </w:pPr>
      <w:r w:rsidRPr="0058501F">
        <w:rPr>
          <w:rFonts w:ascii="Cambria" w:eastAsia="Arial Unicode MS" w:hAnsi="Cambria"/>
          <w:color w:val="000000"/>
          <w:sz w:val="20"/>
          <w:szCs w:val="20"/>
          <w:bdr w:val="nil"/>
          <w:lang w:val="es-ES_tradnl"/>
        </w:rPr>
        <w:t>Ello da lugar a la particular importancia de la obligación de la CIDH de asegurar que cualquier denegación de la vida que pueda derivarse de la ejecución de la pena de muerte cumpla estrictamente con los requisitos establecidos en los instrumentos aplicables del sistema interamericano de derechos humanos, incluida la Declaración Americana. Ese mayor escrutinio es coherente con el enfoque restrictivo adoptado por otros organismos internacionales de derechos humanos en casos de imposición de la pena de muerte,</w:t>
      </w:r>
      <w:r w:rsidRPr="0058501F">
        <w:rPr>
          <w:rFonts w:ascii="Cambria" w:eastAsia="Arial Unicode MS" w:hAnsi="Cambria"/>
          <w:color w:val="000000"/>
          <w:sz w:val="20"/>
          <w:szCs w:val="20"/>
          <w:bdr w:val="nil"/>
          <w:vertAlign w:val="superscript"/>
          <w:lang w:val="es-ES_tradnl"/>
        </w:rPr>
        <w:footnoteReference w:id="42"/>
      </w:r>
      <w:r w:rsidRPr="0058501F">
        <w:rPr>
          <w:rFonts w:ascii="Cambria" w:eastAsia="Arial Unicode MS" w:hAnsi="Cambria"/>
          <w:color w:val="000000"/>
          <w:sz w:val="20"/>
          <w:szCs w:val="20"/>
          <w:bdr w:val="nil"/>
          <w:lang w:val="es-ES_tradnl"/>
        </w:rPr>
        <w:t xml:space="preserve"> y ha sido </w:t>
      </w:r>
      <w:r w:rsidRPr="0058501F">
        <w:rPr>
          <w:rFonts w:ascii="Cambria" w:eastAsia="Arial Unicode MS" w:hAnsi="Cambria"/>
          <w:color w:val="000000"/>
          <w:sz w:val="20"/>
          <w:szCs w:val="20"/>
          <w:bdr w:val="nil"/>
          <w:lang w:val="es-ES_tradnl"/>
        </w:rPr>
        <w:lastRenderedPageBreak/>
        <w:t>planteado y aplicado por la Comisión Interamericana en casos anteriores de pena de muerte presentados ante ella</w:t>
      </w:r>
      <w:r w:rsidRPr="0058501F">
        <w:rPr>
          <w:rFonts w:ascii="Cambria" w:eastAsia="Arial Unicode MS" w:hAnsi="Cambria"/>
          <w:color w:val="000000"/>
          <w:sz w:val="20"/>
          <w:szCs w:val="20"/>
          <w:bdr w:val="nil"/>
          <w:vertAlign w:val="superscript"/>
          <w:lang w:val="es-ES_tradnl"/>
        </w:rPr>
        <w:footnoteReference w:id="43"/>
      </w:r>
      <w:r w:rsidRPr="0058501F">
        <w:rPr>
          <w:rFonts w:ascii="Cambria" w:eastAsia="Arial Unicode MS" w:hAnsi="Cambria"/>
          <w:color w:val="000000"/>
          <w:sz w:val="20"/>
          <w:szCs w:val="20"/>
          <w:bdr w:val="nil"/>
          <w:lang w:val="es-ES_tradnl"/>
        </w:rPr>
        <w:t>. Como ha explicado la Comisión Interamericana, este estándar de revisión es la consecuencia necesaria de la pena específica en cuestión y del derecho a un juicio justo y a todas las garantías del debido proceso, entre otros.</w:t>
      </w:r>
      <w:r w:rsidRPr="0058501F">
        <w:rPr>
          <w:rFonts w:ascii="Cambria" w:eastAsia="Arial Unicode MS" w:hAnsi="Cambria"/>
          <w:color w:val="000000"/>
          <w:sz w:val="20"/>
          <w:szCs w:val="20"/>
          <w:bdr w:val="nil"/>
          <w:vertAlign w:val="superscript"/>
          <w:lang w:val="es-ES_tradnl"/>
        </w:rPr>
        <w:footnoteReference w:id="44"/>
      </w:r>
      <w:r w:rsidRPr="0058501F">
        <w:rPr>
          <w:rFonts w:ascii="Cambria" w:eastAsia="Arial Unicode MS" w:hAnsi="Cambria"/>
          <w:color w:val="000000"/>
          <w:sz w:val="20"/>
          <w:szCs w:val="20"/>
          <w:bdr w:val="nil"/>
          <w:lang w:val="es-ES_tradnl"/>
        </w:rPr>
        <w:t xml:space="preserve"> En palabras de la Comisión:</w:t>
      </w:r>
    </w:p>
    <w:p w14:paraId="0212585E" w14:textId="77777777" w:rsidR="00540E3D" w:rsidRPr="0058501F" w:rsidRDefault="00540E3D" w:rsidP="00540E3D">
      <w:pPr>
        <w:pBdr>
          <w:top w:val="nil"/>
          <w:left w:val="nil"/>
          <w:bottom w:val="nil"/>
          <w:right w:val="nil"/>
          <w:between w:val="nil"/>
          <w:bar w:val="nil"/>
        </w:pBdr>
        <w:spacing w:after="0" w:line="240" w:lineRule="auto"/>
        <w:ind w:left="720"/>
        <w:rPr>
          <w:rFonts w:ascii="Cambria" w:eastAsia="Cambria" w:hAnsi="Cambria" w:cs="Cambria"/>
          <w:color w:val="000000"/>
          <w:sz w:val="20"/>
          <w:szCs w:val="20"/>
          <w:u w:color="000000"/>
          <w:bdr w:val="nil"/>
          <w:lang w:val="es-ES_tradnl" w:eastAsia="es-ES"/>
        </w:rPr>
      </w:pPr>
    </w:p>
    <w:p w14:paraId="14D4AC7F" w14:textId="77777777" w:rsidR="00540E3D" w:rsidRPr="0058501F" w:rsidRDefault="00540E3D" w:rsidP="00540E3D">
      <w:pPr>
        <w:pBdr>
          <w:top w:val="nil"/>
          <w:left w:val="nil"/>
          <w:bottom w:val="nil"/>
          <w:right w:val="nil"/>
          <w:between w:val="nil"/>
          <w:bar w:val="nil"/>
        </w:pBdr>
        <w:autoSpaceDE w:val="0"/>
        <w:autoSpaceDN w:val="0"/>
        <w:adjustRightInd w:val="0"/>
        <w:spacing w:after="0" w:line="240" w:lineRule="auto"/>
        <w:ind w:left="360" w:right="360"/>
        <w:jc w:val="both"/>
        <w:rPr>
          <w:rFonts w:ascii="Cambria" w:eastAsia="Arial Unicode MS" w:hAnsi="Cambria" w:cs="Calibri"/>
          <w:sz w:val="18"/>
          <w:szCs w:val="18"/>
          <w:bdr w:val="nil"/>
          <w:lang w:val="es-ES_tradnl"/>
        </w:rPr>
      </w:pPr>
      <w:r w:rsidRPr="0058501F">
        <w:rPr>
          <w:rFonts w:ascii="Cambria" w:eastAsia="Arial Unicode MS" w:hAnsi="Cambria" w:cs="Calibri"/>
          <w:sz w:val="18"/>
          <w:szCs w:val="18"/>
          <w:bdr w:val="nil"/>
          <w:lang w:val="es-ES_tradnl"/>
        </w:rPr>
        <w:t>debido en parte a su carácter irrevocable e irreversible, la pena de muerte es una forma de castigo que se diferencia sustancialmente y en grado de otros medios de castigo, por lo cual reclama una certeza particularmente rigurosa en la determinación de la responsabilidad de una persona por un delito que comporta la pena de muerte.</w:t>
      </w:r>
      <w:r w:rsidRPr="0058501F">
        <w:rPr>
          <w:rFonts w:ascii="Cambria" w:eastAsia="Arial Unicode MS" w:hAnsi="Cambria"/>
          <w:sz w:val="18"/>
          <w:szCs w:val="18"/>
          <w:bdr w:val="nil"/>
          <w:vertAlign w:val="superscript"/>
          <w:lang w:val="es-ES_tradnl"/>
        </w:rPr>
        <w:footnoteReference w:id="45"/>
      </w:r>
    </w:p>
    <w:p w14:paraId="3DEA4D45" w14:textId="77777777" w:rsidR="00540E3D" w:rsidRPr="0058501F" w:rsidRDefault="00540E3D" w:rsidP="00540E3D">
      <w:pPr>
        <w:pBdr>
          <w:top w:val="nil"/>
          <w:left w:val="nil"/>
          <w:bottom w:val="nil"/>
          <w:right w:val="nil"/>
          <w:between w:val="nil"/>
          <w:bar w:val="nil"/>
        </w:pBdr>
        <w:spacing w:after="0" w:line="240" w:lineRule="auto"/>
        <w:jc w:val="both"/>
        <w:rPr>
          <w:rFonts w:ascii="Cambria" w:eastAsia="Arial Unicode MS" w:hAnsi="Cambria"/>
          <w:sz w:val="20"/>
          <w:szCs w:val="20"/>
          <w:bdr w:val="nil"/>
          <w:lang w:val="es-ES_tradnl"/>
        </w:rPr>
      </w:pPr>
    </w:p>
    <w:p w14:paraId="60A32555" w14:textId="77777777" w:rsidR="00540E3D" w:rsidRPr="0058501F" w:rsidRDefault="00540E3D" w:rsidP="00470EC4">
      <w:pPr>
        <w:numPr>
          <w:ilvl w:val="0"/>
          <w:numId w:val="1"/>
        </w:numPr>
        <w:pBdr>
          <w:top w:val="nil"/>
          <w:left w:val="nil"/>
          <w:bottom w:val="nil"/>
          <w:right w:val="nil"/>
          <w:between w:val="nil"/>
          <w:bar w:val="nil"/>
        </w:pBdr>
        <w:tabs>
          <w:tab w:val="left" w:pos="360"/>
        </w:tabs>
        <w:spacing w:after="0" w:line="240" w:lineRule="auto"/>
        <w:ind w:firstLine="0"/>
        <w:jc w:val="both"/>
        <w:rPr>
          <w:rFonts w:ascii="Cambria" w:eastAsia="Arial Unicode MS" w:hAnsi="Cambria"/>
          <w:sz w:val="20"/>
          <w:szCs w:val="20"/>
          <w:bdr w:val="nil"/>
          <w:lang w:val="es-ES_tradnl"/>
        </w:rPr>
      </w:pPr>
      <w:r w:rsidRPr="0058501F">
        <w:rPr>
          <w:rFonts w:ascii="Cambria" w:eastAsia="Arial Unicode MS" w:hAnsi="Cambria"/>
          <w:sz w:val="20"/>
          <w:szCs w:val="20"/>
          <w:bdr w:val="nil"/>
          <w:lang w:val="es-ES_tradnl"/>
        </w:rPr>
        <w:t>Por lo tanto, la Comisión Interamericana revisará las alegaciones del peticionario en el presente caso con un mayor nivel de escrutinio, para asegurar en particular que los derechos a la vida, a no recibir penas crueles, infamantes o inusuales, al proceso regular y a un juicio justo según lo prescrito en la Declaración Americana, han sido respetados por el Estado. Con respecto al estatus legal de la Declaración Americana, la CIDH reitera que:</w:t>
      </w:r>
      <w:r w:rsidRPr="0058501F">
        <w:rPr>
          <w:rFonts w:ascii="Cambria" w:eastAsia="Times New Roman" w:hAnsi="Cambria"/>
          <w:sz w:val="20"/>
          <w:szCs w:val="20"/>
          <w:vertAlign w:val="superscript"/>
          <w:lang w:val="es-ES_tradnl"/>
        </w:rPr>
        <w:t xml:space="preserve"> </w:t>
      </w:r>
      <w:r w:rsidRPr="0058501F">
        <w:rPr>
          <w:rFonts w:ascii="Cambria" w:eastAsia="Times New Roman" w:hAnsi="Cambria"/>
          <w:sz w:val="20"/>
          <w:szCs w:val="20"/>
          <w:vertAlign w:val="superscript"/>
          <w:lang w:val="es-ES_tradnl"/>
        </w:rPr>
        <w:footnoteReference w:id="46"/>
      </w:r>
    </w:p>
    <w:p w14:paraId="6DDC22D7" w14:textId="77777777" w:rsidR="00540E3D" w:rsidRPr="0058501F" w:rsidRDefault="00540E3D" w:rsidP="00540E3D">
      <w:pPr>
        <w:pBdr>
          <w:top w:val="nil"/>
          <w:left w:val="nil"/>
          <w:bottom w:val="nil"/>
          <w:right w:val="nil"/>
          <w:between w:val="nil"/>
          <w:bar w:val="nil"/>
        </w:pBdr>
        <w:tabs>
          <w:tab w:val="left" w:pos="630"/>
          <w:tab w:val="left" w:pos="810"/>
        </w:tabs>
        <w:autoSpaceDE w:val="0"/>
        <w:autoSpaceDN w:val="0"/>
        <w:adjustRightInd w:val="0"/>
        <w:spacing w:after="0" w:line="240" w:lineRule="auto"/>
        <w:jc w:val="both"/>
        <w:rPr>
          <w:rFonts w:ascii="Cambria" w:eastAsia="Arial Unicode MS" w:hAnsi="Cambria" w:cs="Calibri"/>
          <w:sz w:val="20"/>
          <w:szCs w:val="20"/>
          <w:bdr w:val="nil"/>
          <w:lang w:val="es-ES_tradnl"/>
        </w:rPr>
      </w:pPr>
    </w:p>
    <w:p w14:paraId="313180B3" w14:textId="77777777" w:rsidR="00540E3D" w:rsidRPr="0058501F" w:rsidRDefault="00540E3D" w:rsidP="00540E3D">
      <w:pPr>
        <w:pBdr>
          <w:top w:val="nil"/>
          <w:left w:val="nil"/>
          <w:bottom w:val="nil"/>
          <w:right w:val="nil"/>
          <w:between w:val="nil"/>
          <w:bar w:val="nil"/>
        </w:pBdr>
        <w:tabs>
          <w:tab w:val="left" w:pos="630"/>
          <w:tab w:val="left" w:pos="810"/>
        </w:tabs>
        <w:autoSpaceDE w:val="0"/>
        <w:autoSpaceDN w:val="0"/>
        <w:adjustRightInd w:val="0"/>
        <w:spacing w:after="0" w:line="240" w:lineRule="auto"/>
        <w:ind w:left="360" w:right="360"/>
        <w:jc w:val="both"/>
        <w:rPr>
          <w:rFonts w:ascii="Cambria" w:eastAsia="Arial Unicode MS" w:hAnsi="Cambria"/>
          <w:sz w:val="18"/>
          <w:szCs w:val="18"/>
          <w:bdr w:val="nil"/>
          <w:lang w:val="es-ES_tradnl"/>
        </w:rPr>
      </w:pPr>
      <w:r w:rsidRPr="0058501F">
        <w:rPr>
          <w:rFonts w:ascii="Cambria" w:eastAsia="Arial Unicode MS" w:hAnsi="Cambria"/>
          <w:sz w:val="18"/>
          <w:szCs w:val="18"/>
          <w:bdr w:val="nil"/>
          <w:lang w:val="es-ES_tradnl"/>
        </w:rPr>
        <w:t>Para los Estados Miembros que no son parte de la Convención Americana, la Declaración es la fuente de obligaciones internacionales relacionadas con la Carta de la OEA. La Carta de la Organización confirió a la CIDH la función principal de promover la observancia y la protección de los derechos humanos en los Estados Miembros. El artículo 106 de la Carta de la OEA, sin embargo, no enumera o define esos derechos. La Asamblea General de la OEA, en su noveno período ordinario de sesiones celebrado en La Paz, Bolivia, en octubre de 1979, convino en que esos derechos son aquellos enunciados y definidos en la Declaración Americana. Por lo tanto, la Declaración Americana cristaliza los principios fundamentales reconocidos por los Estados americanos. La Asamblea General de la OEA también ha reconocido repetidamente que la Declaración constituye una fuente de obligaciones internacionales para los Estados Miembros de la OEA.</w:t>
      </w:r>
    </w:p>
    <w:p w14:paraId="532330C3" w14:textId="77777777" w:rsidR="00540E3D" w:rsidRPr="0058501F" w:rsidRDefault="00540E3D" w:rsidP="00540E3D">
      <w:pPr>
        <w:pBdr>
          <w:top w:val="nil"/>
          <w:left w:val="nil"/>
          <w:bottom w:val="nil"/>
          <w:right w:val="nil"/>
          <w:between w:val="nil"/>
          <w:bar w:val="nil"/>
        </w:pBdr>
        <w:spacing w:after="0" w:line="240" w:lineRule="auto"/>
        <w:ind w:left="720"/>
        <w:rPr>
          <w:rFonts w:ascii="Cambria" w:eastAsia="Cambria" w:hAnsi="Cambria" w:cs="Cambria"/>
          <w:color w:val="000000"/>
          <w:sz w:val="20"/>
          <w:szCs w:val="20"/>
          <w:u w:color="000000"/>
          <w:bdr w:val="nil"/>
          <w:lang w:val="es-ES_tradnl" w:eastAsia="es-ES"/>
        </w:rPr>
      </w:pPr>
    </w:p>
    <w:p w14:paraId="08128B99" w14:textId="77777777" w:rsidR="00540E3D" w:rsidRPr="0058501F" w:rsidRDefault="00540E3D" w:rsidP="00470EC4">
      <w:pPr>
        <w:numPr>
          <w:ilvl w:val="0"/>
          <w:numId w:val="1"/>
        </w:numPr>
        <w:pBdr>
          <w:top w:val="nil"/>
          <w:left w:val="nil"/>
          <w:bottom w:val="nil"/>
          <w:right w:val="nil"/>
          <w:between w:val="nil"/>
          <w:bar w:val="nil"/>
        </w:pBdr>
        <w:tabs>
          <w:tab w:val="left" w:pos="360"/>
        </w:tabs>
        <w:spacing w:after="0" w:line="240" w:lineRule="auto"/>
        <w:ind w:firstLine="0"/>
        <w:jc w:val="both"/>
        <w:rPr>
          <w:rFonts w:ascii="Cambria" w:eastAsia="Arial Unicode MS" w:hAnsi="Cambria"/>
          <w:sz w:val="20"/>
          <w:szCs w:val="20"/>
          <w:bdr w:val="nil"/>
          <w:lang w:val="es-ES_tradnl"/>
        </w:rPr>
      </w:pPr>
      <w:r w:rsidRPr="0058501F">
        <w:rPr>
          <w:rFonts w:ascii="Cambria" w:eastAsia="Arial Unicode MS" w:hAnsi="Cambria"/>
          <w:sz w:val="20"/>
          <w:szCs w:val="20"/>
          <w:bdr w:val="nil"/>
          <w:lang w:val="es-ES_tradnl"/>
        </w:rPr>
        <w:t>Finalmente, la Comisión recuerda que su revisión no consiste en determinar que la pena de muerte en sí misma viola la Declaración Americana. Lo que esta sección aborda es el estándar de revisión de las presuntas violaciones de derechos humanos en el contexto de un proceso penal en un caso que involucra la aplicación de la pena de muerte.</w:t>
      </w:r>
    </w:p>
    <w:p w14:paraId="7F64D67A" w14:textId="77777777" w:rsidR="00540E3D" w:rsidRPr="0058501F" w:rsidRDefault="00540E3D" w:rsidP="00470EC4">
      <w:pPr>
        <w:pStyle w:val="Heading2"/>
        <w:numPr>
          <w:ilvl w:val="0"/>
          <w:numId w:val="20"/>
        </w:numPr>
        <w:ind w:left="360"/>
        <w:rPr>
          <w:rFonts w:ascii="Cambria" w:eastAsia="SimSun" w:hAnsi="Cambria"/>
          <w:i w:val="0"/>
          <w:iCs w:val="0"/>
          <w:sz w:val="20"/>
          <w:szCs w:val="20"/>
          <w:bdr w:val="nil"/>
          <w:lang w:val="es-ES_tradnl"/>
        </w:rPr>
      </w:pPr>
      <w:bookmarkStart w:id="15" w:name="_Toc68863894"/>
      <w:bookmarkStart w:id="16" w:name="_Toc90117839"/>
      <w:r w:rsidRPr="0058501F">
        <w:rPr>
          <w:rFonts w:ascii="Cambria" w:eastAsia="SimSun" w:hAnsi="Cambria"/>
          <w:i w:val="0"/>
          <w:iCs w:val="0"/>
          <w:sz w:val="20"/>
          <w:szCs w:val="20"/>
          <w:bdr w:val="nil"/>
          <w:lang w:val="es-ES_tradnl"/>
        </w:rPr>
        <w:t>Derecho de justicia</w:t>
      </w:r>
      <w:r w:rsidRPr="0058501F">
        <w:rPr>
          <w:rFonts w:ascii="Cambria" w:eastAsia="SimSun" w:hAnsi="Cambria"/>
          <w:i w:val="0"/>
          <w:iCs w:val="0"/>
          <w:sz w:val="20"/>
          <w:szCs w:val="20"/>
          <w:bdr w:val="nil"/>
          <w:vertAlign w:val="superscript"/>
          <w:lang w:val="es-ES_tradnl"/>
        </w:rPr>
        <w:footnoteReference w:id="47"/>
      </w:r>
      <w:r w:rsidRPr="0058501F">
        <w:rPr>
          <w:rFonts w:ascii="Cambria" w:eastAsia="SimSun" w:hAnsi="Cambria"/>
          <w:i w:val="0"/>
          <w:iCs w:val="0"/>
          <w:sz w:val="20"/>
          <w:szCs w:val="20"/>
          <w:bdr w:val="nil"/>
          <w:lang w:val="es-ES_tradnl"/>
        </w:rPr>
        <w:t xml:space="preserve"> y derecho a un proceso regular</w:t>
      </w:r>
      <w:r w:rsidRPr="0058501F">
        <w:rPr>
          <w:rFonts w:ascii="Cambria" w:eastAsia="SimSun" w:hAnsi="Cambria"/>
          <w:i w:val="0"/>
          <w:iCs w:val="0"/>
          <w:sz w:val="20"/>
          <w:szCs w:val="20"/>
          <w:bdr w:val="nil"/>
          <w:vertAlign w:val="superscript"/>
          <w:lang w:val="es-ES_tradnl"/>
        </w:rPr>
        <w:footnoteReference w:id="48"/>
      </w:r>
      <w:bookmarkEnd w:id="15"/>
      <w:bookmarkEnd w:id="16"/>
      <w:r w:rsidRPr="0058501F">
        <w:rPr>
          <w:rFonts w:ascii="Cambria" w:eastAsia="SimSun" w:hAnsi="Cambria"/>
          <w:i w:val="0"/>
          <w:iCs w:val="0"/>
          <w:sz w:val="20"/>
          <w:szCs w:val="20"/>
          <w:bdr w:val="nil"/>
          <w:lang w:val="es-ES_tradnl"/>
        </w:rPr>
        <w:t xml:space="preserve"> </w:t>
      </w:r>
    </w:p>
    <w:p w14:paraId="5A850120" w14:textId="77777777" w:rsidR="00540E3D" w:rsidRPr="0058501F" w:rsidRDefault="00540E3D" w:rsidP="00470EC4">
      <w:pPr>
        <w:pStyle w:val="Heading3"/>
        <w:numPr>
          <w:ilvl w:val="0"/>
          <w:numId w:val="28"/>
        </w:numPr>
        <w:ind w:left="360"/>
        <w:rPr>
          <w:rFonts w:ascii="Cambria" w:hAnsi="Cambria"/>
          <w:sz w:val="20"/>
          <w:szCs w:val="20"/>
          <w:lang w:val="es-ES_tradnl"/>
        </w:rPr>
      </w:pPr>
      <w:bookmarkStart w:id="17" w:name="_Toc90117840"/>
      <w:bookmarkStart w:id="18" w:name="_Toc68863895"/>
      <w:r w:rsidRPr="0058501F">
        <w:rPr>
          <w:rFonts w:ascii="Cambria" w:hAnsi="Cambria"/>
          <w:sz w:val="20"/>
          <w:szCs w:val="20"/>
          <w:lang w:val="es-ES_tradnl"/>
        </w:rPr>
        <w:t>Derecho a la información sobre asistencia consular</w:t>
      </w:r>
      <w:bookmarkEnd w:id="17"/>
    </w:p>
    <w:bookmarkEnd w:id="18"/>
    <w:p w14:paraId="3B891DBD" w14:textId="77777777" w:rsidR="00540E3D" w:rsidRPr="0058501F" w:rsidRDefault="00540E3D" w:rsidP="00470EC4">
      <w:pPr>
        <w:tabs>
          <w:tab w:val="left" w:pos="360"/>
        </w:tabs>
        <w:spacing w:after="0" w:line="240" w:lineRule="auto"/>
        <w:jc w:val="both"/>
        <w:rPr>
          <w:rFonts w:ascii="Cambria" w:eastAsia="Times New Roman" w:hAnsi="Cambria"/>
          <w:sz w:val="20"/>
          <w:szCs w:val="20"/>
          <w:lang w:val="es-ES_tradnl"/>
        </w:rPr>
      </w:pPr>
    </w:p>
    <w:p w14:paraId="1646B1D5" w14:textId="77777777" w:rsidR="00540E3D" w:rsidRPr="0058501F" w:rsidRDefault="00540E3D" w:rsidP="00470EC4">
      <w:pPr>
        <w:numPr>
          <w:ilvl w:val="0"/>
          <w:numId w:val="1"/>
        </w:numPr>
        <w:pBdr>
          <w:top w:val="nil"/>
          <w:left w:val="nil"/>
          <w:bottom w:val="nil"/>
          <w:right w:val="nil"/>
          <w:between w:val="nil"/>
          <w:bar w:val="nil"/>
        </w:pBdr>
        <w:tabs>
          <w:tab w:val="left" w:pos="360"/>
        </w:tabs>
        <w:spacing w:after="0" w:line="240" w:lineRule="auto"/>
        <w:ind w:firstLine="0"/>
        <w:jc w:val="both"/>
        <w:rPr>
          <w:rFonts w:ascii="Cambria" w:eastAsia="Times New Roman" w:hAnsi="Cambria"/>
          <w:sz w:val="20"/>
          <w:szCs w:val="20"/>
          <w:lang w:val="es-ES_tradnl"/>
        </w:rPr>
      </w:pPr>
      <w:r w:rsidRPr="0058501F">
        <w:rPr>
          <w:rFonts w:ascii="Cambria" w:eastAsia="Times New Roman" w:hAnsi="Cambria"/>
          <w:sz w:val="20"/>
          <w:szCs w:val="20"/>
          <w:lang w:val="es-ES_tradnl"/>
        </w:rPr>
        <w:t xml:space="preserve">La Comisión ha determinado en casos anteriores que es necesario y apropiado considerar en qué medida un Estado parte ha dado efecto a los requisitos del artículo 36 de la Convención de Viena con el fin de evaluar el cumplimiento por ese Estado de los derechos al debido proceso de un ciudadano extranjero reconocidos por los artículos XVIII y XXVI de la Declaración Americana. Por lo tanto, sí considera el cumplimiento del artículo 36 de la Convención de Viena al interpretar y aplicar las disposiciones de la Declaración Americana a un </w:t>
      </w:r>
      <w:r w:rsidRPr="0058501F">
        <w:rPr>
          <w:rFonts w:ascii="Cambria" w:eastAsia="Times New Roman" w:hAnsi="Cambria"/>
          <w:sz w:val="20"/>
          <w:szCs w:val="20"/>
          <w:lang w:val="es-ES_tradnl"/>
        </w:rPr>
        <w:lastRenderedPageBreak/>
        <w:t>extranjero que haya sido arrestado, condenado a juicio o detenido en espera de juicio, o que sea detenido de cualquier otra forma por ese Estado.</w:t>
      </w:r>
      <w:r w:rsidRPr="0058501F">
        <w:rPr>
          <w:rFonts w:ascii="Cambria" w:eastAsia="Times New Roman" w:hAnsi="Cambria"/>
          <w:sz w:val="20"/>
          <w:szCs w:val="20"/>
          <w:vertAlign w:val="superscript"/>
          <w:lang w:val="es-ES_tradnl"/>
        </w:rPr>
        <w:footnoteReference w:id="49"/>
      </w:r>
    </w:p>
    <w:p w14:paraId="3120E783" w14:textId="77777777" w:rsidR="00540E3D" w:rsidRPr="0058501F" w:rsidRDefault="00540E3D" w:rsidP="00540E3D">
      <w:pPr>
        <w:tabs>
          <w:tab w:val="left" w:pos="360"/>
        </w:tabs>
        <w:spacing w:after="0" w:line="240" w:lineRule="auto"/>
        <w:jc w:val="both"/>
        <w:rPr>
          <w:rFonts w:ascii="Cambria" w:eastAsia="Times New Roman" w:hAnsi="Cambria"/>
          <w:sz w:val="20"/>
          <w:szCs w:val="20"/>
          <w:lang w:val="es-ES_tradnl"/>
        </w:rPr>
      </w:pPr>
    </w:p>
    <w:p w14:paraId="565E49BB" w14:textId="77777777" w:rsidR="00540E3D" w:rsidRPr="0058501F" w:rsidRDefault="00540E3D" w:rsidP="00470EC4">
      <w:pPr>
        <w:numPr>
          <w:ilvl w:val="0"/>
          <w:numId w:val="1"/>
        </w:numPr>
        <w:pBdr>
          <w:top w:val="nil"/>
          <w:left w:val="nil"/>
          <w:bottom w:val="nil"/>
          <w:right w:val="nil"/>
          <w:between w:val="nil"/>
          <w:bar w:val="nil"/>
        </w:pBdr>
        <w:tabs>
          <w:tab w:val="left" w:pos="360"/>
        </w:tabs>
        <w:spacing w:after="0" w:line="240" w:lineRule="auto"/>
        <w:ind w:firstLine="0"/>
        <w:jc w:val="both"/>
        <w:rPr>
          <w:rFonts w:ascii="Cambria" w:eastAsia="Times New Roman" w:hAnsi="Cambria"/>
          <w:sz w:val="20"/>
          <w:szCs w:val="20"/>
          <w:lang w:val="es-ES_tradnl"/>
        </w:rPr>
      </w:pPr>
      <w:r w:rsidRPr="0058501F">
        <w:rPr>
          <w:rFonts w:ascii="Cambria" w:eastAsia="Times New Roman" w:hAnsi="Cambria"/>
          <w:sz w:val="20"/>
          <w:szCs w:val="20"/>
          <w:lang w:val="es-ES_tradnl"/>
        </w:rPr>
        <w:t>La Comisión observa que conforme el articulo 36 de la Convención de Viena, “las autoridades competentes del Estado receptor deberán informar sin retraso alguno a la oficina consular competente en ese Estado”. Este artículo ha sido interpretado el sentido de requerir “que las autoridades del Estado receptor informen a todo detenido extranjero de los derechos que le confiere dicho artículo ‘en el momento del arresto y en todo caso antes de que el detenido rinda cualquier declaración o confesión ante las autoridades policíacas o judiciales’”.</w:t>
      </w:r>
      <w:r w:rsidRPr="0058501F">
        <w:rPr>
          <w:rFonts w:ascii="Cambria" w:eastAsia="Times New Roman" w:hAnsi="Cambria"/>
          <w:sz w:val="18"/>
          <w:szCs w:val="18"/>
          <w:vertAlign w:val="superscript"/>
          <w:lang w:val="es-ES_tradnl"/>
        </w:rPr>
        <w:footnoteReference w:id="50"/>
      </w:r>
    </w:p>
    <w:p w14:paraId="7A3F6D29" w14:textId="77777777" w:rsidR="00540E3D" w:rsidRPr="0058501F" w:rsidRDefault="00540E3D" w:rsidP="00470EC4">
      <w:pPr>
        <w:tabs>
          <w:tab w:val="left" w:pos="360"/>
        </w:tabs>
        <w:spacing w:after="0" w:line="240" w:lineRule="auto"/>
        <w:jc w:val="both"/>
        <w:rPr>
          <w:rFonts w:ascii="Cambria" w:eastAsia="Times New Roman" w:hAnsi="Cambria"/>
          <w:sz w:val="20"/>
          <w:szCs w:val="20"/>
          <w:lang w:val="es-ES_tradnl"/>
        </w:rPr>
      </w:pPr>
    </w:p>
    <w:p w14:paraId="6E4BC31D" w14:textId="77777777" w:rsidR="00540E3D" w:rsidRPr="0058501F" w:rsidRDefault="00540E3D" w:rsidP="00470EC4">
      <w:pPr>
        <w:numPr>
          <w:ilvl w:val="0"/>
          <w:numId w:val="1"/>
        </w:numPr>
        <w:pBdr>
          <w:top w:val="nil"/>
          <w:left w:val="nil"/>
          <w:bottom w:val="nil"/>
          <w:right w:val="nil"/>
          <w:between w:val="nil"/>
          <w:bar w:val="nil"/>
        </w:pBdr>
        <w:tabs>
          <w:tab w:val="left" w:pos="360"/>
        </w:tabs>
        <w:spacing w:after="0" w:line="240" w:lineRule="auto"/>
        <w:ind w:firstLine="0"/>
        <w:jc w:val="both"/>
        <w:rPr>
          <w:rFonts w:ascii="Cambria" w:eastAsia="Times New Roman" w:hAnsi="Cambria"/>
          <w:sz w:val="20"/>
          <w:szCs w:val="20"/>
          <w:lang w:val="es-ES_tradnl"/>
        </w:rPr>
      </w:pPr>
      <w:r w:rsidRPr="0058501F">
        <w:rPr>
          <w:rFonts w:ascii="Cambria" w:eastAsia="Times New Roman" w:hAnsi="Cambria"/>
          <w:sz w:val="20"/>
          <w:szCs w:val="20"/>
          <w:lang w:val="es-ES_tradnl"/>
        </w:rPr>
        <w:t>En su Opinión Consultiva OC-16/99, la Corte Interamericana estableció que los sub-párrafos (b) y (c) del artículo 36(1) de la Convención de Viena “consagra, entre otros, el derecho del extranjero privado de la libertad a ser informado ‘sin dilación’, de que tiene:</w:t>
      </w:r>
    </w:p>
    <w:p w14:paraId="08BFB9FF" w14:textId="77777777" w:rsidR="00540E3D" w:rsidRPr="0058501F" w:rsidRDefault="00540E3D" w:rsidP="00540E3D">
      <w:pPr>
        <w:tabs>
          <w:tab w:val="left" w:pos="360"/>
        </w:tabs>
        <w:spacing w:before="100" w:beforeAutospacing="1" w:after="100" w:afterAutospacing="1" w:line="240" w:lineRule="auto"/>
        <w:ind w:left="360" w:right="360"/>
        <w:jc w:val="both"/>
        <w:rPr>
          <w:rFonts w:ascii="Cambria" w:eastAsia="Times New Roman" w:hAnsi="Cambria"/>
          <w:sz w:val="18"/>
          <w:szCs w:val="18"/>
          <w:lang w:val="es-ES_tradnl"/>
        </w:rPr>
      </w:pPr>
      <w:r w:rsidRPr="0058501F">
        <w:rPr>
          <w:rFonts w:ascii="Cambria" w:eastAsia="Times New Roman" w:hAnsi="Cambria"/>
          <w:sz w:val="18"/>
          <w:szCs w:val="18"/>
          <w:lang w:val="es-ES_tradnl"/>
        </w:rPr>
        <w:t xml:space="preserve">a) derecho a solicitar y obtener que las autoridades competentes del Estado receptor informen a la oficina consular competente sobre su arresto, detención o puesta en prisión preventiva, y </w:t>
      </w:r>
    </w:p>
    <w:p w14:paraId="3E4F2B67" w14:textId="77777777" w:rsidR="00540E3D" w:rsidRPr="0058501F" w:rsidRDefault="00540E3D" w:rsidP="00540E3D">
      <w:pPr>
        <w:tabs>
          <w:tab w:val="left" w:pos="360"/>
        </w:tabs>
        <w:spacing w:before="100" w:beforeAutospacing="1" w:after="100" w:afterAutospacing="1" w:line="240" w:lineRule="auto"/>
        <w:ind w:left="360" w:right="360"/>
        <w:jc w:val="both"/>
        <w:rPr>
          <w:rFonts w:ascii="Cambria" w:eastAsia="Times New Roman" w:hAnsi="Cambria"/>
          <w:sz w:val="18"/>
          <w:szCs w:val="18"/>
          <w:lang w:val="es-ES_tradnl"/>
        </w:rPr>
      </w:pPr>
      <w:r w:rsidRPr="0058501F">
        <w:rPr>
          <w:rFonts w:ascii="Cambria" w:eastAsia="Times New Roman" w:hAnsi="Cambria"/>
          <w:sz w:val="18"/>
          <w:szCs w:val="18"/>
          <w:lang w:val="es-ES_tradnl"/>
        </w:rPr>
        <w:t>b) derecho a dirigir a la oficina consular competente cualquier comunicación, para que ésta le sea transmitida “sin demora”.</w:t>
      </w:r>
      <w:r w:rsidRPr="0058501F">
        <w:rPr>
          <w:rFonts w:ascii="Cambria" w:eastAsia="Times New Roman" w:hAnsi="Cambria"/>
          <w:sz w:val="18"/>
          <w:szCs w:val="18"/>
          <w:vertAlign w:val="superscript"/>
          <w:lang w:val="es-ES_tradnl"/>
        </w:rPr>
        <w:footnoteReference w:id="51"/>
      </w:r>
    </w:p>
    <w:p w14:paraId="7E40D7FE" w14:textId="77777777" w:rsidR="00540E3D" w:rsidRPr="0058501F" w:rsidRDefault="00540E3D" w:rsidP="00470EC4">
      <w:pPr>
        <w:numPr>
          <w:ilvl w:val="0"/>
          <w:numId w:val="1"/>
        </w:numPr>
        <w:pBdr>
          <w:top w:val="nil"/>
          <w:left w:val="nil"/>
          <w:bottom w:val="nil"/>
          <w:right w:val="nil"/>
          <w:between w:val="nil"/>
          <w:bar w:val="nil"/>
        </w:pBdr>
        <w:tabs>
          <w:tab w:val="left" w:pos="360"/>
        </w:tabs>
        <w:spacing w:after="0" w:line="240" w:lineRule="auto"/>
        <w:ind w:firstLine="0"/>
        <w:jc w:val="both"/>
        <w:rPr>
          <w:rFonts w:ascii="Cambria" w:eastAsia="Times New Roman" w:hAnsi="Cambria"/>
          <w:sz w:val="20"/>
          <w:szCs w:val="20"/>
          <w:lang w:val="es-ES_tradnl"/>
        </w:rPr>
      </w:pPr>
      <w:r w:rsidRPr="0058501F">
        <w:rPr>
          <w:rFonts w:ascii="Cambria" w:eastAsia="Times New Roman" w:hAnsi="Cambria"/>
          <w:sz w:val="20"/>
          <w:szCs w:val="20"/>
          <w:lang w:val="es-ES_tradnl"/>
        </w:rPr>
        <w:t xml:space="preserve">La importancia del derecho a la información sobre la asistencia consular también se refleja en pautas prácticas como las adoptadas por la </w:t>
      </w:r>
      <w:r w:rsidRPr="009706CC">
        <w:rPr>
          <w:rFonts w:ascii="Cambria" w:eastAsia="Times New Roman" w:hAnsi="Cambria"/>
          <w:i/>
          <w:iCs/>
          <w:sz w:val="20"/>
          <w:szCs w:val="20"/>
          <w:lang w:val="es-ES_tradnl"/>
        </w:rPr>
        <w:t xml:space="preserve">American Bar </w:t>
      </w:r>
      <w:proofErr w:type="spellStart"/>
      <w:r w:rsidRPr="009706CC">
        <w:rPr>
          <w:rFonts w:ascii="Cambria" w:eastAsia="Times New Roman" w:hAnsi="Cambria"/>
          <w:i/>
          <w:iCs/>
          <w:sz w:val="20"/>
          <w:szCs w:val="20"/>
          <w:lang w:val="es-ES_tradnl"/>
        </w:rPr>
        <w:t>Association</w:t>
      </w:r>
      <w:proofErr w:type="spellEnd"/>
      <w:r w:rsidRPr="0058501F">
        <w:rPr>
          <w:rFonts w:ascii="Cambria" w:eastAsia="Times New Roman" w:hAnsi="Cambria"/>
          <w:sz w:val="20"/>
          <w:szCs w:val="20"/>
          <w:lang w:val="es-ES_tradnl"/>
        </w:rPr>
        <w:t>, una organización nacional para la profesión jurídica en los Estados Unidos, en relación con los derechos al debido proceso de los extranjeros en los procesos penales. La ABA ha indicado en sus Directrices para el Nombramiento y Desempeño de Abogados Defensores en Casos de Pena de Muerte que:</w:t>
      </w:r>
      <w:r w:rsidRPr="0058501F">
        <w:rPr>
          <w:rFonts w:ascii="Cambria" w:eastAsia="Times New Roman" w:hAnsi="Cambria" w:cs="Arial"/>
          <w:sz w:val="20"/>
          <w:szCs w:val="20"/>
          <w:vertAlign w:val="superscript"/>
          <w:lang w:val="es-ES_tradnl"/>
        </w:rPr>
        <w:footnoteReference w:id="52"/>
      </w:r>
    </w:p>
    <w:p w14:paraId="7BD1E07E" w14:textId="77777777" w:rsidR="00540E3D" w:rsidRPr="0058501F" w:rsidRDefault="00540E3D" w:rsidP="00540E3D">
      <w:pPr>
        <w:pBdr>
          <w:top w:val="nil"/>
          <w:left w:val="nil"/>
          <w:bottom w:val="nil"/>
          <w:right w:val="nil"/>
          <w:between w:val="nil"/>
          <w:bar w:val="nil"/>
        </w:pBdr>
        <w:spacing w:after="0" w:line="240" w:lineRule="auto"/>
        <w:ind w:left="360" w:right="360"/>
        <w:jc w:val="both"/>
        <w:rPr>
          <w:rFonts w:ascii="Cambria" w:eastAsia="Arial Unicode MS" w:hAnsi="Cambria" w:cs="Arial"/>
          <w:sz w:val="18"/>
          <w:szCs w:val="18"/>
          <w:bdr w:val="nil"/>
          <w:lang w:val="es-ES_tradnl"/>
        </w:rPr>
      </w:pPr>
    </w:p>
    <w:p w14:paraId="3D9E38C3" w14:textId="77777777" w:rsidR="00540E3D" w:rsidRPr="0058501F" w:rsidRDefault="00540E3D" w:rsidP="00540E3D">
      <w:pPr>
        <w:pBdr>
          <w:top w:val="nil"/>
          <w:left w:val="nil"/>
          <w:bottom w:val="nil"/>
          <w:right w:val="nil"/>
          <w:between w:val="nil"/>
          <w:bar w:val="nil"/>
        </w:pBdr>
        <w:spacing w:after="0" w:line="240" w:lineRule="auto"/>
        <w:ind w:left="360" w:right="360"/>
        <w:jc w:val="both"/>
        <w:rPr>
          <w:rFonts w:ascii="Cambria" w:eastAsia="Arial Unicode MS" w:hAnsi="Cambria" w:cs="Arial"/>
          <w:sz w:val="18"/>
          <w:szCs w:val="18"/>
          <w:bdr w:val="nil"/>
          <w:lang w:val="es-ES_tradnl"/>
        </w:rPr>
      </w:pPr>
      <w:r w:rsidRPr="0058501F">
        <w:rPr>
          <w:rFonts w:ascii="Cambria" w:eastAsia="Arial Unicode MS" w:hAnsi="Cambria" w:cs="Arial"/>
          <w:sz w:val="18"/>
          <w:szCs w:val="18"/>
          <w:bdr w:val="nil"/>
          <w:lang w:val="es-ES_tradnl"/>
        </w:rPr>
        <w:t>[a] menos que un abogado anterior ya lo haya hecho, el abogado que represente a un ciudadano extranjero debe: 1. informar inmediatamente al cliente de su derecho a comunicarse con la oficina consular correspondiente; y 2. obtener el consentimiento del cliente para comunicarse con la oficina consular. Después de obtener el consentimiento, el abogado debe comunicarse inmediatamente con la oficina consular del cliente e informarle de la detención o arresto del cliente […]</w:t>
      </w:r>
    </w:p>
    <w:p w14:paraId="79F45565" w14:textId="77777777" w:rsidR="00540E3D" w:rsidRPr="0058501F" w:rsidRDefault="00540E3D" w:rsidP="00540E3D">
      <w:pPr>
        <w:tabs>
          <w:tab w:val="left" w:pos="360"/>
        </w:tabs>
        <w:spacing w:after="0" w:line="240" w:lineRule="auto"/>
        <w:jc w:val="both"/>
        <w:rPr>
          <w:rFonts w:ascii="Cambria" w:eastAsia="Times New Roman" w:hAnsi="Cambria"/>
          <w:sz w:val="20"/>
          <w:szCs w:val="20"/>
          <w:lang w:val="es-ES_tradnl"/>
        </w:rPr>
      </w:pPr>
    </w:p>
    <w:p w14:paraId="2D7D0B9D" w14:textId="77777777" w:rsidR="00540E3D" w:rsidRPr="0058501F" w:rsidRDefault="00540E3D" w:rsidP="00470EC4">
      <w:pPr>
        <w:numPr>
          <w:ilvl w:val="0"/>
          <w:numId w:val="1"/>
        </w:numPr>
        <w:pBdr>
          <w:top w:val="nil"/>
          <w:left w:val="nil"/>
          <w:bottom w:val="nil"/>
          <w:right w:val="nil"/>
          <w:between w:val="nil"/>
          <w:bar w:val="nil"/>
        </w:pBdr>
        <w:tabs>
          <w:tab w:val="left" w:pos="360"/>
        </w:tabs>
        <w:spacing w:after="0" w:line="240" w:lineRule="auto"/>
        <w:ind w:firstLine="0"/>
        <w:jc w:val="both"/>
        <w:rPr>
          <w:rFonts w:ascii="Cambria" w:eastAsia="Times New Roman" w:hAnsi="Cambria"/>
          <w:sz w:val="20"/>
          <w:szCs w:val="20"/>
          <w:lang w:val="es-ES_tradnl"/>
        </w:rPr>
      </w:pPr>
      <w:r w:rsidRPr="0058501F">
        <w:rPr>
          <w:rFonts w:ascii="Cambria" w:eastAsia="Times New Roman" w:hAnsi="Cambria"/>
          <w:sz w:val="20"/>
          <w:szCs w:val="20"/>
          <w:lang w:val="es-ES_tradnl"/>
        </w:rPr>
        <w:t xml:space="preserve">En este caso, la Comisión observa que el </w:t>
      </w:r>
      <w:r w:rsidR="00DD040D" w:rsidRPr="0058501F">
        <w:rPr>
          <w:rFonts w:ascii="Cambria" w:eastAsia="Times New Roman" w:hAnsi="Cambria"/>
          <w:sz w:val="20"/>
          <w:szCs w:val="20"/>
          <w:lang w:val="es-ES_tradnl"/>
        </w:rPr>
        <w:t>Sr.</w:t>
      </w:r>
      <w:r w:rsidRPr="0058501F">
        <w:rPr>
          <w:rFonts w:ascii="Cambria" w:eastAsia="Times New Roman" w:hAnsi="Cambria"/>
          <w:sz w:val="20"/>
          <w:szCs w:val="20"/>
          <w:lang w:val="es-ES_tradnl"/>
        </w:rPr>
        <w:t xml:space="preserve"> Ibarra es nacional de México. Se afirma que no se le informó de su derecho a recibir información sobre la asistencia consular en el momento de su detención ni posteriormente en la preparación de su juicio. Además, la policía admitió libremente que sabía que el </w:t>
      </w:r>
      <w:r w:rsidR="00DD040D" w:rsidRPr="0058501F">
        <w:rPr>
          <w:rFonts w:ascii="Cambria" w:eastAsia="Times New Roman" w:hAnsi="Cambria"/>
          <w:sz w:val="20"/>
          <w:szCs w:val="20"/>
          <w:lang w:val="es-ES_tradnl"/>
        </w:rPr>
        <w:t>Sr.</w:t>
      </w:r>
      <w:r w:rsidRPr="0058501F">
        <w:rPr>
          <w:rFonts w:ascii="Cambria" w:eastAsia="Times New Roman" w:hAnsi="Cambria"/>
          <w:sz w:val="20"/>
          <w:szCs w:val="20"/>
          <w:lang w:val="es-ES_tradnl"/>
        </w:rPr>
        <w:t xml:space="preserve"> Ibarra era ciudadano mexicano, pero no sabía que tenía derecho a consultar con el consulado mexicano. Adicionalmente, la Comisión nota que el abogado designado por el Estado no informó al </w:t>
      </w:r>
      <w:r w:rsidR="00DD040D" w:rsidRPr="0058501F">
        <w:rPr>
          <w:rFonts w:ascii="Cambria" w:eastAsia="Times New Roman" w:hAnsi="Cambria"/>
          <w:sz w:val="20"/>
          <w:szCs w:val="20"/>
          <w:lang w:val="es-ES_tradnl"/>
        </w:rPr>
        <w:t>Sr.</w:t>
      </w:r>
      <w:r w:rsidRPr="0058501F">
        <w:rPr>
          <w:rFonts w:ascii="Cambria" w:eastAsia="Times New Roman" w:hAnsi="Cambria"/>
          <w:sz w:val="20"/>
          <w:szCs w:val="20"/>
          <w:lang w:val="es-ES_tradnl"/>
        </w:rPr>
        <w:t xml:space="preserve"> Ibarra, durante el juicio, de su derecho a información sobre asistencia consular. Asimismo, de acuerdo con los hechos establecidos en el presente informe, esta denuncia fue interpuesta por el </w:t>
      </w:r>
      <w:r w:rsidR="00DD040D" w:rsidRPr="0058501F">
        <w:rPr>
          <w:rFonts w:ascii="Cambria" w:eastAsia="Times New Roman" w:hAnsi="Cambria"/>
          <w:sz w:val="20"/>
          <w:szCs w:val="20"/>
          <w:lang w:val="es-ES_tradnl"/>
        </w:rPr>
        <w:t>Sr.</w:t>
      </w:r>
      <w:r w:rsidRPr="0058501F">
        <w:rPr>
          <w:rFonts w:ascii="Cambria" w:eastAsia="Times New Roman" w:hAnsi="Cambria"/>
          <w:sz w:val="20"/>
          <w:szCs w:val="20"/>
          <w:lang w:val="es-ES_tradnl"/>
        </w:rPr>
        <w:t xml:space="preserve"> Ibarra en un recurso posterior a la condena, pero el tribunal consideró que no demostró que la falta de información sobre asistencia consular afectara su condena y sentencia.</w:t>
      </w:r>
    </w:p>
    <w:p w14:paraId="31334CB2" w14:textId="77777777" w:rsidR="00540E3D" w:rsidRPr="0058501F" w:rsidRDefault="00540E3D" w:rsidP="00470EC4">
      <w:pPr>
        <w:tabs>
          <w:tab w:val="left" w:pos="360"/>
          <w:tab w:val="left" w:pos="720"/>
          <w:tab w:val="left" w:pos="1440"/>
        </w:tabs>
        <w:spacing w:after="0" w:line="240" w:lineRule="auto"/>
        <w:jc w:val="both"/>
        <w:rPr>
          <w:rFonts w:ascii="Cambria" w:eastAsia="Times New Roman" w:hAnsi="Cambria"/>
          <w:sz w:val="20"/>
          <w:szCs w:val="20"/>
          <w:lang w:val="es-ES_tradnl"/>
        </w:rPr>
      </w:pPr>
    </w:p>
    <w:p w14:paraId="18120728" w14:textId="77777777" w:rsidR="00540E3D" w:rsidRPr="0058501F" w:rsidRDefault="00540E3D" w:rsidP="00470EC4">
      <w:pPr>
        <w:numPr>
          <w:ilvl w:val="0"/>
          <w:numId w:val="1"/>
        </w:numPr>
        <w:pBdr>
          <w:top w:val="nil"/>
          <w:left w:val="nil"/>
          <w:bottom w:val="nil"/>
          <w:right w:val="nil"/>
          <w:between w:val="nil"/>
          <w:bar w:val="nil"/>
        </w:pBdr>
        <w:tabs>
          <w:tab w:val="left" w:pos="360"/>
        </w:tabs>
        <w:spacing w:after="0" w:line="240" w:lineRule="auto"/>
        <w:ind w:firstLine="0"/>
        <w:jc w:val="both"/>
        <w:rPr>
          <w:rFonts w:ascii="Cambria" w:eastAsia="Times New Roman" w:hAnsi="Cambria"/>
          <w:sz w:val="20"/>
          <w:szCs w:val="20"/>
          <w:lang w:val="es-ES_tradnl"/>
        </w:rPr>
      </w:pPr>
      <w:r w:rsidRPr="0058501F">
        <w:rPr>
          <w:rFonts w:ascii="Cambria" w:eastAsia="Times New Roman" w:hAnsi="Cambria"/>
          <w:sz w:val="20"/>
          <w:szCs w:val="20"/>
          <w:lang w:val="es-ES_tradnl"/>
        </w:rPr>
        <w:t xml:space="preserve">El Estado no ha rebatido los alegatos de los peticionarios al respecto, salvo el alegato de que las denuncias relativas a información sobre asistencia consular no plantean una violación de un derecho humano. En consecuencia, con base en la información y alegatos presentados, la Comisión concluye que la presunta víctima </w:t>
      </w:r>
      <w:r w:rsidRPr="0058501F">
        <w:rPr>
          <w:rFonts w:ascii="Cambria" w:eastAsia="Times New Roman" w:hAnsi="Cambria"/>
          <w:sz w:val="20"/>
          <w:szCs w:val="20"/>
          <w:lang w:val="es-ES_tradnl"/>
        </w:rPr>
        <w:lastRenderedPageBreak/>
        <w:t>no fue notificada de su derecho a la información sobre asistencia consular en el momento de sus respectivas detenciones o posteriormente.</w:t>
      </w:r>
    </w:p>
    <w:p w14:paraId="06A94FBE" w14:textId="77777777" w:rsidR="00540E3D" w:rsidRPr="0058501F" w:rsidRDefault="00540E3D" w:rsidP="00540E3D">
      <w:pPr>
        <w:pBdr>
          <w:top w:val="nil"/>
          <w:left w:val="nil"/>
          <w:bottom w:val="nil"/>
          <w:right w:val="nil"/>
          <w:between w:val="nil"/>
          <w:bar w:val="nil"/>
        </w:pBdr>
        <w:spacing w:after="0" w:line="240" w:lineRule="auto"/>
        <w:ind w:left="720"/>
        <w:rPr>
          <w:rFonts w:ascii="Cambria" w:eastAsia="Cambria" w:hAnsi="Cambria" w:cs="Cambria"/>
          <w:color w:val="000000"/>
          <w:sz w:val="20"/>
          <w:szCs w:val="20"/>
          <w:u w:color="000000"/>
          <w:bdr w:val="nil"/>
          <w:lang w:val="es-ES_tradnl" w:eastAsia="es-ES"/>
        </w:rPr>
      </w:pPr>
    </w:p>
    <w:p w14:paraId="2864E712" w14:textId="77777777" w:rsidR="00540E3D" w:rsidRPr="0058501F" w:rsidRDefault="00540E3D" w:rsidP="00470EC4">
      <w:pPr>
        <w:numPr>
          <w:ilvl w:val="0"/>
          <w:numId w:val="1"/>
        </w:numPr>
        <w:pBdr>
          <w:top w:val="nil"/>
          <w:left w:val="nil"/>
          <w:bottom w:val="nil"/>
          <w:right w:val="nil"/>
          <w:between w:val="nil"/>
          <w:bar w:val="nil"/>
        </w:pBdr>
        <w:tabs>
          <w:tab w:val="left" w:pos="360"/>
        </w:tabs>
        <w:spacing w:after="0" w:line="240" w:lineRule="auto"/>
        <w:ind w:firstLine="0"/>
        <w:jc w:val="both"/>
        <w:rPr>
          <w:rFonts w:ascii="Cambria" w:eastAsia="Times New Roman" w:hAnsi="Cambria"/>
          <w:sz w:val="20"/>
          <w:szCs w:val="20"/>
          <w:lang w:val="es-ES_tradnl"/>
        </w:rPr>
      </w:pPr>
      <w:r w:rsidRPr="0058501F">
        <w:rPr>
          <w:rFonts w:ascii="Cambria" w:eastAsia="Times New Roman" w:hAnsi="Cambria"/>
          <w:sz w:val="20"/>
          <w:szCs w:val="20"/>
          <w:lang w:val="es-ES_tradnl"/>
        </w:rPr>
        <w:t>Con base en lo anterior, la Comisión concluye que la obligación del Estado en virtud del artículo 36 de la Convención de Viena de informar al Sr. Ibarra al momento de su detención o durante su juicio, constituía un componente fundamental de las normas del debido proceso al que tiene derecho en virtud del Artículos XVIII y XXVI de la Declaración, y que el incumplimiento por parte del Estado de esta obligación privó a la presunta víctima de un proceso penal que cumpliera con los estándares mínimos del debido proceso y un juicio justo requeridos por los artículos XVIII y XXVI de la Declaración.</w:t>
      </w:r>
    </w:p>
    <w:p w14:paraId="48514F55" w14:textId="77777777" w:rsidR="00540E3D" w:rsidRPr="0058501F" w:rsidRDefault="00DD040D" w:rsidP="00DD040D">
      <w:pPr>
        <w:pStyle w:val="Heading3"/>
        <w:rPr>
          <w:rFonts w:ascii="Cambria" w:eastAsia="SimSun" w:hAnsi="Cambria"/>
          <w:sz w:val="20"/>
          <w:szCs w:val="20"/>
          <w:bdr w:val="nil"/>
          <w:lang w:val="es-ES_tradnl"/>
        </w:rPr>
      </w:pPr>
      <w:bookmarkStart w:id="19" w:name="_Toc90117841"/>
      <w:bookmarkStart w:id="20" w:name="_Toc68863896"/>
      <w:r w:rsidRPr="0058501F">
        <w:rPr>
          <w:rFonts w:ascii="Cambria" w:eastAsia="SimSun" w:hAnsi="Cambria"/>
          <w:sz w:val="20"/>
          <w:szCs w:val="20"/>
          <w:bdr w:val="nil"/>
          <w:lang w:val="es-ES_tradnl"/>
        </w:rPr>
        <w:t xml:space="preserve">2. </w:t>
      </w:r>
      <w:r w:rsidR="00540E3D" w:rsidRPr="0058501F">
        <w:rPr>
          <w:rFonts w:ascii="Cambria" w:eastAsia="SimSun" w:hAnsi="Cambria"/>
          <w:sz w:val="20"/>
          <w:szCs w:val="20"/>
          <w:bdr w:val="nil"/>
          <w:lang w:val="es-ES_tradnl"/>
        </w:rPr>
        <w:t>Asistencia ineficaz del abogado designado por el tribunal</w:t>
      </w:r>
      <w:bookmarkEnd w:id="19"/>
    </w:p>
    <w:bookmarkEnd w:id="20"/>
    <w:p w14:paraId="725D3D94" w14:textId="77777777" w:rsidR="00540E3D" w:rsidRPr="0058501F" w:rsidRDefault="00540E3D" w:rsidP="00540E3D">
      <w:pPr>
        <w:tabs>
          <w:tab w:val="left" w:pos="360"/>
        </w:tabs>
        <w:spacing w:after="0" w:line="240" w:lineRule="auto"/>
        <w:jc w:val="both"/>
        <w:rPr>
          <w:rFonts w:ascii="Cambria" w:eastAsia="Times New Roman" w:hAnsi="Cambria"/>
          <w:sz w:val="20"/>
          <w:szCs w:val="20"/>
          <w:lang w:val="es-ES_tradnl"/>
        </w:rPr>
      </w:pPr>
    </w:p>
    <w:p w14:paraId="7E103E77" w14:textId="77777777" w:rsidR="00540E3D" w:rsidRPr="0058501F" w:rsidRDefault="00540E3D" w:rsidP="00470EC4">
      <w:pPr>
        <w:numPr>
          <w:ilvl w:val="0"/>
          <w:numId w:val="1"/>
        </w:numPr>
        <w:pBdr>
          <w:top w:val="nil"/>
          <w:left w:val="nil"/>
          <w:bottom w:val="nil"/>
          <w:right w:val="nil"/>
          <w:between w:val="nil"/>
          <w:bar w:val="nil"/>
        </w:pBdr>
        <w:tabs>
          <w:tab w:val="left" w:pos="360"/>
        </w:tabs>
        <w:spacing w:after="0" w:line="240" w:lineRule="auto"/>
        <w:ind w:firstLine="0"/>
        <w:jc w:val="both"/>
        <w:rPr>
          <w:rFonts w:ascii="Cambria" w:eastAsia="Times New Roman" w:hAnsi="Cambria"/>
          <w:sz w:val="20"/>
          <w:szCs w:val="20"/>
          <w:lang w:val="es-ES_tradnl"/>
        </w:rPr>
      </w:pPr>
      <w:r w:rsidRPr="0058501F">
        <w:rPr>
          <w:rFonts w:ascii="Cambria" w:eastAsia="Times New Roman" w:hAnsi="Cambria"/>
          <w:sz w:val="20"/>
          <w:szCs w:val="20"/>
          <w:lang w:val="es-ES_tradnl"/>
        </w:rPr>
        <w:t>La representación legal adecuada es un componente fundamental del derecho a un juicio justo. La CIDH ha señalado que “el derecho al debido proceso y al juicio justo incluye el derecho a recursos adecuados para la preparación de la defensa y a una adecuada asistencia legal.”</w:t>
      </w:r>
      <w:r w:rsidRPr="0058501F">
        <w:rPr>
          <w:rFonts w:ascii="Cambria" w:eastAsia="Arial Unicode MS" w:hAnsi="Cambria"/>
          <w:sz w:val="20"/>
          <w:szCs w:val="20"/>
          <w:bdr w:val="nil"/>
          <w:vertAlign w:val="superscript"/>
          <w:lang w:val="es-ES_tradnl"/>
        </w:rPr>
        <w:footnoteReference w:id="53"/>
      </w:r>
      <w:r w:rsidRPr="0058501F">
        <w:rPr>
          <w:rFonts w:ascii="Cambria" w:eastAsia="Arial Unicode MS" w:hAnsi="Cambria"/>
          <w:sz w:val="20"/>
          <w:szCs w:val="20"/>
          <w:bdr w:val="nil"/>
          <w:lang w:val="es-ES_tradnl"/>
        </w:rPr>
        <w:t xml:space="preserve"> </w:t>
      </w:r>
      <w:proofErr w:type="gramStart"/>
      <w:r w:rsidRPr="0058501F">
        <w:rPr>
          <w:rFonts w:ascii="Cambria" w:eastAsia="Arial Unicode MS" w:hAnsi="Cambria"/>
          <w:sz w:val="20"/>
          <w:szCs w:val="20"/>
          <w:bdr w:val="nil"/>
          <w:lang w:val="es-ES_tradnl"/>
        </w:rPr>
        <w:t>De acuerdo a</w:t>
      </w:r>
      <w:proofErr w:type="gramEnd"/>
      <w:r w:rsidRPr="0058501F">
        <w:rPr>
          <w:rFonts w:ascii="Cambria" w:eastAsia="Arial Unicode MS" w:hAnsi="Cambria"/>
          <w:sz w:val="20"/>
          <w:szCs w:val="20"/>
          <w:bdr w:val="nil"/>
          <w:lang w:val="es-ES_tradnl"/>
        </w:rPr>
        <w:t xml:space="preserve"> la Comisión, “el Estado no puede ser declarado responsable por todas las deficiencias en la conducta de la asistencia legal nombrada por el Estado. Sin embargo, cuando la ineficacia de dicha asistencia legal es puesta en conocimiento de las autoridades nacionales en forma manifiesta y suficiente, estas están obligadas a intervenir </w:t>
      </w:r>
      <w:r w:rsidRPr="0058501F">
        <w:rPr>
          <w:rFonts w:ascii="Cambria" w:eastAsia="Times New Roman" w:hAnsi="Cambria"/>
          <w:sz w:val="20"/>
          <w:szCs w:val="20"/>
          <w:lang w:val="es-ES_tradnl"/>
        </w:rPr>
        <w:t>[…]. El cumplimiento riguroso del derecho a recibir patrocinio letrado competente es impuesto por la posibilidad de la aplicación de la pena de muerte.”</w:t>
      </w:r>
      <w:r w:rsidRPr="0058501F">
        <w:rPr>
          <w:rFonts w:ascii="Cambria" w:eastAsia="Arial Unicode MS" w:hAnsi="Cambria"/>
          <w:sz w:val="20"/>
          <w:szCs w:val="20"/>
          <w:bdr w:val="nil"/>
          <w:vertAlign w:val="superscript"/>
          <w:lang w:val="es-ES_tradnl"/>
        </w:rPr>
        <w:footnoteReference w:id="54"/>
      </w:r>
    </w:p>
    <w:p w14:paraId="5039440E" w14:textId="77777777" w:rsidR="00540E3D" w:rsidRPr="0058501F" w:rsidRDefault="00540E3D" w:rsidP="00470EC4">
      <w:pPr>
        <w:tabs>
          <w:tab w:val="left" w:pos="360"/>
        </w:tabs>
        <w:spacing w:after="0" w:line="240" w:lineRule="auto"/>
        <w:jc w:val="both"/>
        <w:rPr>
          <w:rFonts w:ascii="Cambria" w:eastAsia="Times New Roman" w:hAnsi="Cambria"/>
          <w:sz w:val="20"/>
          <w:szCs w:val="20"/>
          <w:lang w:val="es-ES_tradnl"/>
        </w:rPr>
      </w:pPr>
    </w:p>
    <w:p w14:paraId="3FF4AB6C" w14:textId="77777777" w:rsidR="00540E3D" w:rsidRPr="0058501F" w:rsidRDefault="00540E3D" w:rsidP="00470EC4">
      <w:pPr>
        <w:numPr>
          <w:ilvl w:val="0"/>
          <w:numId w:val="1"/>
        </w:numPr>
        <w:pBdr>
          <w:top w:val="nil"/>
          <w:left w:val="nil"/>
          <w:bottom w:val="nil"/>
          <w:right w:val="nil"/>
          <w:between w:val="nil"/>
          <w:bar w:val="nil"/>
        </w:pBdr>
        <w:tabs>
          <w:tab w:val="left" w:pos="360"/>
        </w:tabs>
        <w:spacing w:after="0" w:line="240" w:lineRule="auto"/>
        <w:ind w:firstLine="0"/>
        <w:jc w:val="both"/>
        <w:rPr>
          <w:rFonts w:ascii="Cambria" w:eastAsia="Times New Roman" w:hAnsi="Cambria"/>
          <w:sz w:val="20"/>
          <w:szCs w:val="20"/>
          <w:lang w:val="es-ES_tradnl"/>
        </w:rPr>
      </w:pPr>
      <w:r w:rsidRPr="0058501F">
        <w:rPr>
          <w:rFonts w:ascii="Cambria" w:eastAsia="Times New Roman" w:hAnsi="Cambria"/>
          <w:sz w:val="20"/>
          <w:szCs w:val="20"/>
          <w:lang w:val="es-ES_tradnl"/>
        </w:rPr>
        <w:t>El nombramiento de un abogado por parte del Estado no garantiza, por sí solo, la asistencia efectiva de un abogado. Al mismo tiempo, si bien el Estado es responsable de asegurar que dicha asistencia sea efectiva, no es responsable de lo que pueda entenderse como decisiones de estrategia o de todas las posibles deficiencias. Más bien, la Comisión debe evaluar si la asistencia de un abogado fue eficaz en el contexto general del proceso y teniendo en cuenta los intereses específicos en juego.</w:t>
      </w:r>
      <w:r w:rsidRPr="0058501F">
        <w:rPr>
          <w:rFonts w:ascii="Cambria" w:eastAsia="Times New Roman" w:hAnsi="Cambria"/>
          <w:sz w:val="20"/>
          <w:szCs w:val="20"/>
          <w:vertAlign w:val="superscript"/>
          <w:lang w:val="es-ES_tradnl"/>
        </w:rPr>
        <w:footnoteReference w:id="55"/>
      </w:r>
    </w:p>
    <w:p w14:paraId="28611C03" w14:textId="77777777" w:rsidR="00540E3D" w:rsidRPr="0058501F" w:rsidRDefault="00540E3D" w:rsidP="00470EC4">
      <w:pPr>
        <w:tabs>
          <w:tab w:val="left" w:pos="360"/>
        </w:tabs>
        <w:spacing w:after="0" w:line="240" w:lineRule="auto"/>
        <w:jc w:val="both"/>
        <w:rPr>
          <w:rFonts w:ascii="Cambria" w:eastAsia="Times New Roman" w:hAnsi="Cambria"/>
          <w:sz w:val="20"/>
          <w:szCs w:val="20"/>
          <w:lang w:val="es-ES_tradnl"/>
        </w:rPr>
      </w:pPr>
    </w:p>
    <w:p w14:paraId="307C6766" w14:textId="77777777" w:rsidR="00540E3D" w:rsidRPr="0058501F" w:rsidRDefault="00540E3D" w:rsidP="00470EC4">
      <w:pPr>
        <w:numPr>
          <w:ilvl w:val="0"/>
          <w:numId w:val="1"/>
        </w:numPr>
        <w:pBdr>
          <w:top w:val="nil"/>
          <w:left w:val="nil"/>
          <w:bottom w:val="nil"/>
          <w:right w:val="nil"/>
          <w:between w:val="nil"/>
          <w:bar w:val="nil"/>
        </w:pBdr>
        <w:tabs>
          <w:tab w:val="left" w:pos="360"/>
        </w:tabs>
        <w:spacing w:after="0" w:line="240" w:lineRule="auto"/>
        <w:ind w:firstLine="0"/>
        <w:jc w:val="both"/>
        <w:rPr>
          <w:rFonts w:ascii="Cambria" w:eastAsia="Times New Roman" w:hAnsi="Cambria"/>
          <w:sz w:val="20"/>
          <w:szCs w:val="20"/>
          <w:lang w:val="es-ES_tradnl"/>
        </w:rPr>
      </w:pPr>
      <w:r w:rsidRPr="0058501F">
        <w:rPr>
          <w:rFonts w:ascii="Cambria" w:eastAsia="Times New Roman" w:hAnsi="Cambria"/>
          <w:sz w:val="20"/>
          <w:szCs w:val="20"/>
          <w:lang w:val="es-ES_tradnl"/>
        </w:rPr>
        <w:t>La Comisión ha establecido que “los requisitos fundamentales de debido proceso en el caso de juicios por delitos punibles con la pena capital incluyen la obligación de suministrar a un acusado la posibilidad plena y justa de presentar pruebas atenuantes para que se consideren al determinar si la pena de muerte constituye la sanción apropiada a las circunstancias de su caso.”</w:t>
      </w:r>
      <w:r w:rsidRPr="0058501F">
        <w:rPr>
          <w:rFonts w:ascii="Cambria" w:eastAsia="Times New Roman" w:hAnsi="Cambria"/>
          <w:sz w:val="20"/>
          <w:szCs w:val="20"/>
          <w:vertAlign w:val="superscript"/>
          <w:lang w:val="es-ES_tradnl"/>
        </w:rPr>
        <w:footnoteReference w:id="56"/>
      </w:r>
      <w:r w:rsidRPr="0058501F">
        <w:rPr>
          <w:rFonts w:ascii="Cambria" w:eastAsia="Times New Roman" w:hAnsi="Cambria"/>
          <w:sz w:val="20"/>
          <w:szCs w:val="20"/>
          <w:lang w:val="es-ES_tradnl"/>
        </w:rPr>
        <w:t xml:space="preserve"> La Comisión también ha indicado que las protecciones del debido proceso, al amparo de la Declaración: </w:t>
      </w:r>
    </w:p>
    <w:p w14:paraId="2F977265" w14:textId="77777777" w:rsidR="00540E3D" w:rsidRPr="0058501F" w:rsidRDefault="00540E3D" w:rsidP="00540E3D">
      <w:pPr>
        <w:tabs>
          <w:tab w:val="left" w:pos="360"/>
        </w:tabs>
        <w:spacing w:after="0" w:line="240" w:lineRule="auto"/>
        <w:jc w:val="both"/>
        <w:rPr>
          <w:rFonts w:ascii="Cambria" w:eastAsia="Times New Roman" w:hAnsi="Cambria"/>
          <w:sz w:val="20"/>
          <w:szCs w:val="20"/>
          <w:lang w:val="es-ES_tradnl"/>
        </w:rPr>
      </w:pPr>
    </w:p>
    <w:p w14:paraId="600C6B53" w14:textId="77777777" w:rsidR="00540E3D" w:rsidRPr="0058501F" w:rsidRDefault="00540E3D" w:rsidP="00540E3D">
      <w:pPr>
        <w:pBdr>
          <w:top w:val="nil"/>
          <w:left w:val="nil"/>
          <w:bottom w:val="nil"/>
          <w:right w:val="nil"/>
          <w:between w:val="nil"/>
          <w:bar w:val="nil"/>
        </w:pBdr>
        <w:spacing w:beforeLines="1" w:before="2" w:afterLines="1" w:after="2" w:line="240" w:lineRule="auto"/>
        <w:ind w:left="360" w:right="360"/>
        <w:jc w:val="both"/>
        <w:rPr>
          <w:rFonts w:ascii="Cambria" w:eastAsia="Arial Unicode MS" w:hAnsi="Cambria"/>
          <w:position w:val="4"/>
          <w:sz w:val="18"/>
          <w:szCs w:val="18"/>
          <w:bdr w:val="nil"/>
          <w:lang w:val="es-ES_tradnl"/>
        </w:rPr>
      </w:pPr>
      <w:r w:rsidRPr="0058501F">
        <w:rPr>
          <w:rFonts w:ascii="Cambria" w:eastAsia="Arial Unicode MS" w:hAnsi="Cambria"/>
          <w:sz w:val="18"/>
          <w:szCs w:val="18"/>
          <w:bdr w:val="nil"/>
          <w:lang w:val="es-ES_tradnl"/>
        </w:rPr>
        <w:t>garantizan la posibilidad de presentar alegatos y pruebas sobre si la pena de muerte puede no ser permisible o adecuada a las circunstancias de su caso, frente a consideraciones tales como el carácter e historial de delincuente, los factores subjetivos que podrían haber motivado su conducta, el diseño y la forma de ejecución del delito en cuestión y la posibilidad de reforma y readaptación social del delincuente.</w:t>
      </w:r>
      <w:r w:rsidRPr="0058501F">
        <w:rPr>
          <w:rFonts w:ascii="Cambria" w:eastAsia="Arial Unicode MS" w:hAnsi="Cambria"/>
          <w:sz w:val="18"/>
          <w:szCs w:val="18"/>
          <w:bdr w:val="nil"/>
          <w:vertAlign w:val="superscript"/>
          <w:lang w:val="es-ES_tradnl"/>
        </w:rPr>
        <w:footnoteReference w:id="57"/>
      </w:r>
    </w:p>
    <w:p w14:paraId="577E38CD" w14:textId="77777777" w:rsidR="00540E3D" w:rsidRPr="0058501F" w:rsidRDefault="00540E3D" w:rsidP="00540E3D">
      <w:pPr>
        <w:tabs>
          <w:tab w:val="left" w:pos="360"/>
        </w:tabs>
        <w:spacing w:after="0" w:line="240" w:lineRule="auto"/>
        <w:jc w:val="both"/>
        <w:rPr>
          <w:rFonts w:ascii="Cambria" w:eastAsia="Arial Unicode MS" w:hAnsi="Cambria"/>
          <w:sz w:val="20"/>
          <w:szCs w:val="18"/>
          <w:bdr w:val="nil"/>
          <w:lang w:val="es-ES_tradnl"/>
        </w:rPr>
      </w:pPr>
    </w:p>
    <w:p w14:paraId="2055EEA9" w14:textId="77777777" w:rsidR="00540E3D" w:rsidRPr="0058501F" w:rsidRDefault="00540E3D" w:rsidP="00470EC4">
      <w:pPr>
        <w:numPr>
          <w:ilvl w:val="0"/>
          <w:numId w:val="1"/>
        </w:numPr>
        <w:pBdr>
          <w:top w:val="nil"/>
          <w:left w:val="nil"/>
          <w:bottom w:val="nil"/>
          <w:right w:val="nil"/>
          <w:between w:val="nil"/>
          <w:bar w:val="nil"/>
        </w:pBdr>
        <w:tabs>
          <w:tab w:val="left" w:pos="360"/>
        </w:tabs>
        <w:spacing w:after="0" w:line="240" w:lineRule="auto"/>
        <w:ind w:firstLine="0"/>
        <w:jc w:val="both"/>
        <w:rPr>
          <w:rFonts w:ascii="Cambria" w:eastAsia="Times New Roman" w:hAnsi="Cambria"/>
          <w:sz w:val="20"/>
          <w:szCs w:val="18"/>
          <w:lang w:val="es-ES_tradnl"/>
        </w:rPr>
      </w:pPr>
      <w:r w:rsidRPr="0058501F">
        <w:rPr>
          <w:rFonts w:ascii="Cambria" w:eastAsia="Times New Roman" w:hAnsi="Cambria"/>
          <w:sz w:val="20"/>
          <w:szCs w:val="18"/>
          <w:lang w:val="es-ES_tradnl"/>
        </w:rPr>
        <w:t xml:space="preserve">Cabe señalar que el carácter fundamental de esta garantía se ha reflejado en las pautas de práctica para abogados. La </w:t>
      </w:r>
      <w:r w:rsidRPr="009706CC">
        <w:rPr>
          <w:rFonts w:ascii="Cambria" w:eastAsia="Times New Roman" w:hAnsi="Cambria"/>
          <w:i/>
          <w:iCs/>
          <w:sz w:val="20"/>
          <w:szCs w:val="18"/>
          <w:lang w:val="es-ES_tradnl"/>
        </w:rPr>
        <w:t xml:space="preserve">American Bar </w:t>
      </w:r>
      <w:proofErr w:type="spellStart"/>
      <w:r w:rsidRPr="009706CC">
        <w:rPr>
          <w:rFonts w:ascii="Cambria" w:eastAsia="Times New Roman" w:hAnsi="Cambria"/>
          <w:i/>
          <w:iCs/>
          <w:sz w:val="20"/>
          <w:szCs w:val="18"/>
          <w:lang w:val="es-ES_tradnl"/>
        </w:rPr>
        <w:t>Association</w:t>
      </w:r>
      <w:proofErr w:type="spellEnd"/>
      <w:r w:rsidRPr="0058501F">
        <w:rPr>
          <w:rFonts w:ascii="Cambria" w:eastAsia="Times New Roman" w:hAnsi="Cambria"/>
          <w:sz w:val="20"/>
          <w:szCs w:val="18"/>
          <w:lang w:val="es-ES_tradnl"/>
        </w:rPr>
        <w:t xml:space="preserve"> ha preparado y adoptado directrices y comentarios relacionados que enfatizan la importancia de investigar y presentar pruebas atenuantes en los casos de pena de muerte.</w:t>
      </w:r>
      <w:r w:rsidRPr="0058501F">
        <w:rPr>
          <w:rFonts w:ascii="Cambria" w:eastAsia="Times New Roman" w:hAnsi="Cambria"/>
          <w:sz w:val="20"/>
          <w:szCs w:val="20"/>
          <w:vertAlign w:val="superscript"/>
          <w:lang w:val="es-ES_tradnl"/>
        </w:rPr>
        <w:footnoteReference w:id="58"/>
      </w:r>
      <w:r w:rsidRPr="0058501F">
        <w:rPr>
          <w:rFonts w:ascii="Cambria" w:eastAsia="Times New Roman" w:hAnsi="Cambria"/>
          <w:sz w:val="20"/>
          <w:szCs w:val="18"/>
          <w:lang w:val="es-ES_tradnl"/>
        </w:rPr>
        <w:t xml:space="preserve"> De acuerdo con estas pautas, el deber de un abogado en los Estados Unidos de investigar y presentar pruebas atenuantes ahora está bien establecido y “[…] dado que quien determina la pena en un caso de pena de muerte </w:t>
      </w:r>
      <w:r w:rsidRPr="0058501F">
        <w:rPr>
          <w:rFonts w:ascii="Cambria" w:eastAsia="Times New Roman" w:hAnsi="Cambria"/>
          <w:sz w:val="20"/>
          <w:szCs w:val="18"/>
          <w:lang w:val="es-ES_tradnl"/>
        </w:rPr>
        <w:lastRenderedPageBreak/>
        <w:t>debe considerar como atenuante, cualquier aspecto en la vida del acusado que pueda militar en contra de la idoneidad de la pena de muerte para el acusado,” la preparación de la fase de determinación la pena requiere una investigación exhaustiva y, en general, sin precedentes sobre los antecedentes personales y familiares.</w:t>
      </w:r>
      <w:r w:rsidRPr="0058501F">
        <w:rPr>
          <w:rFonts w:ascii="Cambria" w:eastAsia="Times New Roman" w:hAnsi="Cambria"/>
          <w:sz w:val="20"/>
          <w:szCs w:val="20"/>
          <w:vertAlign w:val="superscript"/>
          <w:lang w:val="es-ES_tradnl"/>
        </w:rPr>
        <w:footnoteReference w:id="59"/>
      </w:r>
      <w:r w:rsidRPr="0058501F">
        <w:rPr>
          <w:rFonts w:ascii="Cambria" w:eastAsia="Times New Roman" w:hAnsi="Cambria"/>
          <w:sz w:val="20"/>
          <w:szCs w:val="18"/>
          <w:lang w:val="es-ES_tradnl"/>
        </w:rPr>
        <w:t xml:space="preserve"> Las Directrices también enfatizan que la “investigación de atenuantes debe comenzar lo más rápido posible, porque puede afectar la investigación de las defensas de la primera fase (por ejemplo, sugiriendo áreas adicionales para interrogar a los oficiales de policía u otros testigos), decisiones sobre la necesidad de evaluaciones de expertos (incluyendo competencia, retraso mental o locura), la introducción de mociones y negociaciones sobre la declaración de culpabilidad".</w:t>
      </w:r>
      <w:r w:rsidRPr="0058501F">
        <w:rPr>
          <w:rFonts w:ascii="Cambria" w:eastAsia="Times New Roman" w:hAnsi="Cambria"/>
          <w:sz w:val="20"/>
          <w:szCs w:val="20"/>
          <w:vertAlign w:val="superscript"/>
          <w:lang w:val="es-ES_tradnl"/>
        </w:rPr>
        <w:footnoteReference w:id="60"/>
      </w:r>
    </w:p>
    <w:p w14:paraId="1BB1893C" w14:textId="77777777" w:rsidR="00540E3D" w:rsidRPr="0058501F" w:rsidRDefault="00540E3D" w:rsidP="00540E3D">
      <w:pPr>
        <w:tabs>
          <w:tab w:val="left" w:pos="360"/>
        </w:tabs>
        <w:spacing w:after="0" w:line="240" w:lineRule="auto"/>
        <w:jc w:val="both"/>
        <w:rPr>
          <w:rFonts w:ascii="Cambria" w:eastAsia="Times New Roman" w:hAnsi="Cambria"/>
          <w:sz w:val="20"/>
          <w:szCs w:val="20"/>
          <w:lang w:val="es-ES_tradnl"/>
        </w:rPr>
      </w:pPr>
    </w:p>
    <w:p w14:paraId="04EA9359" w14:textId="77777777" w:rsidR="00540E3D" w:rsidRPr="0058501F" w:rsidRDefault="00540E3D" w:rsidP="00470EC4">
      <w:pPr>
        <w:numPr>
          <w:ilvl w:val="0"/>
          <w:numId w:val="1"/>
        </w:numPr>
        <w:pBdr>
          <w:top w:val="nil"/>
          <w:left w:val="nil"/>
          <w:bottom w:val="nil"/>
          <w:right w:val="nil"/>
          <w:between w:val="nil"/>
          <w:bar w:val="nil"/>
        </w:pBdr>
        <w:tabs>
          <w:tab w:val="left" w:pos="360"/>
        </w:tabs>
        <w:spacing w:after="0" w:line="240" w:lineRule="auto"/>
        <w:ind w:firstLine="0"/>
        <w:jc w:val="both"/>
        <w:rPr>
          <w:rFonts w:ascii="Cambria" w:eastAsia="Times New Roman" w:hAnsi="Cambria"/>
          <w:sz w:val="20"/>
          <w:szCs w:val="20"/>
          <w:lang w:val="es-ES_tradnl"/>
        </w:rPr>
      </w:pPr>
      <w:r w:rsidRPr="0058501F">
        <w:rPr>
          <w:rFonts w:ascii="Cambria" w:eastAsia="Times New Roman" w:hAnsi="Cambria"/>
          <w:sz w:val="20"/>
          <w:szCs w:val="20"/>
          <w:lang w:val="es-ES_tradnl"/>
        </w:rPr>
        <w:t>De acuerdo con la información proporcionada, el abogado del juicio convocó a varios testigos para dar fe del carácter del Sr. Ibarra. En particular, el tribunal consideró que se completaron las mociones de financiación y asistencia para la investigación, incluidas las evaluaciones del Dr. Stephen Mark, psiquiatra. Además, que muchos de los hechos identificados por el Sr. Ibarra fueron efectivamente presentados al jurado a través del testimonio de su hermana y su esposa, quienes declararon que llegó a los Estados Unidos en busca de trabajo para ayudar a mantener a su familia, que su familia era pobre, vivía en circunstancias “humildes”, trabajaba en la tierra y brindaron detalles sobre las circunstancias de su situación familiar en los Estados Unidos.</w:t>
      </w:r>
    </w:p>
    <w:p w14:paraId="36237AED" w14:textId="77777777" w:rsidR="00540E3D" w:rsidRPr="0058501F" w:rsidRDefault="00540E3D" w:rsidP="00470EC4">
      <w:pPr>
        <w:tabs>
          <w:tab w:val="left" w:pos="360"/>
        </w:tabs>
        <w:spacing w:after="0" w:line="240" w:lineRule="auto"/>
        <w:jc w:val="both"/>
        <w:rPr>
          <w:rFonts w:ascii="Cambria" w:eastAsia="Times New Roman" w:hAnsi="Cambria"/>
          <w:sz w:val="20"/>
          <w:szCs w:val="20"/>
          <w:lang w:val="es-ES_tradnl"/>
        </w:rPr>
      </w:pPr>
    </w:p>
    <w:p w14:paraId="0A2F956A" w14:textId="77777777" w:rsidR="00540E3D" w:rsidRPr="0058501F" w:rsidRDefault="00540E3D" w:rsidP="00470EC4">
      <w:pPr>
        <w:numPr>
          <w:ilvl w:val="0"/>
          <w:numId w:val="1"/>
        </w:numPr>
        <w:pBdr>
          <w:top w:val="nil"/>
          <w:left w:val="nil"/>
          <w:bottom w:val="nil"/>
          <w:right w:val="nil"/>
          <w:between w:val="nil"/>
          <w:bar w:val="nil"/>
        </w:pBdr>
        <w:tabs>
          <w:tab w:val="left" w:pos="360"/>
        </w:tabs>
        <w:spacing w:after="0" w:line="240" w:lineRule="auto"/>
        <w:ind w:firstLine="0"/>
        <w:jc w:val="both"/>
        <w:rPr>
          <w:rFonts w:ascii="Cambria" w:eastAsia="Times New Roman" w:hAnsi="Cambria"/>
          <w:sz w:val="20"/>
          <w:szCs w:val="20"/>
          <w:lang w:val="es-ES_tradnl"/>
        </w:rPr>
      </w:pPr>
      <w:r w:rsidRPr="0058501F">
        <w:rPr>
          <w:rFonts w:ascii="Cambria" w:eastAsia="Times New Roman" w:hAnsi="Cambria"/>
          <w:sz w:val="20"/>
          <w:szCs w:val="20"/>
          <w:lang w:val="es-ES_tradnl"/>
        </w:rPr>
        <w:t xml:space="preserve">La Comisión considera que la información brindada no sustenta suficientemente la afirmación de que el abogado fue ineficaz para orquestar las investigaciones y presentar pruebas atenuantes. Sin embargo, se sostiene que el hecho de que un abogado designado por el Estado no informe al Sr. Ibarra de su derecho a la notificación consular constituye una violación de su derecho al debido proceso y un juicio justo. Esto tuvo un impacto en la moción posterior a la condena del Sr. Ibarra, ya que el reclamo se encontraba </w:t>
      </w:r>
      <w:proofErr w:type="spellStart"/>
      <w:r w:rsidRPr="0058501F">
        <w:rPr>
          <w:rFonts w:ascii="Cambria" w:eastAsia="Times New Roman" w:hAnsi="Cambria"/>
          <w:sz w:val="20"/>
          <w:szCs w:val="20"/>
          <w:lang w:val="es-ES_tradnl"/>
        </w:rPr>
        <w:t>precluído</w:t>
      </w:r>
      <w:proofErr w:type="spellEnd"/>
      <w:r w:rsidRPr="0058501F">
        <w:rPr>
          <w:rFonts w:ascii="Cambria" w:eastAsia="Times New Roman" w:hAnsi="Cambria"/>
          <w:sz w:val="20"/>
          <w:szCs w:val="20"/>
          <w:lang w:val="es-ES_tradnl"/>
        </w:rPr>
        <w:t xml:space="preserve"> procedimentalmente. Además, no se puede determinar el alcance de la asistencia que podría haber brindado el consulado y el impacto de nuevos testimonios sobre el carácter del Sr. Ibarra; sin embargo, dado el mayor escrutinio de los juicios de pena de muerte, el abogado debería haber explorado todas las vías para obtener pruebas atenuantes disponibles.</w:t>
      </w:r>
    </w:p>
    <w:p w14:paraId="5E83C9A4" w14:textId="77777777" w:rsidR="00540E3D" w:rsidRPr="0058501F" w:rsidRDefault="00540E3D" w:rsidP="00470EC4">
      <w:pPr>
        <w:tabs>
          <w:tab w:val="left" w:pos="360"/>
        </w:tabs>
        <w:spacing w:after="0" w:line="240" w:lineRule="auto"/>
        <w:jc w:val="both"/>
        <w:rPr>
          <w:rFonts w:ascii="Cambria" w:eastAsia="Times New Roman" w:hAnsi="Cambria"/>
          <w:sz w:val="20"/>
          <w:szCs w:val="20"/>
          <w:lang w:val="es-ES_tradnl"/>
        </w:rPr>
      </w:pPr>
    </w:p>
    <w:p w14:paraId="00DB7305" w14:textId="77777777" w:rsidR="00540E3D" w:rsidRPr="0058501F" w:rsidRDefault="00172E91" w:rsidP="00470EC4">
      <w:pPr>
        <w:numPr>
          <w:ilvl w:val="0"/>
          <w:numId w:val="1"/>
        </w:numPr>
        <w:pBdr>
          <w:top w:val="nil"/>
          <w:left w:val="nil"/>
          <w:bottom w:val="nil"/>
          <w:right w:val="nil"/>
          <w:between w:val="nil"/>
          <w:bar w:val="nil"/>
        </w:pBdr>
        <w:tabs>
          <w:tab w:val="left" w:pos="360"/>
        </w:tabs>
        <w:spacing w:after="0" w:line="240" w:lineRule="auto"/>
        <w:ind w:firstLine="0"/>
        <w:jc w:val="both"/>
        <w:rPr>
          <w:rFonts w:ascii="Cambria" w:eastAsia="Times New Roman" w:hAnsi="Cambria"/>
          <w:sz w:val="20"/>
          <w:szCs w:val="20"/>
          <w:lang w:val="es-ES_tradnl"/>
        </w:rPr>
      </w:pPr>
      <w:r>
        <w:rPr>
          <w:rFonts w:ascii="Cambria" w:eastAsia="Times New Roman" w:hAnsi="Cambria"/>
          <w:sz w:val="20"/>
          <w:szCs w:val="20"/>
          <w:lang w:val="es-ES_tradnl"/>
        </w:rPr>
        <w:t xml:space="preserve">La Comisión considera </w:t>
      </w:r>
      <w:r w:rsidR="00540E3D" w:rsidRPr="0058501F">
        <w:rPr>
          <w:rFonts w:ascii="Cambria" w:eastAsia="Times New Roman" w:hAnsi="Cambria"/>
          <w:sz w:val="20"/>
          <w:szCs w:val="20"/>
          <w:lang w:val="es-ES_tradnl"/>
        </w:rPr>
        <w:t xml:space="preserve">que los requisitos fundamentales de debido proceso y juicio justo para los </w:t>
      </w:r>
      <w:r>
        <w:rPr>
          <w:rFonts w:ascii="Cambria" w:eastAsia="Times New Roman" w:hAnsi="Cambria"/>
          <w:sz w:val="20"/>
          <w:szCs w:val="20"/>
          <w:lang w:val="es-ES_tradnl"/>
        </w:rPr>
        <w:t>procesos</w:t>
      </w:r>
      <w:r w:rsidR="00540E3D" w:rsidRPr="0058501F">
        <w:rPr>
          <w:rFonts w:ascii="Cambria" w:eastAsia="Times New Roman" w:hAnsi="Cambria"/>
          <w:sz w:val="20"/>
          <w:szCs w:val="20"/>
          <w:lang w:val="es-ES_tradnl"/>
        </w:rPr>
        <w:t xml:space="preserve"> de pena de muerte incluyen la obligación de brindar representación legal adecuada, incluida la presentación de todas las pruebas atenuantes disponibles, y que la falta de información a un cliente de sus derechos a diversas formas de asistencia, específicamente, a la asistencia consular cuando el cliente es extranjero, constituiría una representación inadecuada. Con fundamento en las consideraciones anteriores y en la información que consta en el expediente, la Comisión concluye que las acciones del abogado designado por el Estado constituyen una representación inadecuada; y que Estados Unidos ha violado el derecho del Sr. Ibarra al debido proceso y a un juicio justo de conformidad con los artículos XVIII y XXVI de la Declaración Americana.</w:t>
      </w:r>
    </w:p>
    <w:p w14:paraId="6CA2B102" w14:textId="77777777" w:rsidR="00540E3D" w:rsidRPr="0058501F" w:rsidRDefault="00540E3D" w:rsidP="00DD040D">
      <w:pPr>
        <w:pStyle w:val="Heading3"/>
        <w:numPr>
          <w:ilvl w:val="0"/>
          <w:numId w:val="29"/>
        </w:numPr>
        <w:rPr>
          <w:rFonts w:ascii="Cambria" w:eastAsia="SimSun" w:hAnsi="Cambria"/>
          <w:sz w:val="20"/>
          <w:szCs w:val="20"/>
          <w:u w:color="000000"/>
          <w:bdr w:val="nil"/>
          <w:lang w:val="es-ES_tradnl" w:eastAsia="es-ES"/>
        </w:rPr>
      </w:pPr>
      <w:bookmarkStart w:id="21" w:name="_Toc90117842"/>
      <w:bookmarkStart w:id="22" w:name="_Toc68863897"/>
      <w:r w:rsidRPr="0058501F">
        <w:rPr>
          <w:rFonts w:ascii="Cambria" w:eastAsia="SimSun" w:hAnsi="Cambria"/>
          <w:sz w:val="20"/>
          <w:szCs w:val="20"/>
          <w:u w:color="000000"/>
          <w:bdr w:val="nil"/>
          <w:lang w:val="es-ES_tradnl" w:eastAsia="es-ES"/>
        </w:rPr>
        <w:t>Derecho a un tiempo adecuado para preparar la defensa y a ser asistido por un abogado</w:t>
      </w:r>
      <w:bookmarkEnd w:id="21"/>
    </w:p>
    <w:bookmarkEnd w:id="22"/>
    <w:p w14:paraId="386D9CED" w14:textId="77777777" w:rsidR="00540E3D" w:rsidRPr="0058501F" w:rsidRDefault="00540E3D" w:rsidP="00540E3D">
      <w:pPr>
        <w:tabs>
          <w:tab w:val="left" w:pos="360"/>
        </w:tabs>
        <w:spacing w:after="0" w:line="240" w:lineRule="auto"/>
        <w:jc w:val="both"/>
        <w:rPr>
          <w:rFonts w:ascii="Cambria" w:eastAsia="Times New Roman" w:hAnsi="Cambria"/>
          <w:sz w:val="20"/>
          <w:szCs w:val="20"/>
          <w:lang w:val="es-ES_tradnl"/>
        </w:rPr>
      </w:pPr>
    </w:p>
    <w:p w14:paraId="602A0C08" w14:textId="77777777" w:rsidR="00540E3D" w:rsidRPr="0058501F" w:rsidRDefault="00540E3D" w:rsidP="00470EC4">
      <w:pPr>
        <w:numPr>
          <w:ilvl w:val="0"/>
          <w:numId w:val="1"/>
        </w:numPr>
        <w:pBdr>
          <w:top w:val="nil"/>
          <w:left w:val="nil"/>
          <w:bottom w:val="nil"/>
          <w:right w:val="nil"/>
          <w:between w:val="nil"/>
          <w:bar w:val="nil"/>
        </w:pBdr>
        <w:tabs>
          <w:tab w:val="left" w:pos="360"/>
        </w:tabs>
        <w:spacing w:after="0" w:line="240" w:lineRule="auto"/>
        <w:ind w:firstLine="0"/>
        <w:jc w:val="both"/>
        <w:rPr>
          <w:rFonts w:ascii="Cambria" w:eastAsia="Times New Roman" w:hAnsi="Cambria"/>
          <w:sz w:val="20"/>
          <w:szCs w:val="20"/>
          <w:lang w:val="es-ES_tradnl"/>
        </w:rPr>
      </w:pPr>
      <w:r w:rsidRPr="0058501F">
        <w:rPr>
          <w:rFonts w:ascii="Cambria" w:eastAsia="Times New Roman" w:hAnsi="Cambria"/>
          <w:sz w:val="20"/>
          <w:szCs w:val="20"/>
          <w:lang w:val="es-ES_tradnl"/>
        </w:rPr>
        <w:t xml:space="preserve">Los peticionarios alegan que el tribunal estatal le negó al </w:t>
      </w:r>
      <w:r w:rsidR="00DD040D" w:rsidRPr="0058501F">
        <w:rPr>
          <w:rFonts w:ascii="Cambria" w:eastAsia="Times New Roman" w:hAnsi="Cambria"/>
          <w:sz w:val="20"/>
          <w:szCs w:val="20"/>
          <w:lang w:val="es-ES_tradnl"/>
        </w:rPr>
        <w:t>Sr.</w:t>
      </w:r>
      <w:r w:rsidRPr="0058501F">
        <w:rPr>
          <w:rFonts w:ascii="Cambria" w:eastAsia="Times New Roman" w:hAnsi="Cambria"/>
          <w:sz w:val="20"/>
          <w:szCs w:val="20"/>
          <w:lang w:val="es-ES_tradnl"/>
        </w:rPr>
        <w:t xml:space="preserve"> Rubí el tiempo y los fondos adecuados para preparar su audiencia sobre discapacidad intelectual. Dicen que ni el </w:t>
      </w:r>
      <w:r w:rsidR="00DD040D" w:rsidRPr="0058501F">
        <w:rPr>
          <w:rFonts w:ascii="Cambria" w:eastAsia="Times New Roman" w:hAnsi="Cambria"/>
          <w:sz w:val="20"/>
          <w:szCs w:val="20"/>
          <w:lang w:val="es-ES_tradnl"/>
        </w:rPr>
        <w:t>Tribunal Penal de Apelaciones de Texas</w:t>
      </w:r>
      <w:r w:rsidRPr="0058501F">
        <w:rPr>
          <w:rFonts w:ascii="Cambria" w:eastAsia="Times New Roman" w:hAnsi="Cambria"/>
          <w:sz w:val="20"/>
          <w:szCs w:val="20"/>
          <w:lang w:val="es-ES_tradnl"/>
        </w:rPr>
        <w:t xml:space="preserve"> de Texas ni el tribunal de primera instancia designaron un abogado para que lo representara. Supuestamente permaneció sin representación ante el tribunal estatal hasta que un abogado voluntario compareció</w:t>
      </w:r>
    </w:p>
    <w:p w14:paraId="481C8A3D" w14:textId="77777777" w:rsidR="00540E3D" w:rsidRPr="0058501F" w:rsidRDefault="00540E3D" w:rsidP="00470EC4">
      <w:pPr>
        <w:tabs>
          <w:tab w:val="left" w:pos="360"/>
        </w:tabs>
        <w:spacing w:after="0" w:line="240" w:lineRule="auto"/>
        <w:jc w:val="both"/>
        <w:rPr>
          <w:rFonts w:ascii="Cambria" w:eastAsia="Times New Roman" w:hAnsi="Cambria"/>
          <w:sz w:val="20"/>
          <w:szCs w:val="20"/>
          <w:lang w:val="es-ES_tradnl"/>
        </w:rPr>
      </w:pPr>
    </w:p>
    <w:p w14:paraId="09F01F41" w14:textId="77777777" w:rsidR="00540E3D" w:rsidRPr="0058501F" w:rsidRDefault="00540E3D" w:rsidP="00470EC4">
      <w:pPr>
        <w:numPr>
          <w:ilvl w:val="0"/>
          <w:numId w:val="1"/>
        </w:numPr>
        <w:pBdr>
          <w:top w:val="nil"/>
          <w:left w:val="nil"/>
          <w:bottom w:val="nil"/>
          <w:right w:val="nil"/>
          <w:between w:val="nil"/>
          <w:bar w:val="nil"/>
        </w:pBdr>
        <w:tabs>
          <w:tab w:val="left" w:pos="360"/>
        </w:tabs>
        <w:spacing w:after="0" w:line="240" w:lineRule="auto"/>
        <w:ind w:firstLine="0"/>
        <w:jc w:val="both"/>
        <w:rPr>
          <w:rFonts w:ascii="Cambria" w:eastAsia="Times New Roman" w:hAnsi="Cambria"/>
          <w:sz w:val="20"/>
          <w:szCs w:val="20"/>
          <w:lang w:val="es-ES_tradnl"/>
        </w:rPr>
      </w:pPr>
      <w:r w:rsidRPr="0058501F">
        <w:rPr>
          <w:rFonts w:ascii="Cambria" w:eastAsia="Times New Roman" w:hAnsi="Cambria"/>
          <w:sz w:val="20"/>
          <w:szCs w:val="20"/>
          <w:lang w:val="es-ES_tradnl"/>
        </w:rPr>
        <w:t>D</w:t>
      </w:r>
      <w:r w:rsidR="00172E91">
        <w:rPr>
          <w:rFonts w:ascii="Cambria" w:eastAsia="Times New Roman" w:hAnsi="Cambria"/>
          <w:sz w:val="20"/>
          <w:szCs w:val="20"/>
          <w:lang w:val="es-ES_tradnl"/>
        </w:rPr>
        <w:t>e</w:t>
      </w:r>
      <w:r w:rsidRPr="0058501F">
        <w:rPr>
          <w:rFonts w:ascii="Cambria" w:eastAsia="Times New Roman" w:hAnsi="Cambria"/>
          <w:sz w:val="20"/>
          <w:szCs w:val="20"/>
          <w:lang w:val="es-ES_tradnl"/>
        </w:rPr>
        <w:t xml:space="preserve"> la información disponible sobre el asunto ante la Comisión, no </w:t>
      </w:r>
      <w:r w:rsidR="00172E91">
        <w:rPr>
          <w:rFonts w:ascii="Cambria" w:eastAsia="Times New Roman" w:hAnsi="Cambria"/>
          <w:sz w:val="20"/>
          <w:szCs w:val="20"/>
          <w:lang w:val="es-ES_tradnl"/>
        </w:rPr>
        <w:t>se desprende</w:t>
      </w:r>
      <w:r w:rsidRPr="0058501F">
        <w:rPr>
          <w:rFonts w:ascii="Cambria" w:eastAsia="Times New Roman" w:hAnsi="Cambria"/>
          <w:sz w:val="20"/>
          <w:szCs w:val="20"/>
          <w:lang w:val="es-ES_tradnl"/>
        </w:rPr>
        <w:t xml:space="preserve"> evidencia que sustente este alegato y la Comisión no puede concluir </w:t>
      </w:r>
      <w:r w:rsidR="00172E91">
        <w:rPr>
          <w:rFonts w:ascii="Cambria" w:eastAsia="Times New Roman" w:hAnsi="Cambria"/>
          <w:sz w:val="20"/>
          <w:szCs w:val="20"/>
          <w:lang w:val="es-ES_tradnl"/>
        </w:rPr>
        <w:t>que</w:t>
      </w:r>
      <w:r w:rsidRPr="0058501F">
        <w:rPr>
          <w:rFonts w:ascii="Cambria" w:eastAsia="Times New Roman" w:hAnsi="Cambria"/>
          <w:sz w:val="20"/>
          <w:szCs w:val="20"/>
          <w:lang w:val="es-ES_tradnl"/>
        </w:rPr>
        <w:t xml:space="preserve"> exist</w:t>
      </w:r>
      <w:r w:rsidR="00172E91">
        <w:rPr>
          <w:rFonts w:ascii="Cambria" w:eastAsia="Times New Roman" w:hAnsi="Cambria"/>
          <w:sz w:val="20"/>
          <w:szCs w:val="20"/>
          <w:lang w:val="es-ES_tradnl"/>
        </w:rPr>
        <w:t>a</w:t>
      </w:r>
      <w:r w:rsidRPr="0058501F">
        <w:rPr>
          <w:rFonts w:ascii="Cambria" w:eastAsia="Times New Roman" w:hAnsi="Cambria"/>
          <w:sz w:val="20"/>
          <w:szCs w:val="20"/>
          <w:lang w:val="es-ES_tradnl"/>
        </w:rPr>
        <w:t xml:space="preserve"> una violación al derecho del </w:t>
      </w:r>
      <w:r w:rsidR="00DD040D" w:rsidRPr="0058501F">
        <w:rPr>
          <w:rFonts w:ascii="Cambria" w:eastAsia="Times New Roman" w:hAnsi="Cambria"/>
          <w:sz w:val="20"/>
          <w:szCs w:val="20"/>
          <w:lang w:val="es-ES_tradnl"/>
        </w:rPr>
        <w:t>Sr.</w:t>
      </w:r>
      <w:r w:rsidRPr="0058501F">
        <w:rPr>
          <w:rFonts w:ascii="Cambria" w:eastAsia="Times New Roman" w:hAnsi="Cambria"/>
          <w:sz w:val="20"/>
          <w:szCs w:val="20"/>
          <w:lang w:val="es-ES_tradnl"/>
        </w:rPr>
        <w:t xml:space="preserve"> Ibarra a un tiempo adecuado para preparar la defensa y a ser asistido por un abogado, que igualmente viol</w:t>
      </w:r>
      <w:r w:rsidR="00172E91">
        <w:rPr>
          <w:rFonts w:ascii="Cambria" w:eastAsia="Times New Roman" w:hAnsi="Cambria"/>
          <w:sz w:val="20"/>
          <w:szCs w:val="20"/>
          <w:lang w:val="es-ES_tradnl"/>
        </w:rPr>
        <w:t>e</w:t>
      </w:r>
      <w:r w:rsidRPr="0058501F">
        <w:rPr>
          <w:rFonts w:ascii="Cambria" w:eastAsia="Times New Roman" w:hAnsi="Cambria"/>
          <w:sz w:val="20"/>
          <w:szCs w:val="20"/>
          <w:lang w:val="es-ES_tradnl"/>
        </w:rPr>
        <w:t xml:space="preserve"> su derecho a los medios adecuados para la preparación de su defensa, lo que sería una violación del artículo XVIII de la Declaración.</w:t>
      </w:r>
    </w:p>
    <w:p w14:paraId="5BEBB2F7" w14:textId="77777777" w:rsidR="00540E3D" w:rsidRPr="0058501F" w:rsidRDefault="00540E3D" w:rsidP="00540E3D">
      <w:pPr>
        <w:tabs>
          <w:tab w:val="left" w:pos="360"/>
        </w:tabs>
        <w:spacing w:after="0" w:line="240" w:lineRule="auto"/>
        <w:jc w:val="both"/>
        <w:rPr>
          <w:rFonts w:ascii="Cambria" w:eastAsia="Times New Roman" w:hAnsi="Cambria"/>
          <w:sz w:val="20"/>
          <w:szCs w:val="20"/>
          <w:lang w:val="es-ES_tradnl"/>
        </w:rPr>
      </w:pPr>
    </w:p>
    <w:p w14:paraId="7C3D89F7" w14:textId="77777777" w:rsidR="00540E3D" w:rsidRPr="0058501F" w:rsidRDefault="00540E3D" w:rsidP="00DD040D">
      <w:pPr>
        <w:pStyle w:val="Heading3"/>
        <w:numPr>
          <w:ilvl w:val="0"/>
          <w:numId w:val="29"/>
        </w:numPr>
        <w:rPr>
          <w:rFonts w:ascii="Cambria" w:eastAsia="SimSun" w:hAnsi="Cambria"/>
          <w:sz w:val="20"/>
          <w:szCs w:val="20"/>
          <w:bdr w:val="nil"/>
          <w:lang w:val="es-ES_tradnl"/>
        </w:rPr>
      </w:pPr>
      <w:bookmarkStart w:id="23" w:name="_Toc90117843"/>
      <w:bookmarkStart w:id="24" w:name="_Toc68863898"/>
      <w:r w:rsidRPr="0058501F">
        <w:rPr>
          <w:rFonts w:ascii="Cambria" w:eastAsia="SimSun" w:hAnsi="Cambria"/>
          <w:sz w:val="20"/>
          <w:szCs w:val="20"/>
          <w:bdr w:val="nil"/>
          <w:lang w:val="es-ES_tradnl"/>
        </w:rPr>
        <w:lastRenderedPageBreak/>
        <w:t>Derecho a un recurso efectivo, a ser juzgado por un juez imparcial y a la igualdad ante la ley y no discriminación</w:t>
      </w:r>
      <w:r w:rsidRPr="0058501F">
        <w:rPr>
          <w:rFonts w:ascii="Cambria" w:eastAsia="SimSun" w:hAnsi="Cambria"/>
          <w:sz w:val="20"/>
          <w:szCs w:val="20"/>
          <w:bdr w:val="nil"/>
          <w:vertAlign w:val="superscript"/>
          <w:lang w:val="es-ES_tradnl"/>
        </w:rPr>
        <w:footnoteReference w:id="61"/>
      </w:r>
      <w:bookmarkEnd w:id="23"/>
    </w:p>
    <w:bookmarkEnd w:id="24"/>
    <w:p w14:paraId="5FE2B992" w14:textId="77777777" w:rsidR="00540E3D" w:rsidRPr="0058501F" w:rsidRDefault="00540E3D" w:rsidP="00540E3D">
      <w:pPr>
        <w:tabs>
          <w:tab w:val="left" w:pos="360"/>
          <w:tab w:val="left" w:pos="720"/>
          <w:tab w:val="left" w:pos="1440"/>
        </w:tabs>
        <w:spacing w:beforeLines="1" w:before="2" w:afterLines="1" w:after="2" w:line="240" w:lineRule="auto"/>
        <w:jc w:val="both"/>
        <w:rPr>
          <w:rFonts w:ascii="Cambria" w:eastAsia="Times New Roman" w:hAnsi="Cambria"/>
          <w:sz w:val="20"/>
          <w:szCs w:val="20"/>
          <w:lang w:val="es-ES_tradnl"/>
        </w:rPr>
      </w:pPr>
    </w:p>
    <w:p w14:paraId="17F60529" w14:textId="77777777" w:rsidR="00540E3D" w:rsidRPr="0058501F" w:rsidRDefault="00540E3D" w:rsidP="00470EC4">
      <w:pPr>
        <w:numPr>
          <w:ilvl w:val="0"/>
          <w:numId w:val="1"/>
        </w:numPr>
        <w:pBdr>
          <w:top w:val="nil"/>
          <w:left w:val="nil"/>
          <w:bottom w:val="nil"/>
          <w:right w:val="nil"/>
          <w:between w:val="nil"/>
          <w:bar w:val="nil"/>
        </w:pBdr>
        <w:tabs>
          <w:tab w:val="left" w:pos="360"/>
          <w:tab w:val="left" w:pos="720"/>
          <w:tab w:val="left" w:pos="1440"/>
        </w:tabs>
        <w:spacing w:after="0" w:line="240" w:lineRule="auto"/>
        <w:ind w:firstLine="0"/>
        <w:jc w:val="both"/>
        <w:rPr>
          <w:rFonts w:ascii="Cambria" w:eastAsia="Times New Roman" w:hAnsi="Cambria"/>
          <w:sz w:val="20"/>
          <w:szCs w:val="20"/>
          <w:lang w:val="es-ES_tradnl"/>
        </w:rPr>
      </w:pPr>
      <w:r w:rsidRPr="0058501F">
        <w:rPr>
          <w:rFonts w:ascii="Cambria" w:eastAsia="Times New Roman" w:hAnsi="Cambria"/>
          <w:sz w:val="20"/>
          <w:szCs w:val="20"/>
          <w:lang w:val="es-ES_tradnl"/>
        </w:rPr>
        <w:t>El derecho a ser juzgado por un juez o tribunal imparcial es una garantía fundamental del debido proceso. Es decir, la persona procesada debe tener la garantía de que el juez o tribunal que preside su caso lo aborda con la máxima objetividad. De esta manera, los tribunales inspiran la necesaria confianza a las partes en el caso y a los ciudadanos en una sociedad democrática.</w:t>
      </w:r>
    </w:p>
    <w:p w14:paraId="5430B7AE" w14:textId="77777777" w:rsidR="00540E3D" w:rsidRPr="0058501F" w:rsidRDefault="00540E3D" w:rsidP="00470EC4">
      <w:pPr>
        <w:tabs>
          <w:tab w:val="left" w:pos="360"/>
          <w:tab w:val="left" w:pos="720"/>
          <w:tab w:val="left" w:pos="1440"/>
        </w:tabs>
        <w:spacing w:after="0" w:line="240" w:lineRule="auto"/>
        <w:jc w:val="both"/>
        <w:rPr>
          <w:rFonts w:ascii="Cambria" w:eastAsia="Times New Roman" w:hAnsi="Cambria"/>
          <w:sz w:val="20"/>
          <w:szCs w:val="20"/>
          <w:lang w:val="es-ES_tradnl"/>
        </w:rPr>
      </w:pPr>
    </w:p>
    <w:p w14:paraId="6C037A7B" w14:textId="77777777" w:rsidR="00540E3D" w:rsidRPr="0058501F" w:rsidRDefault="00540E3D" w:rsidP="00470EC4">
      <w:pPr>
        <w:numPr>
          <w:ilvl w:val="0"/>
          <w:numId w:val="1"/>
        </w:numPr>
        <w:pBdr>
          <w:top w:val="nil"/>
          <w:left w:val="nil"/>
          <w:bottom w:val="nil"/>
          <w:right w:val="nil"/>
          <w:between w:val="nil"/>
          <w:bar w:val="nil"/>
        </w:pBdr>
        <w:tabs>
          <w:tab w:val="left" w:pos="360"/>
          <w:tab w:val="left" w:pos="720"/>
          <w:tab w:val="left" w:pos="1440"/>
        </w:tabs>
        <w:spacing w:after="0" w:line="240" w:lineRule="auto"/>
        <w:ind w:firstLine="0"/>
        <w:jc w:val="both"/>
        <w:rPr>
          <w:rFonts w:ascii="Cambria" w:eastAsia="Times New Roman" w:hAnsi="Cambria"/>
          <w:sz w:val="20"/>
          <w:szCs w:val="20"/>
          <w:lang w:val="es-ES_tradnl"/>
        </w:rPr>
      </w:pPr>
      <w:r w:rsidRPr="0058501F">
        <w:rPr>
          <w:rFonts w:ascii="Cambria" w:eastAsia="Times New Roman" w:hAnsi="Cambria"/>
          <w:sz w:val="20"/>
          <w:szCs w:val="20"/>
          <w:lang w:val="es-ES_tradnl"/>
        </w:rPr>
        <w:t>En el Caso Herrera Ulloa Vs. Costa Rica,</w:t>
      </w:r>
      <w:r w:rsidRPr="0058501F">
        <w:rPr>
          <w:rFonts w:ascii="Cambria" w:eastAsia="Times New Roman" w:hAnsi="Cambria"/>
          <w:sz w:val="20"/>
          <w:szCs w:val="20"/>
          <w:vertAlign w:val="superscript"/>
          <w:lang w:val="es-ES_tradnl"/>
        </w:rPr>
        <w:footnoteReference w:id="62"/>
      </w:r>
      <w:r w:rsidRPr="0058501F">
        <w:rPr>
          <w:rFonts w:ascii="Cambria" w:eastAsia="Times New Roman" w:hAnsi="Cambria"/>
          <w:sz w:val="20"/>
          <w:szCs w:val="20"/>
          <w:lang w:val="es-ES_tradnl"/>
        </w:rPr>
        <w:t xml:space="preserve"> citando al Tribunal Europeo, la Corte Interamericana señaló que la imparcialidad tiene aspectos tanto subjetivos como objetivos. En términos de subjetividad, el tribunal debe carecer de prejuicios personales (el juez o tribunal debe tener la máxima objetividad para enfrentar el juicio), y en términos del punto de vista objetivo, los tribunales deben inspirar la "confianza necesaria a las partes en el caso, así como a los ciudadanos en una sociedad democrática". La Corte precisó que la "imparcialidad del tribunal implica que sus integrantes no tengan un interés directo, una posición tomada, una preferencia por alguna de las partes y que no se encuentren involucrados en la controversia". En concreto, se señaló que el Tribunal Europeo sostuvo al respecto que:</w:t>
      </w:r>
    </w:p>
    <w:p w14:paraId="5C7EAC94" w14:textId="77777777" w:rsidR="00540E3D" w:rsidRPr="0058501F" w:rsidRDefault="00540E3D" w:rsidP="00540E3D">
      <w:pPr>
        <w:tabs>
          <w:tab w:val="left" w:pos="360"/>
          <w:tab w:val="left" w:pos="720"/>
          <w:tab w:val="left" w:pos="1440"/>
        </w:tabs>
        <w:spacing w:beforeLines="1" w:before="2" w:beforeAutospacing="1" w:afterLines="1" w:after="2" w:afterAutospacing="1" w:line="240" w:lineRule="auto"/>
        <w:ind w:left="540" w:right="360"/>
        <w:jc w:val="both"/>
        <w:rPr>
          <w:rFonts w:ascii="Cambria" w:eastAsia="Times New Roman" w:hAnsi="Cambria"/>
          <w:sz w:val="18"/>
          <w:szCs w:val="18"/>
          <w:lang w:val="es-ES_tradnl"/>
        </w:rPr>
      </w:pPr>
      <w:r w:rsidRPr="0058501F">
        <w:rPr>
          <w:rFonts w:ascii="Cambria" w:eastAsia="Times New Roman" w:hAnsi="Cambria"/>
          <w:sz w:val="18"/>
          <w:szCs w:val="18"/>
          <w:lang w:val="es-ES_tradnl"/>
        </w:rPr>
        <w:t>“Primero, el tribunal debe carecer, de una manera subjetiva, de prejuicio personal. Segundo, también debe ser imparcial desde un punto de vista objetivo, es decir, debe ofrecer garantías suficientes para que no haya duda legítima al respecto. Bajo el análisis objetivo, se debe determinar si, aparte del comportamiento personal de los jueces, hay hechos averiguables que podrán suscitar dudas respecto de su imparcialidad. En este sentido, hasta las apariencias podrán tener cierta importancia. Lo que está en juego es la confianza que deben inspirar los tribunales a los ciudadanos en una sociedad democrática y, sobre todo, en las partes del caso”.</w:t>
      </w:r>
      <w:r w:rsidRPr="0058501F">
        <w:rPr>
          <w:rFonts w:ascii="Cambria" w:eastAsia="Times New Roman" w:hAnsi="Cambria"/>
          <w:sz w:val="18"/>
          <w:szCs w:val="18"/>
          <w:vertAlign w:val="superscript"/>
          <w:lang w:val="es-ES_tradnl"/>
        </w:rPr>
        <w:footnoteReference w:id="63"/>
      </w:r>
    </w:p>
    <w:p w14:paraId="02AF9930" w14:textId="77777777" w:rsidR="00540E3D" w:rsidRPr="0058501F" w:rsidRDefault="00540E3D" w:rsidP="00470EC4">
      <w:pPr>
        <w:numPr>
          <w:ilvl w:val="0"/>
          <w:numId w:val="1"/>
        </w:numPr>
        <w:pBdr>
          <w:top w:val="nil"/>
          <w:left w:val="nil"/>
          <w:bottom w:val="nil"/>
          <w:right w:val="nil"/>
          <w:between w:val="nil"/>
          <w:bar w:val="nil"/>
        </w:pBdr>
        <w:tabs>
          <w:tab w:val="left" w:pos="360"/>
          <w:tab w:val="left" w:pos="720"/>
          <w:tab w:val="left" w:pos="1440"/>
        </w:tabs>
        <w:spacing w:after="0" w:line="240" w:lineRule="auto"/>
        <w:ind w:firstLine="0"/>
        <w:jc w:val="both"/>
        <w:rPr>
          <w:rFonts w:ascii="Cambria" w:eastAsia="Times New Roman" w:hAnsi="Cambria"/>
          <w:sz w:val="20"/>
          <w:szCs w:val="20"/>
          <w:lang w:val="es-ES_tradnl"/>
        </w:rPr>
      </w:pPr>
      <w:r w:rsidRPr="0058501F">
        <w:rPr>
          <w:rFonts w:ascii="Cambria" w:eastAsia="Times New Roman" w:hAnsi="Cambria"/>
          <w:sz w:val="20"/>
          <w:szCs w:val="20"/>
          <w:lang w:val="es-ES_tradnl"/>
        </w:rPr>
        <w:t xml:space="preserve">En el caso de </w:t>
      </w:r>
      <w:proofErr w:type="spellStart"/>
      <w:r w:rsidRPr="0058501F">
        <w:rPr>
          <w:rFonts w:ascii="Cambria" w:eastAsia="Times New Roman" w:hAnsi="Cambria"/>
          <w:sz w:val="20"/>
          <w:szCs w:val="20"/>
          <w:lang w:val="es-ES_tradnl"/>
        </w:rPr>
        <w:t>Apitz</w:t>
      </w:r>
      <w:proofErr w:type="spellEnd"/>
      <w:r w:rsidRPr="0058501F">
        <w:rPr>
          <w:rFonts w:ascii="Cambria" w:eastAsia="Times New Roman" w:hAnsi="Cambria"/>
          <w:sz w:val="20"/>
          <w:szCs w:val="20"/>
          <w:lang w:val="es-ES_tradnl"/>
        </w:rPr>
        <w:t xml:space="preserve"> Barbera et al. (“Corte Primera de lo Contencioso Administrativo”) vs. Venezuela, la Corte reiteró que “la imparcialidad exige que el juez que interviene en una contienda particular se aproxime a los hechos de la causa careciendo, de manera subjetiva, de todo prejuicio y, asimismo, ofreciendo garantías suficientes de índole objetiva que permitan desterrar toda duda que el justiciable o la comunidad puedan albergar respecto de la ausencia de imparcialidad [...] la denominada prueba objetiva consiste en determinar si el juez cuestionado brindó elementos convincentes que permitan eliminar temores legítimos o fundadas sospechas de parcialidad sobre su persona.”</w:t>
      </w:r>
      <w:r w:rsidRPr="0058501F">
        <w:rPr>
          <w:rFonts w:ascii="Cambria" w:eastAsia="Times New Roman" w:hAnsi="Cambria"/>
          <w:sz w:val="20"/>
          <w:szCs w:val="20"/>
          <w:vertAlign w:val="superscript"/>
          <w:lang w:val="es-ES_tradnl"/>
        </w:rPr>
        <w:footnoteReference w:id="64"/>
      </w:r>
      <w:r w:rsidRPr="0058501F">
        <w:rPr>
          <w:rFonts w:ascii="Cambria" w:eastAsia="Times New Roman" w:hAnsi="Cambria"/>
          <w:sz w:val="20"/>
          <w:szCs w:val="20"/>
          <w:lang w:val="es-ES_tradnl"/>
        </w:rPr>
        <w:t xml:space="preserve">  </w:t>
      </w:r>
    </w:p>
    <w:p w14:paraId="25947DBD" w14:textId="77777777" w:rsidR="00540E3D" w:rsidRPr="0058501F" w:rsidRDefault="00540E3D" w:rsidP="00470EC4">
      <w:pPr>
        <w:tabs>
          <w:tab w:val="left" w:pos="360"/>
          <w:tab w:val="left" w:pos="720"/>
          <w:tab w:val="left" w:pos="1440"/>
        </w:tabs>
        <w:spacing w:after="0" w:line="240" w:lineRule="auto"/>
        <w:jc w:val="both"/>
        <w:rPr>
          <w:rFonts w:ascii="Cambria" w:eastAsia="Times New Roman" w:hAnsi="Cambria"/>
          <w:sz w:val="20"/>
          <w:szCs w:val="20"/>
          <w:lang w:val="es-ES_tradnl"/>
        </w:rPr>
      </w:pPr>
    </w:p>
    <w:p w14:paraId="4CA87116" w14:textId="77777777" w:rsidR="00540E3D" w:rsidRPr="0058501F" w:rsidRDefault="00540E3D" w:rsidP="00470EC4">
      <w:pPr>
        <w:numPr>
          <w:ilvl w:val="0"/>
          <w:numId w:val="1"/>
        </w:numPr>
        <w:pBdr>
          <w:top w:val="nil"/>
          <w:left w:val="nil"/>
          <w:bottom w:val="nil"/>
          <w:right w:val="nil"/>
          <w:between w:val="nil"/>
          <w:bar w:val="nil"/>
        </w:pBdr>
        <w:tabs>
          <w:tab w:val="left" w:pos="360"/>
          <w:tab w:val="left" w:pos="720"/>
          <w:tab w:val="left" w:pos="1440"/>
        </w:tabs>
        <w:spacing w:after="0" w:line="240" w:lineRule="auto"/>
        <w:ind w:firstLine="0"/>
        <w:jc w:val="both"/>
        <w:rPr>
          <w:rFonts w:ascii="Cambria" w:eastAsia="Times New Roman" w:hAnsi="Cambria"/>
          <w:sz w:val="20"/>
          <w:szCs w:val="20"/>
          <w:lang w:val="es-ES_tradnl"/>
        </w:rPr>
      </w:pPr>
      <w:r w:rsidRPr="0058501F">
        <w:rPr>
          <w:rFonts w:ascii="Cambria" w:eastAsia="Times New Roman" w:hAnsi="Cambria"/>
          <w:sz w:val="20"/>
          <w:szCs w:val="20"/>
          <w:lang w:val="es-ES_tradnl"/>
        </w:rPr>
        <w:t>La CIDH recuerda que el Estado tiene la obligación general de brindar recursos judiciales efectivos a las personas que aleguen ser víctimas de violaciones de derechos humanos, los cuales deben ser tramitados de conformidad con las reglas del debido proceso legal. Para que un recurso sea eficaz, no basta con que esté legalmente previsto; debe ser realmente adecuado para establecer si se ha producido una violación de los derechos humanos y proporcionar el remedio necesario. En la valoración de la efectividad de los recursos se debe examinar si las decisiones del proceso judicial han contribuido efectivamente a poner fin a una situación violatoria de derechos, a asegurar la no repetición de los hechos lesivos y a garantizar el libre y pleno ejercicio de los derechos protegidos por la Convención.</w:t>
      </w:r>
      <w:r w:rsidRPr="0058501F">
        <w:rPr>
          <w:rFonts w:ascii="Cambria" w:eastAsia="Times New Roman" w:hAnsi="Cambria"/>
          <w:sz w:val="20"/>
          <w:szCs w:val="20"/>
          <w:vertAlign w:val="superscript"/>
          <w:lang w:val="es-ES_tradnl"/>
        </w:rPr>
        <w:footnoteReference w:id="65"/>
      </w:r>
    </w:p>
    <w:p w14:paraId="75073706" w14:textId="77777777" w:rsidR="00540E3D" w:rsidRPr="0058501F" w:rsidRDefault="00540E3D" w:rsidP="00540E3D">
      <w:pPr>
        <w:pBdr>
          <w:top w:val="nil"/>
          <w:left w:val="nil"/>
          <w:bottom w:val="nil"/>
          <w:right w:val="nil"/>
          <w:between w:val="nil"/>
          <w:bar w:val="nil"/>
        </w:pBdr>
        <w:spacing w:after="0" w:line="240" w:lineRule="auto"/>
        <w:rPr>
          <w:rFonts w:ascii="Cambria" w:eastAsia="Arial Unicode MS" w:hAnsi="Cambria"/>
          <w:sz w:val="20"/>
          <w:szCs w:val="20"/>
          <w:bdr w:val="nil"/>
          <w:lang w:val="es-ES_tradnl"/>
        </w:rPr>
      </w:pPr>
    </w:p>
    <w:p w14:paraId="30D6DFCF" w14:textId="77777777" w:rsidR="00540E3D" w:rsidRPr="0058501F" w:rsidRDefault="00540E3D" w:rsidP="00470EC4">
      <w:pPr>
        <w:numPr>
          <w:ilvl w:val="0"/>
          <w:numId w:val="1"/>
        </w:numPr>
        <w:pBdr>
          <w:top w:val="nil"/>
          <w:left w:val="nil"/>
          <w:bottom w:val="nil"/>
          <w:right w:val="nil"/>
          <w:between w:val="nil"/>
          <w:bar w:val="nil"/>
        </w:pBdr>
        <w:tabs>
          <w:tab w:val="left" w:pos="360"/>
          <w:tab w:val="left" w:pos="720"/>
          <w:tab w:val="left" w:pos="1440"/>
        </w:tabs>
        <w:spacing w:after="0" w:line="240" w:lineRule="auto"/>
        <w:ind w:firstLine="0"/>
        <w:jc w:val="both"/>
        <w:rPr>
          <w:rFonts w:ascii="Cambria" w:eastAsia="Times New Roman" w:hAnsi="Cambria"/>
          <w:sz w:val="20"/>
          <w:szCs w:val="20"/>
          <w:lang w:val="es-ES_tradnl"/>
        </w:rPr>
      </w:pPr>
      <w:r w:rsidRPr="0058501F">
        <w:rPr>
          <w:rFonts w:ascii="Cambria" w:eastAsia="Times New Roman" w:hAnsi="Cambria"/>
          <w:sz w:val="20"/>
          <w:szCs w:val="20"/>
          <w:lang w:val="es-ES_tradnl"/>
        </w:rPr>
        <w:t xml:space="preserve">Los principios de igualdad ante la ley, igual protección y no discriminación se encuentran entre los derechos humanos más básicos y, de hecho, están reconocidos como normas de </w:t>
      </w:r>
      <w:proofErr w:type="spellStart"/>
      <w:r w:rsidRPr="0058501F">
        <w:rPr>
          <w:rFonts w:ascii="Cambria" w:eastAsia="Times New Roman" w:hAnsi="Cambria"/>
          <w:sz w:val="20"/>
          <w:szCs w:val="20"/>
          <w:lang w:val="es-ES_tradnl"/>
        </w:rPr>
        <w:t>jus</w:t>
      </w:r>
      <w:proofErr w:type="spellEnd"/>
      <w:r w:rsidRPr="0058501F">
        <w:rPr>
          <w:rFonts w:ascii="Cambria" w:eastAsia="Times New Roman" w:hAnsi="Cambria"/>
          <w:sz w:val="20"/>
          <w:szCs w:val="20"/>
          <w:lang w:val="es-ES_tradnl"/>
        </w:rPr>
        <w:t xml:space="preserve"> cogens, “puesto que sobre él descansa todo el andamiaje jurídico del orden público nacional e internacional”</w:t>
      </w:r>
      <w:r w:rsidRPr="0058501F">
        <w:rPr>
          <w:rFonts w:ascii="Cambria" w:eastAsia="Times New Roman" w:hAnsi="Cambria"/>
          <w:sz w:val="20"/>
          <w:szCs w:val="20"/>
          <w:vertAlign w:val="superscript"/>
          <w:lang w:val="es-ES_tradnl"/>
        </w:rPr>
        <w:footnoteReference w:id="66"/>
      </w:r>
      <w:r w:rsidRPr="0058501F">
        <w:rPr>
          <w:rFonts w:ascii="Cambria" w:eastAsia="Times New Roman" w:hAnsi="Cambria"/>
          <w:sz w:val="20"/>
          <w:szCs w:val="20"/>
          <w:lang w:val="es-ES_tradnl"/>
        </w:rPr>
        <w:t>. En concordancia con el Comité de Derechos Humanos, la Comisión ha de hecho entendido que “discriminación” significa “toda distinción, exclusión, restricción o preferencia que se basen en determinados motivos, como la raza, el color, el sexo, el idioma, la religión, la opinión política o de otra índole, el origen nacional o social, la posición económica, el nacimiento o cualquier otra condición social, y que tengan por objeto o resultado anular o menoscabar el reconocimiento, goce o ejercicio, en condiciones de igualdad, de los derechos humanos y libertades fundamentales”.</w:t>
      </w:r>
      <w:r w:rsidRPr="0058501F">
        <w:rPr>
          <w:rFonts w:ascii="Cambria" w:eastAsia="Times New Roman" w:hAnsi="Cambria"/>
          <w:sz w:val="20"/>
          <w:szCs w:val="20"/>
          <w:vertAlign w:val="superscript"/>
          <w:lang w:val="es-ES_tradnl"/>
        </w:rPr>
        <w:t xml:space="preserve"> </w:t>
      </w:r>
      <w:r w:rsidRPr="0058501F">
        <w:rPr>
          <w:rFonts w:ascii="Cambria" w:eastAsia="Times New Roman" w:hAnsi="Cambria"/>
          <w:sz w:val="20"/>
          <w:szCs w:val="20"/>
          <w:vertAlign w:val="superscript"/>
          <w:lang w:val="es-ES_tradnl"/>
        </w:rPr>
        <w:footnoteReference w:id="67"/>
      </w:r>
      <w:r w:rsidRPr="0058501F">
        <w:rPr>
          <w:rFonts w:ascii="Cambria" w:eastAsia="Times New Roman" w:hAnsi="Cambria"/>
          <w:sz w:val="20"/>
          <w:szCs w:val="20"/>
          <w:lang w:val="es-ES_tradnl"/>
        </w:rPr>
        <w:t xml:space="preserve"> La Comisión también ha señalado que la discriminación puede manifestarse de manera directa (intencional o “selectiva”) o indirecta (involuntaria o “por resultado”), y esta última puede ser de facto, cuando se manifiesta en la práctica, o de iure, cuando emana de una ley o disposición.</w:t>
      </w:r>
      <w:r w:rsidRPr="0058501F">
        <w:rPr>
          <w:rFonts w:ascii="Cambria" w:eastAsia="Times New Roman" w:hAnsi="Cambria"/>
          <w:sz w:val="20"/>
          <w:szCs w:val="20"/>
          <w:vertAlign w:val="superscript"/>
          <w:lang w:val="es-ES_tradnl"/>
        </w:rPr>
        <w:footnoteReference w:id="68"/>
      </w:r>
    </w:p>
    <w:p w14:paraId="3E54E124" w14:textId="77777777" w:rsidR="00540E3D" w:rsidRPr="0058501F" w:rsidRDefault="00540E3D" w:rsidP="00470EC4">
      <w:pPr>
        <w:pBdr>
          <w:top w:val="nil"/>
          <w:left w:val="nil"/>
          <w:bottom w:val="nil"/>
          <w:right w:val="nil"/>
          <w:between w:val="nil"/>
          <w:bar w:val="nil"/>
        </w:pBdr>
        <w:spacing w:after="0" w:line="240" w:lineRule="auto"/>
        <w:jc w:val="both"/>
        <w:rPr>
          <w:rFonts w:ascii="Cambria" w:eastAsia="Cambria" w:hAnsi="Cambria" w:cs="Cambria"/>
          <w:color w:val="000000"/>
          <w:sz w:val="20"/>
          <w:szCs w:val="20"/>
          <w:u w:color="000000"/>
          <w:bdr w:val="nil"/>
          <w:lang w:val="es-ES_tradnl" w:eastAsia="es-ES"/>
        </w:rPr>
      </w:pPr>
    </w:p>
    <w:p w14:paraId="594DECDB" w14:textId="77777777" w:rsidR="00540E3D" w:rsidRPr="0058501F" w:rsidRDefault="00540E3D" w:rsidP="00470EC4">
      <w:pPr>
        <w:numPr>
          <w:ilvl w:val="0"/>
          <w:numId w:val="1"/>
        </w:numPr>
        <w:pBdr>
          <w:top w:val="nil"/>
          <w:left w:val="nil"/>
          <w:bottom w:val="nil"/>
          <w:right w:val="nil"/>
          <w:between w:val="nil"/>
          <w:bar w:val="nil"/>
        </w:pBdr>
        <w:tabs>
          <w:tab w:val="left" w:pos="360"/>
          <w:tab w:val="left" w:pos="720"/>
          <w:tab w:val="left" w:pos="1440"/>
        </w:tabs>
        <w:spacing w:after="0" w:line="240" w:lineRule="auto"/>
        <w:ind w:firstLine="0"/>
        <w:jc w:val="both"/>
        <w:rPr>
          <w:rFonts w:ascii="Cambria" w:eastAsia="Times New Roman" w:hAnsi="Cambria"/>
          <w:sz w:val="20"/>
          <w:szCs w:val="20"/>
          <w:lang w:val="es-ES_tradnl"/>
        </w:rPr>
      </w:pPr>
      <w:r w:rsidRPr="0058501F">
        <w:rPr>
          <w:rFonts w:ascii="Cambria" w:eastAsia="Times New Roman" w:hAnsi="Cambria"/>
          <w:sz w:val="20"/>
          <w:szCs w:val="20"/>
          <w:lang w:val="es-ES_tradnl"/>
        </w:rPr>
        <w:t>Los peticionarios alegan que la revisión posterior a la condena del caso del Sr. Ibarra estuvo teñida de manera inadmisible por prejuicios raciales, étnicos y de origen nacional, en forma de declaraciones públicas realizadas por la jueza Edith Jones, una de las jueces federales de mayor jerarquía asignadas para revisar su caso, en una conferencia sobre la pena de muerte en la Facultad de Derecho de la Universidad de Pensilvania el 20 de febrero de 2013.</w:t>
      </w:r>
    </w:p>
    <w:p w14:paraId="1D84720A" w14:textId="77777777" w:rsidR="00540E3D" w:rsidRPr="0058501F" w:rsidRDefault="00540E3D" w:rsidP="00470EC4">
      <w:pPr>
        <w:pBdr>
          <w:top w:val="nil"/>
          <w:left w:val="nil"/>
          <w:bottom w:val="nil"/>
          <w:right w:val="nil"/>
          <w:between w:val="nil"/>
          <w:bar w:val="nil"/>
        </w:pBdr>
        <w:spacing w:after="0" w:line="240" w:lineRule="auto"/>
        <w:jc w:val="both"/>
        <w:rPr>
          <w:rFonts w:ascii="Cambria" w:eastAsia="Cambria" w:hAnsi="Cambria" w:cs="Cambria"/>
          <w:color w:val="000000"/>
          <w:sz w:val="20"/>
          <w:szCs w:val="20"/>
          <w:u w:color="000000"/>
          <w:bdr w:val="nil"/>
          <w:lang w:val="es-ES_tradnl" w:eastAsia="es-ES"/>
        </w:rPr>
      </w:pPr>
    </w:p>
    <w:p w14:paraId="7D17B35C" w14:textId="77777777" w:rsidR="00540E3D" w:rsidRPr="0058501F" w:rsidRDefault="00540E3D" w:rsidP="00470EC4">
      <w:pPr>
        <w:numPr>
          <w:ilvl w:val="0"/>
          <w:numId w:val="1"/>
        </w:numPr>
        <w:pBdr>
          <w:top w:val="nil"/>
          <w:left w:val="nil"/>
          <w:bottom w:val="nil"/>
          <w:right w:val="nil"/>
          <w:between w:val="nil"/>
          <w:bar w:val="nil"/>
        </w:pBdr>
        <w:tabs>
          <w:tab w:val="left" w:pos="360"/>
          <w:tab w:val="left" w:pos="720"/>
          <w:tab w:val="left" w:pos="1440"/>
        </w:tabs>
        <w:spacing w:after="0" w:line="240" w:lineRule="auto"/>
        <w:ind w:firstLine="0"/>
        <w:jc w:val="both"/>
        <w:rPr>
          <w:rFonts w:ascii="Cambria" w:eastAsia="Times New Roman" w:hAnsi="Cambria"/>
          <w:sz w:val="20"/>
          <w:szCs w:val="20"/>
          <w:lang w:val="es-ES_tradnl"/>
        </w:rPr>
      </w:pPr>
      <w:r w:rsidRPr="0058501F">
        <w:rPr>
          <w:rFonts w:ascii="Cambria" w:eastAsia="Times New Roman" w:hAnsi="Cambria"/>
          <w:sz w:val="20"/>
          <w:szCs w:val="20"/>
          <w:lang w:val="es-ES_tradnl"/>
        </w:rPr>
        <w:t>De acuerdo con la información disponible, el 5 de junio de 2013 el Sr. Ibarra interpuso una moción para inhabilitarla de cualquier participación adicional en su caso y para dejar sin efecto el dictamen del Quinto Circuito denegando su solicitud de certificado de apelación la cual había sido adoptar por la Jueza Jones. El 10 de junio de 2013, el Tribunal emitió una orden de una sola frase, firmada por la Jueza Jones, negando la moción.</w:t>
      </w:r>
    </w:p>
    <w:p w14:paraId="1148C670" w14:textId="77777777" w:rsidR="00540E3D" w:rsidRPr="0058501F" w:rsidRDefault="00540E3D" w:rsidP="00470EC4">
      <w:pPr>
        <w:pBdr>
          <w:top w:val="nil"/>
          <w:left w:val="nil"/>
          <w:bottom w:val="nil"/>
          <w:right w:val="nil"/>
          <w:between w:val="nil"/>
          <w:bar w:val="nil"/>
        </w:pBdr>
        <w:spacing w:after="0" w:line="240" w:lineRule="auto"/>
        <w:jc w:val="both"/>
        <w:rPr>
          <w:rFonts w:ascii="Cambria" w:eastAsia="Cambria" w:hAnsi="Cambria" w:cs="Cambria"/>
          <w:color w:val="000000"/>
          <w:sz w:val="20"/>
          <w:szCs w:val="20"/>
          <w:u w:color="000000"/>
          <w:bdr w:val="nil"/>
          <w:lang w:val="es-ES_tradnl" w:eastAsia="es-ES"/>
        </w:rPr>
      </w:pPr>
    </w:p>
    <w:p w14:paraId="2FF16D76" w14:textId="77777777" w:rsidR="00540E3D" w:rsidRPr="0058501F" w:rsidRDefault="00540E3D" w:rsidP="00470EC4">
      <w:pPr>
        <w:numPr>
          <w:ilvl w:val="0"/>
          <w:numId w:val="1"/>
        </w:numPr>
        <w:pBdr>
          <w:top w:val="nil"/>
          <w:left w:val="nil"/>
          <w:bottom w:val="nil"/>
          <w:right w:val="nil"/>
          <w:between w:val="nil"/>
          <w:bar w:val="nil"/>
        </w:pBdr>
        <w:tabs>
          <w:tab w:val="left" w:pos="360"/>
          <w:tab w:val="left" w:pos="720"/>
          <w:tab w:val="left" w:pos="1440"/>
        </w:tabs>
        <w:spacing w:after="0" w:line="240" w:lineRule="auto"/>
        <w:ind w:firstLine="0"/>
        <w:jc w:val="both"/>
        <w:rPr>
          <w:rFonts w:ascii="Cambria" w:eastAsia="Times New Roman" w:hAnsi="Cambria"/>
          <w:sz w:val="20"/>
          <w:szCs w:val="20"/>
          <w:lang w:val="es-ES_tradnl"/>
        </w:rPr>
      </w:pPr>
      <w:r w:rsidRPr="0058501F">
        <w:rPr>
          <w:rFonts w:ascii="Cambria" w:eastAsia="Times New Roman" w:hAnsi="Cambria"/>
          <w:sz w:val="20"/>
          <w:szCs w:val="20"/>
          <w:lang w:val="es-ES_tradnl"/>
        </w:rPr>
        <w:t>Tras una denuncia de mala conducta judicial contra la Jueza Jones derivada de sus declaraciones públicas presentadas por grupos de asistencia jurídica y de libertades civiles, el Comité Especial del Consejo Judicial del Circuito del Distrito de Columbia emitió un informe en 2014. El Comité afirmó que, en ausencia de una grabación de la conferencia, no pudo realizar un hallazgo basado en la preponderancia de la prueba, por lo que sus hallazgos se basaron en la presentación de las notas de la jueza, las declaraciones juradas de los asistentes a la conferencia y otras declaraciones de testigos.</w:t>
      </w:r>
    </w:p>
    <w:p w14:paraId="5C01193D" w14:textId="77777777" w:rsidR="00540E3D" w:rsidRPr="0058501F" w:rsidRDefault="00540E3D" w:rsidP="00470EC4">
      <w:pPr>
        <w:pBdr>
          <w:top w:val="nil"/>
          <w:left w:val="nil"/>
          <w:bottom w:val="nil"/>
          <w:right w:val="nil"/>
          <w:between w:val="nil"/>
          <w:bar w:val="nil"/>
        </w:pBdr>
        <w:spacing w:after="0" w:line="240" w:lineRule="auto"/>
        <w:jc w:val="both"/>
        <w:rPr>
          <w:rFonts w:ascii="Cambria" w:eastAsia="Cambria" w:hAnsi="Cambria" w:cs="Cambria"/>
          <w:color w:val="000000"/>
          <w:sz w:val="20"/>
          <w:szCs w:val="20"/>
          <w:u w:color="000000"/>
          <w:bdr w:val="nil"/>
          <w:lang w:val="es-ES_tradnl" w:eastAsia="es-ES"/>
        </w:rPr>
      </w:pPr>
    </w:p>
    <w:p w14:paraId="31321D0A" w14:textId="77777777" w:rsidR="00540E3D" w:rsidRPr="0058501F" w:rsidRDefault="00540E3D" w:rsidP="00470EC4">
      <w:pPr>
        <w:numPr>
          <w:ilvl w:val="0"/>
          <w:numId w:val="1"/>
        </w:numPr>
        <w:pBdr>
          <w:top w:val="nil"/>
          <w:left w:val="nil"/>
          <w:bottom w:val="nil"/>
          <w:right w:val="nil"/>
          <w:between w:val="nil"/>
          <w:bar w:val="nil"/>
        </w:pBdr>
        <w:tabs>
          <w:tab w:val="left" w:pos="360"/>
          <w:tab w:val="left" w:pos="720"/>
          <w:tab w:val="left" w:pos="1440"/>
        </w:tabs>
        <w:spacing w:after="0" w:line="240" w:lineRule="auto"/>
        <w:ind w:firstLine="0"/>
        <w:jc w:val="both"/>
        <w:rPr>
          <w:rFonts w:ascii="Cambria" w:eastAsia="Arial Unicode MS" w:hAnsi="Cambria"/>
          <w:sz w:val="20"/>
          <w:szCs w:val="20"/>
          <w:bdr w:val="nil"/>
          <w:lang w:val="es-ES_tradnl"/>
        </w:rPr>
      </w:pPr>
      <w:r w:rsidRPr="0058501F">
        <w:rPr>
          <w:rFonts w:ascii="Cambria" w:eastAsia="Arial Unicode MS" w:hAnsi="Cambria"/>
          <w:sz w:val="20"/>
          <w:szCs w:val="20"/>
          <w:bdr w:val="nil"/>
          <w:lang w:val="es-ES_tradnl"/>
        </w:rPr>
        <w:t>Se señaló que, en algún momento durante la conferencia, la Jueza Jones dijo que ciertos tipos de impugnaciones a la pena de muerte son “maniobras de distracción”, como los reclamos sobre discapacidad intelectual y el derecho a notificación consular. Con respecto a la afirmación de que las palabras pronunciadas comunicaban prejuicios raciales, la Jueza Jones reconoció que en su conferencia dijo que “lamentablemente, los afroamericanos parecen estar desproporcionadamente en el corredor de la muerte” y que “puede haber dicho” que “lamentablemente algunos grupos parecen cometer crímenes más atroces”, pero dijo que ella “estaba hablando de datos estadísticos ... [y] no hablando de propensión a cometer delitos”. El Comité razonó que, fueran o no precisas sus declaraciones estadísticas, o precisas sólo con salvedades, no indicaban por sí mismas prejuicios raciales o incapacidad para ser imparcial.</w:t>
      </w:r>
    </w:p>
    <w:p w14:paraId="6A90E757" w14:textId="77777777" w:rsidR="00540E3D" w:rsidRPr="0058501F" w:rsidRDefault="00540E3D" w:rsidP="00470EC4">
      <w:pPr>
        <w:pBdr>
          <w:top w:val="nil"/>
          <w:left w:val="nil"/>
          <w:bottom w:val="nil"/>
          <w:right w:val="nil"/>
          <w:between w:val="nil"/>
          <w:bar w:val="nil"/>
        </w:pBdr>
        <w:spacing w:after="0" w:line="240" w:lineRule="auto"/>
        <w:jc w:val="both"/>
        <w:rPr>
          <w:rFonts w:ascii="Cambria" w:eastAsia="Cambria" w:hAnsi="Cambria" w:cs="Cambria"/>
          <w:color w:val="000000"/>
          <w:sz w:val="20"/>
          <w:szCs w:val="20"/>
          <w:u w:color="000000"/>
          <w:bdr w:val="nil"/>
          <w:lang w:val="es-ES_tradnl" w:eastAsia="es-ES"/>
        </w:rPr>
      </w:pPr>
    </w:p>
    <w:p w14:paraId="5407E539" w14:textId="77777777" w:rsidR="00540E3D" w:rsidRPr="0058501F" w:rsidRDefault="00540E3D" w:rsidP="00470EC4">
      <w:pPr>
        <w:numPr>
          <w:ilvl w:val="0"/>
          <w:numId w:val="1"/>
        </w:numPr>
        <w:pBdr>
          <w:top w:val="nil"/>
          <w:left w:val="nil"/>
          <w:bottom w:val="nil"/>
          <w:right w:val="nil"/>
          <w:between w:val="nil"/>
          <w:bar w:val="nil"/>
        </w:pBdr>
        <w:tabs>
          <w:tab w:val="left" w:pos="360"/>
          <w:tab w:val="left" w:pos="720"/>
          <w:tab w:val="left" w:pos="1440"/>
        </w:tabs>
        <w:spacing w:after="0" w:line="240" w:lineRule="auto"/>
        <w:ind w:firstLine="0"/>
        <w:jc w:val="both"/>
        <w:rPr>
          <w:rFonts w:ascii="Cambria" w:eastAsia="Arial Unicode MS" w:hAnsi="Cambria"/>
          <w:sz w:val="20"/>
          <w:szCs w:val="20"/>
          <w:bdr w:val="nil"/>
          <w:lang w:val="es-ES_tradnl"/>
        </w:rPr>
      </w:pPr>
      <w:r w:rsidRPr="0058501F">
        <w:rPr>
          <w:rFonts w:ascii="Cambria" w:eastAsia="Arial Unicode MS" w:hAnsi="Cambria"/>
          <w:sz w:val="20"/>
          <w:szCs w:val="20"/>
          <w:bdr w:val="nil"/>
          <w:lang w:val="es-ES_tradnl"/>
        </w:rPr>
        <w:t>El Comité concluyó que, si bien encontró que una serie de asuntos que involucraban a personas cuyos casos estaban pendientes o eran inminentes fueron abordados durante la conferencia de la Jueza, y que algunos de los comentarios de la jueza pueden haber sido sobre el fondo de esos asuntos, los comentarios no violaron el código sobre conducta judicial porque resultaba aplicable la excepción de presentaciones académicas. Además, concluyó que los comentarios no menoscaban la confianza del público en la integridad o imparcialidad del poder judicial y, por lo tanto, no violaban el código de conducta judicial ni constituían falta de conducta.</w:t>
      </w:r>
    </w:p>
    <w:p w14:paraId="4DF195C5" w14:textId="77777777" w:rsidR="00540E3D" w:rsidRPr="0058501F" w:rsidRDefault="00540E3D" w:rsidP="00470EC4">
      <w:pPr>
        <w:tabs>
          <w:tab w:val="left" w:pos="360"/>
          <w:tab w:val="left" w:pos="720"/>
          <w:tab w:val="left" w:pos="1440"/>
        </w:tabs>
        <w:spacing w:after="0" w:line="240" w:lineRule="auto"/>
        <w:jc w:val="both"/>
        <w:rPr>
          <w:rFonts w:ascii="Cambria" w:eastAsia="Arial Unicode MS" w:hAnsi="Cambria"/>
          <w:sz w:val="20"/>
          <w:szCs w:val="20"/>
          <w:bdr w:val="nil"/>
          <w:lang w:val="es-ES_tradnl"/>
        </w:rPr>
      </w:pPr>
    </w:p>
    <w:p w14:paraId="480B8D25" w14:textId="77777777" w:rsidR="00540E3D" w:rsidRPr="0058501F" w:rsidRDefault="00540E3D" w:rsidP="00470EC4">
      <w:pPr>
        <w:numPr>
          <w:ilvl w:val="0"/>
          <w:numId w:val="1"/>
        </w:numPr>
        <w:pBdr>
          <w:top w:val="nil"/>
          <w:left w:val="nil"/>
          <w:bottom w:val="nil"/>
          <w:right w:val="nil"/>
          <w:between w:val="nil"/>
          <w:bar w:val="nil"/>
        </w:pBdr>
        <w:tabs>
          <w:tab w:val="left" w:pos="360"/>
          <w:tab w:val="left" w:pos="720"/>
          <w:tab w:val="left" w:pos="1440"/>
        </w:tabs>
        <w:spacing w:after="0" w:line="240" w:lineRule="auto"/>
        <w:ind w:firstLine="0"/>
        <w:jc w:val="both"/>
        <w:rPr>
          <w:rFonts w:ascii="Cambria" w:eastAsia="Arial Unicode MS" w:hAnsi="Cambria"/>
          <w:color w:val="000000"/>
          <w:sz w:val="20"/>
          <w:szCs w:val="24"/>
          <w:bdr w:val="nil"/>
          <w:lang w:val="es-ES_tradnl"/>
        </w:rPr>
      </w:pPr>
      <w:r w:rsidRPr="0058501F">
        <w:rPr>
          <w:rFonts w:ascii="Cambria" w:eastAsia="Arial Unicode MS" w:hAnsi="Cambria"/>
          <w:color w:val="000000"/>
          <w:sz w:val="20"/>
          <w:szCs w:val="24"/>
          <w:bdr w:val="nil"/>
          <w:lang w:val="es-ES_tradnl"/>
        </w:rPr>
        <w:lastRenderedPageBreak/>
        <w:t>Como se señaló anteriormente, el derecho a ser juzgado por un juez o tribunal imparcial es una garantía fundamental del debido proceso. Para garantizar este derecho, los Estados tienen la obligación de brindar un recurso efectivo en caso de dudas o denuncias sobre la falta de imparcialidad del juez. En el presente caso, la Comisión observa que una jueza federal de alto rango que conocía el caso del Sr. Ibarra emitió comentarios públicos que podrían comprometer su imparcialidad en el caso específico. La jueza no solo se refirió a cuestiones relacionadas con la petición pendiente, como alegaciones sobre discapacidad y notificación consular, sino que también se refirió específicamente al caso del Sr. Ibarra y en general a cuestiones relacionadas con su origen étnico. Tales comentarios podrían considerarse problemáticos desde la perspectiva del derecho a un juicio justo y específicamente el derecho a ser juzgado por un juez imparcial.</w:t>
      </w:r>
    </w:p>
    <w:p w14:paraId="7E329177" w14:textId="77777777" w:rsidR="00540E3D" w:rsidRPr="0058501F" w:rsidRDefault="00540E3D" w:rsidP="00470EC4">
      <w:pPr>
        <w:pBdr>
          <w:top w:val="nil"/>
          <w:left w:val="nil"/>
          <w:bottom w:val="nil"/>
          <w:right w:val="nil"/>
          <w:between w:val="nil"/>
          <w:bar w:val="nil"/>
        </w:pBdr>
        <w:spacing w:after="0" w:line="240" w:lineRule="auto"/>
        <w:jc w:val="both"/>
        <w:rPr>
          <w:rFonts w:ascii="Cambria" w:eastAsia="Cambria" w:hAnsi="Cambria" w:cs="Cambria"/>
          <w:color w:val="000000"/>
          <w:sz w:val="20"/>
          <w:szCs w:val="24"/>
          <w:u w:color="000000"/>
          <w:bdr w:val="nil"/>
          <w:lang w:val="es-ES_tradnl" w:eastAsia="es-ES"/>
        </w:rPr>
      </w:pPr>
    </w:p>
    <w:p w14:paraId="750377F1" w14:textId="77777777" w:rsidR="00540E3D" w:rsidRPr="0058501F" w:rsidRDefault="00540E3D" w:rsidP="00470EC4">
      <w:pPr>
        <w:numPr>
          <w:ilvl w:val="0"/>
          <w:numId w:val="1"/>
        </w:numPr>
        <w:pBdr>
          <w:top w:val="nil"/>
          <w:left w:val="nil"/>
          <w:bottom w:val="nil"/>
          <w:right w:val="nil"/>
          <w:between w:val="nil"/>
          <w:bar w:val="nil"/>
        </w:pBdr>
        <w:tabs>
          <w:tab w:val="left" w:pos="360"/>
          <w:tab w:val="left" w:pos="720"/>
          <w:tab w:val="left" w:pos="1440"/>
        </w:tabs>
        <w:spacing w:after="0" w:line="240" w:lineRule="auto"/>
        <w:ind w:firstLine="0"/>
        <w:jc w:val="both"/>
        <w:rPr>
          <w:rFonts w:ascii="Cambria" w:eastAsia="Arial Unicode MS" w:hAnsi="Cambria"/>
          <w:color w:val="000000"/>
          <w:sz w:val="20"/>
          <w:szCs w:val="24"/>
          <w:bdr w:val="nil"/>
          <w:lang w:val="es-ES_tradnl"/>
        </w:rPr>
      </w:pPr>
      <w:r w:rsidRPr="0058501F">
        <w:rPr>
          <w:rFonts w:ascii="Cambria" w:eastAsia="Arial Unicode MS" w:hAnsi="Cambria"/>
          <w:color w:val="000000"/>
          <w:sz w:val="20"/>
          <w:szCs w:val="24"/>
          <w:bdr w:val="nil"/>
          <w:lang w:val="es-ES_tradnl"/>
        </w:rPr>
        <w:t>En vista de las declaraciones públicas de la jueza consideradas por el equipo de defensa del Sr. Ibarra inadmisiblemente teñidas por prejuicios de origen étnico y nacional, se presentó una moción para inhabilitarla de cualquier participación adicional en el caso y anular la opinión denegando la solicitud de certificado de apelación. La Comisión nota que la respuesta del tribunal federal fue una orden de una sola oración denegando la solicitud. También señala que la orden fue firmada por la propia jueza Jones. Con base en los estándares interamericanos antes referidos, dicha respuesta judicial no puede considerarse efectiva, ya que carece de una motivación mínima.</w:t>
      </w:r>
    </w:p>
    <w:p w14:paraId="211D402E" w14:textId="77777777" w:rsidR="00540E3D" w:rsidRPr="0058501F" w:rsidRDefault="00540E3D" w:rsidP="00470EC4">
      <w:pPr>
        <w:pBdr>
          <w:top w:val="nil"/>
          <w:left w:val="nil"/>
          <w:bottom w:val="nil"/>
          <w:right w:val="nil"/>
          <w:between w:val="nil"/>
          <w:bar w:val="nil"/>
        </w:pBdr>
        <w:spacing w:after="0" w:line="240" w:lineRule="auto"/>
        <w:jc w:val="both"/>
        <w:rPr>
          <w:rFonts w:ascii="Cambria" w:eastAsia="Cambria" w:hAnsi="Cambria" w:cs="Cambria"/>
          <w:color w:val="000000"/>
          <w:sz w:val="20"/>
          <w:szCs w:val="24"/>
          <w:u w:color="000000"/>
          <w:bdr w:val="nil"/>
          <w:lang w:val="es-ES_tradnl" w:eastAsia="es-ES"/>
        </w:rPr>
      </w:pPr>
    </w:p>
    <w:p w14:paraId="7A33E047" w14:textId="77777777" w:rsidR="00540E3D" w:rsidRPr="0058501F" w:rsidRDefault="00540E3D" w:rsidP="00470EC4">
      <w:pPr>
        <w:numPr>
          <w:ilvl w:val="0"/>
          <w:numId w:val="1"/>
        </w:numPr>
        <w:pBdr>
          <w:top w:val="nil"/>
          <w:left w:val="nil"/>
          <w:bottom w:val="nil"/>
          <w:right w:val="nil"/>
          <w:between w:val="nil"/>
          <w:bar w:val="nil"/>
        </w:pBdr>
        <w:tabs>
          <w:tab w:val="left" w:pos="360"/>
          <w:tab w:val="left" w:pos="720"/>
          <w:tab w:val="left" w:pos="1440"/>
        </w:tabs>
        <w:spacing w:after="0" w:line="240" w:lineRule="auto"/>
        <w:ind w:firstLine="0"/>
        <w:jc w:val="both"/>
        <w:rPr>
          <w:rFonts w:ascii="Cambria" w:eastAsia="Arial Unicode MS" w:hAnsi="Cambria"/>
          <w:color w:val="000000"/>
          <w:sz w:val="20"/>
          <w:szCs w:val="24"/>
          <w:bdr w:val="nil"/>
          <w:lang w:val="es-ES_tradnl"/>
        </w:rPr>
      </w:pPr>
      <w:r w:rsidRPr="0058501F">
        <w:rPr>
          <w:rFonts w:ascii="Cambria" w:eastAsia="Arial Unicode MS" w:hAnsi="Cambria"/>
          <w:color w:val="000000"/>
          <w:sz w:val="20"/>
          <w:szCs w:val="24"/>
          <w:bdr w:val="nil"/>
          <w:lang w:val="es-ES_tradnl"/>
        </w:rPr>
        <w:t xml:space="preserve">Tras la denegación de la moción, los grupos de defensa de libertades civiles y de asistencia jurídica presentaron una denuncia por mala conducta judicial contra la Jueza Jones. La denuncia se refería al caso del </w:t>
      </w:r>
      <w:r w:rsidR="00DD040D" w:rsidRPr="0058501F">
        <w:rPr>
          <w:rFonts w:ascii="Cambria" w:eastAsia="Arial Unicode MS" w:hAnsi="Cambria"/>
          <w:color w:val="000000"/>
          <w:sz w:val="20"/>
          <w:szCs w:val="24"/>
          <w:bdr w:val="nil"/>
          <w:lang w:val="es-ES_tradnl"/>
        </w:rPr>
        <w:t>Sr.</w:t>
      </w:r>
      <w:r w:rsidRPr="0058501F">
        <w:rPr>
          <w:rFonts w:ascii="Cambria" w:eastAsia="Arial Unicode MS" w:hAnsi="Cambria"/>
          <w:color w:val="000000"/>
          <w:sz w:val="20"/>
          <w:szCs w:val="24"/>
          <w:bdr w:val="nil"/>
          <w:lang w:val="es-ES_tradnl"/>
        </w:rPr>
        <w:t xml:space="preserve"> Ibarra, entre otros. El Comité Especial del Consejo Judicial del Circuito del Distrito de Columbia no pudo llegar a una conclusión basada en la preponderancia de las pruebas. Sin embargo, después de revisar las pruebas disponibles, concluyó que, fueran o no precisas las declaraciones estadísticas de la Jueza Jones, no indicaban por sí mismas prejuicios raciales o incapacidad para ser imparcial. También encontró que los comentarios no constituían una falta judicial.</w:t>
      </w:r>
    </w:p>
    <w:p w14:paraId="332FED25" w14:textId="77777777" w:rsidR="00540E3D" w:rsidRPr="0058501F" w:rsidRDefault="00540E3D" w:rsidP="00470EC4">
      <w:pPr>
        <w:pBdr>
          <w:top w:val="nil"/>
          <w:left w:val="nil"/>
          <w:bottom w:val="nil"/>
          <w:right w:val="nil"/>
          <w:between w:val="nil"/>
          <w:bar w:val="nil"/>
        </w:pBdr>
        <w:spacing w:after="0" w:line="240" w:lineRule="auto"/>
        <w:jc w:val="both"/>
        <w:rPr>
          <w:rFonts w:ascii="Cambria" w:eastAsia="Cambria" w:hAnsi="Cambria" w:cs="Cambria"/>
          <w:color w:val="000000"/>
          <w:sz w:val="20"/>
          <w:szCs w:val="24"/>
          <w:u w:color="000000"/>
          <w:bdr w:val="nil"/>
          <w:lang w:val="es-ES_tradnl" w:eastAsia="es-ES"/>
        </w:rPr>
      </w:pPr>
    </w:p>
    <w:p w14:paraId="50A966E7" w14:textId="77777777" w:rsidR="00540E3D" w:rsidRPr="0058501F" w:rsidRDefault="00540E3D" w:rsidP="00470EC4">
      <w:pPr>
        <w:numPr>
          <w:ilvl w:val="0"/>
          <w:numId w:val="1"/>
        </w:numPr>
        <w:pBdr>
          <w:top w:val="nil"/>
          <w:left w:val="nil"/>
          <w:bottom w:val="nil"/>
          <w:right w:val="nil"/>
          <w:between w:val="nil"/>
          <w:bar w:val="nil"/>
        </w:pBdr>
        <w:tabs>
          <w:tab w:val="left" w:pos="360"/>
          <w:tab w:val="left" w:pos="720"/>
          <w:tab w:val="left" w:pos="1440"/>
        </w:tabs>
        <w:spacing w:after="0" w:line="240" w:lineRule="auto"/>
        <w:ind w:firstLine="0"/>
        <w:jc w:val="both"/>
        <w:rPr>
          <w:rFonts w:ascii="Cambria" w:eastAsia="Arial Unicode MS" w:hAnsi="Cambria"/>
          <w:sz w:val="20"/>
          <w:szCs w:val="20"/>
          <w:bdr w:val="nil"/>
          <w:lang w:val="es-ES_tradnl"/>
        </w:rPr>
      </w:pPr>
      <w:r w:rsidRPr="0058501F">
        <w:rPr>
          <w:rFonts w:ascii="Cambria" w:eastAsia="Arial Unicode MS" w:hAnsi="Cambria"/>
          <w:sz w:val="20"/>
          <w:szCs w:val="20"/>
          <w:bdr w:val="nil"/>
          <w:lang w:val="es-ES_tradnl"/>
        </w:rPr>
        <w:t>La Comisión toma nota de los alegatos de los peticionarios de que a los denunciantes se les negó el acceso a los materiales en los que el Comité Especial se basó como más creíbles que las numerosas declaraciones juradas que respaldan su denuncia; que no se les permitió testificar ni siquiera asistir a la audiencia de su denuncia, ni pudieron interrogar a la Jueza, ni se les proporcionó el informe de investigación y los informes complementarios preparados por el Asesor Jurídico Especial del Comité. La Comisión también nota que el Estado no refuta estos alegatos.</w:t>
      </w:r>
    </w:p>
    <w:p w14:paraId="0DDD8A2E" w14:textId="77777777" w:rsidR="00540E3D" w:rsidRPr="0058501F" w:rsidRDefault="00540E3D" w:rsidP="00470EC4">
      <w:pPr>
        <w:pBdr>
          <w:top w:val="nil"/>
          <w:left w:val="nil"/>
          <w:bottom w:val="nil"/>
          <w:right w:val="nil"/>
          <w:between w:val="nil"/>
          <w:bar w:val="nil"/>
        </w:pBdr>
        <w:spacing w:after="0" w:line="240" w:lineRule="auto"/>
        <w:jc w:val="both"/>
        <w:rPr>
          <w:rFonts w:ascii="Cambria" w:eastAsia="Cambria" w:hAnsi="Cambria" w:cs="Cambria"/>
          <w:color w:val="000000"/>
          <w:sz w:val="20"/>
          <w:szCs w:val="20"/>
          <w:u w:color="000000"/>
          <w:bdr w:val="nil"/>
          <w:lang w:val="es-ES_tradnl" w:eastAsia="es-ES"/>
        </w:rPr>
      </w:pPr>
    </w:p>
    <w:p w14:paraId="070ACD86" w14:textId="77777777" w:rsidR="00540E3D" w:rsidRPr="0058501F" w:rsidRDefault="00540E3D" w:rsidP="00470EC4">
      <w:pPr>
        <w:numPr>
          <w:ilvl w:val="0"/>
          <w:numId w:val="1"/>
        </w:numPr>
        <w:pBdr>
          <w:top w:val="nil"/>
          <w:left w:val="nil"/>
          <w:bottom w:val="nil"/>
          <w:right w:val="nil"/>
          <w:between w:val="nil"/>
          <w:bar w:val="nil"/>
        </w:pBdr>
        <w:tabs>
          <w:tab w:val="left" w:pos="360"/>
          <w:tab w:val="left" w:pos="540"/>
          <w:tab w:val="left" w:pos="720"/>
          <w:tab w:val="left" w:pos="1440"/>
        </w:tabs>
        <w:spacing w:after="0" w:line="240" w:lineRule="auto"/>
        <w:ind w:firstLine="0"/>
        <w:jc w:val="both"/>
        <w:rPr>
          <w:rFonts w:ascii="Cambria" w:eastAsia="Arial Unicode MS" w:hAnsi="Cambria"/>
          <w:sz w:val="20"/>
          <w:szCs w:val="20"/>
          <w:bdr w:val="nil"/>
          <w:lang w:val="es-ES_tradnl"/>
        </w:rPr>
      </w:pPr>
      <w:r w:rsidRPr="0058501F">
        <w:rPr>
          <w:rFonts w:ascii="Cambria" w:eastAsia="Arial Unicode MS" w:hAnsi="Cambria"/>
          <w:sz w:val="20"/>
          <w:szCs w:val="20"/>
          <w:bdr w:val="nil"/>
          <w:lang w:val="es-ES_tradnl"/>
        </w:rPr>
        <w:t xml:space="preserve">Con base en estas consideraciones, la CIDH afirma que ninguna de las dos vías que intentó la defensa del Sr. Ibarra para impugnar la supuesta falta de imparcialidad de la jueza Jones resultó efectiva. Como se estableció anteriormente, la imparcialidad requiere que se brinden garantías objetivas suficientes para eliminar cualquier duda que el imputado o la comunidad puedan tener sobre la ausencia de imparcialidad. Además, el Estado tiene el deber reforzado de investigar las denuncias de discriminación basadas en categorías prohibidas, como la raza, el origen étnico o el origen nacional. La Comisión observa que, dada la existencia de dudas razonables sobre la falta de imparcialidad objetiva, el </w:t>
      </w:r>
      <w:r w:rsidR="00DD040D" w:rsidRPr="0058501F">
        <w:rPr>
          <w:rFonts w:ascii="Cambria" w:eastAsia="Arial Unicode MS" w:hAnsi="Cambria"/>
          <w:sz w:val="20"/>
          <w:szCs w:val="20"/>
          <w:bdr w:val="nil"/>
          <w:lang w:val="es-ES_tradnl"/>
        </w:rPr>
        <w:t>Sr.</w:t>
      </w:r>
      <w:r w:rsidRPr="0058501F">
        <w:rPr>
          <w:rFonts w:ascii="Cambria" w:eastAsia="Arial Unicode MS" w:hAnsi="Cambria"/>
          <w:sz w:val="20"/>
          <w:szCs w:val="20"/>
          <w:bdr w:val="nil"/>
          <w:lang w:val="es-ES_tradnl"/>
        </w:rPr>
        <w:t xml:space="preserve"> Ibarra no contaba con un recurso adecuado y efectivo.</w:t>
      </w:r>
    </w:p>
    <w:p w14:paraId="447B33BE" w14:textId="77777777" w:rsidR="00540E3D" w:rsidRPr="0058501F" w:rsidRDefault="00540E3D" w:rsidP="00540E3D">
      <w:pPr>
        <w:pBdr>
          <w:top w:val="nil"/>
          <w:left w:val="nil"/>
          <w:bottom w:val="nil"/>
          <w:right w:val="nil"/>
          <w:between w:val="nil"/>
          <w:bar w:val="nil"/>
        </w:pBdr>
        <w:spacing w:after="0" w:line="240" w:lineRule="auto"/>
        <w:ind w:left="720"/>
        <w:rPr>
          <w:rFonts w:ascii="Cambria" w:eastAsia="Times New Roman" w:hAnsi="Cambria" w:cs="Cambria"/>
          <w:color w:val="000000"/>
          <w:sz w:val="20"/>
          <w:szCs w:val="20"/>
          <w:u w:color="000000"/>
          <w:lang w:val="es-ES_tradnl" w:eastAsia="es-ES"/>
        </w:rPr>
      </w:pPr>
    </w:p>
    <w:p w14:paraId="457CE45A" w14:textId="77777777" w:rsidR="00540E3D" w:rsidRPr="0058501F" w:rsidRDefault="00540E3D" w:rsidP="00470EC4">
      <w:pPr>
        <w:numPr>
          <w:ilvl w:val="0"/>
          <w:numId w:val="1"/>
        </w:numPr>
        <w:pBdr>
          <w:top w:val="nil"/>
          <w:left w:val="nil"/>
          <w:bottom w:val="nil"/>
          <w:right w:val="nil"/>
          <w:between w:val="nil"/>
          <w:bar w:val="nil"/>
        </w:pBdr>
        <w:tabs>
          <w:tab w:val="left" w:pos="360"/>
          <w:tab w:val="left" w:pos="540"/>
          <w:tab w:val="left" w:pos="720"/>
          <w:tab w:val="left" w:pos="1440"/>
        </w:tabs>
        <w:spacing w:after="0" w:line="240" w:lineRule="auto"/>
        <w:ind w:firstLine="0"/>
        <w:jc w:val="both"/>
        <w:rPr>
          <w:rFonts w:ascii="Cambria" w:eastAsia="Arial Unicode MS" w:hAnsi="Cambria"/>
          <w:sz w:val="20"/>
          <w:szCs w:val="20"/>
          <w:bdr w:val="nil"/>
          <w:lang w:val="es-ES_tradnl"/>
        </w:rPr>
      </w:pPr>
      <w:r w:rsidRPr="0058501F">
        <w:rPr>
          <w:rFonts w:ascii="Cambria" w:eastAsia="Arial Unicode MS" w:hAnsi="Cambria"/>
          <w:sz w:val="20"/>
          <w:szCs w:val="20"/>
          <w:bdr w:val="nil"/>
          <w:lang w:val="es-ES_tradnl"/>
        </w:rPr>
        <w:t>Por lo tanto, la Comisión concluye que la falta de un recurso adecuado respecto de las alegaciones de falta de imparcialidad y discriminación violó el derecho del Sr. Ibarra a un juicio justo y al debido proceso legal, en relación con su derecho a una audiencia imparcial y derecho a la igualdad ante la ley y no discriminación como lo exigen los artículos XXVI y II de la Declaración Americana.</w:t>
      </w:r>
    </w:p>
    <w:p w14:paraId="3D18AD16" w14:textId="77777777" w:rsidR="00540E3D" w:rsidRPr="0058501F" w:rsidRDefault="00540E3D" w:rsidP="00BC11C2">
      <w:pPr>
        <w:pStyle w:val="Heading2"/>
        <w:numPr>
          <w:ilvl w:val="0"/>
          <w:numId w:val="20"/>
        </w:numPr>
        <w:rPr>
          <w:rFonts w:ascii="Cambria" w:eastAsia="SimSun" w:hAnsi="Cambria"/>
          <w:i w:val="0"/>
          <w:iCs w:val="0"/>
          <w:sz w:val="20"/>
          <w:szCs w:val="20"/>
          <w:bdr w:val="nil"/>
          <w:lang w:val="es-ES_tradnl"/>
        </w:rPr>
      </w:pPr>
      <w:bookmarkStart w:id="25" w:name="_Toc90117844"/>
      <w:bookmarkStart w:id="26" w:name="_Toc462574158"/>
      <w:bookmarkStart w:id="27" w:name="_Toc68863899"/>
      <w:r w:rsidRPr="0058501F">
        <w:rPr>
          <w:rFonts w:ascii="Cambria" w:eastAsia="SimSun" w:hAnsi="Cambria"/>
          <w:i w:val="0"/>
          <w:iCs w:val="0"/>
          <w:sz w:val="20"/>
          <w:szCs w:val="20"/>
          <w:bdr w:val="nil"/>
          <w:lang w:val="es-ES_tradnl"/>
        </w:rPr>
        <w:t>Derecho de toda persona con discapacidad mental o intelectual a no ser sometida a la pena de muerte</w:t>
      </w:r>
      <w:bookmarkEnd w:id="25"/>
    </w:p>
    <w:p w14:paraId="76B5014D" w14:textId="77777777" w:rsidR="00540E3D" w:rsidRPr="0058501F" w:rsidRDefault="00540E3D" w:rsidP="00540E3D">
      <w:pPr>
        <w:keepNext/>
        <w:keepLines/>
        <w:pBdr>
          <w:top w:val="nil"/>
          <w:left w:val="nil"/>
          <w:bottom w:val="nil"/>
          <w:right w:val="nil"/>
          <w:between w:val="nil"/>
          <w:bar w:val="nil"/>
        </w:pBdr>
        <w:tabs>
          <w:tab w:val="left" w:pos="360"/>
        </w:tabs>
        <w:spacing w:after="0" w:line="240" w:lineRule="auto"/>
        <w:jc w:val="both"/>
        <w:outlineLvl w:val="1"/>
        <w:rPr>
          <w:rFonts w:ascii="Cambria" w:eastAsia="SimSun" w:hAnsi="Cambria"/>
          <w:b/>
          <w:bCs/>
          <w:sz w:val="20"/>
          <w:szCs w:val="20"/>
          <w:bdr w:val="nil"/>
          <w:lang w:val="es-ES_tradnl"/>
        </w:rPr>
      </w:pPr>
    </w:p>
    <w:bookmarkEnd w:id="26"/>
    <w:bookmarkEnd w:id="27"/>
    <w:p w14:paraId="18FFDEC9" w14:textId="77777777" w:rsidR="00540E3D" w:rsidRPr="0058501F" w:rsidRDefault="00540E3D" w:rsidP="00470EC4">
      <w:pPr>
        <w:numPr>
          <w:ilvl w:val="0"/>
          <w:numId w:val="1"/>
        </w:numPr>
        <w:pBdr>
          <w:top w:val="nil"/>
          <w:left w:val="nil"/>
          <w:bottom w:val="nil"/>
          <w:right w:val="nil"/>
          <w:between w:val="nil"/>
          <w:bar w:val="nil"/>
        </w:pBdr>
        <w:tabs>
          <w:tab w:val="left" w:pos="360"/>
        </w:tabs>
        <w:spacing w:after="0" w:line="240" w:lineRule="auto"/>
        <w:ind w:firstLine="0"/>
        <w:jc w:val="both"/>
        <w:rPr>
          <w:rFonts w:ascii="Cambria" w:eastAsia="Times New Roman" w:hAnsi="Cambria"/>
          <w:sz w:val="20"/>
          <w:szCs w:val="20"/>
          <w:lang w:val="es-ES_tradnl"/>
        </w:rPr>
      </w:pPr>
      <w:r w:rsidRPr="0058501F">
        <w:rPr>
          <w:rFonts w:ascii="Cambria" w:eastAsia="Times New Roman" w:hAnsi="Cambria"/>
          <w:sz w:val="20"/>
          <w:szCs w:val="20"/>
          <w:lang w:val="es-ES_tradnl"/>
        </w:rPr>
        <w:t xml:space="preserve">La CIDH ha establecido que, si bien la Declaración Americana no prohíbe expresamente la imposición de la pena de muerte en el caso de personas con discapacidad mental e intelectual, dicha práctica constituye </w:t>
      </w:r>
      <w:r w:rsidRPr="0058501F">
        <w:rPr>
          <w:rFonts w:ascii="Cambria" w:eastAsia="Times New Roman" w:hAnsi="Cambria"/>
          <w:sz w:val="20"/>
          <w:szCs w:val="20"/>
          <w:lang w:val="es-ES_tradnl"/>
        </w:rPr>
        <w:lastRenderedPageBreak/>
        <w:t>una violación de los derechos y principios básicos reconocidos en los artículos I y XXVI del la Declaración Americana.</w:t>
      </w:r>
      <w:r w:rsidRPr="0058501F">
        <w:rPr>
          <w:rFonts w:ascii="Cambria" w:eastAsia="Cambria" w:hAnsi="Cambria"/>
          <w:bCs/>
          <w:color w:val="000000"/>
          <w:sz w:val="20"/>
          <w:szCs w:val="20"/>
          <w:u w:color="000000"/>
          <w:bdr w:val="nil"/>
          <w:vertAlign w:val="superscript"/>
          <w:lang w:val="es-ES_tradnl" w:eastAsia="es-ES"/>
        </w:rPr>
        <w:t xml:space="preserve"> </w:t>
      </w:r>
      <w:r w:rsidRPr="0058501F">
        <w:rPr>
          <w:rFonts w:ascii="Cambria" w:eastAsia="Cambria" w:hAnsi="Cambria"/>
          <w:bCs/>
          <w:color w:val="000000"/>
          <w:sz w:val="20"/>
          <w:szCs w:val="20"/>
          <w:u w:color="000000"/>
          <w:bdr w:val="nil"/>
          <w:vertAlign w:val="superscript"/>
          <w:lang w:val="es-ES_tradnl" w:eastAsia="es-ES"/>
        </w:rPr>
        <w:footnoteReference w:id="69"/>
      </w:r>
      <w:r w:rsidRPr="0058501F">
        <w:rPr>
          <w:rFonts w:ascii="Cambria" w:eastAsia="Times New Roman" w:hAnsi="Cambria"/>
          <w:sz w:val="20"/>
          <w:szCs w:val="20"/>
          <w:lang w:val="es-ES_tradnl"/>
        </w:rPr>
        <w:t xml:space="preserve"> La CIDH también ha dictaminado que:</w:t>
      </w:r>
    </w:p>
    <w:p w14:paraId="2B128995" w14:textId="77777777" w:rsidR="00540E3D" w:rsidRPr="0058501F" w:rsidRDefault="00540E3D" w:rsidP="00540E3D">
      <w:pPr>
        <w:pBdr>
          <w:top w:val="nil"/>
          <w:left w:val="nil"/>
          <w:bottom w:val="nil"/>
          <w:right w:val="nil"/>
          <w:between w:val="nil"/>
          <w:bar w:val="nil"/>
        </w:pBdr>
        <w:shd w:val="clear" w:color="auto" w:fill="FFFFFF"/>
        <w:spacing w:after="0" w:line="240" w:lineRule="auto"/>
        <w:jc w:val="both"/>
        <w:rPr>
          <w:rFonts w:ascii="Cambria" w:eastAsia="Cambria" w:hAnsi="Cambria" w:cs="Cambria"/>
          <w:bCs/>
          <w:color w:val="000000"/>
          <w:sz w:val="20"/>
          <w:szCs w:val="20"/>
          <w:u w:color="000000"/>
          <w:bdr w:val="nil"/>
          <w:lang w:val="es-ES_tradnl" w:eastAsia="es-ES"/>
        </w:rPr>
      </w:pPr>
    </w:p>
    <w:p w14:paraId="0134D454" w14:textId="77777777" w:rsidR="00540E3D" w:rsidRPr="0058501F" w:rsidRDefault="00540E3D" w:rsidP="00540E3D">
      <w:pPr>
        <w:pBdr>
          <w:top w:val="nil"/>
          <w:left w:val="nil"/>
          <w:bottom w:val="nil"/>
          <w:right w:val="nil"/>
          <w:between w:val="nil"/>
          <w:bar w:val="nil"/>
        </w:pBdr>
        <w:shd w:val="clear" w:color="auto" w:fill="FFFFFF"/>
        <w:spacing w:after="0" w:line="240" w:lineRule="auto"/>
        <w:ind w:left="360" w:right="360"/>
        <w:jc w:val="both"/>
        <w:rPr>
          <w:rFonts w:ascii="Cambria" w:eastAsia="Cambria" w:hAnsi="Cambria" w:cs="Cambria"/>
          <w:bCs/>
          <w:color w:val="000000"/>
          <w:sz w:val="18"/>
          <w:szCs w:val="18"/>
          <w:u w:color="000000"/>
          <w:bdr w:val="nil"/>
          <w:lang w:val="es-ES_tradnl" w:eastAsia="es-ES"/>
        </w:rPr>
      </w:pPr>
      <w:r w:rsidRPr="0058501F">
        <w:rPr>
          <w:rFonts w:ascii="Cambria" w:eastAsia="Times New Roman" w:hAnsi="Cambria" w:cs="Cambria"/>
          <w:color w:val="000000"/>
          <w:sz w:val="18"/>
          <w:szCs w:val="18"/>
          <w:u w:color="000000"/>
          <w:bdr w:val="none" w:sz="0" w:space="0" w:color="auto" w:frame="1"/>
          <w:lang w:val="es-ES_tradnl" w:eastAsia="es-ES"/>
        </w:rPr>
        <w:t>Los Estados tienen la obligación especial de proteger a las personas con discapacidad mental e intelectual. Se trata de un deber reforzado en el caso de personas bajo la custodia del Estado. Además, es un principio de derecho internacional que las personas con discapacidad mental e intelectual, ya sea en el momento de la comisión del delito o durante el juicio, no pueden ser condenados a la pena de muerte. Del mismo modo, el derecho internacional también prohíbe la ejecución de una persona condenada a muerte si tiene una discapacidad mental o intelectual al momento de la ejecución.</w:t>
      </w:r>
      <w:r w:rsidRPr="0058501F">
        <w:rPr>
          <w:rFonts w:ascii="Cambria" w:eastAsia="Times New Roman" w:hAnsi="Cambria" w:cs="Cambria"/>
          <w:color w:val="000000"/>
          <w:sz w:val="18"/>
          <w:szCs w:val="18"/>
          <w:u w:color="000000"/>
          <w:bdr w:val="none" w:sz="0" w:space="0" w:color="auto" w:frame="1"/>
          <w:vertAlign w:val="superscript"/>
          <w:lang w:val="es-ES_tradnl" w:eastAsia="es-ES"/>
        </w:rPr>
        <w:footnoteReference w:id="70"/>
      </w:r>
    </w:p>
    <w:p w14:paraId="62C23AA8" w14:textId="77777777" w:rsidR="00540E3D" w:rsidRPr="0058501F" w:rsidRDefault="00540E3D" w:rsidP="00540E3D">
      <w:pPr>
        <w:pBdr>
          <w:top w:val="nil"/>
          <w:left w:val="nil"/>
          <w:bottom w:val="nil"/>
          <w:right w:val="nil"/>
          <w:between w:val="nil"/>
          <w:bar w:val="nil"/>
        </w:pBdr>
        <w:tabs>
          <w:tab w:val="left" w:pos="0"/>
        </w:tabs>
        <w:spacing w:after="0" w:line="240" w:lineRule="auto"/>
        <w:ind w:left="360" w:right="360"/>
        <w:jc w:val="both"/>
        <w:rPr>
          <w:rFonts w:ascii="Cambria" w:eastAsia="Times New Roman" w:hAnsi="Cambria"/>
          <w:bCs/>
          <w:sz w:val="20"/>
          <w:szCs w:val="20"/>
          <w:bdr w:val="none" w:sz="0" w:space="0" w:color="auto" w:frame="1"/>
          <w:lang w:val="es-ES_tradnl"/>
        </w:rPr>
      </w:pPr>
    </w:p>
    <w:p w14:paraId="50513C50" w14:textId="77777777" w:rsidR="00540E3D" w:rsidRPr="0058501F" w:rsidRDefault="00540E3D" w:rsidP="00470EC4">
      <w:pPr>
        <w:numPr>
          <w:ilvl w:val="0"/>
          <w:numId w:val="1"/>
        </w:numPr>
        <w:pBdr>
          <w:top w:val="nil"/>
          <w:left w:val="nil"/>
          <w:bottom w:val="nil"/>
          <w:right w:val="nil"/>
          <w:between w:val="nil"/>
          <w:bar w:val="nil"/>
        </w:pBdr>
        <w:tabs>
          <w:tab w:val="left" w:pos="360"/>
        </w:tabs>
        <w:spacing w:after="0" w:line="240" w:lineRule="auto"/>
        <w:ind w:firstLine="0"/>
        <w:jc w:val="both"/>
        <w:rPr>
          <w:rFonts w:ascii="Cambria" w:eastAsia="Times New Roman" w:hAnsi="Cambria"/>
          <w:sz w:val="20"/>
          <w:szCs w:val="20"/>
          <w:lang w:val="es-ES_tradnl"/>
        </w:rPr>
      </w:pPr>
      <w:r w:rsidRPr="0058501F">
        <w:rPr>
          <w:rFonts w:ascii="Cambria" w:eastAsia="Times New Roman" w:hAnsi="Cambria" w:cs="Cambria"/>
          <w:color w:val="000000"/>
          <w:sz w:val="20"/>
          <w:szCs w:val="20"/>
          <w:u w:color="000000"/>
          <w:bdr w:val="none" w:sz="0" w:space="0" w:color="auto" w:frame="1"/>
          <w:lang w:val="es-ES_tradnl" w:eastAsia="es-ES"/>
        </w:rPr>
        <w:t>Los Estados tienen la obligación especial de proteger a las personas con discapacidad mental e intelectual. Se trata de un deber reforzado en el caso de personas bajo la custodia del Estado. Además, es un principio de derecho internacional que las personas con discapacidad mental e intelectual, ya sea en el momento de la comisión del delito o durante el juicio, no pueden ser condenados a la pena de muerte. Del mismo modo, el derecho internacional también prohíbe la ejecución de una persona condenada a muerte si tiene una discapacidad mental o intelectual al momento de la ejecución.</w:t>
      </w:r>
      <w:r w:rsidRPr="0058501F">
        <w:rPr>
          <w:rFonts w:ascii="Cambria" w:hAnsi="Cambria"/>
          <w:sz w:val="20"/>
          <w:szCs w:val="20"/>
          <w:vertAlign w:val="superscript"/>
          <w:lang w:val="es-ES_tradnl"/>
        </w:rPr>
        <w:footnoteReference w:id="71"/>
      </w:r>
    </w:p>
    <w:p w14:paraId="5783A2FA" w14:textId="77777777" w:rsidR="00540E3D" w:rsidRPr="0058501F" w:rsidRDefault="00540E3D" w:rsidP="00470EC4">
      <w:pPr>
        <w:tabs>
          <w:tab w:val="left" w:pos="360"/>
        </w:tabs>
        <w:spacing w:after="0" w:line="240" w:lineRule="auto"/>
        <w:jc w:val="both"/>
        <w:rPr>
          <w:rFonts w:ascii="Cambria" w:hAnsi="Cambria"/>
          <w:sz w:val="20"/>
          <w:szCs w:val="20"/>
          <w:lang w:val="es-ES_tradnl"/>
        </w:rPr>
      </w:pPr>
    </w:p>
    <w:p w14:paraId="70102975" w14:textId="77777777" w:rsidR="00540E3D" w:rsidRPr="0058501F" w:rsidRDefault="00540E3D" w:rsidP="00470EC4">
      <w:pPr>
        <w:numPr>
          <w:ilvl w:val="0"/>
          <w:numId w:val="1"/>
        </w:numPr>
        <w:pBdr>
          <w:top w:val="nil"/>
          <w:left w:val="nil"/>
          <w:bottom w:val="nil"/>
          <w:right w:val="nil"/>
          <w:between w:val="nil"/>
          <w:bar w:val="nil"/>
        </w:pBdr>
        <w:tabs>
          <w:tab w:val="left" w:pos="360"/>
        </w:tabs>
        <w:spacing w:after="0" w:line="240" w:lineRule="auto"/>
        <w:ind w:firstLine="0"/>
        <w:jc w:val="both"/>
        <w:rPr>
          <w:rFonts w:ascii="Cambria" w:eastAsia="Times New Roman" w:hAnsi="Cambria"/>
          <w:sz w:val="20"/>
          <w:szCs w:val="20"/>
          <w:lang w:val="es-ES_tradnl"/>
        </w:rPr>
      </w:pPr>
      <w:r w:rsidRPr="0058501F">
        <w:rPr>
          <w:rFonts w:ascii="Cambria" w:eastAsia="Times New Roman" w:hAnsi="Cambria"/>
          <w:sz w:val="20"/>
          <w:szCs w:val="20"/>
          <w:lang w:val="es-ES_tradnl"/>
        </w:rPr>
        <w:t>Dado su deber especial de proteger a las personas con discapacidad mental e intelectual, en los casos de pena de muerte, el Estado tiene la obligación de contar con procedimientos para identificar a las personas acusadas o condenadas que tengan una discapacidad mental o intelectual. En este sentido, el Estado tiene dos obligaciones principales. En primer lugar, tiene el deber de examinar todos los registros e información en su poder sobre la salud mental de una persona acusada de un delito susceptible de pena de muerte. En segundo lugar, el Estado debe proporcionar a toda persona indigente los medios necesarios para que se le realice una evaluación de salud mental independiente de manera oportuna.</w:t>
      </w:r>
      <w:r w:rsidRPr="0058501F">
        <w:rPr>
          <w:rFonts w:ascii="Cambria" w:hAnsi="Cambria"/>
          <w:sz w:val="20"/>
          <w:szCs w:val="20"/>
          <w:vertAlign w:val="superscript"/>
          <w:lang w:val="es-ES_tradnl"/>
        </w:rPr>
        <w:footnoteReference w:id="72"/>
      </w:r>
      <w:r w:rsidRPr="0058501F">
        <w:rPr>
          <w:rFonts w:ascii="Cambria" w:eastAsia="Times New Roman" w:hAnsi="Cambria"/>
          <w:sz w:val="20"/>
          <w:szCs w:val="20"/>
          <w:lang w:val="es-ES_tradnl"/>
        </w:rPr>
        <w:t xml:space="preserve"> Además, cuando existe un indicio de que un imputado o condenado en un caso de pena de muerte pueda tener una discapacidad mental o intelectual, el Estado tiene la obligación, en cualquier momento del proceso, de atender la demanda en cuanto al fondo.</w:t>
      </w:r>
    </w:p>
    <w:p w14:paraId="37136923" w14:textId="77777777" w:rsidR="00540E3D" w:rsidRPr="0058501F" w:rsidRDefault="00540E3D" w:rsidP="00470EC4">
      <w:pPr>
        <w:tabs>
          <w:tab w:val="left" w:pos="360"/>
        </w:tabs>
        <w:spacing w:after="0" w:line="240" w:lineRule="auto"/>
        <w:jc w:val="both"/>
        <w:rPr>
          <w:rFonts w:ascii="Cambria" w:eastAsia="Times New Roman" w:hAnsi="Cambria"/>
          <w:sz w:val="20"/>
          <w:szCs w:val="20"/>
          <w:lang w:val="es-ES_tradnl"/>
        </w:rPr>
      </w:pPr>
    </w:p>
    <w:p w14:paraId="7EB53276" w14:textId="77777777" w:rsidR="00540E3D" w:rsidRPr="0058501F" w:rsidRDefault="00540E3D" w:rsidP="00470EC4">
      <w:pPr>
        <w:numPr>
          <w:ilvl w:val="0"/>
          <w:numId w:val="1"/>
        </w:numPr>
        <w:pBdr>
          <w:top w:val="nil"/>
          <w:left w:val="nil"/>
          <w:bottom w:val="nil"/>
          <w:right w:val="nil"/>
          <w:between w:val="nil"/>
          <w:bar w:val="nil"/>
        </w:pBdr>
        <w:tabs>
          <w:tab w:val="left" w:pos="360"/>
          <w:tab w:val="left" w:pos="540"/>
        </w:tabs>
        <w:spacing w:after="0" w:line="240" w:lineRule="auto"/>
        <w:ind w:firstLine="0"/>
        <w:jc w:val="both"/>
        <w:rPr>
          <w:rFonts w:ascii="Cambria" w:eastAsia="Times New Roman" w:hAnsi="Cambria"/>
          <w:sz w:val="20"/>
          <w:szCs w:val="20"/>
          <w:lang w:val="es-ES_tradnl"/>
        </w:rPr>
      </w:pPr>
      <w:r w:rsidRPr="0058501F">
        <w:rPr>
          <w:rFonts w:ascii="Cambria" w:eastAsia="Times New Roman" w:hAnsi="Cambria"/>
          <w:sz w:val="20"/>
          <w:szCs w:val="20"/>
          <w:lang w:val="es-ES_tradnl"/>
        </w:rPr>
        <w:t>En un caso que involucra a Trinidad y Tobago, el Comité de Derechos Humanos sostuvo que la notificación de una condena de muerte a una persona con discapacidad mental, incluso si esa persona hubiera sido competente en el momento de su condena, es una violación del derecho no ser sometido a torturas ni a penas o tratos crueles, inhumanos o degradantes.</w:t>
      </w:r>
      <w:r w:rsidRPr="0058501F">
        <w:rPr>
          <w:rFonts w:ascii="Cambria" w:eastAsia="Cambria" w:hAnsi="Cambria"/>
          <w:bCs/>
          <w:color w:val="000000"/>
          <w:sz w:val="20"/>
          <w:szCs w:val="20"/>
          <w:u w:color="000000"/>
          <w:bdr w:val="nil"/>
          <w:vertAlign w:val="superscript"/>
          <w:lang w:val="es-ES_tradnl" w:eastAsia="es-ES"/>
        </w:rPr>
        <w:footnoteReference w:id="73"/>
      </w:r>
      <w:r w:rsidRPr="0058501F">
        <w:rPr>
          <w:rFonts w:ascii="Cambria" w:eastAsia="Times New Roman" w:hAnsi="Cambria"/>
          <w:sz w:val="20"/>
          <w:szCs w:val="20"/>
          <w:lang w:val="es-ES_tradnl"/>
        </w:rPr>
        <w:t xml:space="preserve"> Las “Salvaguardias para garantizar la protección de los derechos de los condenados a la pena de muerte” de las Naciones Unidas establecen que no se ejecutará la pena de muerte contra […] “personas que hayan perdido la razón”.</w:t>
      </w:r>
      <w:r w:rsidRPr="0058501F">
        <w:rPr>
          <w:rFonts w:ascii="Cambria" w:eastAsia="Cambria" w:hAnsi="Cambria"/>
          <w:bCs/>
          <w:color w:val="000000"/>
          <w:sz w:val="20"/>
          <w:szCs w:val="20"/>
          <w:u w:color="000000"/>
          <w:bdr w:val="nil"/>
          <w:vertAlign w:val="superscript"/>
          <w:lang w:val="es-ES_tradnl" w:eastAsia="es-ES"/>
        </w:rPr>
        <w:t xml:space="preserve"> </w:t>
      </w:r>
      <w:r w:rsidRPr="0058501F">
        <w:rPr>
          <w:rFonts w:ascii="Cambria" w:eastAsia="Cambria" w:hAnsi="Cambria"/>
          <w:bCs/>
          <w:color w:val="000000"/>
          <w:sz w:val="20"/>
          <w:szCs w:val="20"/>
          <w:u w:color="000000"/>
          <w:bdr w:val="nil"/>
          <w:vertAlign w:val="superscript"/>
          <w:lang w:val="es-ES_tradnl" w:eastAsia="es-ES"/>
        </w:rPr>
        <w:footnoteReference w:id="74"/>
      </w:r>
      <w:r w:rsidRPr="0058501F">
        <w:rPr>
          <w:rFonts w:ascii="Cambria" w:eastAsia="Times New Roman" w:hAnsi="Cambria"/>
          <w:sz w:val="20"/>
          <w:szCs w:val="20"/>
          <w:lang w:val="es-ES_tradnl"/>
        </w:rPr>
        <w:t xml:space="preserve"> La Comisión de Derechos Humanos de las Naciones Unidas exhortó a todos los Estados que aún tienen la pena de muerte “[no] imponer la pena capital ni ejecutar a ninguna persona que sufra algún tipo de discapacidad mental o intelectual”.</w:t>
      </w:r>
      <w:r w:rsidRPr="0058501F">
        <w:rPr>
          <w:rFonts w:ascii="Cambria" w:eastAsia="Cambria" w:hAnsi="Cambria"/>
          <w:bCs/>
          <w:color w:val="000000"/>
          <w:sz w:val="20"/>
          <w:szCs w:val="20"/>
          <w:u w:color="000000"/>
          <w:bdr w:val="nil"/>
          <w:vertAlign w:val="superscript"/>
          <w:lang w:val="es-ES_tradnl" w:eastAsia="es-ES"/>
        </w:rPr>
        <w:t xml:space="preserve"> </w:t>
      </w:r>
      <w:r w:rsidRPr="0058501F">
        <w:rPr>
          <w:rFonts w:ascii="Cambria" w:eastAsia="Cambria" w:hAnsi="Cambria"/>
          <w:bCs/>
          <w:color w:val="000000"/>
          <w:sz w:val="20"/>
          <w:szCs w:val="20"/>
          <w:u w:color="000000"/>
          <w:bdr w:val="nil"/>
          <w:vertAlign w:val="superscript"/>
          <w:lang w:val="es-ES_tradnl" w:eastAsia="es-ES"/>
        </w:rPr>
        <w:footnoteReference w:id="75"/>
      </w:r>
    </w:p>
    <w:p w14:paraId="085DD567" w14:textId="77777777" w:rsidR="00540E3D" w:rsidRPr="0058501F" w:rsidRDefault="00540E3D" w:rsidP="00540E3D">
      <w:pPr>
        <w:pBdr>
          <w:top w:val="nil"/>
          <w:left w:val="nil"/>
          <w:bottom w:val="nil"/>
          <w:right w:val="nil"/>
          <w:between w:val="nil"/>
          <w:bar w:val="nil"/>
        </w:pBdr>
        <w:tabs>
          <w:tab w:val="left" w:pos="360"/>
          <w:tab w:val="left" w:pos="540"/>
        </w:tabs>
        <w:spacing w:after="0" w:line="240" w:lineRule="auto"/>
        <w:jc w:val="both"/>
        <w:rPr>
          <w:rFonts w:ascii="Cambria" w:eastAsia="Times New Roman" w:hAnsi="Cambria"/>
          <w:sz w:val="20"/>
          <w:szCs w:val="20"/>
          <w:lang w:val="es-ES_tradnl"/>
        </w:rPr>
      </w:pPr>
    </w:p>
    <w:p w14:paraId="12D07FB3" w14:textId="77777777" w:rsidR="00540E3D" w:rsidRPr="0058501F" w:rsidRDefault="00540E3D" w:rsidP="00470EC4">
      <w:pPr>
        <w:numPr>
          <w:ilvl w:val="0"/>
          <w:numId w:val="1"/>
        </w:numPr>
        <w:pBdr>
          <w:top w:val="nil"/>
          <w:left w:val="nil"/>
          <w:bottom w:val="nil"/>
          <w:right w:val="nil"/>
          <w:between w:val="nil"/>
          <w:bar w:val="nil"/>
        </w:pBdr>
        <w:tabs>
          <w:tab w:val="left" w:pos="360"/>
          <w:tab w:val="left" w:pos="540"/>
        </w:tabs>
        <w:spacing w:after="0" w:line="240" w:lineRule="auto"/>
        <w:ind w:firstLine="0"/>
        <w:jc w:val="both"/>
        <w:rPr>
          <w:rFonts w:ascii="Cambria" w:eastAsia="Times New Roman" w:hAnsi="Cambria"/>
          <w:sz w:val="20"/>
          <w:szCs w:val="20"/>
          <w:lang w:val="es-ES_tradnl"/>
        </w:rPr>
      </w:pPr>
      <w:r w:rsidRPr="0058501F">
        <w:rPr>
          <w:rFonts w:ascii="Cambria" w:eastAsia="Times New Roman" w:hAnsi="Cambria"/>
          <w:sz w:val="20"/>
          <w:szCs w:val="20"/>
          <w:lang w:val="es-ES_tradnl"/>
        </w:rPr>
        <w:t>Asimismo, el Relator Especial de la ONU sobre la tortura y otros tratos o penas crueles, inhumanos o degradantes indicó que el derecho internacional considera la imposición y ejecución de la pena de muerte en el caso de personas con discapacidad mental como particularmente cruel, inhumana y degradante, y una violación del artículo 7 del Pacto Internacional de Derechos Civiles y Políticos y los artículos 1 y 16 de la Convención contra la Tortura.</w:t>
      </w:r>
      <w:r w:rsidRPr="0058501F">
        <w:rPr>
          <w:rFonts w:ascii="Cambria" w:eastAsia="Times New Roman" w:hAnsi="Cambria"/>
          <w:bCs/>
          <w:sz w:val="20"/>
          <w:szCs w:val="20"/>
          <w:vertAlign w:val="superscript"/>
          <w:lang w:val="es-ES_tradnl"/>
        </w:rPr>
        <w:footnoteReference w:id="76"/>
      </w:r>
      <w:r w:rsidRPr="0058501F">
        <w:rPr>
          <w:rFonts w:ascii="Cambria" w:eastAsia="Times New Roman" w:hAnsi="Cambria"/>
          <w:sz w:val="20"/>
          <w:szCs w:val="20"/>
          <w:lang w:val="es-ES_tradnl"/>
        </w:rPr>
        <w:t xml:space="preserve"> Asimismo, el Relator Especial de la ONU sobre ejecuciones arbitrarias afirmó </w:t>
      </w:r>
      <w:r w:rsidRPr="0058501F">
        <w:rPr>
          <w:rFonts w:ascii="Cambria" w:eastAsia="Times New Roman" w:hAnsi="Cambria"/>
          <w:sz w:val="20"/>
          <w:szCs w:val="20"/>
          <w:lang w:val="es-ES_tradnl"/>
        </w:rPr>
        <w:lastRenderedPageBreak/>
        <w:t>que “[e]s una violación de las salvaguardias de la pena de muerte imponer la pena capital a personas que padecen discapacidades psicosociales”.</w:t>
      </w:r>
      <w:r w:rsidRPr="0058501F">
        <w:rPr>
          <w:rFonts w:ascii="Cambria" w:eastAsia="Times New Roman" w:hAnsi="Cambria"/>
          <w:bCs/>
          <w:sz w:val="20"/>
          <w:szCs w:val="20"/>
          <w:vertAlign w:val="superscript"/>
          <w:lang w:val="es-ES_tradnl"/>
        </w:rPr>
        <w:footnoteReference w:id="77"/>
      </w:r>
    </w:p>
    <w:p w14:paraId="63BFC11B" w14:textId="77777777" w:rsidR="00540E3D" w:rsidRPr="0058501F" w:rsidRDefault="00540E3D" w:rsidP="00540E3D">
      <w:pPr>
        <w:pBdr>
          <w:top w:val="nil"/>
          <w:left w:val="nil"/>
          <w:bottom w:val="nil"/>
          <w:right w:val="nil"/>
          <w:between w:val="nil"/>
          <w:bar w:val="nil"/>
        </w:pBdr>
        <w:spacing w:after="0" w:line="240" w:lineRule="auto"/>
        <w:ind w:left="720"/>
        <w:rPr>
          <w:rFonts w:ascii="Cambria" w:eastAsia="Cambria" w:hAnsi="Cambria" w:cs="Cambria"/>
          <w:color w:val="000000"/>
          <w:sz w:val="20"/>
          <w:szCs w:val="20"/>
          <w:u w:color="000000"/>
          <w:bdr w:val="none" w:sz="0" w:space="0" w:color="auto" w:frame="1"/>
          <w:lang w:val="es-ES_tradnl" w:eastAsia="es-ES"/>
        </w:rPr>
      </w:pPr>
    </w:p>
    <w:p w14:paraId="4E6002CC" w14:textId="77777777" w:rsidR="00540E3D" w:rsidRPr="0058501F" w:rsidRDefault="00540E3D" w:rsidP="00470EC4">
      <w:pPr>
        <w:numPr>
          <w:ilvl w:val="0"/>
          <w:numId w:val="1"/>
        </w:numPr>
        <w:pBdr>
          <w:top w:val="nil"/>
          <w:left w:val="nil"/>
          <w:bottom w:val="nil"/>
          <w:right w:val="nil"/>
          <w:between w:val="nil"/>
          <w:bar w:val="nil"/>
        </w:pBdr>
        <w:tabs>
          <w:tab w:val="left" w:pos="360"/>
          <w:tab w:val="left" w:pos="540"/>
        </w:tabs>
        <w:spacing w:after="0" w:line="240" w:lineRule="auto"/>
        <w:ind w:firstLine="0"/>
        <w:jc w:val="both"/>
        <w:rPr>
          <w:rFonts w:ascii="Cambria" w:eastAsia="Times New Roman" w:hAnsi="Cambria"/>
          <w:sz w:val="20"/>
          <w:szCs w:val="20"/>
          <w:lang w:val="es-ES_tradnl"/>
        </w:rPr>
      </w:pPr>
      <w:r w:rsidRPr="0058501F">
        <w:rPr>
          <w:rFonts w:ascii="Cambria" w:eastAsia="Times New Roman" w:hAnsi="Cambria"/>
          <w:sz w:val="20"/>
          <w:szCs w:val="20"/>
          <w:lang w:val="es-ES_tradnl"/>
        </w:rPr>
        <w:t xml:space="preserve">En </w:t>
      </w:r>
      <w:r w:rsidRPr="0058501F">
        <w:rPr>
          <w:rFonts w:ascii="Cambria" w:eastAsia="Times New Roman" w:hAnsi="Cambria"/>
          <w:i/>
          <w:iCs/>
          <w:sz w:val="20"/>
          <w:szCs w:val="20"/>
          <w:lang w:val="es-ES_tradnl"/>
        </w:rPr>
        <w:t>Atkins v. Virginia</w:t>
      </w:r>
      <w:r w:rsidRPr="0058501F">
        <w:rPr>
          <w:rFonts w:ascii="Cambria" w:eastAsia="Times New Roman" w:hAnsi="Cambria"/>
          <w:sz w:val="20"/>
          <w:szCs w:val="20"/>
          <w:lang w:val="es-ES_tradnl"/>
        </w:rPr>
        <w:t>,</w:t>
      </w:r>
      <w:r w:rsidRPr="0058501F">
        <w:rPr>
          <w:rFonts w:ascii="Cambria" w:eastAsia="Times New Roman" w:hAnsi="Cambria"/>
          <w:bCs/>
          <w:sz w:val="20"/>
          <w:szCs w:val="20"/>
          <w:vertAlign w:val="superscript"/>
          <w:lang w:val="es-ES_tradnl"/>
        </w:rPr>
        <w:t xml:space="preserve"> </w:t>
      </w:r>
      <w:r w:rsidRPr="0058501F">
        <w:rPr>
          <w:rFonts w:ascii="Cambria" w:eastAsia="Times New Roman" w:hAnsi="Cambria"/>
          <w:bCs/>
          <w:sz w:val="20"/>
          <w:szCs w:val="20"/>
          <w:vertAlign w:val="superscript"/>
          <w:lang w:val="es-ES_tradnl"/>
        </w:rPr>
        <w:footnoteReference w:id="78"/>
      </w:r>
      <w:r w:rsidRPr="0058501F">
        <w:rPr>
          <w:rFonts w:ascii="Cambria" w:eastAsia="Times New Roman" w:hAnsi="Cambria"/>
          <w:sz w:val="20"/>
          <w:szCs w:val="20"/>
          <w:lang w:val="es-ES_tradnl"/>
        </w:rPr>
        <w:t xml:space="preserve"> la Corte Suprema de los Estados Unidos sostuvo que “las ejecuciones de delincuentes con retraso mental son castigos crueles e inusuales prohibidos por la Octava Enmienda” de la Constitución de los Estados Unidos. En su fallo, la Corte Suprema trazó la historia del concepto de sanciones “excesivas” y subrayó el hecho de que el consenso actual refleja sin duda un juicio generalizado sobre la culpabilidad relativa de los “delincuentes con retraso mental”.</w:t>
      </w:r>
      <w:r w:rsidRPr="0058501F">
        <w:rPr>
          <w:rFonts w:ascii="Cambria" w:eastAsia="Times New Roman" w:hAnsi="Cambria"/>
          <w:bCs/>
          <w:sz w:val="20"/>
          <w:szCs w:val="20"/>
          <w:vertAlign w:val="superscript"/>
          <w:lang w:val="es-ES_tradnl"/>
        </w:rPr>
        <w:footnoteReference w:id="79"/>
      </w:r>
      <w:r w:rsidRPr="0058501F">
        <w:rPr>
          <w:rFonts w:ascii="Cambria" w:eastAsia="Times New Roman" w:hAnsi="Cambria"/>
          <w:sz w:val="20"/>
          <w:szCs w:val="20"/>
          <w:bdr w:val="none" w:sz="0" w:space="0" w:color="auto" w:frame="1"/>
          <w:lang w:val="es-ES_tradnl"/>
        </w:rPr>
        <w:t xml:space="preserve"> </w:t>
      </w:r>
    </w:p>
    <w:p w14:paraId="54582BB8" w14:textId="77777777" w:rsidR="00540E3D" w:rsidRPr="0058501F" w:rsidRDefault="00540E3D" w:rsidP="00470EC4">
      <w:pPr>
        <w:pBdr>
          <w:top w:val="nil"/>
          <w:left w:val="nil"/>
          <w:bottom w:val="nil"/>
          <w:right w:val="nil"/>
          <w:between w:val="nil"/>
          <w:bar w:val="nil"/>
        </w:pBdr>
        <w:spacing w:after="0" w:line="240" w:lineRule="auto"/>
        <w:jc w:val="both"/>
        <w:rPr>
          <w:rFonts w:ascii="Cambria" w:eastAsia="Times New Roman" w:hAnsi="Cambria" w:cs="Cambria"/>
          <w:color w:val="000000"/>
          <w:sz w:val="20"/>
          <w:szCs w:val="20"/>
          <w:u w:color="000000"/>
          <w:lang w:val="es-ES_tradnl" w:eastAsia="es-ES"/>
        </w:rPr>
      </w:pPr>
    </w:p>
    <w:p w14:paraId="559202FD" w14:textId="77777777" w:rsidR="00540E3D" w:rsidRPr="0058501F" w:rsidRDefault="00540E3D" w:rsidP="00470EC4">
      <w:pPr>
        <w:numPr>
          <w:ilvl w:val="0"/>
          <w:numId w:val="1"/>
        </w:numPr>
        <w:pBdr>
          <w:top w:val="nil"/>
          <w:left w:val="nil"/>
          <w:bottom w:val="nil"/>
          <w:right w:val="nil"/>
          <w:between w:val="nil"/>
          <w:bar w:val="nil"/>
        </w:pBdr>
        <w:tabs>
          <w:tab w:val="left" w:pos="360"/>
          <w:tab w:val="left" w:pos="540"/>
        </w:tabs>
        <w:spacing w:after="0" w:line="240" w:lineRule="auto"/>
        <w:ind w:firstLine="0"/>
        <w:jc w:val="both"/>
        <w:rPr>
          <w:rFonts w:ascii="Cambria" w:eastAsia="Times New Roman" w:hAnsi="Cambria"/>
          <w:sz w:val="20"/>
          <w:szCs w:val="20"/>
          <w:lang w:val="es-ES_tradnl"/>
        </w:rPr>
      </w:pPr>
      <w:r w:rsidRPr="0058501F">
        <w:rPr>
          <w:rFonts w:ascii="Cambria" w:eastAsia="Times New Roman" w:hAnsi="Cambria"/>
          <w:sz w:val="20"/>
          <w:szCs w:val="20"/>
          <w:lang w:val="es-ES_tradnl"/>
        </w:rPr>
        <w:t>De acuerdo con la información disponible, luego de que la Corte Suprema de Justicia dictó su decisión sobre Atkins, el Sr. Ibarra interpuso un recurso de hábeas corpus. La Corte de Apelaciones Criminales de Texas remitió la demanda de Atkins al tribunal de juicio para una audiencia probatoria programada para septiembre de 2006. El tribunal de juicio determinó que el Sr. Ibarra no tenía una discapacidad mental, y esta decisión fue adoptada en apelación.</w:t>
      </w:r>
    </w:p>
    <w:p w14:paraId="5D89993F" w14:textId="77777777" w:rsidR="00540E3D" w:rsidRPr="0058501F" w:rsidRDefault="00540E3D" w:rsidP="00470EC4">
      <w:pPr>
        <w:pBdr>
          <w:top w:val="nil"/>
          <w:left w:val="nil"/>
          <w:bottom w:val="nil"/>
          <w:right w:val="nil"/>
          <w:between w:val="nil"/>
          <w:bar w:val="nil"/>
        </w:pBdr>
        <w:spacing w:after="0" w:line="240" w:lineRule="auto"/>
        <w:jc w:val="both"/>
        <w:rPr>
          <w:rFonts w:ascii="Cambria" w:eastAsia="Cambria" w:hAnsi="Cambria" w:cs="Cambria"/>
          <w:color w:val="000000"/>
          <w:sz w:val="20"/>
          <w:szCs w:val="20"/>
          <w:u w:color="000000"/>
          <w:bdr w:val="nil"/>
          <w:lang w:val="es-ES_tradnl" w:eastAsia="es-ES"/>
        </w:rPr>
      </w:pPr>
    </w:p>
    <w:p w14:paraId="02C8F0F7" w14:textId="77777777" w:rsidR="00540E3D" w:rsidRPr="0058501F" w:rsidRDefault="00540E3D" w:rsidP="00470EC4">
      <w:pPr>
        <w:numPr>
          <w:ilvl w:val="0"/>
          <w:numId w:val="1"/>
        </w:numPr>
        <w:pBdr>
          <w:top w:val="nil"/>
          <w:left w:val="nil"/>
          <w:bottom w:val="nil"/>
          <w:right w:val="nil"/>
          <w:between w:val="nil"/>
          <w:bar w:val="nil"/>
        </w:pBdr>
        <w:tabs>
          <w:tab w:val="left" w:pos="360"/>
          <w:tab w:val="left" w:pos="540"/>
        </w:tabs>
        <w:spacing w:after="0" w:line="240" w:lineRule="auto"/>
        <w:ind w:firstLine="0"/>
        <w:jc w:val="both"/>
        <w:rPr>
          <w:rFonts w:ascii="Cambria" w:eastAsia="Times New Roman" w:hAnsi="Cambria"/>
          <w:sz w:val="20"/>
          <w:szCs w:val="20"/>
          <w:lang w:val="es-ES_tradnl"/>
        </w:rPr>
      </w:pPr>
      <w:r w:rsidRPr="0058501F">
        <w:rPr>
          <w:rFonts w:ascii="Cambria" w:eastAsia="Times New Roman" w:hAnsi="Cambria"/>
          <w:sz w:val="20"/>
          <w:szCs w:val="20"/>
          <w:lang w:val="es-ES_tradnl"/>
        </w:rPr>
        <w:t xml:space="preserve">La Comisión toma nota de la afirmación del Estado de que el Dr. Stephen Mark evaluó al Sr. Ibarra en dos oportunidades, encontrando que estaba en condiciones de ser juzgado y que no tenía "retraso mental" y que el dictamen pericial se completó con posterioridad a la decisión Atkins. La Comisión también observa, sin embargo, </w:t>
      </w:r>
      <w:proofErr w:type="gramStart"/>
      <w:r w:rsidRPr="0058501F">
        <w:rPr>
          <w:rFonts w:ascii="Cambria" w:eastAsia="Times New Roman" w:hAnsi="Cambria"/>
          <w:sz w:val="20"/>
          <w:szCs w:val="20"/>
          <w:lang w:val="es-ES_tradnl"/>
        </w:rPr>
        <w:t>que</w:t>
      </w:r>
      <w:proofErr w:type="gramEnd"/>
      <w:r w:rsidRPr="0058501F">
        <w:rPr>
          <w:rFonts w:ascii="Cambria" w:eastAsia="Times New Roman" w:hAnsi="Cambria"/>
          <w:sz w:val="20"/>
          <w:szCs w:val="20"/>
          <w:lang w:val="es-ES_tradnl"/>
        </w:rPr>
        <w:t xml:space="preserve"> de acuerdo con la información proporcionada por los peticionarios, no controvertida por el Estado, si bien la opinión fue completada en 2003, se basó en evaluaciones realizadas antes de la sentencia del caso Atkins.</w:t>
      </w:r>
    </w:p>
    <w:p w14:paraId="71D0D67F" w14:textId="77777777" w:rsidR="00540E3D" w:rsidRPr="0058501F" w:rsidRDefault="00540E3D" w:rsidP="00470EC4">
      <w:pPr>
        <w:pBdr>
          <w:top w:val="nil"/>
          <w:left w:val="nil"/>
          <w:bottom w:val="nil"/>
          <w:right w:val="nil"/>
          <w:between w:val="nil"/>
          <w:bar w:val="nil"/>
        </w:pBdr>
        <w:spacing w:after="0" w:line="240" w:lineRule="auto"/>
        <w:jc w:val="both"/>
        <w:rPr>
          <w:rFonts w:ascii="Cambria" w:eastAsia="Times New Roman" w:hAnsi="Cambria"/>
          <w:sz w:val="20"/>
          <w:szCs w:val="20"/>
          <w:lang w:val="es-ES_tradnl"/>
        </w:rPr>
      </w:pPr>
    </w:p>
    <w:p w14:paraId="73C1AAC4" w14:textId="77777777" w:rsidR="00540E3D" w:rsidRPr="0058501F" w:rsidRDefault="00540E3D" w:rsidP="00470EC4">
      <w:pPr>
        <w:numPr>
          <w:ilvl w:val="0"/>
          <w:numId w:val="1"/>
        </w:numPr>
        <w:pBdr>
          <w:top w:val="nil"/>
          <w:left w:val="nil"/>
          <w:bottom w:val="nil"/>
          <w:right w:val="nil"/>
          <w:between w:val="nil"/>
          <w:bar w:val="nil"/>
        </w:pBdr>
        <w:tabs>
          <w:tab w:val="left" w:pos="360"/>
          <w:tab w:val="left" w:pos="540"/>
          <w:tab w:val="left" w:pos="720"/>
          <w:tab w:val="left" w:pos="1440"/>
        </w:tabs>
        <w:spacing w:after="0" w:line="240" w:lineRule="auto"/>
        <w:ind w:firstLine="0"/>
        <w:jc w:val="both"/>
        <w:rPr>
          <w:rFonts w:ascii="Cambria" w:eastAsia="Times New Roman" w:hAnsi="Cambria"/>
          <w:sz w:val="20"/>
          <w:szCs w:val="20"/>
          <w:lang w:val="es-ES_tradnl"/>
        </w:rPr>
      </w:pPr>
      <w:r w:rsidRPr="0058501F">
        <w:rPr>
          <w:rFonts w:ascii="Cambria" w:eastAsia="Times New Roman" w:hAnsi="Cambria"/>
          <w:sz w:val="20"/>
          <w:szCs w:val="20"/>
          <w:lang w:val="es-ES_tradnl"/>
        </w:rPr>
        <w:t>La Comisión toma nota de la opinión de la Dra. Carol M. Romney, psicóloga clínica licenciada, que concluyó que el Sr. Ibarra “tiene retraso mental” luego de que se le realizaron dos exámenes psicológicos el 9 y 10 de junio de 2003. Una medida del funcionamiento intelectual reveló un puntaje de CI de escala completa de 65, que el Sr. Ibarra exhibió un "nivel uniforme y difuso de déficits cognitivos", sus habilidades de resolución de problemas estaban "confusas" y mostró una "capacidad de secuenciación deteriorada".</w:t>
      </w:r>
      <w:r w:rsidRPr="0058501F">
        <w:rPr>
          <w:rFonts w:ascii="Cambria" w:eastAsia="Times New Roman" w:hAnsi="Cambria"/>
          <w:sz w:val="20"/>
          <w:szCs w:val="20"/>
          <w:vertAlign w:val="superscript"/>
          <w:lang w:val="es-ES_tradnl"/>
        </w:rPr>
        <w:footnoteReference w:id="80"/>
      </w:r>
      <w:r w:rsidRPr="0058501F">
        <w:rPr>
          <w:rFonts w:ascii="Cambria" w:eastAsia="Times New Roman" w:hAnsi="Cambria"/>
          <w:sz w:val="20"/>
          <w:szCs w:val="20"/>
          <w:lang w:val="es-ES_tradnl"/>
        </w:rPr>
        <w:t xml:space="preserve"> Sin embargo, de acuerdo con la información disponible, la declaración jurada fue declarada inadmisible por no ser certificada ante escribano. Al respecto, la Comisión nota que la Dra. Romney manifestó expresamente que la declaración jurada no fue certificada porque la abogada del Sr. Ibarra la solicitó un viernes y no pudo llegar a un escribano público durante el fin de semana. Sin embargo, indicó que se presentaría una declaración jurada en la primera oportunidad disponible.</w:t>
      </w:r>
    </w:p>
    <w:p w14:paraId="67C10FDF" w14:textId="77777777" w:rsidR="00540E3D" w:rsidRPr="0058501F" w:rsidRDefault="00540E3D" w:rsidP="00470EC4">
      <w:pPr>
        <w:tabs>
          <w:tab w:val="left" w:pos="360"/>
          <w:tab w:val="left" w:pos="540"/>
          <w:tab w:val="left" w:pos="720"/>
          <w:tab w:val="left" w:pos="1440"/>
        </w:tabs>
        <w:spacing w:after="0" w:line="240" w:lineRule="auto"/>
        <w:jc w:val="both"/>
        <w:rPr>
          <w:rFonts w:ascii="Cambria" w:eastAsia="Times New Roman" w:hAnsi="Cambria"/>
          <w:sz w:val="20"/>
          <w:szCs w:val="20"/>
          <w:lang w:val="es-ES_tradnl"/>
        </w:rPr>
      </w:pPr>
    </w:p>
    <w:p w14:paraId="748AC2CA" w14:textId="77777777" w:rsidR="00540E3D" w:rsidRPr="0058501F" w:rsidRDefault="00540E3D" w:rsidP="00470EC4">
      <w:pPr>
        <w:numPr>
          <w:ilvl w:val="0"/>
          <w:numId w:val="1"/>
        </w:numPr>
        <w:pBdr>
          <w:top w:val="nil"/>
          <w:left w:val="nil"/>
          <w:bottom w:val="nil"/>
          <w:right w:val="nil"/>
          <w:between w:val="nil"/>
          <w:bar w:val="nil"/>
        </w:pBdr>
        <w:tabs>
          <w:tab w:val="left" w:pos="360"/>
          <w:tab w:val="left" w:pos="540"/>
        </w:tabs>
        <w:spacing w:after="0" w:line="240" w:lineRule="auto"/>
        <w:ind w:firstLine="0"/>
        <w:jc w:val="both"/>
        <w:rPr>
          <w:rFonts w:ascii="Cambria" w:eastAsia="Times New Roman" w:hAnsi="Cambria"/>
          <w:sz w:val="20"/>
          <w:szCs w:val="20"/>
          <w:lang w:val="es-ES_tradnl"/>
        </w:rPr>
      </w:pPr>
      <w:r w:rsidRPr="0058501F">
        <w:rPr>
          <w:rFonts w:ascii="Cambria" w:eastAsia="Times New Roman" w:hAnsi="Cambria"/>
          <w:sz w:val="20"/>
          <w:szCs w:val="20"/>
          <w:lang w:val="es-ES_tradnl"/>
        </w:rPr>
        <w:t xml:space="preserve">Más tarde, el Sr. Ibarra presentó una petición de hábeas federal y la Corte de Apelaciones de los EE. UU. denegó en 2019 un certificado de apelación con respecto al reclamo de Atkins por motivos alternativos de exclusión procesal, no agotamiento y falta de mérito. El Tribunal determinó que el </w:t>
      </w:r>
      <w:r w:rsidR="00DD040D" w:rsidRPr="0058501F">
        <w:rPr>
          <w:rFonts w:ascii="Cambria" w:eastAsia="Times New Roman" w:hAnsi="Cambria"/>
          <w:sz w:val="20"/>
          <w:szCs w:val="20"/>
          <w:lang w:val="es-ES_tradnl"/>
        </w:rPr>
        <w:t>Tribunal Penal de Apelaciones de Texas</w:t>
      </w:r>
      <w:r w:rsidRPr="0058501F">
        <w:rPr>
          <w:rFonts w:ascii="Cambria" w:eastAsia="Times New Roman" w:hAnsi="Cambria"/>
          <w:sz w:val="20"/>
          <w:szCs w:val="20"/>
          <w:lang w:val="es-ES_tradnl"/>
        </w:rPr>
        <w:t xml:space="preserve"> de Texas había rechazado este reclamo sobre el fondo y ahora el Sr. Ibarra ofreció nueva evidencia material, que dejó su reclamo sin agotar y prohibido procesalmente. Además, señaló que para establecer que a su caso se aplica la doctrina de Atkins, el peticionario debe demostrar que posee un funcionamiento intelectual significativamente por debajo del promedio y un funcionamiento adaptativo deficiente, y que ambos se manifestaron antes de los 18 años.</w:t>
      </w:r>
    </w:p>
    <w:p w14:paraId="0A5FA4FD" w14:textId="77777777" w:rsidR="00540E3D" w:rsidRPr="0058501F" w:rsidRDefault="00540E3D" w:rsidP="00470EC4">
      <w:pPr>
        <w:tabs>
          <w:tab w:val="left" w:pos="360"/>
        </w:tabs>
        <w:spacing w:after="0" w:line="240" w:lineRule="auto"/>
        <w:jc w:val="both"/>
        <w:rPr>
          <w:rFonts w:ascii="Cambria" w:hAnsi="Cambria"/>
          <w:sz w:val="20"/>
          <w:szCs w:val="20"/>
          <w:lang w:val="es-ES_tradnl"/>
        </w:rPr>
      </w:pPr>
    </w:p>
    <w:p w14:paraId="12493D14" w14:textId="77777777" w:rsidR="00540E3D" w:rsidRPr="0058501F" w:rsidRDefault="00540E3D" w:rsidP="00470EC4">
      <w:pPr>
        <w:numPr>
          <w:ilvl w:val="0"/>
          <w:numId w:val="1"/>
        </w:numPr>
        <w:pBdr>
          <w:top w:val="nil"/>
          <w:left w:val="nil"/>
          <w:bottom w:val="nil"/>
          <w:right w:val="nil"/>
          <w:between w:val="nil"/>
          <w:bar w:val="nil"/>
        </w:pBdr>
        <w:tabs>
          <w:tab w:val="left" w:pos="360"/>
          <w:tab w:val="left" w:pos="540"/>
        </w:tabs>
        <w:spacing w:after="0" w:line="240" w:lineRule="auto"/>
        <w:ind w:firstLine="0"/>
        <w:jc w:val="both"/>
        <w:rPr>
          <w:rFonts w:ascii="Cambria" w:eastAsia="Times New Roman" w:hAnsi="Cambria"/>
          <w:sz w:val="20"/>
          <w:szCs w:val="20"/>
          <w:lang w:val="es-ES_tradnl"/>
        </w:rPr>
      </w:pPr>
      <w:r w:rsidRPr="0058501F">
        <w:rPr>
          <w:rFonts w:ascii="Cambria" w:eastAsia="Times New Roman" w:hAnsi="Cambria"/>
          <w:sz w:val="20"/>
          <w:szCs w:val="20"/>
          <w:lang w:val="es-ES_tradnl"/>
        </w:rPr>
        <w:t>Por lo tanto, la Comisión considera que el Estado no brindó al Sr. Ibarra la oportunidad de presentar nueva prueba sobre su discapacidad intelectual, ya que el único análisis de fondo se realizó con base en evaluaciones que no arrojaron un diagnóstico completo de su salud mental. Con base en los estándares internacionales e interamericanos antes mencionados, cuando exista un indicio de que un imputado o condenado en un caso de pena de muerte pueda tener una discapacidad mental o intelectual, el Estado tiene la obligación, en cualquier momento del proceso, de atender la reclamación sobre el fondo.</w:t>
      </w:r>
    </w:p>
    <w:p w14:paraId="1EB8E077" w14:textId="77777777" w:rsidR="00540E3D" w:rsidRPr="0058501F" w:rsidRDefault="00540E3D" w:rsidP="00540E3D">
      <w:pPr>
        <w:pBdr>
          <w:top w:val="nil"/>
          <w:left w:val="nil"/>
          <w:bottom w:val="nil"/>
          <w:right w:val="nil"/>
          <w:between w:val="nil"/>
          <w:bar w:val="nil"/>
        </w:pBdr>
        <w:spacing w:after="0" w:line="240" w:lineRule="auto"/>
        <w:ind w:left="720"/>
        <w:rPr>
          <w:rFonts w:ascii="Cambria" w:eastAsia="Times New Roman" w:hAnsi="Cambria" w:cs="Cambria"/>
          <w:color w:val="000000"/>
          <w:sz w:val="20"/>
          <w:szCs w:val="20"/>
          <w:u w:color="000000"/>
          <w:lang w:val="es-ES_tradnl" w:eastAsia="es-ES"/>
        </w:rPr>
      </w:pPr>
    </w:p>
    <w:p w14:paraId="3587F18C" w14:textId="77777777" w:rsidR="00540E3D" w:rsidRPr="0058501F" w:rsidRDefault="00540E3D" w:rsidP="00470EC4">
      <w:pPr>
        <w:numPr>
          <w:ilvl w:val="0"/>
          <w:numId w:val="1"/>
        </w:numPr>
        <w:spacing w:after="0" w:line="240" w:lineRule="auto"/>
        <w:ind w:firstLine="0"/>
        <w:jc w:val="both"/>
        <w:rPr>
          <w:rFonts w:ascii="Cambria" w:hAnsi="Cambria"/>
          <w:sz w:val="20"/>
          <w:szCs w:val="20"/>
          <w:lang w:val="es-ES_tradnl"/>
        </w:rPr>
      </w:pPr>
      <w:r w:rsidRPr="0058501F">
        <w:rPr>
          <w:rFonts w:ascii="Cambria" w:hAnsi="Cambria"/>
          <w:sz w:val="20"/>
          <w:szCs w:val="20"/>
          <w:lang w:val="es-ES_tradnl"/>
        </w:rPr>
        <w:lastRenderedPageBreak/>
        <w:t>Con base en las consideraciones anteriores, y dado el mayor grado de escrutinio que ha aplicado en los casos de pena de muerte,</w:t>
      </w:r>
      <w:r w:rsidRPr="0058501F">
        <w:rPr>
          <w:rFonts w:ascii="Cambria" w:hAnsi="Cambria"/>
          <w:sz w:val="20"/>
          <w:szCs w:val="20"/>
          <w:vertAlign w:val="superscript"/>
          <w:lang w:val="es-ES_tradnl"/>
        </w:rPr>
        <w:footnoteReference w:id="81"/>
      </w:r>
      <w:r w:rsidRPr="0058501F">
        <w:rPr>
          <w:rFonts w:ascii="Cambria" w:hAnsi="Cambria"/>
          <w:sz w:val="20"/>
          <w:szCs w:val="20"/>
          <w:lang w:val="es-ES_tradnl"/>
        </w:rPr>
        <w:t xml:space="preserve"> la Comisión Interamericana concluye que Estados Unidos viol</w:t>
      </w:r>
      <w:r w:rsidR="00172E91">
        <w:rPr>
          <w:rFonts w:ascii="Cambria" w:hAnsi="Cambria"/>
          <w:sz w:val="20"/>
          <w:szCs w:val="20"/>
          <w:lang w:val="es-ES_tradnl"/>
        </w:rPr>
        <w:t>ó</w:t>
      </w:r>
      <w:r w:rsidRPr="0058501F">
        <w:rPr>
          <w:rFonts w:ascii="Cambria" w:hAnsi="Cambria"/>
          <w:sz w:val="20"/>
          <w:szCs w:val="20"/>
          <w:lang w:val="es-ES_tradnl"/>
        </w:rPr>
        <w:t xml:space="preserve"> los artículos I y XXVI de la Declaración Americana en perjuicio del </w:t>
      </w:r>
      <w:r w:rsidR="00DD040D" w:rsidRPr="0058501F">
        <w:rPr>
          <w:rFonts w:ascii="Cambria" w:hAnsi="Cambria"/>
          <w:sz w:val="20"/>
          <w:szCs w:val="20"/>
          <w:lang w:val="es-ES_tradnl"/>
        </w:rPr>
        <w:t>Sr.</w:t>
      </w:r>
      <w:r w:rsidRPr="0058501F">
        <w:rPr>
          <w:rFonts w:ascii="Cambria" w:hAnsi="Cambria"/>
          <w:sz w:val="20"/>
          <w:szCs w:val="20"/>
          <w:lang w:val="es-ES_tradnl"/>
        </w:rPr>
        <w:t xml:space="preserve"> Ibarra al negar cualquier oportunidad de presentar evidencia con respecto a su discapacidad mental e intelectual y ser escuchado sobre los méritos de esa evidencia de acuerdo con la decisión de Atkins.</w:t>
      </w:r>
    </w:p>
    <w:p w14:paraId="30D7B316" w14:textId="77777777" w:rsidR="00540E3D" w:rsidRPr="0058501F" w:rsidRDefault="00540E3D" w:rsidP="00666042">
      <w:pPr>
        <w:pStyle w:val="Heading2"/>
        <w:numPr>
          <w:ilvl w:val="0"/>
          <w:numId w:val="20"/>
        </w:numPr>
        <w:ind w:left="450" w:hanging="450"/>
        <w:rPr>
          <w:rFonts w:ascii="Cambria" w:eastAsia="SimSun" w:hAnsi="Cambria"/>
          <w:i w:val="0"/>
          <w:iCs w:val="0"/>
          <w:sz w:val="20"/>
          <w:szCs w:val="20"/>
          <w:bdr w:val="nil"/>
          <w:lang w:val="es-ES_tradnl"/>
        </w:rPr>
      </w:pPr>
      <w:bookmarkStart w:id="28" w:name="_Toc90117845"/>
      <w:bookmarkStart w:id="29" w:name="_Toc450856019"/>
      <w:bookmarkStart w:id="30" w:name="_Toc68863900"/>
      <w:r w:rsidRPr="0058501F">
        <w:rPr>
          <w:rFonts w:ascii="Cambria" w:eastAsia="SimSun" w:hAnsi="Cambria"/>
          <w:i w:val="0"/>
          <w:iCs w:val="0"/>
          <w:sz w:val="20"/>
          <w:szCs w:val="20"/>
          <w:bdr w:val="nil"/>
          <w:lang w:val="es-ES_tradnl"/>
        </w:rPr>
        <w:t>La privación de libertad en el corredor de la muerte y el derecho a la protección contra castigos crueles, infamantes o inusuales</w:t>
      </w:r>
      <w:bookmarkEnd w:id="28"/>
    </w:p>
    <w:p w14:paraId="5DFE270F" w14:textId="77777777" w:rsidR="00172E91" w:rsidRDefault="00540E3D" w:rsidP="00666042">
      <w:pPr>
        <w:pStyle w:val="Heading5"/>
        <w:numPr>
          <w:ilvl w:val="0"/>
          <w:numId w:val="23"/>
        </w:numPr>
        <w:ind w:left="450" w:hanging="450"/>
        <w:rPr>
          <w:rFonts w:ascii="Cambria" w:eastAsia="Arial Unicode MS" w:hAnsi="Cambria"/>
          <w:i w:val="0"/>
          <w:iCs w:val="0"/>
          <w:sz w:val="20"/>
          <w:szCs w:val="20"/>
          <w:bdr w:val="nil"/>
          <w:lang w:val="es-ES_tradnl"/>
        </w:rPr>
      </w:pPr>
      <w:bookmarkStart w:id="31" w:name="_Toc31968749"/>
      <w:bookmarkStart w:id="32" w:name="_Toc450856020"/>
      <w:bookmarkStart w:id="33" w:name="_Toc68863901"/>
      <w:bookmarkEnd w:id="29"/>
      <w:bookmarkEnd w:id="30"/>
      <w:r w:rsidRPr="0058501F">
        <w:rPr>
          <w:rFonts w:ascii="Cambria" w:eastAsia="SimSun" w:hAnsi="Cambria"/>
          <w:i w:val="0"/>
          <w:iCs w:val="0"/>
          <w:sz w:val="20"/>
          <w:szCs w:val="20"/>
          <w:bdr w:val="nil"/>
          <w:lang w:val="es-ES_tradnl"/>
        </w:rPr>
        <w:t>El fenómeno del corredor de la muerte</w:t>
      </w:r>
      <w:r w:rsidRPr="0058501F">
        <w:rPr>
          <w:rFonts w:ascii="Cambria" w:eastAsia="Arial Unicode MS" w:hAnsi="Cambria"/>
          <w:i w:val="0"/>
          <w:iCs w:val="0"/>
          <w:sz w:val="20"/>
          <w:szCs w:val="20"/>
          <w:bdr w:val="nil"/>
          <w:vertAlign w:val="superscript"/>
          <w:lang w:val="es-ES_tradnl"/>
        </w:rPr>
        <w:footnoteReference w:id="82"/>
      </w:r>
      <w:bookmarkEnd w:id="31"/>
      <w:bookmarkEnd w:id="32"/>
      <w:bookmarkEnd w:id="33"/>
      <w:r w:rsidRPr="0058501F">
        <w:rPr>
          <w:rFonts w:ascii="Cambria" w:eastAsia="Arial Unicode MS" w:hAnsi="Cambria"/>
          <w:i w:val="0"/>
          <w:iCs w:val="0"/>
          <w:sz w:val="20"/>
          <w:szCs w:val="20"/>
          <w:bdr w:val="nil"/>
          <w:lang w:val="es-ES_tradnl"/>
        </w:rPr>
        <w:t xml:space="preserve">  </w:t>
      </w:r>
    </w:p>
    <w:p w14:paraId="7A2D6301" w14:textId="77777777" w:rsidR="002F65C8" w:rsidRPr="002F65C8" w:rsidRDefault="002F65C8" w:rsidP="002F65C8">
      <w:pPr>
        <w:spacing w:beforeLines="1" w:before="2" w:afterLines="1" w:after="2" w:line="240" w:lineRule="auto"/>
        <w:jc w:val="both"/>
        <w:rPr>
          <w:lang w:val="es-ES_tradnl"/>
        </w:rPr>
      </w:pPr>
    </w:p>
    <w:p w14:paraId="3A3C2788" w14:textId="77777777" w:rsidR="00540E3D" w:rsidRPr="0058501F" w:rsidRDefault="00540E3D" w:rsidP="00470EC4">
      <w:pPr>
        <w:numPr>
          <w:ilvl w:val="0"/>
          <w:numId w:val="1"/>
        </w:numPr>
        <w:pBdr>
          <w:top w:val="nil"/>
          <w:left w:val="nil"/>
          <w:bottom w:val="nil"/>
          <w:right w:val="nil"/>
          <w:between w:val="nil"/>
          <w:bar w:val="nil"/>
        </w:pBdr>
        <w:tabs>
          <w:tab w:val="left" w:pos="0"/>
          <w:tab w:val="left" w:pos="720"/>
          <w:tab w:val="left" w:pos="1440"/>
        </w:tabs>
        <w:spacing w:after="0" w:line="240" w:lineRule="auto"/>
        <w:ind w:firstLine="0"/>
        <w:jc w:val="both"/>
        <w:rPr>
          <w:rFonts w:ascii="Cambria" w:eastAsia="Times New Roman" w:hAnsi="Cambria"/>
          <w:sz w:val="20"/>
          <w:szCs w:val="20"/>
          <w:bdr w:val="nil"/>
          <w:lang w:val="es-ES_tradnl"/>
        </w:rPr>
      </w:pPr>
      <w:r w:rsidRPr="0058501F">
        <w:rPr>
          <w:rFonts w:ascii="Cambria" w:eastAsia="Times New Roman" w:hAnsi="Cambria"/>
          <w:sz w:val="20"/>
          <w:szCs w:val="20"/>
          <w:bdr w:val="nil"/>
          <w:lang w:val="es-ES_tradnl"/>
        </w:rPr>
        <w:t>La privación de libertad a largo plazo en el corredor de la muerte se denomina tanto en el derecho internacional de los derechos humanos como en el derecho comparado como el "fenómeno del corredor de la muerte" y atenta contra la libertad de una persona respecto de penas crueles, inhumanas o degradantes. Dicho trato viola la prohibición de las penas crueles, inhumanas o degradantes en las Constituciones y en múltiples tratados internacionales, incluida la Declaración Americana (artículos XXV y XXVI).</w:t>
      </w:r>
      <w:r w:rsidRPr="0058501F">
        <w:rPr>
          <w:rFonts w:ascii="Cambria" w:eastAsia="Arial Unicode MS" w:hAnsi="Cambria"/>
          <w:sz w:val="20"/>
          <w:szCs w:val="20"/>
          <w:bdr w:val="nil"/>
          <w:vertAlign w:val="superscript"/>
          <w:lang w:val="es-ES_tradnl"/>
        </w:rPr>
        <w:footnoteReference w:id="83"/>
      </w:r>
    </w:p>
    <w:p w14:paraId="30C56426" w14:textId="77777777" w:rsidR="00540E3D" w:rsidRPr="0058501F" w:rsidDel="00152A34" w:rsidRDefault="00540E3D" w:rsidP="00540E3D">
      <w:pPr>
        <w:tabs>
          <w:tab w:val="left" w:pos="360"/>
          <w:tab w:val="left" w:pos="720"/>
          <w:tab w:val="left" w:pos="1440"/>
        </w:tabs>
        <w:spacing w:after="0" w:line="240" w:lineRule="auto"/>
        <w:jc w:val="both"/>
        <w:rPr>
          <w:rFonts w:ascii="Cambria" w:eastAsia="Times New Roman" w:hAnsi="Cambria"/>
          <w:sz w:val="20"/>
          <w:szCs w:val="20"/>
          <w:bdr w:val="nil"/>
          <w:lang w:val="es-ES_tradnl"/>
        </w:rPr>
      </w:pPr>
    </w:p>
    <w:p w14:paraId="1F9FD42F" w14:textId="77777777" w:rsidR="00540E3D" w:rsidRPr="0058501F" w:rsidRDefault="00540E3D" w:rsidP="00470EC4">
      <w:pPr>
        <w:numPr>
          <w:ilvl w:val="0"/>
          <w:numId w:val="1"/>
        </w:numPr>
        <w:pBdr>
          <w:top w:val="nil"/>
          <w:left w:val="nil"/>
          <w:bottom w:val="nil"/>
          <w:right w:val="nil"/>
          <w:between w:val="nil"/>
          <w:bar w:val="nil"/>
        </w:pBdr>
        <w:tabs>
          <w:tab w:val="left" w:pos="360"/>
          <w:tab w:val="left" w:pos="720"/>
          <w:tab w:val="left" w:pos="1440"/>
        </w:tabs>
        <w:spacing w:after="0" w:line="240" w:lineRule="auto"/>
        <w:ind w:firstLine="0"/>
        <w:jc w:val="both"/>
        <w:rPr>
          <w:rFonts w:ascii="Cambria" w:eastAsia="Times New Roman" w:hAnsi="Cambria"/>
          <w:sz w:val="20"/>
          <w:szCs w:val="20"/>
          <w:bdr w:val="nil"/>
          <w:lang w:val="es-ES_tradnl"/>
        </w:rPr>
      </w:pPr>
      <w:r w:rsidRPr="0058501F">
        <w:rPr>
          <w:rFonts w:ascii="Cambria" w:eastAsia="Times New Roman" w:hAnsi="Cambria"/>
          <w:sz w:val="20"/>
          <w:szCs w:val="20"/>
          <w:bdr w:val="nil"/>
          <w:lang w:val="es-ES_tradnl"/>
        </w:rPr>
        <w:t>La Comisión toma nota del concepto de fenómeno del corredor de la muerte del Relator Especial de las Naciones Unidas sobre la tortura y otros tratos o penas crueles, inhumanos o degradantes que:</w:t>
      </w:r>
    </w:p>
    <w:p w14:paraId="519BC266" w14:textId="77777777" w:rsidR="00540E3D" w:rsidRPr="0058501F" w:rsidRDefault="00540E3D" w:rsidP="00540E3D">
      <w:pPr>
        <w:pBdr>
          <w:top w:val="nil"/>
          <w:left w:val="nil"/>
          <w:bottom w:val="nil"/>
          <w:right w:val="nil"/>
          <w:between w:val="nil"/>
          <w:bar w:val="nil"/>
        </w:pBdr>
        <w:spacing w:after="0" w:line="240" w:lineRule="auto"/>
        <w:ind w:left="720"/>
        <w:rPr>
          <w:rFonts w:ascii="Cambria" w:eastAsia="Times New Roman" w:hAnsi="Cambria" w:cs="Cambria"/>
          <w:color w:val="000000"/>
          <w:sz w:val="20"/>
          <w:szCs w:val="20"/>
          <w:u w:color="000000"/>
          <w:bdr w:val="nil"/>
          <w:lang w:val="es-ES_tradnl" w:eastAsia="es-ES"/>
        </w:rPr>
      </w:pPr>
    </w:p>
    <w:p w14:paraId="5F7DAD27" w14:textId="77777777" w:rsidR="00540E3D" w:rsidRPr="0058501F" w:rsidRDefault="00540E3D" w:rsidP="00540E3D">
      <w:pPr>
        <w:widowControl w:val="0"/>
        <w:tabs>
          <w:tab w:val="left" w:pos="360"/>
        </w:tabs>
        <w:suppressAutoHyphens/>
        <w:spacing w:after="0" w:line="240" w:lineRule="auto"/>
        <w:ind w:left="360" w:right="360"/>
        <w:jc w:val="both"/>
        <w:rPr>
          <w:rFonts w:ascii="Cambria" w:eastAsia="Arial Unicode MS" w:hAnsi="Cambria"/>
          <w:sz w:val="18"/>
          <w:szCs w:val="18"/>
          <w:bdr w:val="nil"/>
          <w:lang w:val="es-ES_tradnl"/>
        </w:rPr>
      </w:pPr>
      <w:r w:rsidRPr="0058501F">
        <w:rPr>
          <w:rFonts w:ascii="Cambria" w:eastAsia="Arial Unicode MS" w:hAnsi="Cambria"/>
          <w:sz w:val="18"/>
          <w:szCs w:val="18"/>
          <w:bdr w:val="nil"/>
          <w:lang w:val="es-ES_tradnl"/>
        </w:rPr>
        <w:t>(…) consiste en una combinación de circunstancias que producen graves traumas mentales y deterioro físico en los presos sentenciados a muerte.</w:t>
      </w:r>
      <w:r w:rsidRPr="0058501F">
        <w:rPr>
          <w:rFonts w:ascii="Cambria" w:eastAsia="Arial Unicode MS" w:hAnsi="Cambria"/>
          <w:sz w:val="18"/>
          <w:szCs w:val="18"/>
          <w:bdr w:val="nil"/>
          <w:vertAlign w:val="superscript"/>
          <w:lang w:val="es-ES_tradnl"/>
        </w:rPr>
        <w:footnoteReference w:id="84"/>
      </w:r>
      <w:r w:rsidRPr="0058501F">
        <w:rPr>
          <w:rFonts w:ascii="Cambria" w:eastAsia="Arial Unicode MS" w:hAnsi="Cambria"/>
          <w:sz w:val="18"/>
          <w:szCs w:val="18"/>
          <w:bdr w:val="nil"/>
          <w:lang w:val="es-ES_tradnl"/>
        </w:rPr>
        <w:t xml:space="preserve"> Entre esas circunstancias figuran la prolongada y ansiosa espera de resultados plenos de incertidumbre, el aislamiento, el contacto humano drásticamente reducido e incluso las condiciones físicas en que están alojados algunos reclusos. Con frecuencia, las condiciones del pabellón de los condenados a muerte son perores que las que afectan al resto de la población carcelaria y se deniegan a los presos alojados en ese pabellón muchas cuestiones básicas y de primera necesidad.</w:t>
      </w:r>
      <w:r w:rsidRPr="0058501F">
        <w:rPr>
          <w:rFonts w:ascii="Cambria" w:eastAsia="Arial Unicode MS" w:hAnsi="Cambria"/>
          <w:sz w:val="18"/>
          <w:szCs w:val="18"/>
          <w:bdr w:val="nil"/>
          <w:vertAlign w:val="superscript"/>
          <w:lang w:val="es-ES_tradnl"/>
        </w:rPr>
        <w:footnoteReference w:id="85"/>
      </w:r>
    </w:p>
    <w:p w14:paraId="736892CC" w14:textId="77777777" w:rsidR="00540E3D" w:rsidRPr="0058501F" w:rsidRDefault="00540E3D" w:rsidP="00540E3D">
      <w:pPr>
        <w:widowControl w:val="0"/>
        <w:tabs>
          <w:tab w:val="left" w:pos="360"/>
        </w:tabs>
        <w:suppressAutoHyphens/>
        <w:spacing w:after="0" w:line="240" w:lineRule="auto"/>
        <w:ind w:right="720"/>
        <w:jc w:val="both"/>
        <w:rPr>
          <w:rFonts w:ascii="Cambria" w:eastAsia="Arial Unicode MS" w:hAnsi="Cambria"/>
          <w:bCs/>
          <w:sz w:val="20"/>
          <w:szCs w:val="20"/>
          <w:bdr w:val="nil"/>
          <w:lang w:val="es-ES_tradnl"/>
        </w:rPr>
      </w:pPr>
    </w:p>
    <w:p w14:paraId="0DD48FF4" w14:textId="77777777" w:rsidR="00540E3D" w:rsidRPr="0058501F" w:rsidRDefault="00540E3D" w:rsidP="00470EC4">
      <w:pPr>
        <w:numPr>
          <w:ilvl w:val="0"/>
          <w:numId w:val="1"/>
        </w:numPr>
        <w:pBdr>
          <w:top w:val="nil"/>
          <w:left w:val="nil"/>
          <w:bottom w:val="nil"/>
          <w:right w:val="nil"/>
          <w:between w:val="nil"/>
          <w:bar w:val="nil"/>
        </w:pBdr>
        <w:tabs>
          <w:tab w:val="left" w:pos="0"/>
          <w:tab w:val="left" w:pos="720"/>
          <w:tab w:val="left" w:pos="1440"/>
        </w:tabs>
        <w:spacing w:after="0" w:line="240" w:lineRule="auto"/>
        <w:ind w:firstLine="0"/>
        <w:jc w:val="both"/>
        <w:rPr>
          <w:rFonts w:ascii="Cambria" w:eastAsia="Times New Roman" w:hAnsi="Cambria"/>
          <w:sz w:val="20"/>
          <w:szCs w:val="20"/>
          <w:bdr w:val="nil"/>
          <w:lang w:val="es-ES_tradnl"/>
        </w:rPr>
      </w:pPr>
      <w:r w:rsidRPr="0058501F">
        <w:rPr>
          <w:rFonts w:ascii="Cambria" w:eastAsia="Times New Roman" w:hAnsi="Cambria"/>
          <w:sz w:val="20"/>
          <w:szCs w:val="20"/>
          <w:bdr w:val="nil"/>
          <w:lang w:val="es-ES_tradnl"/>
        </w:rPr>
        <w:t xml:space="preserve">En el caso </w:t>
      </w:r>
      <w:proofErr w:type="spellStart"/>
      <w:r w:rsidRPr="0058501F">
        <w:rPr>
          <w:rFonts w:ascii="Cambria" w:eastAsia="Times New Roman" w:hAnsi="Cambria"/>
          <w:i/>
          <w:iCs/>
          <w:sz w:val="20"/>
          <w:szCs w:val="20"/>
          <w:bdr w:val="nil"/>
          <w:lang w:val="es-ES_tradnl"/>
        </w:rPr>
        <w:t>Soering</w:t>
      </w:r>
      <w:proofErr w:type="spellEnd"/>
      <w:r w:rsidRPr="0058501F">
        <w:rPr>
          <w:rFonts w:ascii="Cambria" w:eastAsia="Times New Roman" w:hAnsi="Cambria"/>
          <w:i/>
          <w:iCs/>
          <w:sz w:val="20"/>
          <w:szCs w:val="20"/>
          <w:bdr w:val="nil"/>
          <w:lang w:val="es-ES_tradnl"/>
        </w:rPr>
        <w:t xml:space="preserve"> vs. Reino Unido</w:t>
      </w:r>
      <w:r w:rsidRPr="0058501F">
        <w:rPr>
          <w:rFonts w:ascii="Cambria" w:eastAsia="Times New Roman" w:hAnsi="Cambria"/>
          <w:sz w:val="20"/>
          <w:szCs w:val="20"/>
          <w:bdr w:val="nil"/>
          <w:lang w:val="es-ES_tradnl"/>
        </w:rPr>
        <w:t>, el Tribunal Europeo de Derechos Humanos, en su interpretación de la norma que prohíbe los castigos crueles, inhumanos e inusuales y en referencia a la pena de muerte, señaló que:</w:t>
      </w:r>
    </w:p>
    <w:p w14:paraId="2EA33039" w14:textId="77777777" w:rsidR="00540E3D" w:rsidRPr="0058501F" w:rsidRDefault="00540E3D" w:rsidP="00540E3D">
      <w:pPr>
        <w:widowControl w:val="0"/>
        <w:tabs>
          <w:tab w:val="left" w:pos="360"/>
        </w:tabs>
        <w:suppressAutoHyphens/>
        <w:spacing w:after="0" w:line="240" w:lineRule="auto"/>
        <w:ind w:left="1500"/>
        <w:jc w:val="both"/>
        <w:rPr>
          <w:rFonts w:ascii="Cambria" w:eastAsia="Arial Unicode MS" w:hAnsi="Cambria"/>
          <w:sz w:val="24"/>
          <w:szCs w:val="24"/>
          <w:bdr w:val="nil"/>
          <w:lang w:val="es-ES_tradnl"/>
        </w:rPr>
      </w:pPr>
    </w:p>
    <w:p w14:paraId="457DD778" w14:textId="77777777" w:rsidR="00540E3D" w:rsidRPr="0058501F" w:rsidRDefault="00540E3D" w:rsidP="00540E3D">
      <w:pPr>
        <w:pBdr>
          <w:top w:val="nil"/>
          <w:left w:val="nil"/>
          <w:bottom w:val="nil"/>
          <w:right w:val="nil"/>
          <w:between w:val="nil"/>
          <w:bar w:val="nil"/>
        </w:pBdr>
        <w:spacing w:after="0" w:line="240" w:lineRule="auto"/>
        <w:ind w:left="360" w:right="360"/>
        <w:jc w:val="both"/>
        <w:rPr>
          <w:rFonts w:ascii="Cambria" w:eastAsia="Arial Unicode MS" w:hAnsi="Cambria"/>
          <w:sz w:val="24"/>
          <w:szCs w:val="24"/>
          <w:u w:color="000000"/>
          <w:bdr w:val="nil"/>
          <w:lang w:val="es-ES_tradnl"/>
        </w:rPr>
      </w:pPr>
      <w:r w:rsidRPr="0058501F">
        <w:rPr>
          <w:rFonts w:ascii="Cambria" w:eastAsia="Cambria" w:hAnsi="Cambria" w:cs="Cambria"/>
          <w:color w:val="000000"/>
          <w:sz w:val="18"/>
          <w:szCs w:val="18"/>
          <w:u w:color="000000"/>
          <w:bdr w:val="nil"/>
          <w:lang w:val="es-ES_tradnl" w:eastAsia="es-ES"/>
        </w:rPr>
        <w:t>La manera en que se dicte o aplique, la personalidad del condenado y la desproporción en relación con la gravedad del delito, así como las condiciones de la prisión mientras espera la ejecución, son algunos de los factores que pueden hacer que el trato y la pena que sufre el reo incidan en el artículo 3.</w:t>
      </w:r>
      <w:r w:rsidRPr="0058501F">
        <w:rPr>
          <w:rFonts w:ascii="Cambria" w:eastAsia="Cambria" w:hAnsi="Cambria"/>
          <w:color w:val="000000"/>
          <w:sz w:val="18"/>
          <w:szCs w:val="18"/>
          <w:u w:color="000000"/>
          <w:bdr w:val="nil"/>
          <w:vertAlign w:val="superscript"/>
          <w:lang w:val="es-ES_tradnl" w:eastAsia="es-ES"/>
        </w:rPr>
        <w:footnoteReference w:id="86"/>
      </w:r>
      <w:r w:rsidRPr="0058501F">
        <w:rPr>
          <w:rFonts w:ascii="Cambria" w:eastAsia="Cambria" w:hAnsi="Cambria" w:cs="Cambria"/>
          <w:color w:val="000000"/>
          <w:sz w:val="18"/>
          <w:szCs w:val="18"/>
          <w:u w:color="000000"/>
          <w:bdr w:val="nil"/>
          <w:lang w:val="es-ES_tradnl" w:eastAsia="es-ES"/>
        </w:rPr>
        <w:t xml:space="preserve"> </w:t>
      </w:r>
    </w:p>
    <w:p w14:paraId="07BFEB7E" w14:textId="77777777" w:rsidR="00540E3D" w:rsidRPr="0058501F" w:rsidRDefault="00540E3D" w:rsidP="00540E3D">
      <w:pPr>
        <w:spacing w:after="0" w:line="240" w:lineRule="auto"/>
        <w:jc w:val="both"/>
        <w:rPr>
          <w:rFonts w:ascii="Cambria" w:eastAsia="Cambria" w:hAnsi="Cambria" w:cs="Cambria"/>
          <w:color w:val="000000"/>
          <w:sz w:val="24"/>
          <w:szCs w:val="24"/>
          <w:u w:color="000000"/>
          <w:bdr w:val="nil"/>
          <w:lang w:val="es-ES_tradnl" w:eastAsia="es-ES"/>
        </w:rPr>
      </w:pPr>
    </w:p>
    <w:p w14:paraId="68B9EC88" w14:textId="77777777" w:rsidR="00540E3D" w:rsidRPr="0058501F" w:rsidRDefault="00540E3D" w:rsidP="00470EC4">
      <w:pPr>
        <w:numPr>
          <w:ilvl w:val="0"/>
          <w:numId w:val="1"/>
        </w:numPr>
        <w:pBdr>
          <w:top w:val="nil"/>
          <w:left w:val="nil"/>
          <w:bottom w:val="nil"/>
          <w:right w:val="nil"/>
          <w:between w:val="nil"/>
          <w:bar w:val="nil"/>
        </w:pBdr>
        <w:tabs>
          <w:tab w:val="left" w:pos="360"/>
          <w:tab w:val="left" w:pos="720"/>
          <w:tab w:val="left" w:pos="1440"/>
        </w:tabs>
        <w:spacing w:after="0" w:line="240" w:lineRule="auto"/>
        <w:ind w:firstLine="0"/>
        <w:jc w:val="both"/>
        <w:rPr>
          <w:rFonts w:ascii="Cambria" w:eastAsia="Times New Roman" w:hAnsi="Cambria"/>
          <w:sz w:val="20"/>
          <w:szCs w:val="20"/>
          <w:bdr w:val="nil"/>
          <w:lang w:val="es-ES_tradnl"/>
        </w:rPr>
      </w:pPr>
      <w:r w:rsidRPr="0058501F">
        <w:rPr>
          <w:rFonts w:ascii="Cambria" w:eastAsia="Times New Roman" w:hAnsi="Cambria"/>
          <w:sz w:val="20"/>
          <w:szCs w:val="20"/>
          <w:bdr w:val="nil"/>
          <w:lang w:val="es-ES_tradnl"/>
        </w:rPr>
        <w:t xml:space="preserve">El Tribunal Europeo determinó que el "fenómeno del corredor de la muerte" es un trato cruel, inhumano y degradante, y se caracteriza por un período prolongado de detención en espera de ejecución, </w:t>
      </w:r>
      <w:r w:rsidRPr="0058501F">
        <w:rPr>
          <w:rFonts w:ascii="Cambria" w:eastAsia="Times New Roman" w:hAnsi="Cambria"/>
          <w:sz w:val="20"/>
          <w:szCs w:val="20"/>
          <w:bdr w:val="nil"/>
          <w:lang w:val="es-ES_tradnl"/>
        </w:rPr>
        <w:lastRenderedPageBreak/>
        <w:t>durante el cual los presos condenados a muerte sufren ansiedad mental severa, tensión psicológica extrema y trauma.</w:t>
      </w:r>
      <w:r w:rsidRPr="0058501F">
        <w:rPr>
          <w:rFonts w:ascii="Cambria" w:eastAsia="Arial Unicode MS" w:hAnsi="Cambria"/>
          <w:sz w:val="20"/>
          <w:szCs w:val="20"/>
          <w:bdr w:val="nil"/>
          <w:vertAlign w:val="superscript"/>
          <w:lang w:val="es-ES_tradnl"/>
        </w:rPr>
        <w:footnoteReference w:id="87"/>
      </w:r>
    </w:p>
    <w:p w14:paraId="3FB3FA3E" w14:textId="77777777" w:rsidR="00540E3D" w:rsidRPr="0058501F" w:rsidRDefault="00540E3D" w:rsidP="00470EC4">
      <w:pPr>
        <w:tabs>
          <w:tab w:val="left" w:pos="360"/>
          <w:tab w:val="left" w:pos="1440"/>
        </w:tabs>
        <w:spacing w:after="0" w:line="240" w:lineRule="auto"/>
        <w:jc w:val="both"/>
        <w:rPr>
          <w:rFonts w:ascii="Cambria" w:eastAsia="Arial Unicode MS" w:hAnsi="Cambria"/>
          <w:sz w:val="20"/>
          <w:szCs w:val="20"/>
          <w:bdr w:val="nil"/>
          <w:lang w:val="es-ES_tradnl"/>
        </w:rPr>
      </w:pPr>
    </w:p>
    <w:p w14:paraId="7693F862" w14:textId="77777777" w:rsidR="00540E3D" w:rsidRPr="0058501F" w:rsidRDefault="00540E3D" w:rsidP="00470EC4">
      <w:pPr>
        <w:numPr>
          <w:ilvl w:val="0"/>
          <w:numId w:val="1"/>
        </w:numPr>
        <w:pBdr>
          <w:top w:val="nil"/>
          <w:left w:val="nil"/>
          <w:bottom w:val="nil"/>
          <w:right w:val="nil"/>
          <w:between w:val="nil"/>
          <w:bar w:val="nil"/>
        </w:pBdr>
        <w:tabs>
          <w:tab w:val="left" w:pos="360"/>
          <w:tab w:val="left" w:pos="720"/>
          <w:tab w:val="left" w:pos="1440"/>
        </w:tabs>
        <w:spacing w:after="0" w:line="240" w:lineRule="auto"/>
        <w:ind w:firstLine="0"/>
        <w:jc w:val="both"/>
        <w:rPr>
          <w:rFonts w:ascii="Cambria" w:eastAsia="Times New Roman" w:hAnsi="Cambria"/>
          <w:sz w:val="20"/>
          <w:szCs w:val="20"/>
          <w:bdr w:val="nil"/>
          <w:lang w:val="es-ES_tradnl"/>
        </w:rPr>
      </w:pPr>
      <w:r w:rsidRPr="0058501F">
        <w:rPr>
          <w:rFonts w:ascii="Cambria" w:eastAsia="Times New Roman" w:hAnsi="Cambria"/>
          <w:sz w:val="20"/>
          <w:szCs w:val="20"/>
          <w:bdr w:val="nil"/>
          <w:lang w:val="es-ES_tradnl"/>
        </w:rPr>
        <w:t xml:space="preserve">El Tribunal Europeo se refería a un promedio de seis a ocho años en el corredor de la muerte desde la imposición de la pena hasta la ejecución y mencionó cómo los procedimientos y recursos posteriores a la imposición de la pena de muerte inciden en el tiempo de espera mencionado anteriormente en el corredor de la muerte. El tribunal mencionó que el </w:t>
      </w:r>
      <w:proofErr w:type="gramStart"/>
      <w:r w:rsidRPr="0058501F">
        <w:rPr>
          <w:rFonts w:ascii="Cambria" w:eastAsia="Times New Roman" w:hAnsi="Cambria"/>
          <w:sz w:val="20"/>
          <w:szCs w:val="20"/>
          <w:bdr w:val="nil"/>
          <w:lang w:val="es-ES_tradnl"/>
        </w:rPr>
        <w:t>lapso de tiempo</w:t>
      </w:r>
      <w:proofErr w:type="gramEnd"/>
      <w:r w:rsidRPr="0058501F">
        <w:rPr>
          <w:rFonts w:ascii="Cambria" w:eastAsia="Times New Roman" w:hAnsi="Cambria"/>
          <w:sz w:val="20"/>
          <w:szCs w:val="20"/>
          <w:bdr w:val="nil"/>
          <w:lang w:val="es-ES_tradnl"/>
        </w:rPr>
        <w:t xml:space="preserve"> entre la sentencia y la ejecución es inevitable, sin embargo, la consecuencia es que el preso condenado tiene que soportar durante muchos años las condiciones en el corredor de la muerte y la angustia y tensión creciente de vivir con la constante presencia de su final.</w:t>
      </w:r>
      <w:r w:rsidRPr="0058501F">
        <w:rPr>
          <w:rFonts w:ascii="Cambria" w:eastAsia="Arial Unicode MS" w:hAnsi="Cambria"/>
          <w:sz w:val="20"/>
          <w:szCs w:val="24"/>
          <w:bdr w:val="nil"/>
          <w:vertAlign w:val="superscript"/>
          <w:lang w:val="es-ES_tradnl"/>
        </w:rPr>
        <w:footnoteReference w:id="88"/>
      </w:r>
    </w:p>
    <w:p w14:paraId="25ACBBF8" w14:textId="77777777" w:rsidR="00540E3D" w:rsidRPr="0058501F" w:rsidRDefault="00540E3D" w:rsidP="00470EC4">
      <w:pPr>
        <w:pBdr>
          <w:top w:val="nil"/>
          <w:left w:val="nil"/>
          <w:bottom w:val="nil"/>
          <w:right w:val="nil"/>
          <w:between w:val="nil"/>
          <w:bar w:val="nil"/>
        </w:pBdr>
        <w:tabs>
          <w:tab w:val="left" w:pos="360"/>
        </w:tabs>
        <w:spacing w:after="0" w:line="240" w:lineRule="auto"/>
        <w:jc w:val="both"/>
        <w:rPr>
          <w:rFonts w:ascii="Cambria" w:eastAsia="Cambria" w:hAnsi="Cambria" w:cs="Cambria"/>
          <w:color w:val="000000"/>
          <w:sz w:val="20"/>
          <w:szCs w:val="24"/>
          <w:u w:color="000000"/>
          <w:bdr w:val="nil"/>
          <w:lang w:val="es-ES_tradnl" w:eastAsia="es-ES"/>
        </w:rPr>
      </w:pPr>
    </w:p>
    <w:p w14:paraId="6EB3D003" w14:textId="77777777" w:rsidR="00540E3D" w:rsidRPr="0058501F" w:rsidRDefault="00540E3D" w:rsidP="00470EC4">
      <w:pPr>
        <w:numPr>
          <w:ilvl w:val="0"/>
          <w:numId w:val="1"/>
        </w:numPr>
        <w:pBdr>
          <w:top w:val="nil"/>
          <w:left w:val="nil"/>
          <w:bottom w:val="nil"/>
          <w:right w:val="nil"/>
          <w:between w:val="nil"/>
          <w:bar w:val="nil"/>
        </w:pBdr>
        <w:tabs>
          <w:tab w:val="left" w:pos="360"/>
          <w:tab w:val="left" w:pos="720"/>
          <w:tab w:val="left" w:pos="1440"/>
        </w:tabs>
        <w:spacing w:after="0" w:line="240" w:lineRule="auto"/>
        <w:ind w:firstLine="0"/>
        <w:jc w:val="both"/>
        <w:rPr>
          <w:rFonts w:ascii="Cambria" w:eastAsia="Times New Roman" w:hAnsi="Cambria"/>
          <w:sz w:val="20"/>
          <w:szCs w:val="20"/>
          <w:bdr w:val="nil"/>
          <w:lang w:val="es-ES_tradnl"/>
        </w:rPr>
      </w:pPr>
      <w:r w:rsidRPr="0058501F">
        <w:rPr>
          <w:rFonts w:ascii="Cambria" w:eastAsia="Times New Roman" w:hAnsi="Cambria"/>
          <w:sz w:val="20"/>
          <w:szCs w:val="20"/>
          <w:bdr w:val="nil"/>
          <w:lang w:val="es-ES_tradnl"/>
        </w:rPr>
        <w:t>El tribunal reconoció además que el transcurso de algún tiempo entre la imposición y ejecución de la sentencia y la experiencia de estrés severo en las condiciones necesarias para un encarcelamiento estricto son inevitables y consideró elementos como el largo período de tiempo pasado en el corredor de la muerte en condiciones tan extremas, con la angustia siempre presente y creciente de esperar la ejecución de la pena de muerte, los que llevaron la demora al ámbito del riesgo real expuesto de que el tratamiento supere el umbral establecido por el artículo 3.</w:t>
      </w:r>
      <w:r w:rsidRPr="0058501F">
        <w:rPr>
          <w:rFonts w:ascii="Cambria" w:eastAsia="Arial Unicode MS" w:hAnsi="Cambria"/>
          <w:sz w:val="20"/>
          <w:szCs w:val="24"/>
          <w:bdr w:val="nil"/>
          <w:vertAlign w:val="superscript"/>
          <w:lang w:val="es-ES_tradnl"/>
        </w:rPr>
        <w:footnoteReference w:id="89"/>
      </w:r>
    </w:p>
    <w:p w14:paraId="034008C4" w14:textId="77777777" w:rsidR="00540E3D" w:rsidRPr="0058501F" w:rsidRDefault="00540E3D" w:rsidP="00470EC4">
      <w:pPr>
        <w:pBdr>
          <w:top w:val="nil"/>
          <w:left w:val="nil"/>
          <w:bottom w:val="nil"/>
          <w:right w:val="nil"/>
          <w:between w:val="nil"/>
          <w:bar w:val="nil"/>
        </w:pBdr>
        <w:tabs>
          <w:tab w:val="left" w:pos="360"/>
        </w:tabs>
        <w:spacing w:after="0" w:line="240" w:lineRule="auto"/>
        <w:jc w:val="both"/>
        <w:rPr>
          <w:rFonts w:ascii="Cambria" w:eastAsia="Cambria" w:hAnsi="Cambria" w:cs="Cambria"/>
          <w:color w:val="000000"/>
          <w:sz w:val="20"/>
          <w:szCs w:val="24"/>
          <w:u w:color="000000"/>
          <w:bdr w:val="nil"/>
          <w:lang w:val="es-ES_tradnl" w:eastAsia="es-ES"/>
        </w:rPr>
      </w:pPr>
    </w:p>
    <w:p w14:paraId="4A9CFC7A" w14:textId="77777777" w:rsidR="00540E3D" w:rsidRPr="0058501F" w:rsidRDefault="00540E3D" w:rsidP="00470EC4">
      <w:pPr>
        <w:numPr>
          <w:ilvl w:val="0"/>
          <w:numId w:val="1"/>
        </w:numPr>
        <w:pBdr>
          <w:top w:val="nil"/>
          <w:left w:val="nil"/>
          <w:bottom w:val="nil"/>
          <w:right w:val="nil"/>
          <w:between w:val="nil"/>
          <w:bar w:val="nil"/>
        </w:pBdr>
        <w:tabs>
          <w:tab w:val="left" w:pos="360"/>
          <w:tab w:val="left" w:pos="1440"/>
        </w:tabs>
        <w:spacing w:after="0" w:line="240" w:lineRule="auto"/>
        <w:ind w:firstLine="0"/>
        <w:jc w:val="both"/>
        <w:rPr>
          <w:rFonts w:ascii="Cambria" w:hAnsi="Cambria"/>
          <w:sz w:val="20"/>
          <w:szCs w:val="20"/>
          <w:lang w:val="es-ES_tradnl"/>
        </w:rPr>
      </w:pPr>
      <w:r w:rsidRPr="0058501F">
        <w:rPr>
          <w:rFonts w:ascii="Cambria" w:hAnsi="Cambria"/>
          <w:sz w:val="20"/>
          <w:szCs w:val="20"/>
          <w:lang w:val="es-ES_tradnl"/>
        </w:rPr>
        <w:t xml:space="preserve">Además, en un contexto de derecho comparado, la Comisión observa que en el caso Pratt y Morgan c. Jamaica citado anteriormente, el </w:t>
      </w:r>
      <w:proofErr w:type="spellStart"/>
      <w:r w:rsidRPr="0058501F">
        <w:rPr>
          <w:rFonts w:ascii="Cambria" w:hAnsi="Cambria"/>
          <w:sz w:val="20"/>
          <w:szCs w:val="20"/>
          <w:lang w:val="es-ES_tradnl"/>
        </w:rPr>
        <w:t>Privy</w:t>
      </w:r>
      <w:proofErr w:type="spellEnd"/>
      <w:r w:rsidRPr="0058501F">
        <w:rPr>
          <w:rFonts w:ascii="Cambria" w:hAnsi="Cambria"/>
          <w:sz w:val="20"/>
          <w:szCs w:val="20"/>
          <w:lang w:val="es-ES_tradnl"/>
        </w:rPr>
        <w:t xml:space="preserve"> Council consideró la cuestión del fenómeno del corredor de la muerte y sostuvo que:</w:t>
      </w:r>
    </w:p>
    <w:p w14:paraId="038EB3C9" w14:textId="77777777" w:rsidR="00540E3D" w:rsidRPr="0058501F" w:rsidRDefault="00540E3D" w:rsidP="00540E3D">
      <w:pPr>
        <w:pBdr>
          <w:top w:val="nil"/>
          <w:left w:val="nil"/>
          <w:bottom w:val="nil"/>
          <w:right w:val="nil"/>
          <w:between w:val="nil"/>
          <w:bar w:val="nil"/>
        </w:pBdr>
        <w:tabs>
          <w:tab w:val="left" w:pos="360"/>
          <w:tab w:val="left" w:pos="720"/>
          <w:tab w:val="left" w:pos="1440"/>
        </w:tabs>
        <w:spacing w:after="0" w:line="240" w:lineRule="auto"/>
        <w:jc w:val="both"/>
        <w:rPr>
          <w:rFonts w:ascii="Cambria" w:hAnsi="Cambria"/>
          <w:sz w:val="20"/>
          <w:szCs w:val="20"/>
          <w:lang w:val="es-ES_tradnl"/>
        </w:rPr>
      </w:pPr>
    </w:p>
    <w:p w14:paraId="1493D9DF" w14:textId="77777777" w:rsidR="00540E3D" w:rsidRPr="0058501F" w:rsidRDefault="00540E3D" w:rsidP="00540E3D">
      <w:pPr>
        <w:widowControl w:val="0"/>
        <w:autoSpaceDE w:val="0"/>
        <w:autoSpaceDN w:val="0"/>
        <w:adjustRightInd w:val="0"/>
        <w:spacing w:after="0" w:line="240" w:lineRule="auto"/>
        <w:ind w:left="360" w:right="360"/>
        <w:jc w:val="both"/>
        <w:rPr>
          <w:rFonts w:ascii="Cambria" w:hAnsi="Cambria"/>
          <w:sz w:val="18"/>
          <w:szCs w:val="18"/>
          <w:lang w:val="es-ES_tradnl"/>
        </w:rPr>
      </w:pPr>
      <w:r w:rsidRPr="0058501F">
        <w:rPr>
          <w:rFonts w:ascii="Cambria" w:hAnsi="Cambria"/>
          <w:sz w:val="18"/>
          <w:szCs w:val="18"/>
          <w:lang w:val="es-ES_tradnl"/>
        </w:rPr>
        <w:t xml:space="preserve">de sus </w:t>
      </w:r>
      <w:r w:rsidR="00DD040D" w:rsidRPr="0058501F">
        <w:rPr>
          <w:rFonts w:ascii="Cambria" w:hAnsi="Cambria"/>
          <w:sz w:val="18"/>
          <w:szCs w:val="18"/>
          <w:lang w:val="es-ES_tradnl"/>
        </w:rPr>
        <w:t>S</w:t>
      </w:r>
      <w:r w:rsidR="007E5085" w:rsidRPr="0058501F">
        <w:rPr>
          <w:rFonts w:ascii="Cambria" w:hAnsi="Cambria"/>
          <w:sz w:val="18"/>
          <w:szCs w:val="18"/>
          <w:lang w:val="es-ES_tradnl"/>
        </w:rPr>
        <w:t>eñorías</w:t>
      </w:r>
      <w:r w:rsidRPr="0058501F">
        <w:rPr>
          <w:rFonts w:ascii="Cambria" w:hAnsi="Cambria"/>
          <w:sz w:val="18"/>
          <w:szCs w:val="18"/>
          <w:lang w:val="es-ES_tradnl"/>
        </w:rPr>
        <w:t>, un Estado que desee mantener la pena capital debe aceptar la responsabilidad de garantizar que la ejecución se lleve a cabo tan pronto como sea posible después de la sentencia, permitiendo un tiempo razonable para apelar y considerar el indulto. Es parte de la condición humana que un condenado aproveche cada oportunidad para salvar su vida mediante el uso del procedimiento de apelación. Si el procedimiento de apelación permite al recluso prolongar las audiencias de apelación por un período de años, la culpa será atribuida al sistema de apelación que permite tal demora y no al recluso que se aprovecha de ella. Los procedimientos de apelación que se prolongan a lo largo de los años no son compatibles con la pena capital. El fenómeno del corredor de la muerte no debe establecerse como parte de nuestra jurisprudencia.</w:t>
      </w:r>
    </w:p>
    <w:p w14:paraId="071A0E2A" w14:textId="77777777" w:rsidR="00540E3D" w:rsidRPr="0058501F" w:rsidRDefault="00540E3D" w:rsidP="00540E3D">
      <w:pPr>
        <w:widowControl w:val="0"/>
        <w:autoSpaceDE w:val="0"/>
        <w:autoSpaceDN w:val="0"/>
        <w:adjustRightInd w:val="0"/>
        <w:spacing w:after="0" w:line="240" w:lineRule="auto"/>
        <w:ind w:left="360" w:right="360"/>
        <w:jc w:val="both"/>
        <w:rPr>
          <w:rFonts w:ascii="Cambria" w:hAnsi="Cambria"/>
          <w:sz w:val="18"/>
          <w:szCs w:val="18"/>
          <w:lang w:val="es-ES_tradnl"/>
        </w:rPr>
      </w:pPr>
      <w:r w:rsidRPr="0058501F">
        <w:rPr>
          <w:rFonts w:ascii="Cambria" w:hAnsi="Cambria"/>
          <w:sz w:val="18"/>
          <w:szCs w:val="18"/>
          <w:lang w:val="es-ES_tradnl"/>
        </w:rPr>
        <w:t>(…)</w:t>
      </w:r>
    </w:p>
    <w:p w14:paraId="0D9E260C" w14:textId="77777777" w:rsidR="00540E3D" w:rsidRPr="0058501F" w:rsidRDefault="00540E3D" w:rsidP="00540E3D">
      <w:pPr>
        <w:widowControl w:val="0"/>
        <w:autoSpaceDE w:val="0"/>
        <w:autoSpaceDN w:val="0"/>
        <w:adjustRightInd w:val="0"/>
        <w:spacing w:after="0" w:line="240" w:lineRule="auto"/>
        <w:ind w:left="360" w:right="360"/>
        <w:jc w:val="both"/>
        <w:rPr>
          <w:rFonts w:ascii="Cambria" w:hAnsi="Cambria"/>
          <w:sz w:val="18"/>
          <w:szCs w:val="18"/>
          <w:lang w:val="es-ES_tradnl"/>
        </w:rPr>
      </w:pPr>
      <w:r w:rsidRPr="0058501F">
        <w:rPr>
          <w:rFonts w:ascii="Cambria" w:hAnsi="Cambria" w:cs="Tahoma"/>
          <w:sz w:val="18"/>
          <w:szCs w:val="18"/>
          <w:lang w:val="es-ES_tradnl"/>
        </w:rPr>
        <w:t xml:space="preserve">Estas consideraciones llevan a sus </w:t>
      </w:r>
      <w:r w:rsidR="00DD040D" w:rsidRPr="0058501F">
        <w:rPr>
          <w:rFonts w:ascii="Cambria" w:hAnsi="Cambria" w:cs="Tahoma"/>
          <w:sz w:val="18"/>
          <w:szCs w:val="18"/>
          <w:lang w:val="es-ES_tradnl"/>
        </w:rPr>
        <w:t>S</w:t>
      </w:r>
      <w:r w:rsidR="007E5085" w:rsidRPr="0058501F">
        <w:rPr>
          <w:rFonts w:ascii="Cambria" w:hAnsi="Cambria" w:cs="Tahoma"/>
          <w:sz w:val="18"/>
          <w:szCs w:val="18"/>
          <w:lang w:val="es-ES_tradnl"/>
        </w:rPr>
        <w:t>eñoría</w:t>
      </w:r>
      <w:r w:rsidRPr="0058501F">
        <w:rPr>
          <w:rFonts w:ascii="Cambria" w:hAnsi="Cambria" w:cs="Tahoma"/>
          <w:sz w:val="18"/>
          <w:szCs w:val="18"/>
          <w:lang w:val="es-ES_tradnl"/>
        </w:rPr>
        <w:t>s a la conclusión de que en cualquier caso en el que la ejecución se lleve a cabo más de cinco años después de la sentencia, habrá fuertes motivos para creer que la demora constituye "una pena u otro trato inhumano o degradante".</w:t>
      </w:r>
      <w:r w:rsidRPr="0058501F">
        <w:rPr>
          <w:rFonts w:ascii="Cambria" w:hAnsi="Cambria"/>
          <w:sz w:val="18"/>
          <w:szCs w:val="18"/>
          <w:vertAlign w:val="superscript"/>
          <w:lang w:val="es-ES_tradnl"/>
        </w:rPr>
        <w:footnoteReference w:id="90"/>
      </w:r>
    </w:p>
    <w:p w14:paraId="07264419" w14:textId="77777777" w:rsidR="00540E3D" w:rsidRPr="0058501F" w:rsidRDefault="00540E3D" w:rsidP="00540E3D">
      <w:pPr>
        <w:spacing w:after="0" w:line="240" w:lineRule="auto"/>
        <w:ind w:left="720" w:right="720"/>
        <w:jc w:val="both"/>
        <w:rPr>
          <w:rFonts w:ascii="Cambria" w:hAnsi="Cambria"/>
          <w:sz w:val="20"/>
          <w:lang w:val="es-ES_tradnl"/>
        </w:rPr>
      </w:pPr>
    </w:p>
    <w:p w14:paraId="620F2D3A" w14:textId="77777777" w:rsidR="00540E3D" w:rsidRPr="0058501F" w:rsidRDefault="00540E3D" w:rsidP="00470EC4">
      <w:pPr>
        <w:numPr>
          <w:ilvl w:val="0"/>
          <w:numId w:val="1"/>
        </w:numPr>
        <w:pBdr>
          <w:top w:val="nil"/>
          <w:left w:val="nil"/>
          <w:bottom w:val="nil"/>
          <w:right w:val="nil"/>
          <w:between w:val="nil"/>
          <w:bar w:val="nil"/>
        </w:pBdr>
        <w:tabs>
          <w:tab w:val="left" w:pos="360"/>
          <w:tab w:val="left" w:pos="720"/>
          <w:tab w:val="left" w:pos="1440"/>
        </w:tabs>
        <w:spacing w:after="0" w:line="240" w:lineRule="auto"/>
        <w:ind w:firstLine="0"/>
        <w:jc w:val="both"/>
        <w:rPr>
          <w:rFonts w:ascii="Cambria" w:eastAsia="Times New Roman" w:hAnsi="Cambria"/>
          <w:sz w:val="20"/>
          <w:szCs w:val="20"/>
          <w:bdr w:val="nil"/>
          <w:lang w:val="es-ES_tradnl"/>
        </w:rPr>
      </w:pPr>
      <w:r w:rsidRPr="0058501F">
        <w:rPr>
          <w:rFonts w:ascii="Cambria" w:eastAsia="Times New Roman" w:hAnsi="Cambria"/>
          <w:sz w:val="20"/>
          <w:szCs w:val="20"/>
          <w:bdr w:val="nil"/>
          <w:lang w:val="es-ES_tradnl"/>
        </w:rPr>
        <w:t>En la misma línea, la Corte Suprema de Uganda consideró en 2009 que "ejecutar a una persona después de una demora de tres años en condiciones que no eran aceptables para los estándares ugandeses equivaldría a un castigo cruel e inhumano".</w:t>
      </w:r>
      <w:r w:rsidRPr="0058501F">
        <w:rPr>
          <w:rFonts w:ascii="Cambria" w:eastAsia="Arial Unicode MS" w:hAnsi="Cambria"/>
          <w:sz w:val="20"/>
          <w:szCs w:val="24"/>
          <w:bdr w:val="nil"/>
          <w:vertAlign w:val="superscript"/>
          <w:lang w:val="es-ES_tradnl"/>
        </w:rPr>
        <w:footnoteReference w:id="91"/>
      </w:r>
      <w:r w:rsidRPr="0058501F">
        <w:rPr>
          <w:rFonts w:ascii="Cambria" w:eastAsia="Times New Roman" w:hAnsi="Cambria"/>
          <w:sz w:val="20"/>
          <w:szCs w:val="20"/>
          <w:bdr w:val="nil"/>
          <w:lang w:val="es-ES_tradnl"/>
        </w:rPr>
        <w:t xml:space="preserve"> Por su parte, la Corte Suprema de </w:t>
      </w:r>
      <w:proofErr w:type="spellStart"/>
      <w:r w:rsidRPr="0058501F">
        <w:rPr>
          <w:rFonts w:ascii="Cambria" w:eastAsia="Times New Roman" w:hAnsi="Cambria"/>
          <w:sz w:val="20"/>
          <w:szCs w:val="20"/>
          <w:bdr w:val="nil"/>
          <w:lang w:val="es-ES_tradnl"/>
        </w:rPr>
        <w:t>Zimbabwe</w:t>
      </w:r>
      <w:proofErr w:type="spellEnd"/>
      <w:r w:rsidRPr="0058501F">
        <w:rPr>
          <w:rFonts w:ascii="Cambria" w:eastAsia="Times New Roman" w:hAnsi="Cambria"/>
          <w:sz w:val="20"/>
          <w:szCs w:val="20"/>
          <w:bdr w:val="nil"/>
          <w:lang w:val="es-ES_tradnl"/>
        </w:rPr>
        <w:t xml:space="preserve"> ha señalado desde 1993 que “teniendo en cuenta el consenso judicial y académico sobre el fenómeno del corredor de la muerte, las prolongadas demoras y las duras condiciones de encarcelamiento, se había alcanzado un grado de gravedad suficiente para dar derecho al solicitante para invocar la protección relativa a la prohibición de la tortura y las penas inhumanas o degradantes ”. Ese Tribunal Supremo sostuvo que “52 y 72 meses, respectivamente, en el corredor de la muerte constituían una violación a la prohibición de la tortura y harían inconstitucional una ejecución real”.</w:t>
      </w:r>
      <w:r w:rsidRPr="0058501F">
        <w:rPr>
          <w:rFonts w:ascii="Cambria" w:eastAsia="Arial Unicode MS" w:hAnsi="Cambria"/>
          <w:sz w:val="20"/>
          <w:szCs w:val="24"/>
          <w:bdr w:val="nil"/>
          <w:vertAlign w:val="superscript"/>
          <w:lang w:val="es-ES_tradnl"/>
        </w:rPr>
        <w:footnoteReference w:id="92"/>
      </w:r>
    </w:p>
    <w:p w14:paraId="7B46E21C" w14:textId="77777777" w:rsidR="00540E3D" w:rsidRPr="0058501F" w:rsidRDefault="00540E3D" w:rsidP="00540E3D">
      <w:pPr>
        <w:spacing w:after="0" w:line="240" w:lineRule="auto"/>
        <w:jc w:val="both"/>
        <w:rPr>
          <w:rFonts w:ascii="Cambria" w:eastAsia="Arial Unicode MS" w:hAnsi="Cambria" w:cs="Arial"/>
          <w:sz w:val="20"/>
          <w:szCs w:val="20"/>
          <w:bdr w:val="nil"/>
          <w:lang w:val="es-ES_tradnl"/>
        </w:rPr>
      </w:pPr>
    </w:p>
    <w:p w14:paraId="695D366B" w14:textId="77777777" w:rsidR="00540E3D" w:rsidRPr="0058501F" w:rsidRDefault="00540E3D" w:rsidP="00470EC4">
      <w:pPr>
        <w:numPr>
          <w:ilvl w:val="0"/>
          <w:numId w:val="1"/>
        </w:numPr>
        <w:pBdr>
          <w:top w:val="nil"/>
          <w:left w:val="nil"/>
          <w:bottom w:val="nil"/>
          <w:right w:val="nil"/>
          <w:between w:val="nil"/>
          <w:bar w:val="nil"/>
        </w:pBdr>
        <w:tabs>
          <w:tab w:val="left" w:pos="360"/>
        </w:tabs>
        <w:spacing w:after="0" w:line="240" w:lineRule="auto"/>
        <w:ind w:firstLine="0"/>
        <w:jc w:val="both"/>
        <w:rPr>
          <w:rFonts w:ascii="Cambria" w:eastAsia="Times New Roman" w:hAnsi="Cambria"/>
          <w:sz w:val="20"/>
          <w:szCs w:val="24"/>
          <w:lang w:val="es-ES_tradnl"/>
        </w:rPr>
      </w:pPr>
      <w:r w:rsidRPr="0058501F">
        <w:rPr>
          <w:rFonts w:ascii="Cambria" w:eastAsia="Times New Roman" w:hAnsi="Cambria"/>
          <w:sz w:val="20"/>
          <w:szCs w:val="24"/>
          <w:lang w:val="es-ES_tradnl"/>
        </w:rPr>
        <w:t xml:space="preserve">Como se establece en este informe, el Sr. Ibarra se encuentra privado de libertad en el corredor de la muerte desde el 22 de septiembre de 1997, durante 23 años. La Comisión advierte que el hecho mismo de pasar </w:t>
      </w:r>
      <w:r w:rsidRPr="0058501F">
        <w:rPr>
          <w:rFonts w:ascii="Cambria" w:eastAsia="Times New Roman" w:hAnsi="Cambria"/>
          <w:sz w:val="20"/>
          <w:szCs w:val="24"/>
          <w:lang w:val="es-ES_tradnl"/>
        </w:rPr>
        <w:lastRenderedPageBreak/>
        <w:t xml:space="preserve">23 años en el corredor de la muerte es, de cualquier modo, excesivo e inhumano, y se ve agravado por la expectativa prolongada de que la pena de muerte pudiera ser ejecutada; y agravado aún más por las condiciones en las que se encuentra detenido el Sr. Ibarra. El Sr. Ibarra se encuentra detenido en la Unidad </w:t>
      </w:r>
      <w:proofErr w:type="spellStart"/>
      <w:r w:rsidRPr="0058501F">
        <w:rPr>
          <w:rFonts w:ascii="Cambria" w:eastAsia="Times New Roman" w:hAnsi="Cambria"/>
          <w:sz w:val="20"/>
          <w:szCs w:val="24"/>
          <w:lang w:val="es-ES_tradnl"/>
        </w:rPr>
        <w:t>Polunsky</w:t>
      </w:r>
      <w:proofErr w:type="spellEnd"/>
      <w:r w:rsidRPr="0058501F">
        <w:rPr>
          <w:rFonts w:ascii="Cambria" w:eastAsia="Times New Roman" w:hAnsi="Cambria"/>
          <w:sz w:val="20"/>
          <w:szCs w:val="24"/>
          <w:lang w:val="es-ES_tradnl"/>
        </w:rPr>
        <w:t xml:space="preserve"> de Texas, en las mismas condiciones que los peticionarios anteriores, cuyo sometimiento al aislamiento y la falta de interacción social ha sido condenado por la Comisión. En consecuencia, Estados Unidos es responsable de violar, en perjuicio de la presunta víctima, el derecho a la integridad personal y a no recibir castigos crueles, infamantes o inusuales establecidos en los artículos XXV y XXVI de la Declaración Americana.</w:t>
      </w:r>
    </w:p>
    <w:p w14:paraId="1686F207" w14:textId="77777777" w:rsidR="00540E3D" w:rsidRPr="0058501F" w:rsidRDefault="00540E3D" w:rsidP="00666042">
      <w:pPr>
        <w:pStyle w:val="Heading5"/>
        <w:numPr>
          <w:ilvl w:val="0"/>
          <w:numId w:val="23"/>
        </w:numPr>
        <w:ind w:left="540" w:hanging="540"/>
        <w:rPr>
          <w:rFonts w:ascii="Cambria" w:eastAsia="Arial Unicode MS" w:hAnsi="Cambria"/>
          <w:sz w:val="20"/>
          <w:szCs w:val="20"/>
          <w:bdr w:val="nil"/>
          <w:lang w:val="es-ES_tradnl"/>
        </w:rPr>
      </w:pPr>
      <w:bookmarkStart w:id="34" w:name="_Toc450856021"/>
      <w:bookmarkStart w:id="35" w:name="_Toc68863902"/>
      <w:r w:rsidRPr="0058501F">
        <w:rPr>
          <w:rFonts w:ascii="Cambria" w:eastAsia="Arial Unicode MS" w:hAnsi="Cambria"/>
          <w:sz w:val="20"/>
          <w:szCs w:val="20"/>
          <w:bdr w:val="nil"/>
          <w:lang w:val="es-ES_tradnl"/>
        </w:rPr>
        <w:t>Método de ejecución</w:t>
      </w:r>
    </w:p>
    <w:bookmarkEnd w:id="34"/>
    <w:bookmarkEnd w:id="35"/>
    <w:p w14:paraId="51FFC1D8" w14:textId="77777777" w:rsidR="00540E3D" w:rsidRPr="0058501F" w:rsidRDefault="00540E3D" w:rsidP="00540E3D">
      <w:pPr>
        <w:pBdr>
          <w:top w:val="nil"/>
          <w:left w:val="nil"/>
          <w:bottom w:val="nil"/>
          <w:right w:val="nil"/>
          <w:between w:val="nil"/>
          <w:bar w:val="nil"/>
        </w:pBdr>
        <w:spacing w:after="0" w:line="240" w:lineRule="auto"/>
        <w:rPr>
          <w:rFonts w:ascii="Cambria" w:eastAsia="Arial Unicode MS" w:hAnsi="Cambria"/>
          <w:sz w:val="20"/>
          <w:szCs w:val="20"/>
          <w:bdr w:val="nil"/>
          <w:lang w:val="es-ES_tradnl"/>
        </w:rPr>
      </w:pPr>
    </w:p>
    <w:p w14:paraId="5BBC6A5C" w14:textId="77777777" w:rsidR="00540E3D" w:rsidRPr="0058501F" w:rsidRDefault="00540E3D" w:rsidP="00470EC4">
      <w:pPr>
        <w:numPr>
          <w:ilvl w:val="0"/>
          <w:numId w:val="1"/>
        </w:numPr>
        <w:pBdr>
          <w:top w:val="nil"/>
          <w:left w:val="nil"/>
          <w:bottom w:val="nil"/>
          <w:right w:val="nil"/>
          <w:between w:val="nil"/>
          <w:bar w:val="nil"/>
        </w:pBdr>
        <w:tabs>
          <w:tab w:val="left" w:pos="360"/>
          <w:tab w:val="left" w:pos="720"/>
        </w:tabs>
        <w:spacing w:after="0" w:line="240" w:lineRule="auto"/>
        <w:ind w:firstLine="0"/>
        <w:jc w:val="both"/>
        <w:rPr>
          <w:rFonts w:ascii="Cambria" w:eastAsia="Arial Unicode MS" w:hAnsi="Cambria"/>
          <w:sz w:val="20"/>
          <w:szCs w:val="20"/>
          <w:bdr w:val="nil"/>
          <w:lang w:val="es-ES_tradnl"/>
        </w:rPr>
      </w:pPr>
      <w:r w:rsidRPr="0058501F">
        <w:rPr>
          <w:rFonts w:ascii="Cambria" w:eastAsia="Arial Unicode MS" w:hAnsi="Cambria"/>
          <w:sz w:val="20"/>
          <w:szCs w:val="20"/>
          <w:bdr w:val="nil"/>
          <w:lang w:val="es-ES_tradnl"/>
        </w:rPr>
        <w:t xml:space="preserve">La Comisión observa </w:t>
      </w:r>
      <w:proofErr w:type="gramStart"/>
      <w:r w:rsidRPr="0058501F">
        <w:rPr>
          <w:rFonts w:ascii="Cambria" w:eastAsia="Arial Unicode MS" w:hAnsi="Cambria"/>
          <w:sz w:val="20"/>
          <w:szCs w:val="20"/>
          <w:bdr w:val="nil"/>
          <w:lang w:val="es-ES_tradnl"/>
        </w:rPr>
        <w:t>que</w:t>
      </w:r>
      <w:proofErr w:type="gramEnd"/>
      <w:r w:rsidRPr="0058501F">
        <w:rPr>
          <w:rFonts w:ascii="Cambria" w:eastAsia="Arial Unicode MS" w:hAnsi="Cambria"/>
          <w:sz w:val="20"/>
          <w:szCs w:val="20"/>
          <w:bdr w:val="nil"/>
          <w:lang w:val="es-ES_tradnl"/>
        </w:rPr>
        <w:t xml:space="preserve"> si bien la Declaración Americana no prohíbe la pena de muerte, diversos órganos han considerado que un método de ejecución es incompatible con el derecho a la integridad personal y la prohibición de la tortura cuando no está diseñado para infligir el menor sufrimiento posible.</w:t>
      </w:r>
      <w:r w:rsidRPr="0058501F">
        <w:rPr>
          <w:rFonts w:ascii="Cambria" w:eastAsia="Arial Unicode MS" w:hAnsi="Cambria"/>
          <w:sz w:val="20"/>
          <w:szCs w:val="20"/>
          <w:vertAlign w:val="superscript"/>
          <w:lang w:val="es-ES_tradnl"/>
        </w:rPr>
        <w:footnoteReference w:id="93"/>
      </w:r>
      <w:r w:rsidRPr="0058501F">
        <w:rPr>
          <w:rFonts w:ascii="Cambria" w:eastAsia="Arial Unicode MS" w:hAnsi="Cambria"/>
          <w:sz w:val="20"/>
          <w:szCs w:val="20"/>
          <w:lang w:val="es-ES_tradnl"/>
        </w:rPr>
        <w:t xml:space="preserve"> </w:t>
      </w:r>
    </w:p>
    <w:p w14:paraId="66494507" w14:textId="77777777" w:rsidR="00540E3D" w:rsidRPr="0058501F" w:rsidRDefault="00540E3D" w:rsidP="00470EC4">
      <w:pPr>
        <w:tabs>
          <w:tab w:val="left" w:pos="360"/>
          <w:tab w:val="left" w:pos="720"/>
        </w:tabs>
        <w:spacing w:after="0" w:line="240" w:lineRule="auto"/>
        <w:jc w:val="both"/>
        <w:rPr>
          <w:rFonts w:ascii="Cambria" w:eastAsia="Arial Unicode MS" w:hAnsi="Cambria"/>
          <w:sz w:val="20"/>
          <w:szCs w:val="20"/>
          <w:bdr w:val="nil"/>
          <w:lang w:val="es-ES_tradnl"/>
        </w:rPr>
      </w:pPr>
    </w:p>
    <w:p w14:paraId="23EA162E" w14:textId="77777777" w:rsidR="00540E3D" w:rsidRPr="0058501F" w:rsidRDefault="00540E3D" w:rsidP="00470EC4">
      <w:pPr>
        <w:numPr>
          <w:ilvl w:val="0"/>
          <w:numId w:val="1"/>
        </w:numPr>
        <w:pBdr>
          <w:top w:val="nil"/>
          <w:left w:val="nil"/>
          <w:bottom w:val="nil"/>
          <w:right w:val="nil"/>
          <w:between w:val="nil"/>
          <w:bar w:val="nil"/>
        </w:pBdr>
        <w:tabs>
          <w:tab w:val="left" w:pos="360"/>
          <w:tab w:val="left" w:pos="720"/>
        </w:tabs>
        <w:spacing w:after="0" w:line="240" w:lineRule="auto"/>
        <w:ind w:firstLine="0"/>
        <w:jc w:val="both"/>
        <w:rPr>
          <w:rFonts w:ascii="Cambria" w:eastAsia="Arial Unicode MS" w:hAnsi="Cambria"/>
          <w:sz w:val="20"/>
          <w:szCs w:val="20"/>
          <w:bdr w:val="nil"/>
          <w:lang w:val="es-ES_tradnl"/>
        </w:rPr>
      </w:pPr>
      <w:r w:rsidRPr="0058501F">
        <w:rPr>
          <w:rFonts w:ascii="Cambria" w:eastAsia="Arial Unicode MS" w:hAnsi="Cambria"/>
          <w:sz w:val="20"/>
          <w:szCs w:val="20"/>
          <w:bdr w:val="nil"/>
          <w:lang w:val="es-ES_tradnl"/>
        </w:rPr>
        <w:t>Las salvaguardias de las Naciones Unidas que garantizan la protección de los derechos de los que enfrentan la pena de muerte establecen que “cuando se aplique la pena capital, su ejecución se hará de forma que se cause el menor sufrimiento posible”.</w:t>
      </w:r>
      <w:r w:rsidRPr="0058501F">
        <w:rPr>
          <w:rFonts w:ascii="Cambria" w:eastAsia="Arial Unicode MS" w:hAnsi="Cambria"/>
          <w:sz w:val="20"/>
          <w:szCs w:val="20"/>
          <w:vertAlign w:val="superscript"/>
          <w:lang w:val="es-ES_tradnl"/>
        </w:rPr>
        <w:footnoteReference w:id="94"/>
      </w:r>
      <w:r w:rsidRPr="0058501F">
        <w:rPr>
          <w:rFonts w:ascii="Cambria" w:eastAsia="Arial Unicode MS" w:hAnsi="Cambria"/>
          <w:sz w:val="20"/>
          <w:szCs w:val="20"/>
          <w:bdr w:val="nil"/>
          <w:lang w:val="es-ES_tradnl"/>
        </w:rPr>
        <w:t xml:space="preserve"> El Relator Especial sobre Tortura, refiriéndose a las Salvaguardias, ha indicado que no existe ninguna evidencia categórica que demuestre que ninguno de los métodos de ejecución que se utilizan actualmente para implementar la pena de muerta cumpla con la prohibición de la tortura y tratos crueles, inhumanos y degradantes y agregó que incluso si las salvaguardias se respetaran, todos los métodos de ejecución utilizados actualmente pueden infligir dolor y sufrimiento excesivos.</w:t>
      </w:r>
      <w:r w:rsidRPr="0058501F">
        <w:rPr>
          <w:rFonts w:ascii="Cambria" w:eastAsia="Arial Unicode MS" w:hAnsi="Cambria"/>
          <w:sz w:val="20"/>
          <w:szCs w:val="20"/>
          <w:vertAlign w:val="superscript"/>
          <w:lang w:val="es-ES_tradnl"/>
        </w:rPr>
        <w:footnoteReference w:id="95"/>
      </w:r>
    </w:p>
    <w:p w14:paraId="6661A71E" w14:textId="77777777" w:rsidR="00540E3D" w:rsidRPr="0058501F" w:rsidRDefault="00540E3D" w:rsidP="00470EC4">
      <w:pPr>
        <w:tabs>
          <w:tab w:val="left" w:pos="360"/>
          <w:tab w:val="left" w:pos="720"/>
        </w:tabs>
        <w:spacing w:after="0" w:line="240" w:lineRule="auto"/>
        <w:jc w:val="both"/>
        <w:rPr>
          <w:rFonts w:ascii="Cambria" w:eastAsia="Arial Unicode MS" w:hAnsi="Cambria"/>
          <w:sz w:val="20"/>
          <w:szCs w:val="20"/>
          <w:lang w:val="es-ES_tradnl"/>
        </w:rPr>
      </w:pPr>
    </w:p>
    <w:p w14:paraId="4B5523E2" w14:textId="77777777" w:rsidR="00540E3D" w:rsidRPr="0058501F" w:rsidRDefault="00540E3D" w:rsidP="00470EC4">
      <w:pPr>
        <w:numPr>
          <w:ilvl w:val="0"/>
          <w:numId w:val="1"/>
        </w:numPr>
        <w:pBdr>
          <w:top w:val="nil"/>
          <w:left w:val="nil"/>
          <w:bottom w:val="nil"/>
          <w:right w:val="nil"/>
          <w:between w:val="nil"/>
          <w:bar w:val="nil"/>
        </w:pBdr>
        <w:tabs>
          <w:tab w:val="left" w:pos="360"/>
          <w:tab w:val="left" w:pos="720"/>
        </w:tabs>
        <w:spacing w:after="0" w:line="240" w:lineRule="auto"/>
        <w:ind w:firstLine="0"/>
        <w:jc w:val="both"/>
        <w:rPr>
          <w:rFonts w:ascii="Cambria" w:eastAsia="Arial Unicode MS" w:hAnsi="Cambria"/>
          <w:sz w:val="20"/>
          <w:szCs w:val="20"/>
          <w:bdr w:val="nil"/>
          <w:lang w:val="es-ES_tradnl"/>
        </w:rPr>
      </w:pPr>
      <w:r w:rsidRPr="0058501F">
        <w:rPr>
          <w:rFonts w:ascii="Cambria" w:eastAsia="Arial Unicode MS" w:hAnsi="Cambria"/>
          <w:sz w:val="20"/>
          <w:szCs w:val="20"/>
          <w:bdr w:val="nil"/>
          <w:lang w:val="es-ES_tradnl"/>
        </w:rPr>
        <w:t>El Relator Especial sobre ejecuciones extrajudiciales, sumarias o arbitrarias ha indicado con respecto a los métodos de ejecución de la pena de muerte que “la extraordinaria facultad conferida al Estado de tomar la vida de una persona mediante un pelotón de fusilamiento, la horca, una inyección letal o cualquier otro medio de matar, plantea un grave riesgo de abuso. Esta facultad solo puede mantenerse a raya de manera segura mediante la supervisión pública del castigo público. Es aceptado que las garantías procesales sirven para proteger a los acusados. Sin embargo, también son el mecanismo por el cual la sociedad garantiza que los castigos infligidos en su nombre sean justos e imparciales”</w:t>
      </w:r>
      <w:r w:rsidRPr="0058501F">
        <w:rPr>
          <w:rFonts w:ascii="Cambria" w:eastAsia="Arial Unicode MS" w:hAnsi="Cambria"/>
          <w:sz w:val="20"/>
          <w:szCs w:val="20"/>
          <w:vertAlign w:val="superscript"/>
          <w:lang w:val="es-ES_tradnl"/>
        </w:rPr>
        <w:footnoteReference w:id="96"/>
      </w:r>
    </w:p>
    <w:p w14:paraId="1C4E63DB" w14:textId="77777777" w:rsidR="00540E3D" w:rsidRPr="0058501F" w:rsidRDefault="00540E3D" w:rsidP="00470EC4">
      <w:pPr>
        <w:tabs>
          <w:tab w:val="left" w:pos="360"/>
          <w:tab w:val="left" w:pos="720"/>
        </w:tabs>
        <w:spacing w:after="0" w:line="240" w:lineRule="auto"/>
        <w:jc w:val="both"/>
        <w:rPr>
          <w:rFonts w:ascii="Cambria" w:eastAsia="Arial Unicode MS" w:hAnsi="Cambria"/>
          <w:sz w:val="20"/>
          <w:szCs w:val="20"/>
          <w:lang w:val="es-ES_tradnl"/>
        </w:rPr>
      </w:pPr>
    </w:p>
    <w:p w14:paraId="0659785E" w14:textId="77777777" w:rsidR="00540E3D" w:rsidRPr="0058501F" w:rsidRDefault="00540E3D" w:rsidP="00470EC4">
      <w:pPr>
        <w:numPr>
          <w:ilvl w:val="0"/>
          <w:numId w:val="1"/>
        </w:numPr>
        <w:pBdr>
          <w:top w:val="nil"/>
          <w:left w:val="nil"/>
          <w:bottom w:val="nil"/>
          <w:right w:val="nil"/>
          <w:between w:val="nil"/>
          <w:bar w:val="nil"/>
        </w:pBdr>
        <w:tabs>
          <w:tab w:val="left" w:pos="360"/>
          <w:tab w:val="left" w:pos="720"/>
        </w:tabs>
        <w:spacing w:after="0" w:line="240" w:lineRule="auto"/>
        <w:ind w:firstLine="0"/>
        <w:jc w:val="both"/>
        <w:rPr>
          <w:rFonts w:ascii="Cambria" w:eastAsia="Arial Unicode MS" w:hAnsi="Cambria"/>
          <w:sz w:val="20"/>
          <w:szCs w:val="20"/>
          <w:bdr w:val="nil"/>
          <w:lang w:val="es-ES_tradnl"/>
        </w:rPr>
      </w:pPr>
      <w:r w:rsidRPr="0058501F">
        <w:rPr>
          <w:rFonts w:ascii="Cambria" w:eastAsia="Arial Unicode MS" w:hAnsi="Cambria"/>
          <w:sz w:val="20"/>
          <w:szCs w:val="20"/>
          <w:bdr w:val="nil"/>
          <w:lang w:val="es-ES_tradnl"/>
        </w:rPr>
        <w:t>Los Estados tienen un deber especial reforzado de garantizar que el método de ejecución no constituya un castigo cruel, infamante o inusual. En este sentido, los fármacos y dosis a utilizar en caso de ejecuciones por inyección letal, así como la composición del equipo ejecutor y la formación de sus integrantes deben estar sujetos a los más altos estándares de control de calidad. En particular, los medicamentos utilizados deben estar sujetos a la aprobación y regulación del gobierno, el equipo de ejecución debe tener la formación médica adecuada y los protocolos de inyección letal deben estar disponibles para el público para garantizar el escrutinio público.</w:t>
      </w:r>
      <w:r w:rsidRPr="0058501F">
        <w:rPr>
          <w:rFonts w:ascii="Cambria" w:eastAsia="Arial Unicode MS" w:hAnsi="Cambria"/>
          <w:sz w:val="20"/>
          <w:szCs w:val="20"/>
          <w:vertAlign w:val="superscript"/>
          <w:lang w:val="es-ES_tradnl"/>
        </w:rPr>
        <w:footnoteReference w:id="97"/>
      </w:r>
      <w:r w:rsidRPr="0058501F">
        <w:rPr>
          <w:rFonts w:ascii="Cambria" w:eastAsia="Arial Unicode MS" w:hAnsi="Cambria"/>
          <w:sz w:val="20"/>
          <w:szCs w:val="20"/>
          <w:lang w:val="es-ES_tradnl"/>
        </w:rPr>
        <w:t xml:space="preserve"> </w:t>
      </w:r>
    </w:p>
    <w:p w14:paraId="316B5D48" w14:textId="77777777" w:rsidR="00540E3D" w:rsidRPr="0058501F" w:rsidRDefault="00540E3D" w:rsidP="00540E3D">
      <w:pPr>
        <w:tabs>
          <w:tab w:val="left" w:pos="360"/>
          <w:tab w:val="left" w:pos="720"/>
        </w:tabs>
        <w:spacing w:after="0" w:line="240" w:lineRule="auto"/>
        <w:jc w:val="both"/>
        <w:rPr>
          <w:rFonts w:ascii="Cambria" w:eastAsia="Arial Unicode MS" w:hAnsi="Cambria"/>
          <w:sz w:val="20"/>
          <w:szCs w:val="20"/>
          <w:lang w:val="es-ES_tradnl"/>
        </w:rPr>
      </w:pPr>
    </w:p>
    <w:p w14:paraId="7EE6504B" w14:textId="77777777" w:rsidR="00540E3D" w:rsidRPr="0058501F" w:rsidRDefault="00540E3D" w:rsidP="00470EC4">
      <w:pPr>
        <w:numPr>
          <w:ilvl w:val="0"/>
          <w:numId w:val="1"/>
        </w:numPr>
        <w:pBdr>
          <w:top w:val="nil"/>
          <w:left w:val="nil"/>
          <w:bottom w:val="nil"/>
          <w:right w:val="nil"/>
          <w:between w:val="nil"/>
          <w:bar w:val="nil"/>
        </w:pBdr>
        <w:tabs>
          <w:tab w:val="left" w:pos="360"/>
          <w:tab w:val="left" w:pos="720"/>
        </w:tabs>
        <w:spacing w:after="0" w:line="240" w:lineRule="auto"/>
        <w:ind w:firstLine="0"/>
        <w:jc w:val="both"/>
        <w:rPr>
          <w:rFonts w:ascii="Cambria" w:eastAsia="Arial Unicode MS" w:hAnsi="Cambria"/>
          <w:sz w:val="20"/>
          <w:szCs w:val="20"/>
          <w:bdr w:val="nil"/>
          <w:lang w:val="es-ES_tradnl"/>
        </w:rPr>
      </w:pPr>
      <w:r w:rsidRPr="0058501F">
        <w:rPr>
          <w:rFonts w:ascii="Cambria" w:eastAsia="Arial Unicode MS" w:hAnsi="Cambria"/>
          <w:sz w:val="20"/>
          <w:szCs w:val="20"/>
          <w:bdr w:val="nil"/>
          <w:lang w:val="es-ES_tradnl"/>
        </w:rPr>
        <w:t xml:space="preserve">La Comisión Interamericana observa al respecto que el requisito del debido proceso no se limita a los procesos de condena y </w:t>
      </w:r>
      <w:proofErr w:type="spellStart"/>
      <w:r w:rsidRPr="0058501F">
        <w:rPr>
          <w:rFonts w:ascii="Cambria" w:eastAsia="Arial Unicode MS" w:hAnsi="Cambria"/>
          <w:sz w:val="20"/>
          <w:szCs w:val="20"/>
          <w:bdr w:val="nil"/>
          <w:lang w:val="es-ES_tradnl"/>
        </w:rPr>
        <w:t>poscondena</w:t>
      </w:r>
      <w:proofErr w:type="spellEnd"/>
      <w:r w:rsidRPr="0058501F">
        <w:rPr>
          <w:rFonts w:ascii="Cambria" w:eastAsia="Arial Unicode MS" w:hAnsi="Cambria"/>
          <w:sz w:val="20"/>
          <w:szCs w:val="20"/>
          <w:bdr w:val="nil"/>
          <w:lang w:val="es-ES_tradnl"/>
        </w:rPr>
        <w:t>.</w:t>
      </w:r>
      <w:r w:rsidRPr="0058501F">
        <w:rPr>
          <w:rFonts w:ascii="Cambria" w:eastAsia="Arial Unicode MS" w:hAnsi="Cambria"/>
          <w:sz w:val="20"/>
          <w:szCs w:val="20"/>
          <w:vertAlign w:val="superscript"/>
          <w:lang w:val="es-ES_tradnl"/>
        </w:rPr>
        <w:footnoteReference w:id="98"/>
      </w:r>
      <w:r w:rsidRPr="0058501F">
        <w:rPr>
          <w:rFonts w:ascii="Cambria" w:eastAsia="Arial Unicode MS" w:hAnsi="Cambria"/>
          <w:sz w:val="20"/>
          <w:szCs w:val="20"/>
          <w:bdr w:val="nil"/>
          <w:lang w:val="es-ES_tradnl"/>
        </w:rPr>
        <w:t xml:space="preserve"> Por tanto, el Estado tiene el deber de informar oportunamente a la persona condenada a muerte sobre la droga y método de ejecución que se utilizará, de modo que no se le impida </w:t>
      </w:r>
      <w:r w:rsidRPr="0058501F">
        <w:rPr>
          <w:rFonts w:ascii="Cambria" w:eastAsia="Arial Unicode MS" w:hAnsi="Cambria"/>
          <w:sz w:val="20"/>
          <w:szCs w:val="20"/>
          <w:bdr w:val="nil"/>
          <w:lang w:val="es-ES_tradnl"/>
        </w:rPr>
        <w:lastRenderedPageBreak/>
        <w:t>litigar el derecho a ser ejecutado en forma carente de sufrimiento cruel e inusual. Además, la realización de ejecuciones sin que antes los presos tengan acceso a información relacionada con los procedimientos precisos a seguir, los fármacos y dosis a utilizar en caso de ejecuciones por inyección letal, y la composición del equipo de ejecución, así como la formación de sus miembros. priva a una víctima de su derecho a impugnar la forma en que se proyecta su ejecución, en violación de su derecho a presentar peticiones ante las autoridades y al debido proceso conforme a los artículos XXIV y XXVI de la Declaración Americana.</w:t>
      </w:r>
      <w:r w:rsidRPr="0058501F">
        <w:rPr>
          <w:rFonts w:ascii="Cambria" w:eastAsia="Arial Unicode MS" w:hAnsi="Cambria"/>
          <w:sz w:val="20"/>
          <w:szCs w:val="20"/>
          <w:bdr w:val="nil"/>
          <w:vertAlign w:val="superscript"/>
          <w:lang w:val="es-ES_tradnl"/>
        </w:rPr>
        <w:footnoteReference w:id="99"/>
      </w:r>
      <w:r w:rsidRPr="0058501F">
        <w:rPr>
          <w:rFonts w:ascii="Cambria" w:eastAsia="Arial Unicode MS" w:hAnsi="Cambria"/>
          <w:sz w:val="20"/>
          <w:szCs w:val="20"/>
          <w:bdr w:val="nil"/>
          <w:lang w:val="es-ES_tradnl"/>
        </w:rPr>
        <w:t xml:space="preserve"> </w:t>
      </w:r>
    </w:p>
    <w:p w14:paraId="64A355D7" w14:textId="77777777" w:rsidR="00540E3D" w:rsidRPr="0058501F" w:rsidRDefault="00540E3D" w:rsidP="00470EC4">
      <w:pPr>
        <w:tabs>
          <w:tab w:val="left" w:pos="360"/>
          <w:tab w:val="left" w:pos="720"/>
        </w:tabs>
        <w:spacing w:after="0" w:line="240" w:lineRule="auto"/>
        <w:jc w:val="both"/>
        <w:rPr>
          <w:rFonts w:ascii="Cambria" w:eastAsia="Arial Unicode MS" w:hAnsi="Cambria"/>
          <w:sz w:val="20"/>
          <w:szCs w:val="20"/>
          <w:lang w:val="es-ES_tradnl"/>
        </w:rPr>
      </w:pPr>
    </w:p>
    <w:p w14:paraId="6920F80A" w14:textId="77777777" w:rsidR="00540E3D" w:rsidRPr="0058501F" w:rsidRDefault="00540E3D" w:rsidP="00470EC4">
      <w:pPr>
        <w:numPr>
          <w:ilvl w:val="0"/>
          <w:numId w:val="1"/>
        </w:numPr>
        <w:pBdr>
          <w:top w:val="nil"/>
          <w:left w:val="nil"/>
          <w:bottom w:val="nil"/>
          <w:right w:val="nil"/>
          <w:between w:val="nil"/>
          <w:bar w:val="nil"/>
        </w:pBdr>
        <w:tabs>
          <w:tab w:val="left" w:pos="360"/>
          <w:tab w:val="left" w:pos="720"/>
        </w:tabs>
        <w:spacing w:after="0" w:line="240" w:lineRule="auto"/>
        <w:ind w:firstLine="0"/>
        <w:jc w:val="both"/>
        <w:rPr>
          <w:rFonts w:ascii="Cambria" w:eastAsia="Arial Unicode MS" w:hAnsi="Cambria"/>
          <w:sz w:val="20"/>
          <w:szCs w:val="20"/>
          <w:bdr w:val="nil"/>
          <w:lang w:val="es-ES_tradnl"/>
        </w:rPr>
      </w:pPr>
      <w:r w:rsidRPr="0058501F">
        <w:rPr>
          <w:rFonts w:ascii="Cambria" w:eastAsia="Arial Unicode MS" w:hAnsi="Cambria"/>
          <w:sz w:val="20"/>
          <w:szCs w:val="20"/>
          <w:bdr w:val="nil"/>
          <w:lang w:val="es-ES_tradnl"/>
        </w:rPr>
        <w:t>Asimismo, la CIDH observa que el Comité Contra la Tortura de Naciones Unidas recibió información fundamentada que indica que las ejecuciones en Estados Unidos pueden estar acompañadas de dolores y sufrimientos severos e indicó al Estado que “debería examinar atentamente las técnicas de ejecución, especialmente la inyección letal, a fin de no causar un dolor o sufrimiento grave".</w:t>
      </w:r>
      <w:r w:rsidRPr="0058501F">
        <w:rPr>
          <w:rFonts w:ascii="Cambria" w:eastAsia="Arial Unicode MS" w:hAnsi="Cambria"/>
          <w:sz w:val="20"/>
          <w:szCs w:val="20"/>
          <w:vertAlign w:val="superscript"/>
          <w:lang w:val="es-ES_tradnl"/>
        </w:rPr>
        <w:footnoteReference w:id="100"/>
      </w:r>
    </w:p>
    <w:p w14:paraId="30D876CB" w14:textId="77777777" w:rsidR="00540E3D" w:rsidRPr="0058501F" w:rsidRDefault="00540E3D" w:rsidP="00470EC4">
      <w:pPr>
        <w:tabs>
          <w:tab w:val="left" w:pos="360"/>
          <w:tab w:val="left" w:pos="720"/>
        </w:tabs>
        <w:spacing w:after="0" w:line="240" w:lineRule="auto"/>
        <w:jc w:val="both"/>
        <w:rPr>
          <w:rFonts w:ascii="Cambria" w:eastAsia="Arial Unicode MS" w:hAnsi="Cambria"/>
          <w:sz w:val="20"/>
          <w:szCs w:val="20"/>
          <w:lang w:val="es-ES_tradnl"/>
        </w:rPr>
      </w:pPr>
    </w:p>
    <w:p w14:paraId="7B521772" w14:textId="77777777" w:rsidR="00540E3D" w:rsidRPr="0058501F" w:rsidRDefault="00540E3D" w:rsidP="00470EC4">
      <w:pPr>
        <w:numPr>
          <w:ilvl w:val="0"/>
          <w:numId w:val="1"/>
        </w:numPr>
        <w:pBdr>
          <w:top w:val="nil"/>
          <w:left w:val="nil"/>
          <w:bottom w:val="nil"/>
          <w:right w:val="nil"/>
          <w:between w:val="nil"/>
          <w:bar w:val="nil"/>
        </w:pBdr>
        <w:tabs>
          <w:tab w:val="left" w:pos="360"/>
          <w:tab w:val="left" w:pos="720"/>
        </w:tabs>
        <w:spacing w:after="0" w:line="240" w:lineRule="auto"/>
        <w:ind w:firstLine="0"/>
        <w:jc w:val="both"/>
        <w:rPr>
          <w:rFonts w:ascii="Cambria" w:eastAsia="Arial Unicode MS" w:hAnsi="Cambria"/>
          <w:sz w:val="20"/>
          <w:szCs w:val="20"/>
          <w:bdr w:val="nil"/>
          <w:lang w:val="es-ES_tradnl"/>
        </w:rPr>
      </w:pPr>
      <w:r w:rsidRPr="0058501F">
        <w:rPr>
          <w:rFonts w:ascii="Cambria" w:eastAsia="Arial Unicode MS" w:hAnsi="Cambria"/>
          <w:sz w:val="20"/>
          <w:szCs w:val="20"/>
          <w:bdr w:val="nil"/>
          <w:lang w:val="es-ES_tradnl"/>
        </w:rPr>
        <w:t>Los peticionarios argumentan que la Corte Suprema de Texas aprobó explícitamente la política del Departamento de Justicia Criminal de Texas de mantener en secreto la fuente de sus drogas, incluso a las personas en las que se usarán las drogas.</w:t>
      </w:r>
      <w:r w:rsidRPr="0058501F">
        <w:rPr>
          <w:rFonts w:ascii="Cambria" w:eastAsia="Arial Unicode MS" w:hAnsi="Cambria"/>
          <w:sz w:val="20"/>
          <w:szCs w:val="20"/>
          <w:bdr w:val="nil"/>
          <w:vertAlign w:val="superscript"/>
          <w:lang w:val="es-ES_tradnl"/>
        </w:rPr>
        <w:footnoteReference w:id="101"/>
      </w:r>
      <w:r w:rsidRPr="0058501F">
        <w:rPr>
          <w:rFonts w:ascii="Cambria" w:eastAsia="Arial Unicode MS" w:hAnsi="Cambria"/>
          <w:sz w:val="20"/>
          <w:szCs w:val="20"/>
          <w:bdr w:val="nil"/>
          <w:lang w:val="es-ES_tradnl"/>
        </w:rPr>
        <w:t xml:space="preserve"> </w:t>
      </w:r>
    </w:p>
    <w:p w14:paraId="175A581E" w14:textId="77777777" w:rsidR="00540E3D" w:rsidRPr="0058501F" w:rsidRDefault="00540E3D" w:rsidP="00470EC4">
      <w:pPr>
        <w:tabs>
          <w:tab w:val="left" w:pos="360"/>
          <w:tab w:val="left" w:pos="720"/>
        </w:tabs>
        <w:spacing w:after="0" w:line="240" w:lineRule="auto"/>
        <w:jc w:val="both"/>
        <w:rPr>
          <w:rFonts w:ascii="Cambria" w:eastAsia="Arial Unicode MS" w:hAnsi="Cambria"/>
          <w:sz w:val="20"/>
          <w:szCs w:val="20"/>
          <w:bdr w:val="nil"/>
          <w:lang w:val="es-ES_tradnl"/>
        </w:rPr>
      </w:pPr>
    </w:p>
    <w:p w14:paraId="7FF3395B" w14:textId="77777777" w:rsidR="00540E3D" w:rsidRPr="0058501F" w:rsidRDefault="00540E3D" w:rsidP="00470EC4">
      <w:pPr>
        <w:numPr>
          <w:ilvl w:val="0"/>
          <w:numId w:val="1"/>
        </w:numPr>
        <w:pBdr>
          <w:top w:val="nil"/>
          <w:left w:val="nil"/>
          <w:bottom w:val="nil"/>
          <w:right w:val="nil"/>
          <w:between w:val="nil"/>
          <w:bar w:val="nil"/>
        </w:pBdr>
        <w:tabs>
          <w:tab w:val="left" w:pos="360"/>
          <w:tab w:val="left" w:pos="720"/>
        </w:tabs>
        <w:spacing w:after="0" w:line="240" w:lineRule="auto"/>
        <w:ind w:firstLine="0"/>
        <w:jc w:val="both"/>
        <w:rPr>
          <w:rFonts w:ascii="Cambria" w:eastAsia="Arial Unicode MS" w:hAnsi="Cambria"/>
          <w:sz w:val="20"/>
          <w:szCs w:val="20"/>
          <w:bdr w:val="nil"/>
          <w:lang w:val="es-ES_tradnl"/>
        </w:rPr>
      </w:pPr>
      <w:r w:rsidRPr="0058501F">
        <w:rPr>
          <w:rFonts w:ascii="Cambria" w:eastAsia="Arial Unicode MS" w:hAnsi="Cambria"/>
          <w:sz w:val="20"/>
          <w:szCs w:val="20"/>
          <w:bdr w:val="nil"/>
          <w:lang w:val="es-ES_tradnl"/>
        </w:rPr>
        <w:t xml:space="preserve">Dado el deber especial reforzado del Estado de asegurar que el método de ejecución no constituya un castigo cruel, infamante o inusual y, en particular, de someter las drogas utilizadas a la aprobación y regulación del gobierno, la CIDH concluye que en el caso del </w:t>
      </w:r>
      <w:r w:rsidR="00DD040D" w:rsidRPr="0058501F">
        <w:rPr>
          <w:rFonts w:ascii="Cambria" w:eastAsia="Arial Unicode MS" w:hAnsi="Cambria"/>
          <w:sz w:val="20"/>
          <w:szCs w:val="20"/>
          <w:bdr w:val="nil"/>
          <w:lang w:val="es-ES_tradnl"/>
        </w:rPr>
        <w:t>Sr.</w:t>
      </w:r>
      <w:r w:rsidRPr="0058501F">
        <w:rPr>
          <w:rFonts w:ascii="Cambria" w:eastAsia="Arial Unicode MS" w:hAnsi="Cambria"/>
          <w:sz w:val="20"/>
          <w:szCs w:val="20"/>
          <w:bdr w:val="nil"/>
          <w:lang w:val="es-ES_tradnl"/>
        </w:rPr>
        <w:t xml:space="preserve"> Ibarra violó el artículo XXVI de la Declaración Americana.</w:t>
      </w:r>
    </w:p>
    <w:p w14:paraId="721B9CCD" w14:textId="77777777" w:rsidR="00540E3D" w:rsidRPr="00E15027" w:rsidRDefault="00540E3D" w:rsidP="00DD040D">
      <w:pPr>
        <w:pStyle w:val="Heading2"/>
        <w:numPr>
          <w:ilvl w:val="0"/>
          <w:numId w:val="20"/>
        </w:numPr>
        <w:rPr>
          <w:rFonts w:ascii="Cambria" w:eastAsia="SimSun" w:hAnsi="Cambria"/>
          <w:i w:val="0"/>
          <w:iCs w:val="0"/>
          <w:sz w:val="20"/>
          <w:szCs w:val="20"/>
          <w:bdr w:val="nil"/>
          <w:lang w:val="es-ES_tradnl"/>
        </w:rPr>
      </w:pPr>
      <w:bookmarkStart w:id="36" w:name="_Toc90117846"/>
      <w:bookmarkStart w:id="37" w:name="_Toc68863903"/>
      <w:r w:rsidRPr="00E15027">
        <w:rPr>
          <w:rFonts w:ascii="Cambria" w:eastAsia="SimSun" w:hAnsi="Cambria"/>
          <w:i w:val="0"/>
          <w:iCs w:val="0"/>
          <w:sz w:val="20"/>
          <w:szCs w:val="20"/>
          <w:bdr w:val="nil"/>
          <w:lang w:val="es-ES_tradnl"/>
        </w:rPr>
        <w:t>Derecho a la vida</w:t>
      </w:r>
      <w:r w:rsidRPr="00E15027">
        <w:rPr>
          <w:rFonts w:ascii="Cambria" w:eastAsia="SimSun" w:hAnsi="Cambria"/>
          <w:i w:val="0"/>
          <w:iCs w:val="0"/>
          <w:sz w:val="20"/>
          <w:szCs w:val="20"/>
          <w:bdr w:val="nil"/>
          <w:vertAlign w:val="superscript"/>
          <w:lang w:val="es-ES_tradnl"/>
        </w:rPr>
        <w:footnoteReference w:id="102"/>
      </w:r>
      <w:r w:rsidRPr="00E15027">
        <w:rPr>
          <w:rFonts w:ascii="Cambria" w:eastAsia="SimSun" w:hAnsi="Cambria"/>
          <w:i w:val="0"/>
          <w:iCs w:val="0"/>
          <w:sz w:val="20"/>
          <w:szCs w:val="20"/>
          <w:bdr w:val="nil"/>
          <w:lang w:val="es-ES_tradnl"/>
        </w:rPr>
        <w:t xml:space="preserve"> y a la protección contra penas crueles, infamantes o inusuales con respecto a la eventual ejecución de Ramiro Ibarra Rubí</w:t>
      </w:r>
      <w:bookmarkEnd w:id="36"/>
    </w:p>
    <w:bookmarkEnd w:id="37"/>
    <w:p w14:paraId="285B5551" w14:textId="77777777" w:rsidR="00540E3D" w:rsidRPr="0058501F" w:rsidRDefault="00540E3D" w:rsidP="00540E3D">
      <w:pPr>
        <w:pBdr>
          <w:top w:val="nil"/>
          <w:left w:val="nil"/>
          <w:bottom w:val="nil"/>
          <w:right w:val="nil"/>
          <w:between w:val="nil"/>
          <w:bar w:val="nil"/>
        </w:pBdr>
        <w:spacing w:after="0" w:line="240" w:lineRule="auto"/>
        <w:rPr>
          <w:rFonts w:ascii="Cambria" w:eastAsia="Arial Unicode MS" w:hAnsi="Cambria"/>
          <w:sz w:val="24"/>
          <w:szCs w:val="24"/>
          <w:bdr w:val="nil"/>
          <w:lang w:val="es-ES_tradnl"/>
        </w:rPr>
      </w:pPr>
    </w:p>
    <w:p w14:paraId="52E4CD2E" w14:textId="77777777" w:rsidR="00540E3D" w:rsidRPr="0058501F" w:rsidRDefault="00540E3D" w:rsidP="00470EC4">
      <w:pPr>
        <w:numPr>
          <w:ilvl w:val="0"/>
          <w:numId w:val="1"/>
        </w:numPr>
        <w:pBdr>
          <w:top w:val="nil"/>
          <w:left w:val="nil"/>
          <w:bottom w:val="nil"/>
          <w:right w:val="nil"/>
          <w:between w:val="nil"/>
          <w:bar w:val="nil"/>
        </w:pBdr>
        <w:tabs>
          <w:tab w:val="left" w:pos="360"/>
          <w:tab w:val="left" w:pos="720"/>
        </w:tabs>
        <w:spacing w:after="0" w:line="240" w:lineRule="auto"/>
        <w:ind w:firstLine="0"/>
        <w:jc w:val="both"/>
        <w:rPr>
          <w:rFonts w:ascii="Cambria" w:eastAsia="Arial Unicode MS" w:hAnsi="Cambria"/>
          <w:sz w:val="20"/>
          <w:szCs w:val="20"/>
          <w:bdr w:val="nil"/>
          <w:lang w:val="es-ES_tradnl"/>
        </w:rPr>
      </w:pPr>
      <w:r w:rsidRPr="0058501F">
        <w:rPr>
          <w:rFonts w:ascii="Cambria" w:eastAsia="Arial Unicode MS" w:hAnsi="Cambria"/>
          <w:sz w:val="20"/>
          <w:szCs w:val="20"/>
          <w:bdr w:val="nil"/>
          <w:lang w:val="es-ES_tradnl"/>
        </w:rPr>
        <w:t>Como se indicó anteriormente, la Comisión Interamericana considera que corresponde a los tribunales nacionales, no a la Comisión, interpretar y aplicar el derecho nacional. No obstante, la CIDH debe garantizar que toda privación de la vida derivada de la imposición de la pena de muerte cumpla con los requisitos de la Declaración Americana.</w:t>
      </w:r>
      <w:r w:rsidRPr="0058501F">
        <w:rPr>
          <w:rFonts w:ascii="Cambria" w:eastAsia="Arial Unicode MS" w:hAnsi="Cambria"/>
          <w:sz w:val="20"/>
          <w:szCs w:val="20"/>
          <w:bdr w:val="nil"/>
          <w:vertAlign w:val="superscript"/>
          <w:lang w:val="es-ES_tradnl"/>
        </w:rPr>
        <w:footnoteReference w:id="103"/>
      </w:r>
    </w:p>
    <w:p w14:paraId="2EA045DD" w14:textId="77777777" w:rsidR="00540E3D" w:rsidRPr="0058501F" w:rsidRDefault="00540E3D" w:rsidP="00470EC4">
      <w:pPr>
        <w:pBdr>
          <w:top w:val="nil"/>
          <w:left w:val="nil"/>
          <w:bottom w:val="nil"/>
          <w:right w:val="nil"/>
          <w:between w:val="nil"/>
          <w:bar w:val="nil"/>
        </w:pBdr>
        <w:spacing w:after="0" w:line="240" w:lineRule="auto"/>
        <w:jc w:val="both"/>
        <w:rPr>
          <w:rFonts w:ascii="Cambria" w:eastAsia="Arial Unicode MS" w:hAnsi="Cambria"/>
          <w:sz w:val="20"/>
          <w:szCs w:val="20"/>
          <w:bdr w:val="nil"/>
          <w:lang w:val="es-ES_tradnl"/>
        </w:rPr>
      </w:pPr>
    </w:p>
    <w:p w14:paraId="55A4F531" w14:textId="77777777" w:rsidR="00540E3D" w:rsidRPr="0058501F" w:rsidRDefault="00540E3D" w:rsidP="00470EC4">
      <w:pPr>
        <w:numPr>
          <w:ilvl w:val="0"/>
          <w:numId w:val="1"/>
        </w:numPr>
        <w:pBdr>
          <w:top w:val="nil"/>
          <w:left w:val="nil"/>
          <w:bottom w:val="nil"/>
          <w:right w:val="nil"/>
          <w:between w:val="nil"/>
          <w:bar w:val="nil"/>
        </w:pBdr>
        <w:tabs>
          <w:tab w:val="left" w:pos="360"/>
          <w:tab w:val="left" w:pos="720"/>
        </w:tabs>
        <w:spacing w:after="0" w:line="240" w:lineRule="auto"/>
        <w:ind w:firstLine="0"/>
        <w:jc w:val="both"/>
        <w:rPr>
          <w:rFonts w:ascii="Cambria" w:eastAsia="Arial Unicode MS" w:hAnsi="Cambria"/>
          <w:sz w:val="20"/>
          <w:szCs w:val="20"/>
          <w:bdr w:val="nil"/>
          <w:lang w:val="es-ES_tradnl"/>
        </w:rPr>
      </w:pPr>
      <w:r w:rsidRPr="0058501F">
        <w:rPr>
          <w:rFonts w:ascii="Cambria" w:eastAsia="Arial Unicode MS" w:hAnsi="Cambria"/>
          <w:sz w:val="20"/>
          <w:szCs w:val="20"/>
          <w:bdr w:val="nil"/>
          <w:lang w:val="es-ES_tradnl"/>
        </w:rPr>
        <w:t>En estas circunstancias, la CIDH ha sostenido que la ejecución de una persona, luego de un proceso que se desarrolló en violación de sus derechos, sería sumamente grave y constituiría una violación deliberada del derecho a la vida consagrado en el artículo I de la Declaración Americana.</w:t>
      </w:r>
      <w:r w:rsidRPr="0058501F">
        <w:rPr>
          <w:rFonts w:ascii="Cambria" w:eastAsia="Arial Unicode MS" w:hAnsi="Cambria"/>
          <w:sz w:val="20"/>
          <w:szCs w:val="20"/>
          <w:bdr w:val="nil"/>
          <w:vertAlign w:val="superscript"/>
          <w:lang w:val="es-ES_tradnl"/>
        </w:rPr>
        <w:t xml:space="preserve"> </w:t>
      </w:r>
      <w:r w:rsidRPr="0058501F">
        <w:rPr>
          <w:rFonts w:ascii="Cambria" w:eastAsia="Arial Unicode MS" w:hAnsi="Cambria"/>
          <w:sz w:val="20"/>
          <w:szCs w:val="20"/>
          <w:bdr w:val="nil"/>
          <w:vertAlign w:val="superscript"/>
          <w:lang w:val="es-ES_tradnl"/>
        </w:rPr>
        <w:footnoteReference w:id="104"/>
      </w:r>
      <w:r w:rsidRPr="0058501F">
        <w:rPr>
          <w:rFonts w:ascii="Cambria" w:eastAsia="Arial Unicode MS" w:hAnsi="Cambria"/>
          <w:sz w:val="20"/>
          <w:szCs w:val="20"/>
          <w:bdr w:val="nil"/>
          <w:lang w:val="es-ES_tradnl"/>
        </w:rPr>
        <w:t xml:space="preserve"> Además, de acuerdo con las conclusiones sobre la privación de libertad en el corredor de la muerte, la eventual ejecución de las presuntas víctimas constituiría, de cualquier modo, una violación del derecho a la protección contra castigos crueles, infamantes o inusuales. A la luz de lo anterior y teniendo en cuenta las determinaciones realizadas a lo largo de este informe, la CIDH concluye que la ejecución de Ramiro Ibarra Rubí constituiría una grave violación a su derecho a la vida consagrado en los artículos I de la Declaración Americana.</w:t>
      </w:r>
    </w:p>
    <w:p w14:paraId="45DB5015" w14:textId="77777777" w:rsidR="00540E3D" w:rsidRPr="00103034" w:rsidRDefault="00540E3D" w:rsidP="00666042">
      <w:pPr>
        <w:pStyle w:val="Heading1"/>
        <w:numPr>
          <w:ilvl w:val="0"/>
          <w:numId w:val="24"/>
        </w:numPr>
        <w:ind w:left="360" w:hanging="360"/>
        <w:rPr>
          <w:rFonts w:ascii="Cambria" w:eastAsia="SimSun" w:hAnsi="Cambria"/>
          <w:sz w:val="20"/>
          <w:szCs w:val="20"/>
          <w:bdr w:val="nil"/>
          <w:lang w:val="es-ES_tradnl"/>
        </w:rPr>
      </w:pPr>
      <w:bookmarkStart w:id="38" w:name="_Toc90117847"/>
      <w:bookmarkStart w:id="39" w:name="_Toc45105400"/>
      <w:bookmarkStart w:id="40" w:name="_Toc47714178"/>
      <w:bookmarkStart w:id="41" w:name="_Toc68863904"/>
      <w:r w:rsidRPr="00103034">
        <w:rPr>
          <w:rFonts w:ascii="Cambria" w:eastAsia="SimSun" w:hAnsi="Cambria"/>
          <w:sz w:val="20"/>
          <w:szCs w:val="20"/>
          <w:bdr w:val="nil"/>
          <w:lang w:val="es-ES_tradnl"/>
        </w:rPr>
        <w:t>INFORME No. 9/21 E INFORMACIÓN SOBRE CUMPLIMIENTO</w:t>
      </w:r>
      <w:bookmarkEnd w:id="38"/>
    </w:p>
    <w:bookmarkEnd w:id="39"/>
    <w:bookmarkEnd w:id="40"/>
    <w:bookmarkEnd w:id="41"/>
    <w:p w14:paraId="099C134B" w14:textId="77777777" w:rsidR="00540E3D" w:rsidRPr="00103034" w:rsidRDefault="00540E3D" w:rsidP="00540E3D">
      <w:pPr>
        <w:pBdr>
          <w:top w:val="nil"/>
          <w:left w:val="nil"/>
          <w:bottom w:val="nil"/>
          <w:right w:val="nil"/>
          <w:between w:val="nil"/>
          <w:bar w:val="nil"/>
        </w:pBdr>
        <w:spacing w:after="0" w:line="240" w:lineRule="auto"/>
        <w:rPr>
          <w:rFonts w:ascii="Cambria" w:eastAsia="Arial Unicode MS" w:hAnsi="Cambria"/>
          <w:sz w:val="20"/>
          <w:szCs w:val="20"/>
          <w:bdr w:val="nil"/>
          <w:lang w:val="es-ES_tradnl"/>
        </w:rPr>
      </w:pPr>
    </w:p>
    <w:p w14:paraId="439CD9AC" w14:textId="77777777" w:rsidR="00540E3D" w:rsidRPr="00103034" w:rsidRDefault="00540E3D" w:rsidP="00470EC4">
      <w:pPr>
        <w:numPr>
          <w:ilvl w:val="0"/>
          <w:numId w:val="1"/>
        </w:numPr>
        <w:pBdr>
          <w:top w:val="nil"/>
          <w:left w:val="nil"/>
          <w:bottom w:val="nil"/>
          <w:right w:val="nil"/>
          <w:between w:val="nil"/>
          <w:bar w:val="nil"/>
        </w:pBdr>
        <w:tabs>
          <w:tab w:val="left" w:pos="540"/>
        </w:tabs>
        <w:spacing w:after="0" w:line="240" w:lineRule="auto"/>
        <w:ind w:firstLine="0"/>
        <w:jc w:val="both"/>
        <w:rPr>
          <w:rFonts w:ascii="Cambria" w:eastAsia="Cambria" w:hAnsi="Cambria" w:cs="Cambria"/>
          <w:color w:val="000000"/>
          <w:sz w:val="20"/>
          <w:szCs w:val="20"/>
          <w:u w:color="000000"/>
          <w:bdr w:val="nil"/>
          <w:lang w:val="es-ES_tradnl" w:eastAsia="es-ES"/>
        </w:rPr>
      </w:pPr>
      <w:r w:rsidRPr="00103034">
        <w:rPr>
          <w:rFonts w:ascii="Cambria" w:eastAsia="Cambria" w:hAnsi="Cambria" w:cs="Cambria"/>
          <w:color w:val="000000"/>
          <w:sz w:val="20"/>
          <w:szCs w:val="20"/>
          <w:u w:color="000000"/>
          <w:bdr w:val="nil"/>
          <w:lang w:val="es-ES_tradnl" w:eastAsia="es-ES"/>
        </w:rPr>
        <w:t>El 25 de febrero de 2021 la Comisión aprobó el Informe No. 9/21 sobre el fondo del presente caso, que abarca los párrafos 1 a 131 supra, y emitió al Estado las siguientes recomendaciones:</w:t>
      </w:r>
    </w:p>
    <w:p w14:paraId="73576283" w14:textId="77777777" w:rsidR="00540E3D" w:rsidRPr="0058501F" w:rsidRDefault="00540E3D" w:rsidP="00540E3D">
      <w:pPr>
        <w:pBdr>
          <w:top w:val="nil"/>
          <w:left w:val="nil"/>
          <w:bottom w:val="nil"/>
          <w:right w:val="nil"/>
          <w:between w:val="nil"/>
          <w:bar w:val="nil"/>
        </w:pBdr>
        <w:spacing w:after="0" w:line="240" w:lineRule="auto"/>
        <w:rPr>
          <w:rFonts w:ascii="Cambria" w:eastAsia="Arial Unicode MS" w:hAnsi="Cambria"/>
          <w:sz w:val="24"/>
          <w:szCs w:val="24"/>
          <w:bdr w:val="nil"/>
          <w:lang w:val="es-ES_tradnl"/>
        </w:rPr>
      </w:pPr>
    </w:p>
    <w:p w14:paraId="7A6B4348" w14:textId="77777777" w:rsidR="00540E3D" w:rsidRPr="0058501F" w:rsidRDefault="00540E3D" w:rsidP="00540E3D">
      <w:pPr>
        <w:numPr>
          <w:ilvl w:val="0"/>
          <w:numId w:val="27"/>
        </w:numPr>
        <w:pBdr>
          <w:top w:val="nil"/>
          <w:left w:val="nil"/>
          <w:bottom w:val="nil"/>
          <w:right w:val="nil"/>
          <w:between w:val="nil"/>
          <w:bar w:val="nil"/>
        </w:pBdr>
        <w:tabs>
          <w:tab w:val="left" w:pos="0"/>
        </w:tabs>
        <w:spacing w:after="0" w:line="240" w:lineRule="auto"/>
        <w:jc w:val="both"/>
        <w:rPr>
          <w:rFonts w:ascii="Cambria" w:eastAsia="Times New Roman" w:hAnsi="Cambria" w:cs="Tahoma"/>
          <w:color w:val="000000"/>
          <w:sz w:val="20"/>
          <w:szCs w:val="20"/>
          <w:u w:color="000000"/>
          <w:bdr w:val="none" w:sz="0" w:space="0" w:color="auto" w:frame="1"/>
          <w:lang w:val="es-ES_tradnl" w:eastAsia="es-ES"/>
        </w:rPr>
      </w:pPr>
      <w:r w:rsidRPr="0058501F">
        <w:rPr>
          <w:rFonts w:ascii="Cambria" w:eastAsia="Times New Roman" w:hAnsi="Cambria" w:cs="Tahoma"/>
          <w:color w:val="000000"/>
          <w:sz w:val="20"/>
          <w:szCs w:val="20"/>
          <w:u w:color="000000"/>
          <w:bdr w:val="none" w:sz="0" w:space="0" w:color="auto" w:frame="1"/>
          <w:lang w:val="es-ES_tradnl" w:eastAsia="es-ES"/>
        </w:rPr>
        <w:t xml:space="preserve">Otorgue a Ramiro Ibarra </w:t>
      </w:r>
      <w:proofErr w:type="spellStart"/>
      <w:r w:rsidRPr="0058501F">
        <w:rPr>
          <w:rFonts w:ascii="Cambria" w:eastAsia="Times New Roman" w:hAnsi="Cambria" w:cs="Tahoma"/>
          <w:color w:val="000000"/>
          <w:sz w:val="20"/>
          <w:szCs w:val="20"/>
          <w:u w:color="000000"/>
          <w:bdr w:val="none" w:sz="0" w:space="0" w:color="auto" w:frame="1"/>
          <w:lang w:val="es-ES_tradnl" w:eastAsia="es-ES"/>
        </w:rPr>
        <w:t>Rubi</w:t>
      </w:r>
      <w:proofErr w:type="spellEnd"/>
      <w:r w:rsidRPr="0058501F">
        <w:rPr>
          <w:rFonts w:ascii="Cambria" w:eastAsia="Times New Roman" w:hAnsi="Cambria" w:cs="Tahoma"/>
          <w:color w:val="000000"/>
          <w:sz w:val="20"/>
          <w:szCs w:val="20"/>
          <w:u w:color="000000"/>
          <w:bdr w:val="none" w:sz="0" w:space="0" w:color="auto" w:frame="1"/>
          <w:lang w:val="es-ES_tradnl" w:eastAsia="es-ES"/>
        </w:rPr>
        <w:t xml:space="preserve"> una reparación efectiva, incluida la revisión de su juicio y sentencias de acuerdo con las garantías de justicia y debido proceso establecidas en los artículos XVIII y XXVI de la Declaración Americana, y el pago de una indemnización pecuniaria. Teniendo en cuenta la </w:t>
      </w:r>
      <w:r w:rsidRPr="0058501F">
        <w:rPr>
          <w:rFonts w:ascii="Cambria" w:eastAsia="Times New Roman" w:hAnsi="Cambria" w:cs="Tahoma"/>
          <w:color w:val="000000"/>
          <w:sz w:val="20"/>
          <w:szCs w:val="20"/>
          <w:u w:color="000000"/>
          <w:bdr w:val="none" w:sz="0" w:space="0" w:color="auto" w:frame="1"/>
          <w:lang w:val="es-ES_tradnl" w:eastAsia="es-ES"/>
        </w:rPr>
        <w:lastRenderedPageBreak/>
        <w:t>conclusión de la CIDH sobre el tiempo que la presunta víctima se encuentra en el corredor de la muerte, la Comisión recomienda que se le conmute la pena.</w:t>
      </w:r>
    </w:p>
    <w:p w14:paraId="00011F91" w14:textId="77777777" w:rsidR="00540E3D" w:rsidRPr="0058501F" w:rsidRDefault="00540E3D" w:rsidP="00540E3D">
      <w:pPr>
        <w:pBdr>
          <w:top w:val="nil"/>
          <w:left w:val="nil"/>
          <w:bottom w:val="nil"/>
          <w:right w:val="nil"/>
          <w:between w:val="nil"/>
          <w:bar w:val="nil"/>
        </w:pBdr>
        <w:tabs>
          <w:tab w:val="left" w:pos="360"/>
        </w:tabs>
        <w:spacing w:after="0" w:line="240" w:lineRule="auto"/>
        <w:jc w:val="both"/>
        <w:rPr>
          <w:rFonts w:ascii="Cambria" w:eastAsia="Times New Roman" w:hAnsi="Cambria" w:cs="Tahoma"/>
          <w:color w:val="000000"/>
          <w:sz w:val="20"/>
          <w:szCs w:val="20"/>
          <w:u w:color="000000"/>
          <w:bdr w:val="none" w:sz="0" w:space="0" w:color="auto" w:frame="1"/>
          <w:lang w:val="es-ES_tradnl" w:eastAsia="es-ES"/>
        </w:rPr>
      </w:pPr>
    </w:p>
    <w:p w14:paraId="46249B46" w14:textId="77777777" w:rsidR="00540E3D" w:rsidRPr="0058501F" w:rsidRDefault="00540E3D" w:rsidP="00540E3D">
      <w:pPr>
        <w:numPr>
          <w:ilvl w:val="0"/>
          <w:numId w:val="27"/>
        </w:numPr>
        <w:pBdr>
          <w:top w:val="nil"/>
          <w:left w:val="nil"/>
          <w:bottom w:val="nil"/>
          <w:right w:val="nil"/>
          <w:between w:val="nil"/>
          <w:bar w:val="nil"/>
        </w:pBdr>
        <w:tabs>
          <w:tab w:val="left" w:pos="720"/>
        </w:tabs>
        <w:spacing w:after="0" w:line="240" w:lineRule="auto"/>
        <w:ind w:left="90" w:firstLine="630"/>
        <w:jc w:val="both"/>
        <w:rPr>
          <w:rFonts w:ascii="Cambria" w:eastAsia="Times New Roman" w:hAnsi="Cambria" w:cs="Tahoma"/>
          <w:color w:val="000000"/>
          <w:sz w:val="20"/>
          <w:szCs w:val="20"/>
          <w:u w:color="000000"/>
          <w:bdr w:val="none" w:sz="0" w:space="0" w:color="auto" w:frame="1"/>
          <w:lang w:val="es-ES_tradnl" w:eastAsia="es-ES"/>
        </w:rPr>
      </w:pPr>
      <w:r w:rsidRPr="0058501F">
        <w:rPr>
          <w:rFonts w:ascii="Cambria" w:eastAsia="Times New Roman" w:hAnsi="Cambria" w:cs="Tahoma"/>
          <w:color w:val="000000"/>
          <w:sz w:val="20"/>
          <w:szCs w:val="20"/>
          <w:u w:color="000000"/>
          <w:bdr w:val="none" w:sz="0" w:space="0" w:color="auto" w:frame="1"/>
          <w:lang w:val="es-ES_tradnl" w:eastAsia="es-ES"/>
        </w:rPr>
        <w:t>Revise sus leyes, procedimientos y prácticas a nivel estatal y federal para asegurar que las personas acusadas de delitos susceptibles de ser penados con la muerte sean juzgadas y, de ser condenadas, sentenciadas de conformidad con los derechos establecidos en la Declaración Americana, incluidos los artículos I, II, XVIII, XXV. y XXVI de la misma y, en particular:</w:t>
      </w:r>
    </w:p>
    <w:p w14:paraId="05659C9C" w14:textId="77777777" w:rsidR="00540E3D" w:rsidRPr="0058501F" w:rsidRDefault="00540E3D" w:rsidP="00540E3D">
      <w:pPr>
        <w:pBdr>
          <w:top w:val="nil"/>
          <w:left w:val="nil"/>
          <w:bottom w:val="nil"/>
          <w:right w:val="nil"/>
          <w:between w:val="nil"/>
          <w:bar w:val="nil"/>
        </w:pBdr>
        <w:spacing w:after="0" w:line="240" w:lineRule="auto"/>
        <w:ind w:left="1080"/>
        <w:rPr>
          <w:rFonts w:ascii="Cambria" w:eastAsia="Cambria" w:hAnsi="Cambria" w:cs="Cambria"/>
          <w:color w:val="000000"/>
          <w:sz w:val="20"/>
          <w:szCs w:val="20"/>
          <w:u w:color="000000"/>
          <w:bdr w:val="none" w:sz="0" w:space="0" w:color="auto" w:frame="1"/>
          <w:lang w:val="es-ES_tradnl" w:eastAsia="es-ES"/>
        </w:rPr>
      </w:pPr>
    </w:p>
    <w:p w14:paraId="2635B549" w14:textId="77777777" w:rsidR="00540E3D" w:rsidRPr="0058501F" w:rsidRDefault="00540E3D" w:rsidP="00540E3D">
      <w:pPr>
        <w:numPr>
          <w:ilvl w:val="1"/>
          <w:numId w:val="27"/>
        </w:numPr>
        <w:pBdr>
          <w:top w:val="nil"/>
          <w:left w:val="nil"/>
          <w:bottom w:val="nil"/>
          <w:right w:val="nil"/>
          <w:between w:val="nil"/>
          <w:bar w:val="nil"/>
        </w:pBdr>
        <w:tabs>
          <w:tab w:val="left" w:pos="360"/>
        </w:tabs>
        <w:spacing w:after="0" w:line="240" w:lineRule="auto"/>
        <w:ind w:left="1080"/>
        <w:jc w:val="both"/>
        <w:rPr>
          <w:rFonts w:ascii="Cambria" w:eastAsia="Times New Roman" w:hAnsi="Cambria" w:cs="Tahoma"/>
          <w:color w:val="000000"/>
          <w:sz w:val="20"/>
          <w:szCs w:val="20"/>
          <w:u w:color="000000"/>
          <w:bdr w:val="none" w:sz="0" w:space="0" w:color="auto" w:frame="1"/>
          <w:lang w:val="es-ES_tradnl" w:eastAsia="es-ES"/>
        </w:rPr>
      </w:pPr>
      <w:r w:rsidRPr="0058501F">
        <w:rPr>
          <w:rFonts w:ascii="Cambria" w:eastAsia="Times New Roman" w:hAnsi="Cambria" w:cs="Tahoma"/>
          <w:color w:val="000000"/>
          <w:sz w:val="20"/>
          <w:szCs w:val="20"/>
          <w:u w:color="000000"/>
          <w:bdr w:val="none" w:sz="0" w:space="0" w:color="auto" w:frame="1"/>
          <w:lang w:val="es-ES_tradnl" w:eastAsia="es-ES"/>
        </w:rPr>
        <w:t>Asegure que todo extranjero privado de libertad sea informado, sin demora y antes de su primera instancia de interrogatorio por parte de las autoridades estatales, del derecho a solicitar que se notifique inmediatamente a las autoridades consulares de su arresto o detención;</w:t>
      </w:r>
    </w:p>
    <w:p w14:paraId="7578763A" w14:textId="77777777" w:rsidR="00540E3D" w:rsidRPr="0058501F" w:rsidRDefault="00540E3D" w:rsidP="00540E3D">
      <w:pPr>
        <w:numPr>
          <w:ilvl w:val="1"/>
          <w:numId w:val="27"/>
        </w:numPr>
        <w:pBdr>
          <w:top w:val="nil"/>
          <w:left w:val="nil"/>
          <w:bottom w:val="nil"/>
          <w:right w:val="nil"/>
          <w:between w:val="nil"/>
          <w:bar w:val="nil"/>
        </w:pBdr>
        <w:tabs>
          <w:tab w:val="left" w:pos="360"/>
        </w:tabs>
        <w:spacing w:after="0" w:line="240" w:lineRule="auto"/>
        <w:ind w:left="1080"/>
        <w:jc w:val="both"/>
        <w:rPr>
          <w:rFonts w:ascii="Cambria" w:eastAsia="Times New Roman" w:hAnsi="Cambria" w:cs="Tahoma"/>
          <w:color w:val="000000"/>
          <w:sz w:val="20"/>
          <w:szCs w:val="20"/>
          <w:u w:color="000000"/>
          <w:bdr w:val="none" w:sz="0" w:space="0" w:color="auto" w:frame="1"/>
          <w:lang w:val="es-ES_tradnl" w:eastAsia="es-ES"/>
        </w:rPr>
      </w:pPr>
      <w:r w:rsidRPr="0058501F">
        <w:rPr>
          <w:rFonts w:ascii="Cambria" w:eastAsia="Times New Roman" w:hAnsi="Cambria" w:cs="Tahoma"/>
          <w:color w:val="000000"/>
          <w:sz w:val="20"/>
          <w:szCs w:val="20"/>
          <w:u w:color="000000"/>
          <w:bdr w:val="none" w:sz="0" w:space="0" w:color="auto" w:frame="1"/>
          <w:lang w:val="es-ES_tradnl" w:eastAsia="es-ES"/>
        </w:rPr>
        <w:t>Otorgue la oportunidad de presentar evidencia con respecto a la discapacidad mental e intelectual y ser escuchado sobre los méritos de esa evidencia, cuando se alega dicha discapacidad y realizar una audiencia de nueva sentencia para determinar la sentencia apropiada adecuada cuando tal discapacidad existe; y</w:t>
      </w:r>
    </w:p>
    <w:p w14:paraId="295C7E91" w14:textId="77777777" w:rsidR="00540E3D" w:rsidRPr="0058501F" w:rsidRDefault="00540E3D" w:rsidP="00540E3D">
      <w:pPr>
        <w:numPr>
          <w:ilvl w:val="1"/>
          <w:numId w:val="27"/>
        </w:numPr>
        <w:pBdr>
          <w:top w:val="nil"/>
          <w:left w:val="nil"/>
          <w:bottom w:val="nil"/>
          <w:right w:val="nil"/>
          <w:between w:val="nil"/>
          <w:bar w:val="nil"/>
        </w:pBdr>
        <w:tabs>
          <w:tab w:val="left" w:pos="360"/>
        </w:tabs>
        <w:spacing w:after="0" w:line="240" w:lineRule="auto"/>
        <w:ind w:left="1080"/>
        <w:jc w:val="both"/>
        <w:rPr>
          <w:rFonts w:ascii="Cambria" w:eastAsia="Times New Roman" w:hAnsi="Cambria" w:cs="Tahoma"/>
          <w:color w:val="000000"/>
          <w:sz w:val="20"/>
          <w:szCs w:val="20"/>
          <w:u w:color="000000"/>
          <w:bdr w:val="none" w:sz="0" w:space="0" w:color="auto" w:frame="1"/>
          <w:lang w:val="es-ES_tradnl" w:eastAsia="es-ES"/>
        </w:rPr>
      </w:pPr>
      <w:r w:rsidRPr="0058501F">
        <w:rPr>
          <w:rFonts w:ascii="Cambria" w:eastAsia="Times New Roman" w:hAnsi="Cambria" w:cs="Tahoma"/>
          <w:color w:val="000000"/>
          <w:sz w:val="20"/>
          <w:szCs w:val="20"/>
          <w:u w:color="000000"/>
          <w:bdr w:val="none" w:sz="0" w:space="0" w:color="auto" w:frame="1"/>
          <w:lang w:val="es-ES_tradnl" w:eastAsia="es-ES"/>
        </w:rPr>
        <w:t>Asegure que el método de ejecución no constituya un castigo cruel, infamante o inusual, y en particular, poner a disposición de una persona sujeta a ejecución pendiente, los detalles sobre la fuente, substancia y/o procedimiento administrativo del método de ejecución.</w:t>
      </w:r>
    </w:p>
    <w:p w14:paraId="5C703EF1" w14:textId="77777777" w:rsidR="00540E3D" w:rsidRPr="0058501F" w:rsidRDefault="00540E3D" w:rsidP="00540E3D">
      <w:pPr>
        <w:pBdr>
          <w:top w:val="nil"/>
          <w:left w:val="nil"/>
          <w:bottom w:val="nil"/>
          <w:right w:val="nil"/>
          <w:between w:val="nil"/>
          <w:bar w:val="nil"/>
        </w:pBdr>
        <w:spacing w:after="0" w:line="240" w:lineRule="auto"/>
        <w:rPr>
          <w:rFonts w:ascii="Cambria" w:eastAsia="Times New Roman" w:hAnsi="Cambria" w:cs="Tahoma"/>
          <w:sz w:val="20"/>
          <w:szCs w:val="20"/>
          <w:lang w:val="es-ES_tradnl"/>
        </w:rPr>
      </w:pPr>
    </w:p>
    <w:p w14:paraId="592B7B37" w14:textId="77777777" w:rsidR="00540E3D" w:rsidRPr="0058501F" w:rsidRDefault="00540E3D" w:rsidP="00540E3D">
      <w:pPr>
        <w:numPr>
          <w:ilvl w:val="0"/>
          <w:numId w:val="27"/>
        </w:numPr>
        <w:pBdr>
          <w:top w:val="nil"/>
          <w:left w:val="nil"/>
          <w:bottom w:val="nil"/>
          <w:right w:val="nil"/>
          <w:between w:val="nil"/>
          <w:bar w:val="nil"/>
        </w:pBdr>
        <w:tabs>
          <w:tab w:val="left" w:pos="360"/>
        </w:tabs>
        <w:spacing w:after="0" w:line="240" w:lineRule="auto"/>
        <w:ind w:left="360"/>
        <w:jc w:val="both"/>
        <w:rPr>
          <w:rFonts w:ascii="Cambria" w:eastAsia="Times New Roman" w:hAnsi="Cambria" w:cs="Tahoma"/>
          <w:color w:val="000000"/>
          <w:sz w:val="20"/>
          <w:szCs w:val="20"/>
          <w:u w:color="000000"/>
          <w:bdr w:val="none" w:sz="0" w:space="0" w:color="auto" w:frame="1"/>
          <w:lang w:val="es-ES_tradnl" w:eastAsia="es-ES"/>
        </w:rPr>
      </w:pPr>
      <w:r w:rsidRPr="0058501F">
        <w:rPr>
          <w:rFonts w:ascii="Cambria" w:eastAsia="Times New Roman" w:hAnsi="Cambria" w:cs="Tahoma"/>
          <w:color w:val="000000"/>
          <w:sz w:val="20"/>
          <w:szCs w:val="20"/>
          <w:u w:color="000000"/>
          <w:bdr w:val="none" w:sz="0" w:space="0" w:color="auto" w:frame="1"/>
          <w:lang w:val="es-ES_tradnl" w:eastAsia="es-ES"/>
        </w:rPr>
        <w:t>Dadas las violaciones a la Declaración Americana que ha establecido la CIDH en el presente caso y en otros que involucran la aplicación de la pena de muerte, la Comisión Interamericana también recomienda a los Estados Unidos que derogue la pena de muerte.</w:t>
      </w:r>
      <w:r w:rsidRPr="0058501F">
        <w:rPr>
          <w:rFonts w:ascii="Cambria" w:eastAsia="Cambria" w:hAnsi="Cambria"/>
          <w:color w:val="000000"/>
          <w:sz w:val="20"/>
          <w:szCs w:val="24"/>
          <w:u w:color="000000"/>
          <w:bdr w:val="nil"/>
          <w:vertAlign w:val="superscript"/>
          <w:lang w:val="es-ES_tradnl" w:eastAsia="es-ES"/>
        </w:rPr>
        <w:footnoteReference w:id="105"/>
      </w:r>
    </w:p>
    <w:p w14:paraId="7422DABF" w14:textId="77777777" w:rsidR="00540E3D" w:rsidRPr="0058501F" w:rsidRDefault="00540E3D" w:rsidP="00540E3D">
      <w:pPr>
        <w:pBdr>
          <w:top w:val="nil"/>
          <w:left w:val="nil"/>
          <w:bottom w:val="nil"/>
          <w:right w:val="nil"/>
          <w:between w:val="nil"/>
          <w:bar w:val="nil"/>
        </w:pBdr>
        <w:spacing w:after="0" w:line="240" w:lineRule="auto"/>
        <w:rPr>
          <w:rFonts w:ascii="Cambria" w:eastAsia="Arial Unicode MS" w:hAnsi="Cambria"/>
          <w:sz w:val="20"/>
          <w:szCs w:val="20"/>
          <w:highlight w:val="yellow"/>
          <w:bdr w:val="nil"/>
          <w:lang w:val="es-ES_tradnl"/>
        </w:rPr>
      </w:pPr>
    </w:p>
    <w:p w14:paraId="782ED58F" w14:textId="77777777" w:rsidR="00540E3D" w:rsidRPr="00D006F7" w:rsidRDefault="00540E3D" w:rsidP="00470EC4">
      <w:pPr>
        <w:numPr>
          <w:ilvl w:val="0"/>
          <w:numId w:val="1"/>
        </w:numPr>
        <w:pBdr>
          <w:top w:val="nil"/>
          <w:left w:val="nil"/>
          <w:bottom w:val="nil"/>
          <w:right w:val="nil"/>
          <w:between w:val="nil"/>
          <w:bar w:val="nil"/>
        </w:pBdr>
        <w:tabs>
          <w:tab w:val="left" w:pos="0"/>
          <w:tab w:val="left" w:pos="360"/>
        </w:tabs>
        <w:spacing w:after="0" w:line="240" w:lineRule="auto"/>
        <w:ind w:firstLine="0"/>
        <w:jc w:val="both"/>
        <w:rPr>
          <w:rFonts w:ascii="Cambria" w:eastAsia="Arial Unicode MS" w:hAnsi="Cambria"/>
          <w:color w:val="000000"/>
          <w:sz w:val="20"/>
          <w:szCs w:val="20"/>
          <w:bdr w:val="nil"/>
          <w:lang w:val="es-ES_tradnl"/>
        </w:rPr>
      </w:pPr>
      <w:r w:rsidRPr="00D006F7">
        <w:rPr>
          <w:rFonts w:ascii="Cambria" w:eastAsia="Arial Unicode MS" w:hAnsi="Cambria"/>
          <w:color w:val="000000"/>
          <w:sz w:val="20"/>
          <w:szCs w:val="20"/>
          <w:bdr w:val="nil"/>
          <w:lang w:val="es-ES_tradnl"/>
        </w:rPr>
        <w:t>El 26 de febrero de 2021 la CIDH transmitió el informe al Estado para que este informe a la Comisión hasta el 1 de marzo de 2021 sobre las medidas que ha adoptado para dar cumplimiento a las recomendaciones de la Comisión y resolver la situación.</w:t>
      </w:r>
    </w:p>
    <w:p w14:paraId="37C3B8AD" w14:textId="77777777" w:rsidR="00540E3D" w:rsidRPr="00D006F7" w:rsidRDefault="00540E3D" w:rsidP="00470EC4">
      <w:pPr>
        <w:tabs>
          <w:tab w:val="left" w:pos="0"/>
          <w:tab w:val="left" w:pos="360"/>
        </w:tabs>
        <w:spacing w:after="0" w:line="240" w:lineRule="auto"/>
        <w:jc w:val="both"/>
        <w:rPr>
          <w:rFonts w:ascii="Cambria" w:eastAsia="Arial Unicode MS" w:hAnsi="Cambria"/>
          <w:color w:val="000000"/>
          <w:sz w:val="20"/>
          <w:szCs w:val="20"/>
          <w:bdr w:val="nil"/>
          <w:lang w:val="es-ES_tradnl"/>
        </w:rPr>
      </w:pPr>
    </w:p>
    <w:p w14:paraId="6A9083B6" w14:textId="77777777" w:rsidR="00540E3D" w:rsidRPr="00D006F7" w:rsidRDefault="00540E3D" w:rsidP="00470EC4">
      <w:pPr>
        <w:numPr>
          <w:ilvl w:val="0"/>
          <w:numId w:val="1"/>
        </w:numPr>
        <w:pBdr>
          <w:top w:val="nil"/>
          <w:left w:val="nil"/>
          <w:bottom w:val="nil"/>
          <w:right w:val="nil"/>
          <w:between w:val="nil"/>
          <w:bar w:val="nil"/>
        </w:pBdr>
        <w:tabs>
          <w:tab w:val="left" w:pos="0"/>
          <w:tab w:val="left" w:pos="360"/>
        </w:tabs>
        <w:spacing w:after="0" w:line="240" w:lineRule="auto"/>
        <w:ind w:firstLine="0"/>
        <w:jc w:val="both"/>
        <w:rPr>
          <w:rFonts w:ascii="Cambria" w:eastAsia="Arial Unicode MS" w:hAnsi="Cambria"/>
          <w:color w:val="000000"/>
          <w:sz w:val="20"/>
          <w:szCs w:val="20"/>
          <w:bdr w:val="nil"/>
          <w:lang w:val="es-ES_tradnl"/>
        </w:rPr>
      </w:pPr>
      <w:r w:rsidRPr="00D006F7">
        <w:rPr>
          <w:rFonts w:ascii="Cambria" w:eastAsia="Arial Unicode MS" w:hAnsi="Cambria"/>
          <w:color w:val="000000"/>
          <w:sz w:val="20"/>
          <w:szCs w:val="20"/>
          <w:bdr w:val="nil"/>
          <w:lang w:val="es-ES_tradnl"/>
        </w:rPr>
        <w:t xml:space="preserve">El 26 de febrero de 2021 los peticionarios informaron a la Comisión que el Tribunal de Apelaciones de Texas suspendió la ejecución programada del Sr. Ibarra para permitir la consideración de dos de los reclamos planteados en su posterior petición de hábeas corpus que presentó ante los tribunales de Texas el 11 de febrero de 2021. Informaron que la Corte accedió a considerar el reclamo del </w:t>
      </w:r>
      <w:r w:rsidR="00DD040D" w:rsidRPr="00D006F7">
        <w:rPr>
          <w:rFonts w:ascii="Cambria" w:eastAsia="Arial Unicode MS" w:hAnsi="Cambria"/>
          <w:color w:val="000000"/>
          <w:sz w:val="20"/>
          <w:szCs w:val="20"/>
          <w:bdr w:val="nil"/>
          <w:lang w:val="es-ES_tradnl"/>
        </w:rPr>
        <w:t>Sr.</w:t>
      </w:r>
      <w:r w:rsidRPr="00D006F7">
        <w:rPr>
          <w:rFonts w:ascii="Cambria" w:eastAsia="Arial Unicode MS" w:hAnsi="Cambria"/>
          <w:color w:val="000000"/>
          <w:sz w:val="20"/>
          <w:szCs w:val="20"/>
          <w:bdr w:val="nil"/>
          <w:lang w:val="es-ES_tradnl"/>
        </w:rPr>
        <w:t xml:space="preserve"> Ibarra de que tiene discapacidad intelectual y su alegato de que su condena estuvo contaminada por pruebas de ADN poco confiables. Informaron que la Corte no ha declarado al </w:t>
      </w:r>
      <w:r w:rsidR="00DD040D" w:rsidRPr="00D006F7">
        <w:rPr>
          <w:rFonts w:ascii="Cambria" w:eastAsia="Arial Unicode MS" w:hAnsi="Cambria"/>
          <w:color w:val="000000"/>
          <w:sz w:val="20"/>
          <w:szCs w:val="20"/>
          <w:bdr w:val="nil"/>
          <w:lang w:val="es-ES_tradnl"/>
        </w:rPr>
        <w:t>Sr.</w:t>
      </w:r>
      <w:r w:rsidRPr="00D006F7">
        <w:rPr>
          <w:rFonts w:ascii="Cambria" w:eastAsia="Arial Unicode MS" w:hAnsi="Cambria"/>
          <w:color w:val="000000"/>
          <w:sz w:val="20"/>
          <w:szCs w:val="20"/>
          <w:bdr w:val="nil"/>
          <w:lang w:val="es-ES_tradnl"/>
        </w:rPr>
        <w:t xml:space="preserve"> Ibarra inhabilitado para ejecución; y si finalmente rechaza estos reclamos, Texas podrá solicitar nuevamente su ejecución. Esta información fue transmitida al Estado el 6 de marzo de 2021.</w:t>
      </w:r>
    </w:p>
    <w:p w14:paraId="4519C62B" w14:textId="77777777" w:rsidR="00540E3D" w:rsidRPr="00D006F7" w:rsidRDefault="00540E3D" w:rsidP="00470EC4">
      <w:pPr>
        <w:tabs>
          <w:tab w:val="left" w:pos="0"/>
          <w:tab w:val="left" w:pos="360"/>
        </w:tabs>
        <w:spacing w:after="0" w:line="240" w:lineRule="auto"/>
        <w:jc w:val="both"/>
        <w:rPr>
          <w:rFonts w:ascii="Cambria" w:eastAsia="Arial Unicode MS" w:hAnsi="Cambria"/>
          <w:color w:val="000000"/>
          <w:sz w:val="20"/>
          <w:szCs w:val="20"/>
          <w:bdr w:val="nil"/>
          <w:lang w:val="es-ES_tradnl"/>
        </w:rPr>
      </w:pPr>
    </w:p>
    <w:p w14:paraId="08D42C6D" w14:textId="77777777" w:rsidR="00540E3D" w:rsidRDefault="00540E3D" w:rsidP="00470EC4">
      <w:pPr>
        <w:numPr>
          <w:ilvl w:val="0"/>
          <w:numId w:val="1"/>
        </w:numPr>
        <w:pBdr>
          <w:top w:val="nil"/>
          <w:left w:val="nil"/>
          <w:bottom w:val="nil"/>
          <w:right w:val="nil"/>
          <w:between w:val="nil"/>
          <w:bar w:val="nil"/>
        </w:pBdr>
        <w:tabs>
          <w:tab w:val="left" w:pos="0"/>
          <w:tab w:val="left" w:pos="360"/>
        </w:tabs>
        <w:spacing w:after="0" w:line="240" w:lineRule="auto"/>
        <w:ind w:firstLine="0"/>
        <w:jc w:val="both"/>
        <w:rPr>
          <w:rFonts w:ascii="Cambria" w:eastAsia="Arial Unicode MS" w:hAnsi="Cambria"/>
          <w:color w:val="000000"/>
          <w:sz w:val="20"/>
          <w:szCs w:val="20"/>
          <w:bdr w:val="nil"/>
          <w:lang w:val="es-ES_tradnl"/>
        </w:rPr>
      </w:pPr>
      <w:r w:rsidRPr="00D006F7">
        <w:rPr>
          <w:rFonts w:ascii="Cambria" w:eastAsia="Arial Unicode MS" w:hAnsi="Cambria"/>
          <w:color w:val="000000"/>
          <w:sz w:val="20"/>
          <w:szCs w:val="20"/>
          <w:bdr w:val="nil"/>
          <w:lang w:val="es-ES_tradnl"/>
        </w:rPr>
        <w:t>Hasta la fecha, la Comisión no ha recibido respuesta de los Estados Unidos con respecto al informe No. 9/21.</w:t>
      </w:r>
    </w:p>
    <w:p w14:paraId="2C0FCF8C" w14:textId="77777777" w:rsidR="00D006F7" w:rsidRPr="00195551" w:rsidRDefault="00D006F7" w:rsidP="00666042">
      <w:pPr>
        <w:pStyle w:val="Heading1"/>
        <w:numPr>
          <w:ilvl w:val="0"/>
          <w:numId w:val="24"/>
        </w:numPr>
        <w:ind w:left="540" w:hanging="540"/>
        <w:rPr>
          <w:rFonts w:ascii="Cambria" w:eastAsia="SimSun" w:hAnsi="Cambria"/>
          <w:sz w:val="20"/>
          <w:szCs w:val="20"/>
          <w:bdr w:val="nil"/>
          <w:lang w:val="es-ES_tradnl"/>
        </w:rPr>
      </w:pPr>
      <w:bookmarkStart w:id="42" w:name="_Toc26552694"/>
      <w:bookmarkStart w:id="43" w:name="_Toc87522750"/>
      <w:bookmarkStart w:id="44" w:name="_Toc90117848"/>
      <w:r w:rsidRPr="00195551">
        <w:rPr>
          <w:rFonts w:ascii="Cambria" w:eastAsia="SimSun" w:hAnsi="Cambria"/>
          <w:sz w:val="20"/>
          <w:szCs w:val="20"/>
          <w:bdr w:val="nil"/>
          <w:lang w:val="es-ES_tradnl"/>
        </w:rPr>
        <w:t>ACCIONES POSTERIORES AL INFORME No. 32</w:t>
      </w:r>
      <w:r w:rsidR="006C410A" w:rsidRPr="00195551">
        <w:rPr>
          <w:rFonts w:ascii="Cambria" w:eastAsia="SimSun" w:hAnsi="Cambria"/>
          <w:sz w:val="20"/>
          <w:szCs w:val="20"/>
          <w:bdr w:val="nil"/>
          <w:lang w:val="es-ES_tradnl"/>
        </w:rPr>
        <w:t>5</w:t>
      </w:r>
      <w:r w:rsidRPr="00195551">
        <w:rPr>
          <w:rFonts w:ascii="Cambria" w:eastAsia="SimSun" w:hAnsi="Cambria"/>
          <w:sz w:val="20"/>
          <w:szCs w:val="20"/>
          <w:bdr w:val="nil"/>
          <w:lang w:val="es-ES_tradnl"/>
        </w:rPr>
        <w:t>/</w:t>
      </w:r>
      <w:bookmarkEnd w:id="42"/>
      <w:r w:rsidRPr="00195551">
        <w:rPr>
          <w:rFonts w:ascii="Cambria" w:eastAsia="SimSun" w:hAnsi="Cambria"/>
          <w:sz w:val="20"/>
          <w:szCs w:val="20"/>
          <w:bdr w:val="nil"/>
          <w:lang w:val="es-ES_tradnl"/>
        </w:rPr>
        <w:t>2</w:t>
      </w:r>
      <w:bookmarkEnd w:id="43"/>
      <w:r w:rsidR="006C410A" w:rsidRPr="00195551">
        <w:rPr>
          <w:rFonts w:ascii="Cambria" w:eastAsia="SimSun" w:hAnsi="Cambria"/>
          <w:sz w:val="20"/>
          <w:szCs w:val="20"/>
          <w:bdr w:val="nil"/>
          <w:lang w:val="es-ES_tradnl"/>
        </w:rPr>
        <w:t>1</w:t>
      </w:r>
      <w:bookmarkEnd w:id="44"/>
    </w:p>
    <w:p w14:paraId="759A079F" w14:textId="77777777" w:rsidR="00D006F7" w:rsidRPr="00195551" w:rsidRDefault="00D006F7" w:rsidP="00666042">
      <w:pPr>
        <w:pBdr>
          <w:top w:val="nil"/>
          <w:left w:val="nil"/>
          <w:bottom w:val="nil"/>
          <w:right w:val="nil"/>
          <w:between w:val="nil"/>
          <w:bar w:val="nil"/>
        </w:pBdr>
        <w:tabs>
          <w:tab w:val="left" w:pos="0"/>
          <w:tab w:val="left" w:pos="360"/>
        </w:tabs>
        <w:spacing w:after="0" w:line="240" w:lineRule="auto"/>
        <w:jc w:val="both"/>
        <w:rPr>
          <w:lang w:val="es-AR"/>
        </w:rPr>
      </w:pPr>
    </w:p>
    <w:p w14:paraId="31234FD4" w14:textId="77777777" w:rsidR="00D006F7" w:rsidRPr="00195551" w:rsidRDefault="00D006F7" w:rsidP="00470EC4">
      <w:pPr>
        <w:numPr>
          <w:ilvl w:val="0"/>
          <w:numId w:val="1"/>
        </w:numPr>
        <w:pBdr>
          <w:top w:val="nil"/>
          <w:left w:val="nil"/>
          <w:bottom w:val="nil"/>
          <w:right w:val="nil"/>
          <w:between w:val="nil"/>
          <w:bar w:val="nil"/>
        </w:pBdr>
        <w:tabs>
          <w:tab w:val="left" w:pos="0"/>
          <w:tab w:val="left" w:pos="360"/>
        </w:tabs>
        <w:spacing w:after="0" w:line="240" w:lineRule="auto"/>
        <w:ind w:firstLine="0"/>
        <w:jc w:val="both"/>
        <w:rPr>
          <w:rFonts w:ascii="Cambria" w:hAnsi="Cambria"/>
          <w:sz w:val="20"/>
          <w:szCs w:val="20"/>
          <w:lang w:val="es-UY"/>
        </w:rPr>
      </w:pPr>
      <w:r w:rsidRPr="00195551">
        <w:rPr>
          <w:rFonts w:ascii="Cambria" w:eastAsia="Arial Unicode MS" w:hAnsi="Cambria"/>
          <w:color w:val="000000"/>
          <w:sz w:val="20"/>
          <w:szCs w:val="20"/>
          <w:bdr w:val="nil"/>
          <w:lang w:val="es-ES_tradnl"/>
        </w:rPr>
        <w:t>El</w:t>
      </w:r>
      <w:r w:rsidRPr="00195551">
        <w:rPr>
          <w:rFonts w:ascii="Cambria" w:hAnsi="Cambria"/>
          <w:sz w:val="20"/>
          <w:szCs w:val="20"/>
          <w:lang w:val="es-UY"/>
        </w:rPr>
        <w:t xml:space="preserve"> 1</w:t>
      </w:r>
      <w:r w:rsidR="006C410A" w:rsidRPr="00195551">
        <w:rPr>
          <w:rFonts w:ascii="Cambria" w:hAnsi="Cambria"/>
          <w:sz w:val="20"/>
          <w:szCs w:val="20"/>
          <w:lang w:val="es-UY"/>
        </w:rPr>
        <w:t>9</w:t>
      </w:r>
      <w:r w:rsidRPr="00195551">
        <w:rPr>
          <w:rFonts w:ascii="Cambria" w:hAnsi="Cambria"/>
          <w:sz w:val="20"/>
          <w:szCs w:val="20"/>
          <w:lang w:val="es-UY"/>
        </w:rPr>
        <w:t xml:space="preserve"> de </w:t>
      </w:r>
      <w:r w:rsidR="006C410A" w:rsidRPr="00195551">
        <w:rPr>
          <w:rFonts w:ascii="Cambria" w:hAnsi="Cambria"/>
          <w:sz w:val="20"/>
          <w:szCs w:val="20"/>
          <w:lang w:val="es-UY"/>
        </w:rPr>
        <w:t>noviembre</w:t>
      </w:r>
      <w:r w:rsidRPr="00195551">
        <w:rPr>
          <w:rFonts w:ascii="Cambria" w:hAnsi="Cambria"/>
          <w:sz w:val="20"/>
          <w:szCs w:val="20"/>
          <w:lang w:val="es-UY"/>
        </w:rPr>
        <w:t xml:space="preserve"> de 202</w:t>
      </w:r>
      <w:r w:rsidR="006C410A" w:rsidRPr="00195551">
        <w:rPr>
          <w:rFonts w:ascii="Cambria" w:hAnsi="Cambria"/>
          <w:sz w:val="20"/>
          <w:szCs w:val="20"/>
          <w:lang w:val="es-UY"/>
        </w:rPr>
        <w:t>1</w:t>
      </w:r>
      <w:r w:rsidRPr="00195551">
        <w:rPr>
          <w:rFonts w:ascii="Cambria" w:hAnsi="Cambria"/>
          <w:sz w:val="20"/>
          <w:szCs w:val="20"/>
          <w:lang w:val="es-UY"/>
        </w:rPr>
        <w:t>, la Comisión aprobó el Informe de Fondo (Final) No. 32</w:t>
      </w:r>
      <w:r w:rsidR="006C410A" w:rsidRPr="00195551">
        <w:rPr>
          <w:rFonts w:ascii="Cambria" w:hAnsi="Cambria"/>
          <w:sz w:val="20"/>
          <w:szCs w:val="20"/>
          <w:lang w:val="es-UY"/>
        </w:rPr>
        <w:t>5</w:t>
      </w:r>
      <w:r w:rsidRPr="00195551">
        <w:rPr>
          <w:rFonts w:ascii="Cambria" w:hAnsi="Cambria"/>
          <w:sz w:val="20"/>
          <w:szCs w:val="20"/>
          <w:lang w:val="es-UY"/>
        </w:rPr>
        <w:t>/2</w:t>
      </w:r>
      <w:r w:rsidR="006C410A" w:rsidRPr="00195551">
        <w:rPr>
          <w:rFonts w:ascii="Cambria" w:hAnsi="Cambria"/>
          <w:sz w:val="20"/>
          <w:szCs w:val="20"/>
          <w:lang w:val="es-UY"/>
        </w:rPr>
        <w:t>1</w:t>
      </w:r>
      <w:r w:rsidRPr="00195551">
        <w:rPr>
          <w:rFonts w:ascii="Cambria" w:hAnsi="Cambria"/>
          <w:sz w:val="20"/>
          <w:szCs w:val="20"/>
          <w:lang w:val="es-UY"/>
        </w:rPr>
        <w:t xml:space="preserve">, que abarca los párrafos 1 a </w:t>
      </w:r>
      <w:r w:rsidR="006C410A" w:rsidRPr="00195551">
        <w:rPr>
          <w:rFonts w:ascii="Cambria" w:hAnsi="Cambria"/>
          <w:sz w:val="20"/>
          <w:szCs w:val="20"/>
          <w:lang w:val="es-UY"/>
        </w:rPr>
        <w:t>136</w:t>
      </w:r>
      <w:r w:rsidRPr="00195551">
        <w:rPr>
          <w:rFonts w:ascii="Cambria" w:hAnsi="Cambria"/>
          <w:sz w:val="20"/>
          <w:szCs w:val="20"/>
          <w:lang w:val="es-UY"/>
        </w:rPr>
        <w:t xml:space="preserve"> </w:t>
      </w:r>
      <w:r w:rsidRPr="00195551">
        <w:rPr>
          <w:rFonts w:ascii="Cambria" w:hAnsi="Cambria"/>
          <w:i/>
          <w:sz w:val="20"/>
          <w:szCs w:val="20"/>
          <w:lang w:val="es-UY"/>
        </w:rPr>
        <w:t>supra</w:t>
      </w:r>
      <w:r w:rsidRPr="00195551">
        <w:rPr>
          <w:rFonts w:ascii="Cambria" w:hAnsi="Cambria"/>
          <w:sz w:val="20"/>
          <w:szCs w:val="20"/>
          <w:lang w:val="es-UY"/>
        </w:rPr>
        <w:t>, y emitió sus conclusiones y recomendaciones finales al Estado. El 2</w:t>
      </w:r>
      <w:r w:rsidR="006C410A" w:rsidRPr="00195551">
        <w:rPr>
          <w:rFonts w:ascii="Cambria" w:hAnsi="Cambria"/>
          <w:sz w:val="20"/>
          <w:szCs w:val="20"/>
          <w:lang w:val="es-UY"/>
        </w:rPr>
        <w:t>3</w:t>
      </w:r>
      <w:r w:rsidRPr="00195551">
        <w:rPr>
          <w:rFonts w:ascii="Cambria" w:hAnsi="Cambria"/>
          <w:sz w:val="20"/>
          <w:szCs w:val="20"/>
          <w:lang w:val="es-UY"/>
        </w:rPr>
        <w:t xml:space="preserve"> de </w:t>
      </w:r>
      <w:r w:rsidR="006C410A" w:rsidRPr="00195551">
        <w:rPr>
          <w:rFonts w:ascii="Cambria" w:hAnsi="Cambria"/>
          <w:sz w:val="20"/>
          <w:szCs w:val="20"/>
          <w:lang w:val="es-UY"/>
        </w:rPr>
        <w:t xml:space="preserve">noviembre </w:t>
      </w:r>
      <w:r w:rsidRPr="00195551">
        <w:rPr>
          <w:rFonts w:ascii="Cambria" w:hAnsi="Cambria"/>
          <w:sz w:val="20"/>
          <w:szCs w:val="20"/>
          <w:lang w:val="es-UY"/>
        </w:rPr>
        <w:t>de 202</w:t>
      </w:r>
      <w:r w:rsidR="006C410A" w:rsidRPr="00195551">
        <w:rPr>
          <w:rFonts w:ascii="Cambria" w:hAnsi="Cambria"/>
          <w:sz w:val="20"/>
          <w:szCs w:val="20"/>
          <w:lang w:val="es-UY"/>
        </w:rPr>
        <w:t>1</w:t>
      </w:r>
      <w:r w:rsidRPr="00195551">
        <w:rPr>
          <w:rFonts w:ascii="Cambria" w:hAnsi="Cambria"/>
          <w:sz w:val="20"/>
          <w:szCs w:val="20"/>
          <w:lang w:val="es-UY"/>
        </w:rPr>
        <w:t xml:space="preserve">, la Comisión transmitió el informe al Estado y a los peticionarios con un plazo de </w:t>
      </w:r>
      <w:r w:rsidR="006C410A" w:rsidRPr="00195551">
        <w:rPr>
          <w:rFonts w:ascii="Cambria" w:hAnsi="Cambria"/>
          <w:sz w:val="20"/>
          <w:szCs w:val="20"/>
          <w:lang w:val="es-UY"/>
        </w:rPr>
        <w:t>tres semanas</w:t>
      </w:r>
      <w:r w:rsidRPr="00195551">
        <w:rPr>
          <w:rFonts w:ascii="Cambria" w:hAnsi="Cambria"/>
          <w:sz w:val="20"/>
          <w:szCs w:val="20"/>
          <w:lang w:val="es-UY"/>
        </w:rPr>
        <w:t xml:space="preserve"> para informar a la Comisión Interamericana sobre las medidas adoptadas para dar cumplimiento a sus recomendaciones. Hasta la fecha, la CIDH no ha recibido respuesta de los Estados Unidos ni de los peticionarios en relación con el Informe 32</w:t>
      </w:r>
      <w:r w:rsidR="006C410A" w:rsidRPr="00195551">
        <w:rPr>
          <w:rFonts w:ascii="Cambria" w:hAnsi="Cambria"/>
          <w:sz w:val="20"/>
          <w:szCs w:val="20"/>
          <w:lang w:val="es-UY"/>
        </w:rPr>
        <w:t>5</w:t>
      </w:r>
      <w:r w:rsidRPr="00195551">
        <w:rPr>
          <w:rFonts w:ascii="Cambria" w:hAnsi="Cambria"/>
          <w:sz w:val="20"/>
          <w:szCs w:val="20"/>
          <w:lang w:val="es-UY"/>
        </w:rPr>
        <w:t>/2</w:t>
      </w:r>
      <w:r w:rsidR="006C410A" w:rsidRPr="00195551">
        <w:rPr>
          <w:rFonts w:ascii="Cambria" w:hAnsi="Cambria"/>
          <w:sz w:val="20"/>
          <w:szCs w:val="20"/>
          <w:lang w:val="es-UY"/>
        </w:rPr>
        <w:t>1</w:t>
      </w:r>
      <w:r w:rsidRPr="00195551">
        <w:rPr>
          <w:rFonts w:ascii="Cambria" w:hAnsi="Cambria"/>
          <w:sz w:val="20"/>
          <w:szCs w:val="20"/>
          <w:lang w:val="es-UY"/>
        </w:rPr>
        <w:t>.</w:t>
      </w:r>
    </w:p>
    <w:p w14:paraId="32BA559A" w14:textId="77777777" w:rsidR="00540E3D" w:rsidRPr="0058501F" w:rsidRDefault="00540E3D" w:rsidP="006C410A">
      <w:pPr>
        <w:pBdr>
          <w:top w:val="nil"/>
          <w:left w:val="nil"/>
          <w:bottom w:val="nil"/>
          <w:right w:val="nil"/>
          <w:between w:val="nil"/>
          <w:bar w:val="nil"/>
        </w:pBdr>
        <w:spacing w:after="0" w:line="240" w:lineRule="auto"/>
        <w:rPr>
          <w:rFonts w:ascii="Cambria" w:eastAsia="Arial Unicode MS" w:hAnsi="Cambria"/>
          <w:sz w:val="24"/>
          <w:szCs w:val="24"/>
          <w:bdr w:val="nil"/>
          <w:lang w:val="es-ES_tradnl"/>
        </w:rPr>
      </w:pPr>
    </w:p>
    <w:p w14:paraId="3172C9C4" w14:textId="77777777" w:rsidR="00540E3D" w:rsidRPr="0058501F" w:rsidRDefault="00540E3D" w:rsidP="00666042">
      <w:pPr>
        <w:pStyle w:val="Heading1"/>
        <w:numPr>
          <w:ilvl w:val="0"/>
          <w:numId w:val="24"/>
        </w:numPr>
        <w:ind w:left="360" w:hanging="360"/>
        <w:rPr>
          <w:rFonts w:ascii="Cambria" w:eastAsia="SimSun" w:hAnsi="Cambria"/>
          <w:sz w:val="20"/>
          <w:szCs w:val="20"/>
          <w:bdr w:val="nil"/>
          <w:lang w:val="es-ES_tradnl"/>
        </w:rPr>
      </w:pPr>
      <w:bookmarkStart w:id="45" w:name="_Toc90117849"/>
      <w:r w:rsidRPr="0058501F">
        <w:rPr>
          <w:rFonts w:ascii="Cambria" w:eastAsia="SimSun" w:hAnsi="Cambria"/>
          <w:sz w:val="20"/>
          <w:szCs w:val="20"/>
          <w:bdr w:val="nil"/>
          <w:lang w:val="es-ES_tradnl"/>
        </w:rPr>
        <w:lastRenderedPageBreak/>
        <w:t>CONCLUSIONES Y RECOMENDACIONES</w:t>
      </w:r>
      <w:r w:rsidR="00A118FA">
        <w:rPr>
          <w:rFonts w:ascii="Cambria" w:eastAsia="SimSun" w:hAnsi="Cambria"/>
          <w:sz w:val="20"/>
          <w:szCs w:val="20"/>
          <w:bdr w:val="nil"/>
          <w:lang w:val="es-ES_tradnl"/>
        </w:rPr>
        <w:t xml:space="preserve"> </w:t>
      </w:r>
      <w:r w:rsidR="00A118FA" w:rsidRPr="006C410A">
        <w:rPr>
          <w:rFonts w:ascii="Cambria" w:eastAsia="SimSun" w:hAnsi="Cambria"/>
          <w:sz w:val="20"/>
          <w:szCs w:val="20"/>
          <w:bdr w:val="nil"/>
          <w:lang w:val="es-ES_tradnl"/>
        </w:rPr>
        <w:t>FINALES</w:t>
      </w:r>
      <w:bookmarkEnd w:id="45"/>
    </w:p>
    <w:p w14:paraId="1BB32F5C" w14:textId="77777777" w:rsidR="00540E3D" w:rsidRPr="0058501F" w:rsidRDefault="00540E3D" w:rsidP="00540E3D">
      <w:pPr>
        <w:pBdr>
          <w:top w:val="nil"/>
          <w:left w:val="nil"/>
          <w:bottom w:val="nil"/>
          <w:right w:val="nil"/>
          <w:between w:val="nil"/>
          <w:bar w:val="nil"/>
        </w:pBdr>
        <w:spacing w:after="0" w:line="240" w:lineRule="auto"/>
        <w:rPr>
          <w:rFonts w:ascii="Cambria" w:eastAsia="Arial Unicode MS" w:hAnsi="Cambria"/>
          <w:sz w:val="24"/>
          <w:szCs w:val="24"/>
          <w:bdr w:val="nil"/>
          <w:lang w:val="es-ES_tradnl"/>
        </w:rPr>
      </w:pPr>
    </w:p>
    <w:p w14:paraId="442C9704" w14:textId="77777777" w:rsidR="00540E3D" w:rsidRPr="0058501F" w:rsidRDefault="00540E3D" w:rsidP="00470EC4">
      <w:pPr>
        <w:numPr>
          <w:ilvl w:val="0"/>
          <w:numId w:val="1"/>
        </w:numPr>
        <w:pBdr>
          <w:top w:val="nil"/>
          <w:left w:val="nil"/>
          <w:bottom w:val="nil"/>
          <w:right w:val="nil"/>
          <w:between w:val="nil"/>
          <w:bar w:val="nil"/>
        </w:pBdr>
        <w:tabs>
          <w:tab w:val="left" w:pos="0"/>
          <w:tab w:val="left" w:pos="360"/>
        </w:tabs>
        <w:spacing w:after="0" w:line="240" w:lineRule="auto"/>
        <w:ind w:firstLine="0"/>
        <w:jc w:val="both"/>
        <w:rPr>
          <w:rFonts w:ascii="Cambria" w:eastAsia="Arial Unicode MS" w:hAnsi="Cambria"/>
          <w:sz w:val="20"/>
          <w:szCs w:val="20"/>
          <w:bdr w:val="nil"/>
          <w:lang w:val="es-ES_tradnl"/>
        </w:rPr>
      </w:pPr>
      <w:r w:rsidRPr="00D006F7">
        <w:rPr>
          <w:rFonts w:ascii="Cambria" w:eastAsia="Arial Unicode MS" w:hAnsi="Cambria"/>
          <w:color w:val="000000"/>
          <w:sz w:val="20"/>
          <w:szCs w:val="20"/>
          <w:bdr w:val="nil"/>
          <w:lang w:val="es-ES_tradnl"/>
        </w:rPr>
        <w:t>Con</w:t>
      </w:r>
      <w:r w:rsidRPr="0058501F">
        <w:rPr>
          <w:rFonts w:ascii="Cambria" w:eastAsia="Arial Unicode MS" w:hAnsi="Cambria"/>
          <w:sz w:val="20"/>
          <w:szCs w:val="20"/>
          <w:bdr w:val="nil"/>
          <w:lang w:val="es-ES_tradnl"/>
        </w:rPr>
        <w:t xml:space="preserve"> base en determinaciones de hecho y de derecho, la Comisión Interamericana concluye que el Estado es responsable por la violación de los artículos I (vida, libertad y seguridad), XVIII (JUSTICIA), XXV (protección contra la detención arbitraria) y XXVI (proceso regular) de la Declaración Americana, en relación con el artículo II de la Declaración.</w:t>
      </w:r>
    </w:p>
    <w:p w14:paraId="7DAA4FF0" w14:textId="77777777" w:rsidR="00540E3D" w:rsidRPr="0058501F" w:rsidRDefault="00540E3D" w:rsidP="00540E3D">
      <w:pPr>
        <w:tabs>
          <w:tab w:val="left" w:pos="0"/>
          <w:tab w:val="left" w:pos="360"/>
        </w:tabs>
        <w:spacing w:after="0" w:line="240" w:lineRule="auto"/>
        <w:jc w:val="both"/>
        <w:rPr>
          <w:rFonts w:ascii="Cambria" w:eastAsia="Arial Unicode MS" w:hAnsi="Cambria"/>
          <w:sz w:val="20"/>
          <w:szCs w:val="20"/>
          <w:bdr w:val="nil"/>
          <w:lang w:val="es-ES_tradnl"/>
        </w:rPr>
      </w:pPr>
    </w:p>
    <w:p w14:paraId="09C9A214" w14:textId="77777777" w:rsidR="00540E3D" w:rsidRPr="0058501F" w:rsidRDefault="00540E3D" w:rsidP="00540E3D">
      <w:pPr>
        <w:pBdr>
          <w:top w:val="nil"/>
          <w:left w:val="nil"/>
          <w:bottom w:val="nil"/>
          <w:right w:val="nil"/>
          <w:between w:val="nil"/>
          <w:bar w:val="nil"/>
        </w:pBdr>
        <w:tabs>
          <w:tab w:val="left" w:pos="360"/>
        </w:tabs>
        <w:spacing w:after="0" w:line="240" w:lineRule="auto"/>
        <w:jc w:val="both"/>
        <w:rPr>
          <w:rFonts w:ascii="Cambria" w:eastAsia="Arial Unicode MS" w:hAnsi="Cambria"/>
          <w:b/>
          <w:sz w:val="20"/>
          <w:szCs w:val="20"/>
          <w:bdr w:val="nil"/>
          <w:lang w:val="es-ES_tradnl"/>
        </w:rPr>
      </w:pPr>
      <w:r w:rsidRPr="0058501F">
        <w:rPr>
          <w:rFonts w:ascii="Cambria" w:eastAsia="Arial Unicode MS" w:hAnsi="Cambria"/>
          <w:b/>
          <w:sz w:val="20"/>
          <w:szCs w:val="20"/>
          <w:bdr w:val="nil"/>
          <w:lang w:val="es-ES_tradnl"/>
        </w:rPr>
        <w:t xml:space="preserve">LA COMISIÓN INTERAMERICANA DE DERECHOS HUMANOS </w:t>
      </w:r>
      <w:r w:rsidRPr="006C410A">
        <w:rPr>
          <w:rFonts w:ascii="Cambria" w:eastAsia="Arial Unicode MS" w:hAnsi="Cambria"/>
          <w:b/>
          <w:sz w:val="20"/>
          <w:szCs w:val="20"/>
          <w:bdr w:val="nil"/>
          <w:lang w:val="es-ES_tradnl"/>
        </w:rPr>
        <w:t>REITERA</w:t>
      </w:r>
      <w:r w:rsidRPr="0058501F">
        <w:rPr>
          <w:rFonts w:ascii="Cambria" w:eastAsia="Arial Unicode MS" w:hAnsi="Cambria"/>
          <w:b/>
          <w:sz w:val="20"/>
          <w:szCs w:val="20"/>
          <w:bdr w:val="nil"/>
          <w:lang w:val="es-ES_tradnl"/>
        </w:rPr>
        <w:t xml:space="preserve"> QUE LOS ESTADOS UNIDOS DE AMÉRICA,</w:t>
      </w:r>
    </w:p>
    <w:p w14:paraId="175B7E5C" w14:textId="77777777" w:rsidR="00540E3D" w:rsidRPr="0058501F" w:rsidRDefault="00540E3D" w:rsidP="00540E3D">
      <w:pPr>
        <w:pBdr>
          <w:top w:val="nil"/>
          <w:left w:val="nil"/>
          <w:bottom w:val="nil"/>
          <w:right w:val="nil"/>
          <w:between w:val="nil"/>
          <w:bar w:val="nil"/>
        </w:pBdr>
        <w:spacing w:after="0" w:line="240" w:lineRule="auto"/>
        <w:rPr>
          <w:rFonts w:ascii="Cambria" w:eastAsia="Arial Unicode MS" w:hAnsi="Cambria"/>
          <w:sz w:val="24"/>
          <w:szCs w:val="24"/>
          <w:bdr w:val="nil"/>
          <w:lang w:val="es-ES_tradnl"/>
        </w:rPr>
      </w:pPr>
    </w:p>
    <w:p w14:paraId="2C0B3F87" w14:textId="77777777" w:rsidR="00540E3D" w:rsidRPr="0058501F" w:rsidRDefault="00540E3D" w:rsidP="00540E3D">
      <w:pPr>
        <w:numPr>
          <w:ilvl w:val="0"/>
          <w:numId w:val="19"/>
        </w:numPr>
        <w:pBdr>
          <w:top w:val="nil"/>
          <w:left w:val="nil"/>
          <w:bottom w:val="nil"/>
          <w:right w:val="nil"/>
          <w:between w:val="nil"/>
          <w:bar w:val="nil"/>
        </w:pBdr>
        <w:tabs>
          <w:tab w:val="left" w:pos="360"/>
        </w:tabs>
        <w:spacing w:after="0" w:line="240" w:lineRule="auto"/>
        <w:ind w:left="360" w:hanging="360"/>
        <w:jc w:val="both"/>
        <w:rPr>
          <w:rFonts w:ascii="Cambria" w:eastAsia="Times New Roman" w:hAnsi="Cambria" w:cs="Tahoma"/>
          <w:color w:val="000000"/>
          <w:sz w:val="20"/>
          <w:szCs w:val="20"/>
          <w:u w:color="000000"/>
          <w:bdr w:val="none" w:sz="0" w:space="0" w:color="auto" w:frame="1"/>
          <w:lang w:val="es-ES_tradnl" w:eastAsia="es-ES"/>
        </w:rPr>
      </w:pPr>
      <w:r w:rsidRPr="0058501F">
        <w:rPr>
          <w:rFonts w:ascii="Cambria" w:eastAsia="Times New Roman" w:hAnsi="Cambria" w:cs="Tahoma"/>
          <w:color w:val="000000"/>
          <w:sz w:val="20"/>
          <w:szCs w:val="20"/>
          <w:u w:color="000000"/>
          <w:bdr w:val="none" w:sz="0" w:space="0" w:color="auto" w:frame="1"/>
          <w:lang w:val="es-ES_tradnl" w:eastAsia="es-ES"/>
        </w:rPr>
        <w:t xml:space="preserve">Otorgue a Ramiro Ibarra </w:t>
      </w:r>
      <w:proofErr w:type="spellStart"/>
      <w:r w:rsidRPr="0058501F">
        <w:rPr>
          <w:rFonts w:ascii="Cambria" w:eastAsia="Times New Roman" w:hAnsi="Cambria" w:cs="Tahoma"/>
          <w:color w:val="000000"/>
          <w:sz w:val="20"/>
          <w:szCs w:val="20"/>
          <w:u w:color="000000"/>
          <w:bdr w:val="none" w:sz="0" w:space="0" w:color="auto" w:frame="1"/>
          <w:lang w:val="es-ES_tradnl" w:eastAsia="es-ES"/>
        </w:rPr>
        <w:t>Rubi</w:t>
      </w:r>
      <w:proofErr w:type="spellEnd"/>
      <w:r w:rsidRPr="0058501F">
        <w:rPr>
          <w:rFonts w:ascii="Cambria" w:eastAsia="Times New Roman" w:hAnsi="Cambria" w:cs="Tahoma"/>
          <w:color w:val="000000"/>
          <w:sz w:val="20"/>
          <w:szCs w:val="20"/>
          <w:u w:color="000000"/>
          <w:bdr w:val="none" w:sz="0" w:space="0" w:color="auto" w:frame="1"/>
          <w:lang w:val="es-ES_tradnl" w:eastAsia="es-ES"/>
        </w:rPr>
        <w:t xml:space="preserve"> una reparación efectiva, incluida la revisión de su juicio y sentencias de acuerdo con las garantías de justicia y debido proceso establecidas en los artículos XVIII y XXVI de la Declaración Americana, y el pago de una indemnización pecuniaria. Teniendo en cuenta la conclusión de la CIDH sobre el tiempo que la presunta víctima se encuentra en el corredor de la muerte, la Comisión recomienda que se le conmute la pena.</w:t>
      </w:r>
    </w:p>
    <w:p w14:paraId="4690E90C" w14:textId="77777777" w:rsidR="00540E3D" w:rsidRPr="0058501F" w:rsidRDefault="00540E3D" w:rsidP="00540E3D">
      <w:pPr>
        <w:pBdr>
          <w:top w:val="nil"/>
          <w:left w:val="nil"/>
          <w:bottom w:val="nil"/>
          <w:right w:val="nil"/>
          <w:between w:val="nil"/>
          <w:bar w:val="nil"/>
        </w:pBdr>
        <w:tabs>
          <w:tab w:val="left" w:pos="360"/>
        </w:tabs>
        <w:spacing w:after="0" w:line="240" w:lineRule="auto"/>
        <w:ind w:left="360"/>
        <w:jc w:val="both"/>
        <w:rPr>
          <w:rFonts w:ascii="Cambria" w:eastAsia="Times New Roman" w:hAnsi="Cambria" w:cs="Tahoma"/>
          <w:color w:val="000000"/>
          <w:sz w:val="20"/>
          <w:szCs w:val="20"/>
          <w:u w:color="000000"/>
          <w:bdr w:val="none" w:sz="0" w:space="0" w:color="auto" w:frame="1"/>
          <w:lang w:val="es-ES_tradnl" w:eastAsia="es-ES"/>
        </w:rPr>
      </w:pPr>
    </w:p>
    <w:p w14:paraId="40494461" w14:textId="77777777" w:rsidR="00540E3D" w:rsidRPr="0058501F" w:rsidRDefault="00540E3D" w:rsidP="00540E3D">
      <w:pPr>
        <w:numPr>
          <w:ilvl w:val="0"/>
          <w:numId w:val="19"/>
        </w:numPr>
        <w:pBdr>
          <w:top w:val="nil"/>
          <w:left w:val="nil"/>
          <w:bottom w:val="nil"/>
          <w:right w:val="nil"/>
          <w:between w:val="nil"/>
          <w:bar w:val="nil"/>
        </w:pBdr>
        <w:tabs>
          <w:tab w:val="left" w:pos="360"/>
        </w:tabs>
        <w:spacing w:after="0" w:line="240" w:lineRule="auto"/>
        <w:ind w:left="360" w:hanging="360"/>
        <w:jc w:val="both"/>
        <w:rPr>
          <w:rFonts w:ascii="Cambria" w:eastAsia="Times New Roman" w:hAnsi="Cambria" w:cs="Tahoma"/>
          <w:color w:val="000000"/>
          <w:sz w:val="20"/>
          <w:szCs w:val="20"/>
          <w:u w:color="000000"/>
          <w:bdr w:val="none" w:sz="0" w:space="0" w:color="auto" w:frame="1"/>
          <w:lang w:val="es-ES_tradnl" w:eastAsia="es-ES"/>
        </w:rPr>
      </w:pPr>
      <w:r w:rsidRPr="0058501F">
        <w:rPr>
          <w:rFonts w:ascii="Cambria" w:eastAsia="Times New Roman" w:hAnsi="Cambria" w:cs="Tahoma"/>
          <w:color w:val="000000"/>
          <w:sz w:val="20"/>
          <w:szCs w:val="20"/>
          <w:u w:color="000000"/>
          <w:bdr w:val="none" w:sz="0" w:space="0" w:color="auto" w:frame="1"/>
          <w:lang w:val="es-ES_tradnl" w:eastAsia="es-ES"/>
        </w:rPr>
        <w:t>Revise sus leyes, procedimientos y prácticas a nivel estatal y federal para asegurar que las personas acusadas de delitos susceptibles de ser penados con la muerte sean juzgadas y, de ser condenadas, sentenciadas de conformidad con los derechos establecidos en la Declaración Americana, incluidos los artículos I, II, XVIII, XXV. y XXVI de la misma y, en particular:</w:t>
      </w:r>
    </w:p>
    <w:p w14:paraId="55D120F8" w14:textId="77777777" w:rsidR="00540E3D" w:rsidRPr="0058501F" w:rsidRDefault="00540E3D" w:rsidP="00540E3D">
      <w:pPr>
        <w:pBdr>
          <w:top w:val="nil"/>
          <w:left w:val="nil"/>
          <w:bottom w:val="nil"/>
          <w:right w:val="nil"/>
          <w:between w:val="nil"/>
          <w:bar w:val="nil"/>
        </w:pBdr>
        <w:spacing w:after="0" w:line="240" w:lineRule="auto"/>
        <w:ind w:left="1080"/>
        <w:rPr>
          <w:rFonts w:ascii="Cambria" w:eastAsia="Cambria" w:hAnsi="Cambria" w:cs="Cambria"/>
          <w:color w:val="000000"/>
          <w:sz w:val="20"/>
          <w:szCs w:val="20"/>
          <w:u w:color="000000"/>
          <w:bdr w:val="none" w:sz="0" w:space="0" w:color="auto" w:frame="1"/>
          <w:lang w:val="es-ES_tradnl" w:eastAsia="es-ES"/>
        </w:rPr>
      </w:pPr>
    </w:p>
    <w:p w14:paraId="52EA9ADE" w14:textId="77777777" w:rsidR="00540E3D" w:rsidRPr="0058501F" w:rsidRDefault="00540E3D" w:rsidP="00540E3D">
      <w:pPr>
        <w:numPr>
          <w:ilvl w:val="1"/>
          <w:numId w:val="19"/>
        </w:numPr>
        <w:pBdr>
          <w:top w:val="nil"/>
          <w:left w:val="nil"/>
          <w:bottom w:val="nil"/>
          <w:right w:val="nil"/>
          <w:between w:val="nil"/>
          <w:bar w:val="nil"/>
        </w:pBdr>
        <w:tabs>
          <w:tab w:val="left" w:pos="360"/>
        </w:tabs>
        <w:spacing w:after="0" w:line="240" w:lineRule="auto"/>
        <w:ind w:left="1080"/>
        <w:jc w:val="both"/>
        <w:rPr>
          <w:rFonts w:ascii="Cambria" w:eastAsia="Times New Roman" w:hAnsi="Cambria" w:cs="Tahoma"/>
          <w:color w:val="000000"/>
          <w:sz w:val="20"/>
          <w:szCs w:val="20"/>
          <w:u w:color="000000"/>
          <w:bdr w:val="none" w:sz="0" w:space="0" w:color="auto" w:frame="1"/>
          <w:lang w:val="es-ES_tradnl" w:eastAsia="es-ES"/>
        </w:rPr>
      </w:pPr>
      <w:r w:rsidRPr="0058501F">
        <w:rPr>
          <w:rFonts w:ascii="Cambria" w:eastAsia="Times New Roman" w:hAnsi="Cambria" w:cs="Tahoma"/>
          <w:color w:val="000000"/>
          <w:sz w:val="20"/>
          <w:szCs w:val="20"/>
          <w:u w:color="000000"/>
          <w:bdr w:val="none" w:sz="0" w:space="0" w:color="auto" w:frame="1"/>
          <w:lang w:val="es-ES_tradnl" w:eastAsia="es-ES"/>
        </w:rPr>
        <w:t>Asegure que todo extranjero privado de libertad sea informado, sin demora y antes de su primera instancia de interrogatorio por parte de las autoridades estatales, del derecho a solicitar que se notifique inmediatamente a las autoridades consulares de su arresto o detención;</w:t>
      </w:r>
    </w:p>
    <w:p w14:paraId="0D440926" w14:textId="77777777" w:rsidR="00540E3D" w:rsidRPr="0058501F" w:rsidRDefault="00540E3D" w:rsidP="00540E3D">
      <w:pPr>
        <w:numPr>
          <w:ilvl w:val="1"/>
          <w:numId w:val="19"/>
        </w:numPr>
        <w:pBdr>
          <w:top w:val="nil"/>
          <w:left w:val="nil"/>
          <w:bottom w:val="nil"/>
          <w:right w:val="nil"/>
          <w:between w:val="nil"/>
          <w:bar w:val="nil"/>
        </w:pBdr>
        <w:tabs>
          <w:tab w:val="left" w:pos="360"/>
        </w:tabs>
        <w:spacing w:after="0" w:line="240" w:lineRule="auto"/>
        <w:ind w:left="1080"/>
        <w:jc w:val="both"/>
        <w:rPr>
          <w:rFonts w:ascii="Cambria" w:eastAsia="Times New Roman" w:hAnsi="Cambria" w:cs="Tahoma"/>
          <w:color w:val="000000"/>
          <w:sz w:val="20"/>
          <w:szCs w:val="20"/>
          <w:u w:color="000000"/>
          <w:bdr w:val="none" w:sz="0" w:space="0" w:color="auto" w:frame="1"/>
          <w:lang w:val="es-ES_tradnl" w:eastAsia="es-ES"/>
        </w:rPr>
      </w:pPr>
      <w:r w:rsidRPr="0058501F">
        <w:rPr>
          <w:rFonts w:ascii="Cambria" w:eastAsia="Times New Roman" w:hAnsi="Cambria" w:cs="Tahoma"/>
          <w:color w:val="000000"/>
          <w:sz w:val="20"/>
          <w:szCs w:val="20"/>
          <w:u w:color="000000"/>
          <w:bdr w:val="none" w:sz="0" w:space="0" w:color="auto" w:frame="1"/>
          <w:lang w:val="es-ES_tradnl" w:eastAsia="es-ES"/>
        </w:rPr>
        <w:t>Otorgue la oportunidad de presentar evidencia con respecto a la discapacidad mental e intelectual y ser escuchado sobre los méritos de esa evidencia, cuando se alega dicha discapacidad y realizar una audiencia de nueva sentencia para determinar la sentencia apropiada adecuada cuando tal discapacidad existe; y</w:t>
      </w:r>
    </w:p>
    <w:p w14:paraId="061FA9C3" w14:textId="77777777" w:rsidR="00540E3D" w:rsidRPr="0058501F" w:rsidRDefault="00540E3D" w:rsidP="00540E3D">
      <w:pPr>
        <w:numPr>
          <w:ilvl w:val="1"/>
          <w:numId w:val="19"/>
        </w:numPr>
        <w:pBdr>
          <w:top w:val="nil"/>
          <w:left w:val="nil"/>
          <w:bottom w:val="nil"/>
          <w:right w:val="nil"/>
          <w:between w:val="nil"/>
          <w:bar w:val="nil"/>
        </w:pBdr>
        <w:tabs>
          <w:tab w:val="left" w:pos="360"/>
        </w:tabs>
        <w:spacing w:after="0" w:line="240" w:lineRule="auto"/>
        <w:ind w:left="1080"/>
        <w:jc w:val="both"/>
        <w:rPr>
          <w:rFonts w:ascii="Cambria" w:eastAsia="Times New Roman" w:hAnsi="Cambria" w:cs="Tahoma"/>
          <w:color w:val="000000"/>
          <w:sz w:val="20"/>
          <w:szCs w:val="20"/>
          <w:u w:color="000000"/>
          <w:bdr w:val="none" w:sz="0" w:space="0" w:color="auto" w:frame="1"/>
          <w:lang w:val="es-ES_tradnl" w:eastAsia="es-ES"/>
        </w:rPr>
      </w:pPr>
      <w:r w:rsidRPr="0058501F">
        <w:rPr>
          <w:rFonts w:ascii="Cambria" w:eastAsia="Times New Roman" w:hAnsi="Cambria" w:cs="Tahoma"/>
          <w:color w:val="000000"/>
          <w:sz w:val="20"/>
          <w:szCs w:val="20"/>
          <w:u w:color="000000"/>
          <w:bdr w:val="none" w:sz="0" w:space="0" w:color="auto" w:frame="1"/>
          <w:lang w:val="es-ES_tradnl" w:eastAsia="es-ES"/>
        </w:rPr>
        <w:t>Asegure que el método de ejecución no constituya un castigo cruel, infamante o inusual, y en particular, poner a disposición de una persona sujeta a ejecución pendiente, los detalles sobre la fuente, substancia y/o procedimiento administrativo del método de ejecución.</w:t>
      </w:r>
    </w:p>
    <w:p w14:paraId="07C03EBD" w14:textId="77777777" w:rsidR="00540E3D" w:rsidRPr="0058501F" w:rsidRDefault="00540E3D" w:rsidP="00540E3D">
      <w:pPr>
        <w:pBdr>
          <w:top w:val="nil"/>
          <w:left w:val="nil"/>
          <w:bottom w:val="nil"/>
          <w:right w:val="nil"/>
          <w:between w:val="nil"/>
          <w:bar w:val="nil"/>
        </w:pBdr>
        <w:spacing w:after="0" w:line="240" w:lineRule="auto"/>
        <w:rPr>
          <w:rFonts w:ascii="Cambria" w:eastAsia="Times New Roman" w:hAnsi="Cambria" w:cs="Tahoma"/>
          <w:sz w:val="20"/>
          <w:szCs w:val="20"/>
          <w:lang w:val="es-ES_tradnl"/>
        </w:rPr>
      </w:pPr>
    </w:p>
    <w:p w14:paraId="7533822B" w14:textId="77777777" w:rsidR="00D006F7" w:rsidRDefault="00540E3D" w:rsidP="00D006F7">
      <w:pPr>
        <w:numPr>
          <w:ilvl w:val="0"/>
          <w:numId w:val="19"/>
        </w:numPr>
        <w:pBdr>
          <w:top w:val="nil"/>
          <w:left w:val="nil"/>
          <w:bottom w:val="nil"/>
          <w:right w:val="nil"/>
          <w:between w:val="nil"/>
          <w:bar w:val="nil"/>
        </w:pBdr>
        <w:spacing w:after="0" w:line="240" w:lineRule="auto"/>
        <w:ind w:left="360" w:hanging="360"/>
        <w:jc w:val="both"/>
        <w:rPr>
          <w:rFonts w:ascii="Cambria" w:eastAsia="Times New Roman" w:hAnsi="Cambria" w:cs="Tahoma"/>
          <w:color w:val="000000"/>
          <w:sz w:val="20"/>
          <w:szCs w:val="20"/>
          <w:u w:color="000000"/>
          <w:bdr w:val="none" w:sz="0" w:space="0" w:color="auto" w:frame="1"/>
          <w:lang w:val="es-ES_tradnl" w:eastAsia="es-ES"/>
        </w:rPr>
      </w:pPr>
      <w:r w:rsidRPr="0058501F">
        <w:rPr>
          <w:rFonts w:ascii="Cambria" w:eastAsia="Times New Roman" w:hAnsi="Cambria" w:cs="Tahoma"/>
          <w:color w:val="000000"/>
          <w:sz w:val="20"/>
          <w:szCs w:val="20"/>
          <w:u w:color="000000"/>
          <w:bdr w:val="none" w:sz="0" w:space="0" w:color="auto" w:frame="1"/>
          <w:lang w:val="es-ES_tradnl" w:eastAsia="es-ES"/>
        </w:rPr>
        <w:t>Dadas las violaciones a la Declaración Americana que ha establecido la CIDH en el presente caso y en otros que involucran la aplicación de la pena de muerte, la Comisión Interamericana también recomienda a los Estados Unidos que derogue la pena de muerte.</w:t>
      </w:r>
      <w:r w:rsidRPr="0058501F">
        <w:rPr>
          <w:rFonts w:ascii="Cambria" w:eastAsia="Cambria" w:hAnsi="Cambria"/>
          <w:color w:val="000000"/>
          <w:sz w:val="20"/>
          <w:szCs w:val="24"/>
          <w:u w:color="000000"/>
          <w:bdr w:val="nil"/>
          <w:vertAlign w:val="superscript"/>
          <w:lang w:val="es-ES_tradnl" w:eastAsia="es-ES"/>
        </w:rPr>
        <w:footnoteReference w:id="106"/>
      </w:r>
    </w:p>
    <w:p w14:paraId="5C4B67F8" w14:textId="77777777" w:rsidR="00D006F7" w:rsidRPr="00195551" w:rsidRDefault="00D006F7" w:rsidP="00666042">
      <w:pPr>
        <w:pStyle w:val="Heading1"/>
        <w:numPr>
          <w:ilvl w:val="0"/>
          <w:numId w:val="24"/>
        </w:numPr>
        <w:ind w:left="360" w:hanging="360"/>
        <w:rPr>
          <w:rFonts w:ascii="Cambria" w:eastAsia="SimSun" w:hAnsi="Cambria"/>
          <w:sz w:val="20"/>
          <w:szCs w:val="20"/>
          <w:bdr w:val="nil"/>
          <w:lang w:val="es-ES_tradnl"/>
        </w:rPr>
      </w:pPr>
      <w:bookmarkStart w:id="46" w:name="_Toc26552696"/>
      <w:bookmarkStart w:id="47" w:name="_Toc87522752"/>
      <w:bookmarkStart w:id="48" w:name="_Toc90117850"/>
      <w:r w:rsidRPr="00195551">
        <w:rPr>
          <w:rFonts w:ascii="Cambria" w:eastAsia="SimSun" w:hAnsi="Cambria"/>
          <w:sz w:val="20"/>
          <w:szCs w:val="20"/>
          <w:bdr w:val="nil"/>
          <w:lang w:val="es-ES_tradnl"/>
        </w:rPr>
        <w:t>PUBLICACIÓN</w:t>
      </w:r>
      <w:bookmarkEnd w:id="46"/>
      <w:bookmarkEnd w:id="47"/>
      <w:bookmarkEnd w:id="48"/>
    </w:p>
    <w:p w14:paraId="53E08530" w14:textId="77777777" w:rsidR="00D006F7" w:rsidRPr="00195551" w:rsidRDefault="00D006F7" w:rsidP="006C410A">
      <w:pPr>
        <w:pBdr>
          <w:top w:val="nil"/>
          <w:left w:val="nil"/>
          <w:bottom w:val="nil"/>
          <w:right w:val="nil"/>
          <w:between w:val="nil"/>
          <w:bar w:val="nil"/>
        </w:pBdr>
        <w:spacing w:after="0" w:line="240" w:lineRule="auto"/>
        <w:ind w:left="360"/>
        <w:jc w:val="both"/>
        <w:rPr>
          <w:lang w:val="es-UY"/>
        </w:rPr>
      </w:pPr>
    </w:p>
    <w:p w14:paraId="67625216" w14:textId="77777777" w:rsidR="00D006F7" w:rsidRPr="00195551" w:rsidRDefault="00D006F7" w:rsidP="00666042">
      <w:pPr>
        <w:numPr>
          <w:ilvl w:val="0"/>
          <w:numId w:val="1"/>
        </w:numPr>
        <w:pBdr>
          <w:top w:val="nil"/>
          <w:left w:val="nil"/>
          <w:bottom w:val="nil"/>
          <w:right w:val="nil"/>
          <w:between w:val="nil"/>
          <w:bar w:val="nil"/>
        </w:pBdr>
        <w:tabs>
          <w:tab w:val="left" w:pos="0"/>
          <w:tab w:val="left" w:pos="360"/>
        </w:tabs>
        <w:spacing w:after="0" w:line="240" w:lineRule="auto"/>
        <w:ind w:firstLine="0"/>
        <w:jc w:val="both"/>
        <w:rPr>
          <w:rFonts w:ascii="Cambria" w:hAnsi="Cambria"/>
          <w:color w:val="000000"/>
          <w:sz w:val="20"/>
          <w:szCs w:val="20"/>
          <w:lang w:val="es-AR"/>
        </w:rPr>
      </w:pPr>
      <w:r w:rsidRPr="00195551">
        <w:rPr>
          <w:rFonts w:ascii="Cambria" w:eastAsia="Arial Unicode MS" w:hAnsi="Cambria"/>
          <w:color w:val="000000"/>
          <w:sz w:val="20"/>
          <w:szCs w:val="20"/>
          <w:bdr w:val="nil"/>
          <w:lang w:val="es-ES_tradnl"/>
        </w:rPr>
        <w:t>En</w:t>
      </w:r>
      <w:r w:rsidRPr="00195551">
        <w:rPr>
          <w:rFonts w:ascii="Cambria" w:hAnsi="Cambria"/>
          <w:color w:val="000000"/>
          <w:sz w:val="20"/>
          <w:szCs w:val="20"/>
          <w:lang w:val="es-AR"/>
        </w:rPr>
        <w:t xml:space="preserve"> vista de lo anterior y de conformidad con el artículo 47.3 de su Reglamento, la CIDH decide hacer público el presente informe e incluirlo en su Informe Anual a la Asamblea General de la Organización de los Estados Americanos. La Comisión Interamericana, de acuerdo con las normas contenidas en los instrumentos que rigen su mandato, continuará evaluando las medidas adoptadas por los Estados Unidos con respecto a las referidas recomendaciones hasta que determine que se han cumplido plenamente.</w:t>
      </w:r>
    </w:p>
    <w:p w14:paraId="41F3F30E" w14:textId="77777777" w:rsidR="00D006F7" w:rsidRDefault="00D006F7" w:rsidP="00D006F7">
      <w:pPr>
        <w:pBdr>
          <w:top w:val="nil"/>
          <w:left w:val="nil"/>
          <w:bottom w:val="nil"/>
          <w:right w:val="nil"/>
          <w:between w:val="nil"/>
          <w:bar w:val="nil"/>
        </w:pBdr>
        <w:tabs>
          <w:tab w:val="left" w:pos="0"/>
          <w:tab w:val="left" w:pos="360"/>
        </w:tabs>
        <w:spacing w:after="0" w:line="240" w:lineRule="auto"/>
        <w:jc w:val="both"/>
        <w:rPr>
          <w:rFonts w:ascii="Cambria" w:eastAsia="Arial Unicode MS" w:hAnsi="Cambria"/>
          <w:sz w:val="20"/>
          <w:szCs w:val="20"/>
          <w:highlight w:val="yellow"/>
          <w:bdr w:val="nil"/>
          <w:lang w:val="es-ES_tradnl"/>
        </w:rPr>
      </w:pPr>
    </w:p>
    <w:p w14:paraId="552AE569" w14:textId="66680851" w:rsidR="00B16FD9" w:rsidRPr="00666042" w:rsidRDefault="00B16FD9" w:rsidP="00666042">
      <w:pPr>
        <w:pStyle w:val="xmsonormal"/>
        <w:spacing w:before="0" w:beforeAutospacing="0" w:after="0" w:afterAutospacing="0"/>
        <w:jc w:val="both"/>
        <w:rPr>
          <w:rFonts w:ascii="Calibri" w:hAnsi="Calibri" w:cs="Calibri"/>
          <w:color w:val="201F1E"/>
          <w:sz w:val="22"/>
          <w:szCs w:val="22"/>
        </w:rPr>
      </w:pPr>
      <w:r>
        <w:rPr>
          <w:rFonts w:ascii="Cambria" w:hAnsi="Cambria" w:cs="Calibri"/>
          <w:color w:val="201F1E"/>
          <w:spacing w:val="-2"/>
          <w:sz w:val="20"/>
          <w:szCs w:val="20"/>
          <w:bdr w:val="none" w:sz="0" w:space="0" w:color="auto" w:frame="1"/>
          <w:lang w:val="es-CL"/>
        </w:rPr>
        <w:t>Aprobado por la Comisión Interamericana de Derechos Humanos a los</w:t>
      </w:r>
      <w:r>
        <w:rPr>
          <w:rStyle w:val="apple-converted-space"/>
          <w:rFonts w:ascii="Cambria" w:eastAsia="Trebuchet MS" w:hAnsi="Cambria" w:cs="Calibri"/>
          <w:color w:val="201F1E"/>
          <w:spacing w:val="-2"/>
          <w:sz w:val="20"/>
          <w:szCs w:val="20"/>
          <w:bdr w:val="none" w:sz="0" w:space="0" w:color="auto" w:frame="1"/>
          <w:lang w:val="es-CL"/>
        </w:rPr>
        <w:t xml:space="preserve"> 31 días del mes de diciembre de 2021. </w:t>
      </w:r>
      <w:r>
        <w:rPr>
          <w:rFonts w:ascii="Cambria" w:hAnsi="Cambria" w:cs="Calibri"/>
          <w:color w:val="201F1E"/>
          <w:spacing w:val="-2"/>
          <w:sz w:val="20"/>
          <w:szCs w:val="20"/>
          <w:bdr w:val="none" w:sz="0" w:space="0" w:color="auto" w:frame="1"/>
          <w:lang w:val="es-CL"/>
        </w:rPr>
        <w:t xml:space="preserve">(Firmado): Antonia Urrejola Noguera, </w:t>
      </w:r>
      <w:proofErr w:type="gramStart"/>
      <w:r>
        <w:rPr>
          <w:rFonts w:ascii="Cambria" w:hAnsi="Cambria" w:cs="Calibri"/>
          <w:color w:val="201F1E"/>
          <w:spacing w:val="-2"/>
          <w:sz w:val="20"/>
          <w:szCs w:val="20"/>
          <w:bdr w:val="none" w:sz="0" w:space="0" w:color="auto" w:frame="1"/>
          <w:lang w:val="es-CL"/>
        </w:rPr>
        <w:t>Presidenta</w:t>
      </w:r>
      <w:proofErr w:type="gramEnd"/>
      <w:r>
        <w:rPr>
          <w:rFonts w:ascii="Cambria" w:hAnsi="Cambria" w:cs="Calibri"/>
          <w:color w:val="201F1E"/>
          <w:spacing w:val="-2"/>
          <w:sz w:val="20"/>
          <w:szCs w:val="20"/>
          <w:bdr w:val="none" w:sz="0" w:space="0" w:color="auto" w:frame="1"/>
          <w:lang w:val="es-CL"/>
        </w:rPr>
        <w:t xml:space="preserve">; Julissa Mantilla Falcón, Primera Vicepresidenta; </w:t>
      </w:r>
      <w:proofErr w:type="spellStart"/>
      <w:r>
        <w:rPr>
          <w:rFonts w:ascii="Cambria" w:hAnsi="Cambria" w:cs="Calibri"/>
          <w:color w:val="201F1E"/>
          <w:spacing w:val="-2"/>
          <w:sz w:val="20"/>
          <w:szCs w:val="20"/>
          <w:bdr w:val="none" w:sz="0" w:space="0" w:color="auto" w:frame="1"/>
          <w:lang w:val="es-CL"/>
        </w:rPr>
        <w:t>Flávia</w:t>
      </w:r>
      <w:proofErr w:type="spellEnd"/>
      <w:r>
        <w:rPr>
          <w:rFonts w:ascii="Cambria" w:hAnsi="Cambria" w:cs="Calibri"/>
          <w:color w:val="201F1E"/>
          <w:spacing w:val="-2"/>
          <w:sz w:val="20"/>
          <w:szCs w:val="20"/>
          <w:bdr w:val="none" w:sz="0" w:space="0" w:color="auto" w:frame="1"/>
          <w:lang w:val="es-CL"/>
        </w:rPr>
        <w:t xml:space="preserve"> </w:t>
      </w:r>
      <w:proofErr w:type="spellStart"/>
      <w:r>
        <w:rPr>
          <w:rFonts w:ascii="Cambria" w:hAnsi="Cambria" w:cs="Calibri"/>
          <w:color w:val="201F1E"/>
          <w:spacing w:val="-2"/>
          <w:sz w:val="20"/>
          <w:szCs w:val="20"/>
          <w:bdr w:val="none" w:sz="0" w:space="0" w:color="auto" w:frame="1"/>
          <w:lang w:val="es-CL"/>
        </w:rPr>
        <w:t>Piovesan</w:t>
      </w:r>
      <w:proofErr w:type="spellEnd"/>
      <w:r>
        <w:rPr>
          <w:rFonts w:ascii="Cambria" w:hAnsi="Cambria" w:cs="Calibri"/>
          <w:color w:val="201F1E"/>
          <w:spacing w:val="-2"/>
          <w:sz w:val="20"/>
          <w:szCs w:val="20"/>
          <w:bdr w:val="none" w:sz="0" w:space="0" w:color="auto" w:frame="1"/>
          <w:lang w:val="es-CL"/>
        </w:rPr>
        <w:t xml:space="preserve">, Segunda Vicepresidenta; </w:t>
      </w:r>
      <w:proofErr w:type="spellStart"/>
      <w:r>
        <w:rPr>
          <w:rFonts w:ascii="Cambria" w:hAnsi="Cambria" w:cs="Calibri"/>
          <w:color w:val="201F1E"/>
          <w:spacing w:val="-2"/>
          <w:sz w:val="20"/>
          <w:szCs w:val="20"/>
          <w:bdr w:val="none" w:sz="0" w:space="0" w:color="auto" w:frame="1"/>
          <w:lang w:val="es-CL"/>
        </w:rPr>
        <w:t>Margarette</w:t>
      </w:r>
      <w:proofErr w:type="spellEnd"/>
      <w:r>
        <w:rPr>
          <w:rFonts w:ascii="Cambria" w:hAnsi="Cambria" w:cs="Calibri"/>
          <w:color w:val="201F1E"/>
          <w:spacing w:val="-2"/>
          <w:sz w:val="20"/>
          <w:szCs w:val="20"/>
          <w:bdr w:val="none" w:sz="0" w:space="0" w:color="auto" w:frame="1"/>
          <w:lang w:val="es-CL"/>
        </w:rPr>
        <w:t xml:space="preserve"> May </w:t>
      </w:r>
      <w:proofErr w:type="spellStart"/>
      <w:r>
        <w:rPr>
          <w:rFonts w:ascii="Cambria" w:hAnsi="Cambria" w:cs="Calibri"/>
          <w:color w:val="201F1E"/>
          <w:spacing w:val="-2"/>
          <w:sz w:val="20"/>
          <w:szCs w:val="20"/>
          <w:bdr w:val="none" w:sz="0" w:space="0" w:color="auto" w:frame="1"/>
          <w:lang w:val="es-CL"/>
        </w:rPr>
        <w:t>Macaulay</w:t>
      </w:r>
      <w:proofErr w:type="spellEnd"/>
      <w:r>
        <w:rPr>
          <w:rFonts w:ascii="Cambria" w:hAnsi="Cambria" w:cs="Calibri"/>
          <w:color w:val="201F1E"/>
          <w:spacing w:val="-2"/>
          <w:sz w:val="20"/>
          <w:szCs w:val="20"/>
          <w:bdr w:val="none" w:sz="0" w:space="0" w:color="auto" w:frame="1"/>
          <w:lang w:val="es-CL"/>
        </w:rPr>
        <w:t xml:space="preserve">, Esmeralda E. Arosemena de </w:t>
      </w:r>
      <w:proofErr w:type="spellStart"/>
      <w:r>
        <w:rPr>
          <w:rFonts w:ascii="Cambria" w:hAnsi="Cambria" w:cs="Calibri"/>
          <w:color w:val="201F1E"/>
          <w:spacing w:val="-2"/>
          <w:sz w:val="20"/>
          <w:szCs w:val="20"/>
          <w:bdr w:val="none" w:sz="0" w:space="0" w:color="auto" w:frame="1"/>
          <w:lang w:val="es-CL"/>
        </w:rPr>
        <w:t>Troitiño</w:t>
      </w:r>
      <w:proofErr w:type="spellEnd"/>
      <w:r>
        <w:rPr>
          <w:rFonts w:ascii="Cambria" w:hAnsi="Cambria" w:cs="Calibri"/>
          <w:color w:val="201F1E"/>
          <w:spacing w:val="-2"/>
          <w:sz w:val="20"/>
          <w:szCs w:val="20"/>
          <w:bdr w:val="none" w:sz="0" w:space="0" w:color="auto" w:frame="1"/>
          <w:lang w:val="es-CL"/>
        </w:rPr>
        <w:t xml:space="preserve">, Joel Hernández </w:t>
      </w:r>
      <w:proofErr w:type="spellStart"/>
      <w:r>
        <w:rPr>
          <w:rFonts w:ascii="Cambria" w:hAnsi="Cambria" w:cs="Calibri"/>
          <w:color w:val="201F1E"/>
          <w:spacing w:val="-2"/>
          <w:sz w:val="20"/>
          <w:szCs w:val="20"/>
          <w:bdr w:val="none" w:sz="0" w:space="0" w:color="auto" w:frame="1"/>
          <w:lang w:val="es-CL"/>
        </w:rPr>
        <w:t>Gracía</w:t>
      </w:r>
      <w:proofErr w:type="spellEnd"/>
      <w:r>
        <w:rPr>
          <w:rFonts w:ascii="Cambria" w:hAnsi="Cambria" w:cs="Calibri"/>
          <w:color w:val="201F1E"/>
          <w:spacing w:val="-2"/>
          <w:sz w:val="20"/>
          <w:szCs w:val="20"/>
          <w:bdr w:val="none" w:sz="0" w:space="0" w:color="auto" w:frame="1"/>
          <w:lang w:val="es-CL"/>
        </w:rPr>
        <w:t xml:space="preserve"> y Edgar Stuardo </w:t>
      </w:r>
      <w:proofErr w:type="spellStart"/>
      <w:r>
        <w:rPr>
          <w:rFonts w:ascii="Cambria" w:hAnsi="Cambria" w:cs="Calibri"/>
          <w:color w:val="201F1E"/>
          <w:spacing w:val="-2"/>
          <w:sz w:val="20"/>
          <w:szCs w:val="20"/>
          <w:bdr w:val="none" w:sz="0" w:space="0" w:color="auto" w:frame="1"/>
          <w:lang w:val="es-CL"/>
        </w:rPr>
        <w:t>Ralón</w:t>
      </w:r>
      <w:proofErr w:type="spellEnd"/>
      <w:r>
        <w:rPr>
          <w:rFonts w:ascii="Cambria" w:hAnsi="Cambria" w:cs="Calibri"/>
          <w:color w:val="201F1E"/>
          <w:spacing w:val="-2"/>
          <w:sz w:val="20"/>
          <w:szCs w:val="20"/>
          <w:bdr w:val="none" w:sz="0" w:space="0" w:color="auto" w:frame="1"/>
          <w:lang w:val="es-CL"/>
        </w:rPr>
        <w:t xml:space="preserve"> Orellana, Miembros de la Comisión.</w:t>
      </w:r>
    </w:p>
    <w:sectPr w:rsidR="00B16FD9" w:rsidRPr="00666042" w:rsidSect="0025390B">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25D85" w14:textId="77777777" w:rsidR="00127170" w:rsidRDefault="00127170" w:rsidP="008874B2">
      <w:pPr>
        <w:spacing w:after="0" w:line="240" w:lineRule="auto"/>
      </w:pPr>
      <w:r>
        <w:separator/>
      </w:r>
    </w:p>
  </w:endnote>
  <w:endnote w:type="continuationSeparator" w:id="0">
    <w:p w14:paraId="01CA6FC2" w14:textId="77777777" w:rsidR="00127170" w:rsidRDefault="00127170" w:rsidP="008874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Univers">
    <w:panose1 w:val="020B0603020202030204"/>
    <w:charset w:val="00"/>
    <w:family w:val="swiss"/>
    <w:pitch w:val="variable"/>
    <w:sig w:usb0="8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TTE27CA0E8t00">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3141F" w14:textId="77777777" w:rsidR="00CC0FA0" w:rsidRPr="006311DA" w:rsidRDefault="00CC0FA0">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Pr>
        <w:noProof/>
        <w:sz w:val="16"/>
      </w:rPr>
      <w:t>5</w:t>
    </w:r>
    <w:r w:rsidRPr="006311DA">
      <w:rPr>
        <w:noProof/>
        <w:sz w:val="16"/>
      </w:rPr>
      <w:fldChar w:fldCharType="end"/>
    </w:r>
  </w:p>
  <w:p w14:paraId="4837AD12" w14:textId="77777777" w:rsidR="00CC0FA0" w:rsidRDefault="00CC0F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F6970" w14:textId="77777777" w:rsidR="00CC0FA0" w:rsidRDefault="00CC0FA0">
    <w:pPr>
      <w:pStyle w:val="Footer"/>
      <w:jc w:val="center"/>
    </w:pPr>
  </w:p>
  <w:p w14:paraId="0FECB7CB" w14:textId="77777777" w:rsidR="00CC0FA0" w:rsidRDefault="00CC0F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9A787" w14:textId="77777777" w:rsidR="00127170" w:rsidRDefault="00127170" w:rsidP="008874B2">
      <w:pPr>
        <w:spacing w:after="0" w:line="240" w:lineRule="auto"/>
      </w:pPr>
      <w:r>
        <w:separator/>
      </w:r>
    </w:p>
  </w:footnote>
  <w:footnote w:type="continuationSeparator" w:id="0">
    <w:p w14:paraId="0AE9D89D" w14:textId="77777777" w:rsidR="00127170" w:rsidRDefault="00127170" w:rsidP="008874B2">
      <w:pPr>
        <w:spacing w:after="0" w:line="240" w:lineRule="auto"/>
      </w:pPr>
      <w:r>
        <w:continuationSeparator/>
      </w:r>
    </w:p>
  </w:footnote>
  <w:footnote w:id="1">
    <w:p w14:paraId="3559CEA8" w14:textId="77777777" w:rsidR="00CC0FA0" w:rsidRPr="00C07A74" w:rsidRDefault="00CC0FA0" w:rsidP="00E83844">
      <w:pPr>
        <w:pStyle w:val="FootnoteText"/>
        <w:spacing w:after="0" w:line="240" w:lineRule="auto"/>
        <w:rPr>
          <w:rFonts w:ascii="Cambria" w:hAnsi="Cambria"/>
          <w:sz w:val="16"/>
          <w:szCs w:val="16"/>
          <w:lang w:val="es-ES_tradnl"/>
        </w:rPr>
      </w:pPr>
      <w:r w:rsidRPr="00C07A74">
        <w:rPr>
          <w:rStyle w:val="FootnoteReference"/>
          <w:rFonts w:ascii="Cambria" w:hAnsi="Cambria"/>
          <w:sz w:val="16"/>
          <w:szCs w:val="16"/>
          <w:lang w:val="es-ES_tradnl"/>
        </w:rPr>
        <w:footnoteRef/>
      </w:r>
      <w:r w:rsidRPr="00C07A74">
        <w:rPr>
          <w:rFonts w:ascii="Cambria" w:hAnsi="Cambria"/>
          <w:sz w:val="16"/>
          <w:szCs w:val="16"/>
          <w:lang w:val="es-ES_tradnl"/>
        </w:rPr>
        <w:t xml:space="preserve"> El 1 de octubre de 2018 la CIDH otorgó medidas cautelares a favor del Sr. Ibarra de conformidad con el artículo 25 (1) de su Reglamento y solicitó a Estados Unidos que tomara las medidas necesarias para preservar la vida e integridad física de la presunta víctima para no obstaculizar el trámite de su caso pendiente ante el sistema interamericano.</w:t>
      </w:r>
    </w:p>
  </w:footnote>
  <w:footnote w:id="2">
    <w:p w14:paraId="5159D96C" w14:textId="77777777" w:rsidR="00CC0FA0" w:rsidRPr="00C07A74" w:rsidRDefault="00CC0FA0" w:rsidP="007528E3">
      <w:pPr>
        <w:pStyle w:val="FootnoteText"/>
        <w:spacing w:after="0" w:line="240" w:lineRule="auto"/>
        <w:rPr>
          <w:rFonts w:ascii="Cambria" w:hAnsi="Cambria"/>
          <w:sz w:val="16"/>
          <w:szCs w:val="16"/>
          <w:lang w:val="es-ES_tradnl"/>
        </w:rPr>
      </w:pPr>
      <w:r w:rsidRPr="00C07A74">
        <w:rPr>
          <w:rStyle w:val="FootnoteReference"/>
          <w:rFonts w:ascii="Cambria" w:hAnsi="Cambria"/>
          <w:sz w:val="16"/>
          <w:szCs w:val="16"/>
          <w:lang w:val="es-ES_tradnl"/>
        </w:rPr>
        <w:footnoteRef/>
      </w:r>
      <w:r w:rsidRPr="001D36DC">
        <w:rPr>
          <w:rFonts w:ascii="Cambria" w:hAnsi="Cambria"/>
          <w:sz w:val="16"/>
          <w:szCs w:val="16"/>
          <w:lang w:val="en-US"/>
        </w:rPr>
        <w:t xml:space="preserve"> Atkins contra Virginia, 536 U.S. 304, 122 S. Ct. 2242, 153 L. Ed. 2d 335 (2002). </w:t>
      </w:r>
      <w:r w:rsidRPr="00C07A74">
        <w:rPr>
          <w:rFonts w:ascii="Cambria" w:hAnsi="Cambria"/>
          <w:sz w:val="16"/>
          <w:szCs w:val="16"/>
          <w:lang w:val="es-ES_tradnl"/>
        </w:rPr>
        <w:t>En Atkins, la Corte Suprema de los Estados Unidos dictaminó que ejecutar a personas con discapacidad intelectual viola la prohibición de la Octava Enmienda sobre el castigo cruel e inusual.</w:t>
      </w:r>
    </w:p>
  </w:footnote>
  <w:footnote w:id="3">
    <w:p w14:paraId="7EF6EEA1" w14:textId="77777777" w:rsidR="00CC0FA0" w:rsidRPr="00C07A74" w:rsidRDefault="00CC0FA0" w:rsidP="00D11422">
      <w:pPr>
        <w:pStyle w:val="FootnoteText"/>
        <w:spacing w:after="0"/>
        <w:rPr>
          <w:rFonts w:ascii="Cambria" w:hAnsi="Cambria"/>
          <w:sz w:val="16"/>
          <w:szCs w:val="16"/>
          <w:lang w:val="es-ES_tradnl"/>
        </w:rPr>
      </w:pPr>
      <w:r w:rsidRPr="00C07A74">
        <w:rPr>
          <w:rStyle w:val="FootnoteReference"/>
          <w:rFonts w:ascii="Cambria" w:hAnsi="Cambria"/>
          <w:sz w:val="16"/>
          <w:szCs w:val="16"/>
          <w:lang w:val="es-ES_tradnl"/>
        </w:rPr>
        <w:footnoteRef/>
      </w:r>
      <w:r w:rsidRPr="00C07A74">
        <w:rPr>
          <w:rFonts w:ascii="Cambria" w:hAnsi="Cambria"/>
          <w:sz w:val="16"/>
          <w:szCs w:val="16"/>
          <w:lang w:val="es-ES_tradnl"/>
        </w:rPr>
        <w:t xml:space="preserve"> </w:t>
      </w:r>
      <w:r w:rsidR="00D11422" w:rsidRPr="00C07A74">
        <w:rPr>
          <w:rFonts w:ascii="Cambria" w:hAnsi="Cambria"/>
          <w:sz w:val="16"/>
          <w:szCs w:val="16"/>
          <w:lang w:val="es-ES_tradnl"/>
        </w:rPr>
        <w:t xml:space="preserve">Estado de Texas v Ramiro Ibarra Rubí, Caso N 1996-634-C, Orden </w:t>
      </w:r>
      <w:r w:rsidR="00555669" w:rsidRPr="00C07A74">
        <w:rPr>
          <w:rFonts w:ascii="Cambria" w:hAnsi="Cambria"/>
          <w:sz w:val="16"/>
          <w:szCs w:val="16"/>
          <w:lang w:val="es-ES_tradnl"/>
        </w:rPr>
        <w:t>fijando</w:t>
      </w:r>
      <w:r w:rsidR="00D11422" w:rsidRPr="00C07A74">
        <w:rPr>
          <w:rFonts w:ascii="Cambria" w:hAnsi="Cambria"/>
          <w:sz w:val="16"/>
          <w:szCs w:val="16"/>
          <w:lang w:val="es-ES_tradnl"/>
        </w:rPr>
        <w:t xml:space="preserve"> fecha de ejecución. </w:t>
      </w:r>
    </w:p>
  </w:footnote>
  <w:footnote w:id="4">
    <w:p w14:paraId="622D93FE" w14:textId="77777777" w:rsidR="00CC0FA0" w:rsidRPr="00C07A74" w:rsidRDefault="00CC0FA0" w:rsidP="00D11422">
      <w:pPr>
        <w:pStyle w:val="FootnoteText"/>
        <w:spacing w:after="0"/>
        <w:rPr>
          <w:rFonts w:ascii="Cambria" w:hAnsi="Cambria"/>
          <w:sz w:val="16"/>
          <w:szCs w:val="16"/>
          <w:lang w:val="es-ES_tradnl"/>
        </w:rPr>
      </w:pPr>
      <w:r w:rsidRPr="00C07A74">
        <w:rPr>
          <w:rStyle w:val="FootnoteReference"/>
          <w:rFonts w:ascii="Cambria" w:hAnsi="Cambria"/>
          <w:sz w:val="16"/>
          <w:szCs w:val="16"/>
          <w:lang w:val="es-ES_tradnl"/>
        </w:rPr>
        <w:footnoteRef/>
      </w:r>
      <w:r w:rsidRPr="00C07A74">
        <w:rPr>
          <w:rFonts w:ascii="Cambria" w:hAnsi="Cambria"/>
          <w:sz w:val="16"/>
          <w:szCs w:val="16"/>
          <w:lang w:val="es-ES_tradnl"/>
        </w:rPr>
        <w:t xml:space="preserve"> </w:t>
      </w:r>
      <w:r w:rsidR="00D11422" w:rsidRPr="00C07A74">
        <w:rPr>
          <w:rFonts w:ascii="Cambria" w:hAnsi="Cambria"/>
          <w:sz w:val="16"/>
          <w:szCs w:val="16"/>
          <w:lang w:val="es-ES_tradnl"/>
        </w:rPr>
        <w:t>Ibarra v Estado, 11 S.W.3D 189 (Tribunal Penal de Apelaciones de Texas. 1999).</w:t>
      </w:r>
    </w:p>
  </w:footnote>
  <w:footnote w:id="5">
    <w:p w14:paraId="09935AB5" w14:textId="77777777" w:rsidR="00CC0FA0" w:rsidRPr="00C07A74" w:rsidRDefault="00CC0FA0" w:rsidP="00D11422">
      <w:pPr>
        <w:pStyle w:val="FootnoteText"/>
        <w:spacing w:after="0"/>
        <w:rPr>
          <w:rFonts w:ascii="Cambria" w:hAnsi="Cambria"/>
          <w:sz w:val="16"/>
          <w:szCs w:val="16"/>
          <w:lang w:val="es-ES_tradnl"/>
        </w:rPr>
      </w:pPr>
      <w:r w:rsidRPr="00C07A74">
        <w:rPr>
          <w:rStyle w:val="FootnoteReference"/>
          <w:rFonts w:ascii="Cambria" w:hAnsi="Cambria"/>
          <w:sz w:val="16"/>
          <w:szCs w:val="16"/>
          <w:lang w:val="es-ES_tradnl"/>
        </w:rPr>
        <w:footnoteRef/>
      </w:r>
      <w:r w:rsidRPr="00C07A74">
        <w:rPr>
          <w:rFonts w:ascii="Cambria" w:hAnsi="Cambria"/>
          <w:sz w:val="16"/>
          <w:szCs w:val="16"/>
          <w:lang w:val="es-ES_tradnl"/>
        </w:rPr>
        <w:t xml:space="preserve"> </w:t>
      </w:r>
      <w:r w:rsidR="00D11422" w:rsidRPr="00C07A74">
        <w:rPr>
          <w:rFonts w:ascii="Cambria" w:hAnsi="Cambria"/>
          <w:sz w:val="16"/>
          <w:szCs w:val="16"/>
          <w:lang w:val="es-ES_tradnl"/>
        </w:rPr>
        <w:t>Ibarra v Texas, 531 U.S. 828 (2000).</w:t>
      </w:r>
    </w:p>
  </w:footnote>
  <w:footnote w:id="6">
    <w:p w14:paraId="750B86A6" w14:textId="77777777" w:rsidR="00CC0FA0" w:rsidRPr="00C07A74" w:rsidRDefault="00CC0FA0" w:rsidP="00D11422">
      <w:pPr>
        <w:pStyle w:val="FootnoteText"/>
        <w:spacing w:after="0"/>
        <w:rPr>
          <w:rFonts w:ascii="Cambria" w:hAnsi="Cambria"/>
          <w:sz w:val="16"/>
          <w:szCs w:val="16"/>
          <w:lang w:val="es-ES_tradnl"/>
        </w:rPr>
      </w:pPr>
      <w:r w:rsidRPr="00C07A74">
        <w:rPr>
          <w:rStyle w:val="FootnoteReference"/>
          <w:rFonts w:ascii="Cambria" w:hAnsi="Cambria"/>
          <w:sz w:val="16"/>
          <w:szCs w:val="16"/>
          <w:lang w:val="es-ES_tradnl"/>
        </w:rPr>
        <w:footnoteRef/>
      </w:r>
      <w:r w:rsidRPr="00C07A74">
        <w:rPr>
          <w:rFonts w:ascii="Cambria" w:hAnsi="Cambria"/>
          <w:sz w:val="16"/>
          <w:szCs w:val="16"/>
          <w:lang w:val="es-ES_tradnl"/>
        </w:rPr>
        <w:t xml:space="preserve"> </w:t>
      </w:r>
      <w:r w:rsidR="00D11422" w:rsidRPr="00C07A74">
        <w:rPr>
          <w:rFonts w:ascii="Cambria" w:hAnsi="Cambria"/>
          <w:sz w:val="16"/>
          <w:szCs w:val="16"/>
          <w:lang w:val="es-ES_tradnl"/>
        </w:rPr>
        <w:t>Ex parte Ibarra, No. WR-48, 832-01 (Tribunal Penal de Apelaciones de Texas. 4</w:t>
      </w:r>
      <w:r w:rsidR="00555669" w:rsidRPr="00C07A74">
        <w:rPr>
          <w:rFonts w:ascii="Cambria" w:hAnsi="Cambria"/>
          <w:sz w:val="16"/>
          <w:szCs w:val="16"/>
          <w:lang w:val="es-ES_tradnl"/>
        </w:rPr>
        <w:t xml:space="preserve"> de abril de</w:t>
      </w:r>
      <w:r w:rsidR="00D11422" w:rsidRPr="00C07A74">
        <w:rPr>
          <w:rFonts w:ascii="Cambria" w:hAnsi="Cambria"/>
          <w:sz w:val="16"/>
          <w:szCs w:val="16"/>
          <w:lang w:val="es-ES_tradnl"/>
        </w:rPr>
        <w:t xml:space="preserve"> 2001).</w:t>
      </w:r>
    </w:p>
  </w:footnote>
  <w:footnote w:id="7">
    <w:p w14:paraId="563997A6" w14:textId="77777777" w:rsidR="00CC0FA0" w:rsidRPr="00C07A74" w:rsidRDefault="00CC0FA0" w:rsidP="00D11422">
      <w:pPr>
        <w:pStyle w:val="FootnoteText"/>
        <w:spacing w:after="0"/>
        <w:rPr>
          <w:rFonts w:ascii="Cambria" w:hAnsi="Cambria"/>
          <w:sz w:val="16"/>
          <w:szCs w:val="16"/>
          <w:lang w:val="es-ES_tradnl"/>
        </w:rPr>
      </w:pPr>
      <w:r w:rsidRPr="00C07A74">
        <w:rPr>
          <w:rStyle w:val="FootnoteReference"/>
          <w:rFonts w:ascii="Cambria" w:hAnsi="Cambria"/>
          <w:sz w:val="16"/>
          <w:szCs w:val="16"/>
          <w:lang w:val="es-ES_tradnl"/>
        </w:rPr>
        <w:footnoteRef/>
      </w:r>
      <w:r w:rsidRPr="00C07A74">
        <w:rPr>
          <w:rFonts w:ascii="Cambria" w:hAnsi="Cambria"/>
          <w:sz w:val="16"/>
          <w:szCs w:val="16"/>
          <w:lang w:val="es-ES_tradnl"/>
        </w:rPr>
        <w:t xml:space="preserve"> </w:t>
      </w:r>
      <w:r w:rsidR="00D11422" w:rsidRPr="00C07A74">
        <w:rPr>
          <w:rFonts w:ascii="Cambria" w:hAnsi="Cambria"/>
          <w:sz w:val="16"/>
          <w:szCs w:val="16"/>
          <w:lang w:val="es-ES_tradnl"/>
        </w:rPr>
        <w:t xml:space="preserve">Ex parte Ibarra, WR-48, 832-02, WR-48, 832-03, 2007 WL 2790587 (Tribunal Penal de Apelaciones de Texas. </w:t>
      </w:r>
      <w:r w:rsidR="00555669" w:rsidRPr="00C07A74">
        <w:rPr>
          <w:rFonts w:ascii="Cambria" w:hAnsi="Cambria"/>
          <w:sz w:val="16"/>
          <w:szCs w:val="16"/>
          <w:lang w:val="es-ES_tradnl"/>
        </w:rPr>
        <w:t>26 de septiembre de</w:t>
      </w:r>
      <w:r w:rsidR="00D11422" w:rsidRPr="00C07A74">
        <w:rPr>
          <w:rFonts w:ascii="Cambria" w:hAnsi="Cambria"/>
          <w:sz w:val="16"/>
          <w:szCs w:val="16"/>
          <w:lang w:val="es-ES_tradnl"/>
        </w:rPr>
        <w:t xml:space="preserve"> 2007).</w:t>
      </w:r>
    </w:p>
  </w:footnote>
  <w:footnote w:id="8">
    <w:p w14:paraId="7A7B9331" w14:textId="77777777" w:rsidR="00D11422" w:rsidRPr="00C07A74" w:rsidRDefault="00D11422" w:rsidP="00D11422">
      <w:pPr>
        <w:pStyle w:val="FootnoteText"/>
        <w:spacing w:after="0"/>
        <w:rPr>
          <w:rFonts w:ascii="Cambria" w:hAnsi="Cambria"/>
          <w:sz w:val="16"/>
          <w:szCs w:val="16"/>
          <w:lang w:val="es-ES_tradnl"/>
        </w:rPr>
      </w:pPr>
      <w:r w:rsidRPr="00C07A74">
        <w:rPr>
          <w:rStyle w:val="FootnoteReference"/>
          <w:rFonts w:ascii="Cambria" w:hAnsi="Cambria"/>
          <w:sz w:val="16"/>
          <w:szCs w:val="16"/>
          <w:lang w:val="es-ES_tradnl"/>
        </w:rPr>
        <w:footnoteRef/>
      </w:r>
      <w:r w:rsidRPr="00C07A74">
        <w:rPr>
          <w:rFonts w:ascii="Cambria" w:hAnsi="Cambria"/>
          <w:sz w:val="16"/>
          <w:szCs w:val="16"/>
          <w:lang w:val="es-ES_tradnl"/>
        </w:rPr>
        <w:t xml:space="preserve"> Ibarra v Texas, 553 U.S. 1055 (2008).</w:t>
      </w:r>
    </w:p>
  </w:footnote>
  <w:footnote w:id="9">
    <w:p w14:paraId="71CAC179" w14:textId="77777777" w:rsidR="00CC0FA0" w:rsidRPr="00C07A74" w:rsidRDefault="00CC0FA0" w:rsidP="00D11422">
      <w:pPr>
        <w:pStyle w:val="FootnoteText"/>
        <w:spacing w:after="0"/>
        <w:rPr>
          <w:rFonts w:ascii="Cambria" w:hAnsi="Cambria"/>
          <w:sz w:val="16"/>
          <w:szCs w:val="16"/>
          <w:lang w:val="es-ES_tradnl"/>
        </w:rPr>
      </w:pPr>
      <w:r w:rsidRPr="00C07A74">
        <w:rPr>
          <w:rStyle w:val="FootnoteReference"/>
          <w:rFonts w:ascii="Cambria" w:hAnsi="Cambria"/>
          <w:sz w:val="16"/>
          <w:szCs w:val="16"/>
          <w:lang w:val="es-ES_tradnl"/>
        </w:rPr>
        <w:footnoteRef/>
      </w:r>
      <w:r w:rsidRPr="00C07A74">
        <w:rPr>
          <w:rFonts w:ascii="Cambria" w:hAnsi="Cambria"/>
          <w:sz w:val="16"/>
          <w:szCs w:val="16"/>
          <w:lang w:val="es-ES_tradnl"/>
        </w:rPr>
        <w:t xml:space="preserve"> </w:t>
      </w:r>
      <w:r w:rsidR="00D11422" w:rsidRPr="00C07A74">
        <w:rPr>
          <w:rFonts w:ascii="Cambria" w:hAnsi="Cambria"/>
          <w:sz w:val="16"/>
          <w:szCs w:val="16"/>
          <w:lang w:val="es-ES_tradnl"/>
        </w:rPr>
        <w:t xml:space="preserve">Ex parte Ibarra, WR-48, 832-04, 2008 WL 4417283 (Tribunal Penal de Apelaciones de Texas </w:t>
      </w:r>
      <w:r w:rsidR="00555669" w:rsidRPr="00C07A74">
        <w:rPr>
          <w:rFonts w:ascii="Cambria" w:hAnsi="Cambria"/>
          <w:sz w:val="16"/>
          <w:szCs w:val="16"/>
          <w:lang w:val="es-ES_tradnl"/>
        </w:rPr>
        <w:t>1 de octubre de</w:t>
      </w:r>
      <w:r w:rsidR="00D11422" w:rsidRPr="00C07A74">
        <w:rPr>
          <w:rFonts w:ascii="Cambria" w:hAnsi="Cambria"/>
          <w:sz w:val="16"/>
          <w:szCs w:val="16"/>
          <w:lang w:val="es-ES_tradnl"/>
        </w:rPr>
        <w:t xml:space="preserve"> 2008).</w:t>
      </w:r>
    </w:p>
  </w:footnote>
  <w:footnote w:id="10">
    <w:p w14:paraId="0A6D36C5" w14:textId="77777777" w:rsidR="00CC0FA0" w:rsidRPr="00C07A74" w:rsidRDefault="00CC0FA0" w:rsidP="00D11422">
      <w:pPr>
        <w:pStyle w:val="FootnoteText"/>
        <w:spacing w:after="0"/>
        <w:rPr>
          <w:rFonts w:ascii="Cambria" w:hAnsi="Cambria"/>
          <w:sz w:val="16"/>
          <w:szCs w:val="16"/>
          <w:lang w:val="es-ES_tradnl"/>
        </w:rPr>
      </w:pPr>
      <w:r w:rsidRPr="00C07A74">
        <w:rPr>
          <w:rStyle w:val="FootnoteReference"/>
          <w:rFonts w:ascii="Cambria" w:hAnsi="Cambria"/>
          <w:sz w:val="16"/>
          <w:szCs w:val="16"/>
          <w:lang w:val="es-ES_tradnl"/>
        </w:rPr>
        <w:footnoteRef/>
      </w:r>
      <w:r w:rsidRPr="001D36DC">
        <w:rPr>
          <w:rFonts w:ascii="Cambria" w:hAnsi="Cambria"/>
          <w:sz w:val="16"/>
          <w:szCs w:val="16"/>
          <w:lang w:val="en-US"/>
        </w:rPr>
        <w:t xml:space="preserve"> </w:t>
      </w:r>
      <w:r w:rsidR="00D11422" w:rsidRPr="001D36DC">
        <w:rPr>
          <w:rFonts w:ascii="Cambria" w:hAnsi="Cambria"/>
          <w:sz w:val="16"/>
          <w:szCs w:val="16"/>
          <w:lang w:val="en-US"/>
        </w:rPr>
        <w:t xml:space="preserve">Ibarra v Thaler, W-02-CA-052, 2011 WL 13177743 (W.D. Tex. </w:t>
      </w:r>
      <w:r w:rsidR="00D11422" w:rsidRPr="00C07A74">
        <w:rPr>
          <w:rFonts w:ascii="Cambria" w:hAnsi="Cambria"/>
          <w:sz w:val="16"/>
          <w:szCs w:val="16"/>
          <w:lang w:val="es-ES_tradnl"/>
        </w:rPr>
        <w:t>Marzo, 31, 2011).</w:t>
      </w:r>
    </w:p>
  </w:footnote>
  <w:footnote w:id="11">
    <w:p w14:paraId="1ADAE821" w14:textId="77777777" w:rsidR="00CC0FA0" w:rsidRPr="00C07A74" w:rsidRDefault="00CC0FA0" w:rsidP="00D11422">
      <w:pPr>
        <w:pStyle w:val="FootnoteText"/>
        <w:spacing w:after="0"/>
        <w:rPr>
          <w:rFonts w:ascii="Cambria" w:hAnsi="Cambria"/>
          <w:sz w:val="16"/>
          <w:szCs w:val="16"/>
          <w:lang w:val="es-ES_tradnl"/>
        </w:rPr>
      </w:pPr>
      <w:r w:rsidRPr="00C07A74">
        <w:rPr>
          <w:rStyle w:val="FootnoteReference"/>
          <w:rFonts w:ascii="Cambria" w:hAnsi="Cambria"/>
          <w:sz w:val="16"/>
          <w:szCs w:val="16"/>
          <w:lang w:val="es-ES_tradnl"/>
        </w:rPr>
        <w:footnoteRef/>
      </w:r>
      <w:r w:rsidRPr="00C07A74">
        <w:rPr>
          <w:rFonts w:ascii="Cambria" w:hAnsi="Cambria"/>
          <w:sz w:val="16"/>
          <w:szCs w:val="16"/>
          <w:lang w:val="es-ES_tradnl"/>
        </w:rPr>
        <w:t xml:space="preserve"> </w:t>
      </w:r>
      <w:r w:rsidR="00D11422" w:rsidRPr="00C07A74">
        <w:rPr>
          <w:rFonts w:ascii="Cambria" w:hAnsi="Cambria"/>
          <w:sz w:val="16"/>
          <w:szCs w:val="16"/>
          <w:lang w:val="es-ES_tradnl"/>
        </w:rPr>
        <w:t>Ibarra v Stephens, 723 F. 3d 599 (</w:t>
      </w:r>
      <w:proofErr w:type="spellStart"/>
      <w:r w:rsidR="00DD040D" w:rsidRPr="00C07A74">
        <w:rPr>
          <w:rFonts w:ascii="Cambria" w:hAnsi="Cambria"/>
          <w:sz w:val="16"/>
          <w:szCs w:val="16"/>
          <w:lang w:val="es-ES_tradnl"/>
        </w:rPr>
        <w:t>Quinto</w:t>
      </w:r>
      <w:r w:rsidR="00D11422" w:rsidRPr="00C07A74">
        <w:rPr>
          <w:rFonts w:ascii="Cambria" w:hAnsi="Cambria"/>
          <w:sz w:val="16"/>
          <w:szCs w:val="16"/>
          <w:lang w:val="es-ES_tradnl"/>
        </w:rPr>
        <w:t>to</w:t>
      </w:r>
      <w:proofErr w:type="spellEnd"/>
      <w:r w:rsidR="00D11422" w:rsidRPr="00C07A74">
        <w:rPr>
          <w:rFonts w:ascii="Cambria" w:hAnsi="Cambria"/>
          <w:sz w:val="16"/>
          <w:szCs w:val="16"/>
          <w:lang w:val="es-ES_tradnl"/>
        </w:rPr>
        <w:t xml:space="preserve"> Circuito. 2013).</w:t>
      </w:r>
    </w:p>
  </w:footnote>
  <w:footnote w:id="12">
    <w:p w14:paraId="5B07F52E" w14:textId="77777777" w:rsidR="00CC0FA0" w:rsidRPr="00C07A74" w:rsidRDefault="00CC0FA0" w:rsidP="00D11422">
      <w:pPr>
        <w:pStyle w:val="FootnoteText"/>
        <w:spacing w:after="0"/>
        <w:rPr>
          <w:rFonts w:ascii="Cambria" w:hAnsi="Cambria"/>
          <w:sz w:val="16"/>
          <w:szCs w:val="16"/>
          <w:lang w:val="es-ES_tradnl"/>
        </w:rPr>
      </w:pPr>
      <w:r w:rsidRPr="00C07A74">
        <w:rPr>
          <w:rStyle w:val="FootnoteReference"/>
          <w:rFonts w:ascii="Cambria" w:hAnsi="Cambria"/>
          <w:sz w:val="16"/>
          <w:szCs w:val="16"/>
          <w:lang w:val="es-ES_tradnl"/>
        </w:rPr>
        <w:footnoteRef/>
      </w:r>
      <w:r w:rsidRPr="00C07A74">
        <w:rPr>
          <w:rFonts w:ascii="Cambria" w:hAnsi="Cambria"/>
          <w:sz w:val="16"/>
          <w:szCs w:val="16"/>
          <w:lang w:val="es-ES_tradnl"/>
        </w:rPr>
        <w:t xml:space="preserve"> </w:t>
      </w:r>
      <w:r w:rsidR="00D11422" w:rsidRPr="00C07A74">
        <w:rPr>
          <w:rFonts w:ascii="Cambria" w:hAnsi="Cambria"/>
          <w:sz w:val="16"/>
          <w:szCs w:val="16"/>
          <w:lang w:val="es-ES_tradnl"/>
        </w:rPr>
        <w:t xml:space="preserve">Ibarra v Davis 786 Fed. </w:t>
      </w:r>
      <w:proofErr w:type="spellStart"/>
      <w:r w:rsidR="00D11422" w:rsidRPr="00C07A74">
        <w:rPr>
          <w:rFonts w:ascii="Cambria" w:hAnsi="Cambria"/>
          <w:sz w:val="16"/>
          <w:szCs w:val="16"/>
          <w:lang w:val="es-ES_tradnl"/>
        </w:rPr>
        <w:t>Appx</w:t>
      </w:r>
      <w:proofErr w:type="spellEnd"/>
      <w:r w:rsidR="00D11422" w:rsidRPr="00C07A74">
        <w:rPr>
          <w:rFonts w:ascii="Cambria" w:hAnsi="Cambria"/>
          <w:sz w:val="16"/>
          <w:szCs w:val="16"/>
          <w:lang w:val="es-ES_tradnl"/>
        </w:rPr>
        <w:t>. 420 (</w:t>
      </w:r>
      <w:proofErr w:type="spellStart"/>
      <w:r w:rsidR="00DD040D" w:rsidRPr="00C07A74">
        <w:rPr>
          <w:rFonts w:ascii="Cambria" w:hAnsi="Cambria"/>
          <w:sz w:val="16"/>
          <w:szCs w:val="16"/>
          <w:lang w:val="es-ES_tradnl"/>
        </w:rPr>
        <w:t>Quinto</w:t>
      </w:r>
      <w:r w:rsidR="00D11422" w:rsidRPr="00C07A74">
        <w:rPr>
          <w:rFonts w:ascii="Cambria" w:hAnsi="Cambria"/>
          <w:sz w:val="16"/>
          <w:szCs w:val="16"/>
          <w:lang w:val="es-ES_tradnl"/>
        </w:rPr>
        <w:t>to</w:t>
      </w:r>
      <w:proofErr w:type="spellEnd"/>
      <w:r w:rsidR="00D11422" w:rsidRPr="00C07A74">
        <w:rPr>
          <w:rFonts w:ascii="Cambria" w:hAnsi="Cambria"/>
          <w:sz w:val="16"/>
          <w:szCs w:val="16"/>
          <w:lang w:val="es-ES_tradnl"/>
        </w:rPr>
        <w:t xml:space="preserve"> Circuito 2019).</w:t>
      </w:r>
    </w:p>
  </w:footnote>
  <w:footnote w:id="13">
    <w:p w14:paraId="5B55D295" w14:textId="77777777" w:rsidR="00D11422" w:rsidRPr="00C07A74" w:rsidRDefault="00D11422" w:rsidP="00D11422">
      <w:pPr>
        <w:pStyle w:val="FootnoteText"/>
        <w:spacing w:after="0"/>
        <w:rPr>
          <w:rFonts w:ascii="Cambria" w:hAnsi="Cambria"/>
          <w:sz w:val="16"/>
          <w:szCs w:val="16"/>
          <w:lang w:val="es-ES_tradnl"/>
        </w:rPr>
      </w:pPr>
      <w:r w:rsidRPr="00C07A74">
        <w:rPr>
          <w:rStyle w:val="FootnoteReference"/>
          <w:rFonts w:ascii="Cambria" w:hAnsi="Cambria"/>
          <w:sz w:val="16"/>
          <w:szCs w:val="16"/>
          <w:lang w:val="es-ES_tradnl"/>
        </w:rPr>
        <w:footnoteRef/>
      </w:r>
      <w:r w:rsidRPr="00C07A74">
        <w:rPr>
          <w:rFonts w:ascii="Cambria" w:hAnsi="Cambria"/>
          <w:sz w:val="16"/>
          <w:szCs w:val="16"/>
          <w:lang w:val="es-ES_tradnl"/>
        </w:rPr>
        <w:t xml:space="preserve"> Ibarra v Davis 19-8103, S. </w:t>
      </w:r>
      <w:proofErr w:type="spellStart"/>
      <w:r w:rsidRPr="00C07A74">
        <w:rPr>
          <w:rFonts w:ascii="Cambria" w:hAnsi="Cambria"/>
          <w:sz w:val="16"/>
          <w:szCs w:val="16"/>
          <w:lang w:val="es-ES_tradnl"/>
        </w:rPr>
        <w:t>Ct</w:t>
      </w:r>
      <w:proofErr w:type="spellEnd"/>
      <w:r w:rsidRPr="00C07A74">
        <w:rPr>
          <w:rFonts w:ascii="Cambria" w:hAnsi="Cambria"/>
          <w:sz w:val="16"/>
          <w:szCs w:val="16"/>
          <w:lang w:val="es-ES_tradnl"/>
        </w:rPr>
        <w:t>. 2020 WL 3038333. (US Junio, 8, 2020).</w:t>
      </w:r>
    </w:p>
  </w:footnote>
  <w:footnote w:id="14">
    <w:p w14:paraId="067C750D" w14:textId="77777777" w:rsidR="00D11422" w:rsidRPr="00C07A74" w:rsidRDefault="00D11422" w:rsidP="00D11422">
      <w:pPr>
        <w:pStyle w:val="FootnoteText"/>
        <w:spacing w:after="0"/>
        <w:rPr>
          <w:lang w:val="es-ES_tradnl"/>
        </w:rPr>
      </w:pPr>
      <w:r w:rsidRPr="00C07A74">
        <w:rPr>
          <w:rStyle w:val="FootnoteReference"/>
          <w:rFonts w:ascii="Cambria" w:hAnsi="Cambria"/>
          <w:sz w:val="16"/>
          <w:szCs w:val="16"/>
          <w:lang w:val="es-ES_tradnl"/>
        </w:rPr>
        <w:footnoteRef/>
      </w:r>
      <w:r w:rsidRPr="00C07A74">
        <w:rPr>
          <w:rFonts w:ascii="Cambria" w:hAnsi="Cambria"/>
          <w:sz w:val="16"/>
          <w:szCs w:val="16"/>
          <w:lang w:val="es-ES_tradnl"/>
        </w:rPr>
        <w:t xml:space="preserve"> Estado de Texas v Ramiro Ibarra Rubí, Caso N 1996-634-C, Orden </w:t>
      </w:r>
      <w:r w:rsidR="00555669" w:rsidRPr="00C07A74">
        <w:rPr>
          <w:rFonts w:ascii="Cambria" w:hAnsi="Cambria"/>
          <w:sz w:val="16"/>
          <w:szCs w:val="16"/>
          <w:lang w:val="es-ES_tradnl"/>
        </w:rPr>
        <w:t>fijando</w:t>
      </w:r>
      <w:r w:rsidRPr="00C07A74">
        <w:rPr>
          <w:rFonts w:ascii="Cambria" w:hAnsi="Cambria"/>
          <w:sz w:val="16"/>
          <w:szCs w:val="16"/>
          <w:lang w:val="es-ES_tradnl"/>
        </w:rPr>
        <w:t xml:space="preserve"> fecha de ejecución.</w:t>
      </w:r>
    </w:p>
  </w:footnote>
  <w:footnote w:id="15">
    <w:p w14:paraId="6FA31BCF" w14:textId="77777777" w:rsidR="00F442C7" w:rsidRPr="00C07A74" w:rsidRDefault="00F442C7" w:rsidP="00F442C7">
      <w:pPr>
        <w:pStyle w:val="FootnoteText"/>
        <w:spacing w:after="0"/>
        <w:rPr>
          <w:rFonts w:ascii="Cambria" w:hAnsi="Cambria"/>
          <w:sz w:val="16"/>
          <w:szCs w:val="16"/>
          <w:lang w:val="es-ES_tradnl"/>
        </w:rPr>
      </w:pPr>
      <w:r w:rsidRPr="00C07A74">
        <w:rPr>
          <w:rStyle w:val="FootnoteReference"/>
          <w:rFonts w:ascii="Cambria" w:hAnsi="Cambria"/>
          <w:sz w:val="16"/>
          <w:szCs w:val="16"/>
          <w:lang w:val="es-ES_tradnl"/>
        </w:rPr>
        <w:footnoteRef/>
      </w:r>
      <w:r w:rsidRPr="00C07A74">
        <w:rPr>
          <w:rFonts w:ascii="Cambria" w:hAnsi="Cambria"/>
          <w:sz w:val="16"/>
          <w:szCs w:val="16"/>
          <w:lang w:val="es-ES_tradnl"/>
        </w:rPr>
        <w:t xml:space="preserve"> </w:t>
      </w:r>
      <w:r w:rsidRPr="00C07A74">
        <w:rPr>
          <w:rFonts w:ascii="Cambria" w:hAnsi="Cambria" w:cs="Calibri"/>
          <w:sz w:val="16"/>
          <w:szCs w:val="16"/>
          <w:u w:color="000000"/>
          <w:lang w:val="es-ES_tradnl"/>
        </w:rPr>
        <w:t xml:space="preserve">CIDH, Informe No. 219/19, Petición 459-08. Admisibilidad. </w:t>
      </w:r>
      <w:proofErr w:type="spellStart"/>
      <w:r w:rsidRPr="00C07A74">
        <w:rPr>
          <w:rFonts w:ascii="Cambria" w:hAnsi="Cambria" w:cs="Calibri"/>
          <w:sz w:val="16"/>
          <w:szCs w:val="16"/>
          <w:u w:color="000000"/>
          <w:lang w:val="es-ES_tradnl"/>
        </w:rPr>
        <w:t>Anant</w:t>
      </w:r>
      <w:proofErr w:type="spellEnd"/>
      <w:r w:rsidRPr="00C07A74">
        <w:rPr>
          <w:rFonts w:ascii="Cambria" w:hAnsi="Cambria" w:cs="Calibri"/>
          <w:sz w:val="16"/>
          <w:szCs w:val="16"/>
          <w:u w:color="000000"/>
          <w:lang w:val="es-ES_tradnl"/>
        </w:rPr>
        <w:t xml:space="preserve"> Kumar </w:t>
      </w:r>
      <w:proofErr w:type="spellStart"/>
      <w:r w:rsidRPr="00C07A74">
        <w:rPr>
          <w:rFonts w:ascii="Cambria" w:hAnsi="Cambria" w:cs="Calibri"/>
          <w:sz w:val="16"/>
          <w:szCs w:val="16"/>
          <w:u w:color="000000"/>
          <w:lang w:val="es-ES_tradnl"/>
        </w:rPr>
        <w:t>Tripati</w:t>
      </w:r>
      <w:proofErr w:type="spellEnd"/>
      <w:r w:rsidRPr="00C07A74">
        <w:rPr>
          <w:rFonts w:ascii="Cambria" w:hAnsi="Cambria" w:cs="Calibri"/>
          <w:sz w:val="16"/>
          <w:szCs w:val="16"/>
          <w:u w:color="000000"/>
          <w:lang w:val="es-ES_tradnl"/>
        </w:rPr>
        <w:t xml:space="preserve">. Estados Unidos. 24 de octubre de 2019 </w:t>
      </w:r>
      <w:r w:rsidRPr="00C07A74">
        <w:rPr>
          <w:rFonts w:ascii="Cambria" w:hAnsi="Cambria"/>
          <w:sz w:val="16"/>
          <w:szCs w:val="16"/>
          <w:lang w:val="es-ES_tradnl"/>
        </w:rPr>
        <w:t>p</w:t>
      </w:r>
      <w:r w:rsidR="009706CC">
        <w:rPr>
          <w:rFonts w:ascii="Cambria" w:hAnsi="Cambria"/>
          <w:sz w:val="16"/>
          <w:szCs w:val="16"/>
          <w:lang w:val="es-ES_tradnl"/>
        </w:rPr>
        <w:t>á</w:t>
      </w:r>
      <w:r w:rsidRPr="00C07A74">
        <w:rPr>
          <w:rFonts w:ascii="Cambria" w:hAnsi="Cambria" w:cs="Calibri"/>
          <w:sz w:val="16"/>
          <w:szCs w:val="16"/>
          <w:lang w:val="es-ES_tradnl" w:eastAsia="es-ES"/>
        </w:rPr>
        <w:t>r</w:t>
      </w:r>
      <w:r w:rsidR="009706CC">
        <w:rPr>
          <w:rFonts w:ascii="Cambria" w:hAnsi="Cambria" w:cs="Calibri"/>
          <w:sz w:val="16"/>
          <w:szCs w:val="16"/>
          <w:lang w:val="es-ES_tradnl" w:eastAsia="es-ES"/>
        </w:rPr>
        <w:t>r</w:t>
      </w:r>
      <w:r w:rsidRPr="00C07A74">
        <w:rPr>
          <w:rFonts w:ascii="Cambria" w:hAnsi="Cambria"/>
          <w:sz w:val="16"/>
          <w:szCs w:val="16"/>
          <w:lang w:val="es-ES_tradnl"/>
        </w:rPr>
        <w:t>. 1</w:t>
      </w:r>
      <w:r w:rsidRPr="00C07A74">
        <w:rPr>
          <w:rFonts w:ascii="Cambria" w:hAnsi="Cambria" w:cs="Calibri"/>
          <w:sz w:val="16"/>
          <w:szCs w:val="16"/>
          <w:lang w:val="es-ES_tradnl" w:eastAsia="es-ES"/>
        </w:rPr>
        <w:t>3.</w:t>
      </w:r>
    </w:p>
  </w:footnote>
  <w:footnote w:id="16">
    <w:p w14:paraId="5F6EB4DB" w14:textId="77777777" w:rsidR="00F442C7" w:rsidRPr="00C07A74" w:rsidRDefault="00F442C7" w:rsidP="00F442C7">
      <w:pPr>
        <w:pStyle w:val="FootnoteText"/>
        <w:spacing w:after="0"/>
        <w:rPr>
          <w:lang w:val="es-ES_tradnl"/>
        </w:rPr>
      </w:pPr>
      <w:r w:rsidRPr="00C07A74">
        <w:rPr>
          <w:rStyle w:val="FootnoteReference"/>
          <w:rFonts w:ascii="Cambria" w:hAnsi="Cambria"/>
          <w:sz w:val="16"/>
          <w:szCs w:val="16"/>
          <w:lang w:val="es-ES_tradnl"/>
        </w:rPr>
        <w:footnoteRef/>
      </w:r>
      <w:r w:rsidRPr="00C07A74">
        <w:rPr>
          <w:rFonts w:ascii="Cambria" w:hAnsi="Cambria"/>
          <w:sz w:val="16"/>
          <w:szCs w:val="16"/>
          <w:lang w:val="es-ES_tradnl"/>
        </w:rPr>
        <w:t xml:space="preserve"> CIDH, Informe No. 54/14, </w:t>
      </w:r>
      <w:proofErr w:type="spellStart"/>
      <w:r w:rsidRPr="00C07A74">
        <w:rPr>
          <w:rFonts w:ascii="Cambria" w:hAnsi="Cambria"/>
          <w:sz w:val="16"/>
          <w:szCs w:val="16"/>
          <w:lang w:val="es-ES_tradnl"/>
        </w:rPr>
        <w:t>Petitción</w:t>
      </w:r>
      <w:proofErr w:type="spellEnd"/>
      <w:r w:rsidRPr="00C07A74">
        <w:rPr>
          <w:rFonts w:ascii="Cambria" w:hAnsi="Cambria"/>
          <w:sz w:val="16"/>
          <w:szCs w:val="16"/>
          <w:lang w:val="es-ES_tradnl"/>
        </w:rPr>
        <w:t xml:space="preserve"> 684-14. Admisibilidad. Russel </w:t>
      </w:r>
      <w:proofErr w:type="spellStart"/>
      <w:r w:rsidRPr="00C07A74">
        <w:rPr>
          <w:rFonts w:ascii="Cambria" w:hAnsi="Cambria"/>
          <w:sz w:val="16"/>
          <w:szCs w:val="16"/>
          <w:lang w:val="es-ES_tradnl"/>
        </w:rPr>
        <w:t>Bucklew</w:t>
      </w:r>
      <w:proofErr w:type="spellEnd"/>
      <w:r w:rsidRPr="00C07A74">
        <w:rPr>
          <w:rFonts w:ascii="Cambria" w:hAnsi="Cambria"/>
          <w:sz w:val="16"/>
          <w:szCs w:val="16"/>
          <w:lang w:val="es-ES_tradnl"/>
        </w:rPr>
        <w:t xml:space="preserve"> y Charles Warner. Estados Unidos. 21 de julio de 2014, p</w:t>
      </w:r>
      <w:r w:rsidR="009706CC">
        <w:rPr>
          <w:rFonts w:ascii="Cambria" w:hAnsi="Cambria"/>
          <w:sz w:val="16"/>
          <w:szCs w:val="16"/>
          <w:lang w:val="es-ES_tradnl"/>
        </w:rPr>
        <w:t>á</w:t>
      </w:r>
      <w:r w:rsidRPr="00C07A74">
        <w:rPr>
          <w:rFonts w:ascii="Cambria" w:hAnsi="Cambria"/>
          <w:sz w:val="16"/>
          <w:szCs w:val="16"/>
          <w:lang w:val="es-ES_tradnl"/>
        </w:rPr>
        <w:t>r</w:t>
      </w:r>
      <w:r w:rsidR="009706CC">
        <w:rPr>
          <w:rFonts w:ascii="Cambria" w:hAnsi="Cambria"/>
          <w:sz w:val="16"/>
          <w:szCs w:val="16"/>
          <w:lang w:val="es-ES_tradnl"/>
        </w:rPr>
        <w:t>r</w:t>
      </w:r>
      <w:r w:rsidRPr="00C07A74">
        <w:rPr>
          <w:rFonts w:ascii="Cambria" w:hAnsi="Cambria"/>
          <w:sz w:val="16"/>
          <w:szCs w:val="16"/>
          <w:lang w:val="es-ES_tradnl"/>
        </w:rPr>
        <w:t>. 28.</w:t>
      </w:r>
    </w:p>
  </w:footnote>
  <w:footnote w:id="17">
    <w:p w14:paraId="351D1BB0" w14:textId="77777777" w:rsidR="00555669" w:rsidRPr="00C07A74" w:rsidRDefault="00555669" w:rsidP="00DD040D">
      <w:pPr>
        <w:pStyle w:val="FootnoteText"/>
        <w:spacing w:after="0"/>
        <w:rPr>
          <w:rFonts w:ascii="Cambria" w:hAnsi="Cambria"/>
          <w:sz w:val="16"/>
          <w:szCs w:val="16"/>
          <w:lang w:val="es-ES_tradnl"/>
        </w:rPr>
      </w:pPr>
      <w:r w:rsidRPr="00C07A74">
        <w:rPr>
          <w:rStyle w:val="FootnoteReference"/>
          <w:rFonts w:ascii="Cambria" w:hAnsi="Cambria"/>
          <w:sz w:val="16"/>
          <w:szCs w:val="16"/>
          <w:lang w:val="es-ES_tradnl"/>
        </w:rPr>
        <w:footnoteRef/>
      </w:r>
      <w:r w:rsidRPr="00C07A74">
        <w:rPr>
          <w:rFonts w:ascii="Cambria" w:hAnsi="Cambria"/>
          <w:sz w:val="16"/>
          <w:szCs w:val="16"/>
          <w:lang w:val="es-ES_tradnl"/>
        </w:rPr>
        <w:t xml:space="preserve"> Ibarra v. </w:t>
      </w:r>
      <w:proofErr w:type="spellStart"/>
      <w:r w:rsidRPr="00C07A74">
        <w:rPr>
          <w:rFonts w:ascii="Cambria" w:hAnsi="Cambria"/>
          <w:sz w:val="16"/>
          <w:szCs w:val="16"/>
          <w:lang w:val="es-ES_tradnl"/>
        </w:rPr>
        <w:t>Thaler</w:t>
      </w:r>
      <w:proofErr w:type="spellEnd"/>
      <w:r w:rsidRPr="00C07A74">
        <w:rPr>
          <w:rFonts w:ascii="Cambria" w:hAnsi="Cambria"/>
          <w:sz w:val="16"/>
          <w:szCs w:val="16"/>
          <w:lang w:val="es-ES_tradnl"/>
        </w:rPr>
        <w:t xml:space="preserve">, No. </w:t>
      </w:r>
      <w:r w:rsidRPr="001D36DC">
        <w:rPr>
          <w:rFonts w:ascii="Cambria" w:hAnsi="Cambria"/>
          <w:sz w:val="16"/>
          <w:szCs w:val="16"/>
          <w:lang w:val="en-US"/>
        </w:rPr>
        <w:t xml:space="preserve">W-02-CA-052, 2011 WL 13177743 (W.D. Tex.  </w:t>
      </w:r>
      <w:r w:rsidRPr="00C07A74">
        <w:rPr>
          <w:rFonts w:ascii="Cambria" w:hAnsi="Cambria"/>
          <w:sz w:val="16"/>
          <w:szCs w:val="16"/>
          <w:lang w:val="es-ES_tradnl"/>
        </w:rPr>
        <w:t>31 de marzo, 2011).</w:t>
      </w:r>
    </w:p>
  </w:footnote>
  <w:footnote w:id="18">
    <w:p w14:paraId="38BBF885" w14:textId="77777777" w:rsidR="00555669" w:rsidRPr="00C07A74" w:rsidRDefault="00555669" w:rsidP="00DD040D">
      <w:pPr>
        <w:pStyle w:val="FootnoteText"/>
        <w:spacing w:after="0"/>
        <w:rPr>
          <w:rFonts w:ascii="Cambria" w:hAnsi="Cambria"/>
          <w:sz w:val="16"/>
          <w:szCs w:val="16"/>
          <w:lang w:val="es-ES_tradnl"/>
        </w:rPr>
      </w:pPr>
      <w:r w:rsidRPr="00C07A74">
        <w:rPr>
          <w:rStyle w:val="FootnoteReference"/>
          <w:rFonts w:ascii="Cambria" w:hAnsi="Cambria"/>
          <w:sz w:val="16"/>
          <w:szCs w:val="16"/>
          <w:lang w:val="es-ES_tradnl"/>
        </w:rPr>
        <w:footnoteRef/>
      </w:r>
      <w:r w:rsidRPr="00C07A74">
        <w:rPr>
          <w:rFonts w:ascii="Cambria" w:hAnsi="Cambria"/>
          <w:sz w:val="16"/>
          <w:szCs w:val="16"/>
          <w:lang w:val="es-ES_tradnl"/>
        </w:rPr>
        <w:t xml:space="preserve"> Ibarra v. </w:t>
      </w:r>
      <w:proofErr w:type="spellStart"/>
      <w:r w:rsidRPr="00C07A74">
        <w:rPr>
          <w:rFonts w:ascii="Cambria" w:hAnsi="Cambria"/>
          <w:sz w:val="16"/>
          <w:szCs w:val="16"/>
          <w:lang w:val="es-ES_tradnl"/>
        </w:rPr>
        <w:t>Thaler</w:t>
      </w:r>
      <w:proofErr w:type="spellEnd"/>
      <w:r w:rsidRPr="00C07A74">
        <w:rPr>
          <w:rFonts w:ascii="Cambria" w:hAnsi="Cambria"/>
          <w:sz w:val="16"/>
          <w:szCs w:val="16"/>
          <w:lang w:val="es-ES_tradnl"/>
        </w:rPr>
        <w:t>, No. W-02-CA-052, 2011 WL 13177743 (W.D. Tex.  31 de marzo, 2011).</w:t>
      </w:r>
    </w:p>
  </w:footnote>
  <w:footnote w:id="19">
    <w:p w14:paraId="1E39C808" w14:textId="77777777" w:rsidR="00555669" w:rsidRPr="00C07A74" w:rsidRDefault="00555669" w:rsidP="00DD040D">
      <w:pPr>
        <w:pStyle w:val="FootnoteText"/>
        <w:spacing w:after="0"/>
        <w:rPr>
          <w:rFonts w:ascii="Cambria" w:hAnsi="Cambria"/>
          <w:sz w:val="16"/>
          <w:szCs w:val="16"/>
          <w:lang w:val="es-ES_tradnl"/>
        </w:rPr>
      </w:pPr>
      <w:r w:rsidRPr="00C07A74">
        <w:rPr>
          <w:rStyle w:val="FootnoteReference"/>
          <w:rFonts w:ascii="Cambria" w:hAnsi="Cambria"/>
          <w:sz w:val="16"/>
          <w:szCs w:val="16"/>
          <w:lang w:val="es-ES_tradnl"/>
        </w:rPr>
        <w:footnoteRef/>
      </w:r>
      <w:r w:rsidRPr="00C07A74">
        <w:rPr>
          <w:rFonts w:ascii="Cambria" w:hAnsi="Cambria"/>
          <w:sz w:val="16"/>
          <w:szCs w:val="16"/>
          <w:lang w:val="es-ES_tradnl"/>
        </w:rPr>
        <w:t xml:space="preserve"> Solicitud de medidas cautelares presentada ante la Comisión en representación de Ramiro Ibarra Rubí el 2 de febrero de 2018</w:t>
      </w:r>
    </w:p>
  </w:footnote>
  <w:footnote w:id="20">
    <w:p w14:paraId="29BB99D9" w14:textId="77777777" w:rsidR="00555669" w:rsidRPr="00C07A74" w:rsidRDefault="00555669" w:rsidP="00DD040D">
      <w:pPr>
        <w:pStyle w:val="FootnoteText"/>
        <w:spacing w:after="0"/>
        <w:rPr>
          <w:rFonts w:ascii="Cambria" w:hAnsi="Cambria"/>
          <w:sz w:val="16"/>
          <w:szCs w:val="16"/>
          <w:lang w:val="es-ES_tradnl"/>
        </w:rPr>
      </w:pPr>
      <w:r w:rsidRPr="00C07A74">
        <w:rPr>
          <w:rStyle w:val="FootnoteReference"/>
          <w:rFonts w:ascii="Cambria" w:hAnsi="Cambria"/>
          <w:sz w:val="16"/>
          <w:szCs w:val="16"/>
          <w:lang w:val="es-ES_tradnl"/>
        </w:rPr>
        <w:footnoteRef/>
      </w:r>
      <w:r w:rsidRPr="00C07A74">
        <w:rPr>
          <w:rFonts w:ascii="Cambria" w:hAnsi="Cambria"/>
          <w:sz w:val="16"/>
          <w:szCs w:val="16"/>
          <w:lang w:val="es-ES_tradnl"/>
        </w:rPr>
        <w:t xml:space="preserve"> Ibarra v. </w:t>
      </w:r>
      <w:proofErr w:type="spellStart"/>
      <w:r w:rsidRPr="00C07A74">
        <w:rPr>
          <w:rFonts w:ascii="Cambria" w:hAnsi="Cambria"/>
          <w:sz w:val="16"/>
          <w:szCs w:val="16"/>
          <w:lang w:val="es-ES_tradnl"/>
        </w:rPr>
        <w:t>Quarterman</w:t>
      </w:r>
      <w:proofErr w:type="spellEnd"/>
      <w:r w:rsidRPr="00C07A74">
        <w:rPr>
          <w:rFonts w:ascii="Cambria" w:hAnsi="Cambria"/>
          <w:sz w:val="16"/>
          <w:szCs w:val="16"/>
          <w:lang w:val="es-ES_tradnl"/>
        </w:rPr>
        <w:t>, Petición de Habeas Corpus corregida (Habeas Corpus corregido”) (W.D. Tex., 5 de enero de 2009), at 132 &amp; n. 35.</w:t>
      </w:r>
    </w:p>
  </w:footnote>
  <w:footnote w:id="21">
    <w:p w14:paraId="1D09E37D" w14:textId="77777777" w:rsidR="00555669" w:rsidRPr="00C07A74" w:rsidRDefault="00555669" w:rsidP="00DD040D">
      <w:pPr>
        <w:pStyle w:val="FootnoteText"/>
        <w:spacing w:after="0"/>
        <w:rPr>
          <w:rFonts w:ascii="Cambria" w:hAnsi="Cambria"/>
          <w:sz w:val="16"/>
          <w:szCs w:val="16"/>
          <w:lang w:val="es-ES_tradnl"/>
        </w:rPr>
      </w:pPr>
      <w:r w:rsidRPr="00C07A74">
        <w:rPr>
          <w:rStyle w:val="FootnoteReference"/>
          <w:rFonts w:ascii="Cambria" w:hAnsi="Cambria"/>
          <w:sz w:val="16"/>
          <w:szCs w:val="16"/>
          <w:lang w:val="es-ES_tradnl"/>
        </w:rPr>
        <w:footnoteRef/>
      </w:r>
      <w:r w:rsidRPr="00C07A74">
        <w:rPr>
          <w:rFonts w:ascii="Cambria" w:hAnsi="Cambria"/>
          <w:sz w:val="16"/>
          <w:szCs w:val="16"/>
          <w:lang w:val="es-ES_tradnl"/>
        </w:rPr>
        <w:t xml:space="preserve"> Estado de Texas v Ramiro Ibarra Rubí, Caso N. 1996-634-C, Orden fijando la fecha de ejecución </w:t>
      </w:r>
    </w:p>
  </w:footnote>
  <w:footnote w:id="22">
    <w:p w14:paraId="1F68FB18" w14:textId="77777777" w:rsidR="00555669" w:rsidRPr="00C07A74" w:rsidRDefault="00555669" w:rsidP="00DD040D">
      <w:pPr>
        <w:pStyle w:val="FootnoteText"/>
        <w:spacing w:after="0"/>
        <w:rPr>
          <w:rFonts w:ascii="Cambria" w:hAnsi="Cambria"/>
          <w:sz w:val="16"/>
          <w:szCs w:val="16"/>
          <w:lang w:val="es-ES_tradnl"/>
        </w:rPr>
      </w:pPr>
      <w:r w:rsidRPr="00C07A74">
        <w:rPr>
          <w:rStyle w:val="FootnoteReference"/>
          <w:rFonts w:ascii="Cambria" w:hAnsi="Cambria"/>
          <w:sz w:val="16"/>
          <w:szCs w:val="16"/>
          <w:lang w:val="es-ES_tradnl"/>
        </w:rPr>
        <w:footnoteRef/>
      </w:r>
      <w:r w:rsidRPr="00C07A74">
        <w:rPr>
          <w:rFonts w:ascii="Cambria" w:hAnsi="Cambria"/>
          <w:sz w:val="16"/>
          <w:szCs w:val="16"/>
          <w:lang w:val="es-ES_tradnl"/>
        </w:rPr>
        <w:t xml:space="preserve"> Ibarra v Davis, </w:t>
      </w:r>
      <w:proofErr w:type="gramStart"/>
      <w:r w:rsidRPr="00C07A74">
        <w:rPr>
          <w:rFonts w:ascii="Cambria" w:hAnsi="Cambria"/>
          <w:sz w:val="16"/>
          <w:szCs w:val="16"/>
          <w:lang w:val="es-ES_tradnl"/>
        </w:rPr>
        <w:t>Director</w:t>
      </w:r>
      <w:proofErr w:type="gramEnd"/>
      <w:r w:rsidRPr="00C07A74">
        <w:rPr>
          <w:rFonts w:ascii="Cambria" w:hAnsi="Cambria"/>
          <w:sz w:val="16"/>
          <w:szCs w:val="16"/>
          <w:lang w:val="es-ES_tradnl"/>
        </w:rPr>
        <w:t xml:space="preserve">, No. 17-70014 (U.S. Corte de Apelaciones del </w:t>
      </w:r>
      <w:proofErr w:type="spellStart"/>
      <w:r w:rsidR="00DD040D" w:rsidRPr="00C07A74">
        <w:rPr>
          <w:rFonts w:ascii="Cambria" w:hAnsi="Cambria"/>
          <w:sz w:val="16"/>
          <w:szCs w:val="16"/>
          <w:lang w:val="es-ES_tradnl"/>
        </w:rPr>
        <w:t>Quinto</w:t>
      </w:r>
      <w:r w:rsidRPr="00C07A74">
        <w:rPr>
          <w:rFonts w:ascii="Cambria" w:hAnsi="Cambria"/>
          <w:sz w:val="16"/>
          <w:szCs w:val="16"/>
          <w:lang w:val="es-ES_tradnl"/>
        </w:rPr>
        <w:t>to</w:t>
      </w:r>
      <w:proofErr w:type="spellEnd"/>
      <w:r w:rsidRPr="00C07A74">
        <w:rPr>
          <w:rFonts w:ascii="Cambria" w:hAnsi="Cambria"/>
          <w:sz w:val="16"/>
          <w:szCs w:val="16"/>
          <w:lang w:val="es-ES_tradnl"/>
        </w:rPr>
        <w:t xml:space="preserve"> Circuito de EE.UU. presentada el 26 de agosto de 2019).</w:t>
      </w:r>
    </w:p>
  </w:footnote>
  <w:footnote w:id="23">
    <w:p w14:paraId="1975828A" w14:textId="77777777" w:rsidR="00555669" w:rsidRPr="00C07A74" w:rsidRDefault="00555669" w:rsidP="00DD040D">
      <w:pPr>
        <w:pStyle w:val="FootnoteText"/>
        <w:spacing w:after="0"/>
        <w:rPr>
          <w:rFonts w:ascii="Cambria" w:hAnsi="Cambria"/>
          <w:sz w:val="16"/>
          <w:szCs w:val="16"/>
          <w:lang w:val="es-ES_tradnl"/>
        </w:rPr>
      </w:pPr>
      <w:r w:rsidRPr="00C07A74">
        <w:rPr>
          <w:rStyle w:val="FootnoteReference"/>
          <w:rFonts w:ascii="Cambria" w:hAnsi="Cambria"/>
          <w:sz w:val="16"/>
          <w:szCs w:val="16"/>
          <w:lang w:val="es-ES_tradnl"/>
        </w:rPr>
        <w:footnoteRef/>
      </w:r>
      <w:r w:rsidRPr="00C07A74">
        <w:rPr>
          <w:rFonts w:ascii="Cambria" w:hAnsi="Cambria"/>
          <w:sz w:val="16"/>
          <w:szCs w:val="16"/>
          <w:lang w:val="es-ES_tradnl"/>
        </w:rPr>
        <w:t xml:space="preserve"> Ibarra v </w:t>
      </w:r>
      <w:proofErr w:type="spellStart"/>
      <w:r w:rsidRPr="00C07A74">
        <w:rPr>
          <w:rFonts w:ascii="Cambria" w:hAnsi="Cambria"/>
          <w:sz w:val="16"/>
          <w:szCs w:val="16"/>
          <w:lang w:val="es-ES_tradnl"/>
        </w:rPr>
        <w:t>State</w:t>
      </w:r>
      <w:proofErr w:type="spellEnd"/>
      <w:r w:rsidRPr="00C07A74">
        <w:rPr>
          <w:rFonts w:ascii="Cambria" w:hAnsi="Cambria"/>
          <w:sz w:val="16"/>
          <w:szCs w:val="16"/>
          <w:lang w:val="es-ES_tradnl"/>
        </w:rPr>
        <w:t>, 11 S.W.3D 189 (Tribunal Penal de Apelaciones de Texas, 1999).</w:t>
      </w:r>
    </w:p>
  </w:footnote>
  <w:footnote w:id="24">
    <w:p w14:paraId="4C1DB229" w14:textId="77777777" w:rsidR="00555669" w:rsidRPr="001D36DC" w:rsidRDefault="00555669" w:rsidP="00DD040D">
      <w:pPr>
        <w:pStyle w:val="FootnoteText"/>
        <w:spacing w:after="0"/>
        <w:rPr>
          <w:rFonts w:ascii="Cambria" w:hAnsi="Cambria"/>
          <w:sz w:val="16"/>
          <w:szCs w:val="16"/>
          <w:lang w:val="en-US"/>
        </w:rPr>
      </w:pPr>
      <w:r w:rsidRPr="00C07A74">
        <w:rPr>
          <w:rStyle w:val="FootnoteReference"/>
          <w:rFonts w:ascii="Cambria" w:hAnsi="Cambria"/>
          <w:sz w:val="16"/>
          <w:szCs w:val="16"/>
          <w:lang w:val="es-ES_tradnl"/>
        </w:rPr>
        <w:footnoteRef/>
      </w:r>
      <w:r w:rsidRPr="001D36DC">
        <w:rPr>
          <w:rFonts w:ascii="Cambria" w:hAnsi="Cambria"/>
          <w:sz w:val="16"/>
          <w:szCs w:val="16"/>
          <w:lang w:val="en-US"/>
        </w:rPr>
        <w:t xml:space="preserve"> Ibarra v Texas, 531 U.S. 828 (2000).</w:t>
      </w:r>
    </w:p>
  </w:footnote>
  <w:footnote w:id="25">
    <w:p w14:paraId="2A48BA6B" w14:textId="77777777" w:rsidR="00555669" w:rsidRPr="00C07A74" w:rsidRDefault="00555669" w:rsidP="00DD040D">
      <w:pPr>
        <w:pStyle w:val="FootnoteText"/>
        <w:spacing w:after="0"/>
        <w:rPr>
          <w:rFonts w:ascii="Cambria" w:hAnsi="Cambria"/>
          <w:sz w:val="16"/>
          <w:szCs w:val="16"/>
          <w:lang w:val="es-ES_tradnl"/>
        </w:rPr>
      </w:pPr>
      <w:r w:rsidRPr="00C07A74">
        <w:rPr>
          <w:rStyle w:val="FootnoteReference"/>
          <w:rFonts w:ascii="Cambria" w:hAnsi="Cambria"/>
          <w:sz w:val="16"/>
          <w:szCs w:val="16"/>
          <w:lang w:val="es-ES_tradnl"/>
        </w:rPr>
        <w:footnoteRef/>
      </w:r>
      <w:r w:rsidRPr="00C07A74">
        <w:rPr>
          <w:rFonts w:ascii="Cambria" w:hAnsi="Cambria"/>
          <w:sz w:val="16"/>
          <w:szCs w:val="16"/>
          <w:lang w:val="es-ES_tradnl"/>
        </w:rPr>
        <w:t xml:space="preserve"> Ex parte Ibarra, No. WR-48, 832-01 (Tribunal Penal de Apelaciones de Texas. 4 de </w:t>
      </w:r>
      <w:proofErr w:type="gramStart"/>
      <w:r w:rsidRPr="00C07A74">
        <w:rPr>
          <w:rFonts w:ascii="Cambria" w:hAnsi="Cambria"/>
          <w:sz w:val="16"/>
          <w:szCs w:val="16"/>
          <w:lang w:val="es-ES_tradnl"/>
        </w:rPr>
        <w:t>Abril</w:t>
      </w:r>
      <w:proofErr w:type="gramEnd"/>
      <w:r w:rsidRPr="00C07A74">
        <w:rPr>
          <w:rFonts w:ascii="Cambria" w:hAnsi="Cambria"/>
          <w:sz w:val="16"/>
          <w:szCs w:val="16"/>
          <w:lang w:val="es-ES_tradnl"/>
        </w:rPr>
        <w:t xml:space="preserve"> de 2001).</w:t>
      </w:r>
    </w:p>
  </w:footnote>
  <w:footnote w:id="26">
    <w:p w14:paraId="43246773" w14:textId="77777777" w:rsidR="00555669" w:rsidRPr="00C07A74" w:rsidRDefault="00555669" w:rsidP="00DD040D">
      <w:pPr>
        <w:pStyle w:val="FootnoteText"/>
        <w:spacing w:after="0"/>
        <w:rPr>
          <w:lang w:val="es-ES_tradnl"/>
        </w:rPr>
      </w:pPr>
      <w:r w:rsidRPr="00C07A74">
        <w:rPr>
          <w:rStyle w:val="FootnoteReference"/>
          <w:rFonts w:ascii="Cambria" w:hAnsi="Cambria"/>
          <w:sz w:val="16"/>
          <w:szCs w:val="16"/>
          <w:lang w:val="es-ES_tradnl"/>
        </w:rPr>
        <w:footnoteRef/>
      </w:r>
      <w:r w:rsidRPr="00C07A74">
        <w:rPr>
          <w:rFonts w:ascii="Cambria" w:hAnsi="Cambria"/>
          <w:sz w:val="16"/>
          <w:szCs w:val="16"/>
          <w:lang w:val="es-ES_tradnl"/>
        </w:rPr>
        <w:t xml:space="preserve"> Atkins v. Virginia, 536 U.S. 304, 122 S. </w:t>
      </w:r>
      <w:proofErr w:type="spellStart"/>
      <w:r w:rsidRPr="00C07A74">
        <w:rPr>
          <w:rFonts w:ascii="Cambria" w:hAnsi="Cambria"/>
          <w:sz w:val="16"/>
          <w:szCs w:val="16"/>
          <w:lang w:val="es-ES_tradnl"/>
        </w:rPr>
        <w:t>Ct</w:t>
      </w:r>
      <w:proofErr w:type="spellEnd"/>
      <w:r w:rsidRPr="00C07A74">
        <w:rPr>
          <w:rFonts w:ascii="Cambria" w:hAnsi="Cambria"/>
          <w:sz w:val="16"/>
          <w:szCs w:val="16"/>
          <w:lang w:val="es-ES_tradnl"/>
        </w:rPr>
        <w:t>. 2242, 153 L.Ed.2d 335 (2002).</w:t>
      </w:r>
    </w:p>
  </w:footnote>
  <w:footnote w:id="27">
    <w:p w14:paraId="66A172AD" w14:textId="77777777" w:rsidR="00555669" w:rsidRPr="00C07A74" w:rsidRDefault="00555669" w:rsidP="00DD040D">
      <w:pPr>
        <w:pStyle w:val="FootnoteText"/>
        <w:spacing w:after="0"/>
        <w:rPr>
          <w:rFonts w:ascii="Cambria" w:hAnsi="Cambria"/>
          <w:sz w:val="16"/>
          <w:szCs w:val="16"/>
          <w:lang w:val="es-ES_tradnl"/>
        </w:rPr>
      </w:pPr>
      <w:r w:rsidRPr="00C07A74">
        <w:rPr>
          <w:rStyle w:val="FootnoteReference"/>
          <w:rFonts w:ascii="Cambria" w:hAnsi="Cambria"/>
          <w:sz w:val="16"/>
          <w:szCs w:val="16"/>
          <w:lang w:val="es-ES_tradnl"/>
        </w:rPr>
        <w:footnoteRef/>
      </w:r>
      <w:r w:rsidRPr="00C07A74">
        <w:rPr>
          <w:rFonts w:ascii="Cambria" w:hAnsi="Cambria"/>
          <w:sz w:val="16"/>
          <w:szCs w:val="16"/>
          <w:lang w:val="es-ES_tradnl"/>
        </w:rPr>
        <w:t xml:space="preserve"> Avena y otros nacionales mexicanos (Mex. Contra Estados Unidos de América (“Avena”), 2004 C.I.J. 12 (Sentencia 31 de marzo). </w:t>
      </w:r>
      <w:proofErr w:type="spellStart"/>
      <w:r w:rsidRPr="00C07A74">
        <w:rPr>
          <w:rFonts w:ascii="Cambria" w:hAnsi="Cambria"/>
          <w:sz w:val="16"/>
          <w:szCs w:val="16"/>
          <w:lang w:val="es-ES_tradnl"/>
        </w:rPr>
        <w:t>Medellin</w:t>
      </w:r>
      <w:proofErr w:type="spellEnd"/>
      <w:r w:rsidRPr="00C07A74">
        <w:rPr>
          <w:rFonts w:ascii="Cambria" w:hAnsi="Cambria"/>
          <w:sz w:val="16"/>
          <w:szCs w:val="16"/>
          <w:lang w:val="es-ES_tradnl"/>
        </w:rPr>
        <w:t xml:space="preserve"> v. Texas, 552 U.S. 491, 128 Corte Suprema 1346, 170 L.Ed.2d 190 (2008).</w:t>
      </w:r>
    </w:p>
  </w:footnote>
  <w:footnote w:id="28">
    <w:p w14:paraId="5AB95720" w14:textId="77777777" w:rsidR="00555669" w:rsidRPr="00C07A74" w:rsidRDefault="00555669" w:rsidP="00DD040D">
      <w:pPr>
        <w:pStyle w:val="FootnoteText"/>
        <w:spacing w:after="0"/>
        <w:rPr>
          <w:rFonts w:ascii="Cambria" w:hAnsi="Cambria"/>
          <w:sz w:val="16"/>
          <w:szCs w:val="16"/>
          <w:lang w:val="es-ES_tradnl"/>
        </w:rPr>
      </w:pPr>
      <w:r w:rsidRPr="00C07A74">
        <w:rPr>
          <w:rStyle w:val="FootnoteReference"/>
          <w:rFonts w:ascii="Cambria" w:hAnsi="Cambria"/>
          <w:sz w:val="16"/>
          <w:szCs w:val="16"/>
          <w:lang w:val="es-ES_tradnl"/>
        </w:rPr>
        <w:footnoteRef/>
      </w:r>
      <w:r w:rsidRPr="00C07A74">
        <w:rPr>
          <w:rFonts w:ascii="Cambria" w:hAnsi="Cambria"/>
          <w:sz w:val="16"/>
          <w:szCs w:val="16"/>
          <w:lang w:val="es-ES_tradnl"/>
        </w:rPr>
        <w:t xml:space="preserve"> Ibarra v. </w:t>
      </w:r>
      <w:proofErr w:type="spellStart"/>
      <w:r w:rsidRPr="00C07A74">
        <w:rPr>
          <w:rFonts w:ascii="Cambria" w:hAnsi="Cambria"/>
          <w:sz w:val="16"/>
          <w:szCs w:val="16"/>
          <w:lang w:val="es-ES_tradnl"/>
        </w:rPr>
        <w:t>Thaler</w:t>
      </w:r>
      <w:proofErr w:type="spellEnd"/>
      <w:r w:rsidRPr="00C07A74">
        <w:rPr>
          <w:rFonts w:ascii="Cambria" w:hAnsi="Cambria"/>
          <w:sz w:val="16"/>
          <w:szCs w:val="16"/>
          <w:lang w:val="es-ES_tradnl"/>
        </w:rPr>
        <w:t>, No. W-02-CA-052, 2011 WL 13177743 (W.D. Tex. 31 de marzo de 2011).</w:t>
      </w:r>
    </w:p>
  </w:footnote>
  <w:footnote w:id="29">
    <w:p w14:paraId="13503F45" w14:textId="77777777" w:rsidR="00555669" w:rsidRPr="00C07A74" w:rsidRDefault="00555669" w:rsidP="00DD040D">
      <w:pPr>
        <w:pStyle w:val="FootnoteText"/>
        <w:spacing w:after="0"/>
        <w:rPr>
          <w:lang w:val="es-ES_tradnl"/>
        </w:rPr>
      </w:pPr>
      <w:r w:rsidRPr="00C07A74">
        <w:rPr>
          <w:rStyle w:val="FootnoteReference"/>
          <w:rFonts w:ascii="Cambria" w:hAnsi="Cambria"/>
          <w:sz w:val="16"/>
          <w:szCs w:val="16"/>
          <w:lang w:val="es-ES_tradnl"/>
        </w:rPr>
        <w:footnoteRef/>
      </w:r>
      <w:r w:rsidRPr="00C07A74">
        <w:rPr>
          <w:rFonts w:ascii="Cambria" w:hAnsi="Cambria"/>
          <w:sz w:val="16"/>
          <w:szCs w:val="16"/>
          <w:lang w:val="es-ES_tradnl"/>
        </w:rPr>
        <w:t xml:space="preserve"> Carol M. Romney, </w:t>
      </w:r>
      <w:proofErr w:type="spellStart"/>
      <w:r w:rsidRPr="00C07A74">
        <w:rPr>
          <w:rFonts w:ascii="Cambria" w:hAnsi="Cambria"/>
          <w:sz w:val="16"/>
          <w:szCs w:val="16"/>
          <w:lang w:val="es-ES_tradnl"/>
        </w:rPr>
        <w:t>Ph</w:t>
      </w:r>
      <w:proofErr w:type="spellEnd"/>
      <w:r w:rsidRPr="00C07A74">
        <w:rPr>
          <w:rFonts w:ascii="Cambria" w:hAnsi="Cambria"/>
          <w:sz w:val="16"/>
          <w:szCs w:val="16"/>
          <w:lang w:val="es-ES_tradnl"/>
        </w:rPr>
        <w:t>. D., declaración jurada del 18 de septiembre de 2006.</w:t>
      </w:r>
      <w:r w:rsidRPr="00C07A74">
        <w:rPr>
          <w:rFonts w:ascii="Calibri Light" w:hAnsi="Calibri Light"/>
          <w:sz w:val="16"/>
          <w:lang w:val="es-ES_tradnl"/>
        </w:rPr>
        <w:t xml:space="preserve"> </w:t>
      </w:r>
    </w:p>
  </w:footnote>
  <w:footnote w:id="30">
    <w:p w14:paraId="0897E8FA" w14:textId="77777777" w:rsidR="00555669" w:rsidRPr="00C07A74" w:rsidRDefault="00555669" w:rsidP="00DD040D">
      <w:pPr>
        <w:pStyle w:val="FootnoteText"/>
        <w:spacing w:after="0"/>
        <w:rPr>
          <w:rFonts w:ascii="Cambria" w:hAnsi="Cambria"/>
          <w:sz w:val="16"/>
          <w:szCs w:val="16"/>
          <w:lang w:val="es-ES_tradnl"/>
        </w:rPr>
      </w:pPr>
      <w:r w:rsidRPr="00C07A74">
        <w:rPr>
          <w:rStyle w:val="FootnoteReference"/>
          <w:rFonts w:ascii="Cambria" w:hAnsi="Cambria"/>
          <w:sz w:val="16"/>
          <w:szCs w:val="16"/>
          <w:lang w:val="es-ES_tradnl"/>
        </w:rPr>
        <w:footnoteRef/>
      </w:r>
      <w:r w:rsidRPr="00C07A74">
        <w:rPr>
          <w:rFonts w:ascii="Cambria" w:hAnsi="Cambria"/>
          <w:sz w:val="16"/>
          <w:szCs w:val="16"/>
          <w:lang w:val="es-ES_tradnl"/>
        </w:rPr>
        <w:t xml:space="preserve"> Petición inicial presentada por los peticionarios ante la CIDH el 2 de febrero de 2018. Prueba 5: Declaración jurada Dra. Romney </w:t>
      </w:r>
      <w:r w:rsidRPr="00C07A74">
        <w:rPr>
          <w:rFonts w:ascii="Cambria" w:hAnsi="Cambria" w:cs="Calibri"/>
          <w:color w:val="000000"/>
          <w:sz w:val="16"/>
          <w:szCs w:val="16"/>
          <w:u w:color="000000"/>
          <w:lang w:val="es-ES_tradnl" w:eastAsia="es-ES"/>
        </w:rPr>
        <w:t xml:space="preserve">Ex. 19 para corregir la petición de Habeas Corpus Ibarra v. </w:t>
      </w:r>
      <w:proofErr w:type="spellStart"/>
      <w:r w:rsidRPr="00C07A74">
        <w:rPr>
          <w:rFonts w:ascii="Cambria" w:hAnsi="Cambria" w:cs="Calibri"/>
          <w:color w:val="000000"/>
          <w:sz w:val="16"/>
          <w:szCs w:val="16"/>
          <w:u w:color="000000"/>
          <w:lang w:val="es-ES_tradnl" w:eastAsia="es-ES"/>
        </w:rPr>
        <w:t>Quarterman</w:t>
      </w:r>
      <w:proofErr w:type="spellEnd"/>
      <w:r w:rsidRPr="00C07A74">
        <w:rPr>
          <w:rFonts w:ascii="Cambria" w:hAnsi="Cambria" w:cs="Calibri"/>
          <w:color w:val="000000"/>
          <w:sz w:val="16"/>
          <w:szCs w:val="16"/>
          <w:u w:color="000000"/>
          <w:lang w:val="es-ES_tradnl" w:eastAsia="es-ES"/>
        </w:rPr>
        <w:t xml:space="preserve"> (W.D. Tex.,5 de enero de 2009).</w:t>
      </w:r>
    </w:p>
  </w:footnote>
  <w:footnote w:id="31">
    <w:p w14:paraId="46D1670F" w14:textId="77777777" w:rsidR="00C5469C" w:rsidRPr="00C07A74" w:rsidRDefault="00C5469C" w:rsidP="00DD040D">
      <w:pPr>
        <w:pStyle w:val="FootnoteText"/>
        <w:spacing w:after="0"/>
        <w:rPr>
          <w:lang w:val="es-ES_tradnl"/>
        </w:rPr>
      </w:pPr>
      <w:r w:rsidRPr="00C07A74">
        <w:rPr>
          <w:rStyle w:val="FootnoteReference"/>
          <w:rFonts w:ascii="Cambria" w:hAnsi="Cambria"/>
          <w:sz w:val="16"/>
          <w:szCs w:val="16"/>
          <w:lang w:val="es-ES_tradnl"/>
        </w:rPr>
        <w:footnoteRef/>
      </w:r>
      <w:r w:rsidRPr="00C07A74">
        <w:rPr>
          <w:rFonts w:ascii="Cambria" w:hAnsi="Cambria"/>
          <w:sz w:val="16"/>
          <w:szCs w:val="16"/>
          <w:lang w:val="es-ES_tradnl"/>
        </w:rPr>
        <w:t xml:space="preserve"> Ex parte Ibarra, WR-48, 832-02, WR-48, 832-03, 2007 WL 2790587 (Tribunal Penal de Apelaciones de </w:t>
      </w:r>
      <w:proofErr w:type="gramStart"/>
      <w:r w:rsidRPr="00C07A74">
        <w:rPr>
          <w:rFonts w:ascii="Cambria" w:hAnsi="Cambria"/>
          <w:sz w:val="16"/>
          <w:szCs w:val="16"/>
          <w:lang w:val="es-ES_tradnl"/>
        </w:rPr>
        <w:t>Texas .</w:t>
      </w:r>
      <w:proofErr w:type="gramEnd"/>
      <w:r w:rsidRPr="00C07A74">
        <w:rPr>
          <w:rFonts w:ascii="Cambria" w:hAnsi="Cambria"/>
          <w:sz w:val="16"/>
          <w:szCs w:val="16"/>
          <w:lang w:val="es-ES_tradnl"/>
        </w:rPr>
        <w:t xml:space="preserve"> 26 de septiembre de 2007).</w:t>
      </w:r>
    </w:p>
  </w:footnote>
  <w:footnote w:id="32">
    <w:p w14:paraId="6A6B72AE" w14:textId="77777777" w:rsidR="00C5469C" w:rsidRPr="00C07A74" w:rsidRDefault="00C5469C" w:rsidP="00DD040D">
      <w:pPr>
        <w:pStyle w:val="FootnoteText"/>
        <w:spacing w:after="0"/>
        <w:rPr>
          <w:rFonts w:ascii="Cambria" w:hAnsi="Cambria"/>
          <w:sz w:val="16"/>
          <w:szCs w:val="16"/>
          <w:lang w:val="es-ES_tradnl"/>
        </w:rPr>
      </w:pPr>
      <w:r w:rsidRPr="00C07A74">
        <w:rPr>
          <w:rStyle w:val="FootnoteReference"/>
          <w:rFonts w:ascii="Cambria" w:hAnsi="Cambria"/>
          <w:sz w:val="16"/>
          <w:szCs w:val="16"/>
          <w:lang w:val="es-ES_tradnl"/>
        </w:rPr>
        <w:footnoteRef/>
      </w:r>
      <w:r w:rsidRPr="00C07A74">
        <w:rPr>
          <w:rFonts w:ascii="Cambria" w:hAnsi="Cambria"/>
          <w:sz w:val="16"/>
          <w:szCs w:val="16"/>
          <w:lang w:val="es-ES_tradnl"/>
        </w:rPr>
        <w:t xml:space="preserve"> Ibarra v. </w:t>
      </w:r>
      <w:proofErr w:type="spellStart"/>
      <w:r w:rsidRPr="00C07A74">
        <w:rPr>
          <w:rFonts w:ascii="Cambria" w:hAnsi="Cambria"/>
          <w:sz w:val="16"/>
          <w:szCs w:val="16"/>
          <w:lang w:val="es-ES_tradnl"/>
        </w:rPr>
        <w:t>Thaler</w:t>
      </w:r>
      <w:proofErr w:type="spellEnd"/>
      <w:r w:rsidRPr="00C07A74">
        <w:rPr>
          <w:rFonts w:ascii="Cambria" w:hAnsi="Cambria"/>
          <w:sz w:val="16"/>
          <w:szCs w:val="16"/>
          <w:lang w:val="es-ES_tradnl"/>
        </w:rPr>
        <w:t>, No. W-02-CA-052, 2011 WL 13177743 (W.D. Tex. 31 de marzo de 2011).</w:t>
      </w:r>
    </w:p>
  </w:footnote>
  <w:footnote w:id="33">
    <w:p w14:paraId="371B5AF2" w14:textId="77777777" w:rsidR="00C5469C" w:rsidRPr="001D36DC" w:rsidRDefault="00C5469C" w:rsidP="00DD040D">
      <w:pPr>
        <w:pStyle w:val="FootnoteText"/>
        <w:spacing w:after="0"/>
        <w:rPr>
          <w:rFonts w:ascii="Cambria" w:hAnsi="Cambria"/>
          <w:sz w:val="16"/>
          <w:szCs w:val="16"/>
          <w:lang w:val="en-US"/>
        </w:rPr>
      </w:pPr>
      <w:r w:rsidRPr="00C07A74">
        <w:rPr>
          <w:rStyle w:val="FootnoteReference"/>
          <w:rFonts w:ascii="Cambria" w:hAnsi="Cambria"/>
          <w:sz w:val="16"/>
          <w:szCs w:val="16"/>
          <w:lang w:val="es-ES_tradnl"/>
        </w:rPr>
        <w:footnoteRef/>
      </w:r>
      <w:r w:rsidRPr="001D36DC">
        <w:rPr>
          <w:rFonts w:ascii="Cambria" w:hAnsi="Cambria"/>
          <w:sz w:val="16"/>
          <w:szCs w:val="16"/>
          <w:lang w:val="en-US"/>
        </w:rPr>
        <w:t xml:space="preserve"> Wiggins v. Smith, 539 U.S. 510, 123 S. Ct. 2527, 156 L.Ed.2d 471 (2003).</w:t>
      </w:r>
    </w:p>
  </w:footnote>
  <w:footnote w:id="34">
    <w:p w14:paraId="2F7CD8AC" w14:textId="77777777" w:rsidR="00C5469C" w:rsidRPr="00C07A74" w:rsidRDefault="00C5469C" w:rsidP="00DD040D">
      <w:pPr>
        <w:pStyle w:val="FootnoteText"/>
        <w:spacing w:after="0"/>
        <w:rPr>
          <w:rFonts w:ascii="Cambria" w:hAnsi="Cambria"/>
          <w:sz w:val="16"/>
          <w:szCs w:val="16"/>
          <w:lang w:val="es-ES_tradnl"/>
        </w:rPr>
      </w:pPr>
      <w:r w:rsidRPr="00C07A74">
        <w:rPr>
          <w:rStyle w:val="FootnoteReference"/>
          <w:rFonts w:ascii="Cambria" w:hAnsi="Cambria"/>
          <w:sz w:val="16"/>
          <w:szCs w:val="16"/>
          <w:lang w:val="es-ES_tradnl"/>
        </w:rPr>
        <w:footnoteRef/>
      </w:r>
      <w:r w:rsidRPr="00C07A74">
        <w:rPr>
          <w:rFonts w:ascii="Cambria" w:hAnsi="Cambria"/>
          <w:sz w:val="16"/>
          <w:szCs w:val="16"/>
          <w:lang w:val="es-ES_tradnl"/>
        </w:rPr>
        <w:t xml:space="preserve"> Ibarra v Davis, </w:t>
      </w:r>
      <w:proofErr w:type="gramStart"/>
      <w:r w:rsidRPr="00C07A74">
        <w:rPr>
          <w:rFonts w:ascii="Cambria" w:hAnsi="Cambria"/>
          <w:sz w:val="16"/>
          <w:szCs w:val="16"/>
          <w:lang w:val="es-ES_tradnl"/>
        </w:rPr>
        <w:t>Director</w:t>
      </w:r>
      <w:proofErr w:type="gramEnd"/>
      <w:r w:rsidRPr="00C07A74">
        <w:rPr>
          <w:rFonts w:ascii="Cambria" w:hAnsi="Cambria"/>
          <w:sz w:val="16"/>
          <w:szCs w:val="16"/>
          <w:lang w:val="es-ES_tradnl"/>
        </w:rPr>
        <w:t xml:space="preserve">, No. 17-70014 (Corte de Apelaciones del </w:t>
      </w:r>
      <w:proofErr w:type="spellStart"/>
      <w:r w:rsidR="00DD040D" w:rsidRPr="00C07A74">
        <w:rPr>
          <w:rFonts w:ascii="Cambria" w:hAnsi="Cambria"/>
          <w:sz w:val="16"/>
          <w:szCs w:val="16"/>
          <w:lang w:val="es-ES_tradnl"/>
        </w:rPr>
        <w:t>Quinto</w:t>
      </w:r>
      <w:r w:rsidRPr="00C07A74">
        <w:rPr>
          <w:rFonts w:ascii="Cambria" w:hAnsi="Cambria"/>
          <w:sz w:val="16"/>
          <w:szCs w:val="16"/>
          <w:lang w:val="es-ES_tradnl"/>
        </w:rPr>
        <w:t>to</w:t>
      </w:r>
      <w:proofErr w:type="spellEnd"/>
      <w:r w:rsidRPr="00C07A74">
        <w:rPr>
          <w:rFonts w:ascii="Cambria" w:hAnsi="Cambria"/>
          <w:sz w:val="16"/>
          <w:szCs w:val="16"/>
          <w:lang w:val="es-ES_tradnl"/>
        </w:rPr>
        <w:t xml:space="preserve"> Circuito emitida el 26 de </w:t>
      </w:r>
      <w:r w:rsidR="00C07A74" w:rsidRPr="00C07A74">
        <w:rPr>
          <w:rFonts w:ascii="Cambria" w:hAnsi="Cambria"/>
          <w:sz w:val="16"/>
          <w:szCs w:val="16"/>
          <w:lang w:val="es-ES_tradnl"/>
        </w:rPr>
        <w:t>a</w:t>
      </w:r>
      <w:r w:rsidRPr="00C07A74">
        <w:rPr>
          <w:rFonts w:ascii="Cambria" w:hAnsi="Cambria"/>
          <w:sz w:val="16"/>
          <w:szCs w:val="16"/>
          <w:lang w:val="es-ES_tradnl"/>
        </w:rPr>
        <w:t>gosto de 2019).</w:t>
      </w:r>
    </w:p>
  </w:footnote>
  <w:footnote w:id="35">
    <w:p w14:paraId="63910165" w14:textId="77777777" w:rsidR="00C5469C" w:rsidRPr="00C07A74" w:rsidRDefault="00C5469C" w:rsidP="00C5469C">
      <w:pPr>
        <w:pStyle w:val="FootnoteText"/>
        <w:spacing w:after="0"/>
        <w:rPr>
          <w:rFonts w:ascii="Cambria" w:hAnsi="Cambria"/>
          <w:sz w:val="16"/>
          <w:szCs w:val="16"/>
          <w:lang w:val="es-ES_tradnl"/>
        </w:rPr>
      </w:pPr>
      <w:r w:rsidRPr="00C07A74">
        <w:rPr>
          <w:rStyle w:val="FootnoteReference"/>
          <w:rFonts w:ascii="Cambria" w:hAnsi="Cambria"/>
          <w:sz w:val="16"/>
          <w:szCs w:val="16"/>
          <w:lang w:val="es-ES_tradnl"/>
        </w:rPr>
        <w:footnoteRef/>
      </w:r>
      <w:r w:rsidRPr="00C07A74">
        <w:rPr>
          <w:rFonts w:ascii="Cambria" w:hAnsi="Cambria"/>
          <w:sz w:val="16"/>
          <w:szCs w:val="16"/>
          <w:lang w:val="es-ES_tradnl"/>
        </w:rPr>
        <w:t xml:space="preserve"> Ibarra v </w:t>
      </w:r>
      <w:proofErr w:type="spellStart"/>
      <w:r w:rsidRPr="00C07A74">
        <w:rPr>
          <w:rFonts w:ascii="Cambria" w:hAnsi="Cambria"/>
          <w:sz w:val="16"/>
          <w:szCs w:val="16"/>
          <w:lang w:val="es-ES_tradnl"/>
        </w:rPr>
        <w:t>Thaler</w:t>
      </w:r>
      <w:proofErr w:type="spellEnd"/>
      <w:r w:rsidRPr="00C07A74">
        <w:rPr>
          <w:rFonts w:ascii="Cambria" w:hAnsi="Cambria"/>
          <w:sz w:val="16"/>
          <w:szCs w:val="16"/>
          <w:lang w:val="es-ES_tradnl"/>
        </w:rPr>
        <w:t>, W-02-CA-052, 2011 WL 13177743 (W.D. Tex. 31 de marzo de 2011).</w:t>
      </w:r>
    </w:p>
  </w:footnote>
  <w:footnote w:id="36">
    <w:p w14:paraId="4CEF6166" w14:textId="77777777" w:rsidR="00C5469C" w:rsidRPr="00C07A74" w:rsidRDefault="00C5469C" w:rsidP="00C5469C">
      <w:pPr>
        <w:pStyle w:val="FootnoteText"/>
        <w:spacing w:after="0"/>
        <w:rPr>
          <w:lang w:val="es-ES_tradnl"/>
        </w:rPr>
      </w:pPr>
      <w:r w:rsidRPr="00C07A74">
        <w:rPr>
          <w:rStyle w:val="FootnoteReference"/>
          <w:rFonts w:ascii="Cambria" w:hAnsi="Cambria"/>
          <w:sz w:val="16"/>
          <w:szCs w:val="16"/>
          <w:lang w:val="es-ES_tradnl"/>
        </w:rPr>
        <w:footnoteRef/>
      </w:r>
      <w:r w:rsidRPr="00C07A74">
        <w:rPr>
          <w:rFonts w:ascii="Cambria" w:hAnsi="Cambria"/>
          <w:sz w:val="16"/>
          <w:szCs w:val="16"/>
          <w:lang w:val="es-ES_tradnl"/>
        </w:rPr>
        <w:t xml:space="preserve"> Ibarra v Davis, Director, No. 17-70014 (Corte de Apelaciones del </w:t>
      </w:r>
      <w:proofErr w:type="spellStart"/>
      <w:r w:rsidR="00DD040D" w:rsidRPr="00C07A74">
        <w:rPr>
          <w:rFonts w:ascii="Cambria" w:hAnsi="Cambria"/>
          <w:sz w:val="16"/>
          <w:szCs w:val="16"/>
          <w:lang w:val="es-ES_tradnl"/>
        </w:rPr>
        <w:t>Quinto</w:t>
      </w:r>
      <w:r w:rsidRPr="00C07A74">
        <w:rPr>
          <w:rFonts w:ascii="Cambria" w:hAnsi="Cambria"/>
          <w:sz w:val="16"/>
          <w:szCs w:val="16"/>
          <w:lang w:val="es-ES_tradnl"/>
        </w:rPr>
        <w:t>to</w:t>
      </w:r>
      <w:proofErr w:type="spellEnd"/>
      <w:r w:rsidRPr="00C07A74">
        <w:rPr>
          <w:rFonts w:ascii="Cambria" w:hAnsi="Cambria"/>
          <w:sz w:val="16"/>
          <w:szCs w:val="16"/>
          <w:lang w:val="es-ES_tradnl"/>
        </w:rPr>
        <w:t xml:space="preserve"> Circuito de </w:t>
      </w:r>
      <w:proofErr w:type="gramStart"/>
      <w:r w:rsidRPr="00C07A74">
        <w:rPr>
          <w:rFonts w:ascii="Cambria" w:hAnsi="Cambria"/>
          <w:sz w:val="16"/>
          <w:szCs w:val="16"/>
          <w:lang w:val="es-ES_tradnl"/>
        </w:rPr>
        <w:t>EE.UU</w:t>
      </w:r>
      <w:proofErr w:type="gramEnd"/>
      <w:r w:rsidRPr="00C07A74">
        <w:rPr>
          <w:rFonts w:ascii="Cambria" w:hAnsi="Cambria"/>
          <w:sz w:val="16"/>
          <w:szCs w:val="16"/>
          <w:lang w:val="es-ES_tradnl"/>
        </w:rPr>
        <w:t xml:space="preserve"> emitida el 26 de agosto de 2019).</w:t>
      </w:r>
    </w:p>
  </w:footnote>
  <w:footnote w:id="37">
    <w:p w14:paraId="16785A80" w14:textId="77777777" w:rsidR="00C5469C" w:rsidRPr="00C07A74" w:rsidRDefault="00C5469C" w:rsidP="00C5469C">
      <w:pPr>
        <w:pStyle w:val="FootnoteText"/>
        <w:spacing w:after="0"/>
        <w:rPr>
          <w:rFonts w:ascii="Cambria" w:hAnsi="Cambria"/>
          <w:sz w:val="16"/>
          <w:szCs w:val="16"/>
          <w:lang w:val="es-ES_tradnl"/>
        </w:rPr>
      </w:pPr>
      <w:r w:rsidRPr="00C07A74">
        <w:rPr>
          <w:rStyle w:val="FootnoteReference"/>
          <w:rFonts w:ascii="Cambria" w:hAnsi="Cambria"/>
          <w:sz w:val="16"/>
          <w:szCs w:val="16"/>
          <w:lang w:val="es-ES_tradnl"/>
        </w:rPr>
        <w:footnoteRef/>
      </w:r>
      <w:r w:rsidRPr="00C07A74">
        <w:rPr>
          <w:rFonts w:ascii="Cambria" w:hAnsi="Cambria"/>
          <w:sz w:val="16"/>
          <w:szCs w:val="16"/>
          <w:lang w:val="es-ES_tradnl"/>
        </w:rPr>
        <w:t xml:space="preserve"> Ibarra v Davis 786 Fed. </w:t>
      </w:r>
      <w:proofErr w:type="spellStart"/>
      <w:r w:rsidRPr="00C07A74">
        <w:rPr>
          <w:rFonts w:ascii="Cambria" w:hAnsi="Cambria"/>
          <w:sz w:val="16"/>
          <w:szCs w:val="16"/>
          <w:lang w:val="es-ES_tradnl"/>
        </w:rPr>
        <w:t>Appx</w:t>
      </w:r>
      <w:proofErr w:type="spellEnd"/>
      <w:r w:rsidRPr="00C07A74">
        <w:rPr>
          <w:rFonts w:ascii="Cambria" w:hAnsi="Cambria"/>
          <w:sz w:val="16"/>
          <w:szCs w:val="16"/>
          <w:lang w:val="es-ES_tradnl"/>
        </w:rPr>
        <w:t>. 420 (</w:t>
      </w:r>
      <w:proofErr w:type="spellStart"/>
      <w:r w:rsidR="00DD040D" w:rsidRPr="00C07A74">
        <w:rPr>
          <w:rFonts w:ascii="Cambria" w:hAnsi="Cambria"/>
          <w:sz w:val="16"/>
          <w:szCs w:val="16"/>
          <w:lang w:val="es-ES_tradnl"/>
        </w:rPr>
        <w:t>Quinto</w:t>
      </w:r>
      <w:r w:rsidRPr="00C07A74">
        <w:rPr>
          <w:rFonts w:ascii="Cambria" w:hAnsi="Cambria"/>
          <w:sz w:val="16"/>
          <w:szCs w:val="16"/>
          <w:lang w:val="es-ES_tradnl"/>
        </w:rPr>
        <w:t>to</w:t>
      </w:r>
      <w:proofErr w:type="spellEnd"/>
      <w:r w:rsidRPr="00C07A74">
        <w:rPr>
          <w:rFonts w:ascii="Cambria" w:hAnsi="Cambria"/>
          <w:sz w:val="16"/>
          <w:szCs w:val="16"/>
          <w:lang w:val="es-ES_tradnl"/>
        </w:rPr>
        <w:t xml:space="preserve"> Circuito. 2019)</w:t>
      </w:r>
    </w:p>
  </w:footnote>
  <w:footnote w:id="38">
    <w:p w14:paraId="2234AF2D" w14:textId="77777777" w:rsidR="00C5469C" w:rsidRPr="00C07A74" w:rsidRDefault="00C5469C" w:rsidP="00C5469C">
      <w:pPr>
        <w:pStyle w:val="FootnoteText"/>
        <w:spacing w:after="0"/>
        <w:rPr>
          <w:rFonts w:ascii="Cambria" w:hAnsi="Cambria"/>
          <w:sz w:val="16"/>
          <w:szCs w:val="16"/>
          <w:lang w:val="es-ES_tradnl"/>
        </w:rPr>
      </w:pPr>
      <w:r w:rsidRPr="00C07A74">
        <w:rPr>
          <w:rStyle w:val="FootnoteReference"/>
          <w:rFonts w:ascii="Cambria" w:hAnsi="Cambria"/>
          <w:sz w:val="16"/>
          <w:szCs w:val="16"/>
          <w:lang w:val="es-ES_tradnl"/>
        </w:rPr>
        <w:footnoteRef/>
      </w:r>
      <w:r w:rsidRPr="00C07A74">
        <w:rPr>
          <w:rFonts w:ascii="Cambria" w:hAnsi="Cambria"/>
          <w:sz w:val="16"/>
          <w:szCs w:val="16"/>
          <w:lang w:val="es-ES_tradnl"/>
        </w:rPr>
        <w:t xml:space="preserve"> Ibarra v Davis 19-8103, S. </w:t>
      </w:r>
      <w:proofErr w:type="spellStart"/>
      <w:r w:rsidRPr="00C07A74">
        <w:rPr>
          <w:rFonts w:ascii="Cambria" w:hAnsi="Cambria"/>
          <w:sz w:val="16"/>
          <w:szCs w:val="16"/>
          <w:lang w:val="es-ES_tradnl"/>
        </w:rPr>
        <w:t>Ct</w:t>
      </w:r>
      <w:proofErr w:type="spellEnd"/>
      <w:r w:rsidRPr="00C07A74">
        <w:rPr>
          <w:rFonts w:ascii="Cambria" w:hAnsi="Cambria"/>
          <w:sz w:val="16"/>
          <w:szCs w:val="16"/>
          <w:lang w:val="es-ES_tradnl"/>
        </w:rPr>
        <w:t>. 2020 WL 3038333. (</w:t>
      </w:r>
      <w:proofErr w:type="gramStart"/>
      <w:r w:rsidRPr="00C07A74">
        <w:rPr>
          <w:rFonts w:ascii="Cambria" w:hAnsi="Cambria"/>
          <w:sz w:val="16"/>
          <w:szCs w:val="16"/>
          <w:lang w:val="es-ES_tradnl"/>
        </w:rPr>
        <w:t>EEUU</w:t>
      </w:r>
      <w:proofErr w:type="gramEnd"/>
      <w:r w:rsidRPr="00C07A74">
        <w:rPr>
          <w:rFonts w:ascii="Cambria" w:hAnsi="Cambria"/>
          <w:sz w:val="16"/>
          <w:szCs w:val="16"/>
          <w:lang w:val="es-ES_tradnl"/>
        </w:rPr>
        <w:t xml:space="preserve"> 8 de junio de 2020)</w:t>
      </w:r>
    </w:p>
  </w:footnote>
  <w:footnote w:id="39">
    <w:p w14:paraId="5A31208C" w14:textId="77777777" w:rsidR="00C5469C" w:rsidRPr="00C07A74" w:rsidRDefault="00C5469C" w:rsidP="00C5469C">
      <w:pPr>
        <w:pStyle w:val="FootnoteText"/>
        <w:spacing w:after="0"/>
        <w:rPr>
          <w:lang w:val="es-ES_tradnl"/>
        </w:rPr>
      </w:pPr>
      <w:r w:rsidRPr="00C07A74">
        <w:rPr>
          <w:rStyle w:val="FootnoteReference"/>
          <w:rFonts w:ascii="Cambria" w:hAnsi="Cambria"/>
          <w:sz w:val="16"/>
          <w:szCs w:val="16"/>
          <w:lang w:val="es-ES_tradnl"/>
        </w:rPr>
        <w:footnoteRef/>
      </w:r>
      <w:r w:rsidRPr="00C07A74">
        <w:rPr>
          <w:rFonts w:ascii="Cambria" w:hAnsi="Cambria"/>
          <w:sz w:val="16"/>
          <w:szCs w:val="16"/>
          <w:lang w:val="es-ES_tradnl"/>
        </w:rPr>
        <w:t xml:space="preserve"> Estado de Texas v Ramiro Ibarra Rubí, Caso N. 1996-634-C, Orden fijando la fecha de ejecución.</w:t>
      </w:r>
      <w:r w:rsidRPr="00C07A74">
        <w:rPr>
          <w:rFonts w:ascii="Calibri Light" w:hAnsi="Calibri Light"/>
          <w:sz w:val="16"/>
          <w:szCs w:val="16"/>
          <w:lang w:val="es-ES_tradnl"/>
        </w:rPr>
        <w:t xml:space="preserve"> </w:t>
      </w:r>
    </w:p>
  </w:footnote>
  <w:footnote w:id="40">
    <w:p w14:paraId="29BA747A" w14:textId="77777777" w:rsidR="00C5469C" w:rsidRPr="00C07A74" w:rsidRDefault="00C5469C" w:rsidP="00C5469C">
      <w:pPr>
        <w:pStyle w:val="FootnoteText"/>
        <w:spacing w:after="0"/>
        <w:rPr>
          <w:rFonts w:ascii="Cambria" w:hAnsi="Cambria"/>
          <w:sz w:val="16"/>
          <w:szCs w:val="16"/>
          <w:lang w:val="es-ES_tradnl"/>
        </w:rPr>
      </w:pPr>
      <w:r w:rsidRPr="00C07A74">
        <w:rPr>
          <w:rStyle w:val="FootnoteReference"/>
          <w:rFonts w:ascii="Cambria" w:hAnsi="Cambria"/>
          <w:sz w:val="16"/>
          <w:szCs w:val="16"/>
          <w:lang w:val="es-ES_tradnl"/>
        </w:rPr>
        <w:footnoteRef/>
      </w:r>
      <w:r w:rsidRPr="00C07A74">
        <w:rPr>
          <w:rFonts w:ascii="Cambria" w:hAnsi="Cambria"/>
          <w:sz w:val="16"/>
          <w:szCs w:val="16"/>
          <w:lang w:val="es-ES_tradnl"/>
        </w:rPr>
        <w:t xml:space="preserve"> In re: Denuncia de mala conducta judicial, informe del Comité Especial del Consejo Judicial del Circuito del Distrito de Columbia Denuncia No. DC-13-90021, página 64 (12 de agosto de 2014).</w:t>
      </w:r>
    </w:p>
  </w:footnote>
  <w:footnote w:id="41">
    <w:p w14:paraId="71132916" w14:textId="77777777" w:rsidR="00C5469C" w:rsidRPr="00C07A74" w:rsidRDefault="00C5469C" w:rsidP="00540E3D">
      <w:pPr>
        <w:pStyle w:val="FootnoteText"/>
        <w:spacing w:after="0" w:line="240" w:lineRule="auto"/>
        <w:rPr>
          <w:sz w:val="16"/>
          <w:szCs w:val="16"/>
          <w:lang w:val="es-ES_tradnl"/>
        </w:rPr>
      </w:pPr>
      <w:r w:rsidRPr="00C07A74">
        <w:rPr>
          <w:rStyle w:val="FootnoteReference"/>
          <w:rFonts w:ascii="Cambria" w:hAnsi="Cambria"/>
          <w:sz w:val="16"/>
          <w:szCs w:val="16"/>
          <w:lang w:val="es-ES_tradnl"/>
        </w:rPr>
        <w:footnoteRef/>
      </w:r>
      <w:r w:rsidRPr="00C07A74">
        <w:rPr>
          <w:rFonts w:ascii="Cambria" w:hAnsi="Cambria"/>
          <w:sz w:val="16"/>
          <w:szCs w:val="16"/>
          <w:lang w:val="es-ES_tradnl"/>
        </w:rPr>
        <w:t xml:space="preserve"> Petición inicial ante la CIDH del 2 de febrero de 2018. Prueba 10: Orden denegando la moción de descalificación.</w:t>
      </w:r>
      <w:r w:rsidRPr="00C07A74">
        <w:rPr>
          <w:sz w:val="16"/>
          <w:szCs w:val="16"/>
          <w:lang w:val="es-ES_tradnl"/>
        </w:rPr>
        <w:t xml:space="preserve"> </w:t>
      </w:r>
    </w:p>
  </w:footnote>
  <w:footnote w:id="42">
    <w:p w14:paraId="071C16C0" w14:textId="77777777" w:rsidR="00540E3D" w:rsidRPr="00C07A74" w:rsidRDefault="00540E3D" w:rsidP="00540E3D">
      <w:pPr>
        <w:pStyle w:val="FootnoteText"/>
        <w:spacing w:after="0" w:line="240" w:lineRule="auto"/>
        <w:jc w:val="both"/>
        <w:rPr>
          <w:rFonts w:ascii="Cambria" w:hAnsi="Cambria"/>
          <w:sz w:val="16"/>
          <w:szCs w:val="16"/>
          <w:lang w:val="es-ES_tradnl"/>
        </w:rPr>
      </w:pPr>
      <w:r w:rsidRPr="00C07A74">
        <w:rPr>
          <w:rStyle w:val="FootnoteReference"/>
          <w:rFonts w:ascii="Cambria" w:hAnsi="Cambria"/>
          <w:sz w:val="16"/>
          <w:szCs w:val="16"/>
          <w:lang w:val="es-ES_tradnl"/>
        </w:rPr>
        <w:footnoteRef/>
      </w:r>
      <w:r w:rsidRPr="00C07A74">
        <w:rPr>
          <w:rFonts w:ascii="Cambria" w:hAnsi="Cambria"/>
          <w:sz w:val="16"/>
          <w:szCs w:val="16"/>
          <w:lang w:val="es-ES_tradnl"/>
        </w:rPr>
        <w:t xml:space="preserve"> Véase, por ejemp</w:t>
      </w:r>
      <w:r w:rsidR="009706CC">
        <w:rPr>
          <w:rFonts w:ascii="Cambria" w:hAnsi="Cambria"/>
          <w:sz w:val="16"/>
          <w:szCs w:val="16"/>
          <w:lang w:val="es-ES_tradnl"/>
        </w:rPr>
        <w:t>l</w:t>
      </w:r>
      <w:r w:rsidRPr="00C07A74">
        <w:rPr>
          <w:rFonts w:ascii="Cambria" w:hAnsi="Cambria"/>
          <w:sz w:val="16"/>
          <w:szCs w:val="16"/>
          <w:lang w:val="es-ES_tradnl"/>
        </w:rPr>
        <w:t xml:space="preserve">o: Corte IDH. El derecho a la información sobre la asistencia consular en el marco de las garantías del debido proceso legal. Opinión Consultiva OC-16/99 de 1 de octubre de 1999. Serie A No. 16., </w:t>
      </w:r>
      <w:r w:rsidR="009706CC" w:rsidRPr="00C07A74">
        <w:rPr>
          <w:rFonts w:ascii="Cambria" w:hAnsi="Cambria"/>
          <w:sz w:val="16"/>
          <w:szCs w:val="16"/>
          <w:lang w:val="es-ES_tradnl"/>
        </w:rPr>
        <w:t>párr.</w:t>
      </w:r>
      <w:r w:rsidRPr="00C07A74">
        <w:rPr>
          <w:rFonts w:ascii="Cambria" w:hAnsi="Cambria"/>
          <w:sz w:val="16"/>
          <w:szCs w:val="16"/>
          <w:lang w:val="es-ES_tradnl"/>
        </w:rPr>
        <w:t xml:space="preserve"> 136; Comité de Derechos Humanos de Naciones Unidas, </w:t>
      </w:r>
      <w:proofErr w:type="spellStart"/>
      <w:r w:rsidRPr="00C07A74">
        <w:rPr>
          <w:rFonts w:ascii="Cambria" w:hAnsi="Cambria"/>
          <w:iCs/>
          <w:sz w:val="16"/>
          <w:szCs w:val="16"/>
          <w:lang w:val="es-ES_tradnl"/>
        </w:rPr>
        <w:t>Baboheram-Adhin</w:t>
      </w:r>
      <w:proofErr w:type="spellEnd"/>
      <w:r w:rsidRPr="00C07A74">
        <w:rPr>
          <w:rFonts w:ascii="Cambria" w:hAnsi="Cambria"/>
          <w:iCs/>
          <w:sz w:val="16"/>
          <w:szCs w:val="16"/>
          <w:lang w:val="es-ES_tradnl"/>
        </w:rPr>
        <w:t xml:space="preserve"> et al. v. </w:t>
      </w:r>
      <w:proofErr w:type="spellStart"/>
      <w:r w:rsidRPr="00C07A74">
        <w:rPr>
          <w:rFonts w:ascii="Cambria" w:hAnsi="Cambria"/>
          <w:iCs/>
          <w:sz w:val="16"/>
          <w:szCs w:val="16"/>
          <w:lang w:val="es-ES_tradnl"/>
        </w:rPr>
        <w:t>Suriname</w:t>
      </w:r>
      <w:proofErr w:type="spellEnd"/>
      <w:r w:rsidRPr="00C07A74">
        <w:rPr>
          <w:rFonts w:ascii="Cambria" w:hAnsi="Cambria"/>
          <w:sz w:val="16"/>
          <w:szCs w:val="16"/>
          <w:lang w:val="es-ES_tradnl"/>
        </w:rPr>
        <w:t>,</w:t>
      </w:r>
      <w:r w:rsidRPr="00C07A74">
        <w:rPr>
          <w:rFonts w:ascii="Cambria" w:hAnsi="Cambria"/>
          <w:iCs/>
          <w:sz w:val="16"/>
          <w:szCs w:val="16"/>
          <w:lang w:val="es-ES_tradnl"/>
        </w:rPr>
        <w:t xml:space="preserve"> </w:t>
      </w:r>
      <w:r w:rsidRPr="00C07A74">
        <w:rPr>
          <w:rFonts w:ascii="Cambria" w:hAnsi="Cambria"/>
          <w:sz w:val="16"/>
          <w:szCs w:val="16"/>
          <w:lang w:val="es-ES_tradnl"/>
        </w:rPr>
        <w:t xml:space="preserve">Comunicaciones Nos. 148-154/1983, adoptadas el 4 de abril de 1985, </w:t>
      </w:r>
      <w:r w:rsidR="009706CC" w:rsidRPr="00C07A74">
        <w:rPr>
          <w:rFonts w:ascii="Cambria" w:hAnsi="Cambria"/>
          <w:sz w:val="16"/>
          <w:szCs w:val="16"/>
          <w:lang w:val="es-ES_tradnl"/>
        </w:rPr>
        <w:t>párr.</w:t>
      </w:r>
      <w:r w:rsidRPr="00C07A74">
        <w:rPr>
          <w:rFonts w:ascii="Cambria" w:hAnsi="Cambria"/>
          <w:sz w:val="16"/>
          <w:szCs w:val="16"/>
          <w:lang w:val="es-ES_tradnl"/>
        </w:rPr>
        <w:t xml:space="preserve"> 14.3; Informe del Relator Especial, Sr. Bacre Waly </w:t>
      </w:r>
      <w:proofErr w:type="spellStart"/>
      <w:r w:rsidRPr="00C07A74">
        <w:rPr>
          <w:rFonts w:ascii="Cambria" w:hAnsi="Cambria"/>
          <w:sz w:val="16"/>
          <w:szCs w:val="16"/>
          <w:lang w:val="es-ES_tradnl"/>
        </w:rPr>
        <w:t>Ndiaye</w:t>
      </w:r>
      <w:proofErr w:type="spellEnd"/>
      <w:r w:rsidRPr="00C07A74">
        <w:rPr>
          <w:rFonts w:ascii="Cambria" w:hAnsi="Cambria"/>
          <w:sz w:val="16"/>
          <w:szCs w:val="16"/>
          <w:lang w:val="es-ES_tradnl"/>
        </w:rPr>
        <w:t xml:space="preserve">, presentado en cumplimiento de la resolución 1994/82 de la Comisión de Derechos Humanos, Cuestión de la Violación de los Derechos Humanos y las Libertades Fundamentales en Cualquier Parte del Mundo, Especialmente en los Países y Territorios Coloniales y Dependientes, UN </w:t>
      </w:r>
      <w:proofErr w:type="spellStart"/>
      <w:r w:rsidRPr="00C07A74">
        <w:rPr>
          <w:rFonts w:ascii="Cambria" w:hAnsi="Cambria"/>
          <w:sz w:val="16"/>
          <w:szCs w:val="16"/>
          <w:lang w:val="es-ES_tradnl"/>
        </w:rPr>
        <w:t>Doc.E</w:t>
      </w:r>
      <w:proofErr w:type="spellEnd"/>
      <w:r w:rsidRPr="00C07A74">
        <w:rPr>
          <w:rFonts w:ascii="Cambria" w:hAnsi="Cambria"/>
          <w:sz w:val="16"/>
          <w:szCs w:val="16"/>
          <w:lang w:val="es-ES_tradnl"/>
        </w:rPr>
        <w:t xml:space="preserve">/CN.4/1995/61 (4 de diciembre de 1994), </w:t>
      </w:r>
      <w:r w:rsidR="009706CC" w:rsidRPr="00C07A74">
        <w:rPr>
          <w:rFonts w:ascii="Cambria" w:hAnsi="Cambria"/>
          <w:sz w:val="16"/>
          <w:szCs w:val="16"/>
          <w:lang w:val="es-ES_tradnl"/>
        </w:rPr>
        <w:t>párr.</w:t>
      </w:r>
      <w:r w:rsidRPr="00C07A74">
        <w:rPr>
          <w:rFonts w:ascii="Cambria" w:hAnsi="Cambria"/>
          <w:sz w:val="16"/>
          <w:szCs w:val="16"/>
          <w:lang w:val="es-ES_tradnl"/>
        </w:rPr>
        <w:t xml:space="preserve"> 378.</w:t>
      </w:r>
    </w:p>
  </w:footnote>
  <w:footnote w:id="43">
    <w:p w14:paraId="5BA16AA3" w14:textId="77777777" w:rsidR="00540E3D" w:rsidRPr="00C07A74" w:rsidRDefault="00540E3D" w:rsidP="00540E3D">
      <w:pPr>
        <w:pStyle w:val="FootnoteText"/>
        <w:spacing w:after="0" w:line="240" w:lineRule="auto"/>
        <w:jc w:val="both"/>
        <w:rPr>
          <w:rFonts w:ascii="Cambria" w:hAnsi="Cambria"/>
          <w:sz w:val="16"/>
          <w:szCs w:val="16"/>
          <w:lang w:val="es-ES_tradnl"/>
        </w:rPr>
      </w:pPr>
      <w:r w:rsidRPr="00C07A74">
        <w:rPr>
          <w:rStyle w:val="FootnoteReference"/>
          <w:rFonts w:ascii="Cambria" w:hAnsi="Cambria"/>
          <w:sz w:val="16"/>
          <w:szCs w:val="16"/>
          <w:lang w:val="es-ES_tradnl"/>
        </w:rPr>
        <w:footnoteRef/>
      </w:r>
      <w:r w:rsidRPr="00C07A74">
        <w:rPr>
          <w:rFonts w:ascii="Cambria" w:hAnsi="Cambria"/>
          <w:sz w:val="16"/>
          <w:szCs w:val="16"/>
          <w:lang w:val="es-ES_tradnl"/>
        </w:rPr>
        <w:t xml:space="preserve"> CIDH,</w:t>
      </w:r>
      <w:r w:rsidRPr="00C07A74">
        <w:rPr>
          <w:rFonts w:ascii="Cambria" w:hAnsi="Cambria"/>
          <w:iCs/>
          <w:sz w:val="16"/>
          <w:szCs w:val="16"/>
          <w:lang w:val="es-ES_tradnl"/>
        </w:rPr>
        <w:t xml:space="preserve"> </w:t>
      </w:r>
      <w:r w:rsidRPr="00C07A74">
        <w:rPr>
          <w:rFonts w:ascii="Cambria" w:hAnsi="Cambria"/>
          <w:sz w:val="16"/>
          <w:szCs w:val="16"/>
          <w:lang w:val="es-ES_tradnl"/>
        </w:rPr>
        <w:t xml:space="preserve">Informe No. 57/96, </w:t>
      </w:r>
      <w:r w:rsidRPr="00C07A74">
        <w:rPr>
          <w:rFonts w:ascii="Cambria" w:hAnsi="Cambria"/>
          <w:iCs/>
          <w:sz w:val="16"/>
          <w:szCs w:val="16"/>
          <w:lang w:val="es-ES_tradnl"/>
        </w:rPr>
        <w:t>Andrews, Estados Unidos</w:t>
      </w:r>
      <w:r w:rsidRPr="00C07A74">
        <w:rPr>
          <w:rFonts w:ascii="Cambria" w:hAnsi="Cambria"/>
          <w:sz w:val="16"/>
          <w:szCs w:val="16"/>
          <w:lang w:val="es-ES_tradnl"/>
        </w:rPr>
        <w:t xml:space="preserve">, Informe Anual CIDH 1997, </w:t>
      </w:r>
      <w:r w:rsidR="009706CC" w:rsidRPr="00C07A74">
        <w:rPr>
          <w:rFonts w:ascii="Cambria" w:hAnsi="Cambria"/>
          <w:sz w:val="16"/>
          <w:szCs w:val="16"/>
          <w:lang w:val="es-ES_tradnl"/>
        </w:rPr>
        <w:t>párr.</w:t>
      </w:r>
      <w:r w:rsidRPr="00C07A74">
        <w:rPr>
          <w:rFonts w:ascii="Cambria" w:hAnsi="Cambria"/>
          <w:sz w:val="16"/>
          <w:szCs w:val="16"/>
          <w:lang w:val="es-ES_tradnl"/>
        </w:rPr>
        <w:t xml:space="preserve"> 170-171; Informe No. 38/00 </w:t>
      </w:r>
      <w:proofErr w:type="spellStart"/>
      <w:r w:rsidRPr="00C07A74">
        <w:rPr>
          <w:rFonts w:ascii="Cambria" w:hAnsi="Cambria"/>
          <w:sz w:val="16"/>
          <w:szCs w:val="16"/>
          <w:lang w:val="es-ES_tradnl"/>
        </w:rPr>
        <w:t>Baptiste</w:t>
      </w:r>
      <w:proofErr w:type="spellEnd"/>
      <w:r w:rsidRPr="00C07A74">
        <w:rPr>
          <w:rFonts w:ascii="Cambria" w:hAnsi="Cambria"/>
          <w:sz w:val="16"/>
          <w:szCs w:val="16"/>
          <w:lang w:val="es-ES_tradnl"/>
        </w:rPr>
        <w:t xml:space="preserve">, Granada, Informe Anual CIDH 1999, </w:t>
      </w:r>
      <w:proofErr w:type="spellStart"/>
      <w:r w:rsidRPr="00C07A74">
        <w:rPr>
          <w:rFonts w:ascii="Cambria" w:hAnsi="Cambria"/>
          <w:sz w:val="16"/>
          <w:szCs w:val="16"/>
          <w:lang w:val="es-ES_tradnl"/>
        </w:rPr>
        <w:t>p</w:t>
      </w:r>
      <w:r w:rsidR="009706CC">
        <w:rPr>
          <w:rFonts w:ascii="Cambria" w:hAnsi="Cambria"/>
          <w:sz w:val="16"/>
          <w:szCs w:val="16"/>
          <w:lang w:val="es-ES_tradnl"/>
        </w:rPr>
        <w:t>á</w:t>
      </w:r>
      <w:r w:rsidRPr="00C07A74">
        <w:rPr>
          <w:rFonts w:ascii="Cambria" w:hAnsi="Cambria"/>
          <w:sz w:val="16"/>
          <w:szCs w:val="16"/>
          <w:lang w:val="es-ES_tradnl"/>
        </w:rPr>
        <w:t>rrs</w:t>
      </w:r>
      <w:proofErr w:type="spellEnd"/>
      <w:r w:rsidRPr="00C07A74">
        <w:rPr>
          <w:rFonts w:ascii="Cambria" w:hAnsi="Cambria"/>
          <w:sz w:val="16"/>
          <w:szCs w:val="16"/>
          <w:lang w:val="es-ES_tradnl"/>
        </w:rPr>
        <w:t xml:space="preserve">. 64-66; Informe No. 41/00, McKenzie </w:t>
      </w:r>
      <w:r w:rsidRPr="00C07A74">
        <w:rPr>
          <w:rFonts w:ascii="Cambria" w:hAnsi="Cambria"/>
          <w:iCs/>
          <w:sz w:val="16"/>
          <w:szCs w:val="16"/>
          <w:lang w:val="es-ES_tradnl"/>
        </w:rPr>
        <w:t>et al.,</w:t>
      </w:r>
      <w:r w:rsidRPr="00C07A74">
        <w:rPr>
          <w:rFonts w:ascii="Cambria" w:hAnsi="Cambria"/>
          <w:sz w:val="16"/>
          <w:szCs w:val="16"/>
          <w:lang w:val="es-ES_tradnl"/>
        </w:rPr>
        <w:t xml:space="preserve"> Jamaica, Informe Anual CIDH 1999, </w:t>
      </w:r>
      <w:proofErr w:type="spellStart"/>
      <w:r w:rsidRPr="00C07A74">
        <w:rPr>
          <w:rFonts w:ascii="Cambria" w:hAnsi="Cambria"/>
          <w:sz w:val="16"/>
          <w:szCs w:val="16"/>
          <w:lang w:val="es-ES_tradnl"/>
        </w:rPr>
        <w:t>p</w:t>
      </w:r>
      <w:r w:rsidR="009706CC">
        <w:rPr>
          <w:rFonts w:ascii="Cambria" w:hAnsi="Cambria"/>
          <w:sz w:val="16"/>
          <w:szCs w:val="16"/>
          <w:lang w:val="es-ES_tradnl"/>
        </w:rPr>
        <w:t>á</w:t>
      </w:r>
      <w:r w:rsidRPr="00C07A74">
        <w:rPr>
          <w:rFonts w:ascii="Cambria" w:hAnsi="Cambria"/>
          <w:sz w:val="16"/>
          <w:szCs w:val="16"/>
          <w:lang w:val="es-ES_tradnl"/>
        </w:rPr>
        <w:t>rrs</w:t>
      </w:r>
      <w:proofErr w:type="spellEnd"/>
      <w:r w:rsidRPr="00C07A74">
        <w:rPr>
          <w:rFonts w:ascii="Cambria" w:hAnsi="Cambria"/>
          <w:sz w:val="16"/>
          <w:szCs w:val="16"/>
          <w:lang w:val="es-ES_tradnl"/>
        </w:rPr>
        <w:t>. 169-171.</w:t>
      </w:r>
    </w:p>
  </w:footnote>
  <w:footnote w:id="44">
    <w:p w14:paraId="5A84D378" w14:textId="77777777" w:rsidR="00540E3D" w:rsidRPr="00C07A74" w:rsidRDefault="00540E3D" w:rsidP="00540E3D">
      <w:pPr>
        <w:autoSpaceDE w:val="0"/>
        <w:autoSpaceDN w:val="0"/>
        <w:adjustRightInd w:val="0"/>
        <w:spacing w:after="0" w:line="240" w:lineRule="auto"/>
        <w:jc w:val="both"/>
        <w:rPr>
          <w:rFonts w:ascii="Cambria" w:hAnsi="Cambria"/>
          <w:sz w:val="16"/>
          <w:szCs w:val="16"/>
          <w:lang w:val="es-ES_tradnl"/>
        </w:rPr>
      </w:pPr>
      <w:r w:rsidRPr="00C07A74">
        <w:rPr>
          <w:rStyle w:val="FootnoteReference"/>
          <w:rFonts w:ascii="Cambria" w:hAnsi="Cambria"/>
          <w:sz w:val="16"/>
          <w:szCs w:val="16"/>
          <w:lang w:val="es-ES_tradnl"/>
        </w:rPr>
        <w:footnoteRef/>
      </w:r>
      <w:r w:rsidRPr="00C07A74">
        <w:rPr>
          <w:rFonts w:ascii="Cambria" w:hAnsi="Cambria"/>
          <w:sz w:val="16"/>
          <w:szCs w:val="16"/>
          <w:lang w:val="es-ES_tradnl"/>
        </w:rPr>
        <w:t xml:space="preserve"> CIDH, La pena de muerte en el Sistema Interamericano de Derechos Humanos: de restricciones a abolición, </w:t>
      </w:r>
      <w:r w:rsidRPr="00C07A74">
        <w:rPr>
          <w:rFonts w:ascii="Cambria" w:hAnsi="Cambria" w:cs="Calibri"/>
          <w:sz w:val="16"/>
          <w:szCs w:val="16"/>
          <w:lang w:val="es-ES_tradnl"/>
        </w:rPr>
        <w:t>OEA/</w:t>
      </w:r>
      <w:proofErr w:type="spellStart"/>
      <w:r w:rsidRPr="00C07A74">
        <w:rPr>
          <w:rFonts w:ascii="Cambria" w:hAnsi="Cambria" w:cs="Calibri"/>
          <w:sz w:val="16"/>
          <w:szCs w:val="16"/>
          <w:lang w:val="es-ES_tradnl"/>
        </w:rPr>
        <w:t>Ser.L</w:t>
      </w:r>
      <w:proofErr w:type="spellEnd"/>
      <w:r w:rsidRPr="00C07A74">
        <w:rPr>
          <w:rFonts w:ascii="Cambria" w:hAnsi="Cambria" w:cs="Calibri"/>
          <w:sz w:val="16"/>
          <w:szCs w:val="16"/>
          <w:lang w:val="es-ES_tradnl"/>
        </w:rPr>
        <w:t xml:space="preserve">/V/II.Doc. 68, 32 de diciembre de 2011, </w:t>
      </w:r>
      <w:r w:rsidR="009706CC" w:rsidRPr="00C07A74">
        <w:rPr>
          <w:rFonts w:ascii="Cambria" w:hAnsi="Cambria"/>
          <w:sz w:val="16"/>
          <w:szCs w:val="16"/>
          <w:lang w:val="es-ES_tradnl"/>
        </w:rPr>
        <w:t>párr.</w:t>
      </w:r>
      <w:r w:rsidRPr="00C07A74">
        <w:rPr>
          <w:rFonts w:ascii="Cambria" w:hAnsi="Cambria"/>
          <w:sz w:val="16"/>
          <w:szCs w:val="16"/>
          <w:lang w:val="es-ES_tradnl"/>
        </w:rPr>
        <w:t xml:space="preserve"> 41.</w:t>
      </w:r>
    </w:p>
  </w:footnote>
  <w:footnote w:id="45">
    <w:p w14:paraId="34B17DC8" w14:textId="77777777" w:rsidR="00540E3D" w:rsidRPr="00C07A74" w:rsidRDefault="00540E3D" w:rsidP="00540E3D">
      <w:pPr>
        <w:autoSpaceDE w:val="0"/>
        <w:autoSpaceDN w:val="0"/>
        <w:adjustRightInd w:val="0"/>
        <w:spacing w:after="0" w:line="240" w:lineRule="auto"/>
        <w:jc w:val="both"/>
        <w:rPr>
          <w:rFonts w:ascii="Cambria" w:hAnsi="Cambria"/>
          <w:sz w:val="16"/>
          <w:szCs w:val="16"/>
          <w:lang w:val="es-ES_tradnl"/>
        </w:rPr>
      </w:pPr>
      <w:r w:rsidRPr="00C07A74">
        <w:rPr>
          <w:rStyle w:val="FootnoteReference"/>
          <w:rFonts w:ascii="Cambria" w:hAnsi="Cambria"/>
          <w:sz w:val="16"/>
          <w:szCs w:val="16"/>
          <w:lang w:val="es-ES_tradnl"/>
        </w:rPr>
        <w:footnoteRef/>
      </w:r>
      <w:r w:rsidRPr="00C07A74">
        <w:rPr>
          <w:rFonts w:ascii="Cambria" w:hAnsi="Cambria"/>
          <w:sz w:val="16"/>
          <w:szCs w:val="16"/>
          <w:lang w:val="es-ES_tradnl"/>
        </w:rPr>
        <w:t xml:space="preserve"> CIDH, Informe No. 78/07, Caso 12.265, Fondo (Publicación), Chad Roger Goodman, Bahamas, 15 de octubre de 2007, p</w:t>
      </w:r>
      <w:r w:rsidR="009706CC">
        <w:rPr>
          <w:rFonts w:ascii="Cambria" w:hAnsi="Cambria"/>
          <w:sz w:val="16"/>
          <w:szCs w:val="16"/>
          <w:lang w:val="es-ES_tradnl"/>
        </w:rPr>
        <w:t>á</w:t>
      </w:r>
      <w:r w:rsidRPr="00C07A74">
        <w:rPr>
          <w:rFonts w:ascii="Cambria" w:hAnsi="Cambria"/>
          <w:sz w:val="16"/>
          <w:szCs w:val="16"/>
          <w:lang w:val="es-ES_tradnl"/>
        </w:rPr>
        <w:t>rr. 34.</w:t>
      </w:r>
    </w:p>
  </w:footnote>
  <w:footnote w:id="46">
    <w:p w14:paraId="18333DAC" w14:textId="77777777" w:rsidR="00540E3D" w:rsidRPr="00C07A74" w:rsidRDefault="00540E3D" w:rsidP="00540E3D">
      <w:pPr>
        <w:pStyle w:val="FootnoteText"/>
        <w:spacing w:after="0" w:line="240" w:lineRule="auto"/>
        <w:jc w:val="both"/>
        <w:rPr>
          <w:rFonts w:ascii="Cambria" w:hAnsi="Cambria"/>
          <w:sz w:val="16"/>
          <w:szCs w:val="16"/>
          <w:lang w:val="es-ES_tradnl"/>
        </w:rPr>
      </w:pPr>
      <w:r w:rsidRPr="00C07A74">
        <w:rPr>
          <w:rStyle w:val="FootnoteReference"/>
          <w:rFonts w:ascii="Cambria" w:hAnsi="Cambria"/>
          <w:sz w:val="16"/>
          <w:szCs w:val="16"/>
          <w:lang w:val="es-ES_tradnl"/>
        </w:rPr>
        <w:footnoteRef/>
      </w:r>
      <w:r w:rsidRPr="00C07A74">
        <w:rPr>
          <w:rFonts w:ascii="Cambria" w:hAnsi="Cambria"/>
          <w:sz w:val="16"/>
          <w:szCs w:val="16"/>
          <w:lang w:val="es-ES_tradnl"/>
        </w:rPr>
        <w:t xml:space="preserve"> CIDH, Informe No. 44/14, Caso 12,873, Informe de Fondo (Publicación), Edgar Tamayo Arias, Estados Unidos, 17 de julio de 2014, p</w:t>
      </w:r>
      <w:r w:rsidR="009706CC">
        <w:rPr>
          <w:rFonts w:ascii="Cambria" w:hAnsi="Cambria"/>
          <w:sz w:val="16"/>
          <w:szCs w:val="16"/>
          <w:lang w:val="es-ES_tradnl"/>
        </w:rPr>
        <w:t>á</w:t>
      </w:r>
      <w:r w:rsidRPr="00C07A74">
        <w:rPr>
          <w:rFonts w:ascii="Cambria" w:hAnsi="Cambria"/>
          <w:sz w:val="16"/>
          <w:szCs w:val="16"/>
          <w:lang w:val="es-ES_tradnl"/>
        </w:rPr>
        <w:t>rr. 214.</w:t>
      </w:r>
    </w:p>
  </w:footnote>
  <w:footnote w:id="47">
    <w:p w14:paraId="00D1A510" w14:textId="77777777" w:rsidR="00540E3D" w:rsidRPr="00C07A74" w:rsidRDefault="00540E3D" w:rsidP="00540E3D">
      <w:pPr>
        <w:pStyle w:val="FootnoteText"/>
        <w:spacing w:after="0" w:line="240" w:lineRule="auto"/>
        <w:jc w:val="both"/>
        <w:rPr>
          <w:rFonts w:ascii="Cambria" w:hAnsi="Cambria"/>
          <w:sz w:val="16"/>
          <w:szCs w:val="16"/>
          <w:lang w:val="es-ES_tradnl"/>
        </w:rPr>
      </w:pPr>
      <w:r w:rsidRPr="00C07A74">
        <w:rPr>
          <w:rStyle w:val="FootnoteReference"/>
          <w:rFonts w:ascii="Cambria" w:hAnsi="Cambria"/>
          <w:sz w:val="16"/>
          <w:szCs w:val="16"/>
          <w:lang w:val="es-ES_tradnl"/>
        </w:rPr>
        <w:footnoteRef/>
      </w:r>
      <w:r w:rsidRPr="00C07A74">
        <w:rPr>
          <w:rFonts w:ascii="Cambria" w:hAnsi="Cambria"/>
          <w:sz w:val="16"/>
          <w:szCs w:val="16"/>
          <w:lang w:val="es-ES_tradnl"/>
        </w:rPr>
        <w:t xml:space="preserve"> El Artículo XVIII de la Declaración Americana establece: Toda persona puede ocurrir a los tribunales para hacer valer sus derechos.  </w:t>
      </w:r>
      <w:proofErr w:type="gramStart"/>
      <w:r w:rsidRPr="00C07A74">
        <w:rPr>
          <w:rFonts w:ascii="Cambria" w:hAnsi="Cambria"/>
          <w:sz w:val="16"/>
          <w:szCs w:val="16"/>
          <w:lang w:val="es-ES_tradnl"/>
        </w:rPr>
        <w:t>Asimismo</w:t>
      </w:r>
      <w:proofErr w:type="gramEnd"/>
      <w:r w:rsidRPr="00C07A74">
        <w:rPr>
          <w:rFonts w:ascii="Cambria" w:hAnsi="Cambria"/>
          <w:sz w:val="16"/>
          <w:szCs w:val="16"/>
          <w:lang w:val="es-ES_tradnl"/>
        </w:rPr>
        <w:t xml:space="preserve"> debe disponer de un procedimiento sencillo y breve por el cual la justicia lo ampare contra actos de la autoridad que violen, en perjuicio suyo, alguno de los derechos fundamentales consagrados constitucionalmente.</w:t>
      </w:r>
    </w:p>
  </w:footnote>
  <w:footnote w:id="48">
    <w:p w14:paraId="05B6056C" w14:textId="77777777" w:rsidR="00540E3D" w:rsidRPr="00C07A74" w:rsidRDefault="00540E3D" w:rsidP="00540E3D">
      <w:pPr>
        <w:pStyle w:val="FootnoteText"/>
        <w:spacing w:after="0" w:line="240" w:lineRule="auto"/>
        <w:jc w:val="both"/>
        <w:rPr>
          <w:rFonts w:ascii="Cambria" w:hAnsi="Cambria"/>
          <w:sz w:val="16"/>
          <w:szCs w:val="16"/>
          <w:lang w:val="es-ES_tradnl"/>
        </w:rPr>
      </w:pPr>
      <w:r w:rsidRPr="00C07A74">
        <w:rPr>
          <w:rStyle w:val="FootnoteReference"/>
          <w:rFonts w:ascii="Cambria" w:hAnsi="Cambria"/>
          <w:sz w:val="16"/>
          <w:szCs w:val="16"/>
          <w:lang w:val="es-ES_tradnl"/>
        </w:rPr>
        <w:footnoteRef/>
      </w:r>
      <w:r w:rsidRPr="00C07A74">
        <w:rPr>
          <w:rFonts w:ascii="Cambria" w:hAnsi="Cambria"/>
          <w:sz w:val="16"/>
          <w:szCs w:val="16"/>
          <w:lang w:val="es-ES_tradnl"/>
        </w:rPr>
        <w:t xml:space="preserve"> El Artículo XXVI de la Declaración Americana establece: Se presume que todo acusado es inocente, hasta que se pruebe que es culpable.</w:t>
      </w:r>
    </w:p>
    <w:p w14:paraId="32FAB2F7" w14:textId="77777777" w:rsidR="00540E3D" w:rsidRPr="00C07A74" w:rsidRDefault="00540E3D" w:rsidP="00540E3D">
      <w:pPr>
        <w:pStyle w:val="FootnoteText"/>
        <w:spacing w:after="0" w:line="240" w:lineRule="auto"/>
        <w:jc w:val="both"/>
        <w:rPr>
          <w:rFonts w:ascii="Cambria" w:hAnsi="Cambria"/>
          <w:sz w:val="16"/>
          <w:szCs w:val="16"/>
          <w:lang w:val="es-ES_tradnl"/>
        </w:rPr>
      </w:pPr>
      <w:r w:rsidRPr="00C07A74">
        <w:rPr>
          <w:rFonts w:ascii="Cambria" w:hAnsi="Cambria"/>
          <w:sz w:val="16"/>
          <w:szCs w:val="16"/>
          <w:lang w:val="es-ES_tradnl"/>
        </w:rPr>
        <w:t>Toda persona acusada de delito tiene derecho a ser oída en forma imparcial y pública, a ser juzgada por tribunales anteriormente establecidos de acuerdo con leyes preexistentes y a que no se le imponga penas crueles, infamantes o inusitadas.</w:t>
      </w:r>
    </w:p>
  </w:footnote>
  <w:footnote w:id="49">
    <w:p w14:paraId="56B06B94" w14:textId="77777777" w:rsidR="00540E3D" w:rsidRPr="00C07A74" w:rsidRDefault="00540E3D" w:rsidP="00540E3D">
      <w:pPr>
        <w:pStyle w:val="FootnoteText"/>
        <w:spacing w:after="0" w:line="240" w:lineRule="auto"/>
        <w:jc w:val="both"/>
        <w:rPr>
          <w:rFonts w:ascii="Cambria" w:hAnsi="Cambria"/>
          <w:sz w:val="16"/>
          <w:szCs w:val="16"/>
          <w:lang w:val="es-ES_tradnl"/>
        </w:rPr>
      </w:pPr>
      <w:r w:rsidRPr="00C07A74">
        <w:rPr>
          <w:rStyle w:val="FootnoteReference"/>
          <w:rFonts w:ascii="Cambria" w:hAnsi="Cambria" w:cs="Arial"/>
          <w:sz w:val="16"/>
          <w:szCs w:val="16"/>
          <w:lang w:val="es-ES_tradnl"/>
        </w:rPr>
        <w:footnoteRef/>
      </w:r>
      <w:r w:rsidRPr="00C07A74">
        <w:rPr>
          <w:rFonts w:ascii="Cambria" w:hAnsi="Cambria" w:cs="Arial"/>
          <w:sz w:val="16"/>
          <w:szCs w:val="16"/>
          <w:lang w:val="es-ES_tradnl"/>
        </w:rPr>
        <w:t xml:space="preserve"> CIDH, </w:t>
      </w:r>
      <w:r w:rsidRPr="00C07A74">
        <w:rPr>
          <w:rFonts w:ascii="Cambria" w:hAnsi="Cambria" w:cs="Arial"/>
          <w:bCs/>
          <w:sz w:val="16"/>
          <w:szCs w:val="16"/>
          <w:lang w:val="es-ES_tradnl"/>
        </w:rPr>
        <w:t>Informe No. 90/09</w:t>
      </w:r>
      <w:r w:rsidRPr="00C07A74">
        <w:rPr>
          <w:rFonts w:ascii="Cambria" w:hAnsi="Cambria" w:cs="Arial"/>
          <w:sz w:val="16"/>
          <w:szCs w:val="16"/>
          <w:lang w:val="es-ES_tradnl"/>
        </w:rPr>
        <w:t xml:space="preserve">, Caso 12.644, Admisibilidad y Fondo (Publicación), Medellín, Ramírez Cárdenas y Leal García, Estados Unidos, 7 de agosto de 2009, </w:t>
      </w:r>
      <w:proofErr w:type="spellStart"/>
      <w:r w:rsidRPr="00C07A74">
        <w:rPr>
          <w:rFonts w:ascii="Cambria" w:hAnsi="Cambria" w:cs="Arial"/>
          <w:sz w:val="16"/>
          <w:szCs w:val="16"/>
          <w:lang w:val="es-ES_tradnl"/>
        </w:rPr>
        <w:t>p</w:t>
      </w:r>
      <w:r w:rsidR="009706CC">
        <w:rPr>
          <w:rFonts w:ascii="Cambria" w:hAnsi="Cambria" w:cs="Arial"/>
          <w:sz w:val="16"/>
          <w:szCs w:val="16"/>
          <w:lang w:val="es-ES_tradnl"/>
        </w:rPr>
        <w:t>á</w:t>
      </w:r>
      <w:r w:rsidRPr="00C07A74">
        <w:rPr>
          <w:rFonts w:ascii="Cambria" w:hAnsi="Cambria" w:cs="Arial"/>
          <w:sz w:val="16"/>
          <w:szCs w:val="16"/>
          <w:lang w:val="es-ES_tradnl"/>
        </w:rPr>
        <w:t>rrs</w:t>
      </w:r>
      <w:proofErr w:type="spellEnd"/>
      <w:r w:rsidRPr="00C07A74">
        <w:rPr>
          <w:rFonts w:ascii="Cambria" w:hAnsi="Cambria" w:cs="Arial"/>
          <w:sz w:val="16"/>
          <w:szCs w:val="16"/>
          <w:lang w:val="es-ES_tradnl"/>
        </w:rPr>
        <w:t>. 124-132. Véase también, CIDH, Informe No. 91/05 (Javier Suarez Medina), Estados Unidos, Informe Anual CIDH 2005; Informe No. 1/05 (Roberto Moreno Ramos), Estados Unidos, Informe Anual CIDH 2005; e Informe No. 52/02, Caso 11.753 (Ramón Martínez Villarreal), Estados Unidos, Informe Anual CIDH 2002.</w:t>
      </w:r>
    </w:p>
  </w:footnote>
  <w:footnote w:id="50">
    <w:p w14:paraId="491BF002" w14:textId="77777777" w:rsidR="00540E3D" w:rsidRPr="00C07A74" w:rsidRDefault="00540E3D" w:rsidP="00540E3D">
      <w:pPr>
        <w:spacing w:after="0" w:line="240" w:lineRule="auto"/>
        <w:jc w:val="both"/>
        <w:rPr>
          <w:rFonts w:ascii="Cambria" w:eastAsia="Times New Roman" w:hAnsi="Cambria" w:cs="Tahoma"/>
          <w:color w:val="000000"/>
          <w:sz w:val="16"/>
          <w:szCs w:val="16"/>
          <w:lang w:val="es-ES_tradnl"/>
        </w:rPr>
      </w:pPr>
      <w:r w:rsidRPr="00C07A74">
        <w:rPr>
          <w:rStyle w:val="FootnoteReference"/>
          <w:rFonts w:ascii="Cambria" w:hAnsi="Cambria" w:cs="Arial"/>
          <w:color w:val="000000"/>
          <w:sz w:val="16"/>
          <w:szCs w:val="16"/>
          <w:u w:color="000000"/>
          <w:lang w:val="es-ES_tradnl" w:eastAsia="es-ES"/>
        </w:rPr>
        <w:footnoteRef/>
      </w:r>
      <w:r w:rsidRPr="00C07A74">
        <w:rPr>
          <w:rStyle w:val="FootnoteReference"/>
          <w:rFonts w:ascii="Cambria" w:hAnsi="Cambria" w:cs="Arial"/>
          <w:color w:val="000000"/>
          <w:sz w:val="16"/>
          <w:szCs w:val="16"/>
          <w:u w:color="000000"/>
          <w:lang w:val="es-ES_tradnl" w:eastAsia="es-ES"/>
        </w:rPr>
        <w:t xml:space="preserve"> </w:t>
      </w:r>
      <w:r w:rsidRPr="00C07A74">
        <w:rPr>
          <w:rFonts w:ascii="Cambria" w:hAnsi="Cambria" w:cs="Arial"/>
          <w:bCs/>
          <w:sz w:val="16"/>
          <w:szCs w:val="16"/>
          <w:u w:color="000000"/>
          <w:lang w:val="es-ES_tradnl" w:eastAsia="es-ES"/>
        </w:rPr>
        <w:t xml:space="preserve">Corte IDH. El derecho a la información sobre la asistencia consular en el marco de las garantías del debido proceso legal. Opinión Consultiva OC-16/99 de 1 de octubre de 1999. Serie A No. 16, </w:t>
      </w:r>
      <w:r w:rsidR="009706CC" w:rsidRPr="00C07A74">
        <w:rPr>
          <w:rFonts w:ascii="Cambria" w:hAnsi="Cambria" w:cs="Arial"/>
          <w:bCs/>
          <w:sz w:val="16"/>
          <w:szCs w:val="16"/>
          <w:u w:color="000000"/>
          <w:lang w:val="es-ES_tradnl" w:eastAsia="es-ES"/>
        </w:rPr>
        <w:t>párr.</w:t>
      </w:r>
      <w:r w:rsidRPr="00C07A74">
        <w:rPr>
          <w:rFonts w:ascii="Cambria" w:hAnsi="Cambria" w:cs="Arial"/>
          <w:bCs/>
          <w:sz w:val="16"/>
          <w:szCs w:val="16"/>
          <w:u w:color="000000"/>
          <w:lang w:val="es-ES_tradnl" w:eastAsia="es-ES"/>
        </w:rPr>
        <w:t xml:space="preserve"> 102.</w:t>
      </w:r>
    </w:p>
  </w:footnote>
  <w:footnote w:id="51">
    <w:p w14:paraId="4FD359C9" w14:textId="77777777" w:rsidR="00540E3D" w:rsidRPr="00C07A74" w:rsidRDefault="00540E3D" w:rsidP="00540E3D">
      <w:pPr>
        <w:spacing w:after="0" w:line="240" w:lineRule="auto"/>
        <w:jc w:val="both"/>
        <w:rPr>
          <w:rFonts w:ascii="Cambria" w:eastAsia="Times New Roman" w:hAnsi="Cambria" w:cs="Tahoma"/>
          <w:color w:val="000000"/>
          <w:sz w:val="16"/>
          <w:szCs w:val="16"/>
          <w:lang w:val="es-ES_tradnl"/>
        </w:rPr>
      </w:pPr>
      <w:r w:rsidRPr="00C07A74">
        <w:rPr>
          <w:rStyle w:val="FootnoteReference"/>
          <w:rFonts w:ascii="Cambria" w:hAnsi="Cambria" w:cs="Arial"/>
          <w:color w:val="000000"/>
          <w:sz w:val="16"/>
          <w:szCs w:val="16"/>
          <w:u w:color="000000"/>
          <w:lang w:val="es-ES_tradnl" w:eastAsia="es-ES"/>
        </w:rPr>
        <w:footnoteRef/>
      </w:r>
      <w:r w:rsidRPr="00C07A74">
        <w:rPr>
          <w:rStyle w:val="FootnoteReference"/>
          <w:rFonts w:ascii="Cambria" w:hAnsi="Cambria" w:cs="Arial"/>
          <w:color w:val="000000"/>
          <w:sz w:val="16"/>
          <w:szCs w:val="16"/>
          <w:u w:color="000000"/>
          <w:lang w:val="es-ES_tradnl" w:eastAsia="es-ES"/>
        </w:rPr>
        <w:t xml:space="preserve"> </w:t>
      </w:r>
      <w:r w:rsidRPr="00C07A74">
        <w:rPr>
          <w:rFonts w:ascii="Cambria" w:hAnsi="Cambria" w:cs="Arial"/>
          <w:bCs/>
          <w:sz w:val="16"/>
          <w:szCs w:val="16"/>
          <w:u w:color="000000"/>
          <w:lang w:val="es-ES_tradnl" w:eastAsia="es-ES"/>
        </w:rPr>
        <w:t xml:space="preserve">Corte IDH. El derecho a la información sobre la asistencia consular en el marco de las garantías del debido proceso legal. Opinión Consultiva OC-16/99 de 1 de octubre de 1999. Serie A No. 16, </w:t>
      </w:r>
      <w:r w:rsidR="009706CC" w:rsidRPr="00C07A74">
        <w:rPr>
          <w:rFonts w:ascii="Cambria" w:hAnsi="Cambria" w:cs="Arial"/>
          <w:bCs/>
          <w:sz w:val="16"/>
          <w:szCs w:val="16"/>
          <w:u w:color="000000"/>
          <w:lang w:val="es-ES_tradnl" w:eastAsia="es-ES"/>
        </w:rPr>
        <w:t>párr.</w:t>
      </w:r>
      <w:r w:rsidRPr="00C07A74">
        <w:rPr>
          <w:rFonts w:ascii="Cambria" w:hAnsi="Cambria" w:cs="Arial"/>
          <w:bCs/>
          <w:sz w:val="16"/>
          <w:szCs w:val="16"/>
          <w:u w:color="000000"/>
          <w:lang w:val="es-ES_tradnl" w:eastAsia="es-ES"/>
        </w:rPr>
        <w:t xml:space="preserve"> 81.</w:t>
      </w:r>
    </w:p>
  </w:footnote>
  <w:footnote w:id="52">
    <w:p w14:paraId="7A2864C9" w14:textId="77777777" w:rsidR="00540E3D" w:rsidRPr="00C07A74" w:rsidRDefault="00540E3D" w:rsidP="00540E3D">
      <w:pPr>
        <w:pStyle w:val="FootnoteText"/>
        <w:spacing w:after="0" w:line="240" w:lineRule="auto"/>
        <w:jc w:val="both"/>
        <w:rPr>
          <w:rFonts w:ascii="Cambria" w:hAnsi="Cambria"/>
          <w:sz w:val="16"/>
          <w:szCs w:val="16"/>
          <w:lang w:val="es-ES_tradnl"/>
        </w:rPr>
      </w:pPr>
      <w:r w:rsidRPr="00C07A74">
        <w:rPr>
          <w:rStyle w:val="FootnoteReference"/>
          <w:rFonts w:ascii="Cambria" w:hAnsi="Cambria" w:cs="Arial"/>
          <w:sz w:val="16"/>
          <w:szCs w:val="16"/>
          <w:lang w:val="es-ES_tradnl"/>
        </w:rPr>
        <w:footnoteRef/>
      </w:r>
      <w:r w:rsidRPr="00C07A74">
        <w:rPr>
          <w:rFonts w:ascii="Cambria" w:hAnsi="Cambria" w:cs="Arial"/>
          <w:sz w:val="16"/>
          <w:szCs w:val="16"/>
          <w:lang w:val="es-ES_tradnl"/>
        </w:rPr>
        <w:t xml:space="preserve"> American Bar </w:t>
      </w:r>
      <w:proofErr w:type="spellStart"/>
      <w:r w:rsidRPr="00C07A74">
        <w:rPr>
          <w:rFonts w:ascii="Cambria" w:hAnsi="Cambria" w:cs="Arial"/>
          <w:sz w:val="16"/>
          <w:szCs w:val="16"/>
          <w:lang w:val="es-ES_tradnl"/>
        </w:rPr>
        <w:t>Association</w:t>
      </w:r>
      <w:proofErr w:type="spellEnd"/>
      <w:r w:rsidRPr="00C07A74">
        <w:rPr>
          <w:rFonts w:ascii="Cambria" w:hAnsi="Cambria" w:cs="Arial"/>
          <w:sz w:val="16"/>
          <w:szCs w:val="16"/>
          <w:lang w:val="es-ES_tradnl"/>
        </w:rPr>
        <w:t xml:space="preserve">, </w:t>
      </w:r>
      <w:proofErr w:type="spellStart"/>
      <w:r w:rsidRPr="00C07A74">
        <w:rPr>
          <w:rFonts w:ascii="Cambria" w:hAnsi="Cambria" w:cs="Arial"/>
          <w:i/>
          <w:iCs/>
          <w:sz w:val="16"/>
          <w:szCs w:val="16"/>
          <w:lang w:val="es-ES_tradnl"/>
        </w:rPr>
        <w:t>Guidelines</w:t>
      </w:r>
      <w:proofErr w:type="spellEnd"/>
      <w:r w:rsidRPr="00C07A74">
        <w:rPr>
          <w:rFonts w:ascii="Cambria" w:hAnsi="Cambria" w:cs="Arial"/>
          <w:i/>
          <w:iCs/>
          <w:sz w:val="16"/>
          <w:szCs w:val="16"/>
          <w:lang w:val="es-ES_tradnl"/>
        </w:rPr>
        <w:t xml:space="preserve"> </w:t>
      </w:r>
      <w:proofErr w:type="spellStart"/>
      <w:r w:rsidRPr="00C07A74">
        <w:rPr>
          <w:rFonts w:ascii="Cambria" w:hAnsi="Cambria" w:cs="Arial"/>
          <w:i/>
          <w:iCs/>
          <w:sz w:val="16"/>
          <w:szCs w:val="16"/>
          <w:lang w:val="es-ES_tradnl"/>
        </w:rPr>
        <w:t>for</w:t>
      </w:r>
      <w:proofErr w:type="spellEnd"/>
      <w:r w:rsidRPr="00C07A74">
        <w:rPr>
          <w:rFonts w:ascii="Cambria" w:hAnsi="Cambria" w:cs="Arial"/>
          <w:i/>
          <w:iCs/>
          <w:sz w:val="16"/>
          <w:szCs w:val="16"/>
          <w:lang w:val="es-ES_tradnl"/>
        </w:rPr>
        <w:t xml:space="preserve"> </w:t>
      </w:r>
      <w:proofErr w:type="spellStart"/>
      <w:r w:rsidRPr="00C07A74">
        <w:rPr>
          <w:rFonts w:ascii="Cambria" w:hAnsi="Cambria" w:cs="Arial"/>
          <w:i/>
          <w:iCs/>
          <w:sz w:val="16"/>
          <w:szCs w:val="16"/>
          <w:lang w:val="es-ES_tradnl"/>
        </w:rPr>
        <w:t>the</w:t>
      </w:r>
      <w:proofErr w:type="spellEnd"/>
      <w:r w:rsidRPr="00C07A74">
        <w:rPr>
          <w:rFonts w:ascii="Cambria" w:hAnsi="Cambria" w:cs="Arial"/>
          <w:i/>
          <w:iCs/>
          <w:sz w:val="16"/>
          <w:szCs w:val="16"/>
          <w:lang w:val="es-ES_tradnl"/>
        </w:rPr>
        <w:t xml:space="preserve"> </w:t>
      </w:r>
      <w:proofErr w:type="spellStart"/>
      <w:r w:rsidRPr="00C07A74">
        <w:rPr>
          <w:rFonts w:ascii="Cambria" w:hAnsi="Cambria" w:cs="Arial"/>
          <w:i/>
          <w:iCs/>
          <w:sz w:val="16"/>
          <w:szCs w:val="16"/>
          <w:lang w:val="es-ES_tradnl"/>
        </w:rPr>
        <w:t>Appointment</w:t>
      </w:r>
      <w:proofErr w:type="spellEnd"/>
      <w:r w:rsidRPr="00C07A74">
        <w:rPr>
          <w:rFonts w:ascii="Cambria" w:hAnsi="Cambria" w:cs="Arial"/>
          <w:i/>
          <w:iCs/>
          <w:sz w:val="16"/>
          <w:szCs w:val="16"/>
          <w:lang w:val="es-ES_tradnl"/>
        </w:rPr>
        <w:t xml:space="preserve"> and Performance of Defense </w:t>
      </w:r>
      <w:proofErr w:type="spellStart"/>
      <w:r w:rsidRPr="00C07A74">
        <w:rPr>
          <w:rFonts w:ascii="Cambria" w:hAnsi="Cambria" w:cs="Arial"/>
          <w:i/>
          <w:iCs/>
          <w:sz w:val="16"/>
          <w:szCs w:val="16"/>
          <w:lang w:val="es-ES_tradnl"/>
        </w:rPr>
        <w:t>Counsel</w:t>
      </w:r>
      <w:proofErr w:type="spellEnd"/>
      <w:r w:rsidRPr="00C07A74">
        <w:rPr>
          <w:rFonts w:ascii="Cambria" w:hAnsi="Cambria" w:cs="Arial"/>
          <w:i/>
          <w:iCs/>
          <w:sz w:val="16"/>
          <w:szCs w:val="16"/>
          <w:lang w:val="es-ES_tradnl"/>
        </w:rPr>
        <w:t xml:space="preserve"> in </w:t>
      </w:r>
      <w:proofErr w:type="spellStart"/>
      <w:r w:rsidRPr="00C07A74">
        <w:rPr>
          <w:rFonts w:ascii="Cambria" w:hAnsi="Cambria" w:cs="Arial"/>
          <w:i/>
          <w:iCs/>
          <w:sz w:val="16"/>
          <w:szCs w:val="16"/>
          <w:lang w:val="es-ES_tradnl"/>
        </w:rPr>
        <w:t>Death</w:t>
      </w:r>
      <w:proofErr w:type="spellEnd"/>
      <w:r w:rsidRPr="00C07A74">
        <w:rPr>
          <w:rFonts w:ascii="Cambria" w:hAnsi="Cambria" w:cs="Arial"/>
          <w:i/>
          <w:iCs/>
          <w:sz w:val="16"/>
          <w:szCs w:val="16"/>
          <w:lang w:val="es-ES_tradnl"/>
        </w:rPr>
        <w:t xml:space="preserve"> </w:t>
      </w:r>
      <w:proofErr w:type="spellStart"/>
      <w:r w:rsidRPr="00C07A74">
        <w:rPr>
          <w:rFonts w:ascii="Cambria" w:hAnsi="Cambria" w:cs="Arial"/>
          <w:i/>
          <w:iCs/>
          <w:sz w:val="16"/>
          <w:szCs w:val="16"/>
          <w:lang w:val="es-ES_tradnl"/>
        </w:rPr>
        <w:t>Penalty</w:t>
      </w:r>
      <w:proofErr w:type="spellEnd"/>
      <w:r w:rsidRPr="00C07A74">
        <w:rPr>
          <w:rFonts w:ascii="Cambria" w:hAnsi="Cambria" w:cs="Arial"/>
          <w:i/>
          <w:iCs/>
          <w:sz w:val="16"/>
          <w:szCs w:val="16"/>
          <w:lang w:val="es-ES_tradnl"/>
        </w:rPr>
        <w:t xml:space="preserve"> Cases</w:t>
      </w:r>
      <w:r w:rsidRPr="00C07A74">
        <w:rPr>
          <w:rFonts w:ascii="Cambria" w:hAnsi="Cambria" w:cs="Arial"/>
          <w:sz w:val="16"/>
          <w:szCs w:val="16"/>
          <w:lang w:val="es-ES_tradnl"/>
        </w:rPr>
        <w:t xml:space="preserve"> (</w:t>
      </w:r>
      <w:proofErr w:type="spellStart"/>
      <w:r w:rsidRPr="00C07A74">
        <w:rPr>
          <w:rFonts w:ascii="Cambria" w:hAnsi="Cambria" w:cs="Arial"/>
          <w:sz w:val="16"/>
          <w:szCs w:val="16"/>
          <w:lang w:val="es-ES_tradnl"/>
        </w:rPr>
        <w:t>Revised</w:t>
      </w:r>
      <w:proofErr w:type="spellEnd"/>
      <w:r w:rsidRPr="00C07A74">
        <w:rPr>
          <w:rFonts w:ascii="Cambria" w:hAnsi="Cambria" w:cs="Arial"/>
          <w:sz w:val="16"/>
          <w:szCs w:val="16"/>
          <w:lang w:val="es-ES_tradnl"/>
        </w:rPr>
        <w:t xml:space="preserve"> </w:t>
      </w:r>
      <w:proofErr w:type="spellStart"/>
      <w:r w:rsidRPr="00C07A74">
        <w:rPr>
          <w:rFonts w:ascii="Cambria" w:hAnsi="Cambria" w:cs="Arial"/>
          <w:sz w:val="16"/>
          <w:szCs w:val="16"/>
          <w:lang w:val="es-ES_tradnl"/>
        </w:rPr>
        <w:t>Edition</w:t>
      </w:r>
      <w:proofErr w:type="spellEnd"/>
      <w:r w:rsidRPr="00C07A74">
        <w:rPr>
          <w:rFonts w:ascii="Cambria" w:hAnsi="Cambria" w:cs="Arial"/>
          <w:sz w:val="16"/>
          <w:szCs w:val="16"/>
          <w:lang w:val="es-ES_tradnl"/>
        </w:rPr>
        <w:t>) (</w:t>
      </w:r>
      <w:r w:rsidR="009706CC" w:rsidRPr="00C07A74">
        <w:rPr>
          <w:rFonts w:ascii="Cambria" w:hAnsi="Cambria" w:cs="Arial"/>
          <w:sz w:val="16"/>
          <w:szCs w:val="16"/>
          <w:lang w:val="es-ES_tradnl"/>
        </w:rPr>
        <w:t>febrero</w:t>
      </w:r>
      <w:r w:rsidRPr="00C07A74">
        <w:rPr>
          <w:rFonts w:ascii="Cambria" w:hAnsi="Cambria" w:cs="Arial"/>
          <w:sz w:val="16"/>
          <w:szCs w:val="16"/>
          <w:lang w:val="es-ES_tradnl"/>
        </w:rPr>
        <w:t>, 2004), Directriz 10.6B “Obligaciones Adicionales de los Abogados que Representan a un Ciuda</w:t>
      </w:r>
      <w:r w:rsidR="009706CC">
        <w:rPr>
          <w:rFonts w:ascii="Cambria" w:hAnsi="Cambria" w:cs="Arial"/>
          <w:sz w:val="16"/>
          <w:szCs w:val="16"/>
          <w:lang w:val="es-ES_tradnl"/>
        </w:rPr>
        <w:t>da</w:t>
      </w:r>
      <w:r w:rsidRPr="00C07A74">
        <w:rPr>
          <w:rFonts w:ascii="Cambria" w:hAnsi="Cambria" w:cs="Arial"/>
          <w:sz w:val="16"/>
          <w:szCs w:val="16"/>
          <w:lang w:val="es-ES_tradnl"/>
        </w:rPr>
        <w:t>no Extranjero.”</w:t>
      </w:r>
    </w:p>
  </w:footnote>
  <w:footnote w:id="53">
    <w:p w14:paraId="7AAF5B04" w14:textId="77777777" w:rsidR="00540E3D" w:rsidRPr="00C07A74" w:rsidRDefault="00540E3D" w:rsidP="00540E3D">
      <w:pPr>
        <w:pStyle w:val="FootnoteText"/>
        <w:spacing w:after="0" w:line="240" w:lineRule="auto"/>
        <w:jc w:val="both"/>
        <w:rPr>
          <w:rFonts w:ascii="Cambria" w:hAnsi="Cambria"/>
          <w:sz w:val="16"/>
          <w:szCs w:val="16"/>
          <w:lang w:val="es-ES_tradnl"/>
        </w:rPr>
      </w:pPr>
      <w:r w:rsidRPr="00C07A74">
        <w:rPr>
          <w:rStyle w:val="FootnoteReference"/>
          <w:rFonts w:ascii="Cambria" w:hAnsi="Cambria"/>
          <w:sz w:val="16"/>
          <w:szCs w:val="16"/>
          <w:lang w:val="es-ES_tradnl"/>
        </w:rPr>
        <w:footnoteRef/>
      </w:r>
      <w:r w:rsidRPr="00C07A74">
        <w:rPr>
          <w:rFonts w:ascii="Cambria" w:hAnsi="Cambria"/>
          <w:sz w:val="16"/>
          <w:szCs w:val="16"/>
          <w:lang w:val="es-ES_tradnl"/>
        </w:rPr>
        <w:t xml:space="preserve"> CIDH, La pena de muerte en el Sistema Interamericano de Derechos Humanos: de restricciones a abolición, OEA/</w:t>
      </w:r>
      <w:proofErr w:type="spellStart"/>
      <w:r w:rsidRPr="00C07A74">
        <w:rPr>
          <w:rFonts w:ascii="Cambria" w:hAnsi="Cambria"/>
          <w:sz w:val="16"/>
          <w:szCs w:val="16"/>
          <w:lang w:val="es-ES_tradnl"/>
        </w:rPr>
        <w:t>Ser.L</w:t>
      </w:r>
      <w:proofErr w:type="spellEnd"/>
      <w:r w:rsidRPr="00C07A74">
        <w:rPr>
          <w:rFonts w:ascii="Cambria" w:hAnsi="Cambria"/>
          <w:sz w:val="16"/>
          <w:szCs w:val="16"/>
          <w:lang w:val="es-ES_tradnl"/>
        </w:rPr>
        <w:t>/V/II.Doc. 68, 31 de diciembre de 2011, p. 131.</w:t>
      </w:r>
    </w:p>
  </w:footnote>
  <w:footnote w:id="54">
    <w:p w14:paraId="3443AD27" w14:textId="77777777" w:rsidR="00540E3D" w:rsidRPr="00C07A74" w:rsidRDefault="00540E3D" w:rsidP="00540E3D">
      <w:pPr>
        <w:pStyle w:val="FootnoteText"/>
        <w:spacing w:after="0" w:line="240" w:lineRule="auto"/>
        <w:jc w:val="both"/>
        <w:rPr>
          <w:rFonts w:ascii="Cambria" w:hAnsi="Cambria"/>
          <w:sz w:val="16"/>
          <w:szCs w:val="16"/>
          <w:lang w:val="es-ES_tradnl"/>
        </w:rPr>
      </w:pPr>
      <w:r w:rsidRPr="00C07A74">
        <w:rPr>
          <w:rStyle w:val="FootnoteReference"/>
          <w:rFonts w:ascii="Cambria" w:hAnsi="Cambria"/>
          <w:sz w:val="16"/>
          <w:szCs w:val="16"/>
          <w:lang w:val="es-ES_tradnl"/>
        </w:rPr>
        <w:footnoteRef/>
      </w:r>
      <w:r w:rsidRPr="00C07A74">
        <w:rPr>
          <w:rFonts w:ascii="Cambria" w:hAnsi="Cambria"/>
          <w:sz w:val="16"/>
          <w:szCs w:val="16"/>
          <w:lang w:val="es-ES_tradnl"/>
        </w:rPr>
        <w:t xml:space="preserve"> CIDH, La pena de muerte en el Sistema Interamericano de Derechos Humanos: de restricciones a abolición, OEA/</w:t>
      </w:r>
      <w:proofErr w:type="spellStart"/>
      <w:r w:rsidRPr="00C07A74">
        <w:rPr>
          <w:rFonts w:ascii="Cambria" w:hAnsi="Cambria"/>
          <w:sz w:val="16"/>
          <w:szCs w:val="16"/>
          <w:lang w:val="es-ES_tradnl"/>
        </w:rPr>
        <w:t>Ser.L</w:t>
      </w:r>
      <w:proofErr w:type="spellEnd"/>
      <w:r w:rsidRPr="00C07A74">
        <w:rPr>
          <w:rFonts w:ascii="Cambria" w:hAnsi="Cambria"/>
          <w:sz w:val="16"/>
          <w:szCs w:val="16"/>
          <w:lang w:val="es-ES_tradnl"/>
        </w:rPr>
        <w:t>/V/II.Doc. 68, 31 de diciembre de 2011, p. 131.</w:t>
      </w:r>
    </w:p>
  </w:footnote>
  <w:footnote w:id="55">
    <w:p w14:paraId="23567F05" w14:textId="77777777" w:rsidR="00540E3D" w:rsidRPr="00C07A74" w:rsidRDefault="00540E3D" w:rsidP="00540E3D">
      <w:pPr>
        <w:pStyle w:val="FootnoteText"/>
        <w:spacing w:after="0" w:line="240" w:lineRule="auto"/>
        <w:jc w:val="both"/>
        <w:rPr>
          <w:rFonts w:ascii="Cambria" w:hAnsi="Cambria"/>
          <w:sz w:val="16"/>
          <w:szCs w:val="16"/>
          <w:lang w:val="es-ES_tradnl"/>
        </w:rPr>
      </w:pPr>
      <w:r w:rsidRPr="00C07A74">
        <w:rPr>
          <w:rStyle w:val="FootnoteReference"/>
          <w:rFonts w:ascii="Cambria" w:hAnsi="Cambria"/>
          <w:sz w:val="16"/>
          <w:szCs w:val="16"/>
          <w:lang w:val="es-ES_tradnl"/>
        </w:rPr>
        <w:footnoteRef/>
      </w:r>
      <w:r w:rsidRPr="00C07A74">
        <w:rPr>
          <w:rFonts w:ascii="Cambria" w:hAnsi="Cambria"/>
          <w:sz w:val="16"/>
          <w:szCs w:val="16"/>
          <w:lang w:val="es-ES_tradnl"/>
        </w:rPr>
        <w:t xml:space="preserve"> CIDH, Informe No. 79/15, Caso 12.994. Fondo (Publicación). Bernardo Aban Tercero. Estados Unidos. 28 de octubre de 2015, </w:t>
      </w:r>
      <w:r w:rsidR="009706CC" w:rsidRPr="00C07A74">
        <w:rPr>
          <w:rFonts w:ascii="Cambria" w:hAnsi="Cambria"/>
          <w:sz w:val="16"/>
          <w:szCs w:val="16"/>
          <w:lang w:val="es-ES_tradnl"/>
        </w:rPr>
        <w:t>párr.</w:t>
      </w:r>
      <w:r w:rsidRPr="00C07A74">
        <w:rPr>
          <w:rFonts w:ascii="Cambria" w:hAnsi="Cambria"/>
          <w:sz w:val="16"/>
          <w:szCs w:val="16"/>
          <w:lang w:val="es-ES_tradnl"/>
        </w:rPr>
        <w:t xml:space="preserve"> 111.</w:t>
      </w:r>
    </w:p>
  </w:footnote>
  <w:footnote w:id="56">
    <w:p w14:paraId="4853B217" w14:textId="77777777" w:rsidR="00540E3D" w:rsidRPr="00C07A74" w:rsidRDefault="00540E3D" w:rsidP="00540E3D">
      <w:pPr>
        <w:pStyle w:val="FootnoteText"/>
        <w:spacing w:after="0" w:line="240" w:lineRule="auto"/>
        <w:jc w:val="both"/>
        <w:rPr>
          <w:rFonts w:ascii="Cambria" w:hAnsi="Cambria"/>
          <w:sz w:val="16"/>
          <w:szCs w:val="16"/>
          <w:lang w:val="es-ES_tradnl"/>
        </w:rPr>
      </w:pPr>
      <w:r w:rsidRPr="00C07A74">
        <w:rPr>
          <w:rStyle w:val="FootnoteReference"/>
          <w:rFonts w:ascii="Cambria" w:hAnsi="Cambria"/>
          <w:sz w:val="16"/>
          <w:szCs w:val="16"/>
          <w:lang w:val="es-ES_tradnl"/>
        </w:rPr>
        <w:footnoteRef/>
      </w:r>
      <w:r w:rsidRPr="00C07A74">
        <w:rPr>
          <w:rFonts w:ascii="Cambria" w:hAnsi="Cambria"/>
          <w:sz w:val="16"/>
          <w:szCs w:val="16"/>
          <w:lang w:val="es-ES_tradnl"/>
        </w:rPr>
        <w:t xml:space="preserve"> CIDH, Informe No. 90/09, Caso 12.644, Admisibilidad y Fondo (Publicación), </w:t>
      </w:r>
      <w:proofErr w:type="spellStart"/>
      <w:r w:rsidRPr="00C07A74">
        <w:rPr>
          <w:rFonts w:ascii="Cambria" w:hAnsi="Cambria"/>
          <w:sz w:val="16"/>
          <w:szCs w:val="16"/>
          <w:lang w:val="es-ES_tradnl"/>
        </w:rPr>
        <w:t>Medellín</w:t>
      </w:r>
      <w:proofErr w:type="spellEnd"/>
      <w:r w:rsidRPr="00C07A74">
        <w:rPr>
          <w:rFonts w:ascii="Cambria" w:hAnsi="Cambria"/>
          <w:sz w:val="16"/>
          <w:szCs w:val="16"/>
          <w:lang w:val="es-ES_tradnl"/>
        </w:rPr>
        <w:t xml:space="preserve">, </w:t>
      </w:r>
      <w:proofErr w:type="spellStart"/>
      <w:r w:rsidRPr="00C07A74">
        <w:rPr>
          <w:rFonts w:ascii="Cambria" w:hAnsi="Cambria"/>
          <w:sz w:val="16"/>
          <w:szCs w:val="16"/>
          <w:lang w:val="es-ES_tradnl"/>
        </w:rPr>
        <w:t>Ramírez</w:t>
      </w:r>
      <w:proofErr w:type="spellEnd"/>
      <w:r w:rsidRPr="00C07A74">
        <w:rPr>
          <w:rFonts w:ascii="Cambria" w:hAnsi="Cambria"/>
          <w:sz w:val="16"/>
          <w:szCs w:val="16"/>
          <w:lang w:val="es-ES_tradnl"/>
        </w:rPr>
        <w:t xml:space="preserve"> </w:t>
      </w:r>
      <w:proofErr w:type="spellStart"/>
      <w:r w:rsidRPr="00C07A74">
        <w:rPr>
          <w:rFonts w:ascii="Cambria" w:hAnsi="Cambria"/>
          <w:sz w:val="16"/>
          <w:szCs w:val="16"/>
          <w:lang w:val="es-ES_tradnl"/>
        </w:rPr>
        <w:t>Cárdenas</w:t>
      </w:r>
      <w:proofErr w:type="spellEnd"/>
      <w:r w:rsidRPr="00C07A74">
        <w:rPr>
          <w:rFonts w:ascii="Cambria" w:hAnsi="Cambria"/>
          <w:sz w:val="16"/>
          <w:szCs w:val="16"/>
          <w:lang w:val="es-ES_tradnl"/>
        </w:rPr>
        <w:t xml:space="preserve"> y Leal </w:t>
      </w:r>
      <w:proofErr w:type="spellStart"/>
      <w:r w:rsidRPr="00C07A74">
        <w:rPr>
          <w:rFonts w:ascii="Cambria" w:hAnsi="Cambria"/>
          <w:sz w:val="16"/>
          <w:szCs w:val="16"/>
          <w:lang w:val="es-ES_tradnl"/>
        </w:rPr>
        <w:t>García</w:t>
      </w:r>
      <w:proofErr w:type="spellEnd"/>
      <w:r w:rsidRPr="00C07A74">
        <w:rPr>
          <w:rFonts w:ascii="Cambria" w:hAnsi="Cambria"/>
          <w:sz w:val="16"/>
          <w:szCs w:val="16"/>
          <w:lang w:val="es-ES_tradnl"/>
        </w:rPr>
        <w:t xml:space="preserve">, Estados Unidos, 7 de agosto de 2009, </w:t>
      </w:r>
      <w:r w:rsidR="009706CC" w:rsidRPr="00C07A74">
        <w:rPr>
          <w:rFonts w:ascii="Cambria" w:hAnsi="Cambria"/>
          <w:sz w:val="16"/>
          <w:szCs w:val="16"/>
          <w:lang w:val="es-ES_tradnl"/>
        </w:rPr>
        <w:t>párr.</w:t>
      </w:r>
      <w:r w:rsidRPr="00C07A74">
        <w:rPr>
          <w:rFonts w:ascii="Cambria" w:hAnsi="Cambria"/>
          <w:sz w:val="16"/>
          <w:szCs w:val="16"/>
          <w:lang w:val="es-ES_tradnl"/>
        </w:rPr>
        <w:t xml:space="preserve"> 134.</w:t>
      </w:r>
    </w:p>
  </w:footnote>
  <w:footnote w:id="57">
    <w:p w14:paraId="4DE3FCF0" w14:textId="77777777" w:rsidR="00540E3D" w:rsidRPr="00C07A74" w:rsidRDefault="00540E3D" w:rsidP="00540E3D">
      <w:pPr>
        <w:pStyle w:val="FootnoteText"/>
        <w:spacing w:after="0" w:line="240" w:lineRule="auto"/>
        <w:jc w:val="both"/>
        <w:rPr>
          <w:rFonts w:ascii="Cambria" w:hAnsi="Cambria"/>
          <w:sz w:val="16"/>
          <w:szCs w:val="16"/>
          <w:lang w:val="es-ES_tradnl"/>
        </w:rPr>
      </w:pPr>
      <w:r w:rsidRPr="00C07A74">
        <w:rPr>
          <w:rStyle w:val="FootnoteReference"/>
          <w:rFonts w:ascii="Cambria" w:hAnsi="Cambria"/>
          <w:sz w:val="16"/>
          <w:szCs w:val="16"/>
          <w:lang w:val="es-ES_tradnl"/>
        </w:rPr>
        <w:footnoteRef/>
      </w:r>
      <w:r w:rsidRPr="00C07A74">
        <w:rPr>
          <w:rFonts w:ascii="Cambria" w:hAnsi="Cambria"/>
          <w:sz w:val="16"/>
          <w:szCs w:val="16"/>
          <w:lang w:val="es-ES_tradnl"/>
        </w:rPr>
        <w:t xml:space="preserve"> </w:t>
      </w:r>
      <w:r w:rsidRPr="00C07A74">
        <w:rPr>
          <w:rFonts w:ascii="Cambria" w:hAnsi="Cambria"/>
          <w:position w:val="4"/>
          <w:sz w:val="16"/>
          <w:szCs w:val="16"/>
          <w:lang w:val="es-ES_tradnl"/>
        </w:rPr>
        <w:t xml:space="preserve"> </w:t>
      </w:r>
      <w:r w:rsidRPr="00C07A74">
        <w:rPr>
          <w:rFonts w:ascii="Cambria" w:hAnsi="Cambria"/>
          <w:sz w:val="16"/>
          <w:szCs w:val="16"/>
          <w:lang w:val="es-ES_tradnl"/>
        </w:rPr>
        <w:t xml:space="preserve">CIDH, Informe No. 90/09, Caso 12.644, Admisibilidad y Fondo (Publicación), </w:t>
      </w:r>
      <w:proofErr w:type="spellStart"/>
      <w:r w:rsidRPr="00C07A74">
        <w:rPr>
          <w:rFonts w:ascii="Cambria" w:hAnsi="Cambria"/>
          <w:sz w:val="16"/>
          <w:szCs w:val="16"/>
          <w:lang w:val="es-ES_tradnl"/>
        </w:rPr>
        <w:t>Medellín</w:t>
      </w:r>
      <w:proofErr w:type="spellEnd"/>
      <w:r w:rsidRPr="00C07A74">
        <w:rPr>
          <w:rFonts w:ascii="Cambria" w:hAnsi="Cambria"/>
          <w:sz w:val="16"/>
          <w:szCs w:val="16"/>
          <w:lang w:val="es-ES_tradnl"/>
        </w:rPr>
        <w:t xml:space="preserve">, </w:t>
      </w:r>
      <w:proofErr w:type="spellStart"/>
      <w:r w:rsidRPr="00C07A74">
        <w:rPr>
          <w:rFonts w:ascii="Cambria" w:hAnsi="Cambria"/>
          <w:sz w:val="16"/>
          <w:szCs w:val="16"/>
          <w:lang w:val="es-ES_tradnl"/>
        </w:rPr>
        <w:t>Ramírez</w:t>
      </w:r>
      <w:proofErr w:type="spellEnd"/>
      <w:r w:rsidRPr="00C07A74">
        <w:rPr>
          <w:rFonts w:ascii="Cambria" w:hAnsi="Cambria"/>
          <w:sz w:val="16"/>
          <w:szCs w:val="16"/>
          <w:lang w:val="es-ES_tradnl"/>
        </w:rPr>
        <w:t xml:space="preserve"> </w:t>
      </w:r>
      <w:proofErr w:type="spellStart"/>
      <w:r w:rsidRPr="00C07A74">
        <w:rPr>
          <w:rFonts w:ascii="Cambria" w:hAnsi="Cambria"/>
          <w:sz w:val="16"/>
          <w:szCs w:val="16"/>
          <w:lang w:val="es-ES_tradnl"/>
        </w:rPr>
        <w:t>Cárdenas</w:t>
      </w:r>
      <w:proofErr w:type="spellEnd"/>
      <w:r w:rsidRPr="00C07A74">
        <w:rPr>
          <w:rFonts w:ascii="Cambria" w:hAnsi="Cambria"/>
          <w:sz w:val="16"/>
          <w:szCs w:val="16"/>
          <w:lang w:val="es-ES_tradnl"/>
        </w:rPr>
        <w:t xml:space="preserve"> y Leal </w:t>
      </w:r>
      <w:proofErr w:type="spellStart"/>
      <w:r w:rsidRPr="00C07A74">
        <w:rPr>
          <w:rFonts w:ascii="Cambria" w:hAnsi="Cambria"/>
          <w:sz w:val="16"/>
          <w:szCs w:val="16"/>
          <w:lang w:val="es-ES_tradnl"/>
        </w:rPr>
        <w:t>García</w:t>
      </w:r>
      <w:proofErr w:type="spellEnd"/>
      <w:r w:rsidRPr="00C07A74">
        <w:rPr>
          <w:rFonts w:ascii="Cambria" w:hAnsi="Cambria"/>
          <w:sz w:val="16"/>
          <w:szCs w:val="16"/>
          <w:lang w:val="es-ES_tradnl"/>
        </w:rPr>
        <w:t xml:space="preserve">, Estados Unidos, 7 de agosto de 2009, </w:t>
      </w:r>
      <w:r w:rsidR="009706CC" w:rsidRPr="00C07A74">
        <w:rPr>
          <w:rFonts w:ascii="Cambria" w:hAnsi="Cambria"/>
          <w:sz w:val="16"/>
          <w:szCs w:val="16"/>
          <w:lang w:val="es-ES_tradnl"/>
        </w:rPr>
        <w:t>párr.</w:t>
      </w:r>
      <w:r w:rsidRPr="00C07A74">
        <w:rPr>
          <w:rFonts w:ascii="Cambria" w:hAnsi="Cambria"/>
          <w:sz w:val="16"/>
          <w:szCs w:val="16"/>
          <w:lang w:val="es-ES_tradnl"/>
        </w:rPr>
        <w:t xml:space="preserve"> 134.</w:t>
      </w:r>
    </w:p>
  </w:footnote>
  <w:footnote w:id="58">
    <w:p w14:paraId="3E6B6232" w14:textId="77777777" w:rsidR="00540E3D" w:rsidRPr="001D36DC" w:rsidRDefault="00540E3D" w:rsidP="00540E3D">
      <w:pPr>
        <w:pStyle w:val="FootnoteText"/>
        <w:spacing w:after="0" w:line="240" w:lineRule="auto"/>
        <w:jc w:val="both"/>
        <w:rPr>
          <w:rFonts w:ascii="Cambria" w:hAnsi="Cambria"/>
          <w:sz w:val="16"/>
          <w:szCs w:val="16"/>
          <w:lang w:val="en-US"/>
        </w:rPr>
      </w:pPr>
      <w:r w:rsidRPr="00C07A74">
        <w:rPr>
          <w:rStyle w:val="FootnoteReference"/>
          <w:rFonts w:ascii="Cambria" w:hAnsi="Cambria"/>
          <w:sz w:val="16"/>
          <w:szCs w:val="16"/>
          <w:lang w:val="es-ES_tradnl"/>
        </w:rPr>
        <w:footnoteRef/>
      </w:r>
      <w:r w:rsidRPr="001D36DC">
        <w:rPr>
          <w:rFonts w:ascii="Cambria" w:hAnsi="Cambria"/>
          <w:sz w:val="16"/>
          <w:szCs w:val="16"/>
          <w:lang w:val="en-US"/>
        </w:rPr>
        <w:t xml:space="preserve"> American Bar Association, Guidelines for the Appointment and Performance of Defense Counsel in Death Penalty Casos (Revised editions) (February 2003), </w:t>
      </w:r>
      <w:proofErr w:type="spellStart"/>
      <w:r w:rsidRPr="001D36DC">
        <w:rPr>
          <w:rFonts w:ascii="Cambria" w:hAnsi="Cambria"/>
          <w:sz w:val="16"/>
          <w:szCs w:val="16"/>
          <w:lang w:val="en-US"/>
        </w:rPr>
        <w:t>Directriz</w:t>
      </w:r>
      <w:proofErr w:type="spellEnd"/>
      <w:r w:rsidRPr="001D36DC">
        <w:rPr>
          <w:rFonts w:ascii="Cambria" w:hAnsi="Cambria"/>
          <w:sz w:val="16"/>
          <w:szCs w:val="16"/>
          <w:lang w:val="en-US"/>
        </w:rPr>
        <w:t xml:space="preserve"> 10.7 – </w:t>
      </w:r>
      <w:proofErr w:type="spellStart"/>
      <w:r w:rsidRPr="001D36DC">
        <w:rPr>
          <w:rFonts w:ascii="Cambria" w:hAnsi="Cambria"/>
          <w:sz w:val="16"/>
          <w:szCs w:val="16"/>
          <w:lang w:val="en-US"/>
        </w:rPr>
        <w:t>Investigación</w:t>
      </w:r>
      <w:proofErr w:type="spellEnd"/>
      <w:r w:rsidRPr="001D36DC">
        <w:rPr>
          <w:rFonts w:ascii="Cambria" w:hAnsi="Cambria"/>
          <w:sz w:val="16"/>
          <w:szCs w:val="16"/>
          <w:lang w:val="en-US"/>
        </w:rPr>
        <w:t xml:space="preserve">. disponible </w:t>
      </w:r>
      <w:proofErr w:type="spellStart"/>
      <w:r w:rsidRPr="001D36DC">
        <w:rPr>
          <w:rFonts w:ascii="Cambria" w:hAnsi="Cambria"/>
          <w:sz w:val="16"/>
          <w:szCs w:val="16"/>
          <w:lang w:val="en-US"/>
        </w:rPr>
        <w:t>en</w:t>
      </w:r>
      <w:proofErr w:type="spellEnd"/>
      <w:r w:rsidRPr="001D36DC">
        <w:rPr>
          <w:rFonts w:ascii="Cambria" w:hAnsi="Cambria"/>
          <w:sz w:val="16"/>
          <w:szCs w:val="16"/>
          <w:lang w:val="en-US"/>
        </w:rPr>
        <w:t xml:space="preserve">: http://www.abanet.org/legalservices/downloads/ </w:t>
      </w:r>
      <w:proofErr w:type="spellStart"/>
      <w:r w:rsidRPr="001D36DC">
        <w:rPr>
          <w:rFonts w:ascii="Cambria" w:hAnsi="Cambria"/>
          <w:sz w:val="16"/>
          <w:szCs w:val="16"/>
          <w:lang w:val="en-US"/>
        </w:rPr>
        <w:t>sclaid</w:t>
      </w:r>
      <w:proofErr w:type="spellEnd"/>
      <w:r w:rsidRPr="001D36DC">
        <w:rPr>
          <w:rFonts w:ascii="Cambria" w:hAnsi="Cambria"/>
          <w:sz w:val="16"/>
          <w:szCs w:val="16"/>
          <w:lang w:val="en-US"/>
        </w:rPr>
        <w:t>/deathpenaltyguidelines.pdf.</w:t>
      </w:r>
    </w:p>
  </w:footnote>
  <w:footnote w:id="59">
    <w:p w14:paraId="38A2FE4B" w14:textId="77777777" w:rsidR="00540E3D" w:rsidRPr="001D36DC" w:rsidRDefault="00540E3D" w:rsidP="00540E3D">
      <w:pPr>
        <w:spacing w:after="0" w:line="240" w:lineRule="auto"/>
        <w:jc w:val="both"/>
        <w:rPr>
          <w:rFonts w:ascii="Cambria" w:hAnsi="Cambria"/>
          <w:sz w:val="16"/>
          <w:szCs w:val="16"/>
          <w:lang w:val="en-US"/>
        </w:rPr>
      </w:pPr>
      <w:r w:rsidRPr="00C07A74">
        <w:rPr>
          <w:rStyle w:val="FootnoteReference"/>
          <w:rFonts w:ascii="Cambria" w:hAnsi="Cambria"/>
          <w:sz w:val="16"/>
          <w:szCs w:val="16"/>
          <w:lang w:val="es-ES_tradnl"/>
        </w:rPr>
        <w:footnoteRef/>
      </w:r>
      <w:r w:rsidRPr="001D36DC">
        <w:rPr>
          <w:rFonts w:ascii="Cambria" w:hAnsi="Cambria"/>
          <w:sz w:val="16"/>
          <w:szCs w:val="16"/>
          <w:lang w:val="en-US"/>
        </w:rPr>
        <w:t xml:space="preserve"> American Bar Association, Guidelines for the Appointment and Performance of Defense Counsel in Death Penalty Casos (Revised editions) (February 2003), </w:t>
      </w:r>
      <w:proofErr w:type="spellStart"/>
      <w:r w:rsidRPr="001D36DC">
        <w:rPr>
          <w:rFonts w:ascii="Cambria" w:hAnsi="Cambria"/>
          <w:sz w:val="16"/>
          <w:szCs w:val="16"/>
          <w:lang w:val="en-US"/>
        </w:rPr>
        <w:t>Directríz</w:t>
      </w:r>
      <w:proofErr w:type="spellEnd"/>
      <w:r w:rsidRPr="001D36DC">
        <w:rPr>
          <w:rFonts w:ascii="Cambria" w:hAnsi="Cambria"/>
          <w:sz w:val="16"/>
          <w:szCs w:val="16"/>
          <w:lang w:val="en-US"/>
        </w:rPr>
        <w:t xml:space="preserve"> 10.7 – </w:t>
      </w:r>
      <w:proofErr w:type="spellStart"/>
      <w:r w:rsidRPr="001D36DC">
        <w:rPr>
          <w:rFonts w:ascii="Cambria" w:hAnsi="Cambria"/>
          <w:sz w:val="16"/>
          <w:szCs w:val="16"/>
          <w:lang w:val="en-US"/>
        </w:rPr>
        <w:t>Investigación</w:t>
      </w:r>
      <w:proofErr w:type="spellEnd"/>
      <w:r w:rsidRPr="001D36DC">
        <w:rPr>
          <w:rFonts w:ascii="Cambria" w:hAnsi="Cambria"/>
          <w:sz w:val="16"/>
          <w:szCs w:val="16"/>
          <w:lang w:val="en-US"/>
        </w:rPr>
        <w:t xml:space="preserve">, p. 82. </w:t>
      </w:r>
    </w:p>
  </w:footnote>
  <w:footnote w:id="60">
    <w:p w14:paraId="60024CD3" w14:textId="77777777" w:rsidR="00540E3D" w:rsidRPr="001D36DC" w:rsidRDefault="00540E3D" w:rsidP="00540E3D">
      <w:pPr>
        <w:pStyle w:val="FootnoteText"/>
        <w:spacing w:after="0" w:line="240" w:lineRule="auto"/>
        <w:jc w:val="both"/>
        <w:rPr>
          <w:rFonts w:ascii="Cambria" w:hAnsi="Cambria"/>
          <w:sz w:val="16"/>
          <w:szCs w:val="16"/>
          <w:lang w:val="en-US"/>
        </w:rPr>
      </w:pPr>
      <w:r w:rsidRPr="00C07A74">
        <w:rPr>
          <w:rStyle w:val="FootnoteReference"/>
          <w:rFonts w:ascii="Cambria" w:hAnsi="Cambria"/>
          <w:sz w:val="16"/>
          <w:szCs w:val="16"/>
          <w:lang w:val="es-ES_tradnl"/>
        </w:rPr>
        <w:footnoteRef/>
      </w:r>
      <w:r w:rsidRPr="001D36DC">
        <w:rPr>
          <w:rFonts w:ascii="Cambria" w:hAnsi="Cambria"/>
          <w:sz w:val="16"/>
          <w:szCs w:val="16"/>
          <w:lang w:val="en-US"/>
        </w:rPr>
        <w:t xml:space="preserve"> American Bar Association, Guidelines for the Appointment and Performance of Defense Counsel in Death Penalty Casos (Revised editions) (February 2003), </w:t>
      </w:r>
      <w:proofErr w:type="spellStart"/>
      <w:r w:rsidRPr="001D36DC">
        <w:rPr>
          <w:rFonts w:ascii="Cambria" w:hAnsi="Cambria"/>
          <w:sz w:val="16"/>
          <w:szCs w:val="16"/>
          <w:lang w:val="en-US"/>
        </w:rPr>
        <w:t>Directríz</w:t>
      </w:r>
      <w:proofErr w:type="spellEnd"/>
      <w:r w:rsidRPr="001D36DC">
        <w:rPr>
          <w:rFonts w:ascii="Cambria" w:hAnsi="Cambria"/>
          <w:sz w:val="16"/>
          <w:szCs w:val="16"/>
          <w:lang w:val="en-US"/>
        </w:rPr>
        <w:t xml:space="preserve"> 10.7 – </w:t>
      </w:r>
      <w:proofErr w:type="spellStart"/>
      <w:r w:rsidRPr="001D36DC">
        <w:rPr>
          <w:rFonts w:ascii="Cambria" w:hAnsi="Cambria"/>
          <w:sz w:val="16"/>
          <w:szCs w:val="16"/>
          <w:lang w:val="en-US"/>
        </w:rPr>
        <w:t>Investigación</w:t>
      </w:r>
      <w:proofErr w:type="spellEnd"/>
      <w:r w:rsidRPr="001D36DC">
        <w:rPr>
          <w:rFonts w:ascii="Cambria" w:hAnsi="Cambria"/>
          <w:sz w:val="16"/>
          <w:szCs w:val="16"/>
          <w:lang w:val="en-US"/>
        </w:rPr>
        <w:t xml:space="preserve">, p. 83. </w:t>
      </w:r>
    </w:p>
  </w:footnote>
  <w:footnote w:id="61">
    <w:p w14:paraId="534A22BA" w14:textId="77777777" w:rsidR="00540E3D" w:rsidRPr="00C07A74" w:rsidRDefault="00540E3D" w:rsidP="00540E3D">
      <w:pPr>
        <w:spacing w:after="0" w:line="240" w:lineRule="auto"/>
        <w:jc w:val="both"/>
        <w:rPr>
          <w:rFonts w:ascii="Cambria" w:hAnsi="Cambria"/>
          <w:sz w:val="16"/>
          <w:szCs w:val="16"/>
          <w:lang w:val="es-ES_tradnl"/>
        </w:rPr>
      </w:pPr>
      <w:r w:rsidRPr="00C07A74">
        <w:rPr>
          <w:rStyle w:val="FootnoteReference"/>
          <w:rFonts w:ascii="Cambria" w:hAnsi="Cambria"/>
          <w:sz w:val="16"/>
          <w:szCs w:val="16"/>
          <w:lang w:val="es-ES_tradnl"/>
        </w:rPr>
        <w:footnoteRef/>
      </w:r>
      <w:r w:rsidRPr="00C07A74">
        <w:rPr>
          <w:rFonts w:ascii="Cambria" w:hAnsi="Cambria"/>
          <w:sz w:val="16"/>
          <w:szCs w:val="16"/>
          <w:lang w:val="es-ES_tradnl"/>
        </w:rPr>
        <w:t xml:space="preserve"> El Artículo XVIII de la Declaración establece: Toda persona puede ocurrir a los tribunales para hacer valer sus derechos.  </w:t>
      </w:r>
      <w:proofErr w:type="gramStart"/>
      <w:r w:rsidRPr="00C07A74">
        <w:rPr>
          <w:rFonts w:ascii="Cambria" w:hAnsi="Cambria"/>
          <w:sz w:val="16"/>
          <w:szCs w:val="16"/>
          <w:lang w:val="es-ES_tradnl"/>
        </w:rPr>
        <w:t>Asimismo</w:t>
      </w:r>
      <w:proofErr w:type="gramEnd"/>
      <w:r w:rsidRPr="00C07A74">
        <w:rPr>
          <w:rFonts w:ascii="Cambria" w:hAnsi="Cambria"/>
          <w:sz w:val="16"/>
          <w:szCs w:val="16"/>
          <w:lang w:val="es-ES_tradnl"/>
        </w:rPr>
        <w:t xml:space="preserve"> debe disponer de un procedimiento sencillo y breve por el cual la justicia lo ampare contra actos de la autoridad que violen, en perjuicio suyo, alguno de los derechos fundamentales consagrados constitucionalmente.</w:t>
      </w:r>
    </w:p>
    <w:p w14:paraId="5E231EDF" w14:textId="77777777" w:rsidR="00540E3D" w:rsidRPr="00C07A74" w:rsidRDefault="00540E3D" w:rsidP="00540E3D">
      <w:pPr>
        <w:spacing w:after="0" w:line="240" w:lineRule="auto"/>
        <w:jc w:val="both"/>
        <w:rPr>
          <w:rFonts w:ascii="Cambria" w:hAnsi="Cambria"/>
          <w:sz w:val="16"/>
          <w:szCs w:val="16"/>
          <w:lang w:val="es-ES_tradnl"/>
        </w:rPr>
      </w:pPr>
      <w:r w:rsidRPr="00C07A74">
        <w:rPr>
          <w:rFonts w:ascii="Cambria" w:hAnsi="Cambria"/>
          <w:sz w:val="16"/>
          <w:szCs w:val="16"/>
          <w:lang w:val="es-ES_tradnl"/>
        </w:rPr>
        <w:t>El Artículo XXVI de la Declaración establece: Se presume que todo acusado es inocente, hasta que se pruebe que es culpable.</w:t>
      </w:r>
    </w:p>
    <w:p w14:paraId="04644109" w14:textId="77777777" w:rsidR="00540E3D" w:rsidRPr="00C07A74" w:rsidRDefault="00540E3D" w:rsidP="00540E3D">
      <w:pPr>
        <w:spacing w:after="0" w:line="240" w:lineRule="auto"/>
        <w:jc w:val="both"/>
        <w:rPr>
          <w:rFonts w:ascii="Cambria" w:hAnsi="Cambria"/>
          <w:sz w:val="16"/>
          <w:szCs w:val="16"/>
          <w:lang w:val="es-ES_tradnl"/>
        </w:rPr>
      </w:pPr>
      <w:r w:rsidRPr="00C07A74">
        <w:rPr>
          <w:rFonts w:ascii="Cambria" w:hAnsi="Cambria"/>
          <w:sz w:val="16"/>
          <w:szCs w:val="16"/>
          <w:lang w:val="es-ES_tradnl"/>
        </w:rPr>
        <w:t>Toda persona acusada de delito tiene derecho a ser oída en forma imparcial y pública, a ser juzgada por tribunales anteriormente establecidos de acuerdo con leyes preexistentes y a que no se le imponga penas crueles, infamantes o inusitadas</w:t>
      </w:r>
    </w:p>
    <w:p w14:paraId="151F9897" w14:textId="77777777" w:rsidR="00540E3D" w:rsidRPr="00C07A74" w:rsidRDefault="00540E3D" w:rsidP="00540E3D">
      <w:pPr>
        <w:pStyle w:val="FootnoteText"/>
        <w:spacing w:after="0" w:line="240" w:lineRule="auto"/>
        <w:jc w:val="both"/>
        <w:rPr>
          <w:rFonts w:ascii="Cambria" w:hAnsi="Cambria"/>
          <w:sz w:val="16"/>
          <w:szCs w:val="16"/>
          <w:lang w:val="es-ES_tradnl"/>
        </w:rPr>
      </w:pPr>
      <w:r w:rsidRPr="00C07A74">
        <w:rPr>
          <w:rFonts w:ascii="Cambria" w:hAnsi="Cambria"/>
          <w:sz w:val="16"/>
          <w:szCs w:val="16"/>
          <w:lang w:val="es-ES_tradnl"/>
        </w:rPr>
        <w:t>El Artículo II de la Declaración establece: Todas las personas son iguales ante la Ley y tienen los derechos y deberes consagrados en esta declaración sin distinción de raza, sexo, idioma, credo ni otra alguna.</w:t>
      </w:r>
    </w:p>
  </w:footnote>
  <w:footnote w:id="62">
    <w:p w14:paraId="782D93AC" w14:textId="77777777" w:rsidR="00540E3D" w:rsidRPr="00C07A74" w:rsidRDefault="00540E3D" w:rsidP="00540E3D">
      <w:pPr>
        <w:spacing w:after="0" w:line="240" w:lineRule="auto"/>
        <w:jc w:val="both"/>
        <w:outlineLvl w:val="0"/>
        <w:rPr>
          <w:rFonts w:ascii="Cambria" w:eastAsia="Times New Roman" w:hAnsi="Cambria" w:cs="Arial"/>
          <w:color w:val="000000"/>
          <w:kern w:val="36"/>
          <w:sz w:val="16"/>
          <w:szCs w:val="16"/>
          <w:lang w:val="es-ES_tradnl" w:eastAsia="en-GB"/>
        </w:rPr>
      </w:pPr>
      <w:r w:rsidRPr="00C07A74">
        <w:rPr>
          <w:rStyle w:val="FootnoteReference"/>
          <w:rFonts w:ascii="Cambria" w:hAnsi="Cambria"/>
          <w:sz w:val="16"/>
          <w:szCs w:val="16"/>
          <w:lang w:val="es-ES_tradnl"/>
        </w:rPr>
        <w:footnoteRef/>
      </w:r>
      <w:r w:rsidRPr="00C07A74">
        <w:rPr>
          <w:rFonts w:ascii="Cambria" w:hAnsi="Cambria"/>
          <w:sz w:val="16"/>
          <w:szCs w:val="16"/>
          <w:lang w:val="es-ES_tradnl"/>
        </w:rPr>
        <w:t xml:space="preserve"> </w:t>
      </w:r>
      <w:r w:rsidRPr="00C07A74">
        <w:rPr>
          <w:rFonts w:ascii="Cambria" w:eastAsia="Times New Roman" w:hAnsi="Cambria" w:cs="Arial"/>
          <w:color w:val="000000"/>
          <w:kern w:val="36"/>
          <w:sz w:val="16"/>
          <w:szCs w:val="16"/>
          <w:lang w:val="es-ES_tradnl" w:eastAsia="en-GB"/>
        </w:rPr>
        <w:t xml:space="preserve">Corte IDH. Caso Herrera Ulloa Vs. Costa Rica. Excepciones Preliminares, Fondo, Reparaciones y Costas. Sentencia de 2 de julio de 2004. Serie C No. 107, </w:t>
      </w:r>
      <w:proofErr w:type="spellStart"/>
      <w:r w:rsidRPr="00C07A74">
        <w:rPr>
          <w:rFonts w:ascii="Cambria" w:eastAsia="Times New Roman" w:hAnsi="Cambria" w:cs="Arial"/>
          <w:color w:val="000000"/>
          <w:kern w:val="36"/>
          <w:sz w:val="16"/>
          <w:szCs w:val="16"/>
          <w:lang w:val="es-ES_tradnl" w:eastAsia="en-GB"/>
        </w:rPr>
        <w:t>p</w:t>
      </w:r>
      <w:r w:rsidR="00BC11C2">
        <w:rPr>
          <w:rFonts w:ascii="Cambria" w:eastAsia="Times New Roman" w:hAnsi="Cambria" w:cs="Arial"/>
          <w:color w:val="000000"/>
          <w:kern w:val="36"/>
          <w:sz w:val="16"/>
          <w:szCs w:val="16"/>
          <w:lang w:val="es-ES_tradnl" w:eastAsia="en-GB"/>
        </w:rPr>
        <w:t>á</w:t>
      </w:r>
      <w:r w:rsidRPr="00C07A74">
        <w:rPr>
          <w:rFonts w:ascii="Cambria" w:eastAsia="Times New Roman" w:hAnsi="Cambria" w:cs="Arial"/>
          <w:color w:val="000000"/>
          <w:kern w:val="36"/>
          <w:sz w:val="16"/>
          <w:szCs w:val="16"/>
          <w:lang w:val="es-ES_tradnl" w:eastAsia="en-GB"/>
        </w:rPr>
        <w:t>rrs</w:t>
      </w:r>
      <w:proofErr w:type="spellEnd"/>
      <w:r w:rsidRPr="00C07A74">
        <w:rPr>
          <w:rFonts w:ascii="Cambria" w:eastAsia="Times New Roman" w:hAnsi="Cambria" w:cs="Arial"/>
          <w:color w:val="000000"/>
          <w:kern w:val="36"/>
          <w:sz w:val="16"/>
          <w:szCs w:val="16"/>
          <w:lang w:val="es-ES_tradnl" w:eastAsia="en-GB"/>
        </w:rPr>
        <w:t>. 170 and 171.</w:t>
      </w:r>
      <w:r w:rsidR="00172E91" w:rsidRPr="00172E91">
        <w:rPr>
          <w:lang w:val="es-AR"/>
        </w:rPr>
        <w:t xml:space="preserve"> </w:t>
      </w:r>
      <w:r w:rsidR="00172E91" w:rsidRPr="00B72A12">
        <w:rPr>
          <w:rFonts w:ascii="Cambria" w:hAnsi="Cambria"/>
          <w:sz w:val="16"/>
          <w:szCs w:val="16"/>
          <w:lang w:val="es-ES_tradnl"/>
        </w:rPr>
        <w:t xml:space="preserve">Caso Palamara Iribarne Vs. Chile. Fondo, Reparaciones y Costas. Sentencia de 22 de noviembre de 2005. Serie C No. 135. </w:t>
      </w:r>
    </w:p>
  </w:footnote>
  <w:footnote w:id="63">
    <w:p w14:paraId="07871DE1" w14:textId="77777777" w:rsidR="00540E3D" w:rsidRPr="00C07A74" w:rsidRDefault="00540E3D" w:rsidP="00540E3D">
      <w:pPr>
        <w:pStyle w:val="FootnoteText"/>
        <w:spacing w:after="0" w:line="240" w:lineRule="auto"/>
        <w:jc w:val="both"/>
        <w:rPr>
          <w:rFonts w:ascii="Cambria" w:hAnsi="Cambria"/>
          <w:sz w:val="16"/>
          <w:szCs w:val="16"/>
          <w:lang w:val="es-ES_tradnl"/>
        </w:rPr>
      </w:pPr>
      <w:r w:rsidRPr="00C07A74">
        <w:rPr>
          <w:rStyle w:val="FootnoteReference"/>
          <w:rFonts w:ascii="Cambria" w:hAnsi="Cambria"/>
          <w:sz w:val="16"/>
          <w:szCs w:val="16"/>
          <w:lang w:val="es-ES_tradnl"/>
        </w:rPr>
        <w:footnoteRef/>
      </w:r>
      <w:r w:rsidRPr="00C07A74">
        <w:rPr>
          <w:rFonts w:ascii="Cambria" w:hAnsi="Cambria"/>
          <w:sz w:val="16"/>
          <w:szCs w:val="16"/>
          <w:lang w:val="es-ES_tradnl"/>
        </w:rPr>
        <w:t xml:space="preserve"> </w:t>
      </w:r>
      <w:r w:rsidRPr="00B72A12">
        <w:rPr>
          <w:rFonts w:ascii="Cambria" w:hAnsi="Cambria"/>
          <w:i/>
          <w:iCs/>
          <w:sz w:val="16"/>
          <w:szCs w:val="16"/>
          <w:lang w:val="es-ES_tradnl"/>
        </w:rPr>
        <w:t>Cf</w:t>
      </w:r>
      <w:r w:rsidRPr="00C07A74">
        <w:rPr>
          <w:rFonts w:ascii="Cambria" w:hAnsi="Cambria"/>
          <w:sz w:val="16"/>
          <w:szCs w:val="16"/>
          <w:lang w:val="es-ES_tradnl"/>
        </w:rPr>
        <w:t xml:space="preserve">. TEDH, Caso de Pabla KY v. </w:t>
      </w:r>
      <w:proofErr w:type="spellStart"/>
      <w:r w:rsidRPr="00C07A74">
        <w:rPr>
          <w:rFonts w:ascii="Cambria" w:hAnsi="Cambria"/>
          <w:sz w:val="16"/>
          <w:szCs w:val="16"/>
          <w:lang w:val="es-ES_tradnl"/>
        </w:rPr>
        <w:t>Finland</w:t>
      </w:r>
      <w:proofErr w:type="spellEnd"/>
      <w:r w:rsidRPr="00C07A74">
        <w:rPr>
          <w:rFonts w:ascii="Cambria" w:hAnsi="Cambria"/>
          <w:sz w:val="16"/>
          <w:szCs w:val="16"/>
          <w:lang w:val="es-ES_tradnl"/>
        </w:rPr>
        <w:t xml:space="preserve">, Sentencia del 26 de junio de 2004, </w:t>
      </w:r>
      <w:r w:rsidR="00BC11C2" w:rsidRPr="00C07A74">
        <w:rPr>
          <w:rFonts w:ascii="Cambria" w:hAnsi="Cambria"/>
          <w:sz w:val="16"/>
          <w:szCs w:val="16"/>
          <w:lang w:val="es-ES_tradnl"/>
        </w:rPr>
        <w:t>párr.</w:t>
      </w:r>
      <w:r w:rsidRPr="00C07A74">
        <w:rPr>
          <w:rFonts w:ascii="Cambria" w:hAnsi="Cambria"/>
          <w:sz w:val="16"/>
          <w:szCs w:val="16"/>
          <w:lang w:val="es-ES_tradnl"/>
        </w:rPr>
        <w:t xml:space="preserve"> 27; y TEDH, Caso de Morris v. Reino Unido, Sentencia del 26 de febrero de 2002, </w:t>
      </w:r>
      <w:r w:rsidR="00BC11C2">
        <w:rPr>
          <w:rFonts w:ascii="Cambria" w:hAnsi="Cambria"/>
          <w:sz w:val="16"/>
          <w:szCs w:val="16"/>
          <w:lang w:val="es-ES_tradnl"/>
        </w:rPr>
        <w:t>párr.</w:t>
      </w:r>
      <w:r w:rsidRPr="00C07A74">
        <w:rPr>
          <w:rFonts w:ascii="Cambria" w:hAnsi="Cambria"/>
          <w:sz w:val="16"/>
          <w:szCs w:val="16"/>
          <w:lang w:val="es-ES_tradnl"/>
        </w:rPr>
        <w:t xml:space="preserve"> 58.</w:t>
      </w:r>
    </w:p>
  </w:footnote>
  <w:footnote w:id="64">
    <w:p w14:paraId="659205E5" w14:textId="77777777" w:rsidR="00540E3D" w:rsidRPr="00C07A74" w:rsidRDefault="00540E3D" w:rsidP="00540E3D">
      <w:pPr>
        <w:pStyle w:val="FootnoteText"/>
        <w:spacing w:after="0" w:line="240" w:lineRule="auto"/>
        <w:jc w:val="both"/>
        <w:rPr>
          <w:sz w:val="16"/>
          <w:szCs w:val="16"/>
          <w:lang w:val="es-ES_tradnl"/>
        </w:rPr>
      </w:pPr>
      <w:r w:rsidRPr="00C07A74">
        <w:rPr>
          <w:rStyle w:val="FootnoteReference"/>
          <w:rFonts w:ascii="Cambria" w:hAnsi="Cambria"/>
          <w:sz w:val="16"/>
          <w:szCs w:val="16"/>
          <w:lang w:val="es-ES_tradnl"/>
        </w:rPr>
        <w:footnoteRef/>
      </w:r>
      <w:r w:rsidRPr="00C07A74">
        <w:rPr>
          <w:rStyle w:val="FootnoteReference"/>
          <w:rFonts w:ascii="Cambria" w:hAnsi="Cambria"/>
          <w:sz w:val="16"/>
          <w:szCs w:val="16"/>
          <w:lang w:val="es-ES_tradnl"/>
        </w:rPr>
        <w:t xml:space="preserve"> </w:t>
      </w:r>
      <w:r w:rsidRPr="00C07A74">
        <w:rPr>
          <w:rFonts w:ascii="Cambria" w:hAnsi="Cambria"/>
          <w:sz w:val="16"/>
          <w:szCs w:val="16"/>
          <w:lang w:val="es-ES_tradnl"/>
        </w:rPr>
        <w:t xml:space="preserve">Corte IDH. Caso </w:t>
      </w:r>
      <w:proofErr w:type="spellStart"/>
      <w:r w:rsidRPr="00C07A74">
        <w:rPr>
          <w:rFonts w:ascii="Cambria" w:hAnsi="Cambria"/>
          <w:sz w:val="16"/>
          <w:szCs w:val="16"/>
          <w:lang w:val="es-ES_tradnl"/>
        </w:rPr>
        <w:t>Apitz</w:t>
      </w:r>
      <w:proofErr w:type="spellEnd"/>
      <w:r w:rsidRPr="00C07A74">
        <w:rPr>
          <w:rFonts w:ascii="Cambria" w:hAnsi="Cambria"/>
          <w:sz w:val="16"/>
          <w:szCs w:val="16"/>
          <w:lang w:val="es-ES_tradnl"/>
        </w:rPr>
        <w:t xml:space="preserve"> Barbera y otros (“Corte Primera de lo Contencioso Administrativo”) Vs. Venezuela. Excepción Preliminar, Fondo, Reparaciones y Costas. Sentencia de 5 de agosto de 2008. Serie C No. 182, </w:t>
      </w:r>
      <w:r w:rsidR="00BC11C2" w:rsidRPr="00C07A74">
        <w:rPr>
          <w:rFonts w:ascii="Cambria" w:hAnsi="Cambria"/>
          <w:sz w:val="16"/>
          <w:szCs w:val="16"/>
          <w:lang w:val="es-ES_tradnl"/>
        </w:rPr>
        <w:t>párr.</w:t>
      </w:r>
      <w:r w:rsidRPr="00C07A74">
        <w:rPr>
          <w:rFonts w:ascii="Cambria" w:hAnsi="Cambria"/>
          <w:sz w:val="16"/>
          <w:szCs w:val="16"/>
          <w:lang w:val="es-ES_tradnl"/>
        </w:rPr>
        <w:t xml:space="preserve"> 56.</w:t>
      </w:r>
    </w:p>
  </w:footnote>
  <w:footnote w:id="65">
    <w:p w14:paraId="2DF91522" w14:textId="77777777" w:rsidR="00540E3D" w:rsidRPr="00C07A74" w:rsidRDefault="00540E3D" w:rsidP="00540E3D">
      <w:pPr>
        <w:pStyle w:val="FootnoteText"/>
        <w:spacing w:after="0" w:line="240" w:lineRule="auto"/>
        <w:rPr>
          <w:rFonts w:ascii="Cambria" w:hAnsi="Cambria"/>
          <w:sz w:val="16"/>
          <w:szCs w:val="16"/>
          <w:lang w:val="es-ES_tradnl"/>
        </w:rPr>
      </w:pPr>
      <w:r w:rsidRPr="00C07A74">
        <w:rPr>
          <w:rStyle w:val="FootnoteReference"/>
          <w:rFonts w:ascii="Cambria" w:hAnsi="Cambria"/>
          <w:sz w:val="16"/>
          <w:szCs w:val="16"/>
          <w:lang w:val="es-ES_tradnl"/>
        </w:rPr>
        <w:footnoteRef/>
      </w:r>
      <w:r w:rsidRPr="00C07A74">
        <w:rPr>
          <w:rStyle w:val="FootnoteReference"/>
          <w:rFonts w:ascii="Cambria" w:hAnsi="Cambria"/>
          <w:sz w:val="16"/>
          <w:szCs w:val="16"/>
          <w:lang w:val="es-ES_tradnl"/>
        </w:rPr>
        <w:t xml:space="preserve"> </w:t>
      </w:r>
      <w:r w:rsidRPr="00C07A74">
        <w:rPr>
          <w:rFonts w:ascii="Cambria" w:hAnsi="Cambria"/>
          <w:sz w:val="16"/>
          <w:szCs w:val="16"/>
          <w:lang w:val="es-ES_tradnl"/>
        </w:rPr>
        <w:t xml:space="preserve">CIDH, Informe No. 109/18, Caso 12.840. Fondo. </w:t>
      </w:r>
      <w:proofErr w:type="spellStart"/>
      <w:r w:rsidRPr="00C07A74">
        <w:rPr>
          <w:rFonts w:ascii="Cambria" w:hAnsi="Cambria"/>
          <w:sz w:val="16"/>
          <w:szCs w:val="16"/>
          <w:lang w:val="es-ES_tradnl"/>
        </w:rPr>
        <w:t>Yenina</w:t>
      </w:r>
      <w:proofErr w:type="spellEnd"/>
      <w:r w:rsidRPr="00C07A74">
        <w:rPr>
          <w:rFonts w:ascii="Cambria" w:hAnsi="Cambria"/>
          <w:sz w:val="16"/>
          <w:szCs w:val="16"/>
          <w:lang w:val="es-ES_tradnl"/>
        </w:rPr>
        <w:t xml:space="preserve"> Esther </w:t>
      </w:r>
      <w:r w:rsidR="00E15027" w:rsidRPr="00C07A74">
        <w:rPr>
          <w:rFonts w:ascii="Cambria" w:hAnsi="Cambria"/>
          <w:sz w:val="16"/>
          <w:szCs w:val="16"/>
          <w:lang w:val="es-ES_tradnl"/>
        </w:rPr>
        <w:t>Martínez</w:t>
      </w:r>
      <w:r w:rsidRPr="00C07A74">
        <w:rPr>
          <w:rFonts w:ascii="Cambria" w:hAnsi="Cambria"/>
          <w:sz w:val="16"/>
          <w:szCs w:val="16"/>
          <w:lang w:val="es-ES_tradnl"/>
        </w:rPr>
        <w:t xml:space="preserve"> Esquivia. Colombia. 5 de octubre de 2018, </w:t>
      </w:r>
      <w:r w:rsidR="00BC11C2" w:rsidRPr="00C07A74">
        <w:rPr>
          <w:rFonts w:ascii="Cambria" w:hAnsi="Cambria"/>
          <w:sz w:val="16"/>
          <w:szCs w:val="16"/>
          <w:lang w:val="es-ES_tradnl"/>
        </w:rPr>
        <w:t>párr.</w:t>
      </w:r>
      <w:r w:rsidRPr="00C07A74">
        <w:rPr>
          <w:rFonts w:ascii="Cambria" w:hAnsi="Cambria"/>
          <w:sz w:val="16"/>
          <w:szCs w:val="16"/>
          <w:lang w:val="es-ES_tradnl"/>
        </w:rPr>
        <w:t xml:space="preserve"> 72.</w:t>
      </w:r>
    </w:p>
  </w:footnote>
  <w:footnote w:id="66">
    <w:p w14:paraId="47AC8541" w14:textId="77777777" w:rsidR="00540E3D" w:rsidRPr="00C07A74" w:rsidRDefault="00540E3D" w:rsidP="00540E3D">
      <w:pPr>
        <w:pStyle w:val="FootnoteText"/>
        <w:spacing w:after="0" w:line="240" w:lineRule="auto"/>
        <w:rPr>
          <w:rFonts w:ascii="Cambria" w:hAnsi="Cambria"/>
          <w:sz w:val="16"/>
          <w:szCs w:val="16"/>
          <w:lang w:val="es-ES_tradnl"/>
        </w:rPr>
      </w:pPr>
      <w:r w:rsidRPr="00C07A74">
        <w:rPr>
          <w:rStyle w:val="FootnoteReference"/>
          <w:rFonts w:ascii="Cambria" w:hAnsi="Cambria"/>
          <w:sz w:val="16"/>
          <w:szCs w:val="16"/>
          <w:lang w:val="es-ES_tradnl"/>
        </w:rPr>
        <w:footnoteRef/>
      </w:r>
      <w:r w:rsidRPr="00C07A74">
        <w:rPr>
          <w:rFonts w:ascii="Cambria" w:hAnsi="Cambria"/>
          <w:sz w:val="16"/>
          <w:szCs w:val="16"/>
          <w:lang w:val="es-ES_tradnl"/>
        </w:rPr>
        <w:t xml:space="preserve"> Véase Corte IDH. Condición jurídica y derechos de los migrantes indocumentados. Opinión Consultiva OC-18/03 de 17 de septiembre de 2003. Serie A No. 18., </w:t>
      </w:r>
      <w:r w:rsidR="00BC11C2" w:rsidRPr="00C07A74">
        <w:rPr>
          <w:rFonts w:ascii="Cambria" w:hAnsi="Cambria"/>
          <w:sz w:val="16"/>
          <w:szCs w:val="16"/>
          <w:lang w:val="es-ES_tradnl"/>
        </w:rPr>
        <w:t>párr.</w:t>
      </w:r>
      <w:r w:rsidRPr="00C07A74">
        <w:rPr>
          <w:rFonts w:ascii="Cambria" w:hAnsi="Cambria"/>
          <w:sz w:val="16"/>
          <w:szCs w:val="16"/>
          <w:lang w:val="es-ES_tradnl"/>
        </w:rPr>
        <w:t xml:space="preserve"> 101. Véase también CIDH, Informe No. 50/16, Caso 12.834, Fondo (Publicación), Trabajadores Indocumentados, Estados Unidos, 30 de noviembre de 2016, </w:t>
      </w:r>
      <w:r w:rsidR="00BC11C2" w:rsidRPr="00C07A74">
        <w:rPr>
          <w:rFonts w:ascii="Cambria" w:hAnsi="Cambria"/>
          <w:sz w:val="16"/>
          <w:szCs w:val="16"/>
          <w:lang w:val="es-ES_tradnl"/>
        </w:rPr>
        <w:t>párr.</w:t>
      </w:r>
      <w:r w:rsidRPr="00C07A74">
        <w:rPr>
          <w:rFonts w:ascii="Cambria" w:hAnsi="Cambria"/>
          <w:sz w:val="16"/>
          <w:szCs w:val="16"/>
          <w:lang w:val="es-ES_tradnl"/>
        </w:rPr>
        <w:t xml:space="preserve"> 72.</w:t>
      </w:r>
    </w:p>
  </w:footnote>
  <w:footnote w:id="67">
    <w:p w14:paraId="4080E887" w14:textId="77777777" w:rsidR="00540E3D" w:rsidRPr="00C07A74" w:rsidRDefault="00540E3D" w:rsidP="00540E3D">
      <w:pPr>
        <w:pStyle w:val="FootnoteText"/>
        <w:spacing w:after="0" w:line="240" w:lineRule="auto"/>
        <w:rPr>
          <w:rFonts w:ascii="Cambria" w:hAnsi="Cambria"/>
          <w:sz w:val="16"/>
          <w:szCs w:val="16"/>
          <w:lang w:val="es-ES_tradnl"/>
        </w:rPr>
      </w:pPr>
      <w:r w:rsidRPr="00C07A74">
        <w:rPr>
          <w:rStyle w:val="FootnoteReference"/>
          <w:rFonts w:ascii="Cambria" w:hAnsi="Cambria"/>
          <w:sz w:val="16"/>
          <w:szCs w:val="16"/>
          <w:lang w:val="es-ES_tradnl"/>
        </w:rPr>
        <w:footnoteRef/>
      </w:r>
      <w:r w:rsidRPr="00C07A74">
        <w:rPr>
          <w:rFonts w:ascii="Cambria" w:hAnsi="Cambria"/>
          <w:sz w:val="16"/>
          <w:szCs w:val="16"/>
          <w:lang w:val="es-ES_tradnl"/>
        </w:rPr>
        <w:t xml:space="preserve"> CIDH, Informe No. 50/16, Caso 12.834, Fondo (Publicación), Trabajadores Indocumentados, Estados Unidos, 30 de noviembre de 2016, </w:t>
      </w:r>
      <w:r w:rsidR="00BC11C2" w:rsidRPr="00C07A74">
        <w:rPr>
          <w:rFonts w:ascii="Cambria" w:hAnsi="Cambria"/>
          <w:sz w:val="16"/>
          <w:szCs w:val="16"/>
          <w:lang w:val="es-ES_tradnl"/>
        </w:rPr>
        <w:t>párr.</w:t>
      </w:r>
      <w:r w:rsidRPr="00C07A74">
        <w:rPr>
          <w:rFonts w:ascii="Cambria" w:hAnsi="Cambria"/>
          <w:sz w:val="16"/>
          <w:szCs w:val="16"/>
          <w:lang w:val="es-ES_tradnl"/>
        </w:rPr>
        <w:t xml:space="preserve"> 75.</w:t>
      </w:r>
    </w:p>
  </w:footnote>
  <w:footnote w:id="68">
    <w:p w14:paraId="2C655BAF" w14:textId="77777777" w:rsidR="00540E3D" w:rsidRPr="00C07A74" w:rsidRDefault="00540E3D" w:rsidP="00540E3D">
      <w:pPr>
        <w:pStyle w:val="FootnoteText"/>
        <w:spacing w:after="0" w:line="240" w:lineRule="auto"/>
        <w:rPr>
          <w:rFonts w:ascii="Cambria" w:hAnsi="Cambria"/>
          <w:sz w:val="16"/>
          <w:szCs w:val="16"/>
          <w:lang w:val="es-ES_tradnl"/>
        </w:rPr>
      </w:pPr>
      <w:r w:rsidRPr="00C07A74">
        <w:rPr>
          <w:rStyle w:val="FootnoteReference"/>
          <w:rFonts w:ascii="Cambria" w:hAnsi="Cambria"/>
          <w:sz w:val="16"/>
          <w:szCs w:val="16"/>
          <w:lang w:val="es-ES_tradnl"/>
        </w:rPr>
        <w:footnoteRef/>
      </w:r>
      <w:r w:rsidRPr="00C07A74">
        <w:rPr>
          <w:rFonts w:ascii="Cambria" w:hAnsi="Cambria"/>
          <w:sz w:val="16"/>
          <w:szCs w:val="16"/>
          <w:lang w:val="es-ES_tradnl"/>
        </w:rPr>
        <w:t xml:space="preserve"> CIDH, Informe No. 5/14. Caso 12,841. Fondo. Ángel Alberto Duque. Colombia. 2 de abril de 2014, </w:t>
      </w:r>
      <w:r w:rsidR="00BC11C2" w:rsidRPr="00C07A74">
        <w:rPr>
          <w:rFonts w:ascii="Cambria" w:hAnsi="Cambria"/>
          <w:sz w:val="16"/>
          <w:szCs w:val="16"/>
          <w:lang w:val="es-ES_tradnl"/>
        </w:rPr>
        <w:t>párr.</w:t>
      </w:r>
      <w:r w:rsidRPr="00C07A74">
        <w:rPr>
          <w:rFonts w:ascii="Cambria" w:hAnsi="Cambria"/>
          <w:sz w:val="16"/>
          <w:szCs w:val="16"/>
          <w:lang w:val="es-ES_tradnl"/>
        </w:rPr>
        <w:t xml:space="preserve"> 67.</w:t>
      </w:r>
    </w:p>
  </w:footnote>
  <w:footnote w:id="69">
    <w:p w14:paraId="477B1DD8" w14:textId="77777777" w:rsidR="00540E3D" w:rsidRPr="00C07A74" w:rsidRDefault="00540E3D" w:rsidP="00540E3D">
      <w:pPr>
        <w:pStyle w:val="FootnoteText"/>
        <w:spacing w:after="0" w:line="240" w:lineRule="auto"/>
        <w:rPr>
          <w:rFonts w:ascii="Cambria" w:hAnsi="Cambria"/>
          <w:sz w:val="16"/>
          <w:szCs w:val="16"/>
          <w:lang w:val="es-ES_tradnl"/>
        </w:rPr>
      </w:pPr>
      <w:r w:rsidRPr="00C07A74">
        <w:rPr>
          <w:rStyle w:val="FootnoteReference"/>
          <w:rFonts w:ascii="Cambria" w:eastAsia="Arial Unicode MS" w:hAnsi="Cambria"/>
          <w:sz w:val="16"/>
          <w:szCs w:val="16"/>
          <w:lang w:val="es-ES_tradnl"/>
        </w:rPr>
        <w:footnoteRef/>
      </w:r>
      <w:r w:rsidRPr="00C07A74">
        <w:rPr>
          <w:rStyle w:val="FootnoteReference"/>
          <w:rFonts w:ascii="Cambria" w:eastAsia="Arial Unicode MS" w:hAnsi="Cambria"/>
          <w:sz w:val="16"/>
          <w:szCs w:val="16"/>
          <w:lang w:val="es-ES_tradnl"/>
        </w:rPr>
        <w:t xml:space="preserve"> </w:t>
      </w:r>
      <w:r w:rsidRPr="00C07A74">
        <w:rPr>
          <w:rFonts w:ascii="Cambria" w:hAnsi="Cambria"/>
          <w:sz w:val="16"/>
          <w:szCs w:val="16"/>
          <w:lang w:val="es-ES_tradnl"/>
        </w:rPr>
        <w:t xml:space="preserve">CIDH, Informe No. 44/14, Caso 12,873. Fondo (Publicación). Edgar Tamayo Arias. Estados Unidos, 17 de julio de 2014, </w:t>
      </w:r>
      <w:r w:rsidR="00BC11C2" w:rsidRPr="00C07A74">
        <w:rPr>
          <w:rFonts w:ascii="Cambria" w:hAnsi="Cambria"/>
          <w:sz w:val="16"/>
          <w:szCs w:val="16"/>
          <w:lang w:val="es-ES_tradnl"/>
        </w:rPr>
        <w:t>párr.</w:t>
      </w:r>
      <w:r w:rsidRPr="00C07A74">
        <w:rPr>
          <w:rFonts w:ascii="Cambria" w:hAnsi="Cambria"/>
          <w:sz w:val="16"/>
          <w:szCs w:val="16"/>
          <w:lang w:val="es-ES_tradnl"/>
        </w:rPr>
        <w:t xml:space="preserve"> 152.</w:t>
      </w:r>
    </w:p>
  </w:footnote>
  <w:footnote w:id="70">
    <w:p w14:paraId="5934B611" w14:textId="77777777" w:rsidR="00540E3D" w:rsidRPr="00C07A74" w:rsidRDefault="00540E3D" w:rsidP="00540E3D">
      <w:pPr>
        <w:pStyle w:val="FootnoteText"/>
        <w:spacing w:after="0" w:line="240" w:lineRule="auto"/>
        <w:jc w:val="both"/>
        <w:rPr>
          <w:rFonts w:ascii="Cambria" w:hAnsi="Cambria"/>
          <w:sz w:val="16"/>
          <w:szCs w:val="16"/>
          <w:lang w:val="es-ES_tradnl"/>
        </w:rPr>
      </w:pPr>
      <w:r w:rsidRPr="00C07A74">
        <w:rPr>
          <w:rStyle w:val="FootnoteReference"/>
          <w:rFonts w:ascii="Cambria" w:hAnsi="Cambria"/>
          <w:sz w:val="16"/>
          <w:szCs w:val="16"/>
          <w:lang w:val="es-ES_tradnl"/>
        </w:rPr>
        <w:footnoteRef/>
      </w:r>
      <w:r w:rsidRPr="00C07A74">
        <w:rPr>
          <w:rFonts w:ascii="Cambria" w:hAnsi="Cambria"/>
          <w:sz w:val="16"/>
          <w:szCs w:val="16"/>
          <w:lang w:val="es-ES_tradnl"/>
        </w:rPr>
        <w:t xml:space="preserve"> CIDH, Informe No. 44/14, Caso 12,873. Fondo (Publicación). Edgar Tamayo Arias. Estados Unidos, 17 de julio de 2014, </w:t>
      </w:r>
      <w:r w:rsidR="00BC11C2" w:rsidRPr="00C07A74">
        <w:rPr>
          <w:rFonts w:ascii="Cambria" w:hAnsi="Cambria"/>
          <w:sz w:val="16"/>
          <w:szCs w:val="16"/>
          <w:lang w:val="es-ES_tradnl"/>
        </w:rPr>
        <w:t>párr.</w:t>
      </w:r>
      <w:r w:rsidRPr="00C07A74">
        <w:rPr>
          <w:rFonts w:ascii="Cambria" w:hAnsi="Cambria"/>
          <w:sz w:val="16"/>
          <w:szCs w:val="16"/>
          <w:lang w:val="es-ES_tradnl"/>
        </w:rPr>
        <w:t xml:space="preserve"> </w:t>
      </w:r>
      <w:r w:rsidRPr="00A02F6E">
        <w:rPr>
          <w:rFonts w:ascii="Cambria" w:hAnsi="Cambria"/>
          <w:sz w:val="16"/>
          <w:szCs w:val="16"/>
          <w:lang w:val="es-ES_tradnl"/>
        </w:rPr>
        <w:t>159</w:t>
      </w:r>
      <w:r w:rsidRPr="00C07A74">
        <w:rPr>
          <w:rFonts w:ascii="Cambria" w:hAnsi="Cambria"/>
          <w:sz w:val="16"/>
          <w:szCs w:val="16"/>
          <w:lang w:val="es-ES_tradnl"/>
        </w:rPr>
        <w:t>.</w:t>
      </w:r>
    </w:p>
  </w:footnote>
  <w:footnote w:id="71">
    <w:p w14:paraId="563998C5" w14:textId="77777777" w:rsidR="00540E3D" w:rsidRPr="00C07A74" w:rsidRDefault="00540E3D" w:rsidP="00540E3D">
      <w:pPr>
        <w:pStyle w:val="FootnoteText"/>
        <w:spacing w:after="0" w:line="240" w:lineRule="auto"/>
        <w:jc w:val="both"/>
        <w:rPr>
          <w:rFonts w:ascii="Cambria" w:hAnsi="Cambria"/>
          <w:sz w:val="16"/>
          <w:szCs w:val="16"/>
          <w:lang w:val="es-ES_tradnl"/>
        </w:rPr>
      </w:pPr>
      <w:r w:rsidRPr="00C07A74">
        <w:rPr>
          <w:rStyle w:val="FootnoteReference"/>
          <w:rFonts w:ascii="Cambria" w:hAnsi="Cambria"/>
          <w:sz w:val="16"/>
          <w:szCs w:val="16"/>
          <w:lang w:val="es-ES_tradnl"/>
        </w:rPr>
        <w:footnoteRef/>
      </w:r>
      <w:r w:rsidRPr="00C07A74">
        <w:rPr>
          <w:rFonts w:ascii="Cambria" w:hAnsi="Cambria"/>
          <w:sz w:val="16"/>
          <w:szCs w:val="16"/>
          <w:lang w:val="es-ES_tradnl"/>
        </w:rPr>
        <w:t xml:space="preserve"> Véase al respecto, CIDH Informe No. 52/13, Casos 11.575, 12.333 y 12.341, Fondo (Publicación), </w:t>
      </w:r>
      <w:proofErr w:type="spellStart"/>
      <w:r w:rsidRPr="00C07A74">
        <w:rPr>
          <w:rFonts w:ascii="Cambria" w:hAnsi="Cambria"/>
          <w:sz w:val="16"/>
          <w:szCs w:val="16"/>
          <w:lang w:val="es-ES_tradnl"/>
        </w:rPr>
        <w:t>Clarence</w:t>
      </w:r>
      <w:proofErr w:type="spellEnd"/>
      <w:r w:rsidRPr="00C07A74">
        <w:rPr>
          <w:rFonts w:ascii="Cambria" w:hAnsi="Cambria"/>
          <w:sz w:val="16"/>
          <w:szCs w:val="16"/>
          <w:lang w:val="es-ES_tradnl"/>
        </w:rPr>
        <w:t xml:space="preserve"> Allen </w:t>
      </w:r>
      <w:proofErr w:type="spellStart"/>
      <w:r w:rsidRPr="00C07A74">
        <w:rPr>
          <w:rFonts w:ascii="Cambria" w:hAnsi="Cambria"/>
          <w:sz w:val="16"/>
          <w:szCs w:val="16"/>
          <w:lang w:val="es-ES_tradnl"/>
        </w:rPr>
        <w:t>Lackey</w:t>
      </w:r>
      <w:proofErr w:type="spellEnd"/>
      <w:r w:rsidRPr="00C07A74">
        <w:rPr>
          <w:rFonts w:ascii="Cambria" w:hAnsi="Cambria"/>
          <w:sz w:val="16"/>
          <w:szCs w:val="16"/>
          <w:lang w:val="es-ES_tradnl"/>
        </w:rPr>
        <w:t xml:space="preserve"> et al, Miguel </w:t>
      </w:r>
      <w:r w:rsidR="00BC11C2" w:rsidRPr="00C07A74">
        <w:rPr>
          <w:rFonts w:ascii="Cambria" w:hAnsi="Cambria"/>
          <w:sz w:val="16"/>
          <w:szCs w:val="16"/>
          <w:lang w:val="es-ES_tradnl"/>
        </w:rPr>
        <w:t>Ángel</w:t>
      </w:r>
      <w:r w:rsidRPr="00C07A74">
        <w:rPr>
          <w:rFonts w:ascii="Cambria" w:hAnsi="Cambria"/>
          <w:sz w:val="16"/>
          <w:szCs w:val="16"/>
          <w:lang w:val="es-ES_tradnl"/>
        </w:rPr>
        <w:t xml:space="preserve"> Flores, y James Wilson Chambers, Estados Unidos, 15 de julio de 2013, </w:t>
      </w:r>
      <w:r w:rsidR="00BC11C2" w:rsidRPr="00C07A74">
        <w:rPr>
          <w:rFonts w:ascii="Cambria" w:hAnsi="Cambria"/>
          <w:sz w:val="16"/>
          <w:szCs w:val="16"/>
          <w:lang w:val="es-ES_tradnl"/>
        </w:rPr>
        <w:t>párr.</w:t>
      </w:r>
      <w:r w:rsidRPr="00C07A74">
        <w:rPr>
          <w:rFonts w:ascii="Cambria" w:hAnsi="Cambria"/>
          <w:sz w:val="16"/>
          <w:szCs w:val="16"/>
          <w:lang w:val="es-ES_tradnl"/>
        </w:rPr>
        <w:t xml:space="preserve"> 206. </w:t>
      </w:r>
    </w:p>
  </w:footnote>
  <w:footnote w:id="72">
    <w:p w14:paraId="7AA69B4C" w14:textId="77777777" w:rsidR="00540E3D" w:rsidRPr="00C07A74" w:rsidRDefault="00540E3D" w:rsidP="00540E3D">
      <w:pPr>
        <w:pStyle w:val="FootnoteText"/>
        <w:spacing w:after="0" w:line="240" w:lineRule="auto"/>
        <w:jc w:val="both"/>
        <w:rPr>
          <w:rFonts w:ascii="Cambria" w:hAnsi="Cambria"/>
          <w:sz w:val="16"/>
          <w:szCs w:val="16"/>
          <w:lang w:val="es-ES_tradnl"/>
        </w:rPr>
      </w:pPr>
      <w:r w:rsidRPr="00C07A74">
        <w:rPr>
          <w:rStyle w:val="FootnoteReference"/>
          <w:rFonts w:ascii="Cambria" w:hAnsi="Cambria"/>
          <w:sz w:val="16"/>
          <w:szCs w:val="16"/>
          <w:lang w:val="es-ES_tradnl"/>
        </w:rPr>
        <w:footnoteRef/>
      </w:r>
      <w:r w:rsidRPr="00C07A74">
        <w:rPr>
          <w:rFonts w:ascii="Cambria" w:hAnsi="Cambria"/>
          <w:sz w:val="16"/>
          <w:szCs w:val="16"/>
          <w:lang w:val="es-ES_tradnl"/>
        </w:rPr>
        <w:t xml:space="preserve"> Véase al respecto, CIDH Informe No. 52/13, Casos 11.575, 12.333 y 12.341, Fondo (Publicación), </w:t>
      </w:r>
      <w:proofErr w:type="spellStart"/>
      <w:r w:rsidRPr="00C07A74">
        <w:rPr>
          <w:rFonts w:ascii="Cambria" w:hAnsi="Cambria"/>
          <w:sz w:val="16"/>
          <w:szCs w:val="16"/>
          <w:lang w:val="es-ES_tradnl"/>
        </w:rPr>
        <w:t>Clarence</w:t>
      </w:r>
      <w:proofErr w:type="spellEnd"/>
      <w:r w:rsidRPr="00C07A74">
        <w:rPr>
          <w:rFonts w:ascii="Cambria" w:hAnsi="Cambria"/>
          <w:sz w:val="16"/>
          <w:szCs w:val="16"/>
          <w:lang w:val="es-ES_tradnl"/>
        </w:rPr>
        <w:t xml:space="preserve"> Allen </w:t>
      </w:r>
      <w:proofErr w:type="spellStart"/>
      <w:r w:rsidRPr="00C07A74">
        <w:rPr>
          <w:rFonts w:ascii="Cambria" w:hAnsi="Cambria"/>
          <w:sz w:val="16"/>
          <w:szCs w:val="16"/>
          <w:lang w:val="es-ES_tradnl"/>
        </w:rPr>
        <w:t>Lackey</w:t>
      </w:r>
      <w:proofErr w:type="spellEnd"/>
      <w:r w:rsidRPr="00C07A74">
        <w:rPr>
          <w:rFonts w:ascii="Cambria" w:hAnsi="Cambria"/>
          <w:sz w:val="16"/>
          <w:szCs w:val="16"/>
          <w:lang w:val="es-ES_tradnl"/>
        </w:rPr>
        <w:t xml:space="preserve"> et al, Miguel </w:t>
      </w:r>
      <w:r w:rsidR="00BC11C2" w:rsidRPr="00C07A74">
        <w:rPr>
          <w:rFonts w:ascii="Cambria" w:hAnsi="Cambria"/>
          <w:sz w:val="16"/>
          <w:szCs w:val="16"/>
          <w:lang w:val="es-ES_tradnl"/>
        </w:rPr>
        <w:t>Ángel</w:t>
      </w:r>
      <w:r w:rsidRPr="00C07A74">
        <w:rPr>
          <w:rFonts w:ascii="Cambria" w:hAnsi="Cambria"/>
          <w:sz w:val="16"/>
          <w:szCs w:val="16"/>
          <w:lang w:val="es-ES_tradnl"/>
        </w:rPr>
        <w:t xml:space="preserve"> Flores, y James Wilson Chambers, Estados Unidos, 15 de julio de 2013, par. 206. </w:t>
      </w:r>
    </w:p>
  </w:footnote>
  <w:footnote w:id="73">
    <w:p w14:paraId="64A0BBBA" w14:textId="77777777" w:rsidR="00540E3D" w:rsidRPr="00C07A74" w:rsidRDefault="00540E3D" w:rsidP="00540E3D">
      <w:pPr>
        <w:pStyle w:val="FootnoteText"/>
        <w:spacing w:after="0" w:line="240" w:lineRule="auto"/>
        <w:jc w:val="both"/>
        <w:rPr>
          <w:rFonts w:ascii="Cambria" w:hAnsi="Cambria"/>
          <w:sz w:val="16"/>
          <w:szCs w:val="16"/>
          <w:lang w:val="es-ES_tradnl"/>
        </w:rPr>
      </w:pPr>
      <w:r w:rsidRPr="00C07A74">
        <w:rPr>
          <w:rStyle w:val="FootnoteReference"/>
          <w:rFonts w:ascii="Cambria" w:hAnsi="Cambria"/>
          <w:sz w:val="16"/>
          <w:szCs w:val="16"/>
          <w:lang w:val="es-ES_tradnl"/>
        </w:rPr>
        <w:footnoteRef/>
      </w:r>
      <w:r w:rsidRPr="00C07A74">
        <w:rPr>
          <w:rFonts w:ascii="Cambria" w:hAnsi="Cambria"/>
          <w:sz w:val="16"/>
          <w:szCs w:val="16"/>
          <w:lang w:val="es-ES_tradnl"/>
        </w:rPr>
        <w:t xml:space="preserve"> Comité de Derechos Humanos, </w:t>
      </w:r>
      <w:proofErr w:type="spellStart"/>
      <w:r w:rsidRPr="00C07A74">
        <w:rPr>
          <w:rFonts w:ascii="Cambria" w:hAnsi="Cambria"/>
          <w:sz w:val="16"/>
          <w:szCs w:val="16"/>
          <w:lang w:val="es-ES_tradnl"/>
        </w:rPr>
        <w:t>Sahadath</w:t>
      </w:r>
      <w:proofErr w:type="spellEnd"/>
      <w:r w:rsidRPr="00C07A74">
        <w:rPr>
          <w:rFonts w:ascii="Cambria" w:hAnsi="Cambria"/>
          <w:sz w:val="16"/>
          <w:szCs w:val="16"/>
          <w:lang w:val="es-ES_tradnl"/>
        </w:rPr>
        <w:t xml:space="preserve"> v. Trinidad y Tobago, Comunicación No. 684/1996, 2 de abril de 2002, </w:t>
      </w:r>
      <w:r w:rsidRPr="00C07A74">
        <w:rPr>
          <w:rFonts w:ascii="Cambria" w:hAnsi="Cambria" w:cs="TTE27CA0E8t00"/>
          <w:sz w:val="16"/>
          <w:szCs w:val="16"/>
          <w:lang w:val="es-ES_tradnl"/>
        </w:rPr>
        <w:t xml:space="preserve">CCPR/C/74/D/684/1996, </w:t>
      </w:r>
      <w:r w:rsidR="00BC11C2" w:rsidRPr="00C07A74">
        <w:rPr>
          <w:rFonts w:ascii="Cambria" w:hAnsi="Cambria" w:cs="TTE27CA0E8t00"/>
          <w:sz w:val="16"/>
          <w:szCs w:val="16"/>
          <w:lang w:val="es-ES_tradnl"/>
        </w:rPr>
        <w:t>párr.</w:t>
      </w:r>
      <w:r w:rsidRPr="00C07A74">
        <w:rPr>
          <w:rFonts w:ascii="Cambria" w:hAnsi="Cambria" w:cs="TTE27CA0E8t00"/>
          <w:sz w:val="16"/>
          <w:szCs w:val="16"/>
          <w:lang w:val="es-ES_tradnl"/>
        </w:rPr>
        <w:t xml:space="preserve"> 7.2.</w:t>
      </w:r>
    </w:p>
  </w:footnote>
  <w:footnote w:id="74">
    <w:p w14:paraId="054EB800" w14:textId="77777777" w:rsidR="00540E3D" w:rsidRPr="00C07A74" w:rsidRDefault="00540E3D" w:rsidP="00540E3D">
      <w:pPr>
        <w:pStyle w:val="FootnoteText"/>
        <w:spacing w:after="0" w:line="240" w:lineRule="auto"/>
        <w:jc w:val="both"/>
        <w:rPr>
          <w:rFonts w:ascii="Cambria" w:hAnsi="Cambria"/>
          <w:sz w:val="16"/>
          <w:szCs w:val="16"/>
          <w:lang w:val="es-ES_tradnl"/>
        </w:rPr>
      </w:pPr>
      <w:r w:rsidRPr="00C07A74">
        <w:rPr>
          <w:rStyle w:val="FootnoteReference"/>
          <w:rFonts w:ascii="Cambria" w:hAnsi="Cambria"/>
          <w:sz w:val="16"/>
          <w:szCs w:val="16"/>
          <w:lang w:val="es-ES_tradnl"/>
        </w:rPr>
        <w:footnoteRef/>
      </w:r>
      <w:r w:rsidRPr="00C07A74">
        <w:rPr>
          <w:rFonts w:ascii="Cambria" w:hAnsi="Cambria"/>
          <w:sz w:val="16"/>
          <w:szCs w:val="16"/>
          <w:lang w:val="es-ES_tradnl"/>
        </w:rPr>
        <w:t xml:space="preserve"> Salvaguardias para garantizar la protección de los derechos de los condenados a la pena de muerte, Consejo Económico y Social, Res. 1984/50, Anexo, 1984 U.N. ESCOR </w:t>
      </w:r>
      <w:proofErr w:type="spellStart"/>
      <w:r w:rsidRPr="00C07A74">
        <w:rPr>
          <w:rFonts w:ascii="Cambria" w:hAnsi="Cambria"/>
          <w:sz w:val="16"/>
          <w:szCs w:val="16"/>
          <w:lang w:val="es-ES_tradnl"/>
        </w:rPr>
        <w:t>Supp</w:t>
      </w:r>
      <w:proofErr w:type="spellEnd"/>
      <w:r w:rsidRPr="00C07A74">
        <w:rPr>
          <w:rFonts w:ascii="Cambria" w:hAnsi="Cambria"/>
          <w:sz w:val="16"/>
          <w:szCs w:val="16"/>
          <w:lang w:val="es-ES_tradnl"/>
        </w:rPr>
        <w:t>. (No. 1) p 33, U.N. Doc. E/1984/84 (1984).</w:t>
      </w:r>
    </w:p>
  </w:footnote>
  <w:footnote w:id="75">
    <w:p w14:paraId="37F57AEB" w14:textId="77777777" w:rsidR="00540E3D" w:rsidRPr="00C07A74" w:rsidRDefault="00540E3D" w:rsidP="00540E3D">
      <w:pPr>
        <w:pStyle w:val="FootnoteText"/>
        <w:spacing w:after="0" w:line="240" w:lineRule="auto"/>
        <w:jc w:val="both"/>
        <w:rPr>
          <w:rFonts w:ascii="Cambria" w:hAnsi="Cambria"/>
          <w:sz w:val="16"/>
          <w:szCs w:val="16"/>
          <w:lang w:val="es-ES_tradnl"/>
        </w:rPr>
      </w:pPr>
      <w:r w:rsidRPr="00C07A74">
        <w:rPr>
          <w:rStyle w:val="FootnoteReference"/>
          <w:rFonts w:ascii="Cambria" w:hAnsi="Cambria"/>
          <w:sz w:val="16"/>
          <w:szCs w:val="16"/>
          <w:lang w:val="es-ES_tradnl"/>
        </w:rPr>
        <w:footnoteRef/>
      </w:r>
      <w:r w:rsidRPr="00C07A74">
        <w:rPr>
          <w:rFonts w:ascii="Cambria" w:hAnsi="Cambria"/>
          <w:sz w:val="16"/>
          <w:szCs w:val="16"/>
          <w:lang w:val="es-ES_tradnl"/>
        </w:rPr>
        <w:t xml:space="preserve"> Comisión de Derechos Humanos, Naciones Unidas, Promoción y Protección de los Derechos Humanos, Cuestión de la pena capital, E/CN4/2005/L.77, 14 de abril de 2005, párrafo 7(c). </w:t>
      </w:r>
    </w:p>
  </w:footnote>
  <w:footnote w:id="76">
    <w:p w14:paraId="5F795592" w14:textId="77777777" w:rsidR="00540E3D" w:rsidRPr="00C07A74" w:rsidRDefault="00540E3D" w:rsidP="00540E3D">
      <w:pPr>
        <w:pStyle w:val="FootnoteText"/>
        <w:spacing w:after="0" w:line="240" w:lineRule="auto"/>
        <w:jc w:val="both"/>
        <w:rPr>
          <w:rFonts w:ascii="Cambria" w:hAnsi="Cambria"/>
          <w:sz w:val="16"/>
          <w:szCs w:val="16"/>
          <w:lang w:val="es-ES_tradnl"/>
        </w:rPr>
      </w:pPr>
      <w:r w:rsidRPr="00C07A74">
        <w:rPr>
          <w:rStyle w:val="FootnoteReference"/>
          <w:rFonts w:ascii="Cambria" w:hAnsi="Cambria"/>
          <w:sz w:val="16"/>
          <w:szCs w:val="16"/>
          <w:lang w:val="es-ES_tradnl"/>
        </w:rPr>
        <w:footnoteRef/>
      </w:r>
      <w:r w:rsidRPr="00C07A74">
        <w:rPr>
          <w:rFonts w:ascii="Cambria" w:hAnsi="Cambria"/>
          <w:sz w:val="16"/>
          <w:szCs w:val="16"/>
          <w:lang w:val="es-ES_tradnl"/>
        </w:rPr>
        <w:t xml:space="preserve"> Informe provisional del Relator Especial sobre la tortura y otros tratos o penas crueles, inhumanos o degradantes, A/67/279, 9 de agosto de 2012, </w:t>
      </w:r>
      <w:r w:rsidR="00A40BFE" w:rsidRPr="00C07A74">
        <w:rPr>
          <w:rFonts w:ascii="Cambria" w:hAnsi="Cambria"/>
          <w:sz w:val="16"/>
          <w:szCs w:val="16"/>
          <w:lang w:val="es-ES_tradnl"/>
        </w:rPr>
        <w:t>párr.</w:t>
      </w:r>
      <w:r w:rsidRPr="00C07A74">
        <w:rPr>
          <w:rFonts w:ascii="Cambria" w:hAnsi="Cambria"/>
          <w:sz w:val="16"/>
          <w:szCs w:val="16"/>
          <w:lang w:val="es-ES_tradnl"/>
        </w:rPr>
        <w:t xml:space="preserve"> 58. </w:t>
      </w:r>
    </w:p>
  </w:footnote>
  <w:footnote w:id="77">
    <w:p w14:paraId="4CD4B7D3" w14:textId="77777777" w:rsidR="00540E3D" w:rsidRPr="00C07A74" w:rsidRDefault="00540E3D" w:rsidP="00540E3D">
      <w:pPr>
        <w:pStyle w:val="FootnoteText"/>
        <w:spacing w:after="0" w:line="240" w:lineRule="auto"/>
        <w:jc w:val="both"/>
        <w:rPr>
          <w:rFonts w:ascii="Cambria" w:hAnsi="Cambria"/>
          <w:sz w:val="16"/>
          <w:szCs w:val="16"/>
          <w:lang w:val="es-ES_tradnl"/>
        </w:rPr>
      </w:pPr>
      <w:r w:rsidRPr="00C07A74">
        <w:rPr>
          <w:rStyle w:val="FootnoteReference"/>
          <w:rFonts w:ascii="Cambria" w:hAnsi="Cambria"/>
          <w:sz w:val="16"/>
          <w:szCs w:val="16"/>
          <w:lang w:val="es-ES_tradnl"/>
        </w:rPr>
        <w:footnoteRef/>
      </w:r>
      <w:r w:rsidRPr="00C07A74">
        <w:rPr>
          <w:rFonts w:ascii="Cambria" w:hAnsi="Cambria"/>
          <w:sz w:val="16"/>
          <w:szCs w:val="16"/>
          <w:lang w:val="es-ES_tradnl"/>
        </w:rPr>
        <w:t xml:space="preserve"> Oficina del Alto Comisionado para los Derechos Humanos, “</w:t>
      </w:r>
      <w:proofErr w:type="spellStart"/>
      <w:r w:rsidRPr="00C07A74">
        <w:rPr>
          <w:rFonts w:ascii="Cambria" w:hAnsi="Cambria"/>
          <w:sz w:val="16"/>
          <w:szCs w:val="16"/>
          <w:lang w:val="es-ES_tradnl"/>
        </w:rPr>
        <w:t>Death</w:t>
      </w:r>
      <w:proofErr w:type="spellEnd"/>
      <w:r w:rsidRPr="00C07A74">
        <w:rPr>
          <w:rFonts w:ascii="Cambria" w:hAnsi="Cambria"/>
          <w:sz w:val="16"/>
          <w:szCs w:val="16"/>
          <w:lang w:val="es-ES_tradnl"/>
        </w:rPr>
        <w:t xml:space="preserve"> </w:t>
      </w:r>
      <w:proofErr w:type="spellStart"/>
      <w:r w:rsidRPr="00C07A74">
        <w:rPr>
          <w:rFonts w:ascii="Cambria" w:hAnsi="Cambria"/>
          <w:sz w:val="16"/>
          <w:szCs w:val="16"/>
          <w:lang w:val="es-ES_tradnl"/>
        </w:rPr>
        <w:t>row</w:t>
      </w:r>
      <w:proofErr w:type="spellEnd"/>
      <w:r w:rsidRPr="00C07A74">
        <w:rPr>
          <w:rFonts w:ascii="Cambria" w:hAnsi="Cambria"/>
          <w:sz w:val="16"/>
          <w:szCs w:val="16"/>
          <w:lang w:val="es-ES_tradnl"/>
        </w:rPr>
        <w:t xml:space="preserve">: U.N. </w:t>
      </w:r>
      <w:proofErr w:type="spellStart"/>
      <w:r w:rsidRPr="00C07A74">
        <w:rPr>
          <w:rFonts w:ascii="Cambria" w:hAnsi="Cambria"/>
          <w:sz w:val="16"/>
          <w:szCs w:val="16"/>
          <w:lang w:val="es-ES_tradnl"/>
        </w:rPr>
        <w:t>expert</w:t>
      </w:r>
      <w:proofErr w:type="spellEnd"/>
      <w:r w:rsidRPr="00C07A74">
        <w:rPr>
          <w:rFonts w:ascii="Cambria" w:hAnsi="Cambria"/>
          <w:sz w:val="16"/>
          <w:szCs w:val="16"/>
          <w:lang w:val="es-ES_tradnl"/>
        </w:rPr>
        <w:t xml:space="preserve"> urges U.S. </w:t>
      </w:r>
      <w:proofErr w:type="spellStart"/>
      <w:r w:rsidRPr="00C07A74">
        <w:rPr>
          <w:rFonts w:ascii="Cambria" w:hAnsi="Cambria"/>
          <w:sz w:val="16"/>
          <w:szCs w:val="16"/>
          <w:lang w:val="es-ES_tradnl"/>
        </w:rPr>
        <w:t>authorities</w:t>
      </w:r>
      <w:proofErr w:type="spellEnd"/>
      <w:r w:rsidRPr="00C07A74">
        <w:rPr>
          <w:rFonts w:ascii="Cambria" w:hAnsi="Cambria"/>
          <w:sz w:val="16"/>
          <w:szCs w:val="16"/>
          <w:lang w:val="es-ES_tradnl"/>
        </w:rPr>
        <w:t xml:space="preserve"> </w:t>
      </w:r>
      <w:proofErr w:type="spellStart"/>
      <w:r w:rsidRPr="00C07A74">
        <w:rPr>
          <w:rFonts w:ascii="Cambria" w:hAnsi="Cambria"/>
          <w:sz w:val="16"/>
          <w:szCs w:val="16"/>
          <w:lang w:val="es-ES_tradnl"/>
        </w:rPr>
        <w:t>to</w:t>
      </w:r>
      <w:proofErr w:type="spellEnd"/>
      <w:r w:rsidRPr="00C07A74">
        <w:rPr>
          <w:rFonts w:ascii="Cambria" w:hAnsi="Cambria"/>
          <w:sz w:val="16"/>
          <w:szCs w:val="16"/>
          <w:lang w:val="es-ES_tradnl"/>
        </w:rPr>
        <w:t xml:space="preserve"> stop </w:t>
      </w:r>
      <w:proofErr w:type="spellStart"/>
      <w:r w:rsidRPr="00C07A74">
        <w:rPr>
          <w:rFonts w:ascii="Cambria" w:hAnsi="Cambria"/>
          <w:sz w:val="16"/>
          <w:szCs w:val="16"/>
          <w:lang w:val="es-ES_tradnl"/>
        </w:rPr>
        <w:t>execution</w:t>
      </w:r>
      <w:proofErr w:type="spellEnd"/>
      <w:r w:rsidRPr="00C07A74">
        <w:rPr>
          <w:rFonts w:ascii="Cambria" w:hAnsi="Cambria"/>
          <w:sz w:val="16"/>
          <w:szCs w:val="16"/>
          <w:lang w:val="es-ES_tradnl"/>
        </w:rPr>
        <w:t xml:space="preserve"> of </w:t>
      </w:r>
      <w:proofErr w:type="spellStart"/>
      <w:r w:rsidRPr="00C07A74">
        <w:rPr>
          <w:rFonts w:ascii="Cambria" w:hAnsi="Cambria"/>
          <w:sz w:val="16"/>
          <w:szCs w:val="16"/>
          <w:lang w:val="es-ES_tradnl"/>
        </w:rPr>
        <w:t>two</w:t>
      </w:r>
      <w:proofErr w:type="spellEnd"/>
      <w:r w:rsidRPr="00C07A74">
        <w:rPr>
          <w:rFonts w:ascii="Cambria" w:hAnsi="Cambria"/>
          <w:sz w:val="16"/>
          <w:szCs w:val="16"/>
          <w:lang w:val="es-ES_tradnl"/>
        </w:rPr>
        <w:t xml:space="preserve"> </w:t>
      </w:r>
      <w:proofErr w:type="spellStart"/>
      <w:r w:rsidRPr="00C07A74">
        <w:rPr>
          <w:rFonts w:ascii="Cambria" w:hAnsi="Cambria"/>
          <w:sz w:val="16"/>
          <w:szCs w:val="16"/>
          <w:lang w:val="es-ES_tradnl"/>
        </w:rPr>
        <w:t>persons</w:t>
      </w:r>
      <w:proofErr w:type="spellEnd"/>
      <w:r w:rsidRPr="00C07A74">
        <w:rPr>
          <w:rFonts w:ascii="Cambria" w:hAnsi="Cambria"/>
          <w:sz w:val="16"/>
          <w:szCs w:val="16"/>
          <w:lang w:val="es-ES_tradnl"/>
        </w:rPr>
        <w:t xml:space="preserve"> </w:t>
      </w:r>
      <w:proofErr w:type="spellStart"/>
      <w:r w:rsidRPr="00C07A74">
        <w:rPr>
          <w:rFonts w:ascii="Cambria" w:hAnsi="Cambria"/>
          <w:sz w:val="16"/>
          <w:szCs w:val="16"/>
          <w:lang w:val="es-ES_tradnl"/>
        </w:rPr>
        <w:t>with</w:t>
      </w:r>
      <w:proofErr w:type="spellEnd"/>
      <w:r w:rsidRPr="00C07A74">
        <w:rPr>
          <w:rFonts w:ascii="Cambria" w:hAnsi="Cambria"/>
          <w:sz w:val="16"/>
          <w:szCs w:val="16"/>
          <w:lang w:val="es-ES_tradnl"/>
        </w:rPr>
        <w:t xml:space="preserve"> </w:t>
      </w:r>
      <w:proofErr w:type="spellStart"/>
      <w:r w:rsidRPr="00C07A74">
        <w:rPr>
          <w:rFonts w:ascii="Cambria" w:hAnsi="Cambria"/>
          <w:sz w:val="16"/>
          <w:szCs w:val="16"/>
          <w:lang w:val="es-ES_tradnl"/>
        </w:rPr>
        <w:t>psychosocial</w:t>
      </w:r>
      <w:proofErr w:type="spellEnd"/>
      <w:r w:rsidRPr="00C07A74">
        <w:rPr>
          <w:rFonts w:ascii="Cambria" w:hAnsi="Cambria"/>
          <w:sz w:val="16"/>
          <w:szCs w:val="16"/>
          <w:lang w:val="es-ES_tradnl"/>
        </w:rPr>
        <w:t xml:space="preserve"> </w:t>
      </w:r>
      <w:proofErr w:type="spellStart"/>
      <w:r w:rsidRPr="00C07A74">
        <w:rPr>
          <w:rFonts w:ascii="Cambria" w:hAnsi="Cambria"/>
          <w:sz w:val="16"/>
          <w:szCs w:val="16"/>
          <w:lang w:val="es-ES_tradnl"/>
        </w:rPr>
        <w:t>disabilities</w:t>
      </w:r>
      <w:proofErr w:type="spellEnd"/>
      <w:r w:rsidRPr="00C07A74">
        <w:rPr>
          <w:rFonts w:ascii="Cambria" w:hAnsi="Cambria"/>
          <w:sz w:val="16"/>
          <w:szCs w:val="16"/>
          <w:lang w:val="es-ES_tradnl"/>
        </w:rPr>
        <w:t xml:space="preserve">”, 17 de julio de 2012. </w:t>
      </w:r>
    </w:p>
  </w:footnote>
  <w:footnote w:id="78">
    <w:p w14:paraId="179D082D" w14:textId="77777777" w:rsidR="00540E3D" w:rsidRPr="001D36DC" w:rsidRDefault="00540E3D" w:rsidP="00540E3D">
      <w:pPr>
        <w:autoSpaceDE w:val="0"/>
        <w:autoSpaceDN w:val="0"/>
        <w:adjustRightInd w:val="0"/>
        <w:spacing w:after="0" w:line="240" w:lineRule="auto"/>
        <w:jc w:val="both"/>
        <w:rPr>
          <w:rFonts w:ascii="Cambria" w:hAnsi="Cambria" w:cs="Arial"/>
          <w:sz w:val="16"/>
          <w:szCs w:val="16"/>
          <w:lang w:val="en-US"/>
        </w:rPr>
      </w:pPr>
      <w:r w:rsidRPr="00C07A74">
        <w:rPr>
          <w:rStyle w:val="FootnoteReference"/>
          <w:rFonts w:ascii="Cambria" w:hAnsi="Cambria" w:cs="Arial"/>
          <w:sz w:val="16"/>
          <w:szCs w:val="16"/>
          <w:lang w:val="es-ES_tradnl"/>
        </w:rPr>
        <w:footnoteRef/>
      </w:r>
      <w:r w:rsidRPr="001D36DC">
        <w:rPr>
          <w:rFonts w:ascii="Cambria" w:hAnsi="Cambria" w:cs="Arial"/>
          <w:sz w:val="16"/>
          <w:szCs w:val="16"/>
          <w:lang w:val="en-US"/>
        </w:rPr>
        <w:t xml:space="preserve"> </w:t>
      </w:r>
      <w:r w:rsidRPr="001D36DC">
        <w:rPr>
          <w:rFonts w:ascii="Cambria" w:hAnsi="Cambria" w:cs="Arial"/>
          <w:i/>
          <w:iCs/>
          <w:sz w:val="16"/>
          <w:szCs w:val="16"/>
          <w:lang w:val="en-US"/>
        </w:rPr>
        <w:t>Atkins v. Virginia</w:t>
      </w:r>
      <w:r w:rsidRPr="001D36DC">
        <w:rPr>
          <w:rFonts w:ascii="Cambria" w:hAnsi="Cambria" w:cs="Arial"/>
          <w:sz w:val="16"/>
          <w:szCs w:val="16"/>
          <w:lang w:val="en-US"/>
        </w:rPr>
        <w:t>, 536 U.S. 304 (2002).</w:t>
      </w:r>
    </w:p>
  </w:footnote>
  <w:footnote w:id="79">
    <w:p w14:paraId="7E4F56BF" w14:textId="77777777" w:rsidR="00540E3D" w:rsidRPr="001D36DC" w:rsidRDefault="00540E3D" w:rsidP="00540E3D">
      <w:pPr>
        <w:pStyle w:val="FootnoteText"/>
        <w:spacing w:after="0" w:line="240" w:lineRule="auto"/>
        <w:jc w:val="both"/>
        <w:rPr>
          <w:rFonts w:ascii="Cambria" w:hAnsi="Cambria"/>
          <w:sz w:val="16"/>
          <w:szCs w:val="16"/>
          <w:lang w:val="en-US"/>
        </w:rPr>
      </w:pPr>
      <w:r w:rsidRPr="00C07A74">
        <w:rPr>
          <w:rStyle w:val="FootnoteReference"/>
          <w:rFonts w:ascii="Cambria" w:hAnsi="Cambria" w:cs="Arial"/>
          <w:sz w:val="16"/>
          <w:szCs w:val="16"/>
          <w:lang w:val="es-ES_tradnl"/>
        </w:rPr>
        <w:footnoteRef/>
      </w:r>
      <w:r w:rsidRPr="001D36DC">
        <w:rPr>
          <w:rFonts w:ascii="Cambria" w:hAnsi="Cambria" w:cs="Arial"/>
          <w:sz w:val="16"/>
          <w:szCs w:val="16"/>
          <w:lang w:val="en-US"/>
        </w:rPr>
        <w:t xml:space="preserve"> </w:t>
      </w:r>
      <w:r w:rsidRPr="001D36DC">
        <w:rPr>
          <w:rFonts w:ascii="Cambria" w:hAnsi="Cambria" w:cs="Arial"/>
          <w:i/>
          <w:iCs/>
          <w:sz w:val="16"/>
          <w:szCs w:val="16"/>
          <w:lang w:val="en-US"/>
        </w:rPr>
        <w:t>Atkins v. Virginia</w:t>
      </w:r>
      <w:r w:rsidRPr="001D36DC">
        <w:rPr>
          <w:rFonts w:ascii="Cambria" w:hAnsi="Cambria" w:cs="Arial"/>
          <w:sz w:val="16"/>
          <w:szCs w:val="16"/>
          <w:lang w:val="en-US"/>
        </w:rPr>
        <w:t>, 536 U.S. 304 (2002) p</w:t>
      </w:r>
      <w:r w:rsidR="00172E91" w:rsidRPr="001D36DC">
        <w:rPr>
          <w:rFonts w:ascii="Cambria" w:hAnsi="Cambria" w:cs="Arial"/>
          <w:sz w:val="16"/>
          <w:szCs w:val="16"/>
          <w:lang w:val="en-US"/>
        </w:rPr>
        <w:t>.</w:t>
      </w:r>
      <w:r w:rsidRPr="001D36DC">
        <w:rPr>
          <w:rFonts w:ascii="Cambria" w:hAnsi="Cambria" w:cs="Arial"/>
          <w:sz w:val="16"/>
          <w:szCs w:val="16"/>
          <w:lang w:val="en-US"/>
        </w:rPr>
        <w:t xml:space="preserve"> 311-317.</w:t>
      </w:r>
    </w:p>
  </w:footnote>
  <w:footnote w:id="80">
    <w:p w14:paraId="44BFEAA0" w14:textId="77777777" w:rsidR="00540E3D" w:rsidRPr="00C07A74" w:rsidRDefault="00540E3D" w:rsidP="00540E3D">
      <w:pPr>
        <w:pStyle w:val="FootnoteText"/>
        <w:spacing w:after="0" w:line="240" w:lineRule="auto"/>
        <w:rPr>
          <w:rFonts w:ascii="Cambria" w:hAnsi="Cambria"/>
          <w:sz w:val="16"/>
          <w:szCs w:val="16"/>
          <w:lang w:val="es-ES_tradnl"/>
        </w:rPr>
      </w:pPr>
      <w:r w:rsidRPr="00C07A74">
        <w:rPr>
          <w:rStyle w:val="FootnoteReference"/>
          <w:rFonts w:ascii="Cambria" w:hAnsi="Cambria"/>
          <w:sz w:val="16"/>
          <w:szCs w:val="16"/>
          <w:lang w:val="es-ES_tradnl"/>
        </w:rPr>
        <w:footnoteRef/>
      </w:r>
      <w:r w:rsidRPr="00C07A74">
        <w:rPr>
          <w:rFonts w:ascii="Cambria" w:hAnsi="Cambria"/>
          <w:sz w:val="16"/>
          <w:szCs w:val="16"/>
          <w:lang w:val="es-ES_tradnl"/>
        </w:rPr>
        <w:t xml:space="preserve"> Carol M. Romney, </w:t>
      </w:r>
      <w:proofErr w:type="spellStart"/>
      <w:r w:rsidRPr="00C07A74">
        <w:rPr>
          <w:rFonts w:ascii="Cambria" w:hAnsi="Cambria"/>
          <w:sz w:val="16"/>
          <w:szCs w:val="16"/>
          <w:lang w:val="es-ES_tradnl"/>
        </w:rPr>
        <w:t>Ph</w:t>
      </w:r>
      <w:proofErr w:type="spellEnd"/>
      <w:r w:rsidRPr="00C07A74">
        <w:rPr>
          <w:rFonts w:ascii="Cambria" w:hAnsi="Cambria"/>
          <w:sz w:val="16"/>
          <w:szCs w:val="16"/>
          <w:lang w:val="es-ES_tradnl"/>
        </w:rPr>
        <w:t>. D., declaración jurada del 18 de septiembre de 2006.</w:t>
      </w:r>
    </w:p>
  </w:footnote>
  <w:footnote w:id="81">
    <w:p w14:paraId="1198E51A" w14:textId="77777777" w:rsidR="00540E3D" w:rsidRPr="00C07A74" w:rsidRDefault="00540E3D" w:rsidP="00540E3D">
      <w:pPr>
        <w:spacing w:after="0" w:line="240" w:lineRule="auto"/>
        <w:jc w:val="both"/>
        <w:rPr>
          <w:rFonts w:ascii="Cambria" w:hAnsi="Cambria"/>
          <w:sz w:val="16"/>
          <w:szCs w:val="16"/>
          <w:lang w:val="es-ES_tradnl"/>
        </w:rPr>
      </w:pPr>
      <w:r w:rsidRPr="00C07A74">
        <w:rPr>
          <w:rStyle w:val="FootnoteReference"/>
          <w:rFonts w:ascii="Cambria" w:hAnsi="Cambria"/>
          <w:sz w:val="16"/>
          <w:szCs w:val="16"/>
          <w:lang w:val="es-ES_tradnl"/>
        </w:rPr>
        <w:footnoteRef/>
      </w:r>
      <w:r w:rsidRPr="00C07A74">
        <w:rPr>
          <w:rFonts w:ascii="Cambria" w:hAnsi="Cambria"/>
          <w:sz w:val="16"/>
          <w:szCs w:val="16"/>
          <w:lang w:val="es-ES_tradnl"/>
        </w:rPr>
        <w:t xml:space="preserve"> Véase CIDH Informe No. 77/09, Petición 1349-07, Admisibilidad, Orlando </w:t>
      </w:r>
      <w:proofErr w:type="spellStart"/>
      <w:r w:rsidRPr="00C07A74">
        <w:rPr>
          <w:rFonts w:ascii="Cambria" w:hAnsi="Cambria"/>
          <w:sz w:val="16"/>
          <w:szCs w:val="16"/>
          <w:lang w:val="es-ES_tradnl"/>
        </w:rPr>
        <w:t>Cordia</w:t>
      </w:r>
      <w:proofErr w:type="spellEnd"/>
      <w:r w:rsidRPr="00C07A74">
        <w:rPr>
          <w:rFonts w:ascii="Cambria" w:hAnsi="Cambria"/>
          <w:sz w:val="16"/>
          <w:szCs w:val="16"/>
          <w:lang w:val="es-ES_tradnl"/>
        </w:rPr>
        <w:t xml:space="preserve"> Hall, Estados Unidos, 5 de agosto de 2009, </w:t>
      </w:r>
      <w:r w:rsidR="007E5085" w:rsidRPr="00C07A74">
        <w:rPr>
          <w:rFonts w:ascii="Cambria" w:hAnsi="Cambria"/>
          <w:sz w:val="16"/>
          <w:szCs w:val="16"/>
          <w:lang w:val="es-ES_tradnl"/>
        </w:rPr>
        <w:t>párr.</w:t>
      </w:r>
      <w:r w:rsidRPr="00C07A74">
        <w:rPr>
          <w:rFonts w:ascii="Cambria" w:hAnsi="Cambria"/>
          <w:sz w:val="16"/>
          <w:szCs w:val="16"/>
          <w:lang w:val="es-ES_tradnl"/>
        </w:rPr>
        <w:t xml:space="preserve"> 47; Informe No.61/03, Petición 4446-02, Admisibilidad, Roberto Moreno Ramos, Estados Unidos, par. 66; Informe No. 41/00, Caso 12.023, Fondo, McKenzie </w:t>
      </w:r>
      <w:r w:rsidRPr="00C07A74">
        <w:rPr>
          <w:rFonts w:ascii="Cambria" w:hAnsi="Cambria"/>
          <w:i/>
          <w:iCs/>
          <w:sz w:val="16"/>
          <w:szCs w:val="16"/>
          <w:lang w:val="es-ES_tradnl"/>
        </w:rPr>
        <w:t>et al</w:t>
      </w:r>
      <w:r w:rsidRPr="00C07A74">
        <w:rPr>
          <w:rFonts w:ascii="Cambria" w:hAnsi="Cambria"/>
          <w:sz w:val="16"/>
          <w:szCs w:val="16"/>
          <w:lang w:val="es-ES_tradnl"/>
        </w:rPr>
        <w:t xml:space="preserve">., Jamaica, </w:t>
      </w:r>
      <w:proofErr w:type="spellStart"/>
      <w:r w:rsidRPr="00C07A74">
        <w:rPr>
          <w:rFonts w:ascii="Cambria" w:hAnsi="Cambria"/>
          <w:sz w:val="16"/>
          <w:szCs w:val="16"/>
          <w:lang w:val="es-ES_tradnl"/>
        </w:rPr>
        <w:t>p</w:t>
      </w:r>
      <w:r w:rsidR="007E5085">
        <w:rPr>
          <w:rFonts w:ascii="Cambria" w:hAnsi="Cambria"/>
          <w:sz w:val="16"/>
          <w:szCs w:val="16"/>
          <w:lang w:val="es-ES_tradnl"/>
        </w:rPr>
        <w:t>á</w:t>
      </w:r>
      <w:r w:rsidRPr="00C07A74">
        <w:rPr>
          <w:rFonts w:ascii="Cambria" w:hAnsi="Cambria"/>
          <w:sz w:val="16"/>
          <w:szCs w:val="16"/>
          <w:lang w:val="es-ES_tradnl"/>
        </w:rPr>
        <w:t>rrs</w:t>
      </w:r>
      <w:proofErr w:type="spellEnd"/>
      <w:r w:rsidRPr="00C07A74">
        <w:rPr>
          <w:rFonts w:ascii="Cambria" w:hAnsi="Cambria"/>
          <w:sz w:val="16"/>
          <w:szCs w:val="16"/>
          <w:lang w:val="es-ES_tradnl"/>
        </w:rPr>
        <w:t xml:space="preserve">. 169 -171. </w:t>
      </w:r>
    </w:p>
  </w:footnote>
  <w:footnote w:id="82">
    <w:p w14:paraId="3199DC48" w14:textId="77777777" w:rsidR="00540E3D" w:rsidRPr="00C07A74" w:rsidRDefault="00540E3D" w:rsidP="00540E3D">
      <w:pPr>
        <w:pStyle w:val="FootnoteText"/>
        <w:spacing w:after="0" w:line="240" w:lineRule="auto"/>
        <w:jc w:val="both"/>
        <w:rPr>
          <w:rFonts w:ascii="Cambria" w:hAnsi="Cambria"/>
          <w:sz w:val="16"/>
          <w:szCs w:val="16"/>
          <w:vertAlign w:val="superscript"/>
          <w:lang w:val="es-ES_tradnl"/>
        </w:rPr>
      </w:pPr>
      <w:r w:rsidRPr="00C07A74">
        <w:rPr>
          <w:rStyle w:val="FootnoteReference"/>
          <w:rFonts w:ascii="Cambria" w:hAnsi="Cambria"/>
          <w:sz w:val="16"/>
          <w:szCs w:val="16"/>
          <w:lang w:val="es-ES_tradnl"/>
        </w:rPr>
        <w:footnoteRef/>
      </w:r>
      <w:r w:rsidRPr="00C07A74">
        <w:rPr>
          <w:rStyle w:val="FootnoteReference"/>
          <w:rFonts w:ascii="Cambria" w:hAnsi="Cambria"/>
          <w:sz w:val="16"/>
          <w:szCs w:val="16"/>
          <w:lang w:val="es-ES_tradnl"/>
        </w:rPr>
        <w:t xml:space="preserve"> </w:t>
      </w:r>
      <w:r w:rsidRPr="00C07A74">
        <w:rPr>
          <w:rFonts w:ascii="Cambria" w:hAnsi="Cambria"/>
          <w:sz w:val="16"/>
          <w:szCs w:val="16"/>
          <w:lang w:val="es-ES_tradnl"/>
        </w:rPr>
        <w:t>El Artículo XI de la Declaración Americana establece: “Toda persona tiene derecho a que su salud sea preservada por medidas sanitarias y sociales, relativas a la alimentación, el vestido, la vivienda y la asistencia médica, correspondientes al nivel que permitan los recursos públicos y los de la comunidad.”</w:t>
      </w:r>
    </w:p>
  </w:footnote>
  <w:footnote w:id="83">
    <w:p w14:paraId="76A474B8" w14:textId="77777777" w:rsidR="00540E3D" w:rsidRPr="00C07A74" w:rsidRDefault="00540E3D" w:rsidP="00540E3D">
      <w:pPr>
        <w:pStyle w:val="FootnoteText"/>
        <w:spacing w:after="0" w:line="240" w:lineRule="auto"/>
        <w:jc w:val="both"/>
        <w:rPr>
          <w:rFonts w:ascii="Cambria" w:hAnsi="Cambria"/>
          <w:sz w:val="16"/>
          <w:szCs w:val="16"/>
          <w:lang w:val="es-ES_tradnl"/>
        </w:rPr>
      </w:pPr>
      <w:r w:rsidRPr="00C07A74">
        <w:rPr>
          <w:rStyle w:val="FootnoteReference"/>
          <w:rFonts w:ascii="Cambria" w:hAnsi="Cambria"/>
          <w:sz w:val="16"/>
          <w:szCs w:val="16"/>
          <w:lang w:val="es-ES_tradnl"/>
        </w:rPr>
        <w:footnoteRef/>
      </w:r>
      <w:r w:rsidRPr="00C07A74">
        <w:rPr>
          <w:rStyle w:val="FootnoteReference"/>
          <w:rFonts w:ascii="Cambria" w:hAnsi="Cambria"/>
          <w:sz w:val="16"/>
          <w:szCs w:val="16"/>
          <w:lang w:val="es-ES_tradnl"/>
        </w:rPr>
        <w:t xml:space="preserve"> </w:t>
      </w:r>
      <w:r w:rsidRPr="00C07A74">
        <w:rPr>
          <w:rFonts w:ascii="Cambria" w:hAnsi="Cambria"/>
          <w:sz w:val="16"/>
          <w:szCs w:val="16"/>
          <w:lang w:val="es-ES_tradnl"/>
        </w:rPr>
        <w:t xml:space="preserve">CIDH, Informe No. 71/18, Caso 12.958. Fondo. Russell </w:t>
      </w:r>
      <w:proofErr w:type="spellStart"/>
      <w:r w:rsidRPr="00C07A74">
        <w:rPr>
          <w:rFonts w:ascii="Cambria" w:hAnsi="Cambria"/>
          <w:sz w:val="16"/>
          <w:szCs w:val="16"/>
          <w:lang w:val="es-ES_tradnl"/>
        </w:rPr>
        <w:t>Bucklew</w:t>
      </w:r>
      <w:proofErr w:type="spellEnd"/>
      <w:r w:rsidRPr="00C07A74">
        <w:rPr>
          <w:rFonts w:ascii="Cambria" w:hAnsi="Cambria"/>
          <w:sz w:val="16"/>
          <w:szCs w:val="16"/>
          <w:lang w:val="es-ES_tradnl"/>
        </w:rPr>
        <w:t xml:space="preserve">. Estados Unidos, 10 de mayo de 2018, </w:t>
      </w:r>
      <w:proofErr w:type="spellStart"/>
      <w:r w:rsidRPr="00C07A74">
        <w:rPr>
          <w:rFonts w:ascii="Cambria" w:hAnsi="Cambria"/>
          <w:sz w:val="16"/>
          <w:szCs w:val="16"/>
          <w:lang w:val="es-ES_tradnl"/>
        </w:rPr>
        <w:t>p</w:t>
      </w:r>
      <w:r w:rsidR="007E5085">
        <w:rPr>
          <w:rFonts w:ascii="Cambria" w:hAnsi="Cambria"/>
          <w:sz w:val="16"/>
          <w:szCs w:val="16"/>
          <w:lang w:val="es-ES_tradnl"/>
        </w:rPr>
        <w:t>á</w:t>
      </w:r>
      <w:r w:rsidRPr="00C07A74">
        <w:rPr>
          <w:rFonts w:ascii="Cambria" w:hAnsi="Cambria"/>
          <w:sz w:val="16"/>
          <w:szCs w:val="16"/>
          <w:lang w:val="es-ES_tradnl"/>
        </w:rPr>
        <w:t>rrs</w:t>
      </w:r>
      <w:proofErr w:type="spellEnd"/>
      <w:r w:rsidRPr="00C07A74">
        <w:rPr>
          <w:rFonts w:ascii="Cambria" w:hAnsi="Cambria"/>
          <w:sz w:val="16"/>
          <w:szCs w:val="16"/>
          <w:lang w:val="es-ES_tradnl"/>
        </w:rPr>
        <w:t>. 86-90. En este informe la Comisión ha citado una serie de desarrollos del Sistema Interamericano y otros sistemas de protección, incluyendo los sistemas regionales y de las Naciones Unidas.</w:t>
      </w:r>
    </w:p>
  </w:footnote>
  <w:footnote w:id="84">
    <w:p w14:paraId="1E1EAA63" w14:textId="77777777" w:rsidR="00540E3D" w:rsidRPr="001D36DC" w:rsidRDefault="00540E3D" w:rsidP="00540E3D">
      <w:pPr>
        <w:pStyle w:val="FootnoteText"/>
        <w:tabs>
          <w:tab w:val="right" w:pos="0"/>
          <w:tab w:val="left" w:pos="180"/>
          <w:tab w:val="left" w:pos="900"/>
        </w:tabs>
        <w:spacing w:after="0" w:line="240" w:lineRule="auto"/>
        <w:jc w:val="both"/>
        <w:rPr>
          <w:rFonts w:ascii="Cambria" w:hAnsi="Cambria"/>
          <w:sz w:val="16"/>
          <w:szCs w:val="16"/>
          <w:lang w:val="en-US"/>
        </w:rPr>
      </w:pPr>
      <w:r w:rsidRPr="00C07A74">
        <w:rPr>
          <w:rStyle w:val="FootnoteReference"/>
          <w:rFonts w:ascii="Cambria" w:hAnsi="Cambria"/>
          <w:sz w:val="16"/>
          <w:szCs w:val="16"/>
          <w:lang w:val="es-ES_tradnl"/>
        </w:rPr>
        <w:footnoteRef/>
      </w:r>
      <w:r w:rsidRPr="00C07A74">
        <w:rPr>
          <w:rFonts w:ascii="Cambria" w:hAnsi="Cambria"/>
          <w:sz w:val="16"/>
          <w:szCs w:val="16"/>
          <w:lang w:val="es-ES_tradnl"/>
        </w:rPr>
        <w:t xml:space="preserve"> Naciones Unidas, Informe provisional del Relator Especial sobre la tortura y otros tratos o penas crueles, inhumanos o degradantes, 9 de agosto de 2012, A/67/279, </w:t>
      </w:r>
      <w:r w:rsidR="007E5085" w:rsidRPr="00C07A74">
        <w:rPr>
          <w:rFonts w:ascii="Cambria" w:hAnsi="Cambria"/>
          <w:sz w:val="16"/>
          <w:szCs w:val="16"/>
          <w:lang w:val="es-ES_tradnl"/>
        </w:rPr>
        <w:t>párr.</w:t>
      </w:r>
      <w:r w:rsidRPr="00C07A74">
        <w:rPr>
          <w:rFonts w:ascii="Cambria" w:hAnsi="Cambria"/>
          <w:sz w:val="16"/>
          <w:szCs w:val="16"/>
          <w:lang w:val="es-ES_tradnl"/>
        </w:rPr>
        <w:t xml:space="preserve"> </w:t>
      </w:r>
      <w:r w:rsidRPr="001D36DC">
        <w:rPr>
          <w:rFonts w:ascii="Cambria" w:hAnsi="Cambria"/>
          <w:sz w:val="16"/>
          <w:szCs w:val="16"/>
          <w:lang w:val="en-US"/>
        </w:rPr>
        <w:t xml:space="preserve">42. </w:t>
      </w:r>
      <w:proofErr w:type="spellStart"/>
      <w:r w:rsidRPr="001D36DC">
        <w:rPr>
          <w:rFonts w:ascii="Cambria" w:hAnsi="Cambria"/>
          <w:sz w:val="16"/>
          <w:szCs w:val="16"/>
          <w:lang w:val="en-US"/>
        </w:rPr>
        <w:t>Cita</w:t>
      </w:r>
      <w:proofErr w:type="spellEnd"/>
      <w:r w:rsidRPr="001D36DC">
        <w:rPr>
          <w:rFonts w:ascii="Cambria" w:hAnsi="Cambria"/>
          <w:sz w:val="16"/>
          <w:szCs w:val="16"/>
          <w:lang w:val="en-US"/>
        </w:rPr>
        <w:t xml:space="preserve">: Patrick Hudson, “Does the death row phenomenon violate a prisoner’s rights under international law?”, </w:t>
      </w:r>
      <w:r w:rsidRPr="001D36DC">
        <w:rPr>
          <w:rFonts w:ascii="Cambria" w:hAnsi="Cambria"/>
          <w:i/>
          <w:sz w:val="16"/>
          <w:szCs w:val="16"/>
          <w:lang w:val="en-US"/>
        </w:rPr>
        <w:t>European Journal of International Law</w:t>
      </w:r>
      <w:r w:rsidRPr="001D36DC">
        <w:rPr>
          <w:rFonts w:ascii="Cambria" w:hAnsi="Cambria"/>
          <w:sz w:val="16"/>
          <w:szCs w:val="16"/>
          <w:lang w:val="en-US"/>
        </w:rPr>
        <w:t>, vol. 11, No. 4 (2000), pp. 834-837.</w:t>
      </w:r>
    </w:p>
  </w:footnote>
  <w:footnote w:id="85">
    <w:p w14:paraId="197B4F0A" w14:textId="77777777" w:rsidR="00540E3D" w:rsidRPr="00C07A74" w:rsidRDefault="00540E3D" w:rsidP="00540E3D">
      <w:pPr>
        <w:pStyle w:val="FootnoteText"/>
        <w:spacing w:after="0" w:line="240" w:lineRule="auto"/>
        <w:jc w:val="both"/>
        <w:rPr>
          <w:rFonts w:ascii="Cambria" w:hAnsi="Cambria"/>
          <w:sz w:val="16"/>
          <w:szCs w:val="16"/>
          <w:lang w:val="es-ES_tradnl"/>
        </w:rPr>
      </w:pPr>
      <w:r w:rsidRPr="00C07A74">
        <w:rPr>
          <w:rStyle w:val="FootnoteReference"/>
          <w:rFonts w:ascii="Cambria" w:hAnsi="Cambria"/>
          <w:sz w:val="16"/>
          <w:szCs w:val="16"/>
          <w:lang w:val="es-ES_tradnl"/>
        </w:rPr>
        <w:footnoteRef/>
      </w:r>
      <w:r w:rsidRPr="00C07A74">
        <w:rPr>
          <w:rFonts w:ascii="Cambria" w:hAnsi="Cambria"/>
          <w:sz w:val="16"/>
          <w:szCs w:val="16"/>
          <w:lang w:val="es-ES_tradnl"/>
        </w:rPr>
        <w:t xml:space="preserve">  Naciones Unidas, Informe provisional del Relator Especial sobre la tortura y otros tratos o penas crueles, inhumanos o degradantes, 9 de agosto de 2012, A/67/279, </w:t>
      </w:r>
      <w:r w:rsidR="007E5085" w:rsidRPr="00C07A74">
        <w:rPr>
          <w:rFonts w:ascii="Cambria" w:hAnsi="Cambria"/>
          <w:sz w:val="16"/>
          <w:szCs w:val="16"/>
          <w:lang w:val="es-ES_tradnl"/>
        </w:rPr>
        <w:t>párr.</w:t>
      </w:r>
      <w:r w:rsidRPr="00C07A74">
        <w:rPr>
          <w:rFonts w:ascii="Cambria" w:hAnsi="Cambria"/>
          <w:sz w:val="16"/>
          <w:szCs w:val="16"/>
          <w:lang w:val="es-ES_tradnl"/>
        </w:rPr>
        <w:t xml:space="preserve"> 42.</w:t>
      </w:r>
    </w:p>
  </w:footnote>
  <w:footnote w:id="86">
    <w:p w14:paraId="2A93F984" w14:textId="77777777" w:rsidR="00540E3D" w:rsidRPr="00C07A74" w:rsidRDefault="00540E3D" w:rsidP="00540E3D">
      <w:pPr>
        <w:pStyle w:val="FootnoteText"/>
        <w:tabs>
          <w:tab w:val="right" w:pos="540"/>
          <w:tab w:val="left" w:pos="900"/>
        </w:tabs>
        <w:spacing w:after="0" w:line="240" w:lineRule="auto"/>
        <w:jc w:val="both"/>
        <w:rPr>
          <w:rFonts w:ascii="Cambria" w:hAnsi="Cambria"/>
          <w:sz w:val="16"/>
          <w:szCs w:val="16"/>
          <w:lang w:val="es-ES_tradnl"/>
        </w:rPr>
      </w:pPr>
      <w:r w:rsidRPr="00C07A74">
        <w:rPr>
          <w:rStyle w:val="FootnoteReference"/>
          <w:rFonts w:ascii="Cambria" w:hAnsi="Cambria"/>
          <w:sz w:val="16"/>
          <w:szCs w:val="16"/>
          <w:lang w:val="es-ES_tradnl"/>
        </w:rPr>
        <w:footnoteRef/>
      </w:r>
      <w:r w:rsidRPr="00C07A74">
        <w:rPr>
          <w:rFonts w:ascii="Cambria" w:hAnsi="Cambria"/>
          <w:sz w:val="16"/>
          <w:szCs w:val="16"/>
          <w:lang w:val="es-ES_tradnl"/>
        </w:rPr>
        <w:t xml:space="preserve"> TEDH Caso </w:t>
      </w:r>
      <w:proofErr w:type="spellStart"/>
      <w:r w:rsidRPr="00C07A74">
        <w:rPr>
          <w:rFonts w:ascii="Cambria" w:hAnsi="Cambria"/>
          <w:sz w:val="16"/>
          <w:szCs w:val="16"/>
          <w:lang w:val="es-ES_tradnl"/>
        </w:rPr>
        <w:t>Soering</w:t>
      </w:r>
      <w:proofErr w:type="spellEnd"/>
      <w:r w:rsidRPr="00C07A74">
        <w:rPr>
          <w:rFonts w:ascii="Cambria" w:hAnsi="Cambria"/>
          <w:sz w:val="16"/>
          <w:szCs w:val="16"/>
          <w:lang w:val="es-ES_tradnl"/>
        </w:rPr>
        <w:t xml:space="preserve"> v. Reino Unido. Informe No. 14038/88. Sentencia del 7 de julio de 1989. </w:t>
      </w:r>
      <w:r w:rsidR="007E5085" w:rsidRPr="00C07A74">
        <w:rPr>
          <w:rFonts w:ascii="Cambria" w:hAnsi="Cambria"/>
          <w:sz w:val="16"/>
          <w:szCs w:val="16"/>
          <w:lang w:val="es-ES_tradnl"/>
        </w:rPr>
        <w:t>párr.</w:t>
      </w:r>
      <w:r w:rsidRPr="00C07A74">
        <w:rPr>
          <w:rFonts w:ascii="Cambria" w:hAnsi="Cambria"/>
          <w:sz w:val="16"/>
          <w:szCs w:val="16"/>
          <w:lang w:val="es-ES_tradnl"/>
        </w:rPr>
        <w:t xml:space="preserve"> 104.</w:t>
      </w:r>
    </w:p>
  </w:footnote>
  <w:footnote w:id="87">
    <w:p w14:paraId="09D8105A" w14:textId="77777777" w:rsidR="00540E3D" w:rsidRPr="00C07A74" w:rsidRDefault="00540E3D" w:rsidP="00540E3D">
      <w:pPr>
        <w:pStyle w:val="FootnoteText"/>
        <w:spacing w:after="0" w:line="240" w:lineRule="auto"/>
        <w:jc w:val="both"/>
        <w:rPr>
          <w:rFonts w:ascii="Cambria" w:hAnsi="Cambria"/>
          <w:sz w:val="16"/>
          <w:szCs w:val="16"/>
          <w:lang w:val="es-ES_tradnl"/>
        </w:rPr>
      </w:pPr>
      <w:r w:rsidRPr="00C07A74">
        <w:rPr>
          <w:rStyle w:val="FootnoteReference"/>
          <w:rFonts w:ascii="Cambria" w:hAnsi="Cambria"/>
          <w:sz w:val="16"/>
          <w:szCs w:val="16"/>
          <w:lang w:val="es-ES_tradnl"/>
        </w:rPr>
        <w:footnoteRef/>
      </w:r>
      <w:r w:rsidRPr="00C07A74">
        <w:rPr>
          <w:rFonts w:ascii="Cambria" w:hAnsi="Cambria"/>
          <w:sz w:val="16"/>
          <w:szCs w:val="16"/>
          <w:lang w:val="es-ES_tradnl"/>
        </w:rPr>
        <w:t xml:space="preserve"> TEDH, Caso </w:t>
      </w:r>
      <w:proofErr w:type="spellStart"/>
      <w:r w:rsidRPr="00C07A74">
        <w:rPr>
          <w:rFonts w:ascii="Cambria" w:hAnsi="Cambria"/>
          <w:sz w:val="16"/>
          <w:szCs w:val="16"/>
          <w:lang w:val="es-ES_tradnl"/>
        </w:rPr>
        <w:t>Soering</w:t>
      </w:r>
      <w:proofErr w:type="spellEnd"/>
      <w:r w:rsidRPr="00C07A74">
        <w:rPr>
          <w:rFonts w:ascii="Cambria" w:hAnsi="Cambria"/>
          <w:sz w:val="16"/>
          <w:szCs w:val="16"/>
          <w:lang w:val="es-ES_tradnl"/>
        </w:rPr>
        <w:t> v. Reino Unido. Sentencia del 7 de julio de 1989. Series </w:t>
      </w:r>
      <w:proofErr w:type="gramStart"/>
      <w:r w:rsidRPr="00C07A74">
        <w:rPr>
          <w:rFonts w:ascii="Cambria" w:hAnsi="Cambria"/>
          <w:sz w:val="16"/>
          <w:szCs w:val="16"/>
          <w:lang w:val="es-ES_tradnl"/>
        </w:rPr>
        <w:t>A,  Vol.</w:t>
      </w:r>
      <w:proofErr w:type="gramEnd"/>
      <w:r w:rsidRPr="00C07A74">
        <w:rPr>
          <w:rFonts w:ascii="Cambria" w:hAnsi="Cambria"/>
          <w:sz w:val="16"/>
          <w:szCs w:val="16"/>
          <w:lang w:val="es-ES_tradnl"/>
        </w:rPr>
        <w:t> 161. Del mismo modo, la Corte Suprema de los Estados Unidos de América reconoció en Furman v. Georgia que el tiempo en espera de la ejecución de una condena a muerte destruye el espíritu humano y constituye una tortura psicológica que a menudo conduce a la insania. Cf. Furman v. Georgia, 408 U.S. 238, 287‐288 (197). </w:t>
      </w:r>
    </w:p>
  </w:footnote>
  <w:footnote w:id="88">
    <w:p w14:paraId="40F8068A" w14:textId="77777777" w:rsidR="00540E3D" w:rsidRPr="00C07A74" w:rsidRDefault="00540E3D" w:rsidP="00540E3D">
      <w:pPr>
        <w:pStyle w:val="FootnoteText"/>
        <w:tabs>
          <w:tab w:val="right" w:pos="540"/>
          <w:tab w:val="left" w:pos="900"/>
        </w:tabs>
        <w:spacing w:after="0" w:line="240" w:lineRule="auto"/>
        <w:jc w:val="both"/>
        <w:rPr>
          <w:rFonts w:ascii="Cambria" w:hAnsi="Cambria"/>
          <w:sz w:val="16"/>
          <w:szCs w:val="16"/>
          <w:lang w:val="es-ES_tradnl"/>
        </w:rPr>
      </w:pPr>
      <w:r w:rsidRPr="00C07A74">
        <w:rPr>
          <w:rStyle w:val="FootnoteReference"/>
          <w:rFonts w:ascii="Cambria" w:hAnsi="Cambria"/>
          <w:sz w:val="16"/>
          <w:szCs w:val="16"/>
          <w:lang w:val="es-ES_tradnl"/>
        </w:rPr>
        <w:footnoteRef/>
      </w:r>
      <w:r w:rsidRPr="00C07A74">
        <w:rPr>
          <w:rFonts w:ascii="Cambria" w:hAnsi="Cambria"/>
          <w:sz w:val="16"/>
          <w:szCs w:val="16"/>
          <w:lang w:val="es-ES_tradnl"/>
        </w:rPr>
        <w:t xml:space="preserve"> TEDH Caso </w:t>
      </w:r>
      <w:proofErr w:type="spellStart"/>
      <w:r w:rsidRPr="00C07A74">
        <w:rPr>
          <w:rFonts w:ascii="Cambria" w:hAnsi="Cambria"/>
          <w:sz w:val="16"/>
          <w:szCs w:val="16"/>
          <w:lang w:val="es-ES_tradnl"/>
        </w:rPr>
        <w:t>Soering</w:t>
      </w:r>
      <w:proofErr w:type="spellEnd"/>
      <w:r w:rsidRPr="00C07A74">
        <w:rPr>
          <w:rFonts w:ascii="Cambria" w:hAnsi="Cambria"/>
          <w:sz w:val="16"/>
          <w:szCs w:val="16"/>
          <w:lang w:val="es-ES_tradnl"/>
        </w:rPr>
        <w:t xml:space="preserve"> v. Reino Unido. Informe No. 14038/88. Sentencia del 7 de julio de 1989. </w:t>
      </w:r>
      <w:r w:rsidR="007E5085" w:rsidRPr="00C07A74">
        <w:rPr>
          <w:rFonts w:ascii="Cambria" w:hAnsi="Cambria"/>
          <w:sz w:val="16"/>
          <w:szCs w:val="16"/>
          <w:lang w:val="es-ES_tradnl"/>
        </w:rPr>
        <w:t>párr.</w:t>
      </w:r>
      <w:r w:rsidRPr="00C07A74">
        <w:rPr>
          <w:rFonts w:ascii="Cambria" w:hAnsi="Cambria"/>
          <w:sz w:val="16"/>
          <w:szCs w:val="16"/>
          <w:lang w:val="es-ES_tradnl"/>
        </w:rPr>
        <w:t xml:space="preserve"> 106.</w:t>
      </w:r>
    </w:p>
  </w:footnote>
  <w:footnote w:id="89">
    <w:p w14:paraId="061FBEAB" w14:textId="77777777" w:rsidR="00540E3D" w:rsidRPr="001D36DC" w:rsidRDefault="00540E3D" w:rsidP="00540E3D">
      <w:pPr>
        <w:pStyle w:val="FootnoteText"/>
        <w:tabs>
          <w:tab w:val="right" w:pos="540"/>
          <w:tab w:val="left" w:pos="900"/>
        </w:tabs>
        <w:spacing w:after="0" w:line="240" w:lineRule="auto"/>
        <w:jc w:val="both"/>
        <w:rPr>
          <w:rFonts w:ascii="Cambria" w:hAnsi="Cambria"/>
          <w:sz w:val="16"/>
          <w:szCs w:val="16"/>
          <w:lang w:val="en-US"/>
        </w:rPr>
      </w:pPr>
      <w:r w:rsidRPr="00C07A74">
        <w:rPr>
          <w:rStyle w:val="FootnoteReference"/>
          <w:rFonts w:ascii="Cambria" w:hAnsi="Cambria"/>
          <w:sz w:val="16"/>
          <w:szCs w:val="16"/>
          <w:lang w:val="es-ES_tradnl"/>
        </w:rPr>
        <w:footnoteRef/>
      </w:r>
      <w:r w:rsidRPr="00C07A74">
        <w:rPr>
          <w:rFonts w:ascii="Cambria" w:hAnsi="Cambria"/>
          <w:sz w:val="16"/>
          <w:szCs w:val="16"/>
          <w:lang w:val="es-ES_tradnl"/>
        </w:rPr>
        <w:t xml:space="preserve"> TEDH Caso </w:t>
      </w:r>
      <w:proofErr w:type="spellStart"/>
      <w:r w:rsidRPr="00C07A74">
        <w:rPr>
          <w:rFonts w:ascii="Cambria" w:hAnsi="Cambria"/>
          <w:sz w:val="16"/>
          <w:szCs w:val="16"/>
          <w:lang w:val="es-ES_tradnl"/>
        </w:rPr>
        <w:t>Soering</w:t>
      </w:r>
      <w:proofErr w:type="spellEnd"/>
      <w:r w:rsidRPr="00C07A74">
        <w:rPr>
          <w:rFonts w:ascii="Cambria" w:hAnsi="Cambria"/>
          <w:sz w:val="16"/>
          <w:szCs w:val="16"/>
          <w:lang w:val="es-ES_tradnl"/>
        </w:rPr>
        <w:t xml:space="preserve"> v. Reino Unido. Informe No. 14038/88. Sentencia del 7 de julio de 1989. </w:t>
      </w:r>
      <w:r w:rsidR="007E5085" w:rsidRPr="00C07A74">
        <w:rPr>
          <w:rFonts w:ascii="Cambria" w:hAnsi="Cambria"/>
          <w:sz w:val="16"/>
          <w:szCs w:val="16"/>
          <w:lang w:val="es-ES_tradnl"/>
        </w:rPr>
        <w:t>párr.</w:t>
      </w:r>
      <w:r w:rsidRPr="00C07A74">
        <w:rPr>
          <w:rFonts w:ascii="Cambria" w:hAnsi="Cambria"/>
          <w:sz w:val="16"/>
          <w:szCs w:val="16"/>
          <w:lang w:val="es-ES_tradnl"/>
        </w:rPr>
        <w:t xml:space="preserve"> </w:t>
      </w:r>
      <w:r w:rsidRPr="001D36DC">
        <w:rPr>
          <w:rFonts w:ascii="Cambria" w:hAnsi="Cambria"/>
          <w:sz w:val="16"/>
          <w:szCs w:val="16"/>
          <w:lang w:val="en-US"/>
        </w:rPr>
        <w:t>111.</w:t>
      </w:r>
    </w:p>
  </w:footnote>
  <w:footnote w:id="90">
    <w:p w14:paraId="0AE25421" w14:textId="77777777" w:rsidR="00540E3D" w:rsidRPr="001D36DC" w:rsidRDefault="00540E3D" w:rsidP="00540E3D">
      <w:pPr>
        <w:widowControl w:val="0"/>
        <w:autoSpaceDE w:val="0"/>
        <w:autoSpaceDN w:val="0"/>
        <w:adjustRightInd w:val="0"/>
        <w:spacing w:after="0" w:line="240" w:lineRule="auto"/>
        <w:jc w:val="both"/>
        <w:rPr>
          <w:rFonts w:ascii="Cambria" w:hAnsi="Cambria" w:cs="Arial"/>
          <w:bCs/>
          <w:sz w:val="16"/>
          <w:szCs w:val="16"/>
          <w:lang w:val="en-US"/>
        </w:rPr>
      </w:pPr>
      <w:r w:rsidRPr="00C07A74">
        <w:rPr>
          <w:rStyle w:val="FootnoteReference"/>
          <w:rFonts w:ascii="Cambria" w:hAnsi="Cambria"/>
          <w:sz w:val="16"/>
          <w:szCs w:val="16"/>
          <w:lang w:val="es-ES_tradnl"/>
        </w:rPr>
        <w:footnoteRef/>
      </w:r>
      <w:r w:rsidRPr="001D36DC">
        <w:rPr>
          <w:rFonts w:ascii="Cambria" w:hAnsi="Cambria"/>
          <w:sz w:val="16"/>
          <w:szCs w:val="16"/>
          <w:lang w:val="en-US"/>
        </w:rPr>
        <w:t xml:space="preserve"> Pratt and Morgan v. The Attorney General for Jamaica and another (Jamaica) [1993] UKPC 1 (2 de </w:t>
      </w:r>
      <w:proofErr w:type="spellStart"/>
      <w:r w:rsidRPr="001D36DC">
        <w:rPr>
          <w:rFonts w:ascii="Cambria" w:hAnsi="Cambria"/>
          <w:sz w:val="16"/>
          <w:szCs w:val="16"/>
          <w:lang w:val="en-US"/>
        </w:rPr>
        <w:t>noviembre</w:t>
      </w:r>
      <w:proofErr w:type="spellEnd"/>
      <w:r w:rsidRPr="001D36DC">
        <w:rPr>
          <w:rFonts w:ascii="Cambria" w:hAnsi="Cambria"/>
          <w:sz w:val="16"/>
          <w:szCs w:val="16"/>
          <w:lang w:val="en-US"/>
        </w:rPr>
        <w:t xml:space="preserve"> de 1993), </w:t>
      </w:r>
      <w:proofErr w:type="spellStart"/>
      <w:r w:rsidRPr="001D36DC">
        <w:rPr>
          <w:rFonts w:ascii="Cambria" w:hAnsi="Cambria"/>
          <w:sz w:val="16"/>
          <w:szCs w:val="16"/>
          <w:lang w:val="en-US"/>
        </w:rPr>
        <w:t>p</w:t>
      </w:r>
      <w:r w:rsidR="007E5085" w:rsidRPr="001D36DC">
        <w:rPr>
          <w:rFonts w:ascii="Cambria" w:hAnsi="Cambria"/>
          <w:sz w:val="16"/>
          <w:szCs w:val="16"/>
          <w:lang w:val="en-US"/>
        </w:rPr>
        <w:t>á</w:t>
      </w:r>
      <w:r w:rsidRPr="001D36DC">
        <w:rPr>
          <w:rFonts w:ascii="Cambria" w:hAnsi="Cambria"/>
          <w:sz w:val="16"/>
          <w:szCs w:val="16"/>
          <w:lang w:val="en-US"/>
        </w:rPr>
        <w:t>rrs</w:t>
      </w:r>
      <w:proofErr w:type="spellEnd"/>
      <w:r w:rsidRPr="001D36DC">
        <w:rPr>
          <w:rFonts w:ascii="Cambria" w:hAnsi="Cambria"/>
          <w:sz w:val="16"/>
          <w:szCs w:val="16"/>
          <w:lang w:val="en-US"/>
        </w:rPr>
        <w:t xml:space="preserve">. 73-75 and 84. </w:t>
      </w:r>
    </w:p>
  </w:footnote>
  <w:footnote w:id="91">
    <w:p w14:paraId="27C23DB2" w14:textId="77777777" w:rsidR="00540E3D" w:rsidRPr="001D36DC" w:rsidRDefault="00540E3D" w:rsidP="00540E3D">
      <w:pPr>
        <w:pStyle w:val="FootnoteText"/>
        <w:spacing w:after="0" w:line="240" w:lineRule="auto"/>
        <w:jc w:val="both"/>
        <w:rPr>
          <w:rFonts w:ascii="Cambria" w:hAnsi="Cambria"/>
          <w:sz w:val="16"/>
          <w:szCs w:val="16"/>
          <w:lang w:val="en-US"/>
        </w:rPr>
      </w:pPr>
      <w:r w:rsidRPr="00C07A74">
        <w:rPr>
          <w:rStyle w:val="FootnoteReference"/>
          <w:rFonts w:ascii="Cambria" w:hAnsi="Cambria"/>
          <w:sz w:val="16"/>
          <w:szCs w:val="16"/>
          <w:lang w:val="es-ES_tradnl"/>
        </w:rPr>
        <w:footnoteRef/>
      </w:r>
      <w:r w:rsidRPr="001D36DC">
        <w:rPr>
          <w:rFonts w:ascii="Cambria" w:hAnsi="Cambria"/>
          <w:sz w:val="16"/>
          <w:szCs w:val="16"/>
          <w:lang w:val="en-US"/>
        </w:rPr>
        <w:t xml:space="preserve"> Corte Suprema de Uganda, </w:t>
      </w:r>
      <w:r w:rsidRPr="001D36DC">
        <w:rPr>
          <w:rFonts w:ascii="Cambria" w:hAnsi="Cambria"/>
          <w:i/>
          <w:sz w:val="16"/>
          <w:szCs w:val="16"/>
          <w:lang w:val="en-US"/>
        </w:rPr>
        <w:t xml:space="preserve">Attorney General v. Susan </w:t>
      </w:r>
      <w:proofErr w:type="spellStart"/>
      <w:r w:rsidRPr="001D36DC">
        <w:rPr>
          <w:rFonts w:ascii="Cambria" w:hAnsi="Cambria"/>
          <w:i/>
          <w:sz w:val="16"/>
          <w:szCs w:val="16"/>
          <w:lang w:val="en-US"/>
        </w:rPr>
        <w:t>Kigula</w:t>
      </w:r>
      <w:proofErr w:type="spellEnd"/>
      <w:r w:rsidRPr="001D36DC">
        <w:rPr>
          <w:rFonts w:ascii="Cambria" w:hAnsi="Cambria"/>
          <w:sz w:val="16"/>
          <w:szCs w:val="16"/>
          <w:lang w:val="en-US"/>
        </w:rPr>
        <w:t xml:space="preserve"> and 417 others (Constitutional </w:t>
      </w:r>
      <w:proofErr w:type="spellStart"/>
      <w:r w:rsidRPr="001D36DC">
        <w:rPr>
          <w:rFonts w:ascii="Cambria" w:hAnsi="Cambria"/>
          <w:sz w:val="16"/>
          <w:szCs w:val="16"/>
          <w:lang w:val="en-US"/>
        </w:rPr>
        <w:t>Apelación</w:t>
      </w:r>
      <w:proofErr w:type="spellEnd"/>
      <w:r w:rsidRPr="001D36DC">
        <w:rPr>
          <w:rFonts w:ascii="Cambria" w:hAnsi="Cambria"/>
          <w:sz w:val="16"/>
          <w:szCs w:val="16"/>
          <w:lang w:val="en-US"/>
        </w:rPr>
        <w:t xml:space="preserve"> No. 3 of 2006), 2009.</w:t>
      </w:r>
    </w:p>
  </w:footnote>
  <w:footnote w:id="92">
    <w:p w14:paraId="61C5A8FC" w14:textId="77777777" w:rsidR="00540E3D" w:rsidRPr="001D36DC" w:rsidRDefault="00540E3D" w:rsidP="00540E3D">
      <w:pPr>
        <w:pStyle w:val="FootnoteText"/>
        <w:spacing w:after="0" w:line="240" w:lineRule="auto"/>
        <w:jc w:val="both"/>
        <w:rPr>
          <w:rFonts w:ascii="Cambria" w:hAnsi="Cambria"/>
          <w:sz w:val="16"/>
          <w:szCs w:val="16"/>
          <w:lang w:val="en-US"/>
        </w:rPr>
      </w:pPr>
      <w:r w:rsidRPr="00C07A74">
        <w:rPr>
          <w:rStyle w:val="FootnoteReference"/>
          <w:rFonts w:ascii="Cambria" w:hAnsi="Cambria"/>
          <w:sz w:val="16"/>
          <w:szCs w:val="16"/>
          <w:lang w:val="es-ES_tradnl"/>
        </w:rPr>
        <w:footnoteRef/>
      </w:r>
      <w:r w:rsidRPr="001D36DC">
        <w:rPr>
          <w:rFonts w:ascii="Cambria" w:hAnsi="Cambria"/>
          <w:sz w:val="16"/>
          <w:szCs w:val="16"/>
          <w:lang w:val="en-US"/>
        </w:rPr>
        <w:t xml:space="preserve"> </w:t>
      </w:r>
      <w:proofErr w:type="spellStart"/>
      <w:r w:rsidRPr="001D36DC">
        <w:rPr>
          <w:rFonts w:ascii="Cambria" w:hAnsi="Cambria"/>
          <w:sz w:val="16"/>
          <w:szCs w:val="16"/>
          <w:lang w:val="en-US"/>
        </w:rPr>
        <w:t>Sentencia</w:t>
      </w:r>
      <w:proofErr w:type="spellEnd"/>
      <w:r w:rsidRPr="001D36DC">
        <w:rPr>
          <w:rFonts w:ascii="Cambria" w:hAnsi="Cambria"/>
          <w:sz w:val="16"/>
          <w:szCs w:val="16"/>
          <w:lang w:val="en-US"/>
        </w:rPr>
        <w:t xml:space="preserve"> de la Corte Suprema de Zimbabwe del 24 de </w:t>
      </w:r>
      <w:proofErr w:type="spellStart"/>
      <w:r w:rsidRPr="001D36DC">
        <w:rPr>
          <w:rFonts w:ascii="Cambria" w:hAnsi="Cambria"/>
          <w:sz w:val="16"/>
          <w:szCs w:val="16"/>
          <w:lang w:val="en-US"/>
        </w:rPr>
        <w:t>junio</w:t>
      </w:r>
      <w:proofErr w:type="spellEnd"/>
      <w:r w:rsidRPr="001D36DC">
        <w:rPr>
          <w:rFonts w:ascii="Cambria" w:hAnsi="Cambria"/>
          <w:sz w:val="16"/>
          <w:szCs w:val="16"/>
          <w:lang w:val="en-US"/>
        </w:rPr>
        <w:t xml:space="preserve"> de 1993, </w:t>
      </w:r>
      <w:r w:rsidRPr="001D36DC">
        <w:rPr>
          <w:rFonts w:ascii="Cambria" w:hAnsi="Cambria"/>
          <w:i/>
          <w:sz w:val="16"/>
          <w:szCs w:val="16"/>
          <w:lang w:val="en-US"/>
        </w:rPr>
        <w:t>Catholic Commissioner for Justice and Peace in Zimbabwe v. Attorney General</w:t>
      </w:r>
      <w:r w:rsidRPr="001D36DC">
        <w:rPr>
          <w:rFonts w:ascii="Cambria" w:hAnsi="Cambria"/>
          <w:sz w:val="16"/>
          <w:szCs w:val="16"/>
          <w:lang w:val="en-US"/>
        </w:rPr>
        <w:t xml:space="preserve"> (4) SA 239 (ZS).</w:t>
      </w:r>
    </w:p>
  </w:footnote>
  <w:footnote w:id="93">
    <w:p w14:paraId="76F0A4C9" w14:textId="77777777" w:rsidR="00540E3D" w:rsidRPr="00C07A74" w:rsidRDefault="00540E3D" w:rsidP="00540E3D">
      <w:pPr>
        <w:pStyle w:val="NormalWeb"/>
        <w:spacing w:after="0" w:line="240" w:lineRule="auto"/>
        <w:jc w:val="both"/>
        <w:rPr>
          <w:rFonts w:ascii="Cambria" w:hAnsi="Cambria"/>
          <w:sz w:val="16"/>
          <w:szCs w:val="16"/>
          <w:lang w:val="es-ES_tradnl"/>
        </w:rPr>
      </w:pPr>
      <w:r w:rsidRPr="00C07A74">
        <w:rPr>
          <w:rStyle w:val="FootnoteReference"/>
          <w:rFonts w:ascii="Cambria" w:hAnsi="Cambria"/>
          <w:sz w:val="16"/>
          <w:szCs w:val="16"/>
          <w:lang w:val="es-ES_tradnl"/>
        </w:rPr>
        <w:footnoteRef/>
      </w:r>
      <w:r w:rsidRPr="00C07A74">
        <w:rPr>
          <w:rFonts w:ascii="Cambria" w:hAnsi="Cambria"/>
          <w:sz w:val="16"/>
          <w:szCs w:val="16"/>
          <w:lang w:val="es-ES_tradnl"/>
        </w:rPr>
        <w:t xml:space="preserve"> Al respecto, la directriz </w:t>
      </w:r>
      <w:proofErr w:type="spellStart"/>
      <w:r w:rsidRPr="00C07A74">
        <w:rPr>
          <w:rFonts w:ascii="Cambria" w:hAnsi="Cambria"/>
          <w:sz w:val="16"/>
          <w:szCs w:val="16"/>
          <w:lang w:val="es-ES_tradnl"/>
        </w:rPr>
        <w:t>xiv</w:t>
      </w:r>
      <w:proofErr w:type="spellEnd"/>
      <w:r w:rsidRPr="00C07A74">
        <w:rPr>
          <w:rFonts w:ascii="Cambria" w:hAnsi="Cambria"/>
          <w:sz w:val="16"/>
          <w:szCs w:val="16"/>
          <w:lang w:val="es-ES_tradnl"/>
        </w:rPr>
        <w:t>) de las “Directrices de la UE sobre la pena de muerte” establece que “Cuando se aplique la pena capital (…) ésta únicamente se ejecutará de modo que cause el menor sufrimiento posible. No podrá ejecutarse en público ni de ninguna otra forma que suponga una degradación de la persona condenada”. Directrices de la UE sobre la pena de muerte: versión revisada y actualizada.</w:t>
      </w:r>
    </w:p>
  </w:footnote>
  <w:footnote w:id="94">
    <w:p w14:paraId="08EE99AD" w14:textId="77777777" w:rsidR="00540E3D" w:rsidRPr="00C07A74" w:rsidRDefault="00540E3D" w:rsidP="00540E3D">
      <w:pPr>
        <w:pStyle w:val="NormalWeb"/>
        <w:spacing w:after="0" w:line="240" w:lineRule="auto"/>
        <w:jc w:val="both"/>
        <w:rPr>
          <w:rFonts w:ascii="Cambria" w:hAnsi="Cambria"/>
          <w:sz w:val="16"/>
          <w:szCs w:val="16"/>
          <w:lang w:val="es-ES_tradnl"/>
        </w:rPr>
      </w:pPr>
      <w:r w:rsidRPr="00C07A74">
        <w:rPr>
          <w:rStyle w:val="FootnoteReference"/>
          <w:rFonts w:ascii="Cambria" w:hAnsi="Cambria"/>
          <w:sz w:val="16"/>
          <w:szCs w:val="16"/>
          <w:lang w:val="es-ES_tradnl"/>
        </w:rPr>
        <w:footnoteRef/>
      </w:r>
      <w:r w:rsidRPr="00C07A74">
        <w:rPr>
          <w:rFonts w:ascii="Cambria" w:hAnsi="Cambria"/>
          <w:sz w:val="16"/>
          <w:szCs w:val="16"/>
          <w:lang w:val="es-ES_tradnl"/>
        </w:rPr>
        <w:t xml:space="preserve"> Consejo Económico y Social, Salvaguardias para garantizar la protección de los derechos de los condenados a pena de muerte.</w:t>
      </w:r>
    </w:p>
  </w:footnote>
  <w:footnote w:id="95">
    <w:p w14:paraId="448A2FA1" w14:textId="77777777" w:rsidR="00540E3D" w:rsidRPr="00C07A74" w:rsidRDefault="00540E3D" w:rsidP="00540E3D">
      <w:pPr>
        <w:pStyle w:val="NormalWeb"/>
        <w:spacing w:after="0" w:line="240" w:lineRule="auto"/>
        <w:jc w:val="both"/>
        <w:rPr>
          <w:rFonts w:ascii="Cambria" w:eastAsia="Arial Unicode MS" w:hAnsi="Cambria"/>
          <w:sz w:val="16"/>
          <w:szCs w:val="16"/>
          <w:lang w:val="es-ES_tradnl"/>
        </w:rPr>
      </w:pPr>
      <w:r w:rsidRPr="00C07A74">
        <w:rPr>
          <w:rStyle w:val="FootnoteReference"/>
          <w:rFonts w:ascii="Cambria" w:hAnsi="Cambria"/>
          <w:sz w:val="16"/>
          <w:szCs w:val="16"/>
          <w:lang w:val="es-ES_tradnl"/>
        </w:rPr>
        <w:footnoteRef/>
      </w:r>
      <w:r w:rsidRPr="00C07A74">
        <w:rPr>
          <w:rFonts w:ascii="Cambria" w:hAnsi="Cambria"/>
          <w:sz w:val="16"/>
          <w:szCs w:val="16"/>
          <w:lang w:val="es-ES_tradnl"/>
        </w:rPr>
        <w:t xml:space="preserve"> </w:t>
      </w:r>
      <w:r w:rsidRPr="00C07A74">
        <w:rPr>
          <w:rFonts w:ascii="Cambria" w:eastAsia="Arial Unicode MS" w:hAnsi="Cambria"/>
          <w:sz w:val="16"/>
          <w:szCs w:val="16"/>
          <w:lang w:val="es-ES_tradnl"/>
        </w:rPr>
        <w:t xml:space="preserve">A/HRC/30/18, Consejo de Derechos Humanos, La pena capital y la aplicación de las salvaguardias para garantizar la protección de los derechos de los condenados a la pena de muerte, Suplemento anual del </w:t>
      </w:r>
      <w:proofErr w:type="gramStart"/>
      <w:r w:rsidRPr="00C07A74">
        <w:rPr>
          <w:rFonts w:ascii="Cambria" w:eastAsia="Arial Unicode MS" w:hAnsi="Cambria"/>
          <w:sz w:val="16"/>
          <w:szCs w:val="16"/>
          <w:lang w:val="es-ES_tradnl"/>
        </w:rPr>
        <w:t>Secretario General</w:t>
      </w:r>
      <w:proofErr w:type="gramEnd"/>
      <w:r w:rsidRPr="00C07A74">
        <w:rPr>
          <w:rFonts w:ascii="Cambria" w:eastAsia="Arial Unicode MS" w:hAnsi="Cambria"/>
          <w:sz w:val="16"/>
          <w:szCs w:val="16"/>
          <w:lang w:val="es-ES_tradnl"/>
        </w:rPr>
        <w:t xml:space="preserve"> de su informe quinquenal sobre la pena capital, parr.32; véase también: Oficina del Alto Comisionado para los Derechos Humanos “</w:t>
      </w:r>
      <w:proofErr w:type="spellStart"/>
      <w:r w:rsidRPr="00C07A74">
        <w:rPr>
          <w:rFonts w:ascii="Cambria" w:eastAsia="Arial Unicode MS" w:hAnsi="Cambria"/>
          <w:sz w:val="16"/>
          <w:szCs w:val="16"/>
          <w:lang w:val="es-ES_tradnl"/>
        </w:rPr>
        <w:t>Despite</w:t>
      </w:r>
      <w:proofErr w:type="spellEnd"/>
      <w:r w:rsidRPr="00C07A74">
        <w:rPr>
          <w:rFonts w:ascii="Cambria" w:eastAsia="Arial Unicode MS" w:hAnsi="Cambria"/>
          <w:sz w:val="16"/>
          <w:szCs w:val="16"/>
          <w:lang w:val="es-ES_tradnl"/>
        </w:rPr>
        <w:t xml:space="preserve"> </w:t>
      </w:r>
      <w:proofErr w:type="spellStart"/>
      <w:r w:rsidRPr="00C07A74">
        <w:rPr>
          <w:rFonts w:ascii="Cambria" w:eastAsia="Arial Unicode MS" w:hAnsi="Cambria"/>
          <w:sz w:val="16"/>
          <w:szCs w:val="16"/>
          <w:lang w:val="es-ES_tradnl"/>
        </w:rPr>
        <w:t>progress</w:t>
      </w:r>
      <w:proofErr w:type="spellEnd"/>
      <w:r w:rsidRPr="00C07A74">
        <w:rPr>
          <w:rFonts w:ascii="Cambria" w:eastAsia="Arial Unicode MS" w:hAnsi="Cambria"/>
          <w:sz w:val="16"/>
          <w:szCs w:val="16"/>
          <w:lang w:val="es-ES_tradnl"/>
        </w:rPr>
        <w:t xml:space="preserve"> in </w:t>
      </w:r>
      <w:proofErr w:type="spellStart"/>
      <w:r w:rsidRPr="00C07A74">
        <w:rPr>
          <w:rFonts w:ascii="Cambria" w:eastAsia="Arial Unicode MS" w:hAnsi="Cambria"/>
          <w:sz w:val="16"/>
          <w:szCs w:val="16"/>
          <w:lang w:val="es-ES_tradnl"/>
        </w:rPr>
        <w:t>abolishing</w:t>
      </w:r>
      <w:proofErr w:type="spellEnd"/>
      <w:r w:rsidRPr="00C07A74">
        <w:rPr>
          <w:rFonts w:ascii="Cambria" w:eastAsia="Arial Unicode MS" w:hAnsi="Cambria"/>
          <w:sz w:val="16"/>
          <w:szCs w:val="16"/>
          <w:lang w:val="es-ES_tradnl"/>
        </w:rPr>
        <w:t xml:space="preserve"> </w:t>
      </w:r>
      <w:proofErr w:type="spellStart"/>
      <w:r w:rsidRPr="00C07A74">
        <w:rPr>
          <w:rFonts w:ascii="Cambria" w:eastAsia="Arial Unicode MS" w:hAnsi="Cambria"/>
          <w:sz w:val="16"/>
          <w:szCs w:val="16"/>
          <w:lang w:val="es-ES_tradnl"/>
        </w:rPr>
        <w:t>the</w:t>
      </w:r>
      <w:proofErr w:type="spellEnd"/>
      <w:r w:rsidRPr="00C07A74">
        <w:rPr>
          <w:rFonts w:ascii="Cambria" w:eastAsia="Arial Unicode MS" w:hAnsi="Cambria"/>
          <w:sz w:val="16"/>
          <w:szCs w:val="16"/>
          <w:lang w:val="es-ES_tradnl"/>
        </w:rPr>
        <w:t xml:space="preserve"> </w:t>
      </w:r>
      <w:proofErr w:type="spellStart"/>
      <w:r w:rsidRPr="00C07A74">
        <w:rPr>
          <w:rFonts w:ascii="Cambria" w:eastAsia="Arial Unicode MS" w:hAnsi="Cambria"/>
          <w:sz w:val="16"/>
          <w:szCs w:val="16"/>
          <w:lang w:val="es-ES_tradnl"/>
        </w:rPr>
        <w:t>death</w:t>
      </w:r>
      <w:proofErr w:type="spellEnd"/>
      <w:r w:rsidRPr="00C07A74">
        <w:rPr>
          <w:rFonts w:ascii="Cambria" w:eastAsia="Arial Unicode MS" w:hAnsi="Cambria"/>
          <w:sz w:val="16"/>
          <w:szCs w:val="16"/>
          <w:lang w:val="es-ES_tradnl"/>
        </w:rPr>
        <w:t xml:space="preserve"> </w:t>
      </w:r>
      <w:proofErr w:type="spellStart"/>
      <w:r w:rsidRPr="00C07A74">
        <w:rPr>
          <w:rFonts w:ascii="Cambria" w:eastAsia="Arial Unicode MS" w:hAnsi="Cambria"/>
          <w:sz w:val="16"/>
          <w:szCs w:val="16"/>
          <w:lang w:val="es-ES_tradnl"/>
        </w:rPr>
        <w:t>penalty</w:t>
      </w:r>
      <w:proofErr w:type="spellEnd"/>
      <w:r w:rsidRPr="00C07A74">
        <w:rPr>
          <w:rFonts w:ascii="Cambria" w:eastAsia="Arial Unicode MS" w:hAnsi="Cambria"/>
          <w:sz w:val="16"/>
          <w:szCs w:val="16"/>
          <w:lang w:val="es-ES_tradnl"/>
        </w:rPr>
        <w:t xml:space="preserve">, </w:t>
      </w:r>
      <w:proofErr w:type="spellStart"/>
      <w:r w:rsidRPr="00C07A74">
        <w:rPr>
          <w:rFonts w:ascii="Cambria" w:eastAsia="Arial Unicode MS" w:hAnsi="Cambria"/>
          <w:sz w:val="16"/>
          <w:szCs w:val="16"/>
          <w:lang w:val="es-ES_tradnl"/>
        </w:rPr>
        <w:t>thousands</w:t>
      </w:r>
      <w:proofErr w:type="spellEnd"/>
      <w:r w:rsidRPr="00C07A74">
        <w:rPr>
          <w:rFonts w:ascii="Cambria" w:eastAsia="Arial Unicode MS" w:hAnsi="Cambria"/>
          <w:sz w:val="16"/>
          <w:szCs w:val="16"/>
          <w:lang w:val="es-ES_tradnl"/>
        </w:rPr>
        <w:t xml:space="preserve"> </w:t>
      </w:r>
      <w:proofErr w:type="spellStart"/>
      <w:r w:rsidRPr="00C07A74">
        <w:rPr>
          <w:rFonts w:ascii="Cambria" w:eastAsia="Arial Unicode MS" w:hAnsi="Cambria"/>
          <w:sz w:val="16"/>
          <w:szCs w:val="16"/>
          <w:lang w:val="es-ES_tradnl"/>
        </w:rPr>
        <w:t>remain</w:t>
      </w:r>
      <w:proofErr w:type="spellEnd"/>
      <w:r w:rsidRPr="00C07A74">
        <w:rPr>
          <w:rFonts w:ascii="Cambria" w:eastAsia="Arial Unicode MS" w:hAnsi="Cambria"/>
          <w:sz w:val="16"/>
          <w:szCs w:val="16"/>
          <w:lang w:val="es-ES_tradnl"/>
        </w:rPr>
        <w:t xml:space="preserve"> </w:t>
      </w:r>
      <w:proofErr w:type="spellStart"/>
      <w:r w:rsidRPr="00C07A74">
        <w:rPr>
          <w:rFonts w:ascii="Cambria" w:eastAsia="Arial Unicode MS" w:hAnsi="Cambria"/>
          <w:sz w:val="16"/>
          <w:szCs w:val="16"/>
          <w:lang w:val="es-ES_tradnl"/>
        </w:rPr>
        <w:t>on</w:t>
      </w:r>
      <w:proofErr w:type="spellEnd"/>
      <w:r w:rsidRPr="00C07A74">
        <w:rPr>
          <w:rFonts w:ascii="Cambria" w:eastAsia="Arial Unicode MS" w:hAnsi="Cambria"/>
          <w:sz w:val="16"/>
          <w:szCs w:val="16"/>
          <w:lang w:val="es-ES_tradnl"/>
        </w:rPr>
        <w:t xml:space="preserve"> </w:t>
      </w:r>
      <w:proofErr w:type="spellStart"/>
      <w:r w:rsidRPr="00C07A74">
        <w:rPr>
          <w:rFonts w:ascii="Cambria" w:eastAsia="Arial Unicode MS" w:hAnsi="Cambria"/>
          <w:sz w:val="16"/>
          <w:szCs w:val="16"/>
          <w:lang w:val="es-ES_tradnl"/>
        </w:rPr>
        <w:t>death</w:t>
      </w:r>
      <w:proofErr w:type="spellEnd"/>
      <w:r w:rsidRPr="00C07A74">
        <w:rPr>
          <w:rFonts w:ascii="Cambria" w:eastAsia="Arial Unicode MS" w:hAnsi="Cambria"/>
          <w:sz w:val="16"/>
          <w:szCs w:val="16"/>
          <w:lang w:val="es-ES_tradnl"/>
        </w:rPr>
        <w:t xml:space="preserve"> </w:t>
      </w:r>
      <w:proofErr w:type="spellStart"/>
      <w:r w:rsidRPr="00C07A74">
        <w:rPr>
          <w:rFonts w:ascii="Cambria" w:eastAsia="Arial Unicode MS" w:hAnsi="Cambria"/>
          <w:sz w:val="16"/>
          <w:szCs w:val="16"/>
          <w:lang w:val="es-ES_tradnl"/>
        </w:rPr>
        <w:t>row</w:t>
      </w:r>
      <w:proofErr w:type="spellEnd"/>
      <w:r w:rsidRPr="00C07A74">
        <w:rPr>
          <w:rFonts w:ascii="Cambria" w:eastAsia="Arial Unicode MS" w:hAnsi="Cambria"/>
          <w:sz w:val="16"/>
          <w:szCs w:val="16"/>
          <w:lang w:val="es-ES_tradnl"/>
        </w:rPr>
        <w:t>”. Disponible en https://www.ohchr.org/EN/NewsEvents/Pages/DeathPenalty.aspx</w:t>
      </w:r>
    </w:p>
  </w:footnote>
  <w:footnote w:id="96">
    <w:p w14:paraId="04520CA8" w14:textId="77777777" w:rsidR="00540E3D" w:rsidRPr="00C07A74" w:rsidRDefault="00540E3D" w:rsidP="00540E3D">
      <w:pPr>
        <w:pStyle w:val="NormalWeb"/>
        <w:spacing w:after="0" w:line="240" w:lineRule="auto"/>
        <w:jc w:val="both"/>
        <w:rPr>
          <w:rFonts w:ascii="Cambria" w:eastAsia="Arial Unicode MS" w:hAnsi="Cambria"/>
          <w:sz w:val="16"/>
          <w:szCs w:val="16"/>
          <w:lang w:val="es-ES_tradnl"/>
        </w:rPr>
      </w:pPr>
      <w:r w:rsidRPr="00C07A74">
        <w:rPr>
          <w:rStyle w:val="FootnoteReference"/>
          <w:rFonts w:ascii="Cambria" w:hAnsi="Cambria"/>
          <w:sz w:val="16"/>
          <w:szCs w:val="16"/>
          <w:lang w:val="es-ES_tradnl"/>
        </w:rPr>
        <w:footnoteRef/>
      </w:r>
      <w:r w:rsidRPr="00C07A74">
        <w:rPr>
          <w:rFonts w:ascii="Cambria" w:hAnsi="Cambria"/>
          <w:sz w:val="16"/>
          <w:szCs w:val="16"/>
          <w:lang w:val="es-ES_tradnl"/>
        </w:rPr>
        <w:t xml:space="preserve"> </w:t>
      </w:r>
      <w:r w:rsidRPr="00C07A74">
        <w:rPr>
          <w:rFonts w:ascii="Cambria" w:eastAsia="Arial Unicode MS" w:hAnsi="Cambria"/>
          <w:sz w:val="16"/>
          <w:szCs w:val="16"/>
          <w:lang w:val="es-ES_tradnl"/>
        </w:rPr>
        <w:t xml:space="preserve">A/HRC/30/18, Consejo de Derechos Humanos, La pena capital y la aplicación de las salvaguardias para garantizar la protección de los derechos de los condenados a la pena de muerte, Suplemento anual del </w:t>
      </w:r>
      <w:proofErr w:type="gramStart"/>
      <w:r w:rsidRPr="00C07A74">
        <w:rPr>
          <w:rFonts w:ascii="Cambria" w:eastAsia="Arial Unicode MS" w:hAnsi="Cambria"/>
          <w:sz w:val="16"/>
          <w:szCs w:val="16"/>
          <w:lang w:val="es-ES_tradnl"/>
        </w:rPr>
        <w:t>Secretario General</w:t>
      </w:r>
      <w:proofErr w:type="gramEnd"/>
      <w:r w:rsidRPr="00C07A74">
        <w:rPr>
          <w:rFonts w:ascii="Cambria" w:eastAsia="Arial Unicode MS" w:hAnsi="Cambria"/>
          <w:sz w:val="16"/>
          <w:szCs w:val="16"/>
          <w:lang w:val="es-ES_tradnl"/>
        </w:rPr>
        <w:t xml:space="preserve"> de su informe quinquenal sobre la pena capital, p</w:t>
      </w:r>
      <w:r w:rsidR="00E15027">
        <w:rPr>
          <w:rFonts w:ascii="Cambria" w:eastAsia="Arial Unicode MS" w:hAnsi="Cambria"/>
          <w:sz w:val="16"/>
          <w:szCs w:val="16"/>
          <w:lang w:val="es-ES_tradnl"/>
        </w:rPr>
        <w:t>á</w:t>
      </w:r>
      <w:r w:rsidRPr="00C07A74">
        <w:rPr>
          <w:rFonts w:ascii="Cambria" w:eastAsia="Arial Unicode MS" w:hAnsi="Cambria"/>
          <w:sz w:val="16"/>
          <w:szCs w:val="16"/>
          <w:lang w:val="es-ES_tradnl"/>
        </w:rPr>
        <w:t xml:space="preserve">rr. 50. </w:t>
      </w:r>
    </w:p>
  </w:footnote>
  <w:footnote w:id="97">
    <w:p w14:paraId="5ABC425A" w14:textId="77777777" w:rsidR="00540E3D" w:rsidRPr="00C07A74" w:rsidRDefault="00540E3D" w:rsidP="00540E3D">
      <w:pPr>
        <w:pStyle w:val="FootnoteText"/>
        <w:spacing w:after="0" w:line="240" w:lineRule="auto"/>
        <w:jc w:val="both"/>
        <w:rPr>
          <w:rFonts w:ascii="Cambria" w:hAnsi="Cambria"/>
          <w:sz w:val="16"/>
          <w:szCs w:val="16"/>
          <w:lang w:val="es-ES_tradnl"/>
        </w:rPr>
      </w:pPr>
      <w:r w:rsidRPr="00C07A74">
        <w:rPr>
          <w:rStyle w:val="FootnoteReference"/>
          <w:rFonts w:ascii="Cambria" w:hAnsi="Cambria"/>
          <w:sz w:val="16"/>
          <w:szCs w:val="16"/>
          <w:lang w:val="es-ES_tradnl"/>
        </w:rPr>
        <w:footnoteRef/>
      </w:r>
      <w:r w:rsidRPr="00C07A74">
        <w:rPr>
          <w:rFonts w:ascii="Cambria" w:hAnsi="Cambria"/>
          <w:sz w:val="16"/>
          <w:szCs w:val="16"/>
          <w:lang w:val="es-ES_tradnl"/>
        </w:rPr>
        <w:t xml:space="preserve"> CIDH, Informe No. 11/15, Caso 12.833, Fondo (Publicación), </w:t>
      </w:r>
      <w:r w:rsidR="00E15027" w:rsidRPr="00C07A74">
        <w:rPr>
          <w:rFonts w:ascii="Cambria" w:hAnsi="Cambria"/>
          <w:sz w:val="16"/>
          <w:szCs w:val="16"/>
          <w:lang w:val="es-ES_tradnl"/>
        </w:rPr>
        <w:t>Félix</w:t>
      </w:r>
      <w:r w:rsidRPr="00C07A74">
        <w:rPr>
          <w:rFonts w:ascii="Cambria" w:hAnsi="Cambria"/>
          <w:sz w:val="16"/>
          <w:szCs w:val="16"/>
          <w:lang w:val="es-ES_tradnl"/>
        </w:rPr>
        <w:t xml:space="preserve"> Rocha </w:t>
      </w:r>
      <w:r w:rsidR="00E15027" w:rsidRPr="00C07A74">
        <w:rPr>
          <w:rFonts w:ascii="Cambria" w:hAnsi="Cambria"/>
          <w:sz w:val="16"/>
          <w:szCs w:val="16"/>
          <w:lang w:val="es-ES_tradnl"/>
        </w:rPr>
        <w:t>Díaz</w:t>
      </w:r>
      <w:r w:rsidRPr="00C07A74">
        <w:rPr>
          <w:rFonts w:ascii="Cambria" w:hAnsi="Cambria"/>
          <w:sz w:val="16"/>
          <w:szCs w:val="16"/>
          <w:lang w:val="es-ES_tradnl"/>
        </w:rPr>
        <w:t xml:space="preserve">, Estados Unidos, 23 de marzo de 2015, </w:t>
      </w:r>
      <w:r w:rsidR="00E15027" w:rsidRPr="00C07A74">
        <w:rPr>
          <w:rFonts w:ascii="Cambria" w:hAnsi="Cambria"/>
          <w:sz w:val="16"/>
          <w:szCs w:val="16"/>
          <w:lang w:val="es-ES_tradnl"/>
        </w:rPr>
        <w:t>párr.</w:t>
      </w:r>
      <w:r w:rsidRPr="00C07A74">
        <w:rPr>
          <w:rFonts w:ascii="Cambria" w:hAnsi="Cambria"/>
          <w:sz w:val="16"/>
          <w:szCs w:val="16"/>
          <w:lang w:val="es-ES_tradnl"/>
        </w:rPr>
        <w:t xml:space="preserve"> 84</w:t>
      </w:r>
    </w:p>
  </w:footnote>
  <w:footnote w:id="98">
    <w:p w14:paraId="034A4ED1" w14:textId="77777777" w:rsidR="00540E3D" w:rsidRPr="00C07A74" w:rsidRDefault="00540E3D" w:rsidP="00540E3D">
      <w:pPr>
        <w:spacing w:after="0" w:line="240" w:lineRule="auto"/>
        <w:jc w:val="both"/>
        <w:rPr>
          <w:rFonts w:ascii="Cambria" w:hAnsi="Cambria"/>
          <w:sz w:val="16"/>
          <w:szCs w:val="16"/>
          <w:lang w:val="es-ES_tradnl"/>
        </w:rPr>
      </w:pPr>
      <w:r w:rsidRPr="00C07A74">
        <w:rPr>
          <w:rStyle w:val="FootnoteReference"/>
          <w:rFonts w:ascii="Cambria" w:hAnsi="Cambria"/>
          <w:sz w:val="16"/>
          <w:szCs w:val="16"/>
          <w:lang w:val="es-ES_tradnl"/>
        </w:rPr>
        <w:footnoteRef/>
      </w:r>
      <w:r w:rsidRPr="00C07A74">
        <w:rPr>
          <w:rFonts w:ascii="Cambria" w:hAnsi="Cambria"/>
          <w:sz w:val="16"/>
          <w:szCs w:val="16"/>
          <w:lang w:val="es-ES_tradnl"/>
        </w:rPr>
        <w:t xml:space="preserve"> CIDH, Informe No. 53/13, Caso 12.864, Fondo (Publicación), </w:t>
      </w:r>
      <w:r w:rsidR="00E15027" w:rsidRPr="00C07A74">
        <w:rPr>
          <w:rFonts w:ascii="Cambria" w:hAnsi="Cambria"/>
          <w:sz w:val="16"/>
          <w:szCs w:val="16"/>
          <w:lang w:val="es-ES_tradnl"/>
        </w:rPr>
        <w:t>Iván</w:t>
      </w:r>
      <w:r w:rsidRPr="00C07A74">
        <w:rPr>
          <w:rFonts w:ascii="Cambria" w:hAnsi="Cambria"/>
          <w:sz w:val="16"/>
          <w:szCs w:val="16"/>
          <w:lang w:val="es-ES_tradnl"/>
        </w:rPr>
        <w:t xml:space="preserve"> </w:t>
      </w:r>
      <w:proofErr w:type="spellStart"/>
      <w:r w:rsidRPr="00C07A74">
        <w:rPr>
          <w:rFonts w:ascii="Cambria" w:hAnsi="Cambria"/>
          <w:sz w:val="16"/>
          <w:szCs w:val="16"/>
          <w:lang w:val="es-ES_tradnl"/>
        </w:rPr>
        <w:t>Teleguz</w:t>
      </w:r>
      <w:proofErr w:type="spellEnd"/>
      <w:r w:rsidRPr="00C07A74">
        <w:rPr>
          <w:rFonts w:ascii="Cambria" w:hAnsi="Cambria"/>
          <w:sz w:val="16"/>
          <w:szCs w:val="16"/>
          <w:lang w:val="es-ES_tradnl"/>
        </w:rPr>
        <w:t xml:space="preserve">, Estados Unidos, 15 de julio de 2013, </w:t>
      </w:r>
      <w:r w:rsidR="00E15027" w:rsidRPr="00C07A74">
        <w:rPr>
          <w:rFonts w:ascii="Cambria" w:hAnsi="Cambria"/>
          <w:sz w:val="16"/>
          <w:szCs w:val="16"/>
          <w:lang w:val="es-ES_tradnl"/>
        </w:rPr>
        <w:t>párr.</w:t>
      </w:r>
      <w:r w:rsidRPr="00C07A74">
        <w:rPr>
          <w:rFonts w:ascii="Cambria" w:hAnsi="Cambria"/>
          <w:sz w:val="16"/>
          <w:szCs w:val="16"/>
          <w:lang w:val="es-ES_tradnl"/>
        </w:rPr>
        <w:t xml:space="preserve"> 123.</w:t>
      </w:r>
    </w:p>
  </w:footnote>
  <w:footnote w:id="99">
    <w:p w14:paraId="54BE4C6A" w14:textId="77777777" w:rsidR="00540E3D" w:rsidRPr="00C07A74" w:rsidRDefault="00540E3D" w:rsidP="00540E3D">
      <w:pPr>
        <w:pStyle w:val="FootnoteText"/>
        <w:spacing w:after="0" w:line="240" w:lineRule="auto"/>
        <w:rPr>
          <w:rFonts w:ascii="Cambria" w:hAnsi="Cambria"/>
          <w:sz w:val="16"/>
          <w:szCs w:val="16"/>
          <w:lang w:val="es-ES_tradnl"/>
        </w:rPr>
      </w:pPr>
      <w:r w:rsidRPr="00C07A74">
        <w:rPr>
          <w:rStyle w:val="FootnoteReference"/>
          <w:rFonts w:ascii="Cambria" w:hAnsi="Cambria"/>
          <w:sz w:val="16"/>
          <w:szCs w:val="16"/>
          <w:lang w:val="es-ES_tradnl"/>
        </w:rPr>
        <w:footnoteRef/>
      </w:r>
      <w:r w:rsidRPr="00C07A74">
        <w:rPr>
          <w:rFonts w:ascii="Cambria" w:hAnsi="Cambria"/>
          <w:sz w:val="16"/>
          <w:szCs w:val="16"/>
          <w:lang w:val="es-ES_tradnl"/>
        </w:rPr>
        <w:t xml:space="preserve"> CIDH, Informe No. 53/13, Caso 12.864, Fondo (Publicación), Iván </w:t>
      </w:r>
      <w:proofErr w:type="spellStart"/>
      <w:r w:rsidRPr="00C07A74">
        <w:rPr>
          <w:rFonts w:ascii="Cambria" w:hAnsi="Cambria"/>
          <w:sz w:val="16"/>
          <w:szCs w:val="16"/>
          <w:lang w:val="es-ES_tradnl"/>
        </w:rPr>
        <w:t>Teleguz</w:t>
      </w:r>
      <w:proofErr w:type="spellEnd"/>
      <w:r w:rsidRPr="00C07A74">
        <w:rPr>
          <w:rFonts w:ascii="Cambria" w:hAnsi="Cambria"/>
          <w:sz w:val="16"/>
          <w:szCs w:val="16"/>
          <w:lang w:val="es-ES_tradnl"/>
        </w:rPr>
        <w:t xml:space="preserve">, Estados Unidos (15 de julio de 2013), </w:t>
      </w:r>
      <w:proofErr w:type="spellStart"/>
      <w:r w:rsidRPr="00C07A74">
        <w:rPr>
          <w:rFonts w:ascii="Cambria" w:hAnsi="Cambria"/>
          <w:sz w:val="16"/>
          <w:szCs w:val="16"/>
          <w:lang w:val="es-ES_tradnl"/>
        </w:rPr>
        <w:t>p</w:t>
      </w:r>
      <w:r w:rsidR="00E15027">
        <w:rPr>
          <w:rFonts w:ascii="Cambria" w:hAnsi="Cambria"/>
          <w:sz w:val="16"/>
          <w:szCs w:val="16"/>
          <w:lang w:val="es-ES_tradnl"/>
        </w:rPr>
        <w:t>á</w:t>
      </w:r>
      <w:r w:rsidRPr="00C07A74">
        <w:rPr>
          <w:rFonts w:ascii="Cambria" w:hAnsi="Cambria"/>
          <w:sz w:val="16"/>
          <w:szCs w:val="16"/>
          <w:lang w:val="es-ES_tradnl"/>
        </w:rPr>
        <w:t>rrs</w:t>
      </w:r>
      <w:proofErr w:type="spellEnd"/>
      <w:r w:rsidRPr="00C07A74">
        <w:rPr>
          <w:rFonts w:ascii="Cambria" w:hAnsi="Cambria"/>
          <w:sz w:val="16"/>
          <w:szCs w:val="16"/>
          <w:lang w:val="es-ES_tradnl"/>
        </w:rPr>
        <w:t>. 121, 124</w:t>
      </w:r>
    </w:p>
  </w:footnote>
  <w:footnote w:id="100">
    <w:p w14:paraId="238669F6" w14:textId="77777777" w:rsidR="00540E3D" w:rsidRPr="00C07A74" w:rsidRDefault="00540E3D" w:rsidP="00540E3D">
      <w:pPr>
        <w:pStyle w:val="FootnoteText"/>
        <w:spacing w:after="0" w:line="240" w:lineRule="auto"/>
        <w:jc w:val="both"/>
        <w:rPr>
          <w:rFonts w:ascii="Cambria" w:hAnsi="Cambria"/>
          <w:sz w:val="16"/>
          <w:szCs w:val="16"/>
          <w:lang w:val="es-ES_tradnl"/>
        </w:rPr>
      </w:pPr>
      <w:r w:rsidRPr="00C07A74">
        <w:rPr>
          <w:rStyle w:val="FootnoteReference"/>
          <w:rFonts w:ascii="Cambria" w:hAnsi="Cambria"/>
          <w:sz w:val="16"/>
          <w:szCs w:val="16"/>
          <w:lang w:val="es-ES_tradnl"/>
        </w:rPr>
        <w:footnoteRef/>
      </w:r>
      <w:r w:rsidRPr="00C07A74">
        <w:rPr>
          <w:rFonts w:ascii="Cambria" w:hAnsi="Cambria"/>
          <w:sz w:val="16"/>
          <w:szCs w:val="16"/>
          <w:lang w:val="es-ES_tradnl"/>
        </w:rPr>
        <w:t xml:space="preserve"> Comité Contra la Tortura, Examen de los Informes Presentados por los </w:t>
      </w:r>
      <w:proofErr w:type="gramStart"/>
      <w:r w:rsidRPr="00C07A74">
        <w:rPr>
          <w:rFonts w:ascii="Cambria" w:hAnsi="Cambria"/>
          <w:sz w:val="16"/>
          <w:szCs w:val="16"/>
          <w:lang w:val="es-ES_tradnl"/>
        </w:rPr>
        <w:t>Estados Partes</w:t>
      </w:r>
      <w:proofErr w:type="gramEnd"/>
      <w:r w:rsidRPr="00C07A74">
        <w:rPr>
          <w:rFonts w:ascii="Cambria" w:hAnsi="Cambria"/>
          <w:sz w:val="16"/>
          <w:szCs w:val="16"/>
          <w:lang w:val="es-ES_tradnl"/>
        </w:rPr>
        <w:t xml:space="preserve"> en Virtud del Artículo 19 de la Convención, Estados Unidos, CAT/C/USA/CO/2, 25 de julio de 2006, par. 31</w:t>
      </w:r>
    </w:p>
  </w:footnote>
  <w:footnote w:id="101">
    <w:p w14:paraId="769BB89D" w14:textId="77777777" w:rsidR="00540E3D" w:rsidRPr="001D36DC" w:rsidRDefault="00540E3D" w:rsidP="00540E3D">
      <w:pPr>
        <w:pStyle w:val="FootnoteText"/>
        <w:spacing w:after="0" w:line="240" w:lineRule="auto"/>
        <w:rPr>
          <w:rFonts w:ascii="Cambria" w:hAnsi="Cambria"/>
          <w:sz w:val="16"/>
          <w:szCs w:val="16"/>
          <w:lang w:val="en-US"/>
        </w:rPr>
      </w:pPr>
      <w:r w:rsidRPr="00C07A74">
        <w:rPr>
          <w:rStyle w:val="FootnoteReference"/>
          <w:rFonts w:ascii="Cambria" w:hAnsi="Cambria"/>
          <w:sz w:val="16"/>
          <w:szCs w:val="16"/>
          <w:lang w:val="es-ES_tradnl"/>
        </w:rPr>
        <w:footnoteRef/>
      </w:r>
      <w:r w:rsidRPr="001D36DC">
        <w:rPr>
          <w:rFonts w:ascii="Cambria" w:hAnsi="Cambria"/>
          <w:sz w:val="16"/>
          <w:szCs w:val="16"/>
          <w:lang w:val="en-US"/>
        </w:rPr>
        <w:t xml:space="preserve"> Texas Department of Criminal Justice v. Levin, 572 S.W.3d 671 (Tex. 2019)</w:t>
      </w:r>
    </w:p>
  </w:footnote>
  <w:footnote w:id="102">
    <w:p w14:paraId="4F064C5B" w14:textId="77777777" w:rsidR="00540E3D" w:rsidRPr="00C07A74" w:rsidRDefault="00540E3D" w:rsidP="00540E3D">
      <w:pPr>
        <w:pStyle w:val="FootnoteText"/>
        <w:spacing w:after="0" w:line="240" w:lineRule="auto"/>
        <w:jc w:val="both"/>
        <w:rPr>
          <w:rFonts w:ascii="Cambria" w:hAnsi="Cambria"/>
          <w:sz w:val="16"/>
          <w:szCs w:val="16"/>
          <w:lang w:val="es-ES_tradnl"/>
        </w:rPr>
      </w:pPr>
      <w:r w:rsidRPr="00C07A74">
        <w:rPr>
          <w:rStyle w:val="FootnoteReference"/>
          <w:rFonts w:ascii="Cambria" w:hAnsi="Cambria"/>
          <w:sz w:val="16"/>
          <w:szCs w:val="16"/>
          <w:lang w:val="es-ES_tradnl"/>
        </w:rPr>
        <w:footnoteRef/>
      </w:r>
      <w:r w:rsidRPr="00C07A74">
        <w:rPr>
          <w:rStyle w:val="FootnoteReference"/>
          <w:rFonts w:ascii="Cambria" w:hAnsi="Cambria"/>
          <w:sz w:val="16"/>
          <w:szCs w:val="16"/>
          <w:lang w:val="es-ES_tradnl"/>
        </w:rPr>
        <w:t xml:space="preserve"> </w:t>
      </w:r>
      <w:r w:rsidRPr="00C07A74">
        <w:rPr>
          <w:rFonts w:ascii="Cambria" w:hAnsi="Cambria"/>
          <w:sz w:val="16"/>
          <w:szCs w:val="16"/>
          <w:lang w:val="es-ES_tradnl"/>
        </w:rPr>
        <w:t>El Artículo I de la Declaración Americana establece: Todo ser humano tiene derecho a la vida, a la libertad y a la seguridad de su persona.</w:t>
      </w:r>
    </w:p>
  </w:footnote>
  <w:footnote w:id="103">
    <w:p w14:paraId="3FAC197F" w14:textId="77777777" w:rsidR="00540E3D" w:rsidRPr="00C07A74" w:rsidRDefault="00540E3D" w:rsidP="00540E3D">
      <w:pPr>
        <w:pStyle w:val="FootnoteText"/>
        <w:spacing w:after="0" w:line="240" w:lineRule="auto"/>
        <w:jc w:val="both"/>
        <w:rPr>
          <w:rFonts w:ascii="Cambria" w:hAnsi="Cambria"/>
          <w:sz w:val="16"/>
          <w:szCs w:val="16"/>
          <w:lang w:val="es-ES_tradnl"/>
        </w:rPr>
      </w:pPr>
      <w:r w:rsidRPr="00C07A74">
        <w:rPr>
          <w:rStyle w:val="FootnoteReference"/>
          <w:rFonts w:ascii="Cambria" w:hAnsi="Cambria"/>
          <w:sz w:val="16"/>
          <w:szCs w:val="16"/>
          <w:lang w:val="es-ES_tradnl"/>
        </w:rPr>
        <w:footnoteRef/>
      </w:r>
      <w:r w:rsidRPr="00C07A74">
        <w:rPr>
          <w:rFonts w:ascii="Cambria" w:hAnsi="Cambria"/>
          <w:sz w:val="16"/>
          <w:szCs w:val="16"/>
          <w:lang w:val="es-ES_tradnl"/>
        </w:rPr>
        <w:t xml:space="preserve"> CIDH, Informe No. 53/13, Caso 12.864, Fondo (Publicación), </w:t>
      </w:r>
      <w:proofErr w:type="spellStart"/>
      <w:r w:rsidRPr="00C07A74">
        <w:rPr>
          <w:rFonts w:ascii="Cambria" w:hAnsi="Cambria"/>
          <w:sz w:val="16"/>
          <w:szCs w:val="16"/>
          <w:lang w:val="es-ES_tradnl"/>
        </w:rPr>
        <w:t>Ivan</w:t>
      </w:r>
      <w:proofErr w:type="spellEnd"/>
      <w:r w:rsidRPr="00C07A74">
        <w:rPr>
          <w:rFonts w:ascii="Cambria" w:hAnsi="Cambria"/>
          <w:sz w:val="16"/>
          <w:szCs w:val="16"/>
          <w:lang w:val="es-ES_tradnl"/>
        </w:rPr>
        <w:t xml:space="preserve"> </w:t>
      </w:r>
      <w:proofErr w:type="spellStart"/>
      <w:r w:rsidRPr="00C07A74">
        <w:rPr>
          <w:rFonts w:ascii="Cambria" w:hAnsi="Cambria"/>
          <w:sz w:val="16"/>
          <w:szCs w:val="16"/>
          <w:lang w:val="es-ES_tradnl"/>
        </w:rPr>
        <w:t>Teleguz</w:t>
      </w:r>
      <w:proofErr w:type="spellEnd"/>
      <w:r w:rsidRPr="00C07A74">
        <w:rPr>
          <w:rFonts w:ascii="Cambria" w:hAnsi="Cambria"/>
          <w:sz w:val="16"/>
          <w:szCs w:val="16"/>
          <w:lang w:val="es-ES_tradnl"/>
        </w:rPr>
        <w:t>, Estados Unidos, 15 de julio de 2013, p</w:t>
      </w:r>
      <w:r w:rsidR="00103034">
        <w:rPr>
          <w:rFonts w:ascii="Cambria" w:hAnsi="Cambria"/>
          <w:sz w:val="16"/>
          <w:szCs w:val="16"/>
          <w:lang w:val="es-ES_tradnl"/>
        </w:rPr>
        <w:t>á</w:t>
      </w:r>
      <w:r w:rsidRPr="00C07A74">
        <w:rPr>
          <w:rFonts w:ascii="Cambria" w:hAnsi="Cambria"/>
          <w:sz w:val="16"/>
          <w:szCs w:val="16"/>
          <w:lang w:val="es-ES_tradnl"/>
        </w:rPr>
        <w:t>rr. 129.</w:t>
      </w:r>
    </w:p>
  </w:footnote>
  <w:footnote w:id="104">
    <w:p w14:paraId="485B0031" w14:textId="77777777" w:rsidR="00540E3D" w:rsidRPr="00C07A74" w:rsidRDefault="00540E3D" w:rsidP="00540E3D">
      <w:pPr>
        <w:pStyle w:val="FootnoteText"/>
        <w:spacing w:after="0" w:line="240" w:lineRule="auto"/>
        <w:jc w:val="both"/>
        <w:rPr>
          <w:rFonts w:ascii="Cambria" w:hAnsi="Cambria"/>
          <w:sz w:val="16"/>
          <w:szCs w:val="16"/>
          <w:lang w:val="es-ES_tradnl"/>
        </w:rPr>
      </w:pPr>
      <w:r w:rsidRPr="00C07A74">
        <w:rPr>
          <w:rStyle w:val="FootnoteReference"/>
          <w:rFonts w:ascii="Cambria" w:hAnsi="Cambria"/>
          <w:sz w:val="16"/>
          <w:szCs w:val="16"/>
          <w:lang w:val="es-ES_tradnl"/>
        </w:rPr>
        <w:footnoteRef/>
      </w:r>
      <w:r w:rsidRPr="00C07A74">
        <w:rPr>
          <w:rFonts w:ascii="Cambria" w:hAnsi="Cambria"/>
          <w:sz w:val="16"/>
          <w:szCs w:val="16"/>
          <w:lang w:val="es-ES_tradnl"/>
        </w:rPr>
        <w:t xml:space="preserve"> CIDH, Informe No. 11/15, Caso 12.833, Fondo (Publicación), Félix Rocha Díaz, Estados Unidos, 23 de marzo de 2015, p</w:t>
      </w:r>
      <w:r w:rsidR="00103034">
        <w:rPr>
          <w:rFonts w:ascii="Cambria" w:hAnsi="Cambria"/>
          <w:sz w:val="16"/>
          <w:szCs w:val="16"/>
          <w:lang w:val="es-ES_tradnl"/>
        </w:rPr>
        <w:t>á</w:t>
      </w:r>
      <w:r w:rsidRPr="00C07A74">
        <w:rPr>
          <w:rFonts w:ascii="Cambria" w:hAnsi="Cambria"/>
          <w:sz w:val="16"/>
          <w:szCs w:val="16"/>
          <w:lang w:val="es-ES_tradnl"/>
        </w:rPr>
        <w:t>rr. 106.</w:t>
      </w:r>
    </w:p>
  </w:footnote>
  <w:footnote w:id="105">
    <w:p w14:paraId="66233695" w14:textId="77777777" w:rsidR="00540E3D" w:rsidRPr="00C07A74" w:rsidRDefault="00540E3D" w:rsidP="00540E3D">
      <w:pPr>
        <w:pStyle w:val="FootnoteText"/>
        <w:spacing w:after="0" w:line="240" w:lineRule="auto"/>
        <w:jc w:val="both"/>
        <w:rPr>
          <w:rFonts w:ascii="Cambria" w:hAnsi="Cambria"/>
          <w:sz w:val="16"/>
          <w:szCs w:val="16"/>
          <w:lang w:val="es-ES_tradnl"/>
        </w:rPr>
      </w:pPr>
      <w:r w:rsidRPr="00C07A74">
        <w:rPr>
          <w:rStyle w:val="FootnoteReference"/>
          <w:rFonts w:ascii="Cambria" w:hAnsi="Cambria"/>
          <w:sz w:val="16"/>
          <w:szCs w:val="16"/>
          <w:lang w:val="es-ES_tradnl"/>
        </w:rPr>
        <w:footnoteRef/>
      </w:r>
      <w:r w:rsidRPr="00C07A74">
        <w:rPr>
          <w:rFonts w:ascii="Cambria" w:hAnsi="Cambria"/>
          <w:sz w:val="16"/>
          <w:szCs w:val="16"/>
          <w:lang w:val="es-ES_tradnl"/>
        </w:rPr>
        <w:t xml:space="preserve"> Véase al respecto, CIDH, La pena de muerte en el Sistema Interamericano de Derechos Humanos: de restricciones a abolición, OEA/</w:t>
      </w:r>
      <w:proofErr w:type="spellStart"/>
      <w:r w:rsidRPr="00C07A74">
        <w:rPr>
          <w:rFonts w:ascii="Cambria" w:hAnsi="Cambria"/>
          <w:sz w:val="16"/>
          <w:szCs w:val="16"/>
          <w:lang w:val="es-ES_tradnl"/>
        </w:rPr>
        <w:t>Ser.L</w:t>
      </w:r>
      <w:proofErr w:type="spellEnd"/>
      <w:r w:rsidRPr="00C07A74">
        <w:rPr>
          <w:rFonts w:ascii="Cambria" w:hAnsi="Cambria"/>
          <w:sz w:val="16"/>
          <w:szCs w:val="16"/>
          <w:lang w:val="es-ES_tradnl"/>
        </w:rPr>
        <w:t>/V/II.</w:t>
      </w:r>
      <w:r w:rsidR="00E15027">
        <w:rPr>
          <w:rFonts w:ascii="Cambria" w:hAnsi="Cambria"/>
          <w:sz w:val="16"/>
          <w:szCs w:val="16"/>
          <w:lang w:val="es-ES_tradnl"/>
        </w:rPr>
        <w:t xml:space="preserve"> </w:t>
      </w:r>
      <w:r w:rsidRPr="00C07A74">
        <w:rPr>
          <w:rFonts w:ascii="Cambria" w:hAnsi="Cambria"/>
          <w:sz w:val="16"/>
          <w:szCs w:val="16"/>
          <w:lang w:val="es-ES_tradnl"/>
        </w:rPr>
        <w:t>Doc</w:t>
      </w:r>
      <w:r w:rsidR="00E15027">
        <w:rPr>
          <w:rFonts w:ascii="Cambria" w:hAnsi="Cambria"/>
          <w:sz w:val="16"/>
          <w:szCs w:val="16"/>
          <w:lang w:val="es-ES_tradnl"/>
        </w:rPr>
        <w:t>.</w:t>
      </w:r>
      <w:r w:rsidRPr="00C07A74">
        <w:rPr>
          <w:rFonts w:ascii="Cambria" w:hAnsi="Cambria"/>
          <w:sz w:val="16"/>
          <w:szCs w:val="16"/>
          <w:lang w:val="es-ES_tradnl"/>
        </w:rPr>
        <w:t xml:space="preserve"> 68, 31 de diciembre de 2011.</w:t>
      </w:r>
    </w:p>
  </w:footnote>
  <w:footnote w:id="106">
    <w:p w14:paraId="6FF1E9B6" w14:textId="77777777" w:rsidR="00540E3D" w:rsidRPr="00C07A74" w:rsidRDefault="00540E3D" w:rsidP="00540E3D">
      <w:pPr>
        <w:pStyle w:val="FootnoteText"/>
        <w:jc w:val="both"/>
        <w:rPr>
          <w:rFonts w:ascii="Cambria" w:hAnsi="Cambria"/>
          <w:sz w:val="16"/>
          <w:szCs w:val="16"/>
          <w:lang w:val="es-ES_tradnl"/>
        </w:rPr>
      </w:pPr>
      <w:r w:rsidRPr="00C07A74">
        <w:rPr>
          <w:rStyle w:val="FootnoteReference"/>
          <w:rFonts w:ascii="Cambria" w:hAnsi="Cambria"/>
          <w:sz w:val="16"/>
          <w:szCs w:val="16"/>
          <w:lang w:val="es-ES_tradnl"/>
        </w:rPr>
        <w:footnoteRef/>
      </w:r>
      <w:r w:rsidRPr="00C07A74">
        <w:rPr>
          <w:rFonts w:ascii="Cambria" w:hAnsi="Cambria"/>
          <w:sz w:val="16"/>
          <w:szCs w:val="16"/>
          <w:lang w:val="es-ES_tradnl"/>
        </w:rPr>
        <w:t xml:space="preserve"> Véase al respecto, CIDH, La pena de muerte en el Sistema Interamericano de Derechos Humanos: de restricciones a abolición, OEA/</w:t>
      </w:r>
      <w:proofErr w:type="spellStart"/>
      <w:r w:rsidRPr="00C07A74">
        <w:rPr>
          <w:rFonts w:ascii="Cambria" w:hAnsi="Cambria"/>
          <w:sz w:val="16"/>
          <w:szCs w:val="16"/>
          <w:lang w:val="es-ES_tradnl"/>
        </w:rPr>
        <w:t>Ser.L</w:t>
      </w:r>
      <w:proofErr w:type="spellEnd"/>
      <w:r w:rsidRPr="00C07A74">
        <w:rPr>
          <w:rFonts w:ascii="Cambria" w:hAnsi="Cambria"/>
          <w:sz w:val="16"/>
          <w:szCs w:val="16"/>
          <w:lang w:val="es-ES_tradnl"/>
        </w:rPr>
        <w:t>/V/II.</w:t>
      </w:r>
      <w:r w:rsidR="00E15027">
        <w:rPr>
          <w:rFonts w:ascii="Cambria" w:hAnsi="Cambria"/>
          <w:sz w:val="16"/>
          <w:szCs w:val="16"/>
          <w:lang w:val="es-ES_tradnl"/>
        </w:rPr>
        <w:t xml:space="preserve"> </w:t>
      </w:r>
      <w:r w:rsidRPr="00C07A74">
        <w:rPr>
          <w:rFonts w:ascii="Cambria" w:hAnsi="Cambria"/>
          <w:sz w:val="16"/>
          <w:szCs w:val="16"/>
          <w:lang w:val="es-ES_tradnl"/>
        </w:rPr>
        <w:t>Doc</w:t>
      </w:r>
      <w:r w:rsidR="00E15027">
        <w:rPr>
          <w:rFonts w:ascii="Cambria" w:hAnsi="Cambria"/>
          <w:sz w:val="16"/>
          <w:szCs w:val="16"/>
          <w:lang w:val="es-ES_tradnl"/>
        </w:rPr>
        <w:t>.</w:t>
      </w:r>
      <w:r w:rsidRPr="00C07A74">
        <w:rPr>
          <w:rFonts w:ascii="Cambria" w:hAnsi="Cambria"/>
          <w:sz w:val="16"/>
          <w:szCs w:val="16"/>
          <w:lang w:val="es-ES_tradnl"/>
        </w:rPr>
        <w:t xml:space="preserve"> 68, 31 de diciembre de 2011.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41BD5" w14:textId="77777777" w:rsidR="00CC0FA0" w:rsidRDefault="00CC0FA0" w:rsidP="0025390B">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0C9C6B29" w14:textId="77777777" w:rsidR="00CC0FA0" w:rsidRDefault="00CC0F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26C4C" w14:textId="77777777" w:rsidR="00421AF1" w:rsidRDefault="00421AF1" w:rsidP="00421AF1">
    <w:pPr>
      <w:pStyle w:val="Header"/>
      <w:spacing w:after="0" w:line="240" w:lineRule="auto"/>
      <w:jc w:val="center"/>
    </w:pPr>
    <w:r>
      <w:rPr>
        <w:noProof/>
      </w:rPr>
      <w:drawing>
        <wp:inline distT="0" distB="0" distL="0" distR="0" wp14:anchorId="40F35360" wp14:editId="51D25F84">
          <wp:extent cx="1972237" cy="104775"/>
          <wp:effectExtent l="0" t="0" r="9525" b="0"/>
          <wp:docPr id="15" name="Picture 15"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7A4194B8" w14:textId="77777777" w:rsidR="00421AF1" w:rsidRPr="00EC7D62" w:rsidRDefault="00421AF1" w:rsidP="00421AF1">
    <w:pPr>
      <w:pStyle w:val="Header"/>
      <w:spacing w:after="0" w:line="240" w:lineRule="auto"/>
      <w:jc w:val="center"/>
    </w:pPr>
    <w:r>
      <w:rPr>
        <w:noProof/>
        <w:bdr w:val="nil"/>
      </w:rPr>
      <w:pict w14:anchorId="4F075486">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51E47"/>
    <w:multiLevelType w:val="hybridMultilevel"/>
    <w:tmpl w:val="CB309994"/>
    <w:lvl w:ilvl="0" w:tplc="1B76F0DC">
      <w:start w:val="1"/>
      <w:numFmt w:val="decimal"/>
      <w:lvlText w:val="%1."/>
      <w:lvlJc w:val="left"/>
      <w:pPr>
        <w:ind w:left="1420" w:hanging="700"/>
      </w:pPr>
      <w:rPr>
        <w:rFonts w:ascii="Cambria" w:hAnsi="Cambr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EF1470"/>
    <w:multiLevelType w:val="multilevel"/>
    <w:tmpl w:val="750E19E2"/>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E1D2261"/>
    <w:multiLevelType w:val="hybridMultilevel"/>
    <w:tmpl w:val="87AE7E06"/>
    <w:lvl w:ilvl="0" w:tplc="11100042">
      <w:start w:val="1"/>
      <w:numFmt w:val="decimal"/>
      <w:lvlText w:val="%1."/>
      <w:lvlJc w:val="left"/>
      <w:pPr>
        <w:tabs>
          <w:tab w:val="num" w:pos="720"/>
        </w:tabs>
        <w:ind w:left="0" w:firstLine="720"/>
      </w:pPr>
      <w:rPr>
        <w:rFonts w:hint="default"/>
        <w:i w:val="0"/>
        <w:color w:val="auto"/>
        <w:lang w:val="es-E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F3228CD"/>
    <w:multiLevelType w:val="hybridMultilevel"/>
    <w:tmpl w:val="2FB49D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0469D2"/>
    <w:multiLevelType w:val="hybridMultilevel"/>
    <w:tmpl w:val="1D267F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322AA3"/>
    <w:multiLevelType w:val="hybridMultilevel"/>
    <w:tmpl w:val="5ADE4DC2"/>
    <w:lvl w:ilvl="0" w:tplc="028C10D6">
      <w:start w:val="8"/>
      <w:numFmt w:val="decimal"/>
      <w:lvlText w:val="%1."/>
      <w:lvlJc w:val="left"/>
      <w:pPr>
        <w:tabs>
          <w:tab w:val="num" w:pos="1080"/>
        </w:tabs>
        <w:ind w:left="360" w:firstLine="720"/>
      </w:pPr>
      <w:rPr>
        <w:rFonts w:hint="default"/>
        <w:color w:val="auto"/>
      </w:rPr>
    </w:lvl>
    <w:lvl w:ilvl="1" w:tplc="739EDB44">
      <w:start w:val="7"/>
      <w:numFmt w:val="decimal"/>
      <w:lvlText w:val="%2."/>
      <w:lvlJc w:val="left"/>
      <w:pPr>
        <w:tabs>
          <w:tab w:val="num" w:pos="1440"/>
        </w:tabs>
        <w:ind w:left="720" w:firstLine="720"/>
      </w:pPr>
      <w:rPr>
        <w:rFonts w:ascii="Univers" w:hAnsi="Univers" w:hint="default"/>
        <w:color w:val="auto"/>
        <w:sz w:val="20"/>
      </w:rPr>
    </w:lvl>
    <w:lvl w:ilvl="2" w:tplc="64C66088">
      <w:start w:val="4"/>
      <w:numFmt w:val="upperRoman"/>
      <w:lvlText w:val="%3."/>
      <w:lvlJc w:val="left"/>
      <w:pPr>
        <w:tabs>
          <w:tab w:val="num" w:pos="3060"/>
        </w:tabs>
        <w:ind w:left="3060" w:hanging="720"/>
      </w:pPr>
      <w:rPr>
        <w:rFonts w:hint="default"/>
        <w:b/>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9F16A12"/>
    <w:multiLevelType w:val="hybridMultilevel"/>
    <w:tmpl w:val="652E25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3E2C33"/>
    <w:multiLevelType w:val="hybridMultilevel"/>
    <w:tmpl w:val="88C6A11E"/>
    <w:lvl w:ilvl="0" w:tplc="3AA89C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6F35CD"/>
    <w:multiLevelType w:val="hybridMultilevel"/>
    <w:tmpl w:val="E834931C"/>
    <w:lvl w:ilvl="0" w:tplc="BAD877A8">
      <w:start w:val="168"/>
      <w:numFmt w:val="decimal"/>
      <w:lvlText w:val="%1."/>
      <w:lvlJc w:val="left"/>
      <w:pPr>
        <w:ind w:left="731" w:hanging="37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2A4853"/>
    <w:multiLevelType w:val="hybridMultilevel"/>
    <w:tmpl w:val="F6CCB3B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0B5350"/>
    <w:multiLevelType w:val="hybridMultilevel"/>
    <w:tmpl w:val="F9E2F46A"/>
    <w:lvl w:ilvl="0" w:tplc="2DB2892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53A2082"/>
    <w:multiLevelType w:val="hybridMultilevel"/>
    <w:tmpl w:val="0950A7FA"/>
    <w:lvl w:ilvl="0" w:tplc="ED904310">
      <w:start w:val="6"/>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B64176"/>
    <w:multiLevelType w:val="hybridMultilevel"/>
    <w:tmpl w:val="3AEAAF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1E279C"/>
    <w:multiLevelType w:val="hybridMultilevel"/>
    <w:tmpl w:val="875A167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003982"/>
    <w:multiLevelType w:val="hybridMultilevel"/>
    <w:tmpl w:val="8F621B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6242E9"/>
    <w:multiLevelType w:val="hybridMultilevel"/>
    <w:tmpl w:val="8EAE4538"/>
    <w:lvl w:ilvl="0" w:tplc="0590E8A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ECD62F5"/>
    <w:multiLevelType w:val="hybridMultilevel"/>
    <w:tmpl w:val="649414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442D51"/>
    <w:multiLevelType w:val="hybridMultilevel"/>
    <w:tmpl w:val="1A9E9C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EB7415"/>
    <w:multiLevelType w:val="hybridMultilevel"/>
    <w:tmpl w:val="CD1AEBEA"/>
    <w:lvl w:ilvl="0" w:tplc="2BA82C8E">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78C64CE"/>
    <w:multiLevelType w:val="hybridMultilevel"/>
    <w:tmpl w:val="B582EFC0"/>
    <w:lvl w:ilvl="0" w:tplc="784EC8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681F10"/>
    <w:multiLevelType w:val="hybridMultilevel"/>
    <w:tmpl w:val="41F4A2C8"/>
    <w:lvl w:ilvl="0" w:tplc="529A4590">
      <w:start w:val="1"/>
      <w:numFmt w:val="decimal"/>
      <w:lvlText w:val="%1."/>
      <w:lvlJc w:val="left"/>
      <w:pPr>
        <w:ind w:left="1425" w:hanging="705"/>
      </w:pPr>
      <w:rPr>
        <w:sz w:val="20"/>
        <w:szCs w:val="2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15:restartNumberingAfterBreak="0">
    <w:nsid w:val="5B8E14DA"/>
    <w:multiLevelType w:val="hybridMultilevel"/>
    <w:tmpl w:val="5F2A5FBC"/>
    <w:lvl w:ilvl="0" w:tplc="4C945CC4">
      <w:start w:val="1"/>
      <w:numFmt w:val="decimal"/>
      <w:lvlText w:val="%1."/>
      <w:lvlJc w:val="left"/>
      <w:pPr>
        <w:ind w:left="720" w:hanging="360"/>
      </w:pPr>
      <w:rPr>
        <w:rFonts w:eastAsia="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7D4B9D"/>
    <w:multiLevelType w:val="hybridMultilevel"/>
    <w:tmpl w:val="B2BEA4E0"/>
    <w:lvl w:ilvl="0" w:tplc="5830BC58">
      <w:start w:val="1"/>
      <w:numFmt w:val="decimal"/>
      <w:lvlText w:val="%1."/>
      <w:lvlJc w:val="left"/>
      <w:pPr>
        <w:ind w:left="720" w:hanging="360"/>
      </w:pPr>
      <w:rPr>
        <w:rFonts w:ascii="Cambria" w:hAnsi="Cambria" w:hint="default"/>
        <w:b w:val="0"/>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0F61A9"/>
    <w:multiLevelType w:val="hybridMultilevel"/>
    <w:tmpl w:val="ED3EF570"/>
    <w:lvl w:ilvl="0" w:tplc="529A4590">
      <w:start w:val="1"/>
      <w:numFmt w:val="decimal"/>
      <w:lvlText w:val="%1."/>
      <w:lvlJc w:val="left"/>
      <w:pPr>
        <w:ind w:left="1425" w:hanging="705"/>
      </w:pPr>
      <w:rPr>
        <w:sz w:val="20"/>
        <w:szCs w:val="2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5" w15:restartNumberingAfterBreak="0">
    <w:nsid w:val="6C8A3274"/>
    <w:multiLevelType w:val="hybridMultilevel"/>
    <w:tmpl w:val="1AA2FA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A315DE"/>
    <w:multiLevelType w:val="hybridMultilevel"/>
    <w:tmpl w:val="3886C1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0786ED7"/>
    <w:multiLevelType w:val="hybridMultilevel"/>
    <w:tmpl w:val="073A8A9E"/>
    <w:lvl w:ilvl="0" w:tplc="69020C3E">
      <w:start w:val="1"/>
      <w:numFmt w:val="upperRoman"/>
      <w:lvlText w:val="%1."/>
      <w:lvlJc w:val="left"/>
      <w:pPr>
        <w:ind w:left="360" w:hanging="360"/>
      </w:pPr>
      <w:rPr>
        <w:rFonts w:hint="default"/>
      </w:rPr>
    </w:lvl>
    <w:lvl w:ilvl="1" w:tplc="677C583C">
      <w:start w:val="1"/>
      <w:numFmt w:val="decimal"/>
      <w:lvlText w:val="%2."/>
      <w:lvlJc w:val="left"/>
      <w:pPr>
        <w:ind w:left="1530" w:hanging="360"/>
      </w:pPr>
      <w:rPr>
        <w:rFonts w:hint="default"/>
      </w:rPr>
    </w:lvl>
    <w:lvl w:ilvl="2" w:tplc="0409001B">
      <w:start w:val="1"/>
      <w:numFmt w:val="lowerRoman"/>
      <w:lvlText w:val="%3."/>
      <w:lvlJc w:val="right"/>
      <w:pPr>
        <w:ind w:left="2160" w:hanging="180"/>
      </w:pPr>
    </w:lvl>
    <w:lvl w:ilvl="3" w:tplc="7BB669AE">
      <w:start w:val="1"/>
      <w:numFmt w:val="decimal"/>
      <w:lvlText w:val="%4."/>
      <w:lvlJc w:val="left"/>
      <w:pPr>
        <w:ind w:left="2880" w:hanging="360"/>
      </w:pPr>
      <w:rPr>
        <w:sz w:val="20"/>
        <w:szCs w:val="2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0B5D47"/>
    <w:multiLevelType w:val="hybridMultilevel"/>
    <w:tmpl w:val="9404D1E2"/>
    <w:lvl w:ilvl="0" w:tplc="CD2A5A04">
      <w:start w:val="33"/>
      <w:numFmt w:val="decimal"/>
      <w:lvlText w:val="%1."/>
      <w:lvlJc w:val="left"/>
      <w:pPr>
        <w:ind w:left="720" w:hanging="360"/>
      </w:pPr>
      <w:rPr>
        <w:rFonts w:hint="default"/>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6196E3A"/>
    <w:multiLevelType w:val="hybridMultilevel"/>
    <w:tmpl w:val="24008D8C"/>
    <w:lvl w:ilvl="0" w:tplc="E8A0F5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994649A"/>
    <w:multiLevelType w:val="hybridMultilevel"/>
    <w:tmpl w:val="A6F6CA10"/>
    <w:lvl w:ilvl="0" w:tplc="C6FEA962">
      <w:start w:val="1"/>
      <w:numFmt w:val="upperLetter"/>
      <w:lvlText w:val="%1."/>
      <w:lvlJc w:val="left"/>
      <w:pPr>
        <w:ind w:left="360" w:hanging="360"/>
      </w:pPr>
      <w:rPr>
        <w:rFonts w:hint="default"/>
        <w:color w:val="auto"/>
      </w:rPr>
    </w:lvl>
    <w:lvl w:ilvl="1" w:tplc="5B9AA624">
      <w:start w:val="1"/>
      <w:numFmt w:val="decimal"/>
      <w:lvlText w:val="%2."/>
      <w:lvlJc w:val="left"/>
      <w:pPr>
        <w:ind w:left="757" w:hanging="37"/>
      </w:pPr>
      <w:rPr>
        <w:rFonts w:hint="default"/>
        <w:color w:val="auto"/>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9"/>
  </w:num>
  <w:num w:numId="3">
    <w:abstractNumId w:val="10"/>
  </w:num>
  <w:num w:numId="4">
    <w:abstractNumId w:val="0"/>
  </w:num>
  <w:num w:numId="5">
    <w:abstractNumId w:val="29"/>
  </w:num>
  <w:num w:numId="6">
    <w:abstractNumId w:val="7"/>
  </w:num>
  <w:num w:numId="7">
    <w:abstractNumId w:val="17"/>
  </w:num>
  <w:num w:numId="8">
    <w:abstractNumId w:val="4"/>
  </w:num>
  <w:num w:numId="9">
    <w:abstractNumId w:val="25"/>
  </w:num>
  <w:num w:numId="10">
    <w:abstractNumId w:val="20"/>
  </w:num>
  <w:num w:numId="11">
    <w:abstractNumId w:val="16"/>
  </w:num>
  <w:num w:numId="12">
    <w:abstractNumId w:val="3"/>
  </w:num>
  <w:num w:numId="13">
    <w:abstractNumId w:val="12"/>
  </w:num>
  <w:num w:numId="14">
    <w:abstractNumId w:val="27"/>
  </w:num>
  <w:num w:numId="15">
    <w:abstractNumId w:val="23"/>
  </w:num>
  <w:num w:numId="16">
    <w:abstractNumId w:val="18"/>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num>
  <w:num w:numId="19">
    <w:abstractNumId w:val="24"/>
  </w:num>
  <w:num w:numId="20">
    <w:abstractNumId w:val="13"/>
  </w:num>
  <w:num w:numId="21">
    <w:abstractNumId w:val="6"/>
  </w:num>
  <w:num w:numId="22">
    <w:abstractNumId w:val="26"/>
  </w:num>
  <w:num w:numId="23">
    <w:abstractNumId w:val="22"/>
  </w:num>
  <w:num w:numId="24">
    <w:abstractNumId w:val="11"/>
  </w:num>
  <w:num w:numId="25">
    <w:abstractNumId w:val="1"/>
  </w:num>
  <w:num w:numId="26">
    <w:abstractNumId w:val="8"/>
  </w:num>
  <w:num w:numId="27">
    <w:abstractNumId w:val="15"/>
  </w:num>
  <w:num w:numId="28">
    <w:abstractNumId w:val="14"/>
  </w:num>
  <w:num w:numId="29">
    <w:abstractNumId w:val="9"/>
  </w:num>
  <w:num w:numId="30">
    <w:abstractNumId w:val="28"/>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4B2"/>
    <w:rsid w:val="000102DC"/>
    <w:rsid w:val="000350A2"/>
    <w:rsid w:val="00066824"/>
    <w:rsid w:val="000B09F5"/>
    <w:rsid w:val="000B5FBE"/>
    <w:rsid w:val="000D6DBE"/>
    <w:rsid w:val="000E7DED"/>
    <w:rsid w:val="00103034"/>
    <w:rsid w:val="0011043C"/>
    <w:rsid w:val="00127170"/>
    <w:rsid w:val="001369A2"/>
    <w:rsid w:val="00172E91"/>
    <w:rsid w:val="001802FF"/>
    <w:rsid w:val="00195551"/>
    <w:rsid w:val="00195D43"/>
    <w:rsid w:val="001C3A2D"/>
    <w:rsid w:val="001D36DC"/>
    <w:rsid w:val="001E5C7E"/>
    <w:rsid w:val="002322AD"/>
    <w:rsid w:val="00246081"/>
    <w:rsid w:val="00252816"/>
    <w:rsid w:val="0025390B"/>
    <w:rsid w:val="002A1A0B"/>
    <w:rsid w:val="002F65C8"/>
    <w:rsid w:val="00322DAB"/>
    <w:rsid w:val="00347242"/>
    <w:rsid w:val="00370216"/>
    <w:rsid w:val="00385096"/>
    <w:rsid w:val="003B2BC1"/>
    <w:rsid w:val="003E7A01"/>
    <w:rsid w:val="003F2315"/>
    <w:rsid w:val="00414931"/>
    <w:rsid w:val="00421AF1"/>
    <w:rsid w:val="00470EC4"/>
    <w:rsid w:val="00497A46"/>
    <w:rsid w:val="004C3A93"/>
    <w:rsid w:val="005147DA"/>
    <w:rsid w:val="00540E3D"/>
    <w:rsid w:val="00555669"/>
    <w:rsid w:val="0058501F"/>
    <w:rsid w:val="005A161A"/>
    <w:rsid w:val="00626A25"/>
    <w:rsid w:val="00636D59"/>
    <w:rsid w:val="006409B1"/>
    <w:rsid w:val="00666042"/>
    <w:rsid w:val="006C410A"/>
    <w:rsid w:val="006C6904"/>
    <w:rsid w:val="006F40AA"/>
    <w:rsid w:val="007528E3"/>
    <w:rsid w:val="00755301"/>
    <w:rsid w:val="00796742"/>
    <w:rsid w:val="007A3D03"/>
    <w:rsid w:val="007A59A3"/>
    <w:rsid w:val="007C396E"/>
    <w:rsid w:val="007E5085"/>
    <w:rsid w:val="008250FA"/>
    <w:rsid w:val="00837162"/>
    <w:rsid w:val="008874B2"/>
    <w:rsid w:val="008C2C48"/>
    <w:rsid w:val="008C46A2"/>
    <w:rsid w:val="008D0032"/>
    <w:rsid w:val="008D3754"/>
    <w:rsid w:val="008E2816"/>
    <w:rsid w:val="008F43E3"/>
    <w:rsid w:val="009120EF"/>
    <w:rsid w:val="00930A61"/>
    <w:rsid w:val="009706CC"/>
    <w:rsid w:val="009728DB"/>
    <w:rsid w:val="0098547D"/>
    <w:rsid w:val="00993B63"/>
    <w:rsid w:val="00A02F6E"/>
    <w:rsid w:val="00A118FA"/>
    <w:rsid w:val="00A40BFE"/>
    <w:rsid w:val="00A6499B"/>
    <w:rsid w:val="00AA5E31"/>
    <w:rsid w:val="00AF5EB8"/>
    <w:rsid w:val="00B11EBC"/>
    <w:rsid w:val="00B16FD9"/>
    <w:rsid w:val="00B21A83"/>
    <w:rsid w:val="00B45567"/>
    <w:rsid w:val="00B53609"/>
    <w:rsid w:val="00B72A12"/>
    <w:rsid w:val="00B83CDD"/>
    <w:rsid w:val="00BA777C"/>
    <w:rsid w:val="00BC11C2"/>
    <w:rsid w:val="00BC7CC8"/>
    <w:rsid w:val="00BD0449"/>
    <w:rsid w:val="00C07A74"/>
    <w:rsid w:val="00C5469C"/>
    <w:rsid w:val="00C63A85"/>
    <w:rsid w:val="00CA7079"/>
    <w:rsid w:val="00CC0FA0"/>
    <w:rsid w:val="00CE34B2"/>
    <w:rsid w:val="00CF1DE8"/>
    <w:rsid w:val="00D006F7"/>
    <w:rsid w:val="00D11422"/>
    <w:rsid w:val="00D42502"/>
    <w:rsid w:val="00DA7486"/>
    <w:rsid w:val="00DD040D"/>
    <w:rsid w:val="00DF412F"/>
    <w:rsid w:val="00E15027"/>
    <w:rsid w:val="00E22184"/>
    <w:rsid w:val="00E57293"/>
    <w:rsid w:val="00E83844"/>
    <w:rsid w:val="00EA2D09"/>
    <w:rsid w:val="00EA3641"/>
    <w:rsid w:val="00ED445A"/>
    <w:rsid w:val="00EE2A7D"/>
    <w:rsid w:val="00F03471"/>
    <w:rsid w:val="00F20C7C"/>
    <w:rsid w:val="00F24336"/>
    <w:rsid w:val="00F33475"/>
    <w:rsid w:val="00F442C7"/>
    <w:rsid w:val="00F65C05"/>
    <w:rsid w:val="00F740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B161E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s-US"/>
    </w:rPr>
  </w:style>
  <w:style w:type="paragraph" w:styleId="Heading1">
    <w:name w:val="heading 1"/>
    <w:basedOn w:val="Normal"/>
    <w:next w:val="Normal"/>
    <w:link w:val="Heading1Char"/>
    <w:uiPriority w:val="9"/>
    <w:qFormat/>
    <w:rsid w:val="00AF5EB8"/>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iPriority w:val="9"/>
    <w:unhideWhenUsed/>
    <w:qFormat/>
    <w:rsid w:val="00AF5EB8"/>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uiPriority w:val="9"/>
    <w:unhideWhenUsed/>
    <w:qFormat/>
    <w:rsid w:val="00540E3D"/>
    <w:pPr>
      <w:keepNext/>
      <w:spacing w:before="240" w:after="60"/>
      <w:outlineLvl w:val="2"/>
    </w:pPr>
    <w:rPr>
      <w:rFonts w:ascii="Calibri Light" w:eastAsia="Times New Roman" w:hAnsi="Calibri Light"/>
      <w:b/>
      <w:bCs/>
      <w:sz w:val="26"/>
      <w:szCs w:val="26"/>
    </w:rPr>
  </w:style>
  <w:style w:type="paragraph" w:styleId="Heading4">
    <w:name w:val="heading 4"/>
    <w:basedOn w:val="Normal"/>
    <w:next w:val="Normal"/>
    <w:link w:val="Heading4Char"/>
    <w:uiPriority w:val="9"/>
    <w:unhideWhenUsed/>
    <w:qFormat/>
    <w:rsid w:val="00540E3D"/>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unhideWhenUsed/>
    <w:qFormat/>
    <w:rsid w:val="00540E3D"/>
    <w:pPr>
      <w:spacing w:before="240" w:after="60"/>
      <w:outlineLvl w:val="4"/>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874B2"/>
    <w:pPr>
      <w:tabs>
        <w:tab w:val="center" w:pos="4680"/>
        <w:tab w:val="right" w:pos="9360"/>
      </w:tabs>
    </w:pPr>
  </w:style>
  <w:style w:type="character" w:customStyle="1" w:styleId="FooterChar">
    <w:name w:val="Footer Char"/>
    <w:link w:val="Footer"/>
    <w:uiPriority w:val="99"/>
    <w:rsid w:val="008874B2"/>
    <w:rPr>
      <w:sz w:val="22"/>
      <w:szCs w:val="22"/>
      <w:lang w:eastAsia="en-US"/>
    </w:r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basedOn w:val="Normal"/>
    <w:link w:val="FootnoteTextChar"/>
    <w:unhideWhenUsed/>
    <w:qFormat/>
    <w:rsid w:val="008874B2"/>
    <w:rPr>
      <w:sz w:val="20"/>
      <w:szCs w:val="20"/>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qFormat/>
    <w:rsid w:val="008874B2"/>
    <w:rPr>
      <w:lang w:eastAsia="en-US"/>
    </w:rPr>
  </w:style>
  <w:style w:type="paragraph" w:styleId="Header">
    <w:name w:val="header"/>
    <w:aliases w:val="encabezado"/>
    <w:basedOn w:val="Normal"/>
    <w:link w:val="HeaderChar"/>
    <w:uiPriority w:val="99"/>
    <w:unhideWhenUsed/>
    <w:rsid w:val="008874B2"/>
    <w:pPr>
      <w:tabs>
        <w:tab w:val="center" w:pos="4680"/>
        <w:tab w:val="right" w:pos="9360"/>
      </w:tabs>
    </w:pPr>
  </w:style>
  <w:style w:type="character" w:customStyle="1" w:styleId="HeaderChar">
    <w:name w:val="Header Char"/>
    <w:aliases w:val="encabezado Char"/>
    <w:link w:val="Header"/>
    <w:uiPriority w:val="99"/>
    <w:rsid w:val="008874B2"/>
    <w:rPr>
      <w:sz w:val="22"/>
      <w:szCs w:val="22"/>
      <w:lang w:eastAsia="en-US"/>
    </w:rPr>
  </w:style>
  <w:style w:type="character" w:styleId="PageNumber">
    <w:name w:val="page number"/>
    <w:rsid w:val="008874B2"/>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link w:val="FootnotesrefssChar1Char"/>
    <w:uiPriority w:val="99"/>
    <w:qFormat/>
    <w:rsid w:val="008874B2"/>
    <w:rPr>
      <w:rFonts w:cs="Times New Roman"/>
      <w:vertAlign w:val="superscript"/>
    </w:rPr>
  </w:style>
  <w:style w:type="table" w:styleId="TableGrid">
    <w:name w:val="Table Grid"/>
    <w:basedOn w:val="TableNormal"/>
    <w:uiPriority w:val="59"/>
    <w:rsid w:val="008874B2"/>
    <w:pPr>
      <w:pBdr>
        <w:top w:val="nil"/>
        <w:left w:val="nil"/>
        <w:bottom w:val="nil"/>
        <w:right w:val="nil"/>
        <w:between w:val="nil"/>
        <w:bar w:val="nil"/>
      </w:pBdr>
    </w:pPr>
    <w:rPr>
      <w:rFonts w:ascii="Times New Roman" w:eastAsia="Arial Unicode MS" w:hAnsi="Times New Roman"/>
      <w:bdr w:val="nil"/>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B45567"/>
    <w:rPr>
      <w:u w:val="single"/>
    </w:rPr>
  </w:style>
  <w:style w:type="paragraph" w:styleId="TOC2">
    <w:name w:val="toc 2"/>
    <w:basedOn w:val="Normal"/>
    <w:next w:val="Normal"/>
    <w:autoRedefine/>
    <w:uiPriority w:val="39"/>
    <w:unhideWhenUsed/>
    <w:rsid w:val="00B45567"/>
    <w:pPr>
      <w:spacing w:before="120" w:after="0"/>
      <w:ind w:left="220"/>
    </w:pPr>
    <w:rPr>
      <w:b/>
      <w:bCs/>
    </w:rPr>
  </w:style>
  <w:style w:type="paragraph" w:styleId="TOC1">
    <w:name w:val="toc 1"/>
    <w:basedOn w:val="Normal"/>
    <w:next w:val="Normal"/>
    <w:autoRedefine/>
    <w:uiPriority w:val="39"/>
    <w:unhideWhenUsed/>
    <w:rsid w:val="00B45567"/>
    <w:pPr>
      <w:spacing w:before="120" w:after="0"/>
    </w:pPr>
    <w:rPr>
      <w:b/>
      <w:bCs/>
      <w:i/>
      <w:iCs/>
      <w:sz w:val="24"/>
      <w:szCs w:val="24"/>
    </w:rPr>
  </w:style>
  <w:style w:type="paragraph" w:styleId="TOC3">
    <w:name w:val="toc 3"/>
    <w:basedOn w:val="Normal"/>
    <w:next w:val="Normal"/>
    <w:autoRedefine/>
    <w:uiPriority w:val="39"/>
    <w:unhideWhenUsed/>
    <w:rsid w:val="00B45567"/>
    <w:pPr>
      <w:spacing w:after="0"/>
      <w:ind w:left="440"/>
    </w:pPr>
    <w:rPr>
      <w:sz w:val="20"/>
      <w:szCs w:val="20"/>
    </w:rPr>
  </w:style>
  <w:style w:type="character" w:styleId="FollowedHyperlink">
    <w:name w:val="FollowedHyperlink"/>
    <w:uiPriority w:val="99"/>
    <w:semiHidden/>
    <w:unhideWhenUsed/>
    <w:rsid w:val="00B45567"/>
    <w:rPr>
      <w:color w:val="954F72"/>
      <w:u w:val="single"/>
    </w:rPr>
  </w:style>
  <w:style w:type="character" w:styleId="CommentReference">
    <w:name w:val="annotation reference"/>
    <w:uiPriority w:val="99"/>
    <w:semiHidden/>
    <w:unhideWhenUsed/>
    <w:rsid w:val="00B45567"/>
    <w:rPr>
      <w:sz w:val="16"/>
      <w:szCs w:val="16"/>
    </w:rPr>
  </w:style>
  <w:style w:type="paragraph" w:styleId="CommentText">
    <w:name w:val="annotation text"/>
    <w:basedOn w:val="Normal"/>
    <w:link w:val="CommentTextChar"/>
    <w:uiPriority w:val="99"/>
    <w:semiHidden/>
    <w:unhideWhenUsed/>
    <w:rsid w:val="00B45567"/>
    <w:rPr>
      <w:sz w:val="20"/>
      <w:szCs w:val="20"/>
    </w:rPr>
  </w:style>
  <w:style w:type="character" w:customStyle="1" w:styleId="CommentTextChar">
    <w:name w:val="Comment Text Char"/>
    <w:link w:val="CommentText"/>
    <w:uiPriority w:val="99"/>
    <w:semiHidden/>
    <w:rsid w:val="00B45567"/>
    <w:rPr>
      <w:lang w:val="es-US"/>
    </w:rPr>
  </w:style>
  <w:style w:type="paragraph" w:styleId="CommentSubject">
    <w:name w:val="annotation subject"/>
    <w:basedOn w:val="CommentText"/>
    <w:next w:val="CommentText"/>
    <w:link w:val="CommentSubjectChar"/>
    <w:uiPriority w:val="99"/>
    <w:semiHidden/>
    <w:unhideWhenUsed/>
    <w:rsid w:val="00B45567"/>
    <w:rPr>
      <w:b/>
      <w:bCs/>
    </w:rPr>
  </w:style>
  <w:style w:type="character" w:customStyle="1" w:styleId="CommentSubjectChar">
    <w:name w:val="Comment Subject Char"/>
    <w:link w:val="CommentSubject"/>
    <w:uiPriority w:val="99"/>
    <w:semiHidden/>
    <w:rsid w:val="00B45567"/>
    <w:rPr>
      <w:b/>
      <w:bCs/>
      <w:lang w:val="es-US"/>
    </w:rPr>
  </w:style>
  <w:style w:type="paragraph" w:styleId="ListParagraph">
    <w:name w:val="List Paragraph"/>
    <w:aliases w:val="Párrafo de lista1,List Paragraph1,Colorful List - Accent 11,List Paragraph11,List Paragraph2,Lista vistosa - Énfasis 11"/>
    <w:basedOn w:val="Normal"/>
    <w:link w:val="ListParagraphChar"/>
    <w:qFormat/>
    <w:rsid w:val="000102DC"/>
    <w:pPr>
      <w:ind w:left="720"/>
    </w:pPr>
  </w:style>
  <w:style w:type="character" w:customStyle="1" w:styleId="Heading1Char">
    <w:name w:val="Heading 1 Char"/>
    <w:link w:val="Heading1"/>
    <w:uiPriority w:val="9"/>
    <w:rsid w:val="00AF5EB8"/>
    <w:rPr>
      <w:rFonts w:ascii="Calibri Light" w:eastAsia="Times New Roman" w:hAnsi="Calibri Light" w:cs="Times New Roman"/>
      <w:b/>
      <w:bCs/>
      <w:kern w:val="32"/>
      <w:sz w:val="32"/>
      <w:szCs w:val="32"/>
      <w:lang w:val="es-US"/>
    </w:rPr>
  </w:style>
  <w:style w:type="character" w:customStyle="1" w:styleId="Heading2Char">
    <w:name w:val="Heading 2 Char"/>
    <w:link w:val="Heading2"/>
    <w:uiPriority w:val="9"/>
    <w:rsid w:val="00AF5EB8"/>
    <w:rPr>
      <w:rFonts w:ascii="Calibri Light" w:eastAsia="Times New Roman" w:hAnsi="Calibri Light" w:cs="Times New Roman"/>
      <w:b/>
      <w:bCs/>
      <w:i/>
      <w:iCs/>
      <w:sz w:val="28"/>
      <w:szCs w:val="28"/>
      <w:lang w:val="es-US"/>
    </w:rPr>
  </w:style>
  <w:style w:type="paragraph" w:styleId="TOCHeading">
    <w:name w:val="TOC Heading"/>
    <w:basedOn w:val="Heading1"/>
    <w:next w:val="Normal"/>
    <w:uiPriority w:val="39"/>
    <w:unhideWhenUsed/>
    <w:qFormat/>
    <w:rsid w:val="00AF5EB8"/>
    <w:pPr>
      <w:keepLines/>
      <w:spacing w:before="480" w:after="0"/>
      <w:outlineLvl w:val="9"/>
    </w:pPr>
    <w:rPr>
      <w:color w:val="2F5496"/>
      <w:kern w:val="0"/>
      <w:sz w:val="28"/>
      <w:szCs w:val="28"/>
      <w:lang w:val="en-US"/>
    </w:rPr>
  </w:style>
  <w:style w:type="paragraph" w:styleId="TOC4">
    <w:name w:val="toc 4"/>
    <w:basedOn w:val="Normal"/>
    <w:next w:val="Normal"/>
    <w:autoRedefine/>
    <w:uiPriority w:val="39"/>
    <w:semiHidden/>
    <w:unhideWhenUsed/>
    <w:rsid w:val="00AF5EB8"/>
    <w:pPr>
      <w:spacing w:after="0"/>
      <w:ind w:left="660"/>
    </w:pPr>
    <w:rPr>
      <w:sz w:val="20"/>
      <w:szCs w:val="20"/>
    </w:rPr>
  </w:style>
  <w:style w:type="paragraph" w:styleId="TOC5">
    <w:name w:val="toc 5"/>
    <w:basedOn w:val="Normal"/>
    <w:next w:val="Normal"/>
    <w:autoRedefine/>
    <w:uiPriority w:val="39"/>
    <w:semiHidden/>
    <w:unhideWhenUsed/>
    <w:rsid w:val="00AF5EB8"/>
    <w:pPr>
      <w:spacing w:after="0"/>
      <w:ind w:left="880"/>
    </w:pPr>
    <w:rPr>
      <w:sz w:val="20"/>
      <w:szCs w:val="20"/>
    </w:rPr>
  </w:style>
  <w:style w:type="paragraph" w:styleId="TOC6">
    <w:name w:val="toc 6"/>
    <w:basedOn w:val="Normal"/>
    <w:next w:val="Normal"/>
    <w:autoRedefine/>
    <w:uiPriority w:val="39"/>
    <w:semiHidden/>
    <w:unhideWhenUsed/>
    <w:rsid w:val="00AF5EB8"/>
    <w:pPr>
      <w:spacing w:after="0"/>
      <w:ind w:left="1100"/>
    </w:pPr>
    <w:rPr>
      <w:sz w:val="20"/>
      <w:szCs w:val="20"/>
    </w:rPr>
  </w:style>
  <w:style w:type="paragraph" w:styleId="TOC7">
    <w:name w:val="toc 7"/>
    <w:basedOn w:val="Normal"/>
    <w:next w:val="Normal"/>
    <w:autoRedefine/>
    <w:uiPriority w:val="39"/>
    <w:semiHidden/>
    <w:unhideWhenUsed/>
    <w:rsid w:val="00AF5EB8"/>
    <w:pPr>
      <w:spacing w:after="0"/>
      <w:ind w:left="1320"/>
    </w:pPr>
    <w:rPr>
      <w:sz w:val="20"/>
      <w:szCs w:val="20"/>
    </w:rPr>
  </w:style>
  <w:style w:type="paragraph" w:styleId="TOC8">
    <w:name w:val="toc 8"/>
    <w:basedOn w:val="Normal"/>
    <w:next w:val="Normal"/>
    <w:autoRedefine/>
    <w:uiPriority w:val="39"/>
    <w:semiHidden/>
    <w:unhideWhenUsed/>
    <w:rsid w:val="00AF5EB8"/>
    <w:pPr>
      <w:spacing w:after="0"/>
      <w:ind w:left="1540"/>
    </w:pPr>
    <w:rPr>
      <w:sz w:val="20"/>
      <w:szCs w:val="20"/>
    </w:rPr>
  </w:style>
  <w:style w:type="paragraph" w:styleId="TOC9">
    <w:name w:val="toc 9"/>
    <w:basedOn w:val="Normal"/>
    <w:next w:val="Normal"/>
    <w:autoRedefine/>
    <w:uiPriority w:val="39"/>
    <w:semiHidden/>
    <w:unhideWhenUsed/>
    <w:rsid w:val="00AF5EB8"/>
    <w:pPr>
      <w:spacing w:after="0"/>
      <w:ind w:left="1760"/>
    </w:pPr>
    <w:rPr>
      <w:sz w:val="20"/>
      <w:szCs w:val="20"/>
    </w:rPr>
  </w:style>
  <w:style w:type="paragraph" w:styleId="NoSpacing">
    <w:name w:val="No Spacing"/>
    <w:uiPriority w:val="1"/>
    <w:qFormat/>
    <w:rsid w:val="00AF5EB8"/>
    <w:rPr>
      <w:sz w:val="22"/>
      <w:szCs w:val="22"/>
      <w:lang w:val="es-US"/>
    </w:rPr>
  </w:style>
  <w:style w:type="paragraph" w:styleId="Title">
    <w:name w:val="Title"/>
    <w:basedOn w:val="Normal"/>
    <w:next w:val="Normal"/>
    <w:link w:val="TitleChar"/>
    <w:uiPriority w:val="10"/>
    <w:qFormat/>
    <w:rsid w:val="00AF5EB8"/>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uiPriority w:val="10"/>
    <w:rsid w:val="00AF5EB8"/>
    <w:rPr>
      <w:rFonts w:ascii="Calibri Light" w:eastAsia="Times New Roman" w:hAnsi="Calibri Light" w:cs="Times New Roman"/>
      <w:b/>
      <w:bCs/>
      <w:kern w:val="28"/>
      <w:sz w:val="32"/>
      <w:szCs w:val="32"/>
      <w:lang w:val="es-US"/>
    </w:rPr>
  </w:style>
  <w:style w:type="character" w:customStyle="1" w:styleId="Heading3Char">
    <w:name w:val="Heading 3 Char"/>
    <w:link w:val="Heading3"/>
    <w:uiPriority w:val="9"/>
    <w:rsid w:val="00540E3D"/>
    <w:rPr>
      <w:rFonts w:ascii="Calibri Light" w:eastAsia="Times New Roman" w:hAnsi="Calibri Light" w:cs="Times New Roman"/>
      <w:b/>
      <w:bCs/>
      <w:sz w:val="26"/>
      <w:szCs w:val="26"/>
      <w:lang w:val="es-US"/>
    </w:rPr>
  </w:style>
  <w:style w:type="paragraph" w:styleId="NormalWeb">
    <w:name w:val="Normal (Web)"/>
    <w:basedOn w:val="Normal"/>
    <w:uiPriority w:val="99"/>
    <w:unhideWhenUsed/>
    <w:rsid w:val="00540E3D"/>
    <w:rPr>
      <w:rFonts w:ascii="Times New Roman" w:hAnsi="Times New Roman"/>
      <w:sz w:val="24"/>
      <w:szCs w:val="24"/>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link w:val="FootnoteReference"/>
    <w:uiPriority w:val="99"/>
    <w:qFormat/>
    <w:rsid w:val="00540E3D"/>
    <w:pPr>
      <w:spacing w:after="160" w:line="240" w:lineRule="exact"/>
    </w:pPr>
    <w:rPr>
      <w:sz w:val="20"/>
      <w:szCs w:val="20"/>
      <w:vertAlign w:val="superscript"/>
      <w:lang w:val="en-US"/>
    </w:rPr>
  </w:style>
  <w:style w:type="character" w:customStyle="1" w:styleId="Heading4Char">
    <w:name w:val="Heading 4 Char"/>
    <w:link w:val="Heading4"/>
    <w:uiPriority w:val="9"/>
    <w:rsid w:val="00540E3D"/>
    <w:rPr>
      <w:rFonts w:ascii="Calibri" w:eastAsia="Times New Roman" w:hAnsi="Calibri" w:cs="Times New Roman"/>
      <w:b/>
      <w:bCs/>
      <w:sz w:val="28"/>
      <w:szCs w:val="28"/>
      <w:lang w:val="es-US"/>
    </w:rPr>
  </w:style>
  <w:style w:type="character" w:customStyle="1" w:styleId="Heading5Char">
    <w:name w:val="Heading 5 Char"/>
    <w:link w:val="Heading5"/>
    <w:uiPriority w:val="9"/>
    <w:rsid w:val="00540E3D"/>
    <w:rPr>
      <w:rFonts w:ascii="Calibri" w:eastAsia="Times New Roman" w:hAnsi="Calibri" w:cs="Times New Roman"/>
      <w:b/>
      <w:bCs/>
      <w:i/>
      <w:iCs/>
      <w:sz w:val="26"/>
      <w:szCs w:val="26"/>
      <w:lang w:val="es-US"/>
    </w:rPr>
  </w:style>
  <w:style w:type="paragraph" w:styleId="BalloonText">
    <w:name w:val="Balloon Text"/>
    <w:basedOn w:val="Normal"/>
    <w:link w:val="BalloonTextChar"/>
    <w:uiPriority w:val="99"/>
    <w:semiHidden/>
    <w:unhideWhenUsed/>
    <w:rsid w:val="003B2BC1"/>
    <w:pPr>
      <w:spacing w:after="0" w:line="240" w:lineRule="auto"/>
    </w:pPr>
    <w:rPr>
      <w:rFonts w:ascii="Times New Roman" w:hAnsi="Times New Roman"/>
      <w:sz w:val="18"/>
      <w:szCs w:val="18"/>
    </w:rPr>
  </w:style>
  <w:style w:type="character" w:customStyle="1" w:styleId="BalloonTextChar">
    <w:name w:val="Balloon Text Char"/>
    <w:link w:val="BalloonText"/>
    <w:uiPriority w:val="99"/>
    <w:semiHidden/>
    <w:rsid w:val="003B2BC1"/>
    <w:rPr>
      <w:rFonts w:ascii="Times New Roman" w:hAnsi="Times New Roman"/>
      <w:sz w:val="18"/>
      <w:szCs w:val="18"/>
      <w:lang w:eastAsia="en-US"/>
    </w:rPr>
  </w:style>
  <w:style w:type="character" w:customStyle="1" w:styleId="ListParagraphChar">
    <w:name w:val="List Paragraph Char"/>
    <w:aliases w:val="Párrafo de lista1 Char,List Paragraph1 Char,Colorful List - Accent 11 Char,List Paragraph11 Char,List Paragraph2 Char,Lista vistosa - Énfasis 11 Char"/>
    <w:link w:val="ListParagraph"/>
    <w:locked/>
    <w:rsid w:val="00A118FA"/>
    <w:rPr>
      <w:sz w:val="22"/>
      <w:szCs w:val="22"/>
      <w:lang w:eastAsia="en-US"/>
    </w:rPr>
  </w:style>
  <w:style w:type="character" w:customStyle="1" w:styleId="apple-converted-space">
    <w:name w:val="apple-converted-space"/>
    <w:rsid w:val="00B16FD9"/>
    <w:rPr>
      <w:rFonts w:cs="Times New Roman"/>
    </w:rPr>
  </w:style>
  <w:style w:type="paragraph" w:customStyle="1" w:styleId="xmsonormal">
    <w:name w:val="x_msonormal"/>
    <w:basedOn w:val="Normal"/>
    <w:rsid w:val="00B16FD9"/>
    <w:pPr>
      <w:spacing w:before="100" w:beforeAutospacing="1" w:after="100" w:afterAutospacing="1" w:line="240" w:lineRule="auto"/>
    </w:pPr>
    <w:rPr>
      <w:rFonts w:ascii="Times New Roman" w:eastAsia="Times New Roman" w:hAnsi="Times New Roman"/>
      <w:sz w:val="24"/>
      <w:szCs w:val="24"/>
      <w:lang w:eastAsia="zh-CN"/>
    </w:rPr>
  </w:style>
  <w:style w:type="paragraph" w:customStyle="1" w:styleId="xparrafos">
    <w:name w:val="x_parrafos"/>
    <w:basedOn w:val="Normal"/>
    <w:rsid w:val="00B16FD9"/>
    <w:pPr>
      <w:spacing w:before="100" w:beforeAutospacing="1" w:after="100" w:afterAutospacing="1" w:line="240" w:lineRule="auto"/>
    </w:pPr>
    <w:rPr>
      <w:rFonts w:ascii="Times New Roman" w:eastAsia="Times New Roman" w:hAnsi="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002839">
      <w:bodyDiv w:val="1"/>
      <w:marLeft w:val="0"/>
      <w:marRight w:val="0"/>
      <w:marTop w:val="0"/>
      <w:marBottom w:val="0"/>
      <w:divBdr>
        <w:top w:val="none" w:sz="0" w:space="0" w:color="auto"/>
        <w:left w:val="none" w:sz="0" w:space="0" w:color="auto"/>
        <w:bottom w:val="none" w:sz="0" w:space="0" w:color="auto"/>
        <w:right w:val="none" w:sz="0" w:space="0" w:color="auto"/>
      </w:divBdr>
      <w:divsChild>
        <w:div w:id="183174727">
          <w:marLeft w:val="0"/>
          <w:marRight w:val="0"/>
          <w:marTop w:val="0"/>
          <w:marBottom w:val="0"/>
          <w:divBdr>
            <w:top w:val="none" w:sz="0" w:space="0" w:color="auto"/>
            <w:left w:val="none" w:sz="0" w:space="0" w:color="auto"/>
            <w:bottom w:val="none" w:sz="0" w:space="0" w:color="auto"/>
            <w:right w:val="none" w:sz="0" w:space="0" w:color="auto"/>
          </w:divBdr>
          <w:divsChild>
            <w:div w:id="2027633068">
              <w:marLeft w:val="0"/>
              <w:marRight w:val="0"/>
              <w:marTop w:val="0"/>
              <w:marBottom w:val="0"/>
              <w:divBdr>
                <w:top w:val="none" w:sz="0" w:space="0" w:color="auto"/>
                <w:left w:val="none" w:sz="0" w:space="0" w:color="auto"/>
                <w:bottom w:val="none" w:sz="0" w:space="0" w:color="auto"/>
                <w:right w:val="none" w:sz="0" w:space="0" w:color="auto"/>
              </w:divBdr>
              <w:divsChild>
                <w:div w:id="526941986">
                  <w:marLeft w:val="0"/>
                  <w:marRight w:val="0"/>
                  <w:marTop w:val="0"/>
                  <w:marBottom w:val="0"/>
                  <w:divBdr>
                    <w:top w:val="none" w:sz="0" w:space="0" w:color="auto"/>
                    <w:left w:val="none" w:sz="0" w:space="0" w:color="auto"/>
                    <w:bottom w:val="none" w:sz="0" w:space="0" w:color="auto"/>
                    <w:right w:val="none" w:sz="0" w:space="0" w:color="auto"/>
                  </w:divBdr>
                  <w:divsChild>
                    <w:div w:id="676930196">
                      <w:marLeft w:val="0"/>
                      <w:marRight w:val="0"/>
                      <w:marTop w:val="0"/>
                      <w:marBottom w:val="0"/>
                      <w:divBdr>
                        <w:top w:val="none" w:sz="0" w:space="0" w:color="auto"/>
                        <w:left w:val="none" w:sz="0" w:space="0" w:color="auto"/>
                        <w:bottom w:val="none" w:sz="0" w:space="0" w:color="auto"/>
                        <w:right w:val="none" w:sz="0" w:space="0" w:color="auto"/>
                      </w:divBdr>
                      <w:divsChild>
                        <w:div w:id="1132284547">
                          <w:marLeft w:val="0"/>
                          <w:marRight w:val="0"/>
                          <w:marTop w:val="0"/>
                          <w:marBottom w:val="0"/>
                          <w:divBdr>
                            <w:top w:val="none" w:sz="0" w:space="0" w:color="auto"/>
                            <w:left w:val="none" w:sz="0" w:space="0" w:color="auto"/>
                            <w:bottom w:val="none" w:sz="0" w:space="0" w:color="auto"/>
                            <w:right w:val="none" w:sz="0" w:space="0" w:color="auto"/>
                          </w:divBdr>
                          <w:divsChild>
                            <w:div w:id="2026051841">
                              <w:marLeft w:val="0"/>
                              <w:marRight w:val="0"/>
                              <w:marTop w:val="0"/>
                              <w:marBottom w:val="0"/>
                              <w:divBdr>
                                <w:top w:val="none" w:sz="0" w:space="0" w:color="auto"/>
                                <w:left w:val="none" w:sz="0" w:space="0" w:color="auto"/>
                                <w:bottom w:val="none" w:sz="0" w:space="0" w:color="auto"/>
                                <w:right w:val="none" w:sz="0" w:space="0" w:color="auto"/>
                              </w:divBdr>
                              <w:divsChild>
                                <w:div w:id="13313340">
                                  <w:marLeft w:val="0"/>
                                  <w:marRight w:val="0"/>
                                  <w:marTop w:val="0"/>
                                  <w:marBottom w:val="0"/>
                                  <w:divBdr>
                                    <w:top w:val="none" w:sz="0" w:space="0" w:color="auto"/>
                                    <w:left w:val="none" w:sz="0" w:space="0" w:color="auto"/>
                                    <w:bottom w:val="none" w:sz="0" w:space="0" w:color="auto"/>
                                    <w:right w:val="none" w:sz="0" w:space="0" w:color="auto"/>
                                  </w:divBdr>
                                  <w:divsChild>
                                    <w:div w:id="1539775205">
                                      <w:marLeft w:val="0"/>
                                      <w:marRight w:val="0"/>
                                      <w:marTop w:val="0"/>
                                      <w:marBottom w:val="0"/>
                                      <w:divBdr>
                                        <w:top w:val="none" w:sz="0" w:space="0" w:color="auto"/>
                                        <w:left w:val="none" w:sz="0" w:space="0" w:color="auto"/>
                                        <w:bottom w:val="none" w:sz="0" w:space="0" w:color="auto"/>
                                        <w:right w:val="none" w:sz="0" w:space="0" w:color="auto"/>
                                      </w:divBdr>
                                    </w:div>
                                    <w:div w:id="1779256362">
                                      <w:marLeft w:val="0"/>
                                      <w:marRight w:val="0"/>
                                      <w:marTop w:val="0"/>
                                      <w:marBottom w:val="0"/>
                                      <w:divBdr>
                                        <w:top w:val="none" w:sz="0" w:space="0" w:color="auto"/>
                                        <w:left w:val="none" w:sz="0" w:space="0" w:color="auto"/>
                                        <w:bottom w:val="none" w:sz="0" w:space="0" w:color="auto"/>
                                        <w:right w:val="none" w:sz="0" w:space="0" w:color="auto"/>
                                      </w:divBdr>
                                      <w:divsChild>
                                        <w:div w:id="196624014">
                                          <w:marLeft w:val="0"/>
                                          <w:marRight w:val="165"/>
                                          <w:marTop w:val="150"/>
                                          <w:marBottom w:val="0"/>
                                          <w:divBdr>
                                            <w:top w:val="none" w:sz="0" w:space="0" w:color="auto"/>
                                            <w:left w:val="none" w:sz="0" w:space="0" w:color="auto"/>
                                            <w:bottom w:val="none" w:sz="0" w:space="0" w:color="auto"/>
                                            <w:right w:val="none" w:sz="0" w:space="0" w:color="auto"/>
                                          </w:divBdr>
                                          <w:divsChild>
                                            <w:div w:id="957176819">
                                              <w:marLeft w:val="0"/>
                                              <w:marRight w:val="0"/>
                                              <w:marTop w:val="0"/>
                                              <w:marBottom w:val="0"/>
                                              <w:divBdr>
                                                <w:top w:val="none" w:sz="0" w:space="0" w:color="auto"/>
                                                <w:left w:val="none" w:sz="0" w:space="0" w:color="auto"/>
                                                <w:bottom w:val="none" w:sz="0" w:space="0" w:color="auto"/>
                                                <w:right w:val="none" w:sz="0" w:space="0" w:color="auto"/>
                                              </w:divBdr>
                                              <w:divsChild>
                                                <w:div w:id="112357350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3435986">
          <w:marLeft w:val="0"/>
          <w:marRight w:val="0"/>
          <w:marTop w:val="240"/>
          <w:marBottom w:val="0"/>
          <w:divBdr>
            <w:top w:val="none" w:sz="0" w:space="0" w:color="auto"/>
            <w:left w:val="none" w:sz="0" w:space="0" w:color="auto"/>
            <w:bottom w:val="none" w:sz="0" w:space="0" w:color="auto"/>
            <w:right w:val="none" w:sz="0" w:space="0" w:color="auto"/>
          </w:divBdr>
        </w:div>
      </w:divsChild>
    </w:div>
    <w:div w:id="161436167">
      <w:bodyDiv w:val="1"/>
      <w:marLeft w:val="0"/>
      <w:marRight w:val="0"/>
      <w:marTop w:val="0"/>
      <w:marBottom w:val="0"/>
      <w:divBdr>
        <w:top w:val="none" w:sz="0" w:space="0" w:color="auto"/>
        <w:left w:val="none" w:sz="0" w:space="0" w:color="auto"/>
        <w:bottom w:val="none" w:sz="0" w:space="0" w:color="auto"/>
        <w:right w:val="none" w:sz="0" w:space="0" w:color="auto"/>
      </w:divBdr>
      <w:divsChild>
        <w:div w:id="82536388">
          <w:marLeft w:val="0"/>
          <w:marRight w:val="0"/>
          <w:marTop w:val="0"/>
          <w:marBottom w:val="0"/>
          <w:divBdr>
            <w:top w:val="none" w:sz="0" w:space="0" w:color="auto"/>
            <w:left w:val="none" w:sz="0" w:space="0" w:color="auto"/>
            <w:bottom w:val="none" w:sz="0" w:space="0" w:color="auto"/>
            <w:right w:val="none" w:sz="0" w:space="0" w:color="auto"/>
          </w:divBdr>
          <w:divsChild>
            <w:div w:id="168839403">
              <w:marLeft w:val="0"/>
              <w:marRight w:val="0"/>
              <w:marTop w:val="0"/>
              <w:marBottom w:val="0"/>
              <w:divBdr>
                <w:top w:val="none" w:sz="0" w:space="0" w:color="auto"/>
                <w:left w:val="none" w:sz="0" w:space="0" w:color="auto"/>
                <w:bottom w:val="none" w:sz="0" w:space="0" w:color="auto"/>
                <w:right w:val="none" w:sz="0" w:space="0" w:color="auto"/>
              </w:divBdr>
              <w:divsChild>
                <w:div w:id="662853929">
                  <w:marLeft w:val="0"/>
                  <w:marRight w:val="0"/>
                  <w:marTop w:val="0"/>
                  <w:marBottom w:val="0"/>
                  <w:divBdr>
                    <w:top w:val="none" w:sz="0" w:space="0" w:color="auto"/>
                    <w:left w:val="none" w:sz="0" w:space="0" w:color="auto"/>
                    <w:bottom w:val="none" w:sz="0" w:space="0" w:color="auto"/>
                    <w:right w:val="none" w:sz="0" w:space="0" w:color="auto"/>
                  </w:divBdr>
                  <w:divsChild>
                    <w:div w:id="1247153257">
                      <w:marLeft w:val="0"/>
                      <w:marRight w:val="0"/>
                      <w:marTop w:val="0"/>
                      <w:marBottom w:val="0"/>
                      <w:divBdr>
                        <w:top w:val="none" w:sz="0" w:space="0" w:color="auto"/>
                        <w:left w:val="none" w:sz="0" w:space="0" w:color="auto"/>
                        <w:bottom w:val="none" w:sz="0" w:space="0" w:color="auto"/>
                        <w:right w:val="none" w:sz="0" w:space="0" w:color="auto"/>
                      </w:divBdr>
                      <w:divsChild>
                        <w:div w:id="249579337">
                          <w:marLeft w:val="0"/>
                          <w:marRight w:val="0"/>
                          <w:marTop w:val="0"/>
                          <w:marBottom w:val="0"/>
                          <w:divBdr>
                            <w:top w:val="none" w:sz="0" w:space="0" w:color="auto"/>
                            <w:left w:val="none" w:sz="0" w:space="0" w:color="auto"/>
                            <w:bottom w:val="none" w:sz="0" w:space="0" w:color="auto"/>
                            <w:right w:val="none" w:sz="0" w:space="0" w:color="auto"/>
                          </w:divBdr>
                          <w:divsChild>
                            <w:div w:id="2056736403">
                              <w:marLeft w:val="0"/>
                              <w:marRight w:val="0"/>
                              <w:marTop w:val="0"/>
                              <w:marBottom w:val="0"/>
                              <w:divBdr>
                                <w:top w:val="none" w:sz="0" w:space="0" w:color="auto"/>
                                <w:left w:val="none" w:sz="0" w:space="0" w:color="auto"/>
                                <w:bottom w:val="none" w:sz="0" w:space="0" w:color="auto"/>
                                <w:right w:val="none" w:sz="0" w:space="0" w:color="auto"/>
                              </w:divBdr>
                              <w:divsChild>
                                <w:div w:id="348870575">
                                  <w:marLeft w:val="0"/>
                                  <w:marRight w:val="0"/>
                                  <w:marTop w:val="0"/>
                                  <w:marBottom w:val="0"/>
                                  <w:divBdr>
                                    <w:top w:val="none" w:sz="0" w:space="0" w:color="auto"/>
                                    <w:left w:val="none" w:sz="0" w:space="0" w:color="auto"/>
                                    <w:bottom w:val="none" w:sz="0" w:space="0" w:color="auto"/>
                                    <w:right w:val="none" w:sz="0" w:space="0" w:color="auto"/>
                                  </w:divBdr>
                                  <w:divsChild>
                                    <w:div w:id="500850008">
                                      <w:marLeft w:val="0"/>
                                      <w:marRight w:val="0"/>
                                      <w:marTop w:val="0"/>
                                      <w:marBottom w:val="0"/>
                                      <w:divBdr>
                                        <w:top w:val="none" w:sz="0" w:space="0" w:color="auto"/>
                                        <w:left w:val="none" w:sz="0" w:space="0" w:color="auto"/>
                                        <w:bottom w:val="none" w:sz="0" w:space="0" w:color="auto"/>
                                        <w:right w:val="none" w:sz="0" w:space="0" w:color="auto"/>
                                      </w:divBdr>
                                      <w:divsChild>
                                        <w:div w:id="1803498390">
                                          <w:marLeft w:val="0"/>
                                          <w:marRight w:val="165"/>
                                          <w:marTop w:val="150"/>
                                          <w:marBottom w:val="0"/>
                                          <w:divBdr>
                                            <w:top w:val="none" w:sz="0" w:space="0" w:color="auto"/>
                                            <w:left w:val="none" w:sz="0" w:space="0" w:color="auto"/>
                                            <w:bottom w:val="none" w:sz="0" w:space="0" w:color="auto"/>
                                            <w:right w:val="none" w:sz="0" w:space="0" w:color="auto"/>
                                          </w:divBdr>
                                          <w:divsChild>
                                            <w:div w:id="1078020057">
                                              <w:marLeft w:val="0"/>
                                              <w:marRight w:val="0"/>
                                              <w:marTop w:val="0"/>
                                              <w:marBottom w:val="0"/>
                                              <w:divBdr>
                                                <w:top w:val="none" w:sz="0" w:space="0" w:color="auto"/>
                                                <w:left w:val="none" w:sz="0" w:space="0" w:color="auto"/>
                                                <w:bottom w:val="none" w:sz="0" w:space="0" w:color="auto"/>
                                                <w:right w:val="none" w:sz="0" w:space="0" w:color="auto"/>
                                              </w:divBdr>
                                              <w:divsChild>
                                                <w:div w:id="171287471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40024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0770803">
          <w:marLeft w:val="0"/>
          <w:marRight w:val="0"/>
          <w:marTop w:val="240"/>
          <w:marBottom w:val="0"/>
          <w:divBdr>
            <w:top w:val="none" w:sz="0" w:space="0" w:color="auto"/>
            <w:left w:val="none" w:sz="0" w:space="0" w:color="auto"/>
            <w:bottom w:val="none" w:sz="0" w:space="0" w:color="auto"/>
            <w:right w:val="none" w:sz="0" w:space="0" w:color="auto"/>
          </w:divBdr>
        </w:div>
      </w:divsChild>
    </w:div>
    <w:div w:id="252711737">
      <w:bodyDiv w:val="1"/>
      <w:marLeft w:val="0"/>
      <w:marRight w:val="0"/>
      <w:marTop w:val="0"/>
      <w:marBottom w:val="0"/>
      <w:divBdr>
        <w:top w:val="none" w:sz="0" w:space="0" w:color="auto"/>
        <w:left w:val="none" w:sz="0" w:space="0" w:color="auto"/>
        <w:bottom w:val="none" w:sz="0" w:space="0" w:color="auto"/>
        <w:right w:val="none" w:sz="0" w:space="0" w:color="auto"/>
      </w:divBdr>
    </w:div>
    <w:div w:id="262226089">
      <w:bodyDiv w:val="1"/>
      <w:marLeft w:val="0"/>
      <w:marRight w:val="0"/>
      <w:marTop w:val="0"/>
      <w:marBottom w:val="0"/>
      <w:divBdr>
        <w:top w:val="none" w:sz="0" w:space="0" w:color="auto"/>
        <w:left w:val="none" w:sz="0" w:space="0" w:color="auto"/>
        <w:bottom w:val="none" w:sz="0" w:space="0" w:color="auto"/>
        <w:right w:val="none" w:sz="0" w:space="0" w:color="auto"/>
      </w:divBdr>
      <w:divsChild>
        <w:div w:id="759716897">
          <w:marLeft w:val="0"/>
          <w:marRight w:val="0"/>
          <w:marTop w:val="240"/>
          <w:marBottom w:val="0"/>
          <w:divBdr>
            <w:top w:val="none" w:sz="0" w:space="0" w:color="auto"/>
            <w:left w:val="none" w:sz="0" w:space="0" w:color="auto"/>
            <w:bottom w:val="none" w:sz="0" w:space="0" w:color="auto"/>
            <w:right w:val="none" w:sz="0" w:space="0" w:color="auto"/>
          </w:divBdr>
        </w:div>
        <w:div w:id="1189217942">
          <w:marLeft w:val="0"/>
          <w:marRight w:val="0"/>
          <w:marTop w:val="0"/>
          <w:marBottom w:val="0"/>
          <w:divBdr>
            <w:top w:val="none" w:sz="0" w:space="0" w:color="auto"/>
            <w:left w:val="none" w:sz="0" w:space="0" w:color="auto"/>
            <w:bottom w:val="none" w:sz="0" w:space="0" w:color="auto"/>
            <w:right w:val="none" w:sz="0" w:space="0" w:color="auto"/>
          </w:divBdr>
          <w:divsChild>
            <w:div w:id="1583373317">
              <w:marLeft w:val="0"/>
              <w:marRight w:val="0"/>
              <w:marTop w:val="0"/>
              <w:marBottom w:val="0"/>
              <w:divBdr>
                <w:top w:val="none" w:sz="0" w:space="0" w:color="auto"/>
                <w:left w:val="none" w:sz="0" w:space="0" w:color="auto"/>
                <w:bottom w:val="none" w:sz="0" w:space="0" w:color="auto"/>
                <w:right w:val="none" w:sz="0" w:space="0" w:color="auto"/>
              </w:divBdr>
              <w:divsChild>
                <w:div w:id="159349397">
                  <w:marLeft w:val="0"/>
                  <w:marRight w:val="0"/>
                  <w:marTop w:val="0"/>
                  <w:marBottom w:val="0"/>
                  <w:divBdr>
                    <w:top w:val="none" w:sz="0" w:space="0" w:color="auto"/>
                    <w:left w:val="none" w:sz="0" w:space="0" w:color="auto"/>
                    <w:bottom w:val="none" w:sz="0" w:space="0" w:color="auto"/>
                    <w:right w:val="none" w:sz="0" w:space="0" w:color="auto"/>
                  </w:divBdr>
                  <w:divsChild>
                    <w:div w:id="574438871">
                      <w:marLeft w:val="0"/>
                      <w:marRight w:val="0"/>
                      <w:marTop w:val="0"/>
                      <w:marBottom w:val="0"/>
                      <w:divBdr>
                        <w:top w:val="none" w:sz="0" w:space="0" w:color="auto"/>
                        <w:left w:val="none" w:sz="0" w:space="0" w:color="auto"/>
                        <w:bottom w:val="none" w:sz="0" w:space="0" w:color="auto"/>
                        <w:right w:val="none" w:sz="0" w:space="0" w:color="auto"/>
                      </w:divBdr>
                      <w:divsChild>
                        <w:div w:id="171845569">
                          <w:marLeft w:val="0"/>
                          <w:marRight w:val="0"/>
                          <w:marTop w:val="0"/>
                          <w:marBottom w:val="0"/>
                          <w:divBdr>
                            <w:top w:val="none" w:sz="0" w:space="0" w:color="auto"/>
                            <w:left w:val="none" w:sz="0" w:space="0" w:color="auto"/>
                            <w:bottom w:val="none" w:sz="0" w:space="0" w:color="auto"/>
                            <w:right w:val="none" w:sz="0" w:space="0" w:color="auto"/>
                          </w:divBdr>
                          <w:divsChild>
                            <w:div w:id="1863321824">
                              <w:marLeft w:val="0"/>
                              <w:marRight w:val="0"/>
                              <w:marTop w:val="0"/>
                              <w:marBottom w:val="0"/>
                              <w:divBdr>
                                <w:top w:val="none" w:sz="0" w:space="0" w:color="auto"/>
                                <w:left w:val="none" w:sz="0" w:space="0" w:color="auto"/>
                                <w:bottom w:val="none" w:sz="0" w:space="0" w:color="auto"/>
                                <w:right w:val="none" w:sz="0" w:space="0" w:color="auto"/>
                              </w:divBdr>
                              <w:divsChild>
                                <w:div w:id="742337588">
                                  <w:marLeft w:val="0"/>
                                  <w:marRight w:val="0"/>
                                  <w:marTop w:val="0"/>
                                  <w:marBottom w:val="0"/>
                                  <w:divBdr>
                                    <w:top w:val="none" w:sz="0" w:space="0" w:color="auto"/>
                                    <w:left w:val="none" w:sz="0" w:space="0" w:color="auto"/>
                                    <w:bottom w:val="none" w:sz="0" w:space="0" w:color="auto"/>
                                    <w:right w:val="none" w:sz="0" w:space="0" w:color="auto"/>
                                  </w:divBdr>
                                  <w:divsChild>
                                    <w:div w:id="503861426">
                                      <w:marLeft w:val="0"/>
                                      <w:marRight w:val="0"/>
                                      <w:marTop w:val="0"/>
                                      <w:marBottom w:val="0"/>
                                      <w:divBdr>
                                        <w:top w:val="none" w:sz="0" w:space="0" w:color="auto"/>
                                        <w:left w:val="none" w:sz="0" w:space="0" w:color="auto"/>
                                        <w:bottom w:val="none" w:sz="0" w:space="0" w:color="auto"/>
                                        <w:right w:val="none" w:sz="0" w:space="0" w:color="auto"/>
                                      </w:divBdr>
                                    </w:div>
                                    <w:div w:id="576745658">
                                      <w:marLeft w:val="0"/>
                                      <w:marRight w:val="0"/>
                                      <w:marTop w:val="0"/>
                                      <w:marBottom w:val="0"/>
                                      <w:divBdr>
                                        <w:top w:val="none" w:sz="0" w:space="0" w:color="auto"/>
                                        <w:left w:val="none" w:sz="0" w:space="0" w:color="auto"/>
                                        <w:bottom w:val="none" w:sz="0" w:space="0" w:color="auto"/>
                                        <w:right w:val="none" w:sz="0" w:space="0" w:color="auto"/>
                                      </w:divBdr>
                                      <w:divsChild>
                                        <w:div w:id="1148207550">
                                          <w:marLeft w:val="0"/>
                                          <w:marRight w:val="165"/>
                                          <w:marTop w:val="150"/>
                                          <w:marBottom w:val="0"/>
                                          <w:divBdr>
                                            <w:top w:val="none" w:sz="0" w:space="0" w:color="auto"/>
                                            <w:left w:val="none" w:sz="0" w:space="0" w:color="auto"/>
                                            <w:bottom w:val="none" w:sz="0" w:space="0" w:color="auto"/>
                                            <w:right w:val="none" w:sz="0" w:space="0" w:color="auto"/>
                                          </w:divBdr>
                                          <w:divsChild>
                                            <w:div w:id="864945201">
                                              <w:marLeft w:val="0"/>
                                              <w:marRight w:val="0"/>
                                              <w:marTop w:val="0"/>
                                              <w:marBottom w:val="0"/>
                                              <w:divBdr>
                                                <w:top w:val="none" w:sz="0" w:space="0" w:color="auto"/>
                                                <w:left w:val="none" w:sz="0" w:space="0" w:color="auto"/>
                                                <w:bottom w:val="none" w:sz="0" w:space="0" w:color="auto"/>
                                                <w:right w:val="none" w:sz="0" w:space="0" w:color="auto"/>
                                              </w:divBdr>
                                              <w:divsChild>
                                                <w:div w:id="150393214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3184349">
      <w:bodyDiv w:val="1"/>
      <w:marLeft w:val="0"/>
      <w:marRight w:val="0"/>
      <w:marTop w:val="0"/>
      <w:marBottom w:val="0"/>
      <w:divBdr>
        <w:top w:val="none" w:sz="0" w:space="0" w:color="auto"/>
        <w:left w:val="none" w:sz="0" w:space="0" w:color="auto"/>
        <w:bottom w:val="none" w:sz="0" w:space="0" w:color="auto"/>
        <w:right w:val="none" w:sz="0" w:space="0" w:color="auto"/>
      </w:divBdr>
      <w:divsChild>
        <w:div w:id="86654674">
          <w:marLeft w:val="0"/>
          <w:marRight w:val="0"/>
          <w:marTop w:val="240"/>
          <w:marBottom w:val="0"/>
          <w:divBdr>
            <w:top w:val="none" w:sz="0" w:space="0" w:color="auto"/>
            <w:left w:val="none" w:sz="0" w:space="0" w:color="auto"/>
            <w:bottom w:val="none" w:sz="0" w:space="0" w:color="auto"/>
            <w:right w:val="none" w:sz="0" w:space="0" w:color="auto"/>
          </w:divBdr>
        </w:div>
        <w:div w:id="115028035">
          <w:marLeft w:val="0"/>
          <w:marRight w:val="0"/>
          <w:marTop w:val="0"/>
          <w:marBottom w:val="0"/>
          <w:divBdr>
            <w:top w:val="none" w:sz="0" w:space="0" w:color="auto"/>
            <w:left w:val="none" w:sz="0" w:space="0" w:color="auto"/>
            <w:bottom w:val="none" w:sz="0" w:space="0" w:color="auto"/>
            <w:right w:val="none" w:sz="0" w:space="0" w:color="auto"/>
          </w:divBdr>
          <w:divsChild>
            <w:div w:id="700711172">
              <w:marLeft w:val="0"/>
              <w:marRight w:val="0"/>
              <w:marTop w:val="0"/>
              <w:marBottom w:val="0"/>
              <w:divBdr>
                <w:top w:val="none" w:sz="0" w:space="0" w:color="auto"/>
                <w:left w:val="none" w:sz="0" w:space="0" w:color="auto"/>
                <w:bottom w:val="none" w:sz="0" w:space="0" w:color="auto"/>
                <w:right w:val="none" w:sz="0" w:space="0" w:color="auto"/>
              </w:divBdr>
              <w:divsChild>
                <w:div w:id="1103650063">
                  <w:marLeft w:val="0"/>
                  <w:marRight w:val="0"/>
                  <w:marTop w:val="0"/>
                  <w:marBottom w:val="0"/>
                  <w:divBdr>
                    <w:top w:val="none" w:sz="0" w:space="0" w:color="auto"/>
                    <w:left w:val="none" w:sz="0" w:space="0" w:color="auto"/>
                    <w:bottom w:val="none" w:sz="0" w:space="0" w:color="auto"/>
                    <w:right w:val="none" w:sz="0" w:space="0" w:color="auto"/>
                  </w:divBdr>
                  <w:divsChild>
                    <w:div w:id="937173346">
                      <w:marLeft w:val="0"/>
                      <w:marRight w:val="0"/>
                      <w:marTop w:val="0"/>
                      <w:marBottom w:val="0"/>
                      <w:divBdr>
                        <w:top w:val="none" w:sz="0" w:space="0" w:color="auto"/>
                        <w:left w:val="none" w:sz="0" w:space="0" w:color="auto"/>
                        <w:bottom w:val="none" w:sz="0" w:space="0" w:color="auto"/>
                        <w:right w:val="none" w:sz="0" w:space="0" w:color="auto"/>
                      </w:divBdr>
                      <w:divsChild>
                        <w:div w:id="1202085969">
                          <w:marLeft w:val="0"/>
                          <w:marRight w:val="0"/>
                          <w:marTop w:val="0"/>
                          <w:marBottom w:val="0"/>
                          <w:divBdr>
                            <w:top w:val="none" w:sz="0" w:space="0" w:color="auto"/>
                            <w:left w:val="none" w:sz="0" w:space="0" w:color="auto"/>
                            <w:bottom w:val="none" w:sz="0" w:space="0" w:color="auto"/>
                            <w:right w:val="none" w:sz="0" w:space="0" w:color="auto"/>
                          </w:divBdr>
                          <w:divsChild>
                            <w:div w:id="1591084611">
                              <w:marLeft w:val="0"/>
                              <w:marRight w:val="0"/>
                              <w:marTop w:val="0"/>
                              <w:marBottom w:val="0"/>
                              <w:divBdr>
                                <w:top w:val="none" w:sz="0" w:space="0" w:color="auto"/>
                                <w:left w:val="none" w:sz="0" w:space="0" w:color="auto"/>
                                <w:bottom w:val="none" w:sz="0" w:space="0" w:color="auto"/>
                                <w:right w:val="none" w:sz="0" w:space="0" w:color="auto"/>
                              </w:divBdr>
                              <w:divsChild>
                                <w:div w:id="777218898">
                                  <w:marLeft w:val="0"/>
                                  <w:marRight w:val="0"/>
                                  <w:marTop w:val="0"/>
                                  <w:marBottom w:val="0"/>
                                  <w:divBdr>
                                    <w:top w:val="none" w:sz="0" w:space="0" w:color="auto"/>
                                    <w:left w:val="none" w:sz="0" w:space="0" w:color="auto"/>
                                    <w:bottom w:val="none" w:sz="0" w:space="0" w:color="auto"/>
                                    <w:right w:val="none" w:sz="0" w:space="0" w:color="auto"/>
                                  </w:divBdr>
                                  <w:divsChild>
                                    <w:div w:id="622080602">
                                      <w:marLeft w:val="0"/>
                                      <w:marRight w:val="0"/>
                                      <w:marTop w:val="0"/>
                                      <w:marBottom w:val="0"/>
                                      <w:divBdr>
                                        <w:top w:val="none" w:sz="0" w:space="0" w:color="auto"/>
                                        <w:left w:val="none" w:sz="0" w:space="0" w:color="auto"/>
                                        <w:bottom w:val="none" w:sz="0" w:space="0" w:color="auto"/>
                                        <w:right w:val="none" w:sz="0" w:space="0" w:color="auto"/>
                                      </w:divBdr>
                                    </w:div>
                                    <w:div w:id="847059868">
                                      <w:marLeft w:val="0"/>
                                      <w:marRight w:val="0"/>
                                      <w:marTop w:val="0"/>
                                      <w:marBottom w:val="0"/>
                                      <w:divBdr>
                                        <w:top w:val="none" w:sz="0" w:space="0" w:color="auto"/>
                                        <w:left w:val="none" w:sz="0" w:space="0" w:color="auto"/>
                                        <w:bottom w:val="none" w:sz="0" w:space="0" w:color="auto"/>
                                        <w:right w:val="none" w:sz="0" w:space="0" w:color="auto"/>
                                      </w:divBdr>
                                      <w:divsChild>
                                        <w:div w:id="636954498">
                                          <w:marLeft w:val="0"/>
                                          <w:marRight w:val="165"/>
                                          <w:marTop w:val="150"/>
                                          <w:marBottom w:val="0"/>
                                          <w:divBdr>
                                            <w:top w:val="none" w:sz="0" w:space="0" w:color="auto"/>
                                            <w:left w:val="none" w:sz="0" w:space="0" w:color="auto"/>
                                            <w:bottom w:val="none" w:sz="0" w:space="0" w:color="auto"/>
                                            <w:right w:val="none" w:sz="0" w:space="0" w:color="auto"/>
                                          </w:divBdr>
                                          <w:divsChild>
                                            <w:div w:id="1791510617">
                                              <w:marLeft w:val="0"/>
                                              <w:marRight w:val="0"/>
                                              <w:marTop w:val="0"/>
                                              <w:marBottom w:val="0"/>
                                              <w:divBdr>
                                                <w:top w:val="none" w:sz="0" w:space="0" w:color="auto"/>
                                                <w:left w:val="none" w:sz="0" w:space="0" w:color="auto"/>
                                                <w:bottom w:val="none" w:sz="0" w:space="0" w:color="auto"/>
                                                <w:right w:val="none" w:sz="0" w:space="0" w:color="auto"/>
                                              </w:divBdr>
                                              <w:divsChild>
                                                <w:div w:id="79189705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78487247">
      <w:bodyDiv w:val="1"/>
      <w:marLeft w:val="0"/>
      <w:marRight w:val="0"/>
      <w:marTop w:val="0"/>
      <w:marBottom w:val="0"/>
      <w:divBdr>
        <w:top w:val="none" w:sz="0" w:space="0" w:color="auto"/>
        <w:left w:val="none" w:sz="0" w:space="0" w:color="auto"/>
        <w:bottom w:val="none" w:sz="0" w:space="0" w:color="auto"/>
        <w:right w:val="none" w:sz="0" w:space="0" w:color="auto"/>
      </w:divBdr>
    </w:div>
    <w:div w:id="1302345625">
      <w:bodyDiv w:val="1"/>
      <w:marLeft w:val="0"/>
      <w:marRight w:val="0"/>
      <w:marTop w:val="0"/>
      <w:marBottom w:val="0"/>
      <w:divBdr>
        <w:top w:val="none" w:sz="0" w:space="0" w:color="auto"/>
        <w:left w:val="none" w:sz="0" w:space="0" w:color="auto"/>
        <w:bottom w:val="none" w:sz="0" w:space="0" w:color="auto"/>
        <w:right w:val="none" w:sz="0" w:space="0" w:color="auto"/>
      </w:divBdr>
      <w:divsChild>
        <w:div w:id="142938575">
          <w:marLeft w:val="0"/>
          <w:marRight w:val="0"/>
          <w:marTop w:val="240"/>
          <w:marBottom w:val="0"/>
          <w:divBdr>
            <w:top w:val="none" w:sz="0" w:space="0" w:color="auto"/>
            <w:left w:val="none" w:sz="0" w:space="0" w:color="auto"/>
            <w:bottom w:val="none" w:sz="0" w:space="0" w:color="auto"/>
            <w:right w:val="none" w:sz="0" w:space="0" w:color="auto"/>
          </w:divBdr>
        </w:div>
        <w:div w:id="1159540469">
          <w:marLeft w:val="0"/>
          <w:marRight w:val="0"/>
          <w:marTop w:val="0"/>
          <w:marBottom w:val="0"/>
          <w:divBdr>
            <w:top w:val="none" w:sz="0" w:space="0" w:color="auto"/>
            <w:left w:val="none" w:sz="0" w:space="0" w:color="auto"/>
            <w:bottom w:val="none" w:sz="0" w:space="0" w:color="auto"/>
            <w:right w:val="none" w:sz="0" w:space="0" w:color="auto"/>
          </w:divBdr>
          <w:divsChild>
            <w:div w:id="1384527250">
              <w:marLeft w:val="0"/>
              <w:marRight w:val="0"/>
              <w:marTop w:val="0"/>
              <w:marBottom w:val="0"/>
              <w:divBdr>
                <w:top w:val="none" w:sz="0" w:space="0" w:color="auto"/>
                <w:left w:val="none" w:sz="0" w:space="0" w:color="auto"/>
                <w:bottom w:val="none" w:sz="0" w:space="0" w:color="auto"/>
                <w:right w:val="none" w:sz="0" w:space="0" w:color="auto"/>
              </w:divBdr>
              <w:divsChild>
                <w:div w:id="1174805691">
                  <w:marLeft w:val="0"/>
                  <w:marRight w:val="0"/>
                  <w:marTop w:val="0"/>
                  <w:marBottom w:val="0"/>
                  <w:divBdr>
                    <w:top w:val="none" w:sz="0" w:space="0" w:color="auto"/>
                    <w:left w:val="none" w:sz="0" w:space="0" w:color="auto"/>
                    <w:bottom w:val="none" w:sz="0" w:space="0" w:color="auto"/>
                    <w:right w:val="none" w:sz="0" w:space="0" w:color="auto"/>
                  </w:divBdr>
                  <w:divsChild>
                    <w:div w:id="599458511">
                      <w:marLeft w:val="0"/>
                      <w:marRight w:val="0"/>
                      <w:marTop w:val="0"/>
                      <w:marBottom w:val="0"/>
                      <w:divBdr>
                        <w:top w:val="none" w:sz="0" w:space="0" w:color="auto"/>
                        <w:left w:val="none" w:sz="0" w:space="0" w:color="auto"/>
                        <w:bottom w:val="none" w:sz="0" w:space="0" w:color="auto"/>
                        <w:right w:val="none" w:sz="0" w:space="0" w:color="auto"/>
                      </w:divBdr>
                      <w:divsChild>
                        <w:div w:id="951015157">
                          <w:marLeft w:val="0"/>
                          <w:marRight w:val="0"/>
                          <w:marTop w:val="0"/>
                          <w:marBottom w:val="0"/>
                          <w:divBdr>
                            <w:top w:val="none" w:sz="0" w:space="0" w:color="auto"/>
                            <w:left w:val="none" w:sz="0" w:space="0" w:color="auto"/>
                            <w:bottom w:val="none" w:sz="0" w:space="0" w:color="auto"/>
                            <w:right w:val="none" w:sz="0" w:space="0" w:color="auto"/>
                          </w:divBdr>
                          <w:divsChild>
                            <w:div w:id="361127964">
                              <w:marLeft w:val="0"/>
                              <w:marRight w:val="0"/>
                              <w:marTop w:val="0"/>
                              <w:marBottom w:val="0"/>
                              <w:divBdr>
                                <w:top w:val="none" w:sz="0" w:space="0" w:color="auto"/>
                                <w:left w:val="none" w:sz="0" w:space="0" w:color="auto"/>
                                <w:bottom w:val="none" w:sz="0" w:space="0" w:color="auto"/>
                                <w:right w:val="none" w:sz="0" w:space="0" w:color="auto"/>
                              </w:divBdr>
                              <w:divsChild>
                                <w:div w:id="714037338">
                                  <w:marLeft w:val="0"/>
                                  <w:marRight w:val="0"/>
                                  <w:marTop w:val="0"/>
                                  <w:marBottom w:val="0"/>
                                  <w:divBdr>
                                    <w:top w:val="none" w:sz="0" w:space="0" w:color="auto"/>
                                    <w:left w:val="none" w:sz="0" w:space="0" w:color="auto"/>
                                    <w:bottom w:val="none" w:sz="0" w:space="0" w:color="auto"/>
                                    <w:right w:val="none" w:sz="0" w:space="0" w:color="auto"/>
                                  </w:divBdr>
                                  <w:divsChild>
                                    <w:div w:id="224681670">
                                      <w:marLeft w:val="0"/>
                                      <w:marRight w:val="0"/>
                                      <w:marTop w:val="0"/>
                                      <w:marBottom w:val="0"/>
                                      <w:divBdr>
                                        <w:top w:val="none" w:sz="0" w:space="0" w:color="auto"/>
                                        <w:left w:val="none" w:sz="0" w:space="0" w:color="auto"/>
                                        <w:bottom w:val="none" w:sz="0" w:space="0" w:color="auto"/>
                                        <w:right w:val="none" w:sz="0" w:space="0" w:color="auto"/>
                                      </w:divBdr>
                                    </w:div>
                                    <w:div w:id="2134404175">
                                      <w:marLeft w:val="0"/>
                                      <w:marRight w:val="0"/>
                                      <w:marTop w:val="0"/>
                                      <w:marBottom w:val="0"/>
                                      <w:divBdr>
                                        <w:top w:val="none" w:sz="0" w:space="0" w:color="auto"/>
                                        <w:left w:val="none" w:sz="0" w:space="0" w:color="auto"/>
                                        <w:bottom w:val="none" w:sz="0" w:space="0" w:color="auto"/>
                                        <w:right w:val="none" w:sz="0" w:space="0" w:color="auto"/>
                                      </w:divBdr>
                                      <w:divsChild>
                                        <w:div w:id="279261841">
                                          <w:marLeft w:val="0"/>
                                          <w:marRight w:val="165"/>
                                          <w:marTop w:val="150"/>
                                          <w:marBottom w:val="0"/>
                                          <w:divBdr>
                                            <w:top w:val="none" w:sz="0" w:space="0" w:color="auto"/>
                                            <w:left w:val="none" w:sz="0" w:space="0" w:color="auto"/>
                                            <w:bottom w:val="none" w:sz="0" w:space="0" w:color="auto"/>
                                            <w:right w:val="none" w:sz="0" w:space="0" w:color="auto"/>
                                          </w:divBdr>
                                          <w:divsChild>
                                            <w:div w:id="585959345">
                                              <w:marLeft w:val="0"/>
                                              <w:marRight w:val="0"/>
                                              <w:marTop w:val="0"/>
                                              <w:marBottom w:val="0"/>
                                              <w:divBdr>
                                                <w:top w:val="none" w:sz="0" w:space="0" w:color="auto"/>
                                                <w:left w:val="none" w:sz="0" w:space="0" w:color="auto"/>
                                                <w:bottom w:val="none" w:sz="0" w:space="0" w:color="auto"/>
                                                <w:right w:val="none" w:sz="0" w:space="0" w:color="auto"/>
                                              </w:divBdr>
                                              <w:divsChild>
                                                <w:div w:id="172872442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0130747">
      <w:bodyDiv w:val="1"/>
      <w:marLeft w:val="0"/>
      <w:marRight w:val="0"/>
      <w:marTop w:val="0"/>
      <w:marBottom w:val="0"/>
      <w:divBdr>
        <w:top w:val="none" w:sz="0" w:space="0" w:color="auto"/>
        <w:left w:val="none" w:sz="0" w:space="0" w:color="auto"/>
        <w:bottom w:val="none" w:sz="0" w:space="0" w:color="auto"/>
        <w:right w:val="none" w:sz="0" w:space="0" w:color="auto"/>
      </w:divBdr>
      <w:divsChild>
        <w:div w:id="1081677343">
          <w:marLeft w:val="0"/>
          <w:marRight w:val="0"/>
          <w:marTop w:val="0"/>
          <w:marBottom w:val="0"/>
          <w:divBdr>
            <w:top w:val="none" w:sz="0" w:space="0" w:color="auto"/>
            <w:left w:val="none" w:sz="0" w:space="0" w:color="auto"/>
            <w:bottom w:val="none" w:sz="0" w:space="0" w:color="auto"/>
            <w:right w:val="none" w:sz="0" w:space="0" w:color="auto"/>
          </w:divBdr>
          <w:divsChild>
            <w:div w:id="1753693740">
              <w:marLeft w:val="0"/>
              <w:marRight w:val="0"/>
              <w:marTop w:val="0"/>
              <w:marBottom w:val="0"/>
              <w:divBdr>
                <w:top w:val="none" w:sz="0" w:space="0" w:color="auto"/>
                <w:left w:val="none" w:sz="0" w:space="0" w:color="auto"/>
                <w:bottom w:val="none" w:sz="0" w:space="0" w:color="auto"/>
                <w:right w:val="none" w:sz="0" w:space="0" w:color="auto"/>
              </w:divBdr>
              <w:divsChild>
                <w:div w:id="1060980760">
                  <w:marLeft w:val="0"/>
                  <w:marRight w:val="0"/>
                  <w:marTop w:val="0"/>
                  <w:marBottom w:val="0"/>
                  <w:divBdr>
                    <w:top w:val="none" w:sz="0" w:space="0" w:color="auto"/>
                    <w:left w:val="none" w:sz="0" w:space="0" w:color="auto"/>
                    <w:bottom w:val="none" w:sz="0" w:space="0" w:color="auto"/>
                    <w:right w:val="none" w:sz="0" w:space="0" w:color="auto"/>
                  </w:divBdr>
                  <w:divsChild>
                    <w:div w:id="537202484">
                      <w:marLeft w:val="0"/>
                      <w:marRight w:val="0"/>
                      <w:marTop w:val="0"/>
                      <w:marBottom w:val="0"/>
                      <w:divBdr>
                        <w:top w:val="none" w:sz="0" w:space="0" w:color="auto"/>
                        <w:left w:val="none" w:sz="0" w:space="0" w:color="auto"/>
                        <w:bottom w:val="none" w:sz="0" w:space="0" w:color="auto"/>
                        <w:right w:val="none" w:sz="0" w:space="0" w:color="auto"/>
                      </w:divBdr>
                      <w:divsChild>
                        <w:div w:id="661547023">
                          <w:marLeft w:val="0"/>
                          <w:marRight w:val="0"/>
                          <w:marTop w:val="0"/>
                          <w:marBottom w:val="0"/>
                          <w:divBdr>
                            <w:top w:val="none" w:sz="0" w:space="0" w:color="auto"/>
                            <w:left w:val="none" w:sz="0" w:space="0" w:color="auto"/>
                            <w:bottom w:val="none" w:sz="0" w:space="0" w:color="auto"/>
                            <w:right w:val="none" w:sz="0" w:space="0" w:color="auto"/>
                          </w:divBdr>
                          <w:divsChild>
                            <w:div w:id="372391491">
                              <w:marLeft w:val="0"/>
                              <w:marRight w:val="0"/>
                              <w:marTop w:val="0"/>
                              <w:marBottom w:val="0"/>
                              <w:divBdr>
                                <w:top w:val="none" w:sz="0" w:space="0" w:color="auto"/>
                                <w:left w:val="none" w:sz="0" w:space="0" w:color="auto"/>
                                <w:bottom w:val="none" w:sz="0" w:space="0" w:color="auto"/>
                                <w:right w:val="none" w:sz="0" w:space="0" w:color="auto"/>
                              </w:divBdr>
                              <w:divsChild>
                                <w:div w:id="554049639">
                                  <w:marLeft w:val="0"/>
                                  <w:marRight w:val="0"/>
                                  <w:marTop w:val="0"/>
                                  <w:marBottom w:val="0"/>
                                  <w:divBdr>
                                    <w:top w:val="none" w:sz="0" w:space="0" w:color="auto"/>
                                    <w:left w:val="none" w:sz="0" w:space="0" w:color="auto"/>
                                    <w:bottom w:val="none" w:sz="0" w:space="0" w:color="auto"/>
                                    <w:right w:val="none" w:sz="0" w:space="0" w:color="auto"/>
                                  </w:divBdr>
                                  <w:divsChild>
                                    <w:div w:id="1420252979">
                                      <w:marLeft w:val="0"/>
                                      <w:marRight w:val="0"/>
                                      <w:marTop w:val="0"/>
                                      <w:marBottom w:val="0"/>
                                      <w:divBdr>
                                        <w:top w:val="none" w:sz="0" w:space="0" w:color="auto"/>
                                        <w:left w:val="none" w:sz="0" w:space="0" w:color="auto"/>
                                        <w:bottom w:val="none" w:sz="0" w:space="0" w:color="auto"/>
                                        <w:right w:val="none" w:sz="0" w:space="0" w:color="auto"/>
                                      </w:divBdr>
                                    </w:div>
                                    <w:div w:id="1772436638">
                                      <w:marLeft w:val="0"/>
                                      <w:marRight w:val="0"/>
                                      <w:marTop w:val="0"/>
                                      <w:marBottom w:val="0"/>
                                      <w:divBdr>
                                        <w:top w:val="none" w:sz="0" w:space="0" w:color="auto"/>
                                        <w:left w:val="none" w:sz="0" w:space="0" w:color="auto"/>
                                        <w:bottom w:val="none" w:sz="0" w:space="0" w:color="auto"/>
                                        <w:right w:val="none" w:sz="0" w:space="0" w:color="auto"/>
                                      </w:divBdr>
                                      <w:divsChild>
                                        <w:div w:id="356122997">
                                          <w:marLeft w:val="0"/>
                                          <w:marRight w:val="165"/>
                                          <w:marTop w:val="150"/>
                                          <w:marBottom w:val="0"/>
                                          <w:divBdr>
                                            <w:top w:val="none" w:sz="0" w:space="0" w:color="auto"/>
                                            <w:left w:val="none" w:sz="0" w:space="0" w:color="auto"/>
                                            <w:bottom w:val="none" w:sz="0" w:space="0" w:color="auto"/>
                                            <w:right w:val="none" w:sz="0" w:space="0" w:color="auto"/>
                                          </w:divBdr>
                                          <w:divsChild>
                                            <w:div w:id="575670420">
                                              <w:marLeft w:val="0"/>
                                              <w:marRight w:val="0"/>
                                              <w:marTop w:val="0"/>
                                              <w:marBottom w:val="0"/>
                                              <w:divBdr>
                                                <w:top w:val="none" w:sz="0" w:space="0" w:color="auto"/>
                                                <w:left w:val="none" w:sz="0" w:space="0" w:color="auto"/>
                                                <w:bottom w:val="none" w:sz="0" w:space="0" w:color="auto"/>
                                                <w:right w:val="none" w:sz="0" w:space="0" w:color="auto"/>
                                              </w:divBdr>
                                              <w:divsChild>
                                                <w:div w:id="139809032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5881780">
          <w:marLeft w:val="0"/>
          <w:marRight w:val="0"/>
          <w:marTop w:val="240"/>
          <w:marBottom w:val="0"/>
          <w:divBdr>
            <w:top w:val="none" w:sz="0" w:space="0" w:color="auto"/>
            <w:left w:val="none" w:sz="0" w:space="0" w:color="auto"/>
            <w:bottom w:val="none" w:sz="0" w:space="0" w:color="auto"/>
            <w:right w:val="none" w:sz="0" w:space="0" w:color="auto"/>
          </w:divBdr>
        </w:div>
      </w:divsChild>
    </w:div>
    <w:div w:id="1337268612">
      <w:bodyDiv w:val="1"/>
      <w:marLeft w:val="0"/>
      <w:marRight w:val="0"/>
      <w:marTop w:val="0"/>
      <w:marBottom w:val="0"/>
      <w:divBdr>
        <w:top w:val="none" w:sz="0" w:space="0" w:color="auto"/>
        <w:left w:val="none" w:sz="0" w:space="0" w:color="auto"/>
        <w:bottom w:val="none" w:sz="0" w:space="0" w:color="auto"/>
        <w:right w:val="none" w:sz="0" w:space="0" w:color="auto"/>
      </w:divBdr>
      <w:divsChild>
        <w:div w:id="1115565228">
          <w:marLeft w:val="0"/>
          <w:marRight w:val="0"/>
          <w:marTop w:val="240"/>
          <w:marBottom w:val="0"/>
          <w:divBdr>
            <w:top w:val="none" w:sz="0" w:space="0" w:color="auto"/>
            <w:left w:val="none" w:sz="0" w:space="0" w:color="auto"/>
            <w:bottom w:val="none" w:sz="0" w:space="0" w:color="auto"/>
            <w:right w:val="none" w:sz="0" w:space="0" w:color="auto"/>
          </w:divBdr>
        </w:div>
        <w:div w:id="1234506735">
          <w:marLeft w:val="0"/>
          <w:marRight w:val="0"/>
          <w:marTop w:val="0"/>
          <w:marBottom w:val="0"/>
          <w:divBdr>
            <w:top w:val="none" w:sz="0" w:space="0" w:color="auto"/>
            <w:left w:val="none" w:sz="0" w:space="0" w:color="auto"/>
            <w:bottom w:val="none" w:sz="0" w:space="0" w:color="auto"/>
            <w:right w:val="none" w:sz="0" w:space="0" w:color="auto"/>
          </w:divBdr>
          <w:divsChild>
            <w:div w:id="2058158255">
              <w:marLeft w:val="0"/>
              <w:marRight w:val="0"/>
              <w:marTop w:val="0"/>
              <w:marBottom w:val="0"/>
              <w:divBdr>
                <w:top w:val="none" w:sz="0" w:space="0" w:color="auto"/>
                <w:left w:val="none" w:sz="0" w:space="0" w:color="auto"/>
                <w:bottom w:val="none" w:sz="0" w:space="0" w:color="auto"/>
                <w:right w:val="none" w:sz="0" w:space="0" w:color="auto"/>
              </w:divBdr>
              <w:divsChild>
                <w:div w:id="723139965">
                  <w:marLeft w:val="0"/>
                  <w:marRight w:val="0"/>
                  <w:marTop w:val="0"/>
                  <w:marBottom w:val="0"/>
                  <w:divBdr>
                    <w:top w:val="none" w:sz="0" w:space="0" w:color="auto"/>
                    <w:left w:val="none" w:sz="0" w:space="0" w:color="auto"/>
                    <w:bottom w:val="none" w:sz="0" w:space="0" w:color="auto"/>
                    <w:right w:val="none" w:sz="0" w:space="0" w:color="auto"/>
                  </w:divBdr>
                  <w:divsChild>
                    <w:div w:id="111166893">
                      <w:marLeft w:val="0"/>
                      <w:marRight w:val="0"/>
                      <w:marTop w:val="0"/>
                      <w:marBottom w:val="0"/>
                      <w:divBdr>
                        <w:top w:val="none" w:sz="0" w:space="0" w:color="auto"/>
                        <w:left w:val="none" w:sz="0" w:space="0" w:color="auto"/>
                        <w:bottom w:val="none" w:sz="0" w:space="0" w:color="auto"/>
                        <w:right w:val="none" w:sz="0" w:space="0" w:color="auto"/>
                      </w:divBdr>
                      <w:divsChild>
                        <w:div w:id="1841389591">
                          <w:marLeft w:val="0"/>
                          <w:marRight w:val="0"/>
                          <w:marTop w:val="0"/>
                          <w:marBottom w:val="0"/>
                          <w:divBdr>
                            <w:top w:val="none" w:sz="0" w:space="0" w:color="auto"/>
                            <w:left w:val="none" w:sz="0" w:space="0" w:color="auto"/>
                            <w:bottom w:val="none" w:sz="0" w:space="0" w:color="auto"/>
                            <w:right w:val="none" w:sz="0" w:space="0" w:color="auto"/>
                          </w:divBdr>
                          <w:divsChild>
                            <w:div w:id="316107499">
                              <w:marLeft w:val="0"/>
                              <w:marRight w:val="0"/>
                              <w:marTop w:val="0"/>
                              <w:marBottom w:val="0"/>
                              <w:divBdr>
                                <w:top w:val="none" w:sz="0" w:space="0" w:color="auto"/>
                                <w:left w:val="none" w:sz="0" w:space="0" w:color="auto"/>
                                <w:bottom w:val="none" w:sz="0" w:space="0" w:color="auto"/>
                                <w:right w:val="none" w:sz="0" w:space="0" w:color="auto"/>
                              </w:divBdr>
                              <w:divsChild>
                                <w:div w:id="1376929427">
                                  <w:marLeft w:val="0"/>
                                  <w:marRight w:val="0"/>
                                  <w:marTop w:val="0"/>
                                  <w:marBottom w:val="0"/>
                                  <w:divBdr>
                                    <w:top w:val="none" w:sz="0" w:space="0" w:color="auto"/>
                                    <w:left w:val="none" w:sz="0" w:space="0" w:color="auto"/>
                                    <w:bottom w:val="none" w:sz="0" w:space="0" w:color="auto"/>
                                    <w:right w:val="none" w:sz="0" w:space="0" w:color="auto"/>
                                  </w:divBdr>
                                  <w:divsChild>
                                    <w:div w:id="849295983">
                                      <w:marLeft w:val="0"/>
                                      <w:marRight w:val="0"/>
                                      <w:marTop w:val="0"/>
                                      <w:marBottom w:val="0"/>
                                      <w:divBdr>
                                        <w:top w:val="none" w:sz="0" w:space="0" w:color="auto"/>
                                        <w:left w:val="none" w:sz="0" w:space="0" w:color="auto"/>
                                        <w:bottom w:val="none" w:sz="0" w:space="0" w:color="auto"/>
                                        <w:right w:val="none" w:sz="0" w:space="0" w:color="auto"/>
                                      </w:divBdr>
                                      <w:divsChild>
                                        <w:div w:id="881483357">
                                          <w:marLeft w:val="0"/>
                                          <w:marRight w:val="165"/>
                                          <w:marTop w:val="150"/>
                                          <w:marBottom w:val="0"/>
                                          <w:divBdr>
                                            <w:top w:val="none" w:sz="0" w:space="0" w:color="auto"/>
                                            <w:left w:val="none" w:sz="0" w:space="0" w:color="auto"/>
                                            <w:bottom w:val="none" w:sz="0" w:space="0" w:color="auto"/>
                                            <w:right w:val="none" w:sz="0" w:space="0" w:color="auto"/>
                                          </w:divBdr>
                                          <w:divsChild>
                                            <w:div w:id="793329236">
                                              <w:marLeft w:val="0"/>
                                              <w:marRight w:val="0"/>
                                              <w:marTop w:val="0"/>
                                              <w:marBottom w:val="0"/>
                                              <w:divBdr>
                                                <w:top w:val="none" w:sz="0" w:space="0" w:color="auto"/>
                                                <w:left w:val="none" w:sz="0" w:space="0" w:color="auto"/>
                                                <w:bottom w:val="none" w:sz="0" w:space="0" w:color="auto"/>
                                                <w:right w:val="none" w:sz="0" w:space="0" w:color="auto"/>
                                              </w:divBdr>
                                              <w:divsChild>
                                                <w:div w:id="186373902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15090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0837019">
      <w:bodyDiv w:val="1"/>
      <w:marLeft w:val="0"/>
      <w:marRight w:val="0"/>
      <w:marTop w:val="0"/>
      <w:marBottom w:val="0"/>
      <w:divBdr>
        <w:top w:val="none" w:sz="0" w:space="0" w:color="auto"/>
        <w:left w:val="none" w:sz="0" w:space="0" w:color="auto"/>
        <w:bottom w:val="none" w:sz="0" w:space="0" w:color="auto"/>
        <w:right w:val="none" w:sz="0" w:space="0" w:color="auto"/>
      </w:divBdr>
      <w:divsChild>
        <w:div w:id="124322584">
          <w:marLeft w:val="0"/>
          <w:marRight w:val="0"/>
          <w:marTop w:val="0"/>
          <w:marBottom w:val="0"/>
          <w:divBdr>
            <w:top w:val="none" w:sz="0" w:space="0" w:color="auto"/>
            <w:left w:val="none" w:sz="0" w:space="0" w:color="auto"/>
            <w:bottom w:val="none" w:sz="0" w:space="0" w:color="auto"/>
            <w:right w:val="none" w:sz="0" w:space="0" w:color="auto"/>
          </w:divBdr>
          <w:divsChild>
            <w:div w:id="2058553688">
              <w:marLeft w:val="0"/>
              <w:marRight w:val="0"/>
              <w:marTop w:val="0"/>
              <w:marBottom w:val="0"/>
              <w:divBdr>
                <w:top w:val="none" w:sz="0" w:space="0" w:color="auto"/>
                <w:left w:val="none" w:sz="0" w:space="0" w:color="auto"/>
                <w:bottom w:val="none" w:sz="0" w:space="0" w:color="auto"/>
                <w:right w:val="none" w:sz="0" w:space="0" w:color="auto"/>
              </w:divBdr>
              <w:divsChild>
                <w:div w:id="2084570796">
                  <w:marLeft w:val="0"/>
                  <w:marRight w:val="0"/>
                  <w:marTop w:val="0"/>
                  <w:marBottom w:val="0"/>
                  <w:divBdr>
                    <w:top w:val="none" w:sz="0" w:space="0" w:color="auto"/>
                    <w:left w:val="none" w:sz="0" w:space="0" w:color="auto"/>
                    <w:bottom w:val="none" w:sz="0" w:space="0" w:color="auto"/>
                    <w:right w:val="none" w:sz="0" w:space="0" w:color="auto"/>
                  </w:divBdr>
                  <w:divsChild>
                    <w:div w:id="1517227112">
                      <w:marLeft w:val="0"/>
                      <w:marRight w:val="0"/>
                      <w:marTop w:val="0"/>
                      <w:marBottom w:val="0"/>
                      <w:divBdr>
                        <w:top w:val="none" w:sz="0" w:space="0" w:color="auto"/>
                        <w:left w:val="none" w:sz="0" w:space="0" w:color="auto"/>
                        <w:bottom w:val="none" w:sz="0" w:space="0" w:color="auto"/>
                        <w:right w:val="none" w:sz="0" w:space="0" w:color="auto"/>
                      </w:divBdr>
                      <w:divsChild>
                        <w:div w:id="2032953937">
                          <w:marLeft w:val="0"/>
                          <w:marRight w:val="0"/>
                          <w:marTop w:val="0"/>
                          <w:marBottom w:val="0"/>
                          <w:divBdr>
                            <w:top w:val="none" w:sz="0" w:space="0" w:color="auto"/>
                            <w:left w:val="none" w:sz="0" w:space="0" w:color="auto"/>
                            <w:bottom w:val="none" w:sz="0" w:space="0" w:color="auto"/>
                            <w:right w:val="none" w:sz="0" w:space="0" w:color="auto"/>
                          </w:divBdr>
                          <w:divsChild>
                            <w:div w:id="244413578">
                              <w:marLeft w:val="0"/>
                              <w:marRight w:val="0"/>
                              <w:marTop w:val="0"/>
                              <w:marBottom w:val="0"/>
                              <w:divBdr>
                                <w:top w:val="none" w:sz="0" w:space="0" w:color="auto"/>
                                <w:left w:val="none" w:sz="0" w:space="0" w:color="auto"/>
                                <w:bottom w:val="none" w:sz="0" w:space="0" w:color="auto"/>
                                <w:right w:val="none" w:sz="0" w:space="0" w:color="auto"/>
                              </w:divBdr>
                              <w:divsChild>
                                <w:div w:id="768047309">
                                  <w:marLeft w:val="0"/>
                                  <w:marRight w:val="0"/>
                                  <w:marTop w:val="0"/>
                                  <w:marBottom w:val="0"/>
                                  <w:divBdr>
                                    <w:top w:val="none" w:sz="0" w:space="0" w:color="auto"/>
                                    <w:left w:val="none" w:sz="0" w:space="0" w:color="auto"/>
                                    <w:bottom w:val="none" w:sz="0" w:space="0" w:color="auto"/>
                                    <w:right w:val="none" w:sz="0" w:space="0" w:color="auto"/>
                                  </w:divBdr>
                                  <w:divsChild>
                                    <w:div w:id="552036082">
                                      <w:marLeft w:val="0"/>
                                      <w:marRight w:val="0"/>
                                      <w:marTop w:val="0"/>
                                      <w:marBottom w:val="0"/>
                                      <w:divBdr>
                                        <w:top w:val="none" w:sz="0" w:space="0" w:color="auto"/>
                                        <w:left w:val="none" w:sz="0" w:space="0" w:color="auto"/>
                                        <w:bottom w:val="none" w:sz="0" w:space="0" w:color="auto"/>
                                        <w:right w:val="none" w:sz="0" w:space="0" w:color="auto"/>
                                      </w:divBdr>
                                    </w:div>
                                    <w:div w:id="697388122">
                                      <w:marLeft w:val="0"/>
                                      <w:marRight w:val="0"/>
                                      <w:marTop w:val="0"/>
                                      <w:marBottom w:val="0"/>
                                      <w:divBdr>
                                        <w:top w:val="none" w:sz="0" w:space="0" w:color="auto"/>
                                        <w:left w:val="none" w:sz="0" w:space="0" w:color="auto"/>
                                        <w:bottom w:val="none" w:sz="0" w:space="0" w:color="auto"/>
                                        <w:right w:val="none" w:sz="0" w:space="0" w:color="auto"/>
                                      </w:divBdr>
                                      <w:divsChild>
                                        <w:div w:id="2094086946">
                                          <w:marLeft w:val="0"/>
                                          <w:marRight w:val="165"/>
                                          <w:marTop w:val="150"/>
                                          <w:marBottom w:val="0"/>
                                          <w:divBdr>
                                            <w:top w:val="none" w:sz="0" w:space="0" w:color="auto"/>
                                            <w:left w:val="none" w:sz="0" w:space="0" w:color="auto"/>
                                            <w:bottom w:val="none" w:sz="0" w:space="0" w:color="auto"/>
                                            <w:right w:val="none" w:sz="0" w:space="0" w:color="auto"/>
                                          </w:divBdr>
                                          <w:divsChild>
                                            <w:div w:id="1023551370">
                                              <w:marLeft w:val="0"/>
                                              <w:marRight w:val="0"/>
                                              <w:marTop w:val="0"/>
                                              <w:marBottom w:val="0"/>
                                              <w:divBdr>
                                                <w:top w:val="none" w:sz="0" w:space="0" w:color="auto"/>
                                                <w:left w:val="none" w:sz="0" w:space="0" w:color="auto"/>
                                                <w:bottom w:val="none" w:sz="0" w:space="0" w:color="auto"/>
                                                <w:right w:val="none" w:sz="0" w:space="0" w:color="auto"/>
                                              </w:divBdr>
                                              <w:divsChild>
                                                <w:div w:id="210510394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8360612">
          <w:marLeft w:val="0"/>
          <w:marRight w:val="0"/>
          <w:marTop w:val="240"/>
          <w:marBottom w:val="0"/>
          <w:divBdr>
            <w:top w:val="none" w:sz="0" w:space="0" w:color="auto"/>
            <w:left w:val="none" w:sz="0" w:space="0" w:color="auto"/>
            <w:bottom w:val="none" w:sz="0" w:space="0" w:color="auto"/>
            <w:right w:val="none" w:sz="0" w:space="0" w:color="auto"/>
          </w:divBdr>
        </w:div>
      </w:divsChild>
    </w:div>
    <w:div w:id="1465852028">
      <w:bodyDiv w:val="1"/>
      <w:marLeft w:val="0"/>
      <w:marRight w:val="0"/>
      <w:marTop w:val="0"/>
      <w:marBottom w:val="0"/>
      <w:divBdr>
        <w:top w:val="none" w:sz="0" w:space="0" w:color="auto"/>
        <w:left w:val="none" w:sz="0" w:space="0" w:color="auto"/>
        <w:bottom w:val="none" w:sz="0" w:space="0" w:color="auto"/>
        <w:right w:val="none" w:sz="0" w:space="0" w:color="auto"/>
      </w:divBdr>
      <w:divsChild>
        <w:div w:id="178204315">
          <w:marLeft w:val="0"/>
          <w:marRight w:val="0"/>
          <w:marTop w:val="0"/>
          <w:marBottom w:val="0"/>
          <w:divBdr>
            <w:top w:val="none" w:sz="0" w:space="0" w:color="auto"/>
            <w:left w:val="none" w:sz="0" w:space="0" w:color="auto"/>
            <w:bottom w:val="none" w:sz="0" w:space="0" w:color="auto"/>
            <w:right w:val="none" w:sz="0" w:space="0" w:color="auto"/>
          </w:divBdr>
          <w:divsChild>
            <w:div w:id="1032609312">
              <w:marLeft w:val="0"/>
              <w:marRight w:val="0"/>
              <w:marTop w:val="0"/>
              <w:marBottom w:val="0"/>
              <w:divBdr>
                <w:top w:val="none" w:sz="0" w:space="0" w:color="auto"/>
                <w:left w:val="none" w:sz="0" w:space="0" w:color="auto"/>
                <w:bottom w:val="none" w:sz="0" w:space="0" w:color="auto"/>
                <w:right w:val="none" w:sz="0" w:space="0" w:color="auto"/>
              </w:divBdr>
              <w:divsChild>
                <w:div w:id="1422988678">
                  <w:marLeft w:val="0"/>
                  <w:marRight w:val="0"/>
                  <w:marTop w:val="0"/>
                  <w:marBottom w:val="0"/>
                  <w:divBdr>
                    <w:top w:val="none" w:sz="0" w:space="0" w:color="auto"/>
                    <w:left w:val="none" w:sz="0" w:space="0" w:color="auto"/>
                    <w:bottom w:val="none" w:sz="0" w:space="0" w:color="auto"/>
                    <w:right w:val="none" w:sz="0" w:space="0" w:color="auto"/>
                  </w:divBdr>
                  <w:divsChild>
                    <w:div w:id="108277532">
                      <w:marLeft w:val="0"/>
                      <w:marRight w:val="0"/>
                      <w:marTop w:val="0"/>
                      <w:marBottom w:val="0"/>
                      <w:divBdr>
                        <w:top w:val="none" w:sz="0" w:space="0" w:color="auto"/>
                        <w:left w:val="none" w:sz="0" w:space="0" w:color="auto"/>
                        <w:bottom w:val="none" w:sz="0" w:space="0" w:color="auto"/>
                        <w:right w:val="none" w:sz="0" w:space="0" w:color="auto"/>
                      </w:divBdr>
                      <w:divsChild>
                        <w:div w:id="1516265065">
                          <w:marLeft w:val="0"/>
                          <w:marRight w:val="0"/>
                          <w:marTop w:val="0"/>
                          <w:marBottom w:val="0"/>
                          <w:divBdr>
                            <w:top w:val="none" w:sz="0" w:space="0" w:color="auto"/>
                            <w:left w:val="none" w:sz="0" w:space="0" w:color="auto"/>
                            <w:bottom w:val="none" w:sz="0" w:space="0" w:color="auto"/>
                            <w:right w:val="none" w:sz="0" w:space="0" w:color="auto"/>
                          </w:divBdr>
                          <w:divsChild>
                            <w:div w:id="1270426689">
                              <w:marLeft w:val="0"/>
                              <w:marRight w:val="0"/>
                              <w:marTop w:val="0"/>
                              <w:marBottom w:val="0"/>
                              <w:divBdr>
                                <w:top w:val="none" w:sz="0" w:space="0" w:color="auto"/>
                                <w:left w:val="none" w:sz="0" w:space="0" w:color="auto"/>
                                <w:bottom w:val="none" w:sz="0" w:space="0" w:color="auto"/>
                                <w:right w:val="none" w:sz="0" w:space="0" w:color="auto"/>
                              </w:divBdr>
                              <w:divsChild>
                                <w:div w:id="1492526611">
                                  <w:marLeft w:val="0"/>
                                  <w:marRight w:val="0"/>
                                  <w:marTop w:val="0"/>
                                  <w:marBottom w:val="0"/>
                                  <w:divBdr>
                                    <w:top w:val="none" w:sz="0" w:space="0" w:color="auto"/>
                                    <w:left w:val="none" w:sz="0" w:space="0" w:color="auto"/>
                                    <w:bottom w:val="none" w:sz="0" w:space="0" w:color="auto"/>
                                    <w:right w:val="none" w:sz="0" w:space="0" w:color="auto"/>
                                  </w:divBdr>
                                  <w:divsChild>
                                    <w:div w:id="1441103389">
                                      <w:marLeft w:val="0"/>
                                      <w:marRight w:val="0"/>
                                      <w:marTop w:val="0"/>
                                      <w:marBottom w:val="0"/>
                                      <w:divBdr>
                                        <w:top w:val="none" w:sz="0" w:space="0" w:color="auto"/>
                                        <w:left w:val="none" w:sz="0" w:space="0" w:color="auto"/>
                                        <w:bottom w:val="none" w:sz="0" w:space="0" w:color="auto"/>
                                        <w:right w:val="none" w:sz="0" w:space="0" w:color="auto"/>
                                      </w:divBdr>
                                      <w:divsChild>
                                        <w:div w:id="901449957">
                                          <w:marLeft w:val="0"/>
                                          <w:marRight w:val="165"/>
                                          <w:marTop w:val="150"/>
                                          <w:marBottom w:val="0"/>
                                          <w:divBdr>
                                            <w:top w:val="none" w:sz="0" w:space="0" w:color="auto"/>
                                            <w:left w:val="none" w:sz="0" w:space="0" w:color="auto"/>
                                            <w:bottom w:val="none" w:sz="0" w:space="0" w:color="auto"/>
                                            <w:right w:val="none" w:sz="0" w:space="0" w:color="auto"/>
                                          </w:divBdr>
                                          <w:divsChild>
                                            <w:div w:id="417481514">
                                              <w:marLeft w:val="0"/>
                                              <w:marRight w:val="0"/>
                                              <w:marTop w:val="0"/>
                                              <w:marBottom w:val="0"/>
                                              <w:divBdr>
                                                <w:top w:val="none" w:sz="0" w:space="0" w:color="auto"/>
                                                <w:left w:val="none" w:sz="0" w:space="0" w:color="auto"/>
                                                <w:bottom w:val="none" w:sz="0" w:space="0" w:color="auto"/>
                                                <w:right w:val="none" w:sz="0" w:space="0" w:color="auto"/>
                                              </w:divBdr>
                                              <w:divsChild>
                                                <w:div w:id="6449880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47760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4982514">
          <w:marLeft w:val="0"/>
          <w:marRight w:val="0"/>
          <w:marTop w:val="240"/>
          <w:marBottom w:val="0"/>
          <w:divBdr>
            <w:top w:val="none" w:sz="0" w:space="0" w:color="auto"/>
            <w:left w:val="none" w:sz="0" w:space="0" w:color="auto"/>
            <w:bottom w:val="none" w:sz="0" w:space="0" w:color="auto"/>
            <w:right w:val="none" w:sz="0" w:space="0" w:color="auto"/>
          </w:divBdr>
        </w:div>
      </w:divsChild>
    </w:div>
    <w:div w:id="1484740060">
      <w:bodyDiv w:val="1"/>
      <w:marLeft w:val="0"/>
      <w:marRight w:val="0"/>
      <w:marTop w:val="0"/>
      <w:marBottom w:val="0"/>
      <w:divBdr>
        <w:top w:val="none" w:sz="0" w:space="0" w:color="auto"/>
        <w:left w:val="none" w:sz="0" w:space="0" w:color="auto"/>
        <w:bottom w:val="none" w:sz="0" w:space="0" w:color="auto"/>
        <w:right w:val="none" w:sz="0" w:space="0" w:color="auto"/>
      </w:divBdr>
      <w:divsChild>
        <w:div w:id="309092257">
          <w:marLeft w:val="0"/>
          <w:marRight w:val="0"/>
          <w:marTop w:val="240"/>
          <w:marBottom w:val="0"/>
          <w:divBdr>
            <w:top w:val="none" w:sz="0" w:space="0" w:color="auto"/>
            <w:left w:val="none" w:sz="0" w:space="0" w:color="auto"/>
            <w:bottom w:val="none" w:sz="0" w:space="0" w:color="auto"/>
            <w:right w:val="none" w:sz="0" w:space="0" w:color="auto"/>
          </w:divBdr>
        </w:div>
        <w:div w:id="1927153845">
          <w:marLeft w:val="0"/>
          <w:marRight w:val="0"/>
          <w:marTop w:val="0"/>
          <w:marBottom w:val="0"/>
          <w:divBdr>
            <w:top w:val="none" w:sz="0" w:space="0" w:color="auto"/>
            <w:left w:val="none" w:sz="0" w:space="0" w:color="auto"/>
            <w:bottom w:val="none" w:sz="0" w:space="0" w:color="auto"/>
            <w:right w:val="none" w:sz="0" w:space="0" w:color="auto"/>
          </w:divBdr>
          <w:divsChild>
            <w:div w:id="992877946">
              <w:marLeft w:val="0"/>
              <w:marRight w:val="0"/>
              <w:marTop w:val="0"/>
              <w:marBottom w:val="0"/>
              <w:divBdr>
                <w:top w:val="none" w:sz="0" w:space="0" w:color="auto"/>
                <w:left w:val="none" w:sz="0" w:space="0" w:color="auto"/>
                <w:bottom w:val="none" w:sz="0" w:space="0" w:color="auto"/>
                <w:right w:val="none" w:sz="0" w:space="0" w:color="auto"/>
              </w:divBdr>
              <w:divsChild>
                <w:div w:id="2090303312">
                  <w:marLeft w:val="0"/>
                  <w:marRight w:val="0"/>
                  <w:marTop w:val="0"/>
                  <w:marBottom w:val="0"/>
                  <w:divBdr>
                    <w:top w:val="none" w:sz="0" w:space="0" w:color="auto"/>
                    <w:left w:val="none" w:sz="0" w:space="0" w:color="auto"/>
                    <w:bottom w:val="none" w:sz="0" w:space="0" w:color="auto"/>
                    <w:right w:val="none" w:sz="0" w:space="0" w:color="auto"/>
                  </w:divBdr>
                  <w:divsChild>
                    <w:div w:id="1896309006">
                      <w:marLeft w:val="0"/>
                      <w:marRight w:val="0"/>
                      <w:marTop w:val="0"/>
                      <w:marBottom w:val="0"/>
                      <w:divBdr>
                        <w:top w:val="none" w:sz="0" w:space="0" w:color="auto"/>
                        <w:left w:val="none" w:sz="0" w:space="0" w:color="auto"/>
                        <w:bottom w:val="none" w:sz="0" w:space="0" w:color="auto"/>
                        <w:right w:val="none" w:sz="0" w:space="0" w:color="auto"/>
                      </w:divBdr>
                      <w:divsChild>
                        <w:div w:id="238951786">
                          <w:marLeft w:val="0"/>
                          <w:marRight w:val="0"/>
                          <w:marTop w:val="0"/>
                          <w:marBottom w:val="0"/>
                          <w:divBdr>
                            <w:top w:val="none" w:sz="0" w:space="0" w:color="auto"/>
                            <w:left w:val="none" w:sz="0" w:space="0" w:color="auto"/>
                            <w:bottom w:val="none" w:sz="0" w:space="0" w:color="auto"/>
                            <w:right w:val="none" w:sz="0" w:space="0" w:color="auto"/>
                          </w:divBdr>
                          <w:divsChild>
                            <w:div w:id="1399012627">
                              <w:marLeft w:val="0"/>
                              <w:marRight w:val="0"/>
                              <w:marTop w:val="0"/>
                              <w:marBottom w:val="0"/>
                              <w:divBdr>
                                <w:top w:val="none" w:sz="0" w:space="0" w:color="auto"/>
                                <w:left w:val="none" w:sz="0" w:space="0" w:color="auto"/>
                                <w:bottom w:val="none" w:sz="0" w:space="0" w:color="auto"/>
                                <w:right w:val="none" w:sz="0" w:space="0" w:color="auto"/>
                              </w:divBdr>
                              <w:divsChild>
                                <w:div w:id="1744525931">
                                  <w:marLeft w:val="0"/>
                                  <w:marRight w:val="0"/>
                                  <w:marTop w:val="0"/>
                                  <w:marBottom w:val="0"/>
                                  <w:divBdr>
                                    <w:top w:val="none" w:sz="0" w:space="0" w:color="auto"/>
                                    <w:left w:val="none" w:sz="0" w:space="0" w:color="auto"/>
                                    <w:bottom w:val="none" w:sz="0" w:space="0" w:color="auto"/>
                                    <w:right w:val="none" w:sz="0" w:space="0" w:color="auto"/>
                                  </w:divBdr>
                                  <w:divsChild>
                                    <w:div w:id="1260064258">
                                      <w:marLeft w:val="0"/>
                                      <w:marRight w:val="0"/>
                                      <w:marTop w:val="0"/>
                                      <w:marBottom w:val="0"/>
                                      <w:divBdr>
                                        <w:top w:val="none" w:sz="0" w:space="0" w:color="auto"/>
                                        <w:left w:val="none" w:sz="0" w:space="0" w:color="auto"/>
                                        <w:bottom w:val="none" w:sz="0" w:space="0" w:color="auto"/>
                                        <w:right w:val="none" w:sz="0" w:space="0" w:color="auto"/>
                                      </w:divBdr>
                                      <w:divsChild>
                                        <w:div w:id="293489875">
                                          <w:marLeft w:val="0"/>
                                          <w:marRight w:val="165"/>
                                          <w:marTop w:val="150"/>
                                          <w:marBottom w:val="0"/>
                                          <w:divBdr>
                                            <w:top w:val="none" w:sz="0" w:space="0" w:color="auto"/>
                                            <w:left w:val="none" w:sz="0" w:space="0" w:color="auto"/>
                                            <w:bottom w:val="none" w:sz="0" w:space="0" w:color="auto"/>
                                            <w:right w:val="none" w:sz="0" w:space="0" w:color="auto"/>
                                          </w:divBdr>
                                          <w:divsChild>
                                            <w:div w:id="81487553">
                                              <w:marLeft w:val="0"/>
                                              <w:marRight w:val="0"/>
                                              <w:marTop w:val="0"/>
                                              <w:marBottom w:val="0"/>
                                              <w:divBdr>
                                                <w:top w:val="none" w:sz="0" w:space="0" w:color="auto"/>
                                                <w:left w:val="none" w:sz="0" w:space="0" w:color="auto"/>
                                                <w:bottom w:val="none" w:sz="0" w:space="0" w:color="auto"/>
                                                <w:right w:val="none" w:sz="0" w:space="0" w:color="auto"/>
                                              </w:divBdr>
                                              <w:divsChild>
                                                <w:div w:id="21366621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37947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4217260">
      <w:bodyDiv w:val="1"/>
      <w:marLeft w:val="0"/>
      <w:marRight w:val="0"/>
      <w:marTop w:val="0"/>
      <w:marBottom w:val="0"/>
      <w:divBdr>
        <w:top w:val="none" w:sz="0" w:space="0" w:color="auto"/>
        <w:left w:val="none" w:sz="0" w:space="0" w:color="auto"/>
        <w:bottom w:val="none" w:sz="0" w:space="0" w:color="auto"/>
        <w:right w:val="none" w:sz="0" w:space="0" w:color="auto"/>
      </w:divBdr>
      <w:divsChild>
        <w:div w:id="497231830">
          <w:marLeft w:val="0"/>
          <w:marRight w:val="0"/>
          <w:marTop w:val="0"/>
          <w:marBottom w:val="0"/>
          <w:divBdr>
            <w:top w:val="none" w:sz="0" w:space="0" w:color="auto"/>
            <w:left w:val="none" w:sz="0" w:space="0" w:color="auto"/>
            <w:bottom w:val="none" w:sz="0" w:space="0" w:color="auto"/>
            <w:right w:val="none" w:sz="0" w:space="0" w:color="auto"/>
          </w:divBdr>
          <w:divsChild>
            <w:div w:id="1071125940">
              <w:marLeft w:val="0"/>
              <w:marRight w:val="0"/>
              <w:marTop w:val="0"/>
              <w:marBottom w:val="0"/>
              <w:divBdr>
                <w:top w:val="none" w:sz="0" w:space="0" w:color="auto"/>
                <w:left w:val="none" w:sz="0" w:space="0" w:color="auto"/>
                <w:bottom w:val="none" w:sz="0" w:space="0" w:color="auto"/>
                <w:right w:val="none" w:sz="0" w:space="0" w:color="auto"/>
              </w:divBdr>
              <w:divsChild>
                <w:div w:id="749616748">
                  <w:marLeft w:val="0"/>
                  <w:marRight w:val="0"/>
                  <w:marTop w:val="0"/>
                  <w:marBottom w:val="0"/>
                  <w:divBdr>
                    <w:top w:val="none" w:sz="0" w:space="0" w:color="auto"/>
                    <w:left w:val="none" w:sz="0" w:space="0" w:color="auto"/>
                    <w:bottom w:val="none" w:sz="0" w:space="0" w:color="auto"/>
                    <w:right w:val="none" w:sz="0" w:space="0" w:color="auto"/>
                  </w:divBdr>
                  <w:divsChild>
                    <w:div w:id="862666544">
                      <w:marLeft w:val="0"/>
                      <w:marRight w:val="0"/>
                      <w:marTop w:val="0"/>
                      <w:marBottom w:val="0"/>
                      <w:divBdr>
                        <w:top w:val="none" w:sz="0" w:space="0" w:color="auto"/>
                        <w:left w:val="none" w:sz="0" w:space="0" w:color="auto"/>
                        <w:bottom w:val="none" w:sz="0" w:space="0" w:color="auto"/>
                        <w:right w:val="none" w:sz="0" w:space="0" w:color="auto"/>
                      </w:divBdr>
                      <w:divsChild>
                        <w:div w:id="671034673">
                          <w:marLeft w:val="0"/>
                          <w:marRight w:val="0"/>
                          <w:marTop w:val="0"/>
                          <w:marBottom w:val="0"/>
                          <w:divBdr>
                            <w:top w:val="none" w:sz="0" w:space="0" w:color="auto"/>
                            <w:left w:val="none" w:sz="0" w:space="0" w:color="auto"/>
                            <w:bottom w:val="none" w:sz="0" w:space="0" w:color="auto"/>
                            <w:right w:val="none" w:sz="0" w:space="0" w:color="auto"/>
                          </w:divBdr>
                          <w:divsChild>
                            <w:div w:id="1259675107">
                              <w:marLeft w:val="0"/>
                              <w:marRight w:val="0"/>
                              <w:marTop w:val="0"/>
                              <w:marBottom w:val="0"/>
                              <w:divBdr>
                                <w:top w:val="none" w:sz="0" w:space="0" w:color="auto"/>
                                <w:left w:val="none" w:sz="0" w:space="0" w:color="auto"/>
                                <w:bottom w:val="none" w:sz="0" w:space="0" w:color="auto"/>
                                <w:right w:val="none" w:sz="0" w:space="0" w:color="auto"/>
                              </w:divBdr>
                              <w:divsChild>
                                <w:div w:id="119619437">
                                  <w:marLeft w:val="0"/>
                                  <w:marRight w:val="0"/>
                                  <w:marTop w:val="0"/>
                                  <w:marBottom w:val="0"/>
                                  <w:divBdr>
                                    <w:top w:val="none" w:sz="0" w:space="0" w:color="auto"/>
                                    <w:left w:val="none" w:sz="0" w:space="0" w:color="auto"/>
                                    <w:bottom w:val="none" w:sz="0" w:space="0" w:color="auto"/>
                                    <w:right w:val="none" w:sz="0" w:space="0" w:color="auto"/>
                                  </w:divBdr>
                                  <w:divsChild>
                                    <w:div w:id="1026981603">
                                      <w:marLeft w:val="0"/>
                                      <w:marRight w:val="0"/>
                                      <w:marTop w:val="0"/>
                                      <w:marBottom w:val="0"/>
                                      <w:divBdr>
                                        <w:top w:val="none" w:sz="0" w:space="0" w:color="auto"/>
                                        <w:left w:val="none" w:sz="0" w:space="0" w:color="auto"/>
                                        <w:bottom w:val="none" w:sz="0" w:space="0" w:color="auto"/>
                                        <w:right w:val="none" w:sz="0" w:space="0" w:color="auto"/>
                                      </w:divBdr>
                                      <w:divsChild>
                                        <w:div w:id="901330419">
                                          <w:marLeft w:val="0"/>
                                          <w:marRight w:val="165"/>
                                          <w:marTop w:val="150"/>
                                          <w:marBottom w:val="0"/>
                                          <w:divBdr>
                                            <w:top w:val="none" w:sz="0" w:space="0" w:color="auto"/>
                                            <w:left w:val="none" w:sz="0" w:space="0" w:color="auto"/>
                                            <w:bottom w:val="none" w:sz="0" w:space="0" w:color="auto"/>
                                            <w:right w:val="none" w:sz="0" w:space="0" w:color="auto"/>
                                          </w:divBdr>
                                          <w:divsChild>
                                            <w:div w:id="1254581823">
                                              <w:marLeft w:val="0"/>
                                              <w:marRight w:val="0"/>
                                              <w:marTop w:val="0"/>
                                              <w:marBottom w:val="0"/>
                                              <w:divBdr>
                                                <w:top w:val="none" w:sz="0" w:space="0" w:color="auto"/>
                                                <w:left w:val="none" w:sz="0" w:space="0" w:color="auto"/>
                                                <w:bottom w:val="none" w:sz="0" w:space="0" w:color="auto"/>
                                                <w:right w:val="none" w:sz="0" w:space="0" w:color="auto"/>
                                              </w:divBdr>
                                              <w:divsChild>
                                                <w:div w:id="208918862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14505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3777557">
          <w:marLeft w:val="0"/>
          <w:marRight w:val="0"/>
          <w:marTop w:val="240"/>
          <w:marBottom w:val="0"/>
          <w:divBdr>
            <w:top w:val="none" w:sz="0" w:space="0" w:color="auto"/>
            <w:left w:val="none" w:sz="0" w:space="0" w:color="auto"/>
            <w:bottom w:val="none" w:sz="0" w:space="0" w:color="auto"/>
            <w:right w:val="none" w:sz="0" w:space="0" w:color="auto"/>
          </w:divBdr>
        </w:div>
      </w:divsChild>
    </w:div>
    <w:div w:id="1627002143">
      <w:bodyDiv w:val="1"/>
      <w:marLeft w:val="0"/>
      <w:marRight w:val="0"/>
      <w:marTop w:val="0"/>
      <w:marBottom w:val="0"/>
      <w:divBdr>
        <w:top w:val="none" w:sz="0" w:space="0" w:color="auto"/>
        <w:left w:val="none" w:sz="0" w:space="0" w:color="auto"/>
        <w:bottom w:val="none" w:sz="0" w:space="0" w:color="auto"/>
        <w:right w:val="none" w:sz="0" w:space="0" w:color="auto"/>
      </w:divBdr>
      <w:divsChild>
        <w:div w:id="482238897">
          <w:marLeft w:val="0"/>
          <w:marRight w:val="0"/>
          <w:marTop w:val="240"/>
          <w:marBottom w:val="0"/>
          <w:divBdr>
            <w:top w:val="none" w:sz="0" w:space="0" w:color="auto"/>
            <w:left w:val="none" w:sz="0" w:space="0" w:color="auto"/>
            <w:bottom w:val="none" w:sz="0" w:space="0" w:color="auto"/>
            <w:right w:val="none" w:sz="0" w:space="0" w:color="auto"/>
          </w:divBdr>
        </w:div>
        <w:div w:id="1443955516">
          <w:marLeft w:val="0"/>
          <w:marRight w:val="0"/>
          <w:marTop w:val="0"/>
          <w:marBottom w:val="0"/>
          <w:divBdr>
            <w:top w:val="none" w:sz="0" w:space="0" w:color="auto"/>
            <w:left w:val="none" w:sz="0" w:space="0" w:color="auto"/>
            <w:bottom w:val="none" w:sz="0" w:space="0" w:color="auto"/>
            <w:right w:val="none" w:sz="0" w:space="0" w:color="auto"/>
          </w:divBdr>
          <w:divsChild>
            <w:div w:id="66265629">
              <w:marLeft w:val="0"/>
              <w:marRight w:val="0"/>
              <w:marTop w:val="0"/>
              <w:marBottom w:val="0"/>
              <w:divBdr>
                <w:top w:val="none" w:sz="0" w:space="0" w:color="auto"/>
                <w:left w:val="none" w:sz="0" w:space="0" w:color="auto"/>
                <w:bottom w:val="none" w:sz="0" w:space="0" w:color="auto"/>
                <w:right w:val="none" w:sz="0" w:space="0" w:color="auto"/>
              </w:divBdr>
              <w:divsChild>
                <w:div w:id="825701596">
                  <w:marLeft w:val="0"/>
                  <w:marRight w:val="0"/>
                  <w:marTop w:val="0"/>
                  <w:marBottom w:val="0"/>
                  <w:divBdr>
                    <w:top w:val="none" w:sz="0" w:space="0" w:color="auto"/>
                    <w:left w:val="none" w:sz="0" w:space="0" w:color="auto"/>
                    <w:bottom w:val="none" w:sz="0" w:space="0" w:color="auto"/>
                    <w:right w:val="none" w:sz="0" w:space="0" w:color="auto"/>
                  </w:divBdr>
                  <w:divsChild>
                    <w:div w:id="1200971003">
                      <w:marLeft w:val="0"/>
                      <w:marRight w:val="0"/>
                      <w:marTop w:val="0"/>
                      <w:marBottom w:val="0"/>
                      <w:divBdr>
                        <w:top w:val="none" w:sz="0" w:space="0" w:color="auto"/>
                        <w:left w:val="none" w:sz="0" w:space="0" w:color="auto"/>
                        <w:bottom w:val="none" w:sz="0" w:space="0" w:color="auto"/>
                        <w:right w:val="none" w:sz="0" w:space="0" w:color="auto"/>
                      </w:divBdr>
                      <w:divsChild>
                        <w:div w:id="1766227535">
                          <w:marLeft w:val="0"/>
                          <w:marRight w:val="0"/>
                          <w:marTop w:val="0"/>
                          <w:marBottom w:val="0"/>
                          <w:divBdr>
                            <w:top w:val="none" w:sz="0" w:space="0" w:color="auto"/>
                            <w:left w:val="none" w:sz="0" w:space="0" w:color="auto"/>
                            <w:bottom w:val="none" w:sz="0" w:space="0" w:color="auto"/>
                            <w:right w:val="none" w:sz="0" w:space="0" w:color="auto"/>
                          </w:divBdr>
                          <w:divsChild>
                            <w:div w:id="797839317">
                              <w:marLeft w:val="0"/>
                              <w:marRight w:val="0"/>
                              <w:marTop w:val="0"/>
                              <w:marBottom w:val="0"/>
                              <w:divBdr>
                                <w:top w:val="none" w:sz="0" w:space="0" w:color="auto"/>
                                <w:left w:val="none" w:sz="0" w:space="0" w:color="auto"/>
                                <w:bottom w:val="none" w:sz="0" w:space="0" w:color="auto"/>
                                <w:right w:val="none" w:sz="0" w:space="0" w:color="auto"/>
                              </w:divBdr>
                              <w:divsChild>
                                <w:div w:id="995304782">
                                  <w:marLeft w:val="0"/>
                                  <w:marRight w:val="0"/>
                                  <w:marTop w:val="0"/>
                                  <w:marBottom w:val="0"/>
                                  <w:divBdr>
                                    <w:top w:val="none" w:sz="0" w:space="0" w:color="auto"/>
                                    <w:left w:val="none" w:sz="0" w:space="0" w:color="auto"/>
                                    <w:bottom w:val="none" w:sz="0" w:space="0" w:color="auto"/>
                                    <w:right w:val="none" w:sz="0" w:space="0" w:color="auto"/>
                                  </w:divBdr>
                                  <w:divsChild>
                                    <w:div w:id="371462198">
                                      <w:marLeft w:val="0"/>
                                      <w:marRight w:val="0"/>
                                      <w:marTop w:val="0"/>
                                      <w:marBottom w:val="0"/>
                                      <w:divBdr>
                                        <w:top w:val="none" w:sz="0" w:space="0" w:color="auto"/>
                                        <w:left w:val="none" w:sz="0" w:space="0" w:color="auto"/>
                                        <w:bottom w:val="none" w:sz="0" w:space="0" w:color="auto"/>
                                        <w:right w:val="none" w:sz="0" w:space="0" w:color="auto"/>
                                      </w:divBdr>
                                    </w:div>
                                    <w:div w:id="1960795284">
                                      <w:marLeft w:val="0"/>
                                      <w:marRight w:val="0"/>
                                      <w:marTop w:val="0"/>
                                      <w:marBottom w:val="0"/>
                                      <w:divBdr>
                                        <w:top w:val="none" w:sz="0" w:space="0" w:color="auto"/>
                                        <w:left w:val="none" w:sz="0" w:space="0" w:color="auto"/>
                                        <w:bottom w:val="none" w:sz="0" w:space="0" w:color="auto"/>
                                        <w:right w:val="none" w:sz="0" w:space="0" w:color="auto"/>
                                      </w:divBdr>
                                      <w:divsChild>
                                        <w:div w:id="32922363">
                                          <w:marLeft w:val="0"/>
                                          <w:marRight w:val="165"/>
                                          <w:marTop w:val="150"/>
                                          <w:marBottom w:val="0"/>
                                          <w:divBdr>
                                            <w:top w:val="none" w:sz="0" w:space="0" w:color="auto"/>
                                            <w:left w:val="none" w:sz="0" w:space="0" w:color="auto"/>
                                            <w:bottom w:val="none" w:sz="0" w:space="0" w:color="auto"/>
                                            <w:right w:val="none" w:sz="0" w:space="0" w:color="auto"/>
                                          </w:divBdr>
                                          <w:divsChild>
                                            <w:div w:id="1513647645">
                                              <w:marLeft w:val="0"/>
                                              <w:marRight w:val="0"/>
                                              <w:marTop w:val="0"/>
                                              <w:marBottom w:val="0"/>
                                              <w:divBdr>
                                                <w:top w:val="none" w:sz="0" w:space="0" w:color="auto"/>
                                                <w:left w:val="none" w:sz="0" w:space="0" w:color="auto"/>
                                                <w:bottom w:val="none" w:sz="0" w:space="0" w:color="auto"/>
                                                <w:right w:val="none" w:sz="0" w:space="0" w:color="auto"/>
                                              </w:divBdr>
                                              <w:divsChild>
                                                <w:div w:id="191007649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9742553">
      <w:bodyDiv w:val="1"/>
      <w:marLeft w:val="0"/>
      <w:marRight w:val="0"/>
      <w:marTop w:val="0"/>
      <w:marBottom w:val="0"/>
      <w:divBdr>
        <w:top w:val="none" w:sz="0" w:space="0" w:color="auto"/>
        <w:left w:val="none" w:sz="0" w:space="0" w:color="auto"/>
        <w:bottom w:val="none" w:sz="0" w:space="0" w:color="auto"/>
        <w:right w:val="none" w:sz="0" w:space="0" w:color="auto"/>
      </w:divBdr>
      <w:divsChild>
        <w:div w:id="1271474008">
          <w:marLeft w:val="0"/>
          <w:marRight w:val="0"/>
          <w:marTop w:val="240"/>
          <w:marBottom w:val="0"/>
          <w:divBdr>
            <w:top w:val="none" w:sz="0" w:space="0" w:color="auto"/>
            <w:left w:val="none" w:sz="0" w:space="0" w:color="auto"/>
            <w:bottom w:val="none" w:sz="0" w:space="0" w:color="auto"/>
            <w:right w:val="none" w:sz="0" w:space="0" w:color="auto"/>
          </w:divBdr>
        </w:div>
        <w:div w:id="1434786796">
          <w:marLeft w:val="0"/>
          <w:marRight w:val="0"/>
          <w:marTop w:val="0"/>
          <w:marBottom w:val="0"/>
          <w:divBdr>
            <w:top w:val="none" w:sz="0" w:space="0" w:color="auto"/>
            <w:left w:val="none" w:sz="0" w:space="0" w:color="auto"/>
            <w:bottom w:val="none" w:sz="0" w:space="0" w:color="auto"/>
            <w:right w:val="none" w:sz="0" w:space="0" w:color="auto"/>
          </w:divBdr>
          <w:divsChild>
            <w:div w:id="468935405">
              <w:marLeft w:val="0"/>
              <w:marRight w:val="0"/>
              <w:marTop w:val="0"/>
              <w:marBottom w:val="0"/>
              <w:divBdr>
                <w:top w:val="none" w:sz="0" w:space="0" w:color="auto"/>
                <w:left w:val="none" w:sz="0" w:space="0" w:color="auto"/>
                <w:bottom w:val="none" w:sz="0" w:space="0" w:color="auto"/>
                <w:right w:val="none" w:sz="0" w:space="0" w:color="auto"/>
              </w:divBdr>
              <w:divsChild>
                <w:div w:id="1053654606">
                  <w:marLeft w:val="0"/>
                  <w:marRight w:val="0"/>
                  <w:marTop w:val="0"/>
                  <w:marBottom w:val="0"/>
                  <w:divBdr>
                    <w:top w:val="none" w:sz="0" w:space="0" w:color="auto"/>
                    <w:left w:val="none" w:sz="0" w:space="0" w:color="auto"/>
                    <w:bottom w:val="none" w:sz="0" w:space="0" w:color="auto"/>
                    <w:right w:val="none" w:sz="0" w:space="0" w:color="auto"/>
                  </w:divBdr>
                  <w:divsChild>
                    <w:div w:id="1875968846">
                      <w:marLeft w:val="0"/>
                      <w:marRight w:val="0"/>
                      <w:marTop w:val="0"/>
                      <w:marBottom w:val="0"/>
                      <w:divBdr>
                        <w:top w:val="none" w:sz="0" w:space="0" w:color="auto"/>
                        <w:left w:val="none" w:sz="0" w:space="0" w:color="auto"/>
                        <w:bottom w:val="none" w:sz="0" w:space="0" w:color="auto"/>
                        <w:right w:val="none" w:sz="0" w:space="0" w:color="auto"/>
                      </w:divBdr>
                      <w:divsChild>
                        <w:div w:id="372733092">
                          <w:marLeft w:val="0"/>
                          <w:marRight w:val="0"/>
                          <w:marTop w:val="0"/>
                          <w:marBottom w:val="0"/>
                          <w:divBdr>
                            <w:top w:val="none" w:sz="0" w:space="0" w:color="auto"/>
                            <w:left w:val="none" w:sz="0" w:space="0" w:color="auto"/>
                            <w:bottom w:val="none" w:sz="0" w:space="0" w:color="auto"/>
                            <w:right w:val="none" w:sz="0" w:space="0" w:color="auto"/>
                          </w:divBdr>
                          <w:divsChild>
                            <w:div w:id="91557533">
                              <w:marLeft w:val="0"/>
                              <w:marRight w:val="0"/>
                              <w:marTop w:val="0"/>
                              <w:marBottom w:val="0"/>
                              <w:divBdr>
                                <w:top w:val="none" w:sz="0" w:space="0" w:color="auto"/>
                                <w:left w:val="none" w:sz="0" w:space="0" w:color="auto"/>
                                <w:bottom w:val="none" w:sz="0" w:space="0" w:color="auto"/>
                                <w:right w:val="none" w:sz="0" w:space="0" w:color="auto"/>
                              </w:divBdr>
                              <w:divsChild>
                                <w:div w:id="361170838">
                                  <w:marLeft w:val="0"/>
                                  <w:marRight w:val="0"/>
                                  <w:marTop w:val="0"/>
                                  <w:marBottom w:val="0"/>
                                  <w:divBdr>
                                    <w:top w:val="none" w:sz="0" w:space="0" w:color="auto"/>
                                    <w:left w:val="none" w:sz="0" w:space="0" w:color="auto"/>
                                    <w:bottom w:val="none" w:sz="0" w:space="0" w:color="auto"/>
                                    <w:right w:val="none" w:sz="0" w:space="0" w:color="auto"/>
                                  </w:divBdr>
                                  <w:divsChild>
                                    <w:div w:id="1568569239">
                                      <w:marLeft w:val="0"/>
                                      <w:marRight w:val="0"/>
                                      <w:marTop w:val="0"/>
                                      <w:marBottom w:val="0"/>
                                      <w:divBdr>
                                        <w:top w:val="none" w:sz="0" w:space="0" w:color="auto"/>
                                        <w:left w:val="none" w:sz="0" w:space="0" w:color="auto"/>
                                        <w:bottom w:val="none" w:sz="0" w:space="0" w:color="auto"/>
                                        <w:right w:val="none" w:sz="0" w:space="0" w:color="auto"/>
                                      </w:divBdr>
                                      <w:divsChild>
                                        <w:div w:id="284772643">
                                          <w:marLeft w:val="0"/>
                                          <w:marRight w:val="165"/>
                                          <w:marTop w:val="150"/>
                                          <w:marBottom w:val="0"/>
                                          <w:divBdr>
                                            <w:top w:val="none" w:sz="0" w:space="0" w:color="auto"/>
                                            <w:left w:val="none" w:sz="0" w:space="0" w:color="auto"/>
                                            <w:bottom w:val="none" w:sz="0" w:space="0" w:color="auto"/>
                                            <w:right w:val="none" w:sz="0" w:space="0" w:color="auto"/>
                                          </w:divBdr>
                                          <w:divsChild>
                                            <w:div w:id="687221089">
                                              <w:marLeft w:val="0"/>
                                              <w:marRight w:val="0"/>
                                              <w:marTop w:val="0"/>
                                              <w:marBottom w:val="0"/>
                                              <w:divBdr>
                                                <w:top w:val="none" w:sz="0" w:space="0" w:color="auto"/>
                                                <w:left w:val="none" w:sz="0" w:space="0" w:color="auto"/>
                                                <w:bottom w:val="none" w:sz="0" w:space="0" w:color="auto"/>
                                                <w:right w:val="none" w:sz="0" w:space="0" w:color="auto"/>
                                              </w:divBdr>
                                              <w:divsChild>
                                                <w:div w:id="59756610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84177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0993013">
      <w:bodyDiv w:val="1"/>
      <w:marLeft w:val="0"/>
      <w:marRight w:val="0"/>
      <w:marTop w:val="0"/>
      <w:marBottom w:val="0"/>
      <w:divBdr>
        <w:top w:val="none" w:sz="0" w:space="0" w:color="auto"/>
        <w:left w:val="none" w:sz="0" w:space="0" w:color="auto"/>
        <w:bottom w:val="none" w:sz="0" w:space="0" w:color="auto"/>
        <w:right w:val="none" w:sz="0" w:space="0" w:color="auto"/>
      </w:divBdr>
      <w:divsChild>
        <w:div w:id="1599410250">
          <w:marLeft w:val="0"/>
          <w:marRight w:val="0"/>
          <w:marTop w:val="240"/>
          <w:marBottom w:val="0"/>
          <w:divBdr>
            <w:top w:val="none" w:sz="0" w:space="0" w:color="auto"/>
            <w:left w:val="none" w:sz="0" w:space="0" w:color="auto"/>
            <w:bottom w:val="none" w:sz="0" w:space="0" w:color="auto"/>
            <w:right w:val="none" w:sz="0" w:space="0" w:color="auto"/>
          </w:divBdr>
        </w:div>
        <w:div w:id="1701198454">
          <w:marLeft w:val="0"/>
          <w:marRight w:val="0"/>
          <w:marTop w:val="0"/>
          <w:marBottom w:val="0"/>
          <w:divBdr>
            <w:top w:val="none" w:sz="0" w:space="0" w:color="auto"/>
            <w:left w:val="none" w:sz="0" w:space="0" w:color="auto"/>
            <w:bottom w:val="none" w:sz="0" w:space="0" w:color="auto"/>
            <w:right w:val="none" w:sz="0" w:space="0" w:color="auto"/>
          </w:divBdr>
          <w:divsChild>
            <w:div w:id="1835022289">
              <w:marLeft w:val="0"/>
              <w:marRight w:val="0"/>
              <w:marTop w:val="0"/>
              <w:marBottom w:val="0"/>
              <w:divBdr>
                <w:top w:val="none" w:sz="0" w:space="0" w:color="auto"/>
                <w:left w:val="none" w:sz="0" w:space="0" w:color="auto"/>
                <w:bottom w:val="none" w:sz="0" w:space="0" w:color="auto"/>
                <w:right w:val="none" w:sz="0" w:space="0" w:color="auto"/>
              </w:divBdr>
              <w:divsChild>
                <w:div w:id="1471946180">
                  <w:marLeft w:val="0"/>
                  <w:marRight w:val="0"/>
                  <w:marTop w:val="0"/>
                  <w:marBottom w:val="0"/>
                  <w:divBdr>
                    <w:top w:val="none" w:sz="0" w:space="0" w:color="auto"/>
                    <w:left w:val="none" w:sz="0" w:space="0" w:color="auto"/>
                    <w:bottom w:val="none" w:sz="0" w:space="0" w:color="auto"/>
                    <w:right w:val="none" w:sz="0" w:space="0" w:color="auto"/>
                  </w:divBdr>
                  <w:divsChild>
                    <w:div w:id="1598293515">
                      <w:marLeft w:val="0"/>
                      <w:marRight w:val="0"/>
                      <w:marTop w:val="0"/>
                      <w:marBottom w:val="0"/>
                      <w:divBdr>
                        <w:top w:val="none" w:sz="0" w:space="0" w:color="auto"/>
                        <w:left w:val="none" w:sz="0" w:space="0" w:color="auto"/>
                        <w:bottom w:val="none" w:sz="0" w:space="0" w:color="auto"/>
                        <w:right w:val="none" w:sz="0" w:space="0" w:color="auto"/>
                      </w:divBdr>
                      <w:divsChild>
                        <w:div w:id="1999384578">
                          <w:marLeft w:val="0"/>
                          <w:marRight w:val="0"/>
                          <w:marTop w:val="0"/>
                          <w:marBottom w:val="0"/>
                          <w:divBdr>
                            <w:top w:val="none" w:sz="0" w:space="0" w:color="auto"/>
                            <w:left w:val="none" w:sz="0" w:space="0" w:color="auto"/>
                            <w:bottom w:val="none" w:sz="0" w:space="0" w:color="auto"/>
                            <w:right w:val="none" w:sz="0" w:space="0" w:color="auto"/>
                          </w:divBdr>
                          <w:divsChild>
                            <w:div w:id="983200976">
                              <w:marLeft w:val="0"/>
                              <w:marRight w:val="0"/>
                              <w:marTop w:val="0"/>
                              <w:marBottom w:val="0"/>
                              <w:divBdr>
                                <w:top w:val="none" w:sz="0" w:space="0" w:color="auto"/>
                                <w:left w:val="none" w:sz="0" w:space="0" w:color="auto"/>
                                <w:bottom w:val="none" w:sz="0" w:space="0" w:color="auto"/>
                                <w:right w:val="none" w:sz="0" w:space="0" w:color="auto"/>
                              </w:divBdr>
                              <w:divsChild>
                                <w:div w:id="954865534">
                                  <w:marLeft w:val="0"/>
                                  <w:marRight w:val="0"/>
                                  <w:marTop w:val="0"/>
                                  <w:marBottom w:val="0"/>
                                  <w:divBdr>
                                    <w:top w:val="none" w:sz="0" w:space="0" w:color="auto"/>
                                    <w:left w:val="none" w:sz="0" w:space="0" w:color="auto"/>
                                    <w:bottom w:val="none" w:sz="0" w:space="0" w:color="auto"/>
                                    <w:right w:val="none" w:sz="0" w:space="0" w:color="auto"/>
                                  </w:divBdr>
                                  <w:divsChild>
                                    <w:div w:id="174268036">
                                      <w:marLeft w:val="0"/>
                                      <w:marRight w:val="0"/>
                                      <w:marTop w:val="0"/>
                                      <w:marBottom w:val="0"/>
                                      <w:divBdr>
                                        <w:top w:val="none" w:sz="0" w:space="0" w:color="auto"/>
                                        <w:left w:val="none" w:sz="0" w:space="0" w:color="auto"/>
                                        <w:bottom w:val="none" w:sz="0" w:space="0" w:color="auto"/>
                                        <w:right w:val="none" w:sz="0" w:space="0" w:color="auto"/>
                                      </w:divBdr>
                                      <w:divsChild>
                                        <w:div w:id="251013263">
                                          <w:marLeft w:val="0"/>
                                          <w:marRight w:val="165"/>
                                          <w:marTop w:val="150"/>
                                          <w:marBottom w:val="0"/>
                                          <w:divBdr>
                                            <w:top w:val="none" w:sz="0" w:space="0" w:color="auto"/>
                                            <w:left w:val="none" w:sz="0" w:space="0" w:color="auto"/>
                                            <w:bottom w:val="none" w:sz="0" w:space="0" w:color="auto"/>
                                            <w:right w:val="none" w:sz="0" w:space="0" w:color="auto"/>
                                          </w:divBdr>
                                          <w:divsChild>
                                            <w:div w:id="752629117">
                                              <w:marLeft w:val="0"/>
                                              <w:marRight w:val="0"/>
                                              <w:marTop w:val="0"/>
                                              <w:marBottom w:val="0"/>
                                              <w:divBdr>
                                                <w:top w:val="none" w:sz="0" w:space="0" w:color="auto"/>
                                                <w:left w:val="none" w:sz="0" w:space="0" w:color="auto"/>
                                                <w:bottom w:val="none" w:sz="0" w:space="0" w:color="auto"/>
                                                <w:right w:val="none" w:sz="0" w:space="0" w:color="auto"/>
                                              </w:divBdr>
                                              <w:divsChild>
                                                <w:div w:id="151915582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10992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0650962">
      <w:bodyDiv w:val="1"/>
      <w:marLeft w:val="0"/>
      <w:marRight w:val="0"/>
      <w:marTop w:val="0"/>
      <w:marBottom w:val="0"/>
      <w:divBdr>
        <w:top w:val="none" w:sz="0" w:space="0" w:color="auto"/>
        <w:left w:val="none" w:sz="0" w:space="0" w:color="auto"/>
        <w:bottom w:val="none" w:sz="0" w:space="0" w:color="auto"/>
        <w:right w:val="none" w:sz="0" w:space="0" w:color="auto"/>
      </w:divBdr>
      <w:divsChild>
        <w:div w:id="669527086">
          <w:marLeft w:val="0"/>
          <w:marRight w:val="0"/>
          <w:marTop w:val="240"/>
          <w:marBottom w:val="0"/>
          <w:divBdr>
            <w:top w:val="none" w:sz="0" w:space="0" w:color="auto"/>
            <w:left w:val="none" w:sz="0" w:space="0" w:color="auto"/>
            <w:bottom w:val="none" w:sz="0" w:space="0" w:color="auto"/>
            <w:right w:val="none" w:sz="0" w:space="0" w:color="auto"/>
          </w:divBdr>
        </w:div>
        <w:div w:id="1490054903">
          <w:marLeft w:val="0"/>
          <w:marRight w:val="0"/>
          <w:marTop w:val="0"/>
          <w:marBottom w:val="0"/>
          <w:divBdr>
            <w:top w:val="none" w:sz="0" w:space="0" w:color="auto"/>
            <w:left w:val="none" w:sz="0" w:space="0" w:color="auto"/>
            <w:bottom w:val="none" w:sz="0" w:space="0" w:color="auto"/>
            <w:right w:val="none" w:sz="0" w:space="0" w:color="auto"/>
          </w:divBdr>
          <w:divsChild>
            <w:div w:id="1167552565">
              <w:marLeft w:val="0"/>
              <w:marRight w:val="0"/>
              <w:marTop w:val="0"/>
              <w:marBottom w:val="0"/>
              <w:divBdr>
                <w:top w:val="none" w:sz="0" w:space="0" w:color="auto"/>
                <w:left w:val="none" w:sz="0" w:space="0" w:color="auto"/>
                <w:bottom w:val="none" w:sz="0" w:space="0" w:color="auto"/>
                <w:right w:val="none" w:sz="0" w:space="0" w:color="auto"/>
              </w:divBdr>
              <w:divsChild>
                <w:div w:id="875581968">
                  <w:marLeft w:val="0"/>
                  <w:marRight w:val="0"/>
                  <w:marTop w:val="0"/>
                  <w:marBottom w:val="0"/>
                  <w:divBdr>
                    <w:top w:val="none" w:sz="0" w:space="0" w:color="auto"/>
                    <w:left w:val="none" w:sz="0" w:space="0" w:color="auto"/>
                    <w:bottom w:val="none" w:sz="0" w:space="0" w:color="auto"/>
                    <w:right w:val="none" w:sz="0" w:space="0" w:color="auto"/>
                  </w:divBdr>
                  <w:divsChild>
                    <w:div w:id="174420694">
                      <w:marLeft w:val="0"/>
                      <w:marRight w:val="0"/>
                      <w:marTop w:val="0"/>
                      <w:marBottom w:val="0"/>
                      <w:divBdr>
                        <w:top w:val="none" w:sz="0" w:space="0" w:color="auto"/>
                        <w:left w:val="none" w:sz="0" w:space="0" w:color="auto"/>
                        <w:bottom w:val="none" w:sz="0" w:space="0" w:color="auto"/>
                        <w:right w:val="none" w:sz="0" w:space="0" w:color="auto"/>
                      </w:divBdr>
                      <w:divsChild>
                        <w:div w:id="402996525">
                          <w:marLeft w:val="0"/>
                          <w:marRight w:val="0"/>
                          <w:marTop w:val="0"/>
                          <w:marBottom w:val="0"/>
                          <w:divBdr>
                            <w:top w:val="none" w:sz="0" w:space="0" w:color="auto"/>
                            <w:left w:val="none" w:sz="0" w:space="0" w:color="auto"/>
                            <w:bottom w:val="none" w:sz="0" w:space="0" w:color="auto"/>
                            <w:right w:val="none" w:sz="0" w:space="0" w:color="auto"/>
                          </w:divBdr>
                          <w:divsChild>
                            <w:div w:id="1421944438">
                              <w:marLeft w:val="0"/>
                              <w:marRight w:val="0"/>
                              <w:marTop w:val="0"/>
                              <w:marBottom w:val="0"/>
                              <w:divBdr>
                                <w:top w:val="none" w:sz="0" w:space="0" w:color="auto"/>
                                <w:left w:val="none" w:sz="0" w:space="0" w:color="auto"/>
                                <w:bottom w:val="none" w:sz="0" w:space="0" w:color="auto"/>
                                <w:right w:val="none" w:sz="0" w:space="0" w:color="auto"/>
                              </w:divBdr>
                              <w:divsChild>
                                <w:div w:id="862400497">
                                  <w:marLeft w:val="0"/>
                                  <w:marRight w:val="0"/>
                                  <w:marTop w:val="0"/>
                                  <w:marBottom w:val="0"/>
                                  <w:divBdr>
                                    <w:top w:val="none" w:sz="0" w:space="0" w:color="auto"/>
                                    <w:left w:val="none" w:sz="0" w:space="0" w:color="auto"/>
                                    <w:bottom w:val="none" w:sz="0" w:space="0" w:color="auto"/>
                                    <w:right w:val="none" w:sz="0" w:space="0" w:color="auto"/>
                                  </w:divBdr>
                                  <w:divsChild>
                                    <w:div w:id="126046937">
                                      <w:marLeft w:val="0"/>
                                      <w:marRight w:val="0"/>
                                      <w:marTop w:val="0"/>
                                      <w:marBottom w:val="0"/>
                                      <w:divBdr>
                                        <w:top w:val="none" w:sz="0" w:space="0" w:color="auto"/>
                                        <w:left w:val="none" w:sz="0" w:space="0" w:color="auto"/>
                                        <w:bottom w:val="none" w:sz="0" w:space="0" w:color="auto"/>
                                        <w:right w:val="none" w:sz="0" w:space="0" w:color="auto"/>
                                      </w:divBdr>
                                    </w:div>
                                    <w:div w:id="942542343">
                                      <w:marLeft w:val="0"/>
                                      <w:marRight w:val="0"/>
                                      <w:marTop w:val="0"/>
                                      <w:marBottom w:val="0"/>
                                      <w:divBdr>
                                        <w:top w:val="none" w:sz="0" w:space="0" w:color="auto"/>
                                        <w:left w:val="none" w:sz="0" w:space="0" w:color="auto"/>
                                        <w:bottom w:val="none" w:sz="0" w:space="0" w:color="auto"/>
                                        <w:right w:val="none" w:sz="0" w:space="0" w:color="auto"/>
                                      </w:divBdr>
                                      <w:divsChild>
                                        <w:div w:id="537473976">
                                          <w:marLeft w:val="0"/>
                                          <w:marRight w:val="165"/>
                                          <w:marTop w:val="150"/>
                                          <w:marBottom w:val="0"/>
                                          <w:divBdr>
                                            <w:top w:val="none" w:sz="0" w:space="0" w:color="auto"/>
                                            <w:left w:val="none" w:sz="0" w:space="0" w:color="auto"/>
                                            <w:bottom w:val="none" w:sz="0" w:space="0" w:color="auto"/>
                                            <w:right w:val="none" w:sz="0" w:space="0" w:color="auto"/>
                                          </w:divBdr>
                                          <w:divsChild>
                                            <w:div w:id="337931276">
                                              <w:marLeft w:val="0"/>
                                              <w:marRight w:val="0"/>
                                              <w:marTop w:val="0"/>
                                              <w:marBottom w:val="0"/>
                                              <w:divBdr>
                                                <w:top w:val="none" w:sz="0" w:space="0" w:color="auto"/>
                                                <w:left w:val="none" w:sz="0" w:space="0" w:color="auto"/>
                                                <w:bottom w:val="none" w:sz="0" w:space="0" w:color="auto"/>
                                                <w:right w:val="none" w:sz="0" w:space="0" w:color="auto"/>
                                              </w:divBdr>
                                              <w:divsChild>
                                                <w:div w:id="166108208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9271859">
      <w:bodyDiv w:val="1"/>
      <w:marLeft w:val="0"/>
      <w:marRight w:val="0"/>
      <w:marTop w:val="0"/>
      <w:marBottom w:val="0"/>
      <w:divBdr>
        <w:top w:val="none" w:sz="0" w:space="0" w:color="auto"/>
        <w:left w:val="none" w:sz="0" w:space="0" w:color="auto"/>
        <w:bottom w:val="none" w:sz="0" w:space="0" w:color="auto"/>
        <w:right w:val="none" w:sz="0" w:space="0" w:color="auto"/>
      </w:divBdr>
      <w:divsChild>
        <w:div w:id="1101679413">
          <w:marLeft w:val="0"/>
          <w:marRight w:val="0"/>
          <w:marTop w:val="0"/>
          <w:marBottom w:val="0"/>
          <w:divBdr>
            <w:top w:val="none" w:sz="0" w:space="0" w:color="auto"/>
            <w:left w:val="none" w:sz="0" w:space="0" w:color="auto"/>
            <w:bottom w:val="none" w:sz="0" w:space="0" w:color="auto"/>
            <w:right w:val="none" w:sz="0" w:space="0" w:color="auto"/>
          </w:divBdr>
          <w:divsChild>
            <w:div w:id="1138187923">
              <w:marLeft w:val="0"/>
              <w:marRight w:val="0"/>
              <w:marTop w:val="0"/>
              <w:marBottom w:val="0"/>
              <w:divBdr>
                <w:top w:val="none" w:sz="0" w:space="0" w:color="auto"/>
                <w:left w:val="none" w:sz="0" w:space="0" w:color="auto"/>
                <w:bottom w:val="none" w:sz="0" w:space="0" w:color="auto"/>
                <w:right w:val="none" w:sz="0" w:space="0" w:color="auto"/>
              </w:divBdr>
              <w:divsChild>
                <w:div w:id="248777240">
                  <w:marLeft w:val="0"/>
                  <w:marRight w:val="0"/>
                  <w:marTop w:val="0"/>
                  <w:marBottom w:val="0"/>
                  <w:divBdr>
                    <w:top w:val="none" w:sz="0" w:space="0" w:color="auto"/>
                    <w:left w:val="none" w:sz="0" w:space="0" w:color="auto"/>
                    <w:bottom w:val="none" w:sz="0" w:space="0" w:color="auto"/>
                    <w:right w:val="none" w:sz="0" w:space="0" w:color="auto"/>
                  </w:divBdr>
                  <w:divsChild>
                    <w:div w:id="505287505">
                      <w:marLeft w:val="0"/>
                      <w:marRight w:val="0"/>
                      <w:marTop w:val="0"/>
                      <w:marBottom w:val="0"/>
                      <w:divBdr>
                        <w:top w:val="none" w:sz="0" w:space="0" w:color="auto"/>
                        <w:left w:val="none" w:sz="0" w:space="0" w:color="auto"/>
                        <w:bottom w:val="none" w:sz="0" w:space="0" w:color="auto"/>
                        <w:right w:val="none" w:sz="0" w:space="0" w:color="auto"/>
                      </w:divBdr>
                      <w:divsChild>
                        <w:div w:id="548415078">
                          <w:marLeft w:val="0"/>
                          <w:marRight w:val="0"/>
                          <w:marTop w:val="0"/>
                          <w:marBottom w:val="0"/>
                          <w:divBdr>
                            <w:top w:val="none" w:sz="0" w:space="0" w:color="auto"/>
                            <w:left w:val="none" w:sz="0" w:space="0" w:color="auto"/>
                            <w:bottom w:val="none" w:sz="0" w:space="0" w:color="auto"/>
                            <w:right w:val="none" w:sz="0" w:space="0" w:color="auto"/>
                          </w:divBdr>
                          <w:divsChild>
                            <w:div w:id="396976923">
                              <w:marLeft w:val="0"/>
                              <w:marRight w:val="0"/>
                              <w:marTop w:val="0"/>
                              <w:marBottom w:val="0"/>
                              <w:divBdr>
                                <w:top w:val="none" w:sz="0" w:space="0" w:color="auto"/>
                                <w:left w:val="none" w:sz="0" w:space="0" w:color="auto"/>
                                <w:bottom w:val="none" w:sz="0" w:space="0" w:color="auto"/>
                                <w:right w:val="none" w:sz="0" w:space="0" w:color="auto"/>
                              </w:divBdr>
                              <w:divsChild>
                                <w:div w:id="706952914">
                                  <w:marLeft w:val="0"/>
                                  <w:marRight w:val="0"/>
                                  <w:marTop w:val="0"/>
                                  <w:marBottom w:val="0"/>
                                  <w:divBdr>
                                    <w:top w:val="none" w:sz="0" w:space="0" w:color="auto"/>
                                    <w:left w:val="none" w:sz="0" w:space="0" w:color="auto"/>
                                    <w:bottom w:val="none" w:sz="0" w:space="0" w:color="auto"/>
                                    <w:right w:val="none" w:sz="0" w:space="0" w:color="auto"/>
                                  </w:divBdr>
                                  <w:divsChild>
                                    <w:div w:id="371619288">
                                      <w:marLeft w:val="0"/>
                                      <w:marRight w:val="0"/>
                                      <w:marTop w:val="0"/>
                                      <w:marBottom w:val="0"/>
                                      <w:divBdr>
                                        <w:top w:val="none" w:sz="0" w:space="0" w:color="auto"/>
                                        <w:left w:val="none" w:sz="0" w:space="0" w:color="auto"/>
                                        <w:bottom w:val="none" w:sz="0" w:space="0" w:color="auto"/>
                                        <w:right w:val="none" w:sz="0" w:space="0" w:color="auto"/>
                                      </w:divBdr>
                                    </w:div>
                                    <w:div w:id="546649029">
                                      <w:marLeft w:val="0"/>
                                      <w:marRight w:val="0"/>
                                      <w:marTop w:val="0"/>
                                      <w:marBottom w:val="0"/>
                                      <w:divBdr>
                                        <w:top w:val="none" w:sz="0" w:space="0" w:color="auto"/>
                                        <w:left w:val="none" w:sz="0" w:space="0" w:color="auto"/>
                                        <w:bottom w:val="none" w:sz="0" w:space="0" w:color="auto"/>
                                        <w:right w:val="none" w:sz="0" w:space="0" w:color="auto"/>
                                      </w:divBdr>
                                      <w:divsChild>
                                        <w:div w:id="18095223">
                                          <w:marLeft w:val="0"/>
                                          <w:marRight w:val="165"/>
                                          <w:marTop w:val="150"/>
                                          <w:marBottom w:val="0"/>
                                          <w:divBdr>
                                            <w:top w:val="none" w:sz="0" w:space="0" w:color="auto"/>
                                            <w:left w:val="none" w:sz="0" w:space="0" w:color="auto"/>
                                            <w:bottom w:val="none" w:sz="0" w:space="0" w:color="auto"/>
                                            <w:right w:val="none" w:sz="0" w:space="0" w:color="auto"/>
                                          </w:divBdr>
                                          <w:divsChild>
                                            <w:div w:id="620656">
                                              <w:marLeft w:val="0"/>
                                              <w:marRight w:val="0"/>
                                              <w:marTop w:val="0"/>
                                              <w:marBottom w:val="0"/>
                                              <w:divBdr>
                                                <w:top w:val="none" w:sz="0" w:space="0" w:color="auto"/>
                                                <w:left w:val="none" w:sz="0" w:space="0" w:color="auto"/>
                                                <w:bottom w:val="none" w:sz="0" w:space="0" w:color="auto"/>
                                                <w:right w:val="none" w:sz="0" w:space="0" w:color="auto"/>
                                              </w:divBdr>
                                              <w:divsChild>
                                                <w:div w:id="30736400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260865">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58AA84-8E43-481E-9E6F-CD8130823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17302</Words>
  <Characters>92223</Characters>
  <Application>Microsoft Office Word</Application>
  <DocSecurity>0</DocSecurity>
  <Lines>1418</Lines>
  <Paragraphs>313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109212</CharactersWithSpaces>
  <SharedDoc>false</SharedDoc>
  <HLinks>
    <vt:vector size="162" baseType="variant">
      <vt:variant>
        <vt:i4>1966138</vt:i4>
      </vt:variant>
      <vt:variant>
        <vt:i4>158</vt:i4>
      </vt:variant>
      <vt:variant>
        <vt:i4>0</vt:i4>
      </vt:variant>
      <vt:variant>
        <vt:i4>5</vt:i4>
      </vt:variant>
      <vt:variant>
        <vt:lpwstr/>
      </vt:variant>
      <vt:variant>
        <vt:lpwstr>_Toc90117850</vt:lpwstr>
      </vt:variant>
      <vt:variant>
        <vt:i4>1507387</vt:i4>
      </vt:variant>
      <vt:variant>
        <vt:i4>152</vt:i4>
      </vt:variant>
      <vt:variant>
        <vt:i4>0</vt:i4>
      </vt:variant>
      <vt:variant>
        <vt:i4>5</vt:i4>
      </vt:variant>
      <vt:variant>
        <vt:lpwstr/>
      </vt:variant>
      <vt:variant>
        <vt:lpwstr>_Toc90117849</vt:lpwstr>
      </vt:variant>
      <vt:variant>
        <vt:i4>1441851</vt:i4>
      </vt:variant>
      <vt:variant>
        <vt:i4>146</vt:i4>
      </vt:variant>
      <vt:variant>
        <vt:i4>0</vt:i4>
      </vt:variant>
      <vt:variant>
        <vt:i4>5</vt:i4>
      </vt:variant>
      <vt:variant>
        <vt:lpwstr/>
      </vt:variant>
      <vt:variant>
        <vt:lpwstr>_Toc90117848</vt:lpwstr>
      </vt:variant>
      <vt:variant>
        <vt:i4>1638459</vt:i4>
      </vt:variant>
      <vt:variant>
        <vt:i4>140</vt:i4>
      </vt:variant>
      <vt:variant>
        <vt:i4>0</vt:i4>
      </vt:variant>
      <vt:variant>
        <vt:i4>5</vt:i4>
      </vt:variant>
      <vt:variant>
        <vt:lpwstr/>
      </vt:variant>
      <vt:variant>
        <vt:lpwstr>_Toc90117847</vt:lpwstr>
      </vt:variant>
      <vt:variant>
        <vt:i4>1572923</vt:i4>
      </vt:variant>
      <vt:variant>
        <vt:i4>134</vt:i4>
      </vt:variant>
      <vt:variant>
        <vt:i4>0</vt:i4>
      </vt:variant>
      <vt:variant>
        <vt:i4>5</vt:i4>
      </vt:variant>
      <vt:variant>
        <vt:lpwstr/>
      </vt:variant>
      <vt:variant>
        <vt:lpwstr>_Toc90117846</vt:lpwstr>
      </vt:variant>
      <vt:variant>
        <vt:i4>1769531</vt:i4>
      </vt:variant>
      <vt:variant>
        <vt:i4>128</vt:i4>
      </vt:variant>
      <vt:variant>
        <vt:i4>0</vt:i4>
      </vt:variant>
      <vt:variant>
        <vt:i4>5</vt:i4>
      </vt:variant>
      <vt:variant>
        <vt:lpwstr/>
      </vt:variant>
      <vt:variant>
        <vt:lpwstr>_Toc90117845</vt:lpwstr>
      </vt:variant>
      <vt:variant>
        <vt:i4>1703995</vt:i4>
      </vt:variant>
      <vt:variant>
        <vt:i4>122</vt:i4>
      </vt:variant>
      <vt:variant>
        <vt:i4>0</vt:i4>
      </vt:variant>
      <vt:variant>
        <vt:i4>5</vt:i4>
      </vt:variant>
      <vt:variant>
        <vt:lpwstr/>
      </vt:variant>
      <vt:variant>
        <vt:lpwstr>_Toc90117844</vt:lpwstr>
      </vt:variant>
      <vt:variant>
        <vt:i4>1900603</vt:i4>
      </vt:variant>
      <vt:variant>
        <vt:i4>116</vt:i4>
      </vt:variant>
      <vt:variant>
        <vt:i4>0</vt:i4>
      </vt:variant>
      <vt:variant>
        <vt:i4>5</vt:i4>
      </vt:variant>
      <vt:variant>
        <vt:lpwstr/>
      </vt:variant>
      <vt:variant>
        <vt:lpwstr>_Toc90117843</vt:lpwstr>
      </vt:variant>
      <vt:variant>
        <vt:i4>1835067</vt:i4>
      </vt:variant>
      <vt:variant>
        <vt:i4>110</vt:i4>
      </vt:variant>
      <vt:variant>
        <vt:i4>0</vt:i4>
      </vt:variant>
      <vt:variant>
        <vt:i4>5</vt:i4>
      </vt:variant>
      <vt:variant>
        <vt:lpwstr/>
      </vt:variant>
      <vt:variant>
        <vt:lpwstr>_Toc90117842</vt:lpwstr>
      </vt:variant>
      <vt:variant>
        <vt:i4>2031675</vt:i4>
      </vt:variant>
      <vt:variant>
        <vt:i4>104</vt:i4>
      </vt:variant>
      <vt:variant>
        <vt:i4>0</vt:i4>
      </vt:variant>
      <vt:variant>
        <vt:i4>5</vt:i4>
      </vt:variant>
      <vt:variant>
        <vt:lpwstr/>
      </vt:variant>
      <vt:variant>
        <vt:lpwstr>_Toc90117841</vt:lpwstr>
      </vt:variant>
      <vt:variant>
        <vt:i4>1966139</vt:i4>
      </vt:variant>
      <vt:variant>
        <vt:i4>98</vt:i4>
      </vt:variant>
      <vt:variant>
        <vt:i4>0</vt:i4>
      </vt:variant>
      <vt:variant>
        <vt:i4>5</vt:i4>
      </vt:variant>
      <vt:variant>
        <vt:lpwstr/>
      </vt:variant>
      <vt:variant>
        <vt:lpwstr>_Toc90117840</vt:lpwstr>
      </vt:variant>
      <vt:variant>
        <vt:i4>1507388</vt:i4>
      </vt:variant>
      <vt:variant>
        <vt:i4>92</vt:i4>
      </vt:variant>
      <vt:variant>
        <vt:i4>0</vt:i4>
      </vt:variant>
      <vt:variant>
        <vt:i4>5</vt:i4>
      </vt:variant>
      <vt:variant>
        <vt:lpwstr/>
      </vt:variant>
      <vt:variant>
        <vt:lpwstr>_Toc90117839</vt:lpwstr>
      </vt:variant>
      <vt:variant>
        <vt:i4>1441852</vt:i4>
      </vt:variant>
      <vt:variant>
        <vt:i4>86</vt:i4>
      </vt:variant>
      <vt:variant>
        <vt:i4>0</vt:i4>
      </vt:variant>
      <vt:variant>
        <vt:i4>5</vt:i4>
      </vt:variant>
      <vt:variant>
        <vt:lpwstr/>
      </vt:variant>
      <vt:variant>
        <vt:lpwstr>_Toc90117838</vt:lpwstr>
      </vt:variant>
      <vt:variant>
        <vt:i4>1638460</vt:i4>
      </vt:variant>
      <vt:variant>
        <vt:i4>80</vt:i4>
      </vt:variant>
      <vt:variant>
        <vt:i4>0</vt:i4>
      </vt:variant>
      <vt:variant>
        <vt:i4>5</vt:i4>
      </vt:variant>
      <vt:variant>
        <vt:lpwstr/>
      </vt:variant>
      <vt:variant>
        <vt:lpwstr>_Toc90117837</vt:lpwstr>
      </vt:variant>
      <vt:variant>
        <vt:i4>1572924</vt:i4>
      </vt:variant>
      <vt:variant>
        <vt:i4>74</vt:i4>
      </vt:variant>
      <vt:variant>
        <vt:i4>0</vt:i4>
      </vt:variant>
      <vt:variant>
        <vt:i4>5</vt:i4>
      </vt:variant>
      <vt:variant>
        <vt:lpwstr/>
      </vt:variant>
      <vt:variant>
        <vt:lpwstr>_Toc90117836</vt:lpwstr>
      </vt:variant>
      <vt:variant>
        <vt:i4>1769532</vt:i4>
      </vt:variant>
      <vt:variant>
        <vt:i4>68</vt:i4>
      </vt:variant>
      <vt:variant>
        <vt:i4>0</vt:i4>
      </vt:variant>
      <vt:variant>
        <vt:i4>5</vt:i4>
      </vt:variant>
      <vt:variant>
        <vt:lpwstr/>
      </vt:variant>
      <vt:variant>
        <vt:lpwstr>_Toc90117835</vt:lpwstr>
      </vt:variant>
      <vt:variant>
        <vt:i4>1703996</vt:i4>
      </vt:variant>
      <vt:variant>
        <vt:i4>62</vt:i4>
      </vt:variant>
      <vt:variant>
        <vt:i4>0</vt:i4>
      </vt:variant>
      <vt:variant>
        <vt:i4>5</vt:i4>
      </vt:variant>
      <vt:variant>
        <vt:lpwstr/>
      </vt:variant>
      <vt:variant>
        <vt:lpwstr>_Toc90117834</vt:lpwstr>
      </vt:variant>
      <vt:variant>
        <vt:i4>1900604</vt:i4>
      </vt:variant>
      <vt:variant>
        <vt:i4>56</vt:i4>
      </vt:variant>
      <vt:variant>
        <vt:i4>0</vt:i4>
      </vt:variant>
      <vt:variant>
        <vt:i4>5</vt:i4>
      </vt:variant>
      <vt:variant>
        <vt:lpwstr/>
      </vt:variant>
      <vt:variant>
        <vt:lpwstr>_Toc90117833</vt:lpwstr>
      </vt:variant>
      <vt:variant>
        <vt:i4>1835068</vt:i4>
      </vt:variant>
      <vt:variant>
        <vt:i4>50</vt:i4>
      </vt:variant>
      <vt:variant>
        <vt:i4>0</vt:i4>
      </vt:variant>
      <vt:variant>
        <vt:i4>5</vt:i4>
      </vt:variant>
      <vt:variant>
        <vt:lpwstr/>
      </vt:variant>
      <vt:variant>
        <vt:lpwstr>_Toc90117832</vt:lpwstr>
      </vt:variant>
      <vt:variant>
        <vt:i4>2031676</vt:i4>
      </vt:variant>
      <vt:variant>
        <vt:i4>44</vt:i4>
      </vt:variant>
      <vt:variant>
        <vt:i4>0</vt:i4>
      </vt:variant>
      <vt:variant>
        <vt:i4>5</vt:i4>
      </vt:variant>
      <vt:variant>
        <vt:lpwstr/>
      </vt:variant>
      <vt:variant>
        <vt:lpwstr>_Toc90117831</vt:lpwstr>
      </vt:variant>
      <vt:variant>
        <vt:i4>1966140</vt:i4>
      </vt:variant>
      <vt:variant>
        <vt:i4>38</vt:i4>
      </vt:variant>
      <vt:variant>
        <vt:i4>0</vt:i4>
      </vt:variant>
      <vt:variant>
        <vt:i4>5</vt:i4>
      </vt:variant>
      <vt:variant>
        <vt:lpwstr/>
      </vt:variant>
      <vt:variant>
        <vt:lpwstr>_Toc90117830</vt:lpwstr>
      </vt:variant>
      <vt:variant>
        <vt:i4>1507389</vt:i4>
      </vt:variant>
      <vt:variant>
        <vt:i4>32</vt:i4>
      </vt:variant>
      <vt:variant>
        <vt:i4>0</vt:i4>
      </vt:variant>
      <vt:variant>
        <vt:i4>5</vt:i4>
      </vt:variant>
      <vt:variant>
        <vt:lpwstr/>
      </vt:variant>
      <vt:variant>
        <vt:lpwstr>_Toc90117829</vt:lpwstr>
      </vt:variant>
      <vt:variant>
        <vt:i4>1441853</vt:i4>
      </vt:variant>
      <vt:variant>
        <vt:i4>26</vt:i4>
      </vt:variant>
      <vt:variant>
        <vt:i4>0</vt:i4>
      </vt:variant>
      <vt:variant>
        <vt:i4>5</vt:i4>
      </vt:variant>
      <vt:variant>
        <vt:lpwstr/>
      </vt:variant>
      <vt:variant>
        <vt:lpwstr>_Toc90117828</vt:lpwstr>
      </vt:variant>
      <vt:variant>
        <vt:i4>1638461</vt:i4>
      </vt:variant>
      <vt:variant>
        <vt:i4>20</vt:i4>
      </vt:variant>
      <vt:variant>
        <vt:i4>0</vt:i4>
      </vt:variant>
      <vt:variant>
        <vt:i4>5</vt:i4>
      </vt:variant>
      <vt:variant>
        <vt:lpwstr/>
      </vt:variant>
      <vt:variant>
        <vt:lpwstr>_Toc90117827</vt:lpwstr>
      </vt:variant>
      <vt:variant>
        <vt:i4>1572925</vt:i4>
      </vt:variant>
      <vt:variant>
        <vt:i4>14</vt:i4>
      </vt:variant>
      <vt:variant>
        <vt:i4>0</vt:i4>
      </vt:variant>
      <vt:variant>
        <vt:i4>5</vt:i4>
      </vt:variant>
      <vt:variant>
        <vt:lpwstr/>
      </vt:variant>
      <vt:variant>
        <vt:lpwstr>_Toc90117826</vt:lpwstr>
      </vt:variant>
      <vt:variant>
        <vt:i4>1769533</vt:i4>
      </vt:variant>
      <vt:variant>
        <vt:i4>8</vt:i4>
      </vt:variant>
      <vt:variant>
        <vt:i4>0</vt:i4>
      </vt:variant>
      <vt:variant>
        <vt:i4>5</vt:i4>
      </vt:variant>
      <vt:variant>
        <vt:lpwstr/>
      </vt:variant>
      <vt:variant>
        <vt:lpwstr>_Toc90117825</vt:lpwstr>
      </vt:variant>
      <vt:variant>
        <vt:i4>1703997</vt:i4>
      </vt:variant>
      <vt:variant>
        <vt:i4>2</vt:i4>
      </vt:variant>
      <vt:variant>
        <vt:i4>0</vt:i4>
      </vt:variant>
      <vt:variant>
        <vt:i4>5</vt:i4>
      </vt:variant>
      <vt:variant>
        <vt:lpwstr/>
      </vt:variant>
      <vt:variant>
        <vt:lpwstr>_Toc90117824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456/21</dc:title>
  <dc:subject/>
  <dc:creator/>
  <cp:keywords/>
  <cp:lastModifiedBy/>
  <cp:revision>1</cp:revision>
  <dcterms:created xsi:type="dcterms:W3CDTF">2022-04-04T18:23:00Z</dcterms:created>
  <dcterms:modified xsi:type="dcterms:W3CDTF">2022-04-04T18:23:00Z</dcterms:modified>
</cp:coreProperties>
</file>