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2987" w14:textId="77777777" w:rsidR="00040C3A" w:rsidRPr="009D1E2F" w:rsidRDefault="00F452F9" w:rsidP="00817426">
      <w:pPr>
        <w:jc w:val="both"/>
        <w:rPr>
          <w:rFonts w:asciiTheme="majorHAnsi" w:hAnsiTheme="majorHAnsi" w:cs="Univers"/>
          <w:b/>
          <w:bCs/>
          <w:sz w:val="22"/>
          <w:szCs w:val="22"/>
          <w:lang w:val="es-ES"/>
        </w:rPr>
      </w:pPr>
      <w:r w:rsidRPr="00543B17">
        <w:rPr>
          <w:rFonts w:asciiTheme="majorHAnsi" w:hAnsiTheme="majorHAnsi"/>
          <w:noProof/>
          <w:sz w:val="22"/>
          <w:szCs w:val="22"/>
        </w:rPr>
        <mc:AlternateContent>
          <mc:Choice Requires="wps">
            <w:drawing>
              <wp:anchor distT="0" distB="0" distL="114300" distR="114300" simplePos="0" relativeHeight="251688960" behindDoc="1" locked="0" layoutInCell="1" allowOverlap="1" wp14:anchorId="43594B76" wp14:editId="53B0C981">
                <wp:simplePos x="0" y="0"/>
                <wp:positionH relativeFrom="column">
                  <wp:posOffset>-533400</wp:posOffset>
                </wp:positionH>
                <wp:positionV relativeFrom="paragraph">
                  <wp:posOffset>-371475</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10FBE" id="Rectangle 1" o:spid="_x0000_s1026" style="position:absolute;margin-left:-42pt;margin-top:-29.25pt;width:121.5pt;height:71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" fillcolor="#4a7194" stroked="f" strokeweight="2pt"/>
            </w:pict>
          </mc:Fallback>
        </mc:AlternateContent>
      </w:r>
      <w:r w:rsidR="00083E3C" w:rsidRPr="009D1E2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2F3952" wp14:editId="6EB6E85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04CC4" w14:textId="77777777" w:rsidR="00B30ED6" w:rsidRDefault="00B30ED6">
                            <w:r>
                              <w:t xml:space="preserve"> </w:t>
                            </w:r>
                            <w:r>
                              <w:rPr>
                                <w:noProof/>
                              </w:rPr>
                              <w:drawing>
                                <wp:inline distT="0" distB="0" distL="0" distR="0" wp14:anchorId="4CD52F8E" wp14:editId="298E3D58">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395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" filled="f" stroked="f" strokeweight=".5pt">
                <v:textbox>
                  <w:txbxContent>
                    <w:p w14:paraId="2DE04CC4" w14:textId="77777777" w:rsidR="00B30ED6" w:rsidRDefault="00B30ED6">
                      <w:r>
                        <w:t xml:space="preserve"> </w:t>
                      </w:r>
                      <w:r>
                        <w:rPr>
                          <w:noProof/>
                        </w:rPr>
                        <w:drawing>
                          <wp:inline distT="0" distB="0" distL="0" distR="0" wp14:anchorId="4CD52F8E" wp14:editId="298E3D58">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5913E713" w14:textId="77777777" w:rsidR="00040C3A" w:rsidRPr="009D1E2F" w:rsidRDefault="00040C3A" w:rsidP="00817426">
      <w:pPr>
        <w:tabs>
          <w:tab w:val="center" w:pos="5400"/>
        </w:tabs>
        <w:suppressAutoHyphens/>
        <w:jc w:val="both"/>
        <w:rPr>
          <w:rFonts w:asciiTheme="majorHAnsi" w:hAnsiTheme="majorHAnsi"/>
          <w:sz w:val="22"/>
          <w:szCs w:val="22"/>
          <w:lang w:val="es-ES"/>
        </w:rPr>
      </w:pPr>
    </w:p>
    <w:p w14:paraId="6B94A53B" w14:textId="77777777" w:rsidR="00040C3A" w:rsidRPr="009D1E2F" w:rsidRDefault="00040C3A" w:rsidP="00817426">
      <w:pPr>
        <w:tabs>
          <w:tab w:val="center" w:pos="5400"/>
        </w:tabs>
        <w:suppressAutoHyphens/>
        <w:jc w:val="both"/>
        <w:rPr>
          <w:rFonts w:asciiTheme="majorHAnsi" w:hAnsiTheme="majorHAnsi"/>
          <w:sz w:val="22"/>
          <w:szCs w:val="22"/>
          <w:lang w:val="es-ES"/>
        </w:rPr>
      </w:pPr>
    </w:p>
    <w:p w14:paraId="4093C6C3" w14:textId="77777777" w:rsidR="005128E4" w:rsidRPr="009D1E2F" w:rsidRDefault="005128E4" w:rsidP="00817426">
      <w:pPr>
        <w:tabs>
          <w:tab w:val="center" w:pos="5400"/>
        </w:tabs>
        <w:suppressAutoHyphens/>
        <w:rPr>
          <w:rFonts w:asciiTheme="majorHAnsi" w:hAnsiTheme="majorHAnsi"/>
          <w:sz w:val="22"/>
          <w:szCs w:val="22"/>
          <w:lang w:val="es-ES"/>
        </w:rPr>
      </w:pPr>
    </w:p>
    <w:p w14:paraId="003D0A46" w14:textId="77777777" w:rsidR="005128E4" w:rsidRPr="009D1E2F" w:rsidRDefault="005128E4" w:rsidP="00817426">
      <w:pPr>
        <w:tabs>
          <w:tab w:val="center" w:pos="5400"/>
        </w:tabs>
        <w:suppressAutoHyphens/>
        <w:rPr>
          <w:rFonts w:asciiTheme="majorHAnsi" w:hAnsiTheme="majorHAnsi"/>
          <w:sz w:val="22"/>
          <w:szCs w:val="22"/>
          <w:lang w:val="es-ES"/>
        </w:rPr>
      </w:pPr>
    </w:p>
    <w:p w14:paraId="40BFD454" w14:textId="77777777" w:rsidR="005128E4" w:rsidRPr="009D1E2F" w:rsidRDefault="005128E4" w:rsidP="00817426">
      <w:pPr>
        <w:tabs>
          <w:tab w:val="center" w:pos="5400"/>
        </w:tabs>
        <w:suppressAutoHyphens/>
        <w:rPr>
          <w:rFonts w:asciiTheme="majorHAnsi" w:hAnsiTheme="majorHAnsi"/>
          <w:sz w:val="22"/>
          <w:szCs w:val="22"/>
          <w:lang w:val="es-ES"/>
        </w:rPr>
      </w:pPr>
    </w:p>
    <w:p w14:paraId="1A417D80"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5D785756" w14:textId="77777777" w:rsidR="00040C3A" w:rsidRPr="009D1E2F" w:rsidRDefault="00083E3C" w:rsidP="00817426">
      <w:pPr>
        <w:tabs>
          <w:tab w:val="center" w:pos="5400"/>
        </w:tabs>
        <w:suppressAutoHyphens/>
        <w:jc w:val="center"/>
        <w:rPr>
          <w:rFonts w:asciiTheme="majorHAnsi" w:hAnsiTheme="majorHAnsi"/>
          <w:sz w:val="22"/>
          <w:szCs w:val="22"/>
          <w:lang w:val="es-ES"/>
        </w:rPr>
      </w:pPr>
      <w:r w:rsidRPr="009D1E2F">
        <w:rPr>
          <w:rFonts w:asciiTheme="majorHAnsi" w:hAnsiTheme="majorHAnsi"/>
          <w:noProof/>
          <w:sz w:val="22"/>
          <w:szCs w:val="22"/>
        </w:rPr>
        <mc:AlternateContent>
          <mc:Choice Requires="wps">
            <w:drawing>
              <wp:anchor distT="0" distB="0" distL="114300" distR="114300" simplePos="0" relativeHeight="251649536" behindDoc="0" locked="0" layoutInCell="1" allowOverlap="1" wp14:anchorId="79FD0F00" wp14:editId="7C355D52">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D8081"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34578B30"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1D837E5E"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58938C07"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2F6FC501" w14:textId="41EEE43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r w:rsidRPr="000D641D">
                              <w:rPr>
                                <w:rFonts w:asciiTheme="majorHAnsi" w:hAnsiTheme="majorHAnsi" w:cs="Arial"/>
                                <w:b/>
                                <w:bCs/>
                                <w:color w:val="0D0D0D" w:themeColor="text1" w:themeTint="F2"/>
                                <w:sz w:val="36"/>
                                <w:szCs w:val="40"/>
                                <w:lang w:val="es-ES"/>
                              </w:rPr>
                              <w:t xml:space="preserve">INFORME No. </w:t>
                            </w:r>
                            <w:r w:rsidR="00D457AE">
                              <w:rPr>
                                <w:rFonts w:asciiTheme="majorHAnsi" w:hAnsiTheme="majorHAnsi" w:cs="Arial"/>
                                <w:b/>
                                <w:bCs/>
                                <w:color w:val="0D0D0D" w:themeColor="text1" w:themeTint="F2"/>
                                <w:sz w:val="36"/>
                                <w:szCs w:val="40"/>
                                <w:lang w:val="es-ES"/>
                              </w:rPr>
                              <w:t>462</w:t>
                            </w:r>
                            <w:r w:rsidRPr="000D641D">
                              <w:rPr>
                                <w:rFonts w:asciiTheme="majorHAnsi" w:hAnsiTheme="majorHAnsi" w:cs="Arial"/>
                                <w:b/>
                                <w:bCs/>
                                <w:color w:val="0D0D0D" w:themeColor="text1" w:themeTint="F2"/>
                                <w:sz w:val="36"/>
                                <w:szCs w:val="40"/>
                                <w:lang w:val="es-ES"/>
                              </w:rPr>
                              <w:t>/</w:t>
                            </w:r>
                            <w:r>
                              <w:rPr>
                                <w:rFonts w:asciiTheme="majorHAnsi" w:hAnsiTheme="majorHAnsi" w:cs="Arial"/>
                                <w:b/>
                                <w:bCs/>
                                <w:color w:val="0D0D0D" w:themeColor="text1" w:themeTint="F2"/>
                                <w:sz w:val="36"/>
                                <w:szCs w:val="40"/>
                                <w:lang w:val="es-ES"/>
                              </w:rPr>
                              <w:t>21</w:t>
                            </w:r>
                          </w:p>
                          <w:p w14:paraId="6DE596BF"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r w:rsidRPr="000D641D">
                              <w:rPr>
                                <w:rFonts w:asciiTheme="majorHAnsi" w:hAnsiTheme="majorHAnsi" w:cs="Arial"/>
                                <w:b/>
                                <w:bCs/>
                                <w:color w:val="0D0D0D" w:themeColor="text1" w:themeTint="F2"/>
                                <w:sz w:val="36"/>
                                <w:szCs w:val="40"/>
                                <w:lang w:val="es-ES"/>
                              </w:rPr>
                              <w:t>CASO 12.505</w:t>
                            </w:r>
                          </w:p>
                          <w:p w14:paraId="1BD4FFFF" w14:textId="079591A6" w:rsidR="00B30ED6" w:rsidRPr="000D641D" w:rsidRDefault="00B30ED6" w:rsidP="00F45EBF">
                            <w:pPr>
                              <w:spacing w:line="276" w:lineRule="auto"/>
                              <w:rPr>
                                <w:rFonts w:asciiTheme="majorHAnsi" w:hAnsiTheme="majorHAnsi" w:cs="Arial"/>
                                <w:color w:val="0D0D0D" w:themeColor="text1" w:themeTint="F2"/>
                                <w:szCs w:val="22"/>
                                <w:lang w:val="es-ES"/>
                              </w:rPr>
                            </w:pPr>
                            <w:r w:rsidRPr="000D641D">
                              <w:rPr>
                                <w:rFonts w:asciiTheme="majorHAnsi" w:hAnsiTheme="majorHAnsi" w:cs="Arial"/>
                                <w:color w:val="0D0D0D" w:themeColor="text1" w:themeTint="F2"/>
                                <w:szCs w:val="22"/>
                                <w:lang w:val="es-ES"/>
                              </w:rPr>
                              <w:t xml:space="preserve">INFORME DE FONDO </w:t>
                            </w:r>
                            <w:r>
                              <w:rPr>
                                <w:rFonts w:asciiTheme="majorHAnsi" w:hAnsiTheme="majorHAnsi" w:cs="Arial"/>
                                <w:color w:val="0D0D0D" w:themeColor="text1" w:themeTint="F2"/>
                                <w:szCs w:val="22"/>
                                <w:lang w:val="es-ES"/>
                              </w:rPr>
                              <w:t>(</w:t>
                            </w:r>
                            <w:r w:rsidR="00081633" w:rsidRPr="00D457AE">
                              <w:rPr>
                                <w:rFonts w:asciiTheme="majorHAnsi" w:hAnsiTheme="majorHAnsi" w:cs="Arial"/>
                                <w:color w:val="0D0D0D" w:themeColor="text1" w:themeTint="F2"/>
                                <w:szCs w:val="22"/>
                                <w:lang w:val="es-ES"/>
                              </w:rPr>
                              <w:t>PUBLICACI</w:t>
                            </w:r>
                            <w:r w:rsidR="00D457AE" w:rsidRPr="00D457AE">
                              <w:rPr>
                                <w:rFonts w:asciiTheme="majorHAnsi" w:hAnsiTheme="majorHAnsi" w:cs="Arial"/>
                                <w:color w:val="0D0D0D" w:themeColor="text1" w:themeTint="F2"/>
                                <w:szCs w:val="22"/>
                                <w:lang w:val="es-ES"/>
                              </w:rPr>
                              <w:t>Ó</w:t>
                            </w:r>
                            <w:r w:rsidR="00081633" w:rsidRPr="00D457AE">
                              <w:rPr>
                                <w:rFonts w:asciiTheme="majorHAnsi" w:hAnsiTheme="majorHAnsi" w:cs="Arial"/>
                                <w:color w:val="0D0D0D" w:themeColor="text1" w:themeTint="F2"/>
                                <w:szCs w:val="22"/>
                                <w:lang w:val="es-ES"/>
                              </w:rPr>
                              <w:t>N</w:t>
                            </w:r>
                            <w:r>
                              <w:rPr>
                                <w:rFonts w:asciiTheme="majorHAnsi" w:hAnsiTheme="majorHAnsi" w:cs="Arial"/>
                                <w:color w:val="0D0D0D" w:themeColor="text1" w:themeTint="F2"/>
                                <w:szCs w:val="22"/>
                                <w:lang w:val="es-ES"/>
                              </w:rPr>
                              <w:t>)</w:t>
                            </w:r>
                          </w:p>
                          <w:p w14:paraId="556D8E9C" w14:textId="77777777" w:rsidR="00B30ED6" w:rsidRPr="000D641D" w:rsidRDefault="00B30ED6" w:rsidP="004B7EB6">
                            <w:pPr>
                              <w:spacing w:line="276" w:lineRule="auto"/>
                              <w:rPr>
                                <w:rFonts w:asciiTheme="majorHAnsi" w:hAnsiTheme="majorHAnsi" w:cs="Arial"/>
                                <w:color w:val="0D0D0D" w:themeColor="text1" w:themeTint="F2"/>
                                <w:szCs w:val="22"/>
                                <w:lang w:val="es-ES"/>
                              </w:rPr>
                            </w:pPr>
                          </w:p>
                          <w:p w14:paraId="6704E09E" w14:textId="77777777" w:rsidR="00B30ED6" w:rsidRPr="000D641D" w:rsidRDefault="00B30ED6" w:rsidP="00191F07">
                            <w:pPr>
                              <w:pStyle w:val="Body"/>
                              <w:suppressAutoHyphens/>
                              <w:rPr>
                                <w:rFonts w:ascii="Cambria" w:eastAsia="Cambria" w:hAnsi="Cambria" w:cs="Cambria"/>
                                <w:lang w:val="es-ES"/>
                              </w:rPr>
                            </w:pPr>
                            <w:r w:rsidRPr="000D641D">
                              <w:rPr>
                                <w:rFonts w:ascii="Cambria" w:eastAsia="Cambria" w:hAnsi="Cambria" w:cs="Cambria"/>
                                <w:lang w:val="es-ES"/>
                              </w:rPr>
                              <w:t>MARLIN GRAY</w:t>
                            </w:r>
                          </w:p>
                          <w:p w14:paraId="412A0775" w14:textId="77777777" w:rsidR="00B30ED6" w:rsidRPr="000D641D" w:rsidRDefault="00B30ED6" w:rsidP="004B7EB6">
                            <w:pPr>
                              <w:spacing w:line="276" w:lineRule="auto"/>
                              <w:rPr>
                                <w:rFonts w:asciiTheme="majorHAnsi" w:hAnsiTheme="majorHAnsi" w:cs="Arial"/>
                                <w:color w:val="0D0D0D" w:themeColor="text1" w:themeTint="F2"/>
                                <w:szCs w:val="22"/>
                                <w:lang w:val="es-ES"/>
                              </w:rPr>
                            </w:pPr>
                            <w:r w:rsidRPr="000D641D">
                              <w:rPr>
                                <w:rFonts w:asciiTheme="majorHAnsi" w:hAnsiTheme="majorHAnsi" w:cs="Arial"/>
                                <w:color w:val="0D0D0D" w:themeColor="text1" w:themeTint="F2"/>
                                <w:szCs w:val="22"/>
                                <w:lang w:val="es-ES"/>
                              </w:rPr>
                              <w:t>ESTADOS UNIDOS DE AMÉRICA</w:t>
                            </w:r>
                          </w:p>
                          <w:p w14:paraId="046CE93A" w14:textId="77777777" w:rsidR="00B30ED6" w:rsidRPr="000D641D" w:rsidRDefault="00B30ED6"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0F00" id="Text Box 5" o:spid="_x0000_s1027" type="#_x0000_t202" style="position:absolute;left:0;text-align:left;margin-left:84.9pt;margin-top:7pt;width:341.25pt;height:28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IpvCU38CAABeBQAADgAAAAAAAAAAAAAAAAAuAgAAZHJzL2Uyb0RvYy54bWxQSwECLQAUAAYACAAA&#10;ACEADMRGbeUAAAAPAQAADwAAAAAAAAAAAAAAAADZBAAAZHJzL2Rvd25yZXYueG1sUEsFBgAAAAAE&#10;AAQA8wAAAOsFAAAAAA==&#10;" filled="f" stroked="f" strokeweight=".5pt">
                <v:textbox>
                  <w:txbxContent>
                    <w:p w14:paraId="0B9D8081"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34578B30"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1D837E5E"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58938C07"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p>
                    <w:p w14:paraId="2F6FC501" w14:textId="41EEE43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r w:rsidRPr="000D641D">
                        <w:rPr>
                          <w:rFonts w:asciiTheme="majorHAnsi" w:hAnsiTheme="majorHAnsi" w:cs="Arial"/>
                          <w:b/>
                          <w:bCs/>
                          <w:color w:val="0D0D0D" w:themeColor="text1" w:themeTint="F2"/>
                          <w:sz w:val="36"/>
                          <w:szCs w:val="40"/>
                          <w:lang w:val="es-ES"/>
                        </w:rPr>
                        <w:t xml:space="preserve">INFORME No. </w:t>
                      </w:r>
                      <w:r w:rsidR="00D457AE">
                        <w:rPr>
                          <w:rFonts w:asciiTheme="majorHAnsi" w:hAnsiTheme="majorHAnsi" w:cs="Arial"/>
                          <w:b/>
                          <w:bCs/>
                          <w:color w:val="0D0D0D" w:themeColor="text1" w:themeTint="F2"/>
                          <w:sz w:val="36"/>
                          <w:szCs w:val="40"/>
                          <w:lang w:val="es-ES"/>
                        </w:rPr>
                        <w:t>462</w:t>
                      </w:r>
                      <w:r w:rsidRPr="000D641D">
                        <w:rPr>
                          <w:rFonts w:asciiTheme="majorHAnsi" w:hAnsiTheme="majorHAnsi" w:cs="Arial"/>
                          <w:b/>
                          <w:bCs/>
                          <w:color w:val="0D0D0D" w:themeColor="text1" w:themeTint="F2"/>
                          <w:sz w:val="36"/>
                          <w:szCs w:val="40"/>
                          <w:lang w:val="es-ES"/>
                        </w:rPr>
                        <w:t>/</w:t>
                      </w:r>
                      <w:r>
                        <w:rPr>
                          <w:rFonts w:asciiTheme="majorHAnsi" w:hAnsiTheme="majorHAnsi" w:cs="Arial"/>
                          <w:b/>
                          <w:bCs/>
                          <w:color w:val="0D0D0D" w:themeColor="text1" w:themeTint="F2"/>
                          <w:sz w:val="36"/>
                          <w:szCs w:val="40"/>
                          <w:lang w:val="es-ES"/>
                        </w:rPr>
                        <w:t>21</w:t>
                      </w:r>
                    </w:p>
                    <w:p w14:paraId="6DE596BF" w14:textId="77777777" w:rsidR="00B30ED6" w:rsidRPr="000D641D" w:rsidRDefault="00B30ED6" w:rsidP="004B7EB6">
                      <w:pPr>
                        <w:spacing w:line="276" w:lineRule="auto"/>
                        <w:rPr>
                          <w:rFonts w:asciiTheme="majorHAnsi" w:hAnsiTheme="majorHAnsi" w:cs="Arial"/>
                          <w:b/>
                          <w:bCs/>
                          <w:color w:val="0D0D0D" w:themeColor="text1" w:themeTint="F2"/>
                          <w:sz w:val="36"/>
                          <w:szCs w:val="40"/>
                          <w:lang w:val="es-ES"/>
                        </w:rPr>
                      </w:pPr>
                      <w:r w:rsidRPr="000D641D">
                        <w:rPr>
                          <w:rFonts w:asciiTheme="majorHAnsi" w:hAnsiTheme="majorHAnsi" w:cs="Arial"/>
                          <w:b/>
                          <w:bCs/>
                          <w:color w:val="0D0D0D" w:themeColor="text1" w:themeTint="F2"/>
                          <w:sz w:val="36"/>
                          <w:szCs w:val="40"/>
                          <w:lang w:val="es-ES"/>
                        </w:rPr>
                        <w:t>CASO 12.505</w:t>
                      </w:r>
                    </w:p>
                    <w:p w14:paraId="1BD4FFFF" w14:textId="079591A6" w:rsidR="00B30ED6" w:rsidRPr="000D641D" w:rsidRDefault="00B30ED6" w:rsidP="00F45EBF">
                      <w:pPr>
                        <w:spacing w:line="276" w:lineRule="auto"/>
                        <w:rPr>
                          <w:rFonts w:asciiTheme="majorHAnsi" w:hAnsiTheme="majorHAnsi" w:cs="Arial"/>
                          <w:color w:val="0D0D0D" w:themeColor="text1" w:themeTint="F2"/>
                          <w:szCs w:val="22"/>
                          <w:lang w:val="es-ES"/>
                        </w:rPr>
                      </w:pPr>
                      <w:r w:rsidRPr="000D641D">
                        <w:rPr>
                          <w:rFonts w:asciiTheme="majorHAnsi" w:hAnsiTheme="majorHAnsi" w:cs="Arial"/>
                          <w:color w:val="0D0D0D" w:themeColor="text1" w:themeTint="F2"/>
                          <w:szCs w:val="22"/>
                          <w:lang w:val="es-ES"/>
                        </w:rPr>
                        <w:t xml:space="preserve">INFORME DE FONDO </w:t>
                      </w:r>
                      <w:r>
                        <w:rPr>
                          <w:rFonts w:asciiTheme="majorHAnsi" w:hAnsiTheme="majorHAnsi" w:cs="Arial"/>
                          <w:color w:val="0D0D0D" w:themeColor="text1" w:themeTint="F2"/>
                          <w:szCs w:val="22"/>
                          <w:lang w:val="es-ES"/>
                        </w:rPr>
                        <w:t>(</w:t>
                      </w:r>
                      <w:r w:rsidR="00081633" w:rsidRPr="00D457AE">
                        <w:rPr>
                          <w:rFonts w:asciiTheme="majorHAnsi" w:hAnsiTheme="majorHAnsi" w:cs="Arial"/>
                          <w:color w:val="0D0D0D" w:themeColor="text1" w:themeTint="F2"/>
                          <w:szCs w:val="22"/>
                          <w:lang w:val="es-ES"/>
                        </w:rPr>
                        <w:t>PUBLICACI</w:t>
                      </w:r>
                      <w:r w:rsidR="00D457AE" w:rsidRPr="00D457AE">
                        <w:rPr>
                          <w:rFonts w:asciiTheme="majorHAnsi" w:hAnsiTheme="majorHAnsi" w:cs="Arial"/>
                          <w:color w:val="0D0D0D" w:themeColor="text1" w:themeTint="F2"/>
                          <w:szCs w:val="22"/>
                          <w:lang w:val="es-ES"/>
                        </w:rPr>
                        <w:t>Ó</w:t>
                      </w:r>
                      <w:r w:rsidR="00081633" w:rsidRPr="00D457AE">
                        <w:rPr>
                          <w:rFonts w:asciiTheme="majorHAnsi" w:hAnsiTheme="majorHAnsi" w:cs="Arial"/>
                          <w:color w:val="0D0D0D" w:themeColor="text1" w:themeTint="F2"/>
                          <w:szCs w:val="22"/>
                          <w:lang w:val="es-ES"/>
                        </w:rPr>
                        <w:t>N</w:t>
                      </w:r>
                      <w:r>
                        <w:rPr>
                          <w:rFonts w:asciiTheme="majorHAnsi" w:hAnsiTheme="majorHAnsi" w:cs="Arial"/>
                          <w:color w:val="0D0D0D" w:themeColor="text1" w:themeTint="F2"/>
                          <w:szCs w:val="22"/>
                          <w:lang w:val="es-ES"/>
                        </w:rPr>
                        <w:t>)</w:t>
                      </w:r>
                    </w:p>
                    <w:p w14:paraId="556D8E9C" w14:textId="77777777" w:rsidR="00B30ED6" w:rsidRPr="000D641D" w:rsidRDefault="00B30ED6" w:rsidP="004B7EB6">
                      <w:pPr>
                        <w:spacing w:line="276" w:lineRule="auto"/>
                        <w:rPr>
                          <w:rFonts w:asciiTheme="majorHAnsi" w:hAnsiTheme="majorHAnsi" w:cs="Arial"/>
                          <w:color w:val="0D0D0D" w:themeColor="text1" w:themeTint="F2"/>
                          <w:szCs w:val="22"/>
                          <w:lang w:val="es-ES"/>
                        </w:rPr>
                      </w:pPr>
                    </w:p>
                    <w:p w14:paraId="6704E09E" w14:textId="77777777" w:rsidR="00B30ED6" w:rsidRPr="000D641D" w:rsidRDefault="00B30ED6" w:rsidP="00191F07">
                      <w:pPr>
                        <w:pStyle w:val="Body"/>
                        <w:suppressAutoHyphens/>
                        <w:rPr>
                          <w:rFonts w:ascii="Cambria" w:eastAsia="Cambria" w:hAnsi="Cambria" w:cs="Cambria"/>
                          <w:lang w:val="es-ES"/>
                        </w:rPr>
                      </w:pPr>
                      <w:r w:rsidRPr="000D641D">
                        <w:rPr>
                          <w:rFonts w:ascii="Cambria" w:eastAsia="Cambria" w:hAnsi="Cambria" w:cs="Cambria"/>
                          <w:lang w:val="es-ES"/>
                        </w:rPr>
                        <w:t>MARLIN GRAY</w:t>
                      </w:r>
                    </w:p>
                    <w:p w14:paraId="412A0775" w14:textId="77777777" w:rsidR="00B30ED6" w:rsidRPr="000D641D" w:rsidRDefault="00B30ED6" w:rsidP="004B7EB6">
                      <w:pPr>
                        <w:spacing w:line="276" w:lineRule="auto"/>
                        <w:rPr>
                          <w:rFonts w:asciiTheme="majorHAnsi" w:hAnsiTheme="majorHAnsi" w:cs="Arial"/>
                          <w:color w:val="0D0D0D" w:themeColor="text1" w:themeTint="F2"/>
                          <w:szCs w:val="22"/>
                          <w:lang w:val="es-ES"/>
                        </w:rPr>
                      </w:pPr>
                      <w:r w:rsidRPr="000D641D">
                        <w:rPr>
                          <w:rFonts w:asciiTheme="majorHAnsi" w:hAnsiTheme="majorHAnsi" w:cs="Arial"/>
                          <w:color w:val="0D0D0D" w:themeColor="text1" w:themeTint="F2"/>
                          <w:szCs w:val="22"/>
                          <w:lang w:val="es-ES"/>
                        </w:rPr>
                        <w:t>ESTADOS UNIDOS DE AMÉRICA</w:t>
                      </w:r>
                    </w:p>
                    <w:p w14:paraId="046CE93A" w14:textId="77777777" w:rsidR="00B30ED6" w:rsidRPr="000D641D" w:rsidRDefault="00B30ED6" w:rsidP="004B7EB6">
                      <w:pPr>
                        <w:spacing w:line="276" w:lineRule="auto"/>
                        <w:rPr>
                          <w:rFonts w:asciiTheme="majorHAnsi" w:hAnsiTheme="majorHAnsi"/>
                          <w:color w:val="0D0D0D" w:themeColor="text1" w:themeTint="F2"/>
                          <w:lang w:val="es-ES"/>
                        </w:rPr>
                      </w:pPr>
                    </w:p>
                  </w:txbxContent>
                </v:textbox>
              </v:shape>
            </w:pict>
          </mc:Fallback>
        </mc:AlternateContent>
      </w:r>
    </w:p>
    <w:p w14:paraId="6CBB7527" w14:textId="77777777" w:rsidR="005B52B0" w:rsidRPr="009D1E2F" w:rsidRDefault="005B52B0" w:rsidP="00817426">
      <w:pPr>
        <w:tabs>
          <w:tab w:val="center" w:pos="5400"/>
        </w:tabs>
        <w:suppressAutoHyphens/>
        <w:jc w:val="center"/>
        <w:rPr>
          <w:rFonts w:asciiTheme="majorHAnsi" w:hAnsiTheme="majorHAnsi"/>
          <w:sz w:val="22"/>
          <w:szCs w:val="22"/>
          <w:lang w:val="es-ES"/>
        </w:rPr>
      </w:pPr>
    </w:p>
    <w:p w14:paraId="6E8A3D1F" w14:textId="77777777" w:rsidR="005B52B0" w:rsidRPr="009D1E2F" w:rsidRDefault="005B52B0" w:rsidP="00817426">
      <w:pPr>
        <w:tabs>
          <w:tab w:val="center" w:pos="5400"/>
        </w:tabs>
        <w:suppressAutoHyphens/>
        <w:jc w:val="center"/>
        <w:rPr>
          <w:rFonts w:asciiTheme="majorHAnsi" w:hAnsiTheme="majorHAnsi"/>
          <w:sz w:val="22"/>
          <w:szCs w:val="22"/>
          <w:lang w:val="es-ES"/>
        </w:rPr>
      </w:pPr>
    </w:p>
    <w:p w14:paraId="4857B417" w14:textId="77777777" w:rsidR="005B52B0" w:rsidRPr="009D1E2F" w:rsidRDefault="005B52B0" w:rsidP="00817426">
      <w:pPr>
        <w:tabs>
          <w:tab w:val="center" w:pos="5400"/>
        </w:tabs>
        <w:suppressAutoHyphens/>
        <w:jc w:val="center"/>
        <w:rPr>
          <w:rFonts w:asciiTheme="majorHAnsi" w:hAnsiTheme="majorHAnsi"/>
          <w:sz w:val="22"/>
          <w:szCs w:val="22"/>
          <w:lang w:val="es-ES"/>
        </w:rPr>
      </w:pPr>
    </w:p>
    <w:p w14:paraId="67A4AA7F"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332DC9AA"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7E9E5E70"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1C99ED2B"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582C5579" w14:textId="77777777" w:rsidR="00040C3A" w:rsidRPr="009D1E2F" w:rsidRDefault="00F452F9" w:rsidP="00817426">
      <w:pPr>
        <w:tabs>
          <w:tab w:val="center" w:pos="5400"/>
        </w:tabs>
        <w:suppressAutoHyphens/>
        <w:jc w:val="center"/>
        <w:rPr>
          <w:rFonts w:asciiTheme="majorHAnsi" w:hAnsiTheme="majorHAnsi"/>
          <w:sz w:val="22"/>
          <w:szCs w:val="22"/>
          <w:lang w:val="es-ES"/>
        </w:rPr>
      </w:pPr>
      <w:r w:rsidRPr="009D1E2F">
        <w:rPr>
          <w:rFonts w:asciiTheme="majorHAnsi" w:hAnsiTheme="majorHAnsi"/>
          <w:noProof/>
          <w:sz w:val="22"/>
          <w:szCs w:val="22"/>
        </w:rPr>
        <mc:AlternateContent>
          <mc:Choice Requires="wps">
            <w:drawing>
              <wp:anchor distT="0" distB="0" distL="114300" distR="114300" simplePos="0" relativeHeight="251666944" behindDoc="0" locked="0" layoutInCell="1" allowOverlap="1" wp14:anchorId="264A0967" wp14:editId="01577C94">
                <wp:simplePos x="0" y="0"/>
                <wp:positionH relativeFrom="column">
                  <wp:posOffset>-379730</wp:posOffset>
                </wp:positionH>
                <wp:positionV relativeFrom="paragraph">
                  <wp:posOffset>128905</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1EFB" w14:textId="77777777"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OEA/Ser.L/V/II</w:t>
                            </w:r>
                          </w:p>
                          <w:p w14:paraId="0FDD632C" w14:textId="6071EA44"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 xml:space="preserve">Doc. </w:t>
                            </w:r>
                            <w:r w:rsidR="00D457AE">
                              <w:rPr>
                                <w:rFonts w:asciiTheme="minorHAnsi" w:hAnsiTheme="minorHAnsi"/>
                                <w:color w:val="FFFFFF" w:themeColor="background1"/>
                                <w:sz w:val="22"/>
                                <w:lang w:val="es-ES"/>
                              </w:rPr>
                              <w:t>476</w:t>
                            </w:r>
                          </w:p>
                          <w:p w14:paraId="3B32363F" w14:textId="5D04C8AC" w:rsidR="00B30ED6" w:rsidRPr="000D641D" w:rsidRDefault="00D457AE"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B30ED6" w:rsidRPr="000D641D">
                              <w:rPr>
                                <w:rFonts w:asciiTheme="minorHAnsi" w:hAnsiTheme="minorHAnsi"/>
                                <w:color w:val="FFFFFF" w:themeColor="background1"/>
                                <w:sz w:val="22"/>
                                <w:lang w:val="es-ES"/>
                              </w:rPr>
                              <w:t xml:space="preserve"> </w:t>
                            </w:r>
                            <w:r w:rsidR="00081633">
                              <w:rPr>
                                <w:rFonts w:asciiTheme="minorHAnsi" w:hAnsiTheme="minorHAnsi"/>
                                <w:color w:val="FFFFFF" w:themeColor="background1"/>
                                <w:sz w:val="22"/>
                                <w:lang w:val="es-ES"/>
                              </w:rPr>
                              <w:t>dici</w:t>
                            </w:r>
                            <w:r w:rsidR="00B30ED6">
                              <w:rPr>
                                <w:rFonts w:asciiTheme="minorHAnsi" w:hAnsiTheme="minorHAnsi"/>
                                <w:color w:val="FFFFFF" w:themeColor="background1"/>
                                <w:sz w:val="22"/>
                                <w:lang w:val="es-ES"/>
                              </w:rPr>
                              <w:t>embre</w:t>
                            </w:r>
                            <w:r w:rsidR="00B30ED6" w:rsidRPr="000D641D">
                              <w:rPr>
                                <w:rFonts w:asciiTheme="minorHAnsi" w:hAnsiTheme="minorHAnsi"/>
                                <w:color w:val="FFFFFF" w:themeColor="background1"/>
                                <w:sz w:val="22"/>
                                <w:lang w:val="es-ES"/>
                              </w:rPr>
                              <w:t xml:space="preserve"> 20</w:t>
                            </w:r>
                            <w:r w:rsidR="00B30ED6">
                              <w:rPr>
                                <w:rFonts w:asciiTheme="minorHAnsi" w:hAnsiTheme="minorHAnsi"/>
                                <w:color w:val="FFFFFF" w:themeColor="background1"/>
                                <w:sz w:val="22"/>
                                <w:lang w:val="es-ES"/>
                              </w:rPr>
                              <w:t>21</w:t>
                            </w:r>
                          </w:p>
                          <w:p w14:paraId="1057EF9F" w14:textId="77777777"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A0967" id="Text Box 8" o:spid="_x0000_s1028" type="#_x0000_t202" style="position:absolute;left:0;text-align:left;margin-left:-29.9pt;margin-top:10.15pt;width:105.05pt;height:6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" filled="f" stroked="f" strokeweight=".5pt">
                <v:textbox>
                  <w:txbxContent>
                    <w:p w14:paraId="561C1EFB" w14:textId="77777777"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OEA/</w:t>
                      </w:r>
                      <w:r w:rsidRPr="000D641D">
                        <w:rPr>
                          <w:rFonts w:asciiTheme="minorHAnsi" w:hAnsiTheme="minorHAnsi"/>
                          <w:color w:val="FFFFFF" w:themeColor="background1"/>
                          <w:sz w:val="22"/>
                          <w:lang w:val="es-ES"/>
                        </w:rPr>
                        <w:t>Ser.L/V/II</w:t>
                      </w:r>
                    </w:p>
                    <w:p w14:paraId="0FDD632C" w14:textId="6071EA44"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 xml:space="preserve">Doc. </w:t>
                      </w:r>
                      <w:r w:rsidR="00D457AE">
                        <w:rPr>
                          <w:rFonts w:asciiTheme="minorHAnsi" w:hAnsiTheme="minorHAnsi"/>
                          <w:color w:val="FFFFFF" w:themeColor="background1"/>
                          <w:sz w:val="22"/>
                          <w:lang w:val="es-ES"/>
                        </w:rPr>
                        <w:t>476</w:t>
                      </w:r>
                    </w:p>
                    <w:p w14:paraId="3B32363F" w14:textId="5D04C8AC" w:rsidR="00B30ED6" w:rsidRPr="000D641D" w:rsidRDefault="00D457AE"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B30ED6" w:rsidRPr="000D641D">
                        <w:rPr>
                          <w:rFonts w:asciiTheme="minorHAnsi" w:hAnsiTheme="minorHAnsi"/>
                          <w:color w:val="FFFFFF" w:themeColor="background1"/>
                          <w:sz w:val="22"/>
                          <w:lang w:val="es-ES"/>
                        </w:rPr>
                        <w:t xml:space="preserve"> </w:t>
                      </w:r>
                      <w:r w:rsidR="00081633">
                        <w:rPr>
                          <w:rFonts w:asciiTheme="minorHAnsi" w:hAnsiTheme="minorHAnsi"/>
                          <w:color w:val="FFFFFF" w:themeColor="background1"/>
                          <w:sz w:val="22"/>
                          <w:lang w:val="es-ES"/>
                        </w:rPr>
                        <w:t>dici</w:t>
                      </w:r>
                      <w:r w:rsidR="00B30ED6">
                        <w:rPr>
                          <w:rFonts w:asciiTheme="minorHAnsi" w:hAnsiTheme="minorHAnsi"/>
                          <w:color w:val="FFFFFF" w:themeColor="background1"/>
                          <w:sz w:val="22"/>
                          <w:lang w:val="es-ES"/>
                        </w:rPr>
                        <w:t>embre</w:t>
                      </w:r>
                      <w:r w:rsidR="00B30ED6" w:rsidRPr="000D641D">
                        <w:rPr>
                          <w:rFonts w:asciiTheme="minorHAnsi" w:hAnsiTheme="minorHAnsi"/>
                          <w:color w:val="FFFFFF" w:themeColor="background1"/>
                          <w:sz w:val="22"/>
                          <w:lang w:val="es-ES"/>
                        </w:rPr>
                        <w:t xml:space="preserve"> 20</w:t>
                      </w:r>
                      <w:r w:rsidR="00B30ED6">
                        <w:rPr>
                          <w:rFonts w:asciiTheme="minorHAnsi" w:hAnsiTheme="minorHAnsi"/>
                          <w:color w:val="FFFFFF" w:themeColor="background1"/>
                          <w:sz w:val="22"/>
                          <w:lang w:val="es-ES"/>
                        </w:rPr>
                        <w:t>21</w:t>
                      </w:r>
                    </w:p>
                    <w:p w14:paraId="1057EF9F" w14:textId="77777777" w:rsidR="00B30ED6" w:rsidRPr="000D641D" w:rsidRDefault="00B30ED6" w:rsidP="002C1641">
                      <w:pPr>
                        <w:jc w:val="right"/>
                        <w:rPr>
                          <w:rFonts w:asciiTheme="minorHAnsi" w:hAnsiTheme="minorHAnsi"/>
                          <w:color w:val="FFFFFF" w:themeColor="background1"/>
                          <w:sz w:val="22"/>
                          <w:lang w:val="es-ES"/>
                        </w:rPr>
                      </w:pPr>
                      <w:r w:rsidRPr="000D641D">
                        <w:rPr>
                          <w:rFonts w:asciiTheme="minorHAnsi" w:hAnsiTheme="minorHAnsi"/>
                          <w:color w:val="FFFFFF" w:themeColor="background1"/>
                          <w:sz w:val="22"/>
                          <w:lang w:val="es-ES"/>
                        </w:rPr>
                        <w:t>Original: inglés</w:t>
                      </w:r>
                    </w:p>
                  </w:txbxContent>
                </v:textbox>
              </v:shape>
            </w:pict>
          </mc:Fallback>
        </mc:AlternateContent>
      </w:r>
    </w:p>
    <w:p w14:paraId="37D7EE68" w14:textId="77777777" w:rsidR="00040C3A" w:rsidRPr="009D1E2F" w:rsidRDefault="00040C3A" w:rsidP="00817426">
      <w:pPr>
        <w:tabs>
          <w:tab w:val="center" w:pos="5400"/>
        </w:tabs>
        <w:suppressAutoHyphens/>
        <w:jc w:val="center"/>
        <w:rPr>
          <w:rFonts w:asciiTheme="majorHAnsi" w:hAnsiTheme="majorHAnsi" w:cs="Arial"/>
          <w:sz w:val="22"/>
          <w:szCs w:val="22"/>
          <w:lang w:val="es-ES"/>
        </w:rPr>
      </w:pPr>
    </w:p>
    <w:p w14:paraId="71E1D163"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7F2AB959"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25158B3D"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468B5909"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6AE378BF" w14:textId="77777777" w:rsidR="005128E4" w:rsidRPr="009D1E2F" w:rsidRDefault="005128E4" w:rsidP="00817426">
      <w:pPr>
        <w:tabs>
          <w:tab w:val="center" w:pos="5400"/>
        </w:tabs>
        <w:suppressAutoHyphens/>
        <w:jc w:val="center"/>
        <w:rPr>
          <w:rFonts w:asciiTheme="majorHAnsi" w:hAnsiTheme="majorHAnsi"/>
          <w:sz w:val="22"/>
          <w:szCs w:val="22"/>
          <w:lang w:val="es-ES"/>
        </w:rPr>
      </w:pPr>
    </w:p>
    <w:p w14:paraId="339C265B"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08784B5A" w14:textId="77777777" w:rsidR="005128E4" w:rsidRPr="009D1E2F" w:rsidRDefault="005128E4" w:rsidP="00817426">
      <w:pPr>
        <w:tabs>
          <w:tab w:val="center" w:pos="5400"/>
        </w:tabs>
        <w:suppressAutoHyphens/>
        <w:jc w:val="center"/>
        <w:rPr>
          <w:rFonts w:asciiTheme="majorHAnsi" w:hAnsiTheme="majorHAnsi"/>
          <w:sz w:val="22"/>
          <w:szCs w:val="22"/>
          <w:lang w:val="es-ES"/>
        </w:rPr>
      </w:pPr>
    </w:p>
    <w:p w14:paraId="09EF6A74" w14:textId="77777777" w:rsidR="005128E4" w:rsidRPr="009D1E2F" w:rsidRDefault="005128E4" w:rsidP="00817426">
      <w:pPr>
        <w:tabs>
          <w:tab w:val="center" w:pos="5400"/>
        </w:tabs>
        <w:suppressAutoHyphens/>
        <w:jc w:val="center"/>
        <w:rPr>
          <w:rFonts w:asciiTheme="majorHAnsi" w:hAnsiTheme="majorHAnsi"/>
          <w:sz w:val="22"/>
          <w:szCs w:val="22"/>
          <w:lang w:val="es-ES"/>
        </w:rPr>
      </w:pPr>
    </w:p>
    <w:p w14:paraId="40D3A4CE" w14:textId="77777777" w:rsidR="005128E4" w:rsidRPr="009D1E2F" w:rsidRDefault="005128E4" w:rsidP="00817426">
      <w:pPr>
        <w:tabs>
          <w:tab w:val="center" w:pos="5400"/>
        </w:tabs>
        <w:suppressAutoHyphens/>
        <w:jc w:val="center"/>
        <w:rPr>
          <w:rFonts w:asciiTheme="majorHAnsi" w:hAnsiTheme="majorHAnsi"/>
          <w:sz w:val="22"/>
          <w:szCs w:val="22"/>
          <w:lang w:val="es-ES"/>
        </w:rPr>
      </w:pPr>
    </w:p>
    <w:p w14:paraId="12664350"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78310AAF" w14:textId="77777777" w:rsidR="00040C3A" w:rsidRPr="009D1E2F" w:rsidRDefault="00040C3A" w:rsidP="00817426">
      <w:pPr>
        <w:tabs>
          <w:tab w:val="center" w:pos="5400"/>
        </w:tabs>
        <w:suppressAutoHyphens/>
        <w:jc w:val="center"/>
        <w:rPr>
          <w:rFonts w:asciiTheme="majorHAnsi" w:hAnsiTheme="majorHAnsi"/>
          <w:sz w:val="22"/>
          <w:szCs w:val="22"/>
          <w:lang w:val="es-ES"/>
        </w:rPr>
      </w:pPr>
    </w:p>
    <w:p w14:paraId="0C73C560"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5067B9A2"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364959D0"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370751DC"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2EDC41D6"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52D66B35"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06DBC080"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3774A5B9"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11067F07"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4143FAB2"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67F55F9F"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4B623240"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112E92C6" w14:textId="77777777" w:rsidR="002C1641" w:rsidRPr="009D1E2F" w:rsidRDefault="00083E3C" w:rsidP="00817426">
      <w:pPr>
        <w:tabs>
          <w:tab w:val="center" w:pos="5400"/>
        </w:tabs>
        <w:suppressAutoHyphens/>
        <w:jc w:val="center"/>
        <w:rPr>
          <w:rFonts w:asciiTheme="majorHAnsi" w:hAnsiTheme="majorHAnsi"/>
          <w:sz w:val="18"/>
          <w:szCs w:val="22"/>
          <w:lang w:val="es-ES"/>
        </w:rPr>
      </w:pPr>
      <w:r w:rsidRPr="009D1E2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452EA2C" wp14:editId="4BEE5A8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FA6DA" w14:textId="24ABAA00" w:rsidR="00B30ED6" w:rsidRPr="000D641D" w:rsidRDefault="00B30ED6" w:rsidP="004165C2">
                            <w:pPr>
                              <w:tabs>
                                <w:tab w:val="center" w:pos="5400"/>
                              </w:tabs>
                              <w:suppressAutoHyphens/>
                              <w:spacing w:before="60"/>
                              <w:rPr>
                                <w:rFonts w:asciiTheme="majorHAnsi" w:hAnsiTheme="majorHAnsi" w:cs="Univers"/>
                                <w:color w:val="0D0D0D" w:themeColor="text1" w:themeTint="F2"/>
                                <w:sz w:val="18"/>
                                <w:szCs w:val="20"/>
                                <w:lang w:val="es-ES"/>
                              </w:rPr>
                            </w:pPr>
                            <w:r w:rsidRPr="000D641D">
                              <w:rPr>
                                <w:rFonts w:asciiTheme="majorHAnsi" w:hAnsiTheme="majorHAnsi"/>
                                <w:color w:val="0D0D0D" w:themeColor="text1" w:themeTint="F2"/>
                                <w:sz w:val="18"/>
                                <w:szCs w:val="20"/>
                                <w:lang w:val="es-ES"/>
                              </w:rPr>
                              <w:t xml:space="preserve">Aprobado electrónicamente por la Comisión el </w:t>
                            </w:r>
                            <w:r w:rsidR="00D457AE">
                              <w:rPr>
                                <w:rFonts w:asciiTheme="majorHAnsi" w:hAnsiTheme="majorHAnsi"/>
                                <w:color w:val="0D0D0D" w:themeColor="text1" w:themeTint="F2"/>
                                <w:sz w:val="18"/>
                                <w:szCs w:val="20"/>
                                <w:lang w:val="es-ES"/>
                              </w:rPr>
                              <w:t>31</w:t>
                            </w:r>
                            <w:r w:rsidRPr="000D641D">
                              <w:rPr>
                                <w:rFonts w:asciiTheme="majorHAnsi" w:hAnsiTheme="majorHAnsi"/>
                                <w:color w:val="0D0D0D" w:themeColor="text1" w:themeTint="F2"/>
                                <w:sz w:val="18"/>
                                <w:szCs w:val="20"/>
                                <w:lang w:val="es-ES"/>
                              </w:rPr>
                              <w:t xml:space="preserve"> de </w:t>
                            </w:r>
                            <w:r w:rsidR="00081633">
                              <w:rPr>
                                <w:rFonts w:asciiTheme="majorHAnsi" w:hAnsiTheme="majorHAnsi"/>
                                <w:color w:val="0D0D0D" w:themeColor="text1" w:themeTint="F2"/>
                                <w:sz w:val="18"/>
                                <w:szCs w:val="20"/>
                                <w:lang w:val="es-ES"/>
                              </w:rPr>
                              <w:t>dici</w:t>
                            </w:r>
                            <w:r>
                              <w:rPr>
                                <w:rFonts w:asciiTheme="majorHAnsi" w:hAnsiTheme="majorHAnsi"/>
                                <w:color w:val="0D0D0D" w:themeColor="text1" w:themeTint="F2"/>
                                <w:sz w:val="18"/>
                                <w:szCs w:val="20"/>
                                <w:lang w:val="es-ES"/>
                              </w:rPr>
                              <w:t>embre</w:t>
                            </w:r>
                            <w:r w:rsidRPr="000D641D">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21</w:t>
                            </w:r>
                            <w:r w:rsidR="002F62A9">
                              <w:rPr>
                                <w:rFonts w:asciiTheme="majorHAnsi" w:hAnsiTheme="majorHAnsi"/>
                                <w:color w:val="0D0D0D" w:themeColor="text1" w:themeTint="F2"/>
                                <w:sz w:val="18"/>
                                <w:szCs w:val="20"/>
                                <w:lang w:val="es-ES"/>
                              </w:rPr>
                              <w:t>.</w:t>
                            </w:r>
                          </w:p>
                          <w:p w14:paraId="0E70E9E4" w14:textId="77777777" w:rsidR="00B30ED6" w:rsidRPr="000D641D" w:rsidRDefault="00B30ED6" w:rsidP="008648E9">
                            <w:pPr>
                              <w:tabs>
                                <w:tab w:val="center" w:pos="5400"/>
                              </w:tabs>
                              <w:suppressAutoHyphens/>
                              <w:spacing w:before="60"/>
                              <w:rPr>
                                <w:rFonts w:asciiTheme="majorHAnsi" w:hAnsiTheme="majorHAnsi"/>
                                <w:color w:val="0D0D0D" w:themeColor="text1" w:themeTint="F2"/>
                                <w:sz w:val="18"/>
                                <w:szCs w:val="22"/>
                                <w:lang w:val="es-ES"/>
                              </w:rPr>
                            </w:pPr>
                          </w:p>
                          <w:p w14:paraId="1CC98A80" w14:textId="77777777" w:rsidR="00B30ED6" w:rsidRPr="000D641D" w:rsidRDefault="00B30ED6" w:rsidP="004165C2">
                            <w:pPr>
                              <w:tabs>
                                <w:tab w:val="center" w:pos="5400"/>
                              </w:tabs>
                              <w:suppressAutoHyphens/>
                              <w:spacing w:before="60"/>
                              <w:rPr>
                                <w:rFonts w:asciiTheme="majorHAnsi" w:hAnsiTheme="majorHAnsi"/>
                                <w:color w:val="0D0D0D" w:themeColor="text1" w:themeTint="F2"/>
                                <w:sz w:val="18"/>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2EA2C"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77BFA6DA" w14:textId="24ABAA00" w:rsidR="00B30ED6" w:rsidRPr="000D641D" w:rsidRDefault="00B30ED6" w:rsidP="004165C2">
                      <w:pPr>
                        <w:tabs>
                          <w:tab w:val="center" w:pos="5400"/>
                        </w:tabs>
                        <w:suppressAutoHyphens/>
                        <w:spacing w:before="60"/>
                        <w:rPr>
                          <w:rFonts w:asciiTheme="majorHAnsi" w:hAnsiTheme="majorHAnsi" w:cs="Univers"/>
                          <w:color w:val="0D0D0D" w:themeColor="text1" w:themeTint="F2"/>
                          <w:sz w:val="18"/>
                          <w:szCs w:val="20"/>
                          <w:lang w:val="es-ES"/>
                        </w:rPr>
                      </w:pPr>
                      <w:r w:rsidRPr="000D641D">
                        <w:rPr>
                          <w:rFonts w:asciiTheme="majorHAnsi" w:hAnsiTheme="majorHAnsi"/>
                          <w:color w:val="0D0D0D" w:themeColor="text1" w:themeTint="F2"/>
                          <w:sz w:val="18"/>
                          <w:szCs w:val="20"/>
                          <w:lang w:val="es-ES"/>
                        </w:rPr>
                        <w:t xml:space="preserve">Aprobado electrónicamente por la Comisión el </w:t>
                      </w:r>
                      <w:r w:rsidR="00D457AE">
                        <w:rPr>
                          <w:rFonts w:asciiTheme="majorHAnsi" w:hAnsiTheme="majorHAnsi"/>
                          <w:color w:val="0D0D0D" w:themeColor="text1" w:themeTint="F2"/>
                          <w:sz w:val="18"/>
                          <w:szCs w:val="20"/>
                          <w:lang w:val="es-ES"/>
                        </w:rPr>
                        <w:t>31</w:t>
                      </w:r>
                      <w:r w:rsidRPr="000D641D">
                        <w:rPr>
                          <w:rFonts w:asciiTheme="majorHAnsi" w:hAnsiTheme="majorHAnsi"/>
                          <w:color w:val="0D0D0D" w:themeColor="text1" w:themeTint="F2"/>
                          <w:sz w:val="18"/>
                          <w:szCs w:val="20"/>
                          <w:lang w:val="es-ES"/>
                        </w:rPr>
                        <w:t xml:space="preserve"> de </w:t>
                      </w:r>
                      <w:r w:rsidR="00081633">
                        <w:rPr>
                          <w:rFonts w:asciiTheme="majorHAnsi" w:hAnsiTheme="majorHAnsi"/>
                          <w:color w:val="0D0D0D" w:themeColor="text1" w:themeTint="F2"/>
                          <w:sz w:val="18"/>
                          <w:szCs w:val="20"/>
                          <w:lang w:val="es-ES"/>
                        </w:rPr>
                        <w:t>dici</w:t>
                      </w:r>
                      <w:r>
                        <w:rPr>
                          <w:rFonts w:asciiTheme="majorHAnsi" w:hAnsiTheme="majorHAnsi"/>
                          <w:color w:val="0D0D0D" w:themeColor="text1" w:themeTint="F2"/>
                          <w:sz w:val="18"/>
                          <w:szCs w:val="20"/>
                          <w:lang w:val="es-ES"/>
                        </w:rPr>
                        <w:t>embre</w:t>
                      </w:r>
                      <w:r w:rsidRPr="000D641D">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21</w:t>
                      </w:r>
                      <w:r w:rsidR="002F62A9">
                        <w:rPr>
                          <w:rFonts w:asciiTheme="majorHAnsi" w:hAnsiTheme="majorHAnsi"/>
                          <w:color w:val="0D0D0D" w:themeColor="text1" w:themeTint="F2"/>
                          <w:sz w:val="18"/>
                          <w:szCs w:val="20"/>
                          <w:lang w:val="es-ES"/>
                        </w:rPr>
                        <w:t>.</w:t>
                      </w:r>
                    </w:p>
                    <w:p w14:paraId="0E70E9E4" w14:textId="77777777" w:rsidR="00B30ED6" w:rsidRPr="000D641D" w:rsidRDefault="00B30ED6" w:rsidP="008648E9">
                      <w:pPr>
                        <w:tabs>
                          <w:tab w:val="center" w:pos="5400"/>
                        </w:tabs>
                        <w:suppressAutoHyphens/>
                        <w:spacing w:before="60"/>
                        <w:rPr>
                          <w:rFonts w:asciiTheme="majorHAnsi" w:hAnsiTheme="majorHAnsi"/>
                          <w:color w:val="0D0D0D" w:themeColor="text1" w:themeTint="F2"/>
                          <w:sz w:val="18"/>
                          <w:szCs w:val="22"/>
                          <w:lang w:val="es-ES"/>
                        </w:rPr>
                      </w:pPr>
                    </w:p>
                    <w:p w14:paraId="1CC98A80" w14:textId="77777777" w:rsidR="00B30ED6" w:rsidRPr="000D641D" w:rsidRDefault="00B30ED6" w:rsidP="004165C2">
                      <w:pPr>
                        <w:tabs>
                          <w:tab w:val="center" w:pos="5400"/>
                        </w:tabs>
                        <w:suppressAutoHyphens/>
                        <w:spacing w:before="60"/>
                        <w:rPr>
                          <w:rFonts w:asciiTheme="majorHAnsi" w:hAnsiTheme="majorHAnsi"/>
                          <w:color w:val="0D0D0D" w:themeColor="text1" w:themeTint="F2"/>
                          <w:sz w:val="18"/>
                          <w:szCs w:val="22"/>
                          <w:lang w:val="es-ES"/>
                        </w:rPr>
                      </w:pPr>
                    </w:p>
                  </w:txbxContent>
                </v:textbox>
              </v:shape>
            </w:pict>
          </mc:Fallback>
        </mc:AlternateContent>
      </w:r>
    </w:p>
    <w:p w14:paraId="42C18162"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148D6312"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0F1E748C"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1E69CB85"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5BB16AAE" w14:textId="77777777" w:rsidR="002C1641" w:rsidRPr="009D1E2F" w:rsidRDefault="00083E3C" w:rsidP="00817426">
      <w:pPr>
        <w:tabs>
          <w:tab w:val="center" w:pos="5400"/>
        </w:tabs>
        <w:suppressAutoHyphens/>
        <w:jc w:val="center"/>
        <w:rPr>
          <w:rFonts w:asciiTheme="majorHAnsi" w:hAnsiTheme="majorHAnsi"/>
          <w:sz w:val="18"/>
          <w:szCs w:val="22"/>
          <w:lang w:val="es-ES"/>
        </w:rPr>
      </w:pPr>
      <w:r w:rsidRPr="009D1E2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212AE8A" wp14:editId="71BEB19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6F0A0" w14:textId="0CED0578" w:rsidR="00B30ED6" w:rsidRPr="005B3F2B" w:rsidRDefault="00B30ED6" w:rsidP="00F45EBF">
                            <w:pPr>
                              <w:spacing w:line="276" w:lineRule="auto"/>
                              <w:jc w:val="both"/>
                              <w:rPr>
                                <w:rFonts w:asciiTheme="majorHAnsi" w:hAnsiTheme="majorHAnsi"/>
                                <w:color w:val="595959" w:themeColor="text1" w:themeTint="A6"/>
                                <w:sz w:val="18"/>
                                <w:lang w:val="es-ES"/>
                              </w:rPr>
                            </w:pPr>
                            <w:r w:rsidRPr="00781D5D">
                              <w:rPr>
                                <w:rFonts w:asciiTheme="majorHAnsi" w:hAnsiTheme="majorHAnsi"/>
                                <w:b/>
                                <w:color w:val="595959" w:themeColor="text1" w:themeTint="A6"/>
                                <w:sz w:val="18"/>
                                <w:lang w:val="pt-BR"/>
                              </w:rPr>
                              <w:t xml:space="preserve">Citar como: </w:t>
                            </w:r>
                            <w:r w:rsidRPr="00781D5D">
                              <w:rPr>
                                <w:rFonts w:asciiTheme="majorHAnsi" w:hAnsiTheme="majorHAnsi"/>
                                <w:color w:val="595959" w:themeColor="text1" w:themeTint="A6"/>
                                <w:sz w:val="18"/>
                                <w:lang w:val="pt-BR"/>
                              </w:rPr>
                              <w:t xml:space="preserve">CIDH. Informe No. </w:t>
                            </w:r>
                            <w:r w:rsidR="00D457AE">
                              <w:rPr>
                                <w:rFonts w:asciiTheme="majorHAnsi" w:hAnsiTheme="majorHAnsi"/>
                                <w:color w:val="595959" w:themeColor="text1" w:themeTint="A6"/>
                                <w:sz w:val="18"/>
                                <w:lang w:val="es-ES"/>
                              </w:rPr>
                              <w:t>462</w:t>
                            </w:r>
                            <w:r w:rsidRPr="005B3F2B">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21</w:t>
                            </w:r>
                            <w:r w:rsidRPr="005B3F2B">
                              <w:rPr>
                                <w:rFonts w:asciiTheme="majorHAnsi" w:hAnsiTheme="majorHAnsi"/>
                                <w:color w:val="595959" w:themeColor="text1" w:themeTint="A6"/>
                                <w:sz w:val="18"/>
                                <w:lang w:val="es-ES"/>
                              </w:rPr>
                              <w:t>. Caso 12.505. Fondo</w:t>
                            </w:r>
                            <w:r>
                              <w:rPr>
                                <w:rFonts w:asciiTheme="majorHAnsi" w:hAnsiTheme="majorHAnsi"/>
                                <w:color w:val="595959" w:themeColor="text1" w:themeTint="A6"/>
                                <w:sz w:val="18"/>
                                <w:lang w:val="es-ES"/>
                              </w:rPr>
                              <w:t xml:space="preserve"> </w:t>
                            </w:r>
                            <w:r w:rsidRPr="00D457AE">
                              <w:rPr>
                                <w:rFonts w:asciiTheme="majorHAnsi" w:hAnsiTheme="majorHAnsi"/>
                                <w:color w:val="595959" w:themeColor="text1" w:themeTint="A6"/>
                                <w:sz w:val="18"/>
                                <w:lang w:val="es-ES"/>
                              </w:rPr>
                              <w:t>(</w:t>
                            </w:r>
                            <w:r w:rsidR="00D457AE" w:rsidRPr="00D457AE">
                              <w:rPr>
                                <w:rFonts w:asciiTheme="majorHAnsi" w:hAnsiTheme="majorHAnsi"/>
                                <w:color w:val="595959" w:themeColor="text1" w:themeTint="A6"/>
                                <w:sz w:val="18"/>
                                <w:lang w:val="es-ES"/>
                              </w:rPr>
                              <w:t>Publicación</w:t>
                            </w:r>
                            <w:r w:rsidRPr="00D457AE">
                              <w:rPr>
                                <w:rFonts w:asciiTheme="majorHAnsi" w:hAnsiTheme="majorHAnsi"/>
                                <w:color w:val="595959" w:themeColor="text1" w:themeTint="A6"/>
                                <w:sz w:val="18"/>
                                <w:lang w:val="es-ES"/>
                              </w:rPr>
                              <w:t>).</w:t>
                            </w:r>
                            <w:r w:rsidRPr="005B3F2B">
                              <w:rPr>
                                <w:rFonts w:asciiTheme="majorHAnsi" w:hAnsiTheme="majorHAnsi"/>
                                <w:color w:val="595959" w:themeColor="text1" w:themeTint="A6"/>
                                <w:sz w:val="18"/>
                                <w:lang w:val="es-ES"/>
                              </w:rPr>
                              <w:t xml:space="preserve"> Marlin Gray. Estados Unidos de América. </w:t>
                            </w:r>
                            <w:r w:rsidR="00D457AE">
                              <w:rPr>
                                <w:rFonts w:asciiTheme="majorHAnsi" w:hAnsiTheme="majorHAnsi"/>
                                <w:color w:val="595959" w:themeColor="text1" w:themeTint="A6"/>
                                <w:sz w:val="18"/>
                                <w:lang w:val="es-ES"/>
                              </w:rPr>
                              <w:t>31</w:t>
                            </w:r>
                            <w:r w:rsidRPr="005B3F2B">
                              <w:rPr>
                                <w:rFonts w:asciiTheme="majorHAnsi" w:hAnsiTheme="majorHAnsi"/>
                                <w:color w:val="595959" w:themeColor="text1" w:themeTint="A6"/>
                                <w:sz w:val="18"/>
                                <w:lang w:val="es-ES"/>
                              </w:rPr>
                              <w:t xml:space="preserve"> de </w:t>
                            </w:r>
                            <w:r w:rsidR="00081633">
                              <w:rPr>
                                <w:rFonts w:asciiTheme="majorHAnsi" w:hAnsiTheme="majorHAnsi"/>
                                <w:color w:val="595959" w:themeColor="text1" w:themeTint="A6"/>
                                <w:sz w:val="18"/>
                                <w:lang w:val="es-ES"/>
                              </w:rPr>
                              <w:t>dic</w:t>
                            </w:r>
                            <w:r>
                              <w:rPr>
                                <w:rFonts w:asciiTheme="majorHAnsi" w:hAnsiTheme="majorHAnsi"/>
                                <w:color w:val="595959" w:themeColor="text1" w:themeTint="A6"/>
                                <w:sz w:val="18"/>
                                <w:lang w:val="es-ES"/>
                              </w:rPr>
                              <w:t>iembre</w:t>
                            </w:r>
                            <w:r w:rsidRPr="005B3F2B">
                              <w:rPr>
                                <w:rFonts w:asciiTheme="majorHAnsi" w:hAnsiTheme="majorHAnsi"/>
                                <w:color w:val="595959" w:themeColor="text1" w:themeTint="A6"/>
                                <w:sz w:val="18"/>
                                <w:lang w:val="es-ES"/>
                              </w:rPr>
                              <w:t xml:space="preserve"> de 20</w:t>
                            </w:r>
                            <w:r>
                              <w:rPr>
                                <w:rFonts w:asciiTheme="majorHAnsi" w:hAnsiTheme="majorHAnsi"/>
                                <w:color w:val="595959" w:themeColor="text1" w:themeTint="A6"/>
                                <w:sz w:val="18"/>
                                <w:lang w:val="es-ES"/>
                              </w:rPr>
                              <w:t>21</w:t>
                            </w:r>
                            <w:r w:rsidRPr="005B3F2B">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AE8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0D96F0A0" w14:textId="0CED0578" w:rsidR="00B30ED6" w:rsidRPr="005B3F2B" w:rsidRDefault="00B30ED6" w:rsidP="00F45EBF">
                      <w:pPr>
                        <w:spacing w:line="276" w:lineRule="auto"/>
                        <w:jc w:val="both"/>
                        <w:rPr>
                          <w:rFonts w:asciiTheme="majorHAnsi" w:hAnsiTheme="majorHAnsi"/>
                          <w:color w:val="595959" w:themeColor="text1" w:themeTint="A6"/>
                          <w:sz w:val="18"/>
                          <w:lang w:val="es-ES"/>
                        </w:rPr>
                      </w:pPr>
                      <w:r w:rsidRPr="00781D5D">
                        <w:rPr>
                          <w:rFonts w:asciiTheme="majorHAnsi" w:hAnsiTheme="majorHAnsi"/>
                          <w:b/>
                          <w:color w:val="595959" w:themeColor="text1" w:themeTint="A6"/>
                          <w:sz w:val="18"/>
                          <w:lang w:val="pt-BR"/>
                        </w:rPr>
                        <w:t xml:space="preserve">Citar como: </w:t>
                      </w:r>
                      <w:r w:rsidRPr="00781D5D">
                        <w:rPr>
                          <w:rFonts w:asciiTheme="majorHAnsi" w:hAnsiTheme="majorHAnsi"/>
                          <w:color w:val="595959" w:themeColor="text1" w:themeTint="A6"/>
                          <w:sz w:val="18"/>
                          <w:lang w:val="pt-BR"/>
                        </w:rPr>
                        <w:t xml:space="preserve">CIDH. Informe No. </w:t>
                      </w:r>
                      <w:r w:rsidR="00D457AE">
                        <w:rPr>
                          <w:rFonts w:asciiTheme="majorHAnsi" w:hAnsiTheme="majorHAnsi"/>
                          <w:color w:val="595959" w:themeColor="text1" w:themeTint="A6"/>
                          <w:sz w:val="18"/>
                          <w:lang w:val="es-ES"/>
                        </w:rPr>
                        <w:t>462</w:t>
                      </w:r>
                      <w:r w:rsidRPr="005B3F2B">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21</w:t>
                      </w:r>
                      <w:r w:rsidRPr="005B3F2B">
                        <w:rPr>
                          <w:rFonts w:asciiTheme="majorHAnsi" w:hAnsiTheme="majorHAnsi"/>
                          <w:color w:val="595959" w:themeColor="text1" w:themeTint="A6"/>
                          <w:sz w:val="18"/>
                          <w:lang w:val="es-ES"/>
                        </w:rPr>
                        <w:t>. Caso 12.505. Fondo</w:t>
                      </w:r>
                      <w:r>
                        <w:rPr>
                          <w:rFonts w:asciiTheme="majorHAnsi" w:hAnsiTheme="majorHAnsi"/>
                          <w:color w:val="595959" w:themeColor="text1" w:themeTint="A6"/>
                          <w:sz w:val="18"/>
                          <w:lang w:val="es-ES"/>
                        </w:rPr>
                        <w:t xml:space="preserve"> </w:t>
                      </w:r>
                      <w:r w:rsidRPr="00D457AE">
                        <w:rPr>
                          <w:rFonts w:asciiTheme="majorHAnsi" w:hAnsiTheme="majorHAnsi"/>
                          <w:color w:val="595959" w:themeColor="text1" w:themeTint="A6"/>
                          <w:sz w:val="18"/>
                          <w:lang w:val="es-ES"/>
                        </w:rPr>
                        <w:t>(</w:t>
                      </w:r>
                      <w:r w:rsidR="00D457AE" w:rsidRPr="00D457AE">
                        <w:rPr>
                          <w:rFonts w:asciiTheme="majorHAnsi" w:hAnsiTheme="majorHAnsi"/>
                          <w:color w:val="595959" w:themeColor="text1" w:themeTint="A6"/>
                          <w:sz w:val="18"/>
                          <w:lang w:val="es-ES"/>
                        </w:rPr>
                        <w:t>Publicación</w:t>
                      </w:r>
                      <w:r w:rsidRPr="00D457AE">
                        <w:rPr>
                          <w:rFonts w:asciiTheme="majorHAnsi" w:hAnsiTheme="majorHAnsi"/>
                          <w:color w:val="595959" w:themeColor="text1" w:themeTint="A6"/>
                          <w:sz w:val="18"/>
                          <w:lang w:val="es-ES"/>
                        </w:rPr>
                        <w:t>).</w:t>
                      </w:r>
                      <w:r w:rsidRPr="005B3F2B">
                        <w:rPr>
                          <w:rFonts w:asciiTheme="majorHAnsi" w:hAnsiTheme="majorHAnsi"/>
                          <w:color w:val="595959" w:themeColor="text1" w:themeTint="A6"/>
                          <w:sz w:val="18"/>
                          <w:lang w:val="es-ES"/>
                        </w:rPr>
                        <w:t xml:space="preserve"> Marlin Gray. Estados Unidos de América. </w:t>
                      </w:r>
                      <w:r w:rsidR="00D457AE">
                        <w:rPr>
                          <w:rFonts w:asciiTheme="majorHAnsi" w:hAnsiTheme="majorHAnsi"/>
                          <w:color w:val="595959" w:themeColor="text1" w:themeTint="A6"/>
                          <w:sz w:val="18"/>
                          <w:lang w:val="es-ES"/>
                        </w:rPr>
                        <w:t>31</w:t>
                      </w:r>
                      <w:r w:rsidRPr="005B3F2B">
                        <w:rPr>
                          <w:rFonts w:asciiTheme="majorHAnsi" w:hAnsiTheme="majorHAnsi"/>
                          <w:color w:val="595959" w:themeColor="text1" w:themeTint="A6"/>
                          <w:sz w:val="18"/>
                          <w:lang w:val="es-ES"/>
                        </w:rPr>
                        <w:t xml:space="preserve"> de </w:t>
                      </w:r>
                      <w:r w:rsidR="00081633">
                        <w:rPr>
                          <w:rFonts w:asciiTheme="majorHAnsi" w:hAnsiTheme="majorHAnsi"/>
                          <w:color w:val="595959" w:themeColor="text1" w:themeTint="A6"/>
                          <w:sz w:val="18"/>
                          <w:lang w:val="es-ES"/>
                        </w:rPr>
                        <w:t>dic</w:t>
                      </w:r>
                      <w:r>
                        <w:rPr>
                          <w:rFonts w:asciiTheme="majorHAnsi" w:hAnsiTheme="majorHAnsi"/>
                          <w:color w:val="595959" w:themeColor="text1" w:themeTint="A6"/>
                          <w:sz w:val="18"/>
                          <w:lang w:val="es-ES"/>
                        </w:rPr>
                        <w:t>iembre</w:t>
                      </w:r>
                      <w:r w:rsidRPr="005B3F2B">
                        <w:rPr>
                          <w:rFonts w:asciiTheme="majorHAnsi" w:hAnsiTheme="majorHAnsi"/>
                          <w:color w:val="595959" w:themeColor="text1" w:themeTint="A6"/>
                          <w:sz w:val="18"/>
                          <w:lang w:val="es-ES"/>
                        </w:rPr>
                        <w:t xml:space="preserve"> de 20</w:t>
                      </w:r>
                      <w:r>
                        <w:rPr>
                          <w:rFonts w:asciiTheme="majorHAnsi" w:hAnsiTheme="majorHAnsi"/>
                          <w:color w:val="595959" w:themeColor="text1" w:themeTint="A6"/>
                          <w:sz w:val="18"/>
                          <w:lang w:val="es-ES"/>
                        </w:rPr>
                        <w:t>21</w:t>
                      </w:r>
                      <w:r w:rsidRPr="005B3F2B">
                        <w:rPr>
                          <w:rFonts w:asciiTheme="majorHAnsi" w:hAnsiTheme="majorHAnsi"/>
                          <w:color w:val="595959" w:themeColor="text1" w:themeTint="A6"/>
                          <w:sz w:val="18"/>
                          <w:lang w:val="es-ES"/>
                        </w:rPr>
                        <w:t>.</w:t>
                      </w:r>
                    </w:p>
                  </w:txbxContent>
                </v:textbox>
              </v:shape>
            </w:pict>
          </mc:Fallback>
        </mc:AlternateContent>
      </w:r>
    </w:p>
    <w:p w14:paraId="40568C59"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535304D4" w14:textId="77777777" w:rsidR="002C1641" w:rsidRPr="009D1E2F" w:rsidRDefault="002C1641" w:rsidP="00817426">
      <w:pPr>
        <w:tabs>
          <w:tab w:val="center" w:pos="5400"/>
        </w:tabs>
        <w:suppressAutoHyphens/>
        <w:jc w:val="center"/>
        <w:rPr>
          <w:rFonts w:asciiTheme="majorHAnsi" w:hAnsiTheme="majorHAnsi"/>
          <w:sz w:val="18"/>
          <w:szCs w:val="22"/>
          <w:lang w:val="es-ES"/>
        </w:rPr>
      </w:pPr>
    </w:p>
    <w:p w14:paraId="32ED1255" w14:textId="77777777" w:rsidR="003C32BC" w:rsidRPr="009D1E2F" w:rsidRDefault="003C32BC" w:rsidP="00817426">
      <w:pPr>
        <w:tabs>
          <w:tab w:val="center" w:pos="5400"/>
        </w:tabs>
        <w:suppressAutoHyphens/>
        <w:jc w:val="center"/>
        <w:rPr>
          <w:rFonts w:asciiTheme="majorHAnsi" w:hAnsiTheme="majorHAnsi"/>
          <w:sz w:val="18"/>
          <w:szCs w:val="22"/>
          <w:lang w:val="es-ES"/>
        </w:rPr>
      </w:pPr>
    </w:p>
    <w:p w14:paraId="4BE50E23" w14:textId="77777777" w:rsidR="003C32BC" w:rsidRPr="009D1E2F" w:rsidRDefault="000D641D" w:rsidP="00817426">
      <w:pPr>
        <w:tabs>
          <w:tab w:val="center" w:pos="5400"/>
        </w:tabs>
        <w:suppressAutoHyphens/>
        <w:jc w:val="center"/>
        <w:rPr>
          <w:rFonts w:asciiTheme="majorHAnsi" w:hAnsiTheme="majorHAnsi"/>
          <w:sz w:val="18"/>
          <w:szCs w:val="22"/>
          <w:lang w:val="es-ES"/>
        </w:rPr>
      </w:pPr>
      <w:r w:rsidRPr="009D1E2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BB08078" wp14:editId="7D3D4A7D">
                <wp:simplePos x="0" y="0"/>
                <wp:positionH relativeFrom="column">
                  <wp:posOffset>1210391</wp:posOffset>
                </wp:positionH>
                <wp:positionV relativeFrom="paragraph">
                  <wp:posOffset>597381</wp:posOffset>
                </wp:positionV>
                <wp:extent cx="2085975" cy="612478"/>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6124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086AD" w14:textId="77777777" w:rsidR="00B30ED6" w:rsidRDefault="00B30ED6">
                            <w:r>
                              <w:rPr>
                                <w:noProof/>
                                <w:color w:val="FFFFFF" w:themeColor="background1"/>
                              </w:rPr>
                              <w:drawing>
                                <wp:inline distT="0" distB="0" distL="0" distR="0" wp14:anchorId="50D41BE1" wp14:editId="743E6871">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8078" id="Text Box 2" o:spid="_x0000_s1031" type="#_x0000_t202" style="position:absolute;left:0;text-align:left;margin-left:95.3pt;margin-top:47.05pt;width:164.25pt;height: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1nhA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" fillcolor="white [3201]" stroked="f" strokeweight=".5pt">
                <v:textbox>
                  <w:txbxContent>
                    <w:p w14:paraId="11C086AD" w14:textId="77777777" w:rsidR="00B30ED6" w:rsidRDefault="00B30ED6">
                      <w:r>
                        <w:rPr>
                          <w:noProof/>
                          <w:color w:val="FFFFFF" w:themeColor="background1"/>
                        </w:rPr>
                        <w:drawing>
                          <wp:inline distT="0" distB="0" distL="0" distR="0" wp14:anchorId="50D41BE1" wp14:editId="743E6871">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83E3C" w:rsidRPr="009D1E2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35FA7E1" wp14:editId="77B82FFC">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A99E5" w14:textId="77777777" w:rsidR="00B30ED6" w:rsidRPr="004B7EB6" w:rsidRDefault="00B30E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FA7E1"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" filled="f" stroked="f" strokeweight=".5pt">
                <v:textbox>
                  <w:txbxContent>
                    <w:p w14:paraId="40CA99E5" w14:textId="77777777" w:rsidR="00B30ED6" w:rsidRPr="004B7EB6" w:rsidRDefault="00B30E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D5C2497" w14:textId="77777777" w:rsidR="007607C4" w:rsidRPr="009D1E2F" w:rsidRDefault="007607C4" w:rsidP="00817426">
      <w:pPr>
        <w:tabs>
          <w:tab w:val="center" w:pos="5400"/>
        </w:tabs>
        <w:suppressAutoHyphens/>
        <w:jc w:val="center"/>
        <w:rPr>
          <w:rFonts w:asciiTheme="majorHAnsi" w:hAnsiTheme="majorHAnsi"/>
          <w:sz w:val="18"/>
          <w:szCs w:val="22"/>
          <w:lang w:val="es-ES"/>
        </w:rPr>
        <w:sectPr w:rsidR="007607C4" w:rsidRPr="009D1E2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42F48075" w14:textId="77777777" w:rsidR="00FC3EB4" w:rsidRPr="009D1E2F" w:rsidRDefault="000D641D" w:rsidP="00817426">
      <w:pPr>
        <w:tabs>
          <w:tab w:val="center" w:pos="5400"/>
        </w:tabs>
        <w:suppressAutoHyphens/>
        <w:spacing w:line="276" w:lineRule="auto"/>
        <w:jc w:val="center"/>
        <w:rPr>
          <w:rFonts w:asciiTheme="majorHAnsi" w:hAnsiTheme="majorHAnsi"/>
          <w:b/>
          <w:sz w:val="18"/>
          <w:szCs w:val="18"/>
          <w:lang w:val="es-ES"/>
        </w:rPr>
      </w:pPr>
      <w:r w:rsidRPr="009D1E2F">
        <w:rPr>
          <w:rFonts w:asciiTheme="majorHAnsi" w:hAnsiTheme="majorHAnsi"/>
          <w:b/>
          <w:sz w:val="18"/>
          <w:szCs w:val="18"/>
          <w:lang w:val="es-ES"/>
        </w:rPr>
        <w:lastRenderedPageBreak/>
        <w:t>ÍNDICE</w:t>
      </w:r>
    </w:p>
    <w:p w14:paraId="38F0ECE9" w14:textId="77777777" w:rsidR="007607C4" w:rsidRPr="009D1E2F" w:rsidRDefault="007607C4" w:rsidP="00817426">
      <w:pPr>
        <w:tabs>
          <w:tab w:val="center" w:pos="5400"/>
        </w:tabs>
        <w:suppressAutoHyphens/>
        <w:spacing w:line="276" w:lineRule="auto"/>
        <w:rPr>
          <w:rFonts w:asciiTheme="majorHAnsi" w:hAnsiTheme="majorHAnsi"/>
          <w:sz w:val="18"/>
          <w:szCs w:val="18"/>
          <w:lang w:val="es-ES"/>
        </w:rPr>
      </w:pPr>
    </w:p>
    <w:p w14:paraId="0DBD6969" w14:textId="77777777" w:rsidR="007607C4" w:rsidRPr="00081633" w:rsidRDefault="007607C4" w:rsidP="00817426">
      <w:pPr>
        <w:tabs>
          <w:tab w:val="center" w:pos="5400"/>
        </w:tabs>
        <w:suppressAutoHyphens/>
        <w:spacing w:line="276" w:lineRule="auto"/>
        <w:rPr>
          <w:rFonts w:asciiTheme="majorHAnsi" w:hAnsiTheme="majorHAnsi"/>
          <w:sz w:val="20"/>
          <w:szCs w:val="20"/>
          <w:lang w:val="es-ES"/>
        </w:rPr>
      </w:pPr>
    </w:p>
    <w:p w14:paraId="36818E8D" w14:textId="77777777" w:rsidR="00081633" w:rsidRPr="00081633" w:rsidRDefault="00E200F9">
      <w:pPr>
        <w:pStyle w:val="TOC1"/>
        <w:rPr>
          <w:rFonts w:eastAsiaTheme="minorEastAsia" w:cstheme="minorBidi"/>
          <w:bdr w:val="none" w:sz="0" w:space="0" w:color="auto"/>
          <w:lang w:val="es-US" w:eastAsia="zh-CN"/>
        </w:rPr>
      </w:pPr>
      <w:r w:rsidRPr="00081633">
        <w:rPr>
          <w:noProof w:val="0"/>
          <w:lang w:val="es-ES"/>
        </w:rPr>
        <w:fldChar w:fldCharType="begin"/>
      </w:r>
      <w:r w:rsidRPr="00081633">
        <w:rPr>
          <w:noProof w:val="0"/>
          <w:lang w:val="es-ES"/>
        </w:rPr>
        <w:instrText xml:space="preserve"> TOC \o "1-3" </w:instrText>
      </w:r>
      <w:r w:rsidRPr="00081633">
        <w:rPr>
          <w:noProof w:val="0"/>
          <w:lang w:val="es-ES"/>
        </w:rPr>
        <w:fldChar w:fldCharType="separate"/>
      </w:r>
      <w:r w:rsidR="00081633" w:rsidRPr="00081633">
        <w:rPr>
          <w:lang w:val="es-ES"/>
        </w:rPr>
        <w:t>I.</w:t>
      </w:r>
      <w:r w:rsidR="00081633" w:rsidRPr="00081633">
        <w:rPr>
          <w:rFonts w:eastAsiaTheme="minorEastAsia" w:cstheme="minorBidi"/>
          <w:bdr w:val="none" w:sz="0" w:space="0" w:color="auto"/>
          <w:lang w:val="es-US" w:eastAsia="zh-CN"/>
        </w:rPr>
        <w:tab/>
      </w:r>
      <w:r w:rsidR="00081633" w:rsidRPr="00081633">
        <w:rPr>
          <w:lang w:val="es-ES"/>
        </w:rPr>
        <w:t>INTRODUCCIÓN</w:t>
      </w:r>
      <w:r w:rsidR="00081633" w:rsidRPr="00081633">
        <w:tab/>
      </w:r>
      <w:r w:rsidR="00081633" w:rsidRPr="00081633">
        <w:fldChar w:fldCharType="begin"/>
      </w:r>
      <w:r w:rsidR="00081633" w:rsidRPr="00081633">
        <w:instrText xml:space="preserve"> PAGEREF _Toc90284818 \h </w:instrText>
      </w:r>
      <w:r w:rsidR="00081633" w:rsidRPr="00081633">
        <w:fldChar w:fldCharType="separate"/>
      </w:r>
      <w:r w:rsidR="00081633" w:rsidRPr="00081633">
        <w:t>2</w:t>
      </w:r>
      <w:r w:rsidR="00081633" w:rsidRPr="00081633">
        <w:fldChar w:fldCharType="end"/>
      </w:r>
    </w:p>
    <w:p w14:paraId="234693E9" w14:textId="77777777" w:rsidR="00081633" w:rsidRPr="00081633" w:rsidRDefault="00081633">
      <w:pPr>
        <w:pStyle w:val="TOC1"/>
        <w:rPr>
          <w:rFonts w:eastAsiaTheme="minorEastAsia" w:cstheme="minorBidi"/>
          <w:bdr w:val="none" w:sz="0" w:space="0" w:color="auto"/>
          <w:lang w:val="es-US" w:eastAsia="zh-CN"/>
        </w:rPr>
      </w:pPr>
      <w:r w:rsidRPr="00081633">
        <w:rPr>
          <w:lang w:val="es-ES"/>
        </w:rPr>
        <w:t>II.</w:t>
      </w:r>
      <w:r w:rsidRPr="00081633">
        <w:rPr>
          <w:rFonts w:eastAsiaTheme="minorEastAsia" w:cstheme="minorBidi"/>
          <w:bdr w:val="none" w:sz="0" w:space="0" w:color="auto"/>
          <w:lang w:val="es-US" w:eastAsia="zh-CN"/>
        </w:rPr>
        <w:tab/>
      </w:r>
      <w:r w:rsidRPr="00081633">
        <w:rPr>
          <w:lang w:val="es-ES"/>
        </w:rPr>
        <w:t>POSICIÓN DE LAS PARTES</w:t>
      </w:r>
      <w:r w:rsidRPr="00081633">
        <w:tab/>
      </w:r>
      <w:r w:rsidRPr="00081633">
        <w:fldChar w:fldCharType="begin"/>
      </w:r>
      <w:r w:rsidRPr="00081633">
        <w:instrText xml:space="preserve"> PAGEREF _Toc90284819 \h </w:instrText>
      </w:r>
      <w:r w:rsidRPr="00081633">
        <w:fldChar w:fldCharType="separate"/>
      </w:r>
      <w:r w:rsidRPr="00081633">
        <w:t>2</w:t>
      </w:r>
      <w:r w:rsidRPr="00081633">
        <w:fldChar w:fldCharType="end"/>
      </w:r>
    </w:p>
    <w:p w14:paraId="65A51F91"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A.</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Posición de la parte peticionaria</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_Toc90284820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2</w:t>
      </w:r>
      <w:r w:rsidRPr="00081633">
        <w:rPr>
          <w:rFonts w:asciiTheme="majorHAnsi" w:hAnsiTheme="majorHAnsi"/>
          <w:noProof/>
          <w:sz w:val="20"/>
          <w:szCs w:val="20"/>
        </w:rPr>
        <w:fldChar w:fldCharType="end"/>
      </w:r>
    </w:p>
    <w:p w14:paraId="0AB8FA49"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B.</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Posición del Estado</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_Toc90284821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3</w:t>
      </w:r>
      <w:r w:rsidRPr="00081633">
        <w:rPr>
          <w:rFonts w:asciiTheme="majorHAnsi" w:hAnsiTheme="majorHAnsi"/>
          <w:noProof/>
          <w:sz w:val="20"/>
          <w:szCs w:val="20"/>
        </w:rPr>
        <w:fldChar w:fldCharType="end"/>
      </w:r>
    </w:p>
    <w:p w14:paraId="7566789D" w14:textId="77777777" w:rsidR="00081633" w:rsidRPr="00081633" w:rsidRDefault="00081633">
      <w:pPr>
        <w:pStyle w:val="TOC1"/>
        <w:rPr>
          <w:rFonts w:eastAsiaTheme="minorEastAsia" w:cstheme="minorBidi"/>
          <w:bdr w:val="none" w:sz="0" w:space="0" w:color="auto"/>
          <w:lang w:val="es-US" w:eastAsia="zh-CN"/>
        </w:rPr>
      </w:pPr>
      <w:r w:rsidRPr="00081633">
        <w:rPr>
          <w:lang w:val="es-ES"/>
        </w:rPr>
        <w:t>III.</w:t>
      </w:r>
      <w:r w:rsidRPr="00081633">
        <w:rPr>
          <w:rFonts w:eastAsiaTheme="minorEastAsia" w:cstheme="minorBidi"/>
          <w:bdr w:val="none" w:sz="0" w:space="0" w:color="auto"/>
          <w:lang w:val="es-US" w:eastAsia="zh-CN"/>
        </w:rPr>
        <w:tab/>
      </w:r>
      <w:r w:rsidRPr="00081633">
        <w:rPr>
          <w:lang w:val="es-ES"/>
        </w:rPr>
        <w:t>DETERMINACIONES DE HECHO</w:t>
      </w:r>
      <w:r w:rsidRPr="00081633">
        <w:tab/>
      </w:r>
      <w:r w:rsidRPr="00081633">
        <w:fldChar w:fldCharType="begin"/>
      </w:r>
      <w:r w:rsidRPr="00081633">
        <w:instrText xml:space="preserve"> PAGEREF _Toc90284822 \h </w:instrText>
      </w:r>
      <w:r w:rsidRPr="00081633">
        <w:fldChar w:fldCharType="separate"/>
      </w:r>
      <w:r w:rsidRPr="00081633">
        <w:t>4</w:t>
      </w:r>
      <w:r w:rsidRPr="00081633">
        <w:fldChar w:fldCharType="end"/>
      </w:r>
    </w:p>
    <w:p w14:paraId="772E24C7"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A.</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Marco jurídico pertinente y jurisprudencia aplicable</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_Toc90284823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4</w:t>
      </w:r>
      <w:r w:rsidRPr="00081633">
        <w:rPr>
          <w:rFonts w:asciiTheme="majorHAnsi" w:hAnsiTheme="majorHAnsi"/>
          <w:noProof/>
          <w:sz w:val="20"/>
          <w:szCs w:val="20"/>
        </w:rPr>
        <w:fldChar w:fldCharType="end"/>
      </w:r>
    </w:p>
    <w:p w14:paraId="4045EF56"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B.</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Antecedentes fácticos</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_Toc90284824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6</w:t>
      </w:r>
      <w:r w:rsidRPr="00081633">
        <w:rPr>
          <w:rFonts w:asciiTheme="majorHAnsi" w:hAnsiTheme="majorHAnsi"/>
          <w:noProof/>
          <w:sz w:val="20"/>
          <w:szCs w:val="20"/>
        </w:rPr>
        <w:fldChar w:fldCharType="end"/>
      </w:r>
    </w:p>
    <w:p w14:paraId="55FB989F"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C.</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Juicio y pena de muerte</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_Toc90284825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7</w:t>
      </w:r>
      <w:r w:rsidRPr="00081633">
        <w:rPr>
          <w:rFonts w:asciiTheme="majorHAnsi" w:hAnsiTheme="majorHAnsi"/>
          <w:noProof/>
          <w:sz w:val="20"/>
          <w:szCs w:val="20"/>
        </w:rPr>
        <w:fldChar w:fldCharType="end"/>
      </w:r>
    </w:p>
    <w:p w14:paraId="301AF88F"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D.</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Actuaciones poscondenatorias</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_Toc90284826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9</w:t>
      </w:r>
      <w:r w:rsidRPr="00081633">
        <w:rPr>
          <w:rFonts w:asciiTheme="majorHAnsi" w:hAnsiTheme="majorHAnsi"/>
          <w:noProof/>
          <w:sz w:val="20"/>
          <w:szCs w:val="20"/>
        </w:rPr>
        <w:fldChar w:fldCharType="end"/>
      </w:r>
    </w:p>
    <w:p w14:paraId="15BE55E7" w14:textId="77777777" w:rsidR="00081633" w:rsidRPr="00081633" w:rsidRDefault="00081633">
      <w:pPr>
        <w:pStyle w:val="TOC1"/>
        <w:rPr>
          <w:rFonts w:eastAsiaTheme="minorEastAsia" w:cstheme="minorBidi"/>
          <w:bdr w:val="none" w:sz="0" w:space="0" w:color="auto"/>
          <w:lang w:val="es-US" w:eastAsia="zh-CN"/>
        </w:rPr>
      </w:pPr>
      <w:r w:rsidRPr="00081633">
        <w:rPr>
          <w:lang w:val="es-ES"/>
        </w:rPr>
        <w:t>IV.</w:t>
      </w:r>
      <w:r w:rsidRPr="00081633">
        <w:rPr>
          <w:rFonts w:eastAsiaTheme="minorEastAsia" w:cstheme="minorBidi"/>
          <w:bdr w:val="none" w:sz="0" w:space="0" w:color="auto"/>
          <w:lang w:val="es-US" w:eastAsia="zh-CN"/>
        </w:rPr>
        <w:tab/>
      </w:r>
      <w:r w:rsidRPr="00081633">
        <w:rPr>
          <w:lang w:val="es-ES"/>
        </w:rPr>
        <w:t>ANÁLISIS DE DERECHO</w:t>
      </w:r>
      <w:r w:rsidRPr="00081633">
        <w:tab/>
      </w:r>
      <w:r w:rsidRPr="00081633">
        <w:fldChar w:fldCharType="begin"/>
      </w:r>
      <w:r w:rsidRPr="00081633">
        <w:instrText xml:space="preserve"> PAGEREF _Toc90284827 \h </w:instrText>
      </w:r>
      <w:r w:rsidRPr="00081633">
        <w:fldChar w:fldCharType="separate"/>
      </w:r>
      <w:r w:rsidRPr="00081633">
        <w:t>10</w:t>
      </w:r>
      <w:r w:rsidRPr="00081633">
        <w:fldChar w:fldCharType="end"/>
      </w:r>
    </w:p>
    <w:p w14:paraId="41F22B20"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A.</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Consideraciones preliminares</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_Toc90284828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10</w:t>
      </w:r>
      <w:r w:rsidRPr="00081633">
        <w:rPr>
          <w:rFonts w:asciiTheme="majorHAnsi" w:hAnsiTheme="majorHAnsi"/>
          <w:noProof/>
          <w:sz w:val="20"/>
          <w:szCs w:val="20"/>
        </w:rPr>
        <w:fldChar w:fldCharType="end"/>
      </w:r>
    </w:p>
    <w:p w14:paraId="026D4AE9"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B.</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El derecho a la vida y la imposición de la pena de muerte solo para los delitos más graves</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_Toc90284829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11</w:t>
      </w:r>
      <w:r w:rsidRPr="00081633">
        <w:rPr>
          <w:rFonts w:asciiTheme="majorHAnsi" w:hAnsiTheme="majorHAnsi"/>
          <w:noProof/>
          <w:sz w:val="20"/>
          <w:szCs w:val="20"/>
        </w:rPr>
        <w:fldChar w:fldCharType="end"/>
      </w:r>
    </w:p>
    <w:p w14:paraId="35DF8FC8" w14:textId="77777777" w:rsidR="00081633" w:rsidRPr="00081633" w:rsidRDefault="00081633">
      <w:pPr>
        <w:pStyle w:val="TOC3"/>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1.</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Consideraciones generales</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_Toc90284830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11</w:t>
      </w:r>
      <w:r w:rsidRPr="00081633">
        <w:rPr>
          <w:rFonts w:asciiTheme="majorHAnsi" w:hAnsiTheme="majorHAnsi"/>
          <w:noProof/>
          <w:sz w:val="20"/>
          <w:szCs w:val="20"/>
        </w:rPr>
        <w:fldChar w:fldCharType="end"/>
      </w:r>
    </w:p>
    <w:p w14:paraId="5C9BBBE8" w14:textId="77777777" w:rsidR="00081633" w:rsidRPr="00081633" w:rsidRDefault="00081633">
      <w:pPr>
        <w:pStyle w:val="TOC3"/>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2.</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Análisis del caso</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_Toc90284831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13</w:t>
      </w:r>
      <w:r w:rsidRPr="00081633">
        <w:rPr>
          <w:rFonts w:asciiTheme="majorHAnsi" w:hAnsiTheme="majorHAnsi"/>
          <w:noProof/>
          <w:sz w:val="20"/>
          <w:szCs w:val="20"/>
        </w:rPr>
        <w:fldChar w:fldCharType="end"/>
      </w:r>
    </w:p>
    <w:p w14:paraId="5D84925D"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C.</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La privación de la libertad en el corredor de la muerte y el derecho de protección contra un castigo cruel, infamante o inusitado</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_Toc90284832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14</w:t>
      </w:r>
      <w:r w:rsidRPr="00081633">
        <w:rPr>
          <w:rFonts w:asciiTheme="majorHAnsi" w:hAnsiTheme="majorHAnsi"/>
          <w:noProof/>
          <w:sz w:val="20"/>
          <w:szCs w:val="20"/>
        </w:rPr>
        <w:fldChar w:fldCharType="end"/>
      </w:r>
    </w:p>
    <w:p w14:paraId="41EFE6E2" w14:textId="77777777" w:rsidR="00081633" w:rsidRPr="00081633" w:rsidRDefault="00081633">
      <w:pPr>
        <w:pStyle w:val="TOC2"/>
        <w:rPr>
          <w:rFonts w:asciiTheme="majorHAnsi" w:eastAsiaTheme="minorEastAsia" w:hAnsiTheme="majorHAnsi" w:cstheme="minorBidi"/>
          <w:noProof/>
          <w:sz w:val="20"/>
          <w:szCs w:val="20"/>
          <w:bdr w:val="none" w:sz="0" w:space="0" w:color="auto"/>
          <w:lang w:val="es-US" w:eastAsia="zh-CN"/>
        </w:rPr>
      </w:pPr>
      <w:r w:rsidRPr="00081633">
        <w:rPr>
          <w:rFonts w:asciiTheme="majorHAnsi" w:hAnsiTheme="majorHAnsi"/>
          <w:noProof/>
          <w:sz w:val="20"/>
          <w:szCs w:val="20"/>
          <w:lang w:val="es-ES"/>
        </w:rPr>
        <w:t>D.</w:t>
      </w:r>
      <w:r w:rsidRPr="00081633">
        <w:rPr>
          <w:rFonts w:asciiTheme="majorHAnsi" w:eastAsiaTheme="minorEastAsia" w:hAnsiTheme="majorHAnsi" w:cstheme="minorBidi"/>
          <w:noProof/>
          <w:sz w:val="20"/>
          <w:szCs w:val="20"/>
          <w:bdr w:val="none" w:sz="0" w:space="0" w:color="auto"/>
          <w:lang w:val="es-US" w:eastAsia="zh-CN"/>
        </w:rPr>
        <w:tab/>
      </w:r>
      <w:r w:rsidRPr="00081633">
        <w:rPr>
          <w:rFonts w:asciiTheme="majorHAnsi" w:hAnsiTheme="majorHAnsi"/>
          <w:noProof/>
          <w:sz w:val="20"/>
          <w:szCs w:val="20"/>
          <w:lang w:val="es-ES"/>
        </w:rPr>
        <w:t>Derecho de petición y derecho a la vida</w:t>
      </w:r>
      <w:r w:rsidRPr="002F62A9">
        <w:rPr>
          <w:rFonts w:asciiTheme="majorHAnsi" w:hAnsiTheme="majorHAnsi"/>
          <w:noProof/>
          <w:sz w:val="20"/>
          <w:szCs w:val="20"/>
          <w:lang w:val="es-US"/>
        </w:rPr>
        <w:tab/>
      </w:r>
      <w:r w:rsidRPr="00081633">
        <w:rPr>
          <w:rFonts w:asciiTheme="majorHAnsi" w:hAnsiTheme="majorHAnsi"/>
          <w:noProof/>
          <w:sz w:val="20"/>
          <w:szCs w:val="20"/>
        </w:rPr>
        <w:fldChar w:fldCharType="begin"/>
      </w:r>
      <w:r w:rsidRPr="002F62A9">
        <w:rPr>
          <w:rFonts w:asciiTheme="majorHAnsi" w:hAnsiTheme="majorHAnsi"/>
          <w:noProof/>
          <w:sz w:val="20"/>
          <w:szCs w:val="20"/>
          <w:lang w:val="es-US"/>
        </w:rPr>
        <w:instrText xml:space="preserve"> PAGEREF _Toc90284833 \h </w:instrText>
      </w:r>
      <w:r w:rsidRPr="00081633">
        <w:rPr>
          <w:rFonts w:asciiTheme="majorHAnsi" w:hAnsiTheme="majorHAnsi"/>
          <w:noProof/>
          <w:sz w:val="20"/>
          <w:szCs w:val="20"/>
        </w:rPr>
      </w:r>
      <w:r w:rsidRPr="00081633">
        <w:rPr>
          <w:rFonts w:asciiTheme="majorHAnsi" w:hAnsiTheme="majorHAnsi"/>
          <w:noProof/>
          <w:sz w:val="20"/>
          <w:szCs w:val="20"/>
        </w:rPr>
        <w:fldChar w:fldCharType="separate"/>
      </w:r>
      <w:r w:rsidRPr="002F62A9">
        <w:rPr>
          <w:rFonts w:asciiTheme="majorHAnsi" w:hAnsiTheme="majorHAnsi"/>
          <w:noProof/>
          <w:sz w:val="20"/>
          <w:szCs w:val="20"/>
          <w:lang w:val="es-US"/>
        </w:rPr>
        <w:t>16</w:t>
      </w:r>
      <w:r w:rsidRPr="00081633">
        <w:rPr>
          <w:rFonts w:asciiTheme="majorHAnsi" w:hAnsiTheme="majorHAnsi"/>
          <w:noProof/>
          <w:sz w:val="20"/>
          <w:szCs w:val="20"/>
        </w:rPr>
        <w:fldChar w:fldCharType="end"/>
      </w:r>
    </w:p>
    <w:p w14:paraId="2B793190" w14:textId="77777777" w:rsidR="00081633" w:rsidRPr="00D457AE" w:rsidRDefault="00081633">
      <w:pPr>
        <w:pStyle w:val="TOC1"/>
        <w:rPr>
          <w:rFonts w:eastAsiaTheme="minorEastAsia" w:cstheme="minorBidi"/>
          <w:bdr w:val="none" w:sz="0" w:space="0" w:color="auto"/>
          <w:lang w:val="es-US" w:eastAsia="zh-CN"/>
        </w:rPr>
      </w:pPr>
      <w:r w:rsidRPr="00081633">
        <w:t>V.</w:t>
      </w:r>
      <w:r w:rsidRPr="00081633">
        <w:rPr>
          <w:rFonts w:eastAsiaTheme="minorEastAsia" w:cstheme="minorBidi"/>
          <w:bdr w:val="none" w:sz="0" w:space="0" w:color="auto"/>
          <w:lang w:val="es-US" w:eastAsia="zh-CN"/>
        </w:rPr>
        <w:tab/>
      </w:r>
      <w:r w:rsidRPr="00081633">
        <w:t>INFORME N</w:t>
      </w:r>
      <w:r w:rsidRPr="00D457AE">
        <w:t>º 241/19 E INFORMACIÓN SOBRE EL CUMPLIMIENTO</w:t>
      </w:r>
      <w:r w:rsidRPr="00D457AE">
        <w:tab/>
      </w:r>
      <w:r w:rsidRPr="00D457AE">
        <w:fldChar w:fldCharType="begin"/>
      </w:r>
      <w:r w:rsidRPr="00D457AE">
        <w:instrText xml:space="preserve"> PAGEREF _Toc90284834 \h </w:instrText>
      </w:r>
      <w:r w:rsidRPr="00D457AE">
        <w:fldChar w:fldCharType="separate"/>
      </w:r>
      <w:r w:rsidRPr="00D457AE">
        <w:t>17</w:t>
      </w:r>
      <w:r w:rsidRPr="00D457AE">
        <w:fldChar w:fldCharType="end"/>
      </w:r>
    </w:p>
    <w:p w14:paraId="636F2366" w14:textId="77777777" w:rsidR="00081633" w:rsidRPr="00D457AE" w:rsidRDefault="00081633">
      <w:pPr>
        <w:pStyle w:val="TOC1"/>
        <w:rPr>
          <w:rFonts w:eastAsiaTheme="minorEastAsia" w:cstheme="minorBidi"/>
          <w:bdr w:val="none" w:sz="0" w:space="0" w:color="auto"/>
          <w:lang w:val="es-US" w:eastAsia="zh-CN"/>
        </w:rPr>
      </w:pPr>
      <w:r w:rsidRPr="00D457AE">
        <w:rPr>
          <w:lang w:val="es-ES"/>
        </w:rPr>
        <w:t>VI.</w:t>
      </w:r>
      <w:r w:rsidRPr="00D457AE">
        <w:rPr>
          <w:rFonts w:eastAsiaTheme="minorEastAsia" w:cstheme="minorBidi"/>
          <w:bdr w:val="none" w:sz="0" w:space="0" w:color="auto"/>
          <w:lang w:val="es-US" w:eastAsia="zh-CN"/>
        </w:rPr>
        <w:tab/>
      </w:r>
      <w:r w:rsidRPr="00D457AE">
        <w:rPr>
          <w:lang w:val="es-ES"/>
        </w:rPr>
        <w:t>ACCIONES POSTERIORES AL INFORME No. 327/21</w:t>
      </w:r>
      <w:r w:rsidRPr="00D457AE">
        <w:tab/>
      </w:r>
      <w:r w:rsidRPr="00D457AE">
        <w:fldChar w:fldCharType="begin"/>
      </w:r>
      <w:r w:rsidRPr="00D457AE">
        <w:instrText xml:space="preserve"> PAGEREF _Toc90284835 \h </w:instrText>
      </w:r>
      <w:r w:rsidRPr="00D457AE">
        <w:fldChar w:fldCharType="separate"/>
      </w:r>
      <w:r w:rsidRPr="00D457AE">
        <w:t>17</w:t>
      </w:r>
      <w:r w:rsidRPr="00D457AE">
        <w:fldChar w:fldCharType="end"/>
      </w:r>
    </w:p>
    <w:p w14:paraId="39ADE1D6" w14:textId="77777777" w:rsidR="00081633" w:rsidRPr="00D457AE" w:rsidRDefault="00081633">
      <w:pPr>
        <w:pStyle w:val="TOC1"/>
        <w:rPr>
          <w:rFonts w:eastAsiaTheme="minorEastAsia" w:cstheme="minorBidi"/>
          <w:bdr w:val="none" w:sz="0" w:space="0" w:color="auto"/>
          <w:lang w:val="es-US" w:eastAsia="zh-CN"/>
        </w:rPr>
      </w:pPr>
      <w:r w:rsidRPr="00D457AE">
        <w:rPr>
          <w:lang w:val="es-ES"/>
        </w:rPr>
        <w:t>VII.</w:t>
      </w:r>
      <w:r w:rsidRPr="00D457AE">
        <w:rPr>
          <w:rFonts w:eastAsiaTheme="minorEastAsia" w:cstheme="minorBidi"/>
          <w:bdr w:val="none" w:sz="0" w:space="0" w:color="auto"/>
          <w:lang w:val="es-US" w:eastAsia="zh-CN"/>
        </w:rPr>
        <w:tab/>
      </w:r>
      <w:r w:rsidRPr="00D457AE">
        <w:rPr>
          <w:lang w:val="es-ES"/>
        </w:rPr>
        <w:t>CONCLUSIONES Y RECOMENDACIONES FINALES</w:t>
      </w:r>
      <w:r w:rsidRPr="00D457AE">
        <w:tab/>
      </w:r>
      <w:r w:rsidRPr="00D457AE">
        <w:fldChar w:fldCharType="begin"/>
      </w:r>
      <w:r w:rsidRPr="00D457AE">
        <w:instrText xml:space="preserve"> PAGEREF _Toc90284836 \h </w:instrText>
      </w:r>
      <w:r w:rsidRPr="00D457AE">
        <w:fldChar w:fldCharType="separate"/>
      </w:r>
      <w:r w:rsidRPr="00D457AE">
        <w:t>17</w:t>
      </w:r>
      <w:r w:rsidRPr="00D457AE">
        <w:fldChar w:fldCharType="end"/>
      </w:r>
    </w:p>
    <w:p w14:paraId="5EBDAA27" w14:textId="77777777" w:rsidR="00081633" w:rsidRPr="00081633" w:rsidRDefault="00081633">
      <w:pPr>
        <w:pStyle w:val="TOC1"/>
        <w:rPr>
          <w:rFonts w:eastAsiaTheme="minorEastAsia" w:cstheme="minorBidi"/>
          <w:bdr w:val="none" w:sz="0" w:space="0" w:color="auto"/>
          <w:lang w:val="es-US" w:eastAsia="zh-CN"/>
        </w:rPr>
      </w:pPr>
      <w:r w:rsidRPr="00D457AE">
        <w:rPr>
          <w:lang w:val="es-ES"/>
        </w:rPr>
        <w:t>VIII.</w:t>
      </w:r>
      <w:r w:rsidRPr="00D457AE">
        <w:rPr>
          <w:rFonts w:eastAsiaTheme="minorEastAsia" w:cstheme="minorBidi"/>
          <w:bdr w:val="none" w:sz="0" w:space="0" w:color="auto"/>
          <w:lang w:val="es-US" w:eastAsia="zh-CN"/>
        </w:rPr>
        <w:tab/>
      </w:r>
      <w:r w:rsidRPr="00D457AE">
        <w:rPr>
          <w:lang w:val="es-ES"/>
        </w:rPr>
        <w:t>PUBLICACIÓN</w:t>
      </w:r>
      <w:r w:rsidRPr="00081633">
        <w:tab/>
      </w:r>
      <w:r w:rsidRPr="00081633">
        <w:fldChar w:fldCharType="begin"/>
      </w:r>
      <w:r w:rsidRPr="00081633">
        <w:instrText xml:space="preserve"> PAGEREF _Toc90284837 \h </w:instrText>
      </w:r>
      <w:r w:rsidRPr="00081633">
        <w:fldChar w:fldCharType="separate"/>
      </w:r>
      <w:r w:rsidRPr="00081633">
        <w:t>18</w:t>
      </w:r>
      <w:r w:rsidRPr="00081633">
        <w:fldChar w:fldCharType="end"/>
      </w:r>
    </w:p>
    <w:p w14:paraId="2D358B16" w14:textId="77777777" w:rsidR="007607C4" w:rsidRPr="009D1E2F" w:rsidRDefault="00E200F9" w:rsidP="00817426">
      <w:pPr>
        <w:tabs>
          <w:tab w:val="left" w:pos="1080"/>
          <w:tab w:val="center" w:pos="5400"/>
        </w:tabs>
        <w:suppressAutoHyphens/>
        <w:spacing w:line="276" w:lineRule="auto"/>
        <w:rPr>
          <w:rFonts w:asciiTheme="majorHAnsi" w:hAnsiTheme="majorHAnsi"/>
          <w:sz w:val="20"/>
          <w:szCs w:val="18"/>
          <w:lang w:val="es-ES"/>
        </w:rPr>
      </w:pPr>
      <w:r w:rsidRPr="00081633">
        <w:rPr>
          <w:rFonts w:asciiTheme="majorHAnsi" w:hAnsiTheme="majorHAnsi"/>
          <w:sz w:val="20"/>
          <w:szCs w:val="20"/>
          <w:lang w:val="es-ES"/>
        </w:rPr>
        <w:fldChar w:fldCharType="end"/>
      </w:r>
    </w:p>
    <w:p w14:paraId="7A259A90" w14:textId="77777777" w:rsidR="007607C4" w:rsidRPr="009D1E2F" w:rsidRDefault="007607C4" w:rsidP="00817426">
      <w:pPr>
        <w:tabs>
          <w:tab w:val="center" w:pos="5400"/>
        </w:tabs>
        <w:suppressAutoHyphens/>
        <w:spacing w:line="276" w:lineRule="auto"/>
        <w:rPr>
          <w:rFonts w:asciiTheme="majorHAnsi" w:hAnsiTheme="majorHAnsi"/>
          <w:sz w:val="20"/>
          <w:szCs w:val="18"/>
          <w:lang w:val="es-ES"/>
        </w:rPr>
      </w:pPr>
    </w:p>
    <w:p w14:paraId="0FA782C6" w14:textId="77777777" w:rsidR="007607C4" w:rsidRPr="009D1E2F" w:rsidRDefault="007607C4" w:rsidP="00817426">
      <w:pPr>
        <w:tabs>
          <w:tab w:val="center" w:pos="5400"/>
        </w:tabs>
        <w:suppressAutoHyphens/>
        <w:spacing w:line="276" w:lineRule="auto"/>
        <w:rPr>
          <w:rFonts w:asciiTheme="majorHAnsi" w:hAnsiTheme="majorHAnsi"/>
          <w:sz w:val="20"/>
          <w:szCs w:val="18"/>
          <w:lang w:val="es-ES"/>
        </w:rPr>
      </w:pPr>
    </w:p>
    <w:p w14:paraId="28508E2B" w14:textId="77777777" w:rsidR="007607C4" w:rsidRPr="009D1E2F" w:rsidRDefault="007607C4" w:rsidP="00817426">
      <w:pPr>
        <w:tabs>
          <w:tab w:val="center" w:pos="5400"/>
        </w:tabs>
        <w:suppressAutoHyphens/>
        <w:spacing w:line="276" w:lineRule="auto"/>
        <w:rPr>
          <w:rFonts w:asciiTheme="majorHAnsi" w:hAnsiTheme="majorHAnsi"/>
          <w:sz w:val="20"/>
          <w:szCs w:val="20"/>
          <w:lang w:val="es-ES"/>
        </w:rPr>
      </w:pPr>
    </w:p>
    <w:p w14:paraId="356ACFDA" w14:textId="77777777" w:rsidR="007607C4" w:rsidRPr="009D1E2F" w:rsidRDefault="007607C4" w:rsidP="00817426">
      <w:pPr>
        <w:tabs>
          <w:tab w:val="center" w:pos="5400"/>
        </w:tabs>
        <w:suppressAutoHyphens/>
        <w:spacing w:line="276" w:lineRule="auto"/>
        <w:rPr>
          <w:rFonts w:asciiTheme="majorHAnsi" w:hAnsiTheme="majorHAnsi"/>
          <w:sz w:val="20"/>
          <w:szCs w:val="20"/>
          <w:lang w:val="es-ES"/>
        </w:rPr>
      </w:pPr>
    </w:p>
    <w:p w14:paraId="5DB4BBEE" w14:textId="77777777" w:rsidR="007607C4" w:rsidRPr="009D1E2F" w:rsidRDefault="007607C4" w:rsidP="00817426">
      <w:pPr>
        <w:tabs>
          <w:tab w:val="center" w:pos="5400"/>
        </w:tabs>
        <w:suppressAutoHyphens/>
        <w:spacing w:line="276" w:lineRule="auto"/>
        <w:rPr>
          <w:rFonts w:asciiTheme="majorHAnsi" w:hAnsiTheme="majorHAnsi"/>
          <w:sz w:val="20"/>
          <w:szCs w:val="20"/>
          <w:lang w:val="es-ES"/>
        </w:rPr>
      </w:pPr>
    </w:p>
    <w:p w14:paraId="799A7C37" w14:textId="77777777" w:rsidR="007607C4" w:rsidRPr="009D1E2F" w:rsidRDefault="007607C4" w:rsidP="00817426">
      <w:pPr>
        <w:tabs>
          <w:tab w:val="center" w:pos="5400"/>
        </w:tabs>
        <w:suppressAutoHyphens/>
        <w:spacing w:line="276" w:lineRule="auto"/>
        <w:rPr>
          <w:rFonts w:asciiTheme="majorHAnsi" w:hAnsiTheme="majorHAnsi"/>
          <w:sz w:val="20"/>
          <w:szCs w:val="20"/>
          <w:lang w:val="es-ES"/>
        </w:rPr>
      </w:pPr>
    </w:p>
    <w:p w14:paraId="369C3341" w14:textId="77777777" w:rsidR="007607C4" w:rsidRPr="009D1E2F" w:rsidRDefault="00A84A45" w:rsidP="00817426">
      <w:pPr>
        <w:rPr>
          <w:rFonts w:asciiTheme="majorHAnsi" w:hAnsiTheme="majorHAnsi"/>
          <w:b/>
          <w:sz w:val="18"/>
          <w:szCs w:val="20"/>
          <w:lang w:val="es-ES"/>
        </w:rPr>
      </w:pPr>
      <w:r w:rsidRPr="009D1E2F">
        <w:rPr>
          <w:rFonts w:asciiTheme="majorHAnsi" w:hAnsiTheme="majorHAnsi"/>
          <w:b/>
          <w:sz w:val="18"/>
          <w:szCs w:val="20"/>
          <w:lang w:val="es-ES"/>
        </w:rPr>
        <w:br w:type="page"/>
      </w:r>
    </w:p>
    <w:p w14:paraId="21672666" w14:textId="77777777" w:rsidR="001C4006" w:rsidRPr="009D1E2F" w:rsidRDefault="00E40F91" w:rsidP="00817426">
      <w:pPr>
        <w:pStyle w:val="Heading1"/>
        <w:keepNext w:val="0"/>
        <w:keepLines w:val="0"/>
        <w:spacing w:before="0"/>
        <w:ind w:left="360"/>
        <w:rPr>
          <w:color w:val="auto"/>
          <w:sz w:val="20"/>
          <w:szCs w:val="20"/>
          <w:lang w:val="es-ES"/>
        </w:rPr>
      </w:pPr>
      <w:bookmarkStart w:id="0" w:name="_Toc90284818"/>
      <w:r w:rsidRPr="009D1E2F">
        <w:rPr>
          <w:color w:val="auto"/>
          <w:sz w:val="20"/>
          <w:szCs w:val="20"/>
          <w:lang w:val="es-ES"/>
        </w:rPr>
        <w:lastRenderedPageBreak/>
        <w:t>INTRODUCCIÓN</w:t>
      </w:r>
      <w:bookmarkEnd w:id="0"/>
      <w:r w:rsidR="00B059EC" w:rsidRPr="009D1E2F">
        <w:rPr>
          <w:color w:val="auto"/>
          <w:sz w:val="20"/>
          <w:szCs w:val="20"/>
          <w:lang w:val="es-ES"/>
        </w:rPr>
        <w:t xml:space="preserve"> </w:t>
      </w:r>
    </w:p>
    <w:p w14:paraId="0D38CC1B" w14:textId="77777777" w:rsidR="001C4006" w:rsidRPr="009D1E2F" w:rsidRDefault="001C4006" w:rsidP="00817426">
      <w:pPr>
        <w:suppressAutoHyphens/>
        <w:ind w:left="1440" w:hanging="720"/>
        <w:rPr>
          <w:rFonts w:asciiTheme="majorHAnsi" w:hAnsiTheme="majorHAnsi"/>
          <w:b/>
          <w:sz w:val="20"/>
          <w:szCs w:val="20"/>
          <w:lang w:val="es-ES"/>
        </w:rPr>
      </w:pPr>
    </w:p>
    <w:p w14:paraId="56FAF25C" w14:textId="77777777" w:rsidR="008A0F37" w:rsidRPr="009D1E2F" w:rsidRDefault="006C2EF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olor w:val="000000" w:themeColor="text1"/>
          <w:sz w:val="20"/>
          <w:szCs w:val="20"/>
          <w:lang w:val="es-ES"/>
        </w:rPr>
      </w:pPr>
      <w:r>
        <w:rPr>
          <w:rFonts w:asciiTheme="majorHAnsi" w:eastAsia="Times New Roman" w:hAnsiTheme="majorHAnsi"/>
          <w:sz w:val="20"/>
          <w:szCs w:val="20"/>
          <w:lang w:val="es-ES"/>
        </w:rPr>
        <w:t xml:space="preserve">El </w:t>
      </w:r>
      <w:r w:rsidR="008A0F37" w:rsidRPr="009D1E2F">
        <w:rPr>
          <w:rFonts w:asciiTheme="majorHAnsi" w:eastAsia="Times New Roman" w:hAnsiTheme="majorHAnsi"/>
          <w:sz w:val="20"/>
          <w:szCs w:val="20"/>
          <w:lang w:val="es-ES"/>
        </w:rPr>
        <w:t>26</w:t>
      </w:r>
      <w:r>
        <w:rPr>
          <w:rFonts w:asciiTheme="majorHAnsi" w:eastAsia="Times New Roman" w:hAnsiTheme="majorHAnsi"/>
          <w:sz w:val="20"/>
          <w:szCs w:val="20"/>
          <w:lang w:val="es-ES"/>
        </w:rPr>
        <w:t xml:space="preserve"> de abril de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2004,</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la </w:t>
      </w:r>
      <w:r w:rsidR="00363E52"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Interamericana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Derechos</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Humanos</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363E52"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adelante</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Comisión</w:t>
      </w:r>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o</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CIDH</w:t>
      </w:r>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363E52" w:rsidRPr="009D1E2F">
        <w:rPr>
          <w:rFonts w:asciiTheme="majorHAnsi" w:hAnsiTheme="majorHAnsi"/>
          <w:sz w:val="20"/>
          <w:szCs w:val="20"/>
          <w:lang w:val="es-ES"/>
        </w:rPr>
        <w:t>recibió</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una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petición</w:t>
      </w:r>
      <w:r w:rsidR="00890066" w:rsidRPr="009D1E2F">
        <w:rPr>
          <w:rStyle w:val="FootnoteReference"/>
          <w:rFonts w:asciiTheme="majorHAnsi" w:eastAsia="Times New Roman" w:hAnsiTheme="majorHAnsi"/>
          <w:sz w:val="20"/>
          <w:szCs w:val="20"/>
          <w:lang w:val="es-ES"/>
        </w:rPr>
        <w:footnoteReference w:id="2"/>
      </w:r>
      <w:r w:rsidR="00B059EC" w:rsidRPr="009D1E2F">
        <w:rPr>
          <w:rFonts w:asciiTheme="majorHAnsi" w:eastAsia="Times New Roman" w:hAnsiTheme="majorHAnsi"/>
          <w:sz w:val="20"/>
          <w:szCs w:val="20"/>
          <w:lang w:val="es-ES"/>
        </w:rPr>
        <w:t xml:space="preserve"> </w:t>
      </w:r>
      <w:r w:rsidR="00363E52" w:rsidRPr="009D1E2F">
        <w:rPr>
          <w:rFonts w:asciiTheme="majorHAnsi" w:hAnsiTheme="majorHAnsi"/>
          <w:sz w:val="20"/>
          <w:szCs w:val="20"/>
          <w:lang w:val="es-ES"/>
        </w:rPr>
        <w:t>presentada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por</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David</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L.</w:t>
      </w:r>
      <w:r w:rsidR="00B059EC" w:rsidRPr="009D1E2F">
        <w:rPr>
          <w:rFonts w:asciiTheme="majorHAnsi" w:eastAsia="Times New Roman" w:hAnsiTheme="majorHAnsi"/>
          <w:sz w:val="20"/>
          <w:szCs w:val="20"/>
          <w:lang w:val="es-ES"/>
        </w:rPr>
        <w:t xml:space="preserve"> </w:t>
      </w:r>
      <w:proofErr w:type="spellStart"/>
      <w:r w:rsidR="008A0F37" w:rsidRPr="009D1E2F">
        <w:rPr>
          <w:rFonts w:asciiTheme="majorHAnsi" w:eastAsia="Times New Roman" w:hAnsiTheme="majorHAnsi"/>
          <w:sz w:val="20"/>
          <w:szCs w:val="20"/>
          <w:lang w:val="es-ES"/>
        </w:rPr>
        <w:t>Sloss</w:t>
      </w:r>
      <w:proofErr w:type="spellEnd"/>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profesor </w:t>
      </w:r>
      <w:r w:rsidR="00781D5D">
        <w:rPr>
          <w:rFonts w:asciiTheme="majorHAnsi" w:eastAsia="Times New Roman" w:hAnsiTheme="majorHAnsi"/>
          <w:sz w:val="20"/>
          <w:szCs w:val="20"/>
          <w:lang w:val="es-ES"/>
        </w:rPr>
        <w:t>adjunto</w:t>
      </w:r>
      <w:r>
        <w:rPr>
          <w:rFonts w:asciiTheme="majorHAnsi" w:eastAsia="Times New Roman" w:hAnsiTheme="majorHAnsi"/>
          <w:sz w:val="20"/>
          <w:szCs w:val="20"/>
          <w:lang w:val="es-ES"/>
        </w:rPr>
        <w:t xml:space="preserve"> de derecho de la Universidad de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Saint</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Louis</w:t>
      </w:r>
      <w:r w:rsidR="000E246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Joanne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M.</w:t>
      </w:r>
      <w:r w:rsidR="00B059EC" w:rsidRPr="009D1E2F">
        <w:rPr>
          <w:rFonts w:asciiTheme="majorHAnsi" w:eastAsia="Times New Roman" w:hAnsiTheme="majorHAnsi"/>
          <w:sz w:val="20"/>
          <w:szCs w:val="20"/>
          <w:lang w:val="es-ES"/>
        </w:rPr>
        <w:t xml:space="preserve"> </w:t>
      </w:r>
      <w:proofErr w:type="spellStart"/>
      <w:r w:rsidR="008A0F37" w:rsidRPr="009D1E2F">
        <w:rPr>
          <w:rFonts w:asciiTheme="majorHAnsi" w:eastAsia="Times New Roman" w:hAnsiTheme="majorHAnsi"/>
          <w:sz w:val="20"/>
          <w:szCs w:val="20"/>
          <w:lang w:val="es-ES"/>
        </w:rPr>
        <w:t>Descher</w:t>
      </w:r>
      <w:proofErr w:type="spellEnd"/>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Devereux</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Murphy</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LLC</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363E52"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adelante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781D5D">
        <w:rPr>
          <w:rFonts w:asciiTheme="majorHAnsi" w:eastAsia="Times New Roman" w:hAnsiTheme="majorHAnsi"/>
          <w:sz w:val="20"/>
          <w:szCs w:val="20"/>
          <w:lang w:val="es-ES"/>
        </w:rPr>
        <w:t>la parte peticionaria</w:t>
      </w:r>
      <w:r w:rsidR="008A0F37" w:rsidRPr="009D1E2F">
        <w:rPr>
          <w:rFonts w:asciiTheme="majorHAnsi" w:eastAsia="Times New Roman" w:hAnsiTheme="majorHAnsi"/>
          <w:sz w:val="20"/>
          <w:szCs w:val="20"/>
          <w:lang w:val="es-ES"/>
        </w:rPr>
        <w:t>”)</w:t>
      </w:r>
      <w:r w:rsidR="000E246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contra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Gobierno</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Estados</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Unidos</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Am</w:t>
      </w:r>
      <w:r w:rsidR="000E2468" w:rsidRPr="009D1E2F">
        <w:rPr>
          <w:rFonts w:asciiTheme="majorHAnsi" w:eastAsia="Times New Roman" w:hAnsiTheme="majorHAnsi"/>
          <w:sz w:val="20"/>
          <w:szCs w:val="20"/>
          <w:lang w:val="es-ES"/>
        </w:rPr>
        <w:t>é</w:t>
      </w:r>
      <w:r w:rsidR="008A0F37" w:rsidRPr="009D1E2F">
        <w:rPr>
          <w:rFonts w:asciiTheme="majorHAnsi" w:eastAsia="Times New Roman" w:hAnsiTheme="majorHAnsi"/>
          <w:sz w:val="20"/>
          <w:szCs w:val="20"/>
          <w:lang w:val="es-ES"/>
        </w:rPr>
        <w:t>rica</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363E52"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adelante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“Estados</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Unidos</w:t>
      </w:r>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o</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petición</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fue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presentada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nombre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proofErr w:type="spellStart"/>
      <w:r w:rsidR="008A0F37" w:rsidRPr="009D1E2F">
        <w:rPr>
          <w:rFonts w:asciiTheme="majorHAnsi" w:eastAsia="Times New Roman" w:hAnsiTheme="majorHAnsi"/>
          <w:sz w:val="20"/>
          <w:szCs w:val="20"/>
          <w:lang w:val="es-ES"/>
        </w:rPr>
        <w:t>Marlin</w:t>
      </w:r>
      <w:proofErr w:type="spellEnd"/>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363E52"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adelante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Gray”)</w:t>
      </w:r>
      <w:r w:rsidR="000E246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que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momento</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encontraba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corredor</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w:t>
      </w:r>
      <w:r w:rsidR="00361744" w:rsidRPr="009D1E2F">
        <w:rPr>
          <w:rFonts w:asciiTheme="majorHAnsi" w:eastAsia="Times New Roman" w:hAnsiTheme="majorHAnsi"/>
          <w:sz w:val="20"/>
          <w:szCs w:val="20"/>
          <w:lang w:val="es-ES"/>
        </w:rPr>
        <w:t>n</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Misuri</w:t>
      </w:r>
      <w:r w:rsidR="008A0F3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0038CF"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fue ejecutado el </w:t>
      </w:r>
      <w:r w:rsidR="008A0F37" w:rsidRPr="009D1E2F">
        <w:rPr>
          <w:rFonts w:asciiTheme="majorHAnsi" w:eastAsia="Times New Roman" w:hAnsiTheme="majorHAnsi"/>
          <w:sz w:val="20"/>
          <w:szCs w:val="20"/>
          <w:lang w:val="es-ES"/>
        </w:rPr>
        <w:t>26</w:t>
      </w:r>
      <w:r>
        <w:rPr>
          <w:rFonts w:asciiTheme="majorHAnsi" w:eastAsia="Times New Roman" w:hAnsiTheme="majorHAnsi"/>
          <w:sz w:val="20"/>
          <w:szCs w:val="20"/>
          <w:lang w:val="es-ES"/>
        </w:rPr>
        <w:t xml:space="preserve"> de octubre de</w:t>
      </w:r>
      <w:r w:rsidR="00B059EC" w:rsidRPr="009D1E2F">
        <w:rPr>
          <w:rFonts w:asciiTheme="majorHAnsi" w:eastAsia="Times New Roman" w:hAnsiTheme="majorHAnsi"/>
          <w:sz w:val="20"/>
          <w:szCs w:val="20"/>
          <w:lang w:val="es-ES"/>
        </w:rPr>
        <w:t xml:space="preserve"> </w:t>
      </w:r>
      <w:r w:rsidR="008A0F37" w:rsidRPr="009D1E2F">
        <w:rPr>
          <w:rFonts w:asciiTheme="majorHAnsi" w:eastAsia="Times New Roman" w:hAnsiTheme="majorHAnsi"/>
          <w:sz w:val="20"/>
          <w:szCs w:val="20"/>
          <w:lang w:val="es-ES"/>
        </w:rPr>
        <w:t>2005.</w:t>
      </w:r>
      <w:r w:rsidR="00B059EC" w:rsidRPr="009D1E2F">
        <w:rPr>
          <w:rFonts w:asciiTheme="majorHAnsi" w:eastAsia="Times New Roman" w:hAnsiTheme="majorHAnsi"/>
          <w:sz w:val="20"/>
          <w:szCs w:val="20"/>
          <w:lang w:val="es-ES"/>
        </w:rPr>
        <w:t xml:space="preserve"> </w:t>
      </w:r>
    </w:p>
    <w:p w14:paraId="7430A95B" w14:textId="77777777" w:rsidR="00F0764A" w:rsidRPr="009D1E2F" w:rsidRDefault="00F0764A" w:rsidP="00817426">
      <w:pPr>
        <w:tabs>
          <w:tab w:val="left" w:pos="360"/>
        </w:tabs>
        <w:rPr>
          <w:sz w:val="20"/>
          <w:szCs w:val="20"/>
          <w:lang w:val="es-ES"/>
        </w:rPr>
      </w:pPr>
    </w:p>
    <w:p w14:paraId="09DE0485" w14:textId="77777777" w:rsidR="001C4006"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olor w:val="000000" w:themeColor="text1"/>
          <w:sz w:val="20"/>
          <w:szCs w:val="20"/>
          <w:lang w:val="es-ES"/>
        </w:rPr>
      </w:pPr>
      <w:r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Pr="009D1E2F">
        <w:rPr>
          <w:rFonts w:asciiTheme="majorHAnsi" w:hAnsiTheme="majorHAnsi"/>
          <w:color w:val="000000" w:themeColor="text1"/>
          <w:sz w:val="20"/>
          <w:szCs w:val="20"/>
          <w:lang w:val="es-ES"/>
        </w:rPr>
        <w:t>Comisión</w:t>
      </w:r>
      <w:r w:rsidR="00B059EC" w:rsidRPr="009D1E2F">
        <w:rPr>
          <w:rFonts w:asciiTheme="majorHAnsi" w:hAnsiTheme="majorHAnsi"/>
          <w:color w:val="000000" w:themeColor="text1"/>
          <w:sz w:val="20"/>
          <w:szCs w:val="20"/>
          <w:lang w:val="es-ES"/>
        </w:rPr>
        <w:t xml:space="preserve"> </w:t>
      </w:r>
      <w:r w:rsidR="00EA425E" w:rsidRPr="009D1E2F">
        <w:rPr>
          <w:rFonts w:asciiTheme="majorHAnsi" w:hAnsiTheme="majorHAnsi"/>
          <w:color w:val="000000" w:themeColor="text1"/>
          <w:sz w:val="20"/>
          <w:szCs w:val="20"/>
          <w:lang w:val="es-ES"/>
        </w:rPr>
        <w:t>ap</w:t>
      </w:r>
      <w:r w:rsidR="006C2EF1">
        <w:rPr>
          <w:rFonts w:asciiTheme="majorHAnsi" w:hAnsiTheme="majorHAnsi"/>
          <w:color w:val="000000" w:themeColor="text1"/>
          <w:sz w:val="20"/>
          <w:szCs w:val="20"/>
          <w:lang w:val="es-ES"/>
        </w:rPr>
        <w:t xml:space="preserve">robó </w:t>
      </w:r>
      <w:r w:rsidR="007F35ED">
        <w:rPr>
          <w:rFonts w:asciiTheme="majorHAnsi" w:hAnsiTheme="majorHAnsi"/>
          <w:color w:val="000000" w:themeColor="text1"/>
          <w:sz w:val="20"/>
          <w:szCs w:val="20"/>
          <w:lang w:val="es-ES"/>
        </w:rPr>
        <w:t>el</w:t>
      </w:r>
      <w:r w:rsidR="006C2EF1">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Informe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de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Admisibilidad</w:t>
      </w:r>
      <w:r w:rsidR="00B059EC" w:rsidRPr="009D1E2F">
        <w:rPr>
          <w:rFonts w:asciiTheme="majorHAnsi" w:hAnsiTheme="majorHAnsi"/>
          <w:color w:val="000000" w:themeColor="text1"/>
          <w:sz w:val="20"/>
          <w:szCs w:val="20"/>
          <w:lang w:val="es-ES"/>
        </w:rPr>
        <w:t xml:space="preserve"> </w:t>
      </w:r>
      <w:r w:rsidR="00203307" w:rsidRPr="009D1E2F">
        <w:rPr>
          <w:rFonts w:ascii="Cambria" w:eastAsia="Cambria" w:hAnsi="Cambria" w:cs="Cambria"/>
          <w:sz w:val="20"/>
          <w:szCs w:val="20"/>
          <w:lang w:val="es-ES"/>
        </w:rPr>
        <w:t>No.</w:t>
      </w:r>
      <w:r w:rsidR="00B059EC" w:rsidRPr="009D1E2F">
        <w:rPr>
          <w:rFonts w:ascii="Cambria" w:eastAsia="Cambria" w:hAnsi="Cambria" w:cs="Cambria"/>
          <w:sz w:val="20"/>
          <w:szCs w:val="20"/>
          <w:lang w:val="es-ES"/>
        </w:rPr>
        <w:t xml:space="preserve"> </w:t>
      </w:r>
      <w:r w:rsidR="00203307" w:rsidRPr="009D1E2F">
        <w:rPr>
          <w:rFonts w:ascii="Cambria" w:eastAsia="Cambria" w:hAnsi="Cambria" w:cs="Cambria"/>
          <w:sz w:val="20"/>
          <w:szCs w:val="20"/>
          <w:lang w:val="es-ES"/>
        </w:rPr>
        <w:t>79</w:t>
      </w:r>
      <w:r w:rsidR="00EA425E" w:rsidRPr="009D1E2F">
        <w:rPr>
          <w:rFonts w:ascii="Cambria" w:eastAsia="Cambria" w:hAnsi="Cambria" w:cs="Cambria"/>
          <w:sz w:val="20"/>
          <w:szCs w:val="20"/>
          <w:lang w:val="es-ES"/>
        </w:rPr>
        <w:t>/05</w:t>
      </w:r>
      <w:r w:rsidR="00B059EC" w:rsidRPr="009D1E2F">
        <w:rPr>
          <w:rFonts w:ascii="Cambria" w:eastAsia="Cambria" w:hAnsi="Cambria" w:cs="Cambria"/>
          <w:sz w:val="20"/>
          <w:szCs w:val="20"/>
          <w:lang w:val="es-ES"/>
        </w:rPr>
        <w:t xml:space="preserve"> </w:t>
      </w:r>
      <w:r w:rsidR="006C2EF1">
        <w:rPr>
          <w:rFonts w:ascii="Cambria" w:eastAsia="Cambria" w:hAnsi="Cambria" w:cs="Cambria"/>
          <w:sz w:val="20"/>
          <w:szCs w:val="20"/>
          <w:lang w:val="es-ES"/>
        </w:rPr>
        <w:t xml:space="preserve">el </w:t>
      </w:r>
      <w:r w:rsidR="00203307" w:rsidRPr="009D1E2F">
        <w:rPr>
          <w:rFonts w:ascii="Cambria" w:eastAsia="Cambria" w:hAnsi="Cambria" w:cs="Cambria"/>
          <w:sz w:val="20"/>
          <w:szCs w:val="20"/>
          <w:lang w:val="es-ES"/>
        </w:rPr>
        <w:t>24</w:t>
      </w:r>
      <w:r w:rsidR="006C2EF1">
        <w:rPr>
          <w:rFonts w:ascii="Cambria" w:eastAsia="Cambria" w:hAnsi="Cambria" w:cs="Cambria"/>
          <w:sz w:val="20"/>
          <w:szCs w:val="20"/>
          <w:lang w:val="es-ES"/>
        </w:rPr>
        <w:t xml:space="preserve"> de octubre de</w:t>
      </w:r>
      <w:r w:rsidR="00B059EC" w:rsidRPr="009D1E2F">
        <w:rPr>
          <w:rFonts w:ascii="Cambria" w:eastAsia="Cambria" w:hAnsi="Cambria" w:cs="Cambria"/>
          <w:sz w:val="20"/>
          <w:szCs w:val="20"/>
          <w:lang w:val="es-ES"/>
        </w:rPr>
        <w:t xml:space="preserve"> </w:t>
      </w:r>
      <w:r w:rsidR="00EA425E" w:rsidRPr="009D1E2F">
        <w:rPr>
          <w:rFonts w:ascii="Cambria" w:eastAsia="Cambria" w:hAnsi="Cambria" w:cs="Cambria"/>
          <w:sz w:val="20"/>
          <w:szCs w:val="20"/>
          <w:lang w:val="es-ES"/>
        </w:rPr>
        <w:t>2005</w:t>
      </w:r>
      <w:r w:rsidR="00781D5D">
        <w:rPr>
          <w:rFonts w:ascii="Cambria" w:eastAsia="Cambria" w:hAnsi="Cambria" w:cs="Cambria"/>
          <w:sz w:val="20"/>
          <w:szCs w:val="20"/>
          <w:lang w:val="es-ES"/>
        </w:rPr>
        <w:t>,</w:t>
      </w:r>
      <w:r w:rsidR="005028FE" w:rsidRPr="009D1E2F">
        <w:rPr>
          <w:rStyle w:val="FootnoteReference"/>
          <w:rFonts w:ascii="Cambria" w:eastAsia="Cambria" w:hAnsi="Cambria"/>
          <w:sz w:val="20"/>
          <w:szCs w:val="20"/>
          <w:lang w:val="es-ES"/>
        </w:rPr>
        <w:footnoteReference w:id="3"/>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lo</w:t>
      </w:r>
      <w:r w:rsidR="00B059EC" w:rsidRPr="009D1E2F">
        <w:rPr>
          <w:rFonts w:ascii="Cambria" w:eastAsia="Cambria" w:hAnsi="Cambria" w:cs="Cambria"/>
          <w:sz w:val="20"/>
          <w:szCs w:val="20"/>
          <w:lang w:val="es-ES"/>
        </w:rPr>
        <w:t xml:space="preserve"> </w:t>
      </w:r>
      <w:r w:rsidR="00781D5D">
        <w:rPr>
          <w:rFonts w:ascii="Cambria" w:eastAsia="Cambria" w:hAnsi="Cambria" w:cs="Cambria"/>
          <w:sz w:val="20"/>
          <w:szCs w:val="20"/>
          <w:lang w:val="es-ES"/>
        </w:rPr>
        <w:t>notificó</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a</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las</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partes</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y</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se</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puso</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a</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su</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disposición</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para</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llegar</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a</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una</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solución</w:t>
      </w:r>
      <w:r w:rsidR="00B059EC" w:rsidRPr="009D1E2F">
        <w:rPr>
          <w:rFonts w:ascii="Cambria" w:eastAsia="Cambria" w:hAnsi="Cambria" w:cs="Cambria"/>
          <w:sz w:val="20"/>
          <w:szCs w:val="20"/>
          <w:lang w:val="es-ES"/>
        </w:rPr>
        <w:t xml:space="preserve"> </w:t>
      </w:r>
      <w:r w:rsidR="000E2468" w:rsidRPr="009D1E2F">
        <w:rPr>
          <w:rFonts w:ascii="Cambria" w:eastAsia="Cambria" w:hAnsi="Cambria" w:cs="Cambria"/>
          <w:sz w:val="20"/>
          <w:szCs w:val="20"/>
          <w:lang w:val="es-ES"/>
        </w:rPr>
        <w:t>amistosa</w:t>
      </w:r>
      <w:r w:rsidR="001C4006"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Las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partes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contaron</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con</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los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plazos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dispuestos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en</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el</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Reglamento</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de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CIDH</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para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presentar</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observaciones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adicionales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sobre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el</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fondo.</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Toda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información</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recibida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por</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Comisión</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fue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transmitida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debidamente</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a</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las</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partes</w:t>
      </w:r>
      <w:r w:rsidR="001C4006"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p>
    <w:p w14:paraId="25600A8E" w14:textId="77777777" w:rsidR="001C4006" w:rsidRPr="009D1E2F" w:rsidRDefault="001C4006"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rPr>
          <w:rFonts w:asciiTheme="majorHAnsi" w:hAnsiTheme="majorHAnsi"/>
          <w:color w:val="000000" w:themeColor="text1"/>
          <w:sz w:val="20"/>
          <w:szCs w:val="20"/>
          <w:lang w:val="es-ES"/>
        </w:rPr>
      </w:pPr>
    </w:p>
    <w:p w14:paraId="7081B1D0" w14:textId="77777777" w:rsidR="001C4006" w:rsidRPr="009D1E2F" w:rsidRDefault="00E40F91" w:rsidP="00817426">
      <w:pPr>
        <w:pStyle w:val="Heading1"/>
        <w:keepNext w:val="0"/>
        <w:keepLines w:val="0"/>
        <w:tabs>
          <w:tab w:val="left" w:pos="360"/>
        </w:tabs>
        <w:spacing w:before="0"/>
        <w:ind w:hanging="720"/>
        <w:rPr>
          <w:color w:val="auto"/>
          <w:sz w:val="20"/>
          <w:szCs w:val="20"/>
          <w:lang w:val="es-ES"/>
        </w:rPr>
      </w:pPr>
      <w:bookmarkStart w:id="1" w:name="_Toc90284819"/>
      <w:r w:rsidRPr="009D1E2F">
        <w:rPr>
          <w:color w:val="auto"/>
          <w:sz w:val="20"/>
          <w:szCs w:val="20"/>
          <w:lang w:val="es-ES"/>
        </w:rPr>
        <w:t>POSICIÓN</w:t>
      </w:r>
      <w:r w:rsidR="00B059EC" w:rsidRPr="009D1E2F">
        <w:rPr>
          <w:color w:val="auto"/>
          <w:sz w:val="20"/>
          <w:szCs w:val="20"/>
          <w:lang w:val="es-ES"/>
        </w:rPr>
        <w:t xml:space="preserve"> </w:t>
      </w:r>
      <w:r w:rsidRPr="009D1E2F">
        <w:rPr>
          <w:color w:val="auto"/>
          <w:sz w:val="20"/>
          <w:szCs w:val="20"/>
          <w:lang w:val="es-ES"/>
        </w:rPr>
        <w:t>DE</w:t>
      </w:r>
      <w:r w:rsidR="00B059EC" w:rsidRPr="009D1E2F">
        <w:rPr>
          <w:color w:val="auto"/>
          <w:sz w:val="20"/>
          <w:szCs w:val="20"/>
          <w:lang w:val="es-ES"/>
        </w:rPr>
        <w:t xml:space="preserve"> </w:t>
      </w:r>
      <w:r w:rsidRPr="009D1E2F">
        <w:rPr>
          <w:color w:val="auto"/>
          <w:sz w:val="20"/>
          <w:szCs w:val="20"/>
          <w:lang w:val="es-ES"/>
        </w:rPr>
        <w:t>LAS</w:t>
      </w:r>
      <w:r w:rsidR="00B059EC" w:rsidRPr="009D1E2F">
        <w:rPr>
          <w:color w:val="auto"/>
          <w:sz w:val="20"/>
          <w:szCs w:val="20"/>
          <w:lang w:val="es-ES"/>
        </w:rPr>
        <w:t xml:space="preserve"> </w:t>
      </w:r>
      <w:r w:rsidRPr="009D1E2F">
        <w:rPr>
          <w:color w:val="auto"/>
          <w:sz w:val="20"/>
          <w:szCs w:val="20"/>
          <w:lang w:val="es-ES"/>
        </w:rPr>
        <w:t>PARTES</w:t>
      </w:r>
      <w:bookmarkEnd w:id="1"/>
    </w:p>
    <w:p w14:paraId="3A8F7CA9" w14:textId="77777777" w:rsidR="001C4006" w:rsidRPr="009D1E2F" w:rsidRDefault="001C4006" w:rsidP="00817426">
      <w:pPr>
        <w:tabs>
          <w:tab w:val="left" w:pos="360"/>
        </w:tabs>
        <w:suppressAutoHyphens/>
        <w:ind w:left="1440" w:hanging="720"/>
        <w:rPr>
          <w:rFonts w:asciiTheme="majorHAnsi" w:hAnsiTheme="majorHAnsi"/>
          <w:sz w:val="20"/>
          <w:szCs w:val="20"/>
          <w:lang w:val="es-ES"/>
        </w:rPr>
      </w:pPr>
    </w:p>
    <w:p w14:paraId="2DAE423A" w14:textId="77777777" w:rsidR="005C164F" w:rsidRPr="009D1E2F" w:rsidRDefault="005B3F2B" w:rsidP="00817426">
      <w:pPr>
        <w:pStyle w:val="Heading2"/>
        <w:keepNext w:val="0"/>
        <w:keepLines w:val="0"/>
        <w:numPr>
          <w:ilvl w:val="0"/>
          <w:numId w:val="58"/>
        </w:numPr>
        <w:tabs>
          <w:tab w:val="left" w:pos="360"/>
        </w:tabs>
        <w:spacing w:before="0"/>
        <w:ind w:hanging="720"/>
        <w:rPr>
          <w:color w:val="auto"/>
          <w:sz w:val="20"/>
          <w:szCs w:val="20"/>
          <w:lang w:val="es-ES"/>
        </w:rPr>
      </w:pPr>
      <w:bookmarkStart w:id="2" w:name="_Toc90284820"/>
      <w:r w:rsidRPr="009D1E2F">
        <w:rPr>
          <w:color w:val="auto"/>
          <w:sz w:val="20"/>
          <w:szCs w:val="20"/>
          <w:lang w:val="es-ES"/>
        </w:rPr>
        <w:t>Posición</w:t>
      </w:r>
      <w:r w:rsidR="00B059EC" w:rsidRPr="009D1E2F">
        <w:rPr>
          <w:color w:val="auto"/>
          <w:sz w:val="20"/>
          <w:szCs w:val="20"/>
          <w:lang w:val="es-ES"/>
        </w:rPr>
        <w:t xml:space="preserve"> </w:t>
      </w:r>
      <w:r w:rsidRPr="009D1E2F">
        <w:rPr>
          <w:color w:val="auto"/>
          <w:sz w:val="20"/>
          <w:szCs w:val="20"/>
          <w:lang w:val="es-ES"/>
        </w:rPr>
        <w:t>de</w:t>
      </w:r>
      <w:r w:rsidR="00B059EC" w:rsidRPr="009D1E2F">
        <w:rPr>
          <w:color w:val="auto"/>
          <w:sz w:val="20"/>
          <w:szCs w:val="20"/>
          <w:lang w:val="es-ES"/>
        </w:rPr>
        <w:t xml:space="preserve"> </w:t>
      </w:r>
      <w:r w:rsidR="00781D5D">
        <w:rPr>
          <w:color w:val="auto"/>
          <w:sz w:val="20"/>
          <w:szCs w:val="20"/>
          <w:lang w:val="es-ES"/>
        </w:rPr>
        <w:t>la parte peticionaria</w:t>
      </w:r>
      <w:bookmarkEnd w:id="2"/>
    </w:p>
    <w:p w14:paraId="112F74F4" w14:textId="77777777" w:rsidR="005C164F" w:rsidRPr="009D1E2F" w:rsidRDefault="005C164F" w:rsidP="00817426">
      <w:pPr>
        <w:suppressAutoHyphens/>
        <w:ind w:left="1440" w:hanging="720"/>
        <w:rPr>
          <w:rFonts w:asciiTheme="majorHAnsi" w:hAnsiTheme="majorHAnsi"/>
          <w:sz w:val="20"/>
          <w:szCs w:val="20"/>
          <w:lang w:val="es-ES"/>
        </w:rPr>
      </w:pPr>
    </w:p>
    <w:p w14:paraId="64A66BDC" w14:textId="77777777" w:rsidR="00A80D3F" w:rsidRPr="009D1E2F" w:rsidRDefault="00781D5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A80D3F" w:rsidRPr="009D1E2F">
        <w:rPr>
          <w:rFonts w:asciiTheme="majorHAnsi" w:eastAsia="Times New Roman" w:hAnsiTheme="majorHAnsi"/>
          <w:sz w:val="20"/>
          <w:szCs w:val="20"/>
          <w:lang w:val="es-ES"/>
        </w:rPr>
        <w:t>a</w:t>
      </w:r>
      <w:r w:rsidR="006C2EF1">
        <w:rPr>
          <w:rFonts w:asciiTheme="majorHAnsi" w:eastAsia="Times New Roman" w:hAnsiTheme="majorHAnsi"/>
          <w:sz w:val="20"/>
          <w:szCs w:val="20"/>
          <w:lang w:val="es-ES"/>
        </w:rPr>
        <w:t xml:space="preserve">firma que se violó el </w:t>
      </w:r>
      <w:r w:rsidR="007D747A" w:rsidRPr="009D1E2F">
        <w:rPr>
          <w:rFonts w:asciiTheme="majorHAnsi" w:eastAsia="Times New Roman" w:hAnsiTheme="majorHAnsi"/>
          <w:sz w:val="20"/>
          <w:szCs w:val="20"/>
          <w:lang w:val="es-ES"/>
        </w:rPr>
        <w:t>derecho</w:t>
      </w:r>
      <w:r w:rsidR="006C2EF1" w:rsidRPr="006C2EF1">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d</w:t>
      </w:r>
      <w:r w:rsidR="006C2EF1" w:rsidRPr="006C2EF1">
        <w:rPr>
          <w:rFonts w:asciiTheme="majorHAnsi" w:eastAsia="Times New Roman" w:hAnsiTheme="majorHAnsi"/>
          <w:sz w:val="20"/>
          <w:szCs w:val="20"/>
          <w:lang w:val="es-ES"/>
        </w:rPr>
        <w:t>el señor Gray</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protección</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judicial</w:t>
      </w:r>
      <w:r w:rsidR="00B059EC" w:rsidRPr="009D1E2F">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 xml:space="preserve">porque fue declarado culpable de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B059EC" w:rsidRPr="009D1E2F">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 xml:space="preserve">sobre la base de una </w:t>
      </w:r>
      <w:r w:rsidR="00090227">
        <w:rPr>
          <w:rFonts w:asciiTheme="majorHAnsi" w:eastAsia="Times New Roman" w:hAnsiTheme="majorHAnsi"/>
          <w:sz w:val="20"/>
          <w:szCs w:val="20"/>
          <w:lang w:val="es-ES"/>
        </w:rPr>
        <w:t>teoría de complicidad</w:t>
      </w:r>
      <w:r w:rsidR="00B059EC" w:rsidRPr="009D1E2F">
        <w:rPr>
          <w:rFonts w:asciiTheme="majorHAnsi" w:eastAsia="Times New Roman" w:hAnsiTheme="majorHAnsi"/>
          <w:sz w:val="20"/>
          <w:szCs w:val="20"/>
          <w:lang w:val="es-ES"/>
        </w:rPr>
        <w:t xml:space="preserve"> </w:t>
      </w:r>
      <w:r w:rsidR="00090227">
        <w:rPr>
          <w:rFonts w:asciiTheme="majorHAnsi" w:eastAsia="Times New Roman" w:hAnsiTheme="majorHAnsi"/>
          <w:sz w:val="20"/>
          <w:szCs w:val="20"/>
          <w:lang w:val="es-ES"/>
        </w:rPr>
        <w:t xml:space="preserve">y sin suficientes pruebas, que </w:t>
      </w:r>
      <w:r w:rsidR="00090227" w:rsidRPr="00090227">
        <w:rPr>
          <w:rFonts w:asciiTheme="majorHAnsi" w:eastAsia="Times New Roman" w:hAnsiTheme="majorHAnsi"/>
          <w:sz w:val="20"/>
          <w:szCs w:val="20"/>
          <w:lang w:val="es-ES"/>
        </w:rPr>
        <w:t>la Corte Suprema de Misuri</w:t>
      </w:r>
      <w:r w:rsidR="00B059EC" w:rsidRPr="009D1E2F">
        <w:rPr>
          <w:rFonts w:asciiTheme="majorHAnsi" w:eastAsia="Times New Roman" w:hAnsiTheme="majorHAnsi"/>
          <w:sz w:val="20"/>
          <w:szCs w:val="20"/>
          <w:lang w:val="es-ES"/>
        </w:rPr>
        <w:t xml:space="preserve"> </w:t>
      </w:r>
      <w:r w:rsidR="00090227">
        <w:rPr>
          <w:rFonts w:asciiTheme="majorHAnsi" w:eastAsia="Times New Roman" w:hAnsiTheme="majorHAnsi"/>
          <w:sz w:val="20"/>
          <w:szCs w:val="20"/>
          <w:lang w:val="es-ES"/>
        </w:rPr>
        <w:t xml:space="preserve">cometió errores cruciales de hecho y de derecho en la apelación inicial del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A80D3F" w:rsidRPr="009D1E2F">
        <w:rPr>
          <w:rFonts w:asciiTheme="majorHAnsi" w:eastAsia="Times New Roman" w:hAnsiTheme="majorHAnsi"/>
          <w:sz w:val="20"/>
          <w:szCs w:val="20"/>
          <w:lang w:val="es-ES"/>
        </w:rPr>
        <w:t>Gray</w:t>
      </w:r>
      <w:r w:rsidR="00090227">
        <w:rPr>
          <w:rFonts w:asciiTheme="majorHAnsi" w:eastAsia="Times New Roman" w:hAnsiTheme="majorHAnsi"/>
          <w:sz w:val="20"/>
          <w:szCs w:val="20"/>
          <w:lang w:val="es-ES"/>
        </w:rPr>
        <w:t xml:space="preserve">, que ningún otro tribunal estadounidense corrigió esos errores y que </w:t>
      </w:r>
      <w:r w:rsidR="007D747A"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Corte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Suprema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Misuri</w:t>
      </w:r>
      <w:r w:rsidR="00090227">
        <w:rPr>
          <w:rFonts w:asciiTheme="majorHAnsi" w:eastAsia="Times New Roman" w:hAnsiTheme="majorHAnsi"/>
          <w:sz w:val="20"/>
          <w:szCs w:val="20"/>
          <w:lang w:val="es-ES"/>
        </w:rPr>
        <w:t xml:space="preserve"> se negó a suspender la ejecución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A80D3F" w:rsidRPr="009D1E2F">
        <w:rPr>
          <w:rFonts w:asciiTheme="majorHAnsi" w:eastAsia="Times New Roman" w:hAnsiTheme="majorHAnsi"/>
          <w:sz w:val="20"/>
          <w:szCs w:val="20"/>
          <w:lang w:val="es-ES"/>
        </w:rPr>
        <w:t>Gray</w:t>
      </w:r>
      <w:r w:rsidR="00090227">
        <w:rPr>
          <w:rFonts w:asciiTheme="majorHAnsi" w:eastAsia="Times New Roman" w:hAnsiTheme="majorHAnsi"/>
          <w:sz w:val="20"/>
          <w:szCs w:val="20"/>
          <w:lang w:val="es-ES"/>
        </w:rPr>
        <w:t xml:space="preserve">, sin dar explicaciones ni exponer argumentos jurídicos, mientras el caso estaba pendiente ante </w:t>
      </w:r>
      <w:r w:rsidR="007D747A"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Interamericana</w:t>
      </w:r>
      <w:r w:rsidR="00A80D3F" w:rsidRPr="009D1E2F">
        <w:rPr>
          <w:rFonts w:asciiTheme="majorHAnsi" w:eastAsia="Times New Roman" w:hAnsiTheme="majorHAnsi"/>
          <w:sz w:val="20"/>
          <w:szCs w:val="20"/>
          <w:lang w:val="es-ES"/>
        </w:rPr>
        <w:t>.</w:t>
      </w:r>
    </w:p>
    <w:p w14:paraId="5F84D21A" w14:textId="77777777" w:rsidR="0035777A" w:rsidRPr="009D1E2F" w:rsidRDefault="0035777A"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lang w:val="es-ES"/>
        </w:rPr>
      </w:pPr>
    </w:p>
    <w:p w14:paraId="057D20F7" w14:textId="77777777" w:rsidR="0035777A" w:rsidRPr="009D1E2F" w:rsidRDefault="00781D5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 xml:space="preserve">alega </w:t>
      </w:r>
      <w:r w:rsidR="00090227">
        <w:rPr>
          <w:rFonts w:asciiTheme="majorHAnsi" w:eastAsia="Times New Roman" w:hAnsiTheme="majorHAnsi"/>
          <w:sz w:val="20"/>
          <w:szCs w:val="20"/>
          <w:lang w:val="es-ES"/>
        </w:rPr>
        <w:t>que los argumentos expuestos por</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Corte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Suprema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Misuri</w:t>
      </w:r>
      <w:r w:rsidR="00077882">
        <w:rPr>
          <w:rFonts w:asciiTheme="majorHAnsi" w:eastAsia="Times New Roman" w:hAnsiTheme="majorHAnsi"/>
          <w:sz w:val="20"/>
          <w:szCs w:val="20"/>
          <w:lang w:val="es-ES"/>
        </w:rPr>
        <w:t xml:space="preserve"> - </w:t>
      </w:r>
      <w:r w:rsidR="00090227">
        <w:rPr>
          <w:rFonts w:asciiTheme="majorHAnsi" w:eastAsia="Times New Roman" w:hAnsiTheme="majorHAnsi"/>
          <w:sz w:val="20"/>
          <w:szCs w:val="20"/>
          <w:lang w:val="es-ES"/>
        </w:rPr>
        <w:t xml:space="preserve">que el acusado formuló amenazas de muerte o se formularon amenazas de ese tipo en su presencia, que el acusado continuó las actividades delictivas después que se </w:t>
      </w:r>
      <w:r w:rsidR="00AA6698">
        <w:rPr>
          <w:rFonts w:asciiTheme="majorHAnsi" w:eastAsia="Times New Roman" w:hAnsiTheme="majorHAnsi"/>
          <w:sz w:val="20"/>
          <w:szCs w:val="20"/>
          <w:lang w:val="es-ES"/>
        </w:rPr>
        <w:t xml:space="preserve">profirieron </w:t>
      </w:r>
      <w:r w:rsidR="00090227">
        <w:rPr>
          <w:rFonts w:asciiTheme="majorHAnsi" w:eastAsia="Times New Roman" w:hAnsiTheme="majorHAnsi"/>
          <w:sz w:val="20"/>
          <w:szCs w:val="20"/>
          <w:lang w:val="es-ES"/>
        </w:rPr>
        <w:t xml:space="preserve">las amenazas de matar a las víctimas y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F724E"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090227">
        <w:rPr>
          <w:rFonts w:asciiTheme="majorHAnsi" w:eastAsia="Times New Roman" w:hAnsiTheme="majorHAnsi"/>
          <w:sz w:val="20"/>
          <w:szCs w:val="20"/>
          <w:lang w:val="es-ES"/>
        </w:rPr>
        <w:t xml:space="preserve">actuaba como líder y </w:t>
      </w:r>
      <w:r>
        <w:rPr>
          <w:rFonts w:asciiTheme="majorHAnsi" w:eastAsia="Times New Roman" w:hAnsiTheme="majorHAnsi"/>
          <w:sz w:val="20"/>
          <w:szCs w:val="20"/>
          <w:lang w:val="es-ES"/>
        </w:rPr>
        <w:t>ejecutor</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del grupo</w:t>
      </w:r>
      <w:r w:rsidR="005F724E" w:rsidRPr="009D1E2F">
        <w:rPr>
          <w:rStyle w:val="FootnoteReference"/>
          <w:rFonts w:asciiTheme="majorHAnsi" w:eastAsia="Times New Roman" w:hAnsiTheme="majorHAnsi"/>
          <w:sz w:val="20"/>
          <w:szCs w:val="20"/>
          <w:lang w:val="es-ES"/>
        </w:rPr>
        <w:footnoteReference w:id="4"/>
      </w:r>
      <w:r w:rsidR="00077882">
        <w:rPr>
          <w:rFonts w:asciiTheme="majorHAnsi" w:eastAsia="Times New Roman" w:hAnsiTheme="majorHAnsi"/>
          <w:sz w:val="20"/>
          <w:szCs w:val="20"/>
          <w:lang w:val="es-ES"/>
        </w:rPr>
        <w:t xml:space="preserve"> -</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eran insuficientes desde el punto de vista jurídico para fundamentar la condena de</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DB4573"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77882">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077882">
        <w:rPr>
          <w:rFonts w:asciiTheme="majorHAnsi" w:eastAsia="Times New Roman" w:hAnsiTheme="majorHAnsi"/>
          <w:sz w:val="20"/>
          <w:szCs w:val="20"/>
          <w:lang w:val="es-ES"/>
        </w:rPr>
        <w:t>afirma</w:t>
      </w:r>
      <w:r w:rsidR="00AA6698">
        <w:rPr>
          <w:rFonts w:asciiTheme="majorHAnsi" w:eastAsia="Times New Roman" w:hAnsiTheme="majorHAnsi"/>
          <w:sz w:val="20"/>
          <w:szCs w:val="20"/>
          <w:lang w:val="es-ES"/>
        </w:rPr>
        <w:t xml:space="preserve"> que e</w:t>
      </w:r>
      <w:r w:rsidR="00077882">
        <w:rPr>
          <w:rFonts w:asciiTheme="majorHAnsi" w:eastAsia="Times New Roman" w:hAnsiTheme="majorHAnsi"/>
          <w:sz w:val="20"/>
          <w:szCs w:val="20"/>
          <w:lang w:val="es-ES"/>
        </w:rPr>
        <w:t>ll</w:t>
      </w:r>
      <w:r w:rsidR="00AA6698">
        <w:rPr>
          <w:rFonts w:asciiTheme="majorHAnsi" w:eastAsia="Times New Roman" w:hAnsiTheme="majorHAnsi"/>
          <w:sz w:val="20"/>
          <w:szCs w:val="20"/>
          <w:lang w:val="es-ES"/>
        </w:rPr>
        <w:t xml:space="preserve">o se debe a que ni los participantes en la violación ni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proofErr w:type="spellStart"/>
      <w:r w:rsidR="00DB4573" w:rsidRPr="009D1E2F">
        <w:rPr>
          <w:rFonts w:asciiTheme="majorHAnsi" w:eastAsia="Times New Roman" w:hAnsiTheme="majorHAnsi"/>
          <w:sz w:val="20"/>
          <w:szCs w:val="20"/>
          <w:lang w:val="es-ES"/>
        </w:rPr>
        <w:t>Cummins</w:t>
      </w:r>
      <w:proofErr w:type="spellEnd"/>
      <w:r w:rsidR="009C56A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la víctima sobreviviente</w:t>
      </w:r>
      <w:r w:rsidR="00AA6698">
        <w:rPr>
          <w:rFonts w:asciiTheme="majorHAnsi" w:eastAsia="Times New Roman" w:hAnsiTheme="majorHAnsi"/>
          <w:sz w:val="20"/>
          <w:szCs w:val="20"/>
          <w:lang w:val="es-ES"/>
        </w:rPr>
        <w:t xml:space="preserve">, </w:t>
      </w:r>
      <w:proofErr w:type="gramStart"/>
      <w:r w:rsidR="00AA6698">
        <w:rPr>
          <w:rFonts w:asciiTheme="majorHAnsi" w:eastAsia="Times New Roman" w:hAnsiTheme="majorHAnsi"/>
          <w:sz w:val="20"/>
          <w:szCs w:val="20"/>
          <w:lang w:val="es-ES"/>
        </w:rPr>
        <w:t>declararon como</w:t>
      </w:r>
      <w:proofErr w:type="gramEnd"/>
      <w:r w:rsidR="00AA6698">
        <w:rPr>
          <w:rFonts w:asciiTheme="majorHAnsi" w:eastAsia="Times New Roman" w:hAnsiTheme="majorHAnsi"/>
          <w:sz w:val="20"/>
          <w:szCs w:val="20"/>
          <w:lang w:val="es-ES"/>
        </w:rPr>
        <w:t xml:space="preserve"> testigos y a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647ECE"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 xml:space="preserve">no cumplió su presunta amenaza de obligar al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DB4573" w:rsidRPr="009D1E2F">
        <w:rPr>
          <w:rFonts w:asciiTheme="majorHAnsi" w:eastAsia="Times New Roman" w:hAnsiTheme="majorHAnsi"/>
          <w:sz w:val="20"/>
          <w:szCs w:val="20"/>
          <w:lang w:val="es-ES"/>
        </w:rPr>
        <w:t>Winfrey</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a participar en la violación.</w:t>
      </w:r>
    </w:p>
    <w:p w14:paraId="2C665E53" w14:textId="77777777" w:rsidR="0094103C" w:rsidRPr="009D1E2F" w:rsidRDefault="0094103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lang w:val="es-ES"/>
        </w:rPr>
      </w:pPr>
    </w:p>
    <w:p w14:paraId="6E3D71A3" w14:textId="77777777" w:rsidR="0094103C" w:rsidRPr="009D1E2F" w:rsidRDefault="006C2EF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En l</w:t>
      </w:r>
      <w:r w:rsidR="000E2468"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petición</w:t>
      </w:r>
      <w:r w:rsidR="00B059EC" w:rsidRPr="009D1E2F">
        <w:rPr>
          <w:rFonts w:asciiTheme="majorHAnsi" w:hAnsiTheme="majorHAnsi"/>
          <w:sz w:val="20"/>
          <w:szCs w:val="20"/>
          <w:lang w:val="es-ES"/>
        </w:rPr>
        <w:t xml:space="preserve"> </w:t>
      </w:r>
      <w:r w:rsidR="00AA6698">
        <w:rPr>
          <w:rFonts w:asciiTheme="majorHAnsi" w:hAnsiTheme="majorHAnsi"/>
          <w:sz w:val="20"/>
          <w:szCs w:val="20"/>
          <w:lang w:val="es-ES"/>
        </w:rPr>
        <w:t xml:space="preserve">se señala que </w:t>
      </w:r>
      <w:r w:rsidR="007D747A"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Corte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Suprema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Misuri</w:t>
      </w:r>
      <w:r w:rsidR="00B059EC" w:rsidRPr="009D1E2F">
        <w:rPr>
          <w:rFonts w:asciiTheme="majorHAnsi" w:hAnsiTheme="majorHAnsi"/>
          <w:sz w:val="20"/>
          <w:szCs w:val="20"/>
          <w:lang w:val="es-ES"/>
        </w:rPr>
        <w:t xml:space="preserve"> </w:t>
      </w:r>
      <w:r w:rsidR="00AA6698">
        <w:rPr>
          <w:rFonts w:asciiTheme="majorHAnsi" w:hAnsiTheme="majorHAnsi"/>
          <w:sz w:val="20"/>
          <w:szCs w:val="20"/>
          <w:lang w:val="es-ES"/>
        </w:rPr>
        <w:t xml:space="preserve">cometió importantes </w:t>
      </w:r>
      <w:r w:rsidR="007F35ED">
        <w:rPr>
          <w:rFonts w:asciiTheme="majorHAnsi" w:hAnsiTheme="majorHAnsi"/>
          <w:sz w:val="20"/>
          <w:szCs w:val="20"/>
          <w:lang w:val="es-ES"/>
        </w:rPr>
        <w:t xml:space="preserve">errores </w:t>
      </w:r>
      <w:r w:rsidR="00AA6698">
        <w:rPr>
          <w:rFonts w:asciiTheme="majorHAnsi" w:hAnsiTheme="majorHAnsi"/>
          <w:sz w:val="20"/>
          <w:szCs w:val="20"/>
          <w:lang w:val="es-ES"/>
        </w:rPr>
        <w:t xml:space="preserve">de hecho y de derecho que socavan la validez de </w:t>
      </w:r>
      <w:r w:rsidR="007F35ED">
        <w:rPr>
          <w:rFonts w:asciiTheme="majorHAnsi" w:hAnsiTheme="majorHAnsi"/>
          <w:sz w:val="20"/>
          <w:szCs w:val="20"/>
          <w:lang w:val="es-ES"/>
        </w:rPr>
        <w:t xml:space="preserve">la ratificación de </w:t>
      </w:r>
      <w:r w:rsidR="00AA6698">
        <w:rPr>
          <w:rFonts w:asciiTheme="majorHAnsi" w:hAnsiTheme="majorHAnsi"/>
          <w:sz w:val="20"/>
          <w:szCs w:val="20"/>
          <w:lang w:val="es-ES"/>
        </w:rPr>
        <w:t>la condena por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AA6698">
        <w:rPr>
          <w:rFonts w:asciiTheme="majorHAnsi" w:hAnsiTheme="majorHAnsi"/>
          <w:sz w:val="20"/>
          <w:szCs w:val="20"/>
          <w:lang w:val="es-ES"/>
        </w:rPr>
        <w:t xml:space="preserve">. </w:t>
      </w:r>
      <w:r w:rsidR="00077882">
        <w:rPr>
          <w:rFonts w:asciiTheme="majorHAnsi" w:hAnsiTheme="majorHAnsi"/>
          <w:sz w:val="20"/>
          <w:szCs w:val="20"/>
          <w:lang w:val="es-ES"/>
        </w:rPr>
        <w:t>La parte peticionaria</w:t>
      </w:r>
      <w:r w:rsidR="00B059EC" w:rsidRPr="009D1E2F">
        <w:rPr>
          <w:rFonts w:asciiTheme="majorHAnsi" w:hAnsiTheme="majorHAnsi"/>
          <w:sz w:val="20"/>
          <w:szCs w:val="20"/>
          <w:lang w:val="es-ES"/>
        </w:rPr>
        <w:t xml:space="preserve"> </w:t>
      </w:r>
      <w:r>
        <w:rPr>
          <w:rFonts w:asciiTheme="majorHAnsi" w:hAnsiTheme="majorHAnsi"/>
          <w:sz w:val="20"/>
          <w:szCs w:val="20"/>
          <w:lang w:val="es-ES"/>
        </w:rPr>
        <w:t>afirma</w:t>
      </w:r>
      <w:r w:rsidR="00077882">
        <w:rPr>
          <w:rFonts w:asciiTheme="majorHAnsi" w:hAnsiTheme="majorHAnsi"/>
          <w:sz w:val="20"/>
          <w:szCs w:val="20"/>
          <w:lang w:val="es-ES"/>
        </w:rPr>
        <w:t xml:space="preserve"> que</w:t>
      </w:r>
      <w:r>
        <w:rPr>
          <w:rFonts w:asciiTheme="majorHAnsi" w:hAnsiTheme="majorHAnsi"/>
          <w:sz w:val="20"/>
          <w:szCs w:val="20"/>
          <w:lang w:val="es-ES"/>
        </w:rPr>
        <w:t xml:space="preserve"> </w:t>
      </w:r>
      <w:r w:rsidR="00AA6698">
        <w:rPr>
          <w:rFonts w:asciiTheme="majorHAnsi" w:hAnsiTheme="majorHAnsi"/>
          <w:sz w:val="20"/>
          <w:szCs w:val="20"/>
          <w:lang w:val="es-ES"/>
        </w:rPr>
        <w:t>se cometieron tres errores cruciales</w:t>
      </w:r>
      <w:r w:rsidR="009F3B22"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Primero, alega que </w:t>
      </w:r>
      <w:r w:rsidR="00AA6698">
        <w:rPr>
          <w:rFonts w:asciiTheme="majorHAnsi" w:hAnsiTheme="majorHAnsi"/>
          <w:sz w:val="20"/>
          <w:szCs w:val="20"/>
          <w:lang w:val="es-ES"/>
        </w:rPr>
        <w:t>el tribunal</w:t>
      </w:r>
      <w:r w:rsidR="00B059EC" w:rsidRPr="009D1E2F">
        <w:rPr>
          <w:rFonts w:asciiTheme="majorHAnsi" w:hAnsiTheme="majorHAnsi"/>
          <w:sz w:val="20"/>
          <w:szCs w:val="20"/>
          <w:lang w:val="es-ES"/>
        </w:rPr>
        <w:t xml:space="preserve"> </w:t>
      </w:r>
      <w:r w:rsidR="00DB1DA3" w:rsidRPr="009D1E2F">
        <w:rPr>
          <w:rFonts w:asciiTheme="majorHAnsi" w:hAnsiTheme="majorHAnsi"/>
          <w:sz w:val="20"/>
          <w:szCs w:val="20"/>
          <w:lang w:val="es-ES"/>
        </w:rPr>
        <w:t>at</w:t>
      </w:r>
      <w:r w:rsidR="00AF2A65">
        <w:rPr>
          <w:rFonts w:asciiTheme="majorHAnsi" w:hAnsiTheme="majorHAnsi"/>
          <w:sz w:val="20"/>
          <w:szCs w:val="20"/>
          <w:lang w:val="es-ES"/>
        </w:rPr>
        <w:t>ribuyó a</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DB1DA3"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sidR="00AF2A65">
        <w:rPr>
          <w:rFonts w:asciiTheme="majorHAnsi" w:hAnsiTheme="majorHAnsi"/>
          <w:sz w:val="20"/>
          <w:szCs w:val="20"/>
          <w:lang w:val="es-ES"/>
        </w:rPr>
        <w:t xml:space="preserve">declaraciones que no había hecho con respecto a una discusión sobre si </w:t>
      </w:r>
      <w:proofErr w:type="gramStart"/>
      <w:r w:rsidR="00077882">
        <w:rPr>
          <w:rFonts w:asciiTheme="majorHAnsi" w:hAnsiTheme="majorHAnsi"/>
          <w:sz w:val="20"/>
          <w:szCs w:val="20"/>
          <w:lang w:val="es-ES"/>
        </w:rPr>
        <w:t>asesinarían</w:t>
      </w:r>
      <w:proofErr w:type="gramEnd"/>
      <w:r w:rsidR="00E93940">
        <w:rPr>
          <w:rFonts w:asciiTheme="majorHAnsi" w:hAnsiTheme="majorHAnsi"/>
          <w:sz w:val="20"/>
          <w:szCs w:val="20"/>
          <w:lang w:val="es-ES"/>
        </w:rPr>
        <w:t xml:space="preserve"> </w:t>
      </w:r>
      <w:r w:rsidR="00AF2A65">
        <w:rPr>
          <w:rFonts w:asciiTheme="majorHAnsi" w:hAnsiTheme="majorHAnsi"/>
          <w:sz w:val="20"/>
          <w:szCs w:val="20"/>
          <w:lang w:val="es-ES"/>
        </w:rPr>
        <w:t xml:space="preserve">al </w:t>
      </w:r>
      <w:r w:rsidR="000E2468" w:rsidRPr="009D1E2F">
        <w:rPr>
          <w:rFonts w:asciiTheme="majorHAnsi" w:hAnsiTheme="majorHAnsi"/>
          <w:sz w:val="20"/>
          <w:szCs w:val="20"/>
          <w:lang w:val="es-ES"/>
        </w:rPr>
        <w:t>señor</w:t>
      </w:r>
      <w:r w:rsidR="00E93940">
        <w:rPr>
          <w:rFonts w:asciiTheme="majorHAnsi" w:hAnsiTheme="majorHAnsi"/>
          <w:sz w:val="20"/>
          <w:szCs w:val="20"/>
          <w:lang w:val="es-ES"/>
        </w:rPr>
        <w:t xml:space="preserve"> </w:t>
      </w:r>
      <w:proofErr w:type="spellStart"/>
      <w:r w:rsidR="00E93940">
        <w:rPr>
          <w:rFonts w:asciiTheme="majorHAnsi" w:hAnsiTheme="majorHAnsi"/>
          <w:sz w:val="20"/>
          <w:szCs w:val="20"/>
          <w:lang w:val="es-ES"/>
        </w:rPr>
        <w:t>Cummins</w:t>
      </w:r>
      <w:proofErr w:type="spellEnd"/>
      <w:r w:rsidR="009F3B22"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9F3B22" w:rsidRPr="009D1E2F">
        <w:rPr>
          <w:rFonts w:asciiTheme="majorHAnsi" w:hAnsiTheme="majorHAnsi"/>
          <w:sz w:val="20"/>
          <w:szCs w:val="20"/>
          <w:lang w:val="es-ES"/>
        </w:rPr>
        <w:t>Se</w:t>
      </w:r>
      <w:r>
        <w:rPr>
          <w:rFonts w:asciiTheme="majorHAnsi" w:hAnsiTheme="majorHAnsi"/>
          <w:sz w:val="20"/>
          <w:szCs w:val="20"/>
          <w:lang w:val="es-ES"/>
        </w:rPr>
        <w:t xml:space="preserve">gundo, </w:t>
      </w:r>
      <w:r w:rsidR="00F30741">
        <w:rPr>
          <w:rFonts w:asciiTheme="majorHAnsi" w:hAnsiTheme="majorHAnsi"/>
          <w:sz w:val="20"/>
          <w:szCs w:val="20"/>
          <w:lang w:val="es-ES"/>
        </w:rPr>
        <w:t>indica</w:t>
      </w:r>
      <w:r>
        <w:rPr>
          <w:rFonts w:asciiTheme="majorHAnsi" w:hAnsiTheme="majorHAnsi"/>
          <w:sz w:val="20"/>
          <w:szCs w:val="20"/>
          <w:lang w:val="es-ES"/>
        </w:rPr>
        <w:t xml:space="preserve"> que </w:t>
      </w:r>
      <w:r w:rsidR="00AA6698">
        <w:rPr>
          <w:rFonts w:asciiTheme="majorHAnsi" w:hAnsiTheme="majorHAnsi"/>
          <w:sz w:val="20"/>
          <w:szCs w:val="20"/>
          <w:lang w:val="es-ES"/>
        </w:rPr>
        <w:t>el tribunal</w:t>
      </w:r>
      <w:r w:rsidR="00B059EC" w:rsidRPr="009D1E2F">
        <w:rPr>
          <w:rFonts w:asciiTheme="majorHAnsi" w:hAnsiTheme="majorHAnsi"/>
          <w:sz w:val="20"/>
          <w:szCs w:val="20"/>
          <w:lang w:val="es-ES"/>
        </w:rPr>
        <w:t xml:space="preserve"> </w:t>
      </w:r>
      <w:r w:rsidR="00077882">
        <w:rPr>
          <w:rFonts w:asciiTheme="majorHAnsi" w:hAnsiTheme="majorHAnsi"/>
          <w:sz w:val="20"/>
          <w:szCs w:val="20"/>
          <w:lang w:val="es-ES"/>
        </w:rPr>
        <w:t>realizó</w:t>
      </w:r>
      <w:r w:rsidR="00AF2A65">
        <w:rPr>
          <w:rFonts w:asciiTheme="majorHAnsi" w:hAnsiTheme="majorHAnsi"/>
          <w:sz w:val="20"/>
          <w:szCs w:val="20"/>
          <w:lang w:val="es-ES"/>
        </w:rPr>
        <w:t xml:space="preserve"> inferencias </w:t>
      </w:r>
      <w:r w:rsidR="00DB1DA3" w:rsidRPr="009D1E2F">
        <w:rPr>
          <w:rFonts w:asciiTheme="majorHAnsi" w:hAnsiTheme="majorHAnsi"/>
          <w:sz w:val="20"/>
          <w:szCs w:val="20"/>
          <w:lang w:val="es-ES"/>
        </w:rPr>
        <w:t>impermisible</w:t>
      </w:r>
      <w:r w:rsidR="00AF2A65">
        <w:rPr>
          <w:rFonts w:asciiTheme="majorHAnsi" w:hAnsiTheme="majorHAnsi"/>
          <w:sz w:val="20"/>
          <w:szCs w:val="20"/>
          <w:lang w:val="es-ES"/>
        </w:rPr>
        <w:t>s de la confesión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DB1DA3" w:rsidRPr="009D1E2F">
        <w:rPr>
          <w:rFonts w:asciiTheme="majorHAnsi" w:hAnsiTheme="majorHAnsi"/>
          <w:sz w:val="20"/>
          <w:szCs w:val="20"/>
          <w:lang w:val="es-ES"/>
        </w:rPr>
        <w:t>Gray</w:t>
      </w:r>
      <w:r w:rsidR="00F30741">
        <w:rPr>
          <w:rFonts w:asciiTheme="majorHAnsi" w:hAnsiTheme="majorHAnsi"/>
          <w:sz w:val="20"/>
          <w:szCs w:val="20"/>
          <w:lang w:val="es-ES"/>
        </w:rPr>
        <w:t xml:space="preserve">, </w:t>
      </w:r>
      <w:r w:rsidR="00AF2A65">
        <w:rPr>
          <w:rFonts w:asciiTheme="majorHAnsi" w:hAnsiTheme="majorHAnsi"/>
          <w:sz w:val="20"/>
          <w:szCs w:val="20"/>
          <w:lang w:val="es-ES"/>
        </w:rPr>
        <w:t>en particular al us</w:t>
      </w:r>
      <w:r w:rsidR="00F30741">
        <w:rPr>
          <w:rFonts w:asciiTheme="majorHAnsi" w:hAnsiTheme="majorHAnsi"/>
          <w:sz w:val="20"/>
          <w:szCs w:val="20"/>
          <w:lang w:val="es-ES"/>
        </w:rPr>
        <w:t xml:space="preserve">ar </w:t>
      </w:r>
      <w:r w:rsidR="00E93940">
        <w:rPr>
          <w:rFonts w:asciiTheme="majorHAnsi" w:hAnsiTheme="majorHAnsi"/>
          <w:sz w:val="20"/>
          <w:szCs w:val="20"/>
          <w:lang w:val="es-ES"/>
        </w:rPr>
        <w:t>su</w:t>
      </w:r>
      <w:r w:rsidR="00AF2A65">
        <w:rPr>
          <w:rFonts w:asciiTheme="majorHAnsi" w:hAnsiTheme="majorHAnsi"/>
          <w:sz w:val="20"/>
          <w:szCs w:val="20"/>
          <w:lang w:val="es-ES"/>
        </w:rPr>
        <w:t xml:space="preserve"> declaración de que </w:t>
      </w:r>
      <w:r w:rsidR="00077882">
        <w:rPr>
          <w:rFonts w:asciiTheme="majorHAnsi" w:hAnsiTheme="majorHAnsi"/>
          <w:sz w:val="20"/>
          <w:szCs w:val="20"/>
          <w:lang w:val="es-ES"/>
        </w:rPr>
        <w:t>él “</w:t>
      </w:r>
      <w:r w:rsidR="00E93940">
        <w:rPr>
          <w:rFonts w:asciiTheme="majorHAnsi" w:hAnsiTheme="majorHAnsi"/>
          <w:sz w:val="20"/>
          <w:szCs w:val="20"/>
          <w:lang w:val="es-ES"/>
        </w:rPr>
        <w:t xml:space="preserve">creía </w:t>
      </w:r>
      <w:r w:rsidR="00AF2A65">
        <w:rPr>
          <w:rFonts w:asciiTheme="majorHAnsi" w:hAnsiTheme="majorHAnsi"/>
          <w:sz w:val="20"/>
          <w:szCs w:val="20"/>
          <w:lang w:val="es-ES"/>
        </w:rPr>
        <w:t xml:space="preserve">que </w:t>
      </w:r>
      <w:r w:rsidR="00DB1DA3" w:rsidRPr="009D1E2F">
        <w:rPr>
          <w:rFonts w:asciiTheme="majorHAnsi" w:hAnsiTheme="majorHAnsi"/>
          <w:sz w:val="20"/>
          <w:szCs w:val="20"/>
          <w:lang w:val="es-ES"/>
        </w:rPr>
        <w:t>Richardson</w:t>
      </w:r>
      <w:r w:rsidR="00B059EC" w:rsidRPr="009D1E2F">
        <w:rPr>
          <w:rFonts w:asciiTheme="majorHAnsi" w:hAnsiTheme="majorHAnsi"/>
          <w:sz w:val="20"/>
          <w:szCs w:val="20"/>
          <w:lang w:val="es-ES"/>
        </w:rPr>
        <w:t xml:space="preserve"> </w:t>
      </w:r>
      <w:r w:rsidR="00DB1DA3" w:rsidRPr="009D1E2F">
        <w:rPr>
          <w:rFonts w:asciiTheme="majorHAnsi" w:hAnsiTheme="majorHAnsi"/>
          <w:sz w:val="20"/>
          <w:szCs w:val="20"/>
          <w:lang w:val="es-ES"/>
        </w:rPr>
        <w:t>ha</w:t>
      </w:r>
      <w:r w:rsidR="00AF2A65">
        <w:rPr>
          <w:rFonts w:asciiTheme="majorHAnsi" w:hAnsiTheme="majorHAnsi"/>
          <w:sz w:val="20"/>
          <w:szCs w:val="20"/>
          <w:lang w:val="es-ES"/>
        </w:rPr>
        <w:t xml:space="preserve">bía llevado a </w:t>
      </w:r>
      <w:r w:rsidR="00077882">
        <w:rPr>
          <w:rFonts w:asciiTheme="majorHAnsi" w:hAnsiTheme="majorHAnsi"/>
          <w:sz w:val="20"/>
          <w:szCs w:val="20"/>
          <w:lang w:val="es-ES"/>
        </w:rPr>
        <w:t>[</w:t>
      </w:r>
      <w:r w:rsidR="00DB1DA3" w:rsidRPr="009D1E2F">
        <w:rPr>
          <w:rFonts w:asciiTheme="majorHAnsi" w:hAnsiTheme="majorHAnsi"/>
          <w:sz w:val="20"/>
          <w:szCs w:val="20"/>
          <w:lang w:val="es-ES"/>
        </w:rPr>
        <w:t>Julie</w:t>
      </w:r>
      <w:r w:rsidR="00B059EC" w:rsidRPr="009D1E2F">
        <w:rPr>
          <w:rFonts w:asciiTheme="majorHAnsi" w:hAnsiTheme="majorHAnsi"/>
          <w:sz w:val="20"/>
          <w:szCs w:val="20"/>
          <w:lang w:val="es-ES"/>
        </w:rPr>
        <w:t xml:space="preserve"> </w:t>
      </w:r>
      <w:r w:rsidR="00DB1DA3" w:rsidRPr="009D1E2F">
        <w:rPr>
          <w:rFonts w:asciiTheme="majorHAnsi" w:hAnsiTheme="majorHAnsi"/>
          <w:sz w:val="20"/>
          <w:szCs w:val="20"/>
          <w:lang w:val="es-ES"/>
        </w:rPr>
        <w:t>Kerry</w:t>
      </w:r>
      <w:r w:rsidR="00077882">
        <w:rPr>
          <w:rFonts w:asciiTheme="majorHAnsi" w:hAnsiTheme="majorHAnsi"/>
          <w:sz w:val="20"/>
          <w:szCs w:val="20"/>
          <w:lang w:val="es-ES"/>
        </w:rPr>
        <w:t>]</w:t>
      </w:r>
      <w:r w:rsidR="00AF2A65">
        <w:rPr>
          <w:rFonts w:asciiTheme="majorHAnsi" w:hAnsiTheme="majorHAnsi"/>
          <w:sz w:val="20"/>
          <w:szCs w:val="20"/>
          <w:lang w:val="es-ES"/>
        </w:rPr>
        <w:t xml:space="preserve"> hasta el final del puente, donde pod</w:t>
      </w:r>
      <w:r w:rsidR="00F30741">
        <w:rPr>
          <w:rFonts w:asciiTheme="majorHAnsi" w:hAnsiTheme="majorHAnsi"/>
          <w:sz w:val="20"/>
          <w:szCs w:val="20"/>
          <w:lang w:val="es-ES"/>
        </w:rPr>
        <w:t xml:space="preserve">ría </w:t>
      </w:r>
      <w:r w:rsidR="00077882">
        <w:rPr>
          <w:rFonts w:asciiTheme="majorHAnsi" w:hAnsiTheme="majorHAnsi"/>
          <w:sz w:val="20"/>
          <w:szCs w:val="20"/>
          <w:lang w:val="es-ES"/>
        </w:rPr>
        <w:t>llevarla</w:t>
      </w:r>
      <w:r w:rsidR="00F30741">
        <w:rPr>
          <w:rFonts w:asciiTheme="majorHAnsi" w:hAnsiTheme="majorHAnsi"/>
          <w:sz w:val="20"/>
          <w:szCs w:val="20"/>
          <w:lang w:val="es-ES"/>
        </w:rPr>
        <w:t xml:space="preserve"> junto al río y ahogarla o algo </w:t>
      </w:r>
      <w:r w:rsidR="00077882">
        <w:rPr>
          <w:rFonts w:asciiTheme="majorHAnsi" w:hAnsiTheme="majorHAnsi"/>
          <w:sz w:val="20"/>
          <w:szCs w:val="20"/>
          <w:lang w:val="es-ES"/>
        </w:rPr>
        <w:t>así”</w:t>
      </w:r>
      <w:r w:rsidR="00CD57D3" w:rsidRPr="009D1E2F">
        <w:rPr>
          <w:rStyle w:val="FootnoteReference"/>
          <w:rFonts w:asciiTheme="majorHAnsi" w:hAnsiTheme="majorHAnsi"/>
          <w:sz w:val="20"/>
          <w:szCs w:val="20"/>
          <w:lang w:val="es-ES"/>
        </w:rPr>
        <w:footnoteReference w:id="5"/>
      </w:r>
      <w:r w:rsidR="00F30741">
        <w:rPr>
          <w:rFonts w:asciiTheme="majorHAnsi" w:hAnsiTheme="majorHAnsi"/>
          <w:sz w:val="20"/>
          <w:szCs w:val="20"/>
          <w:lang w:val="es-ES"/>
        </w:rPr>
        <w:t xml:space="preserve">, como prueba suficiente para permitir la inferencia de intención. Tercero, aduce que </w:t>
      </w:r>
      <w:r w:rsidR="00AA6698">
        <w:rPr>
          <w:rFonts w:asciiTheme="majorHAnsi" w:hAnsiTheme="majorHAnsi"/>
          <w:sz w:val="20"/>
          <w:szCs w:val="20"/>
          <w:lang w:val="es-ES"/>
        </w:rPr>
        <w:t>el tribunal</w:t>
      </w:r>
      <w:r w:rsidR="00B059EC" w:rsidRPr="009D1E2F">
        <w:rPr>
          <w:rFonts w:asciiTheme="majorHAnsi" w:hAnsiTheme="majorHAnsi"/>
          <w:sz w:val="20"/>
          <w:szCs w:val="20"/>
          <w:lang w:val="es-ES"/>
        </w:rPr>
        <w:t xml:space="preserve"> </w:t>
      </w:r>
      <w:r w:rsidR="00F30741">
        <w:rPr>
          <w:rFonts w:asciiTheme="majorHAnsi" w:hAnsiTheme="majorHAnsi"/>
          <w:sz w:val="20"/>
          <w:szCs w:val="20"/>
          <w:lang w:val="es-ES"/>
        </w:rPr>
        <w:t>no estaba en lo correcto cuando</w:t>
      </w:r>
      <w:r w:rsidR="00E93940">
        <w:rPr>
          <w:rFonts w:asciiTheme="majorHAnsi" w:hAnsiTheme="majorHAnsi"/>
          <w:sz w:val="20"/>
          <w:szCs w:val="20"/>
          <w:lang w:val="es-ES"/>
        </w:rPr>
        <w:t xml:space="preserve">, tras escuchar </w:t>
      </w:r>
      <w:r w:rsidR="00F30741">
        <w:rPr>
          <w:rFonts w:asciiTheme="majorHAnsi" w:hAnsiTheme="majorHAnsi"/>
          <w:sz w:val="20"/>
          <w:szCs w:val="20"/>
          <w:lang w:val="es-ES"/>
        </w:rPr>
        <w:t>el testimonio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proofErr w:type="spellStart"/>
      <w:r w:rsidR="00AB09C5" w:rsidRPr="009D1E2F">
        <w:rPr>
          <w:rFonts w:asciiTheme="majorHAnsi" w:hAnsiTheme="majorHAnsi"/>
          <w:sz w:val="20"/>
          <w:szCs w:val="20"/>
          <w:lang w:val="es-ES"/>
        </w:rPr>
        <w:t>Cummins</w:t>
      </w:r>
      <w:proofErr w:type="spellEnd"/>
      <w:r w:rsidR="00F30741">
        <w:rPr>
          <w:rFonts w:asciiTheme="majorHAnsi" w:hAnsiTheme="majorHAnsi"/>
          <w:sz w:val="20"/>
          <w:szCs w:val="20"/>
          <w:lang w:val="es-ES"/>
        </w:rPr>
        <w:t xml:space="preserve">, quien declaró que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AB09C5" w:rsidRPr="009D1E2F">
        <w:rPr>
          <w:rFonts w:asciiTheme="majorHAnsi" w:hAnsiTheme="majorHAnsi"/>
          <w:sz w:val="20"/>
          <w:szCs w:val="20"/>
          <w:lang w:val="es-ES"/>
        </w:rPr>
        <w:t>Gray</w:t>
      </w:r>
      <w:r w:rsidR="00F30741">
        <w:rPr>
          <w:rFonts w:asciiTheme="majorHAnsi" w:hAnsiTheme="majorHAnsi"/>
          <w:sz w:val="20"/>
          <w:szCs w:val="20"/>
          <w:lang w:val="es-ES"/>
        </w:rPr>
        <w:t xml:space="preserve"> le había dicho que le </w:t>
      </w:r>
      <w:r w:rsidR="005C0BC0">
        <w:rPr>
          <w:rFonts w:asciiTheme="majorHAnsi" w:hAnsiTheme="majorHAnsi"/>
          <w:sz w:val="20"/>
          <w:szCs w:val="20"/>
          <w:lang w:val="es-ES"/>
        </w:rPr>
        <w:t xml:space="preserve">pegaría un tiro </w:t>
      </w:r>
      <w:r w:rsidR="00F30741">
        <w:rPr>
          <w:rFonts w:asciiTheme="majorHAnsi" w:hAnsiTheme="majorHAnsi"/>
          <w:sz w:val="20"/>
          <w:szCs w:val="20"/>
          <w:lang w:val="es-ES"/>
        </w:rPr>
        <w:t>si miraba hacia arriba</w:t>
      </w:r>
      <w:r w:rsidR="00E93940">
        <w:rPr>
          <w:rFonts w:asciiTheme="majorHAnsi" w:hAnsiTheme="majorHAnsi"/>
          <w:sz w:val="20"/>
          <w:szCs w:val="20"/>
          <w:lang w:val="es-ES"/>
        </w:rPr>
        <w:t>,</w:t>
      </w:r>
      <w:r w:rsidR="00E93940" w:rsidRPr="00E93940">
        <w:rPr>
          <w:rFonts w:asciiTheme="majorHAnsi" w:hAnsiTheme="majorHAnsi"/>
          <w:sz w:val="20"/>
          <w:szCs w:val="20"/>
          <w:lang w:val="es-ES"/>
        </w:rPr>
        <w:t xml:space="preserve"> concluyó que el señor Gray tenía una pistola</w:t>
      </w:r>
      <w:r w:rsidR="00F30741">
        <w:rPr>
          <w:rFonts w:asciiTheme="majorHAnsi" w:hAnsiTheme="majorHAnsi"/>
          <w:sz w:val="20"/>
          <w:szCs w:val="20"/>
          <w:lang w:val="es-ES"/>
        </w:rPr>
        <w:t>.</w:t>
      </w:r>
    </w:p>
    <w:p w14:paraId="463D721A" w14:textId="77777777" w:rsidR="00E82A9C" w:rsidRPr="009D1E2F" w:rsidRDefault="00E82A9C" w:rsidP="00817426">
      <w:pPr>
        <w:pStyle w:val="ListParagraph"/>
        <w:rPr>
          <w:rFonts w:asciiTheme="majorHAnsi" w:hAnsiTheme="majorHAnsi"/>
          <w:sz w:val="20"/>
          <w:szCs w:val="20"/>
          <w:lang w:val="es-ES"/>
        </w:rPr>
      </w:pPr>
    </w:p>
    <w:p w14:paraId="3E4F1AE6" w14:textId="77777777" w:rsidR="00582E54" w:rsidRPr="009D1E2F" w:rsidRDefault="0007788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6C2EF1">
        <w:rPr>
          <w:rFonts w:asciiTheme="majorHAnsi" w:eastAsia="Times New Roman" w:hAnsiTheme="majorHAnsi"/>
          <w:sz w:val="20"/>
          <w:szCs w:val="20"/>
          <w:lang w:val="es-ES"/>
        </w:rPr>
        <w:t xml:space="preserve">señala </w:t>
      </w:r>
      <w:r w:rsidR="00F30741">
        <w:rPr>
          <w:rFonts w:asciiTheme="majorHAnsi" w:eastAsia="Times New Roman" w:hAnsiTheme="majorHAnsi"/>
          <w:sz w:val="20"/>
          <w:szCs w:val="20"/>
          <w:lang w:val="es-ES"/>
        </w:rPr>
        <w:t xml:space="preserve">que </w:t>
      </w:r>
      <w:r>
        <w:rPr>
          <w:rFonts w:asciiTheme="majorHAnsi" w:eastAsia="Times New Roman" w:hAnsiTheme="majorHAnsi"/>
          <w:sz w:val="20"/>
          <w:szCs w:val="20"/>
          <w:lang w:val="es-ES"/>
        </w:rPr>
        <w:t>la respuesta d</w:t>
      </w:r>
      <w:r w:rsidR="00F30741">
        <w:rPr>
          <w:rFonts w:asciiTheme="majorHAnsi" w:eastAsia="Times New Roman" w:hAnsiTheme="majorHAnsi"/>
          <w:sz w:val="20"/>
          <w:szCs w:val="20"/>
          <w:lang w:val="es-ES"/>
        </w:rPr>
        <w:t>el Gobierno tergiversó los hechos del caso, ya que en ninguno de los t</w:t>
      </w:r>
      <w:r w:rsidR="00E82A9C" w:rsidRPr="009D1E2F">
        <w:rPr>
          <w:rFonts w:asciiTheme="majorHAnsi" w:eastAsia="Times New Roman" w:hAnsiTheme="majorHAnsi"/>
          <w:sz w:val="20"/>
          <w:szCs w:val="20"/>
          <w:lang w:val="es-ES"/>
        </w:rPr>
        <w:t>estimoni</w:t>
      </w:r>
      <w:r w:rsidR="00F30741">
        <w:rPr>
          <w:rFonts w:asciiTheme="majorHAnsi" w:eastAsia="Times New Roman" w:hAnsiTheme="majorHAnsi"/>
          <w:sz w:val="20"/>
          <w:szCs w:val="20"/>
          <w:lang w:val="es-ES"/>
        </w:rPr>
        <w:t>os se atribuía a</w:t>
      </w:r>
      <w:r w:rsidR="000E2468" w:rsidRPr="009D1E2F">
        <w:rPr>
          <w:rFonts w:asciiTheme="majorHAnsi" w:eastAsia="Times New Roman" w:hAnsiTheme="majorHAnsi"/>
          <w:sz w:val="20"/>
          <w:szCs w:val="20"/>
          <w:lang w:val="es-ES"/>
        </w:rPr>
        <w:t>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E82A9C"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F30741">
        <w:rPr>
          <w:rFonts w:asciiTheme="majorHAnsi" w:eastAsia="Times New Roman" w:hAnsiTheme="majorHAnsi"/>
          <w:sz w:val="20"/>
          <w:szCs w:val="20"/>
          <w:lang w:val="es-ES"/>
        </w:rPr>
        <w:t xml:space="preserve">el papel de </w:t>
      </w:r>
      <w:r w:rsidR="00E82A9C" w:rsidRPr="009D1E2F">
        <w:rPr>
          <w:rFonts w:asciiTheme="majorHAnsi" w:eastAsia="Times New Roman" w:hAnsiTheme="majorHAnsi"/>
          <w:sz w:val="20"/>
          <w:szCs w:val="20"/>
          <w:lang w:val="es-ES"/>
        </w:rPr>
        <w:t>“</w:t>
      </w:r>
      <w:r w:rsidR="00F30741">
        <w:rPr>
          <w:rFonts w:asciiTheme="majorHAnsi" w:eastAsia="Times New Roman" w:hAnsiTheme="majorHAnsi"/>
          <w:sz w:val="20"/>
          <w:szCs w:val="20"/>
          <w:lang w:val="es-ES"/>
        </w:rPr>
        <w:t>cabecilla</w:t>
      </w:r>
      <w:r w:rsidR="00E82A9C"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E82A9C" w:rsidRPr="009D1E2F">
        <w:rPr>
          <w:rFonts w:asciiTheme="majorHAnsi" w:eastAsia="Times New Roman" w:hAnsiTheme="majorHAnsi"/>
          <w:sz w:val="20"/>
          <w:szCs w:val="20"/>
          <w:lang w:val="es-ES"/>
        </w:rPr>
        <w:t>o</w:t>
      </w:r>
      <w:r w:rsidR="00B059EC" w:rsidRPr="009D1E2F">
        <w:rPr>
          <w:rFonts w:asciiTheme="majorHAnsi" w:eastAsia="Times New Roman" w:hAnsiTheme="majorHAnsi"/>
          <w:sz w:val="20"/>
          <w:szCs w:val="20"/>
          <w:lang w:val="es-ES"/>
        </w:rPr>
        <w:t xml:space="preserve"> </w:t>
      </w:r>
      <w:r w:rsidR="00E82A9C" w:rsidRPr="009D1E2F">
        <w:rPr>
          <w:rFonts w:asciiTheme="majorHAnsi" w:eastAsia="Times New Roman" w:hAnsiTheme="majorHAnsi"/>
          <w:sz w:val="20"/>
          <w:szCs w:val="20"/>
          <w:lang w:val="es-ES"/>
        </w:rPr>
        <w:t>“</w:t>
      </w:r>
      <w:r w:rsidR="00F30741">
        <w:rPr>
          <w:rFonts w:asciiTheme="majorHAnsi" w:eastAsia="Times New Roman" w:hAnsiTheme="majorHAnsi"/>
          <w:sz w:val="20"/>
          <w:szCs w:val="20"/>
          <w:lang w:val="es-ES"/>
        </w:rPr>
        <w:t>instigador</w:t>
      </w:r>
      <w:r w:rsidR="00E82A9C" w:rsidRPr="009D1E2F">
        <w:rPr>
          <w:rFonts w:asciiTheme="majorHAnsi" w:eastAsia="Times New Roman" w:hAnsiTheme="majorHAnsi"/>
          <w:sz w:val="20"/>
          <w:szCs w:val="20"/>
          <w:lang w:val="es-ES"/>
        </w:rPr>
        <w:t>”</w:t>
      </w:r>
      <w:r w:rsidR="00F30741">
        <w:rPr>
          <w:rFonts w:asciiTheme="majorHAnsi" w:eastAsia="Times New Roman" w:hAnsiTheme="majorHAnsi"/>
          <w:sz w:val="20"/>
          <w:szCs w:val="20"/>
          <w:lang w:val="es-ES"/>
        </w:rPr>
        <w:t xml:space="preserve">, pero ese fue el argumento </w:t>
      </w:r>
      <w:r w:rsidR="00625CC8">
        <w:rPr>
          <w:rFonts w:asciiTheme="majorHAnsi" w:eastAsia="Times New Roman" w:hAnsiTheme="majorHAnsi"/>
          <w:sz w:val="20"/>
          <w:szCs w:val="20"/>
          <w:lang w:val="es-ES"/>
        </w:rPr>
        <w:t xml:space="preserve">esgrimido </w:t>
      </w:r>
      <w:r w:rsidR="00F30741">
        <w:rPr>
          <w:rFonts w:asciiTheme="majorHAnsi" w:eastAsia="Times New Roman" w:hAnsiTheme="majorHAnsi"/>
          <w:sz w:val="20"/>
          <w:szCs w:val="20"/>
          <w:lang w:val="es-ES"/>
        </w:rPr>
        <w:t xml:space="preserve">para </w:t>
      </w:r>
      <w:r w:rsidR="00625CC8">
        <w:rPr>
          <w:rFonts w:asciiTheme="majorHAnsi" w:eastAsia="Times New Roman" w:hAnsiTheme="majorHAnsi"/>
          <w:sz w:val="20"/>
          <w:szCs w:val="20"/>
          <w:lang w:val="es-ES"/>
        </w:rPr>
        <w:t xml:space="preserve">que se </w:t>
      </w:r>
      <w:r w:rsidR="0093050F">
        <w:rPr>
          <w:rFonts w:asciiTheme="majorHAnsi" w:eastAsia="Times New Roman" w:hAnsiTheme="majorHAnsi"/>
          <w:sz w:val="20"/>
          <w:szCs w:val="20"/>
          <w:lang w:val="es-ES"/>
        </w:rPr>
        <w:t>declarar</w:t>
      </w:r>
      <w:r w:rsidR="00625CC8">
        <w:rPr>
          <w:rFonts w:asciiTheme="majorHAnsi" w:eastAsia="Times New Roman" w:hAnsiTheme="majorHAnsi"/>
          <w:sz w:val="20"/>
          <w:szCs w:val="20"/>
          <w:lang w:val="es-ES"/>
        </w:rPr>
        <w:t>a</w:t>
      </w:r>
      <w:r w:rsidR="0093050F">
        <w:rPr>
          <w:rFonts w:asciiTheme="majorHAnsi" w:eastAsia="Times New Roman" w:hAnsiTheme="majorHAnsi"/>
          <w:sz w:val="20"/>
          <w:szCs w:val="20"/>
          <w:lang w:val="es-ES"/>
        </w:rPr>
        <w:t xml:space="preserve"> a</w:t>
      </w:r>
      <w:r w:rsidR="00F30741">
        <w:rPr>
          <w:rFonts w:asciiTheme="majorHAnsi" w:eastAsia="Times New Roman" w:hAnsiTheme="majorHAnsi"/>
          <w:sz w:val="20"/>
          <w:szCs w:val="20"/>
          <w:lang w:val="es-ES"/>
        </w:rPr>
        <w:t xml:space="preserve">l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E82A9C"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culpable de homicidio. Al respecto</w:t>
      </w:r>
      <w:r w:rsidR="00E82A9C"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DC5ABD">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se </w:t>
      </w:r>
      <w:r w:rsidR="009C6FEE">
        <w:rPr>
          <w:rFonts w:asciiTheme="majorHAnsi" w:eastAsia="Times New Roman" w:hAnsiTheme="majorHAnsi"/>
          <w:sz w:val="20"/>
          <w:szCs w:val="20"/>
          <w:lang w:val="es-ES"/>
        </w:rPr>
        <w:t>refiere a los dichos de</w:t>
      </w:r>
      <w:r w:rsidR="0093050F">
        <w:rPr>
          <w:rFonts w:asciiTheme="majorHAnsi" w:eastAsia="Times New Roman" w:hAnsiTheme="majorHAnsi"/>
          <w:sz w:val="20"/>
          <w:szCs w:val="20"/>
          <w:lang w:val="es-ES"/>
        </w:rPr>
        <w:t xml:space="preserve">l fiscal principal durante la </w:t>
      </w:r>
      <w:r w:rsidR="0093050F" w:rsidRPr="009D1E2F">
        <w:rPr>
          <w:rFonts w:asciiTheme="majorHAnsi" w:eastAsia="Times New Roman" w:hAnsiTheme="majorHAnsi"/>
          <w:sz w:val="20"/>
          <w:szCs w:val="20"/>
          <w:lang w:val="es-ES"/>
        </w:rPr>
        <w:t>determinación</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de culpabilidad</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en el juicio para tratar de convencer al jurado</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de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E82A9C"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era el </w:t>
      </w:r>
      <w:r w:rsidR="00F30741">
        <w:rPr>
          <w:rFonts w:asciiTheme="majorHAnsi" w:eastAsia="Times New Roman" w:hAnsiTheme="majorHAnsi"/>
          <w:sz w:val="20"/>
          <w:szCs w:val="20"/>
          <w:lang w:val="es-ES"/>
        </w:rPr>
        <w:t>cabecilla</w:t>
      </w:r>
      <w:r w:rsidR="00E82A9C"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9C6FEE">
        <w:rPr>
          <w:rFonts w:asciiTheme="majorHAnsi" w:eastAsia="Times New Roman" w:hAnsiTheme="majorHAnsi"/>
          <w:sz w:val="20"/>
          <w:szCs w:val="20"/>
          <w:lang w:val="es-ES"/>
        </w:rPr>
        <w:t>C</w:t>
      </w:r>
      <w:r w:rsidR="0093050F">
        <w:rPr>
          <w:rFonts w:asciiTheme="majorHAnsi" w:eastAsia="Times New Roman" w:hAnsiTheme="majorHAnsi"/>
          <w:sz w:val="20"/>
          <w:szCs w:val="20"/>
          <w:lang w:val="es-ES"/>
        </w:rPr>
        <w:t xml:space="preserve">on respecto a la </w:t>
      </w:r>
      <w:r w:rsidR="00625CC8">
        <w:rPr>
          <w:rFonts w:asciiTheme="majorHAnsi" w:eastAsia="Times New Roman" w:hAnsiTheme="majorHAnsi"/>
          <w:sz w:val="20"/>
          <w:szCs w:val="20"/>
          <w:lang w:val="es-ES"/>
        </w:rPr>
        <w:t>discusión</w:t>
      </w:r>
      <w:r w:rsidR="0093050F">
        <w:rPr>
          <w:rFonts w:asciiTheme="majorHAnsi" w:eastAsia="Times New Roman" w:hAnsiTheme="majorHAnsi"/>
          <w:sz w:val="20"/>
          <w:szCs w:val="20"/>
          <w:lang w:val="es-ES"/>
        </w:rPr>
        <w:t xml:space="preserve"> sobre el asesinato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proofErr w:type="spellStart"/>
      <w:r w:rsidR="005E7CF8" w:rsidRPr="009D1E2F">
        <w:rPr>
          <w:rFonts w:asciiTheme="majorHAnsi" w:eastAsia="Times New Roman" w:hAnsiTheme="majorHAnsi"/>
          <w:sz w:val="20"/>
          <w:szCs w:val="20"/>
          <w:lang w:val="es-ES"/>
        </w:rPr>
        <w:t>Cummins</w:t>
      </w:r>
      <w:proofErr w:type="spellEnd"/>
      <w:r w:rsidR="005E7CF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9C6FEE">
        <w:rPr>
          <w:rFonts w:asciiTheme="majorHAnsi" w:eastAsia="Times New Roman" w:hAnsiTheme="majorHAnsi"/>
          <w:sz w:val="20"/>
          <w:szCs w:val="20"/>
          <w:lang w:val="es-ES"/>
        </w:rPr>
        <w:lastRenderedPageBreak/>
        <w:t>la parte peticionaria</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a</w:t>
      </w:r>
      <w:r w:rsidR="0093050F">
        <w:rPr>
          <w:rFonts w:asciiTheme="majorHAnsi" w:eastAsia="Times New Roman" w:hAnsiTheme="majorHAnsi"/>
          <w:sz w:val="20"/>
          <w:szCs w:val="20"/>
          <w:lang w:val="es-ES"/>
        </w:rPr>
        <w:t xml:space="preserve">firma que, en su testimonio,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proofErr w:type="spellStart"/>
      <w:r w:rsidR="00582E54" w:rsidRPr="009D1E2F">
        <w:rPr>
          <w:rFonts w:asciiTheme="majorHAnsi" w:hAnsiTheme="majorHAnsi"/>
          <w:sz w:val="20"/>
          <w:szCs w:val="20"/>
          <w:lang w:val="es-ES"/>
        </w:rPr>
        <w:t>Cummins</w:t>
      </w:r>
      <w:proofErr w:type="spellEnd"/>
      <w:r w:rsidR="00B059EC" w:rsidRPr="009D1E2F">
        <w:rPr>
          <w:rFonts w:asciiTheme="majorHAnsi" w:hAnsiTheme="majorHAnsi"/>
          <w:sz w:val="20"/>
          <w:szCs w:val="20"/>
          <w:lang w:val="es-ES"/>
        </w:rPr>
        <w:t xml:space="preserve"> </w:t>
      </w:r>
      <w:r w:rsidR="0093050F">
        <w:rPr>
          <w:rFonts w:asciiTheme="majorHAnsi" w:hAnsiTheme="majorHAnsi"/>
          <w:sz w:val="20"/>
          <w:szCs w:val="20"/>
          <w:lang w:val="es-ES"/>
        </w:rPr>
        <w:t xml:space="preserve">dijo que no </w:t>
      </w:r>
      <w:r w:rsidR="009C6FEE">
        <w:rPr>
          <w:rFonts w:asciiTheme="majorHAnsi" w:hAnsiTheme="majorHAnsi"/>
          <w:sz w:val="20"/>
          <w:szCs w:val="20"/>
          <w:lang w:val="es-ES"/>
        </w:rPr>
        <w:t>fue capaz</w:t>
      </w:r>
      <w:r w:rsidR="0093050F">
        <w:rPr>
          <w:rFonts w:asciiTheme="majorHAnsi" w:hAnsiTheme="majorHAnsi"/>
          <w:sz w:val="20"/>
          <w:szCs w:val="20"/>
          <w:lang w:val="es-ES"/>
        </w:rPr>
        <w:t xml:space="preserve"> identificar a las personas que </w:t>
      </w:r>
      <w:r w:rsidR="009C6FEE">
        <w:rPr>
          <w:rFonts w:asciiTheme="majorHAnsi" w:hAnsiTheme="majorHAnsi"/>
          <w:sz w:val="20"/>
          <w:szCs w:val="20"/>
          <w:lang w:val="es-ES"/>
        </w:rPr>
        <w:t>discutieron</w:t>
      </w:r>
      <w:r w:rsidR="00625CC8">
        <w:rPr>
          <w:rFonts w:asciiTheme="majorHAnsi" w:hAnsiTheme="majorHAnsi"/>
          <w:sz w:val="20"/>
          <w:szCs w:val="20"/>
          <w:lang w:val="es-ES"/>
        </w:rPr>
        <w:t xml:space="preserve"> </w:t>
      </w:r>
      <w:r w:rsidR="0093050F">
        <w:rPr>
          <w:rFonts w:asciiTheme="majorHAnsi" w:hAnsiTheme="majorHAnsi"/>
          <w:sz w:val="20"/>
          <w:szCs w:val="20"/>
          <w:lang w:val="es-ES"/>
        </w:rPr>
        <w:t xml:space="preserve">si </w:t>
      </w:r>
      <w:r w:rsidR="009C6FEE">
        <w:rPr>
          <w:rFonts w:asciiTheme="majorHAnsi" w:hAnsiTheme="majorHAnsi"/>
          <w:sz w:val="20"/>
          <w:szCs w:val="20"/>
          <w:lang w:val="es-ES"/>
        </w:rPr>
        <w:t>debía ser asesinado cuando su abrigo fue puesto sobre su cabeza</w:t>
      </w:r>
      <w:r w:rsidR="0093050F">
        <w:rPr>
          <w:rFonts w:asciiTheme="majorHAnsi" w:hAnsiTheme="majorHAnsi"/>
          <w:sz w:val="20"/>
          <w:szCs w:val="20"/>
          <w:lang w:val="es-ES"/>
        </w:rPr>
        <w:t xml:space="preserve">. En cuanto a </w:t>
      </w:r>
      <w:r w:rsidR="00AF2A65">
        <w:rPr>
          <w:rFonts w:asciiTheme="majorHAnsi" w:eastAsia="Times New Roman" w:hAnsiTheme="majorHAnsi"/>
          <w:sz w:val="20"/>
          <w:szCs w:val="20"/>
          <w:lang w:val="es-ES"/>
        </w:rPr>
        <w:t>la confesión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9C6FEE">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AF2A65">
        <w:rPr>
          <w:rFonts w:asciiTheme="majorHAnsi" w:eastAsia="Times New Roman" w:hAnsiTheme="majorHAnsi"/>
          <w:sz w:val="20"/>
          <w:szCs w:val="20"/>
          <w:lang w:val="es-ES"/>
        </w:rPr>
        <w:t xml:space="preserve">aduce que lo que se debería haber inferido es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Gra</w:t>
      </w:r>
      <w:r w:rsidR="005E7CF8" w:rsidRPr="009D1E2F">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AF2A65">
        <w:rPr>
          <w:rFonts w:asciiTheme="majorHAnsi" w:eastAsia="Times New Roman" w:hAnsiTheme="majorHAnsi"/>
          <w:sz w:val="20"/>
          <w:szCs w:val="20"/>
          <w:lang w:val="es-ES"/>
        </w:rPr>
        <w:t xml:space="preserve">no sabía dónde o cómo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Clemons</w:t>
      </w:r>
      <w:r w:rsidR="00B059EC" w:rsidRPr="009D1E2F">
        <w:rPr>
          <w:rFonts w:asciiTheme="majorHAnsi" w:eastAsia="Times New Roman" w:hAnsiTheme="majorHAnsi"/>
          <w:sz w:val="20"/>
          <w:szCs w:val="20"/>
          <w:lang w:val="es-ES"/>
        </w:rPr>
        <w:t xml:space="preserve"> </w:t>
      </w:r>
      <w:r w:rsidR="00AF2A65">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Richardson</w:t>
      </w:r>
      <w:r w:rsidR="00B059EC" w:rsidRPr="009D1E2F">
        <w:rPr>
          <w:rFonts w:asciiTheme="majorHAnsi" w:eastAsia="Times New Roman" w:hAnsiTheme="majorHAnsi"/>
          <w:sz w:val="20"/>
          <w:szCs w:val="20"/>
          <w:lang w:val="es-ES"/>
        </w:rPr>
        <w:t xml:space="preserve"> </w:t>
      </w:r>
      <w:r w:rsidR="00AF2A65">
        <w:rPr>
          <w:rFonts w:asciiTheme="majorHAnsi" w:eastAsia="Times New Roman" w:hAnsiTheme="majorHAnsi"/>
          <w:sz w:val="20"/>
          <w:szCs w:val="20"/>
          <w:lang w:val="es-ES"/>
        </w:rPr>
        <w:t xml:space="preserve">tenían la intención de matar a </w:t>
      </w:r>
      <w:r w:rsidR="009F3654" w:rsidRPr="009D1E2F">
        <w:rPr>
          <w:rFonts w:asciiTheme="majorHAnsi" w:eastAsia="Times New Roman" w:hAnsiTheme="majorHAnsi"/>
          <w:sz w:val="20"/>
          <w:szCs w:val="20"/>
          <w:lang w:val="es-ES"/>
        </w:rPr>
        <w:t>las</w:t>
      </w:r>
      <w:r w:rsidR="00B059EC" w:rsidRPr="009D1E2F">
        <w:rPr>
          <w:rFonts w:asciiTheme="majorHAnsi" w:eastAsia="Times New Roman" w:hAnsiTheme="majorHAnsi"/>
          <w:sz w:val="20"/>
          <w:szCs w:val="20"/>
          <w:lang w:val="es-ES"/>
        </w:rPr>
        <w:t xml:space="preserve"> </w:t>
      </w:r>
      <w:r w:rsidR="009F3654" w:rsidRPr="009D1E2F">
        <w:rPr>
          <w:rFonts w:asciiTheme="majorHAnsi" w:eastAsia="Times New Roman" w:hAnsiTheme="majorHAnsi"/>
          <w:sz w:val="20"/>
          <w:szCs w:val="20"/>
          <w:lang w:val="es-ES"/>
        </w:rPr>
        <w:t>hermanas</w:t>
      </w:r>
      <w:r w:rsidR="00B059EC" w:rsidRPr="009D1E2F">
        <w:rPr>
          <w:rFonts w:asciiTheme="majorHAnsi" w:eastAsia="Times New Roman" w:hAnsiTheme="majorHAnsi"/>
          <w:sz w:val="20"/>
          <w:szCs w:val="20"/>
          <w:lang w:val="es-ES"/>
        </w:rPr>
        <w:t xml:space="preserve"> </w:t>
      </w:r>
      <w:r w:rsidR="009F3654" w:rsidRPr="009D1E2F">
        <w:rPr>
          <w:rFonts w:asciiTheme="majorHAnsi" w:eastAsia="Times New Roman" w:hAnsiTheme="majorHAnsi"/>
          <w:sz w:val="20"/>
          <w:szCs w:val="20"/>
          <w:lang w:val="es-ES"/>
        </w:rPr>
        <w:t>Kerry</w:t>
      </w:r>
      <w:r w:rsidR="0093050F">
        <w:rPr>
          <w:rFonts w:asciiTheme="majorHAnsi" w:eastAsia="Times New Roman" w:hAnsiTheme="majorHAnsi"/>
          <w:sz w:val="20"/>
          <w:szCs w:val="20"/>
          <w:lang w:val="es-ES"/>
        </w:rPr>
        <w:t xml:space="preserve"> y, por último, que no había ninguna otra prueba, fuera del testimonio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proofErr w:type="spellStart"/>
      <w:r w:rsidR="00582E54" w:rsidRPr="009D1E2F">
        <w:rPr>
          <w:rFonts w:asciiTheme="majorHAnsi" w:eastAsia="Times New Roman" w:hAnsiTheme="majorHAnsi"/>
          <w:sz w:val="20"/>
          <w:szCs w:val="20"/>
          <w:lang w:val="es-ES"/>
        </w:rPr>
        <w:t>Cummins</w:t>
      </w:r>
      <w:proofErr w:type="spellEnd"/>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sobre la amenaza proferida por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Gray</w:t>
      </w:r>
      <w:r w:rsidR="0093050F">
        <w:rPr>
          <w:rFonts w:asciiTheme="majorHAnsi" w:eastAsia="Times New Roman" w:hAnsiTheme="majorHAnsi"/>
          <w:sz w:val="20"/>
          <w:szCs w:val="20"/>
          <w:lang w:val="es-ES"/>
        </w:rPr>
        <w:t xml:space="preserve">, de que el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82E54"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tuviera una pistola.</w:t>
      </w:r>
    </w:p>
    <w:p w14:paraId="7BC7C005" w14:textId="77777777" w:rsidR="003C1E38" w:rsidRPr="009D1E2F" w:rsidRDefault="003C1E38"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391E712F" w14:textId="77777777" w:rsidR="0024722E" w:rsidRPr="009D1E2F" w:rsidRDefault="003C71C3"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Calibri" w:hAnsiTheme="majorHAnsi" w:cs="Calibri"/>
          <w:sz w:val="20"/>
          <w:szCs w:val="20"/>
          <w:lang w:val="es-ES"/>
        </w:rPr>
        <w:t>La parte peticionaria</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sostiene que, al aplicar la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a una persona que no mató a nadie ni pidió a otros que cometieran un asesinato ni les dio instrucciones para que lo hicieran</w:t>
      </w:r>
      <w:r w:rsidR="0024722E"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no limitó la aplicación de la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93050F">
        <w:rPr>
          <w:rFonts w:asciiTheme="majorHAnsi" w:eastAsia="Times New Roman" w:hAnsiTheme="majorHAnsi"/>
          <w:sz w:val="20"/>
          <w:szCs w:val="20"/>
          <w:lang w:val="es-ES"/>
        </w:rPr>
        <w:t xml:space="preserve">a delitos de </w:t>
      </w:r>
      <w:r w:rsidR="0024722E" w:rsidRPr="009D1E2F">
        <w:rPr>
          <w:rFonts w:asciiTheme="majorHAnsi" w:eastAsia="Times New Roman" w:hAnsiTheme="majorHAnsi"/>
          <w:sz w:val="20"/>
          <w:szCs w:val="20"/>
          <w:lang w:val="es-ES"/>
        </w:rPr>
        <w:t>“</w:t>
      </w:r>
      <w:r w:rsidR="0093050F">
        <w:rPr>
          <w:rFonts w:asciiTheme="majorHAnsi" w:eastAsia="Times New Roman" w:hAnsiTheme="majorHAnsi"/>
          <w:sz w:val="20"/>
          <w:szCs w:val="20"/>
          <w:lang w:val="es-ES"/>
        </w:rPr>
        <w:t>excepcional gravedad</w:t>
      </w:r>
      <w:r w:rsidR="0024722E"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y que la imposición de la pena capital al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24722E"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viol</w:t>
      </w:r>
      <w:r w:rsidR="00625CC8">
        <w:rPr>
          <w:rFonts w:asciiTheme="majorHAnsi" w:eastAsia="Times New Roman" w:hAnsiTheme="majorHAnsi"/>
          <w:sz w:val="20"/>
          <w:szCs w:val="20"/>
          <w:lang w:val="es-ES"/>
        </w:rPr>
        <w:t>ó</w:t>
      </w:r>
      <w:r w:rsidR="00674E9F">
        <w:rPr>
          <w:rFonts w:asciiTheme="majorHAnsi" w:eastAsia="Times New Roman" w:hAnsiTheme="majorHAnsi"/>
          <w:sz w:val="20"/>
          <w:szCs w:val="20"/>
          <w:lang w:val="es-ES"/>
        </w:rPr>
        <w:t xml:space="preserve"> la prohibición de la privación arbitraria de la vida. </w:t>
      </w:r>
      <w:r>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24722E" w:rsidRPr="009D1E2F">
        <w:rPr>
          <w:rFonts w:asciiTheme="majorHAnsi" w:eastAsia="Times New Roman" w:hAnsiTheme="majorHAnsi"/>
          <w:sz w:val="20"/>
          <w:szCs w:val="20"/>
          <w:lang w:val="es-ES"/>
        </w:rPr>
        <w:t>a</w:t>
      </w:r>
      <w:r w:rsidR="00674E9F">
        <w:rPr>
          <w:rFonts w:asciiTheme="majorHAnsi" w:eastAsia="Times New Roman" w:hAnsiTheme="majorHAnsi"/>
          <w:sz w:val="20"/>
          <w:szCs w:val="20"/>
          <w:lang w:val="es-ES"/>
        </w:rPr>
        <w:t>duce que las circunstancias particulares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24722E"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no cumplen los requisitos para considerar que cometió un delito de </w:t>
      </w:r>
      <w:r w:rsidR="0093050F">
        <w:rPr>
          <w:rFonts w:asciiTheme="majorHAnsi" w:eastAsia="Times New Roman" w:hAnsiTheme="majorHAnsi"/>
          <w:sz w:val="20"/>
          <w:szCs w:val="20"/>
          <w:lang w:val="es-ES"/>
        </w:rPr>
        <w:t>excepcional gravedad</w:t>
      </w:r>
      <w:r w:rsidR="00674E9F">
        <w:rPr>
          <w:rFonts w:asciiTheme="majorHAnsi" w:eastAsia="Times New Roman" w:hAnsiTheme="majorHAnsi"/>
          <w:sz w:val="20"/>
          <w:szCs w:val="20"/>
          <w:lang w:val="es-ES"/>
        </w:rPr>
        <w:t xml:space="preserve">, básicamente debido al nexo insuficiente entre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24722E"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y los delitos por los cuales fue condenado y sentenciado, y que el señor Gray no </w:t>
      </w:r>
      <w:r w:rsidR="00625CC8">
        <w:rPr>
          <w:rFonts w:asciiTheme="majorHAnsi" w:eastAsia="Times New Roman" w:hAnsiTheme="majorHAnsi"/>
          <w:sz w:val="20"/>
          <w:szCs w:val="20"/>
          <w:lang w:val="es-ES"/>
        </w:rPr>
        <w:t xml:space="preserve">obtuvo </w:t>
      </w:r>
      <w:r w:rsidR="00674E9F">
        <w:rPr>
          <w:rFonts w:asciiTheme="majorHAnsi" w:eastAsia="Times New Roman" w:hAnsiTheme="majorHAnsi"/>
          <w:sz w:val="20"/>
          <w:szCs w:val="20"/>
          <w:lang w:val="es-ES"/>
        </w:rPr>
        <w:t>reparación</w:t>
      </w:r>
      <w:r w:rsidR="00B059EC" w:rsidRPr="009D1E2F">
        <w:rPr>
          <w:rFonts w:asciiTheme="majorHAnsi" w:eastAsia="Times New Roman" w:hAnsiTheme="majorHAnsi"/>
          <w:sz w:val="20"/>
          <w:szCs w:val="20"/>
          <w:lang w:val="es-ES"/>
        </w:rPr>
        <w:t xml:space="preserve"> </w:t>
      </w:r>
      <w:r w:rsidR="0024722E" w:rsidRPr="009D1E2F">
        <w:rPr>
          <w:rFonts w:asciiTheme="majorHAnsi" w:eastAsia="Times New Roman" w:hAnsiTheme="majorHAnsi"/>
          <w:sz w:val="20"/>
          <w:szCs w:val="20"/>
          <w:lang w:val="es-ES"/>
        </w:rPr>
        <w:t>judicial</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en </w:t>
      </w:r>
      <w:r w:rsidR="000E2468" w:rsidRPr="009D1E2F">
        <w:rPr>
          <w:rFonts w:asciiTheme="majorHAnsi" w:eastAsia="Times New Roman" w:hAnsiTheme="majorHAnsi"/>
          <w:sz w:val="20"/>
          <w:szCs w:val="20"/>
          <w:lang w:val="es-ES"/>
        </w:rPr>
        <w:t>Estados</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Unidos</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en relación con sus circunstancias</w:t>
      </w:r>
      <w:r w:rsidR="0024722E"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5FE8EB2B" w14:textId="77777777" w:rsidR="00460C26" w:rsidRPr="009D1E2F" w:rsidRDefault="00460C26"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eastAsia="Times New Roman" w:hAnsiTheme="majorHAnsi"/>
          <w:sz w:val="20"/>
          <w:szCs w:val="20"/>
          <w:lang w:val="es-ES"/>
        </w:rPr>
      </w:pPr>
    </w:p>
    <w:p w14:paraId="0592BB53" w14:textId="77777777" w:rsidR="00460C26" w:rsidRPr="009D1E2F" w:rsidRDefault="003C71C3"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agrega que la norma para determinar lo que constituye un delito de </w:t>
      </w:r>
      <w:r w:rsidR="0093050F">
        <w:rPr>
          <w:rFonts w:asciiTheme="majorHAnsi" w:eastAsia="Times New Roman" w:hAnsiTheme="majorHAnsi"/>
          <w:sz w:val="20"/>
          <w:szCs w:val="20"/>
          <w:lang w:val="es-ES"/>
        </w:rPr>
        <w:t>excepcional gravedad</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de acuerdo con el derecho internacional</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es diferente de la norma para determinar lo que constituye</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674E9F">
        <w:rPr>
          <w:rFonts w:asciiTheme="majorHAnsi" w:eastAsia="Times New Roman" w:hAnsiTheme="majorHAnsi"/>
          <w:sz w:val="20"/>
          <w:szCs w:val="20"/>
          <w:lang w:val="es-ES"/>
        </w:rPr>
        <w:t xml:space="preserve"> de acuerdo con las leyes de </w:t>
      </w:r>
      <w:r w:rsidR="00460C26" w:rsidRPr="009D1E2F">
        <w:rPr>
          <w:rFonts w:asciiTheme="majorHAnsi" w:eastAsia="Times New Roman" w:hAnsiTheme="majorHAnsi"/>
          <w:sz w:val="20"/>
          <w:szCs w:val="20"/>
          <w:lang w:val="es-ES"/>
        </w:rPr>
        <w:t>Misuri</w:t>
      </w:r>
      <w:r w:rsidR="00674E9F">
        <w:rPr>
          <w:rFonts w:asciiTheme="majorHAnsi" w:eastAsia="Times New Roman" w:hAnsiTheme="majorHAnsi"/>
          <w:sz w:val="20"/>
          <w:szCs w:val="20"/>
          <w:lang w:val="es-ES"/>
        </w:rPr>
        <w:t xml:space="preserve">. Alega que, en el derecho internacional, </w:t>
      </w:r>
      <w:r w:rsidR="00625CC8">
        <w:rPr>
          <w:rFonts w:asciiTheme="majorHAnsi" w:eastAsia="Times New Roman" w:hAnsiTheme="majorHAnsi"/>
          <w:sz w:val="20"/>
          <w:szCs w:val="20"/>
          <w:lang w:val="es-ES"/>
        </w:rPr>
        <w:t xml:space="preserve">para </w:t>
      </w:r>
      <w:r w:rsidR="00674E9F">
        <w:rPr>
          <w:rFonts w:asciiTheme="majorHAnsi" w:eastAsia="Times New Roman" w:hAnsiTheme="majorHAnsi"/>
          <w:sz w:val="20"/>
          <w:szCs w:val="20"/>
          <w:lang w:val="es-ES"/>
        </w:rPr>
        <w:t>toma</w:t>
      </w:r>
      <w:r w:rsidR="00625CC8">
        <w:rPr>
          <w:rFonts w:asciiTheme="majorHAnsi" w:eastAsia="Times New Roman" w:hAnsiTheme="majorHAnsi"/>
          <w:sz w:val="20"/>
          <w:szCs w:val="20"/>
          <w:lang w:val="es-ES"/>
        </w:rPr>
        <w:t>r</w:t>
      </w:r>
      <w:r w:rsidR="00674E9F">
        <w:rPr>
          <w:rFonts w:asciiTheme="majorHAnsi" w:eastAsia="Times New Roman" w:hAnsiTheme="majorHAnsi"/>
          <w:sz w:val="20"/>
          <w:szCs w:val="20"/>
          <w:lang w:val="es-ES"/>
        </w:rPr>
        <w:t xml:space="preserve"> una determinación </w:t>
      </w:r>
      <w:r w:rsidR="00625CC8">
        <w:rPr>
          <w:rFonts w:asciiTheme="majorHAnsi" w:eastAsia="Times New Roman" w:hAnsiTheme="majorHAnsi"/>
          <w:sz w:val="20"/>
          <w:szCs w:val="20"/>
          <w:lang w:val="es-ES"/>
        </w:rPr>
        <w:t xml:space="preserve">es necesario evaluar </w:t>
      </w:r>
      <w:r w:rsidR="00674E9F">
        <w:rPr>
          <w:rFonts w:asciiTheme="majorHAnsi" w:eastAsia="Times New Roman" w:hAnsiTheme="majorHAnsi"/>
          <w:sz w:val="20"/>
          <w:szCs w:val="20"/>
          <w:lang w:val="es-ES"/>
        </w:rPr>
        <w:t xml:space="preserve">la culpabilidad moral de la persona. Sin embargo, según las leyes de </w:t>
      </w:r>
      <w:r w:rsidR="00460C26" w:rsidRPr="009D1E2F">
        <w:rPr>
          <w:rFonts w:asciiTheme="majorHAnsi" w:eastAsia="Times New Roman" w:hAnsiTheme="majorHAnsi"/>
          <w:sz w:val="20"/>
          <w:szCs w:val="20"/>
          <w:lang w:val="es-ES"/>
        </w:rPr>
        <w:t>Misuri</w:t>
      </w:r>
      <w:r w:rsidR="00674E9F">
        <w:rPr>
          <w:rFonts w:asciiTheme="majorHAnsi" w:eastAsia="Times New Roman" w:hAnsiTheme="majorHAnsi"/>
          <w:sz w:val="20"/>
          <w:szCs w:val="20"/>
          <w:lang w:val="es-ES"/>
        </w:rPr>
        <w:t xml:space="preserve">, esa determinación depende de si el acusado tomó la decisión de matar </w:t>
      </w:r>
      <w:r w:rsidR="005C0BC0">
        <w:rPr>
          <w:rFonts w:asciiTheme="majorHAnsi" w:eastAsia="Times New Roman" w:hAnsiTheme="majorHAnsi"/>
          <w:sz w:val="20"/>
          <w:szCs w:val="20"/>
          <w:lang w:val="es-ES"/>
        </w:rPr>
        <w:t>“</w:t>
      </w:r>
      <w:r w:rsidR="00674E9F">
        <w:rPr>
          <w:rFonts w:asciiTheme="majorHAnsi" w:eastAsia="Times New Roman" w:hAnsiTheme="majorHAnsi"/>
          <w:sz w:val="20"/>
          <w:szCs w:val="20"/>
          <w:lang w:val="es-ES"/>
        </w:rPr>
        <w:t>después de deliberar sobre el asunto</w:t>
      </w:r>
      <w:r>
        <w:rPr>
          <w:rFonts w:asciiTheme="majorHAnsi" w:eastAsia="Times New Roman" w:hAnsiTheme="majorHAnsi"/>
          <w:sz w:val="20"/>
          <w:szCs w:val="20"/>
          <w:lang w:val="es-ES"/>
        </w:rPr>
        <w:t>,</w:t>
      </w:r>
      <w:r w:rsidR="005C0BC0">
        <w:rPr>
          <w:rFonts w:asciiTheme="majorHAnsi" w:eastAsia="Times New Roman" w:hAnsiTheme="majorHAnsi"/>
          <w:sz w:val="20"/>
          <w:szCs w:val="20"/>
          <w:lang w:val="es-ES"/>
        </w:rPr>
        <w:t>”</w:t>
      </w:r>
      <w:r w:rsidR="00460C26" w:rsidRPr="009D1E2F">
        <w:rPr>
          <w:rStyle w:val="FootnoteReference"/>
          <w:rFonts w:asciiTheme="majorHAnsi" w:eastAsia="Times New Roman" w:hAnsiTheme="majorHAnsi"/>
          <w:sz w:val="20"/>
          <w:szCs w:val="20"/>
          <w:lang w:val="es-ES"/>
        </w:rPr>
        <w:footnoteReference w:id="6"/>
      </w:r>
      <w:r w:rsidR="00674E9F">
        <w:rPr>
          <w:rFonts w:asciiTheme="majorHAnsi" w:eastAsia="Times New Roman" w:hAnsiTheme="majorHAnsi"/>
          <w:sz w:val="20"/>
          <w:szCs w:val="20"/>
          <w:lang w:val="es-ES"/>
        </w:rPr>
        <w:t xml:space="preserve"> y no necesariamente del tipo de culpabilidad</w:t>
      </w:r>
      <w:r w:rsidR="00B059EC" w:rsidRPr="009D1E2F">
        <w:rPr>
          <w:rFonts w:asciiTheme="majorHAnsi" w:eastAsia="Times New Roman" w:hAnsiTheme="majorHAnsi"/>
          <w:sz w:val="20"/>
          <w:szCs w:val="20"/>
          <w:lang w:val="es-ES"/>
        </w:rPr>
        <w:t xml:space="preserve"> </w:t>
      </w:r>
      <w:r w:rsidR="00460C26" w:rsidRPr="009D1E2F">
        <w:rPr>
          <w:rFonts w:asciiTheme="majorHAnsi" w:eastAsia="Times New Roman" w:hAnsiTheme="majorHAnsi"/>
          <w:sz w:val="20"/>
          <w:szCs w:val="20"/>
          <w:lang w:val="es-ES"/>
        </w:rPr>
        <w:t>individual</w:t>
      </w:r>
      <w:r w:rsidR="00B059EC" w:rsidRPr="009D1E2F">
        <w:rPr>
          <w:rFonts w:asciiTheme="majorHAnsi" w:eastAsia="Times New Roman" w:hAnsiTheme="majorHAnsi"/>
          <w:sz w:val="20"/>
          <w:szCs w:val="20"/>
          <w:lang w:val="es-ES"/>
        </w:rPr>
        <w:t xml:space="preserve"> </w:t>
      </w:r>
      <w:r w:rsidR="00674E9F">
        <w:rPr>
          <w:rFonts w:asciiTheme="majorHAnsi" w:eastAsia="Times New Roman" w:hAnsiTheme="majorHAnsi"/>
          <w:sz w:val="20"/>
          <w:szCs w:val="20"/>
          <w:lang w:val="es-ES"/>
        </w:rPr>
        <w:t xml:space="preserve">que se requiere para delitos de </w:t>
      </w:r>
      <w:r w:rsidR="0093050F">
        <w:rPr>
          <w:rFonts w:asciiTheme="majorHAnsi" w:eastAsia="Times New Roman" w:hAnsiTheme="majorHAnsi"/>
          <w:sz w:val="20"/>
          <w:szCs w:val="20"/>
          <w:lang w:val="es-ES"/>
        </w:rPr>
        <w:t>excepcional gravedad</w:t>
      </w:r>
      <w:r w:rsidR="00460C26"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69290570" w14:textId="77777777" w:rsidR="000A0445" w:rsidRPr="009D1E2F" w:rsidRDefault="000A0445" w:rsidP="00817426">
      <w:pPr>
        <w:tabs>
          <w:tab w:val="left" w:pos="360"/>
        </w:tabs>
        <w:rPr>
          <w:rFonts w:asciiTheme="majorHAnsi" w:eastAsia="Times New Roman" w:hAnsiTheme="majorHAnsi"/>
          <w:sz w:val="20"/>
          <w:szCs w:val="20"/>
          <w:lang w:val="es-ES"/>
        </w:rPr>
      </w:pPr>
    </w:p>
    <w:p w14:paraId="65C292EB" w14:textId="77777777" w:rsidR="0094103C" w:rsidRPr="009D1E2F" w:rsidRDefault="00674E9F"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Por último</w:t>
      </w:r>
      <w:r w:rsidR="008054CB"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3C71C3">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aduce que, aunque la Corte Suprema de Estados Unidos</w:t>
      </w:r>
      <w:r w:rsidR="00B059EC" w:rsidRPr="009D1E2F">
        <w:rPr>
          <w:rFonts w:asciiTheme="majorHAnsi" w:eastAsia="Times New Roman" w:hAnsiTheme="majorHAnsi"/>
          <w:sz w:val="20"/>
          <w:szCs w:val="20"/>
          <w:lang w:val="es-ES"/>
        </w:rPr>
        <w:t xml:space="preserve"> </w:t>
      </w:r>
      <w:r w:rsidR="00427487" w:rsidRPr="009D1E2F">
        <w:rPr>
          <w:rFonts w:asciiTheme="majorHAnsi" w:eastAsia="Times New Roman" w:hAnsiTheme="majorHAnsi"/>
          <w:sz w:val="20"/>
          <w:szCs w:val="20"/>
          <w:lang w:val="es-ES"/>
        </w:rPr>
        <w:t>tradi</w:t>
      </w:r>
      <w:r>
        <w:rPr>
          <w:rFonts w:asciiTheme="majorHAnsi" w:eastAsia="Times New Roman" w:hAnsiTheme="majorHAnsi"/>
          <w:sz w:val="20"/>
          <w:szCs w:val="20"/>
          <w:lang w:val="es-ES"/>
        </w:rPr>
        <w:t>c</w:t>
      </w:r>
      <w:r w:rsidR="00427487" w:rsidRPr="009D1E2F">
        <w:rPr>
          <w:rFonts w:asciiTheme="majorHAnsi" w:eastAsia="Times New Roman" w:hAnsiTheme="majorHAnsi"/>
          <w:sz w:val="20"/>
          <w:szCs w:val="20"/>
          <w:lang w:val="es-ES"/>
        </w:rPr>
        <w:t>ional</w:t>
      </w:r>
      <w:r>
        <w:rPr>
          <w:rFonts w:asciiTheme="majorHAnsi" w:eastAsia="Times New Roman" w:hAnsiTheme="majorHAnsi"/>
          <w:sz w:val="20"/>
          <w:szCs w:val="20"/>
          <w:lang w:val="es-ES"/>
        </w:rPr>
        <w:t xml:space="preserve">mente ha avalado el principio de que la pena </w:t>
      </w:r>
      <w:r w:rsidR="00427487" w:rsidRPr="009D1E2F">
        <w:rPr>
          <w:rFonts w:asciiTheme="majorHAnsi" w:eastAsia="Times New Roman" w:hAnsiTheme="majorHAnsi"/>
          <w:sz w:val="20"/>
          <w:szCs w:val="20"/>
          <w:lang w:val="es-ES"/>
        </w:rPr>
        <w:t>capital</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debería reservarse para delitos de </w:t>
      </w:r>
      <w:r w:rsidR="0093050F">
        <w:rPr>
          <w:rFonts w:asciiTheme="majorHAnsi" w:eastAsia="Times New Roman" w:hAnsiTheme="majorHAnsi"/>
          <w:sz w:val="20"/>
          <w:szCs w:val="20"/>
          <w:lang w:val="es-ES"/>
        </w:rPr>
        <w:t>excepcional gravedad</w:t>
      </w:r>
      <w:r w:rsidR="0042748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 xml:space="preserve">su jurisprudencia ha permitido la aplicación de </w:t>
      </w:r>
      <w:r>
        <w:rPr>
          <w:rFonts w:asciiTheme="majorHAnsi" w:eastAsia="Times New Roman" w:hAnsiTheme="majorHAnsi"/>
          <w:sz w:val="20"/>
          <w:szCs w:val="20"/>
          <w:lang w:val="es-ES"/>
        </w:rPr>
        <w:t>esta pena a personas que no mataron a nadie, ni trataron de matar a nadie, ni tenían la intención de matar</w:t>
      </w:r>
      <w:r w:rsidR="0042748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Por lo tanto, </w:t>
      </w:r>
      <w:r w:rsidR="003C71C3">
        <w:rPr>
          <w:rFonts w:asciiTheme="majorHAnsi" w:eastAsia="Times New Roman" w:hAnsiTheme="majorHAnsi"/>
          <w:sz w:val="20"/>
          <w:szCs w:val="20"/>
          <w:lang w:val="es-ES"/>
        </w:rPr>
        <w:t>la parte peticionaria</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afirma que la </w:t>
      </w:r>
      <w:r w:rsidR="00AA6698">
        <w:rPr>
          <w:rFonts w:asciiTheme="majorHAnsi" w:eastAsia="Times New Roman" w:hAnsiTheme="majorHAnsi"/>
          <w:sz w:val="20"/>
          <w:szCs w:val="20"/>
          <w:lang w:val="es-ES"/>
        </w:rPr>
        <w:t>jurisprudencia estadounidense</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prevalente es incompatible con los requisitos de </w:t>
      </w:r>
      <w:r w:rsidR="000D6328"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0D6328" w:rsidRPr="009D1E2F">
        <w:rPr>
          <w:rFonts w:asciiTheme="majorHAnsi" w:eastAsia="Times New Roman" w:hAnsiTheme="majorHAnsi"/>
          <w:sz w:val="20"/>
          <w:szCs w:val="20"/>
          <w:lang w:val="es-ES"/>
        </w:rPr>
        <w:t>Declaración</w:t>
      </w:r>
      <w:r w:rsidR="00B059EC" w:rsidRPr="009D1E2F">
        <w:rPr>
          <w:rFonts w:asciiTheme="majorHAnsi" w:eastAsia="Times New Roman" w:hAnsiTheme="majorHAnsi"/>
          <w:sz w:val="20"/>
          <w:szCs w:val="20"/>
          <w:lang w:val="es-ES"/>
        </w:rPr>
        <w:t xml:space="preserve"> </w:t>
      </w:r>
      <w:r w:rsidR="000D6328" w:rsidRPr="009D1E2F">
        <w:rPr>
          <w:rFonts w:asciiTheme="majorHAnsi" w:eastAsia="Times New Roman" w:hAnsiTheme="majorHAnsi"/>
          <w:sz w:val="20"/>
          <w:szCs w:val="20"/>
          <w:lang w:val="es-ES"/>
        </w:rPr>
        <w:t>Americana</w:t>
      </w:r>
      <w:r w:rsidR="00B059EC" w:rsidRPr="009D1E2F">
        <w:rPr>
          <w:rFonts w:asciiTheme="majorHAnsi" w:eastAsia="Times New Roman" w:hAnsiTheme="majorHAnsi"/>
          <w:sz w:val="20"/>
          <w:szCs w:val="20"/>
          <w:lang w:val="es-ES"/>
        </w:rPr>
        <w:t xml:space="preserve"> </w:t>
      </w:r>
      <w:r w:rsidR="00625CC8">
        <w:rPr>
          <w:rFonts w:asciiTheme="majorHAnsi" w:eastAsia="Times New Roman" w:hAnsiTheme="majorHAnsi"/>
          <w:sz w:val="20"/>
          <w:szCs w:val="20"/>
          <w:lang w:val="es-ES"/>
        </w:rPr>
        <w:t>e impidió</w:t>
      </w:r>
      <w:r>
        <w:rPr>
          <w:rFonts w:asciiTheme="majorHAnsi" w:eastAsia="Times New Roman" w:hAnsiTheme="majorHAnsi"/>
          <w:sz w:val="20"/>
          <w:szCs w:val="20"/>
          <w:lang w:val="es-ES"/>
        </w:rPr>
        <w:t xml:space="preserve">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427487"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obtuviera una reparación</w:t>
      </w:r>
      <w:r w:rsidR="00B059EC" w:rsidRPr="009D1E2F">
        <w:rPr>
          <w:rFonts w:asciiTheme="majorHAnsi" w:eastAsia="Times New Roman" w:hAnsiTheme="majorHAnsi"/>
          <w:sz w:val="20"/>
          <w:szCs w:val="20"/>
          <w:lang w:val="es-ES"/>
        </w:rPr>
        <w:t xml:space="preserve"> </w:t>
      </w:r>
      <w:r w:rsidR="00427487" w:rsidRPr="009D1E2F">
        <w:rPr>
          <w:rFonts w:asciiTheme="majorHAnsi" w:eastAsia="Times New Roman" w:hAnsiTheme="majorHAnsi"/>
          <w:sz w:val="20"/>
          <w:szCs w:val="20"/>
          <w:lang w:val="es-ES"/>
        </w:rPr>
        <w:t>judicial</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a pesar de </w:t>
      </w:r>
      <w:r w:rsidR="00910151">
        <w:rPr>
          <w:rFonts w:asciiTheme="majorHAnsi" w:eastAsia="Times New Roman" w:hAnsiTheme="majorHAnsi"/>
          <w:sz w:val="20"/>
          <w:szCs w:val="20"/>
          <w:lang w:val="es-ES"/>
        </w:rPr>
        <w:t>haberlo intentado muchas veces</w:t>
      </w:r>
      <w:r>
        <w:rPr>
          <w:rFonts w:asciiTheme="majorHAnsi" w:eastAsia="Times New Roman" w:hAnsiTheme="majorHAnsi"/>
          <w:sz w:val="20"/>
          <w:szCs w:val="20"/>
          <w:lang w:val="es-ES"/>
        </w:rPr>
        <w:t>.</w:t>
      </w:r>
    </w:p>
    <w:p w14:paraId="748B3D86" w14:textId="77777777" w:rsidR="00427487" w:rsidRPr="009D1E2F" w:rsidRDefault="00B059E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r w:rsidRPr="009D1E2F">
        <w:rPr>
          <w:rFonts w:asciiTheme="majorHAnsi" w:hAnsiTheme="majorHAnsi"/>
          <w:sz w:val="20"/>
          <w:szCs w:val="20"/>
          <w:lang w:val="es-ES"/>
        </w:rPr>
        <w:t xml:space="preserve"> </w:t>
      </w:r>
    </w:p>
    <w:p w14:paraId="1CC43D0F" w14:textId="77777777" w:rsidR="001C4006" w:rsidRPr="009D1E2F" w:rsidRDefault="005B3F2B" w:rsidP="00817426">
      <w:pPr>
        <w:pStyle w:val="Heading2"/>
        <w:keepNext w:val="0"/>
        <w:keepLines w:val="0"/>
        <w:numPr>
          <w:ilvl w:val="0"/>
          <w:numId w:val="58"/>
        </w:numPr>
        <w:spacing w:before="0"/>
        <w:ind w:left="360"/>
        <w:rPr>
          <w:color w:val="auto"/>
          <w:sz w:val="20"/>
          <w:szCs w:val="20"/>
          <w:lang w:val="es-ES"/>
        </w:rPr>
      </w:pPr>
      <w:bookmarkStart w:id="3" w:name="_Toc90284821"/>
      <w:r w:rsidRPr="009D1E2F">
        <w:rPr>
          <w:color w:val="auto"/>
          <w:sz w:val="20"/>
          <w:szCs w:val="20"/>
          <w:lang w:val="es-ES"/>
        </w:rPr>
        <w:t>Posición</w:t>
      </w:r>
      <w:r w:rsidR="00B059EC" w:rsidRPr="009D1E2F">
        <w:rPr>
          <w:color w:val="auto"/>
          <w:sz w:val="20"/>
          <w:szCs w:val="20"/>
          <w:lang w:val="es-ES"/>
        </w:rPr>
        <w:t xml:space="preserve"> </w:t>
      </w:r>
      <w:r w:rsidRPr="009D1E2F">
        <w:rPr>
          <w:color w:val="auto"/>
          <w:sz w:val="20"/>
          <w:szCs w:val="20"/>
          <w:lang w:val="es-ES"/>
        </w:rPr>
        <w:t>del</w:t>
      </w:r>
      <w:r w:rsidR="00B059EC" w:rsidRPr="009D1E2F">
        <w:rPr>
          <w:color w:val="auto"/>
          <w:sz w:val="20"/>
          <w:szCs w:val="20"/>
          <w:lang w:val="es-ES"/>
        </w:rPr>
        <w:t xml:space="preserve"> </w:t>
      </w:r>
      <w:r w:rsidRPr="009D1E2F">
        <w:rPr>
          <w:color w:val="auto"/>
          <w:sz w:val="20"/>
          <w:szCs w:val="20"/>
          <w:lang w:val="es-ES"/>
        </w:rPr>
        <w:t>Estado</w:t>
      </w:r>
      <w:bookmarkEnd w:id="3"/>
    </w:p>
    <w:p w14:paraId="2F673A33" w14:textId="77777777" w:rsidR="00B945B3" w:rsidRPr="009D1E2F" w:rsidRDefault="00B945B3"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26307086" w14:textId="77777777" w:rsidR="009D0D81" w:rsidRPr="0088540B" w:rsidRDefault="005B3F2B"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88540B">
        <w:rPr>
          <w:rFonts w:asciiTheme="majorHAnsi" w:eastAsia="Times New Roman" w:hAnsiTheme="majorHAnsi"/>
          <w:sz w:val="20"/>
          <w:szCs w:val="20"/>
          <w:lang w:val="es-ES"/>
        </w:rPr>
        <w:t>En</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su</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respuesta</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a</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las</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observaciones</w:t>
      </w:r>
      <w:r w:rsidR="00B059EC" w:rsidRPr="0088540B">
        <w:rPr>
          <w:rFonts w:asciiTheme="majorHAnsi" w:eastAsia="Times New Roman" w:hAnsiTheme="majorHAnsi"/>
          <w:sz w:val="20"/>
          <w:szCs w:val="20"/>
          <w:lang w:val="es-ES"/>
        </w:rPr>
        <w:t xml:space="preserve"> </w:t>
      </w:r>
      <w:r w:rsidR="003C71C3" w:rsidRPr="0088540B">
        <w:rPr>
          <w:rFonts w:asciiTheme="majorHAnsi" w:eastAsia="Times New Roman" w:hAnsiTheme="majorHAnsi"/>
          <w:sz w:val="20"/>
          <w:szCs w:val="20"/>
          <w:lang w:val="es-ES"/>
        </w:rPr>
        <w:t xml:space="preserve">sobre el fondo </w:t>
      </w:r>
      <w:r w:rsidRPr="0088540B">
        <w:rPr>
          <w:rFonts w:asciiTheme="majorHAnsi" w:eastAsia="Times New Roman" w:hAnsiTheme="majorHAnsi"/>
          <w:sz w:val="20"/>
          <w:szCs w:val="20"/>
          <w:lang w:val="es-ES"/>
        </w:rPr>
        <w:t>de</w:t>
      </w:r>
      <w:r w:rsidR="00B059EC" w:rsidRPr="0088540B">
        <w:rPr>
          <w:rFonts w:asciiTheme="majorHAnsi" w:eastAsia="Times New Roman" w:hAnsiTheme="majorHAnsi"/>
          <w:sz w:val="20"/>
          <w:szCs w:val="20"/>
          <w:lang w:val="es-ES"/>
        </w:rPr>
        <w:t xml:space="preserve"> </w:t>
      </w:r>
      <w:r w:rsidR="003C71C3">
        <w:rPr>
          <w:rFonts w:asciiTheme="majorHAnsi" w:eastAsia="Times New Roman" w:hAnsiTheme="majorHAnsi"/>
          <w:sz w:val="20"/>
          <w:szCs w:val="20"/>
          <w:lang w:val="es-ES"/>
        </w:rPr>
        <w:t>la parte peticionaria</w:t>
      </w:r>
      <w:r w:rsidR="009D0D81" w:rsidRPr="0088540B">
        <w:rPr>
          <w:rFonts w:asciiTheme="majorHAnsi" w:eastAsia="Times New Roman" w:hAnsiTheme="majorHAnsi"/>
          <w:sz w:val="20"/>
          <w:szCs w:val="20"/>
          <w:lang w:val="es-ES"/>
        </w:rPr>
        <w:t>,</w:t>
      </w:r>
      <w:r w:rsidR="00B059EC" w:rsidRPr="0088540B">
        <w:rPr>
          <w:rFonts w:asciiTheme="majorHAnsi" w:eastAsia="Times New Roman" w:hAnsiTheme="majorHAnsi"/>
          <w:sz w:val="20"/>
          <w:szCs w:val="20"/>
          <w:lang w:val="es-ES"/>
        </w:rPr>
        <w:t xml:space="preserve"> </w:t>
      </w:r>
      <w:r w:rsidR="000E2468"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000E2468" w:rsidRPr="0088540B">
        <w:rPr>
          <w:rFonts w:asciiTheme="majorHAnsi" w:eastAsia="Times New Roman" w:hAnsiTheme="majorHAnsi"/>
          <w:sz w:val="20"/>
          <w:szCs w:val="20"/>
          <w:lang w:val="es-ES"/>
        </w:rPr>
        <w:t>Estado</w:t>
      </w:r>
      <w:r w:rsidR="00B059EC" w:rsidRPr="0088540B">
        <w:rPr>
          <w:rFonts w:asciiTheme="majorHAnsi" w:eastAsia="Times New Roman" w:hAnsiTheme="majorHAnsi"/>
          <w:sz w:val="20"/>
          <w:szCs w:val="20"/>
          <w:lang w:val="es-ES"/>
        </w:rPr>
        <w:t xml:space="preserve"> </w:t>
      </w:r>
      <w:r w:rsidR="00C94B6D" w:rsidRPr="0088540B">
        <w:rPr>
          <w:rFonts w:asciiTheme="majorHAnsi" w:eastAsia="Times New Roman" w:hAnsiTheme="majorHAnsi"/>
          <w:sz w:val="20"/>
          <w:szCs w:val="20"/>
          <w:lang w:val="es-ES"/>
        </w:rPr>
        <w:t>reiter</w:t>
      </w:r>
      <w:r w:rsidR="00573E03" w:rsidRPr="0088540B">
        <w:rPr>
          <w:rFonts w:asciiTheme="majorHAnsi" w:eastAsia="Times New Roman" w:hAnsiTheme="majorHAnsi"/>
          <w:sz w:val="20"/>
          <w:szCs w:val="20"/>
          <w:lang w:val="es-ES"/>
        </w:rPr>
        <w:t>ó la posición expresa</w:t>
      </w:r>
      <w:r w:rsidR="003E4D55" w:rsidRPr="0088540B">
        <w:rPr>
          <w:rFonts w:asciiTheme="majorHAnsi" w:eastAsia="Times New Roman" w:hAnsiTheme="majorHAnsi"/>
          <w:sz w:val="20"/>
          <w:szCs w:val="20"/>
          <w:lang w:val="es-ES"/>
        </w:rPr>
        <w:t>d</w:t>
      </w:r>
      <w:r w:rsidR="00573E03" w:rsidRPr="0088540B">
        <w:rPr>
          <w:rFonts w:asciiTheme="majorHAnsi" w:eastAsia="Times New Roman" w:hAnsiTheme="majorHAnsi"/>
          <w:sz w:val="20"/>
          <w:szCs w:val="20"/>
          <w:lang w:val="es-ES"/>
        </w:rPr>
        <w:t xml:space="preserve">a en el escrito presentado en la etapa de admisibilidad. Por lo tanto, este apartado se basa en los argumentos expuestos en las observaciones </w:t>
      </w:r>
      <w:r w:rsidR="007B0357">
        <w:rPr>
          <w:rFonts w:asciiTheme="majorHAnsi" w:eastAsia="Times New Roman" w:hAnsiTheme="majorHAnsi"/>
          <w:sz w:val="20"/>
          <w:szCs w:val="20"/>
          <w:lang w:val="es-ES"/>
        </w:rPr>
        <w:t>d</w:t>
      </w:r>
      <w:r w:rsidR="003E4D55"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000E2468" w:rsidRPr="0088540B">
        <w:rPr>
          <w:rFonts w:asciiTheme="majorHAnsi" w:eastAsia="Times New Roman" w:hAnsiTheme="majorHAnsi"/>
          <w:sz w:val="20"/>
          <w:szCs w:val="20"/>
          <w:lang w:val="es-ES"/>
        </w:rPr>
        <w:t>Estado</w:t>
      </w:r>
      <w:r w:rsidR="007B0357">
        <w:rPr>
          <w:rFonts w:asciiTheme="majorHAnsi" w:eastAsia="Times New Roman" w:hAnsiTheme="majorHAnsi"/>
          <w:sz w:val="20"/>
          <w:szCs w:val="20"/>
          <w:lang w:val="es-ES"/>
        </w:rPr>
        <w:t xml:space="preserve"> que se refieren a las formuladas durante la fase de admisibilidad en relación con el fondo</w:t>
      </w:r>
      <w:r w:rsidR="009D0D81" w:rsidRPr="0088540B">
        <w:rPr>
          <w:rFonts w:asciiTheme="majorHAnsi" w:eastAsia="Times New Roman" w:hAnsiTheme="majorHAnsi"/>
          <w:sz w:val="20"/>
          <w:szCs w:val="20"/>
          <w:lang w:val="es-ES"/>
        </w:rPr>
        <w:t>.</w:t>
      </w:r>
      <w:r w:rsidR="003C71C3">
        <w:rPr>
          <w:rFonts w:asciiTheme="majorHAnsi" w:eastAsia="Times New Roman" w:hAnsiTheme="majorHAnsi"/>
          <w:sz w:val="20"/>
          <w:szCs w:val="20"/>
          <w:lang w:val="es-ES"/>
        </w:rPr>
        <w:t xml:space="preserve"> </w:t>
      </w:r>
    </w:p>
    <w:p w14:paraId="2B598EC9" w14:textId="77777777" w:rsidR="009D0D81" w:rsidRPr="0088540B" w:rsidRDefault="009D0D81"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25C78126" w14:textId="77777777" w:rsidR="007070DC" w:rsidRPr="0088540B" w:rsidRDefault="000E2468"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Estado</w:t>
      </w:r>
      <w:r w:rsidR="00B059EC" w:rsidRPr="0088540B">
        <w:rPr>
          <w:rFonts w:asciiTheme="majorHAnsi" w:eastAsia="Times New Roman" w:hAnsiTheme="majorHAnsi"/>
          <w:sz w:val="20"/>
          <w:szCs w:val="20"/>
          <w:lang w:val="es-ES"/>
        </w:rPr>
        <w:t xml:space="preserve"> </w:t>
      </w:r>
      <w:r w:rsidR="009B5E10" w:rsidRPr="0088540B">
        <w:rPr>
          <w:rFonts w:asciiTheme="majorHAnsi" w:eastAsia="Times New Roman" w:hAnsiTheme="majorHAnsi"/>
          <w:sz w:val="20"/>
          <w:szCs w:val="20"/>
          <w:lang w:val="es-ES"/>
        </w:rPr>
        <w:t xml:space="preserve">señala que la condena y la sentencia del </w:t>
      </w:r>
      <w:r w:rsidRPr="0088540B">
        <w:rPr>
          <w:rFonts w:asciiTheme="majorHAnsi" w:eastAsia="Times New Roman" w:hAnsiTheme="majorHAnsi"/>
          <w:sz w:val="20"/>
          <w:szCs w:val="20"/>
          <w:lang w:val="es-ES"/>
        </w:rPr>
        <w:t>señor</w:t>
      </w:r>
      <w:r w:rsidR="00B059EC" w:rsidRPr="0088540B">
        <w:rPr>
          <w:rFonts w:asciiTheme="majorHAnsi" w:eastAsia="Times New Roman" w:hAnsiTheme="majorHAnsi"/>
          <w:sz w:val="20"/>
          <w:szCs w:val="20"/>
          <w:lang w:val="es-ES"/>
        </w:rPr>
        <w:t xml:space="preserve"> </w:t>
      </w:r>
      <w:r w:rsidR="005C6EDD" w:rsidRPr="0088540B">
        <w:rPr>
          <w:rFonts w:asciiTheme="majorHAnsi" w:eastAsia="Times New Roman" w:hAnsiTheme="majorHAnsi"/>
          <w:sz w:val="20"/>
          <w:szCs w:val="20"/>
          <w:lang w:val="es-ES"/>
        </w:rPr>
        <w:t>Gray</w:t>
      </w:r>
      <w:r w:rsidR="009B5E10" w:rsidRPr="0088540B">
        <w:rPr>
          <w:rFonts w:asciiTheme="majorHAnsi" w:eastAsia="Times New Roman" w:hAnsiTheme="majorHAnsi"/>
          <w:sz w:val="20"/>
          <w:szCs w:val="20"/>
          <w:lang w:val="es-ES"/>
        </w:rPr>
        <w:t xml:space="preserve"> fueron examinadas y ratificadas por tribunales estatales y federales, de conformidad con el debido proceso, y los fallos de estos tribunales respaldan de hecho y de derecho la condena por </w:t>
      </w:r>
      <w:r w:rsidR="00793CFB" w:rsidRPr="0088540B">
        <w:rPr>
          <w:rFonts w:asciiTheme="majorHAnsi" w:eastAsia="Times New Roman" w:hAnsiTheme="majorHAnsi"/>
          <w:sz w:val="20"/>
          <w:szCs w:val="20"/>
          <w:lang w:val="es-ES"/>
        </w:rPr>
        <w:t>homicidio</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en</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primer</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grado</w:t>
      </w:r>
      <w:r w:rsidR="00B059EC" w:rsidRPr="0088540B">
        <w:rPr>
          <w:rFonts w:asciiTheme="majorHAnsi" w:eastAsia="Times New Roman" w:hAnsiTheme="majorHAnsi"/>
          <w:sz w:val="20"/>
          <w:szCs w:val="20"/>
          <w:lang w:val="es-ES"/>
        </w:rPr>
        <w:t xml:space="preserve"> </w:t>
      </w:r>
      <w:r w:rsidR="009B5E10" w:rsidRPr="0088540B">
        <w:rPr>
          <w:rFonts w:asciiTheme="majorHAnsi" w:eastAsia="Times New Roman" w:hAnsiTheme="majorHAnsi"/>
          <w:sz w:val="20"/>
          <w:szCs w:val="20"/>
          <w:lang w:val="es-ES"/>
        </w:rPr>
        <w:t xml:space="preserve">y la pena de muerte. Con respecto a los grandes errores de hecho y de derecho que </w:t>
      </w:r>
      <w:r w:rsidR="007B0357">
        <w:rPr>
          <w:rFonts w:asciiTheme="majorHAnsi" w:eastAsia="Times New Roman" w:hAnsiTheme="majorHAnsi"/>
          <w:sz w:val="20"/>
          <w:szCs w:val="20"/>
          <w:lang w:val="es-ES"/>
        </w:rPr>
        <w:t>la parte peticionaria</w:t>
      </w:r>
      <w:r w:rsidR="009B5E10" w:rsidRPr="0088540B">
        <w:rPr>
          <w:rFonts w:asciiTheme="majorHAnsi" w:eastAsia="Times New Roman" w:hAnsiTheme="majorHAnsi"/>
          <w:sz w:val="20"/>
          <w:szCs w:val="20"/>
          <w:lang w:val="es-ES"/>
        </w:rPr>
        <w:t xml:space="preserve"> alega cometió la </w:t>
      </w:r>
      <w:r w:rsidR="007D747A" w:rsidRPr="0088540B">
        <w:rPr>
          <w:rFonts w:asciiTheme="majorHAnsi" w:eastAsia="Times New Roman" w:hAnsiTheme="majorHAnsi"/>
          <w:sz w:val="20"/>
          <w:szCs w:val="20"/>
          <w:lang w:val="es-ES"/>
        </w:rPr>
        <w:t>Corte</w:t>
      </w:r>
      <w:r w:rsidR="00B059EC" w:rsidRPr="0088540B">
        <w:rPr>
          <w:rFonts w:asciiTheme="majorHAnsi" w:eastAsia="Times New Roman" w:hAnsiTheme="majorHAnsi"/>
          <w:sz w:val="20"/>
          <w:szCs w:val="20"/>
          <w:lang w:val="es-ES"/>
        </w:rPr>
        <w:t xml:space="preserve"> </w:t>
      </w:r>
      <w:r w:rsidR="007D747A" w:rsidRPr="0088540B">
        <w:rPr>
          <w:rFonts w:asciiTheme="majorHAnsi" w:eastAsia="Times New Roman" w:hAnsiTheme="majorHAnsi"/>
          <w:sz w:val="20"/>
          <w:szCs w:val="20"/>
          <w:lang w:val="es-ES"/>
        </w:rPr>
        <w:t>Suprema</w:t>
      </w:r>
      <w:r w:rsidR="00B059EC" w:rsidRPr="0088540B">
        <w:rPr>
          <w:rFonts w:asciiTheme="majorHAnsi" w:eastAsia="Times New Roman" w:hAnsiTheme="majorHAnsi"/>
          <w:sz w:val="20"/>
          <w:szCs w:val="20"/>
          <w:lang w:val="es-ES"/>
        </w:rPr>
        <w:t xml:space="preserve"> </w:t>
      </w:r>
      <w:r w:rsidR="007D747A" w:rsidRPr="0088540B">
        <w:rPr>
          <w:rFonts w:asciiTheme="majorHAnsi" w:eastAsia="Times New Roman" w:hAnsiTheme="majorHAnsi"/>
          <w:sz w:val="20"/>
          <w:szCs w:val="20"/>
          <w:lang w:val="es-ES"/>
        </w:rPr>
        <w:t>de</w:t>
      </w:r>
      <w:r w:rsidR="00B059EC" w:rsidRPr="0088540B">
        <w:rPr>
          <w:rFonts w:asciiTheme="majorHAnsi" w:eastAsia="Times New Roman" w:hAnsiTheme="majorHAnsi"/>
          <w:sz w:val="20"/>
          <w:szCs w:val="20"/>
          <w:lang w:val="es-ES"/>
        </w:rPr>
        <w:t xml:space="preserve"> </w:t>
      </w:r>
      <w:r w:rsidR="007D747A" w:rsidRPr="0088540B">
        <w:rPr>
          <w:rFonts w:asciiTheme="majorHAnsi" w:eastAsia="Times New Roman" w:hAnsiTheme="majorHAnsi"/>
          <w:sz w:val="20"/>
          <w:szCs w:val="20"/>
          <w:lang w:val="es-ES"/>
        </w:rPr>
        <w:t>Misuri</w:t>
      </w:r>
      <w:r w:rsidR="009B5E10" w:rsidRPr="0088540B">
        <w:rPr>
          <w:rFonts w:asciiTheme="majorHAnsi" w:eastAsia="Times New Roman" w:hAnsiTheme="majorHAnsi"/>
          <w:sz w:val="20"/>
          <w:szCs w:val="20"/>
          <w:lang w:val="es-ES"/>
        </w:rPr>
        <w:t xml:space="preserve"> y que socavan la validez de </w:t>
      </w:r>
      <w:r w:rsidR="0088540B">
        <w:rPr>
          <w:rFonts w:asciiTheme="majorHAnsi" w:eastAsia="Times New Roman" w:hAnsiTheme="majorHAnsi"/>
          <w:sz w:val="20"/>
          <w:szCs w:val="20"/>
          <w:lang w:val="es-ES"/>
        </w:rPr>
        <w:t>la</w:t>
      </w:r>
      <w:r w:rsidR="009B5E10" w:rsidRPr="0088540B">
        <w:rPr>
          <w:rFonts w:asciiTheme="majorHAnsi" w:eastAsia="Times New Roman" w:hAnsiTheme="majorHAnsi"/>
          <w:sz w:val="20"/>
          <w:szCs w:val="20"/>
          <w:lang w:val="es-ES"/>
        </w:rPr>
        <w:t xml:space="preserve"> ratificación de la condena por </w:t>
      </w:r>
      <w:r w:rsidR="00793CFB" w:rsidRPr="0088540B">
        <w:rPr>
          <w:rFonts w:asciiTheme="majorHAnsi" w:eastAsia="Times New Roman" w:hAnsiTheme="majorHAnsi"/>
          <w:sz w:val="20"/>
          <w:szCs w:val="20"/>
          <w:lang w:val="es-ES"/>
        </w:rPr>
        <w:t>homicidio</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en</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primer</w:t>
      </w:r>
      <w:r w:rsidR="00B059EC" w:rsidRPr="0088540B">
        <w:rPr>
          <w:rFonts w:asciiTheme="majorHAnsi" w:eastAsia="Times New Roman" w:hAnsiTheme="majorHAnsi"/>
          <w:sz w:val="20"/>
          <w:szCs w:val="20"/>
          <w:lang w:val="es-ES"/>
        </w:rPr>
        <w:t xml:space="preserve"> </w:t>
      </w:r>
      <w:r w:rsidR="00793CFB" w:rsidRPr="0088540B">
        <w:rPr>
          <w:rFonts w:asciiTheme="majorHAnsi" w:eastAsia="Times New Roman" w:hAnsiTheme="majorHAnsi"/>
          <w:sz w:val="20"/>
          <w:szCs w:val="20"/>
          <w:lang w:val="es-ES"/>
        </w:rPr>
        <w:t>grado</w:t>
      </w:r>
      <w:r w:rsidR="009B5E10"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Estado</w:t>
      </w:r>
      <w:r w:rsidR="00B059EC" w:rsidRPr="0088540B">
        <w:rPr>
          <w:rFonts w:asciiTheme="majorHAnsi" w:eastAsia="Times New Roman" w:hAnsiTheme="majorHAnsi"/>
          <w:sz w:val="20"/>
          <w:szCs w:val="20"/>
          <w:lang w:val="es-ES"/>
        </w:rPr>
        <w:t xml:space="preserve"> </w:t>
      </w:r>
      <w:r w:rsidR="007070DC" w:rsidRPr="0088540B">
        <w:rPr>
          <w:rFonts w:asciiTheme="majorHAnsi" w:eastAsia="Times New Roman" w:hAnsiTheme="majorHAnsi"/>
          <w:sz w:val="20"/>
          <w:szCs w:val="20"/>
          <w:lang w:val="es-ES"/>
        </w:rPr>
        <w:t>expl</w:t>
      </w:r>
      <w:r w:rsidR="009B5E10" w:rsidRPr="0088540B">
        <w:rPr>
          <w:rFonts w:asciiTheme="majorHAnsi" w:eastAsia="Times New Roman" w:hAnsiTheme="majorHAnsi"/>
          <w:sz w:val="20"/>
          <w:szCs w:val="20"/>
          <w:lang w:val="es-ES"/>
        </w:rPr>
        <w:t xml:space="preserve">ica que recaía en </w:t>
      </w:r>
      <w:r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señor</w:t>
      </w:r>
      <w:r w:rsidR="00B059EC" w:rsidRPr="0088540B">
        <w:rPr>
          <w:rFonts w:asciiTheme="majorHAnsi" w:eastAsia="Times New Roman" w:hAnsiTheme="majorHAnsi"/>
          <w:sz w:val="20"/>
          <w:szCs w:val="20"/>
          <w:lang w:val="es-ES"/>
        </w:rPr>
        <w:t xml:space="preserve"> </w:t>
      </w:r>
      <w:r w:rsidR="007070DC" w:rsidRPr="0088540B">
        <w:rPr>
          <w:rFonts w:asciiTheme="majorHAnsi" w:eastAsia="Times New Roman" w:hAnsiTheme="majorHAnsi"/>
          <w:sz w:val="20"/>
          <w:szCs w:val="20"/>
          <w:lang w:val="es-ES"/>
        </w:rPr>
        <w:t>Gray</w:t>
      </w:r>
      <w:r w:rsidR="00B059EC" w:rsidRPr="0088540B">
        <w:rPr>
          <w:rFonts w:asciiTheme="majorHAnsi" w:eastAsia="Times New Roman" w:hAnsiTheme="majorHAnsi"/>
          <w:sz w:val="20"/>
          <w:szCs w:val="20"/>
          <w:lang w:val="es-ES"/>
        </w:rPr>
        <w:t xml:space="preserve"> </w:t>
      </w:r>
      <w:r w:rsidR="009B5E10" w:rsidRPr="0088540B">
        <w:rPr>
          <w:rFonts w:asciiTheme="majorHAnsi" w:eastAsia="Times New Roman" w:hAnsiTheme="majorHAnsi"/>
          <w:sz w:val="20"/>
          <w:szCs w:val="20"/>
          <w:lang w:val="es-ES"/>
        </w:rPr>
        <w:t xml:space="preserve">la carga de refutar con pruebas claras y convincentes la presunción de corrección de las determinaciones de hecho de los tribunales estatales, pero </w:t>
      </w:r>
      <w:r w:rsidRPr="0088540B">
        <w:rPr>
          <w:rFonts w:asciiTheme="majorHAnsi" w:eastAsia="Times New Roman" w:hAnsiTheme="majorHAnsi"/>
          <w:sz w:val="20"/>
          <w:szCs w:val="20"/>
          <w:lang w:val="es-ES"/>
        </w:rPr>
        <w:t>el</w:t>
      </w:r>
      <w:r w:rsidR="00B059EC" w:rsidRPr="0088540B">
        <w:rPr>
          <w:rFonts w:asciiTheme="majorHAnsi" w:eastAsia="Times New Roman" w:hAnsiTheme="majorHAnsi"/>
          <w:sz w:val="20"/>
          <w:szCs w:val="20"/>
          <w:lang w:val="es-ES"/>
        </w:rPr>
        <w:t xml:space="preserve"> </w:t>
      </w:r>
      <w:r w:rsidRPr="0088540B">
        <w:rPr>
          <w:rFonts w:asciiTheme="majorHAnsi" w:eastAsia="Times New Roman" w:hAnsiTheme="majorHAnsi"/>
          <w:sz w:val="20"/>
          <w:szCs w:val="20"/>
          <w:lang w:val="es-ES"/>
        </w:rPr>
        <w:t>señor</w:t>
      </w:r>
      <w:r w:rsidR="00B059EC" w:rsidRPr="0088540B">
        <w:rPr>
          <w:rFonts w:asciiTheme="majorHAnsi" w:eastAsia="Times New Roman" w:hAnsiTheme="majorHAnsi"/>
          <w:sz w:val="20"/>
          <w:szCs w:val="20"/>
          <w:lang w:val="es-ES"/>
        </w:rPr>
        <w:t xml:space="preserve"> </w:t>
      </w:r>
      <w:r w:rsidR="007070DC" w:rsidRPr="0088540B">
        <w:rPr>
          <w:rFonts w:asciiTheme="majorHAnsi" w:eastAsia="Times New Roman" w:hAnsiTheme="majorHAnsi"/>
          <w:sz w:val="20"/>
          <w:szCs w:val="20"/>
          <w:lang w:val="es-ES"/>
        </w:rPr>
        <w:t>Gray</w:t>
      </w:r>
      <w:r w:rsidR="00B059EC" w:rsidRPr="0088540B">
        <w:rPr>
          <w:rFonts w:asciiTheme="majorHAnsi" w:eastAsia="Times New Roman" w:hAnsiTheme="majorHAnsi"/>
          <w:sz w:val="20"/>
          <w:szCs w:val="20"/>
          <w:lang w:val="es-ES"/>
        </w:rPr>
        <w:t xml:space="preserve"> </w:t>
      </w:r>
      <w:r w:rsidR="009B5E10" w:rsidRPr="0088540B">
        <w:rPr>
          <w:rFonts w:asciiTheme="majorHAnsi" w:eastAsia="Times New Roman" w:hAnsiTheme="majorHAnsi"/>
          <w:sz w:val="20"/>
          <w:szCs w:val="20"/>
          <w:lang w:val="es-ES"/>
        </w:rPr>
        <w:t>no demostr</w:t>
      </w:r>
      <w:r w:rsidR="0088540B">
        <w:rPr>
          <w:rFonts w:asciiTheme="majorHAnsi" w:eastAsia="Times New Roman" w:hAnsiTheme="majorHAnsi"/>
          <w:sz w:val="20"/>
          <w:szCs w:val="20"/>
          <w:lang w:val="es-ES"/>
        </w:rPr>
        <w:t>ó</w:t>
      </w:r>
      <w:r w:rsidR="009B5E10" w:rsidRPr="0088540B">
        <w:rPr>
          <w:rFonts w:asciiTheme="majorHAnsi" w:eastAsia="Times New Roman" w:hAnsiTheme="majorHAnsi"/>
          <w:sz w:val="20"/>
          <w:szCs w:val="20"/>
          <w:lang w:val="es-ES"/>
        </w:rPr>
        <w:t xml:space="preserve"> la presencia de inexactitudes sustanciales con respecto a los hechos.</w:t>
      </w:r>
    </w:p>
    <w:p w14:paraId="71B25742" w14:textId="77777777" w:rsidR="007070DC" w:rsidRPr="0088540B" w:rsidRDefault="007070DC" w:rsidP="0088540B">
      <w:pPr>
        <w:rPr>
          <w:rFonts w:asciiTheme="majorHAnsi" w:eastAsia="Times New Roman" w:hAnsiTheme="majorHAnsi"/>
          <w:sz w:val="20"/>
          <w:szCs w:val="20"/>
          <w:lang w:val="es-ES"/>
        </w:rPr>
      </w:pPr>
    </w:p>
    <w:p w14:paraId="61CA719D" w14:textId="77777777" w:rsidR="005C6EDD" w:rsidRPr="009D1E2F" w:rsidRDefault="009B5E10"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En lo que concierne a la afirmación de que no había prueba suficiente para condenar por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porque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no había tenido la intención requerida de matar</w:t>
      </w:r>
      <w:r w:rsidR="005C6EDD"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re</w:t>
      </w:r>
      <w:r>
        <w:rPr>
          <w:rFonts w:asciiTheme="majorHAnsi" w:eastAsia="Times New Roman" w:hAnsiTheme="majorHAnsi"/>
          <w:sz w:val="20"/>
          <w:szCs w:val="20"/>
          <w:lang w:val="es-ES"/>
        </w:rPr>
        <w:t xml:space="preserve">curre a las observaciones de </w:t>
      </w:r>
      <w:r w:rsidR="007D747A"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Corte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Suprema</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7D747A" w:rsidRPr="009D1E2F">
        <w:rPr>
          <w:rFonts w:asciiTheme="majorHAnsi" w:eastAsia="Times New Roman" w:hAnsiTheme="majorHAnsi"/>
          <w:sz w:val="20"/>
          <w:szCs w:val="20"/>
          <w:lang w:val="es-ES"/>
        </w:rPr>
        <w:t>Misuri</w:t>
      </w:r>
      <w:r w:rsidR="007070DC"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A1AC9">
        <w:rPr>
          <w:rFonts w:asciiTheme="majorHAnsi" w:eastAsia="Times New Roman" w:hAnsiTheme="majorHAnsi"/>
          <w:sz w:val="20"/>
          <w:szCs w:val="20"/>
          <w:lang w:val="es-ES"/>
        </w:rPr>
        <w:t>que señaló el papel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7070DC" w:rsidRPr="009D1E2F">
        <w:rPr>
          <w:rFonts w:asciiTheme="majorHAnsi" w:eastAsia="Times New Roman" w:hAnsiTheme="majorHAnsi"/>
          <w:sz w:val="20"/>
          <w:szCs w:val="20"/>
          <w:lang w:val="es-ES"/>
        </w:rPr>
        <w:t>Gray</w:t>
      </w:r>
      <w:r w:rsidR="000A1AC9">
        <w:rPr>
          <w:rFonts w:asciiTheme="majorHAnsi" w:eastAsia="Times New Roman" w:hAnsiTheme="majorHAnsi"/>
          <w:sz w:val="20"/>
          <w:szCs w:val="20"/>
          <w:lang w:val="es-ES"/>
        </w:rPr>
        <w:t xml:space="preserve"> de “líder y </w:t>
      </w:r>
      <w:r w:rsidR="00CE7EE6">
        <w:rPr>
          <w:rFonts w:asciiTheme="majorHAnsi" w:eastAsia="Times New Roman" w:hAnsiTheme="majorHAnsi"/>
          <w:sz w:val="20"/>
          <w:szCs w:val="20"/>
          <w:lang w:val="es-ES"/>
        </w:rPr>
        <w:t>ejecutor</w:t>
      </w:r>
      <w:r w:rsidR="00B059EC" w:rsidRPr="009D1E2F">
        <w:rPr>
          <w:rFonts w:asciiTheme="majorHAnsi" w:eastAsia="Times New Roman" w:hAnsiTheme="majorHAnsi"/>
          <w:sz w:val="20"/>
          <w:szCs w:val="20"/>
          <w:lang w:val="es-ES"/>
        </w:rPr>
        <w:t xml:space="preserve"> </w:t>
      </w:r>
      <w:r w:rsidR="000A1AC9">
        <w:rPr>
          <w:rFonts w:asciiTheme="majorHAnsi" w:eastAsia="Times New Roman" w:hAnsiTheme="majorHAnsi"/>
          <w:sz w:val="20"/>
          <w:szCs w:val="20"/>
          <w:lang w:val="es-ES"/>
        </w:rPr>
        <w:t>del grupo</w:t>
      </w:r>
      <w:r w:rsidR="007070DC" w:rsidRPr="009D1E2F">
        <w:rPr>
          <w:rFonts w:asciiTheme="majorHAnsi" w:eastAsia="Times New Roman" w:hAnsiTheme="majorHAnsi"/>
          <w:sz w:val="20"/>
          <w:szCs w:val="20"/>
          <w:lang w:val="es-ES"/>
        </w:rPr>
        <w:t>”</w:t>
      </w:r>
      <w:r w:rsidR="007070DC" w:rsidRPr="009D1E2F">
        <w:rPr>
          <w:rStyle w:val="FootnoteReference"/>
          <w:rFonts w:asciiTheme="majorHAnsi" w:eastAsia="Times New Roman" w:hAnsiTheme="majorHAnsi"/>
          <w:sz w:val="20"/>
          <w:szCs w:val="20"/>
          <w:lang w:val="es-ES"/>
        </w:rPr>
        <w:footnoteReference w:id="7"/>
      </w:r>
      <w:r w:rsidR="000A1AC9">
        <w:rPr>
          <w:rFonts w:asciiTheme="majorHAnsi" w:eastAsia="Times New Roman" w:hAnsiTheme="majorHAnsi"/>
          <w:sz w:val="20"/>
          <w:szCs w:val="20"/>
          <w:lang w:val="es-ES"/>
        </w:rPr>
        <w:t>, lo cual permitió inferir que habían tenido lugar las deliberaciones requeridas para que se tratara de un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7070DC"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w:t>
      </w:r>
      <w:r w:rsidR="00B059EC" w:rsidRPr="009D1E2F">
        <w:rPr>
          <w:rFonts w:asciiTheme="majorHAnsi" w:hAnsiTheme="majorHAnsi"/>
          <w:sz w:val="20"/>
          <w:szCs w:val="20"/>
          <w:lang w:val="es-ES"/>
        </w:rPr>
        <w:t xml:space="preserve"> </w:t>
      </w:r>
      <w:r w:rsidR="000A1AC9">
        <w:rPr>
          <w:rFonts w:asciiTheme="majorHAnsi" w:hAnsiTheme="majorHAnsi"/>
          <w:sz w:val="20"/>
          <w:szCs w:val="20"/>
          <w:lang w:val="es-ES"/>
        </w:rPr>
        <w:t xml:space="preserve">recurre también al fallo del Tribunal </w:t>
      </w:r>
      <w:r w:rsidR="0067655A">
        <w:rPr>
          <w:rFonts w:asciiTheme="majorHAnsi" w:hAnsiTheme="majorHAnsi"/>
          <w:sz w:val="20"/>
          <w:szCs w:val="20"/>
          <w:lang w:val="es-ES"/>
        </w:rPr>
        <w:t>d</w:t>
      </w:r>
      <w:r w:rsidR="000A1AC9">
        <w:rPr>
          <w:rFonts w:asciiTheme="majorHAnsi" w:hAnsiTheme="majorHAnsi"/>
          <w:sz w:val="20"/>
          <w:szCs w:val="20"/>
          <w:lang w:val="es-ES"/>
        </w:rPr>
        <w:t xml:space="preserve">el Octavo Circuito, el cual indicó </w:t>
      </w:r>
      <w:r w:rsidR="000A1AC9">
        <w:rPr>
          <w:rFonts w:asciiTheme="majorHAnsi" w:hAnsiTheme="majorHAnsi"/>
          <w:sz w:val="20"/>
          <w:szCs w:val="20"/>
          <w:lang w:val="es-ES"/>
        </w:rPr>
        <w:lastRenderedPageBreak/>
        <w:t xml:space="preserve">que había </w:t>
      </w:r>
      <w:r w:rsidR="005C0BC0">
        <w:rPr>
          <w:rFonts w:asciiTheme="majorHAnsi" w:hAnsiTheme="majorHAnsi"/>
          <w:sz w:val="20"/>
          <w:szCs w:val="20"/>
          <w:lang w:val="es-ES"/>
        </w:rPr>
        <w:t>“</w:t>
      </w:r>
      <w:r w:rsidR="000A1AC9">
        <w:rPr>
          <w:rFonts w:asciiTheme="majorHAnsi" w:hAnsiTheme="majorHAnsi"/>
          <w:sz w:val="20"/>
          <w:szCs w:val="20"/>
          <w:lang w:val="es-ES"/>
        </w:rPr>
        <w:t xml:space="preserve">amplias pruebas de la participación y deliberación para justificar un veredicto de culpabilidad del cargo de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5C0BC0">
        <w:rPr>
          <w:rFonts w:asciiTheme="majorHAnsi" w:eastAsia="Times New Roman" w:hAnsiTheme="majorHAnsi"/>
          <w:sz w:val="20"/>
          <w:szCs w:val="20"/>
          <w:lang w:val="es-ES"/>
        </w:rPr>
        <w:t>”</w:t>
      </w:r>
      <w:r w:rsidR="005C6EDD" w:rsidRPr="009D1E2F">
        <w:rPr>
          <w:rStyle w:val="FootnoteReference"/>
          <w:rFonts w:asciiTheme="majorHAnsi" w:eastAsia="Times New Roman" w:hAnsiTheme="majorHAnsi"/>
          <w:sz w:val="20"/>
          <w:szCs w:val="20"/>
          <w:lang w:val="es-ES"/>
        </w:rPr>
        <w:footnoteReference w:id="8"/>
      </w:r>
      <w:r w:rsidR="005C0BC0">
        <w:rPr>
          <w:rFonts w:asciiTheme="majorHAnsi" w:eastAsia="Times New Roman" w:hAnsiTheme="majorHAnsi"/>
          <w:sz w:val="20"/>
          <w:szCs w:val="20"/>
          <w:lang w:val="es-ES"/>
        </w:rPr>
        <w:t xml:space="preserve">, lo cual constituía una </w:t>
      </w:r>
      <w:r w:rsidR="000A1AC9">
        <w:rPr>
          <w:rFonts w:asciiTheme="majorHAnsi" w:eastAsia="Times New Roman" w:hAnsiTheme="majorHAnsi"/>
          <w:sz w:val="20"/>
          <w:szCs w:val="20"/>
          <w:lang w:val="es-ES"/>
        </w:rPr>
        <w:t>referencia a</w:t>
      </w:r>
      <w:r w:rsidR="005C0BC0">
        <w:rPr>
          <w:rFonts w:asciiTheme="majorHAnsi" w:eastAsia="Times New Roman" w:hAnsiTheme="majorHAnsi"/>
          <w:sz w:val="20"/>
          <w:szCs w:val="20"/>
          <w:lang w:val="es-ES"/>
        </w:rPr>
        <w:t>l caso</w:t>
      </w:r>
      <w:r w:rsidR="000A1AC9">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0A1AC9">
        <w:rPr>
          <w:rFonts w:asciiTheme="majorHAnsi" w:eastAsia="Times New Roman" w:hAnsiTheme="majorHAnsi"/>
          <w:sz w:val="20"/>
          <w:szCs w:val="20"/>
          <w:lang w:val="es-ES"/>
        </w:rPr>
        <w:t xml:space="preserve">contra </w:t>
      </w:r>
      <w:proofErr w:type="spellStart"/>
      <w:r w:rsidR="005C6EDD" w:rsidRPr="009D1E2F">
        <w:rPr>
          <w:rFonts w:asciiTheme="majorHAnsi" w:eastAsia="Times New Roman" w:hAnsiTheme="majorHAnsi"/>
          <w:sz w:val="20"/>
          <w:szCs w:val="20"/>
          <w:lang w:val="es-ES"/>
        </w:rPr>
        <w:t>Bowersox</w:t>
      </w:r>
      <w:proofErr w:type="spellEnd"/>
      <w:r w:rsidR="000A1AC9">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281</w:t>
      </w:r>
      <w:r w:rsidR="00B059EC" w:rsidRPr="009D1E2F">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F.3d</w:t>
      </w:r>
      <w:r w:rsidR="000A1AC9">
        <w:rPr>
          <w:rFonts w:asciiTheme="majorHAnsi" w:eastAsia="Times New Roman" w:hAnsiTheme="majorHAnsi"/>
          <w:sz w:val="20"/>
          <w:szCs w:val="20"/>
          <w:lang w:val="es-ES"/>
        </w:rPr>
        <w:t>, párr.</w:t>
      </w:r>
      <w:r w:rsidR="00B059EC" w:rsidRPr="009D1E2F">
        <w:rPr>
          <w:rFonts w:asciiTheme="majorHAnsi" w:eastAsia="Times New Roman" w:hAnsiTheme="majorHAnsi"/>
          <w:sz w:val="20"/>
          <w:szCs w:val="20"/>
          <w:lang w:val="es-ES"/>
        </w:rPr>
        <w:t xml:space="preserve"> </w:t>
      </w:r>
      <w:r w:rsidR="005C6EDD" w:rsidRPr="009D1E2F">
        <w:rPr>
          <w:rFonts w:asciiTheme="majorHAnsi" w:eastAsia="Times New Roman" w:hAnsiTheme="majorHAnsi"/>
          <w:sz w:val="20"/>
          <w:szCs w:val="20"/>
          <w:lang w:val="es-ES"/>
        </w:rPr>
        <w:t>753</w:t>
      </w:r>
      <w:r w:rsidR="000A1AC9">
        <w:rPr>
          <w:rFonts w:asciiTheme="majorHAnsi" w:eastAsia="Times New Roman" w:hAnsiTheme="majorHAnsi"/>
          <w:sz w:val="20"/>
          <w:szCs w:val="20"/>
          <w:lang w:val="es-ES"/>
        </w:rPr>
        <w:t>)</w:t>
      </w:r>
      <w:r w:rsidR="005C6EDD"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5C0BC0">
        <w:rPr>
          <w:rFonts w:asciiTheme="majorHAnsi" w:eastAsia="Times New Roman" w:hAnsiTheme="majorHAnsi"/>
          <w:sz w:val="20"/>
          <w:szCs w:val="20"/>
          <w:lang w:val="es-ES"/>
        </w:rPr>
        <w:t>Asimismo, e</w:t>
      </w:r>
      <w:r w:rsidR="000A1AC9">
        <w:rPr>
          <w:rFonts w:asciiTheme="majorHAnsi" w:eastAsia="Times New Roman" w:hAnsiTheme="majorHAnsi"/>
          <w:sz w:val="20"/>
          <w:szCs w:val="20"/>
          <w:lang w:val="es-ES"/>
        </w:rPr>
        <w:t xml:space="preserve">l Estado </w:t>
      </w:r>
      <w:r w:rsidR="005C0BC0">
        <w:rPr>
          <w:rFonts w:asciiTheme="majorHAnsi" w:eastAsia="Times New Roman" w:hAnsiTheme="majorHAnsi"/>
          <w:sz w:val="20"/>
          <w:szCs w:val="20"/>
          <w:lang w:val="es-ES"/>
        </w:rPr>
        <w:t xml:space="preserve">recurre </w:t>
      </w:r>
      <w:r w:rsidR="000A1AC9">
        <w:rPr>
          <w:rFonts w:asciiTheme="majorHAnsi" w:eastAsia="Times New Roman" w:hAnsiTheme="majorHAnsi"/>
          <w:sz w:val="20"/>
          <w:szCs w:val="20"/>
          <w:lang w:val="es-ES"/>
        </w:rPr>
        <w:t xml:space="preserve">a las leyes de Misuri, según las cuales </w:t>
      </w:r>
      <w:r w:rsidR="005C0BC0">
        <w:rPr>
          <w:rFonts w:asciiTheme="majorHAnsi" w:eastAsia="Times New Roman" w:hAnsiTheme="majorHAnsi"/>
          <w:sz w:val="20"/>
          <w:szCs w:val="20"/>
          <w:lang w:val="es-ES"/>
        </w:rPr>
        <w:t>“u</w:t>
      </w:r>
      <w:r w:rsidR="000A1AC9">
        <w:rPr>
          <w:rFonts w:asciiTheme="majorHAnsi" w:eastAsia="Times New Roman" w:hAnsiTheme="majorHAnsi"/>
          <w:sz w:val="20"/>
          <w:szCs w:val="20"/>
          <w:lang w:val="es-ES"/>
        </w:rPr>
        <w:t xml:space="preserve">na reflexión serena de cualquier duración, por más breve que sea, </w:t>
      </w:r>
      <w:r w:rsidR="007070DC" w:rsidRPr="009D1E2F">
        <w:rPr>
          <w:rFonts w:asciiTheme="majorHAnsi" w:eastAsia="Times New Roman" w:hAnsiTheme="majorHAnsi"/>
          <w:sz w:val="20"/>
          <w:szCs w:val="20"/>
          <w:lang w:val="es-ES"/>
        </w:rPr>
        <w:t>constitu</w:t>
      </w:r>
      <w:r w:rsidR="000A1AC9">
        <w:rPr>
          <w:rFonts w:asciiTheme="majorHAnsi" w:eastAsia="Times New Roman" w:hAnsiTheme="majorHAnsi"/>
          <w:sz w:val="20"/>
          <w:szCs w:val="20"/>
          <w:lang w:val="es-ES"/>
        </w:rPr>
        <w:t xml:space="preserve">ye la deliberación requerida para justificar un veredicto de culpabilidad del cargo de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5C0BC0">
        <w:rPr>
          <w:rFonts w:asciiTheme="majorHAnsi" w:eastAsia="Times New Roman" w:hAnsiTheme="majorHAnsi"/>
          <w:sz w:val="20"/>
          <w:szCs w:val="20"/>
          <w:lang w:val="es-ES"/>
        </w:rPr>
        <w:t>”</w:t>
      </w:r>
      <w:r w:rsidR="007070DC" w:rsidRPr="009D1E2F">
        <w:rPr>
          <w:rFonts w:asciiTheme="majorHAnsi" w:eastAsia="Times New Roman" w:hAnsiTheme="majorHAnsi"/>
          <w:sz w:val="20"/>
          <w:szCs w:val="20"/>
          <w:lang w:val="es-ES"/>
        </w:rPr>
        <w:t>.</w:t>
      </w:r>
    </w:p>
    <w:p w14:paraId="2E7590F1" w14:textId="77777777" w:rsidR="005C6EDD" w:rsidRPr="009D1E2F" w:rsidRDefault="005C6EDD" w:rsidP="00817426">
      <w:pPr>
        <w:pStyle w:val="ListParagraph"/>
        <w:rPr>
          <w:rFonts w:asciiTheme="majorHAnsi" w:eastAsia="Times New Roman" w:hAnsiTheme="majorHAnsi"/>
          <w:sz w:val="20"/>
          <w:szCs w:val="20"/>
          <w:lang w:val="es-ES"/>
        </w:rPr>
      </w:pPr>
    </w:p>
    <w:p w14:paraId="6F463F85" w14:textId="77777777" w:rsidR="00273645" w:rsidRPr="009D1E2F" w:rsidRDefault="000E2468"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A27941" w:rsidRPr="009D1E2F">
        <w:rPr>
          <w:rFonts w:asciiTheme="majorHAnsi" w:eastAsia="Times New Roman" w:hAnsiTheme="majorHAnsi"/>
          <w:sz w:val="20"/>
          <w:szCs w:val="20"/>
          <w:lang w:val="es-ES"/>
        </w:rPr>
        <w:t>afirm</w:t>
      </w:r>
      <w:r w:rsidR="004C28A6">
        <w:rPr>
          <w:rFonts w:asciiTheme="majorHAnsi" w:eastAsia="Times New Roman" w:hAnsiTheme="majorHAnsi"/>
          <w:sz w:val="20"/>
          <w:szCs w:val="20"/>
          <w:lang w:val="es-ES"/>
        </w:rPr>
        <w:t xml:space="preserve">a que un jurado debidamente constituido impuso la pena de muerte tras la condena, </w:t>
      </w:r>
      <w:r w:rsidR="005E68B0">
        <w:rPr>
          <w:rFonts w:asciiTheme="majorHAnsi" w:eastAsia="Times New Roman" w:hAnsiTheme="majorHAnsi"/>
          <w:sz w:val="20"/>
          <w:szCs w:val="20"/>
          <w:lang w:val="es-ES"/>
        </w:rPr>
        <w:t xml:space="preserve">basándose en </w:t>
      </w:r>
      <w:r w:rsidR="004C28A6">
        <w:rPr>
          <w:rFonts w:asciiTheme="majorHAnsi" w:eastAsia="Times New Roman" w:hAnsiTheme="majorHAnsi"/>
          <w:sz w:val="20"/>
          <w:szCs w:val="20"/>
          <w:lang w:val="es-ES"/>
        </w:rPr>
        <w:t xml:space="preserve">seis agravantes </w:t>
      </w:r>
      <w:r w:rsidR="005E68B0">
        <w:rPr>
          <w:rFonts w:asciiTheme="majorHAnsi" w:eastAsia="Times New Roman" w:hAnsiTheme="majorHAnsi"/>
          <w:sz w:val="20"/>
          <w:szCs w:val="20"/>
          <w:lang w:val="es-ES"/>
        </w:rPr>
        <w:t xml:space="preserve">que encontró en relación con </w:t>
      </w:r>
      <w:r w:rsidR="004C28A6">
        <w:rPr>
          <w:rFonts w:asciiTheme="majorHAnsi" w:eastAsia="Times New Roman" w:hAnsiTheme="majorHAnsi"/>
          <w:sz w:val="20"/>
          <w:szCs w:val="20"/>
          <w:lang w:val="es-ES"/>
        </w:rPr>
        <w:t>cada cargo de homicidio</w:t>
      </w:r>
      <w:r w:rsidR="00A27941"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5E68B0">
        <w:rPr>
          <w:rFonts w:asciiTheme="majorHAnsi" w:eastAsia="Times New Roman" w:hAnsiTheme="majorHAnsi"/>
          <w:sz w:val="20"/>
          <w:szCs w:val="20"/>
          <w:lang w:val="es-ES"/>
        </w:rPr>
        <w:t>Agrega que los tribunales estadounidenses consideraron debidamente las circunstancias del delito d</w:t>
      </w:r>
      <w:r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B945B3" w:rsidRPr="009D1E2F">
        <w:rPr>
          <w:rFonts w:asciiTheme="majorHAnsi" w:eastAsia="Times New Roman" w:hAnsiTheme="majorHAnsi"/>
          <w:sz w:val="20"/>
          <w:szCs w:val="20"/>
          <w:lang w:val="es-ES"/>
        </w:rPr>
        <w:t>Gray</w:t>
      </w:r>
      <w:r w:rsidR="005E68B0">
        <w:rPr>
          <w:rFonts w:asciiTheme="majorHAnsi" w:eastAsia="Times New Roman" w:hAnsiTheme="majorHAnsi"/>
          <w:sz w:val="20"/>
          <w:szCs w:val="20"/>
          <w:lang w:val="es-ES"/>
        </w:rPr>
        <w:t xml:space="preserve"> y que su pena no fue arbitraria, sino que fue impuesta de acuerdo con las protecciones del debido proceso</w:t>
      </w:r>
      <w:r w:rsidR="00B945B3"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5E68B0">
        <w:rPr>
          <w:rFonts w:asciiTheme="majorHAnsi" w:eastAsia="Times New Roman" w:hAnsiTheme="majorHAnsi"/>
          <w:sz w:val="20"/>
          <w:szCs w:val="20"/>
          <w:lang w:val="es-ES"/>
        </w:rPr>
        <w:t>E</w:t>
      </w:r>
      <w:r w:rsidR="00B945B3" w:rsidRPr="009D1E2F">
        <w:rPr>
          <w:rFonts w:asciiTheme="majorHAnsi" w:eastAsia="Times New Roman" w:hAnsiTheme="majorHAnsi"/>
          <w:sz w:val="20"/>
          <w:szCs w:val="20"/>
          <w:lang w:val="es-ES"/>
        </w:rPr>
        <w:t>n</w:t>
      </w:r>
      <w:r w:rsidR="00B059EC" w:rsidRPr="009D1E2F">
        <w:rPr>
          <w:rFonts w:asciiTheme="majorHAnsi" w:eastAsia="Times New Roman" w:hAnsiTheme="majorHAnsi"/>
          <w:sz w:val="20"/>
          <w:szCs w:val="20"/>
          <w:lang w:val="es-ES"/>
        </w:rPr>
        <w:t xml:space="preserve"> </w:t>
      </w:r>
      <w:r w:rsidR="00B945B3" w:rsidRPr="009D1E2F">
        <w:rPr>
          <w:rFonts w:asciiTheme="majorHAnsi" w:eastAsia="Times New Roman" w:hAnsiTheme="majorHAnsi"/>
          <w:sz w:val="20"/>
          <w:szCs w:val="20"/>
          <w:lang w:val="es-ES"/>
        </w:rPr>
        <w:t>particular,</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5E68B0">
        <w:rPr>
          <w:rFonts w:asciiTheme="majorHAnsi" w:eastAsia="Times New Roman" w:hAnsiTheme="majorHAnsi"/>
          <w:sz w:val="20"/>
          <w:szCs w:val="20"/>
          <w:lang w:val="es-ES"/>
        </w:rPr>
        <w:t>sostiene que los tribunales estadounidenses</w:t>
      </w:r>
      <w:r w:rsidR="00B059EC" w:rsidRPr="009D1E2F">
        <w:rPr>
          <w:rFonts w:asciiTheme="majorHAnsi" w:eastAsia="Times New Roman" w:hAnsiTheme="majorHAnsi"/>
          <w:sz w:val="20"/>
          <w:szCs w:val="20"/>
          <w:lang w:val="es-ES"/>
        </w:rPr>
        <w:t xml:space="preserve"> </w:t>
      </w:r>
      <w:r w:rsidR="00B945B3" w:rsidRPr="009D1E2F">
        <w:rPr>
          <w:rFonts w:asciiTheme="majorHAnsi" w:eastAsia="Times New Roman" w:hAnsiTheme="majorHAnsi"/>
          <w:sz w:val="20"/>
          <w:szCs w:val="20"/>
          <w:lang w:val="es-ES"/>
        </w:rPr>
        <w:t>ha</w:t>
      </w:r>
      <w:r w:rsidR="005E68B0">
        <w:rPr>
          <w:rFonts w:asciiTheme="majorHAnsi" w:eastAsia="Times New Roman" w:hAnsiTheme="majorHAnsi"/>
          <w:sz w:val="20"/>
          <w:szCs w:val="20"/>
          <w:lang w:val="es-ES"/>
        </w:rPr>
        <w:t xml:space="preserve">n examinado </w:t>
      </w:r>
      <w:proofErr w:type="gramStart"/>
      <w:r w:rsidR="005E68B0" w:rsidRPr="005E68B0">
        <w:rPr>
          <w:rFonts w:asciiTheme="majorHAnsi" w:eastAsia="Times New Roman" w:hAnsiTheme="majorHAnsi"/>
          <w:i/>
          <w:sz w:val="20"/>
          <w:szCs w:val="20"/>
          <w:lang w:val="es-ES"/>
        </w:rPr>
        <w:t>in extenso</w:t>
      </w:r>
      <w:proofErr w:type="gramEnd"/>
      <w:r w:rsidR="005E68B0">
        <w:rPr>
          <w:rFonts w:asciiTheme="majorHAnsi" w:eastAsia="Times New Roman" w:hAnsiTheme="majorHAnsi"/>
          <w:sz w:val="20"/>
          <w:szCs w:val="20"/>
          <w:lang w:val="es-ES"/>
        </w:rPr>
        <w:t xml:space="preserve"> el tema de la gravedad del delito d</w:t>
      </w:r>
      <w:r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B945B3" w:rsidRPr="009D1E2F">
        <w:rPr>
          <w:rFonts w:asciiTheme="majorHAnsi" w:eastAsia="Times New Roman" w:hAnsiTheme="majorHAnsi"/>
          <w:sz w:val="20"/>
          <w:szCs w:val="20"/>
          <w:lang w:val="es-ES"/>
        </w:rPr>
        <w:t>Gray</w:t>
      </w:r>
      <w:r w:rsidR="005E68B0">
        <w:rPr>
          <w:rFonts w:asciiTheme="majorHAnsi" w:eastAsia="Times New Roman" w:hAnsiTheme="majorHAnsi"/>
          <w:sz w:val="20"/>
          <w:szCs w:val="20"/>
          <w:lang w:val="es-ES"/>
        </w:rPr>
        <w:t xml:space="preserve"> y </w:t>
      </w:r>
      <w:r w:rsidR="0088540B">
        <w:rPr>
          <w:rFonts w:asciiTheme="majorHAnsi" w:eastAsia="Times New Roman" w:hAnsiTheme="majorHAnsi"/>
          <w:sz w:val="20"/>
          <w:szCs w:val="20"/>
          <w:lang w:val="es-ES"/>
        </w:rPr>
        <w:t xml:space="preserve">que </w:t>
      </w:r>
      <w:r w:rsidR="005E68B0">
        <w:rPr>
          <w:rFonts w:asciiTheme="majorHAnsi" w:eastAsia="Times New Roman" w:hAnsiTheme="majorHAnsi"/>
          <w:sz w:val="20"/>
          <w:szCs w:val="20"/>
          <w:lang w:val="es-ES"/>
        </w:rPr>
        <w:t>sus conclusiones respaldan de hecho y de derecho la pena de muerte</w:t>
      </w:r>
      <w:r w:rsidR="00B945B3"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74FFC694" w14:textId="77777777" w:rsidR="00006F2E" w:rsidRPr="009D1E2F" w:rsidRDefault="00006F2E" w:rsidP="00817426">
      <w:pPr>
        <w:pStyle w:val="ListParagraph"/>
        <w:rPr>
          <w:rFonts w:asciiTheme="majorHAnsi" w:hAnsiTheme="majorHAnsi"/>
          <w:sz w:val="20"/>
          <w:szCs w:val="20"/>
          <w:lang w:val="es-ES"/>
        </w:rPr>
      </w:pPr>
    </w:p>
    <w:p w14:paraId="1371FFF3" w14:textId="77777777" w:rsidR="00006F2E" w:rsidRPr="009D1E2F" w:rsidRDefault="005E68B0"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Con respecto a la afirmación de </w:t>
      </w:r>
      <w:r w:rsidR="00CE7EE6">
        <w:rPr>
          <w:rFonts w:asciiTheme="majorHAnsi" w:hAnsiTheme="majorHAnsi"/>
          <w:sz w:val="20"/>
          <w:szCs w:val="20"/>
          <w:lang w:val="es-ES"/>
        </w:rPr>
        <w:t>la parte peticionaria</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de que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006F2E"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no cometió un delito de </w:t>
      </w:r>
      <w:r w:rsidR="00006F2E" w:rsidRPr="009D1E2F">
        <w:rPr>
          <w:rFonts w:asciiTheme="majorHAnsi" w:hAnsiTheme="majorHAnsi"/>
          <w:sz w:val="20"/>
          <w:szCs w:val="20"/>
          <w:lang w:val="es-ES"/>
        </w:rPr>
        <w:t>“</w:t>
      </w:r>
      <w:r w:rsidR="0093050F">
        <w:rPr>
          <w:rFonts w:asciiTheme="majorHAnsi" w:hAnsiTheme="majorHAnsi"/>
          <w:sz w:val="20"/>
          <w:szCs w:val="20"/>
          <w:lang w:val="es-ES"/>
        </w:rPr>
        <w:t>excepcional gravedad</w:t>
      </w:r>
      <w:r w:rsidR="00006F2E"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de acuerdo con el</w:t>
      </w:r>
      <w:r w:rsidR="00B059EC" w:rsidRPr="009D1E2F">
        <w:rPr>
          <w:rFonts w:asciiTheme="majorHAnsi" w:hAnsiTheme="majorHAnsi"/>
          <w:sz w:val="20"/>
          <w:szCs w:val="20"/>
          <w:lang w:val="es-ES"/>
        </w:rPr>
        <w:t xml:space="preserve"> </w:t>
      </w:r>
      <w:r w:rsidR="00674E9F">
        <w:rPr>
          <w:rFonts w:asciiTheme="majorHAnsi" w:hAnsiTheme="majorHAnsi"/>
          <w:sz w:val="20"/>
          <w:szCs w:val="20"/>
          <w:lang w:val="es-ES"/>
        </w:rPr>
        <w:t>derecho internacional</w:t>
      </w:r>
      <w:r w:rsidR="00006F2E"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w:t>
      </w:r>
      <w:r w:rsidR="00B059EC" w:rsidRPr="009D1E2F">
        <w:rPr>
          <w:rFonts w:asciiTheme="majorHAnsi" w:hAnsiTheme="majorHAnsi"/>
          <w:sz w:val="20"/>
          <w:szCs w:val="20"/>
          <w:lang w:val="es-ES"/>
        </w:rPr>
        <w:t xml:space="preserve"> </w:t>
      </w:r>
      <w:r w:rsidR="00006F2E" w:rsidRPr="009D1E2F">
        <w:rPr>
          <w:rFonts w:asciiTheme="majorHAnsi" w:hAnsiTheme="majorHAnsi"/>
          <w:sz w:val="20"/>
          <w:szCs w:val="20"/>
          <w:lang w:val="es-ES"/>
        </w:rPr>
        <w:t>reiter</w:t>
      </w:r>
      <w:r>
        <w:rPr>
          <w:rFonts w:asciiTheme="majorHAnsi" w:hAnsiTheme="majorHAnsi"/>
          <w:sz w:val="20"/>
          <w:szCs w:val="20"/>
          <w:lang w:val="es-ES"/>
        </w:rPr>
        <w:t>a que los tribunales estadounidenses</w:t>
      </w:r>
      <w:r w:rsidR="00B059EC" w:rsidRPr="009D1E2F">
        <w:rPr>
          <w:rFonts w:asciiTheme="majorHAnsi" w:hAnsiTheme="majorHAnsi"/>
          <w:sz w:val="20"/>
          <w:szCs w:val="20"/>
          <w:lang w:val="es-ES"/>
        </w:rPr>
        <w:t xml:space="preserve"> </w:t>
      </w:r>
      <w:r w:rsidRPr="005E68B0">
        <w:rPr>
          <w:rFonts w:asciiTheme="majorHAnsi" w:hAnsiTheme="majorHAnsi"/>
          <w:sz w:val="20"/>
          <w:szCs w:val="20"/>
          <w:lang w:val="es-ES"/>
        </w:rPr>
        <w:t xml:space="preserve">han examinado </w:t>
      </w:r>
      <w:proofErr w:type="gramStart"/>
      <w:r w:rsidRPr="005E68B0">
        <w:rPr>
          <w:rFonts w:asciiTheme="majorHAnsi" w:hAnsiTheme="majorHAnsi"/>
          <w:i/>
          <w:sz w:val="20"/>
          <w:szCs w:val="20"/>
          <w:lang w:val="es-ES"/>
        </w:rPr>
        <w:t>in extenso</w:t>
      </w:r>
      <w:proofErr w:type="gramEnd"/>
      <w:r w:rsidRPr="005E68B0">
        <w:rPr>
          <w:rFonts w:asciiTheme="majorHAnsi" w:hAnsiTheme="majorHAnsi"/>
          <w:sz w:val="20"/>
          <w:szCs w:val="20"/>
          <w:lang w:val="es-ES"/>
        </w:rPr>
        <w:t xml:space="preserve"> el tema de la gravedad del delito del señor Gray y </w:t>
      </w:r>
      <w:r w:rsidR="0088540B">
        <w:rPr>
          <w:rFonts w:asciiTheme="majorHAnsi" w:hAnsiTheme="majorHAnsi"/>
          <w:sz w:val="20"/>
          <w:szCs w:val="20"/>
          <w:lang w:val="es-ES"/>
        </w:rPr>
        <w:t xml:space="preserve">que </w:t>
      </w:r>
      <w:r w:rsidRPr="005E68B0">
        <w:rPr>
          <w:rFonts w:asciiTheme="majorHAnsi" w:hAnsiTheme="majorHAnsi"/>
          <w:sz w:val="20"/>
          <w:szCs w:val="20"/>
          <w:lang w:val="es-ES"/>
        </w:rPr>
        <w:t>sus conclusiones respaldan de hecho y de derecho la pena de muerte</w:t>
      </w:r>
      <w:r w:rsidR="00006F2E"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w:t>
      </w:r>
      <w:r w:rsidR="00B059EC" w:rsidRPr="009D1E2F">
        <w:rPr>
          <w:rFonts w:asciiTheme="majorHAnsi" w:hAnsiTheme="majorHAnsi"/>
          <w:sz w:val="20"/>
          <w:szCs w:val="20"/>
          <w:lang w:val="es-ES"/>
        </w:rPr>
        <w:t xml:space="preserve"> </w:t>
      </w:r>
      <w:r>
        <w:rPr>
          <w:rFonts w:asciiTheme="majorHAnsi" w:hAnsiTheme="majorHAnsi"/>
          <w:sz w:val="20"/>
          <w:szCs w:val="20"/>
          <w:lang w:val="es-ES"/>
        </w:rPr>
        <w:t>rechaza la afirmación de que las pruebas presentadas respaldan ampliamente la condena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54316E" w:rsidRPr="009D1E2F">
        <w:rPr>
          <w:rFonts w:asciiTheme="majorHAnsi" w:hAnsiTheme="majorHAnsi"/>
          <w:sz w:val="20"/>
          <w:szCs w:val="20"/>
          <w:lang w:val="es-ES"/>
        </w:rPr>
        <w:t>Gray</w:t>
      </w:r>
      <w:r>
        <w:rPr>
          <w:rFonts w:asciiTheme="majorHAnsi" w:hAnsiTheme="majorHAnsi"/>
          <w:sz w:val="20"/>
          <w:szCs w:val="20"/>
          <w:lang w:val="es-ES"/>
        </w:rPr>
        <w:t xml:space="preserve"> como cómplice de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54316E"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tal como se define en las leyes de Misuri</w:t>
      </w:r>
      <w:r w:rsidR="0088540B">
        <w:rPr>
          <w:rFonts w:asciiTheme="majorHAnsi" w:hAnsiTheme="majorHAnsi"/>
          <w:sz w:val="20"/>
          <w:szCs w:val="20"/>
          <w:lang w:val="es-ES"/>
        </w:rPr>
        <w:t xml:space="preserve">, y </w:t>
      </w:r>
      <w:r>
        <w:rPr>
          <w:rFonts w:asciiTheme="majorHAnsi" w:hAnsiTheme="majorHAnsi"/>
          <w:sz w:val="20"/>
          <w:szCs w:val="20"/>
          <w:lang w:val="es-ES"/>
        </w:rPr>
        <w:t xml:space="preserve">se </w:t>
      </w:r>
      <w:r w:rsidR="0054316E" w:rsidRPr="009D1E2F">
        <w:rPr>
          <w:rFonts w:asciiTheme="majorHAnsi" w:hAnsiTheme="majorHAnsi"/>
          <w:sz w:val="20"/>
          <w:szCs w:val="20"/>
          <w:lang w:val="es-ES"/>
        </w:rPr>
        <w:t>ref</w:t>
      </w:r>
      <w:r>
        <w:rPr>
          <w:rFonts w:asciiTheme="majorHAnsi" w:hAnsiTheme="majorHAnsi"/>
          <w:sz w:val="20"/>
          <w:szCs w:val="20"/>
          <w:lang w:val="es-ES"/>
        </w:rPr>
        <w:t>iere es</w:t>
      </w:r>
      <w:r w:rsidR="0054316E" w:rsidRPr="009D1E2F">
        <w:rPr>
          <w:rFonts w:asciiTheme="majorHAnsi" w:hAnsiTheme="majorHAnsi"/>
          <w:sz w:val="20"/>
          <w:szCs w:val="20"/>
          <w:lang w:val="es-ES"/>
        </w:rPr>
        <w:t>pec</w:t>
      </w:r>
      <w:r>
        <w:rPr>
          <w:rFonts w:asciiTheme="majorHAnsi" w:hAnsiTheme="majorHAnsi"/>
          <w:sz w:val="20"/>
          <w:szCs w:val="20"/>
          <w:lang w:val="es-ES"/>
        </w:rPr>
        <w:t xml:space="preserve">íficamente a la ley de Misuri que guía a los </w:t>
      </w:r>
      <w:r w:rsidR="0054316E" w:rsidRPr="009D1E2F">
        <w:rPr>
          <w:rFonts w:asciiTheme="majorHAnsi" w:hAnsiTheme="majorHAnsi"/>
          <w:sz w:val="20"/>
          <w:szCs w:val="20"/>
          <w:lang w:val="es-ES"/>
        </w:rPr>
        <w:t>t</w:t>
      </w:r>
      <w:r>
        <w:rPr>
          <w:rFonts w:asciiTheme="majorHAnsi" w:hAnsiTheme="majorHAnsi"/>
          <w:sz w:val="20"/>
          <w:szCs w:val="20"/>
          <w:lang w:val="es-ES"/>
        </w:rPr>
        <w:t>ribunales, según la cual</w:t>
      </w:r>
      <w:r w:rsidR="00C92214" w:rsidRPr="009D1E2F">
        <w:rPr>
          <w:rStyle w:val="FootnoteReference"/>
          <w:rFonts w:asciiTheme="majorHAnsi" w:hAnsiTheme="majorHAnsi"/>
          <w:sz w:val="20"/>
          <w:szCs w:val="20"/>
          <w:lang w:val="es-ES"/>
        </w:rPr>
        <w:footnoteReference w:id="9"/>
      </w:r>
      <w:r>
        <w:rPr>
          <w:rFonts w:asciiTheme="majorHAnsi" w:hAnsiTheme="majorHAnsi"/>
          <w:sz w:val="20"/>
          <w:szCs w:val="20"/>
          <w:lang w:val="es-ES"/>
        </w:rPr>
        <w:t>:</w:t>
      </w:r>
    </w:p>
    <w:p w14:paraId="1774BB36" w14:textId="77777777" w:rsidR="0054316E" w:rsidRPr="009D1E2F" w:rsidRDefault="0054316E" w:rsidP="00817426">
      <w:pPr>
        <w:pStyle w:val="ListParagraph"/>
        <w:rPr>
          <w:rFonts w:asciiTheme="majorHAnsi" w:hAnsiTheme="majorHAnsi"/>
          <w:sz w:val="20"/>
          <w:szCs w:val="20"/>
          <w:lang w:val="es-ES"/>
        </w:rPr>
      </w:pPr>
    </w:p>
    <w:p w14:paraId="743EC75A" w14:textId="77777777" w:rsidR="00DC5165" w:rsidRPr="009D1E2F" w:rsidRDefault="005E68B0"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lang w:val="es-ES"/>
        </w:rPr>
      </w:pPr>
      <w:r>
        <w:rPr>
          <w:rFonts w:asciiTheme="majorHAnsi" w:hAnsiTheme="majorHAnsi"/>
          <w:sz w:val="18"/>
          <w:szCs w:val="18"/>
          <w:lang w:val="es-ES"/>
        </w:rPr>
        <w:t>Antes de la c</w:t>
      </w:r>
      <w:r w:rsidR="00363E52" w:rsidRPr="009D1E2F">
        <w:rPr>
          <w:rFonts w:asciiTheme="majorHAnsi" w:hAnsiTheme="majorHAnsi"/>
          <w:sz w:val="18"/>
          <w:szCs w:val="18"/>
          <w:lang w:val="es-ES"/>
        </w:rPr>
        <w:t>omisión</w:t>
      </w:r>
      <w:r w:rsidR="00B059EC" w:rsidRPr="009D1E2F">
        <w:rPr>
          <w:rFonts w:asciiTheme="majorHAnsi" w:hAnsiTheme="majorHAnsi"/>
          <w:sz w:val="18"/>
          <w:szCs w:val="18"/>
          <w:lang w:val="es-ES"/>
        </w:rPr>
        <w:t xml:space="preserve"> </w:t>
      </w:r>
      <w:r>
        <w:rPr>
          <w:rFonts w:asciiTheme="majorHAnsi" w:hAnsiTheme="majorHAnsi"/>
          <w:sz w:val="18"/>
          <w:szCs w:val="18"/>
          <w:lang w:val="es-ES"/>
        </w:rPr>
        <w:t>de un delito o durante su comisión con el fin de promover la comisión de otro delito, una persona proporciona asistencia</w:t>
      </w:r>
      <w:r w:rsidR="0088540B">
        <w:rPr>
          <w:rFonts w:asciiTheme="majorHAnsi" w:hAnsiTheme="majorHAnsi"/>
          <w:sz w:val="18"/>
          <w:szCs w:val="18"/>
          <w:lang w:val="es-ES"/>
        </w:rPr>
        <w:t xml:space="preserve"> a otra persona</w:t>
      </w:r>
      <w:r>
        <w:rPr>
          <w:rFonts w:asciiTheme="majorHAnsi" w:hAnsiTheme="majorHAnsi"/>
          <w:sz w:val="18"/>
          <w:szCs w:val="18"/>
          <w:lang w:val="es-ES"/>
        </w:rPr>
        <w:t>, acepta proporcionar</w:t>
      </w:r>
      <w:r w:rsidR="0088540B">
        <w:rPr>
          <w:rFonts w:asciiTheme="majorHAnsi" w:hAnsiTheme="majorHAnsi"/>
          <w:sz w:val="18"/>
          <w:szCs w:val="18"/>
          <w:lang w:val="es-ES"/>
        </w:rPr>
        <w:t>la</w:t>
      </w:r>
      <w:r>
        <w:rPr>
          <w:rFonts w:asciiTheme="majorHAnsi" w:hAnsiTheme="majorHAnsi"/>
          <w:sz w:val="18"/>
          <w:szCs w:val="18"/>
          <w:lang w:val="es-ES"/>
        </w:rPr>
        <w:t xml:space="preserve"> o trata de proporcionar</w:t>
      </w:r>
      <w:r w:rsidR="0088540B">
        <w:rPr>
          <w:rFonts w:asciiTheme="majorHAnsi" w:hAnsiTheme="majorHAnsi"/>
          <w:sz w:val="18"/>
          <w:szCs w:val="18"/>
          <w:lang w:val="es-ES"/>
        </w:rPr>
        <w:t>la</w:t>
      </w:r>
      <w:r>
        <w:rPr>
          <w:rFonts w:asciiTheme="majorHAnsi" w:hAnsiTheme="majorHAnsi"/>
          <w:sz w:val="18"/>
          <w:szCs w:val="18"/>
          <w:lang w:val="es-ES"/>
        </w:rPr>
        <w:t xml:space="preserve"> </w:t>
      </w:r>
      <w:r w:rsidR="00FB576D">
        <w:rPr>
          <w:rFonts w:asciiTheme="majorHAnsi" w:hAnsiTheme="majorHAnsi"/>
          <w:sz w:val="18"/>
          <w:szCs w:val="18"/>
          <w:lang w:val="es-ES"/>
        </w:rPr>
        <w:t>en la planificación, la comisión o el intento de comisión del delito</w:t>
      </w:r>
      <w:r w:rsidR="0054316E" w:rsidRPr="009D1E2F">
        <w:rPr>
          <w:rFonts w:asciiTheme="majorHAnsi" w:hAnsiTheme="majorHAnsi"/>
          <w:sz w:val="18"/>
          <w:szCs w:val="18"/>
          <w:lang w:val="es-ES"/>
        </w:rPr>
        <w:t>.</w:t>
      </w:r>
    </w:p>
    <w:p w14:paraId="2772C580" w14:textId="77777777" w:rsidR="00273645" w:rsidRPr="009D1E2F" w:rsidRDefault="00273645" w:rsidP="00817426">
      <w:pPr>
        <w:jc w:val="both"/>
        <w:rPr>
          <w:rFonts w:asciiTheme="majorHAnsi" w:eastAsia="Times New Roman" w:hAnsiTheme="majorHAnsi"/>
          <w:sz w:val="20"/>
          <w:szCs w:val="20"/>
          <w:lang w:val="es-ES"/>
        </w:rPr>
      </w:pPr>
    </w:p>
    <w:p w14:paraId="790F9870" w14:textId="77777777" w:rsidR="008F40FD" w:rsidRPr="009D1E2F" w:rsidRDefault="00FB576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Por último</w:t>
      </w:r>
      <w:r w:rsidR="008F40FD"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w:t>
      </w:r>
      <w:r w:rsidR="00B059EC" w:rsidRPr="009D1E2F">
        <w:rPr>
          <w:rFonts w:asciiTheme="majorHAnsi" w:hAnsiTheme="majorHAnsi"/>
          <w:sz w:val="20"/>
          <w:szCs w:val="20"/>
          <w:lang w:val="es-ES"/>
        </w:rPr>
        <w:t xml:space="preserve"> </w:t>
      </w:r>
      <w:r w:rsidR="008F40FD" w:rsidRPr="009D1E2F">
        <w:rPr>
          <w:rFonts w:asciiTheme="majorHAnsi" w:hAnsiTheme="majorHAnsi"/>
          <w:sz w:val="20"/>
          <w:szCs w:val="20"/>
          <w:lang w:val="es-ES"/>
        </w:rPr>
        <w:t>argu</w:t>
      </w:r>
      <w:r>
        <w:rPr>
          <w:rFonts w:asciiTheme="majorHAnsi" w:hAnsiTheme="majorHAnsi"/>
          <w:sz w:val="20"/>
          <w:szCs w:val="20"/>
          <w:lang w:val="es-ES"/>
        </w:rPr>
        <w:t xml:space="preserve">menta que </w:t>
      </w:r>
      <w:r w:rsidR="00363E52"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Comisión</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no está facultada para pedir </w:t>
      </w:r>
      <w:r w:rsidR="00DE430F">
        <w:rPr>
          <w:rFonts w:asciiTheme="majorHAnsi" w:hAnsiTheme="majorHAnsi"/>
          <w:sz w:val="20"/>
          <w:szCs w:val="20"/>
          <w:lang w:val="es-ES"/>
        </w:rPr>
        <w:t xml:space="preserve">a </w:t>
      </w:r>
      <w:r>
        <w:rPr>
          <w:rFonts w:asciiTheme="majorHAnsi" w:hAnsiTheme="majorHAnsi"/>
          <w:sz w:val="20"/>
          <w:szCs w:val="20"/>
          <w:lang w:val="es-ES"/>
        </w:rPr>
        <w:t xml:space="preserve">los Estados que no han ratificado </w:t>
      </w:r>
      <w:r w:rsidR="005B3F2B"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Convención</w:t>
      </w:r>
      <w:r w:rsidR="00B059EC" w:rsidRPr="009D1E2F">
        <w:rPr>
          <w:rFonts w:asciiTheme="majorHAnsi" w:hAnsiTheme="majorHAnsi"/>
          <w:sz w:val="20"/>
          <w:szCs w:val="20"/>
          <w:lang w:val="es-ES"/>
        </w:rPr>
        <w:t xml:space="preserve"> </w:t>
      </w:r>
      <w:r w:rsidR="008F40FD" w:rsidRPr="009D1E2F">
        <w:rPr>
          <w:rFonts w:asciiTheme="majorHAnsi" w:hAnsiTheme="majorHAnsi"/>
          <w:sz w:val="20"/>
          <w:szCs w:val="20"/>
          <w:lang w:val="es-ES"/>
        </w:rPr>
        <w:t>American</w:t>
      </w:r>
      <w:r w:rsidR="005B3F2B"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CE7EE6">
        <w:rPr>
          <w:rFonts w:asciiTheme="majorHAnsi" w:hAnsiTheme="majorHAnsi"/>
          <w:sz w:val="20"/>
          <w:szCs w:val="20"/>
          <w:lang w:val="es-ES"/>
        </w:rPr>
        <w:t xml:space="preserve">sobre </w:t>
      </w:r>
      <w:r w:rsidR="005B3F2B"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Humanos</w:t>
      </w:r>
      <w:r>
        <w:rPr>
          <w:rFonts w:asciiTheme="majorHAnsi" w:hAnsiTheme="majorHAnsi"/>
          <w:sz w:val="20"/>
          <w:szCs w:val="20"/>
          <w:lang w:val="es-ES"/>
        </w:rPr>
        <w:t xml:space="preserve"> </w:t>
      </w:r>
      <w:r w:rsidR="00DE430F">
        <w:rPr>
          <w:rFonts w:asciiTheme="majorHAnsi" w:hAnsiTheme="majorHAnsi"/>
          <w:sz w:val="20"/>
          <w:szCs w:val="20"/>
          <w:lang w:val="es-ES"/>
        </w:rPr>
        <w:t xml:space="preserve">que </w:t>
      </w:r>
      <w:r w:rsidR="0088540B">
        <w:rPr>
          <w:rFonts w:asciiTheme="majorHAnsi" w:hAnsiTheme="majorHAnsi"/>
          <w:sz w:val="20"/>
          <w:szCs w:val="20"/>
          <w:lang w:val="es-ES"/>
        </w:rPr>
        <w:t xml:space="preserve">adopten </w:t>
      </w:r>
      <w:r>
        <w:rPr>
          <w:rFonts w:asciiTheme="majorHAnsi" w:hAnsiTheme="majorHAnsi"/>
          <w:sz w:val="20"/>
          <w:szCs w:val="20"/>
          <w:lang w:val="es-ES"/>
        </w:rPr>
        <w:t>medidas cautelares</w:t>
      </w:r>
      <w:r w:rsidR="008F40FD"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básicamente porque la disposición que rige estas medidas consta en el </w:t>
      </w:r>
      <w:r w:rsidR="005B3F2B" w:rsidRPr="009D1E2F">
        <w:rPr>
          <w:rFonts w:asciiTheme="majorHAnsi" w:hAnsiTheme="majorHAnsi"/>
          <w:sz w:val="20"/>
          <w:szCs w:val="20"/>
          <w:lang w:val="es-ES"/>
        </w:rPr>
        <w:t>Reglamento</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Comisión</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y no en su </w:t>
      </w:r>
      <w:r w:rsidR="005B3F2B" w:rsidRPr="009D1E2F">
        <w:rPr>
          <w:rFonts w:asciiTheme="majorHAnsi" w:hAnsiTheme="majorHAnsi"/>
          <w:sz w:val="20"/>
          <w:szCs w:val="20"/>
          <w:lang w:val="es-ES"/>
        </w:rPr>
        <w:t>Estatuto</w:t>
      </w:r>
      <w:r w:rsidR="008F40FD" w:rsidRPr="009D1E2F">
        <w:rPr>
          <w:rFonts w:asciiTheme="majorHAnsi" w:hAnsiTheme="majorHAnsi"/>
          <w:sz w:val="20"/>
          <w:szCs w:val="20"/>
          <w:lang w:val="es-ES"/>
        </w:rPr>
        <w:t>.</w:t>
      </w:r>
    </w:p>
    <w:p w14:paraId="6657F1D4" w14:textId="77777777" w:rsidR="008F40FD" w:rsidRPr="009D1E2F" w:rsidRDefault="008F40FD" w:rsidP="00817426">
      <w:pPr>
        <w:jc w:val="both"/>
        <w:rPr>
          <w:rFonts w:asciiTheme="majorHAnsi" w:eastAsia="Times New Roman" w:hAnsiTheme="majorHAnsi"/>
          <w:sz w:val="20"/>
          <w:szCs w:val="20"/>
          <w:lang w:val="es-ES"/>
        </w:rPr>
      </w:pPr>
    </w:p>
    <w:p w14:paraId="56E536A5" w14:textId="77777777" w:rsidR="001C4006" w:rsidRPr="009D1E2F" w:rsidRDefault="00E40F91" w:rsidP="00817426">
      <w:pPr>
        <w:pStyle w:val="Heading1"/>
        <w:keepNext w:val="0"/>
        <w:keepLines w:val="0"/>
        <w:spacing w:before="0"/>
        <w:ind w:left="360"/>
        <w:rPr>
          <w:color w:val="auto"/>
          <w:sz w:val="20"/>
          <w:szCs w:val="20"/>
          <w:lang w:val="es-ES"/>
        </w:rPr>
      </w:pPr>
      <w:bookmarkStart w:id="4" w:name="_Toc90284822"/>
      <w:r w:rsidRPr="009D1E2F">
        <w:rPr>
          <w:color w:val="auto"/>
          <w:sz w:val="20"/>
          <w:szCs w:val="20"/>
          <w:lang w:val="es-ES"/>
        </w:rPr>
        <w:t>DETERMINACIONES</w:t>
      </w:r>
      <w:r w:rsidR="00B059EC" w:rsidRPr="009D1E2F">
        <w:rPr>
          <w:color w:val="auto"/>
          <w:sz w:val="20"/>
          <w:szCs w:val="20"/>
          <w:lang w:val="es-ES"/>
        </w:rPr>
        <w:t xml:space="preserve"> </w:t>
      </w:r>
      <w:r w:rsidRPr="009D1E2F">
        <w:rPr>
          <w:color w:val="auto"/>
          <w:sz w:val="20"/>
          <w:szCs w:val="20"/>
          <w:lang w:val="es-ES"/>
        </w:rPr>
        <w:t>DE</w:t>
      </w:r>
      <w:r w:rsidR="00B059EC" w:rsidRPr="009D1E2F">
        <w:rPr>
          <w:color w:val="auto"/>
          <w:sz w:val="20"/>
          <w:szCs w:val="20"/>
          <w:lang w:val="es-ES"/>
        </w:rPr>
        <w:t xml:space="preserve"> </w:t>
      </w:r>
      <w:r w:rsidRPr="009D1E2F">
        <w:rPr>
          <w:color w:val="auto"/>
          <w:sz w:val="20"/>
          <w:szCs w:val="20"/>
          <w:lang w:val="es-ES"/>
        </w:rPr>
        <w:t>HECHO</w:t>
      </w:r>
      <w:bookmarkEnd w:id="4"/>
    </w:p>
    <w:p w14:paraId="326E2F9C" w14:textId="77777777" w:rsidR="00707116" w:rsidRPr="009D1E2F" w:rsidRDefault="00707116" w:rsidP="008174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
        </w:rPr>
      </w:pPr>
    </w:p>
    <w:p w14:paraId="48253B14" w14:textId="77777777" w:rsidR="00A3773C" w:rsidRPr="009D1E2F" w:rsidRDefault="002B327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Cambria" w:hAnsi="Cambria"/>
          <w:sz w:val="20"/>
          <w:szCs w:val="20"/>
          <w:lang w:val="es-ES"/>
        </w:rPr>
        <w:t xml:space="preserve">En cumplimiento del </w:t>
      </w:r>
      <w:r w:rsidR="005B3F2B" w:rsidRPr="009D1E2F">
        <w:rPr>
          <w:rFonts w:ascii="Cambria" w:hAnsi="Cambria"/>
          <w:sz w:val="20"/>
          <w:szCs w:val="20"/>
          <w:lang w:val="es-ES"/>
        </w:rPr>
        <w:t>artículo</w:t>
      </w:r>
      <w:r w:rsidR="00B059EC" w:rsidRPr="009D1E2F">
        <w:rPr>
          <w:rFonts w:ascii="Cambria" w:hAnsi="Cambria"/>
          <w:sz w:val="20"/>
          <w:szCs w:val="20"/>
          <w:lang w:val="es-ES"/>
        </w:rPr>
        <w:t xml:space="preserve"> </w:t>
      </w:r>
      <w:r w:rsidR="0004390C" w:rsidRPr="009D1E2F">
        <w:rPr>
          <w:rFonts w:ascii="Cambria" w:hAnsi="Cambria"/>
          <w:sz w:val="20"/>
          <w:szCs w:val="20"/>
          <w:lang w:val="es-ES"/>
        </w:rPr>
        <w:t>43</w:t>
      </w:r>
      <w:r>
        <w:rPr>
          <w:rFonts w:ascii="Cambria" w:hAnsi="Cambria"/>
          <w:sz w:val="20"/>
          <w:szCs w:val="20"/>
          <w:lang w:val="es-ES"/>
        </w:rPr>
        <w:t>.</w:t>
      </w:r>
      <w:r w:rsidR="0004390C" w:rsidRPr="009D1E2F">
        <w:rPr>
          <w:rFonts w:ascii="Cambria" w:hAnsi="Cambria"/>
          <w:sz w:val="20"/>
          <w:szCs w:val="20"/>
          <w:lang w:val="es-ES"/>
        </w:rPr>
        <w:t>1</w:t>
      </w:r>
      <w:r>
        <w:rPr>
          <w:rFonts w:ascii="Cambria" w:hAnsi="Cambria"/>
          <w:sz w:val="20"/>
          <w:szCs w:val="20"/>
          <w:lang w:val="es-ES"/>
        </w:rPr>
        <w:t xml:space="preserve"> de su</w:t>
      </w:r>
      <w:r w:rsidR="00B059EC" w:rsidRPr="009D1E2F">
        <w:rPr>
          <w:rFonts w:ascii="Cambria" w:hAnsi="Cambria"/>
          <w:sz w:val="20"/>
          <w:szCs w:val="20"/>
          <w:lang w:val="es-ES"/>
        </w:rPr>
        <w:t xml:space="preserve"> </w:t>
      </w:r>
      <w:r w:rsidR="005B3F2B" w:rsidRPr="009D1E2F">
        <w:rPr>
          <w:rFonts w:ascii="Cambria" w:hAnsi="Cambria"/>
          <w:sz w:val="20"/>
          <w:szCs w:val="20"/>
          <w:lang w:val="es-ES"/>
        </w:rPr>
        <w:t>Reglamento</w:t>
      </w:r>
      <w:r w:rsidR="0004390C" w:rsidRPr="009D1E2F">
        <w:rPr>
          <w:rFonts w:ascii="Cambria" w:hAnsi="Cambria"/>
          <w:sz w:val="20"/>
          <w:szCs w:val="20"/>
          <w:lang w:val="es-ES"/>
        </w:rPr>
        <w:t>,</w:t>
      </w:r>
      <w:r w:rsidR="00B059EC" w:rsidRPr="009D1E2F">
        <w:rPr>
          <w:rFonts w:ascii="Cambria" w:hAnsi="Cambria"/>
          <w:sz w:val="20"/>
          <w:szCs w:val="20"/>
          <w:lang w:val="es-ES"/>
        </w:rPr>
        <w:t xml:space="preserve"> </w:t>
      </w:r>
      <w:r w:rsidR="00363E52" w:rsidRPr="009D1E2F">
        <w:rPr>
          <w:rFonts w:ascii="Cambria" w:hAnsi="Cambria"/>
          <w:sz w:val="20"/>
          <w:szCs w:val="20"/>
          <w:lang w:val="es-ES"/>
        </w:rPr>
        <w:t>la</w:t>
      </w:r>
      <w:r w:rsidR="00B059EC" w:rsidRPr="009D1E2F">
        <w:rPr>
          <w:rFonts w:ascii="Cambria" w:hAnsi="Cambria"/>
          <w:sz w:val="20"/>
          <w:szCs w:val="20"/>
          <w:lang w:val="es-ES"/>
        </w:rPr>
        <w:t xml:space="preserve"> </w:t>
      </w:r>
      <w:r w:rsidR="00363E52" w:rsidRPr="009D1E2F">
        <w:rPr>
          <w:rFonts w:ascii="Cambria" w:hAnsi="Cambria"/>
          <w:sz w:val="20"/>
          <w:szCs w:val="20"/>
          <w:lang w:val="es-ES"/>
        </w:rPr>
        <w:t>CIDH</w:t>
      </w:r>
      <w:r w:rsidR="00B059EC" w:rsidRPr="009D1E2F">
        <w:rPr>
          <w:rFonts w:ascii="Cambria" w:hAnsi="Cambria"/>
          <w:sz w:val="20"/>
          <w:szCs w:val="20"/>
          <w:lang w:val="es-ES"/>
        </w:rPr>
        <w:t xml:space="preserve"> </w:t>
      </w:r>
      <w:r w:rsidR="005B3F2B" w:rsidRPr="009D1E2F">
        <w:rPr>
          <w:rFonts w:ascii="Cambria" w:hAnsi="Cambria"/>
          <w:sz w:val="20"/>
          <w:szCs w:val="20"/>
          <w:lang w:val="es-ES"/>
        </w:rPr>
        <w:t>examinará</w:t>
      </w:r>
      <w:r w:rsidR="00B059EC" w:rsidRPr="009D1E2F">
        <w:rPr>
          <w:rFonts w:ascii="Cambria" w:hAnsi="Cambria"/>
          <w:sz w:val="20"/>
          <w:szCs w:val="20"/>
          <w:lang w:val="es-ES"/>
        </w:rPr>
        <w:t xml:space="preserve"> </w:t>
      </w:r>
      <w:r w:rsidR="005B3F2B" w:rsidRPr="009D1E2F">
        <w:rPr>
          <w:rFonts w:ascii="Cambria" w:hAnsi="Cambria"/>
          <w:sz w:val="20"/>
          <w:szCs w:val="20"/>
          <w:lang w:val="es-ES"/>
        </w:rPr>
        <w:t>los</w:t>
      </w:r>
      <w:r w:rsidR="00B059EC" w:rsidRPr="009D1E2F">
        <w:rPr>
          <w:rFonts w:ascii="Cambria" w:hAnsi="Cambria"/>
          <w:sz w:val="20"/>
          <w:szCs w:val="20"/>
          <w:lang w:val="es-ES"/>
        </w:rPr>
        <w:t xml:space="preserve"> </w:t>
      </w:r>
      <w:r w:rsidR="005B3F2B" w:rsidRPr="009D1E2F">
        <w:rPr>
          <w:rFonts w:ascii="Cambria" w:hAnsi="Cambria"/>
          <w:sz w:val="20"/>
          <w:szCs w:val="20"/>
          <w:lang w:val="es-ES"/>
        </w:rPr>
        <w:t>argumentos</w:t>
      </w:r>
      <w:r w:rsidR="00B059EC" w:rsidRPr="009D1E2F">
        <w:rPr>
          <w:rFonts w:ascii="Cambria" w:hAnsi="Cambria"/>
          <w:sz w:val="20"/>
          <w:szCs w:val="20"/>
          <w:lang w:val="es-ES"/>
        </w:rPr>
        <w:t xml:space="preserve"> </w:t>
      </w:r>
      <w:r w:rsidR="005B3F2B" w:rsidRPr="009D1E2F">
        <w:rPr>
          <w:rFonts w:ascii="Cambria" w:hAnsi="Cambria"/>
          <w:sz w:val="20"/>
          <w:szCs w:val="20"/>
          <w:lang w:val="es-ES"/>
        </w:rPr>
        <w:t>y</w:t>
      </w:r>
      <w:r w:rsidR="00B059EC" w:rsidRPr="009D1E2F">
        <w:rPr>
          <w:rFonts w:ascii="Cambria" w:hAnsi="Cambria"/>
          <w:sz w:val="20"/>
          <w:szCs w:val="20"/>
          <w:lang w:val="es-ES"/>
        </w:rPr>
        <w:t xml:space="preserve"> </w:t>
      </w:r>
      <w:r w:rsidR="005B3F2B" w:rsidRPr="009D1E2F">
        <w:rPr>
          <w:rFonts w:ascii="Cambria" w:hAnsi="Cambria"/>
          <w:sz w:val="20"/>
          <w:szCs w:val="20"/>
          <w:lang w:val="es-ES"/>
        </w:rPr>
        <w:t>las</w:t>
      </w:r>
      <w:r w:rsidR="00B059EC" w:rsidRPr="009D1E2F">
        <w:rPr>
          <w:rFonts w:ascii="Cambria" w:hAnsi="Cambria"/>
          <w:sz w:val="20"/>
          <w:szCs w:val="20"/>
          <w:lang w:val="es-ES"/>
        </w:rPr>
        <w:t xml:space="preserve"> </w:t>
      </w:r>
      <w:r w:rsidR="005B3F2B" w:rsidRPr="009D1E2F">
        <w:rPr>
          <w:rFonts w:ascii="Cambria" w:hAnsi="Cambria"/>
          <w:sz w:val="20"/>
          <w:szCs w:val="20"/>
          <w:lang w:val="es-ES"/>
        </w:rPr>
        <w:t>pruebas</w:t>
      </w:r>
      <w:r w:rsidR="00B059EC" w:rsidRPr="009D1E2F">
        <w:rPr>
          <w:rFonts w:ascii="Cambria" w:hAnsi="Cambria"/>
          <w:sz w:val="20"/>
          <w:szCs w:val="20"/>
          <w:lang w:val="es-ES"/>
        </w:rPr>
        <w:t xml:space="preserve"> </w:t>
      </w:r>
      <w:r w:rsidR="005B3F2B" w:rsidRPr="009D1E2F">
        <w:rPr>
          <w:rFonts w:ascii="Cambria" w:hAnsi="Cambria"/>
          <w:sz w:val="20"/>
          <w:szCs w:val="20"/>
          <w:lang w:val="es-ES"/>
        </w:rPr>
        <w:t>presentados</w:t>
      </w:r>
      <w:r w:rsidR="00B059EC" w:rsidRPr="009D1E2F">
        <w:rPr>
          <w:rFonts w:ascii="Cambria" w:hAnsi="Cambria"/>
          <w:sz w:val="20"/>
          <w:szCs w:val="20"/>
          <w:lang w:val="es-ES"/>
        </w:rPr>
        <w:t xml:space="preserve"> </w:t>
      </w:r>
      <w:r w:rsidR="005B3F2B" w:rsidRPr="009D1E2F">
        <w:rPr>
          <w:rFonts w:ascii="Cambria" w:hAnsi="Cambria"/>
          <w:sz w:val="20"/>
          <w:szCs w:val="20"/>
          <w:lang w:val="es-ES"/>
        </w:rPr>
        <w:t>por</w:t>
      </w:r>
      <w:r w:rsidR="00B059EC" w:rsidRPr="009D1E2F">
        <w:rPr>
          <w:rFonts w:ascii="Cambria" w:hAnsi="Cambria"/>
          <w:sz w:val="20"/>
          <w:szCs w:val="20"/>
          <w:lang w:val="es-ES"/>
        </w:rPr>
        <w:t xml:space="preserve"> </w:t>
      </w:r>
      <w:r w:rsidR="00CE7EE6">
        <w:rPr>
          <w:rFonts w:ascii="Cambria" w:hAnsi="Cambria"/>
          <w:sz w:val="20"/>
          <w:szCs w:val="20"/>
          <w:lang w:val="es-ES"/>
        </w:rPr>
        <w:t>la parte peticionaria</w:t>
      </w:r>
      <w:r w:rsidR="00B059EC" w:rsidRPr="009D1E2F">
        <w:rPr>
          <w:rFonts w:ascii="Cambria" w:hAnsi="Cambria"/>
          <w:sz w:val="20"/>
          <w:szCs w:val="20"/>
          <w:lang w:val="es-ES"/>
        </w:rPr>
        <w:t xml:space="preserve"> </w:t>
      </w:r>
      <w:r w:rsidR="005B3F2B" w:rsidRPr="009D1E2F">
        <w:rPr>
          <w:rFonts w:ascii="Cambria" w:hAnsi="Cambria"/>
          <w:sz w:val="20"/>
          <w:szCs w:val="20"/>
          <w:lang w:val="es-ES"/>
        </w:rPr>
        <w:t>y</w:t>
      </w:r>
      <w:r w:rsidR="00B059EC" w:rsidRPr="009D1E2F">
        <w:rPr>
          <w:rFonts w:ascii="Cambria" w:hAnsi="Cambria"/>
          <w:sz w:val="20"/>
          <w:szCs w:val="20"/>
          <w:lang w:val="es-ES"/>
        </w:rPr>
        <w:t xml:space="preserve"> </w:t>
      </w:r>
      <w:r w:rsidR="000E2468" w:rsidRPr="009D1E2F">
        <w:rPr>
          <w:rFonts w:ascii="Cambria" w:hAnsi="Cambria"/>
          <w:sz w:val="20"/>
          <w:szCs w:val="20"/>
          <w:lang w:val="es-ES"/>
        </w:rPr>
        <w:t>el</w:t>
      </w:r>
      <w:r w:rsidR="00B059EC" w:rsidRPr="009D1E2F">
        <w:rPr>
          <w:rFonts w:ascii="Cambria" w:hAnsi="Cambria"/>
          <w:sz w:val="20"/>
          <w:szCs w:val="20"/>
          <w:lang w:val="es-ES"/>
        </w:rPr>
        <w:t xml:space="preserve"> </w:t>
      </w:r>
      <w:r w:rsidR="000E2468" w:rsidRPr="009D1E2F">
        <w:rPr>
          <w:rFonts w:ascii="Cambria" w:hAnsi="Cambria"/>
          <w:sz w:val="20"/>
          <w:szCs w:val="20"/>
          <w:lang w:val="es-ES"/>
        </w:rPr>
        <w:t>Estado</w:t>
      </w:r>
      <w:r w:rsidR="0004390C" w:rsidRPr="009D1E2F">
        <w:rPr>
          <w:rFonts w:ascii="Cambria" w:hAnsi="Cambria"/>
          <w:sz w:val="20"/>
          <w:szCs w:val="20"/>
          <w:lang w:val="es-ES"/>
        </w:rPr>
        <w:t>.</w:t>
      </w:r>
      <w:r w:rsidR="00B059EC" w:rsidRPr="009D1E2F">
        <w:rPr>
          <w:rFonts w:ascii="Cambria" w:hAnsi="Cambria"/>
          <w:sz w:val="20"/>
          <w:szCs w:val="20"/>
          <w:lang w:val="es-ES"/>
        </w:rPr>
        <w:t xml:space="preserve"> </w:t>
      </w:r>
      <w:r w:rsidR="005B3F2B" w:rsidRPr="009D1E2F">
        <w:rPr>
          <w:rFonts w:ascii="Cambria" w:hAnsi="Cambria"/>
          <w:sz w:val="20"/>
          <w:szCs w:val="20"/>
          <w:lang w:val="es-ES"/>
        </w:rPr>
        <w:t>Asimismo</w:t>
      </w:r>
      <w:r w:rsidR="0004390C" w:rsidRPr="009D1E2F">
        <w:rPr>
          <w:rFonts w:ascii="Cambria" w:hAnsi="Cambria"/>
          <w:sz w:val="20"/>
          <w:szCs w:val="20"/>
          <w:lang w:val="es-ES"/>
        </w:rPr>
        <w:t>,</w:t>
      </w:r>
      <w:r w:rsidR="00B059EC" w:rsidRPr="009D1E2F">
        <w:rPr>
          <w:rFonts w:ascii="Cambria" w:hAnsi="Cambria"/>
          <w:sz w:val="20"/>
          <w:szCs w:val="20"/>
          <w:lang w:val="es-ES"/>
        </w:rPr>
        <w:t xml:space="preserve"> </w:t>
      </w:r>
      <w:r w:rsidR="00363E52" w:rsidRPr="009D1E2F">
        <w:rPr>
          <w:rFonts w:ascii="Cambria" w:hAnsi="Cambria"/>
          <w:sz w:val="20"/>
          <w:szCs w:val="20"/>
          <w:lang w:val="es-ES"/>
        </w:rPr>
        <w:t>la</w:t>
      </w:r>
      <w:r w:rsidR="00B059EC" w:rsidRPr="009D1E2F">
        <w:rPr>
          <w:rFonts w:ascii="Cambria" w:hAnsi="Cambria"/>
          <w:sz w:val="20"/>
          <w:szCs w:val="20"/>
          <w:lang w:val="es-ES"/>
        </w:rPr>
        <w:t xml:space="preserve"> </w:t>
      </w:r>
      <w:r w:rsidR="00363E52" w:rsidRPr="009D1E2F">
        <w:rPr>
          <w:rFonts w:ascii="Cambria" w:hAnsi="Cambria"/>
          <w:sz w:val="20"/>
          <w:szCs w:val="20"/>
          <w:lang w:val="es-ES"/>
        </w:rPr>
        <w:t>Comisión</w:t>
      </w:r>
      <w:r w:rsidR="00B059EC" w:rsidRPr="009D1E2F">
        <w:rPr>
          <w:rFonts w:ascii="Cambria" w:hAnsi="Cambria"/>
          <w:sz w:val="20"/>
          <w:szCs w:val="20"/>
          <w:lang w:val="es-ES"/>
        </w:rPr>
        <w:t xml:space="preserve"> </w:t>
      </w:r>
      <w:r w:rsidR="005B3F2B" w:rsidRPr="009D1E2F">
        <w:rPr>
          <w:rFonts w:ascii="Cambria" w:hAnsi="Cambria"/>
          <w:sz w:val="20"/>
          <w:szCs w:val="20"/>
          <w:lang w:val="es-ES"/>
        </w:rPr>
        <w:t>tendrá</w:t>
      </w:r>
      <w:r w:rsidR="00B059EC" w:rsidRPr="009D1E2F">
        <w:rPr>
          <w:rFonts w:ascii="Cambria" w:hAnsi="Cambria"/>
          <w:sz w:val="20"/>
          <w:szCs w:val="20"/>
          <w:lang w:val="es-ES"/>
        </w:rPr>
        <w:t xml:space="preserve"> </w:t>
      </w:r>
      <w:r w:rsidR="005B3F2B" w:rsidRPr="009D1E2F">
        <w:rPr>
          <w:rFonts w:ascii="Cambria" w:hAnsi="Cambria"/>
          <w:sz w:val="20"/>
          <w:szCs w:val="20"/>
          <w:lang w:val="es-ES"/>
        </w:rPr>
        <w:t>en</w:t>
      </w:r>
      <w:r w:rsidR="00B059EC" w:rsidRPr="009D1E2F">
        <w:rPr>
          <w:rFonts w:ascii="Cambria" w:hAnsi="Cambria"/>
          <w:sz w:val="20"/>
          <w:szCs w:val="20"/>
          <w:lang w:val="es-ES"/>
        </w:rPr>
        <w:t xml:space="preserve"> </w:t>
      </w:r>
      <w:r w:rsidR="005B3F2B" w:rsidRPr="009D1E2F">
        <w:rPr>
          <w:rFonts w:ascii="Cambria" w:hAnsi="Cambria"/>
          <w:sz w:val="20"/>
          <w:szCs w:val="20"/>
          <w:lang w:val="es-ES"/>
        </w:rPr>
        <w:t>cuenta</w:t>
      </w:r>
      <w:r w:rsidR="00B059EC" w:rsidRPr="009D1E2F">
        <w:rPr>
          <w:rFonts w:ascii="Cambria" w:hAnsi="Cambria"/>
          <w:sz w:val="20"/>
          <w:szCs w:val="20"/>
          <w:lang w:val="es-ES"/>
        </w:rPr>
        <w:t xml:space="preserve"> </w:t>
      </w:r>
      <w:r w:rsidR="005B3F2B" w:rsidRPr="009D1E2F">
        <w:rPr>
          <w:rFonts w:ascii="Cambria" w:hAnsi="Cambria"/>
          <w:sz w:val="20"/>
          <w:szCs w:val="20"/>
          <w:lang w:val="es-ES"/>
        </w:rPr>
        <w:t>la</w:t>
      </w:r>
      <w:r w:rsidR="00B059EC" w:rsidRPr="009D1E2F">
        <w:rPr>
          <w:rFonts w:ascii="Cambria" w:hAnsi="Cambria"/>
          <w:sz w:val="20"/>
          <w:szCs w:val="20"/>
          <w:lang w:val="es-ES"/>
        </w:rPr>
        <w:t xml:space="preserve"> </w:t>
      </w:r>
      <w:r w:rsidR="005B3F2B" w:rsidRPr="009D1E2F">
        <w:rPr>
          <w:rFonts w:ascii="Cambria" w:hAnsi="Cambria"/>
          <w:sz w:val="20"/>
          <w:szCs w:val="20"/>
          <w:lang w:val="es-ES"/>
        </w:rPr>
        <w:t>información</w:t>
      </w:r>
      <w:r w:rsidR="00B059EC" w:rsidRPr="009D1E2F">
        <w:rPr>
          <w:rFonts w:ascii="Cambria" w:hAnsi="Cambria"/>
          <w:sz w:val="20"/>
          <w:szCs w:val="20"/>
          <w:lang w:val="es-ES"/>
        </w:rPr>
        <w:t xml:space="preserve"> </w:t>
      </w:r>
      <w:r w:rsidR="005B3F2B" w:rsidRPr="009D1E2F">
        <w:rPr>
          <w:rFonts w:ascii="Cambria" w:hAnsi="Cambria"/>
          <w:sz w:val="20"/>
          <w:szCs w:val="20"/>
          <w:lang w:val="es-ES"/>
        </w:rPr>
        <w:t>de</w:t>
      </w:r>
      <w:r w:rsidR="00B059EC" w:rsidRPr="009D1E2F">
        <w:rPr>
          <w:rFonts w:ascii="Cambria" w:hAnsi="Cambria"/>
          <w:sz w:val="20"/>
          <w:szCs w:val="20"/>
          <w:lang w:val="es-ES"/>
        </w:rPr>
        <w:t xml:space="preserve"> </w:t>
      </w:r>
      <w:r w:rsidR="005B3F2B" w:rsidRPr="009D1E2F">
        <w:rPr>
          <w:rFonts w:ascii="Cambria" w:hAnsi="Cambria"/>
          <w:sz w:val="20"/>
          <w:szCs w:val="20"/>
          <w:lang w:val="es-ES"/>
        </w:rPr>
        <w:t>dominio</w:t>
      </w:r>
      <w:r w:rsidR="00B059EC" w:rsidRPr="009D1E2F">
        <w:rPr>
          <w:rFonts w:ascii="Cambria" w:hAnsi="Cambria"/>
          <w:sz w:val="20"/>
          <w:szCs w:val="20"/>
          <w:lang w:val="es-ES"/>
        </w:rPr>
        <w:t xml:space="preserve"> </w:t>
      </w:r>
      <w:r w:rsidR="005B3F2B" w:rsidRPr="009D1E2F">
        <w:rPr>
          <w:rFonts w:ascii="Cambria" w:hAnsi="Cambria"/>
          <w:sz w:val="20"/>
          <w:szCs w:val="20"/>
          <w:lang w:val="es-ES"/>
        </w:rPr>
        <w:t>público</w:t>
      </w:r>
      <w:r w:rsidR="00B059EC" w:rsidRPr="009D1E2F">
        <w:rPr>
          <w:rFonts w:ascii="Cambria" w:hAnsi="Cambria"/>
          <w:sz w:val="20"/>
          <w:szCs w:val="20"/>
          <w:lang w:val="es-ES"/>
        </w:rPr>
        <w:t xml:space="preserve"> </w:t>
      </w:r>
      <w:r w:rsidR="005B3F2B" w:rsidRPr="009D1E2F">
        <w:rPr>
          <w:rFonts w:ascii="Cambria" w:hAnsi="Cambria"/>
          <w:sz w:val="20"/>
          <w:szCs w:val="20"/>
          <w:lang w:val="es-ES"/>
        </w:rPr>
        <w:t>que</w:t>
      </w:r>
      <w:r w:rsidR="00B059EC" w:rsidRPr="009D1E2F">
        <w:rPr>
          <w:rFonts w:ascii="Cambria" w:hAnsi="Cambria"/>
          <w:sz w:val="20"/>
          <w:szCs w:val="20"/>
          <w:lang w:val="es-ES"/>
        </w:rPr>
        <w:t xml:space="preserve"> </w:t>
      </w:r>
      <w:r w:rsidR="005B3F2B" w:rsidRPr="009D1E2F">
        <w:rPr>
          <w:rFonts w:ascii="Cambria" w:hAnsi="Cambria"/>
          <w:sz w:val="20"/>
          <w:szCs w:val="20"/>
          <w:lang w:val="es-ES"/>
        </w:rPr>
        <w:t>sea</w:t>
      </w:r>
      <w:r w:rsidR="00B059EC" w:rsidRPr="009D1E2F">
        <w:rPr>
          <w:rFonts w:ascii="Cambria" w:hAnsi="Cambria"/>
          <w:sz w:val="20"/>
          <w:szCs w:val="20"/>
          <w:lang w:val="es-ES"/>
        </w:rPr>
        <w:t xml:space="preserve"> </w:t>
      </w:r>
      <w:r w:rsidR="005B3F2B" w:rsidRPr="009D1E2F">
        <w:rPr>
          <w:rFonts w:ascii="Cambria" w:hAnsi="Cambria"/>
          <w:sz w:val="20"/>
          <w:szCs w:val="20"/>
          <w:lang w:val="es-ES"/>
        </w:rPr>
        <w:t>pertinente</w:t>
      </w:r>
      <w:r w:rsidR="00B059EC" w:rsidRPr="009D1E2F">
        <w:rPr>
          <w:rFonts w:ascii="Cambria" w:hAnsi="Cambria"/>
          <w:sz w:val="20"/>
          <w:szCs w:val="20"/>
          <w:lang w:val="es-ES"/>
        </w:rPr>
        <w:t xml:space="preserve"> </w:t>
      </w:r>
      <w:r w:rsidR="005B3F2B" w:rsidRPr="009D1E2F">
        <w:rPr>
          <w:rFonts w:ascii="Cambria" w:hAnsi="Cambria"/>
          <w:sz w:val="20"/>
          <w:szCs w:val="20"/>
          <w:lang w:val="es-ES"/>
        </w:rPr>
        <w:t>para</w:t>
      </w:r>
      <w:r w:rsidR="00B059EC" w:rsidRPr="009D1E2F">
        <w:rPr>
          <w:rFonts w:ascii="Cambria" w:hAnsi="Cambria"/>
          <w:sz w:val="20"/>
          <w:szCs w:val="20"/>
          <w:lang w:val="es-ES"/>
        </w:rPr>
        <w:t xml:space="preserve"> </w:t>
      </w:r>
      <w:r w:rsidR="005B3F2B" w:rsidRPr="009D1E2F">
        <w:rPr>
          <w:rFonts w:ascii="Cambria" w:hAnsi="Cambria"/>
          <w:sz w:val="20"/>
          <w:szCs w:val="20"/>
          <w:lang w:val="es-ES"/>
        </w:rPr>
        <w:t>el</w:t>
      </w:r>
      <w:r w:rsidR="00B059EC" w:rsidRPr="009D1E2F">
        <w:rPr>
          <w:rFonts w:ascii="Cambria" w:hAnsi="Cambria"/>
          <w:sz w:val="20"/>
          <w:szCs w:val="20"/>
          <w:lang w:val="es-ES"/>
        </w:rPr>
        <w:t xml:space="preserve"> </w:t>
      </w:r>
      <w:r w:rsidR="005B3F2B" w:rsidRPr="009D1E2F">
        <w:rPr>
          <w:rFonts w:ascii="Cambria" w:hAnsi="Cambria"/>
          <w:sz w:val="20"/>
          <w:szCs w:val="20"/>
          <w:lang w:val="es-ES"/>
        </w:rPr>
        <w:t>análisis</w:t>
      </w:r>
      <w:r w:rsidR="00B059EC" w:rsidRPr="009D1E2F">
        <w:rPr>
          <w:rFonts w:ascii="Cambria" w:hAnsi="Cambria"/>
          <w:sz w:val="20"/>
          <w:szCs w:val="20"/>
          <w:lang w:val="es-ES"/>
        </w:rPr>
        <w:t xml:space="preserve"> </w:t>
      </w:r>
      <w:r w:rsidR="005B3F2B" w:rsidRPr="009D1E2F">
        <w:rPr>
          <w:rFonts w:ascii="Cambria" w:hAnsi="Cambria"/>
          <w:sz w:val="20"/>
          <w:szCs w:val="20"/>
          <w:lang w:val="es-ES"/>
        </w:rPr>
        <w:t>y</w:t>
      </w:r>
      <w:r w:rsidR="00B059EC" w:rsidRPr="009D1E2F">
        <w:rPr>
          <w:rFonts w:ascii="Cambria" w:hAnsi="Cambria"/>
          <w:sz w:val="20"/>
          <w:szCs w:val="20"/>
          <w:lang w:val="es-ES"/>
        </w:rPr>
        <w:t xml:space="preserve"> </w:t>
      </w:r>
      <w:r w:rsidR="005B3F2B" w:rsidRPr="009D1E2F">
        <w:rPr>
          <w:rFonts w:ascii="Cambria" w:hAnsi="Cambria"/>
          <w:sz w:val="20"/>
          <w:szCs w:val="20"/>
          <w:lang w:val="es-ES"/>
        </w:rPr>
        <w:t>la</w:t>
      </w:r>
      <w:r w:rsidR="00B059EC" w:rsidRPr="009D1E2F">
        <w:rPr>
          <w:rFonts w:ascii="Cambria" w:hAnsi="Cambria"/>
          <w:sz w:val="20"/>
          <w:szCs w:val="20"/>
          <w:lang w:val="es-ES"/>
        </w:rPr>
        <w:t xml:space="preserve"> </w:t>
      </w:r>
      <w:r w:rsidR="005B3F2B" w:rsidRPr="009D1E2F">
        <w:rPr>
          <w:rFonts w:ascii="Cambria" w:hAnsi="Cambria"/>
          <w:sz w:val="20"/>
          <w:szCs w:val="20"/>
          <w:lang w:val="es-ES"/>
        </w:rPr>
        <w:t>decisión</w:t>
      </w:r>
      <w:r w:rsidR="00B059EC" w:rsidRPr="009D1E2F">
        <w:rPr>
          <w:rFonts w:ascii="Cambria" w:hAnsi="Cambria"/>
          <w:sz w:val="20"/>
          <w:szCs w:val="20"/>
          <w:lang w:val="es-ES"/>
        </w:rPr>
        <w:t xml:space="preserve"> </w:t>
      </w:r>
      <w:r w:rsidR="005B3F2B" w:rsidRPr="009D1E2F">
        <w:rPr>
          <w:rFonts w:ascii="Cambria" w:hAnsi="Cambria"/>
          <w:sz w:val="20"/>
          <w:szCs w:val="20"/>
          <w:lang w:val="es-ES"/>
        </w:rPr>
        <w:t>en</w:t>
      </w:r>
      <w:r w:rsidR="00B059EC" w:rsidRPr="009D1E2F">
        <w:rPr>
          <w:rFonts w:ascii="Cambria" w:hAnsi="Cambria"/>
          <w:sz w:val="20"/>
          <w:szCs w:val="20"/>
          <w:lang w:val="es-ES"/>
        </w:rPr>
        <w:t xml:space="preserve"> </w:t>
      </w:r>
      <w:r w:rsidR="005B3F2B" w:rsidRPr="009D1E2F">
        <w:rPr>
          <w:rFonts w:ascii="Cambria" w:hAnsi="Cambria"/>
          <w:sz w:val="20"/>
          <w:szCs w:val="20"/>
          <w:lang w:val="es-ES"/>
        </w:rPr>
        <w:t>el</w:t>
      </w:r>
      <w:r w:rsidR="00B059EC" w:rsidRPr="009D1E2F">
        <w:rPr>
          <w:rFonts w:ascii="Cambria" w:hAnsi="Cambria"/>
          <w:sz w:val="20"/>
          <w:szCs w:val="20"/>
          <w:lang w:val="es-ES"/>
        </w:rPr>
        <w:t xml:space="preserve"> </w:t>
      </w:r>
      <w:r w:rsidR="005B3F2B" w:rsidRPr="009D1E2F">
        <w:rPr>
          <w:rFonts w:ascii="Cambria" w:hAnsi="Cambria"/>
          <w:sz w:val="20"/>
          <w:szCs w:val="20"/>
          <w:lang w:val="es-ES"/>
        </w:rPr>
        <w:t>caso</w:t>
      </w:r>
      <w:r w:rsidR="00B059EC" w:rsidRPr="009D1E2F">
        <w:rPr>
          <w:rFonts w:ascii="Cambria" w:hAnsi="Cambria"/>
          <w:sz w:val="20"/>
          <w:szCs w:val="20"/>
          <w:lang w:val="es-ES"/>
        </w:rPr>
        <w:t xml:space="preserve"> </w:t>
      </w:r>
      <w:r w:rsidR="005B3F2B" w:rsidRPr="009D1E2F">
        <w:rPr>
          <w:rFonts w:ascii="Cambria" w:hAnsi="Cambria"/>
          <w:sz w:val="20"/>
          <w:szCs w:val="20"/>
          <w:lang w:val="es-ES"/>
        </w:rPr>
        <w:t>de</w:t>
      </w:r>
      <w:r w:rsidR="00B059EC" w:rsidRPr="009D1E2F">
        <w:rPr>
          <w:rFonts w:ascii="Cambria" w:hAnsi="Cambria"/>
          <w:sz w:val="20"/>
          <w:szCs w:val="20"/>
          <w:lang w:val="es-ES"/>
        </w:rPr>
        <w:t xml:space="preserve"> </w:t>
      </w:r>
      <w:r w:rsidR="005B3F2B" w:rsidRPr="009D1E2F">
        <w:rPr>
          <w:rFonts w:ascii="Cambria" w:hAnsi="Cambria"/>
          <w:sz w:val="20"/>
          <w:szCs w:val="20"/>
          <w:lang w:val="es-ES"/>
        </w:rPr>
        <w:t>autos</w:t>
      </w:r>
      <w:r w:rsidR="0004390C" w:rsidRPr="009D1E2F">
        <w:rPr>
          <w:rFonts w:ascii="Cambria" w:hAnsi="Cambria"/>
          <w:sz w:val="20"/>
          <w:szCs w:val="20"/>
          <w:lang w:val="es-ES"/>
        </w:rPr>
        <w:t>.</w:t>
      </w:r>
    </w:p>
    <w:p w14:paraId="57584C13" w14:textId="77777777" w:rsidR="009207F2" w:rsidRPr="009D1E2F" w:rsidRDefault="009207F2" w:rsidP="00817426">
      <w:pPr>
        <w:tabs>
          <w:tab w:val="left" w:pos="360"/>
        </w:tabs>
        <w:rPr>
          <w:rFonts w:asciiTheme="majorHAnsi" w:hAnsiTheme="majorHAnsi"/>
          <w:sz w:val="20"/>
          <w:szCs w:val="20"/>
          <w:lang w:val="es-ES"/>
        </w:rPr>
      </w:pPr>
    </w:p>
    <w:p w14:paraId="716B5EA0" w14:textId="77777777" w:rsidR="000615CF" w:rsidRPr="009D1E2F" w:rsidRDefault="00E40F91" w:rsidP="00817426">
      <w:pPr>
        <w:pStyle w:val="Heading2"/>
        <w:keepNext w:val="0"/>
        <w:keepLines w:val="0"/>
        <w:numPr>
          <w:ilvl w:val="0"/>
          <w:numId w:val="73"/>
        </w:numPr>
        <w:spacing w:before="0"/>
        <w:ind w:left="360"/>
        <w:jc w:val="both"/>
        <w:rPr>
          <w:color w:val="auto"/>
          <w:sz w:val="20"/>
          <w:szCs w:val="20"/>
          <w:lang w:val="es-ES"/>
        </w:rPr>
      </w:pPr>
      <w:bookmarkStart w:id="5" w:name="_Toc90284823"/>
      <w:r w:rsidRPr="009D1E2F">
        <w:rPr>
          <w:color w:val="auto"/>
          <w:sz w:val="20"/>
          <w:szCs w:val="20"/>
          <w:lang w:val="es-ES"/>
        </w:rPr>
        <w:t>Marco</w:t>
      </w:r>
      <w:r w:rsidR="00B059EC" w:rsidRPr="009D1E2F">
        <w:rPr>
          <w:color w:val="auto"/>
          <w:sz w:val="20"/>
          <w:szCs w:val="20"/>
          <w:lang w:val="es-ES"/>
        </w:rPr>
        <w:t xml:space="preserve"> </w:t>
      </w:r>
      <w:r w:rsidRPr="009D1E2F">
        <w:rPr>
          <w:color w:val="auto"/>
          <w:sz w:val="20"/>
          <w:szCs w:val="20"/>
          <w:lang w:val="es-ES"/>
        </w:rPr>
        <w:t>jurídico</w:t>
      </w:r>
      <w:r w:rsidR="00B059EC" w:rsidRPr="009D1E2F">
        <w:rPr>
          <w:color w:val="auto"/>
          <w:sz w:val="20"/>
          <w:szCs w:val="20"/>
          <w:lang w:val="es-ES"/>
        </w:rPr>
        <w:t xml:space="preserve"> </w:t>
      </w:r>
      <w:r w:rsidRPr="009D1E2F">
        <w:rPr>
          <w:color w:val="auto"/>
          <w:sz w:val="20"/>
          <w:szCs w:val="20"/>
          <w:lang w:val="es-ES"/>
        </w:rPr>
        <w:t>pertinente</w:t>
      </w:r>
      <w:r w:rsidR="00B059EC" w:rsidRPr="009D1E2F">
        <w:rPr>
          <w:color w:val="auto"/>
          <w:sz w:val="20"/>
          <w:szCs w:val="20"/>
          <w:lang w:val="es-ES"/>
        </w:rPr>
        <w:t xml:space="preserve"> </w:t>
      </w:r>
      <w:r w:rsidRPr="009D1E2F">
        <w:rPr>
          <w:color w:val="auto"/>
          <w:sz w:val="20"/>
          <w:szCs w:val="20"/>
          <w:lang w:val="es-ES"/>
        </w:rPr>
        <w:t>y</w:t>
      </w:r>
      <w:r w:rsidR="00B059EC" w:rsidRPr="009D1E2F">
        <w:rPr>
          <w:color w:val="auto"/>
          <w:sz w:val="20"/>
          <w:szCs w:val="20"/>
          <w:lang w:val="es-ES"/>
        </w:rPr>
        <w:t xml:space="preserve"> </w:t>
      </w:r>
      <w:r w:rsidRPr="009D1E2F">
        <w:rPr>
          <w:color w:val="auto"/>
          <w:sz w:val="20"/>
          <w:szCs w:val="20"/>
          <w:lang w:val="es-ES"/>
        </w:rPr>
        <w:t>jurisprudencia</w:t>
      </w:r>
      <w:r w:rsidR="00B059EC" w:rsidRPr="009D1E2F">
        <w:rPr>
          <w:color w:val="auto"/>
          <w:sz w:val="20"/>
          <w:szCs w:val="20"/>
          <w:lang w:val="es-ES"/>
        </w:rPr>
        <w:t xml:space="preserve"> </w:t>
      </w:r>
      <w:r w:rsidRPr="009D1E2F">
        <w:rPr>
          <w:color w:val="auto"/>
          <w:sz w:val="20"/>
          <w:szCs w:val="20"/>
          <w:lang w:val="es-ES"/>
        </w:rPr>
        <w:t>aplicable</w:t>
      </w:r>
      <w:bookmarkEnd w:id="5"/>
    </w:p>
    <w:p w14:paraId="3F1A0547" w14:textId="77777777" w:rsidR="000615CF" w:rsidRPr="009D1E2F" w:rsidRDefault="000615CF" w:rsidP="00817426">
      <w:pPr>
        <w:pStyle w:val="ListParagraph"/>
        <w:tabs>
          <w:tab w:val="left" w:pos="360"/>
        </w:tabs>
        <w:rPr>
          <w:rFonts w:asciiTheme="majorHAnsi" w:hAnsiTheme="majorHAnsi"/>
          <w:sz w:val="20"/>
          <w:szCs w:val="20"/>
          <w:lang w:val="es-ES"/>
        </w:rPr>
      </w:pPr>
    </w:p>
    <w:p w14:paraId="64495706" w14:textId="77777777" w:rsidR="00ED1C8D" w:rsidRPr="009D1E2F" w:rsidRDefault="002B327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Cambria" w:hAnsi="Cambria"/>
          <w:sz w:val="20"/>
          <w:szCs w:val="20"/>
          <w:lang w:val="es-ES"/>
        </w:rPr>
        <w:t xml:space="preserve">En el </w:t>
      </w:r>
      <w:r w:rsidR="00FC126B">
        <w:rPr>
          <w:rFonts w:ascii="Cambria" w:hAnsi="Cambria"/>
          <w:sz w:val="20"/>
          <w:szCs w:val="20"/>
          <w:lang w:val="es-ES"/>
        </w:rPr>
        <w:t>C</w:t>
      </w:r>
      <w:r>
        <w:rPr>
          <w:rFonts w:ascii="Cambria" w:hAnsi="Cambria"/>
          <w:sz w:val="20"/>
          <w:szCs w:val="20"/>
          <w:lang w:val="es-ES"/>
        </w:rPr>
        <w:t xml:space="preserve">apítulo </w:t>
      </w:r>
      <w:r w:rsidR="00ED1C8D" w:rsidRPr="009D1E2F">
        <w:rPr>
          <w:rFonts w:ascii="Cambria" w:hAnsi="Cambria"/>
          <w:sz w:val="20"/>
          <w:szCs w:val="20"/>
          <w:lang w:val="es-ES"/>
        </w:rPr>
        <w:t>565</w:t>
      </w:r>
      <w:r w:rsidR="00B059EC" w:rsidRPr="009D1E2F">
        <w:rPr>
          <w:rFonts w:ascii="Cambria" w:hAnsi="Cambria"/>
          <w:sz w:val="20"/>
          <w:szCs w:val="20"/>
          <w:lang w:val="es-ES"/>
        </w:rPr>
        <w:t xml:space="preserve"> </w:t>
      </w:r>
      <w:r>
        <w:rPr>
          <w:rFonts w:ascii="Cambria" w:hAnsi="Cambria"/>
          <w:sz w:val="20"/>
          <w:szCs w:val="20"/>
          <w:lang w:val="es-ES"/>
        </w:rPr>
        <w:t xml:space="preserve">del Título </w:t>
      </w:r>
      <w:r w:rsidR="00ED1C8D" w:rsidRPr="009D1E2F">
        <w:rPr>
          <w:rFonts w:ascii="Cambria" w:hAnsi="Cambria"/>
          <w:sz w:val="20"/>
          <w:szCs w:val="20"/>
          <w:lang w:val="es-ES"/>
        </w:rPr>
        <w:t>XXXVIII</w:t>
      </w:r>
      <w:r w:rsidR="00B059EC" w:rsidRPr="009D1E2F">
        <w:rPr>
          <w:rFonts w:ascii="Cambria" w:hAnsi="Cambria"/>
          <w:sz w:val="20"/>
          <w:szCs w:val="20"/>
          <w:lang w:val="es-ES"/>
        </w:rPr>
        <w:t xml:space="preserve"> </w:t>
      </w:r>
      <w:r w:rsidR="00C92214" w:rsidRPr="009D1E2F">
        <w:rPr>
          <w:rFonts w:ascii="Cambria" w:hAnsi="Cambria"/>
          <w:sz w:val="20"/>
          <w:szCs w:val="20"/>
          <w:lang w:val="es-ES"/>
        </w:rPr>
        <w:t>(</w:t>
      </w:r>
      <w:r>
        <w:rPr>
          <w:rFonts w:ascii="Cambria" w:hAnsi="Cambria"/>
          <w:sz w:val="20"/>
          <w:szCs w:val="20"/>
          <w:lang w:val="es-ES"/>
        </w:rPr>
        <w:t xml:space="preserve">delitos y sanciones; agentes del </w:t>
      </w:r>
      <w:proofErr w:type="gramStart"/>
      <w:r>
        <w:rPr>
          <w:rFonts w:ascii="Cambria" w:hAnsi="Cambria"/>
          <w:sz w:val="20"/>
          <w:szCs w:val="20"/>
          <w:lang w:val="es-ES"/>
        </w:rPr>
        <w:t>orden público y defensores públicos</w:t>
      </w:r>
      <w:proofErr w:type="gramEnd"/>
      <w:r w:rsidR="00C92214" w:rsidRPr="009D1E2F">
        <w:rPr>
          <w:rFonts w:ascii="Cambria" w:hAnsi="Cambria"/>
          <w:sz w:val="20"/>
          <w:szCs w:val="20"/>
          <w:lang w:val="es-ES"/>
        </w:rPr>
        <w:t>)</w:t>
      </w:r>
      <w:r w:rsidR="00B059EC" w:rsidRPr="009D1E2F">
        <w:rPr>
          <w:rFonts w:ascii="Cambria" w:hAnsi="Cambria"/>
          <w:sz w:val="20"/>
          <w:szCs w:val="20"/>
          <w:lang w:val="es-ES"/>
        </w:rPr>
        <w:t xml:space="preserve"> </w:t>
      </w:r>
      <w:r>
        <w:rPr>
          <w:rFonts w:ascii="Cambria" w:hAnsi="Cambria"/>
          <w:sz w:val="20"/>
          <w:szCs w:val="20"/>
          <w:lang w:val="es-ES"/>
        </w:rPr>
        <w:t>de la legislación compilada d</w:t>
      </w:r>
      <w:r w:rsidR="000E2468" w:rsidRPr="009D1E2F">
        <w:rPr>
          <w:rFonts w:ascii="Cambria" w:hAnsi="Cambria"/>
          <w:sz w:val="20"/>
          <w:szCs w:val="20"/>
          <w:lang w:val="es-ES"/>
        </w:rPr>
        <w:t>el</w:t>
      </w:r>
      <w:r w:rsidR="00B059EC" w:rsidRPr="009D1E2F">
        <w:rPr>
          <w:rFonts w:ascii="Cambria" w:hAnsi="Cambria"/>
          <w:sz w:val="20"/>
          <w:szCs w:val="20"/>
          <w:lang w:val="es-ES"/>
        </w:rPr>
        <w:t xml:space="preserve"> </w:t>
      </w:r>
      <w:r w:rsidR="000E2468" w:rsidRPr="009D1E2F">
        <w:rPr>
          <w:rFonts w:ascii="Cambria" w:hAnsi="Cambria"/>
          <w:sz w:val="20"/>
          <w:szCs w:val="20"/>
          <w:lang w:val="es-ES"/>
        </w:rPr>
        <w:t>estado</w:t>
      </w:r>
      <w:r w:rsidR="00B059EC" w:rsidRPr="009D1E2F">
        <w:rPr>
          <w:rFonts w:ascii="Cambria" w:hAnsi="Cambria"/>
          <w:sz w:val="20"/>
          <w:szCs w:val="20"/>
          <w:lang w:val="es-ES"/>
        </w:rPr>
        <w:t xml:space="preserve"> </w:t>
      </w:r>
      <w:r w:rsidR="000E2468" w:rsidRPr="009D1E2F">
        <w:rPr>
          <w:rFonts w:ascii="Cambria" w:hAnsi="Cambria"/>
          <w:sz w:val="20"/>
          <w:szCs w:val="20"/>
          <w:lang w:val="es-ES"/>
        </w:rPr>
        <w:t>de</w:t>
      </w:r>
      <w:r w:rsidR="00B059EC" w:rsidRPr="009D1E2F">
        <w:rPr>
          <w:rFonts w:ascii="Cambria" w:hAnsi="Cambria"/>
          <w:sz w:val="20"/>
          <w:szCs w:val="20"/>
          <w:lang w:val="es-ES"/>
        </w:rPr>
        <w:t xml:space="preserve"> </w:t>
      </w:r>
      <w:r w:rsidR="000E2468" w:rsidRPr="009D1E2F">
        <w:rPr>
          <w:rFonts w:ascii="Cambria" w:hAnsi="Cambria"/>
          <w:sz w:val="20"/>
          <w:szCs w:val="20"/>
          <w:lang w:val="es-ES"/>
        </w:rPr>
        <w:t>Misuri</w:t>
      </w:r>
      <w:r w:rsidR="00B059EC" w:rsidRPr="009D1E2F">
        <w:rPr>
          <w:rFonts w:ascii="Cambria" w:hAnsi="Cambria"/>
          <w:sz w:val="20"/>
          <w:szCs w:val="20"/>
          <w:lang w:val="es-ES"/>
        </w:rPr>
        <w:t xml:space="preserve"> </w:t>
      </w:r>
      <w:r>
        <w:rPr>
          <w:rFonts w:ascii="Cambria" w:hAnsi="Cambria"/>
          <w:sz w:val="20"/>
          <w:szCs w:val="20"/>
          <w:lang w:val="es-ES"/>
        </w:rPr>
        <w:t>se dispone lo siguiente</w:t>
      </w:r>
      <w:r w:rsidR="00ED1C8D" w:rsidRPr="009D1E2F">
        <w:rPr>
          <w:rFonts w:ascii="Cambria" w:hAnsi="Cambria"/>
          <w:sz w:val="20"/>
          <w:szCs w:val="20"/>
          <w:lang w:val="es-ES"/>
        </w:rPr>
        <w:t>:</w:t>
      </w:r>
    </w:p>
    <w:p w14:paraId="6C9C6009" w14:textId="77777777" w:rsidR="00ED1C8D" w:rsidRPr="009D1E2F" w:rsidRDefault="00ED1C8D" w:rsidP="00817426">
      <w:pPr>
        <w:pStyle w:val="ListParagraph"/>
        <w:tabs>
          <w:tab w:val="left" w:pos="360"/>
        </w:tabs>
        <w:ind w:left="0"/>
        <w:jc w:val="both"/>
        <w:rPr>
          <w:rFonts w:eastAsia="Arial Unicode MS" w:cs="Times New Roman"/>
          <w:color w:val="auto"/>
          <w:sz w:val="20"/>
          <w:szCs w:val="20"/>
          <w:lang w:val="es-ES" w:eastAsia="en-US"/>
        </w:rPr>
      </w:pPr>
    </w:p>
    <w:p w14:paraId="461D37D3" w14:textId="77777777" w:rsidR="0060445F" w:rsidRPr="009D1E2F" w:rsidRDefault="0060445F" w:rsidP="00817426">
      <w:pPr>
        <w:pStyle w:val="ListParagraph"/>
        <w:tabs>
          <w:tab w:val="left" w:pos="360"/>
        </w:tabs>
        <w:ind w:left="360" w:right="360"/>
        <w:jc w:val="both"/>
        <w:rPr>
          <w:rFonts w:eastAsia="Arial Unicode MS" w:cs="Times New Roman"/>
          <w:color w:val="auto"/>
          <w:sz w:val="20"/>
          <w:szCs w:val="20"/>
          <w:lang w:val="es-ES" w:eastAsia="en-US"/>
        </w:rPr>
      </w:pPr>
      <w:r w:rsidRPr="009D1E2F">
        <w:rPr>
          <w:rFonts w:eastAsia="Arial Unicode MS" w:cs="Times New Roman"/>
          <w:i/>
          <w:color w:val="auto"/>
          <w:sz w:val="20"/>
          <w:szCs w:val="20"/>
          <w:lang w:val="es-ES" w:eastAsia="en-US"/>
        </w:rPr>
        <w:t>565.002.</w:t>
      </w:r>
      <w:r w:rsidR="00B059EC" w:rsidRPr="009D1E2F">
        <w:rPr>
          <w:rFonts w:eastAsia="Arial Unicode MS" w:cs="Times New Roman"/>
          <w:i/>
          <w:color w:val="auto"/>
          <w:sz w:val="20"/>
          <w:szCs w:val="20"/>
          <w:lang w:val="es-ES" w:eastAsia="en-US"/>
        </w:rPr>
        <w:t xml:space="preserve"> </w:t>
      </w:r>
      <w:r w:rsidR="002B3275" w:rsidRPr="009D1E2F">
        <w:rPr>
          <w:rFonts w:eastAsia="Arial Unicode MS" w:cs="Times New Roman"/>
          <w:i/>
          <w:color w:val="auto"/>
          <w:sz w:val="20"/>
          <w:szCs w:val="20"/>
          <w:lang w:val="es-ES" w:eastAsia="en-US"/>
        </w:rPr>
        <w:t>Definiciones</w:t>
      </w:r>
      <w:r w:rsidRPr="009D1E2F">
        <w:rPr>
          <w:rFonts w:eastAsia="Arial Unicode MS" w:cs="Times New Roman"/>
          <w:i/>
          <w:color w:val="auto"/>
          <w:sz w:val="20"/>
          <w:szCs w:val="20"/>
          <w:lang w:val="es-ES" w:eastAsia="en-US"/>
        </w:rPr>
        <w:t>.</w:t>
      </w:r>
      <w:r w:rsidR="00B059EC" w:rsidRPr="009D1E2F">
        <w:rPr>
          <w:rFonts w:eastAsia="Arial Unicode MS" w:cs="Times New Roman"/>
          <w:color w:val="auto"/>
          <w:sz w:val="20"/>
          <w:szCs w:val="20"/>
          <w:lang w:val="es-ES" w:eastAsia="en-US"/>
        </w:rPr>
        <w:t xml:space="preserve"> </w:t>
      </w:r>
      <w:r w:rsidR="002B3275">
        <w:rPr>
          <w:rFonts w:eastAsia="Arial Unicode MS" w:cs="Times New Roman"/>
          <w:color w:val="auto"/>
          <w:sz w:val="20"/>
          <w:szCs w:val="20"/>
          <w:lang w:val="es-ES" w:eastAsia="en-US"/>
        </w:rPr>
        <w:t>Los términos siguientes, tal como se usan en este capítulo, tienen el significado que se indica a continuación, salvo que sea claramente evidente que significan otra cosa</w:t>
      </w:r>
      <w:r w:rsidRPr="009D1E2F">
        <w:rPr>
          <w:rFonts w:eastAsia="Arial Unicode MS" w:cs="Times New Roman"/>
          <w:color w:val="auto"/>
          <w:sz w:val="20"/>
          <w:szCs w:val="20"/>
          <w:lang w:val="es-ES" w:eastAsia="en-US"/>
        </w:rPr>
        <w:t>:</w:t>
      </w:r>
    </w:p>
    <w:p w14:paraId="69F36B8C" w14:textId="77777777" w:rsidR="0060445F" w:rsidRPr="009D1E2F" w:rsidRDefault="0060445F" w:rsidP="00817426">
      <w:pPr>
        <w:pStyle w:val="ListParagraph"/>
        <w:tabs>
          <w:tab w:val="left" w:pos="360"/>
        </w:tabs>
        <w:ind w:left="360" w:right="360"/>
        <w:jc w:val="both"/>
        <w:rPr>
          <w:rFonts w:eastAsia="Arial Unicode MS" w:cs="Times New Roman"/>
          <w:color w:val="auto"/>
          <w:sz w:val="20"/>
          <w:szCs w:val="20"/>
          <w:lang w:val="es-ES" w:eastAsia="en-US"/>
        </w:rPr>
      </w:pPr>
      <w:r w:rsidRPr="009D1E2F">
        <w:rPr>
          <w:rFonts w:eastAsia="Arial Unicode MS" w:cs="Times New Roman"/>
          <w:color w:val="auto"/>
          <w:sz w:val="20"/>
          <w:szCs w:val="20"/>
          <w:lang w:val="es-ES" w:eastAsia="en-US"/>
        </w:rPr>
        <w:t>[…]</w:t>
      </w:r>
    </w:p>
    <w:p w14:paraId="3A71C828" w14:textId="77777777" w:rsidR="0060445F" w:rsidRPr="009D1E2F" w:rsidRDefault="0060445F" w:rsidP="00817426">
      <w:pPr>
        <w:pStyle w:val="ListParagraph"/>
        <w:tabs>
          <w:tab w:val="left" w:pos="360"/>
        </w:tabs>
        <w:ind w:left="360" w:right="360"/>
        <w:jc w:val="both"/>
        <w:rPr>
          <w:rFonts w:eastAsia="Arial Unicode MS" w:cs="Times New Roman"/>
          <w:color w:val="auto"/>
          <w:sz w:val="20"/>
          <w:szCs w:val="20"/>
          <w:lang w:val="es-ES" w:eastAsia="en-US"/>
        </w:rPr>
      </w:pPr>
      <w:r w:rsidRPr="009D1E2F">
        <w:rPr>
          <w:rFonts w:eastAsia="Arial Unicode MS" w:cs="Times New Roman"/>
          <w:color w:val="auto"/>
          <w:sz w:val="20"/>
          <w:szCs w:val="20"/>
          <w:lang w:val="es-ES" w:eastAsia="en-US"/>
        </w:rPr>
        <w:t>5)</w:t>
      </w:r>
      <w:r w:rsidR="00B059EC" w:rsidRPr="009D1E2F">
        <w:rPr>
          <w:rFonts w:eastAsia="Arial Unicode MS" w:cs="Times New Roman"/>
          <w:color w:val="auto"/>
          <w:sz w:val="20"/>
          <w:szCs w:val="20"/>
          <w:lang w:val="es-ES" w:eastAsia="en-US"/>
        </w:rPr>
        <w:t xml:space="preserve"> </w:t>
      </w:r>
      <w:r w:rsidRPr="009D1E2F">
        <w:rPr>
          <w:rFonts w:eastAsia="Arial Unicode MS" w:cs="Times New Roman"/>
          <w:color w:val="auto"/>
          <w:sz w:val="20"/>
          <w:szCs w:val="20"/>
          <w:lang w:val="es-ES" w:eastAsia="en-US"/>
        </w:rPr>
        <w:t>“</w:t>
      </w:r>
      <w:r w:rsidR="002B3275" w:rsidRPr="009D1E2F">
        <w:rPr>
          <w:rFonts w:eastAsia="Arial Unicode MS" w:cs="Times New Roman"/>
          <w:color w:val="auto"/>
          <w:sz w:val="20"/>
          <w:szCs w:val="20"/>
          <w:lang w:val="es-ES" w:eastAsia="en-US"/>
        </w:rPr>
        <w:t>Deliberación</w:t>
      </w:r>
      <w:r w:rsidRPr="009D1E2F">
        <w:rPr>
          <w:rFonts w:eastAsia="Arial Unicode MS" w:cs="Times New Roman"/>
          <w:color w:val="auto"/>
          <w:sz w:val="20"/>
          <w:szCs w:val="20"/>
          <w:lang w:val="es-ES" w:eastAsia="en-US"/>
        </w:rPr>
        <w:t>”</w:t>
      </w:r>
      <w:r w:rsidR="002B3275">
        <w:rPr>
          <w:rFonts w:eastAsia="Arial Unicode MS" w:cs="Times New Roman"/>
          <w:color w:val="auto"/>
          <w:sz w:val="20"/>
          <w:szCs w:val="20"/>
          <w:lang w:val="es-ES" w:eastAsia="en-US"/>
        </w:rPr>
        <w:t xml:space="preserve">: </w:t>
      </w:r>
      <w:r w:rsidR="002B3275" w:rsidRPr="002B3275">
        <w:rPr>
          <w:rFonts w:eastAsia="Arial Unicode MS" w:cs="Times New Roman"/>
          <w:color w:val="auto"/>
          <w:sz w:val="20"/>
          <w:szCs w:val="20"/>
          <w:lang w:val="es-ES" w:eastAsia="en-US"/>
        </w:rPr>
        <w:t>reflexión serena de cualquier duración, por más breve que sea</w:t>
      </w:r>
      <w:r w:rsidRPr="009D1E2F">
        <w:rPr>
          <w:rFonts w:eastAsia="Arial Unicode MS" w:cs="Times New Roman"/>
          <w:color w:val="auto"/>
          <w:sz w:val="20"/>
          <w:szCs w:val="20"/>
          <w:lang w:val="es-ES" w:eastAsia="en-US"/>
        </w:rPr>
        <w:t>;</w:t>
      </w:r>
    </w:p>
    <w:p w14:paraId="3A186865" w14:textId="77777777" w:rsidR="0060445F" w:rsidRPr="009D1E2F" w:rsidRDefault="0060445F" w:rsidP="00817426">
      <w:pPr>
        <w:pStyle w:val="ListParagraph"/>
        <w:tabs>
          <w:tab w:val="left" w:pos="360"/>
        </w:tabs>
        <w:ind w:left="360" w:right="360"/>
        <w:jc w:val="both"/>
        <w:rPr>
          <w:rFonts w:eastAsia="Arial Unicode MS" w:cs="Times New Roman"/>
          <w:color w:val="auto"/>
          <w:sz w:val="20"/>
          <w:szCs w:val="20"/>
          <w:lang w:val="es-ES" w:eastAsia="en-US"/>
        </w:rPr>
      </w:pPr>
      <w:r w:rsidRPr="009D1E2F">
        <w:rPr>
          <w:rFonts w:eastAsia="Arial Unicode MS" w:cs="Times New Roman"/>
          <w:color w:val="auto"/>
          <w:sz w:val="20"/>
          <w:szCs w:val="20"/>
          <w:lang w:val="es-ES" w:eastAsia="en-US"/>
        </w:rPr>
        <w:t>[…]</w:t>
      </w:r>
    </w:p>
    <w:p w14:paraId="5569B791" w14:textId="77777777" w:rsidR="0060445F" w:rsidRPr="009D1E2F" w:rsidRDefault="0060445F" w:rsidP="002F62A9">
      <w:pPr>
        <w:pStyle w:val="ListParagraph"/>
        <w:tabs>
          <w:tab w:val="left" w:pos="360"/>
        </w:tabs>
        <w:ind w:left="360" w:right="360"/>
        <w:jc w:val="both"/>
        <w:rPr>
          <w:rFonts w:eastAsia="Arial Unicode MS" w:cs="Times New Roman"/>
          <w:color w:val="auto"/>
          <w:sz w:val="20"/>
          <w:szCs w:val="20"/>
          <w:lang w:val="es-ES" w:eastAsia="en-US"/>
        </w:rPr>
      </w:pPr>
    </w:p>
    <w:p w14:paraId="53B41D73" w14:textId="77777777" w:rsidR="00C92214" w:rsidRPr="005C0BC0" w:rsidRDefault="00ED1C8D" w:rsidP="002F62A9">
      <w:pPr>
        <w:pStyle w:val="norm"/>
        <w:spacing w:before="0" w:beforeAutospacing="0" w:after="0"/>
        <w:ind w:left="360" w:right="360"/>
        <w:jc w:val="both"/>
        <w:rPr>
          <w:rFonts w:ascii="Cambria" w:eastAsia="Arial Unicode MS" w:hAnsi="Cambria"/>
          <w:bCs/>
          <w:i/>
          <w:sz w:val="20"/>
          <w:szCs w:val="20"/>
          <w:bdr w:val="nil"/>
          <w:lang w:val="es-ES"/>
        </w:rPr>
      </w:pPr>
      <w:r w:rsidRPr="005C0BC0">
        <w:rPr>
          <w:rFonts w:ascii="Cambria" w:eastAsia="Arial Unicode MS" w:hAnsi="Cambria"/>
          <w:bCs/>
          <w:i/>
          <w:sz w:val="20"/>
          <w:szCs w:val="20"/>
          <w:bdr w:val="nil"/>
          <w:lang w:val="es-ES"/>
        </w:rPr>
        <w:t>565.020.</w:t>
      </w:r>
      <w:r w:rsidR="00B059EC" w:rsidRPr="005C0BC0">
        <w:rPr>
          <w:rFonts w:ascii="Cambria" w:eastAsia="Arial Unicode MS" w:hAnsi="Cambria"/>
          <w:bCs/>
          <w:i/>
          <w:sz w:val="20"/>
          <w:szCs w:val="20"/>
          <w:bdr w:val="nil"/>
          <w:lang w:val="es-ES"/>
        </w:rPr>
        <w:t xml:space="preserve"> </w:t>
      </w:r>
      <w:r w:rsidR="002B3275" w:rsidRPr="005C0BC0">
        <w:rPr>
          <w:rFonts w:ascii="Cambria" w:eastAsia="Arial Unicode MS" w:hAnsi="Cambria"/>
          <w:bCs/>
          <w:i/>
          <w:sz w:val="20"/>
          <w:szCs w:val="20"/>
          <w:bdr w:val="nil"/>
          <w:lang w:val="es-ES"/>
        </w:rPr>
        <w:t>Homicidio en primer grado</w:t>
      </w:r>
      <w:r w:rsidRPr="005C0BC0">
        <w:rPr>
          <w:rFonts w:ascii="Cambria" w:eastAsia="Arial Unicode MS" w:hAnsi="Cambria"/>
          <w:bCs/>
          <w:i/>
          <w:sz w:val="20"/>
          <w:szCs w:val="20"/>
          <w:bdr w:val="nil"/>
          <w:lang w:val="es-ES"/>
        </w:rPr>
        <w:t>,</w:t>
      </w:r>
      <w:r w:rsidR="00B059EC" w:rsidRPr="005C0BC0">
        <w:rPr>
          <w:rFonts w:ascii="Cambria" w:eastAsia="Arial Unicode MS" w:hAnsi="Cambria"/>
          <w:bCs/>
          <w:i/>
          <w:sz w:val="20"/>
          <w:szCs w:val="20"/>
          <w:bdr w:val="nil"/>
          <w:lang w:val="es-ES"/>
        </w:rPr>
        <w:t xml:space="preserve"> </w:t>
      </w:r>
      <w:r w:rsidR="002B3275" w:rsidRPr="005C0BC0">
        <w:rPr>
          <w:rFonts w:ascii="Cambria" w:eastAsia="Arial Unicode MS" w:hAnsi="Cambria"/>
          <w:bCs/>
          <w:i/>
          <w:sz w:val="20"/>
          <w:szCs w:val="20"/>
          <w:bdr w:val="nil"/>
          <w:lang w:val="es-ES"/>
        </w:rPr>
        <w:t>sanción</w:t>
      </w:r>
      <w:r w:rsidR="00B059EC" w:rsidRPr="005C0BC0">
        <w:rPr>
          <w:rFonts w:ascii="Cambria" w:eastAsia="Arial Unicode MS" w:hAnsi="Cambria"/>
          <w:bCs/>
          <w:i/>
          <w:sz w:val="20"/>
          <w:szCs w:val="20"/>
          <w:bdr w:val="nil"/>
          <w:lang w:val="es-ES"/>
        </w:rPr>
        <w:t xml:space="preserve"> </w:t>
      </w:r>
      <w:r w:rsidR="00C92214" w:rsidRPr="005C0BC0">
        <w:rPr>
          <w:rFonts w:ascii="Cambria" w:eastAsia="Arial Unicode MS" w:hAnsi="Cambria"/>
          <w:bCs/>
          <w:i/>
          <w:sz w:val="20"/>
          <w:szCs w:val="20"/>
          <w:bdr w:val="nil"/>
          <w:lang w:val="es-ES"/>
        </w:rPr>
        <w:t>[…]</w:t>
      </w:r>
      <w:r w:rsidR="00B059EC" w:rsidRPr="005C0BC0">
        <w:rPr>
          <w:rFonts w:ascii="Cambria" w:eastAsia="Arial Unicode MS" w:hAnsi="Cambria"/>
          <w:bCs/>
          <w:i/>
          <w:sz w:val="20"/>
          <w:szCs w:val="20"/>
          <w:bdr w:val="nil"/>
          <w:lang w:val="es-ES"/>
        </w:rPr>
        <w:t xml:space="preserve"> </w:t>
      </w:r>
    </w:p>
    <w:p w14:paraId="3FDAB492" w14:textId="77777777" w:rsidR="00ED1C8D" w:rsidRPr="005C0BC0" w:rsidRDefault="00ED1C8D" w:rsidP="002F62A9">
      <w:pPr>
        <w:pStyle w:val="norm"/>
        <w:spacing w:before="0" w:beforeAutospacing="0" w:after="0"/>
        <w:ind w:left="360" w:right="360"/>
        <w:jc w:val="both"/>
        <w:rPr>
          <w:rFonts w:ascii="Cambria" w:eastAsia="Arial Unicode MS" w:hAnsi="Cambria"/>
          <w:sz w:val="20"/>
          <w:szCs w:val="20"/>
          <w:bdr w:val="nil"/>
          <w:lang w:val="es-ES"/>
        </w:rPr>
      </w:pPr>
      <w:r w:rsidRPr="005C0BC0">
        <w:rPr>
          <w:rFonts w:ascii="Cambria" w:eastAsia="Arial Unicode MS" w:hAnsi="Cambria"/>
          <w:sz w:val="20"/>
          <w:szCs w:val="20"/>
          <w:bdr w:val="nil"/>
          <w:lang w:val="es-ES"/>
        </w:rPr>
        <w:t>1.</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Una persona comete el delito de</w:t>
      </w:r>
      <w:r w:rsidR="00B059EC" w:rsidRPr="005C0BC0">
        <w:rPr>
          <w:rFonts w:ascii="Cambria" w:eastAsia="Arial Unicode MS" w:hAnsi="Cambria"/>
          <w:sz w:val="20"/>
          <w:szCs w:val="20"/>
          <w:bdr w:val="nil"/>
          <w:lang w:val="es-ES"/>
        </w:rPr>
        <w:t xml:space="preserve"> </w:t>
      </w:r>
      <w:r w:rsidR="002B3275" w:rsidRPr="005C0BC0">
        <w:rPr>
          <w:rFonts w:ascii="Cambria" w:eastAsia="Arial Unicode MS" w:hAnsi="Cambria"/>
          <w:sz w:val="20"/>
          <w:szCs w:val="20"/>
          <w:bdr w:val="nil"/>
          <w:lang w:val="es-ES"/>
        </w:rPr>
        <w:t>homicidio en primer grado</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si causa a sabiendas la muerte de otra persona después de deliberar sobre el asunto</w:t>
      </w:r>
      <w:r w:rsidRPr="005C0BC0">
        <w:rPr>
          <w:rFonts w:ascii="Cambria" w:eastAsia="Arial Unicode MS" w:hAnsi="Cambria"/>
          <w:sz w:val="20"/>
          <w:szCs w:val="20"/>
          <w:bdr w:val="nil"/>
          <w:lang w:val="es-ES"/>
        </w:rPr>
        <w:t>.</w:t>
      </w:r>
    </w:p>
    <w:p w14:paraId="444E1F2E" w14:textId="77777777" w:rsidR="00ED1C8D" w:rsidRPr="005C0BC0" w:rsidRDefault="00ED1C8D" w:rsidP="002F62A9">
      <w:pPr>
        <w:pStyle w:val="norm"/>
        <w:spacing w:before="0" w:beforeAutospacing="0" w:after="0"/>
        <w:ind w:left="360" w:right="360"/>
        <w:jc w:val="both"/>
        <w:rPr>
          <w:rFonts w:ascii="Cambria" w:eastAsia="Arial Unicode MS" w:hAnsi="Cambria"/>
          <w:sz w:val="20"/>
          <w:szCs w:val="20"/>
          <w:bdr w:val="nil"/>
          <w:lang w:val="es-ES"/>
        </w:rPr>
      </w:pPr>
      <w:r w:rsidRPr="005C0BC0">
        <w:rPr>
          <w:rFonts w:ascii="Cambria" w:eastAsia="Arial Unicode MS" w:hAnsi="Cambria"/>
          <w:sz w:val="20"/>
          <w:szCs w:val="20"/>
          <w:bdr w:val="nil"/>
          <w:lang w:val="es-ES"/>
        </w:rPr>
        <w:t>2.</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El delito</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de</w:t>
      </w:r>
      <w:r w:rsidR="00B059EC" w:rsidRPr="005C0BC0">
        <w:rPr>
          <w:rFonts w:ascii="Cambria" w:eastAsia="Arial Unicode MS" w:hAnsi="Cambria"/>
          <w:sz w:val="20"/>
          <w:szCs w:val="20"/>
          <w:bdr w:val="nil"/>
          <w:lang w:val="es-ES"/>
        </w:rPr>
        <w:t xml:space="preserve"> </w:t>
      </w:r>
      <w:r w:rsidR="002B3275" w:rsidRPr="005C0BC0">
        <w:rPr>
          <w:rFonts w:ascii="Cambria" w:eastAsia="Arial Unicode MS" w:hAnsi="Cambria"/>
          <w:sz w:val="20"/>
          <w:szCs w:val="20"/>
          <w:bdr w:val="nil"/>
          <w:lang w:val="es-ES"/>
        </w:rPr>
        <w:t>homicidio en primer grado</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es un delito mayor de clase</w:t>
      </w:r>
      <w:r w:rsidR="00B059EC" w:rsidRPr="005C0BC0">
        <w:rPr>
          <w:rFonts w:ascii="Cambria" w:eastAsia="Arial Unicode MS" w:hAnsi="Cambria"/>
          <w:sz w:val="20"/>
          <w:szCs w:val="20"/>
          <w:bdr w:val="nil"/>
          <w:lang w:val="es-ES"/>
        </w:rPr>
        <w:t xml:space="preserve"> </w:t>
      </w:r>
      <w:r w:rsidRPr="005C0BC0">
        <w:rPr>
          <w:rFonts w:ascii="Cambria" w:eastAsia="Arial Unicode MS" w:hAnsi="Cambria"/>
          <w:sz w:val="20"/>
          <w:szCs w:val="20"/>
          <w:bdr w:val="nil"/>
          <w:lang w:val="es-ES"/>
        </w:rPr>
        <w:t>A</w:t>
      </w:r>
      <w:r w:rsidR="00423F33" w:rsidRPr="005C0BC0">
        <w:rPr>
          <w:rFonts w:ascii="Cambria" w:eastAsia="Arial Unicode MS" w:hAnsi="Cambria"/>
          <w:sz w:val="20"/>
          <w:szCs w:val="20"/>
          <w:bdr w:val="nil"/>
          <w:lang w:val="es-ES"/>
        </w:rPr>
        <w:t>. Si una persona es mayor de 18 años cuando comete e</w:t>
      </w:r>
      <w:r w:rsidR="00FC126B">
        <w:rPr>
          <w:rFonts w:ascii="Cambria" w:eastAsia="Arial Unicode MS" w:hAnsi="Cambria"/>
          <w:sz w:val="20"/>
          <w:szCs w:val="20"/>
          <w:bdr w:val="nil"/>
          <w:lang w:val="es-ES"/>
        </w:rPr>
        <w:t>ste</w:t>
      </w:r>
      <w:r w:rsidR="00423F33" w:rsidRPr="005C0BC0">
        <w:rPr>
          <w:rFonts w:ascii="Cambria" w:eastAsia="Arial Unicode MS" w:hAnsi="Cambria"/>
          <w:sz w:val="20"/>
          <w:szCs w:val="20"/>
          <w:bdr w:val="nil"/>
          <w:lang w:val="es-ES"/>
        </w:rPr>
        <w:t xml:space="preserve"> delito</w:t>
      </w:r>
      <w:r w:rsidR="003C3FC6" w:rsidRPr="005C0BC0">
        <w:rPr>
          <w:rFonts w:ascii="Cambria" w:eastAsia="Arial Unicode MS" w:hAnsi="Cambria"/>
          <w:sz w:val="20"/>
          <w:szCs w:val="20"/>
          <w:bdr w:val="nil"/>
          <w:lang w:val="es-ES"/>
        </w:rPr>
        <w:t>,</w:t>
      </w:r>
      <w:r w:rsidR="00B059EC" w:rsidRPr="005C0BC0">
        <w:rPr>
          <w:rFonts w:ascii="Cambria" w:eastAsia="Arial Unicode MS" w:hAnsi="Cambria"/>
          <w:sz w:val="20"/>
          <w:szCs w:val="20"/>
          <w:bdr w:val="nil"/>
          <w:lang w:val="es-ES"/>
        </w:rPr>
        <w:t xml:space="preserve"> </w:t>
      </w:r>
      <w:r w:rsidR="00423F33" w:rsidRPr="005C0BC0">
        <w:rPr>
          <w:rFonts w:ascii="Cambria" w:eastAsia="Arial Unicode MS" w:hAnsi="Cambria"/>
          <w:sz w:val="20"/>
          <w:szCs w:val="20"/>
          <w:bdr w:val="nil"/>
          <w:lang w:val="es-ES"/>
        </w:rPr>
        <w:t xml:space="preserve">la sanción consistirá en la pena de muerte o en cadena perpetua sin posibilidad de libertad condicional o de liberación excepto </w:t>
      </w:r>
      <w:r w:rsidR="003C3FC6" w:rsidRPr="005C0BC0">
        <w:rPr>
          <w:rFonts w:ascii="Cambria" w:eastAsia="Arial Unicode MS" w:hAnsi="Cambria"/>
          <w:sz w:val="20"/>
          <w:szCs w:val="20"/>
          <w:bdr w:val="nil"/>
          <w:lang w:val="es-ES"/>
        </w:rPr>
        <w:t>p</w:t>
      </w:r>
      <w:r w:rsidR="00423F33" w:rsidRPr="005C0BC0">
        <w:rPr>
          <w:rFonts w:ascii="Cambria" w:eastAsia="Arial Unicode MS" w:hAnsi="Cambria"/>
          <w:sz w:val="20"/>
          <w:szCs w:val="20"/>
          <w:bdr w:val="nil"/>
          <w:lang w:val="es-ES"/>
        </w:rPr>
        <w:t>or acto del gobernador</w:t>
      </w:r>
      <w:r w:rsidR="00B059EC" w:rsidRPr="005C0BC0">
        <w:rPr>
          <w:rFonts w:ascii="Cambria" w:eastAsia="Arial Unicode MS" w:hAnsi="Cambria"/>
          <w:sz w:val="20"/>
          <w:szCs w:val="20"/>
          <w:bdr w:val="nil"/>
          <w:lang w:val="es-ES"/>
        </w:rPr>
        <w:t xml:space="preserve"> </w:t>
      </w:r>
      <w:r w:rsidR="00C92214" w:rsidRPr="005C0BC0">
        <w:rPr>
          <w:rFonts w:ascii="Cambria" w:eastAsia="Arial Unicode MS" w:hAnsi="Cambria"/>
          <w:sz w:val="20"/>
          <w:szCs w:val="20"/>
          <w:bdr w:val="nil"/>
          <w:lang w:val="es-ES"/>
        </w:rPr>
        <w:t>[…].</w:t>
      </w:r>
      <w:r w:rsidR="00B059EC" w:rsidRPr="005C0BC0">
        <w:rPr>
          <w:rFonts w:ascii="Cambria" w:eastAsia="Arial Unicode MS" w:hAnsi="Cambria"/>
          <w:sz w:val="20"/>
          <w:szCs w:val="20"/>
          <w:bdr w:val="nil"/>
          <w:lang w:val="es-ES"/>
        </w:rPr>
        <w:t xml:space="preserve"> </w:t>
      </w:r>
    </w:p>
    <w:p w14:paraId="040EEEE6" w14:textId="77777777" w:rsidR="009207F2" w:rsidRPr="005C0BC0" w:rsidRDefault="009207F2" w:rsidP="002F62A9">
      <w:pPr>
        <w:tabs>
          <w:tab w:val="left" w:pos="360"/>
        </w:tabs>
        <w:rPr>
          <w:rFonts w:asciiTheme="majorHAnsi" w:eastAsia="Times New Roman" w:hAnsiTheme="majorHAnsi"/>
          <w:sz w:val="20"/>
          <w:szCs w:val="20"/>
          <w:lang w:val="es-ES"/>
        </w:rPr>
      </w:pPr>
    </w:p>
    <w:p w14:paraId="4BEF9019" w14:textId="77777777" w:rsidR="001E555D" w:rsidRPr="005C0BC0" w:rsidRDefault="001E555D" w:rsidP="002F62A9">
      <w:pPr>
        <w:pStyle w:val="norm"/>
        <w:spacing w:before="0" w:beforeAutospacing="0" w:after="0"/>
        <w:ind w:left="360" w:right="360"/>
        <w:jc w:val="both"/>
        <w:rPr>
          <w:rStyle w:val="bold1"/>
          <w:rFonts w:asciiTheme="majorHAnsi" w:hAnsiTheme="majorHAnsi" w:cs="Arial"/>
          <w:b w:val="0"/>
          <w:i/>
          <w:sz w:val="20"/>
          <w:szCs w:val="20"/>
          <w:lang w:val="es-ES"/>
        </w:rPr>
      </w:pPr>
      <w:r w:rsidRPr="005C0BC0">
        <w:rPr>
          <w:rStyle w:val="bold1"/>
          <w:rFonts w:asciiTheme="majorHAnsi" w:hAnsiTheme="majorHAnsi" w:cs="Arial"/>
          <w:b w:val="0"/>
          <w:i/>
          <w:sz w:val="20"/>
          <w:szCs w:val="20"/>
          <w:lang w:val="es-ES"/>
        </w:rPr>
        <w:lastRenderedPageBreak/>
        <w:t>565.032.</w:t>
      </w:r>
      <w:r w:rsidR="00B059EC" w:rsidRPr="005C0BC0">
        <w:rPr>
          <w:rStyle w:val="bold1"/>
          <w:rFonts w:asciiTheme="majorHAnsi" w:hAnsiTheme="majorHAnsi" w:cs="Arial"/>
          <w:b w:val="0"/>
          <w:i/>
          <w:sz w:val="20"/>
          <w:szCs w:val="20"/>
          <w:lang w:val="es-ES"/>
        </w:rPr>
        <w:t xml:space="preserve"> </w:t>
      </w:r>
      <w:r w:rsidR="00423F33" w:rsidRPr="005C0BC0">
        <w:rPr>
          <w:rStyle w:val="bold1"/>
          <w:rFonts w:asciiTheme="majorHAnsi" w:hAnsiTheme="majorHAnsi" w:cs="Arial"/>
          <w:b w:val="0"/>
          <w:i/>
          <w:sz w:val="20"/>
          <w:szCs w:val="20"/>
          <w:lang w:val="es-ES"/>
        </w:rPr>
        <w:t>Pruebas que deben considerarse al determinar la sanción en casos de</w:t>
      </w:r>
      <w:r w:rsidR="00B059EC" w:rsidRPr="005C0BC0">
        <w:rPr>
          <w:rStyle w:val="bold1"/>
          <w:rFonts w:asciiTheme="majorHAnsi" w:hAnsiTheme="majorHAnsi" w:cs="Arial"/>
          <w:b w:val="0"/>
          <w:i/>
          <w:sz w:val="20"/>
          <w:szCs w:val="20"/>
          <w:lang w:val="es-ES"/>
        </w:rPr>
        <w:t xml:space="preserve"> </w:t>
      </w:r>
      <w:r w:rsidR="002B3275" w:rsidRPr="005C0BC0">
        <w:rPr>
          <w:rStyle w:val="bold1"/>
          <w:rFonts w:asciiTheme="majorHAnsi" w:hAnsiTheme="majorHAnsi" w:cs="Arial"/>
          <w:b w:val="0"/>
          <w:i/>
          <w:sz w:val="20"/>
          <w:szCs w:val="20"/>
          <w:lang w:val="es-ES"/>
        </w:rPr>
        <w:t>homicidio en primer grado</w:t>
      </w:r>
      <w:r w:rsidR="00B059EC" w:rsidRPr="005C0BC0">
        <w:rPr>
          <w:rStyle w:val="bold1"/>
          <w:rFonts w:asciiTheme="majorHAnsi" w:hAnsiTheme="majorHAnsi" w:cs="Arial"/>
          <w:b w:val="0"/>
          <w:i/>
          <w:sz w:val="20"/>
          <w:szCs w:val="20"/>
          <w:lang w:val="es-ES"/>
        </w:rPr>
        <w:t xml:space="preserve"> </w:t>
      </w:r>
      <w:r w:rsidR="00423F33" w:rsidRPr="005C0BC0">
        <w:rPr>
          <w:rStyle w:val="bold1"/>
          <w:rFonts w:asciiTheme="majorHAnsi" w:hAnsiTheme="majorHAnsi" w:cs="Arial"/>
          <w:b w:val="0"/>
          <w:i/>
          <w:sz w:val="20"/>
          <w:szCs w:val="20"/>
          <w:lang w:val="es-ES"/>
        </w:rPr>
        <w:t xml:space="preserve">en los cuales se autoriza la aplicación de la </w:t>
      </w:r>
      <w:r w:rsidR="00817426" w:rsidRPr="005C0BC0">
        <w:rPr>
          <w:rStyle w:val="bold1"/>
          <w:rFonts w:asciiTheme="majorHAnsi" w:hAnsiTheme="majorHAnsi" w:cs="Arial"/>
          <w:b w:val="0"/>
          <w:i/>
          <w:sz w:val="20"/>
          <w:szCs w:val="20"/>
          <w:lang w:val="es-ES"/>
        </w:rPr>
        <w:t>pena</w:t>
      </w:r>
      <w:r w:rsidR="00B059EC" w:rsidRPr="005C0BC0">
        <w:rPr>
          <w:rStyle w:val="bold1"/>
          <w:rFonts w:asciiTheme="majorHAnsi" w:hAnsiTheme="majorHAnsi" w:cs="Arial"/>
          <w:b w:val="0"/>
          <w:i/>
          <w:sz w:val="20"/>
          <w:szCs w:val="20"/>
          <w:lang w:val="es-ES"/>
        </w:rPr>
        <w:t xml:space="preserve"> </w:t>
      </w:r>
      <w:r w:rsidR="00817426" w:rsidRPr="005C0BC0">
        <w:rPr>
          <w:rStyle w:val="bold1"/>
          <w:rFonts w:asciiTheme="majorHAnsi" w:hAnsiTheme="majorHAnsi" w:cs="Arial"/>
          <w:b w:val="0"/>
          <w:i/>
          <w:sz w:val="20"/>
          <w:szCs w:val="20"/>
          <w:lang w:val="es-ES"/>
        </w:rPr>
        <w:t>de</w:t>
      </w:r>
      <w:r w:rsidR="00B059EC" w:rsidRPr="005C0BC0">
        <w:rPr>
          <w:rStyle w:val="bold1"/>
          <w:rFonts w:asciiTheme="majorHAnsi" w:hAnsiTheme="majorHAnsi" w:cs="Arial"/>
          <w:b w:val="0"/>
          <w:i/>
          <w:sz w:val="20"/>
          <w:szCs w:val="20"/>
          <w:lang w:val="es-ES"/>
        </w:rPr>
        <w:t xml:space="preserve"> </w:t>
      </w:r>
      <w:r w:rsidR="00817426" w:rsidRPr="005C0BC0">
        <w:rPr>
          <w:rStyle w:val="bold1"/>
          <w:rFonts w:asciiTheme="majorHAnsi" w:hAnsiTheme="majorHAnsi" w:cs="Arial"/>
          <w:b w:val="0"/>
          <w:i/>
          <w:sz w:val="20"/>
          <w:szCs w:val="20"/>
          <w:lang w:val="es-ES"/>
        </w:rPr>
        <w:t>muerte</w:t>
      </w:r>
      <w:r w:rsidR="00B059EC" w:rsidRPr="005C0BC0">
        <w:rPr>
          <w:rStyle w:val="bold1"/>
          <w:rFonts w:asciiTheme="majorHAnsi" w:hAnsiTheme="majorHAnsi" w:cs="Arial"/>
          <w:b w:val="0"/>
          <w:i/>
          <w:sz w:val="20"/>
          <w:szCs w:val="20"/>
          <w:lang w:val="es-ES"/>
        </w:rPr>
        <w:t xml:space="preserve"> </w:t>
      </w:r>
    </w:p>
    <w:p w14:paraId="4077DECE"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w:t>
      </w:r>
      <w:r w:rsidR="00B059EC" w:rsidRPr="005C0BC0">
        <w:rPr>
          <w:rFonts w:asciiTheme="majorHAnsi" w:hAnsiTheme="majorHAnsi" w:cs="Arial"/>
          <w:sz w:val="20"/>
          <w:szCs w:val="20"/>
          <w:lang w:val="es-ES"/>
        </w:rPr>
        <w:t xml:space="preserve"> </w:t>
      </w:r>
      <w:r w:rsidR="00423F33" w:rsidRPr="005C0BC0">
        <w:rPr>
          <w:rFonts w:asciiTheme="majorHAnsi" w:hAnsiTheme="majorHAnsi" w:cs="Arial"/>
          <w:sz w:val="20"/>
          <w:szCs w:val="20"/>
          <w:lang w:val="es-ES"/>
        </w:rPr>
        <w:t xml:space="preserve">En todos los casos de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423F33" w:rsidRPr="005C0BC0">
        <w:rPr>
          <w:rFonts w:asciiTheme="majorHAnsi" w:hAnsiTheme="majorHAnsi" w:cs="Arial"/>
          <w:sz w:val="20"/>
          <w:szCs w:val="20"/>
          <w:lang w:val="es-ES"/>
        </w:rPr>
        <w:t>en los cuales se autoriza la aplicación de la pena de muerte</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 xml:space="preserve">el juez deberá considerar lo siguiente si se trata de un juicio sin jurado o deberá incluirlo en sus instrucciones al </w:t>
      </w:r>
      <w:r w:rsidR="0093050F" w:rsidRPr="005C0BC0">
        <w:rPr>
          <w:rFonts w:asciiTheme="majorHAnsi" w:hAnsiTheme="majorHAnsi" w:cs="Arial"/>
          <w:sz w:val="20"/>
          <w:szCs w:val="20"/>
          <w:lang w:val="es-ES"/>
        </w:rPr>
        <w:t>jurado</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para que lo tenga en cuenta</w:t>
      </w:r>
      <w:r w:rsidRPr="005C0BC0">
        <w:rPr>
          <w:rFonts w:asciiTheme="majorHAnsi" w:hAnsiTheme="majorHAnsi" w:cs="Arial"/>
          <w:sz w:val="20"/>
          <w:szCs w:val="20"/>
          <w:lang w:val="es-ES"/>
        </w:rPr>
        <w:t>:</w:t>
      </w:r>
    </w:p>
    <w:p w14:paraId="51AB68DD"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 xml:space="preserve">si las pruebas demuestran, sin que quepa duda razonable, la existencia de una o más de las agravantes establecidas en el inciso </w:t>
      </w:r>
      <w:r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de este artículo</w:t>
      </w:r>
      <w:r w:rsidRPr="005C0BC0">
        <w:rPr>
          <w:rFonts w:asciiTheme="majorHAnsi" w:hAnsiTheme="majorHAnsi" w:cs="Arial"/>
          <w:sz w:val="20"/>
          <w:szCs w:val="20"/>
          <w:lang w:val="es-ES"/>
        </w:rPr>
        <w:t>;</w:t>
      </w:r>
    </w:p>
    <w:p w14:paraId="37E2D2EF"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si se demuestra más allá de toda duda razonable la existencia de una o más de las agravantes establecidas por ley</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 xml:space="preserve">aunque el conjunto de la prueba justifique la pena de muerte o de </w:t>
      </w:r>
      <w:r w:rsidR="00817426" w:rsidRPr="005C0BC0">
        <w:rPr>
          <w:rFonts w:asciiTheme="majorHAnsi" w:hAnsiTheme="majorHAnsi" w:cs="Arial"/>
          <w:sz w:val="20"/>
          <w:szCs w:val="20"/>
          <w:lang w:val="es-ES"/>
        </w:rPr>
        <w:t>cadena</w:t>
      </w:r>
      <w:r w:rsidR="00B059EC" w:rsidRPr="005C0BC0">
        <w:rPr>
          <w:rFonts w:asciiTheme="majorHAnsi" w:hAnsiTheme="majorHAnsi" w:cs="Arial"/>
          <w:sz w:val="20"/>
          <w:szCs w:val="20"/>
          <w:lang w:val="es-ES"/>
        </w:rPr>
        <w:t xml:space="preserve"> </w:t>
      </w:r>
      <w:r w:rsidR="00817426" w:rsidRPr="005C0BC0">
        <w:rPr>
          <w:rFonts w:asciiTheme="majorHAnsi" w:hAnsiTheme="majorHAnsi" w:cs="Arial"/>
          <w:sz w:val="20"/>
          <w:szCs w:val="20"/>
          <w:lang w:val="es-ES"/>
        </w:rPr>
        <w:t>perpetua</w:t>
      </w:r>
      <w:r w:rsidR="00B059EC" w:rsidRPr="005C0BC0">
        <w:rPr>
          <w:rFonts w:asciiTheme="majorHAnsi" w:hAnsiTheme="majorHAnsi" w:cs="Arial"/>
          <w:sz w:val="20"/>
          <w:szCs w:val="20"/>
          <w:lang w:val="es-ES"/>
        </w:rPr>
        <w:t xml:space="preserve"> </w:t>
      </w:r>
      <w:r w:rsidR="00D64C6E" w:rsidRPr="005C0BC0">
        <w:rPr>
          <w:rFonts w:asciiTheme="majorHAnsi" w:hAnsiTheme="majorHAnsi" w:cs="Arial"/>
          <w:sz w:val="20"/>
          <w:szCs w:val="20"/>
          <w:lang w:val="es-ES"/>
        </w:rPr>
        <w:t>sin posibilidad de libertad condicional o liberación excepto por acto del gobernador.</w:t>
      </w:r>
    </w:p>
    <w:p w14:paraId="13C2DCD7" w14:textId="77777777" w:rsidR="001E555D" w:rsidRPr="005C0BC0" w:rsidRDefault="001E555D" w:rsidP="002F62A9">
      <w:pPr>
        <w:pStyle w:val="tiny"/>
        <w:spacing w:before="0" w:beforeAutospacing="0" w:after="0" w:afterAutospacing="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softHyphen/>
      </w:r>
      <w:r w:rsidRPr="005C0BC0">
        <w:rPr>
          <w:rFonts w:asciiTheme="majorHAnsi" w:hAnsiTheme="majorHAnsi" w:cs="Arial"/>
          <w:sz w:val="20"/>
          <w:szCs w:val="20"/>
          <w:lang w:val="es-ES"/>
        </w:rPr>
        <w:softHyphen/>
      </w:r>
    </w:p>
    <w:p w14:paraId="359ED88E" w14:textId="77777777" w:rsidR="001E555D" w:rsidRPr="005C0BC0" w:rsidRDefault="00D64C6E" w:rsidP="002F62A9">
      <w:pPr>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 xml:space="preserve">Al determinar los asuntos enumerados en los incisos </w:t>
      </w:r>
      <w:r w:rsidR="001E555D" w:rsidRPr="005C0BC0">
        <w:rPr>
          <w:rFonts w:asciiTheme="majorHAnsi" w:hAnsiTheme="majorHAnsi" w:cs="Arial"/>
          <w:sz w:val="20"/>
          <w:szCs w:val="20"/>
          <w:lang w:val="es-ES"/>
        </w:rPr>
        <w:t>1</w:t>
      </w:r>
      <w:r w:rsidRPr="005C0BC0">
        <w:rPr>
          <w:rFonts w:asciiTheme="majorHAnsi" w:hAnsiTheme="majorHAnsi" w:cs="Arial"/>
          <w:sz w:val="20"/>
          <w:szCs w:val="20"/>
          <w:lang w:val="es-ES"/>
        </w:rPr>
        <w:t xml:space="preserve"> y </w:t>
      </w:r>
      <w:r w:rsidR="001E555D" w:rsidRPr="005C0BC0">
        <w:rPr>
          <w:rFonts w:asciiTheme="majorHAnsi" w:hAnsiTheme="majorHAnsi" w:cs="Arial"/>
          <w:sz w:val="20"/>
          <w:szCs w:val="20"/>
          <w:lang w:val="es-ES"/>
        </w:rPr>
        <w:t>2</w:t>
      </w:r>
      <w:r w:rsidRPr="005C0BC0">
        <w:rPr>
          <w:rFonts w:asciiTheme="majorHAnsi" w:hAnsiTheme="majorHAnsi" w:cs="Arial"/>
          <w:sz w:val="20"/>
          <w:szCs w:val="20"/>
          <w:lang w:val="es-ES"/>
        </w:rPr>
        <w:t xml:space="preserve"> de este artículo, el juez o el jurado deberá tener en cuenta toda</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 xml:space="preserve">prueba que considere que agrave o atenúe la pena, incluidas las pruebas recibidas en la primera etapa del juicio y las que respalden </w:t>
      </w:r>
      <w:r w:rsidR="00A9281E" w:rsidRPr="005C0BC0">
        <w:rPr>
          <w:rFonts w:asciiTheme="majorHAnsi" w:hAnsiTheme="majorHAnsi" w:cs="Arial"/>
          <w:sz w:val="20"/>
          <w:szCs w:val="20"/>
          <w:lang w:val="es-ES"/>
        </w:rPr>
        <w:t xml:space="preserve">cualquiera de las circunstancias agravantes o atenuantes enumeradas en los incisos </w:t>
      </w:r>
      <w:r w:rsidR="001E555D"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A9281E" w:rsidRPr="005C0BC0">
        <w:rPr>
          <w:rFonts w:asciiTheme="majorHAnsi" w:hAnsiTheme="majorHAnsi" w:cs="Arial"/>
          <w:sz w:val="20"/>
          <w:szCs w:val="20"/>
          <w:lang w:val="es-ES"/>
        </w:rPr>
        <w:t>y</w:t>
      </w:r>
      <w:r w:rsidR="00B059EC" w:rsidRPr="005C0BC0">
        <w:rPr>
          <w:rFonts w:asciiTheme="majorHAnsi" w:hAnsiTheme="majorHAnsi" w:cs="Arial"/>
          <w:sz w:val="20"/>
          <w:szCs w:val="20"/>
          <w:lang w:val="es-ES"/>
        </w:rPr>
        <w:t xml:space="preserve"> </w:t>
      </w:r>
      <w:r w:rsidR="001E555D" w:rsidRPr="005C0BC0">
        <w:rPr>
          <w:rFonts w:asciiTheme="majorHAnsi" w:hAnsiTheme="majorHAnsi" w:cs="Arial"/>
          <w:sz w:val="20"/>
          <w:szCs w:val="20"/>
          <w:lang w:val="es-ES"/>
        </w:rPr>
        <w:t>3</w:t>
      </w:r>
      <w:r w:rsidR="00A9281E" w:rsidRPr="005C0BC0">
        <w:rPr>
          <w:rFonts w:asciiTheme="majorHAnsi" w:hAnsiTheme="majorHAnsi" w:cs="Arial"/>
          <w:sz w:val="20"/>
          <w:szCs w:val="20"/>
          <w:lang w:val="es-ES"/>
        </w:rPr>
        <w:t xml:space="preserve"> del presente artículo. Si quien juzga es un jurado, no se le deberán dar instrucciones con respecto a ninguna prueba en particular que pueda agravar o atenuar la pena, sino que se le deberán dar instrucciones para que cada miembro del jurado tenga en cuenta toda prueba que considere agravante o atenuante</w:t>
      </w:r>
      <w:r w:rsidR="001E555D" w:rsidRPr="005C0BC0">
        <w:rPr>
          <w:rFonts w:asciiTheme="majorHAnsi" w:hAnsiTheme="majorHAnsi" w:cs="Arial"/>
          <w:sz w:val="20"/>
          <w:szCs w:val="20"/>
          <w:lang w:val="es-ES"/>
        </w:rPr>
        <w:t>.</w:t>
      </w:r>
    </w:p>
    <w:p w14:paraId="29E69F1F"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 </w:t>
      </w:r>
    </w:p>
    <w:p w14:paraId="0F733272"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2B3275" w:rsidRPr="005C0BC0">
        <w:rPr>
          <w:rFonts w:asciiTheme="majorHAnsi" w:hAnsiTheme="majorHAnsi" w:cs="Arial"/>
          <w:sz w:val="20"/>
          <w:szCs w:val="20"/>
          <w:lang w:val="es-ES"/>
        </w:rPr>
        <w:t>L</w:t>
      </w:r>
      <w:r w:rsidR="00423F33" w:rsidRPr="005C0BC0">
        <w:rPr>
          <w:rFonts w:asciiTheme="majorHAnsi" w:hAnsiTheme="majorHAnsi" w:cs="Arial"/>
          <w:sz w:val="20"/>
          <w:szCs w:val="20"/>
          <w:lang w:val="es-ES"/>
        </w:rPr>
        <w:t>a</w:t>
      </w:r>
      <w:r w:rsidR="002B3275" w:rsidRPr="005C0BC0">
        <w:rPr>
          <w:rFonts w:asciiTheme="majorHAnsi" w:hAnsiTheme="majorHAnsi" w:cs="Arial"/>
          <w:sz w:val="20"/>
          <w:szCs w:val="20"/>
          <w:lang w:val="es-ES"/>
        </w:rPr>
        <w:t>s agravantes previst</w:t>
      </w:r>
      <w:r w:rsidR="00423F33" w:rsidRPr="005C0BC0">
        <w:rPr>
          <w:rFonts w:asciiTheme="majorHAnsi" w:hAnsiTheme="majorHAnsi" w:cs="Arial"/>
          <w:sz w:val="20"/>
          <w:szCs w:val="20"/>
          <w:lang w:val="es-ES"/>
        </w:rPr>
        <w:t>a</w:t>
      </w:r>
      <w:r w:rsidR="002B3275" w:rsidRPr="005C0BC0">
        <w:rPr>
          <w:rFonts w:asciiTheme="majorHAnsi" w:hAnsiTheme="majorHAnsi" w:cs="Arial"/>
          <w:sz w:val="20"/>
          <w:szCs w:val="20"/>
          <w:lang w:val="es-ES"/>
        </w:rPr>
        <w:t xml:space="preserve">s </w:t>
      </w:r>
      <w:r w:rsidR="00423F33" w:rsidRPr="005C0BC0">
        <w:rPr>
          <w:rFonts w:asciiTheme="majorHAnsi" w:hAnsiTheme="majorHAnsi" w:cs="Arial"/>
          <w:sz w:val="20"/>
          <w:szCs w:val="20"/>
          <w:lang w:val="es-ES"/>
        </w:rPr>
        <w:t>en la ley para un delito de</w:t>
      </w:r>
      <w:r w:rsidR="00B059EC" w:rsidRPr="005C0BC0">
        <w:rPr>
          <w:rFonts w:asciiTheme="majorHAnsi" w:hAnsiTheme="majorHAnsi" w:cs="Arial"/>
          <w:sz w:val="20"/>
          <w:szCs w:val="20"/>
          <w:lang w:val="es-ES"/>
        </w:rPr>
        <w:t xml:space="preserve">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423F33" w:rsidRPr="005C0BC0">
        <w:rPr>
          <w:rFonts w:asciiTheme="majorHAnsi" w:hAnsiTheme="majorHAnsi" w:cs="Arial"/>
          <w:sz w:val="20"/>
          <w:szCs w:val="20"/>
          <w:lang w:val="es-ES"/>
        </w:rPr>
        <w:t>se limitarán a las siguientes</w:t>
      </w:r>
      <w:r w:rsidRPr="005C0BC0">
        <w:rPr>
          <w:rFonts w:asciiTheme="majorHAnsi" w:hAnsiTheme="majorHAnsi" w:cs="Arial"/>
          <w:sz w:val="20"/>
          <w:szCs w:val="20"/>
          <w:lang w:val="es-ES"/>
        </w:rPr>
        <w:t>:</w:t>
      </w:r>
    </w:p>
    <w:p w14:paraId="5162EC25"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w:t>
      </w:r>
      <w:r w:rsidR="00B059EC" w:rsidRPr="005C0BC0">
        <w:rPr>
          <w:rFonts w:asciiTheme="majorHAnsi" w:hAnsiTheme="majorHAnsi" w:cs="Arial"/>
          <w:sz w:val="20"/>
          <w:szCs w:val="20"/>
          <w:lang w:val="es-ES"/>
        </w:rPr>
        <w:t xml:space="preserve"> </w:t>
      </w:r>
      <w:r w:rsidR="00423F33" w:rsidRPr="005C0BC0">
        <w:rPr>
          <w:rFonts w:asciiTheme="majorHAnsi" w:hAnsiTheme="majorHAnsi" w:cs="Arial"/>
          <w:sz w:val="20"/>
          <w:szCs w:val="20"/>
          <w:lang w:val="es-ES"/>
        </w:rPr>
        <w:t>El delito</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 xml:space="preserve">fue cometido por una persona que había sido condenada anteriormente </w:t>
      </w:r>
      <w:r w:rsidR="00FC126B">
        <w:rPr>
          <w:rFonts w:asciiTheme="majorHAnsi" w:hAnsiTheme="majorHAnsi" w:cs="Arial"/>
          <w:sz w:val="20"/>
          <w:szCs w:val="20"/>
          <w:lang w:val="es-ES"/>
        </w:rPr>
        <w:t>por</w:t>
      </w:r>
      <w:r w:rsidR="00FE5000" w:rsidRPr="005C0BC0">
        <w:rPr>
          <w:rFonts w:asciiTheme="majorHAnsi" w:hAnsiTheme="majorHAnsi" w:cs="Arial"/>
          <w:sz w:val="20"/>
          <w:szCs w:val="20"/>
          <w:lang w:val="es-ES"/>
        </w:rPr>
        <w:t xml:space="preserve"> un </w:t>
      </w:r>
      <w:r w:rsidR="002B3275" w:rsidRPr="005C0BC0">
        <w:rPr>
          <w:rFonts w:asciiTheme="majorHAnsi" w:hAnsiTheme="majorHAnsi" w:cs="Arial"/>
          <w:sz w:val="20"/>
          <w:szCs w:val="20"/>
          <w:lang w:val="es-ES"/>
        </w:rPr>
        <w:t>homicidio en primer grado</w:t>
      </w:r>
      <w:r w:rsidR="00FE5000" w:rsidRPr="005C0BC0">
        <w:rPr>
          <w:rFonts w:asciiTheme="majorHAnsi" w:hAnsiTheme="majorHAnsi" w:cs="Arial"/>
          <w:sz w:val="20"/>
          <w:szCs w:val="20"/>
          <w:lang w:val="es-ES"/>
        </w:rPr>
        <w:t xml:space="preserve"> o por una persona que había sido condenada por un delito grave de injurias, amenazas o lesiones o más de uno.</w:t>
      </w:r>
    </w:p>
    <w:p w14:paraId="5B0A3223"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 xml:space="preserve">El delincuente cometió 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 xml:space="preserve">mientras estaba cometiendo o tratando de cometer otro </w:t>
      </w:r>
      <w:r w:rsidR="00E051CE" w:rsidRPr="005C0BC0">
        <w:rPr>
          <w:rFonts w:asciiTheme="majorHAnsi" w:hAnsiTheme="majorHAnsi" w:cs="Arial"/>
          <w:sz w:val="20"/>
          <w:szCs w:val="20"/>
          <w:lang w:val="es-ES"/>
        </w:rPr>
        <w:t>homicidio ilícito.</w:t>
      </w:r>
    </w:p>
    <w:p w14:paraId="31325BBB"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3)</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El delincuente</w:t>
      </w:r>
      <w:r w:rsidR="00E051CE" w:rsidRPr="005C0BC0">
        <w:rPr>
          <w:rFonts w:asciiTheme="majorHAnsi" w:hAnsiTheme="majorHAnsi" w:cs="Arial"/>
          <w:sz w:val="20"/>
          <w:szCs w:val="20"/>
          <w:lang w:val="es-ES"/>
        </w:rPr>
        <w:t xml:space="preserve">, con </w:t>
      </w:r>
      <w:r w:rsidR="00FC126B">
        <w:rPr>
          <w:rFonts w:asciiTheme="majorHAnsi" w:hAnsiTheme="majorHAnsi" w:cs="Arial"/>
          <w:sz w:val="20"/>
          <w:szCs w:val="20"/>
          <w:lang w:val="es-ES"/>
        </w:rPr>
        <w:t>el</w:t>
      </w:r>
      <w:r w:rsidR="00E051CE" w:rsidRPr="005C0BC0">
        <w:rPr>
          <w:rFonts w:asciiTheme="majorHAnsi" w:hAnsiTheme="majorHAnsi" w:cs="Arial"/>
          <w:sz w:val="20"/>
          <w:szCs w:val="20"/>
          <w:lang w:val="es-ES"/>
        </w:rPr>
        <w:t xml:space="preserve"> acto de </w:t>
      </w:r>
      <w:r w:rsidR="002B3275" w:rsidRPr="005C0BC0">
        <w:rPr>
          <w:rFonts w:asciiTheme="majorHAnsi" w:hAnsiTheme="majorHAnsi" w:cs="Arial"/>
          <w:sz w:val="20"/>
          <w:szCs w:val="20"/>
          <w:lang w:val="es-ES"/>
        </w:rPr>
        <w:t>homicidio en primer grado</w:t>
      </w:r>
      <w:r w:rsidR="00E051CE" w:rsidRPr="005C0BC0">
        <w:rPr>
          <w:rFonts w:asciiTheme="majorHAnsi" w:hAnsiTheme="majorHAnsi" w:cs="Arial"/>
          <w:sz w:val="20"/>
          <w:szCs w:val="20"/>
          <w:lang w:val="es-ES"/>
        </w:rPr>
        <w:t>, creó a sabiendas un gran riesgo de muerte para más de una persona con un arma o un dispositivo que normalmente sería peligroso para la vida de más de una persona.</w:t>
      </w:r>
    </w:p>
    <w:p w14:paraId="73F5E7CD"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4)</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El delincuente</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com</w:t>
      </w:r>
      <w:r w:rsidR="00CE7FBE" w:rsidRPr="005C0BC0">
        <w:rPr>
          <w:rFonts w:asciiTheme="majorHAnsi" w:hAnsiTheme="majorHAnsi" w:cs="Arial"/>
          <w:sz w:val="20"/>
          <w:szCs w:val="20"/>
          <w:lang w:val="es-ES"/>
        </w:rPr>
        <w:t xml:space="preserve">etió </w:t>
      </w:r>
      <w:r w:rsidR="00423F33" w:rsidRPr="005C0BC0">
        <w:rPr>
          <w:rFonts w:asciiTheme="majorHAnsi" w:hAnsiTheme="majorHAnsi" w:cs="Arial"/>
          <w:sz w:val="20"/>
          <w:szCs w:val="20"/>
          <w:lang w:val="es-ES"/>
        </w:rPr>
        <w:t>el delito</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de</w:t>
      </w:r>
      <w:r w:rsidR="00B059EC" w:rsidRPr="005C0BC0">
        <w:rPr>
          <w:rFonts w:asciiTheme="majorHAnsi" w:hAnsiTheme="majorHAnsi" w:cs="Arial"/>
          <w:sz w:val="20"/>
          <w:szCs w:val="20"/>
          <w:lang w:val="es-ES"/>
        </w:rPr>
        <w:t xml:space="preserve">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para beneficio propio o de otro, con el fin de recibir dinero o cualquier otra cosa de valor monetario de la víctima del homicidio o de otro.</w:t>
      </w:r>
    </w:p>
    <w:p w14:paraId="3BCA9FA1"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5)</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 xml:space="preserve">fue cometido contra un </w:t>
      </w:r>
      <w:r w:rsidR="00312BD5" w:rsidRPr="005C0BC0">
        <w:rPr>
          <w:rFonts w:asciiTheme="majorHAnsi" w:hAnsiTheme="majorHAnsi" w:cs="Arial"/>
          <w:sz w:val="20"/>
          <w:szCs w:val="20"/>
          <w:lang w:val="es-ES"/>
        </w:rPr>
        <w:t>funcionario judicial</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 xml:space="preserve">ex </w:t>
      </w:r>
      <w:r w:rsidR="00312BD5" w:rsidRPr="005C0BC0">
        <w:rPr>
          <w:rFonts w:asciiTheme="majorHAnsi" w:hAnsiTheme="majorHAnsi" w:cs="Arial"/>
          <w:sz w:val="20"/>
          <w:szCs w:val="20"/>
          <w:lang w:val="es-ES"/>
        </w:rPr>
        <w:t>funcionario judicial</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CE7FBE" w:rsidRPr="005C0BC0">
        <w:rPr>
          <w:rFonts w:asciiTheme="majorHAnsi" w:hAnsiTheme="majorHAnsi" w:cs="Arial"/>
          <w:sz w:val="20"/>
          <w:szCs w:val="20"/>
          <w:lang w:val="es-ES"/>
        </w:rPr>
        <w:t xml:space="preserve">fiscal, exfiscal, </w:t>
      </w:r>
      <w:r w:rsidR="00943C38" w:rsidRPr="005C0BC0">
        <w:rPr>
          <w:rFonts w:asciiTheme="majorHAnsi" w:hAnsiTheme="majorHAnsi" w:cs="Arial"/>
          <w:sz w:val="20"/>
          <w:szCs w:val="20"/>
          <w:lang w:val="es-ES"/>
        </w:rPr>
        <w:t xml:space="preserve">fiscal de circuito, ex fiscal de circuito, fiscal auxiliar, </w:t>
      </w:r>
      <w:proofErr w:type="gramStart"/>
      <w:r w:rsidR="00943C38" w:rsidRPr="005C0BC0">
        <w:rPr>
          <w:rFonts w:asciiTheme="majorHAnsi" w:hAnsiTheme="majorHAnsi" w:cs="Arial"/>
          <w:sz w:val="20"/>
          <w:szCs w:val="20"/>
          <w:lang w:val="es-ES"/>
        </w:rPr>
        <w:t>ex fiscal</w:t>
      </w:r>
      <w:proofErr w:type="gramEnd"/>
      <w:r w:rsidR="00943C38" w:rsidRPr="005C0BC0">
        <w:rPr>
          <w:rFonts w:asciiTheme="majorHAnsi" w:hAnsiTheme="majorHAnsi" w:cs="Arial"/>
          <w:sz w:val="20"/>
          <w:szCs w:val="20"/>
          <w:lang w:val="es-ES"/>
        </w:rPr>
        <w:t xml:space="preserve"> auxiliar, fiscal auxiliar de circuito, ex fiscal auxiliar de circuito</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312BD5" w:rsidRPr="005C0BC0">
        <w:rPr>
          <w:rFonts w:asciiTheme="majorHAnsi" w:hAnsiTheme="majorHAnsi" w:cs="Arial"/>
          <w:sz w:val="20"/>
          <w:szCs w:val="20"/>
          <w:lang w:val="es-ES"/>
        </w:rPr>
        <w:t>agente del orden público</w:t>
      </w:r>
      <w:r w:rsidR="00943C38" w:rsidRPr="005C0BC0">
        <w:rPr>
          <w:rFonts w:asciiTheme="majorHAnsi" w:hAnsiTheme="majorHAnsi" w:cs="Arial"/>
          <w:sz w:val="20"/>
          <w:szCs w:val="20"/>
          <w:lang w:val="es-ES"/>
        </w:rPr>
        <w:t xml:space="preserve">, ex </w:t>
      </w:r>
      <w:r w:rsidR="00312BD5" w:rsidRPr="005C0BC0">
        <w:rPr>
          <w:rFonts w:asciiTheme="majorHAnsi" w:hAnsiTheme="majorHAnsi" w:cs="Arial"/>
          <w:sz w:val="20"/>
          <w:szCs w:val="20"/>
          <w:lang w:val="es-ES"/>
        </w:rPr>
        <w:t>agente del orden público</w:t>
      </w:r>
      <w:r w:rsidRPr="005C0BC0">
        <w:rPr>
          <w:rFonts w:asciiTheme="majorHAnsi" w:hAnsiTheme="majorHAnsi" w:cs="Arial"/>
          <w:sz w:val="20"/>
          <w:szCs w:val="20"/>
          <w:lang w:val="es-ES"/>
        </w:rPr>
        <w:t>,</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funcionario electo o ex funcionario electo durante el desempeño de sus funciones oficiales o debido a ello.</w:t>
      </w:r>
    </w:p>
    <w:p w14:paraId="675ABC93"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6)</w:t>
      </w:r>
      <w:r w:rsidR="00B059EC" w:rsidRPr="005C0BC0">
        <w:rPr>
          <w:rFonts w:asciiTheme="majorHAnsi" w:hAnsiTheme="majorHAnsi" w:cs="Arial"/>
          <w:sz w:val="20"/>
          <w:szCs w:val="20"/>
          <w:lang w:val="es-ES"/>
        </w:rPr>
        <w:t xml:space="preserve"> </w:t>
      </w:r>
      <w:r w:rsidR="00FE5000" w:rsidRPr="005C0BC0">
        <w:rPr>
          <w:rFonts w:asciiTheme="majorHAnsi" w:hAnsiTheme="majorHAnsi" w:cs="Arial"/>
          <w:sz w:val="20"/>
          <w:szCs w:val="20"/>
          <w:lang w:val="es-ES"/>
        </w:rPr>
        <w:t>El delincuente</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hizo que otra persona cometiera un </w:t>
      </w:r>
      <w:r w:rsidR="002B3275" w:rsidRPr="005C0BC0">
        <w:rPr>
          <w:rFonts w:asciiTheme="majorHAnsi" w:hAnsiTheme="majorHAnsi" w:cs="Arial"/>
          <w:sz w:val="20"/>
          <w:szCs w:val="20"/>
          <w:lang w:val="es-ES"/>
        </w:rPr>
        <w:t>homicidio en primer grado</w:t>
      </w:r>
      <w:r w:rsidR="00943C38" w:rsidRPr="005C0BC0">
        <w:rPr>
          <w:rFonts w:asciiTheme="majorHAnsi" w:hAnsiTheme="majorHAnsi" w:cs="Arial"/>
          <w:sz w:val="20"/>
          <w:szCs w:val="20"/>
          <w:lang w:val="es-ES"/>
        </w:rPr>
        <w:t>, le dio instrucciones para que lo hiciera o cometió dicho homicidio en calidad de agente o empleado de otra persona.</w:t>
      </w:r>
    </w:p>
    <w:p w14:paraId="1F01527C"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7)</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fue </w:t>
      </w:r>
      <w:proofErr w:type="gramStart"/>
      <w:r w:rsidR="00943C38" w:rsidRPr="005C0BC0">
        <w:rPr>
          <w:rFonts w:asciiTheme="majorHAnsi" w:hAnsiTheme="majorHAnsi" w:cs="Arial"/>
          <w:sz w:val="20"/>
          <w:szCs w:val="20"/>
          <w:lang w:val="es-ES"/>
        </w:rPr>
        <w:t>escandalosamente o gratuitamente</w:t>
      </w:r>
      <w:proofErr w:type="gramEnd"/>
      <w:r w:rsidR="00943C38"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vil,</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horrible</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o</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inhuman</w:t>
      </w:r>
      <w:r w:rsidR="00943C38" w:rsidRPr="005C0BC0">
        <w:rPr>
          <w:rFonts w:asciiTheme="majorHAnsi" w:hAnsiTheme="majorHAnsi" w:cs="Arial"/>
          <w:sz w:val="20"/>
          <w:szCs w:val="20"/>
          <w:lang w:val="es-ES"/>
        </w:rPr>
        <w:t xml:space="preserve">o, puesto que implicó </w:t>
      </w:r>
      <w:r w:rsidRPr="005C0BC0">
        <w:rPr>
          <w:rFonts w:asciiTheme="majorHAnsi" w:hAnsiTheme="majorHAnsi" w:cs="Arial"/>
          <w:sz w:val="20"/>
          <w:szCs w:val="20"/>
          <w:lang w:val="es-ES"/>
        </w:rPr>
        <w:t>tortur</w:t>
      </w:r>
      <w:r w:rsidR="00943C38" w:rsidRPr="005C0BC0">
        <w:rPr>
          <w:rFonts w:asciiTheme="majorHAnsi" w:hAnsiTheme="majorHAnsi" w:cs="Arial"/>
          <w:sz w:val="20"/>
          <w:szCs w:val="20"/>
          <w:lang w:val="es-ES"/>
        </w:rPr>
        <w:t xml:space="preserve">a </w:t>
      </w:r>
      <w:r w:rsidRPr="005C0BC0">
        <w:rPr>
          <w:rFonts w:asciiTheme="majorHAnsi" w:hAnsiTheme="majorHAnsi" w:cs="Arial"/>
          <w:sz w:val="20"/>
          <w:szCs w:val="20"/>
          <w:lang w:val="es-ES"/>
        </w:rPr>
        <w:t>o</w:t>
      </w:r>
      <w:r w:rsidR="00943C38"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deprav</w:t>
      </w:r>
      <w:r w:rsidR="00943C38" w:rsidRPr="005C0BC0">
        <w:rPr>
          <w:rFonts w:asciiTheme="majorHAnsi" w:hAnsiTheme="majorHAnsi" w:cs="Arial"/>
          <w:sz w:val="20"/>
          <w:szCs w:val="20"/>
          <w:lang w:val="es-ES"/>
        </w:rPr>
        <w:t>ación.</w:t>
      </w:r>
    </w:p>
    <w:p w14:paraId="10C614EC"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8)</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fue cometido contra un </w:t>
      </w:r>
      <w:r w:rsidR="00312BD5" w:rsidRPr="005C0BC0">
        <w:rPr>
          <w:rFonts w:asciiTheme="majorHAnsi" w:hAnsiTheme="majorHAnsi" w:cs="Arial"/>
          <w:sz w:val="20"/>
          <w:szCs w:val="20"/>
          <w:lang w:val="es-ES"/>
        </w:rPr>
        <w:t>agente del orden público</w:t>
      </w:r>
      <w:r w:rsidR="00943C38" w:rsidRPr="005C0BC0">
        <w:rPr>
          <w:rFonts w:asciiTheme="majorHAnsi" w:hAnsiTheme="majorHAnsi" w:cs="Arial"/>
          <w:sz w:val="20"/>
          <w:szCs w:val="20"/>
          <w:lang w:val="es-ES"/>
        </w:rPr>
        <w:t xml:space="preserve"> o un bombero </w:t>
      </w:r>
      <w:r w:rsidR="00690423">
        <w:rPr>
          <w:rFonts w:asciiTheme="majorHAnsi" w:hAnsiTheme="majorHAnsi" w:cs="Arial"/>
          <w:sz w:val="20"/>
          <w:szCs w:val="20"/>
          <w:lang w:val="es-ES"/>
        </w:rPr>
        <w:t>que estaba</w:t>
      </w:r>
      <w:r w:rsidR="00943C38" w:rsidRPr="005C0BC0">
        <w:rPr>
          <w:rFonts w:asciiTheme="majorHAnsi" w:hAnsiTheme="majorHAnsi" w:cs="Arial"/>
          <w:sz w:val="20"/>
          <w:szCs w:val="20"/>
          <w:lang w:val="es-ES"/>
        </w:rPr>
        <w:t xml:space="preserve"> desempeñ</w:t>
      </w:r>
      <w:r w:rsidR="00690423">
        <w:rPr>
          <w:rFonts w:asciiTheme="majorHAnsi" w:hAnsiTheme="majorHAnsi" w:cs="Arial"/>
          <w:sz w:val="20"/>
          <w:szCs w:val="20"/>
          <w:lang w:val="es-ES"/>
        </w:rPr>
        <w:t>ando</w:t>
      </w:r>
      <w:r w:rsidR="00943C38" w:rsidRPr="005C0BC0">
        <w:rPr>
          <w:rFonts w:asciiTheme="majorHAnsi" w:hAnsiTheme="majorHAnsi" w:cs="Arial"/>
          <w:sz w:val="20"/>
          <w:szCs w:val="20"/>
          <w:lang w:val="es-ES"/>
        </w:rPr>
        <w:t xml:space="preserve"> sus funciones oficiales.</w:t>
      </w:r>
    </w:p>
    <w:p w14:paraId="1A1D6C37"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9)</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fue cometido por una persona que estaba bajo la custodia lícita de un </w:t>
      </w:r>
      <w:r w:rsidR="00312BD5" w:rsidRPr="005C0BC0">
        <w:rPr>
          <w:rFonts w:asciiTheme="majorHAnsi" w:hAnsiTheme="majorHAnsi" w:cs="Arial"/>
          <w:sz w:val="20"/>
          <w:szCs w:val="20"/>
          <w:lang w:val="es-ES"/>
        </w:rPr>
        <w:t>agente del orden público</w:t>
      </w:r>
      <w:r w:rsidR="00943C38" w:rsidRPr="005C0BC0">
        <w:rPr>
          <w:rFonts w:asciiTheme="majorHAnsi" w:hAnsiTheme="majorHAnsi" w:cs="Arial"/>
          <w:sz w:val="20"/>
          <w:szCs w:val="20"/>
          <w:lang w:val="es-ES"/>
        </w:rPr>
        <w:t>, que se encontraba en un centro de detención lícito o que había escapado de dicha custodia o centro de detención.</w:t>
      </w:r>
    </w:p>
    <w:p w14:paraId="75CD4295"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10)</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943C38" w:rsidRPr="005C0BC0">
        <w:rPr>
          <w:rFonts w:asciiTheme="majorHAnsi" w:hAnsiTheme="majorHAnsi" w:cs="Arial"/>
          <w:sz w:val="20"/>
          <w:szCs w:val="20"/>
          <w:lang w:val="es-ES"/>
        </w:rPr>
        <w:t xml:space="preserve">fue cometido con el fin de </w:t>
      </w:r>
      <w:r w:rsidR="00C851B8" w:rsidRPr="005C0BC0">
        <w:rPr>
          <w:rFonts w:asciiTheme="majorHAnsi" w:hAnsiTheme="majorHAnsi" w:cs="Arial"/>
          <w:sz w:val="20"/>
          <w:szCs w:val="20"/>
          <w:lang w:val="es-ES"/>
        </w:rPr>
        <w:t>evitar, entorpecer o impedir el arresto lícito o la custodia del perpetrador o de otro en un centro de detención lícito.</w:t>
      </w:r>
    </w:p>
    <w:p w14:paraId="5E804EB4"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11)</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 xml:space="preserve">fue cometido mientras el acusado estaba perpetrando </w:t>
      </w:r>
      <w:r w:rsidR="00896A60" w:rsidRPr="005C0BC0">
        <w:rPr>
          <w:rFonts w:asciiTheme="majorHAnsi" w:hAnsiTheme="majorHAnsi" w:cs="Arial"/>
          <w:sz w:val="20"/>
          <w:szCs w:val="20"/>
          <w:lang w:val="es-ES"/>
        </w:rPr>
        <w:t>o tratando de perpetrar un</w:t>
      </w:r>
      <w:r w:rsidR="00C851B8" w:rsidRPr="005C0BC0">
        <w:rPr>
          <w:rFonts w:asciiTheme="majorHAnsi" w:hAnsiTheme="majorHAnsi" w:cs="Arial"/>
          <w:sz w:val="20"/>
          <w:szCs w:val="20"/>
          <w:lang w:val="es-ES"/>
        </w:rPr>
        <w:t xml:space="preserve"> delito mayor (violación, sodomía, allanamiento con fines delictivos, robo, secuestro o cualquier delito mayor previsto en los capítulos 195 o 579, sea cual fuere su grado), proporcionando asistencia a otra persona en </w:t>
      </w:r>
      <w:r w:rsidR="00896A60" w:rsidRPr="005C0BC0">
        <w:rPr>
          <w:rFonts w:asciiTheme="majorHAnsi" w:hAnsiTheme="majorHAnsi" w:cs="Arial"/>
          <w:sz w:val="20"/>
          <w:szCs w:val="20"/>
          <w:lang w:val="es-ES"/>
        </w:rPr>
        <w:t>su</w:t>
      </w:r>
      <w:r w:rsidR="00C851B8" w:rsidRPr="005C0BC0">
        <w:rPr>
          <w:rFonts w:asciiTheme="majorHAnsi" w:hAnsiTheme="majorHAnsi" w:cs="Arial"/>
          <w:sz w:val="20"/>
          <w:szCs w:val="20"/>
          <w:lang w:val="es-ES"/>
        </w:rPr>
        <w:t xml:space="preserve"> comisión </w:t>
      </w:r>
      <w:r w:rsidR="00896A60" w:rsidRPr="005C0BC0">
        <w:rPr>
          <w:rFonts w:asciiTheme="majorHAnsi" w:hAnsiTheme="majorHAnsi" w:cs="Arial"/>
          <w:sz w:val="20"/>
          <w:szCs w:val="20"/>
          <w:lang w:val="es-ES"/>
        </w:rPr>
        <w:t xml:space="preserve">o </w:t>
      </w:r>
      <w:r w:rsidR="00C851B8" w:rsidRPr="005C0BC0">
        <w:rPr>
          <w:rFonts w:asciiTheme="majorHAnsi" w:hAnsiTheme="majorHAnsi" w:cs="Arial"/>
          <w:sz w:val="20"/>
          <w:szCs w:val="20"/>
          <w:lang w:val="es-ES"/>
        </w:rPr>
        <w:t>instigándola para que lo cometiera.</w:t>
      </w:r>
    </w:p>
    <w:p w14:paraId="7B5843E7"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12)</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La persona asesinada</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era testigo o podía ser</w:t>
      </w:r>
      <w:r w:rsidR="00690423">
        <w:rPr>
          <w:rFonts w:asciiTheme="majorHAnsi" w:hAnsiTheme="majorHAnsi" w:cs="Arial"/>
          <w:sz w:val="20"/>
          <w:szCs w:val="20"/>
          <w:lang w:val="es-ES"/>
        </w:rPr>
        <w:t>lo</w:t>
      </w:r>
      <w:r w:rsidR="00C851B8" w:rsidRPr="005C0BC0">
        <w:rPr>
          <w:rFonts w:asciiTheme="majorHAnsi" w:hAnsiTheme="majorHAnsi" w:cs="Arial"/>
          <w:sz w:val="20"/>
          <w:szCs w:val="20"/>
          <w:lang w:val="es-ES"/>
        </w:rPr>
        <w:t xml:space="preserve"> en una investigación anterior o pendiente o en un juicio anterior o pendiente y fue asesinada por el hecho de ser testigo o porque </w:t>
      </w:r>
      <w:r w:rsidR="007B6FE2" w:rsidRPr="005C0BC0">
        <w:rPr>
          <w:rFonts w:asciiTheme="majorHAnsi" w:hAnsiTheme="majorHAnsi" w:cs="Arial"/>
          <w:sz w:val="20"/>
          <w:szCs w:val="20"/>
          <w:lang w:val="es-ES"/>
        </w:rPr>
        <w:t>podía serlo.</w:t>
      </w:r>
    </w:p>
    <w:p w14:paraId="0431E012"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13)</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La persona asesinada</w:t>
      </w:r>
      <w:r w:rsidR="00B059EC" w:rsidRPr="005C0BC0">
        <w:rPr>
          <w:rFonts w:asciiTheme="majorHAnsi" w:hAnsiTheme="majorHAnsi" w:cs="Arial"/>
          <w:sz w:val="20"/>
          <w:szCs w:val="20"/>
          <w:lang w:val="es-ES"/>
        </w:rPr>
        <w:t xml:space="preserve"> </w:t>
      </w:r>
      <w:r w:rsidR="007B6FE2" w:rsidRPr="005C0BC0">
        <w:rPr>
          <w:rFonts w:asciiTheme="majorHAnsi" w:hAnsiTheme="majorHAnsi" w:cs="Arial"/>
          <w:sz w:val="20"/>
          <w:szCs w:val="20"/>
          <w:lang w:val="es-ES"/>
        </w:rPr>
        <w:t>era empleada de una institución o un establecimiento correccional del estado o de un organismo correccional</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local</w:t>
      </w:r>
      <w:r w:rsidR="00B059EC" w:rsidRPr="005C0BC0">
        <w:rPr>
          <w:rFonts w:asciiTheme="majorHAnsi" w:hAnsiTheme="majorHAnsi" w:cs="Arial"/>
          <w:sz w:val="20"/>
          <w:szCs w:val="20"/>
          <w:lang w:val="es-ES"/>
        </w:rPr>
        <w:t xml:space="preserve"> </w:t>
      </w:r>
      <w:r w:rsidR="007B6FE2" w:rsidRPr="005C0BC0">
        <w:rPr>
          <w:rFonts w:asciiTheme="majorHAnsi" w:hAnsiTheme="majorHAnsi" w:cs="Arial"/>
          <w:sz w:val="20"/>
          <w:szCs w:val="20"/>
          <w:lang w:val="es-ES"/>
        </w:rPr>
        <w:t>y fue asesinada mientras desempeñaba sus funciones oficiales o estaba recluida en dicha institución o establecimiento.</w:t>
      </w:r>
    </w:p>
    <w:p w14:paraId="086DBC6D"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lastRenderedPageBreak/>
        <w:t>14)</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La persona asesinada</w:t>
      </w:r>
      <w:r w:rsidR="00B059EC" w:rsidRPr="005C0BC0">
        <w:rPr>
          <w:rFonts w:asciiTheme="majorHAnsi" w:hAnsiTheme="majorHAnsi" w:cs="Arial"/>
          <w:sz w:val="20"/>
          <w:szCs w:val="20"/>
          <w:lang w:val="es-ES"/>
        </w:rPr>
        <w:t xml:space="preserve"> </w:t>
      </w:r>
      <w:r w:rsidR="007B6FE2" w:rsidRPr="005C0BC0">
        <w:rPr>
          <w:rFonts w:asciiTheme="majorHAnsi" w:hAnsiTheme="majorHAnsi" w:cs="Arial"/>
          <w:sz w:val="20"/>
          <w:szCs w:val="20"/>
          <w:lang w:val="es-ES"/>
        </w:rPr>
        <w:t>murió como consecuencia del secuestro de un avión, tren, buque, autobús u otro medio de transporte público.</w:t>
      </w:r>
    </w:p>
    <w:p w14:paraId="74E269AD"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15)</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homicidio</w:t>
      </w:r>
      <w:r w:rsidR="00B059EC" w:rsidRPr="005C0BC0">
        <w:rPr>
          <w:rFonts w:asciiTheme="majorHAnsi" w:hAnsiTheme="majorHAnsi" w:cs="Arial"/>
          <w:sz w:val="20"/>
          <w:szCs w:val="20"/>
          <w:lang w:val="es-ES"/>
        </w:rPr>
        <w:t xml:space="preserve"> </w:t>
      </w:r>
      <w:r w:rsidR="007B6FE2" w:rsidRPr="005C0BC0">
        <w:rPr>
          <w:rFonts w:asciiTheme="majorHAnsi" w:hAnsiTheme="majorHAnsi" w:cs="Arial"/>
          <w:sz w:val="20"/>
          <w:szCs w:val="20"/>
          <w:lang w:val="es-ES"/>
        </w:rPr>
        <w:t xml:space="preserve">fue cometido con el fin de ocultar o tratar de ocultar cualquier delito mayor definido en los capítulos </w:t>
      </w:r>
      <w:hyperlink r:id="rId16" w:history="1">
        <w:r w:rsidRPr="005C0BC0">
          <w:rPr>
            <w:rFonts w:asciiTheme="majorHAnsi" w:hAnsiTheme="majorHAnsi" w:cs="Arial"/>
            <w:sz w:val="20"/>
            <w:szCs w:val="20"/>
            <w:lang w:val="es-ES"/>
          </w:rPr>
          <w:t>195</w:t>
        </w:r>
      </w:hyperlink>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o</w:t>
      </w:r>
      <w:r w:rsidR="00B059EC" w:rsidRPr="005C0BC0">
        <w:rPr>
          <w:rFonts w:asciiTheme="majorHAnsi" w:hAnsiTheme="majorHAnsi" w:cs="Arial"/>
          <w:sz w:val="20"/>
          <w:szCs w:val="20"/>
          <w:lang w:val="es-ES"/>
        </w:rPr>
        <w:t xml:space="preserve"> </w:t>
      </w:r>
      <w:hyperlink r:id="rId17" w:history="1">
        <w:r w:rsidRPr="005C0BC0">
          <w:rPr>
            <w:rFonts w:asciiTheme="majorHAnsi" w:hAnsiTheme="majorHAnsi" w:cs="Arial"/>
            <w:sz w:val="20"/>
            <w:szCs w:val="20"/>
            <w:lang w:val="es-ES"/>
          </w:rPr>
          <w:t>579</w:t>
        </w:r>
      </w:hyperlink>
      <w:r w:rsidR="007B6FE2" w:rsidRPr="005C0BC0">
        <w:rPr>
          <w:rFonts w:asciiTheme="majorHAnsi" w:hAnsiTheme="majorHAnsi" w:cs="Arial"/>
          <w:sz w:val="20"/>
          <w:szCs w:val="20"/>
          <w:lang w:val="es-ES"/>
        </w:rPr>
        <w:t>.</w:t>
      </w:r>
    </w:p>
    <w:p w14:paraId="2CFD0803"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16)</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homicidio</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fue cometido con el fin de lograr o tratar de lograr que una persona </w:t>
      </w:r>
      <w:r w:rsidRPr="005C0BC0">
        <w:rPr>
          <w:rFonts w:asciiTheme="majorHAnsi" w:hAnsiTheme="majorHAnsi" w:cs="Arial"/>
          <w:sz w:val="20"/>
          <w:szCs w:val="20"/>
          <w:lang w:val="es-ES"/>
        </w:rPr>
        <w:t>s</w:t>
      </w:r>
      <w:r w:rsidR="00896A60" w:rsidRPr="005C0BC0">
        <w:rPr>
          <w:rFonts w:asciiTheme="majorHAnsi" w:hAnsiTheme="majorHAnsi" w:cs="Arial"/>
          <w:sz w:val="20"/>
          <w:szCs w:val="20"/>
          <w:lang w:val="es-ES"/>
        </w:rPr>
        <w:t xml:space="preserve">e abstuviera de iniciar o facilitar el enjuiciamiento de un delito mayor definido en los capítulos </w:t>
      </w:r>
      <w:hyperlink r:id="rId18" w:history="1">
        <w:r w:rsidRPr="005C0BC0">
          <w:rPr>
            <w:rFonts w:asciiTheme="majorHAnsi" w:hAnsiTheme="majorHAnsi"/>
            <w:sz w:val="20"/>
            <w:szCs w:val="20"/>
            <w:lang w:val="es-ES"/>
          </w:rPr>
          <w:t>195</w:t>
        </w:r>
      </w:hyperlink>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o</w:t>
      </w:r>
      <w:r w:rsidR="00B059EC" w:rsidRPr="005C0BC0">
        <w:rPr>
          <w:rFonts w:asciiTheme="majorHAnsi" w:hAnsiTheme="majorHAnsi" w:cs="Arial"/>
          <w:sz w:val="20"/>
          <w:szCs w:val="20"/>
          <w:lang w:val="es-ES"/>
        </w:rPr>
        <w:t xml:space="preserve"> </w:t>
      </w:r>
      <w:hyperlink r:id="rId19" w:history="1">
        <w:r w:rsidRPr="005C0BC0">
          <w:rPr>
            <w:rFonts w:asciiTheme="majorHAnsi" w:hAnsiTheme="majorHAnsi"/>
            <w:sz w:val="20"/>
            <w:szCs w:val="20"/>
            <w:lang w:val="es-ES"/>
          </w:rPr>
          <w:t>579</w:t>
        </w:r>
      </w:hyperlink>
      <w:r w:rsidR="00896A60" w:rsidRPr="005C0BC0">
        <w:rPr>
          <w:rFonts w:asciiTheme="majorHAnsi" w:hAnsiTheme="majorHAnsi"/>
          <w:sz w:val="20"/>
          <w:szCs w:val="20"/>
          <w:lang w:val="es-ES"/>
        </w:rPr>
        <w:t>.</w:t>
      </w:r>
    </w:p>
    <w:p w14:paraId="02291FCE"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17)</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homicidio</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fue cometido durante </w:t>
      </w:r>
      <w:r w:rsidR="00363E52" w:rsidRPr="005C0BC0">
        <w:rPr>
          <w:rFonts w:asciiTheme="majorHAnsi" w:hAnsiTheme="majorHAnsi" w:cs="Arial"/>
          <w:sz w:val="20"/>
          <w:szCs w:val="20"/>
          <w:lang w:val="es-ES"/>
        </w:rPr>
        <w:t>la</w:t>
      </w:r>
      <w:r w:rsidR="00B059EC" w:rsidRPr="005C0BC0">
        <w:rPr>
          <w:rFonts w:asciiTheme="majorHAnsi" w:hAnsiTheme="majorHAnsi" w:cs="Arial"/>
          <w:sz w:val="20"/>
          <w:szCs w:val="20"/>
          <w:lang w:val="es-ES"/>
        </w:rPr>
        <w:t xml:space="preserve"> </w:t>
      </w:r>
      <w:r w:rsidR="009F3654" w:rsidRPr="005C0BC0">
        <w:rPr>
          <w:rFonts w:asciiTheme="majorHAnsi" w:hAnsiTheme="majorHAnsi" w:cs="Arial"/>
          <w:sz w:val="20"/>
          <w:szCs w:val="20"/>
          <w:lang w:val="es-ES"/>
        </w:rPr>
        <w:t>c</w:t>
      </w:r>
      <w:r w:rsidR="00363E52" w:rsidRPr="005C0BC0">
        <w:rPr>
          <w:rFonts w:asciiTheme="majorHAnsi" w:hAnsiTheme="majorHAnsi" w:cs="Arial"/>
          <w:sz w:val="20"/>
          <w:szCs w:val="20"/>
          <w:lang w:val="es-ES"/>
        </w:rPr>
        <w:t>omisión</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de otro delito que forma parte de un esquema de actividad delictiva de pandillas callejeras, tal como se define en el artículo </w:t>
      </w:r>
      <w:hyperlink r:id="rId20" w:history="1">
        <w:r w:rsidRPr="005C0BC0">
          <w:rPr>
            <w:rFonts w:asciiTheme="majorHAnsi" w:hAnsiTheme="majorHAnsi"/>
            <w:sz w:val="20"/>
            <w:szCs w:val="20"/>
            <w:lang w:val="es-ES"/>
          </w:rPr>
          <w:t>578.421</w:t>
        </w:r>
      </w:hyperlink>
      <w:r w:rsidRPr="005C0BC0">
        <w:rPr>
          <w:rFonts w:asciiTheme="majorHAnsi" w:hAnsiTheme="majorHAnsi" w:cs="Arial"/>
          <w:sz w:val="20"/>
          <w:szCs w:val="20"/>
          <w:lang w:val="es-ES"/>
        </w:rPr>
        <w:t>.</w:t>
      </w:r>
    </w:p>
    <w:p w14:paraId="7EB5C499"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p>
    <w:p w14:paraId="1E442C94"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3.</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Las circunstancias atenuantes </w:t>
      </w:r>
      <w:r w:rsidR="00690423">
        <w:rPr>
          <w:rFonts w:asciiTheme="majorHAnsi" w:hAnsiTheme="majorHAnsi" w:cs="Arial"/>
          <w:sz w:val="20"/>
          <w:szCs w:val="20"/>
          <w:lang w:val="es-ES"/>
        </w:rPr>
        <w:t>previstas en la</w:t>
      </w:r>
      <w:r w:rsidR="00896A60" w:rsidRPr="005C0BC0">
        <w:rPr>
          <w:rFonts w:asciiTheme="majorHAnsi" w:hAnsiTheme="majorHAnsi" w:cs="Arial"/>
          <w:sz w:val="20"/>
          <w:szCs w:val="20"/>
          <w:lang w:val="es-ES"/>
        </w:rPr>
        <w:t xml:space="preserve"> ley son las siguientes</w:t>
      </w:r>
      <w:r w:rsidRPr="005C0BC0">
        <w:rPr>
          <w:rFonts w:asciiTheme="majorHAnsi" w:hAnsiTheme="majorHAnsi" w:cs="Arial"/>
          <w:sz w:val="20"/>
          <w:szCs w:val="20"/>
          <w:lang w:val="es-ES"/>
        </w:rPr>
        <w:t>:</w:t>
      </w:r>
    </w:p>
    <w:p w14:paraId="386EF212"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1)</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no tiene antecedentes importantes de actividad delictiva anterior.</w:t>
      </w:r>
    </w:p>
    <w:p w14:paraId="1349813F"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2)</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fue cometido mientras</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 xml:space="preserve">estaba bajo la influencia de una perturbación </w:t>
      </w:r>
      <w:r w:rsidRPr="005C0BC0">
        <w:rPr>
          <w:rFonts w:asciiTheme="majorHAnsi" w:hAnsiTheme="majorHAnsi" w:cs="Arial"/>
          <w:sz w:val="20"/>
          <w:szCs w:val="20"/>
          <w:lang w:val="es-ES"/>
        </w:rPr>
        <w:t>mental</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o</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emo</w:t>
      </w:r>
      <w:r w:rsidR="00896A60" w:rsidRPr="005C0BC0">
        <w:rPr>
          <w:rFonts w:asciiTheme="majorHAnsi" w:hAnsiTheme="majorHAnsi" w:cs="Arial"/>
          <w:sz w:val="20"/>
          <w:szCs w:val="20"/>
          <w:lang w:val="es-ES"/>
        </w:rPr>
        <w:t>c</w:t>
      </w:r>
      <w:r w:rsidRPr="005C0BC0">
        <w:rPr>
          <w:rFonts w:asciiTheme="majorHAnsi" w:hAnsiTheme="majorHAnsi" w:cs="Arial"/>
          <w:sz w:val="20"/>
          <w:szCs w:val="20"/>
          <w:lang w:val="es-ES"/>
        </w:rPr>
        <w:t>ional</w:t>
      </w:r>
      <w:r w:rsidR="00B059EC" w:rsidRPr="005C0BC0">
        <w:rPr>
          <w:rFonts w:asciiTheme="majorHAnsi" w:hAnsiTheme="majorHAnsi" w:cs="Arial"/>
          <w:sz w:val="20"/>
          <w:szCs w:val="20"/>
          <w:lang w:val="es-ES"/>
        </w:rPr>
        <w:t xml:space="preserve"> </w:t>
      </w:r>
      <w:r w:rsidR="00896A60" w:rsidRPr="005C0BC0">
        <w:rPr>
          <w:rFonts w:asciiTheme="majorHAnsi" w:hAnsiTheme="majorHAnsi" w:cs="Arial"/>
          <w:sz w:val="20"/>
          <w:szCs w:val="20"/>
          <w:lang w:val="es-ES"/>
        </w:rPr>
        <w:t>extrema.</w:t>
      </w:r>
    </w:p>
    <w:p w14:paraId="05F00629"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3)</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La víctima</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participó en la conducta d</w:t>
      </w:r>
      <w:r w:rsidR="00C851B8" w:rsidRPr="005C0BC0">
        <w:rPr>
          <w:rFonts w:asciiTheme="majorHAnsi" w:hAnsiTheme="majorHAnsi" w:cs="Arial"/>
          <w:sz w:val="20"/>
          <w:szCs w:val="20"/>
          <w:lang w:val="es-ES"/>
        </w:rPr>
        <w:t>el acusado</w:t>
      </w:r>
      <w:r w:rsidR="00391879" w:rsidRPr="005C0BC0">
        <w:rPr>
          <w:rFonts w:asciiTheme="majorHAnsi" w:hAnsiTheme="majorHAnsi" w:cs="Arial"/>
          <w:sz w:val="20"/>
          <w:szCs w:val="20"/>
          <w:lang w:val="es-ES"/>
        </w:rPr>
        <w:t xml:space="preserve"> o consintió en el acto.</w:t>
      </w:r>
    </w:p>
    <w:p w14:paraId="6429162E"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4)</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 xml:space="preserve">fue cómplice en el </w:t>
      </w:r>
      <w:r w:rsidR="002B3275" w:rsidRPr="005C0BC0">
        <w:rPr>
          <w:rFonts w:asciiTheme="majorHAnsi" w:hAnsiTheme="majorHAnsi" w:cs="Arial"/>
          <w:sz w:val="20"/>
          <w:szCs w:val="20"/>
          <w:lang w:val="es-ES"/>
        </w:rPr>
        <w:t>homicidio en primer grado</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com</w:t>
      </w:r>
      <w:r w:rsidR="00391879" w:rsidRPr="005C0BC0">
        <w:rPr>
          <w:rFonts w:asciiTheme="majorHAnsi" w:hAnsiTheme="majorHAnsi" w:cs="Arial"/>
          <w:sz w:val="20"/>
          <w:szCs w:val="20"/>
          <w:lang w:val="es-ES"/>
        </w:rPr>
        <w:t>etido por otra persona y su participación fue relativamente menor.</w:t>
      </w:r>
    </w:p>
    <w:p w14:paraId="1744C0E6"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5)</w:t>
      </w:r>
      <w:r w:rsidR="00B059EC" w:rsidRPr="005C0BC0">
        <w:rPr>
          <w:rFonts w:asciiTheme="majorHAnsi" w:hAnsiTheme="majorHAnsi" w:cs="Arial"/>
          <w:sz w:val="20"/>
          <w:szCs w:val="20"/>
          <w:lang w:val="es-ES"/>
        </w:rPr>
        <w:t xml:space="preserve"> </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Pr="005C0BC0">
        <w:rPr>
          <w:rFonts w:asciiTheme="majorHAnsi" w:hAnsiTheme="majorHAnsi" w:cs="Arial"/>
          <w:sz w:val="20"/>
          <w:szCs w:val="20"/>
          <w:lang w:val="es-ES"/>
        </w:rPr>
        <w:t>act</w:t>
      </w:r>
      <w:r w:rsidR="00391879" w:rsidRPr="005C0BC0">
        <w:rPr>
          <w:rFonts w:asciiTheme="majorHAnsi" w:hAnsiTheme="majorHAnsi" w:cs="Arial"/>
          <w:sz w:val="20"/>
          <w:szCs w:val="20"/>
          <w:lang w:val="es-ES"/>
        </w:rPr>
        <w:t xml:space="preserve">uó bajo </w:t>
      </w:r>
      <w:r w:rsidRPr="005C0BC0">
        <w:rPr>
          <w:rFonts w:asciiTheme="majorHAnsi" w:hAnsiTheme="majorHAnsi" w:cs="Arial"/>
          <w:sz w:val="20"/>
          <w:szCs w:val="20"/>
          <w:lang w:val="es-ES"/>
        </w:rPr>
        <w:t>extrem</w:t>
      </w:r>
      <w:r w:rsidR="00391879" w:rsidRPr="005C0BC0">
        <w:rPr>
          <w:rFonts w:asciiTheme="majorHAnsi" w:hAnsiTheme="majorHAnsi" w:cs="Arial"/>
          <w:sz w:val="20"/>
          <w:szCs w:val="20"/>
          <w:lang w:val="es-ES"/>
        </w:rPr>
        <w:t>a coacción o bajo la dominación sustancial de otra persona.</w:t>
      </w:r>
    </w:p>
    <w:p w14:paraId="43A8F765" w14:textId="77777777" w:rsidR="001E555D" w:rsidRPr="005C0BC0"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6)</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La capacidad d</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para comprender el carácter delictivo de su conducta o ceñir su conducta a los requisitos de la ley estaba sustancialmente menoscabada.</w:t>
      </w:r>
    </w:p>
    <w:p w14:paraId="4427AE3D" w14:textId="77777777" w:rsidR="001E555D" w:rsidRPr="009D1E2F" w:rsidRDefault="001E555D" w:rsidP="002F62A9">
      <w:pPr>
        <w:pStyle w:val="norm"/>
        <w:spacing w:before="0" w:beforeAutospacing="0" w:after="0"/>
        <w:ind w:left="360" w:right="360"/>
        <w:jc w:val="both"/>
        <w:rPr>
          <w:rFonts w:asciiTheme="majorHAnsi" w:hAnsiTheme="majorHAnsi" w:cs="Arial"/>
          <w:sz w:val="20"/>
          <w:szCs w:val="20"/>
          <w:lang w:val="es-ES"/>
        </w:rPr>
      </w:pPr>
      <w:r w:rsidRPr="005C0BC0">
        <w:rPr>
          <w:rFonts w:asciiTheme="majorHAnsi" w:hAnsiTheme="majorHAnsi" w:cs="Arial"/>
          <w:sz w:val="20"/>
          <w:szCs w:val="20"/>
          <w:lang w:val="es-ES"/>
        </w:rPr>
        <w:t>7)</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La edad d</w:t>
      </w:r>
      <w:r w:rsidR="00C851B8" w:rsidRPr="005C0BC0">
        <w:rPr>
          <w:rFonts w:asciiTheme="majorHAnsi" w:hAnsiTheme="majorHAnsi" w:cs="Arial"/>
          <w:sz w:val="20"/>
          <w:szCs w:val="20"/>
          <w:lang w:val="es-ES"/>
        </w:rPr>
        <w:t>el acusado</w:t>
      </w:r>
      <w:r w:rsidR="00B059EC" w:rsidRPr="005C0BC0">
        <w:rPr>
          <w:rFonts w:asciiTheme="majorHAnsi" w:hAnsiTheme="majorHAnsi" w:cs="Arial"/>
          <w:sz w:val="20"/>
          <w:szCs w:val="20"/>
          <w:lang w:val="es-ES"/>
        </w:rPr>
        <w:t xml:space="preserve"> </w:t>
      </w:r>
      <w:r w:rsidR="00391879" w:rsidRPr="005C0BC0">
        <w:rPr>
          <w:rFonts w:asciiTheme="majorHAnsi" w:hAnsiTheme="majorHAnsi" w:cs="Arial"/>
          <w:sz w:val="20"/>
          <w:szCs w:val="20"/>
          <w:lang w:val="es-ES"/>
        </w:rPr>
        <w:t>en el momento en que cometió el</w:t>
      </w:r>
      <w:r w:rsidR="00423F33" w:rsidRPr="005C0BC0">
        <w:rPr>
          <w:rFonts w:asciiTheme="majorHAnsi" w:hAnsiTheme="majorHAnsi" w:cs="Arial"/>
          <w:sz w:val="20"/>
          <w:szCs w:val="20"/>
          <w:lang w:val="es-ES"/>
        </w:rPr>
        <w:t xml:space="preserve"> delito</w:t>
      </w:r>
      <w:r w:rsidRPr="005C0BC0">
        <w:rPr>
          <w:rFonts w:asciiTheme="majorHAnsi" w:hAnsiTheme="majorHAnsi" w:cs="Arial"/>
          <w:sz w:val="20"/>
          <w:szCs w:val="20"/>
          <w:lang w:val="es-ES"/>
        </w:rPr>
        <w:t>.</w:t>
      </w:r>
    </w:p>
    <w:p w14:paraId="41543E1D" w14:textId="77777777" w:rsidR="001E555D" w:rsidRPr="009D1E2F" w:rsidRDefault="001E555D" w:rsidP="002F62A9">
      <w:pPr>
        <w:tabs>
          <w:tab w:val="left" w:pos="360"/>
        </w:tabs>
        <w:rPr>
          <w:rFonts w:asciiTheme="majorHAnsi" w:eastAsia="Times New Roman" w:hAnsiTheme="majorHAnsi"/>
          <w:sz w:val="20"/>
          <w:szCs w:val="20"/>
          <w:lang w:val="es-ES"/>
        </w:rPr>
      </w:pPr>
    </w:p>
    <w:p w14:paraId="57DFC436" w14:textId="77777777" w:rsidR="00F5237B" w:rsidRPr="009D1E2F" w:rsidRDefault="00C7792F"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
        </w:rPr>
      </w:pPr>
      <w:r>
        <w:rPr>
          <w:rFonts w:ascii="Cambria" w:hAnsi="Cambria"/>
          <w:sz w:val="20"/>
          <w:szCs w:val="20"/>
          <w:lang w:val="es-ES"/>
        </w:rPr>
        <w:t>Las circunstancias que permiten inferir que un cómplice deliberó sobre el homicidio son las siguientes:</w:t>
      </w:r>
    </w:p>
    <w:p w14:paraId="3E77381D" w14:textId="77777777" w:rsidR="001741DD" w:rsidRPr="009D1E2F" w:rsidRDefault="001741DD"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7EB08AF8" w14:textId="77777777" w:rsidR="00F5237B" w:rsidRPr="009D1E2F" w:rsidRDefault="00FF1A72" w:rsidP="00817426">
      <w:pPr>
        <w:pStyle w:val="ListParagraph"/>
        <w:numPr>
          <w:ilvl w:val="1"/>
          <w:numId w:val="53"/>
        </w:numPr>
        <w:tabs>
          <w:tab w:val="left" w:pos="360"/>
        </w:tabs>
        <w:ind w:left="720"/>
        <w:jc w:val="both"/>
        <w:rPr>
          <w:rFonts w:asciiTheme="majorHAnsi" w:eastAsia="Times New Roman" w:hAnsiTheme="majorHAnsi"/>
          <w:sz w:val="20"/>
          <w:szCs w:val="20"/>
          <w:lang w:val="es-ES"/>
        </w:rPr>
      </w:pPr>
      <w:r>
        <w:rPr>
          <w:rFonts w:asciiTheme="majorHAnsi" w:eastAsia="Times New Roman" w:hAnsiTheme="majorHAnsi"/>
          <w:sz w:val="20"/>
          <w:szCs w:val="20"/>
          <w:lang w:val="es-ES"/>
        </w:rPr>
        <w:t>D</w:t>
      </w:r>
      <w:r w:rsidR="00C7792F">
        <w:rPr>
          <w:rFonts w:asciiTheme="majorHAnsi" w:eastAsia="Times New Roman" w:hAnsiTheme="majorHAnsi"/>
          <w:sz w:val="20"/>
          <w:szCs w:val="20"/>
          <w:lang w:val="es-ES"/>
        </w:rPr>
        <w:t>eclaración o conducta del cómplice o de un coacusado en presencia del cómplice antes de</w:t>
      </w:r>
      <w:r w:rsidR="00C851B8">
        <w:rPr>
          <w:rFonts w:asciiTheme="majorHAnsi" w:eastAsia="Times New Roman" w:hAnsiTheme="majorHAnsi"/>
          <w:sz w:val="20"/>
          <w:szCs w:val="20"/>
          <w:lang w:val="es-ES"/>
        </w:rPr>
        <w:t>l homicidio</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que </w:t>
      </w:r>
      <w:r w:rsidR="001741DD" w:rsidRPr="009D1E2F">
        <w:rPr>
          <w:rFonts w:asciiTheme="majorHAnsi" w:eastAsia="Times New Roman" w:hAnsiTheme="majorHAnsi"/>
          <w:sz w:val="20"/>
          <w:szCs w:val="20"/>
          <w:lang w:val="es-ES"/>
        </w:rPr>
        <w:t>indica</w:t>
      </w:r>
      <w:r>
        <w:rPr>
          <w:rFonts w:asciiTheme="majorHAnsi" w:eastAsia="Times New Roman" w:hAnsiTheme="majorHAnsi"/>
          <w:sz w:val="20"/>
          <w:szCs w:val="20"/>
          <w:lang w:val="es-ES"/>
        </w:rPr>
        <w:t>n</w:t>
      </w:r>
      <w:r w:rsidR="00C779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la intención</w:t>
      </w:r>
      <w:r w:rsidR="00C7792F">
        <w:rPr>
          <w:rFonts w:asciiTheme="majorHAnsi" w:eastAsia="Times New Roman" w:hAnsiTheme="majorHAnsi"/>
          <w:sz w:val="20"/>
          <w:szCs w:val="20"/>
          <w:lang w:val="es-ES"/>
        </w:rPr>
        <w:t xml:space="preserve"> de matar a un ser</w:t>
      </w:r>
      <w:r w:rsidR="00B059EC" w:rsidRPr="009D1E2F">
        <w:rPr>
          <w:rFonts w:asciiTheme="majorHAnsi" w:eastAsia="Times New Roman" w:hAnsiTheme="majorHAnsi"/>
          <w:sz w:val="20"/>
          <w:szCs w:val="20"/>
          <w:lang w:val="es-ES"/>
        </w:rPr>
        <w:t xml:space="preserve"> </w:t>
      </w:r>
      <w:r w:rsidR="001741DD" w:rsidRPr="009D1E2F">
        <w:rPr>
          <w:rFonts w:asciiTheme="majorHAnsi" w:eastAsia="Times New Roman" w:hAnsiTheme="majorHAnsi"/>
          <w:sz w:val="20"/>
          <w:szCs w:val="20"/>
          <w:lang w:val="es-ES"/>
        </w:rPr>
        <w:t>human</w:t>
      </w:r>
      <w:r w:rsidR="00C7792F">
        <w:rPr>
          <w:rFonts w:asciiTheme="majorHAnsi" w:eastAsia="Times New Roman" w:hAnsiTheme="majorHAnsi"/>
          <w:sz w:val="20"/>
          <w:szCs w:val="20"/>
          <w:lang w:val="es-ES"/>
        </w:rPr>
        <w:t>o</w:t>
      </w:r>
      <w:r w:rsidR="001741DD" w:rsidRPr="009D1E2F">
        <w:rPr>
          <w:rStyle w:val="FootnoteReference"/>
          <w:rFonts w:asciiTheme="majorHAnsi" w:eastAsia="Times New Roman" w:hAnsiTheme="majorHAnsi"/>
          <w:sz w:val="20"/>
          <w:szCs w:val="20"/>
          <w:lang w:val="es-ES"/>
        </w:rPr>
        <w:footnoteReference w:id="10"/>
      </w:r>
      <w:r w:rsidR="00C7792F">
        <w:rPr>
          <w:rFonts w:asciiTheme="majorHAnsi" w:eastAsia="Times New Roman" w:hAnsiTheme="majorHAnsi"/>
          <w:sz w:val="20"/>
          <w:szCs w:val="20"/>
          <w:lang w:val="es-ES"/>
        </w:rPr>
        <w:t>.</w:t>
      </w:r>
    </w:p>
    <w:p w14:paraId="55D05583" w14:textId="77777777" w:rsidR="001741DD" w:rsidRPr="009D1E2F" w:rsidRDefault="00FF1A72" w:rsidP="00817426">
      <w:pPr>
        <w:pStyle w:val="ListParagraph"/>
        <w:numPr>
          <w:ilvl w:val="1"/>
          <w:numId w:val="53"/>
        </w:numPr>
        <w:tabs>
          <w:tab w:val="left" w:pos="360"/>
        </w:tabs>
        <w:ind w:left="720"/>
        <w:jc w:val="both"/>
        <w:rPr>
          <w:rFonts w:asciiTheme="majorHAnsi" w:eastAsia="Times New Roman" w:hAnsiTheme="majorHAnsi"/>
          <w:sz w:val="20"/>
          <w:szCs w:val="20"/>
          <w:lang w:val="es-ES"/>
        </w:rPr>
      </w:pPr>
      <w:r>
        <w:rPr>
          <w:rFonts w:asciiTheme="majorHAnsi" w:eastAsia="Times New Roman" w:hAnsiTheme="majorHAnsi"/>
          <w:sz w:val="20"/>
          <w:szCs w:val="20"/>
          <w:lang w:val="es-ES"/>
        </w:rPr>
        <w:t>P</w:t>
      </w:r>
      <w:r w:rsidR="00C7792F">
        <w:rPr>
          <w:rFonts w:asciiTheme="majorHAnsi" w:eastAsia="Times New Roman" w:hAnsiTheme="majorHAnsi"/>
          <w:sz w:val="20"/>
          <w:szCs w:val="20"/>
          <w:lang w:val="es-ES"/>
        </w:rPr>
        <w:t xml:space="preserve">ruebas de que el cómplice participó en el </w:t>
      </w:r>
      <w:r w:rsidR="001741DD" w:rsidRPr="009D1E2F">
        <w:rPr>
          <w:rFonts w:asciiTheme="majorHAnsi" w:eastAsia="Times New Roman" w:hAnsiTheme="majorHAnsi"/>
          <w:sz w:val="20"/>
          <w:szCs w:val="20"/>
          <w:lang w:val="es-ES"/>
        </w:rPr>
        <w:t>homicid</w:t>
      </w:r>
      <w:r w:rsidR="00C7792F">
        <w:rPr>
          <w:rFonts w:asciiTheme="majorHAnsi" w:eastAsia="Times New Roman" w:hAnsiTheme="majorHAnsi"/>
          <w:sz w:val="20"/>
          <w:szCs w:val="20"/>
          <w:lang w:val="es-ES"/>
        </w:rPr>
        <w:t>io o continuó la actividad delictiva cuando era evidente que se iba a matar a una víctima</w:t>
      </w:r>
      <w:r w:rsidR="001741DD" w:rsidRPr="009D1E2F">
        <w:rPr>
          <w:rStyle w:val="FootnoteReference"/>
          <w:rFonts w:asciiTheme="majorHAnsi" w:eastAsia="Times New Roman" w:hAnsiTheme="majorHAnsi"/>
          <w:sz w:val="20"/>
          <w:szCs w:val="20"/>
          <w:lang w:val="es-ES"/>
        </w:rPr>
        <w:footnoteReference w:id="11"/>
      </w:r>
      <w:r w:rsidR="00C7792F">
        <w:rPr>
          <w:rFonts w:asciiTheme="majorHAnsi" w:eastAsia="Times New Roman" w:hAnsiTheme="majorHAnsi"/>
          <w:sz w:val="20"/>
          <w:szCs w:val="20"/>
          <w:lang w:val="es-ES"/>
        </w:rPr>
        <w:t>.</w:t>
      </w:r>
    </w:p>
    <w:p w14:paraId="346D6186" w14:textId="77777777" w:rsidR="00F5237B" w:rsidRPr="009D1E2F" w:rsidRDefault="00F5237B" w:rsidP="00817426">
      <w:pPr>
        <w:tabs>
          <w:tab w:val="left" w:pos="360"/>
        </w:tabs>
        <w:rPr>
          <w:rFonts w:asciiTheme="majorHAnsi" w:eastAsia="Times New Roman" w:hAnsiTheme="majorHAnsi"/>
          <w:sz w:val="20"/>
          <w:szCs w:val="20"/>
          <w:lang w:val="es-ES"/>
        </w:rPr>
      </w:pPr>
    </w:p>
    <w:p w14:paraId="634330D6" w14:textId="77777777" w:rsidR="000833FB" w:rsidRPr="009D1E2F" w:rsidRDefault="00E40F91" w:rsidP="00817426">
      <w:pPr>
        <w:pStyle w:val="Heading2"/>
        <w:keepNext w:val="0"/>
        <w:keepLines w:val="0"/>
        <w:numPr>
          <w:ilvl w:val="0"/>
          <w:numId w:val="73"/>
        </w:numPr>
        <w:spacing w:before="0"/>
        <w:ind w:left="360"/>
        <w:jc w:val="both"/>
        <w:rPr>
          <w:color w:val="auto"/>
          <w:sz w:val="20"/>
          <w:szCs w:val="20"/>
          <w:lang w:val="es-ES"/>
        </w:rPr>
      </w:pPr>
      <w:bookmarkStart w:id="6" w:name="_Toc90284824"/>
      <w:r w:rsidRPr="009D1E2F">
        <w:rPr>
          <w:color w:val="auto"/>
          <w:sz w:val="20"/>
          <w:szCs w:val="20"/>
          <w:lang w:val="es-ES"/>
        </w:rPr>
        <w:t>Antecedentes</w:t>
      </w:r>
      <w:r w:rsidR="00B059EC" w:rsidRPr="009D1E2F">
        <w:rPr>
          <w:color w:val="auto"/>
          <w:sz w:val="20"/>
          <w:szCs w:val="20"/>
          <w:lang w:val="es-ES"/>
        </w:rPr>
        <w:t xml:space="preserve"> </w:t>
      </w:r>
      <w:r w:rsidRPr="009D1E2F">
        <w:rPr>
          <w:color w:val="auto"/>
          <w:sz w:val="20"/>
          <w:szCs w:val="20"/>
          <w:lang w:val="es-ES"/>
        </w:rPr>
        <w:t>fácticos</w:t>
      </w:r>
      <w:bookmarkEnd w:id="6"/>
    </w:p>
    <w:p w14:paraId="23B575CF" w14:textId="77777777" w:rsidR="000833FB" w:rsidRPr="009D1E2F" w:rsidRDefault="000833FB" w:rsidP="00817426">
      <w:pPr>
        <w:tabs>
          <w:tab w:val="left" w:pos="360"/>
        </w:tabs>
        <w:ind w:left="360"/>
        <w:rPr>
          <w:rFonts w:asciiTheme="majorHAnsi" w:eastAsia="Times New Roman" w:hAnsiTheme="majorHAnsi"/>
          <w:sz w:val="20"/>
          <w:szCs w:val="20"/>
          <w:lang w:val="es-ES"/>
        </w:rPr>
      </w:pPr>
    </w:p>
    <w:p w14:paraId="0375478A" w14:textId="77777777" w:rsidR="00075292" w:rsidRPr="009D1E2F" w:rsidRDefault="000D069C"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Los hechos que se describen a continuación fueron comprobados por los tribunales intern</w:t>
      </w:r>
      <w:r w:rsidR="00CE7EE6">
        <w:rPr>
          <w:rFonts w:asciiTheme="majorHAnsi" w:eastAsia="Times New Roman" w:hAnsiTheme="majorHAnsi"/>
          <w:sz w:val="20"/>
          <w:szCs w:val="20"/>
          <w:lang w:val="es-ES"/>
        </w:rPr>
        <w:t>os</w:t>
      </w:r>
      <w:r>
        <w:rPr>
          <w:rFonts w:asciiTheme="majorHAnsi" w:eastAsia="Times New Roman" w:hAnsiTheme="majorHAnsi"/>
          <w:sz w:val="20"/>
          <w:szCs w:val="20"/>
          <w:lang w:val="es-ES"/>
        </w:rPr>
        <w:t>.</w:t>
      </w:r>
    </w:p>
    <w:p w14:paraId="45463B98" w14:textId="77777777" w:rsidR="004B20D9" w:rsidRPr="009D1E2F" w:rsidRDefault="004B20D9"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3269147B" w14:textId="77777777" w:rsidR="00C010E4" w:rsidRPr="009D1E2F" w:rsidRDefault="000D069C"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6E17B3">
        <w:rPr>
          <w:rFonts w:asciiTheme="majorHAnsi" w:eastAsia="Times New Roman" w:hAnsiTheme="majorHAnsi"/>
          <w:sz w:val="20"/>
          <w:szCs w:val="20"/>
          <w:lang w:val="es-ES"/>
        </w:rPr>
        <w:t xml:space="preserve">El </w:t>
      </w:r>
      <w:r w:rsidR="00310042" w:rsidRPr="006E17B3">
        <w:rPr>
          <w:rFonts w:asciiTheme="majorHAnsi" w:eastAsia="Times New Roman" w:hAnsiTheme="majorHAnsi"/>
          <w:sz w:val="20"/>
          <w:szCs w:val="20"/>
          <w:lang w:val="es-ES"/>
        </w:rPr>
        <w:t>4</w:t>
      </w:r>
      <w:r w:rsidRPr="006E17B3">
        <w:rPr>
          <w:rFonts w:asciiTheme="majorHAnsi" w:eastAsia="Times New Roman" w:hAnsiTheme="majorHAnsi"/>
          <w:sz w:val="20"/>
          <w:szCs w:val="20"/>
          <w:lang w:val="es-ES"/>
        </w:rPr>
        <w:t xml:space="preserve"> de abril de</w:t>
      </w:r>
      <w:r w:rsidR="00B059EC" w:rsidRPr="006E17B3">
        <w:rPr>
          <w:rFonts w:asciiTheme="majorHAnsi" w:eastAsia="Times New Roman" w:hAnsiTheme="majorHAnsi"/>
          <w:sz w:val="20"/>
          <w:szCs w:val="20"/>
          <w:lang w:val="es-ES"/>
        </w:rPr>
        <w:t xml:space="preserve"> </w:t>
      </w:r>
      <w:r w:rsidR="00591DEE" w:rsidRPr="006E17B3">
        <w:rPr>
          <w:rFonts w:asciiTheme="majorHAnsi" w:eastAsia="Times New Roman" w:hAnsiTheme="majorHAnsi"/>
          <w:sz w:val="20"/>
          <w:szCs w:val="20"/>
          <w:lang w:val="es-ES"/>
        </w:rPr>
        <w:t>1991,</w:t>
      </w:r>
      <w:r w:rsidR="00B059EC" w:rsidRPr="006E17B3">
        <w:rPr>
          <w:rFonts w:asciiTheme="majorHAnsi" w:eastAsia="Times New Roman" w:hAnsiTheme="majorHAnsi"/>
          <w:sz w:val="20"/>
          <w:szCs w:val="20"/>
          <w:lang w:val="es-ES"/>
        </w:rPr>
        <w:t xml:space="preserve"> </w:t>
      </w:r>
      <w:r w:rsidR="004B20D9" w:rsidRPr="006E17B3">
        <w:rPr>
          <w:rFonts w:asciiTheme="majorHAnsi" w:eastAsia="Times New Roman" w:hAnsiTheme="majorHAnsi"/>
          <w:sz w:val="20"/>
          <w:szCs w:val="20"/>
          <w:lang w:val="es-ES"/>
        </w:rPr>
        <w:t>Ju</w:t>
      </w:r>
      <w:r w:rsidR="00A92784" w:rsidRPr="006E17B3">
        <w:rPr>
          <w:rFonts w:asciiTheme="majorHAnsi" w:eastAsia="Times New Roman" w:hAnsiTheme="majorHAnsi"/>
          <w:sz w:val="20"/>
          <w:szCs w:val="20"/>
          <w:lang w:val="es-ES"/>
        </w:rPr>
        <w:t>lie</w:t>
      </w:r>
      <w:r w:rsidR="00B059EC" w:rsidRPr="006E17B3">
        <w:rPr>
          <w:rFonts w:asciiTheme="majorHAnsi" w:eastAsia="Times New Roman" w:hAnsiTheme="majorHAnsi"/>
          <w:sz w:val="20"/>
          <w:szCs w:val="20"/>
          <w:lang w:val="es-ES"/>
        </w:rPr>
        <w:t xml:space="preserve"> </w:t>
      </w:r>
      <w:r w:rsidRPr="006E17B3">
        <w:rPr>
          <w:rFonts w:asciiTheme="majorHAnsi" w:eastAsia="Times New Roman" w:hAnsiTheme="majorHAnsi"/>
          <w:sz w:val="20"/>
          <w:szCs w:val="20"/>
          <w:lang w:val="es-ES"/>
        </w:rPr>
        <w:t>y</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Robin</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Kerry</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w:t>
      </w:r>
      <w:r w:rsidR="009F3654" w:rsidRPr="006E17B3">
        <w:rPr>
          <w:rFonts w:asciiTheme="majorHAnsi" w:eastAsia="Times New Roman" w:hAnsiTheme="majorHAnsi"/>
          <w:sz w:val="20"/>
          <w:szCs w:val="20"/>
          <w:lang w:val="es-ES"/>
        </w:rPr>
        <w:t>las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hermanas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Kerry</w:t>
      </w:r>
      <w:r w:rsidR="00A92784"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 xml:space="preserve">y su primo </w:t>
      </w:r>
      <w:r w:rsidR="005D4283" w:rsidRPr="006E17B3">
        <w:rPr>
          <w:rFonts w:asciiTheme="majorHAnsi" w:eastAsia="Times New Roman" w:hAnsiTheme="majorHAnsi"/>
          <w:sz w:val="20"/>
          <w:szCs w:val="20"/>
          <w:lang w:val="es-ES"/>
        </w:rPr>
        <w:t>Thomas</w:t>
      </w:r>
      <w:r w:rsidR="00B059EC" w:rsidRPr="006E17B3">
        <w:rPr>
          <w:rFonts w:asciiTheme="majorHAnsi" w:eastAsia="Times New Roman" w:hAnsiTheme="majorHAnsi"/>
          <w:sz w:val="20"/>
          <w:szCs w:val="20"/>
          <w:lang w:val="es-ES"/>
        </w:rPr>
        <w:t xml:space="preserve"> </w:t>
      </w:r>
      <w:proofErr w:type="spellStart"/>
      <w:r w:rsidR="005D4283" w:rsidRPr="006E17B3">
        <w:rPr>
          <w:rFonts w:asciiTheme="majorHAnsi" w:eastAsia="Times New Roman" w:hAnsiTheme="majorHAnsi"/>
          <w:sz w:val="20"/>
          <w:szCs w:val="20"/>
          <w:lang w:val="es-ES"/>
        </w:rPr>
        <w:t>Cummins</w:t>
      </w:r>
      <w:proofErr w:type="spellEnd"/>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se encontraron con</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el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y tres amigos</w:t>
      </w:r>
      <w:r w:rsidR="003E0B07">
        <w:rPr>
          <w:rFonts w:asciiTheme="majorHAnsi" w:eastAsia="Times New Roman" w:hAnsiTheme="majorHAnsi"/>
          <w:sz w:val="20"/>
          <w:szCs w:val="20"/>
          <w:lang w:val="es-ES"/>
        </w:rPr>
        <w:t xml:space="preserve"> de él</w:t>
      </w:r>
      <w:r w:rsidR="00DE426E"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Clemons,</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Richardson</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y</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Winfrey.</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Después de conversar, los dos grupos se separaron. Mientras iban caminando</w:t>
      </w:r>
      <w:r w:rsidR="00A92784"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Clemons</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 xml:space="preserve">propuso a sus tres compañeros que </w:t>
      </w:r>
      <w:r w:rsidR="00821E9F" w:rsidRPr="006E17B3">
        <w:rPr>
          <w:rFonts w:asciiTheme="majorHAnsi" w:eastAsia="Times New Roman" w:hAnsiTheme="majorHAnsi"/>
          <w:sz w:val="20"/>
          <w:szCs w:val="20"/>
          <w:lang w:val="es-ES"/>
        </w:rPr>
        <w:t xml:space="preserve">asaltaran </w:t>
      </w:r>
      <w:r w:rsidR="00DE426E" w:rsidRPr="006E17B3">
        <w:rPr>
          <w:rFonts w:asciiTheme="majorHAnsi" w:eastAsia="Times New Roman" w:hAnsiTheme="majorHAnsi"/>
          <w:sz w:val="20"/>
          <w:szCs w:val="20"/>
          <w:lang w:val="es-ES"/>
        </w:rPr>
        <w:t xml:space="preserve">a </w:t>
      </w:r>
      <w:proofErr w:type="spellStart"/>
      <w:r w:rsidR="00A92784" w:rsidRPr="006E17B3">
        <w:rPr>
          <w:rFonts w:asciiTheme="majorHAnsi" w:eastAsia="Times New Roman" w:hAnsiTheme="majorHAnsi"/>
          <w:sz w:val="20"/>
          <w:szCs w:val="20"/>
          <w:lang w:val="es-ES"/>
        </w:rPr>
        <w:t>Cummins</w:t>
      </w:r>
      <w:proofErr w:type="spellEnd"/>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y a</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las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hermanas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Kerry</w:t>
      </w:r>
      <w:r w:rsidR="00A92784"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E</w:t>
      </w:r>
      <w:r w:rsidR="000E2468" w:rsidRPr="006E17B3">
        <w:rPr>
          <w:rFonts w:asciiTheme="majorHAnsi" w:eastAsia="Times New Roman" w:hAnsiTheme="majorHAnsi"/>
          <w:sz w:val="20"/>
          <w:szCs w:val="20"/>
          <w:lang w:val="es-ES"/>
        </w:rPr>
        <w:t>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 xml:space="preserve">sonrió, aplaudió y dijo: </w:t>
      </w:r>
      <w:r w:rsidR="00A92784" w:rsidRPr="006E17B3">
        <w:rPr>
          <w:rFonts w:asciiTheme="majorHAnsi" w:eastAsia="Times New Roman" w:hAnsiTheme="majorHAnsi"/>
          <w:sz w:val="20"/>
          <w:szCs w:val="20"/>
          <w:lang w:val="es-ES"/>
        </w:rPr>
        <w:t>“</w:t>
      </w:r>
      <w:r w:rsidR="00DE426E" w:rsidRPr="006E17B3">
        <w:rPr>
          <w:rFonts w:asciiTheme="majorHAnsi" w:eastAsia="Times New Roman" w:hAnsiTheme="majorHAnsi"/>
          <w:sz w:val="20"/>
          <w:szCs w:val="20"/>
          <w:lang w:val="es-ES"/>
        </w:rPr>
        <w:t>¡Sí, tengo ganas de hacerle daño a alguien!</w:t>
      </w:r>
      <w:r w:rsidR="00A92784" w:rsidRPr="006E17B3">
        <w:rPr>
          <w:rFonts w:asciiTheme="majorHAnsi" w:eastAsia="Times New Roman" w:hAnsiTheme="majorHAnsi"/>
          <w:sz w:val="20"/>
          <w:szCs w:val="20"/>
          <w:lang w:val="es-ES"/>
        </w:rPr>
        <w:t>”</w:t>
      </w:r>
      <w:r w:rsidR="00DE426E" w:rsidRPr="006E17B3">
        <w:rPr>
          <w:rFonts w:asciiTheme="majorHAnsi" w:eastAsia="Times New Roman" w:hAnsiTheme="majorHAnsi"/>
          <w:sz w:val="20"/>
          <w:szCs w:val="20"/>
          <w:lang w:val="es-ES"/>
        </w:rPr>
        <w:t xml:space="preserve">. Cuando se acercaron al otro grupo, </w:t>
      </w:r>
      <w:r w:rsidR="000E2468" w:rsidRPr="006E17B3">
        <w:rPr>
          <w:rFonts w:asciiTheme="majorHAnsi" w:eastAsia="Times New Roman" w:hAnsiTheme="majorHAnsi"/>
          <w:sz w:val="20"/>
          <w:szCs w:val="20"/>
          <w:lang w:val="es-ES"/>
        </w:rPr>
        <w:t>el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A92784"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 xml:space="preserve">le pasó el brazo por el hombro a </w:t>
      </w:r>
      <w:proofErr w:type="spellStart"/>
      <w:r w:rsidR="00A92784" w:rsidRPr="006E17B3">
        <w:rPr>
          <w:rFonts w:asciiTheme="majorHAnsi" w:eastAsia="Times New Roman" w:hAnsiTheme="majorHAnsi"/>
          <w:sz w:val="20"/>
          <w:szCs w:val="20"/>
          <w:lang w:val="es-ES"/>
        </w:rPr>
        <w:t>Cummins</w:t>
      </w:r>
      <w:proofErr w:type="spellEnd"/>
      <w:r w:rsidR="00B059EC" w:rsidRPr="006E17B3">
        <w:rPr>
          <w:rFonts w:asciiTheme="majorHAnsi" w:eastAsia="Times New Roman" w:hAnsiTheme="majorHAnsi"/>
          <w:sz w:val="20"/>
          <w:szCs w:val="20"/>
          <w:lang w:val="es-ES"/>
        </w:rPr>
        <w:t xml:space="preserve"> </w:t>
      </w:r>
      <w:r w:rsidR="00DE426E" w:rsidRPr="006E17B3">
        <w:rPr>
          <w:rFonts w:asciiTheme="majorHAnsi" w:eastAsia="Times New Roman" w:hAnsiTheme="majorHAnsi"/>
          <w:sz w:val="20"/>
          <w:szCs w:val="20"/>
          <w:lang w:val="es-ES"/>
        </w:rPr>
        <w:t xml:space="preserve">y lo </w:t>
      </w:r>
      <w:r w:rsidR="00A476A2" w:rsidRPr="006E17B3">
        <w:rPr>
          <w:rFonts w:asciiTheme="majorHAnsi" w:eastAsia="Times New Roman" w:hAnsiTheme="majorHAnsi"/>
          <w:sz w:val="20"/>
          <w:szCs w:val="20"/>
          <w:lang w:val="es-ES"/>
        </w:rPr>
        <w:t>llevó caminando a una distancia de diez a quince pies</w:t>
      </w:r>
      <w:r w:rsidR="00A92784"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Le dijo: </w:t>
      </w:r>
      <w:r w:rsidR="00A92784" w:rsidRPr="006E17B3">
        <w:rPr>
          <w:rFonts w:asciiTheme="majorHAnsi" w:eastAsia="Times New Roman" w:hAnsiTheme="majorHAnsi"/>
          <w:sz w:val="20"/>
          <w:szCs w:val="20"/>
          <w:lang w:val="es-ES"/>
        </w:rPr>
        <w:t>“</w:t>
      </w:r>
      <w:r w:rsidR="00A476A2" w:rsidRPr="006E17B3">
        <w:rPr>
          <w:rFonts w:asciiTheme="majorHAnsi" w:eastAsia="Times New Roman" w:hAnsiTheme="majorHAnsi"/>
          <w:sz w:val="20"/>
          <w:szCs w:val="20"/>
          <w:lang w:val="es-ES"/>
        </w:rPr>
        <w:t>Esto es un asalto. Échate al suelo</w:t>
      </w:r>
      <w:r w:rsidR="00A92784" w:rsidRPr="006E17B3">
        <w:rPr>
          <w:rFonts w:asciiTheme="majorHAnsi" w:eastAsia="Times New Roman" w:hAnsiTheme="majorHAnsi"/>
          <w:sz w:val="20"/>
          <w:szCs w:val="20"/>
          <w:lang w:val="es-ES"/>
        </w:rPr>
        <w:t>”</w:t>
      </w:r>
      <w:r w:rsidR="00A476A2"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E</w:t>
      </w:r>
      <w:r w:rsidR="000E2468" w:rsidRPr="006E17B3">
        <w:rPr>
          <w:rFonts w:asciiTheme="majorHAnsi" w:eastAsia="Times New Roman" w:hAnsiTheme="majorHAnsi"/>
          <w:sz w:val="20"/>
          <w:szCs w:val="20"/>
          <w:lang w:val="es-ES"/>
        </w:rPr>
        <w:t>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D62FFA"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le dijo a </w:t>
      </w:r>
      <w:proofErr w:type="spellStart"/>
      <w:r w:rsidR="00D62FFA" w:rsidRPr="006E17B3">
        <w:rPr>
          <w:rFonts w:asciiTheme="majorHAnsi" w:eastAsia="Times New Roman" w:hAnsiTheme="majorHAnsi"/>
          <w:sz w:val="20"/>
          <w:szCs w:val="20"/>
          <w:lang w:val="es-ES"/>
        </w:rPr>
        <w:t>Cummins</w:t>
      </w:r>
      <w:proofErr w:type="spellEnd"/>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que, si miraba hacia arriba, lo mataría o le pegaría un tiro. Al mismo tiempo, los otros tres hombres agarraron a </w:t>
      </w:r>
      <w:r w:rsidR="009F3654" w:rsidRPr="006E17B3">
        <w:rPr>
          <w:rFonts w:asciiTheme="majorHAnsi" w:eastAsia="Times New Roman" w:hAnsiTheme="majorHAnsi"/>
          <w:sz w:val="20"/>
          <w:szCs w:val="20"/>
          <w:lang w:val="es-ES"/>
        </w:rPr>
        <w:t>las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hermanas</w:t>
      </w:r>
      <w:r w:rsidR="00B059EC" w:rsidRPr="006E17B3">
        <w:rPr>
          <w:rFonts w:asciiTheme="majorHAnsi" w:eastAsia="Times New Roman" w:hAnsiTheme="majorHAnsi"/>
          <w:sz w:val="20"/>
          <w:szCs w:val="20"/>
          <w:lang w:val="es-ES"/>
        </w:rPr>
        <w:t xml:space="preserve"> </w:t>
      </w:r>
      <w:r w:rsidR="009F3654" w:rsidRPr="006E17B3">
        <w:rPr>
          <w:rFonts w:asciiTheme="majorHAnsi" w:eastAsia="Times New Roman" w:hAnsiTheme="majorHAnsi"/>
          <w:sz w:val="20"/>
          <w:szCs w:val="20"/>
          <w:lang w:val="es-ES"/>
        </w:rPr>
        <w:t>Kerry</w:t>
      </w:r>
      <w:r w:rsidR="00A476A2" w:rsidRPr="006E17B3">
        <w:rPr>
          <w:rFonts w:asciiTheme="majorHAnsi" w:eastAsia="Times New Roman" w:hAnsiTheme="majorHAnsi"/>
          <w:sz w:val="20"/>
          <w:szCs w:val="20"/>
          <w:lang w:val="es-ES"/>
        </w:rPr>
        <w:t xml:space="preserve">. Cuando las mujeres comenzaron a gritar, uno de ellos les dijo: </w:t>
      </w:r>
      <w:r w:rsidR="00D62FFA" w:rsidRPr="006E17B3">
        <w:rPr>
          <w:rFonts w:asciiTheme="majorHAnsi" w:eastAsia="Times New Roman" w:hAnsiTheme="majorHAnsi"/>
          <w:sz w:val="20"/>
          <w:szCs w:val="20"/>
          <w:lang w:val="es-ES"/>
        </w:rPr>
        <w:t>“</w:t>
      </w:r>
      <w:r w:rsidR="00A476A2" w:rsidRPr="006E17B3">
        <w:rPr>
          <w:rFonts w:asciiTheme="majorHAnsi" w:eastAsia="Times New Roman" w:hAnsiTheme="majorHAnsi"/>
          <w:sz w:val="20"/>
          <w:szCs w:val="20"/>
          <w:lang w:val="es-ES"/>
        </w:rPr>
        <w:t>¿Quieren morir</w:t>
      </w:r>
      <w:r w:rsidR="00D62FFA" w:rsidRPr="006E17B3">
        <w:rPr>
          <w:rFonts w:asciiTheme="majorHAnsi" w:eastAsia="Times New Roman" w:hAnsiTheme="majorHAnsi"/>
          <w:sz w:val="20"/>
          <w:szCs w:val="20"/>
          <w:lang w:val="es-ES"/>
        </w:rPr>
        <w:t>?”</w:t>
      </w:r>
      <w:r w:rsidR="00A476A2" w:rsidRPr="006E17B3">
        <w:rPr>
          <w:rFonts w:asciiTheme="majorHAnsi" w:eastAsia="Times New Roman" w:hAnsiTheme="majorHAnsi"/>
          <w:sz w:val="20"/>
          <w:szCs w:val="20"/>
          <w:lang w:val="es-ES"/>
        </w:rPr>
        <w:t xml:space="preserve"> y </w:t>
      </w:r>
      <w:r w:rsidR="003E0B07">
        <w:rPr>
          <w:rFonts w:asciiTheme="majorHAnsi" w:eastAsia="Times New Roman" w:hAnsiTheme="majorHAnsi"/>
          <w:sz w:val="20"/>
          <w:szCs w:val="20"/>
          <w:lang w:val="es-ES"/>
        </w:rPr>
        <w:t xml:space="preserve">agregó </w:t>
      </w:r>
      <w:r w:rsidR="00A476A2" w:rsidRPr="006E17B3">
        <w:rPr>
          <w:rFonts w:asciiTheme="majorHAnsi" w:eastAsia="Times New Roman" w:hAnsiTheme="majorHAnsi"/>
          <w:sz w:val="20"/>
          <w:szCs w:val="20"/>
          <w:lang w:val="es-ES"/>
        </w:rPr>
        <w:t xml:space="preserve">que, si no dejaban de gritar, las tiraría del puente. Acto seguido, </w:t>
      </w:r>
      <w:r w:rsidR="00F9518D" w:rsidRPr="006E17B3">
        <w:rPr>
          <w:rFonts w:asciiTheme="majorHAnsi" w:eastAsia="Times New Roman" w:hAnsiTheme="majorHAnsi"/>
          <w:sz w:val="20"/>
          <w:szCs w:val="20"/>
          <w:lang w:val="es-ES"/>
        </w:rPr>
        <w:t>Clemons</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violó a </w:t>
      </w:r>
      <w:r w:rsidR="00F9518D" w:rsidRPr="006E17B3">
        <w:rPr>
          <w:rFonts w:asciiTheme="majorHAnsi" w:eastAsia="Times New Roman" w:hAnsiTheme="majorHAnsi"/>
          <w:sz w:val="20"/>
          <w:szCs w:val="20"/>
          <w:lang w:val="es-ES"/>
        </w:rPr>
        <w:t>Julie</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Kerry</w:t>
      </w:r>
      <w:r w:rsidR="00A476A2" w:rsidRPr="006E17B3">
        <w:rPr>
          <w:rFonts w:asciiTheme="majorHAnsi" w:eastAsia="Times New Roman" w:hAnsiTheme="majorHAnsi"/>
          <w:sz w:val="20"/>
          <w:szCs w:val="20"/>
          <w:lang w:val="es-ES"/>
        </w:rPr>
        <w:t xml:space="preserve"> y</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Richardson</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violó a </w:t>
      </w:r>
      <w:r w:rsidR="00F9518D" w:rsidRPr="006E17B3">
        <w:rPr>
          <w:rFonts w:asciiTheme="majorHAnsi" w:eastAsia="Times New Roman" w:hAnsiTheme="majorHAnsi"/>
          <w:sz w:val="20"/>
          <w:szCs w:val="20"/>
          <w:lang w:val="es-ES"/>
        </w:rPr>
        <w:t>Robin</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Kerry</w:t>
      </w:r>
      <w:r w:rsidR="00544C80"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Entretanto, </w:t>
      </w:r>
      <w:r w:rsidR="000E2468" w:rsidRPr="006E17B3">
        <w:rPr>
          <w:rFonts w:asciiTheme="majorHAnsi" w:eastAsia="Times New Roman" w:hAnsiTheme="majorHAnsi"/>
          <w:sz w:val="20"/>
          <w:szCs w:val="20"/>
          <w:lang w:val="es-ES"/>
        </w:rPr>
        <w:t>el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volvió al lugar donde</w:t>
      </w:r>
      <w:r w:rsidR="00B059EC" w:rsidRPr="006E17B3">
        <w:rPr>
          <w:rFonts w:asciiTheme="majorHAnsi" w:eastAsia="Times New Roman" w:hAnsiTheme="majorHAnsi"/>
          <w:sz w:val="20"/>
          <w:szCs w:val="20"/>
          <w:lang w:val="es-ES"/>
        </w:rPr>
        <w:t xml:space="preserve"> </w:t>
      </w:r>
      <w:proofErr w:type="spellStart"/>
      <w:r w:rsidR="00F9518D" w:rsidRPr="006E17B3">
        <w:rPr>
          <w:rFonts w:asciiTheme="majorHAnsi" w:eastAsia="Times New Roman" w:hAnsiTheme="majorHAnsi"/>
          <w:sz w:val="20"/>
          <w:szCs w:val="20"/>
          <w:lang w:val="es-ES"/>
        </w:rPr>
        <w:t>Cummins</w:t>
      </w:r>
      <w:proofErr w:type="spellEnd"/>
      <w:r w:rsidR="00B059EC" w:rsidRPr="006E17B3">
        <w:rPr>
          <w:rFonts w:asciiTheme="majorHAnsi" w:eastAsia="Times New Roman" w:hAnsiTheme="majorHAnsi"/>
          <w:sz w:val="20"/>
          <w:szCs w:val="20"/>
          <w:lang w:val="es-ES"/>
        </w:rPr>
        <w:t xml:space="preserve"> </w:t>
      </w:r>
      <w:r w:rsidR="00A476A2" w:rsidRPr="006E17B3">
        <w:rPr>
          <w:rFonts w:asciiTheme="majorHAnsi" w:eastAsia="Times New Roman" w:hAnsiTheme="majorHAnsi"/>
          <w:sz w:val="20"/>
          <w:szCs w:val="20"/>
          <w:lang w:val="es-ES"/>
        </w:rPr>
        <w:t xml:space="preserve">estaba echado en el suelo y le dijo: </w:t>
      </w:r>
      <w:r w:rsidR="00F9518D" w:rsidRPr="006E17B3">
        <w:rPr>
          <w:rFonts w:asciiTheme="majorHAnsi" w:eastAsia="Times New Roman" w:hAnsiTheme="majorHAnsi"/>
          <w:sz w:val="20"/>
          <w:szCs w:val="20"/>
          <w:lang w:val="es-ES"/>
        </w:rPr>
        <w:t>“</w:t>
      </w:r>
      <w:r w:rsidR="00A476A2" w:rsidRPr="006E17B3">
        <w:rPr>
          <w:rFonts w:asciiTheme="majorHAnsi" w:eastAsia="Times New Roman" w:hAnsiTheme="majorHAnsi"/>
          <w:sz w:val="20"/>
          <w:szCs w:val="20"/>
          <w:lang w:val="es-ES"/>
        </w:rPr>
        <w:t xml:space="preserve">Nunca he tenido el privilegio de </w:t>
      </w:r>
      <w:r w:rsidR="00E71BA7" w:rsidRPr="006E17B3">
        <w:rPr>
          <w:rFonts w:asciiTheme="majorHAnsi" w:eastAsia="Times New Roman" w:hAnsiTheme="majorHAnsi"/>
          <w:sz w:val="20"/>
          <w:szCs w:val="20"/>
          <w:lang w:val="es-ES"/>
        </w:rPr>
        <w:t>dispararle a alguien</w:t>
      </w:r>
      <w:r w:rsidR="00F9518D" w:rsidRPr="006E17B3">
        <w:rPr>
          <w:rFonts w:asciiTheme="majorHAnsi" w:eastAsia="Times New Roman" w:hAnsiTheme="majorHAnsi"/>
          <w:sz w:val="20"/>
          <w:szCs w:val="20"/>
          <w:lang w:val="es-ES"/>
        </w:rPr>
        <w:t>…</w:t>
      </w:r>
      <w:r w:rsidR="00E71BA7"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w:t>
      </w:r>
      <w:r w:rsidR="00E71BA7" w:rsidRPr="006E17B3">
        <w:rPr>
          <w:rFonts w:asciiTheme="majorHAnsi" w:eastAsia="Times New Roman" w:hAnsiTheme="majorHAnsi"/>
          <w:sz w:val="20"/>
          <w:szCs w:val="20"/>
          <w:lang w:val="es-ES"/>
        </w:rPr>
        <w:t>s</w:t>
      </w:r>
      <w:r w:rsidR="00F9518D" w:rsidRPr="006E17B3">
        <w:rPr>
          <w:rFonts w:asciiTheme="majorHAnsi" w:eastAsia="Times New Roman" w:hAnsiTheme="majorHAnsi"/>
          <w:sz w:val="20"/>
          <w:szCs w:val="20"/>
          <w:lang w:val="es-ES"/>
        </w:rPr>
        <w:t>]</w:t>
      </w:r>
      <w:r w:rsidR="00E71BA7" w:rsidRPr="006E17B3">
        <w:rPr>
          <w:rFonts w:asciiTheme="majorHAnsi" w:eastAsia="Times New Roman" w:hAnsiTheme="majorHAnsi"/>
          <w:sz w:val="20"/>
          <w:szCs w:val="20"/>
          <w:lang w:val="es-ES"/>
        </w:rPr>
        <w:t>i levantas la cabeza o tratas de mirar, te pego un tiro</w:t>
      </w:r>
      <w:r w:rsidR="00F9518D" w:rsidRPr="006E17B3">
        <w:rPr>
          <w:rFonts w:asciiTheme="majorHAnsi" w:eastAsia="Times New Roman" w:hAnsiTheme="majorHAnsi"/>
          <w:sz w:val="20"/>
          <w:szCs w:val="20"/>
          <w:lang w:val="es-ES"/>
        </w:rPr>
        <w:t>”</w:t>
      </w:r>
      <w:r w:rsidR="00E71BA7" w:rsidRPr="006E17B3">
        <w:rPr>
          <w:rFonts w:asciiTheme="majorHAnsi" w:eastAsia="Times New Roman" w:hAnsiTheme="majorHAnsi"/>
          <w:sz w:val="20"/>
          <w:szCs w:val="20"/>
          <w:lang w:val="es-ES"/>
        </w:rPr>
        <w:t>. Después, e</w:t>
      </w:r>
      <w:r w:rsidR="000E2468" w:rsidRPr="006E17B3">
        <w:rPr>
          <w:rFonts w:asciiTheme="majorHAnsi" w:eastAsia="Times New Roman" w:hAnsiTheme="majorHAnsi"/>
          <w:sz w:val="20"/>
          <w:szCs w:val="20"/>
          <w:lang w:val="es-ES"/>
        </w:rPr>
        <w:t>l</w:t>
      </w:r>
      <w:r w:rsidR="00B059EC" w:rsidRPr="006E17B3">
        <w:rPr>
          <w:rFonts w:asciiTheme="majorHAnsi" w:eastAsia="Times New Roman" w:hAnsiTheme="majorHAnsi"/>
          <w:sz w:val="20"/>
          <w:szCs w:val="20"/>
          <w:lang w:val="es-ES"/>
        </w:rPr>
        <w:t xml:space="preserve"> </w:t>
      </w:r>
      <w:r w:rsidR="000E2468" w:rsidRPr="006E17B3">
        <w:rPr>
          <w:rFonts w:asciiTheme="majorHAnsi" w:eastAsia="Times New Roman" w:hAnsiTheme="majorHAnsi"/>
          <w:sz w:val="20"/>
          <w:szCs w:val="20"/>
          <w:lang w:val="es-ES"/>
        </w:rPr>
        <w:t>señor</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Gray</w:t>
      </w:r>
      <w:r w:rsidR="00B059EC" w:rsidRPr="006E17B3">
        <w:rPr>
          <w:rFonts w:asciiTheme="majorHAnsi" w:eastAsia="Times New Roman" w:hAnsiTheme="majorHAnsi"/>
          <w:sz w:val="20"/>
          <w:szCs w:val="20"/>
          <w:lang w:val="es-ES"/>
        </w:rPr>
        <w:t xml:space="preserve"> </w:t>
      </w:r>
      <w:r w:rsidR="00E71BA7" w:rsidRPr="006E17B3">
        <w:rPr>
          <w:rFonts w:asciiTheme="majorHAnsi" w:eastAsia="Times New Roman" w:hAnsiTheme="majorHAnsi"/>
          <w:sz w:val="20"/>
          <w:szCs w:val="20"/>
          <w:lang w:val="es-ES"/>
        </w:rPr>
        <w:t xml:space="preserve">le dijo a </w:t>
      </w:r>
      <w:r w:rsidR="00F9518D" w:rsidRPr="006E17B3">
        <w:rPr>
          <w:rFonts w:asciiTheme="majorHAnsi" w:eastAsia="Times New Roman" w:hAnsiTheme="majorHAnsi"/>
          <w:sz w:val="20"/>
          <w:szCs w:val="20"/>
          <w:lang w:val="es-ES"/>
        </w:rPr>
        <w:t>Winfrey</w:t>
      </w:r>
      <w:r w:rsidR="00B059EC" w:rsidRPr="006E17B3">
        <w:rPr>
          <w:rFonts w:asciiTheme="majorHAnsi" w:eastAsia="Times New Roman" w:hAnsiTheme="majorHAnsi"/>
          <w:sz w:val="20"/>
          <w:szCs w:val="20"/>
          <w:lang w:val="es-ES"/>
        </w:rPr>
        <w:t xml:space="preserve"> </w:t>
      </w:r>
      <w:r w:rsidR="00E71BA7" w:rsidRPr="006E17B3">
        <w:rPr>
          <w:rFonts w:asciiTheme="majorHAnsi" w:eastAsia="Times New Roman" w:hAnsiTheme="majorHAnsi"/>
          <w:sz w:val="20"/>
          <w:szCs w:val="20"/>
          <w:lang w:val="es-ES"/>
        </w:rPr>
        <w:t xml:space="preserve">que vigilara a </w:t>
      </w:r>
      <w:proofErr w:type="spellStart"/>
      <w:r w:rsidR="00F9518D" w:rsidRPr="006E17B3">
        <w:rPr>
          <w:rFonts w:asciiTheme="majorHAnsi" w:eastAsia="Times New Roman" w:hAnsiTheme="majorHAnsi"/>
          <w:sz w:val="20"/>
          <w:szCs w:val="20"/>
          <w:lang w:val="es-ES"/>
        </w:rPr>
        <w:t>Cummins</w:t>
      </w:r>
      <w:proofErr w:type="spellEnd"/>
      <w:r w:rsidR="00E71BA7" w:rsidRPr="006E17B3">
        <w:rPr>
          <w:rFonts w:asciiTheme="majorHAnsi" w:eastAsia="Times New Roman" w:hAnsiTheme="majorHAnsi"/>
          <w:sz w:val="20"/>
          <w:szCs w:val="20"/>
          <w:lang w:val="es-ES"/>
        </w:rPr>
        <w:t xml:space="preserve"> y procedió a violar a </w:t>
      </w:r>
      <w:r w:rsidR="00F9518D" w:rsidRPr="006E17B3">
        <w:rPr>
          <w:rFonts w:asciiTheme="majorHAnsi" w:eastAsia="Times New Roman" w:hAnsiTheme="majorHAnsi"/>
          <w:sz w:val="20"/>
          <w:szCs w:val="20"/>
          <w:lang w:val="es-ES"/>
        </w:rPr>
        <w:t>Robin</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Kerry</w:t>
      </w:r>
      <w:r w:rsidR="00E71BA7" w:rsidRPr="006E17B3">
        <w:rPr>
          <w:rFonts w:asciiTheme="majorHAnsi" w:eastAsia="Times New Roman" w:hAnsiTheme="majorHAnsi"/>
          <w:sz w:val="20"/>
          <w:szCs w:val="20"/>
          <w:lang w:val="es-ES"/>
        </w:rPr>
        <w:t>. Mientras eso ocurría</w:t>
      </w:r>
      <w:r w:rsidR="00F9518D" w:rsidRPr="006E17B3">
        <w:rPr>
          <w:rFonts w:asciiTheme="majorHAnsi" w:eastAsia="Times New Roman" w:hAnsiTheme="majorHAnsi"/>
          <w:sz w:val="20"/>
          <w:szCs w:val="20"/>
          <w:lang w:val="es-ES"/>
        </w:rPr>
        <w:t>,</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Richardson</w:t>
      </w:r>
      <w:r w:rsidR="00B059EC" w:rsidRPr="006E17B3">
        <w:rPr>
          <w:rFonts w:asciiTheme="majorHAnsi" w:eastAsia="Times New Roman" w:hAnsiTheme="majorHAnsi"/>
          <w:sz w:val="20"/>
          <w:szCs w:val="20"/>
          <w:lang w:val="es-ES"/>
        </w:rPr>
        <w:t xml:space="preserve"> </w:t>
      </w:r>
      <w:r w:rsidR="00E71BA7" w:rsidRPr="006E17B3">
        <w:rPr>
          <w:rFonts w:asciiTheme="majorHAnsi" w:eastAsia="Times New Roman" w:hAnsiTheme="majorHAnsi"/>
          <w:sz w:val="20"/>
          <w:szCs w:val="20"/>
          <w:lang w:val="es-ES"/>
        </w:rPr>
        <w:t xml:space="preserve">obligó a </w:t>
      </w:r>
      <w:r w:rsidR="00F9518D" w:rsidRPr="006E17B3">
        <w:rPr>
          <w:rFonts w:asciiTheme="majorHAnsi" w:eastAsia="Times New Roman" w:hAnsiTheme="majorHAnsi"/>
          <w:sz w:val="20"/>
          <w:szCs w:val="20"/>
          <w:lang w:val="es-ES"/>
        </w:rPr>
        <w:t>Julie</w:t>
      </w:r>
      <w:r w:rsidR="00B059EC" w:rsidRPr="006E17B3">
        <w:rPr>
          <w:rFonts w:asciiTheme="majorHAnsi" w:eastAsia="Times New Roman" w:hAnsiTheme="majorHAnsi"/>
          <w:sz w:val="20"/>
          <w:szCs w:val="20"/>
          <w:lang w:val="es-ES"/>
        </w:rPr>
        <w:t xml:space="preserve"> </w:t>
      </w:r>
      <w:r w:rsidR="00F9518D" w:rsidRPr="006E17B3">
        <w:rPr>
          <w:rFonts w:asciiTheme="majorHAnsi" w:eastAsia="Times New Roman" w:hAnsiTheme="majorHAnsi"/>
          <w:sz w:val="20"/>
          <w:szCs w:val="20"/>
          <w:lang w:val="es-ES"/>
        </w:rPr>
        <w:t>Kerry</w:t>
      </w:r>
      <w:r w:rsidR="00B059EC" w:rsidRPr="006E17B3">
        <w:rPr>
          <w:rFonts w:asciiTheme="majorHAnsi" w:eastAsia="Times New Roman" w:hAnsiTheme="majorHAnsi"/>
          <w:sz w:val="20"/>
          <w:szCs w:val="20"/>
          <w:lang w:val="es-ES"/>
        </w:rPr>
        <w:t xml:space="preserve"> </w:t>
      </w:r>
      <w:r w:rsidR="00E71BA7" w:rsidRPr="006E17B3">
        <w:rPr>
          <w:rFonts w:asciiTheme="majorHAnsi" w:eastAsia="Times New Roman" w:hAnsiTheme="majorHAnsi"/>
          <w:sz w:val="20"/>
          <w:szCs w:val="20"/>
          <w:lang w:val="es-ES"/>
        </w:rPr>
        <w:t>a entrar en un pozo de inspección</w:t>
      </w:r>
      <w:r w:rsidR="00E71BA7">
        <w:rPr>
          <w:rFonts w:asciiTheme="majorHAnsi" w:eastAsia="Times New Roman" w:hAnsiTheme="majorHAnsi"/>
          <w:sz w:val="20"/>
          <w:szCs w:val="20"/>
          <w:lang w:val="es-ES"/>
        </w:rPr>
        <w:t xml:space="preserve"> que había en el puente. Cuando 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F9518D"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E71BA7">
        <w:rPr>
          <w:rFonts w:asciiTheme="majorHAnsi" w:eastAsia="Times New Roman" w:hAnsiTheme="majorHAnsi"/>
          <w:sz w:val="20"/>
          <w:szCs w:val="20"/>
          <w:lang w:val="es-ES"/>
        </w:rPr>
        <w:t xml:space="preserve">terminó de violar a </w:t>
      </w:r>
      <w:r w:rsidR="00F9518D" w:rsidRPr="009D1E2F">
        <w:rPr>
          <w:rFonts w:asciiTheme="majorHAnsi" w:eastAsia="Times New Roman" w:hAnsiTheme="majorHAnsi"/>
          <w:sz w:val="20"/>
          <w:szCs w:val="20"/>
          <w:lang w:val="es-ES"/>
        </w:rPr>
        <w:t>Robin</w:t>
      </w:r>
      <w:r w:rsidR="00B059EC" w:rsidRPr="009D1E2F">
        <w:rPr>
          <w:rFonts w:asciiTheme="majorHAnsi" w:eastAsia="Times New Roman" w:hAnsiTheme="majorHAnsi"/>
          <w:sz w:val="20"/>
          <w:szCs w:val="20"/>
          <w:lang w:val="es-ES"/>
        </w:rPr>
        <w:t xml:space="preserve"> </w:t>
      </w:r>
      <w:r w:rsidR="00F9518D" w:rsidRPr="009D1E2F">
        <w:rPr>
          <w:rFonts w:asciiTheme="majorHAnsi" w:eastAsia="Times New Roman" w:hAnsiTheme="majorHAnsi"/>
          <w:sz w:val="20"/>
          <w:szCs w:val="20"/>
          <w:lang w:val="es-ES"/>
        </w:rPr>
        <w:t>Kerry,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se acercó a </w:t>
      </w:r>
      <w:r w:rsidR="00F9518D" w:rsidRPr="009D1E2F">
        <w:rPr>
          <w:rFonts w:asciiTheme="majorHAnsi" w:eastAsia="Times New Roman" w:hAnsiTheme="majorHAnsi"/>
          <w:sz w:val="20"/>
          <w:szCs w:val="20"/>
          <w:lang w:val="es-ES"/>
        </w:rPr>
        <w:t>Winfrey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y le </w:t>
      </w:r>
      <w:r w:rsidR="003A542A">
        <w:rPr>
          <w:rFonts w:asciiTheme="majorHAnsi" w:eastAsia="Times New Roman" w:hAnsiTheme="majorHAnsi"/>
          <w:sz w:val="20"/>
          <w:szCs w:val="20"/>
          <w:lang w:val="es-ES"/>
        </w:rPr>
        <w:t xml:space="preserve">preguntó </w:t>
      </w:r>
      <w:r w:rsidR="00AC01AD">
        <w:rPr>
          <w:rFonts w:asciiTheme="majorHAnsi" w:eastAsia="Times New Roman" w:hAnsiTheme="majorHAnsi"/>
          <w:sz w:val="20"/>
          <w:szCs w:val="20"/>
          <w:lang w:val="es-ES"/>
        </w:rPr>
        <w:t xml:space="preserve">dónde había ido </w:t>
      </w:r>
      <w:r w:rsidR="00F9518D" w:rsidRPr="009D1E2F">
        <w:rPr>
          <w:rFonts w:asciiTheme="majorHAnsi" w:eastAsia="Times New Roman" w:hAnsiTheme="majorHAnsi"/>
          <w:sz w:val="20"/>
          <w:szCs w:val="20"/>
          <w:lang w:val="es-ES"/>
        </w:rPr>
        <w:t>Richardson</w:t>
      </w:r>
      <w:r w:rsidR="00AC01AD">
        <w:rPr>
          <w:rFonts w:asciiTheme="majorHAnsi" w:eastAsia="Times New Roman" w:hAnsiTheme="majorHAnsi"/>
          <w:sz w:val="20"/>
          <w:szCs w:val="20"/>
          <w:lang w:val="es-ES"/>
        </w:rPr>
        <w:t xml:space="preserve">. </w:t>
      </w:r>
      <w:r w:rsidR="00F9518D" w:rsidRPr="009D1E2F">
        <w:rPr>
          <w:rFonts w:asciiTheme="majorHAnsi" w:eastAsia="Times New Roman" w:hAnsiTheme="majorHAnsi"/>
          <w:sz w:val="20"/>
          <w:szCs w:val="20"/>
          <w:lang w:val="es-ES"/>
        </w:rPr>
        <w:t>Winfrey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señaló la orilla del río del lado de Misuri y </w:t>
      </w:r>
      <w:r w:rsidR="00F9518D"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fue corriendo en esa dirección</w:t>
      </w:r>
      <w:r w:rsidR="00F9518D"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Después, </w:t>
      </w:r>
      <w:r w:rsidR="00F9518D" w:rsidRPr="009D1E2F">
        <w:rPr>
          <w:rFonts w:asciiTheme="majorHAnsi" w:eastAsia="Times New Roman" w:hAnsiTheme="majorHAnsi"/>
          <w:sz w:val="20"/>
          <w:szCs w:val="20"/>
          <w:lang w:val="es-ES"/>
        </w:rPr>
        <w:t>Clemons</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obligó a </w:t>
      </w:r>
      <w:r w:rsidR="00F9518D" w:rsidRPr="009D1E2F">
        <w:rPr>
          <w:rFonts w:asciiTheme="majorHAnsi" w:eastAsia="Times New Roman" w:hAnsiTheme="majorHAnsi"/>
          <w:sz w:val="20"/>
          <w:szCs w:val="20"/>
          <w:lang w:val="es-ES"/>
        </w:rPr>
        <w:t>Robin</w:t>
      </w:r>
      <w:r w:rsidR="00B059EC" w:rsidRPr="009D1E2F">
        <w:rPr>
          <w:rFonts w:asciiTheme="majorHAnsi" w:eastAsia="Times New Roman" w:hAnsiTheme="majorHAnsi"/>
          <w:sz w:val="20"/>
          <w:szCs w:val="20"/>
          <w:lang w:val="es-ES"/>
        </w:rPr>
        <w:t xml:space="preserve"> </w:t>
      </w:r>
      <w:r w:rsidR="00F9518D" w:rsidRPr="009D1E2F">
        <w:rPr>
          <w:rFonts w:asciiTheme="majorHAnsi" w:eastAsia="Times New Roman" w:hAnsiTheme="majorHAnsi"/>
          <w:sz w:val="20"/>
          <w:szCs w:val="20"/>
          <w:lang w:val="es-ES"/>
        </w:rPr>
        <w:t>Kerry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y a </w:t>
      </w:r>
      <w:r w:rsidR="00F9518D" w:rsidRPr="009D1E2F">
        <w:rPr>
          <w:rFonts w:asciiTheme="majorHAnsi" w:eastAsia="Times New Roman" w:hAnsiTheme="majorHAnsi"/>
          <w:sz w:val="20"/>
          <w:szCs w:val="20"/>
          <w:lang w:val="es-ES"/>
        </w:rPr>
        <w:t>Thomas</w:t>
      </w:r>
      <w:r w:rsidR="00B059EC" w:rsidRPr="009D1E2F">
        <w:rPr>
          <w:rFonts w:asciiTheme="majorHAnsi" w:eastAsia="Times New Roman" w:hAnsiTheme="majorHAnsi"/>
          <w:sz w:val="20"/>
          <w:szCs w:val="20"/>
          <w:lang w:val="es-ES"/>
        </w:rPr>
        <w:t xml:space="preserve"> </w:t>
      </w:r>
      <w:proofErr w:type="spellStart"/>
      <w:r w:rsidR="00F9518D" w:rsidRPr="009D1E2F">
        <w:rPr>
          <w:rFonts w:asciiTheme="majorHAnsi" w:eastAsia="Times New Roman" w:hAnsiTheme="majorHAnsi"/>
          <w:sz w:val="20"/>
          <w:szCs w:val="20"/>
          <w:lang w:val="es-ES"/>
        </w:rPr>
        <w:t>Cummins</w:t>
      </w:r>
      <w:proofErr w:type="spellEnd"/>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a entrar en el pozo de inspección y le dijo a </w:t>
      </w:r>
      <w:r w:rsidR="00F9518D" w:rsidRPr="009D1E2F">
        <w:rPr>
          <w:rFonts w:asciiTheme="majorHAnsi" w:eastAsia="Times New Roman" w:hAnsiTheme="majorHAnsi"/>
          <w:sz w:val="20"/>
          <w:szCs w:val="20"/>
          <w:lang w:val="es-ES"/>
        </w:rPr>
        <w:t>Winfrey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que fuera a buscar a</w:t>
      </w:r>
      <w:r w:rsidR="00B059EC" w:rsidRPr="009D1E2F">
        <w:rPr>
          <w:rFonts w:asciiTheme="majorHAnsi" w:eastAsia="Times New Roman" w:hAnsiTheme="majorHAnsi"/>
          <w:sz w:val="20"/>
          <w:szCs w:val="20"/>
          <w:lang w:val="es-ES"/>
        </w:rPr>
        <w:t xml:space="preserve"> </w:t>
      </w:r>
      <w:r w:rsidR="00F9518D"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Empujaron a </w:t>
      </w:r>
      <w:r w:rsidR="00EC73C8" w:rsidRPr="009D1E2F">
        <w:rPr>
          <w:rFonts w:asciiTheme="majorHAnsi" w:eastAsia="Times New Roman" w:hAnsiTheme="majorHAnsi"/>
          <w:sz w:val="20"/>
          <w:szCs w:val="20"/>
          <w:lang w:val="es-ES"/>
        </w:rPr>
        <w:t>Julie</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Robin</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Kerry</w:t>
      </w:r>
      <w:r w:rsidR="00AC01AD">
        <w:rPr>
          <w:rFonts w:asciiTheme="majorHAnsi" w:eastAsia="Times New Roman" w:hAnsiTheme="majorHAnsi"/>
          <w:sz w:val="20"/>
          <w:szCs w:val="20"/>
          <w:lang w:val="es-ES"/>
        </w:rPr>
        <w:t xml:space="preserve">, que cayeron al río, y le dijeron a </w:t>
      </w:r>
      <w:proofErr w:type="spellStart"/>
      <w:r w:rsidR="00EC73C8" w:rsidRPr="009D1E2F">
        <w:rPr>
          <w:rFonts w:asciiTheme="majorHAnsi" w:eastAsia="Times New Roman" w:hAnsiTheme="majorHAnsi"/>
          <w:sz w:val="20"/>
          <w:szCs w:val="20"/>
          <w:lang w:val="es-ES"/>
        </w:rPr>
        <w:t>Cummins</w:t>
      </w:r>
      <w:proofErr w:type="spellEnd"/>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que saltara</w:t>
      </w:r>
      <w:r w:rsidR="00EC73C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Winfrey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encontró a</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Gray</w:t>
      </w:r>
      <w:r w:rsidR="003E0B07">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y </w:t>
      </w:r>
      <w:r w:rsidR="003A542A">
        <w:rPr>
          <w:rFonts w:asciiTheme="majorHAnsi" w:eastAsia="Times New Roman" w:hAnsiTheme="majorHAnsi"/>
          <w:sz w:val="20"/>
          <w:szCs w:val="20"/>
          <w:lang w:val="es-ES"/>
        </w:rPr>
        <w:t>estaban regresando</w:t>
      </w:r>
      <w:r w:rsidR="00AC01AD">
        <w:rPr>
          <w:rFonts w:asciiTheme="majorHAnsi" w:eastAsia="Times New Roman" w:hAnsiTheme="majorHAnsi"/>
          <w:sz w:val="20"/>
          <w:szCs w:val="20"/>
          <w:lang w:val="es-ES"/>
        </w:rPr>
        <w:t xml:space="preserve"> al puente cuando </w:t>
      </w:r>
      <w:r w:rsidR="00EC73C8" w:rsidRPr="009D1E2F">
        <w:rPr>
          <w:rFonts w:asciiTheme="majorHAnsi" w:eastAsia="Times New Roman" w:hAnsiTheme="majorHAnsi"/>
          <w:sz w:val="20"/>
          <w:szCs w:val="20"/>
          <w:lang w:val="es-ES"/>
        </w:rPr>
        <w:t>Clemons</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Richardson</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se encontraron con ellos</w:t>
      </w:r>
      <w:r w:rsidR="00EC73C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Clemons</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dijo: </w:t>
      </w:r>
      <w:r w:rsidR="00EC73C8" w:rsidRPr="009D1E2F">
        <w:rPr>
          <w:rFonts w:asciiTheme="majorHAnsi" w:eastAsia="Times New Roman" w:hAnsiTheme="majorHAnsi"/>
          <w:sz w:val="20"/>
          <w:szCs w:val="20"/>
          <w:lang w:val="es-ES"/>
        </w:rPr>
        <w:t>“</w:t>
      </w:r>
      <w:r w:rsidR="00AC01AD">
        <w:rPr>
          <w:rFonts w:asciiTheme="majorHAnsi" w:eastAsia="Times New Roman" w:hAnsiTheme="majorHAnsi"/>
          <w:sz w:val="20"/>
          <w:szCs w:val="20"/>
          <w:lang w:val="es-ES"/>
        </w:rPr>
        <w:t>Los tiramos al río. Vámonos</w:t>
      </w:r>
      <w:r w:rsidR="00EC73C8" w:rsidRPr="009D1E2F">
        <w:rPr>
          <w:rFonts w:asciiTheme="majorHAnsi" w:eastAsia="Times New Roman" w:hAnsiTheme="majorHAnsi"/>
          <w:sz w:val="20"/>
          <w:szCs w:val="20"/>
          <w:lang w:val="es-ES"/>
        </w:rPr>
        <w:t>”</w:t>
      </w:r>
      <w:r w:rsidR="00AC01AD">
        <w:rPr>
          <w:rFonts w:asciiTheme="majorHAnsi" w:eastAsia="Times New Roman" w:hAnsiTheme="majorHAnsi"/>
          <w:sz w:val="20"/>
          <w:szCs w:val="20"/>
          <w:lang w:val="es-ES"/>
        </w:rPr>
        <w:t>, y los cuatro se fueron del puente</w:t>
      </w:r>
      <w:r w:rsidR="00EC73C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Clemons</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dijo:</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w:t>
      </w:r>
      <w:r w:rsidR="00AC01AD">
        <w:rPr>
          <w:rFonts w:asciiTheme="majorHAnsi" w:eastAsia="Times New Roman" w:hAnsiTheme="majorHAnsi"/>
          <w:sz w:val="20"/>
          <w:szCs w:val="20"/>
          <w:lang w:val="es-ES"/>
        </w:rPr>
        <w:t>No llegarán a la orilla</w:t>
      </w:r>
      <w:r w:rsidR="00EC73C8" w:rsidRPr="009D1E2F">
        <w:rPr>
          <w:rFonts w:asciiTheme="majorHAnsi" w:eastAsia="Times New Roman" w:hAnsiTheme="majorHAnsi"/>
          <w:sz w:val="20"/>
          <w:szCs w:val="20"/>
          <w:lang w:val="es-ES"/>
        </w:rPr>
        <w:t>”</w:t>
      </w:r>
      <w:r w:rsidR="00AC01AD">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E</w:t>
      </w:r>
      <w:r w:rsidR="000E2468" w:rsidRPr="009D1E2F">
        <w:rPr>
          <w:rFonts w:asciiTheme="majorHAnsi" w:eastAsia="Times New Roman" w:hAnsiTheme="majorHAnsi"/>
          <w:sz w:val="20"/>
          <w:szCs w:val="20"/>
          <w:lang w:val="es-ES"/>
        </w:rPr>
        <w:t>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EC73C8"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elogió a </w:t>
      </w:r>
      <w:r w:rsidR="00EC73C8" w:rsidRPr="009D1E2F">
        <w:rPr>
          <w:rFonts w:asciiTheme="majorHAnsi" w:eastAsia="Times New Roman" w:hAnsiTheme="majorHAnsi"/>
          <w:sz w:val="20"/>
          <w:szCs w:val="20"/>
          <w:lang w:val="es-ES"/>
        </w:rPr>
        <w:t>Richardson</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por tener la “valentía” de empujar a </w:t>
      </w:r>
      <w:r w:rsidR="009F3654" w:rsidRPr="009D1E2F">
        <w:rPr>
          <w:rFonts w:asciiTheme="majorHAnsi" w:eastAsia="Times New Roman" w:hAnsiTheme="majorHAnsi"/>
          <w:sz w:val="20"/>
          <w:szCs w:val="20"/>
          <w:lang w:val="es-ES"/>
        </w:rPr>
        <w:t>las</w:t>
      </w:r>
      <w:r w:rsidR="00B059EC" w:rsidRPr="009D1E2F">
        <w:rPr>
          <w:rFonts w:asciiTheme="majorHAnsi" w:eastAsia="Times New Roman" w:hAnsiTheme="majorHAnsi"/>
          <w:sz w:val="20"/>
          <w:szCs w:val="20"/>
          <w:lang w:val="es-ES"/>
        </w:rPr>
        <w:t xml:space="preserve"> </w:t>
      </w:r>
      <w:r w:rsidR="009F3654" w:rsidRPr="009D1E2F">
        <w:rPr>
          <w:rFonts w:asciiTheme="majorHAnsi" w:eastAsia="Times New Roman" w:hAnsiTheme="majorHAnsi"/>
          <w:sz w:val="20"/>
          <w:szCs w:val="20"/>
          <w:lang w:val="es-ES"/>
        </w:rPr>
        <w:t>hermanas</w:t>
      </w:r>
      <w:r w:rsidR="00B059EC" w:rsidRPr="009D1E2F">
        <w:rPr>
          <w:rFonts w:asciiTheme="majorHAnsi" w:eastAsia="Times New Roman" w:hAnsiTheme="majorHAnsi"/>
          <w:sz w:val="20"/>
          <w:szCs w:val="20"/>
          <w:lang w:val="es-ES"/>
        </w:rPr>
        <w:t xml:space="preserve"> </w:t>
      </w:r>
      <w:r w:rsidR="009F3654" w:rsidRPr="009D1E2F">
        <w:rPr>
          <w:rFonts w:asciiTheme="majorHAnsi" w:eastAsia="Times New Roman" w:hAnsiTheme="majorHAnsi"/>
          <w:sz w:val="20"/>
          <w:szCs w:val="20"/>
          <w:lang w:val="es-ES"/>
        </w:rPr>
        <w:t>Kerry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del puente</w:t>
      </w:r>
      <w:r w:rsidR="004B20D9" w:rsidRPr="009D1E2F">
        <w:rPr>
          <w:rStyle w:val="FootnoteReference"/>
          <w:rFonts w:asciiTheme="majorHAnsi" w:eastAsia="Times New Roman" w:hAnsiTheme="majorHAnsi"/>
          <w:sz w:val="20"/>
          <w:szCs w:val="20"/>
          <w:lang w:val="es-ES"/>
        </w:rPr>
        <w:footnoteReference w:id="12"/>
      </w:r>
      <w:r w:rsidR="00AC01AD">
        <w:rPr>
          <w:rFonts w:asciiTheme="majorHAnsi" w:eastAsia="Times New Roman" w:hAnsiTheme="majorHAnsi"/>
          <w:sz w:val="20"/>
          <w:szCs w:val="20"/>
          <w:lang w:val="es-ES"/>
        </w:rPr>
        <w:t>.</w:t>
      </w:r>
    </w:p>
    <w:p w14:paraId="0443797F" w14:textId="77777777" w:rsidR="004F7B27" w:rsidRPr="009D1E2F" w:rsidRDefault="004F7B27"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2B98A334" w14:textId="77777777" w:rsidR="004F7B27" w:rsidRPr="009D1E2F" w:rsidRDefault="009F365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9D1E2F">
        <w:rPr>
          <w:rFonts w:asciiTheme="majorHAnsi" w:eastAsia="Times New Roman" w:hAnsiTheme="majorHAnsi"/>
          <w:sz w:val="20"/>
          <w:szCs w:val="20"/>
          <w:lang w:val="es-ES"/>
        </w:rPr>
        <w:t>Las</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hermanas</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Kerry</w:t>
      </w:r>
      <w:r w:rsidR="00B059EC" w:rsidRPr="009D1E2F">
        <w:rPr>
          <w:rFonts w:asciiTheme="majorHAnsi" w:eastAsia="Times New Roman" w:hAnsiTheme="majorHAnsi"/>
          <w:sz w:val="20"/>
          <w:szCs w:val="20"/>
          <w:lang w:val="es-ES"/>
        </w:rPr>
        <w:t xml:space="preserve"> </w:t>
      </w:r>
      <w:r w:rsidR="00AC01AD">
        <w:rPr>
          <w:rFonts w:asciiTheme="majorHAnsi" w:eastAsia="Times New Roman" w:hAnsiTheme="majorHAnsi"/>
          <w:sz w:val="20"/>
          <w:szCs w:val="20"/>
          <w:lang w:val="es-ES"/>
        </w:rPr>
        <w:t xml:space="preserve">murieron y </w:t>
      </w:r>
      <w:r w:rsidR="004F7B27" w:rsidRPr="009D1E2F">
        <w:rPr>
          <w:rFonts w:asciiTheme="majorHAnsi" w:eastAsia="Times New Roman" w:hAnsiTheme="majorHAnsi"/>
          <w:sz w:val="20"/>
          <w:szCs w:val="20"/>
          <w:lang w:val="es-ES"/>
        </w:rPr>
        <w:t>Thomas</w:t>
      </w:r>
      <w:r w:rsidR="00B059EC" w:rsidRPr="009D1E2F">
        <w:rPr>
          <w:rFonts w:asciiTheme="majorHAnsi" w:eastAsia="Times New Roman" w:hAnsiTheme="majorHAnsi"/>
          <w:sz w:val="20"/>
          <w:szCs w:val="20"/>
          <w:lang w:val="es-ES"/>
        </w:rPr>
        <w:t xml:space="preserve"> </w:t>
      </w:r>
      <w:proofErr w:type="spellStart"/>
      <w:r w:rsidR="004F7B27" w:rsidRPr="009D1E2F">
        <w:rPr>
          <w:rFonts w:asciiTheme="majorHAnsi" w:eastAsia="Times New Roman" w:hAnsiTheme="majorHAnsi"/>
          <w:sz w:val="20"/>
          <w:szCs w:val="20"/>
          <w:lang w:val="es-ES"/>
        </w:rPr>
        <w:t>Cummins</w:t>
      </w:r>
      <w:proofErr w:type="spellEnd"/>
      <w:r w:rsidR="00B059EC" w:rsidRPr="009D1E2F">
        <w:rPr>
          <w:rFonts w:asciiTheme="majorHAnsi" w:eastAsia="Times New Roman" w:hAnsiTheme="majorHAnsi"/>
          <w:sz w:val="20"/>
          <w:szCs w:val="20"/>
          <w:lang w:val="es-ES"/>
        </w:rPr>
        <w:t xml:space="preserve"> </w:t>
      </w:r>
      <w:r w:rsidR="004F7B27" w:rsidRPr="009D1E2F">
        <w:rPr>
          <w:rFonts w:asciiTheme="majorHAnsi" w:eastAsia="Times New Roman" w:hAnsiTheme="majorHAnsi"/>
          <w:sz w:val="20"/>
          <w:szCs w:val="20"/>
          <w:lang w:val="es-ES"/>
        </w:rPr>
        <w:t>s</w:t>
      </w:r>
      <w:r w:rsidR="00AC01AD">
        <w:rPr>
          <w:rFonts w:asciiTheme="majorHAnsi" w:eastAsia="Times New Roman" w:hAnsiTheme="majorHAnsi"/>
          <w:sz w:val="20"/>
          <w:szCs w:val="20"/>
          <w:lang w:val="es-ES"/>
        </w:rPr>
        <w:t>obrevivió.</w:t>
      </w:r>
    </w:p>
    <w:p w14:paraId="19B9BFDC" w14:textId="77777777" w:rsidR="00B15287" w:rsidRPr="009D1E2F" w:rsidRDefault="00B15287"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060216B8" w14:textId="77777777" w:rsidR="00B54D6D" w:rsidRPr="009D1E2F" w:rsidRDefault="00E40F91" w:rsidP="00817426">
      <w:pPr>
        <w:pStyle w:val="Heading2"/>
        <w:keepNext w:val="0"/>
        <w:keepLines w:val="0"/>
        <w:numPr>
          <w:ilvl w:val="0"/>
          <w:numId w:val="73"/>
        </w:numPr>
        <w:spacing w:before="0"/>
        <w:ind w:left="360"/>
        <w:jc w:val="both"/>
        <w:rPr>
          <w:color w:val="auto"/>
          <w:sz w:val="20"/>
          <w:szCs w:val="20"/>
          <w:lang w:val="es-ES"/>
        </w:rPr>
      </w:pPr>
      <w:bookmarkStart w:id="7" w:name="_Toc90284825"/>
      <w:r w:rsidRPr="009D1E2F">
        <w:rPr>
          <w:color w:val="auto"/>
          <w:sz w:val="20"/>
          <w:szCs w:val="20"/>
          <w:lang w:val="es-ES"/>
        </w:rPr>
        <w:t>Juicio</w:t>
      </w:r>
      <w:r w:rsidR="00B059EC" w:rsidRPr="009D1E2F">
        <w:rPr>
          <w:color w:val="auto"/>
          <w:sz w:val="20"/>
          <w:szCs w:val="20"/>
          <w:lang w:val="es-ES"/>
        </w:rPr>
        <w:t xml:space="preserve"> </w:t>
      </w:r>
      <w:r w:rsidRPr="009D1E2F">
        <w:rPr>
          <w:color w:val="auto"/>
          <w:sz w:val="20"/>
          <w:szCs w:val="20"/>
          <w:lang w:val="es-ES"/>
        </w:rPr>
        <w:t>y</w:t>
      </w:r>
      <w:r w:rsidR="00B059EC" w:rsidRPr="009D1E2F">
        <w:rPr>
          <w:color w:val="auto"/>
          <w:sz w:val="20"/>
          <w:szCs w:val="20"/>
          <w:lang w:val="es-ES"/>
        </w:rPr>
        <w:t xml:space="preserve"> </w:t>
      </w:r>
      <w:r w:rsidRPr="009D1E2F">
        <w:rPr>
          <w:color w:val="auto"/>
          <w:sz w:val="20"/>
          <w:szCs w:val="20"/>
          <w:lang w:val="es-ES"/>
        </w:rPr>
        <w:t>pena</w:t>
      </w:r>
      <w:r w:rsidR="00B059EC" w:rsidRPr="009D1E2F">
        <w:rPr>
          <w:color w:val="auto"/>
          <w:sz w:val="20"/>
          <w:szCs w:val="20"/>
          <w:lang w:val="es-ES"/>
        </w:rPr>
        <w:t xml:space="preserve"> </w:t>
      </w:r>
      <w:r w:rsidRPr="009D1E2F">
        <w:rPr>
          <w:color w:val="auto"/>
          <w:sz w:val="20"/>
          <w:szCs w:val="20"/>
          <w:lang w:val="es-ES"/>
        </w:rPr>
        <w:t>de</w:t>
      </w:r>
      <w:r w:rsidR="00B059EC" w:rsidRPr="009D1E2F">
        <w:rPr>
          <w:color w:val="auto"/>
          <w:sz w:val="20"/>
          <w:szCs w:val="20"/>
          <w:lang w:val="es-ES"/>
        </w:rPr>
        <w:t xml:space="preserve"> </w:t>
      </w:r>
      <w:r w:rsidRPr="009D1E2F">
        <w:rPr>
          <w:color w:val="auto"/>
          <w:sz w:val="20"/>
          <w:szCs w:val="20"/>
          <w:lang w:val="es-ES"/>
        </w:rPr>
        <w:t>muerte</w:t>
      </w:r>
      <w:bookmarkEnd w:id="7"/>
    </w:p>
    <w:p w14:paraId="192E4260" w14:textId="77777777" w:rsidR="00B54D6D" w:rsidRPr="009D1E2F" w:rsidRDefault="00B54D6D"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1EB512D3" w14:textId="77777777" w:rsidR="00F11741" w:rsidRPr="009D1E2F" w:rsidRDefault="00AC01A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155010" w:rsidRPr="009D1E2F">
        <w:rPr>
          <w:rFonts w:asciiTheme="majorHAnsi" w:hAnsiTheme="majorHAnsi"/>
          <w:sz w:val="20"/>
          <w:szCs w:val="20"/>
          <w:lang w:val="es-ES"/>
        </w:rPr>
        <w:t>21</w:t>
      </w:r>
      <w:r>
        <w:rPr>
          <w:rFonts w:asciiTheme="majorHAnsi" w:hAnsiTheme="majorHAnsi"/>
          <w:sz w:val="20"/>
          <w:szCs w:val="20"/>
          <w:lang w:val="es-ES"/>
        </w:rPr>
        <w:t xml:space="preserve"> de junio de</w:t>
      </w:r>
      <w:r w:rsidR="00B059EC" w:rsidRPr="009D1E2F">
        <w:rPr>
          <w:rFonts w:asciiTheme="majorHAnsi" w:hAnsiTheme="majorHAnsi"/>
          <w:sz w:val="20"/>
          <w:szCs w:val="20"/>
          <w:lang w:val="es-ES"/>
        </w:rPr>
        <w:t xml:space="preserve"> </w:t>
      </w:r>
      <w:r w:rsidR="00155010" w:rsidRPr="009D1E2F">
        <w:rPr>
          <w:rFonts w:asciiTheme="majorHAnsi" w:hAnsiTheme="majorHAnsi"/>
          <w:sz w:val="20"/>
          <w:szCs w:val="20"/>
          <w:lang w:val="es-ES"/>
        </w:rPr>
        <w:t>1991</w:t>
      </w:r>
      <w:r w:rsidR="0067655A">
        <w:rPr>
          <w:rFonts w:asciiTheme="majorHAnsi" w:hAnsiTheme="majorHAnsi"/>
          <w:sz w:val="20"/>
          <w:szCs w:val="20"/>
          <w:lang w:val="es-ES"/>
        </w:rPr>
        <w:t xml:space="preserve"> se le imputaron formalmente a</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ED1C8D"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 xml:space="preserve">dos cargos de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67655A">
        <w:rPr>
          <w:rFonts w:asciiTheme="majorHAnsi" w:hAnsiTheme="majorHAnsi"/>
          <w:sz w:val="20"/>
          <w:szCs w:val="20"/>
          <w:lang w:val="es-ES"/>
        </w:rPr>
        <w:t xml:space="preserve"> y otros delitos mayores</w:t>
      </w:r>
      <w:r w:rsidR="00DA44EA" w:rsidRPr="009D1E2F">
        <w:rPr>
          <w:rStyle w:val="FootnoteReference"/>
          <w:rFonts w:asciiTheme="majorHAnsi" w:hAnsiTheme="majorHAnsi"/>
          <w:sz w:val="20"/>
          <w:szCs w:val="20"/>
          <w:lang w:val="es-ES"/>
        </w:rPr>
        <w:footnoteReference w:id="13"/>
      </w:r>
      <w:r w:rsidR="0067655A">
        <w:rPr>
          <w:rFonts w:asciiTheme="majorHAnsi" w:hAnsiTheme="majorHAnsi"/>
          <w:sz w:val="20"/>
          <w:szCs w:val="20"/>
          <w:lang w:val="es-ES"/>
        </w:rPr>
        <w:t xml:space="preserve">. El </w:t>
      </w:r>
      <w:r w:rsidR="00DA44EA" w:rsidRPr="009D1E2F">
        <w:rPr>
          <w:rFonts w:asciiTheme="majorHAnsi" w:hAnsiTheme="majorHAnsi"/>
          <w:sz w:val="20"/>
          <w:szCs w:val="20"/>
          <w:lang w:val="es-ES"/>
        </w:rPr>
        <w:t>21</w:t>
      </w:r>
      <w:r w:rsidR="0067655A">
        <w:rPr>
          <w:rFonts w:asciiTheme="majorHAnsi" w:hAnsiTheme="majorHAnsi"/>
          <w:sz w:val="20"/>
          <w:szCs w:val="20"/>
          <w:lang w:val="es-ES"/>
        </w:rPr>
        <w:t xml:space="preserve"> de octubre de</w:t>
      </w:r>
      <w:r w:rsidR="00B059EC" w:rsidRPr="009D1E2F">
        <w:rPr>
          <w:rFonts w:asciiTheme="majorHAnsi" w:hAnsiTheme="majorHAnsi"/>
          <w:sz w:val="20"/>
          <w:szCs w:val="20"/>
          <w:lang w:val="es-ES"/>
        </w:rPr>
        <w:t xml:space="preserve"> </w:t>
      </w:r>
      <w:r w:rsidR="00DA44EA" w:rsidRPr="009D1E2F">
        <w:rPr>
          <w:rFonts w:asciiTheme="majorHAnsi" w:hAnsiTheme="majorHAnsi"/>
          <w:sz w:val="20"/>
          <w:szCs w:val="20"/>
          <w:lang w:val="es-ES"/>
        </w:rPr>
        <w:t>1992</w:t>
      </w:r>
      <w:r w:rsidR="0067655A">
        <w:rPr>
          <w:rFonts w:asciiTheme="majorHAnsi" w:hAnsiTheme="majorHAnsi"/>
          <w:sz w:val="20"/>
          <w:szCs w:val="20"/>
          <w:lang w:val="es-ES"/>
        </w:rPr>
        <w:t xml:space="preserve"> fue declarado culpable de dos cargos de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en calidad de</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cómplice</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 xml:space="preserve">en la muerte de </w:t>
      </w:r>
      <w:r w:rsidR="006145C8" w:rsidRPr="009D1E2F">
        <w:rPr>
          <w:rFonts w:asciiTheme="majorHAnsi" w:hAnsiTheme="majorHAnsi"/>
          <w:sz w:val="20"/>
          <w:szCs w:val="20"/>
          <w:lang w:val="es-ES"/>
        </w:rPr>
        <w:t>Julie</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6145C8" w:rsidRPr="009D1E2F">
        <w:rPr>
          <w:rFonts w:asciiTheme="majorHAnsi" w:hAnsiTheme="majorHAnsi"/>
          <w:sz w:val="20"/>
          <w:szCs w:val="20"/>
          <w:lang w:val="es-ES"/>
        </w:rPr>
        <w:t>Robin</w:t>
      </w:r>
      <w:r w:rsidR="00B059EC" w:rsidRPr="009D1E2F">
        <w:rPr>
          <w:rFonts w:asciiTheme="majorHAnsi" w:hAnsiTheme="majorHAnsi"/>
          <w:sz w:val="20"/>
          <w:szCs w:val="20"/>
          <w:lang w:val="es-ES"/>
        </w:rPr>
        <w:t xml:space="preserve"> </w:t>
      </w:r>
      <w:r w:rsidR="006145C8" w:rsidRPr="009D1E2F">
        <w:rPr>
          <w:rFonts w:asciiTheme="majorHAnsi" w:hAnsiTheme="majorHAnsi"/>
          <w:sz w:val="20"/>
          <w:szCs w:val="20"/>
          <w:lang w:val="es-ES"/>
        </w:rPr>
        <w:t>Kerry.</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 xml:space="preserve">El </w:t>
      </w:r>
      <w:r w:rsidR="006145C8" w:rsidRPr="009D1E2F">
        <w:rPr>
          <w:rFonts w:asciiTheme="majorHAnsi" w:hAnsiTheme="majorHAnsi"/>
          <w:sz w:val="20"/>
          <w:szCs w:val="20"/>
          <w:lang w:val="es-ES"/>
        </w:rPr>
        <w:t>23</w:t>
      </w:r>
      <w:r w:rsidR="0067655A">
        <w:rPr>
          <w:rFonts w:asciiTheme="majorHAnsi" w:hAnsiTheme="majorHAnsi"/>
          <w:sz w:val="20"/>
          <w:szCs w:val="20"/>
          <w:lang w:val="es-ES"/>
        </w:rPr>
        <w:t xml:space="preserve"> de octubre de</w:t>
      </w:r>
      <w:r w:rsidR="00B059EC" w:rsidRPr="009D1E2F">
        <w:rPr>
          <w:rFonts w:asciiTheme="majorHAnsi" w:hAnsiTheme="majorHAnsi"/>
          <w:sz w:val="20"/>
          <w:szCs w:val="20"/>
          <w:lang w:val="es-ES"/>
        </w:rPr>
        <w:t xml:space="preserve"> </w:t>
      </w:r>
      <w:r w:rsidR="006145C8" w:rsidRPr="009D1E2F">
        <w:rPr>
          <w:rFonts w:asciiTheme="majorHAnsi" w:hAnsiTheme="majorHAnsi"/>
          <w:sz w:val="20"/>
          <w:szCs w:val="20"/>
          <w:lang w:val="es-ES"/>
        </w:rPr>
        <w:t>1992,</w:t>
      </w:r>
      <w:r w:rsidR="00B059EC" w:rsidRPr="009D1E2F">
        <w:rPr>
          <w:rFonts w:asciiTheme="majorHAnsi" w:hAnsiTheme="majorHAnsi"/>
          <w:sz w:val="20"/>
          <w:szCs w:val="20"/>
          <w:lang w:val="es-ES"/>
        </w:rPr>
        <w:t xml:space="preserve"> </w:t>
      </w:r>
      <w:r w:rsidR="0093050F">
        <w:rPr>
          <w:rFonts w:asciiTheme="majorHAnsi" w:hAnsiTheme="majorHAnsi"/>
          <w:sz w:val="20"/>
          <w:szCs w:val="20"/>
          <w:lang w:val="es-ES"/>
        </w:rPr>
        <w:t>el jurado</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 xml:space="preserve">emitió un veredicto de pena de muerte por cada cargo. El </w:t>
      </w:r>
      <w:r w:rsidR="00DA44EA" w:rsidRPr="009D1E2F">
        <w:rPr>
          <w:rFonts w:asciiTheme="majorHAnsi" w:hAnsiTheme="majorHAnsi"/>
          <w:sz w:val="20"/>
          <w:szCs w:val="20"/>
          <w:lang w:val="es-ES"/>
        </w:rPr>
        <w:t>3</w:t>
      </w:r>
      <w:r w:rsidR="0067655A">
        <w:rPr>
          <w:rFonts w:asciiTheme="majorHAnsi" w:hAnsiTheme="majorHAnsi"/>
          <w:sz w:val="20"/>
          <w:szCs w:val="20"/>
          <w:lang w:val="es-ES"/>
        </w:rPr>
        <w:t xml:space="preserve"> de diciembre de</w:t>
      </w:r>
      <w:r w:rsidR="00B059EC" w:rsidRPr="009D1E2F">
        <w:rPr>
          <w:rFonts w:asciiTheme="majorHAnsi" w:hAnsiTheme="majorHAnsi"/>
          <w:sz w:val="20"/>
          <w:szCs w:val="20"/>
          <w:lang w:val="es-ES"/>
        </w:rPr>
        <w:t xml:space="preserve"> </w:t>
      </w:r>
      <w:r w:rsidR="00DA44EA" w:rsidRPr="009D1E2F">
        <w:rPr>
          <w:rFonts w:asciiTheme="majorHAnsi" w:hAnsiTheme="majorHAnsi"/>
          <w:sz w:val="20"/>
          <w:szCs w:val="20"/>
          <w:lang w:val="es-ES"/>
        </w:rPr>
        <w:t>1992</w:t>
      </w:r>
      <w:r w:rsidR="003E0B07">
        <w:rPr>
          <w:rFonts w:asciiTheme="majorHAnsi" w:hAnsiTheme="majorHAnsi"/>
          <w:sz w:val="20"/>
          <w:szCs w:val="20"/>
          <w:lang w:val="es-ES"/>
        </w:rPr>
        <w:t>, el señor Gray</w:t>
      </w:r>
      <w:r w:rsidR="0067655A">
        <w:rPr>
          <w:rFonts w:asciiTheme="majorHAnsi" w:hAnsiTheme="majorHAnsi"/>
          <w:sz w:val="20"/>
          <w:szCs w:val="20"/>
          <w:lang w:val="es-ES"/>
        </w:rPr>
        <w:t xml:space="preserve"> fue condenado a muerte por</w:t>
      </w:r>
      <w:r w:rsidR="00B059EC" w:rsidRPr="009D1E2F">
        <w:rPr>
          <w:rFonts w:asciiTheme="majorHAnsi" w:hAnsiTheme="majorHAnsi"/>
          <w:sz w:val="20"/>
          <w:szCs w:val="20"/>
          <w:lang w:val="es-ES"/>
        </w:rPr>
        <w:t xml:space="preserve"> </w:t>
      </w:r>
      <w:r w:rsidR="0067655A">
        <w:rPr>
          <w:rFonts w:asciiTheme="majorHAnsi" w:hAnsiTheme="majorHAnsi"/>
          <w:sz w:val="20"/>
          <w:szCs w:val="20"/>
          <w:lang w:val="es-ES"/>
        </w:rPr>
        <w:t xml:space="preserve">el Tribunal de Circuito de la Ciudad de </w:t>
      </w:r>
      <w:r w:rsidR="00DA44EA" w:rsidRPr="009D1E2F">
        <w:rPr>
          <w:rFonts w:asciiTheme="majorHAnsi" w:hAnsiTheme="majorHAnsi"/>
          <w:sz w:val="20"/>
          <w:szCs w:val="20"/>
          <w:lang w:val="es-ES"/>
        </w:rPr>
        <w:t>St.</w:t>
      </w:r>
      <w:r w:rsidR="00B059EC" w:rsidRPr="009D1E2F">
        <w:rPr>
          <w:rFonts w:asciiTheme="majorHAnsi" w:hAnsiTheme="majorHAnsi"/>
          <w:sz w:val="20"/>
          <w:szCs w:val="20"/>
          <w:lang w:val="es-ES"/>
        </w:rPr>
        <w:t xml:space="preserve"> </w:t>
      </w:r>
      <w:r w:rsidR="00DA44EA" w:rsidRPr="009D1E2F">
        <w:rPr>
          <w:rFonts w:asciiTheme="majorHAnsi" w:hAnsiTheme="majorHAnsi"/>
          <w:sz w:val="20"/>
          <w:szCs w:val="20"/>
          <w:lang w:val="es-ES"/>
        </w:rPr>
        <w:t>Louis</w:t>
      </w:r>
      <w:r w:rsidR="00DA44EA" w:rsidRPr="009D1E2F">
        <w:rPr>
          <w:rStyle w:val="FootnoteReference"/>
          <w:rFonts w:asciiTheme="majorHAnsi" w:hAnsiTheme="majorHAnsi"/>
          <w:sz w:val="20"/>
          <w:szCs w:val="20"/>
          <w:lang w:val="es-ES"/>
        </w:rPr>
        <w:footnoteReference w:id="14"/>
      </w:r>
      <w:r w:rsidR="0067655A">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239FFA1A" w14:textId="77777777" w:rsidR="00F11741" w:rsidRPr="009D1E2F" w:rsidRDefault="00F11741"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4B4A7BEE" w14:textId="77777777" w:rsidR="00AB4CD6" w:rsidRPr="009D1E2F" w:rsidRDefault="0067655A"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En lo que se refiere a los </w:t>
      </w:r>
      <w:r w:rsidR="00866353" w:rsidRPr="009D1E2F">
        <w:rPr>
          <w:rFonts w:asciiTheme="majorHAnsi" w:hAnsiTheme="majorHAnsi"/>
          <w:sz w:val="20"/>
          <w:szCs w:val="20"/>
          <w:lang w:val="es-ES"/>
        </w:rPr>
        <w:t>element</w:t>
      </w:r>
      <w:r>
        <w:rPr>
          <w:rFonts w:asciiTheme="majorHAnsi" w:hAnsiTheme="majorHAnsi"/>
          <w:sz w:val="20"/>
          <w:szCs w:val="20"/>
          <w:lang w:val="es-ES"/>
        </w:rPr>
        <w:t>o</w:t>
      </w:r>
      <w:r w:rsidR="00866353" w:rsidRPr="009D1E2F">
        <w:rPr>
          <w:rFonts w:asciiTheme="majorHAnsi" w:hAnsiTheme="majorHAnsi"/>
          <w:sz w:val="20"/>
          <w:szCs w:val="20"/>
          <w:lang w:val="es-ES"/>
        </w:rPr>
        <w:t>s</w:t>
      </w:r>
      <w:r w:rsidR="00B059EC" w:rsidRPr="009D1E2F">
        <w:rPr>
          <w:rFonts w:asciiTheme="majorHAnsi" w:hAnsiTheme="majorHAnsi"/>
          <w:sz w:val="20"/>
          <w:szCs w:val="20"/>
          <w:lang w:val="es-ES"/>
        </w:rPr>
        <w:t xml:space="preserve"> </w:t>
      </w:r>
      <w:r>
        <w:rPr>
          <w:rFonts w:asciiTheme="majorHAnsi" w:hAnsiTheme="majorHAnsi"/>
          <w:sz w:val="20"/>
          <w:szCs w:val="20"/>
          <w:lang w:val="es-ES"/>
        </w:rPr>
        <w:t>presentes en la conducta delictiva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866353" w:rsidRPr="009D1E2F">
        <w:rPr>
          <w:rFonts w:asciiTheme="majorHAnsi" w:hAnsiTheme="majorHAnsi"/>
          <w:sz w:val="20"/>
          <w:szCs w:val="20"/>
          <w:lang w:val="es-ES"/>
        </w:rPr>
        <w:t>Gray</w:t>
      </w:r>
      <w:r>
        <w:rPr>
          <w:rFonts w:asciiTheme="majorHAnsi" w:hAnsiTheme="majorHAnsi"/>
          <w:sz w:val="20"/>
          <w:szCs w:val="20"/>
          <w:lang w:val="es-ES"/>
        </w:rPr>
        <w:t>, el tribunal señaló lo siguiente</w:t>
      </w:r>
      <w:r w:rsidR="00AB4CD6" w:rsidRPr="009D1E2F">
        <w:rPr>
          <w:rFonts w:asciiTheme="majorHAnsi" w:hAnsiTheme="majorHAnsi"/>
          <w:sz w:val="20"/>
          <w:szCs w:val="20"/>
          <w:lang w:val="es-ES"/>
        </w:rPr>
        <w:t>:</w:t>
      </w:r>
    </w:p>
    <w:p w14:paraId="0381340E" w14:textId="77777777" w:rsidR="00AB4CD6" w:rsidRPr="009D1E2F" w:rsidRDefault="00AB4CD6"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0EB6A15B" w14:textId="77777777" w:rsidR="00AB4CD6" w:rsidRPr="009D1E2F" w:rsidRDefault="00AB4CD6" w:rsidP="007B7F4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lang w:val="es-ES"/>
        </w:rPr>
      </w:pPr>
      <w:r w:rsidRPr="009D1E2F">
        <w:rPr>
          <w:rFonts w:asciiTheme="majorHAnsi" w:hAnsiTheme="majorHAnsi"/>
          <w:sz w:val="18"/>
          <w:szCs w:val="18"/>
          <w:lang w:val="es-ES"/>
        </w:rPr>
        <w:t>[</w:t>
      </w:r>
      <w:r w:rsidR="000E2468" w:rsidRPr="009D1E2F">
        <w:rPr>
          <w:rFonts w:asciiTheme="majorHAnsi" w:hAnsiTheme="majorHAnsi"/>
          <w:sz w:val="18"/>
          <w:szCs w:val="18"/>
          <w:lang w:val="es-ES"/>
        </w:rPr>
        <w:t>el</w:t>
      </w:r>
      <w:r w:rsidR="00B059EC" w:rsidRPr="009D1E2F">
        <w:rPr>
          <w:rFonts w:asciiTheme="majorHAnsi" w:hAnsiTheme="majorHAnsi"/>
          <w:sz w:val="18"/>
          <w:szCs w:val="18"/>
          <w:lang w:val="es-ES"/>
        </w:rPr>
        <w:t xml:space="preserve"> </w:t>
      </w:r>
      <w:r w:rsidR="000E2468" w:rsidRPr="009D1E2F">
        <w:rPr>
          <w:rFonts w:asciiTheme="majorHAnsi" w:hAnsiTheme="majorHAnsi"/>
          <w:sz w:val="18"/>
          <w:szCs w:val="18"/>
          <w:lang w:val="es-ES"/>
        </w:rPr>
        <w:t>señor</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Gray]</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 xml:space="preserve">no mató a </w:t>
      </w:r>
      <w:r w:rsidRPr="009D1E2F">
        <w:rPr>
          <w:rFonts w:asciiTheme="majorHAnsi" w:hAnsiTheme="majorHAnsi"/>
          <w:sz w:val="18"/>
          <w:szCs w:val="18"/>
          <w:lang w:val="es-ES"/>
        </w:rPr>
        <w:t>Julie</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y</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Robin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Kerry</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él mismo. En cambio, según el fiscal y el veredicto d</w:t>
      </w:r>
      <w:r w:rsidR="0093050F">
        <w:rPr>
          <w:rFonts w:asciiTheme="majorHAnsi" w:hAnsiTheme="majorHAnsi"/>
          <w:sz w:val="18"/>
          <w:szCs w:val="18"/>
          <w:lang w:val="es-ES"/>
        </w:rPr>
        <w:t>el jurado</w:t>
      </w:r>
      <w:r w:rsidRPr="009D1E2F">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participó de manera sustancial, junto con otros tres hombres,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en el asalto de las dos víctimas y de su primo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Thomas</w:t>
      </w:r>
      <w:r w:rsidR="00B059EC" w:rsidRPr="009D1E2F">
        <w:rPr>
          <w:rFonts w:asciiTheme="majorHAnsi" w:hAnsiTheme="majorHAnsi"/>
          <w:sz w:val="18"/>
          <w:szCs w:val="18"/>
          <w:lang w:val="es-ES"/>
        </w:rPr>
        <w:t xml:space="preserve"> </w:t>
      </w:r>
      <w:proofErr w:type="spellStart"/>
      <w:r w:rsidRPr="009D1E2F">
        <w:rPr>
          <w:rFonts w:asciiTheme="majorHAnsi" w:hAnsiTheme="majorHAnsi"/>
          <w:sz w:val="18"/>
          <w:szCs w:val="18"/>
          <w:lang w:val="es-ES"/>
        </w:rPr>
        <w:t>Cummins</w:t>
      </w:r>
      <w:proofErr w:type="spellEnd"/>
      <w:r w:rsidR="0067655A">
        <w:rPr>
          <w:rFonts w:asciiTheme="majorHAnsi" w:hAnsiTheme="majorHAnsi"/>
          <w:sz w:val="18"/>
          <w:szCs w:val="18"/>
          <w:lang w:val="es-ES"/>
        </w:rPr>
        <w:t xml:space="preserve"> y en la violación de las dos mujeres. De acuerdo con las leyes de Misuri, una persona puede ser culpable de </w:t>
      </w:r>
      <w:r w:rsidR="00793CFB" w:rsidRPr="009D1E2F">
        <w:rPr>
          <w:rFonts w:asciiTheme="majorHAnsi" w:hAnsiTheme="majorHAnsi"/>
          <w:sz w:val="18"/>
          <w:szCs w:val="18"/>
          <w:lang w:val="es-ES"/>
        </w:rPr>
        <w:t>homicidio</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primer</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grado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w:t>
      </w:r>
      <w:r w:rsidR="0067655A">
        <w:rPr>
          <w:rFonts w:asciiTheme="majorHAnsi" w:hAnsiTheme="majorHAnsi"/>
          <w:sz w:val="18"/>
          <w:szCs w:val="18"/>
          <w:lang w:val="es-ES"/>
        </w:rPr>
        <w:t>y, por lo tanto, pasible de la</w:t>
      </w:r>
      <w:r w:rsidR="00B059EC" w:rsidRPr="009D1E2F">
        <w:rPr>
          <w:rFonts w:asciiTheme="majorHAnsi" w:hAnsiTheme="majorHAnsi"/>
          <w:sz w:val="18"/>
          <w:szCs w:val="18"/>
          <w:lang w:val="es-ES"/>
        </w:rPr>
        <w:t xml:space="preserve"> </w:t>
      </w:r>
      <w:r w:rsidR="00817426" w:rsidRPr="009D1E2F">
        <w:rPr>
          <w:rFonts w:asciiTheme="majorHAnsi" w:hAnsiTheme="majorHAnsi"/>
          <w:sz w:val="18"/>
          <w:szCs w:val="18"/>
          <w:lang w:val="es-ES"/>
        </w:rPr>
        <w:t>pena</w:t>
      </w:r>
      <w:r w:rsidR="00B059EC" w:rsidRPr="009D1E2F">
        <w:rPr>
          <w:rFonts w:asciiTheme="majorHAnsi" w:hAnsiTheme="majorHAnsi"/>
          <w:sz w:val="18"/>
          <w:szCs w:val="18"/>
          <w:lang w:val="es-ES"/>
        </w:rPr>
        <w:t xml:space="preserve"> </w:t>
      </w:r>
      <w:r w:rsidR="00817426"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00817426" w:rsidRPr="009D1E2F">
        <w:rPr>
          <w:rFonts w:asciiTheme="majorHAnsi" w:hAnsiTheme="majorHAnsi"/>
          <w:sz w:val="18"/>
          <w:szCs w:val="18"/>
          <w:lang w:val="es-ES"/>
        </w:rPr>
        <w:t>muerte</w:t>
      </w:r>
      <w:r w:rsidRPr="009D1E2F">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sin ser en la práctica el asesino. Sin embargo, no basta con participar en la planificación y la ejecución de delitos mayores —en este caso, violación y robo—, sino que también hay que demostrar que los asociados del acusado cometieron un homicidio</w:t>
      </w:r>
      <w:r w:rsidR="00BB06BE">
        <w:rPr>
          <w:rFonts w:asciiTheme="majorHAnsi" w:hAnsiTheme="majorHAnsi"/>
          <w:sz w:val="18"/>
          <w:szCs w:val="18"/>
          <w:lang w:val="es-ES"/>
        </w:rPr>
        <w:t xml:space="preserve"> y</w:t>
      </w:r>
      <w:r w:rsidR="0067655A">
        <w:rPr>
          <w:rFonts w:asciiTheme="majorHAnsi" w:hAnsiTheme="majorHAnsi"/>
          <w:sz w:val="18"/>
          <w:szCs w:val="18"/>
          <w:lang w:val="es-ES"/>
        </w:rPr>
        <w:t xml:space="preserve"> que</w:t>
      </w:r>
      <w:r w:rsidR="00BB06BE">
        <w:rPr>
          <w:rFonts w:asciiTheme="majorHAnsi" w:hAnsiTheme="majorHAnsi"/>
          <w:sz w:val="18"/>
          <w:szCs w:val="18"/>
          <w:lang w:val="es-ES"/>
        </w:rPr>
        <w:t xml:space="preserve"> el acusado cooperó con ellos y</w:t>
      </w:r>
      <w:r w:rsidR="0067655A">
        <w:rPr>
          <w:rFonts w:asciiTheme="majorHAnsi" w:hAnsiTheme="majorHAnsi"/>
          <w:sz w:val="18"/>
          <w:szCs w:val="18"/>
          <w:lang w:val="es-ES"/>
        </w:rPr>
        <w:t xml:space="preserve">, después de deliberar, actuó junto con ellos para ocasionar las muertes </w:t>
      </w:r>
      <w:r w:rsidRPr="009D1E2F">
        <w:rPr>
          <w:rFonts w:asciiTheme="majorHAnsi" w:hAnsiTheme="majorHAnsi"/>
          <w:sz w:val="18"/>
          <w:szCs w:val="18"/>
          <w:lang w:val="es-ES"/>
        </w:rPr>
        <w:t>[…]</w:t>
      </w:r>
      <w:r w:rsidR="0067655A">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 xml:space="preserve">Debe haber pruebas de que el </w:t>
      </w:r>
      <w:r w:rsidR="00C851B8">
        <w:rPr>
          <w:rFonts w:asciiTheme="majorHAnsi" w:hAnsiTheme="majorHAnsi"/>
          <w:sz w:val="18"/>
          <w:szCs w:val="18"/>
          <w:lang w:val="es-ES"/>
        </w:rPr>
        <w:t>acusado</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 xml:space="preserve">mismo tomó la decisión de matar a las </w:t>
      </w:r>
      <w:r w:rsidR="00C851B8">
        <w:rPr>
          <w:rFonts w:asciiTheme="majorHAnsi" w:hAnsiTheme="majorHAnsi"/>
          <w:sz w:val="18"/>
          <w:szCs w:val="18"/>
          <w:lang w:val="es-ES"/>
        </w:rPr>
        <w:t>víctima</w:t>
      </w:r>
      <w:r w:rsidRPr="009D1E2F">
        <w:rPr>
          <w:rFonts w:asciiTheme="majorHAnsi" w:hAnsiTheme="majorHAnsi"/>
          <w:sz w:val="18"/>
          <w:szCs w:val="18"/>
          <w:lang w:val="es-ES"/>
        </w:rPr>
        <w:t>s</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antes d</w:t>
      </w:r>
      <w:r w:rsidR="00C851B8">
        <w:rPr>
          <w:rFonts w:asciiTheme="majorHAnsi" w:hAnsiTheme="majorHAnsi"/>
          <w:sz w:val="18"/>
          <w:szCs w:val="18"/>
          <w:lang w:val="es-ES"/>
        </w:rPr>
        <w:t>el homicidio</w:t>
      </w:r>
      <w:r w:rsidRPr="009D1E2F">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La suficiencia de la prueba para demostrar que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Gray</w:t>
      </w:r>
      <w:r w:rsidR="0067655A">
        <w:rPr>
          <w:rFonts w:asciiTheme="majorHAnsi" w:hAnsiTheme="majorHAnsi"/>
          <w:sz w:val="18"/>
          <w:szCs w:val="18"/>
          <w:lang w:val="es-ES"/>
        </w:rPr>
        <w:t xml:space="preserve"> es culpable de </w:t>
      </w:r>
      <w:r w:rsidR="00793CFB" w:rsidRPr="009D1E2F">
        <w:rPr>
          <w:rFonts w:asciiTheme="majorHAnsi" w:hAnsiTheme="majorHAnsi"/>
          <w:sz w:val="18"/>
          <w:szCs w:val="18"/>
          <w:lang w:val="es-ES"/>
        </w:rPr>
        <w:t>homicidio</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primer</w:t>
      </w:r>
      <w:r w:rsidR="00B059EC" w:rsidRPr="009D1E2F">
        <w:rPr>
          <w:rFonts w:asciiTheme="majorHAnsi" w:hAnsiTheme="majorHAnsi"/>
          <w:sz w:val="18"/>
          <w:szCs w:val="18"/>
          <w:lang w:val="es-ES"/>
        </w:rPr>
        <w:t xml:space="preserve"> </w:t>
      </w:r>
      <w:r w:rsidR="00793CFB" w:rsidRPr="009D1E2F">
        <w:rPr>
          <w:rFonts w:asciiTheme="majorHAnsi" w:hAnsiTheme="majorHAnsi"/>
          <w:sz w:val="18"/>
          <w:szCs w:val="18"/>
          <w:lang w:val="es-ES"/>
        </w:rPr>
        <w:t>grado</w:t>
      </w:r>
      <w:r w:rsidR="00B059EC" w:rsidRPr="009D1E2F">
        <w:rPr>
          <w:rFonts w:asciiTheme="majorHAnsi" w:hAnsiTheme="majorHAnsi"/>
          <w:sz w:val="18"/>
          <w:szCs w:val="18"/>
          <w:lang w:val="es-ES"/>
        </w:rPr>
        <w:t xml:space="preserve"> </w:t>
      </w:r>
      <w:r w:rsidR="0067655A">
        <w:rPr>
          <w:rFonts w:asciiTheme="majorHAnsi" w:hAnsiTheme="majorHAnsi"/>
          <w:sz w:val="18"/>
          <w:szCs w:val="18"/>
          <w:lang w:val="es-ES"/>
        </w:rPr>
        <w:t>no es uno de los asuntos que tenemos ante nosotros</w:t>
      </w:r>
      <w:r w:rsidR="00866353" w:rsidRPr="009D1E2F">
        <w:rPr>
          <w:rStyle w:val="FootnoteReference"/>
          <w:rFonts w:asciiTheme="majorHAnsi" w:hAnsiTheme="majorHAnsi"/>
          <w:sz w:val="18"/>
          <w:szCs w:val="18"/>
          <w:lang w:val="es-ES"/>
        </w:rPr>
        <w:footnoteReference w:id="15"/>
      </w:r>
      <w:r w:rsidR="0067655A">
        <w:rPr>
          <w:rFonts w:asciiTheme="majorHAnsi" w:hAnsiTheme="majorHAnsi"/>
          <w:sz w:val="18"/>
          <w:szCs w:val="18"/>
          <w:lang w:val="es-ES"/>
        </w:rPr>
        <w:t>.</w:t>
      </w:r>
      <w:r w:rsidR="00B059EC" w:rsidRPr="009D1E2F">
        <w:rPr>
          <w:rFonts w:asciiTheme="majorHAnsi" w:hAnsiTheme="majorHAnsi"/>
          <w:sz w:val="18"/>
          <w:szCs w:val="18"/>
          <w:lang w:val="es-ES"/>
        </w:rPr>
        <w:t xml:space="preserve"> </w:t>
      </w:r>
    </w:p>
    <w:p w14:paraId="0F58D03E" w14:textId="77777777" w:rsidR="00AB4CD6" w:rsidRPr="009D1E2F" w:rsidRDefault="00AB4CD6"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5D398621" w14:textId="77777777" w:rsidR="009003AB" w:rsidRPr="00F04A71" w:rsidRDefault="00F04A7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Las pruebas al respecto consideradas por el tribunal fueron las siguientes</w:t>
      </w:r>
      <w:r w:rsidR="00586B77" w:rsidRPr="00F04A71">
        <w:rPr>
          <w:rFonts w:asciiTheme="majorHAnsi" w:hAnsiTheme="majorHAnsi"/>
          <w:sz w:val="20"/>
          <w:szCs w:val="20"/>
          <w:lang w:val="es-ES"/>
        </w:rPr>
        <w:t>:</w:t>
      </w:r>
    </w:p>
    <w:p w14:paraId="02DB9541" w14:textId="77777777" w:rsidR="00586B77" w:rsidRPr="00F04A71" w:rsidRDefault="00586B77" w:rsidP="00817426">
      <w:pPr>
        <w:pStyle w:val="ListParagraph"/>
        <w:rPr>
          <w:rFonts w:asciiTheme="majorHAnsi" w:hAnsiTheme="majorHAnsi"/>
          <w:sz w:val="20"/>
          <w:szCs w:val="20"/>
          <w:lang w:val="es-ES"/>
        </w:rPr>
      </w:pPr>
    </w:p>
    <w:p w14:paraId="3CF99C5B" w14:textId="77777777" w:rsidR="00586B77" w:rsidRPr="009D1E2F" w:rsidRDefault="00F04A71"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lang w:val="es-ES"/>
        </w:rPr>
      </w:pPr>
      <w:r>
        <w:rPr>
          <w:rFonts w:asciiTheme="majorHAnsi" w:hAnsiTheme="majorHAnsi"/>
          <w:sz w:val="18"/>
          <w:szCs w:val="18"/>
          <w:lang w:val="es-ES"/>
        </w:rPr>
        <w:t xml:space="preserve">Hubo amenazas de muerte proferidas por </w:t>
      </w:r>
      <w:r w:rsidR="00C851B8" w:rsidRPr="00F04A71">
        <w:rPr>
          <w:rFonts w:asciiTheme="majorHAnsi" w:hAnsiTheme="majorHAnsi"/>
          <w:sz w:val="18"/>
          <w:szCs w:val="18"/>
          <w:lang w:val="es-ES"/>
        </w:rPr>
        <w:t>el acusado</w:t>
      </w:r>
      <w:r w:rsidR="00B059EC" w:rsidRPr="00F04A71">
        <w:rPr>
          <w:rFonts w:asciiTheme="majorHAnsi" w:hAnsiTheme="majorHAnsi"/>
          <w:sz w:val="18"/>
          <w:szCs w:val="18"/>
          <w:lang w:val="es-ES"/>
        </w:rPr>
        <w:t xml:space="preserve"> </w:t>
      </w:r>
      <w:r w:rsidR="00586B77" w:rsidRPr="00F04A71">
        <w:rPr>
          <w:rFonts w:asciiTheme="majorHAnsi" w:hAnsiTheme="majorHAnsi"/>
          <w:sz w:val="18"/>
          <w:szCs w:val="18"/>
          <w:lang w:val="es-ES"/>
        </w:rPr>
        <w:t>o</w:t>
      </w:r>
      <w:r>
        <w:rPr>
          <w:rFonts w:asciiTheme="majorHAnsi" w:hAnsiTheme="majorHAnsi"/>
          <w:sz w:val="18"/>
          <w:szCs w:val="18"/>
          <w:lang w:val="es-ES"/>
        </w:rPr>
        <w:t xml:space="preserve"> en su presencia. Además, en un momento dado,</w:t>
      </w:r>
      <w:r w:rsidR="00B059EC" w:rsidRPr="00F04A71">
        <w:rPr>
          <w:rFonts w:asciiTheme="majorHAnsi" w:hAnsiTheme="majorHAnsi"/>
          <w:sz w:val="18"/>
          <w:szCs w:val="18"/>
          <w:lang w:val="es-ES"/>
        </w:rPr>
        <w:t xml:space="preserve"> </w:t>
      </w:r>
      <w:r w:rsidR="00C851B8" w:rsidRPr="00F04A71">
        <w:rPr>
          <w:rFonts w:asciiTheme="majorHAnsi" w:hAnsiTheme="majorHAnsi"/>
          <w:sz w:val="18"/>
          <w:szCs w:val="18"/>
          <w:lang w:val="es-ES"/>
        </w:rPr>
        <w:t>el acusado</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le dijo a </w:t>
      </w:r>
      <w:proofErr w:type="spellStart"/>
      <w:r w:rsidR="00586B77" w:rsidRPr="00F04A71">
        <w:rPr>
          <w:rFonts w:asciiTheme="majorHAnsi" w:hAnsiTheme="majorHAnsi"/>
          <w:sz w:val="18"/>
          <w:szCs w:val="18"/>
          <w:lang w:val="es-ES"/>
        </w:rPr>
        <w:t>Cummins</w:t>
      </w:r>
      <w:proofErr w:type="spellEnd"/>
      <w:r>
        <w:rPr>
          <w:rFonts w:asciiTheme="majorHAnsi" w:hAnsiTheme="majorHAnsi"/>
          <w:sz w:val="18"/>
          <w:szCs w:val="18"/>
          <w:lang w:val="es-ES"/>
        </w:rPr>
        <w:t xml:space="preserve"> que le pegaría un tiro</w:t>
      </w:r>
      <w:r w:rsidR="00586B77" w:rsidRPr="00F04A71">
        <w:rPr>
          <w:rFonts w:asciiTheme="majorHAnsi" w:hAnsiTheme="majorHAnsi"/>
          <w:sz w:val="18"/>
          <w:szCs w:val="18"/>
          <w:lang w:val="es-ES"/>
        </w:rPr>
        <w:t>,</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lo cual </w:t>
      </w:r>
      <w:r w:rsidR="00586B77" w:rsidRPr="00F04A71">
        <w:rPr>
          <w:rFonts w:asciiTheme="majorHAnsi" w:hAnsiTheme="majorHAnsi"/>
          <w:sz w:val="18"/>
          <w:szCs w:val="18"/>
          <w:lang w:val="es-ES"/>
        </w:rPr>
        <w:t>indica</w:t>
      </w:r>
      <w:r>
        <w:rPr>
          <w:rFonts w:asciiTheme="majorHAnsi" w:hAnsiTheme="majorHAnsi"/>
          <w:sz w:val="18"/>
          <w:szCs w:val="18"/>
          <w:lang w:val="es-ES"/>
        </w:rPr>
        <w:t xml:space="preserve"> que tenía fácilmente a su alcance un arma mortífera, a pesar de que no la hubiera blandido o utilizado para cometer los homicidios en este </w:t>
      </w:r>
      <w:r w:rsidR="00586B77" w:rsidRPr="00F04A71">
        <w:rPr>
          <w:rFonts w:asciiTheme="majorHAnsi" w:hAnsiTheme="majorHAnsi"/>
          <w:sz w:val="18"/>
          <w:szCs w:val="18"/>
          <w:lang w:val="es-ES"/>
        </w:rPr>
        <w:t>cas</w:t>
      </w:r>
      <w:r>
        <w:rPr>
          <w:rFonts w:asciiTheme="majorHAnsi" w:hAnsiTheme="majorHAnsi"/>
          <w:sz w:val="18"/>
          <w:szCs w:val="18"/>
          <w:lang w:val="es-ES"/>
        </w:rPr>
        <w:t>o</w:t>
      </w:r>
      <w:r w:rsidR="00586B77" w:rsidRPr="00F04A71">
        <w:rPr>
          <w:rFonts w:asciiTheme="majorHAnsi" w:hAnsiTheme="majorHAnsi"/>
          <w:sz w:val="18"/>
          <w:szCs w:val="18"/>
          <w:lang w:val="es-ES"/>
        </w:rPr>
        <w:t>.</w:t>
      </w:r>
      <w:r w:rsidR="00B059EC" w:rsidRPr="00F04A71">
        <w:rPr>
          <w:rFonts w:asciiTheme="majorHAnsi" w:hAnsiTheme="majorHAnsi"/>
          <w:sz w:val="18"/>
          <w:szCs w:val="18"/>
          <w:lang w:val="es-ES"/>
        </w:rPr>
        <w:t xml:space="preserve"> </w:t>
      </w:r>
      <w:r w:rsidR="0093050F" w:rsidRPr="00F04A71">
        <w:rPr>
          <w:rFonts w:asciiTheme="majorHAnsi" w:hAnsiTheme="majorHAnsi"/>
          <w:sz w:val="18"/>
          <w:szCs w:val="18"/>
          <w:lang w:val="es-ES"/>
        </w:rPr>
        <w:t>El jurado</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tenía derecho a creer que el acusado tenía un arma de fuego. El acusado continuó la actividad delictiva tras las amenazas de matar a las </w:t>
      </w:r>
      <w:r w:rsidR="00C851B8" w:rsidRPr="00F04A71">
        <w:rPr>
          <w:rFonts w:asciiTheme="majorHAnsi" w:hAnsiTheme="majorHAnsi"/>
          <w:sz w:val="18"/>
          <w:szCs w:val="18"/>
          <w:lang w:val="es-ES"/>
        </w:rPr>
        <w:t>víctima</w:t>
      </w:r>
      <w:r w:rsidR="00586B77" w:rsidRPr="00F04A71">
        <w:rPr>
          <w:rFonts w:asciiTheme="majorHAnsi" w:hAnsiTheme="majorHAnsi"/>
          <w:sz w:val="18"/>
          <w:szCs w:val="18"/>
          <w:lang w:val="es-ES"/>
        </w:rPr>
        <w:t>s</w:t>
      </w:r>
      <w:r>
        <w:rPr>
          <w:rFonts w:asciiTheme="majorHAnsi" w:hAnsiTheme="majorHAnsi"/>
          <w:sz w:val="18"/>
          <w:szCs w:val="18"/>
          <w:lang w:val="es-ES"/>
        </w:rPr>
        <w:t xml:space="preserve">. Después de las amenazas, </w:t>
      </w:r>
      <w:r w:rsidR="00BB06BE">
        <w:rPr>
          <w:rFonts w:asciiTheme="majorHAnsi" w:hAnsiTheme="majorHAnsi"/>
          <w:sz w:val="18"/>
          <w:szCs w:val="18"/>
          <w:lang w:val="es-ES"/>
        </w:rPr>
        <w:t>man</w:t>
      </w:r>
      <w:r>
        <w:rPr>
          <w:rFonts w:asciiTheme="majorHAnsi" w:hAnsiTheme="majorHAnsi"/>
          <w:sz w:val="18"/>
          <w:szCs w:val="18"/>
          <w:lang w:val="es-ES"/>
        </w:rPr>
        <w:t>tuvo a</w:t>
      </w:r>
      <w:r w:rsidR="00B059EC" w:rsidRPr="00F04A71">
        <w:rPr>
          <w:rFonts w:asciiTheme="majorHAnsi" w:hAnsiTheme="majorHAnsi"/>
          <w:sz w:val="18"/>
          <w:szCs w:val="18"/>
          <w:lang w:val="es-ES"/>
        </w:rPr>
        <w:t xml:space="preserve"> </w:t>
      </w:r>
      <w:proofErr w:type="spellStart"/>
      <w:r w:rsidR="00586B77" w:rsidRPr="00F04A71">
        <w:rPr>
          <w:rFonts w:asciiTheme="majorHAnsi" w:hAnsiTheme="majorHAnsi"/>
          <w:sz w:val="18"/>
          <w:szCs w:val="18"/>
          <w:lang w:val="es-ES"/>
        </w:rPr>
        <w:t>Cummins</w:t>
      </w:r>
      <w:proofErr w:type="spellEnd"/>
      <w:r w:rsidR="00B059EC" w:rsidRPr="00F04A71">
        <w:rPr>
          <w:rFonts w:asciiTheme="majorHAnsi" w:hAnsiTheme="majorHAnsi"/>
          <w:sz w:val="18"/>
          <w:szCs w:val="18"/>
          <w:lang w:val="es-ES"/>
        </w:rPr>
        <w:t xml:space="preserve"> </w:t>
      </w:r>
      <w:r w:rsidR="00586B77" w:rsidRPr="00F04A71">
        <w:rPr>
          <w:rFonts w:asciiTheme="majorHAnsi" w:hAnsiTheme="majorHAnsi"/>
          <w:sz w:val="18"/>
          <w:szCs w:val="18"/>
          <w:lang w:val="es-ES"/>
        </w:rPr>
        <w:t>a</w:t>
      </w:r>
      <w:r>
        <w:rPr>
          <w:rFonts w:asciiTheme="majorHAnsi" w:hAnsiTheme="majorHAnsi"/>
          <w:sz w:val="18"/>
          <w:szCs w:val="18"/>
          <w:lang w:val="es-ES"/>
        </w:rPr>
        <w:t>corralado mientras se cometían las violaciones</w:t>
      </w:r>
      <w:r w:rsidR="00586B77" w:rsidRPr="00F04A71">
        <w:rPr>
          <w:rFonts w:asciiTheme="majorHAnsi" w:hAnsiTheme="majorHAnsi"/>
          <w:sz w:val="18"/>
          <w:szCs w:val="18"/>
          <w:lang w:val="es-ES"/>
        </w:rPr>
        <w:t>.</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El acusado participó en una </w:t>
      </w:r>
      <w:r w:rsidR="00BB06BE">
        <w:rPr>
          <w:rFonts w:asciiTheme="majorHAnsi" w:hAnsiTheme="majorHAnsi"/>
          <w:sz w:val="18"/>
          <w:szCs w:val="18"/>
          <w:lang w:val="es-ES"/>
        </w:rPr>
        <w:t xml:space="preserve">discusión sobre si </w:t>
      </w:r>
      <w:proofErr w:type="gramStart"/>
      <w:r w:rsidR="00BB06BE">
        <w:rPr>
          <w:rFonts w:asciiTheme="majorHAnsi" w:hAnsiTheme="majorHAnsi"/>
          <w:sz w:val="18"/>
          <w:szCs w:val="18"/>
          <w:lang w:val="es-ES"/>
        </w:rPr>
        <w:t>matarían</w:t>
      </w:r>
      <w:proofErr w:type="gramEnd"/>
      <w:r w:rsidR="00BB06BE">
        <w:rPr>
          <w:rFonts w:asciiTheme="majorHAnsi" w:hAnsiTheme="majorHAnsi"/>
          <w:sz w:val="18"/>
          <w:szCs w:val="18"/>
          <w:lang w:val="es-ES"/>
        </w:rPr>
        <w:t xml:space="preserve"> </w:t>
      </w:r>
      <w:r>
        <w:rPr>
          <w:rFonts w:asciiTheme="majorHAnsi" w:hAnsiTheme="majorHAnsi"/>
          <w:sz w:val="18"/>
          <w:szCs w:val="18"/>
          <w:lang w:val="es-ES"/>
        </w:rPr>
        <w:t>a</w:t>
      </w:r>
      <w:r w:rsidR="00B059EC" w:rsidRPr="00F04A71">
        <w:rPr>
          <w:rFonts w:asciiTheme="majorHAnsi" w:hAnsiTheme="majorHAnsi"/>
          <w:sz w:val="18"/>
          <w:szCs w:val="18"/>
          <w:lang w:val="es-ES"/>
        </w:rPr>
        <w:t xml:space="preserve"> </w:t>
      </w:r>
      <w:proofErr w:type="spellStart"/>
      <w:r w:rsidR="00586B77" w:rsidRPr="00F04A71">
        <w:rPr>
          <w:rFonts w:asciiTheme="majorHAnsi" w:hAnsiTheme="majorHAnsi"/>
          <w:sz w:val="18"/>
          <w:szCs w:val="18"/>
          <w:lang w:val="es-ES"/>
        </w:rPr>
        <w:t>Cummins</w:t>
      </w:r>
      <w:proofErr w:type="spellEnd"/>
      <w:r>
        <w:rPr>
          <w:rFonts w:asciiTheme="majorHAnsi" w:hAnsiTheme="majorHAnsi"/>
          <w:sz w:val="18"/>
          <w:szCs w:val="18"/>
          <w:lang w:val="es-ES"/>
        </w:rPr>
        <w:t xml:space="preserve">, seguida de un atentado contra la vida de </w:t>
      </w:r>
      <w:proofErr w:type="spellStart"/>
      <w:r w:rsidR="00586B77" w:rsidRPr="00F04A71">
        <w:rPr>
          <w:rFonts w:asciiTheme="majorHAnsi" w:hAnsiTheme="majorHAnsi"/>
          <w:sz w:val="18"/>
          <w:szCs w:val="18"/>
          <w:lang w:val="es-ES"/>
        </w:rPr>
        <w:t>Cummins</w:t>
      </w:r>
      <w:proofErr w:type="spellEnd"/>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y los dos </w:t>
      </w:r>
      <w:r w:rsidR="00586B77" w:rsidRPr="00F04A71">
        <w:rPr>
          <w:rFonts w:asciiTheme="majorHAnsi" w:hAnsiTheme="majorHAnsi"/>
          <w:sz w:val="18"/>
          <w:szCs w:val="18"/>
          <w:lang w:val="es-ES"/>
        </w:rPr>
        <w:t>homicid</w:t>
      </w:r>
      <w:r>
        <w:rPr>
          <w:rFonts w:asciiTheme="majorHAnsi" w:hAnsiTheme="majorHAnsi"/>
          <w:sz w:val="18"/>
          <w:szCs w:val="18"/>
          <w:lang w:val="es-ES"/>
        </w:rPr>
        <w:t>ios. Estos hechos, sumados a la declaración de</w:t>
      </w:r>
      <w:r w:rsidR="00C851B8" w:rsidRPr="00F04A71">
        <w:rPr>
          <w:rFonts w:asciiTheme="majorHAnsi" w:hAnsiTheme="majorHAnsi"/>
          <w:sz w:val="18"/>
          <w:szCs w:val="18"/>
          <w:lang w:val="es-ES"/>
        </w:rPr>
        <w:t>l acusado</w:t>
      </w:r>
      <w:r>
        <w:rPr>
          <w:rFonts w:asciiTheme="majorHAnsi" w:hAnsiTheme="majorHAnsi"/>
          <w:sz w:val="18"/>
          <w:szCs w:val="18"/>
          <w:lang w:val="es-ES"/>
        </w:rPr>
        <w:t xml:space="preserve"> de que tenía ganas de hacerle daño a alguien, a su papel de líder y </w:t>
      </w:r>
      <w:r w:rsidR="00AA6698" w:rsidRPr="00F04A71">
        <w:rPr>
          <w:rFonts w:asciiTheme="majorHAnsi" w:hAnsiTheme="majorHAnsi"/>
          <w:sz w:val="18"/>
          <w:szCs w:val="18"/>
          <w:lang w:val="es-ES"/>
        </w:rPr>
        <w:t>sicario</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del grupo y </w:t>
      </w:r>
      <w:r w:rsidR="00BB06BE">
        <w:rPr>
          <w:rFonts w:asciiTheme="majorHAnsi" w:hAnsiTheme="majorHAnsi"/>
          <w:sz w:val="18"/>
          <w:szCs w:val="18"/>
          <w:lang w:val="es-ES"/>
        </w:rPr>
        <w:t xml:space="preserve">a </w:t>
      </w:r>
      <w:r>
        <w:rPr>
          <w:rFonts w:asciiTheme="majorHAnsi" w:hAnsiTheme="majorHAnsi"/>
          <w:sz w:val="18"/>
          <w:szCs w:val="18"/>
          <w:lang w:val="es-ES"/>
        </w:rPr>
        <w:t>su convencimiento, antes de irse del puente, de que</w:t>
      </w:r>
      <w:r w:rsidR="00B059EC" w:rsidRPr="00F04A71">
        <w:rPr>
          <w:rFonts w:asciiTheme="majorHAnsi" w:hAnsiTheme="majorHAnsi"/>
          <w:sz w:val="18"/>
          <w:szCs w:val="18"/>
          <w:lang w:val="es-ES"/>
        </w:rPr>
        <w:t xml:space="preserve"> </w:t>
      </w:r>
      <w:r w:rsidR="00586B77" w:rsidRPr="00F04A71">
        <w:rPr>
          <w:rFonts w:asciiTheme="majorHAnsi" w:hAnsiTheme="majorHAnsi"/>
          <w:sz w:val="18"/>
          <w:szCs w:val="18"/>
          <w:lang w:val="es-ES"/>
        </w:rPr>
        <w:t>Richardson</w:t>
      </w:r>
      <w:r w:rsidR="00B059EC" w:rsidRPr="00F04A71">
        <w:rPr>
          <w:rFonts w:asciiTheme="majorHAnsi" w:hAnsiTheme="majorHAnsi"/>
          <w:sz w:val="18"/>
          <w:szCs w:val="18"/>
          <w:lang w:val="es-ES"/>
        </w:rPr>
        <w:t xml:space="preserve"> </w:t>
      </w:r>
      <w:r w:rsidR="00586B77" w:rsidRPr="00F04A71">
        <w:rPr>
          <w:rFonts w:asciiTheme="majorHAnsi" w:hAnsiTheme="majorHAnsi"/>
          <w:sz w:val="18"/>
          <w:szCs w:val="18"/>
          <w:lang w:val="es-ES"/>
        </w:rPr>
        <w:t>ha</w:t>
      </w:r>
      <w:r>
        <w:rPr>
          <w:rFonts w:asciiTheme="majorHAnsi" w:hAnsiTheme="majorHAnsi"/>
          <w:sz w:val="18"/>
          <w:szCs w:val="18"/>
          <w:lang w:val="es-ES"/>
        </w:rPr>
        <w:t xml:space="preserve">bía ido a ahogar a </w:t>
      </w:r>
      <w:r w:rsidR="00586B77" w:rsidRPr="00F04A71">
        <w:rPr>
          <w:rFonts w:asciiTheme="majorHAnsi" w:hAnsiTheme="majorHAnsi"/>
          <w:sz w:val="18"/>
          <w:szCs w:val="18"/>
          <w:lang w:val="es-ES"/>
        </w:rPr>
        <w:t>Julie</w:t>
      </w:r>
      <w:r w:rsidR="00B059EC" w:rsidRPr="00F04A71">
        <w:rPr>
          <w:rFonts w:asciiTheme="majorHAnsi" w:hAnsiTheme="majorHAnsi"/>
          <w:sz w:val="18"/>
          <w:szCs w:val="18"/>
          <w:lang w:val="es-ES"/>
        </w:rPr>
        <w:t xml:space="preserve"> </w:t>
      </w:r>
      <w:r w:rsidR="00586B77" w:rsidRPr="00F04A71">
        <w:rPr>
          <w:rFonts w:asciiTheme="majorHAnsi" w:hAnsiTheme="majorHAnsi"/>
          <w:sz w:val="18"/>
          <w:szCs w:val="18"/>
          <w:lang w:val="es-ES"/>
        </w:rPr>
        <w:t>Kerry</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en el río, constituyen prueba suficiente para que el </w:t>
      </w:r>
      <w:r w:rsidR="0093050F" w:rsidRPr="00F04A71">
        <w:rPr>
          <w:rFonts w:asciiTheme="majorHAnsi" w:hAnsiTheme="majorHAnsi"/>
          <w:sz w:val="18"/>
          <w:szCs w:val="18"/>
          <w:lang w:val="es-ES"/>
        </w:rPr>
        <w:t>jurado</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pueda inferir que el acusado tenía el propósito consciente de cometer los actos en los cuales participó de manera que las </w:t>
      </w:r>
      <w:r w:rsidR="00C851B8" w:rsidRPr="00F04A71">
        <w:rPr>
          <w:rFonts w:asciiTheme="majorHAnsi" w:hAnsiTheme="majorHAnsi"/>
          <w:sz w:val="18"/>
          <w:szCs w:val="18"/>
          <w:lang w:val="es-ES"/>
        </w:rPr>
        <w:t>víctima</w:t>
      </w:r>
      <w:r w:rsidR="00586B77" w:rsidRPr="00F04A71">
        <w:rPr>
          <w:rFonts w:asciiTheme="majorHAnsi" w:hAnsiTheme="majorHAnsi"/>
          <w:sz w:val="18"/>
          <w:szCs w:val="18"/>
          <w:lang w:val="es-ES"/>
        </w:rPr>
        <w:t>s</w:t>
      </w:r>
      <w:r w:rsidR="00B059EC" w:rsidRPr="00F04A71">
        <w:rPr>
          <w:rFonts w:asciiTheme="majorHAnsi" w:hAnsiTheme="majorHAnsi"/>
          <w:sz w:val="18"/>
          <w:szCs w:val="18"/>
          <w:lang w:val="es-ES"/>
        </w:rPr>
        <w:t xml:space="preserve"> </w:t>
      </w:r>
      <w:r>
        <w:rPr>
          <w:rFonts w:asciiTheme="majorHAnsi" w:hAnsiTheme="majorHAnsi"/>
          <w:sz w:val="18"/>
          <w:szCs w:val="18"/>
          <w:lang w:val="es-ES"/>
        </w:rPr>
        <w:t xml:space="preserve">fueran asesinadas y </w:t>
      </w:r>
      <w:r w:rsidR="00BB06BE">
        <w:rPr>
          <w:rFonts w:asciiTheme="majorHAnsi" w:hAnsiTheme="majorHAnsi"/>
          <w:sz w:val="18"/>
          <w:szCs w:val="18"/>
          <w:lang w:val="es-ES"/>
        </w:rPr>
        <w:t xml:space="preserve">que </w:t>
      </w:r>
      <w:r>
        <w:rPr>
          <w:rFonts w:asciiTheme="majorHAnsi" w:hAnsiTheme="majorHAnsi"/>
          <w:sz w:val="18"/>
          <w:szCs w:val="18"/>
          <w:lang w:val="es-ES"/>
        </w:rPr>
        <w:t>los homicidios se produjeron después que el acusado deliberó con serenidad sobre las muertes durante un tiempo, por más breve que sea</w:t>
      </w:r>
      <w:r w:rsidR="00586B77" w:rsidRPr="00F04A71">
        <w:rPr>
          <w:rStyle w:val="FootnoteReference"/>
          <w:rFonts w:asciiTheme="majorHAnsi" w:hAnsiTheme="majorHAnsi"/>
          <w:sz w:val="18"/>
          <w:szCs w:val="18"/>
          <w:lang w:val="es-ES"/>
        </w:rPr>
        <w:footnoteReference w:id="16"/>
      </w:r>
      <w:r>
        <w:rPr>
          <w:rFonts w:asciiTheme="majorHAnsi" w:hAnsiTheme="majorHAnsi"/>
          <w:sz w:val="18"/>
          <w:szCs w:val="18"/>
          <w:lang w:val="es-ES"/>
        </w:rPr>
        <w:t>.</w:t>
      </w:r>
    </w:p>
    <w:p w14:paraId="4EF01C50" w14:textId="77777777" w:rsidR="0055390F" w:rsidRPr="009D1E2F" w:rsidRDefault="0055390F"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ES"/>
        </w:rPr>
      </w:pPr>
    </w:p>
    <w:p w14:paraId="6C7AFDF4" w14:textId="77777777" w:rsidR="0055390F" w:rsidRPr="009D1E2F" w:rsidRDefault="005C0BC0"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El Tribunal, al emitir este fallo, consideró la prueba “desde el punto de vista más </w:t>
      </w:r>
      <w:r w:rsidR="0055390F" w:rsidRPr="009D1E2F">
        <w:rPr>
          <w:rFonts w:asciiTheme="majorHAnsi" w:eastAsia="Times New Roman" w:hAnsiTheme="majorHAnsi"/>
          <w:sz w:val="20"/>
          <w:szCs w:val="20"/>
          <w:lang w:val="es-ES"/>
        </w:rPr>
        <w:t>favorable</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para</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el veredicto y permitió que la fiscalía efectuara todas las inferencias</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favorable</w:t>
      </w:r>
      <w:r>
        <w:rPr>
          <w:rFonts w:asciiTheme="majorHAnsi" w:eastAsia="Times New Roman" w:hAnsiTheme="majorHAnsi"/>
          <w:sz w:val="20"/>
          <w:szCs w:val="20"/>
          <w:lang w:val="es-ES"/>
        </w:rPr>
        <w:t>s</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que fueran razonables, haciendo caso omiso de la prueba y las inferencias en contrario</w:t>
      </w:r>
      <w:r w:rsidR="0055390F" w:rsidRPr="009D1E2F">
        <w:rPr>
          <w:rFonts w:asciiTheme="majorHAnsi" w:eastAsia="Times New Roman" w:hAnsiTheme="majorHAnsi"/>
          <w:sz w:val="20"/>
          <w:szCs w:val="20"/>
          <w:lang w:val="es-ES"/>
        </w:rPr>
        <w:t>”</w:t>
      </w:r>
      <w:r w:rsidR="007F4925">
        <w:rPr>
          <w:rFonts w:asciiTheme="majorHAnsi" w:eastAsia="Times New Roman" w:hAnsiTheme="majorHAnsi"/>
          <w:sz w:val="20"/>
          <w:szCs w:val="20"/>
          <w:lang w:val="es-ES"/>
        </w:rPr>
        <w:t xml:space="preserve">, lo cual constituye una referencia al caso del Estado contra </w:t>
      </w:r>
      <w:proofErr w:type="spellStart"/>
      <w:r w:rsidR="0055390F" w:rsidRPr="009D1E2F">
        <w:rPr>
          <w:rFonts w:asciiTheme="majorHAnsi" w:eastAsia="Times New Roman" w:hAnsiTheme="majorHAnsi"/>
          <w:sz w:val="20"/>
          <w:szCs w:val="20"/>
          <w:lang w:val="es-ES"/>
        </w:rPr>
        <w:t>Grim</w:t>
      </w:r>
      <w:proofErr w:type="spellEnd"/>
      <w:r w:rsidR="00B059EC" w:rsidRPr="009D1E2F">
        <w:rPr>
          <w:rFonts w:asciiTheme="majorHAnsi" w:eastAsia="Times New Roman" w:hAnsiTheme="majorHAnsi"/>
          <w:sz w:val="20"/>
          <w:szCs w:val="20"/>
          <w:lang w:val="es-ES"/>
        </w:rPr>
        <w:t xml:space="preserve"> </w:t>
      </w:r>
      <w:r w:rsidR="007F4925">
        <w:rPr>
          <w:rFonts w:asciiTheme="majorHAnsi" w:eastAsia="Times New Roman" w:hAnsiTheme="majorHAnsi"/>
          <w:sz w:val="20"/>
          <w:szCs w:val="20"/>
          <w:lang w:val="es-ES"/>
        </w:rPr>
        <w:t>(</w:t>
      </w:r>
      <w:r w:rsidR="0055390F" w:rsidRPr="009D1E2F">
        <w:rPr>
          <w:rFonts w:asciiTheme="majorHAnsi" w:eastAsia="Times New Roman" w:hAnsiTheme="majorHAnsi"/>
          <w:sz w:val="20"/>
          <w:szCs w:val="20"/>
          <w:lang w:val="es-ES"/>
        </w:rPr>
        <w:t>854</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S.W.2d</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403,</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405</w:t>
      </w:r>
      <w:r w:rsidR="00B059EC" w:rsidRPr="009D1E2F">
        <w:rPr>
          <w:rFonts w:asciiTheme="majorHAnsi" w:eastAsia="Times New Roman" w:hAnsiTheme="majorHAnsi"/>
          <w:sz w:val="20"/>
          <w:szCs w:val="20"/>
          <w:lang w:val="es-ES"/>
        </w:rPr>
        <w:t xml:space="preserve"> </w:t>
      </w:r>
      <w:r w:rsidR="007F4925" w:rsidRPr="00781D5D">
        <w:rPr>
          <w:rFonts w:asciiTheme="majorHAnsi" w:eastAsia="Times New Roman" w:hAnsiTheme="majorHAnsi"/>
          <w:sz w:val="20"/>
          <w:szCs w:val="20"/>
          <w:lang w:val="es-ES"/>
        </w:rPr>
        <w:t>[</w:t>
      </w:r>
      <w:r w:rsidR="0055390F" w:rsidRPr="009D1E2F">
        <w:rPr>
          <w:rFonts w:asciiTheme="majorHAnsi" w:eastAsia="Times New Roman" w:hAnsiTheme="majorHAnsi"/>
          <w:sz w:val="20"/>
          <w:szCs w:val="20"/>
          <w:lang w:val="es-ES"/>
        </w:rPr>
        <w:t>Mo.</w:t>
      </w:r>
      <w:r w:rsidR="00B059EC" w:rsidRPr="009D1E2F">
        <w:rPr>
          <w:rFonts w:asciiTheme="majorHAnsi" w:eastAsia="Times New Roman" w:hAnsiTheme="majorHAnsi"/>
          <w:sz w:val="20"/>
          <w:szCs w:val="20"/>
          <w:lang w:val="es-ES"/>
        </w:rPr>
        <w:t xml:space="preserve"> </w:t>
      </w:r>
      <w:proofErr w:type="spellStart"/>
      <w:r w:rsidR="0055390F" w:rsidRPr="009D1E2F">
        <w:rPr>
          <w:rFonts w:asciiTheme="majorHAnsi" w:eastAsia="Times New Roman" w:hAnsiTheme="majorHAnsi"/>
          <w:sz w:val="20"/>
          <w:szCs w:val="20"/>
          <w:lang w:val="es-ES"/>
        </w:rPr>
        <w:t>Banc</w:t>
      </w:r>
      <w:proofErr w:type="spellEnd"/>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1993</w:t>
      </w:r>
      <w:r w:rsidR="007F4925">
        <w:rPr>
          <w:rFonts w:asciiTheme="majorHAnsi" w:eastAsia="Times New Roman" w:hAnsiTheme="majorHAnsi"/>
          <w:sz w:val="20"/>
          <w:szCs w:val="20"/>
          <w:lang w:val="es-ES"/>
        </w:rPr>
        <w:t>]</w:t>
      </w:r>
      <w:r w:rsidR="0055390F" w:rsidRPr="009D1E2F">
        <w:rPr>
          <w:rFonts w:asciiTheme="majorHAnsi" w:eastAsia="Times New Roman" w:hAnsiTheme="majorHAnsi"/>
          <w:sz w:val="20"/>
          <w:szCs w:val="20"/>
          <w:lang w:val="es-ES"/>
        </w:rPr>
        <w:t>)</w:t>
      </w:r>
      <w:r w:rsidR="0055390F" w:rsidRPr="009D1E2F">
        <w:rPr>
          <w:rStyle w:val="FootnoteReference"/>
          <w:rFonts w:asciiTheme="majorHAnsi" w:eastAsia="Times New Roman" w:hAnsiTheme="majorHAnsi"/>
          <w:sz w:val="20"/>
          <w:szCs w:val="20"/>
          <w:lang w:val="es-ES"/>
        </w:rPr>
        <w:footnoteReference w:id="17"/>
      </w:r>
      <w:r w:rsidR="007F4925">
        <w:rPr>
          <w:rFonts w:asciiTheme="majorHAnsi" w:eastAsia="Times New Roman" w:hAnsiTheme="majorHAnsi"/>
          <w:sz w:val="20"/>
          <w:szCs w:val="20"/>
          <w:lang w:val="es-ES"/>
        </w:rPr>
        <w:t>.</w:t>
      </w:r>
    </w:p>
    <w:p w14:paraId="456D7220" w14:textId="77777777" w:rsidR="0055390F" w:rsidRPr="009D1E2F" w:rsidRDefault="0055390F" w:rsidP="00817426">
      <w:pPr>
        <w:pStyle w:val="ListParagraph"/>
        <w:rPr>
          <w:rFonts w:asciiTheme="majorHAnsi" w:hAnsiTheme="majorHAnsi"/>
          <w:sz w:val="20"/>
          <w:szCs w:val="20"/>
          <w:lang w:val="es-ES"/>
        </w:rPr>
      </w:pPr>
    </w:p>
    <w:p w14:paraId="12C01277" w14:textId="77777777" w:rsidR="0055390F" w:rsidRPr="009D1E2F" w:rsidRDefault="007F492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Pr>
          <w:rFonts w:asciiTheme="majorHAnsi" w:eastAsia="Times New Roman" w:hAnsiTheme="majorHAnsi"/>
          <w:sz w:val="20"/>
          <w:szCs w:val="20"/>
          <w:lang w:val="es-ES"/>
        </w:rPr>
        <w:t>E</w:t>
      </w:r>
      <w:r w:rsidR="000E2468" w:rsidRPr="009D1E2F">
        <w:rPr>
          <w:rFonts w:asciiTheme="majorHAnsi" w:eastAsia="Times New Roman" w:hAnsiTheme="majorHAnsi"/>
          <w:sz w:val="20"/>
          <w:szCs w:val="20"/>
          <w:lang w:val="es-ES"/>
        </w:rPr>
        <w:t>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proofErr w:type="spellStart"/>
      <w:r w:rsidR="0055390F" w:rsidRPr="009D1E2F">
        <w:rPr>
          <w:rFonts w:asciiTheme="majorHAnsi" w:eastAsia="Times New Roman" w:hAnsiTheme="majorHAnsi"/>
          <w:sz w:val="20"/>
          <w:szCs w:val="20"/>
          <w:lang w:val="es-ES"/>
        </w:rPr>
        <w:t>Cummins</w:t>
      </w:r>
      <w:proofErr w:type="spellEnd"/>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relató que, después que le dijeron que se trataba de un asalto, le dieron instrucciones para que se echara al suelo en el puente y explicó que tenía “la cabeza hacia el lado sur del puente”. Cuando oyó los gritos de</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Julie</w:t>
      </w:r>
      <w:r w:rsidR="00B059EC" w:rsidRPr="009D1E2F">
        <w:rPr>
          <w:rFonts w:asciiTheme="majorHAnsi" w:eastAsia="Times New Roman" w:hAnsiTheme="majorHAnsi"/>
          <w:sz w:val="20"/>
          <w:szCs w:val="20"/>
          <w:lang w:val="es-ES"/>
        </w:rPr>
        <w:t xml:space="preserve"> </w:t>
      </w:r>
      <w:r w:rsidR="0055390F" w:rsidRPr="009D1E2F">
        <w:rPr>
          <w:rFonts w:asciiTheme="majorHAnsi" w:eastAsia="Times New Roman" w:hAnsiTheme="majorHAnsi"/>
          <w:sz w:val="20"/>
          <w:szCs w:val="20"/>
          <w:lang w:val="es-ES"/>
        </w:rPr>
        <w:t>Kerry</w:t>
      </w:r>
      <w:r>
        <w:rPr>
          <w:rFonts w:asciiTheme="majorHAnsi" w:eastAsia="Times New Roman" w:hAnsiTheme="majorHAnsi"/>
          <w:sz w:val="20"/>
          <w:szCs w:val="20"/>
          <w:lang w:val="es-ES"/>
        </w:rPr>
        <w:t>, giró “la cabeza un poco hacia la derecha, lo suficiente para ver en esa dirección”, y vio “chispas, como cuando uno tira un cigarrillo en el hormigón y vuelan chispas</w:t>
      </w:r>
      <w:r w:rsidR="0055390F" w:rsidRPr="009D1E2F">
        <w:rPr>
          <w:rFonts w:asciiTheme="majorHAnsi" w:eastAsia="Times New Roman" w:hAnsiTheme="majorHAnsi"/>
          <w:sz w:val="20"/>
          <w:szCs w:val="20"/>
          <w:lang w:val="es-ES"/>
        </w:rPr>
        <w:t>”</w:t>
      </w:r>
      <w:r w:rsidR="0055390F" w:rsidRPr="009D1E2F">
        <w:rPr>
          <w:rStyle w:val="FootnoteReference"/>
          <w:rFonts w:asciiTheme="majorHAnsi" w:eastAsia="Times New Roman" w:hAnsiTheme="majorHAnsi"/>
          <w:sz w:val="20"/>
          <w:szCs w:val="20"/>
          <w:lang w:val="es-ES"/>
        </w:rPr>
        <w:footnoteReference w:id="18"/>
      </w:r>
      <w:r>
        <w:rPr>
          <w:rFonts w:asciiTheme="majorHAnsi" w:eastAsia="Times New Roman" w:hAnsiTheme="majorHAnsi"/>
          <w:sz w:val="20"/>
          <w:szCs w:val="20"/>
          <w:lang w:val="es-ES"/>
        </w:rPr>
        <w:t xml:space="preserve">. Explicó que, con respecto al robo, alguien se le acercó y se sentó encima de él, en la espalda, y le preguntó si tenía dinero. Declaró que, después que le robaron el dinero y el reloj, otra persona se le acercó y le dijo que se pusiera de pie, pero le </w:t>
      </w:r>
      <w:r w:rsidR="00BB06BE">
        <w:rPr>
          <w:rFonts w:asciiTheme="majorHAnsi" w:eastAsia="Times New Roman" w:hAnsiTheme="majorHAnsi"/>
          <w:sz w:val="20"/>
          <w:szCs w:val="20"/>
          <w:lang w:val="es-ES"/>
        </w:rPr>
        <w:t xml:space="preserve">bajó </w:t>
      </w:r>
      <w:r>
        <w:rPr>
          <w:rFonts w:asciiTheme="majorHAnsi" w:eastAsia="Times New Roman" w:hAnsiTheme="majorHAnsi"/>
          <w:sz w:val="20"/>
          <w:szCs w:val="20"/>
          <w:lang w:val="es-ES"/>
        </w:rPr>
        <w:lastRenderedPageBreak/>
        <w:t xml:space="preserve">la cabeza para que no pudiera mirar hacia arriba. Agregó que lo tendieron en el puente por segunda vez, le pusieron la licencia de conducir junto a la cabeza y le dijeron que sabían dónde vivía y que, si le contaba a alguien, iban a ir a buscarlo, pero la persona </w:t>
      </w:r>
      <w:r w:rsidR="00862933">
        <w:rPr>
          <w:rFonts w:asciiTheme="majorHAnsi" w:eastAsia="Times New Roman" w:hAnsiTheme="majorHAnsi"/>
          <w:sz w:val="20"/>
          <w:szCs w:val="20"/>
          <w:lang w:val="es-ES"/>
        </w:rPr>
        <w:t xml:space="preserve">le dijo que lo iba a dejar con vida. De inmediato, </w:t>
      </w:r>
      <w:proofErr w:type="spellStart"/>
      <w:r w:rsidR="00862933">
        <w:rPr>
          <w:rFonts w:asciiTheme="majorHAnsi" w:eastAsia="Times New Roman" w:hAnsiTheme="majorHAnsi"/>
          <w:sz w:val="20"/>
          <w:szCs w:val="20"/>
          <w:lang w:val="es-ES"/>
        </w:rPr>
        <w:t>Cummins</w:t>
      </w:r>
      <w:proofErr w:type="spellEnd"/>
      <w:r w:rsidR="00862933">
        <w:rPr>
          <w:rFonts w:asciiTheme="majorHAnsi" w:eastAsia="Times New Roman" w:hAnsiTheme="majorHAnsi"/>
          <w:sz w:val="20"/>
          <w:szCs w:val="20"/>
          <w:lang w:val="es-ES"/>
        </w:rPr>
        <w:t xml:space="preserve"> agregó en su testim</w:t>
      </w:r>
      <w:r w:rsidR="00862933" w:rsidRPr="009D1186">
        <w:rPr>
          <w:rFonts w:asciiTheme="majorHAnsi" w:eastAsia="Times New Roman" w:hAnsiTheme="majorHAnsi"/>
          <w:sz w:val="20"/>
          <w:szCs w:val="20"/>
          <w:lang w:val="es-ES"/>
        </w:rPr>
        <w:t xml:space="preserve">onio que alguien se le acercó y le tapó la cabeza con el abrigo mientras estaba tendido allí y le dijo que lo iba a matar. “Oí la primera voz u otra voz que dijo: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N</w:t>
      </w:r>
      <w:r w:rsidR="0055390F" w:rsidRPr="009D1186">
        <w:rPr>
          <w:rFonts w:asciiTheme="majorHAnsi" w:eastAsia="Times New Roman" w:hAnsiTheme="majorHAnsi"/>
          <w:sz w:val="20"/>
          <w:szCs w:val="20"/>
          <w:lang w:val="es-ES"/>
        </w:rPr>
        <w:t>o,</w:t>
      </w:r>
      <w:r w:rsidR="00B059EC" w:rsidRPr="009D1186">
        <w:rPr>
          <w:rFonts w:asciiTheme="majorHAnsi" w:eastAsia="Times New Roman" w:hAnsiTheme="majorHAnsi"/>
          <w:sz w:val="20"/>
          <w:szCs w:val="20"/>
          <w:lang w:val="es-ES"/>
        </w:rPr>
        <w:t xml:space="preserve"> </w:t>
      </w:r>
      <w:r w:rsidR="00862933" w:rsidRPr="009D1186">
        <w:rPr>
          <w:rFonts w:asciiTheme="majorHAnsi" w:eastAsia="Times New Roman" w:hAnsiTheme="majorHAnsi"/>
          <w:sz w:val="20"/>
          <w:szCs w:val="20"/>
          <w:lang w:val="es-ES"/>
        </w:rPr>
        <w:t>le dije que lo iba a dejar con vida</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 los dos comenzaron a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w:t>
      </w:r>
      <w:r w:rsidR="00B059EC" w:rsidRPr="009D1186">
        <w:rPr>
          <w:rFonts w:asciiTheme="majorHAnsi" w:eastAsia="Times New Roman" w:hAnsiTheme="majorHAnsi"/>
          <w:sz w:val="20"/>
          <w:szCs w:val="20"/>
          <w:lang w:val="es-ES"/>
        </w:rPr>
        <w:t xml:space="preserve"> </w:t>
      </w:r>
      <w:r w:rsidR="00BB06BE">
        <w:rPr>
          <w:rFonts w:asciiTheme="majorHAnsi" w:eastAsia="Times New Roman" w:hAnsiTheme="majorHAnsi"/>
          <w:sz w:val="20"/>
          <w:szCs w:val="20"/>
          <w:lang w:val="es-ES"/>
        </w:rPr>
        <w:t>discutir</w:t>
      </w:r>
      <w:r w:rsidR="00862933" w:rsidRPr="009D1186">
        <w:rPr>
          <w:rFonts w:asciiTheme="majorHAnsi" w:eastAsia="Times New Roman" w:hAnsiTheme="majorHAnsi"/>
          <w:sz w:val="20"/>
          <w:szCs w:val="20"/>
          <w:lang w:val="es-ES"/>
        </w:rPr>
        <w:t xml:space="preserve"> sobre si me iban a dejar con vida o si me iban a matar</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 xml:space="preserve">. </w:t>
      </w:r>
      <w:proofErr w:type="spellStart"/>
      <w:r w:rsidR="00862933" w:rsidRPr="009D1186">
        <w:rPr>
          <w:rFonts w:asciiTheme="majorHAnsi" w:eastAsia="Times New Roman" w:hAnsiTheme="majorHAnsi"/>
          <w:sz w:val="20"/>
          <w:szCs w:val="20"/>
          <w:lang w:val="es-ES"/>
        </w:rPr>
        <w:t>Cummins</w:t>
      </w:r>
      <w:proofErr w:type="spellEnd"/>
      <w:r w:rsidR="00862933" w:rsidRPr="009D1186">
        <w:rPr>
          <w:rFonts w:asciiTheme="majorHAnsi" w:eastAsia="Times New Roman" w:hAnsiTheme="majorHAnsi"/>
          <w:sz w:val="20"/>
          <w:szCs w:val="20"/>
          <w:lang w:val="es-ES"/>
        </w:rPr>
        <w:t xml:space="preserve"> concluye diciendo: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Me dijeron que me pusiera de pie otra vez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w:t>
      </w:r>
      <w:r w:rsidR="00B059EC" w:rsidRPr="009D1186">
        <w:rPr>
          <w:rFonts w:asciiTheme="majorHAnsi" w:eastAsia="Times New Roman" w:hAnsiTheme="majorHAnsi"/>
          <w:sz w:val="20"/>
          <w:szCs w:val="20"/>
          <w:lang w:val="es-ES"/>
        </w:rPr>
        <w:t xml:space="preserve"> </w:t>
      </w:r>
      <w:r w:rsidR="00862933" w:rsidRPr="009D1186">
        <w:rPr>
          <w:rFonts w:asciiTheme="majorHAnsi" w:eastAsia="Times New Roman" w:hAnsiTheme="majorHAnsi"/>
          <w:sz w:val="20"/>
          <w:szCs w:val="20"/>
          <w:lang w:val="es-ES"/>
        </w:rPr>
        <w:t xml:space="preserve">y que me metiera [en un pozo de inspección que estaba abierto]. [...] Oí una voz que me decía que me pusiera de pie y que bajara [...] vi una mano que salió y la empujó a </w:t>
      </w:r>
      <w:r w:rsidR="0055390F" w:rsidRPr="009D1186">
        <w:rPr>
          <w:rFonts w:asciiTheme="majorHAnsi" w:eastAsia="Times New Roman" w:hAnsiTheme="majorHAnsi"/>
          <w:sz w:val="20"/>
          <w:szCs w:val="20"/>
          <w:lang w:val="es-ES"/>
        </w:rPr>
        <w:t>Julie</w:t>
      </w:r>
      <w:r w:rsidR="00B059EC" w:rsidRPr="009D1186">
        <w:rPr>
          <w:rFonts w:asciiTheme="majorHAnsi" w:eastAsia="Times New Roman" w:hAnsiTheme="majorHAnsi"/>
          <w:sz w:val="20"/>
          <w:szCs w:val="20"/>
          <w:lang w:val="es-ES"/>
        </w:rPr>
        <w:t xml:space="preserve"> </w:t>
      </w:r>
      <w:r w:rsidR="00862933" w:rsidRPr="009D1186">
        <w:rPr>
          <w:rFonts w:asciiTheme="majorHAnsi" w:eastAsia="Times New Roman" w:hAnsiTheme="majorHAnsi"/>
          <w:sz w:val="20"/>
          <w:szCs w:val="20"/>
          <w:lang w:val="es-ES"/>
        </w:rPr>
        <w:t>del puente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 xml:space="preserve">] y después la misma mano empujó a </w:t>
      </w:r>
      <w:r w:rsidR="0055390F" w:rsidRPr="009D1186">
        <w:rPr>
          <w:rFonts w:asciiTheme="majorHAnsi" w:eastAsia="Times New Roman" w:hAnsiTheme="majorHAnsi"/>
          <w:sz w:val="20"/>
          <w:szCs w:val="20"/>
          <w:lang w:val="es-ES"/>
        </w:rPr>
        <w:t>Robin</w:t>
      </w:r>
      <w:r w:rsidR="00862933" w:rsidRPr="009D1186">
        <w:rPr>
          <w:rFonts w:asciiTheme="majorHAnsi" w:eastAsia="Times New Roman" w:hAnsiTheme="majorHAnsi"/>
          <w:sz w:val="20"/>
          <w:szCs w:val="20"/>
          <w:lang w:val="es-ES"/>
        </w:rPr>
        <w:t xml:space="preserve"> [...] y después oí una voz que decía: </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Salta</w:t>
      </w:r>
      <w:r w:rsidR="0055390F" w:rsidRPr="009D1186">
        <w:rPr>
          <w:rFonts w:asciiTheme="majorHAnsi" w:eastAsia="Times New Roman" w:hAnsiTheme="majorHAnsi"/>
          <w:sz w:val="20"/>
          <w:szCs w:val="20"/>
          <w:lang w:val="es-ES"/>
        </w:rPr>
        <w:t>’</w:t>
      </w:r>
      <w:r w:rsidR="00862933" w:rsidRPr="009D1186">
        <w:rPr>
          <w:rFonts w:asciiTheme="majorHAnsi" w:eastAsia="Times New Roman" w:hAnsiTheme="majorHAnsi"/>
          <w:sz w:val="20"/>
          <w:szCs w:val="20"/>
          <w:lang w:val="es-ES"/>
        </w:rPr>
        <w:t>, y salté</w:t>
      </w:r>
      <w:r w:rsidR="0055390F" w:rsidRPr="009D1186">
        <w:rPr>
          <w:rFonts w:asciiTheme="majorHAnsi" w:eastAsia="Times New Roman" w:hAnsiTheme="majorHAnsi"/>
          <w:sz w:val="20"/>
          <w:szCs w:val="20"/>
          <w:lang w:val="es-ES"/>
        </w:rPr>
        <w:t>”.</w:t>
      </w:r>
      <w:r w:rsidR="00B059EC" w:rsidRPr="009D1186">
        <w:rPr>
          <w:rFonts w:asciiTheme="majorHAnsi" w:eastAsia="Times New Roman" w:hAnsiTheme="majorHAnsi"/>
          <w:sz w:val="20"/>
          <w:szCs w:val="20"/>
          <w:lang w:val="es-ES"/>
        </w:rPr>
        <w:t xml:space="preserve"> </w:t>
      </w:r>
      <w:r w:rsidR="00862933" w:rsidRPr="009D1186">
        <w:rPr>
          <w:rFonts w:asciiTheme="majorHAnsi" w:eastAsia="Times New Roman" w:hAnsiTheme="majorHAnsi"/>
          <w:sz w:val="20"/>
          <w:szCs w:val="20"/>
          <w:lang w:val="es-ES"/>
        </w:rPr>
        <w:t>Dijo que no había luz debajo de la cubierta del puente y no veía cuántas personas había abajo, en la plataforma</w:t>
      </w:r>
      <w:r w:rsidR="0055390F" w:rsidRPr="009D1186">
        <w:rPr>
          <w:rFonts w:asciiTheme="majorHAnsi" w:eastAsia="Times New Roman" w:hAnsiTheme="majorHAnsi"/>
          <w:sz w:val="20"/>
          <w:szCs w:val="20"/>
          <w:lang w:val="es-ES"/>
        </w:rPr>
        <w:t>.</w:t>
      </w:r>
      <w:r w:rsidR="00B059EC" w:rsidRPr="009D1186">
        <w:rPr>
          <w:rFonts w:asciiTheme="majorHAnsi" w:eastAsia="Times New Roman" w:hAnsiTheme="majorHAnsi"/>
          <w:sz w:val="20"/>
          <w:szCs w:val="20"/>
          <w:lang w:val="es-ES"/>
        </w:rPr>
        <w:t xml:space="preserve"> </w:t>
      </w:r>
    </w:p>
    <w:p w14:paraId="6D9114BA" w14:textId="77777777" w:rsidR="0055390F" w:rsidRPr="009D1E2F" w:rsidRDefault="0055390F" w:rsidP="00817426">
      <w:pPr>
        <w:pStyle w:val="ListParagraph"/>
        <w:rPr>
          <w:rFonts w:asciiTheme="majorHAnsi" w:eastAsia="Times New Roman" w:hAnsiTheme="majorHAnsi"/>
          <w:sz w:val="20"/>
          <w:szCs w:val="20"/>
          <w:lang w:val="es-ES"/>
        </w:rPr>
      </w:pPr>
    </w:p>
    <w:p w14:paraId="71D517EE" w14:textId="77777777" w:rsidR="0055390F" w:rsidRPr="00804FA2" w:rsidRDefault="0055390F"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ES"/>
        </w:rPr>
      </w:pPr>
      <w:r w:rsidRPr="009D1E2F">
        <w:rPr>
          <w:rFonts w:asciiTheme="majorHAnsi" w:eastAsia="Times New Roman" w:hAnsiTheme="majorHAnsi"/>
          <w:sz w:val="20"/>
          <w:szCs w:val="20"/>
          <w:lang w:val="es-ES"/>
        </w:rPr>
        <w:t>Nels</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Moss</w:t>
      </w:r>
      <w:r w:rsidR="009D1186">
        <w:rPr>
          <w:rFonts w:asciiTheme="majorHAnsi" w:eastAsia="Times New Roman" w:hAnsiTheme="majorHAnsi"/>
          <w:sz w:val="20"/>
          <w:szCs w:val="20"/>
          <w:lang w:val="es-ES"/>
        </w:rPr>
        <w:t>, el fiscal principal, dijo e</w:t>
      </w:r>
      <w:r w:rsidR="009D1186" w:rsidRPr="009D1186">
        <w:rPr>
          <w:rFonts w:asciiTheme="majorHAnsi" w:eastAsia="Times New Roman" w:hAnsiTheme="majorHAnsi"/>
          <w:sz w:val="20"/>
          <w:szCs w:val="20"/>
          <w:lang w:val="es-ES"/>
        </w:rPr>
        <w:t xml:space="preserve">n el juicio, durante la determinación de la culpabilidad, </w:t>
      </w:r>
      <w:r w:rsidR="009D1186">
        <w:rPr>
          <w:rFonts w:asciiTheme="majorHAnsi" w:eastAsia="Times New Roman" w:hAnsiTheme="majorHAnsi"/>
          <w:sz w:val="20"/>
          <w:szCs w:val="20"/>
          <w:lang w:val="es-ES"/>
        </w:rPr>
        <w:t xml:space="preserve">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9D1186">
        <w:rPr>
          <w:rFonts w:asciiTheme="majorHAnsi" w:eastAsia="Times New Roman" w:hAnsiTheme="majorHAnsi"/>
          <w:sz w:val="20"/>
          <w:szCs w:val="20"/>
          <w:lang w:val="es-ES"/>
        </w:rPr>
        <w:t xml:space="preserve">era el </w:t>
      </w:r>
      <w:r w:rsidR="00F30741">
        <w:rPr>
          <w:rFonts w:asciiTheme="majorHAnsi" w:eastAsia="Times New Roman" w:hAnsiTheme="majorHAnsi"/>
          <w:sz w:val="20"/>
          <w:szCs w:val="20"/>
          <w:lang w:val="es-ES"/>
        </w:rPr>
        <w:t>cabecilla</w:t>
      </w:r>
      <w:r w:rsidR="00B059EC" w:rsidRPr="009D1E2F">
        <w:rPr>
          <w:rFonts w:asciiTheme="majorHAnsi" w:eastAsia="Times New Roman" w:hAnsiTheme="majorHAnsi"/>
          <w:sz w:val="20"/>
          <w:szCs w:val="20"/>
          <w:lang w:val="es-ES"/>
        </w:rPr>
        <w:t xml:space="preserve"> </w:t>
      </w:r>
      <w:r w:rsidR="009D1186">
        <w:rPr>
          <w:rFonts w:asciiTheme="majorHAnsi" w:eastAsia="Times New Roman" w:hAnsiTheme="majorHAnsi"/>
          <w:sz w:val="20"/>
          <w:szCs w:val="20"/>
          <w:lang w:val="es-ES"/>
        </w:rPr>
        <w:t xml:space="preserve">y era culpable de homicidio. Lo dio a entender al afirmar que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w:t>
      </w:r>
      <w:r w:rsidR="009D1186">
        <w:rPr>
          <w:rFonts w:asciiTheme="majorHAnsi" w:eastAsia="Times New Roman" w:hAnsiTheme="majorHAnsi"/>
          <w:sz w:val="20"/>
          <w:szCs w:val="20"/>
          <w:lang w:val="es-ES"/>
        </w:rPr>
        <w:t>los ayudó y</w:t>
      </w:r>
      <w:r w:rsidR="00F776B4">
        <w:rPr>
          <w:rFonts w:asciiTheme="majorHAnsi" w:eastAsia="Times New Roman" w:hAnsiTheme="majorHAnsi"/>
          <w:sz w:val="20"/>
          <w:szCs w:val="20"/>
          <w:lang w:val="es-ES"/>
        </w:rPr>
        <w:t xml:space="preserve"> </w:t>
      </w:r>
      <w:r w:rsidR="009D1186">
        <w:rPr>
          <w:rFonts w:asciiTheme="majorHAnsi" w:eastAsia="Times New Roman" w:hAnsiTheme="majorHAnsi"/>
          <w:sz w:val="20"/>
          <w:szCs w:val="20"/>
          <w:lang w:val="es-ES"/>
        </w:rPr>
        <w:t>los instigó cuanto pudo</w:t>
      </w:r>
      <w:r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w:t>
      </w:r>
      <w:r w:rsidR="009D1186">
        <w:rPr>
          <w:rFonts w:asciiTheme="majorHAnsi" w:eastAsia="Times New Roman" w:hAnsiTheme="majorHAnsi"/>
          <w:sz w:val="20"/>
          <w:szCs w:val="20"/>
          <w:lang w:val="es-ES"/>
        </w:rPr>
        <w:t>era un hombre grande entre hombres pequeños, entre hombres más jóvenes. Era el líder</w:t>
      </w:r>
      <w:r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w:t>
      </w:r>
      <w:r w:rsidR="009D1186">
        <w:rPr>
          <w:rFonts w:asciiTheme="majorHAnsi" w:eastAsia="Times New Roman" w:hAnsiTheme="majorHAnsi"/>
          <w:sz w:val="20"/>
          <w:szCs w:val="20"/>
          <w:lang w:val="es-ES"/>
        </w:rPr>
        <w:t>e</w:t>
      </w:r>
      <w:r w:rsidRPr="009D1E2F">
        <w:rPr>
          <w:rFonts w:asciiTheme="majorHAnsi" w:eastAsia="Times New Roman" w:hAnsiTheme="majorHAnsi"/>
          <w:sz w:val="20"/>
          <w:szCs w:val="20"/>
          <w:lang w:val="es-ES"/>
        </w:rPr>
        <w:t>]</w:t>
      </w:r>
      <w:r w:rsidR="009D1186">
        <w:rPr>
          <w:rFonts w:asciiTheme="majorHAnsi" w:eastAsia="Times New Roman" w:hAnsiTheme="majorHAnsi"/>
          <w:sz w:val="20"/>
          <w:szCs w:val="20"/>
          <w:lang w:val="es-ES"/>
        </w:rPr>
        <w:t>se era su</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plan”</w:t>
      </w:r>
      <w:r w:rsidR="009D1186">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w:t>
      </w:r>
      <w:r w:rsidR="009D1186">
        <w:rPr>
          <w:rFonts w:asciiTheme="majorHAnsi" w:eastAsia="Times New Roman" w:hAnsiTheme="majorHAnsi"/>
          <w:sz w:val="20"/>
          <w:szCs w:val="20"/>
          <w:lang w:val="es-ES"/>
        </w:rPr>
        <w:t>el hombre a carg</w:t>
      </w:r>
      <w:r w:rsidR="009D1186" w:rsidRPr="00804FA2">
        <w:rPr>
          <w:rFonts w:asciiTheme="majorHAnsi" w:eastAsia="Times New Roman" w:hAnsiTheme="majorHAnsi"/>
          <w:sz w:val="20"/>
          <w:szCs w:val="20"/>
          <w:lang w:val="es-ES"/>
        </w:rPr>
        <w:t>o</w:t>
      </w:r>
      <w:r w:rsidRPr="00804FA2">
        <w:rPr>
          <w:rFonts w:asciiTheme="majorHAnsi" w:eastAsia="Times New Roman" w:hAnsiTheme="majorHAnsi"/>
          <w:sz w:val="20"/>
          <w:szCs w:val="20"/>
          <w:lang w:val="es-ES"/>
        </w:rPr>
        <w:t>”</w:t>
      </w:r>
      <w:r w:rsidR="009D1186" w:rsidRPr="00804FA2">
        <w:rPr>
          <w:rFonts w:asciiTheme="majorHAnsi" w:eastAsia="Times New Roman" w:hAnsiTheme="majorHAnsi"/>
          <w:sz w:val="20"/>
          <w:szCs w:val="20"/>
          <w:lang w:val="es-ES"/>
        </w:rPr>
        <w:t>,</w:t>
      </w:r>
      <w:r w:rsidR="00B059EC" w:rsidRPr="00804FA2">
        <w:rPr>
          <w:rFonts w:asciiTheme="majorHAnsi" w:eastAsia="Times New Roman" w:hAnsiTheme="majorHAnsi"/>
          <w:sz w:val="20"/>
          <w:szCs w:val="20"/>
          <w:lang w:val="es-ES"/>
        </w:rPr>
        <w:t xml:space="preserve"> </w:t>
      </w:r>
      <w:r w:rsidRPr="00804FA2">
        <w:rPr>
          <w:rFonts w:asciiTheme="majorHAnsi" w:eastAsia="Times New Roman" w:hAnsiTheme="majorHAnsi"/>
          <w:sz w:val="20"/>
          <w:szCs w:val="20"/>
          <w:lang w:val="es-ES"/>
        </w:rPr>
        <w:t>“[</w:t>
      </w:r>
      <w:r w:rsidR="009D1186" w:rsidRPr="00804FA2">
        <w:rPr>
          <w:rFonts w:asciiTheme="majorHAnsi" w:eastAsia="Times New Roman" w:hAnsiTheme="majorHAnsi"/>
          <w:sz w:val="20"/>
          <w:szCs w:val="20"/>
          <w:lang w:val="es-ES"/>
        </w:rPr>
        <w:t>e</w:t>
      </w:r>
      <w:r w:rsidRPr="00804FA2">
        <w:rPr>
          <w:rFonts w:asciiTheme="majorHAnsi" w:eastAsia="Times New Roman" w:hAnsiTheme="majorHAnsi"/>
          <w:sz w:val="20"/>
          <w:szCs w:val="20"/>
          <w:lang w:val="es-ES"/>
        </w:rPr>
        <w:t>]</w:t>
      </w:r>
      <w:r w:rsidR="009D1186" w:rsidRPr="00804FA2">
        <w:rPr>
          <w:rFonts w:asciiTheme="majorHAnsi" w:eastAsia="Times New Roman" w:hAnsiTheme="majorHAnsi"/>
          <w:sz w:val="20"/>
          <w:szCs w:val="20"/>
          <w:lang w:val="es-ES"/>
        </w:rPr>
        <w:t>l hombre que sabía manipular a esas personas</w:t>
      </w:r>
      <w:r w:rsidRPr="00804FA2">
        <w:rPr>
          <w:rFonts w:asciiTheme="majorHAnsi" w:eastAsia="Times New Roman" w:hAnsiTheme="majorHAnsi"/>
          <w:sz w:val="20"/>
          <w:szCs w:val="20"/>
          <w:lang w:val="es-ES"/>
        </w:rPr>
        <w:t>”</w:t>
      </w:r>
      <w:r w:rsidRPr="00804FA2">
        <w:rPr>
          <w:rStyle w:val="FootnoteReference"/>
          <w:rFonts w:asciiTheme="majorHAnsi" w:eastAsia="Times New Roman" w:hAnsiTheme="majorHAnsi"/>
          <w:sz w:val="20"/>
          <w:szCs w:val="20"/>
          <w:lang w:val="es-ES"/>
        </w:rPr>
        <w:footnoteReference w:id="19"/>
      </w:r>
      <w:r w:rsidR="009D1186" w:rsidRPr="00804FA2">
        <w:rPr>
          <w:rFonts w:asciiTheme="majorHAnsi" w:eastAsia="Times New Roman" w:hAnsiTheme="majorHAnsi"/>
          <w:sz w:val="20"/>
          <w:szCs w:val="20"/>
          <w:lang w:val="es-ES"/>
        </w:rPr>
        <w:t xml:space="preserve">. Agregó que “fue un delito frío y calculado, una manipulación [...] </w:t>
      </w:r>
      <w:r w:rsidRPr="00804FA2">
        <w:rPr>
          <w:rFonts w:asciiTheme="majorHAnsi" w:eastAsia="Times New Roman" w:hAnsiTheme="majorHAnsi"/>
          <w:sz w:val="20"/>
          <w:szCs w:val="20"/>
          <w:lang w:val="es-ES"/>
        </w:rPr>
        <w:t>[</w:t>
      </w:r>
      <w:r w:rsidR="009D1186" w:rsidRPr="00804FA2">
        <w:rPr>
          <w:rFonts w:asciiTheme="majorHAnsi" w:eastAsia="Times New Roman" w:hAnsiTheme="majorHAnsi"/>
          <w:sz w:val="20"/>
          <w:szCs w:val="20"/>
          <w:lang w:val="es-ES"/>
        </w:rPr>
        <w:t>é]l sabe manipularlos. Él sabe cómo hacer que ellos hagan lo que él quiere</w:t>
      </w:r>
      <w:r w:rsidRPr="00804FA2">
        <w:rPr>
          <w:rFonts w:asciiTheme="majorHAnsi" w:eastAsia="Times New Roman" w:hAnsiTheme="majorHAnsi"/>
          <w:sz w:val="20"/>
          <w:szCs w:val="20"/>
          <w:lang w:val="es-ES"/>
        </w:rPr>
        <w:t>”</w:t>
      </w:r>
      <w:r w:rsidRPr="00804FA2">
        <w:rPr>
          <w:rStyle w:val="FootnoteReference"/>
          <w:rFonts w:asciiTheme="majorHAnsi" w:eastAsia="Times New Roman" w:hAnsiTheme="majorHAnsi"/>
          <w:sz w:val="20"/>
          <w:szCs w:val="20"/>
          <w:lang w:val="es-ES"/>
        </w:rPr>
        <w:footnoteReference w:id="20"/>
      </w:r>
      <w:r w:rsidR="009D1186" w:rsidRPr="00804FA2">
        <w:rPr>
          <w:rFonts w:asciiTheme="majorHAnsi" w:eastAsia="Times New Roman" w:hAnsiTheme="majorHAnsi"/>
          <w:sz w:val="20"/>
          <w:szCs w:val="20"/>
          <w:lang w:val="es-ES"/>
        </w:rPr>
        <w:t>.</w:t>
      </w:r>
      <w:r w:rsidR="00B059EC" w:rsidRPr="00804FA2">
        <w:rPr>
          <w:rFonts w:asciiTheme="majorHAnsi" w:eastAsia="Times New Roman" w:hAnsiTheme="majorHAnsi"/>
          <w:sz w:val="20"/>
          <w:szCs w:val="20"/>
          <w:lang w:val="es-ES"/>
        </w:rPr>
        <w:t xml:space="preserve"> </w:t>
      </w:r>
      <w:r w:rsidR="00804FA2" w:rsidRPr="00804FA2">
        <w:rPr>
          <w:rFonts w:asciiTheme="majorHAnsi" w:eastAsia="Times New Roman" w:hAnsiTheme="majorHAnsi"/>
          <w:sz w:val="20"/>
          <w:szCs w:val="20"/>
          <w:lang w:val="es-ES"/>
        </w:rPr>
        <w:t xml:space="preserve">Refiriéndose al </w:t>
      </w:r>
      <w:r w:rsidR="000E2468" w:rsidRPr="00804FA2">
        <w:rPr>
          <w:rFonts w:asciiTheme="majorHAnsi" w:eastAsia="Times New Roman" w:hAnsiTheme="majorHAnsi"/>
          <w:sz w:val="20"/>
          <w:szCs w:val="20"/>
          <w:lang w:val="es-ES"/>
        </w:rPr>
        <w:t>señor</w:t>
      </w:r>
      <w:r w:rsidR="00B059EC" w:rsidRPr="00804FA2">
        <w:rPr>
          <w:rFonts w:asciiTheme="majorHAnsi" w:eastAsia="Times New Roman" w:hAnsiTheme="majorHAnsi"/>
          <w:sz w:val="20"/>
          <w:szCs w:val="20"/>
          <w:lang w:val="es-ES"/>
        </w:rPr>
        <w:t xml:space="preserve"> </w:t>
      </w:r>
      <w:r w:rsidRPr="00804FA2">
        <w:rPr>
          <w:rFonts w:asciiTheme="majorHAnsi" w:eastAsia="Times New Roman" w:hAnsiTheme="majorHAnsi"/>
          <w:sz w:val="20"/>
          <w:szCs w:val="20"/>
          <w:lang w:val="es-ES"/>
        </w:rPr>
        <w:t>Gray</w:t>
      </w:r>
      <w:r w:rsidR="00804FA2" w:rsidRPr="00804FA2">
        <w:rPr>
          <w:rFonts w:asciiTheme="majorHAnsi" w:eastAsia="Times New Roman" w:hAnsiTheme="majorHAnsi"/>
          <w:sz w:val="20"/>
          <w:szCs w:val="20"/>
          <w:lang w:val="es-ES"/>
        </w:rPr>
        <w:t xml:space="preserve">, dijo: </w:t>
      </w:r>
      <w:r w:rsidRPr="00804FA2">
        <w:rPr>
          <w:rFonts w:asciiTheme="majorHAnsi" w:eastAsia="Times New Roman" w:hAnsiTheme="majorHAnsi"/>
          <w:sz w:val="20"/>
          <w:szCs w:val="20"/>
          <w:lang w:val="es-ES"/>
        </w:rPr>
        <w:t>“</w:t>
      </w:r>
      <w:r w:rsidR="00804FA2" w:rsidRPr="00804FA2">
        <w:rPr>
          <w:rFonts w:asciiTheme="majorHAnsi" w:eastAsia="Times New Roman" w:hAnsiTheme="majorHAnsi"/>
          <w:sz w:val="20"/>
          <w:szCs w:val="20"/>
          <w:lang w:val="es-ES"/>
        </w:rPr>
        <w:t>No cabe duda, con todas las pruebas, de que es culpable de una forma de homicidio en segundo grado [...], es culpable de homicidio en segundo grado. Punto. Se acabó la discusión [...]</w:t>
      </w:r>
      <w:r w:rsidR="00B059EC" w:rsidRPr="00804FA2">
        <w:rPr>
          <w:rFonts w:asciiTheme="majorHAnsi" w:eastAsia="Times New Roman" w:hAnsiTheme="majorHAnsi"/>
          <w:sz w:val="20"/>
          <w:szCs w:val="20"/>
          <w:lang w:val="es-ES"/>
        </w:rPr>
        <w:t xml:space="preserve"> </w:t>
      </w:r>
      <w:r w:rsidR="00804FA2" w:rsidRPr="00804FA2">
        <w:rPr>
          <w:rFonts w:asciiTheme="majorHAnsi" w:eastAsia="Times New Roman" w:hAnsiTheme="majorHAnsi"/>
          <w:sz w:val="20"/>
          <w:szCs w:val="20"/>
          <w:lang w:val="es-ES"/>
        </w:rPr>
        <w:t xml:space="preserve">se le imputan todos los cargos, de actuar junto con otra persona [...] </w:t>
      </w:r>
      <w:r w:rsidRPr="00804FA2">
        <w:rPr>
          <w:rFonts w:asciiTheme="majorHAnsi" w:eastAsia="Times New Roman" w:hAnsiTheme="majorHAnsi"/>
          <w:sz w:val="20"/>
          <w:szCs w:val="20"/>
          <w:lang w:val="es-ES"/>
        </w:rPr>
        <w:t>[</w:t>
      </w:r>
      <w:r w:rsidR="00804FA2" w:rsidRPr="00804FA2">
        <w:rPr>
          <w:rFonts w:asciiTheme="majorHAnsi" w:eastAsia="Times New Roman" w:hAnsiTheme="majorHAnsi"/>
          <w:sz w:val="20"/>
          <w:szCs w:val="20"/>
          <w:lang w:val="es-ES"/>
        </w:rPr>
        <w:t>s</w:t>
      </w:r>
      <w:r w:rsidRPr="00804FA2">
        <w:rPr>
          <w:rFonts w:asciiTheme="majorHAnsi" w:eastAsia="Times New Roman" w:hAnsiTheme="majorHAnsi"/>
          <w:sz w:val="20"/>
          <w:szCs w:val="20"/>
          <w:lang w:val="es-ES"/>
        </w:rPr>
        <w:t>]</w:t>
      </w:r>
      <w:r w:rsidR="00804FA2" w:rsidRPr="00804FA2">
        <w:rPr>
          <w:rFonts w:asciiTheme="majorHAnsi" w:eastAsia="Times New Roman" w:hAnsiTheme="majorHAnsi"/>
          <w:sz w:val="20"/>
          <w:szCs w:val="20"/>
          <w:lang w:val="es-ES"/>
        </w:rPr>
        <w:t>i siguen la pista, lleva directamente a él [...]. Fue él”</w:t>
      </w:r>
      <w:r w:rsidRPr="00804FA2">
        <w:rPr>
          <w:rStyle w:val="FootnoteReference"/>
          <w:rFonts w:asciiTheme="majorHAnsi" w:eastAsia="Times New Roman" w:hAnsiTheme="majorHAnsi"/>
          <w:sz w:val="20"/>
          <w:szCs w:val="20"/>
          <w:lang w:val="es-ES"/>
        </w:rPr>
        <w:footnoteReference w:id="21"/>
      </w:r>
      <w:r w:rsidR="00804FA2" w:rsidRPr="00804FA2">
        <w:rPr>
          <w:rFonts w:asciiTheme="majorHAnsi" w:eastAsia="Times New Roman" w:hAnsiTheme="majorHAnsi"/>
          <w:sz w:val="20"/>
          <w:szCs w:val="20"/>
          <w:lang w:val="es-ES"/>
        </w:rPr>
        <w:t xml:space="preserve">. Agregó que, esa noche, </w:t>
      </w:r>
      <w:r w:rsidR="000E2468" w:rsidRPr="00804FA2">
        <w:rPr>
          <w:rFonts w:asciiTheme="majorHAnsi" w:eastAsia="Times New Roman" w:hAnsiTheme="majorHAnsi"/>
          <w:sz w:val="20"/>
          <w:szCs w:val="20"/>
          <w:lang w:val="es-ES"/>
        </w:rPr>
        <w:t>el</w:t>
      </w:r>
      <w:r w:rsidR="00B059EC" w:rsidRPr="00804FA2">
        <w:rPr>
          <w:rFonts w:asciiTheme="majorHAnsi" w:eastAsia="Times New Roman" w:hAnsiTheme="majorHAnsi"/>
          <w:sz w:val="20"/>
          <w:szCs w:val="20"/>
          <w:lang w:val="es-ES"/>
        </w:rPr>
        <w:t xml:space="preserve"> </w:t>
      </w:r>
      <w:r w:rsidR="000E2468" w:rsidRPr="00804FA2">
        <w:rPr>
          <w:rFonts w:asciiTheme="majorHAnsi" w:eastAsia="Times New Roman" w:hAnsiTheme="majorHAnsi"/>
          <w:sz w:val="20"/>
          <w:szCs w:val="20"/>
          <w:lang w:val="es-ES"/>
        </w:rPr>
        <w:t>señor</w:t>
      </w:r>
      <w:r w:rsidR="00B059EC" w:rsidRPr="00804FA2">
        <w:rPr>
          <w:rFonts w:asciiTheme="majorHAnsi" w:eastAsia="Times New Roman" w:hAnsiTheme="majorHAnsi"/>
          <w:sz w:val="20"/>
          <w:szCs w:val="20"/>
          <w:lang w:val="es-ES"/>
        </w:rPr>
        <w:t xml:space="preserve"> </w:t>
      </w:r>
      <w:r w:rsidRPr="00804FA2">
        <w:rPr>
          <w:rFonts w:asciiTheme="majorHAnsi" w:eastAsia="Times New Roman" w:hAnsiTheme="majorHAnsi"/>
          <w:sz w:val="20"/>
          <w:szCs w:val="20"/>
          <w:lang w:val="es-ES"/>
        </w:rPr>
        <w:t>Gray</w:t>
      </w:r>
      <w:r w:rsidR="00B059EC" w:rsidRPr="00804FA2">
        <w:rPr>
          <w:rFonts w:asciiTheme="majorHAnsi" w:eastAsia="Times New Roman" w:hAnsiTheme="majorHAnsi"/>
          <w:sz w:val="20"/>
          <w:szCs w:val="20"/>
          <w:lang w:val="es-ES"/>
        </w:rPr>
        <w:t xml:space="preserve"> </w:t>
      </w:r>
      <w:r w:rsidR="00E34445">
        <w:rPr>
          <w:rFonts w:asciiTheme="majorHAnsi" w:eastAsia="Times New Roman" w:hAnsiTheme="majorHAnsi"/>
          <w:sz w:val="20"/>
          <w:szCs w:val="20"/>
          <w:lang w:val="es-ES"/>
        </w:rPr>
        <w:t xml:space="preserve">tomó la decisión de </w:t>
      </w:r>
      <w:r w:rsidR="00804FA2" w:rsidRPr="00804FA2">
        <w:rPr>
          <w:rFonts w:asciiTheme="majorHAnsi" w:eastAsia="Times New Roman" w:hAnsiTheme="majorHAnsi"/>
          <w:sz w:val="20"/>
          <w:szCs w:val="20"/>
          <w:lang w:val="es-ES"/>
        </w:rPr>
        <w:t xml:space="preserve">matar </w:t>
      </w:r>
      <w:r w:rsidR="00E34445">
        <w:rPr>
          <w:rFonts w:asciiTheme="majorHAnsi" w:eastAsia="Times New Roman" w:hAnsiTheme="majorHAnsi"/>
          <w:sz w:val="20"/>
          <w:szCs w:val="20"/>
          <w:lang w:val="es-ES"/>
        </w:rPr>
        <w:t xml:space="preserve">a esas personas </w:t>
      </w:r>
      <w:r w:rsidR="00804FA2" w:rsidRPr="00804FA2">
        <w:rPr>
          <w:rFonts w:asciiTheme="majorHAnsi" w:eastAsia="Times New Roman" w:hAnsiTheme="majorHAnsi"/>
          <w:sz w:val="20"/>
          <w:szCs w:val="20"/>
          <w:lang w:val="es-ES"/>
        </w:rPr>
        <w:t>en el puente</w:t>
      </w:r>
      <w:r w:rsidRPr="00804FA2">
        <w:rPr>
          <w:rStyle w:val="FootnoteReference"/>
          <w:rFonts w:asciiTheme="majorHAnsi" w:eastAsia="Times New Roman" w:hAnsiTheme="majorHAnsi"/>
          <w:sz w:val="20"/>
          <w:szCs w:val="20"/>
          <w:lang w:val="es-ES"/>
        </w:rPr>
        <w:footnoteReference w:id="22"/>
      </w:r>
      <w:r w:rsidR="00804FA2" w:rsidRPr="00804FA2">
        <w:rPr>
          <w:rFonts w:asciiTheme="majorHAnsi" w:eastAsia="Times New Roman" w:hAnsiTheme="majorHAnsi"/>
          <w:sz w:val="20"/>
          <w:szCs w:val="20"/>
          <w:lang w:val="es-ES"/>
        </w:rPr>
        <w:t>.</w:t>
      </w:r>
    </w:p>
    <w:p w14:paraId="1704091D" w14:textId="77777777" w:rsidR="0055390F" w:rsidRPr="009D1E2F" w:rsidRDefault="0055390F"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10DE568F" w14:textId="77777777" w:rsidR="00B15287" w:rsidRPr="009D1E2F" w:rsidRDefault="00804FA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7F6EF7"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interpuso un recurso </w:t>
      </w:r>
      <w:proofErr w:type="spellStart"/>
      <w:r w:rsidR="0097061F">
        <w:rPr>
          <w:rFonts w:asciiTheme="majorHAnsi" w:hAnsiTheme="majorHAnsi"/>
          <w:sz w:val="20"/>
          <w:szCs w:val="20"/>
          <w:lang w:val="es-ES"/>
        </w:rPr>
        <w:t>poscondenatorio</w:t>
      </w:r>
      <w:proofErr w:type="spellEnd"/>
      <w:r>
        <w:rPr>
          <w:rFonts w:asciiTheme="majorHAnsi" w:hAnsiTheme="majorHAnsi"/>
          <w:sz w:val="20"/>
          <w:szCs w:val="20"/>
          <w:lang w:val="es-ES"/>
        </w:rPr>
        <w:t xml:space="preserve"> </w:t>
      </w:r>
      <w:r w:rsidR="0097061F">
        <w:rPr>
          <w:rFonts w:asciiTheme="majorHAnsi" w:hAnsiTheme="majorHAnsi"/>
          <w:sz w:val="20"/>
          <w:szCs w:val="20"/>
          <w:lang w:val="es-ES"/>
        </w:rPr>
        <w:t>ante</w:t>
      </w:r>
      <w:r>
        <w:rPr>
          <w:rFonts w:asciiTheme="majorHAnsi" w:hAnsiTheme="majorHAnsi"/>
          <w:sz w:val="20"/>
          <w:szCs w:val="20"/>
          <w:lang w:val="es-ES"/>
        </w:rPr>
        <w:t xml:space="preserve"> el Tribunal de Circuito de la Ciudad de</w:t>
      </w:r>
      <w:r w:rsidR="00B059EC" w:rsidRPr="009D1E2F">
        <w:rPr>
          <w:rFonts w:asciiTheme="majorHAnsi" w:hAnsiTheme="majorHAnsi"/>
          <w:sz w:val="20"/>
          <w:szCs w:val="20"/>
          <w:lang w:val="es-ES"/>
        </w:rPr>
        <w:t xml:space="preserve"> </w:t>
      </w:r>
      <w:r w:rsidR="007F6EF7" w:rsidRPr="009D1E2F">
        <w:rPr>
          <w:rFonts w:asciiTheme="majorHAnsi" w:hAnsiTheme="majorHAnsi"/>
          <w:sz w:val="20"/>
          <w:szCs w:val="20"/>
          <w:lang w:val="es-ES"/>
        </w:rPr>
        <w:t>St.</w:t>
      </w:r>
      <w:r w:rsidR="00B059EC" w:rsidRPr="009D1E2F">
        <w:rPr>
          <w:rFonts w:asciiTheme="majorHAnsi" w:hAnsiTheme="majorHAnsi"/>
          <w:sz w:val="20"/>
          <w:szCs w:val="20"/>
          <w:lang w:val="es-ES"/>
        </w:rPr>
        <w:t xml:space="preserve"> </w:t>
      </w:r>
      <w:r w:rsidR="007F6EF7" w:rsidRPr="009D1E2F">
        <w:rPr>
          <w:rFonts w:asciiTheme="majorHAnsi" w:hAnsiTheme="majorHAnsi"/>
          <w:sz w:val="20"/>
          <w:szCs w:val="20"/>
          <w:lang w:val="es-ES"/>
        </w:rPr>
        <w:t>Louis</w:t>
      </w:r>
      <w:r>
        <w:rPr>
          <w:rFonts w:asciiTheme="majorHAnsi" w:hAnsiTheme="majorHAnsi"/>
          <w:sz w:val="20"/>
          <w:szCs w:val="20"/>
          <w:lang w:val="es-ES"/>
        </w:rPr>
        <w:t xml:space="preserve">, que fue denegado el </w:t>
      </w:r>
      <w:r w:rsidR="007F6EF7" w:rsidRPr="009D1E2F">
        <w:rPr>
          <w:rFonts w:asciiTheme="majorHAnsi" w:hAnsiTheme="majorHAnsi"/>
          <w:sz w:val="20"/>
          <w:szCs w:val="20"/>
          <w:lang w:val="es-ES"/>
        </w:rPr>
        <w:t>29</w:t>
      </w:r>
      <w:r>
        <w:rPr>
          <w:rFonts w:asciiTheme="majorHAnsi" w:hAnsiTheme="majorHAnsi"/>
          <w:sz w:val="20"/>
          <w:szCs w:val="20"/>
          <w:lang w:val="es-ES"/>
        </w:rPr>
        <w:t xml:space="preserve"> de noviembre de</w:t>
      </w:r>
      <w:r w:rsidR="00B059EC" w:rsidRPr="009D1E2F">
        <w:rPr>
          <w:rFonts w:asciiTheme="majorHAnsi" w:hAnsiTheme="majorHAnsi"/>
          <w:sz w:val="20"/>
          <w:szCs w:val="20"/>
          <w:lang w:val="es-ES"/>
        </w:rPr>
        <w:t xml:space="preserve"> </w:t>
      </w:r>
      <w:r w:rsidR="007F6EF7" w:rsidRPr="009D1E2F">
        <w:rPr>
          <w:rFonts w:asciiTheme="majorHAnsi" w:hAnsiTheme="majorHAnsi"/>
          <w:sz w:val="20"/>
          <w:szCs w:val="20"/>
          <w:lang w:val="es-ES"/>
        </w:rPr>
        <w:t>1993</w:t>
      </w:r>
      <w:r w:rsidR="00C702E0" w:rsidRPr="009D1E2F">
        <w:rPr>
          <w:rStyle w:val="FootnoteReference"/>
          <w:rFonts w:asciiTheme="majorHAnsi" w:hAnsiTheme="majorHAnsi"/>
          <w:sz w:val="20"/>
          <w:szCs w:val="20"/>
          <w:lang w:val="es-ES"/>
        </w:rPr>
        <w:footnoteReference w:id="23"/>
      </w:r>
      <w:r>
        <w:rPr>
          <w:rFonts w:asciiTheme="majorHAnsi" w:hAnsiTheme="majorHAnsi"/>
          <w:sz w:val="20"/>
          <w:szCs w:val="20"/>
          <w:lang w:val="es-ES"/>
        </w:rPr>
        <w:t>. 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0620DE"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sidR="000620DE" w:rsidRPr="009D1E2F">
        <w:rPr>
          <w:rFonts w:asciiTheme="majorHAnsi" w:hAnsiTheme="majorHAnsi"/>
          <w:sz w:val="20"/>
          <w:szCs w:val="20"/>
          <w:lang w:val="es-ES"/>
        </w:rPr>
        <w:t>ap</w:t>
      </w:r>
      <w:r>
        <w:rPr>
          <w:rFonts w:asciiTheme="majorHAnsi" w:hAnsiTheme="majorHAnsi"/>
          <w:sz w:val="20"/>
          <w:szCs w:val="20"/>
          <w:lang w:val="es-ES"/>
        </w:rPr>
        <w:t>eló la condena y la sentencia, que fueron objeto de revisión judicial por la Corte Suprema de Misuri</w:t>
      </w:r>
      <w:r w:rsidR="0029518F"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E</w:t>
      </w:r>
      <w:r w:rsidR="0029518F" w:rsidRPr="009D1E2F">
        <w:rPr>
          <w:rFonts w:asciiTheme="majorHAnsi" w:hAnsiTheme="majorHAnsi"/>
          <w:sz w:val="20"/>
          <w:szCs w:val="20"/>
          <w:lang w:val="es-ES"/>
        </w:rPr>
        <w:t>n</w:t>
      </w:r>
      <w:r w:rsidR="00B059EC" w:rsidRPr="009D1E2F">
        <w:rPr>
          <w:rFonts w:asciiTheme="majorHAnsi" w:hAnsiTheme="majorHAnsi"/>
          <w:sz w:val="20"/>
          <w:szCs w:val="20"/>
          <w:lang w:val="es-ES"/>
        </w:rPr>
        <w:t xml:space="preserve"> </w:t>
      </w:r>
      <w:r>
        <w:rPr>
          <w:rFonts w:asciiTheme="majorHAnsi" w:hAnsiTheme="majorHAnsi"/>
          <w:sz w:val="20"/>
          <w:szCs w:val="20"/>
          <w:lang w:val="es-ES"/>
        </w:rPr>
        <w:t>la apelación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29518F" w:rsidRPr="009D1E2F">
        <w:rPr>
          <w:rFonts w:asciiTheme="majorHAnsi" w:hAnsiTheme="majorHAnsi"/>
          <w:sz w:val="20"/>
          <w:szCs w:val="20"/>
          <w:lang w:val="es-ES"/>
        </w:rPr>
        <w:t>Gray</w:t>
      </w:r>
      <w:r w:rsidR="00B15287" w:rsidRPr="009D1E2F">
        <w:rPr>
          <w:rStyle w:val="FootnoteReference"/>
          <w:rFonts w:asciiTheme="majorHAnsi" w:hAnsiTheme="majorHAnsi"/>
          <w:sz w:val="20"/>
          <w:szCs w:val="20"/>
          <w:lang w:val="es-ES"/>
        </w:rPr>
        <w:footnoteReference w:id="24"/>
      </w:r>
      <w:r w:rsidR="0087234A">
        <w:rPr>
          <w:rFonts w:asciiTheme="majorHAnsi" w:hAnsiTheme="majorHAnsi"/>
          <w:sz w:val="20"/>
          <w:szCs w:val="20"/>
          <w:lang w:val="es-ES"/>
        </w:rPr>
        <w:t xml:space="preserve">, la Corte Suprema de Misuri reconoció que, </w:t>
      </w:r>
      <w:r w:rsidR="00B15287" w:rsidRPr="009D1E2F">
        <w:rPr>
          <w:rFonts w:asciiTheme="majorHAnsi" w:eastAsia="Times New Roman" w:hAnsiTheme="majorHAnsi"/>
          <w:sz w:val="20"/>
          <w:szCs w:val="20"/>
          <w:lang w:val="es-ES"/>
        </w:rPr>
        <w:t>“</w:t>
      </w:r>
      <w:r w:rsidR="0087234A">
        <w:rPr>
          <w:rFonts w:asciiTheme="majorHAnsi" w:eastAsia="Times New Roman" w:hAnsiTheme="majorHAnsi"/>
          <w:sz w:val="20"/>
          <w:szCs w:val="20"/>
          <w:lang w:val="es-ES"/>
        </w:rPr>
        <w:t xml:space="preserve">para demostrar el elemento de deliberación del </w:t>
      </w:r>
      <w:r w:rsidR="002B3275">
        <w:rPr>
          <w:rFonts w:asciiTheme="majorHAnsi" w:eastAsia="Times New Roman" w:hAnsiTheme="majorHAnsi"/>
          <w:sz w:val="20"/>
          <w:szCs w:val="20"/>
          <w:lang w:val="es-ES"/>
        </w:rPr>
        <w:t>homicidio en primer grado</w:t>
      </w:r>
      <w:r w:rsidR="00B1528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87234A">
        <w:rPr>
          <w:rFonts w:asciiTheme="majorHAnsi" w:eastAsia="Times New Roman" w:hAnsiTheme="majorHAnsi"/>
          <w:sz w:val="20"/>
          <w:szCs w:val="20"/>
          <w:lang w:val="es-ES"/>
        </w:rPr>
        <w:t>debe haber alguna prueba de que el acusado tomó la decisión de matar a las víctimas antes de cometer el asesinato</w:t>
      </w:r>
      <w:r w:rsidR="00B15287" w:rsidRPr="009D1E2F">
        <w:rPr>
          <w:rFonts w:asciiTheme="majorHAnsi" w:eastAsia="Times New Roman" w:hAnsiTheme="majorHAnsi"/>
          <w:sz w:val="20"/>
          <w:szCs w:val="20"/>
          <w:lang w:val="es-ES"/>
        </w:rPr>
        <w:t>”</w:t>
      </w:r>
      <w:r w:rsidR="00B15287" w:rsidRPr="009D1E2F">
        <w:rPr>
          <w:rStyle w:val="FootnoteReference"/>
          <w:rFonts w:asciiTheme="majorHAnsi" w:eastAsia="Times New Roman" w:hAnsiTheme="majorHAnsi"/>
          <w:sz w:val="20"/>
          <w:szCs w:val="20"/>
          <w:lang w:val="es-ES"/>
        </w:rPr>
        <w:footnoteReference w:id="25"/>
      </w:r>
      <w:r w:rsidR="0087234A">
        <w:rPr>
          <w:rFonts w:asciiTheme="majorHAnsi" w:eastAsia="Times New Roman" w:hAnsiTheme="majorHAnsi"/>
          <w:sz w:val="20"/>
          <w:szCs w:val="20"/>
          <w:lang w:val="es-ES"/>
        </w:rPr>
        <w:t xml:space="preserve"> y que la participación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w:t>
      </w:r>
      <w:r w:rsidR="0087234A">
        <w:rPr>
          <w:rFonts w:asciiTheme="majorHAnsi" w:eastAsia="Times New Roman" w:hAnsiTheme="majorHAnsi"/>
          <w:sz w:val="20"/>
          <w:szCs w:val="20"/>
          <w:lang w:val="es-ES"/>
        </w:rPr>
        <w:t>en la planificación y la ejecución de la violación y el robo de las víctimas de homicidio no bastaba para</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infer</w:t>
      </w:r>
      <w:r w:rsidR="0087234A">
        <w:rPr>
          <w:rFonts w:asciiTheme="majorHAnsi" w:eastAsia="Times New Roman" w:hAnsiTheme="majorHAnsi"/>
          <w:sz w:val="20"/>
          <w:szCs w:val="20"/>
          <w:lang w:val="es-ES"/>
        </w:rPr>
        <w:t>ir la</w:t>
      </w:r>
      <w:r w:rsidR="00B059EC" w:rsidRPr="009D1E2F">
        <w:rPr>
          <w:rFonts w:asciiTheme="majorHAnsi" w:eastAsia="Times New Roman" w:hAnsiTheme="majorHAnsi"/>
          <w:sz w:val="20"/>
          <w:szCs w:val="20"/>
          <w:lang w:val="es-ES"/>
        </w:rPr>
        <w:t xml:space="preserve"> </w:t>
      </w:r>
      <w:r w:rsidR="0087234A" w:rsidRPr="009D1E2F">
        <w:rPr>
          <w:rFonts w:asciiTheme="majorHAnsi" w:eastAsia="Times New Roman" w:hAnsiTheme="majorHAnsi"/>
          <w:sz w:val="20"/>
          <w:szCs w:val="20"/>
          <w:lang w:val="es-ES"/>
        </w:rPr>
        <w:t>deliberación</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requ</w:t>
      </w:r>
      <w:r w:rsidR="0087234A">
        <w:rPr>
          <w:rFonts w:asciiTheme="majorHAnsi" w:eastAsia="Times New Roman" w:hAnsiTheme="majorHAnsi"/>
          <w:sz w:val="20"/>
          <w:szCs w:val="20"/>
          <w:lang w:val="es-ES"/>
        </w:rPr>
        <w:t xml:space="preserve">erida para el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87234A">
        <w:rPr>
          <w:rFonts w:asciiTheme="majorHAnsi" w:eastAsia="Times New Roman" w:hAnsiTheme="majorHAnsi"/>
          <w:sz w:val="20"/>
          <w:szCs w:val="20"/>
          <w:lang w:val="es-ES"/>
        </w:rPr>
        <w:t xml:space="preserve">, puesto que, según la forma en que se define el </w:t>
      </w:r>
      <w:r w:rsidR="002B3275">
        <w:rPr>
          <w:rFonts w:asciiTheme="majorHAnsi" w:eastAsia="Times New Roman" w:hAnsiTheme="majorHAnsi"/>
          <w:sz w:val="20"/>
          <w:szCs w:val="20"/>
          <w:lang w:val="es-ES"/>
        </w:rPr>
        <w:t>homicidio en primer grado</w:t>
      </w:r>
      <w:r w:rsidR="00B059EC" w:rsidRPr="009D1E2F">
        <w:rPr>
          <w:rFonts w:asciiTheme="majorHAnsi" w:eastAsia="Times New Roman" w:hAnsiTheme="majorHAnsi"/>
          <w:sz w:val="20"/>
          <w:szCs w:val="20"/>
          <w:lang w:val="es-ES"/>
        </w:rPr>
        <w:t xml:space="preserve"> </w:t>
      </w:r>
      <w:r w:rsidR="0087234A">
        <w:rPr>
          <w:rFonts w:asciiTheme="majorHAnsi" w:eastAsia="Times New Roman" w:hAnsiTheme="majorHAnsi"/>
          <w:sz w:val="20"/>
          <w:szCs w:val="20"/>
          <w:lang w:val="es-ES"/>
        </w:rPr>
        <w:t>en la ley, se requiere que haya una deliberación sobre el asesinato de una persona y no solo una deliberación sobre violación forzada y robo</w:t>
      </w:r>
      <w:r w:rsidR="00B15287" w:rsidRPr="009D1E2F">
        <w:rPr>
          <w:rFonts w:asciiTheme="majorHAnsi" w:eastAsia="Times New Roman" w:hAnsiTheme="majorHAnsi"/>
          <w:sz w:val="20"/>
          <w:szCs w:val="20"/>
          <w:lang w:val="es-ES"/>
        </w:rPr>
        <w:t>”</w:t>
      </w:r>
      <w:r w:rsidR="00B15287" w:rsidRPr="009D1E2F">
        <w:rPr>
          <w:rStyle w:val="FootnoteReference"/>
          <w:rFonts w:asciiTheme="majorHAnsi" w:eastAsia="Times New Roman" w:hAnsiTheme="majorHAnsi"/>
          <w:sz w:val="20"/>
          <w:szCs w:val="20"/>
          <w:lang w:val="es-ES"/>
        </w:rPr>
        <w:footnoteReference w:id="26"/>
      </w:r>
      <w:r w:rsidR="0087234A">
        <w:rPr>
          <w:rFonts w:asciiTheme="majorHAnsi" w:eastAsia="Times New Roman" w:hAnsiTheme="majorHAnsi"/>
          <w:sz w:val="20"/>
          <w:szCs w:val="20"/>
          <w:lang w:val="es-ES"/>
        </w:rPr>
        <w:t>.</w:t>
      </w:r>
    </w:p>
    <w:p w14:paraId="3CAB6831" w14:textId="77777777" w:rsidR="00B15287" w:rsidRPr="009D1E2F" w:rsidRDefault="00B15287"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16C8FB24" w14:textId="77777777" w:rsidR="008F6AA1" w:rsidRPr="009D1E2F" w:rsidRDefault="00356F6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No obstante, la Corte Suprema de Misuri ratificó la condena y la pena de muerte de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B15287" w:rsidRPr="009D1E2F">
        <w:rPr>
          <w:rFonts w:asciiTheme="majorHAnsi" w:hAnsiTheme="majorHAnsi"/>
          <w:sz w:val="20"/>
          <w:szCs w:val="20"/>
          <w:lang w:val="es-ES"/>
        </w:rPr>
        <w:t>Gray</w:t>
      </w:r>
      <w:r>
        <w:rPr>
          <w:rFonts w:asciiTheme="majorHAnsi" w:hAnsiTheme="majorHAnsi"/>
          <w:sz w:val="20"/>
          <w:szCs w:val="20"/>
          <w:lang w:val="es-ES"/>
        </w:rPr>
        <w:t xml:space="preserve"> y argumentó que </w:t>
      </w:r>
      <w:r w:rsidR="00B15287" w:rsidRPr="009D1E2F">
        <w:rPr>
          <w:rFonts w:asciiTheme="majorHAnsi" w:eastAsia="Times New Roman" w:hAnsiTheme="majorHAnsi"/>
          <w:sz w:val="20"/>
          <w:szCs w:val="20"/>
          <w:lang w:val="es-ES"/>
        </w:rPr>
        <w:t>“[</w:t>
      </w:r>
      <w:r>
        <w:rPr>
          <w:rFonts w:asciiTheme="majorHAnsi" w:eastAsia="Times New Roman" w:hAnsiTheme="majorHAnsi"/>
          <w:sz w:val="20"/>
          <w:szCs w:val="20"/>
          <w:lang w:val="es-ES"/>
        </w:rPr>
        <w:t>h</w:t>
      </w:r>
      <w:r w:rsidR="00B15287" w:rsidRPr="009D1E2F">
        <w:rPr>
          <w:rFonts w:asciiTheme="majorHAnsi" w:eastAsia="Times New Roman" w:hAnsiTheme="majorHAnsi"/>
          <w:sz w:val="20"/>
          <w:szCs w:val="20"/>
          <w:lang w:val="es-ES"/>
        </w:rPr>
        <w:t>]</w:t>
      </w:r>
      <w:proofErr w:type="spellStart"/>
      <w:r>
        <w:rPr>
          <w:rFonts w:asciiTheme="majorHAnsi" w:eastAsia="Times New Roman" w:hAnsiTheme="majorHAnsi"/>
          <w:sz w:val="20"/>
          <w:szCs w:val="20"/>
          <w:lang w:val="es-ES"/>
        </w:rPr>
        <w:t>abía</w:t>
      </w:r>
      <w:proofErr w:type="spellEnd"/>
      <w:r>
        <w:rPr>
          <w:rFonts w:asciiTheme="majorHAnsi" w:eastAsia="Times New Roman" w:hAnsiTheme="majorHAnsi"/>
          <w:sz w:val="20"/>
          <w:szCs w:val="20"/>
          <w:lang w:val="es-ES"/>
        </w:rPr>
        <w:t xml:space="preserve"> prueba suficiente para demostrar que el acusado, a sabiendas, causó la muerte o actuó junto con otros para causar la muerte de las víctimas de homicidio después de deliberar al respecto</w:t>
      </w:r>
      <w:r w:rsidR="00B15287" w:rsidRPr="009D1E2F">
        <w:rPr>
          <w:rFonts w:asciiTheme="majorHAnsi" w:eastAsia="Times New Roman" w:hAnsiTheme="majorHAnsi"/>
          <w:sz w:val="20"/>
          <w:szCs w:val="20"/>
          <w:lang w:val="es-ES"/>
        </w:rPr>
        <w:t>”</w:t>
      </w:r>
      <w:r w:rsidR="00B15287" w:rsidRPr="009D1E2F">
        <w:rPr>
          <w:rStyle w:val="FootnoteReference"/>
          <w:rFonts w:asciiTheme="majorHAnsi" w:eastAsia="Times New Roman" w:hAnsiTheme="majorHAnsi"/>
          <w:sz w:val="20"/>
          <w:szCs w:val="20"/>
          <w:lang w:val="es-ES"/>
        </w:rPr>
        <w:footnoteReference w:id="27"/>
      </w:r>
      <w:r>
        <w:rPr>
          <w:rFonts w:asciiTheme="majorHAnsi" w:eastAsia="Times New Roman" w:hAnsiTheme="majorHAnsi"/>
          <w:sz w:val="20"/>
          <w:szCs w:val="20"/>
          <w:lang w:val="es-ES"/>
        </w:rPr>
        <w:t xml:space="preserve">. </w:t>
      </w:r>
      <w:r w:rsidR="00FF1A72">
        <w:rPr>
          <w:rFonts w:asciiTheme="majorHAnsi" w:eastAsia="Times New Roman" w:hAnsiTheme="majorHAnsi"/>
          <w:sz w:val="20"/>
          <w:szCs w:val="20"/>
          <w:lang w:val="es-ES"/>
        </w:rPr>
        <w:t>Al inferir l</w:t>
      </w:r>
      <w:r>
        <w:rPr>
          <w:rFonts w:asciiTheme="majorHAnsi" w:eastAsia="Times New Roman" w:hAnsiTheme="majorHAnsi"/>
          <w:sz w:val="20"/>
          <w:szCs w:val="20"/>
          <w:lang w:val="es-ES"/>
        </w:rPr>
        <w:t xml:space="preserve">a </w:t>
      </w:r>
      <w:r w:rsidR="00FF1A72">
        <w:rPr>
          <w:rFonts w:asciiTheme="majorHAnsi" w:eastAsia="Times New Roman" w:hAnsiTheme="majorHAnsi"/>
          <w:sz w:val="20"/>
          <w:szCs w:val="20"/>
          <w:lang w:val="es-ES"/>
        </w:rPr>
        <w:t>complicidad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Gray</w:t>
      </w:r>
      <w:r w:rsidR="00FF1A72">
        <w:rPr>
          <w:rFonts w:asciiTheme="majorHAnsi" w:eastAsia="Times New Roman" w:hAnsiTheme="majorHAnsi"/>
          <w:sz w:val="20"/>
          <w:szCs w:val="20"/>
          <w:lang w:val="es-ES"/>
        </w:rPr>
        <w:t xml:space="preserve"> en el </w:t>
      </w:r>
      <w:r w:rsidR="00793CFB" w:rsidRPr="009D1E2F">
        <w:rPr>
          <w:rFonts w:asciiTheme="majorHAnsi" w:eastAsia="Times New Roman" w:hAnsiTheme="majorHAnsi"/>
          <w:sz w:val="20"/>
          <w:szCs w:val="20"/>
          <w:lang w:val="es-ES"/>
        </w:rPr>
        <w:t>homicidio</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primer</w:t>
      </w:r>
      <w:r w:rsidR="00B059EC" w:rsidRPr="009D1E2F">
        <w:rPr>
          <w:rFonts w:asciiTheme="majorHAnsi" w:eastAsia="Times New Roman" w:hAnsiTheme="majorHAnsi"/>
          <w:sz w:val="20"/>
          <w:szCs w:val="20"/>
          <w:lang w:val="es-ES"/>
        </w:rPr>
        <w:t xml:space="preserve"> </w:t>
      </w:r>
      <w:r w:rsidR="00793CFB" w:rsidRPr="009D1E2F">
        <w:rPr>
          <w:rFonts w:asciiTheme="majorHAnsi" w:eastAsia="Times New Roman" w:hAnsiTheme="majorHAnsi"/>
          <w:sz w:val="20"/>
          <w:szCs w:val="20"/>
          <w:lang w:val="es-ES"/>
        </w:rPr>
        <w:t>grado</w:t>
      </w:r>
      <w:r w:rsidR="00FF1A72">
        <w:rPr>
          <w:rFonts w:asciiTheme="majorHAnsi" w:eastAsia="Times New Roman" w:hAnsiTheme="majorHAnsi"/>
          <w:sz w:val="20"/>
          <w:szCs w:val="20"/>
          <w:lang w:val="es-ES"/>
        </w:rPr>
        <w:t>, la Corte hizo referencia a la jurisprudencia en la cual se señalan las circunstancias que permiten una inferencia de ese tipo</w:t>
      </w:r>
      <w:r w:rsidR="00CF7930"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1)</w:t>
      </w:r>
      <w:r w:rsidR="00B059EC" w:rsidRPr="009D1E2F">
        <w:rPr>
          <w:rFonts w:asciiTheme="majorHAnsi" w:eastAsia="Times New Roman" w:hAnsiTheme="majorHAnsi"/>
          <w:sz w:val="20"/>
          <w:szCs w:val="20"/>
          <w:lang w:val="es-ES"/>
        </w:rPr>
        <w:t xml:space="preserve"> </w:t>
      </w:r>
      <w:r w:rsidR="00FF1A72">
        <w:rPr>
          <w:rFonts w:asciiTheme="majorHAnsi" w:eastAsia="Times New Roman" w:hAnsiTheme="majorHAnsi"/>
          <w:sz w:val="20"/>
          <w:szCs w:val="20"/>
          <w:lang w:val="es-ES"/>
        </w:rPr>
        <w:t>declaración o conducta del acusado o del coacusado antes del homicidio que indican la intención de matar a un ser humano</w:t>
      </w:r>
      <w:r w:rsidR="001D41FC" w:rsidRPr="009D1E2F">
        <w:rPr>
          <w:rStyle w:val="FootnoteReference"/>
          <w:rFonts w:asciiTheme="majorHAnsi" w:eastAsia="Times New Roman" w:hAnsiTheme="majorHAnsi"/>
          <w:sz w:val="20"/>
          <w:szCs w:val="20"/>
          <w:lang w:val="es-ES"/>
        </w:rPr>
        <w:footnoteReference w:id="28"/>
      </w:r>
      <w:r w:rsidR="00FF1A72">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2)</w:t>
      </w:r>
      <w:r w:rsidR="00B059EC" w:rsidRPr="009D1E2F">
        <w:rPr>
          <w:rFonts w:asciiTheme="majorHAnsi" w:eastAsia="Times New Roman" w:hAnsiTheme="majorHAnsi"/>
          <w:sz w:val="20"/>
          <w:szCs w:val="20"/>
          <w:lang w:val="es-ES"/>
        </w:rPr>
        <w:t xml:space="preserve"> </w:t>
      </w:r>
      <w:r w:rsidR="00FF1A72">
        <w:rPr>
          <w:rFonts w:asciiTheme="majorHAnsi" w:eastAsia="Times New Roman" w:hAnsiTheme="majorHAnsi"/>
          <w:sz w:val="20"/>
          <w:szCs w:val="20"/>
          <w:lang w:val="es-ES"/>
        </w:rPr>
        <w:t xml:space="preserve">prueba de que el homicidio fue cometido con un arma mortífera y de que el </w:t>
      </w:r>
      <w:r w:rsidR="0067655A">
        <w:rPr>
          <w:rFonts w:asciiTheme="majorHAnsi" w:eastAsia="Times New Roman" w:hAnsiTheme="majorHAnsi"/>
          <w:sz w:val="20"/>
          <w:szCs w:val="20"/>
          <w:lang w:val="es-ES"/>
        </w:rPr>
        <w:t>cómplice</w:t>
      </w:r>
      <w:r w:rsidR="00B059EC" w:rsidRPr="009D1E2F">
        <w:rPr>
          <w:rFonts w:asciiTheme="majorHAnsi" w:eastAsia="Times New Roman" w:hAnsiTheme="majorHAnsi"/>
          <w:sz w:val="20"/>
          <w:szCs w:val="20"/>
          <w:lang w:val="es-ES"/>
        </w:rPr>
        <w:t xml:space="preserve"> </w:t>
      </w:r>
      <w:r w:rsidR="00FF1A72">
        <w:rPr>
          <w:rFonts w:asciiTheme="majorHAnsi" w:eastAsia="Times New Roman" w:hAnsiTheme="majorHAnsi"/>
          <w:sz w:val="20"/>
          <w:szCs w:val="20"/>
          <w:lang w:val="es-ES"/>
        </w:rPr>
        <w:t>sabía que se usaría un arma mortífera para cometer un delito</w:t>
      </w:r>
      <w:r w:rsidR="001D41FC" w:rsidRPr="009D1E2F">
        <w:rPr>
          <w:rStyle w:val="FootnoteReference"/>
          <w:rFonts w:asciiTheme="majorHAnsi" w:eastAsia="Times New Roman" w:hAnsiTheme="majorHAnsi"/>
          <w:sz w:val="20"/>
          <w:szCs w:val="20"/>
          <w:lang w:val="es-ES"/>
        </w:rPr>
        <w:footnoteReference w:id="29"/>
      </w:r>
      <w:r w:rsidR="00FF1A72">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3)</w:t>
      </w:r>
      <w:r w:rsidR="00B059EC" w:rsidRPr="009D1E2F">
        <w:rPr>
          <w:rFonts w:asciiTheme="majorHAnsi" w:eastAsia="Times New Roman" w:hAnsiTheme="majorHAnsi"/>
          <w:sz w:val="20"/>
          <w:szCs w:val="20"/>
          <w:lang w:val="es-ES"/>
        </w:rPr>
        <w:t xml:space="preserve"> </w:t>
      </w:r>
      <w:r w:rsidR="00FF1A72">
        <w:rPr>
          <w:rFonts w:asciiTheme="majorHAnsi" w:eastAsia="Times New Roman" w:hAnsiTheme="majorHAnsi"/>
          <w:sz w:val="20"/>
          <w:szCs w:val="20"/>
          <w:lang w:val="es-ES"/>
        </w:rPr>
        <w:t>prueba de que el cómplice participó en el homicidio o continuó la actividad delictiva cuando era evidente que iba</w:t>
      </w:r>
      <w:r w:rsidR="00E34445">
        <w:rPr>
          <w:rFonts w:asciiTheme="majorHAnsi" w:eastAsia="Times New Roman" w:hAnsiTheme="majorHAnsi"/>
          <w:sz w:val="20"/>
          <w:szCs w:val="20"/>
          <w:lang w:val="es-ES"/>
        </w:rPr>
        <w:t>n</w:t>
      </w:r>
      <w:r w:rsidR="00FF1A72">
        <w:rPr>
          <w:rFonts w:asciiTheme="majorHAnsi" w:eastAsia="Times New Roman" w:hAnsiTheme="majorHAnsi"/>
          <w:sz w:val="20"/>
          <w:szCs w:val="20"/>
          <w:lang w:val="es-ES"/>
        </w:rPr>
        <w:t xml:space="preserve"> a matar a la víctima</w:t>
      </w:r>
      <w:r w:rsidR="00431C20" w:rsidRPr="009D1E2F">
        <w:rPr>
          <w:rStyle w:val="FootnoteReference"/>
          <w:rFonts w:asciiTheme="majorHAnsi" w:eastAsia="Times New Roman" w:hAnsiTheme="majorHAnsi"/>
          <w:sz w:val="20"/>
          <w:szCs w:val="20"/>
          <w:lang w:val="es-ES"/>
        </w:rPr>
        <w:footnoteReference w:id="30"/>
      </w:r>
      <w:r w:rsidR="00FF1A72">
        <w:rPr>
          <w:rFonts w:asciiTheme="majorHAnsi" w:eastAsia="Times New Roman" w:hAnsiTheme="majorHAnsi"/>
          <w:sz w:val="20"/>
          <w:szCs w:val="20"/>
          <w:lang w:val="es-ES"/>
        </w:rPr>
        <w:t>.</w:t>
      </w:r>
    </w:p>
    <w:p w14:paraId="375757AA" w14:textId="77777777" w:rsidR="008F6AA1" w:rsidRPr="009D1E2F" w:rsidRDefault="008F6AA1" w:rsidP="00817426">
      <w:pPr>
        <w:pStyle w:val="ListParagraph"/>
        <w:rPr>
          <w:rFonts w:asciiTheme="majorHAnsi" w:hAnsiTheme="majorHAnsi"/>
          <w:sz w:val="20"/>
          <w:szCs w:val="20"/>
          <w:lang w:val="es-ES"/>
        </w:rPr>
      </w:pPr>
    </w:p>
    <w:p w14:paraId="2CCAE874" w14:textId="77777777" w:rsidR="00766DEB" w:rsidRPr="009D1E2F" w:rsidRDefault="009941C9"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Además, la Corte argumentó que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no era desproporcionada para los homicidios cometidos tras las </w:t>
      </w:r>
      <w:r w:rsidR="00E34445">
        <w:rPr>
          <w:rFonts w:asciiTheme="majorHAnsi" w:hAnsiTheme="majorHAnsi"/>
          <w:sz w:val="20"/>
          <w:szCs w:val="20"/>
          <w:lang w:val="es-ES"/>
        </w:rPr>
        <w:t xml:space="preserve">brutales </w:t>
      </w:r>
      <w:r>
        <w:rPr>
          <w:rFonts w:asciiTheme="majorHAnsi" w:hAnsiTheme="majorHAnsi"/>
          <w:sz w:val="20"/>
          <w:szCs w:val="20"/>
          <w:lang w:val="es-ES"/>
        </w:rPr>
        <w:t>violaciones y el robo. En ese sentido, la Corte tuvo en cuenta que</w:t>
      </w:r>
      <w:r w:rsidR="00B059EC" w:rsidRPr="009D1E2F">
        <w:rPr>
          <w:rFonts w:asciiTheme="majorHAnsi" w:eastAsia="Times New Roman" w:hAnsiTheme="majorHAnsi"/>
          <w:sz w:val="20"/>
          <w:szCs w:val="20"/>
          <w:lang w:val="es-ES"/>
        </w:rPr>
        <w:t xml:space="preserve"> </w:t>
      </w:r>
      <w:r w:rsidR="00C851B8">
        <w:rPr>
          <w:rFonts w:asciiTheme="majorHAnsi" w:eastAsia="Times New Roman" w:hAnsiTheme="majorHAnsi"/>
          <w:sz w:val="20"/>
          <w:szCs w:val="20"/>
          <w:lang w:val="es-ES"/>
        </w:rPr>
        <w:t>el acusado</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había proferido amenazas de muerte (por ejemplo, la amenaza de pegarle un tiro a la víctima del robo)</w:t>
      </w:r>
      <w:r w:rsidR="00B15287"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que, después de amenazar de muerte a las </w:t>
      </w:r>
      <w:r w:rsidR="00C851B8">
        <w:rPr>
          <w:rFonts w:asciiTheme="majorHAnsi" w:eastAsia="Times New Roman" w:hAnsiTheme="majorHAnsi"/>
          <w:sz w:val="20"/>
          <w:szCs w:val="20"/>
          <w:lang w:val="es-ES"/>
        </w:rPr>
        <w:t>víctima</w:t>
      </w:r>
      <w:r w:rsidR="00227BDB" w:rsidRPr="009D1E2F">
        <w:rPr>
          <w:rFonts w:asciiTheme="majorHAnsi" w:eastAsia="Times New Roman" w:hAnsiTheme="majorHAnsi"/>
          <w:sz w:val="20"/>
          <w:szCs w:val="20"/>
          <w:lang w:val="es-ES"/>
        </w:rPr>
        <w:t>s,</w:t>
      </w:r>
      <w:r w:rsidR="00B059EC" w:rsidRPr="009D1E2F">
        <w:rPr>
          <w:rFonts w:asciiTheme="majorHAnsi" w:eastAsia="Times New Roman" w:hAnsiTheme="majorHAnsi"/>
          <w:sz w:val="20"/>
          <w:szCs w:val="20"/>
          <w:lang w:val="es-ES"/>
        </w:rPr>
        <w:t xml:space="preserve"> </w:t>
      </w:r>
      <w:r w:rsidR="00C851B8">
        <w:rPr>
          <w:rFonts w:asciiTheme="majorHAnsi" w:eastAsia="Times New Roman" w:hAnsiTheme="majorHAnsi"/>
          <w:sz w:val="20"/>
          <w:szCs w:val="20"/>
          <w:lang w:val="es-ES"/>
        </w:rPr>
        <w:t>el acusado</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continu</w:t>
      </w:r>
      <w:r>
        <w:rPr>
          <w:rFonts w:asciiTheme="majorHAnsi" w:eastAsia="Times New Roman" w:hAnsiTheme="majorHAnsi"/>
          <w:sz w:val="20"/>
          <w:szCs w:val="20"/>
          <w:lang w:val="es-ES"/>
        </w:rPr>
        <w:t>ó la actividad delictiva al tener acorralado a la víctima del robo mientras se violaba a las otras dos víctimas</w:t>
      </w:r>
      <w:r w:rsidR="00E34445">
        <w:rPr>
          <w:rFonts w:asciiTheme="majorHAnsi" w:eastAsia="Times New Roman" w:hAnsiTheme="majorHAnsi"/>
          <w:sz w:val="20"/>
          <w:szCs w:val="20"/>
          <w:lang w:val="es-ES"/>
        </w:rPr>
        <w:t xml:space="preserve"> y </w:t>
      </w:r>
      <w:r>
        <w:rPr>
          <w:rFonts w:asciiTheme="majorHAnsi" w:eastAsia="Times New Roman" w:hAnsiTheme="majorHAnsi"/>
          <w:sz w:val="20"/>
          <w:szCs w:val="20"/>
          <w:lang w:val="es-ES"/>
        </w:rPr>
        <w:t xml:space="preserve">que </w:t>
      </w:r>
      <w:r w:rsidR="00C851B8">
        <w:rPr>
          <w:rFonts w:asciiTheme="majorHAnsi" w:eastAsia="Times New Roman" w:hAnsiTheme="majorHAnsi"/>
          <w:sz w:val="20"/>
          <w:szCs w:val="20"/>
          <w:lang w:val="es-ES"/>
        </w:rPr>
        <w:t>el acusado</w:t>
      </w:r>
      <w:r w:rsidR="00B059EC" w:rsidRPr="009D1E2F">
        <w:rPr>
          <w:rFonts w:asciiTheme="majorHAnsi" w:eastAsia="Times New Roman" w:hAnsiTheme="majorHAnsi"/>
          <w:sz w:val="20"/>
          <w:szCs w:val="20"/>
          <w:lang w:val="es-ES"/>
        </w:rPr>
        <w:t xml:space="preserve"> </w:t>
      </w:r>
      <w:r w:rsidR="00B15287" w:rsidRPr="009D1E2F">
        <w:rPr>
          <w:rFonts w:asciiTheme="majorHAnsi" w:eastAsia="Times New Roman" w:hAnsiTheme="majorHAnsi"/>
          <w:sz w:val="20"/>
          <w:szCs w:val="20"/>
          <w:lang w:val="es-ES"/>
        </w:rPr>
        <w:t>particip</w:t>
      </w:r>
      <w:r>
        <w:rPr>
          <w:rFonts w:asciiTheme="majorHAnsi" w:eastAsia="Times New Roman" w:hAnsiTheme="majorHAnsi"/>
          <w:sz w:val="20"/>
          <w:szCs w:val="20"/>
          <w:lang w:val="es-ES"/>
        </w:rPr>
        <w:t xml:space="preserve">ó en una </w:t>
      </w:r>
      <w:r w:rsidR="004368FD">
        <w:rPr>
          <w:rFonts w:asciiTheme="majorHAnsi" w:eastAsia="Times New Roman" w:hAnsiTheme="majorHAnsi"/>
          <w:sz w:val="20"/>
          <w:szCs w:val="20"/>
          <w:lang w:val="es-ES"/>
        </w:rPr>
        <w:t xml:space="preserve">discusión </w:t>
      </w:r>
      <w:r>
        <w:rPr>
          <w:rFonts w:asciiTheme="majorHAnsi" w:eastAsia="Times New Roman" w:hAnsiTheme="majorHAnsi"/>
          <w:sz w:val="20"/>
          <w:szCs w:val="20"/>
          <w:lang w:val="es-ES"/>
        </w:rPr>
        <w:t xml:space="preserve">sobre si </w:t>
      </w:r>
      <w:r w:rsidR="00E34445">
        <w:rPr>
          <w:rFonts w:asciiTheme="majorHAnsi" w:eastAsia="Times New Roman" w:hAnsiTheme="majorHAnsi"/>
          <w:sz w:val="20"/>
          <w:szCs w:val="20"/>
          <w:lang w:val="es-ES"/>
        </w:rPr>
        <w:t xml:space="preserve">matarían </w:t>
      </w:r>
      <w:r>
        <w:rPr>
          <w:rFonts w:asciiTheme="majorHAnsi" w:eastAsia="Times New Roman" w:hAnsiTheme="majorHAnsi"/>
          <w:sz w:val="20"/>
          <w:szCs w:val="20"/>
          <w:lang w:val="es-ES"/>
        </w:rPr>
        <w:t>a la víctima del robo</w:t>
      </w:r>
      <w:r w:rsidR="00E34445">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dijo que tenía ganas de hacerle daño a alguien, actuó como </w:t>
      </w:r>
      <w:r w:rsidR="00FF1A72">
        <w:rPr>
          <w:rFonts w:asciiTheme="majorHAnsi" w:eastAsia="Times New Roman" w:hAnsiTheme="majorHAnsi"/>
          <w:sz w:val="20"/>
          <w:szCs w:val="20"/>
          <w:lang w:val="es-ES"/>
        </w:rPr>
        <w:t>líder</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AA6698">
        <w:rPr>
          <w:rFonts w:asciiTheme="majorHAnsi" w:eastAsia="Times New Roman" w:hAnsiTheme="majorHAnsi"/>
          <w:sz w:val="20"/>
          <w:szCs w:val="20"/>
          <w:lang w:val="es-ES"/>
        </w:rPr>
        <w:t>sicario</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del grupo que perpetró los delitos y</w:t>
      </w:r>
      <w:r w:rsidR="004368FD">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antes de irse de la escena de los delitos</w:t>
      </w:r>
      <w:r w:rsidR="004368FD">
        <w:rPr>
          <w:rFonts w:asciiTheme="majorHAnsi" w:eastAsia="Times New Roman" w:hAnsiTheme="majorHAnsi"/>
          <w:sz w:val="20"/>
          <w:szCs w:val="20"/>
          <w:lang w:val="es-ES"/>
        </w:rPr>
        <w:t>, estaba convencido de que su cómplice había ido a matar a una de las víctimas</w:t>
      </w:r>
      <w:r w:rsidR="00766DEB" w:rsidRPr="009D1E2F">
        <w:rPr>
          <w:rStyle w:val="FootnoteReference"/>
          <w:rFonts w:asciiTheme="majorHAnsi" w:eastAsia="Times New Roman" w:hAnsiTheme="majorHAnsi"/>
          <w:sz w:val="20"/>
          <w:szCs w:val="20"/>
          <w:lang w:val="es-ES"/>
        </w:rPr>
        <w:footnoteReference w:id="31"/>
      </w:r>
      <w:r>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7F447FDB" w14:textId="77777777" w:rsidR="00766DEB" w:rsidRPr="009D1E2F" w:rsidRDefault="00766DEB" w:rsidP="00817426">
      <w:pPr>
        <w:pStyle w:val="ListParagraph"/>
        <w:rPr>
          <w:rFonts w:asciiTheme="majorHAnsi" w:eastAsia="Times New Roman" w:hAnsiTheme="majorHAnsi"/>
          <w:sz w:val="20"/>
          <w:szCs w:val="20"/>
          <w:lang w:val="es-ES"/>
        </w:rPr>
      </w:pPr>
    </w:p>
    <w:p w14:paraId="01E9ECF9" w14:textId="77777777" w:rsidR="00B15287" w:rsidRPr="009D1E2F" w:rsidRDefault="009941C9"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 xml:space="preserve">La Corte citó también varios casos en los cuales se aplicó la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Pr>
          <w:rFonts w:asciiTheme="majorHAnsi" w:eastAsia="Times New Roman" w:hAnsiTheme="majorHAnsi"/>
          <w:sz w:val="20"/>
          <w:szCs w:val="20"/>
          <w:lang w:val="es-ES"/>
        </w:rPr>
        <w:t xml:space="preserve"> en los cuales </w:t>
      </w:r>
      <w:r w:rsidR="00C851B8">
        <w:rPr>
          <w:rFonts w:asciiTheme="majorHAnsi" w:eastAsia="Times New Roman" w:hAnsiTheme="majorHAnsi"/>
          <w:sz w:val="20"/>
          <w:szCs w:val="20"/>
          <w:lang w:val="es-ES"/>
        </w:rPr>
        <w:t>el homicidio</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se cometió para evitar el arresto o la detección e indicó que el motivo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DA1D1A" w:rsidRPr="009D1E2F">
        <w:rPr>
          <w:rFonts w:asciiTheme="majorHAnsi" w:eastAsia="Times New Roman" w:hAnsiTheme="majorHAnsi"/>
          <w:sz w:val="20"/>
          <w:szCs w:val="20"/>
          <w:lang w:val="es-ES"/>
        </w:rPr>
        <w:t>Gray</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y sus secuaces era evadir la captura y la identificación. Agregó que la multiplicidad de homicidios o de intentos de homicidio concordaba con los hechos en casos en los cuales se había impuesto la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Pr>
          <w:rFonts w:asciiTheme="majorHAnsi" w:eastAsia="Times New Roman" w:hAnsiTheme="majorHAnsi"/>
          <w:sz w:val="20"/>
          <w:szCs w:val="20"/>
          <w:lang w:val="es-ES"/>
        </w:rPr>
        <w:t xml:space="preserve">. Por último, la Corte argumentó que la </w:t>
      </w:r>
      <w:r w:rsidR="00F24CE1">
        <w:rPr>
          <w:rFonts w:asciiTheme="majorHAnsi" w:eastAsia="Times New Roman" w:hAnsiTheme="majorHAnsi"/>
          <w:sz w:val="20"/>
          <w:szCs w:val="20"/>
          <w:lang w:val="es-ES"/>
        </w:rPr>
        <w:t xml:space="preserve">prueba de que </w:t>
      </w:r>
      <w:r w:rsidR="00C851B8">
        <w:rPr>
          <w:rFonts w:asciiTheme="majorHAnsi" w:eastAsia="Times New Roman" w:hAnsiTheme="majorHAnsi"/>
          <w:sz w:val="20"/>
          <w:szCs w:val="20"/>
          <w:lang w:val="es-ES"/>
        </w:rPr>
        <w:t>el acusado</w:t>
      </w:r>
      <w:r w:rsidR="00F24CE1">
        <w:rPr>
          <w:rFonts w:asciiTheme="majorHAnsi" w:eastAsia="Times New Roman" w:hAnsiTheme="majorHAnsi"/>
          <w:sz w:val="20"/>
          <w:szCs w:val="20"/>
          <w:lang w:val="es-ES"/>
        </w:rPr>
        <w:t xml:space="preserve"> no había presenciado los homicidios en sí no resolvía la cuestión de la </w:t>
      </w:r>
      <w:r w:rsidR="00DA1D1A" w:rsidRPr="009D1E2F">
        <w:rPr>
          <w:rFonts w:asciiTheme="majorHAnsi" w:eastAsia="Times New Roman" w:hAnsiTheme="majorHAnsi"/>
          <w:sz w:val="20"/>
          <w:szCs w:val="20"/>
          <w:lang w:val="es-ES"/>
        </w:rPr>
        <w:t>propor</w:t>
      </w:r>
      <w:r w:rsidR="00F24CE1">
        <w:rPr>
          <w:rFonts w:asciiTheme="majorHAnsi" w:eastAsia="Times New Roman" w:hAnsiTheme="majorHAnsi"/>
          <w:sz w:val="20"/>
          <w:szCs w:val="20"/>
          <w:lang w:val="es-ES"/>
        </w:rPr>
        <w:t>c</w:t>
      </w:r>
      <w:r w:rsidR="00DA1D1A" w:rsidRPr="009D1E2F">
        <w:rPr>
          <w:rFonts w:asciiTheme="majorHAnsi" w:eastAsia="Times New Roman" w:hAnsiTheme="majorHAnsi"/>
          <w:sz w:val="20"/>
          <w:szCs w:val="20"/>
          <w:lang w:val="es-ES"/>
        </w:rPr>
        <w:t>ionali</w:t>
      </w:r>
      <w:r w:rsidR="00F24CE1">
        <w:rPr>
          <w:rFonts w:asciiTheme="majorHAnsi" w:eastAsia="Times New Roman" w:hAnsiTheme="majorHAnsi"/>
          <w:sz w:val="20"/>
          <w:szCs w:val="20"/>
          <w:lang w:val="es-ES"/>
        </w:rPr>
        <w:t>dad. Al respecto, la Corte señaló que se había admitido la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F24CE1">
        <w:rPr>
          <w:rFonts w:asciiTheme="majorHAnsi" w:eastAsia="Times New Roman" w:hAnsiTheme="majorHAnsi"/>
          <w:sz w:val="20"/>
          <w:szCs w:val="20"/>
          <w:lang w:val="es-ES"/>
        </w:rPr>
        <w:t xml:space="preserve">en casos en que no había pruebas de que </w:t>
      </w:r>
      <w:r w:rsidR="00C851B8">
        <w:rPr>
          <w:rFonts w:asciiTheme="majorHAnsi" w:eastAsia="Times New Roman" w:hAnsiTheme="majorHAnsi"/>
          <w:sz w:val="20"/>
          <w:szCs w:val="20"/>
          <w:lang w:val="es-ES"/>
        </w:rPr>
        <w:t>el acusado</w:t>
      </w:r>
      <w:r w:rsidR="00B059EC" w:rsidRPr="009D1E2F">
        <w:rPr>
          <w:rFonts w:asciiTheme="majorHAnsi" w:eastAsia="Times New Roman" w:hAnsiTheme="majorHAnsi"/>
          <w:sz w:val="20"/>
          <w:szCs w:val="20"/>
          <w:lang w:val="es-ES"/>
        </w:rPr>
        <w:t xml:space="preserve"> </w:t>
      </w:r>
      <w:r w:rsidR="00F24CE1">
        <w:rPr>
          <w:rFonts w:asciiTheme="majorHAnsi" w:eastAsia="Times New Roman" w:hAnsiTheme="majorHAnsi"/>
          <w:sz w:val="20"/>
          <w:szCs w:val="20"/>
          <w:lang w:val="es-ES"/>
        </w:rPr>
        <w:t>hubiera estado presente en el momento del homicidio</w:t>
      </w:r>
      <w:r w:rsidR="00DA1D1A" w:rsidRPr="009D1E2F">
        <w:rPr>
          <w:rStyle w:val="FootnoteReference"/>
          <w:rFonts w:asciiTheme="majorHAnsi" w:eastAsia="Times New Roman" w:hAnsiTheme="majorHAnsi"/>
          <w:sz w:val="20"/>
          <w:szCs w:val="20"/>
          <w:lang w:val="es-ES"/>
        </w:rPr>
        <w:footnoteReference w:id="32"/>
      </w:r>
      <w:r w:rsidR="00F24CE1">
        <w:rPr>
          <w:rFonts w:asciiTheme="majorHAnsi" w:eastAsia="Times New Roman" w:hAnsiTheme="majorHAnsi"/>
          <w:sz w:val="20"/>
          <w:szCs w:val="20"/>
          <w:lang w:val="es-ES"/>
        </w:rPr>
        <w:t>.</w:t>
      </w:r>
      <w:r w:rsidR="00F776B4">
        <w:rPr>
          <w:rFonts w:asciiTheme="majorHAnsi" w:eastAsia="Times New Roman" w:hAnsiTheme="majorHAnsi"/>
          <w:sz w:val="20"/>
          <w:szCs w:val="20"/>
          <w:lang w:val="es-ES"/>
        </w:rPr>
        <w:t xml:space="preserve"> </w:t>
      </w:r>
    </w:p>
    <w:p w14:paraId="0634BC0A" w14:textId="77777777" w:rsidR="003265BE" w:rsidRPr="009D1E2F" w:rsidRDefault="003265BE" w:rsidP="00817426">
      <w:pPr>
        <w:pStyle w:val="ListParagraph"/>
        <w:rPr>
          <w:rFonts w:asciiTheme="majorHAnsi" w:hAnsiTheme="majorHAnsi"/>
          <w:sz w:val="20"/>
          <w:szCs w:val="20"/>
          <w:lang w:val="es-ES"/>
        </w:rPr>
      </w:pPr>
    </w:p>
    <w:p w14:paraId="301E8C3A" w14:textId="77777777" w:rsidR="003265BE" w:rsidRPr="009D1E2F" w:rsidRDefault="00F24CE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3265BE" w:rsidRPr="009D1E2F">
        <w:rPr>
          <w:rFonts w:asciiTheme="majorHAnsi" w:hAnsiTheme="majorHAnsi"/>
          <w:sz w:val="20"/>
          <w:szCs w:val="20"/>
          <w:lang w:val="es-ES"/>
        </w:rPr>
        <w:t>27</w:t>
      </w:r>
      <w:r>
        <w:rPr>
          <w:rFonts w:asciiTheme="majorHAnsi" w:hAnsiTheme="majorHAnsi"/>
          <w:sz w:val="20"/>
          <w:szCs w:val="20"/>
          <w:lang w:val="es-ES"/>
        </w:rPr>
        <w:t xml:space="preserve"> de marzo de</w:t>
      </w:r>
      <w:r w:rsidR="00B059EC" w:rsidRPr="009D1E2F">
        <w:rPr>
          <w:rFonts w:asciiTheme="majorHAnsi" w:hAnsiTheme="majorHAnsi"/>
          <w:sz w:val="20"/>
          <w:szCs w:val="20"/>
          <w:lang w:val="es-ES"/>
        </w:rPr>
        <w:t xml:space="preserve"> </w:t>
      </w:r>
      <w:r w:rsidR="003265BE" w:rsidRPr="009D1E2F">
        <w:rPr>
          <w:rFonts w:asciiTheme="majorHAnsi" w:hAnsiTheme="majorHAnsi"/>
          <w:sz w:val="20"/>
          <w:szCs w:val="20"/>
          <w:lang w:val="es-ES"/>
        </w:rPr>
        <w:t>1995,</w:t>
      </w:r>
      <w:r w:rsidR="00B059EC" w:rsidRPr="009D1E2F">
        <w:rPr>
          <w:rFonts w:asciiTheme="majorHAnsi" w:hAnsiTheme="majorHAnsi"/>
          <w:sz w:val="20"/>
          <w:szCs w:val="20"/>
          <w:lang w:val="es-ES"/>
        </w:rPr>
        <w:t xml:space="preserve"> </w:t>
      </w:r>
      <w:r w:rsidR="00FF1A72">
        <w:rPr>
          <w:rFonts w:asciiTheme="majorHAnsi" w:hAnsiTheme="majorHAnsi"/>
          <w:sz w:val="20"/>
          <w:szCs w:val="20"/>
          <w:lang w:val="es-ES"/>
        </w:rPr>
        <w:t xml:space="preserve">la Corte Suprema de </w:t>
      </w:r>
      <w:r w:rsidR="000E2468" w:rsidRPr="009D1E2F">
        <w:rPr>
          <w:rFonts w:asciiTheme="majorHAnsi" w:hAnsiTheme="majorHAnsi"/>
          <w:sz w:val="20"/>
          <w:szCs w:val="20"/>
          <w:lang w:val="es-ES"/>
        </w:rPr>
        <w:t>Estados</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Unidos</w:t>
      </w:r>
      <w:r w:rsidR="00B059EC" w:rsidRPr="009D1E2F">
        <w:rPr>
          <w:rFonts w:asciiTheme="majorHAnsi" w:hAnsiTheme="majorHAnsi"/>
          <w:sz w:val="20"/>
          <w:szCs w:val="20"/>
          <w:lang w:val="es-ES"/>
        </w:rPr>
        <w:t xml:space="preserve"> </w:t>
      </w:r>
      <w:r w:rsidR="003265BE" w:rsidRPr="009D1E2F">
        <w:rPr>
          <w:rFonts w:asciiTheme="majorHAnsi" w:hAnsiTheme="majorHAnsi"/>
          <w:sz w:val="20"/>
          <w:szCs w:val="20"/>
          <w:lang w:val="es-ES"/>
        </w:rPr>
        <w:t>den</w:t>
      </w:r>
      <w:r>
        <w:rPr>
          <w:rFonts w:asciiTheme="majorHAnsi" w:hAnsiTheme="majorHAnsi"/>
          <w:sz w:val="20"/>
          <w:szCs w:val="20"/>
          <w:lang w:val="es-ES"/>
        </w:rPr>
        <w:t>egó el auto de avocación</w:t>
      </w:r>
      <w:r w:rsidR="005E435E" w:rsidRPr="009D1E2F">
        <w:rPr>
          <w:rStyle w:val="FootnoteReference"/>
          <w:rFonts w:asciiTheme="majorHAnsi" w:hAnsiTheme="majorHAnsi"/>
          <w:sz w:val="20"/>
          <w:szCs w:val="20"/>
          <w:lang w:val="es-ES"/>
        </w:rPr>
        <w:footnoteReference w:id="33"/>
      </w:r>
      <w:r>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1EF64735" w14:textId="77777777" w:rsidR="00866353" w:rsidRPr="009D1E2F" w:rsidRDefault="00866353" w:rsidP="00817426">
      <w:pPr>
        <w:tabs>
          <w:tab w:val="left" w:pos="360"/>
        </w:tabs>
        <w:rPr>
          <w:rFonts w:asciiTheme="majorHAnsi" w:hAnsiTheme="majorHAnsi"/>
          <w:sz w:val="20"/>
          <w:szCs w:val="20"/>
          <w:lang w:val="es-ES"/>
        </w:rPr>
      </w:pPr>
    </w:p>
    <w:p w14:paraId="6916850B" w14:textId="77777777" w:rsidR="007072EE" w:rsidRPr="009D1E2F" w:rsidRDefault="00E40F91" w:rsidP="00817426">
      <w:pPr>
        <w:pStyle w:val="Heading2"/>
        <w:keepNext w:val="0"/>
        <w:keepLines w:val="0"/>
        <w:numPr>
          <w:ilvl w:val="0"/>
          <w:numId w:val="73"/>
        </w:numPr>
        <w:spacing w:before="0"/>
        <w:ind w:left="360"/>
        <w:jc w:val="both"/>
        <w:rPr>
          <w:color w:val="auto"/>
          <w:sz w:val="20"/>
          <w:szCs w:val="20"/>
          <w:lang w:val="es-ES"/>
        </w:rPr>
      </w:pPr>
      <w:bookmarkStart w:id="8" w:name="_Toc90284826"/>
      <w:r w:rsidRPr="009D1E2F">
        <w:rPr>
          <w:color w:val="auto"/>
          <w:sz w:val="20"/>
          <w:szCs w:val="20"/>
          <w:lang w:val="es-ES"/>
        </w:rPr>
        <w:t>Actuaciones</w:t>
      </w:r>
      <w:r w:rsidR="00B059EC" w:rsidRPr="009D1E2F">
        <w:rPr>
          <w:color w:val="auto"/>
          <w:sz w:val="20"/>
          <w:szCs w:val="20"/>
          <w:lang w:val="es-ES"/>
        </w:rPr>
        <w:t xml:space="preserve"> </w:t>
      </w:r>
      <w:proofErr w:type="spellStart"/>
      <w:r w:rsidRPr="009D1E2F">
        <w:rPr>
          <w:color w:val="auto"/>
          <w:sz w:val="20"/>
          <w:szCs w:val="20"/>
          <w:lang w:val="es-ES"/>
        </w:rPr>
        <w:t>poscondenatorias</w:t>
      </w:r>
      <w:bookmarkEnd w:id="8"/>
      <w:proofErr w:type="spellEnd"/>
    </w:p>
    <w:p w14:paraId="1FFAF5D1" w14:textId="77777777" w:rsidR="007072EE" w:rsidRPr="009D1E2F" w:rsidRDefault="007072EE" w:rsidP="00817426">
      <w:pPr>
        <w:tabs>
          <w:tab w:val="left" w:pos="360"/>
        </w:tabs>
        <w:rPr>
          <w:rFonts w:asciiTheme="majorHAnsi" w:hAnsiTheme="majorHAnsi"/>
          <w:sz w:val="20"/>
          <w:szCs w:val="20"/>
          <w:lang w:val="es-ES"/>
        </w:rPr>
      </w:pPr>
    </w:p>
    <w:p w14:paraId="79B503A0" w14:textId="77777777" w:rsidR="00FD1E1C" w:rsidRPr="009D1E2F" w:rsidRDefault="003E427B"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BD2443"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interpuso un recurso de </w:t>
      </w:r>
      <w:r w:rsidR="00BD2443" w:rsidRPr="009D1E2F">
        <w:rPr>
          <w:rFonts w:asciiTheme="majorHAnsi" w:hAnsiTheme="majorHAnsi"/>
          <w:sz w:val="20"/>
          <w:szCs w:val="20"/>
          <w:lang w:val="es-ES"/>
        </w:rPr>
        <w:t>h</w:t>
      </w:r>
      <w:r>
        <w:rPr>
          <w:rFonts w:asciiTheme="majorHAnsi" w:hAnsiTheme="majorHAnsi"/>
          <w:sz w:val="20"/>
          <w:szCs w:val="20"/>
          <w:lang w:val="es-ES"/>
        </w:rPr>
        <w:t>á</w:t>
      </w:r>
      <w:r w:rsidR="00BD2443" w:rsidRPr="009D1E2F">
        <w:rPr>
          <w:rFonts w:asciiTheme="majorHAnsi" w:hAnsiTheme="majorHAnsi"/>
          <w:sz w:val="20"/>
          <w:szCs w:val="20"/>
          <w:lang w:val="es-ES"/>
        </w:rPr>
        <w:t>beas</w:t>
      </w:r>
      <w:r w:rsidR="00B059EC" w:rsidRPr="009D1E2F">
        <w:rPr>
          <w:rFonts w:asciiTheme="majorHAnsi" w:hAnsiTheme="majorHAnsi"/>
          <w:sz w:val="20"/>
          <w:szCs w:val="20"/>
          <w:lang w:val="es-ES"/>
        </w:rPr>
        <w:t xml:space="preserve"> </w:t>
      </w:r>
      <w:r w:rsidR="00BD2443" w:rsidRPr="009D1E2F">
        <w:rPr>
          <w:rFonts w:asciiTheme="majorHAnsi" w:hAnsiTheme="majorHAnsi"/>
          <w:sz w:val="20"/>
          <w:szCs w:val="20"/>
          <w:lang w:val="es-ES"/>
        </w:rPr>
        <w:t>corpus</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ante el Tribunal de Distrito de Misuri, que fue denegado </w:t>
      </w:r>
      <w:r w:rsidR="00D727F7">
        <w:rPr>
          <w:rFonts w:asciiTheme="majorHAnsi" w:hAnsiTheme="majorHAnsi"/>
          <w:sz w:val="20"/>
          <w:szCs w:val="20"/>
          <w:lang w:val="es-ES"/>
        </w:rPr>
        <w:t xml:space="preserve">mediante </w:t>
      </w:r>
      <w:r>
        <w:rPr>
          <w:rFonts w:asciiTheme="majorHAnsi" w:hAnsiTheme="majorHAnsi"/>
          <w:sz w:val="20"/>
          <w:szCs w:val="20"/>
          <w:lang w:val="es-ES"/>
        </w:rPr>
        <w:t xml:space="preserve">una orden no publicada del </w:t>
      </w:r>
      <w:r w:rsidR="00A16474" w:rsidRPr="009D1E2F">
        <w:rPr>
          <w:rFonts w:asciiTheme="majorHAnsi" w:hAnsiTheme="majorHAnsi"/>
          <w:sz w:val="20"/>
          <w:szCs w:val="20"/>
          <w:lang w:val="es-ES"/>
        </w:rPr>
        <w:t>14</w:t>
      </w:r>
      <w:r>
        <w:rPr>
          <w:rFonts w:asciiTheme="majorHAnsi" w:hAnsiTheme="majorHAnsi"/>
          <w:sz w:val="20"/>
          <w:szCs w:val="20"/>
          <w:lang w:val="es-ES"/>
        </w:rPr>
        <w:t xml:space="preserve"> de julio de</w:t>
      </w:r>
      <w:r w:rsidR="00B059EC" w:rsidRPr="009D1E2F">
        <w:rPr>
          <w:rFonts w:asciiTheme="majorHAnsi" w:hAnsiTheme="majorHAnsi"/>
          <w:sz w:val="20"/>
          <w:szCs w:val="20"/>
          <w:lang w:val="es-ES"/>
        </w:rPr>
        <w:t xml:space="preserve"> </w:t>
      </w:r>
      <w:r w:rsidR="00A16474" w:rsidRPr="009D1E2F">
        <w:rPr>
          <w:rFonts w:asciiTheme="majorHAnsi" w:hAnsiTheme="majorHAnsi"/>
          <w:sz w:val="20"/>
          <w:szCs w:val="20"/>
          <w:lang w:val="es-ES"/>
        </w:rPr>
        <w:t>2000</w:t>
      </w:r>
      <w:r w:rsidR="00A16474" w:rsidRPr="009D1E2F">
        <w:rPr>
          <w:rStyle w:val="FootnoteReference"/>
          <w:rFonts w:asciiTheme="majorHAnsi" w:hAnsiTheme="majorHAnsi"/>
          <w:sz w:val="20"/>
          <w:szCs w:val="20"/>
          <w:lang w:val="es-ES"/>
        </w:rPr>
        <w:footnoteReference w:id="34"/>
      </w:r>
      <w:r>
        <w:rPr>
          <w:rFonts w:asciiTheme="majorHAnsi" w:hAnsiTheme="majorHAnsi"/>
          <w:sz w:val="20"/>
          <w:szCs w:val="20"/>
          <w:lang w:val="es-ES"/>
        </w:rPr>
        <w:t>.</w:t>
      </w:r>
      <w:r w:rsidR="00F776B4">
        <w:rPr>
          <w:rFonts w:asciiTheme="majorHAnsi" w:hAnsiTheme="majorHAnsi"/>
          <w:sz w:val="20"/>
          <w:szCs w:val="20"/>
          <w:lang w:val="es-ES"/>
        </w:rPr>
        <w:t xml:space="preserve"> </w:t>
      </w:r>
      <w:r w:rsidR="000E2468" w:rsidRPr="009D1E2F">
        <w:rPr>
          <w:rFonts w:asciiTheme="majorHAnsi" w:hAnsiTheme="majorHAnsi"/>
          <w:sz w:val="20"/>
          <w:szCs w:val="20"/>
          <w:lang w:val="es-ES"/>
        </w:rPr>
        <w:t>E</w:t>
      </w:r>
      <w:r w:rsidR="00EB0EE9">
        <w:rPr>
          <w:rFonts w:asciiTheme="majorHAnsi" w:hAnsiTheme="majorHAnsi"/>
          <w:sz w:val="20"/>
          <w:szCs w:val="20"/>
          <w:lang w:val="es-ES"/>
        </w:rPr>
        <w:t>l Tribunal Federal de Apelaciones, en una revisión de la denegación del recurso, ratificó la sentencia del Tribunal de Distrito</w:t>
      </w:r>
      <w:r w:rsidR="00FD1E1C" w:rsidRPr="009D1E2F">
        <w:rPr>
          <w:rStyle w:val="FootnoteReference"/>
          <w:rFonts w:asciiTheme="majorHAnsi" w:hAnsiTheme="majorHAnsi"/>
          <w:sz w:val="20"/>
          <w:szCs w:val="20"/>
          <w:lang w:val="es-ES"/>
        </w:rPr>
        <w:footnoteReference w:id="35"/>
      </w:r>
      <w:r w:rsidR="00EB0EE9">
        <w:rPr>
          <w:rFonts w:asciiTheme="majorHAnsi" w:hAnsiTheme="majorHAnsi"/>
          <w:sz w:val="20"/>
          <w:szCs w:val="20"/>
          <w:lang w:val="es-ES"/>
        </w:rPr>
        <w:t xml:space="preserve">, aunque reconoció que el peticionario no había matado a </w:t>
      </w:r>
      <w:r w:rsidR="00866353" w:rsidRPr="009D1E2F">
        <w:rPr>
          <w:rFonts w:asciiTheme="majorHAnsi" w:hAnsiTheme="majorHAnsi"/>
          <w:sz w:val="20"/>
          <w:szCs w:val="20"/>
          <w:lang w:val="es-ES"/>
        </w:rPr>
        <w:t>Julie</w:t>
      </w:r>
      <w:r w:rsidR="00B059EC" w:rsidRPr="009D1E2F">
        <w:rPr>
          <w:rFonts w:asciiTheme="majorHAnsi" w:hAnsiTheme="majorHAnsi"/>
          <w:sz w:val="20"/>
          <w:szCs w:val="20"/>
          <w:lang w:val="es-ES"/>
        </w:rPr>
        <w:t xml:space="preserve"> </w:t>
      </w:r>
      <w:r w:rsidR="00EB0EE9">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866353" w:rsidRPr="009D1E2F">
        <w:rPr>
          <w:rFonts w:asciiTheme="majorHAnsi" w:hAnsiTheme="majorHAnsi"/>
          <w:sz w:val="20"/>
          <w:szCs w:val="20"/>
          <w:lang w:val="es-ES"/>
        </w:rPr>
        <w:t>Robin</w:t>
      </w:r>
      <w:r w:rsidR="00B059EC" w:rsidRPr="009D1E2F">
        <w:rPr>
          <w:rFonts w:asciiTheme="majorHAnsi" w:hAnsiTheme="majorHAnsi"/>
          <w:sz w:val="20"/>
          <w:szCs w:val="20"/>
          <w:lang w:val="es-ES"/>
        </w:rPr>
        <w:t xml:space="preserve"> </w:t>
      </w:r>
      <w:r w:rsidR="00866353" w:rsidRPr="009D1E2F">
        <w:rPr>
          <w:rFonts w:asciiTheme="majorHAnsi" w:hAnsiTheme="majorHAnsi"/>
          <w:sz w:val="20"/>
          <w:szCs w:val="20"/>
          <w:lang w:val="es-ES"/>
        </w:rPr>
        <w:t>Kerry</w:t>
      </w:r>
      <w:r w:rsidR="00B059EC" w:rsidRPr="009D1E2F">
        <w:rPr>
          <w:rFonts w:asciiTheme="majorHAnsi" w:hAnsiTheme="majorHAnsi"/>
          <w:sz w:val="20"/>
          <w:szCs w:val="20"/>
          <w:lang w:val="es-ES"/>
        </w:rPr>
        <w:t xml:space="preserve"> </w:t>
      </w:r>
      <w:r w:rsidR="00EB0EE9">
        <w:rPr>
          <w:rFonts w:asciiTheme="majorHAnsi" w:hAnsiTheme="majorHAnsi"/>
          <w:sz w:val="20"/>
          <w:szCs w:val="20"/>
          <w:lang w:val="es-ES"/>
        </w:rPr>
        <w:t xml:space="preserve">él mismo, sino que, según el fiscal y </w:t>
      </w:r>
      <w:r w:rsidR="005C0BC0">
        <w:rPr>
          <w:rFonts w:asciiTheme="majorHAnsi" w:hAnsiTheme="majorHAnsi"/>
          <w:sz w:val="20"/>
          <w:szCs w:val="20"/>
          <w:lang w:val="es-ES"/>
        </w:rPr>
        <w:t>el veredicto</w:t>
      </w:r>
      <w:r w:rsidR="00B059EC" w:rsidRPr="009D1E2F">
        <w:rPr>
          <w:rFonts w:asciiTheme="majorHAnsi" w:hAnsiTheme="majorHAnsi"/>
          <w:sz w:val="20"/>
          <w:szCs w:val="20"/>
          <w:lang w:val="es-ES"/>
        </w:rPr>
        <w:t xml:space="preserve"> </w:t>
      </w:r>
      <w:r w:rsidR="00EB0EE9">
        <w:rPr>
          <w:rFonts w:asciiTheme="majorHAnsi" w:hAnsiTheme="majorHAnsi"/>
          <w:sz w:val="20"/>
          <w:szCs w:val="20"/>
          <w:lang w:val="es-ES"/>
        </w:rPr>
        <w:t>d</w:t>
      </w:r>
      <w:r w:rsidR="0093050F">
        <w:rPr>
          <w:rFonts w:asciiTheme="majorHAnsi" w:hAnsiTheme="majorHAnsi"/>
          <w:sz w:val="20"/>
          <w:szCs w:val="20"/>
          <w:lang w:val="es-ES"/>
        </w:rPr>
        <w:t>el jurado</w:t>
      </w:r>
      <w:r w:rsidR="00866353"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EB0EE9">
        <w:rPr>
          <w:rFonts w:asciiTheme="majorHAnsi" w:hAnsiTheme="majorHAnsi"/>
          <w:sz w:val="20"/>
          <w:szCs w:val="20"/>
          <w:lang w:val="es-ES"/>
        </w:rPr>
        <w:t>participó de manera sustancial, junto con los otros tres hombres, en el robo de las dos víctimas y de su primo y en la violación de las dos víctimas</w:t>
      </w:r>
      <w:r w:rsidR="00866353" w:rsidRPr="009D1E2F">
        <w:rPr>
          <w:rStyle w:val="FootnoteReference"/>
          <w:rFonts w:asciiTheme="majorHAnsi" w:hAnsiTheme="majorHAnsi"/>
          <w:sz w:val="20"/>
          <w:szCs w:val="20"/>
          <w:lang w:val="es-ES"/>
        </w:rPr>
        <w:footnoteReference w:id="36"/>
      </w:r>
      <w:r w:rsidR="00EB0EE9">
        <w:rPr>
          <w:rFonts w:asciiTheme="majorHAnsi" w:hAnsiTheme="majorHAnsi"/>
          <w:sz w:val="20"/>
          <w:szCs w:val="20"/>
          <w:lang w:val="es-ES"/>
        </w:rPr>
        <w:t>.</w:t>
      </w:r>
    </w:p>
    <w:p w14:paraId="305913E0" w14:textId="77777777" w:rsidR="00FD1E1C" w:rsidRPr="009D1E2F" w:rsidRDefault="00FD1E1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645C50DD" w14:textId="77777777" w:rsidR="00866353" w:rsidRPr="009D1E2F" w:rsidRDefault="00EB0EE9"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FD1E1C" w:rsidRPr="009D1E2F">
        <w:rPr>
          <w:rFonts w:asciiTheme="majorHAnsi" w:hAnsiTheme="majorHAnsi"/>
          <w:sz w:val="20"/>
          <w:szCs w:val="20"/>
          <w:lang w:val="es-ES"/>
        </w:rPr>
        <w:t>13</w:t>
      </w:r>
      <w:r>
        <w:rPr>
          <w:rFonts w:asciiTheme="majorHAnsi" w:hAnsiTheme="majorHAnsi"/>
          <w:sz w:val="20"/>
          <w:szCs w:val="20"/>
          <w:lang w:val="es-ES"/>
        </w:rPr>
        <w:t xml:space="preserve"> de enero de</w:t>
      </w:r>
      <w:r w:rsidR="00B059EC" w:rsidRPr="009D1E2F">
        <w:rPr>
          <w:rFonts w:asciiTheme="majorHAnsi" w:hAnsiTheme="majorHAnsi"/>
          <w:sz w:val="20"/>
          <w:szCs w:val="20"/>
          <w:lang w:val="es-ES"/>
        </w:rPr>
        <w:t xml:space="preserve"> </w:t>
      </w:r>
      <w:r w:rsidR="00FD1E1C" w:rsidRPr="009D1E2F">
        <w:rPr>
          <w:rFonts w:asciiTheme="majorHAnsi" w:hAnsiTheme="majorHAnsi"/>
          <w:sz w:val="20"/>
          <w:szCs w:val="20"/>
          <w:lang w:val="es-ES"/>
        </w:rPr>
        <w:t>2003,</w:t>
      </w:r>
      <w:r w:rsidR="00B059EC" w:rsidRPr="009D1E2F">
        <w:rPr>
          <w:rFonts w:asciiTheme="majorHAnsi" w:hAnsiTheme="majorHAnsi"/>
          <w:sz w:val="20"/>
          <w:szCs w:val="20"/>
          <w:lang w:val="es-ES"/>
        </w:rPr>
        <w:t xml:space="preserve"> </w:t>
      </w:r>
      <w:r w:rsidR="00FF1A72" w:rsidRPr="00FF1A72">
        <w:rPr>
          <w:rFonts w:asciiTheme="majorHAnsi" w:hAnsiTheme="majorHAnsi"/>
          <w:sz w:val="20"/>
          <w:szCs w:val="20"/>
          <w:lang w:val="es-ES"/>
        </w:rPr>
        <w:t>la Corte Suprema</w:t>
      </w:r>
      <w:r w:rsidR="00B059EC" w:rsidRPr="009D1E2F">
        <w:rPr>
          <w:rFonts w:asciiTheme="majorHAnsi" w:hAnsiTheme="majorHAnsi"/>
          <w:sz w:val="20"/>
          <w:szCs w:val="20"/>
          <w:lang w:val="es-ES"/>
        </w:rPr>
        <w:t xml:space="preserve"> </w:t>
      </w:r>
      <w:r>
        <w:rPr>
          <w:rFonts w:asciiTheme="majorHAnsi" w:hAnsiTheme="majorHAnsi"/>
          <w:sz w:val="20"/>
          <w:szCs w:val="20"/>
          <w:lang w:val="es-ES"/>
        </w:rPr>
        <w:t>se negó a hacer una revisión discrecional</w:t>
      </w:r>
      <w:r w:rsidR="00FD1E1C" w:rsidRPr="009D1E2F">
        <w:rPr>
          <w:rStyle w:val="FootnoteReference"/>
          <w:rFonts w:asciiTheme="majorHAnsi" w:hAnsiTheme="majorHAnsi"/>
          <w:sz w:val="20"/>
          <w:szCs w:val="20"/>
          <w:lang w:val="es-ES"/>
        </w:rPr>
        <w:footnoteReference w:id="37"/>
      </w:r>
      <w:r w:rsidR="00D727F7">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fiscal pidió a </w:t>
      </w:r>
      <w:r w:rsidR="007D747A"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Corte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Suprema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Misuri</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que fijara una fecha para la ejecución, la cual se fijó para el </w:t>
      </w:r>
      <w:r w:rsidR="00FE1FFB" w:rsidRPr="009D1E2F">
        <w:rPr>
          <w:rFonts w:asciiTheme="majorHAnsi" w:hAnsiTheme="majorHAnsi"/>
          <w:sz w:val="20"/>
          <w:szCs w:val="20"/>
          <w:lang w:val="es-ES"/>
        </w:rPr>
        <w:t>26</w:t>
      </w:r>
      <w:r>
        <w:rPr>
          <w:rFonts w:asciiTheme="majorHAnsi" w:hAnsiTheme="majorHAnsi"/>
          <w:sz w:val="20"/>
          <w:szCs w:val="20"/>
          <w:lang w:val="es-ES"/>
        </w:rPr>
        <w:t xml:space="preserve"> de octubre de</w:t>
      </w:r>
      <w:r w:rsidR="00B059EC" w:rsidRPr="009D1E2F">
        <w:rPr>
          <w:rFonts w:asciiTheme="majorHAnsi" w:hAnsiTheme="majorHAnsi"/>
          <w:sz w:val="20"/>
          <w:szCs w:val="20"/>
          <w:lang w:val="es-ES"/>
        </w:rPr>
        <w:t xml:space="preserve"> </w:t>
      </w:r>
      <w:r w:rsidR="00FD1E1C" w:rsidRPr="009D1E2F">
        <w:rPr>
          <w:rFonts w:asciiTheme="majorHAnsi" w:hAnsiTheme="majorHAnsi"/>
          <w:sz w:val="20"/>
          <w:szCs w:val="20"/>
          <w:lang w:val="es-ES"/>
        </w:rPr>
        <w:t>2005</w:t>
      </w:r>
      <w:r w:rsidR="00FD1E1C" w:rsidRPr="009D1E2F">
        <w:rPr>
          <w:rStyle w:val="FootnoteReference"/>
          <w:rFonts w:asciiTheme="majorHAnsi" w:hAnsiTheme="majorHAnsi"/>
          <w:sz w:val="20"/>
          <w:szCs w:val="20"/>
          <w:lang w:val="es-ES"/>
        </w:rPr>
        <w:footnoteReference w:id="38"/>
      </w:r>
      <w:r>
        <w:rPr>
          <w:rFonts w:asciiTheme="majorHAnsi" w:hAnsiTheme="majorHAnsi"/>
          <w:sz w:val="20"/>
          <w:szCs w:val="20"/>
          <w:lang w:val="es-ES"/>
        </w:rPr>
        <w:t>.</w:t>
      </w:r>
    </w:p>
    <w:p w14:paraId="44971BFB" w14:textId="77777777" w:rsidR="007072EE" w:rsidRPr="009D1E2F" w:rsidRDefault="007072EE"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74194306" w14:textId="77777777" w:rsidR="0099229D" w:rsidRPr="009D1E2F" w:rsidRDefault="0028151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7072EE"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fue ejecutado el </w:t>
      </w:r>
      <w:r w:rsidR="007072EE" w:rsidRPr="009D1E2F">
        <w:rPr>
          <w:rFonts w:asciiTheme="majorHAnsi" w:hAnsiTheme="majorHAnsi"/>
          <w:sz w:val="20"/>
          <w:szCs w:val="20"/>
          <w:lang w:val="es-ES"/>
        </w:rPr>
        <w:t>26</w:t>
      </w:r>
      <w:r>
        <w:rPr>
          <w:rFonts w:asciiTheme="majorHAnsi" w:hAnsiTheme="majorHAnsi"/>
          <w:sz w:val="20"/>
          <w:szCs w:val="20"/>
          <w:lang w:val="es-ES"/>
        </w:rPr>
        <w:t xml:space="preserve"> de octubre de</w:t>
      </w:r>
      <w:r w:rsidR="00B059EC" w:rsidRPr="009D1E2F">
        <w:rPr>
          <w:rFonts w:asciiTheme="majorHAnsi" w:hAnsiTheme="majorHAnsi"/>
          <w:sz w:val="20"/>
          <w:szCs w:val="20"/>
          <w:lang w:val="es-ES"/>
        </w:rPr>
        <w:t xml:space="preserve"> </w:t>
      </w:r>
      <w:r w:rsidR="007072EE" w:rsidRPr="009D1E2F">
        <w:rPr>
          <w:rFonts w:asciiTheme="majorHAnsi" w:hAnsiTheme="majorHAnsi"/>
          <w:sz w:val="20"/>
          <w:szCs w:val="20"/>
          <w:lang w:val="es-ES"/>
        </w:rPr>
        <w:t>2005</w:t>
      </w:r>
      <w:r w:rsidR="00B52584" w:rsidRPr="00B52584">
        <w:rPr>
          <w:rFonts w:asciiTheme="majorHAnsi" w:hAnsiTheme="majorHAnsi"/>
          <w:sz w:val="20"/>
          <w:szCs w:val="20"/>
          <w:lang w:val="es-ES"/>
        </w:rPr>
        <w:t xml:space="preserve"> a las 0:07 horas</w:t>
      </w:r>
      <w:r>
        <w:rPr>
          <w:rFonts w:asciiTheme="majorHAnsi" w:hAnsiTheme="majorHAnsi"/>
          <w:sz w:val="20"/>
          <w:szCs w:val="20"/>
          <w:lang w:val="es-ES"/>
        </w:rPr>
        <w:t xml:space="preserve"> por </w:t>
      </w:r>
      <w:r w:rsidR="00793CFB" w:rsidRPr="009D1E2F">
        <w:rPr>
          <w:rFonts w:asciiTheme="majorHAnsi" w:hAnsiTheme="majorHAnsi"/>
          <w:sz w:val="20"/>
          <w:szCs w:val="20"/>
          <w:lang w:val="es-ES"/>
        </w:rPr>
        <w:t>inyección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letal</w:t>
      </w:r>
      <w:r w:rsidR="007072EE" w:rsidRPr="009D1E2F">
        <w:rPr>
          <w:rFonts w:asciiTheme="majorHAnsi" w:hAnsiTheme="majorHAnsi"/>
          <w:sz w:val="20"/>
          <w:szCs w:val="20"/>
          <w:lang w:val="es-ES"/>
        </w:rPr>
        <w:t>.</w:t>
      </w:r>
    </w:p>
    <w:p w14:paraId="082D2B07" w14:textId="77777777" w:rsidR="00F44529" w:rsidRPr="009D1E2F" w:rsidRDefault="00F44529" w:rsidP="00817426">
      <w:pPr>
        <w:pStyle w:val="ListParagraph"/>
        <w:rPr>
          <w:rFonts w:asciiTheme="majorHAnsi" w:hAnsiTheme="majorHAnsi"/>
          <w:sz w:val="20"/>
          <w:szCs w:val="20"/>
          <w:lang w:val="es-ES"/>
        </w:rPr>
      </w:pPr>
    </w:p>
    <w:p w14:paraId="47D86A1C" w14:textId="77777777" w:rsidR="00314429" w:rsidRPr="009D1E2F" w:rsidRDefault="009171F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En cuanto a las otras tres personas involucradas en el delito</w:t>
      </w:r>
      <w:r w:rsidR="00314429"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14429" w:rsidRPr="009D1E2F">
        <w:rPr>
          <w:rFonts w:asciiTheme="majorHAnsi" w:hAnsiTheme="majorHAnsi"/>
          <w:sz w:val="20"/>
          <w:szCs w:val="20"/>
          <w:lang w:val="es-ES"/>
        </w:rPr>
        <w:t>Winfrey</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se declaró culpable de dos cargos de homicidio en segundo grado y aceptó declarar en contra de los otros tres hombres a cambio de la recomendación de una pena de </w:t>
      </w:r>
      <w:r w:rsidR="00042FA0" w:rsidRPr="009D1E2F">
        <w:rPr>
          <w:rFonts w:asciiTheme="majorHAnsi" w:hAnsiTheme="majorHAnsi"/>
          <w:sz w:val="20"/>
          <w:szCs w:val="20"/>
          <w:lang w:val="es-ES"/>
        </w:rPr>
        <w:t>30</w:t>
      </w:r>
      <w:r w:rsidR="00821E9F">
        <w:rPr>
          <w:rFonts w:asciiTheme="majorHAnsi" w:hAnsiTheme="majorHAnsi"/>
          <w:sz w:val="20"/>
          <w:szCs w:val="20"/>
          <w:lang w:val="es-ES"/>
        </w:rPr>
        <w:t xml:space="preserve"> años. Fue condenado a 3</w:t>
      </w:r>
      <w:r w:rsidR="00314429" w:rsidRPr="009D1E2F">
        <w:rPr>
          <w:rFonts w:asciiTheme="majorHAnsi" w:hAnsiTheme="majorHAnsi"/>
          <w:sz w:val="20"/>
          <w:szCs w:val="20"/>
          <w:lang w:val="es-ES"/>
        </w:rPr>
        <w:t>0</w:t>
      </w:r>
      <w:r w:rsidR="00821E9F">
        <w:rPr>
          <w:rFonts w:asciiTheme="majorHAnsi" w:hAnsiTheme="majorHAnsi"/>
          <w:sz w:val="20"/>
          <w:szCs w:val="20"/>
          <w:lang w:val="es-ES"/>
        </w:rPr>
        <w:t xml:space="preserve"> años de cárcel a cambio de su cooperación y en </w:t>
      </w:r>
      <w:r w:rsidR="00314429" w:rsidRPr="009D1E2F">
        <w:rPr>
          <w:rFonts w:asciiTheme="majorHAnsi" w:hAnsiTheme="majorHAnsi"/>
          <w:sz w:val="20"/>
          <w:szCs w:val="20"/>
          <w:lang w:val="es-ES"/>
        </w:rPr>
        <w:t>2007</w:t>
      </w:r>
      <w:r w:rsidR="00821E9F">
        <w:rPr>
          <w:rFonts w:asciiTheme="majorHAnsi" w:hAnsiTheme="majorHAnsi"/>
          <w:sz w:val="20"/>
          <w:szCs w:val="20"/>
          <w:lang w:val="es-ES"/>
        </w:rPr>
        <w:t xml:space="preserve"> fue puesto en libertad condicional</w:t>
      </w:r>
      <w:r w:rsidR="00314429"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Los otros dos fueron enjuiciados por separado</w:t>
      </w:r>
      <w:r w:rsidR="00314429" w:rsidRPr="009D1E2F">
        <w:rPr>
          <w:rStyle w:val="FootnoteReference"/>
          <w:rFonts w:asciiTheme="majorHAnsi" w:hAnsiTheme="majorHAnsi"/>
          <w:sz w:val="20"/>
          <w:szCs w:val="20"/>
          <w:lang w:val="es-ES"/>
        </w:rPr>
        <w:footnoteReference w:id="39"/>
      </w:r>
      <w:r w:rsidR="00821E9F">
        <w:rPr>
          <w:rFonts w:asciiTheme="majorHAnsi" w:hAnsiTheme="majorHAnsi"/>
          <w:sz w:val="20"/>
          <w:szCs w:val="20"/>
          <w:lang w:val="es-ES"/>
        </w:rPr>
        <w:t>.</w:t>
      </w:r>
    </w:p>
    <w:p w14:paraId="546B8159" w14:textId="77777777" w:rsidR="00314429" w:rsidRPr="009D1E2F" w:rsidRDefault="00314429" w:rsidP="00817426">
      <w:pPr>
        <w:pStyle w:val="ListParagraph"/>
        <w:rPr>
          <w:rFonts w:asciiTheme="majorHAnsi" w:hAnsiTheme="majorHAnsi"/>
          <w:sz w:val="20"/>
          <w:szCs w:val="20"/>
          <w:lang w:val="es-ES"/>
        </w:rPr>
      </w:pPr>
    </w:p>
    <w:p w14:paraId="3B4E109E" w14:textId="77777777" w:rsidR="00F44529" w:rsidRPr="009D1E2F" w:rsidRDefault="00F44529"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Richardson</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fue declarado culpable de un cargo de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y un cargo de </w:t>
      </w:r>
      <w:r w:rsidR="00817426"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segundo</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grado</w:t>
      </w:r>
      <w:r w:rsidR="00821E9F">
        <w:rPr>
          <w:rFonts w:asciiTheme="majorHAnsi" w:hAnsiTheme="majorHAnsi"/>
          <w:sz w:val="20"/>
          <w:szCs w:val="20"/>
          <w:lang w:val="es-ES"/>
        </w:rPr>
        <w:t>, pero el jurado no llegó a un acuerdo sobre la sentencia. Por consiguiente, de acuerdo con las leyes de Misuri, el juez se hizo cargo de la sentencia y lo condenó a muerte</w:t>
      </w:r>
      <w:r w:rsidR="00CC0D1F" w:rsidRPr="009D1E2F">
        <w:rPr>
          <w:rStyle w:val="FootnoteReference"/>
          <w:rFonts w:asciiTheme="majorHAnsi" w:hAnsiTheme="majorHAnsi"/>
          <w:sz w:val="20"/>
          <w:szCs w:val="20"/>
          <w:lang w:val="es-ES"/>
        </w:rPr>
        <w:footnoteReference w:id="40"/>
      </w:r>
      <w:r w:rsidR="00821E9F">
        <w:rPr>
          <w:rFonts w:asciiTheme="majorHAnsi" w:hAnsiTheme="majorHAnsi"/>
          <w:sz w:val="20"/>
          <w:szCs w:val="20"/>
          <w:lang w:val="es-ES"/>
        </w:rPr>
        <w:t>. E</w:t>
      </w:r>
      <w:r w:rsidR="001C4E97" w:rsidRPr="009D1E2F">
        <w:rPr>
          <w:rFonts w:asciiTheme="majorHAnsi" w:hAnsiTheme="majorHAnsi"/>
          <w:sz w:val="20"/>
          <w:szCs w:val="20"/>
          <w:lang w:val="es-ES"/>
        </w:rPr>
        <w:t>n</w:t>
      </w:r>
      <w:r w:rsidR="00B059EC" w:rsidRPr="009D1E2F">
        <w:rPr>
          <w:rFonts w:asciiTheme="majorHAnsi" w:hAnsiTheme="majorHAnsi"/>
          <w:sz w:val="20"/>
          <w:szCs w:val="20"/>
          <w:lang w:val="es-ES"/>
        </w:rPr>
        <w:t xml:space="preserve"> </w:t>
      </w:r>
      <w:r w:rsidR="001C4E97" w:rsidRPr="009D1E2F">
        <w:rPr>
          <w:rFonts w:asciiTheme="majorHAnsi" w:hAnsiTheme="majorHAnsi"/>
          <w:sz w:val="20"/>
          <w:szCs w:val="20"/>
          <w:lang w:val="es-ES"/>
        </w:rPr>
        <w:t>2002,</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la Corte </w:t>
      </w:r>
      <w:r w:rsidR="001C4E97" w:rsidRPr="009D1E2F">
        <w:rPr>
          <w:rFonts w:asciiTheme="majorHAnsi" w:hAnsiTheme="majorHAnsi"/>
          <w:sz w:val="20"/>
          <w:szCs w:val="20"/>
          <w:lang w:val="es-ES"/>
        </w:rPr>
        <w:t>Suprem</w:t>
      </w:r>
      <w:r w:rsidR="00821E9F">
        <w:rPr>
          <w:rFonts w:asciiTheme="majorHAnsi" w:hAnsiTheme="majorHAnsi"/>
          <w:sz w:val="20"/>
          <w:szCs w:val="20"/>
          <w:lang w:val="es-ES"/>
        </w:rPr>
        <w:t>a d</w:t>
      </w:r>
      <w:r w:rsidR="001C4E97" w:rsidRPr="009D1E2F">
        <w:rPr>
          <w:rFonts w:asciiTheme="majorHAnsi" w:hAnsiTheme="majorHAnsi"/>
          <w:sz w:val="20"/>
          <w:szCs w:val="20"/>
          <w:lang w:val="es-ES"/>
        </w:rPr>
        <w:t>e</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Estados</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Unidos</w:t>
      </w:r>
      <w:r w:rsidR="00B059EC" w:rsidRPr="009D1E2F">
        <w:rPr>
          <w:rFonts w:asciiTheme="majorHAnsi" w:hAnsiTheme="majorHAnsi"/>
          <w:sz w:val="20"/>
          <w:szCs w:val="20"/>
          <w:lang w:val="es-ES"/>
        </w:rPr>
        <w:t xml:space="preserve"> </w:t>
      </w:r>
      <w:r w:rsidR="001C4E97" w:rsidRPr="009D1E2F">
        <w:rPr>
          <w:rFonts w:asciiTheme="majorHAnsi" w:hAnsiTheme="majorHAnsi"/>
          <w:sz w:val="20"/>
          <w:szCs w:val="20"/>
          <w:lang w:val="es-ES"/>
        </w:rPr>
        <w:t>determin</w:t>
      </w:r>
      <w:r w:rsidR="00821E9F">
        <w:rPr>
          <w:rFonts w:asciiTheme="majorHAnsi" w:hAnsiTheme="majorHAnsi"/>
          <w:sz w:val="20"/>
          <w:szCs w:val="20"/>
          <w:lang w:val="es-ES"/>
        </w:rPr>
        <w:t xml:space="preserve">ó en </w:t>
      </w:r>
      <w:r w:rsidR="001C4E97" w:rsidRPr="009D1E2F">
        <w:rPr>
          <w:rFonts w:asciiTheme="majorHAnsi" w:hAnsiTheme="majorHAnsi"/>
          <w:sz w:val="20"/>
          <w:szCs w:val="20"/>
          <w:lang w:val="es-ES"/>
        </w:rPr>
        <w:t>Ring</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contra </w:t>
      </w:r>
      <w:r w:rsidR="001C4E97" w:rsidRPr="009D1E2F">
        <w:rPr>
          <w:rFonts w:asciiTheme="majorHAnsi" w:hAnsiTheme="majorHAnsi"/>
          <w:sz w:val="20"/>
          <w:szCs w:val="20"/>
          <w:lang w:val="es-ES"/>
        </w:rPr>
        <w:t>Arizona</w:t>
      </w:r>
      <w:r w:rsidR="00821E9F">
        <w:rPr>
          <w:rFonts w:asciiTheme="majorHAnsi" w:hAnsiTheme="majorHAnsi"/>
          <w:sz w:val="20"/>
          <w:szCs w:val="20"/>
          <w:lang w:val="es-ES"/>
        </w:rPr>
        <w:t xml:space="preserve"> (</w:t>
      </w:r>
      <w:r w:rsidR="001C4E97" w:rsidRPr="009D1E2F">
        <w:rPr>
          <w:rFonts w:asciiTheme="majorHAnsi" w:hAnsiTheme="majorHAnsi"/>
          <w:sz w:val="20"/>
          <w:szCs w:val="20"/>
          <w:lang w:val="es-ES"/>
        </w:rPr>
        <w:t>536</w:t>
      </w:r>
      <w:r w:rsidR="00B059EC" w:rsidRPr="009D1E2F">
        <w:rPr>
          <w:rFonts w:asciiTheme="majorHAnsi" w:hAnsiTheme="majorHAnsi"/>
          <w:sz w:val="20"/>
          <w:szCs w:val="20"/>
          <w:lang w:val="es-ES"/>
        </w:rPr>
        <w:t xml:space="preserve"> </w:t>
      </w:r>
      <w:r w:rsidR="001C4E97" w:rsidRPr="009D1E2F">
        <w:rPr>
          <w:rFonts w:asciiTheme="majorHAnsi" w:hAnsiTheme="majorHAnsi"/>
          <w:sz w:val="20"/>
          <w:szCs w:val="20"/>
          <w:lang w:val="es-ES"/>
        </w:rPr>
        <w:t>U.S.</w:t>
      </w:r>
      <w:r w:rsidR="00B059EC" w:rsidRPr="009D1E2F">
        <w:rPr>
          <w:rFonts w:asciiTheme="majorHAnsi" w:hAnsiTheme="majorHAnsi"/>
          <w:sz w:val="20"/>
          <w:szCs w:val="20"/>
          <w:lang w:val="es-ES"/>
        </w:rPr>
        <w:t xml:space="preserve"> </w:t>
      </w:r>
      <w:r w:rsidR="001C4E97" w:rsidRPr="009D1E2F">
        <w:rPr>
          <w:rFonts w:asciiTheme="majorHAnsi" w:hAnsiTheme="majorHAnsi"/>
          <w:sz w:val="20"/>
          <w:szCs w:val="20"/>
          <w:lang w:val="es-ES"/>
        </w:rPr>
        <w:t>584</w:t>
      </w:r>
      <w:r w:rsidR="00821E9F">
        <w:rPr>
          <w:rFonts w:asciiTheme="majorHAnsi" w:hAnsiTheme="majorHAnsi"/>
          <w:sz w:val="20"/>
          <w:szCs w:val="20"/>
          <w:lang w:val="es-ES"/>
        </w:rPr>
        <w:t xml:space="preserve">) que un jurado debe decidir en relación con </w:t>
      </w:r>
      <w:r w:rsidR="00821E9F">
        <w:rPr>
          <w:rFonts w:asciiTheme="majorHAnsi" w:hAnsiTheme="majorHAnsi"/>
          <w:sz w:val="20"/>
          <w:szCs w:val="20"/>
          <w:lang w:val="es-ES"/>
        </w:rPr>
        <w:lastRenderedPageBreak/>
        <w:t xml:space="preserve">todos los hechos sobre los cuales la legislatura requiere una decisión para que se pueda imponer la pena de muerte. Como </w:t>
      </w:r>
      <w:r w:rsidR="0093050F">
        <w:rPr>
          <w:rFonts w:asciiTheme="majorHAnsi" w:hAnsiTheme="majorHAnsi"/>
          <w:sz w:val="20"/>
          <w:szCs w:val="20"/>
          <w:lang w:val="es-ES"/>
        </w:rPr>
        <w:t>el jurado</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no había determinado por unanimidad que </w:t>
      </w:r>
      <w:r w:rsidR="00821E9F" w:rsidRPr="00821E9F">
        <w:rPr>
          <w:rFonts w:asciiTheme="majorHAnsi" w:hAnsiTheme="majorHAnsi"/>
          <w:sz w:val="20"/>
          <w:szCs w:val="20"/>
          <w:lang w:val="es-ES"/>
        </w:rPr>
        <w:t xml:space="preserve">Richardson </w:t>
      </w:r>
      <w:r w:rsidR="00821E9F">
        <w:rPr>
          <w:rFonts w:asciiTheme="majorHAnsi" w:hAnsiTheme="majorHAnsi"/>
          <w:sz w:val="20"/>
          <w:szCs w:val="20"/>
          <w:lang w:val="es-ES"/>
        </w:rPr>
        <w:t xml:space="preserve">merecía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1C4E9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 xml:space="preserve">fue condenado a </w:t>
      </w:r>
      <w:r w:rsidR="00817426" w:rsidRPr="009D1E2F">
        <w:rPr>
          <w:rFonts w:asciiTheme="majorHAnsi" w:hAnsiTheme="majorHAnsi"/>
          <w:sz w:val="20"/>
          <w:szCs w:val="20"/>
          <w:lang w:val="es-ES"/>
        </w:rPr>
        <w:t>cadena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perpetua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sin</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posibilidad</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libertad</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condicional</w:t>
      </w:r>
      <w:r w:rsidR="0006511C" w:rsidRPr="009D1E2F">
        <w:rPr>
          <w:rStyle w:val="FootnoteReference"/>
          <w:rFonts w:asciiTheme="majorHAnsi" w:hAnsiTheme="majorHAnsi"/>
          <w:sz w:val="20"/>
          <w:szCs w:val="20"/>
          <w:lang w:val="es-ES"/>
        </w:rPr>
        <w:footnoteReference w:id="41"/>
      </w:r>
      <w:r w:rsidR="00821E9F">
        <w:rPr>
          <w:rFonts w:asciiTheme="majorHAnsi" w:hAnsiTheme="majorHAnsi"/>
          <w:sz w:val="20"/>
          <w:szCs w:val="20"/>
          <w:lang w:val="es-ES"/>
        </w:rPr>
        <w:t>.</w:t>
      </w:r>
    </w:p>
    <w:p w14:paraId="3CE05CB5" w14:textId="77777777" w:rsidR="0006511C" w:rsidRPr="009D1E2F" w:rsidRDefault="0006511C" w:rsidP="00817426">
      <w:pPr>
        <w:pStyle w:val="ListParagraph"/>
        <w:rPr>
          <w:rFonts w:asciiTheme="majorHAnsi" w:hAnsiTheme="majorHAnsi"/>
          <w:sz w:val="20"/>
          <w:szCs w:val="20"/>
          <w:lang w:val="es-ES"/>
        </w:rPr>
      </w:pPr>
    </w:p>
    <w:p w14:paraId="06516765" w14:textId="77777777" w:rsidR="00737936" w:rsidRPr="009D1E2F" w:rsidRDefault="0006511C"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Clemons</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fue declarado culpable de dos cargos de</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B059EC" w:rsidRPr="009D1E2F">
        <w:rPr>
          <w:rFonts w:asciiTheme="majorHAnsi" w:hAnsiTheme="majorHAnsi"/>
          <w:sz w:val="20"/>
          <w:szCs w:val="20"/>
          <w:lang w:val="es-ES"/>
        </w:rPr>
        <w:t xml:space="preserve"> </w:t>
      </w:r>
      <w:r w:rsidR="00821E9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93050F">
        <w:rPr>
          <w:rFonts w:asciiTheme="majorHAnsi" w:hAnsiTheme="majorHAnsi"/>
          <w:sz w:val="20"/>
          <w:szCs w:val="20"/>
          <w:lang w:val="es-ES"/>
        </w:rPr>
        <w:t>el jurado</w:t>
      </w:r>
      <w:r w:rsidR="00B059EC" w:rsidRPr="009D1E2F">
        <w:rPr>
          <w:rFonts w:asciiTheme="majorHAnsi" w:hAnsiTheme="majorHAnsi"/>
          <w:sz w:val="20"/>
          <w:szCs w:val="20"/>
          <w:lang w:val="es-ES"/>
        </w:rPr>
        <w:t xml:space="preserve"> </w:t>
      </w:r>
      <w:r w:rsidR="00B91EF0">
        <w:rPr>
          <w:rFonts w:asciiTheme="majorHAnsi" w:hAnsiTheme="majorHAnsi"/>
          <w:sz w:val="20"/>
          <w:szCs w:val="20"/>
          <w:lang w:val="es-ES"/>
        </w:rPr>
        <w:t xml:space="preserve">lo condenó a muerte en ambos casos. En la etapa </w:t>
      </w:r>
      <w:proofErr w:type="spellStart"/>
      <w:r w:rsidR="00B91EF0">
        <w:rPr>
          <w:rFonts w:asciiTheme="majorHAnsi" w:hAnsiTheme="majorHAnsi"/>
          <w:sz w:val="20"/>
          <w:szCs w:val="20"/>
          <w:lang w:val="es-ES"/>
        </w:rPr>
        <w:t>poscondenatoria</w:t>
      </w:r>
      <w:proofErr w:type="spellEnd"/>
      <w:r w:rsidR="00B91EF0">
        <w:rPr>
          <w:rFonts w:asciiTheme="majorHAnsi" w:hAnsiTheme="majorHAnsi"/>
          <w:sz w:val="20"/>
          <w:szCs w:val="20"/>
          <w:lang w:val="es-ES"/>
        </w:rPr>
        <w:t>, el Tribunal de Distrito dictaminó que Clemons tenía derecho a interponer un recurso de</w:t>
      </w:r>
      <w:r w:rsidR="00B059EC" w:rsidRPr="009D1E2F">
        <w:rPr>
          <w:rFonts w:asciiTheme="majorHAnsi" w:hAnsiTheme="majorHAnsi"/>
          <w:sz w:val="20"/>
          <w:szCs w:val="20"/>
          <w:lang w:val="es-ES"/>
        </w:rPr>
        <w:t xml:space="preserve"> </w:t>
      </w:r>
      <w:r w:rsidR="000C09A7" w:rsidRPr="009D1E2F">
        <w:rPr>
          <w:rFonts w:asciiTheme="majorHAnsi" w:hAnsiTheme="majorHAnsi"/>
          <w:sz w:val="20"/>
          <w:szCs w:val="20"/>
          <w:lang w:val="es-ES"/>
        </w:rPr>
        <w:t>h</w:t>
      </w:r>
      <w:r w:rsidR="00B91EF0">
        <w:rPr>
          <w:rFonts w:asciiTheme="majorHAnsi" w:hAnsiTheme="majorHAnsi"/>
          <w:sz w:val="20"/>
          <w:szCs w:val="20"/>
          <w:lang w:val="es-ES"/>
        </w:rPr>
        <w:t>á</w:t>
      </w:r>
      <w:r w:rsidR="000C09A7" w:rsidRPr="009D1E2F">
        <w:rPr>
          <w:rFonts w:asciiTheme="majorHAnsi" w:hAnsiTheme="majorHAnsi"/>
          <w:sz w:val="20"/>
          <w:szCs w:val="20"/>
          <w:lang w:val="es-ES"/>
        </w:rPr>
        <w:t>beas</w:t>
      </w:r>
      <w:r w:rsidR="00B059EC" w:rsidRPr="009D1E2F">
        <w:rPr>
          <w:rFonts w:asciiTheme="majorHAnsi" w:hAnsiTheme="majorHAnsi"/>
          <w:sz w:val="20"/>
          <w:szCs w:val="20"/>
          <w:lang w:val="es-ES"/>
        </w:rPr>
        <w:t xml:space="preserve"> </w:t>
      </w:r>
      <w:r w:rsidR="000C09A7" w:rsidRPr="009D1E2F">
        <w:rPr>
          <w:rFonts w:asciiTheme="majorHAnsi" w:hAnsiTheme="majorHAnsi"/>
          <w:sz w:val="20"/>
          <w:szCs w:val="20"/>
          <w:lang w:val="es-ES"/>
        </w:rPr>
        <w:t>corpus</w:t>
      </w:r>
      <w:r w:rsidR="00B059EC" w:rsidRPr="009D1E2F">
        <w:rPr>
          <w:rFonts w:asciiTheme="majorHAnsi" w:hAnsiTheme="majorHAnsi"/>
          <w:sz w:val="20"/>
          <w:szCs w:val="20"/>
          <w:lang w:val="es-ES"/>
        </w:rPr>
        <w:t xml:space="preserve"> </w:t>
      </w:r>
      <w:r w:rsidR="00B91EF0">
        <w:rPr>
          <w:rFonts w:asciiTheme="majorHAnsi" w:hAnsiTheme="majorHAnsi"/>
          <w:sz w:val="20"/>
          <w:szCs w:val="20"/>
          <w:lang w:val="es-ES"/>
        </w:rPr>
        <w:t xml:space="preserve">para revocar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00B91EF0">
        <w:rPr>
          <w:rFonts w:asciiTheme="majorHAnsi" w:hAnsiTheme="majorHAnsi"/>
          <w:sz w:val="20"/>
          <w:szCs w:val="20"/>
          <w:lang w:val="es-ES"/>
        </w:rPr>
        <w:t>porque seis personas habían sido excluidas inconstitucionalmente d</w:t>
      </w:r>
      <w:r w:rsidR="0093050F">
        <w:rPr>
          <w:rFonts w:asciiTheme="majorHAnsi" w:hAnsiTheme="majorHAnsi"/>
          <w:sz w:val="20"/>
          <w:szCs w:val="20"/>
          <w:lang w:val="es-ES"/>
        </w:rPr>
        <w:t>el jurado</w:t>
      </w:r>
      <w:r w:rsidR="00B91EF0">
        <w:rPr>
          <w:rFonts w:asciiTheme="majorHAnsi" w:hAnsiTheme="majorHAnsi"/>
          <w:sz w:val="20"/>
          <w:szCs w:val="20"/>
          <w:lang w:val="es-ES"/>
        </w:rPr>
        <w:t xml:space="preserve"> que lo condenó a muerte. Cuando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Estado</w:t>
      </w:r>
      <w:r w:rsidR="00B91EF0">
        <w:rPr>
          <w:rFonts w:asciiTheme="majorHAnsi" w:hAnsiTheme="majorHAnsi"/>
          <w:sz w:val="20"/>
          <w:szCs w:val="20"/>
          <w:lang w:val="es-ES"/>
        </w:rPr>
        <w:t xml:space="preserve"> presentó su escrito</w:t>
      </w:r>
      <w:r w:rsidR="00D727F7">
        <w:rPr>
          <w:rFonts w:asciiTheme="majorHAnsi" w:hAnsiTheme="majorHAnsi"/>
          <w:sz w:val="20"/>
          <w:szCs w:val="20"/>
          <w:lang w:val="es-ES"/>
        </w:rPr>
        <w:t>,</w:t>
      </w:r>
      <w:r w:rsidR="00B91EF0">
        <w:rPr>
          <w:rFonts w:asciiTheme="majorHAnsi" w:hAnsiTheme="majorHAnsi"/>
          <w:sz w:val="20"/>
          <w:szCs w:val="20"/>
          <w:lang w:val="es-ES"/>
        </w:rPr>
        <w:t xml:space="preserve"> había una apelación de esa decisión que estaba pendiente en el Tribunal Federal de Apelaciones para el Octavo Circuito</w:t>
      </w:r>
      <w:r w:rsidR="00A349B5" w:rsidRPr="009D1E2F">
        <w:rPr>
          <w:rStyle w:val="FootnoteReference"/>
          <w:rFonts w:asciiTheme="majorHAnsi" w:hAnsiTheme="majorHAnsi"/>
          <w:sz w:val="20"/>
          <w:szCs w:val="20"/>
          <w:lang w:val="es-ES"/>
        </w:rPr>
        <w:footnoteReference w:id="42"/>
      </w:r>
      <w:r w:rsidR="00B91EF0">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B91EF0">
        <w:rPr>
          <w:rFonts w:asciiTheme="majorHAnsi" w:hAnsiTheme="majorHAnsi"/>
          <w:sz w:val="20"/>
          <w:szCs w:val="20"/>
          <w:lang w:val="es-ES"/>
        </w:rPr>
        <w:t xml:space="preserve">Según la información de dominio público, en </w:t>
      </w:r>
      <w:r w:rsidR="00AD5B57" w:rsidRPr="009D1E2F">
        <w:rPr>
          <w:rFonts w:asciiTheme="majorHAnsi" w:hAnsiTheme="majorHAnsi"/>
          <w:sz w:val="20"/>
          <w:szCs w:val="20"/>
          <w:lang w:val="es-ES"/>
        </w:rPr>
        <w:t>2015</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Corte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Suprema</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7D747A" w:rsidRPr="009D1E2F">
        <w:rPr>
          <w:rFonts w:asciiTheme="majorHAnsi" w:hAnsiTheme="majorHAnsi"/>
          <w:sz w:val="20"/>
          <w:szCs w:val="20"/>
          <w:lang w:val="es-ES"/>
        </w:rPr>
        <w:t>Misuri</w:t>
      </w:r>
      <w:r w:rsidR="00B059EC" w:rsidRPr="009D1E2F">
        <w:rPr>
          <w:rFonts w:asciiTheme="majorHAnsi" w:hAnsiTheme="majorHAnsi"/>
          <w:sz w:val="20"/>
          <w:szCs w:val="20"/>
          <w:lang w:val="es-ES"/>
        </w:rPr>
        <w:t xml:space="preserve"> </w:t>
      </w:r>
      <w:r w:rsidR="00B91EF0">
        <w:rPr>
          <w:rFonts w:asciiTheme="majorHAnsi" w:hAnsiTheme="majorHAnsi"/>
          <w:sz w:val="20"/>
          <w:szCs w:val="20"/>
          <w:lang w:val="es-ES"/>
        </w:rPr>
        <w:t xml:space="preserve">revocó la condena después de determinar que los fiscales habían suprimido pruebas. En </w:t>
      </w:r>
      <w:r w:rsidR="00AD5B57" w:rsidRPr="009D1E2F">
        <w:rPr>
          <w:rFonts w:asciiTheme="majorHAnsi" w:hAnsiTheme="majorHAnsi"/>
          <w:sz w:val="20"/>
          <w:szCs w:val="20"/>
          <w:lang w:val="es-ES"/>
        </w:rPr>
        <w:t>2017</w:t>
      </w:r>
      <w:r w:rsidR="00B91EF0">
        <w:rPr>
          <w:rFonts w:asciiTheme="majorHAnsi" w:hAnsiTheme="majorHAnsi"/>
          <w:sz w:val="20"/>
          <w:szCs w:val="20"/>
          <w:lang w:val="es-ES"/>
        </w:rPr>
        <w:t>, Clemons se declaró culpable y fue condenado a cinco penas consecutivas de cadena perpetua en virtud de un convenio declaratorio. En noviembre de</w:t>
      </w:r>
      <w:r w:rsidR="00B059EC" w:rsidRPr="009D1E2F">
        <w:rPr>
          <w:rFonts w:asciiTheme="majorHAnsi" w:hAnsiTheme="majorHAnsi"/>
          <w:sz w:val="20"/>
          <w:szCs w:val="20"/>
          <w:lang w:val="es-ES"/>
        </w:rPr>
        <w:t xml:space="preserve"> </w:t>
      </w:r>
      <w:r w:rsidR="002D52BE" w:rsidRPr="009D1E2F">
        <w:rPr>
          <w:rFonts w:asciiTheme="majorHAnsi" w:hAnsiTheme="majorHAnsi"/>
          <w:sz w:val="20"/>
          <w:szCs w:val="20"/>
          <w:lang w:val="es-ES"/>
        </w:rPr>
        <w:t>2020</w:t>
      </w:r>
      <w:r w:rsidR="00B91EF0">
        <w:rPr>
          <w:rFonts w:asciiTheme="majorHAnsi" w:hAnsiTheme="majorHAnsi"/>
          <w:sz w:val="20"/>
          <w:szCs w:val="20"/>
          <w:lang w:val="es-ES"/>
        </w:rPr>
        <w:t xml:space="preserve"> podría recibir libertad condicional</w:t>
      </w:r>
      <w:r w:rsidR="00AD5B57" w:rsidRPr="009D1E2F">
        <w:rPr>
          <w:rStyle w:val="FootnoteReference"/>
          <w:rFonts w:asciiTheme="majorHAnsi" w:hAnsiTheme="majorHAnsi"/>
          <w:sz w:val="20"/>
          <w:szCs w:val="20"/>
          <w:lang w:val="es-ES"/>
        </w:rPr>
        <w:footnoteReference w:id="43"/>
      </w:r>
      <w:r w:rsidR="00B91EF0">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7BF846C9" w14:textId="77777777" w:rsidR="007E6D7C" w:rsidRPr="009D1E2F" w:rsidRDefault="007E6D7C" w:rsidP="00817426">
      <w:pPr>
        <w:rPr>
          <w:rFonts w:asciiTheme="majorHAnsi" w:hAnsiTheme="majorHAnsi"/>
          <w:sz w:val="20"/>
          <w:szCs w:val="20"/>
          <w:lang w:val="es-ES"/>
        </w:rPr>
      </w:pPr>
    </w:p>
    <w:p w14:paraId="7EC07697" w14:textId="77777777" w:rsidR="001C4006" w:rsidRPr="009D1E2F" w:rsidRDefault="00E40F91" w:rsidP="00817426">
      <w:pPr>
        <w:pStyle w:val="Heading1"/>
        <w:keepNext w:val="0"/>
        <w:keepLines w:val="0"/>
        <w:tabs>
          <w:tab w:val="left" w:pos="360"/>
        </w:tabs>
        <w:spacing w:before="0"/>
        <w:ind w:left="0" w:firstLine="0"/>
        <w:rPr>
          <w:color w:val="auto"/>
          <w:sz w:val="20"/>
          <w:szCs w:val="20"/>
          <w:lang w:val="es-ES"/>
        </w:rPr>
      </w:pPr>
      <w:bookmarkStart w:id="9" w:name="_Toc90284827"/>
      <w:r w:rsidRPr="009D1E2F">
        <w:rPr>
          <w:color w:val="auto"/>
          <w:sz w:val="20"/>
          <w:szCs w:val="20"/>
          <w:lang w:val="es-ES"/>
        </w:rPr>
        <w:t>ANÁLISIS</w:t>
      </w:r>
      <w:r w:rsidR="00B059EC" w:rsidRPr="009D1E2F">
        <w:rPr>
          <w:color w:val="auto"/>
          <w:sz w:val="20"/>
          <w:szCs w:val="20"/>
          <w:lang w:val="es-ES"/>
        </w:rPr>
        <w:t xml:space="preserve"> </w:t>
      </w:r>
      <w:r w:rsidRPr="009D1E2F">
        <w:rPr>
          <w:color w:val="auto"/>
          <w:sz w:val="20"/>
          <w:szCs w:val="20"/>
          <w:lang w:val="es-ES"/>
        </w:rPr>
        <w:t>DE</w:t>
      </w:r>
      <w:r w:rsidR="00B059EC" w:rsidRPr="009D1E2F">
        <w:rPr>
          <w:color w:val="auto"/>
          <w:sz w:val="20"/>
          <w:szCs w:val="20"/>
          <w:lang w:val="es-ES"/>
        </w:rPr>
        <w:t xml:space="preserve"> </w:t>
      </w:r>
      <w:r w:rsidRPr="009D1E2F">
        <w:rPr>
          <w:color w:val="auto"/>
          <w:sz w:val="20"/>
          <w:szCs w:val="20"/>
          <w:lang w:val="es-ES"/>
        </w:rPr>
        <w:t>DERECHO</w:t>
      </w:r>
      <w:bookmarkEnd w:id="9"/>
    </w:p>
    <w:p w14:paraId="38927C83" w14:textId="77777777" w:rsidR="00044DA8" w:rsidRPr="009D1E2F" w:rsidRDefault="00044DA8" w:rsidP="00817426">
      <w:pPr>
        <w:tabs>
          <w:tab w:val="left" w:pos="360"/>
        </w:tabs>
        <w:suppressAutoHyphens/>
        <w:rPr>
          <w:rFonts w:asciiTheme="majorHAnsi" w:hAnsiTheme="majorHAnsi"/>
          <w:b/>
          <w:sz w:val="20"/>
          <w:szCs w:val="20"/>
          <w:lang w:val="es-ES"/>
        </w:rPr>
      </w:pPr>
    </w:p>
    <w:p w14:paraId="66BF7897" w14:textId="77777777" w:rsidR="007D2FEE" w:rsidRPr="009D1E2F" w:rsidRDefault="007D2FEE" w:rsidP="00817426">
      <w:pPr>
        <w:pStyle w:val="Heading2"/>
        <w:keepNext w:val="0"/>
        <w:keepLines w:val="0"/>
        <w:tabs>
          <w:tab w:val="left" w:pos="360"/>
        </w:tabs>
        <w:spacing w:before="0"/>
        <w:rPr>
          <w:color w:val="auto"/>
          <w:sz w:val="20"/>
          <w:szCs w:val="20"/>
          <w:lang w:val="es-ES"/>
        </w:rPr>
      </w:pPr>
      <w:bookmarkStart w:id="10" w:name="_Toc412815742"/>
      <w:bookmarkStart w:id="11" w:name="_Toc90284828"/>
      <w:r w:rsidRPr="009D1E2F">
        <w:rPr>
          <w:color w:val="auto"/>
          <w:sz w:val="20"/>
          <w:szCs w:val="20"/>
          <w:lang w:val="es-ES"/>
        </w:rPr>
        <w:t>A.</w:t>
      </w:r>
      <w:r w:rsidRPr="009D1E2F">
        <w:rPr>
          <w:color w:val="auto"/>
          <w:sz w:val="20"/>
          <w:szCs w:val="20"/>
          <w:lang w:val="es-ES"/>
        </w:rPr>
        <w:tab/>
      </w:r>
      <w:bookmarkEnd w:id="10"/>
      <w:r w:rsidR="00E40F91" w:rsidRPr="009D1E2F">
        <w:rPr>
          <w:color w:val="auto"/>
          <w:sz w:val="20"/>
          <w:szCs w:val="20"/>
          <w:lang w:val="es-ES"/>
        </w:rPr>
        <w:t>Consideraciones</w:t>
      </w:r>
      <w:r w:rsidR="00B059EC" w:rsidRPr="009D1E2F">
        <w:rPr>
          <w:color w:val="auto"/>
          <w:sz w:val="20"/>
          <w:szCs w:val="20"/>
          <w:lang w:val="es-ES"/>
        </w:rPr>
        <w:t xml:space="preserve"> </w:t>
      </w:r>
      <w:r w:rsidR="00E40F91" w:rsidRPr="009D1E2F">
        <w:rPr>
          <w:color w:val="auto"/>
          <w:sz w:val="20"/>
          <w:szCs w:val="20"/>
          <w:lang w:val="es-ES"/>
        </w:rPr>
        <w:t>preliminares</w:t>
      </w:r>
      <w:bookmarkEnd w:id="11"/>
    </w:p>
    <w:p w14:paraId="5A82323D" w14:textId="77777777" w:rsidR="00A169DC" w:rsidRPr="009D1E2F" w:rsidRDefault="00A169D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4FCE31E4" w14:textId="77777777" w:rsidR="00A169DC" w:rsidRPr="009D1E2F" w:rsidRDefault="00817426"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Cambria" w:hAnsiTheme="majorHAnsi" w:cs="Cambria"/>
          <w:sz w:val="20"/>
          <w:szCs w:val="20"/>
          <w:lang w:val="es-ES"/>
        </w:rPr>
        <w:t>Antes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embarcarse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un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análisis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fondo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caso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proofErr w:type="spellStart"/>
      <w:r w:rsidR="0007744E" w:rsidRPr="009D1E2F">
        <w:rPr>
          <w:rFonts w:asciiTheme="majorHAnsi" w:eastAsia="Cambria" w:hAnsiTheme="majorHAnsi" w:cs="Cambria"/>
          <w:sz w:val="20"/>
          <w:szCs w:val="20"/>
          <w:lang w:val="es-ES"/>
        </w:rPr>
        <w:t>Marlin</w:t>
      </w:r>
      <w:proofErr w:type="spellEnd"/>
      <w:r w:rsidR="00B059EC" w:rsidRPr="009D1E2F">
        <w:rPr>
          <w:rFonts w:asciiTheme="majorHAnsi" w:eastAsia="Cambria" w:hAnsiTheme="majorHAnsi" w:cs="Cambria"/>
          <w:sz w:val="20"/>
          <w:szCs w:val="20"/>
          <w:lang w:val="es-ES"/>
        </w:rPr>
        <w:t xml:space="preserve"> </w:t>
      </w:r>
      <w:r w:rsidR="0007744E" w:rsidRPr="009D1E2F">
        <w:rPr>
          <w:rFonts w:asciiTheme="majorHAnsi" w:eastAsia="Cambria" w:hAnsiTheme="majorHAnsi" w:cs="Cambria"/>
          <w:sz w:val="20"/>
          <w:szCs w:val="20"/>
          <w:lang w:val="es-ES"/>
        </w:rPr>
        <w:t>Gray</w:t>
      </w:r>
      <w:r w:rsidR="00653AC7"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r w:rsidR="007D747A"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007D747A" w:rsidRPr="009D1E2F">
        <w:rPr>
          <w:rFonts w:asciiTheme="majorHAnsi" w:eastAsia="Cambria" w:hAnsiTheme="majorHAnsi" w:cs="Cambria"/>
          <w:sz w:val="20"/>
          <w:szCs w:val="20"/>
          <w:lang w:val="es-ES"/>
        </w:rPr>
        <w:t>Comisión</w:t>
      </w:r>
      <w:r w:rsidR="00B059EC" w:rsidRPr="009D1E2F">
        <w:rPr>
          <w:rFonts w:asciiTheme="majorHAnsi" w:eastAsia="Cambria" w:hAnsiTheme="majorHAnsi" w:cs="Cambria"/>
          <w:sz w:val="20"/>
          <w:szCs w:val="20"/>
          <w:lang w:val="es-ES"/>
        </w:rPr>
        <w:t xml:space="preserve"> </w:t>
      </w:r>
      <w:r w:rsidR="007D747A" w:rsidRPr="009D1E2F">
        <w:rPr>
          <w:rFonts w:asciiTheme="majorHAnsi" w:eastAsia="Cambria" w:hAnsiTheme="majorHAnsi" w:cs="Cambria"/>
          <w:sz w:val="20"/>
          <w:szCs w:val="20"/>
          <w:lang w:val="es-ES"/>
        </w:rPr>
        <w:t>Interamericana</w:t>
      </w:r>
      <w:r w:rsidR="00B059EC" w:rsidRPr="009D1E2F">
        <w:rPr>
          <w:rFonts w:asciiTheme="majorHAnsi" w:eastAsia="Cambria" w:hAnsiTheme="majorHAnsi" w:cs="Cambria"/>
          <w:sz w:val="20"/>
          <w:szCs w:val="20"/>
          <w:lang w:val="es-ES"/>
        </w:rPr>
        <w:t xml:space="preserve"> </w:t>
      </w:r>
      <w:r w:rsidR="00653AC7" w:rsidRPr="009D1E2F">
        <w:rPr>
          <w:rFonts w:asciiTheme="majorHAnsi" w:eastAsia="Cambria" w:hAnsiTheme="majorHAnsi" w:cs="Cambria"/>
          <w:sz w:val="20"/>
          <w:szCs w:val="20"/>
          <w:lang w:val="es-ES"/>
        </w:rPr>
        <w:t>consider</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procedente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reiterar</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sus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conclusiones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anteriores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respecto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escrutinio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riguroso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que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debe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efectuarse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casos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delitos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punibles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pena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muerte.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vida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ha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sido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ampliamente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reconocido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como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humano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supremo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como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i/>
          <w:iCs/>
          <w:sz w:val="20"/>
          <w:szCs w:val="20"/>
          <w:lang w:val="es-ES"/>
        </w:rPr>
        <w:t>sine</w:t>
      </w:r>
      <w:r w:rsidR="00B059EC" w:rsidRPr="009D1E2F">
        <w:rPr>
          <w:rFonts w:asciiTheme="majorHAnsi" w:eastAsia="Cambria" w:hAnsiTheme="majorHAnsi" w:cs="Cambria"/>
          <w:i/>
          <w:iCs/>
          <w:sz w:val="20"/>
          <w:szCs w:val="20"/>
          <w:lang w:val="es-ES"/>
        </w:rPr>
        <w:t xml:space="preserve"> </w:t>
      </w:r>
      <w:r w:rsidRPr="009D1E2F">
        <w:rPr>
          <w:rFonts w:asciiTheme="majorHAnsi" w:eastAsia="Cambria" w:hAnsiTheme="majorHAnsi" w:cs="Cambria"/>
          <w:i/>
          <w:iCs/>
          <w:sz w:val="20"/>
          <w:szCs w:val="20"/>
          <w:lang w:val="es-ES"/>
        </w:rPr>
        <w:t>qua</w:t>
      </w:r>
      <w:r w:rsidR="00B059EC" w:rsidRPr="009D1E2F">
        <w:rPr>
          <w:rFonts w:asciiTheme="majorHAnsi" w:eastAsia="Cambria" w:hAnsiTheme="majorHAnsi" w:cs="Cambria"/>
          <w:i/>
          <w:iCs/>
          <w:sz w:val="20"/>
          <w:szCs w:val="20"/>
          <w:lang w:val="es-ES"/>
        </w:rPr>
        <w:t xml:space="preserve"> </w:t>
      </w:r>
      <w:r w:rsidRPr="009D1E2F">
        <w:rPr>
          <w:rFonts w:asciiTheme="majorHAnsi" w:eastAsia="Cambria" w:hAnsiTheme="majorHAnsi" w:cs="Cambria"/>
          <w:i/>
          <w:iCs/>
          <w:sz w:val="20"/>
          <w:szCs w:val="20"/>
          <w:lang w:val="es-ES"/>
        </w:rPr>
        <w:t>non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para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goce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demás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derechos</w:t>
      </w:r>
      <w:r w:rsidR="00653AC7"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p>
    <w:p w14:paraId="345CC89A" w14:textId="77777777" w:rsidR="00144208" w:rsidRPr="009D1E2F" w:rsidRDefault="00144208" w:rsidP="00817426">
      <w:pPr>
        <w:pStyle w:val="ListParagraph"/>
        <w:tabs>
          <w:tab w:val="left" w:pos="360"/>
        </w:tabs>
        <w:rPr>
          <w:rFonts w:asciiTheme="majorHAnsi" w:hAnsiTheme="majorHAnsi"/>
          <w:sz w:val="20"/>
          <w:szCs w:val="20"/>
          <w:lang w:val="es-ES"/>
        </w:rPr>
      </w:pPr>
    </w:p>
    <w:p w14:paraId="66888E70" w14:textId="77777777" w:rsidR="00144208" w:rsidRPr="009D1E2F" w:rsidRDefault="00817426"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ahí</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particular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importancia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obligación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cerciorarse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toda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denegación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vida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surja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aplicación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ciña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estrictamente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requisitos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establecidos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instrumentos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pertinentes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sistema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interamericano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humanos,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entre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ellos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Declaración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Americana</w:t>
      </w:r>
      <w:r w:rsidR="00144208" w:rsidRPr="009D1E2F">
        <w:rPr>
          <w:rStyle w:val="FootnoteReference"/>
          <w:rFonts w:asciiTheme="majorHAnsi" w:eastAsia="Cambria" w:hAnsiTheme="majorHAnsi" w:cs="Cambria"/>
          <w:sz w:val="20"/>
          <w:szCs w:val="20"/>
          <w:lang w:val="es-ES"/>
        </w:rPr>
        <w:footnoteReference w:id="44"/>
      </w:r>
      <w:r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escrutinio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riguroso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compatible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enfoque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restrictivo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adoptado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por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otros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órganos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internacionales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humanos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casos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muerte</w:t>
      </w:r>
      <w:r w:rsidR="00144208" w:rsidRPr="009D1E2F">
        <w:rPr>
          <w:rStyle w:val="FootnoteReference"/>
          <w:rFonts w:asciiTheme="majorHAnsi" w:eastAsia="Cambria" w:hAnsiTheme="majorHAnsi" w:cs="Cambria"/>
          <w:sz w:val="20"/>
          <w:szCs w:val="20"/>
          <w:lang w:val="es-ES"/>
        </w:rPr>
        <w:footnoteReference w:id="45"/>
      </w:r>
      <w:r w:rsidRPr="009D1E2F">
        <w:rPr>
          <w:rFonts w:asciiTheme="majorHAnsi" w:hAnsiTheme="majorHAnsi"/>
          <w:sz w:val="20"/>
          <w:szCs w:val="20"/>
          <w:lang w:val="es-ES"/>
        </w:rPr>
        <w:t>,</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Comisión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ha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expuesto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aplicado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casos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anteriores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pena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muerte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que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llegaron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ante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ella</w:t>
      </w:r>
      <w:r w:rsidR="00144208" w:rsidRPr="009D1E2F">
        <w:rPr>
          <w:rStyle w:val="FootnoteReference"/>
          <w:rFonts w:asciiTheme="majorHAnsi" w:eastAsia="Cambria" w:hAnsiTheme="majorHAnsi" w:cs="Cambria"/>
          <w:sz w:val="20"/>
          <w:szCs w:val="20"/>
          <w:lang w:val="es-ES"/>
        </w:rPr>
        <w:footnoteReference w:id="46"/>
      </w:r>
      <w:r w:rsidRPr="009D1E2F">
        <w:rPr>
          <w:rFonts w:asciiTheme="majorHAnsi" w:eastAsia="Cambria" w:hAnsiTheme="majorHAnsi" w:cs="Cambria"/>
          <w:sz w:val="20"/>
          <w:szCs w:val="20"/>
          <w:lang w:val="es-ES"/>
        </w:rPr>
        <w:t>.</w:t>
      </w:r>
    </w:p>
    <w:p w14:paraId="1FCD5E5E" w14:textId="77777777" w:rsidR="00A169DC" w:rsidRPr="009D1E2F" w:rsidRDefault="00A169DC" w:rsidP="00817426">
      <w:pPr>
        <w:pStyle w:val="ListParagraph"/>
        <w:tabs>
          <w:tab w:val="left" w:pos="360"/>
        </w:tabs>
        <w:rPr>
          <w:rFonts w:asciiTheme="majorHAnsi" w:hAnsiTheme="majorHAnsi"/>
          <w:sz w:val="20"/>
          <w:szCs w:val="20"/>
          <w:lang w:val="es-ES"/>
        </w:rPr>
      </w:pPr>
    </w:p>
    <w:p w14:paraId="24AA0368" w14:textId="77777777" w:rsidR="000157B5"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Cambria" w:hAnsiTheme="majorHAnsi" w:cs="Cambria"/>
          <w:sz w:val="20"/>
          <w:szCs w:val="20"/>
          <w:lang w:val="es-ES"/>
        </w:rPr>
        <w:t>Según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ha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explicado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Comisión,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estándar</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revisión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una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consecuencia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necesaria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pena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específicamente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cuestión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un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juicio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justo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todas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garantías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debido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proceso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relacionadas</w:t>
      </w:r>
      <w:r w:rsidR="00653AC7" w:rsidRPr="009D1E2F">
        <w:rPr>
          <w:rStyle w:val="FootnoteReference"/>
          <w:rFonts w:asciiTheme="majorHAnsi" w:eastAsia="Cambria" w:hAnsiTheme="majorHAnsi" w:cs="Cambria"/>
          <w:sz w:val="20"/>
          <w:szCs w:val="20"/>
          <w:lang w:val="es-ES"/>
        </w:rPr>
        <w:footnoteReference w:id="47"/>
      </w:r>
      <w:r w:rsidRPr="009D1E2F">
        <w:rPr>
          <w:rFonts w:asciiTheme="majorHAnsi" w:eastAsia="Cambria" w:hAnsiTheme="majorHAnsi" w:cs="Cambria"/>
          <w:sz w:val="20"/>
          <w:szCs w:val="20"/>
          <w:lang w:val="es-ES"/>
        </w:rPr>
        <w:t>:</w:t>
      </w:r>
    </w:p>
    <w:p w14:paraId="29517CA8" w14:textId="77777777" w:rsidR="000157B5" w:rsidRPr="009D1E2F" w:rsidRDefault="000157B5" w:rsidP="00817426">
      <w:pPr>
        <w:pStyle w:val="ListParagraph"/>
        <w:tabs>
          <w:tab w:val="left" w:pos="360"/>
        </w:tabs>
        <w:rPr>
          <w:rFonts w:asciiTheme="majorHAnsi" w:hAnsiTheme="majorHAnsi"/>
          <w:sz w:val="20"/>
          <w:szCs w:val="20"/>
          <w:lang w:val="es-ES"/>
        </w:rPr>
      </w:pPr>
    </w:p>
    <w:p w14:paraId="362804A3" w14:textId="77777777" w:rsidR="000157B5" w:rsidRPr="009D1E2F" w:rsidRDefault="00363E52"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ES"/>
        </w:rPr>
      </w:pPr>
      <w:r w:rsidRPr="009D1E2F">
        <w:rPr>
          <w:rFonts w:asciiTheme="majorHAnsi" w:eastAsia="Cambria" w:hAnsiTheme="majorHAnsi" w:cs="Cambria"/>
          <w:sz w:val="18"/>
          <w:szCs w:val="18"/>
          <w:lang w:val="es-ES"/>
        </w:rPr>
        <w:t>debido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parte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su</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carácter</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irrevocable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irreversible,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pena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muerte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una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forma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castigo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que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diferencia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sustancialmente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y</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grado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otros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medios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castigo,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por</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cual</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reclama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una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certeza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particularmente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rigurosa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determinación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responsabilidad</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una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persona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por</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un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delito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que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comporta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pena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muerte</w:t>
      </w:r>
      <w:r w:rsidR="00653AC7" w:rsidRPr="009D1E2F">
        <w:rPr>
          <w:rFonts w:asciiTheme="majorHAnsi" w:hAnsiTheme="majorHAnsi"/>
          <w:sz w:val="18"/>
          <w:szCs w:val="18"/>
          <w:vertAlign w:val="superscript"/>
          <w:lang w:val="es-ES"/>
        </w:rPr>
        <w:footnoteReference w:id="48"/>
      </w:r>
      <w:r w:rsidRPr="009D1E2F">
        <w:rPr>
          <w:rFonts w:asciiTheme="majorHAnsi" w:eastAsia="Cambria" w:hAnsiTheme="majorHAnsi" w:cs="Cambria"/>
          <w:sz w:val="18"/>
          <w:szCs w:val="18"/>
          <w:lang w:val="es-ES"/>
        </w:rPr>
        <w:t>.</w:t>
      </w:r>
    </w:p>
    <w:p w14:paraId="38469F42" w14:textId="77777777" w:rsidR="00A169DC" w:rsidRPr="009D1E2F" w:rsidRDefault="00A169DC" w:rsidP="00817426">
      <w:pPr>
        <w:tabs>
          <w:tab w:val="left" w:pos="360"/>
        </w:tabs>
        <w:rPr>
          <w:rFonts w:asciiTheme="majorHAnsi" w:hAnsiTheme="majorHAnsi"/>
          <w:sz w:val="20"/>
          <w:szCs w:val="20"/>
          <w:lang w:val="es-ES"/>
        </w:rPr>
      </w:pPr>
    </w:p>
    <w:p w14:paraId="085869BE" w14:textId="77777777" w:rsidR="00653AC7" w:rsidRPr="009D1E2F" w:rsidRDefault="0037181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Cambria" w:hAnsiTheme="majorHAnsi" w:cs="Cambria"/>
          <w:sz w:val="20"/>
          <w:szCs w:val="20"/>
          <w:lang w:val="es-ES"/>
        </w:rPr>
        <w:t>Por</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tanto,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Comisión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Interamericana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examinará</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argumentos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peticionarios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caso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autos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un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criterio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riguroso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fin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cerciorarse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particular</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que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Estado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haya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respetado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vida,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debido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proceso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un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juicio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imparcial</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establecidos</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Declaración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Americana.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En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cuanto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condición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jurídica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Declaración</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Americana,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CIDH</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reitera</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lo</w:t>
      </w:r>
      <w:r w:rsidR="00B059EC" w:rsidRPr="009D1E2F">
        <w:rPr>
          <w:rFonts w:asciiTheme="majorHAnsi" w:eastAsia="Cambria" w:hAnsiTheme="majorHAnsi" w:cs="Cambria"/>
          <w:sz w:val="20"/>
          <w:szCs w:val="20"/>
          <w:lang w:val="es-ES"/>
        </w:rPr>
        <w:t xml:space="preserve"> </w:t>
      </w:r>
      <w:r w:rsidRPr="009D1E2F">
        <w:rPr>
          <w:rFonts w:asciiTheme="majorHAnsi" w:eastAsia="Cambria" w:hAnsiTheme="majorHAnsi" w:cs="Cambria"/>
          <w:sz w:val="20"/>
          <w:szCs w:val="20"/>
          <w:lang w:val="es-ES"/>
        </w:rPr>
        <w:t>siguiente</w:t>
      </w:r>
      <w:r w:rsidR="00653AC7" w:rsidRPr="009D1E2F">
        <w:rPr>
          <w:rFonts w:asciiTheme="majorHAnsi" w:eastAsia="Cambria" w:hAnsiTheme="majorHAnsi" w:cs="Cambria"/>
          <w:sz w:val="20"/>
          <w:szCs w:val="20"/>
          <w:lang w:val="es-ES"/>
        </w:rPr>
        <w:t>:</w:t>
      </w:r>
    </w:p>
    <w:p w14:paraId="42DD4B6E" w14:textId="77777777" w:rsidR="00653AC7" w:rsidRPr="009D1E2F" w:rsidRDefault="00653AC7" w:rsidP="00817426">
      <w:pPr>
        <w:pStyle w:val="Body"/>
        <w:tabs>
          <w:tab w:val="left" w:pos="360"/>
          <w:tab w:val="left" w:pos="630"/>
          <w:tab w:val="left" w:pos="810"/>
        </w:tabs>
        <w:jc w:val="both"/>
        <w:rPr>
          <w:rFonts w:asciiTheme="majorHAnsi" w:eastAsia="Cambria" w:hAnsiTheme="majorHAnsi" w:cs="Cambria"/>
          <w:sz w:val="20"/>
          <w:szCs w:val="20"/>
          <w:lang w:val="es-ES"/>
        </w:rPr>
      </w:pPr>
    </w:p>
    <w:p w14:paraId="3EA397A6" w14:textId="77777777" w:rsidR="00DE5D25" w:rsidRPr="009D1E2F" w:rsidRDefault="00363E52" w:rsidP="007B7F4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eastAsia="Cambria" w:hAnsiTheme="majorHAnsi" w:cs="Cambria"/>
          <w:sz w:val="18"/>
          <w:szCs w:val="18"/>
          <w:lang w:val="es-ES"/>
        </w:rPr>
      </w:pPr>
      <w:r w:rsidRPr="009D1E2F">
        <w:rPr>
          <w:rFonts w:asciiTheme="majorHAnsi" w:eastAsia="Cambria" w:hAnsiTheme="majorHAnsi" w:cs="Cambria"/>
          <w:sz w:val="18"/>
          <w:szCs w:val="18"/>
          <w:lang w:val="es-ES"/>
        </w:rPr>
        <w:t>Para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Estados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Miembros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que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no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son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parte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Convención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Americana,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Declaración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fuente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obligaciones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internacionales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relacionadas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Carta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Carta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Organización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confirió</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CIDH</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función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principal</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promover</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observancia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y</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protección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derechos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humanos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Estados</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Miembros.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El</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artículo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106</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Carta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sin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embargo,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no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enumera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define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derechos.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Asamblea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General</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su</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noveno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período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ordinario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sesiones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celebrado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Paz,</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Bolivia,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octubre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1979,</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convino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que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derechos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son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aquellos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enunciados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y</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definidos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Declaración</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Americana.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Por</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tanto,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Declaración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Americana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cristaliza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principios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fundamentales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reconocidos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por</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Estados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americanos.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Asamblea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General</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OEA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también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ha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reconocido</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repetidamente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que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7B7F45">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Declaración</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constituye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una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fuente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obligaciones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internacionales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para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Estados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Miembros</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de</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la</w:t>
      </w:r>
      <w:r w:rsidR="00B059EC" w:rsidRPr="009D1E2F">
        <w:rPr>
          <w:rFonts w:asciiTheme="majorHAnsi" w:eastAsia="Cambria" w:hAnsiTheme="majorHAnsi" w:cs="Cambria"/>
          <w:sz w:val="18"/>
          <w:szCs w:val="18"/>
          <w:lang w:val="es-ES"/>
        </w:rPr>
        <w:t xml:space="preserve"> </w:t>
      </w:r>
      <w:r w:rsidRPr="009D1E2F">
        <w:rPr>
          <w:rFonts w:asciiTheme="majorHAnsi" w:eastAsia="Cambria" w:hAnsiTheme="majorHAnsi" w:cs="Cambria"/>
          <w:sz w:val="18"/>
          <w:szCs w:val="18"/>
          <w:lang w:val="es-ES"/>
        </w:rPr>
        <w:t>OEA</w:t>
      </w:r>
      <w:r w:rsidR="00653AC7" w:rsidRPr="007B7F45">
        <w:rPr>
          <w:rFonts w:asciiTheme="majorHAnsi" w:eastAsia="Cambria" w:hAnsiTheme="majorHAnsi" w:cs="Cambria"/>
          <w:sz w:val="18"/>
          <w:szCs w:val="18"/>
          <w:vertAlign w:val="superscript"/>
          <w:lang w:val="es-ES"/>
        </w:rPr>
        <w:footnoteReference w:id="49"/>
      </w:r>
      <w:r w:rsidRPr="009D1E2F">
        <w:rPr>
          <w:rFonts w:asciiTheme="majorHAnsi" w:eastAsia="Cambria" w:hAnsiTheme="majorHAnsi" w:cs="Cambria"/>
          <w:sz w:val="18"/>
          <w:szCs w:val="18"/>
          <w:lang w:val="es-ES"/>
        </w:rPr>
        <w:t>.</w:t>
      </w:r>
    </w:p>
    <w:p w14:paraId="24FD893B" w14:textId="77777777" w:rsidR="00FE5165" w:rsidRPr="009D1E2F" w:rsidRDefault="00BA0255" w:rsidP="00817426">
      <w:pPr>
        <w:pStyle w:val="Heading2"/>
        <w:keepNext w:val="0"/>
        <w:keepLines w:val="0"/>
        <w:tabs>
          <w:tab w:val="left" w:pos="360"/>
        </w:tabs>
        <w:rPr>
          <w:rFonts w:eastAsia="Arial Unicode MS"/>
          <w:color w:val="auto"/>
          <w:sz w:val="20"/>
          <w:szCs w:val="20"/>
          <w:lang w:val="es-ES"/>
        </w:rPr>
      </w:pPr>
      <w:bookmarkStart w:id="19" w:name="_Toc90284829"/>
      <w:r w:rsidRPr="009D1E2F">
        <w:rPr>
          <w:rFonts w:eastAsia="Arial Unicode MS"/>
          <w:color w:val="auto"/>
          <w:sz w:val="20"/>
          <w:szCs w:val="20"/>
          <w:lang w:val="es-ES"/>
        </w:rPr>
        <w:t>B</w:t>
      </w:r>
      <w:r w:rsidR="00FE5165" w:rsidRPr="009D1E2F">
        <w:rPr>
          <w:rFonts w:eastAsia="Arial Unicode MS"/>
          <w:color w:val="auto"/>
          <w:sz w:val="20"/>
          <w:szCs w:val="20"/>
          <w:lang w:val="es-ES"/>
        </w:rPr>
        <w:t>.</w:t>
      </w:r>
      <w:r w:rsidR="00FE5165" w:rsidRPr="009D1E2F">
        <w:rPr>
          <w:rFonts w:eastAsia="Arial Unicode MS"/>
          <w:color w:val="auto"/>
          <w:sz w:val="20"/>
          <w:szCs w:val="20"/>
          <w:lang w:val="es-ES"/>
        </w:rPr>
        <w:tab/>
      </w:r>
      <w:r w:rsidR="000D6328" w:rsidRPr="009D1E2F">
        <w:rPr>
          <w:rFonts w:eastAsia="Arial Unicode MS"/>
          <w:color w:val="auto"/>
          <w:sz w:val="20"/>
          <w:szCs w:val="20"/>
          <w:lang w:val="es-ES"/>
        </w:rPr>
        <w:t>El</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derecho</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vida</w:t>
      </w:r>
      <w:r w:rsidR="00AB352F" w:rsidRPr="009D1E2F">
        <w:rPr>
          <w:rStyle w:val="FootnoteReference"/>
          <w:rFonts w:eastAsia="Arial Unicode MS"/>
          <w:color w:val="auto"/>
          <w:sz w:val="20"/>
          <w:szCs w:val="20"/>
          <w:lang w:val="es-ES"/>
        </w:rPr>
        <w:footnoteReference w:id="50"/>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y</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imposición</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pena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muerte</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solo</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para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los</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delitos</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más</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graves</w:t>
      </w:r>
      <w:bookmarkEnd w:id="19"/>
      <w:r w:rsidR="00B059EC" w:rsidRPr="009D1E2F">
        <w:rPr>
          <w:rFonts w:eastAsia="Arial Unicode MS"/>
          <w:color w:val="auto"/>
          <w:sz w:val="20"/>
          <w:szCs w:val="20"/>
          <w:lang w:val="es-ES"/>
        </w:rPr>
        <w:t xml:space="preserve"> </w:t>
      </w:r>
    </w:p>
    <w:p w14:paraId="2D8672AD" w14:textId="77777777" w:rsidR="00AB352F" w:rsidRPr="009D1E2F" w:rsidRDefault="00AB352F" w:rsidP="00817426">
      <w:pPr>
        <w:rPr>
          <w:rFonts w:asciiTheme="majorHAnsi" w:hAnsiTheme="majorHAnsi"/>
          <w:sz w:val="20"/>
          <w:szCs w:val="20"/>
          <w:lang w:val="es-ES"/>
        </w:rPr>
      </w:pPr>
    </w:p>
    <w:p w14:paraId="19EA3350" w14:textId="77777777" w:rsidR="00182FB6" w:rsidRPr="009D1E2F" w:rsidRDefault="00E40F91" w:rsidP="00817426">
      <w:pPr>
        <w:pStyle w:val="Heading3"/>
        <w:keepNext w:val="0"/>
        <w:keepLines w:val="0"/>
        <w:numPr>
          <w:ilvl w:val="1"/>
          <w:numId w:val="53"/>
        </w:numPr>
        <w:spacing w:before="0"/>
        <w:ind w:left="360"/>
        <w:rPr>
          <w:color w:val="auto"/>
          <w:sz w:val="20"/>
          <w:szCs w:val="20"/>
          <w:lang w:val="es-ES"/>
        </w:rPr>
      </w:pPr>
      <w:bookmarkStart w:id="20" w:name="_Toc90284830"/>
      <w:r w:rsidRPr="009D1E2F">
        <w:rPr>
          <w:color w:val="auto"/>
          <w:sz w:val="20"/>
          <w:szCs w:val="20"/>
          <w:lang w:val="es-ES"/>
        </w:rPr>
        <w:t>Consideraciones</w:t>
      </w:r>
      <w:r w:rsidR="00B059EC" w:rsidRPr="009D1E2F">
        <w:rPr>
          <w:color w:val="auto"/>
          <w:sz w:val="20"/>
          <w:szCs w:val="20"/>
          <w:lang w:val="es-ES"/>
        </w:rPr>
        <w:t xml:space="preserve"> </w:t>
      </w:r>
      <w:r w:rsidRPr="009D1E2F">
        <w:rPr>
          <w:color w:val="auto"/>
          <w:sz w:val="20"/>
          <w:szCs w:val="20"/>
          <w:lang w:val="es-ES"/>
        </w:rPr>
        <w:t>generales</w:t>
      </w:r>
      <w:bookmarkEnd w:id="20"/>
    </w:p>
    <w:p w14:paraId="48BF3D15" w14:textId="77777777" w:rsidR="00182FB6" w:rsidRPr="009D1E2F" w:rsidRDefault="00182FB6" w:rsidP="00817426">
      <w:pPr>
        <w:rPr>
          <w:rFonts w:asciiTheme="majorHAnsi" w:hAnsiTheme="majorHAnsi"/>
          <w:sz w:val="20"/>
          <w:szCs w:val="20"/>
          <w:lang w:val="es-ES"/>
        </w:rPr>
      </w:pPr>
    </w:p>
    <w:p w14:paraId="6B97313B" w14:textId="77777777" w:rsidR="00DB710E"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Pr="009D1E2F">
        <w:rPr>
          <w:rFonts w:asciiTheme="majorHAnsi" w:eastAsia="Calibri" w:hAnsiTheme="majorHAnsi" w:cs="Calibri"/>
          <w:sz w:val="20"/>
          <w:szCs w:val="20"/>
          <w:lang w:val="es-ES"/>
        </w:rPr>
        <w:t>Comisión</w:t>
      </w:r>
      <w:r w:rsidR="00B059EC" w:rsidRPr="009D1E2F">
        <w:rPr>
          <w:rFonts w:asciiTheme="majorHAnsi" w:eastAsia="Calibri" w:hAnsiTheme="majorHAnsi" w:cs="Calibri"/>
          <w:sz w:val="20"/>
          <w:szCs w:val="20"/>
          <w:lang w:val="es-ES"/>
        </w:rPr>
        <w:t xml:space="preserve"> </w:t>
      </w:r>
      <w:r w:rsidR="00493004" w:rsidRPr="009D1E2F">
        <w:rPr>
          <w:rFonts w:asciiTheme="majorHAnsi" w:eastAsia="Calibri" w:hAnsiTheme="majorHAnsi" w:cs="Calibri"/>
          <w:sz w:val="20"/>
          <w:szCs w:val="20"/>
          <w:lang w:val="es-ES"/>
        </w:rPr>
        <w:t>ha</w:t>
      </w:r>
      <w:r w:rsidR="003C3A5E">
        <w:rPr>
          <w:rFonts w:asciiTheme="majorHAnsi" w:eastAsia="Calibri" w:hAnsiTheme="majorHAnsi" w:cs="Calibri"/>
          <w:sz w:val="20"/>
          <w:szCs w:val="20"/>
          <w:lang w:val="es-ES"/>
        </w:rPr>
        <w:t xml:space="preserve"> recalcado que </w:t>
      </w:r>
      <w:r w:rsidR="00185654" w:rsidRPr="009D1E2F">
        <w:rPr>
          <w:rFonts w:asciiTheme="majorHAnsi" w:eastAsia="Calibri" w:hAnsiTheme="majorHAnsi" w:cs="Calibri"/>
          <w:sz w:val="20"/>
          <w:szCs w:val="20"/>
          <w:lang w:val="es-ES"/>
        </w:rPr>
        <w:t>el</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derecho</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a</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vida</w:t>
      </w:r>
      <w:r w:rsidR="00B059EC" w:rsidRPr="009D1E2F">
        <w:rPr>
          <w:rFonts w:asciiTheme="majorHAnsi" w:eastAsia="Calibri" w:hAnsiTheme="majorHAnsi" w:cs="Calibri"/>
          <w:sz w:val="20"/>
          <w:szCs w:val="20"/>
          <w:lang w:val="es-ES"/>
        </w:rPr>
        <w:t xml:space="preserve"> </w:t>
      </w:r>
      <w:r w:rsidR="003C3A5E">
        <w:rPr>
          <w:rFonts w:asciiTheme="majorHAnsi" w:eastAsia="Calibri" w:hAnsiTheme="majorHAnsi" w:cs="Calibri"/>
          <w:sz w:val="20"/>
          <w:szCs w:val="20"/>
          <w:lang w:val="es-ES"/>
        </w:rPr>
        <w:t xml:space="preserve">es un requisito para el goce de los demás derechos humanos. Como </w:t>
      </w:r>
      <w:r w:rsidR="00042CED"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ejecución</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pena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muerte</w:t>
      </w:r>
      <w:r w:rsidR="00B059EC" w:rsidRPr="009D1E2F">
        <w:rPr>
          <w:rFonts w:asciiTheme="majorHAnsi" w:eastAsia="Calibri" w:hAnsiTheme="majorHAnsi" w:cs="Calibri"/>
          <w:sz w:val="20"/>
          <w:szCs w:val="20"/>
          <w:lang w:val="es-ES"/>
        </w:rPr>
        <w:t xml:space="preserve"> </w:t>
      </w:r>
      <w:r w:rsidR="003C3A5E">
        <w:rPr>
          <w:rFonts w:asciiTheme="majorHAnsi" w:eastAsia="Calibri" w:hAnsiTheme="majorHAnsi" w:cs="Calibri"/>
          <w:sz w:val="20"/>
          <w:szCs w:val="20"/>
          <w:lang w:val="es-ES"/>
        </w:rPr>
        <w:t xml:space="preserve">es </w:t>
      </w:r>
      <w:r w:rsidR="00042CED" w:rsidRPr="009D1E2F">
        <w:rPr>
          <w:rFonts w:asciiTheme="majorHAnsi" w:eastAsia="Calibri" w:hAnsiTheme="majorHAnsi" w:cs="Calibri"/>
          <w:sz w:val="20"/>
          <w:szCs w:val="20"/>
          <w:lang w:val="es-ES"/>
        </w:rPr>
        <w:t>una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medida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carácter</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irreversible,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exige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del</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Estado</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el</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más</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estricto</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y</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riguroso</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respeto</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las</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garantías</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judiciales</w:t>
      </w:r>
      <w:r w:rsidR="00B059EC" w:rsidRPr="009D1E2F">
        <w:rPr>
          <w:rFonts w:asciiTheme="majorHAnsi" w:eastAsia="Calibri" w:hAnsiTheme="majorHAnsi" w:cs="Calibri"/>
          <w:sz w:val="20"/>
          <w:szCs w:val="20"/>
          <w:lang w:val="es-ES"/>
        </w:rPr>
        <w:t xml:space="preserve"> </w:t>
      </w:r>
      <w:r w:rsidR="003C3A5E">
        <w:rPr>
          <w:rFonts w:asciiTheme="majorHAnsi" w:eastAsia="Calibri" w:hAnsiTheme="majorHAnsi" w:cs="Calibri"/>
          <w:sz w:val="20"/>
          <w:szCs w:val="20"/>
          <w:lang w:val="es-ES"/>
        </w:rPr>
        <w:t xml:space="preserve">a fin de </w:t>
      </w:r>
      <w:r w:rsidR="00042CED" w:rsidRPr="009D1E2F">
        <w:rPr>
          <w:rFonts w:asciiTheme="majorHAnsi" w:eastAsia="Calibri" w:hAnsiTheme="majorHAnsi" w:cs="Calibri"/>
          <w:sz w:val="20"/>
          <w:szCs w:val="20"/>
          <w:lang w:val="es-ES"/>
        </w:rPr>
        <w:t>evitar</w:t>
      </w:r>
      <w:r w:rsidR="00B059EC" w:rsidRPr="009D1E2F">
        <w:rPr>
          <w:rFonts w:asciiTheme="majorHAnsi" w:eastAsia="Calibri" w:hAnsiTheme="majorHAnsi" w:cs="Calibri"/>
          <w:sz w:val="20"/>
          <w:szCs w:val="20"/>
          <w:lang w:val="es-ES"/>
        </w:rPr>
        <w:t xml:space="preserve"> </w:t>
      </w:r>
      <w:r w:rsidR="003C3A5E">
        <w:rPr>
          <w:rFonts w:asciiTheme="majorHAnsi" w:eastAsia="Calibri" w:hAnsiTheme="majorHAnsi" w:cs="Calibri"/>
          <w:sz w:val="20"/>
          <w:szCs w:val="20"/>
          <w:lang w:val="es-ES"/>
        </w:rPr>
        <w:t xml:space="preserve">que se las </w:t>
      </w:r>
      <w:r w:rsidR="00042CED" w:rsidRPr="009D1E2F">
        <w:rPr>
          <w:rFonts w:asciiTheme="majorHAnsi" w:eastAsia="Calibri" w:hAnsiTheme="majorHAnsi" w:cs="Calibri"/>
          <w:sz w:val="20"/>
          <w:szCs w:val="20"/>
          <w:lang w:val="es-ES"/>
        </w:rPr>
        <w:t>viol</w:t>
      </w:r>
      <w:r w:rsidR="003C3A5E">
        <w:rPr>
          <w:rFonts w:asciiTheme="majorHAnsi" w:eastAsia="Calibri" w:hAnsiTheme="majorHAnsi" w:cs="Calibri"/>
          <w:sz w:val="20"/>
          <w:szCs w:val="20"/>
          <w:lang w:val="es-ES"/>
        </w:rPr>
        <w:t>e, lo cual</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acarrearía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una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privación</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arbitraria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de</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00042CED" w:rsidRPr="009D1E2F">
        <w:rPr>
          <w:rFonts w:asciiTheme="majorHAnsi" w:eastAsia="Calibri" w:hAnsiTheme="majorHAnsi" w:cs="Calibri"/>
          <w:sz w:val="20"/>
          <w:szCs w:val="20"/>
          <w:lang w:val="es-ES"/>
        </w:rPr>
        <w:t>vida</w:t>
      </w:r>
      <w:r w:rsidR="00805784" w:rsidRPr="009D1E2F">
        <w:rPr>
          <w:rFonts w:asciiTheme="majorHAnsi" w:eastAsia="Calibri" w:hAnsiTheme="majorHAnsi" w:cs="Calibri"/>
          <w:sz w:val="20"/>
          <w:szCs w:val="20"/>
          <w:lang w:val="es-ES"/>
        </w:rPr>
        <w:t>.</w:t>
      </w:r>
      <w:r w:rsidR="00B059EC" w:rsidRPr="009D1E2F">
        <w:rPr>
          <w:rFonts w:asciiTheme="majorHAnsi" w:eastAsia="Calibri" w:hAnsiTheme="majorHAnsi" w:cs="Calibri"/>
          <w:sz w:val="20"/>
          <w:szCs w:val="20"/>
          <w:lang w:val="es-ES"/>
        </w:rPr>
        <w:t xml:space="preserve"> </w:t>
      </w:r>
      <w:r w:rsidR="00726948">
        <w:rPr>
          <w:rFonts w:asciiTheme="majorHAnsi" w:eastAsia="Calibri" w:hAnsiTheme="majorHAnsi" w:cs="Calibri"/>
          <w:sz w:val="20"/>
          <w:szCs w:val="20"/>
          <w:lang w:val="es-ES"/>
        </w:rPr>
        <w:t>La importancia d</w:t>
      </w:r>
      <w:r w:rsidR="00185654" w:rsidRPr="009D1E2F">
        <w:rPr>
          <w:rFonts w:asciiTheme="majorHAnsi" w:eastAsia="Calibri" w:hAnsiTheme="majorHAnsi" w:cs="Calibri"/>
          <w:sz w:val="20"/>
          <w:szCs w:val="20"/>
          <w:lang w:val="es-ES"/>
        </w:rPr>
        <w:t>el</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derecho</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a</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la</w:t>
      </w:r>
      <w:r w:rsidR="00B059EC" w:rsidRPr="009D1E2F">
        <w:rPr>
          <w:rFonts w:asciiTheme="majorHAnsi" w:eastAsia="Calibri" w:hAnsiTheme="majorHAnsi" w:cs="Calibri"/>
          <w:sz w:val="20"/>
          <w:szCs w:val="20"/>
          <w:lang w:val="es-ES"/>
        </w:rPr>
        <w:t xml:space="preserve"> </w:t>
      </w:r>
      <w:r w:rsidR="00185654" w:rsidRPr="009D1E2F">
        <w:rPr>
          <w:rFonts w:asciiTheme="majorHAnsi" w:eastAsia="Calibri" w:hAnsiTheme="majorHAnsi" w:cs="Calibri"/>
          <w:sz w:val="20"/>
          <w:szCs w:val="20"/>
          <w:lang w:val="es-ES"/>
        </w:rPr>
        <w:t>vida</w:t>
      </w:r>
      <w:r w:rsidR="00B059EC" w:rsidRPr="009D1E2F">
        <w:rPr>
          <w:rFonts w:asciiTheme="majorHAnsi" w:eastAsia="Calibri" w:hAnsiTheme="majorHAnsi" w:cs="Calibri"/>
          <w:sz w:val="20"/>
          <w:szCs w:val="20"/>
          <w:lang w:val="es-ES"/>
        </w:rPr>
        <w:t xml:space="preserve"> </w:t>
      </w:r>
      <w:r w:rsidR="00726948">
        <w:rPr>
          <w:rFonts w:asciiTheme="majorHAnsi" w:eastAsia="Calibri" w:hAnsiTheme="majorHAnsi" w:cs="Calibri"/>
          <w:sz w:val="20"/>
          <w:szCs w:val="20"/>
          <w:lang w:val="es-ES"/>
        </w:rPr>
        <w:t>se refleja en su inclusión en todos los principales instrumentos internacionales de derechos humanos</w:t>
      </w:r>
      <w:r w:rsidR="00805784" w:rsidRPr="009D1E2F">
        <w:rPr>
          <w:rFonts w:asciiTheme="majorHAnsi" w:hAnsiTheme="majorHAnsi"/>
          <w:sz w:val="20"/>
          <w:szCs w:val="16"/>
          <w:vertAlign w:val="superscript"/>
          <w:lang w:val="es-ES"/>
        </w:rPr>
        <w:footnoteReference w:id="51"/>
      </w:r>
      <w:r w:rsidR="00726948">
        <w:rPr>
          <w:rFonts w:asciiTheme="majorHAnsi" w:eastAsia="Calibri" w:hAnsiTheme="majorHAnsi" w:cs="Calibri"/>
          <w:sz w:val="20"/>
          <w:szCs w:val="20"/>
          <w:lang w:val="es-ES"/>
        </w:rPr>
        <w:t>.</w:t>
      </w:r>
    </w:p>
    <w:p w14:paraId="2248A623" w14:textId="77777777" w:rsidR="003D3CD4" w:rsidRPr="009D1E2F" w:rsidRDefault="003D3CD4" w:rsidP="00817426">
      <w:pPr>
        <w:tabs>
          <w:tab w:val="left" w:pos="360"/>
        </w:tabs>
        <w:rPr>
          <w:rFonts w:asciiTheme="majorHAnsi" w:hAnsiTheme="majorHAnsi"/>
          <w:sz w:val="20"/>
          <w:szCs w:val="20"/>
          <w:lang w:val="es-ES"/>
        </w:rPr>
      </w:pPr>
    </w:p>
    <w:p w14:paraId="581A5060" w14:textId="77777777" w:rsidR="00182FB6"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182FB6" w:rsidRPr="009D1E2F">
        <w:rPr>
          <w:rFonts w:asciiTheme="majorHAnsi" w:eastAsia="Times New Roman" w:hAnsiTheme="majorHAnsi"/>
          <w:sz w:val="20"/>
          <w:szCs w:val="20"/>
          <w:lang w:val="es-ES"/>
        </w:rPr>
        <w:t>ha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observado</w:t>
      </w:r>
      <w:r w:rsidR="00B059EC" w:rsidRPr="009D1E2F">
        <w:rPr>
          <w:rFonts w:asciiTheme="majorHAnsi" w:eastAsia="Times New Roman" w:hAnsiTheme="majorHAnsi"/>
          <w:sz w:val="20"/>
          <w:szCs w:val="20"/>
          <w:lang w:val="es-ES"/>
        </w:rPr>
        <w:t xml:space="preserve"> </w:t>
      </w:r>
      <w:r w:rsidR="003D3F9A">
        <w:rPr>
          <w:rFonts w:asciiTheme="majorHAnsi" w:eastAsia="Times New Roman" w:hAnsiTheme="majorHAnsi"/>
          <w:sz w:val="20"/>
          <w:szCs w:val="20"/>
          <w:lang w:val="es-ES"/>
        </w:rPr>
        <w:t>anterior</w:t>
      </w:r>
      <w:r w:rsidR="00F31F0E" w:rsidRPr="009D1E2F">
        <w:rPr>
          <w:rFonts w:asciiTheme="majorHAnsi" w:eastAsia="Times New Roman" w:hAnsiTheme="majorHAnsi"/>
          <w:sz w:val="20"/>
          <w:szCs w:val="20"/>
          <w:lang w:val="es-ES"/>
        </w:rPr>
        <w:t>mente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que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5B3F2B" w:rsidRPr="009D1E2F">
        <w:rPr>
          <w:rFonts w:asciiTheme="majorHAnsi" w:eastAsia="Times New Roman" w:hAnsiTheme="majorHAnsi"/>
          <w:sz w:val="20"/>
          <w:szCs w:val="20"/>
          <w:lang w:val="es-ES"/>
        </w:rPr>
        <w:t>artículo</w:t>
      </w:r>
      <w:r w:rsidR="00B059EC" w:rsidRPr="009D1E2F">
        <w:rPr>
          <w:rFonts w:asciiTheme="majorHAnsi" w:eastAsia="Times New Roman" w:hAnsiTheme="majorHAnsi"/>
          <w:sz w:val="20"/>
          <w:szCs w:val="20"/>
          <w:lang w:val="es-ES"/>
        </w:rPr>
        <w:t xml:space="preserve"> </w:t>
      </w:r>
      <w:r w:rsidR="00182FB6" w:rsidRPr="009D1E2F">
        <w:rPr>
          <w:rFonts w:asciiTheme="majorHAnsi" w:eastAsia="Times New Roman" w:hAnsiTheme="majorHAnsi"/>
          <w:sz w:val="20"/>
          <w:szCs w:val="20"/>
          <w:lang w:val="es-ES"/>
        </w:rPr>
        <w:t>I</w:t>
      </w:r>
      <w:r w:rsidR="00B059EC" w:rsidRPr="009D1E2F">
        <w:rPr>
          <w:rFonts w:asciiTheme="majorHAnsi" w:eastAsia="Times New Roman" w:hAnsiTheme="majorHAnsi"/>
          <w:sz w:val="20"/>
          <w:szCs w:val="20"/>
          <w:lang w:val="es-ES"/>
        </w:rPr>
        <w:t xml:space="preserve"> </w:t>
      </w:r>
      <w:r w:rsidR="003C3A5E">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0D6328"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0D6328" w:rsidRPr="009D1E2F">
        <w:rPr>
          <w:rFonts w:asciiTheme="majorHAnsi" w:eastAsia="Times New Roman" w:hAnsiTheme="majorHAnsi"/>
          <w:sz w:val="20"/>
          <w:szCs w:val="20"/>
          <w:lang w:val="es-ES"/>
        </w:rPr>
        <w:t>Declaración</w:t>
      </w:r>
      <w:r w:rsidR="00B059EC" w:rsidRPr="009D1E2F">
        <w:rPr>
          <w:rFonts w:asciiTheme="majorHAnsi" w:eastAsia="Times New Roman" w:hAnsiTheme="majorHAnsi"/>
          <w:sz w:val="20"/>
          <w:szCs w:val="20"/>
          <w:lang w:val="es-ES"/>
        </w:rPr>
        <w:t xml:space="preserve"> </w:t>
      </w:r>
      <w:r w:rsidR="000D6328" w:rsidRPr="009D1E2F">
        <w:rPr>
          <w:rFonts w:asciiTheme="majorHAnsi" w:eastAsia="Times New Roman" w:hAnsiTheme="majorHAnsi"/>
          <w:sz w:val="20"/>
          <w:szCs w:val="20"/>
          <w:lang w:val="es-ES"/>
        </w:rPr>
        <w:t>Americana</w:t>
      </w:r>
      <w:r w:rsidR="00182FB6"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si</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bien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no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impide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totalmente,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prohíbe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su</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imposición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cuando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esta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resulte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una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privación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arbitraria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vida</w:t>
      </w:r>
      <w:r w:rsidR="00182FB6"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726948">
        <w:rPr>
          <w:rFonts w:asciiTheme="majorHAnsi" w:eastAsia="Times New Roman" w:hAnsiTheme="majorHAnsi"/>
          <w:sz w:val="20"/>
          <w:szCs w:val="20"/>
          <w:lang w:val="es-ES"/>
        </w:rPr>
        <w:t>también ha dictaminado que</w:t>
      </w:r>
      <w:r w:rsidR="00F31F0E"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debido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varias</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deficiencias,</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una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ejecución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podría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ser</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arbitraria,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contrariamente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estipulado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5B3F2B" w:rsidRPr="009D1E2F">
        <w:rPr>
          <w:rFonts w:asciiTheme="majorHAnsi" w:eastAsia="Times New Roman" w:hAnsiTheme="majorHAnsi"/>
          <w:sz w:val="20"/>
          <w:szCs w:val="20"/>
          <w:lang w:val="es-ES"/>
        </w:rPr>
        <w:t>artículo</w:t>
      </w:r>
      <w:r w:rsidR="00B059EC" w:rsidRPr="009D1E2F">
        <w:rPr>
          <w:rFonts w:asciiTheme="majorHAnsi" w:eastAsia="Times New Roman" w:hAnsiTheme="majorHAnsi"/>
          <w:sz w:val="20"/>
          <w:szCs w:val="20"/>
          <w:lang w:val="es-ES"/>
        </w:rPr>
        <w:t xml:space="preserve"> </w:t>
      </w:r>
      <w:r w:rsidR="00182FB6" w:rsidRPr="009D1E2F">
        <w:rPr>
          <w:rFonts w:asciiTheme="majorHAnsi" w:eastAsia="Times New Roman" w:hAnsiTheme="majorHAnsi"/>
          <w:sz w:val="20"/>
          <w:szCs w:val="20"/>
          <w:lang w:val="es-ES"/>
        </w:rPr>
        <w:t>I</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Declaración,</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entre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ellas</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que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no</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limite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sidR="00F31F0E" w:rsidRPr="009D1E2F">
        <w:rPr>
          <w:rFonts w:asciiTheme="majorHAnsi" w:eastAsia="Times New Roman" w:hAnsiTheme="majorHAnsi"/>
          <w:sz w:val="20"/>
          <w:szCs w:val="20"/>
          <w:lang w:val="es-ES"/>
        </w:rPr>
        <w:t>a</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los</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delitos</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extrema</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gravedad</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establecidos</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en</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leyes</w:t>
      </w:r>
      <w:r w:rsidR="00B059EC" w:rsidRPr="009D1E2F">
        <w:rPr>
          <w:rFonts w:asciiTheme="majorHAnsi" w:eastAsia="Times New Roman" w:hAnsiTheme="majorHAnsi"/>
          <w:sz w:val="20"/>
          <w:szCs w:val="20"/>
          <w:lang w:val="es-ES"/>
        </w:rPr>
        <w:t xml:space="preserve"> </w:t>
      </w:r>
      <w:r w:rsidR="00E5082C" w:rsidRPr="009D1E2F">
        <w:rPr>
          <w:rFonts w:asciiTheme="majorHAnsi" w:eastAsia="Times New Roman" w:hAnsiTheme="majorHAnsi"/>
          <w:sz w:val="20"/>
          <w:szCs w:val="20"/>
          <w:lang w:val="es-ES"/>
        </w:rPr>
        <w:t>preex</w:t>
      </w:r>
      <w:bookmarkStart w:id="21" w:name="_ftnref3"/>
      <w:r w:rsidR="00E5082C" w:rsidRPr="009D1E2F">
        <w:rPr>
          <w:rFonts w:asciiTheme="majorHAnsi" w:eastAsia="Times New Roman" w:hAnsiTheme="majorHAnsi"/>
          <w:sz w:val="20"/>
          <w:szCs w:val="20"/>
          <w:lang w:val="es-ES"/>
        </w:rPr>
        <w:t>istentes</w:t>
      </w:r>
      <w:r w:rsidR="00182FB6" w:rsidRPr="009D1E2F">
        <w:rPr>
          <w:rStyle w:val="FootnoteReference"/>
          <w:rFonts w:asciiTheme="majorHAnsi" w:eastAsia="Times New Roman" w:hAnsiTheme="majorHAnsi"/>
          <w:sz w:val="20"/>
          <w:szCs w:val="20"/>
          <w:lang w:val="es-ES"/>
        </w:rPr>
        <w:footnoteReference w:id="52"/>
      </w:r>
      <w:bookmarkEnd w:id="21"/>
      <w:r w:rsidR="00E5082C" w:rsidRPr="009D1E2F">
        <w:rPr>
          <w:rFonts w:asciiTheme="majorHAnsi" w:eastAsia="Times New Roman" w:hAnsiTheme="majorHAnsi"/>
          <w:sz w:val="20"/>
          <w:szCs w:val="20"/>
          <w:lang w:val="es-ES"/>
        </w:rPr>
        <w:t>.</w:t>
      </w:r>
    </w:p>
    <w:p w14:paraId="048A4D8B" w14:textId="77777777" w:rsidR="00182FB6" w:rsidRPr="009D1E2F" w:rsidRDefault="00182FB6"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48CD78BB" w14:textId="77777777" w:rsidR="00B321B3" w:rsidRPr="009D1E2F" w:rsidRDefault="0018565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5B3F2B" w:rsidRPr="009D1E2F">
        <w:rPr>
          <w:rFonts w:asciiTheme="majorHAnsi" w:hAnsiTheme="majorHAnsi"/>
          <w:sz w:val="20"/>
          <w:szCs w:val="20"/>
          <w:lang w:val="es-ES"/>
        </w:rPr>
        <w:t>artículo</w:t>
      </w:r>
      <w:r w:rsidR="00B059EC" w:rsidRPr="009D1E2F">
        <w:rPr>
          <w:rFonts w:asciiTheme="majorHAnsi" w:hAnsiTheme="majorHAnsi"/>
          <w:sz w:val="20"/>
          <w:szCs w:val="20"/>
          <w:lang w:val="es-ES"/>
        </w:rPr>
        <w:t xml:space="preserve"> </w:t>
      </w:r>
      <w:r w:rsidR="004E6B90" w:rsidRPr="009D1E2F">
        <w:rPr>
          <w:rFonts w:asciiTheme="majorHAnsi" w:hAnsiTheme="majorHAnsi"/>
          <w:sz w:val="20"/>
          <w:szCs w:val="20"/>
          <w:lang w:val="es-ES"/>
        </w:rPr>
        <w:t>4</w:t>
      </w:r>
      <w:r w:rsidR="00B059EC" w:rsidRPr="009D1E2F">
        <w:rPr>
          <w:rFonts w:asciiTheme="majorHAnsi" w:hAnsiTheme="majorHAnsi"/>
          <w:sz w:val="20"/>
          <w:szCs w:val="20"/>
          <w:lang w:val="es-ES"/>
        </w:rPr>
        <w:t xml:space="preserve"> </w:t>
      </w:r>
      <w:r w:rsidR="00061A23">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Convención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Americana</w:t>
      </w:r>
      <w:r w:rsidR="005C232A"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061A23">
        <w:rPr>
          <w:rFonts w:asciiTheme="majorHAnsi" w:hAnsiTheme="majorHAnsi"/>
          <w:sz w:val="20"/>
          <w:szCs w:val="20"/>
          <w:lang w:val="es-ES"/>
        </w:rPr>
        <w:t xml:space="preserve">al establecer </w:t>
      </w:r>
      <w:r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derecho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vida</w:t>
      </w:r>
      <w:r w:rsidR="005C232A"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0351D4" w:rsidRPr="009D1E2F">
        <w:rPr>
          <w:rFonts w:asciiTheme="majorHAnsi" w:hAnsiTheme="majorHAnsi"/>
          <w:sz w:val="20"/>
          <w:szCs w:val="20"/>
          <w:lang w:val="es-ES"/>
        </w:rPr>
        <w:t>impo</w:t>
      </w:r>
      <w:r w:rsidR="00061A23">
        <w:rPr>
          <w:rFonts w:asciiTheme="majorHAnsi" w:hAnsiTheme="majorHAnsi"/>
          <w:sz w:val="20"/>
          <w:szCs w:val="20"/>
          <w:lang w:val="es-ES"/>
        </w:rPr>
        <w:t>ne restricciones que se aplican a los distintos tipos de delitos punibles con la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limitación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aplicación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 xml:space="preserve">capital </w:t>
      </w:r>
      <w:r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delitos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más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graves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revela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intención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era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aplicarla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solo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condiciones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verdaderamente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excepc</w:t>
      </w:r>
      <w:r w:rsidRPr="00061A23">
        <w:rPr>
          <w:rFonts w:asciiTheme="majorHAnsi" w:hAnsiTheme="majorHAnsi"/>
          <w:sz w:val="20"/>
          <w:szCs w:val="20"/>
          <w:lang w:val="es-ES"/>
        </w:rPr>
        <w:t>ionales</w:t>
      </w:r>
      <w:r w:rsidR="000351D4" w:rsidRPr="00061A23">
        <w:rPr>
          <w:rStyle w:val="FootnoteReference"/>
          <w:rFonts w:asciiTheme="majorHAnsi" w:hAnsiTheme="majorHAnsi"/>
          <w:sz w:val="20"/>
          <w:szCs w:val="20"/>
          <w:lang w:val="es-ES"/>
        </w:rPr>
        <w:footnoteReference w:id="53"/>
      </w:r>
      <w:r w:rsidRPr="00061A23">
        <w:rPr>
          <w:rFonts w:asciiTheme="majorHAnsi" w:hAnsiTheme="majorHAnsi"/>
          <w:sz w:val="20"/>
          <w:szCs w:val="20"/>
          <w:lang w:val="es-ES"/>
        </w:rPr>
        <w:t>.</w:t>
      </w:r>
      <w:r w:rsidR="00B059EC" w:rsidRPr="00061A23">
        <w:rPr>
          <w:rStyle w:val="FootnoteReference"/>
          <w:rFonts w:asciiTheme="majorHAnsi" w:hAnsiTheme="majorHAnsi"/>
          <w:lang w:val="es-ES"/>
        </w:rPr>
        <w:t xml:space="preserve"> </w:t>
      </w:r>
      <w:r w:rsidR="00061A23">
        <w:rPr>
          <w:rFonts w:asciiTheme="majorHAnsi" w:hAnsiTheme="majorHAnsi"/>
          <w:sz w:val="20"/>
          <w:szCs w:val="20"/>
          <w:lang w:val="es-ES"/>
        </w:rPr>
        <w:t xml:space="preserve">Según la jurisprudencia </w:t>
      </w:r>
      <w:r w:rsidR="00B321B3" w:rsidRPr="009D1E2F">
        <w:rPr>
          <w:rFonts w:asciiTheme="majorHAnsi" w:hAnsiTheme="majorHAnsi"/>
          <w:sz w:val="20"/>
          <w:szCs w:val="20"/>
          <w:lang w:val="es-ES"/>
        </w:rPr>
        <w:t>inter</w:t>
      </w:r>
      <w:r w:rsidR="00061A23">
        <w:rPr>
          <w:rFonts w:asciiTheme="majorHAnsi" w:hAnsiTheme="majorHAnsi"/>
          <w:sz w:val="20"/>
          <w:szCs w:val="20"/>
          <w:lang w:val="es-ES"/>
        </w:rPr>
        <w:t>a</w:t>
      </w:r>
      <w:r w:rsidR="00B321B3" w:rsidRPr="009D1E2F">
        <w:rPr>
          <w:rFonts w:asciiTheme="majorHAnsi" w:hAnsiTheme="majorHAnsi"/>
          <w:sz w:val="20"/>
          <w:szCs w:val="20"/>
          <w:lang w:val="es-ES"/>
        </w:rPr>
        <w:t>merican</w:t>
      </w:r>
      <w:r w:rsidR="00061A23">
        <w:rPr>
          <w:rFonts w:asciiTheme="majorHAnsi" w:hAnsiTheme="majorHAnsi"/>
          <w:sz w:val="20"/>
          <w:szCs w:val="20"/>
          <w:lang w:val="es-ES"/>
        </w:rPr>
        <w:t>a</w:t>
      </w:r>
      <w:r w:rsidR="00B321B3" w:rsidRPr="009D1E2F">
        <w:rPr>
          <w:rFonts w:asciiTheme="majorHAnsi" w:hAnsiTheme="majorHAnsi"/>
          <w:sz w:val="20"/>
          <w:szCs w:val="20"/>
          <w:lang w:val="es-ES"/>
        </w:rPr>
        <w:t>:</w:t>
      </w:r>
    </w:p>
    <w:p w14:paraId="0D9D705C" w14:textId="77777777" w:rsidR="00B321B3" w:rsidRPr="009D1E2F" w:rsidRDefault="00B321B3"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6BEC2567" w14:textId="77777777" w:rsidR="00BA273E" w:rsidRPr="009D1E2F" w:rsidRDefault="00E5082C" w:rsidP="00817426">
      <w:pPr>
        <w:pStyle w:val="BodyTextIndent2"/>
        <w:spacing w:after="0" w:line="240" w:lineRule="auto"/>
        <w:ind w:right="360"/>
        <w:jc w:val="both"/>
        <w:rPr>
          <w:rFonts w:asciiTheme="majorHAnsi" w:hAnsiTheme="majorHAnsi"/>
          <w:sz w:val="18"/>
          <w:szCs w:val="18"/>
          <w:lang w:val="es-ES"/>
        </w:rPr>
      </w:pP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privación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intencional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ilícita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vida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una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persona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(homicidio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intencional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doloso,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sentido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amplio)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puede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y</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debe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ser</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reconocida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y</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contemplada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legislación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penal,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si</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bien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bajo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diversas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categorías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(tipos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penales)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que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correspondan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diversa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gravedad</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hechos,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tomando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cuenta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distintos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elementos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que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pueden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concurrir</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ellos: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especiales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relaciones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entre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delincuente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y</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víctima,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móvil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conducta,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circunstancias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que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ésta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realiza,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medios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empleados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por</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el</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sujeto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activo,</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etc.</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esta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forma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establecerá</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una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graduación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en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lastRenderedPageBreak/>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gravedad</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hechos,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que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corresponderá</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una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graduación</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los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niveles</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severidad</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de</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la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pena</w:t>
      </w:r>
      <w:r w:rsidR="00B059EC" w:rsidRPr="009D1E2F">
        <w:rPr>
          <w:rFonts w:asciiTheme="majorHAnsi" w:hAnsiTheme="majorHAnsi"/>
          <w:sz w:val="18"/>
          <w:szCs w:val="18"/>
          <w:lang w:val="es-ES"/>
        </w:rPr>
        <w:t xml:space="preserve"> </w:t>
      </w:r>
      <w:r w:rsidRPr="009D1E2F">
        <w:rPr>
          <w:rFonts w:asciiTheme="majorHAnsi" w:hAnsiTheme="majorHAnsi"/>
          <w:sz w:val="18"/>
          <w:szCs w:val="18"/>
          <w:lang w:val="es-ES"/>
        </w:rPr>
        <w:t>aplicable</w:t>
      </w:r>
      <w:r w:rsidR="00872B1E" w:rsidRPr="009D1E2F">
        <w:rPr>
          <w:rStyle w:val="FootnoteReference"/>
          <w:rFonts w:asciiTheme="majorHAnsi" w:eastAsia="Times New Roman" w:hAnsiTheme="majorHAnsi"/>
          <w:sz w:val="18"/>
          <w:szCs w:val="18"/>
          <w:lang w:val="es-ES"/>
        </w:rPr>
        <w:footnoteReference w:id="54"/>
      </w:r>
      <w:r w:rsidRPr="009D1E2F">
        <w:rPr>
          <w:rFonts w:asciiTheme="majorHAnsi" w:hAnsiTheme="majorHAnsi"/>
          <w:sz w:val="18"/>
          <w:szCs w:val="18"/>
          <w:lang w:val="es-ES"/>
        </w:rPr>
        <w:t>.</w:t>
      </w:r>
    </w:p>
    <w:p w14:paraId="5D63D228" w14:textId="77777777" w:rsidR="00B321B3" w:rsidRPr="009D1E2F" w:rsidRDefault="00B321B3" w:rsidP="00817426">
      <w:pPr>
        <w:pStyle w:val="ListParagraph"/>
        <w:rPr>
          <w:rFonts w:asciiTheme="majorHAnsi" w:hAnsiTheme="majorHAnsi"/>
          <w:sz w:val="20"/>
          <w:szCs w:val="20"/>
          <w:lang w:val="es-ES"/>
        </w:rPr>
      </w:pPr>
    </w:p>
    <w:p w14:paraId="59823E8B" w14:textId="77777777" w:rsidR="0024722E" w:rsidRPr="009D1E2F" w:rsidRDefault="003C3A5E"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Análogamente</w:t>
      </w:r>
      <w:r w:rsidR="005B7BC5"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e</w:t>
      </w:r>
      <w:r w:rsidR="005B7BC5" w:rsidRPr="009D1E2F">
        <w:rPr>
          <w:rFonts w:asciiTheme="majorHAnsi" w:hAnsiTheme="majorHAnsi"/>
          <w:sz w:val="20"/>
          <w:szCs w:val="20"/>
          <w:lang w:val="es-ES"/>
        </w:rPr>
        <w:t>n</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el </w:t>
      </w:r>
      <w:r w:rsidR="00674E9F">
        <w:rPr>
          <w:rFonts w:asciiTheme="majorHAnsi" w:hAnsiTheme="majorHAnsi"/>
          <w:sz w:val="20"/>
          <w:szCs w:val="20"/>
          <w:lang w:val="es-ES"/>
        </w:rPr>
        <w:t>derecho internacional</w:t>
      </w:r>
      <w:r w:rsidR="00872B1E"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el fundamento jurídico de las ejecuciones se encuentra en el </w:t>
      </w:r>
      <w:r w:rsidR="00ED6AAB" w:rsidRPr="009D1E2F">
        <w:rPr>
          <w:rFonts w:asciiTheme="majorHAnsi" w:hAnsiTheme="majorHAnsi"/>
          <w:sz w:val="20"/>
          <w:szCs w:val="20"/>
          <w:lang w:val="es-ES"/>
        </w:rPr>
        <w:t>Pacto</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Internacional</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Civiles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Políticos</w:t>
      </w:r>
      <w:r w:rsidR="005B7BC5"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donde se especifica que</w:t>
      </w:r>
      <w:r w:rsidR="00B059EC" w:rsidRPr="009D1E2F">
        <w:rPr>
          <w:rFonts w:asciiTheme="majorHAnsi" w:hAnsiTheme="majorHAnsi"/>
          <w:sz w:val="20"/>
          <w:szCs w:val="20"/>
          <w:lang w:val="es-ES"/>
        </w:rPr>
        <w:t xml:space="preserve"> </w:t>
      </w:r>
      <w:r w:rsidR="002669F0" w:rsidRPr="009D1E2F">
        <w:rPr>
          <w:rFonts w:asciiTheme="majorHAnsi" w:hAnsiTheme="majorHAnsi"/>
          <w:sz w:val="20"/>
          <w:szCs w:val="20"/>
          <w:lang w:val="es-ES"/>
        </w:rPr>
        <w:t>“</w:t>
      </w:r>
      <w:r w:rsidR="00ED6AAB" w:rsidRPr="009D1E2F">
        <w:rPr>
          <w:rFonts w:asciiTheme="majorHAnsi" w:hAnsiTheme="majorHAnsi"/>
          <w:sz w:val="20"/>
          <w:szCs w:val="20"/>
          <w:lang w:val="es-ES"/>
        </w:rPr>
        <w:t>sólo</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podrá</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imponerse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por</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más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graves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delitos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conformidad</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con</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leyes</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estén</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vigor</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momento</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cometerse</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ED6AAB" w:rsidRPr="009D1E2F">
        <w:rPr>
          <w:rFonts w:asciiTheme="majorHAnsi" w:hAnsiTheme="majorHAnsi"/>
          <w:sz w:val="20"/>
          <w:szCs w:val="20"/>
          <w:lang w:val="es-ES"/>
        </w:rPr>
        <w:t>delito</w:t>
      </w:r>
      <w:r w:rsidR="002669F0" w:rsidRPr="009D1E2F">
        <w:rPr>
          <w:rFonts w:asciiTheme="majorHAnsi" w:hAnsiTheme="majorHAnsi"/>
          <w:sz w:val="20"/>
          <w:szCs w:val="20"/>
          <w:lang w:val="es-ES"/>
        </w:rPr>
        <w:t>”</w:t>
      </w:r>
      <w:r w:rsidR="002669F0" w:rsidRPr="009D1E2F">
        <w:rPr>
          <w:rStyle w:val="FootnoteReference"/>
          <w:rFonts w:asciiTheme="majorHAnsi" w:hAnsiTheme="majorHAnsi"/>
          <w:sz w:val="20"/>
          <w:szCs w:val="20"/>
          <w:lang w:val="es-ES"/>
        </w:rPr>
        <w:footnoteReference w:id="55"/>
      </w:r>
      <w:r w:rsidR="00ED6AAB"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74A6378E" w14:textId="77777777" w:rsidR="003763A9" w:rsidRPr="009D1E2F" w:rsidRDefault="003763A9" w:rsidP="00817426">
      <w:pPr>
        <w:pStyle w:val="ListParagraph"/>
        <w:rPr>
          <w:rFonts w:asciiTheme="majorHAnsi" w:hAnsiTheme="majorHAnsi"/>
          <w:sz w:val="20"/>
          <w:szCs w:val="20"/>
          <w:lang w:val="es-ES"/>
        </w:rPr>
      </w:pPr>
    </w:p>
    <w:p w14:paraId="27AE335B" w14:textId="77777777" w:rsidR="003D3CD4" w:rsidRPr="009D1E2F" w:rsidRDefault="00850407" w:rsidP="00FB55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bCs/>
          <w:sz w:val="20"/>
          <w:szCs w:val="20"/>
          <w:bdr w:val="none" w:sz="0" w:space="0" w:color="auto"/>
          <w:lang w:val="es-ES"/>
        </w:rPr>
        <w:t xml:space="preserve">El </w:t>
      </w:r>
      <w:r w:rsidR="00FB558C" w:rsidRPr="009D1E2F">
        <w:rPr>
          <w:rFonts w:asciiTheme="majorHAnsi" w:eastAsia="Times New Roman" w:hAnsiTheme="majorHAnsi"/>
          <w:bCs/>
          <w:sz w:val="20"/>
          <w:szCs w:val="20"/>
          <w:bdr w:val="none" w:sz="0" w:space="0" w:color="auto"/>
          <w:lang w:val="es-ES"/>
        </w:rPr>
        <w:t>Relator</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Especial</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sobre</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las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ejecuciones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extrajudiciales,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sumarias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o</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arbitrarias</w:t>
      </w:r>
      <w:r>
        <w:rPr>
          <w:rFonts w:asciiTheme="majorHAnsi" w:eastAsia="Times New Roman" w:hAnsiTheme="majorHAnsi"/>
          <w:bCs/>
          <w:sz w:val="20"/>
          <w:szCs w:val="20"/>
          <w:bdr w:val="none" w:sz="0" w:space="0" w:color="auto"/>
          <w:lang w:val="es-ES"/>
        </w:rPr>
        <w:t>, de las Naciones Unidas,</w:t>
      </w:r>
      <w:r w:rsidR="00B059EC" w:rsidRPr="009D1E2F">
        <w:rPr>
          <w:rFonts w:asciiTheme="majorHAnsi" w:eastAsia="Times New Roman" w:hAnsiTheme="majorHAnsi"/>
          <w:bCs/>
          <w:sz w:val="20"/>
          <w:szCs w:val="20"/>
          <w:bdr w:val="none" w:sz="0" w:space="0" w:color="auto"/>
          <w:lang w:val="es-ES"/>
        </w:rPr>
        <w:t xml:space="preserve"> </w:t>
      </w:r>
      <w:r>
        <w:rPr>
          <w:rFonts w:asciiTheme="majorHAnsi" w:eastAsia="Times New Roman" w:hAnsiTheme="majorHAnsi"/>
          <w:bCs/>
          <w:sz w:val="20"/>
          <w:szCs w:val="20"/>
          <w:bdr w:val="none" w:sz="0" w:space="0" w:color="auto"/>
          <w:lang w:val="es-ES"/>
        </w:rPr>
        <w:t xml:space="preserve">limitó el alcance de la interpretación de </w:t>
      </w:r>
      <w:r w:rsidR="00FB558C" w:rsidRPr="009D1E2F">
        <w:rPr>
          <w:rFonts w:asciiTheme="majorHAnsi" w:eastAsia="Times New Roman" w:hAnsiTheme="majorHAnsi"/>
          <w:bCs/>
          <w:sz w:val="20"/>
          <w:szCs w:val="20"/>
          <w:bdr w:val="none" w:sz="0" w:space="0" w:color="auto"/>
          <w:lang w:val="es-ES"/>
        </w:rPr>
        <w:t>los</w:t>
      </w:r>
      <w:r w:rsidR="00B059EC" w:rsidRPr="009D1E2F">
        <w:rPr>
          <w:rFonts w:asciiTheme="majorHAnsi" w:eastAsia="Times New Roman" w:hAnsiTheme="majorHAnsi"/>
          <w:bCs/>
          <w:sz w:val="20"/>
          <w:szCs w:val="20"/>
          <w:bdr w:val="none" w:sz="0" w:space="0" w:color="auto"/>
          <w:lang w:val="es-ES"/>
        </w:rPr>
        <w:t xml:space="preserve"> </w:t>
      </w:r>
      <w:r w:rsidR="009B4536" w:rsidRPr="009D1E2F">
        <w:rPr>
          <w:rFonts w:asciiTheme="majorHAnsi" w:eastAsia="Times New Roman" w:hAnsiTheme="majorHAnsi"/>
          <w:bCs/>
          <w:sz w:val="20"/>
          <w:szCs w:val="20"/>
          <w:bdr w:val="none" w:sz="0" w:space="0" w:color="auto"/>
          <w:lang w:val="es-ES"/>
        </w:rPr>
        <w:t>“</w:t>
      </w:r>
      <w:r w:rsidR="00FB558C" w:rsidRPr="009D1E2F">
        <w:rPr>
          <w:rFonts w:asciiTheme="majorHAnsi" w:eastAsia="Times New Roman" w:hAnsiTheme="majorHAnsi"/>
          <w:bCs/>
          <w:sz w:val="20"/>
          <w:szCs w:val="20"/>
          <w:bdr w:val="none" w:sz="0" w:space="0" w:color="auto"/>
          <w:lang w:val="es-ES"/>
        </w:rPr>
        <w:t>más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graves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delitos</w:t>
      </w:r>
      <w:r w:rsidR="009B4536" w:rsidRPr="009D1E2F">
        <w:rPr>
          <w:rFonts w:asciiTheme="majorHAnsi" w:eastAsia="Times New Roman" w:hAnsiTheme="majorHAnsi"/>
          <w:bCs/>
          <w:sz w:val="20"/>
          <w:szCs w:val="20"/>
          <w:bdr w:val="none" w:sz="0" w:space="0" w:color="auto"/>
          <w:lang w:val="es-ES"/>
        </w:rPr>
        <w:t>”</w:t>
      </w:r>
      <w:r>
        <w:rPr>
          <w:rFonts w:asciiTheme="majorHAnsi" w:eastAsia="Times New Roman" w:hAnsiTheme="majorHAnsi"/>
          <w:bCs/>
          <w:sz w:val="20"/>
          <w:szCs w:val="20"/>
          <w:bdr w:val="none" w:sz="0" w:space="0" w:color="auto"/>
          <w:lang w:val="es-ES"/>
        </w:rPr>
        <w:t xml:space="preserve"> a un parámetro de </w:t>
      </w:r>
      <w:r w:rsidR="009B4536" w:rsidRPr="009D1E2F">
        <w:rPr>
          <w:rFonts w:asciiTheme="majorHAnsi" w:eastAsia="Times New Roman" w:hAnsiTheme="majorHAnsi"/>
          <w:bCs/>
          <w:sz w:val="20"/>
          <w:szCs w:val="20"/>
          <w:bdr w:val="none" w:sz="0" w:space="0" w:color="auto"/>
          <w:lang w:val="es-ES"/>
        </w:rPr>
        <w:t>“</w:t>
      </w:r>
      <w:r w:rsidR="00FB558C" w:rsidRPr="009D1E2F">
        <w:rPr>
          <w:rFonts w:asciiTheme="majorHAnsi" w:eastAsia="Times New Roman" w:hAnsiTheme="majorHAnsi"/>
          <w:bCs/>
          <w:sz w:val="20"/>
          <w:szCs w:val="20"/>
          <w:bdr w:val="none" w:sz="0" w:space="0" w:color="auto"/>
          <w:lang w:val="es-ES"/>
        </w:rPr>
        <w:t>delitos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intencionados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con</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consecuencias</w:t>
      </w:r>
      <w:r w:rsidR="00B059EC" w:rsidRPr="009D1E2F">
        <w:rPr>
          <w:rFonts w:asciiTheme="majorHAnsi" w:eastAsia="Times New Roman" w:hAnsiTheme="majorHAnsi"/>
          <w:bCs/>
          <w:sz w:val="20"/>
          <w:szCs w:val="20"/>
          <w:bdr w:val="none" w:sz="0" w:space="0" w:color="auto"/>
          <w:lang w:val="es-ES"/>
        </w:rPr>
        <w:t xml:space="preserve"> </w:t>
      </w:r>
      <w:r w:rsidR="00FB558C" w:rsidRPr="009D1E2F">
        <w:rPr>
          <w:rFonts w:asciiTheme="majorHAnsi" w:eastAsia="Times New Roman" w:hAnsiTheme="majorHAnsi"/>
          <w:bCs/>
          <w:sz w:val="20"/>
          <w:szCs w:val="20"/>
          <w:bdr w:val="none" w:sz="0" w:space="0" w:color="auto"/>
          <w:lang w:val="es-ES"/>
        </w:rPr>
        <w:t>letales</w:t>
      </w:r>
      <w:r w:rsidR="009B4536" w:rsidRPr="009D1E2F">
        <w:rPr>
          <w:rFonts w:asciiTheme="majorHAnsi" w:eastAsia="Times New Roman" w:hAnsiTheme="majorHAnsi"/>
          <w:bCs/>
          <w:sz w:val="20"/>
          <w:szCs w:val="20"/>
          <w:bdr w:val="none" w:sz="0" w:space="0" w:color="auto"/>
          <w:lang w:val="es-ES"/>
        </w:rPr>
        <w:t>”</w:t>
      </w:r>
      <w:r w:rsidR="009B4536" w:rsidRPr="009D1E2F">
        <w:rPr>
          <w:rStyle w:val="FootnoteReference"/>
          <w:rFonts w:asciiTheme="majorHAnsi" w:eastAsia="Times New Roman" w:hAnsiTheme="majorHAnsi"/>
          <w:bCs/>
          <w:sz w:val="20"/>
          <w:szCs w:val="20"/>
          <w:bdr w:val="none" w:sz="0" w:space="0" w:color="auto"/>
          <w:lang w:val="es-ES"/>
        </w:rPr>
        <w:footnoteReference w:id="56"/>
      </w:r>
      <w:r w:rsidR="00FB558C" w:rsidRPr="009D1E2F">
        <w:rPr>
          <w:rFonts w:asciiTheme="majorHAnsi" w:eastAsia="Times New Roman" w:hAnsiTheme="majorHAnsi"/>
          <w:bCs/>
          <w:sz w:val="20"/>
          <w:szCs w:val="20"/>
          <w:bdr w:val="none" w:sz="0" w:space="0" w:color="auto"/>
          <w:lang w:val="es-ES"/>
        </w:rPr>
        <w:t>.</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La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Oficina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del</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Alto</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Comisionado</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Derechos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Humanos</w:t>
      </w:r>
      <w:r w:rsidR="00B059EC" w:rsidRPr="009D1E2F">
        <w:rPr>
          <w:rFonts w:asciiTheme="majorHAnsi" w:eastAsia="Times New Roman" w:hAnsiTheme="majorHAnsi"/>
          <w:bCs/>
          <w:sz w:val="20"/>
          <w:szCs w:val="20"/>
          <w:bdr w:val="none" w:sz="0" w:space="0" w:color="auto"/>
          <w:lang w:val="es-ES"/>
        </w:rPr>
        <w:t xml:space="preserve"> </w:t>
      </w:r>
      <w:r w:rsidR="0086292E" w:rsidRPr="009D1E2F">
        <w:rPr>
          <w:rFonts w:asciiTheme="majorHAnsi" w:eastAsia="Times New Roman" w:hAnsiTheme="majorHAnsi"/>
          <w:bCs/>
          <w:sz w:val="20"/>
          <w:szCs w:val="20"/>
          <w:bdr w:val="none" w:sz="0" w:space="0" w:color="auto"/>
          <w:lang w:val="es-ES"/>
        </w:rPr>
        <w:t>ha</w:t>
      </w:r>
      <w:r w:rsidR="00CC42BF">
        <w:rPr>
          <w:rFonts w:asciiTheme="majorHAnsi" w:eastAsia="Times New Roman" w:hAnsiTheme="majorHAnsi"/>
          <w:bCs/>
          <w:sz w:val="20"/>
          <w:szCs w:val="20"/>
          <w:bdr w:val="none" w:sz="0" w:space="0" w:color="auto"/>
          <w:lang w:val="es-ES"/>
        </w:rPr>
        <w:t xml:space="preserve"> señalado también que</w:t>
      </w:r>
      <w:r w:rsidR="00B059EC" w:rsidRPr="009D1E2F">
        <w:rPr>
          <w:rFonts w:asciiTheme="majorHAnsi" w:eastAsia="Times New Roman" w:hAnsiTheme="majorHAnsi"/>
          <w:bCs/>
          <w:sz w:val="20"/>
          <w:szCs w:val="20"/>
          <w:bdr w:val="none" w:sz="0" w:space="0" w:color="auto"/>
          <w:lang w:val="es-ES"/>
        </w:rPr>
        <w:t xml:space="preserve"> </w:t>
      </w:r>
      <w:r w:rsidR="00E04093" w:rsidRPr="009D1E2F">
        <w:rPr>
          <w:rFonts w:asciiTheme="majorHAnsi" w:eastAsia="Times New Roman" w:hAnsiTheme="majorHAnsi"/>
          <w:bCs/>
          <w:sz w:val="20"/>
          <w:szCs w:val="20"/>
          <w:bdr w:val="none" w:sz="0" w:space="0" w:color="auto"/>
          <w:lang w:val="es-ES"/>
        </w:rPr>
        <w:t>“</w:t>
      </w:r>
      <w:r w:rsidR="00114D96" w:rsidRPr="009D1E2F">
        <w:rPr>
          <w:rFonts w:asciiTheme="majorHAnsi" w:eastAsia="Times New Roman" w:hAnsiTheme="majorHAnsi"/>
          <w:bCs/>
          <w:sz w:val="20"/>
          <w:szCs w:val="20"/>
          <w:bdr w:val="none" w:sz="0" w:space="0" w:color="auto"/>
          <w:lang w:val="es-ES"/>
        </w:rPr>
        <w:t>la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pena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muerte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sólo</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podrá</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imponerse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como</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sanción</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para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los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delitos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más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graves,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entendiéndose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que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su</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alcance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se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limitará</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a</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los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delitos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intencionales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que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tengan</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consecuencias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fatales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u</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otras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consecuencias</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extremadamente</w:t>
      </w:r>
      <w:r w:rsidR="00B059EC" w:rsidRPr="009D1E2F">
        <w:rPr>
          <w:rFonts w:asciiTheme="majorHAnsi" w:eastAsia="Times New Roman" w:hAnsiTheme="majorHAnsi"/>
          <w:bCs/>
          <w:sz w:val="20"/>
          <w:szCs w:val="20"/>
          <w:bdr w:val="none" w:sz="0" w:space="0" w:color="auto"/>
          <w:lang w:val="es-ES"/>
        </w:rPr>
        <w:t xml:space="preserve"> </w:t>
      </w:r>
      <w:r w:rsidR="00114D96" w:rsidRPr="009D1E2F">
        <w:rPr>
          <w:rFonts w:asciiTheme="majorHAnsi" w:eastAsia="Times New Roman" w:hAnsiTheme="majorHAnsi"/>
          <w:bCs/>
          <w:sz w:val="20"/>
          <w:szCs w:val="20"/>
          <w:bdr w:val="none" w:sz="0" w:space="0" w:color="auto"/>
          <w:lang w:val="es-ES"/>
        </w:rPr>
        <w:t>graves</w:t>
      </w:r>
      <w:r w:rsidR="00E04093" w:rsidRPr="009D1E2F">
        <w:rPr>
          <w:rFonts w:asciiTheme="majorHAnsi" w:eastAsia="Times New Roman" w:hAnsiTheme="majorHAnsi"/>
          <w:bCs/>
          <w:sz w:val="20"/>
          <w:szCs w:val="20"/>
          <w:bdr w:val="none" w:sz="0" w:space="0" w:color="auto"/>
          <w:lang w:val="es-ES"/>
        </w:rPr>
        <w:t>”</w:t>
      </w:r>
      <w:r w:rsidR="00E04093" w:rsidRPr="009D1E2F">
        <w:rPr>
          <w:rStyle w:val="FootnoteReference"/>
          <w:rFonts w:asciiTheme="majorHAnsi" w:eastAsia="Times New Roman" w:hAnsiTheme="majorHAnsi"/>
          <w:bCs/>
          <w:sz w:val="20"/>
          <w:szCs w:val="20"/>
          <w:bdr w:val="none" w:sz="0" w:space="0" w:color="auto"/>
          <w:lang w:val="es-ES"/>
        </w:rPr>
        <w:footnoteReference w:id="57"/>
      </w:r>
      <w:r w:rsidR="00114D96" w:rsidRPr="009D1E2F">
        <w:rPr>
          <w:rFonts w:asciiTheme="majorHAnsi" w:eastAsia="Times New Roman" w:hAnsiTheme="majorHAnsi"/>
          <w:bCs/>
          <w:sz w:val="20"/>
          <w:szCs w:val="20"/>
          <w:bdr w:val="none" w:sz="0" w:space="0" w:color="auto"/>
          <w:lang w:val="es-ES"/>
        </w:rPr>
        <w:t>.</w:t>
      </w:r>
      <w:r w:rsidR="00B059EC" w:rsidRPr="009D1E2F">
        <w:rPr>
          <w:rFonts w:asciiTheme="majorHAnsi" w:hAnsiTheme="majorHAnsi"/>
          <w:sz w:val="20"/>
          <w:szCs w:val="20"/>
          <w:lang w:val="es-ES"/>
        </w:rPr>
        <w:t xml:space="preserve"> </w:t>
      </w:r>
      <w:r w:rsidR="00CC42B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Comité</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Humanos</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Naciones</w:t>
      </w:r>
      <w:r w:rsidR="00B059EC" w:rsidRPr="009D1E2F">
        <w:rPr>
          <w:rFonts w:asciiTheme="majorHAnsi" w:hAnsiTheme="majorHAnsi"/>
          <w:sz w:val="20"/>
          <w:szCs w:val="20"/>
          <w:lang w:val="es-ES"/>
        </w:rPr>
        <w:t xml:space="preserve"> </w:t>
      </w:r>
      <w:r w:rsidR="00114D96" w:rsidRPr="009D1E2F">
        <w:rPr>
          <w:rFonts w:asciiTheme="majorHAnsi" w:hAnsiTheme="majorHAnsi"/>
          <w:sz w:val="20"/>
          <w:szCs w:val="20"/>
          <w:lang w:val="es-ES"/>
        </w:rPr>
        <w:t>Unidas</w:t>
      </w:r>
      <w:r w:rsidR="00A7757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CC42BF">
        <w:rPr>
          <w:rFonts w:asciiTheme="majorHAnsi" w:hAnsiTheme="majorHAnsi"/>
          <w:sz w:val="20"/>
          <w:szCs w:val="20"/>
          <w:lang w:val="es-ES"/>
        </w:rPr>
        <w:t xml:space="preserve">al referirse a la interpretación de </w:t>
      </w:r>
      <w:r w:rsidR="00A77577" w:rsidRPr="009D1E2F">
        <w:rPr>
          <w:rFonts w:asciiTheme="majorHAnsi" w:hAnsiTheme="majorHAnsi"/>
          <w:sz w:val="20"/>
          <w:szCs w:val="20"/>
          <w:lang w:val="es-ES"/>
        </w:rPr>
        <w:t>“</w:t>
      </w:r>
      <w:r w:rsidR="00114D96" w:rsidRPr="009D1E2F">
        <w:rPr>
          <w:rFonts w:asciiTheme="majorHAnsi" w:hAnsiTheme="majorHAnsi"/>
          <w:bCs/>
          <w:sz w:val="20"/>
          <w:szCs w:val="20"/>
          <w:lang w:val="es-ES"/>
        </w:rPr>
        <w:t>otras</w:t>
      </w:r>
      <w:r w:rsidR="00B059EC" w:rsidRPr="009D1E2F">
        <w:rPr>
          <w:rFonts w:asciiTheme="majorHAnsi" w:hAnsiTheme="majorHAnsi"/>
          <w:bCs/>
          <w:sz w:val="20"/>
          <w:szCs w:val="20"/>
          <w:lang w:val="es-ES"/>
        </w:rPr>
        <w:t xml:space="preserve"> </w:t>
      </w:r>
      <w:r w:rsidR="00114D96" w:rsidRPr="009D1E2F">
        <w:rPr>
          <w:rFonts w:asciiTheme="majorHAnsi" w:hAnsiTheme="majorHAnsi"/>
          <w:bCs/>
          <w:sz w:val="20"/>
          <w:szCs w:val="20"/>
          <w:lang w:val="es-ES"/>
        </w:rPr>
        <w:t>consecuencias</w:t>
      </w:r>
      <w:r w:rsidR="00B059EC" w:rsidRPr="009D1E2F">
        <w:rPr>
          <w:rFonts w:asciiTheme="majorHAnsi" w:hAnsiTheme="majorHAnsi"/>
          <w:bCs/>
          <w:sz w:val="20"/>
          <w:szCs w:val="20"/>
          <w:lang w:val="es-ES"/>
        </w:rPr>
        <w:t xml:space="preserve"> </w:t>
      </w:r>
      <w:r w:rsidR="00114D96" w:rsidRPr="009D1E2F">
        <w:rPr>
          <w:rFonts w:asciiTheme="majorHAnsi" w:hAnsiTheme="majorHAnsi"/>
          <w:bCs/>
          <w:sz w:val="20"/>
          <w:szCs w:val="20"/>
          <w:lang w:val="es-ES"/>
        </w:rPr>
        <w:t>extremadamente</w:t>
      </w:r>
      <w:r w:rsidR="00B059EC" w:rsidRPr="009D1E2F">
        <w:rPr>
          <w:rFonts w:asciiTheme="majorHAnsi" w:hAnsiTheme="majorHAnsi"/>
          <w:bCs/>
          <w:sz w:val="20"/>
          <w:szCs w:val="20"/>
          <w:lang w:val="es-ES"/>
        </w:rPr>
        <w:t xml:space="preserve"> </w:t>
      </w:r>
      <w:r w:rsidR="00114D96" w:rsidRPr="009D1E2F">
        <w:rPr>
          <w:rFonts w:asciiTheme="majorHAnsi" w:hAnsiTheme="majorHAnsi"/>
          <w:bCs/>
          <w:sz w:val="20"/>
          <w:szCs w:val="20"/>
          <w:lang w:val="es-ES"/>
        </w:rPr>
        <w:t>graves</w:t>
      </w:r>
      <w:r w:rsidR="00A77577" w:rsidRPr="009D1E2F">
        <w:rPr>
          <w:rFonts w:asciiTheme="majorHAnsi" w:hAnsiTheme="majorHAnsi"/>
          <w:sz w:val="20"/>
          <w:szCs w:val="20"/>
          <w:lang w:val="es-ES"/>
        </w:rPr>
        <w:t>”</w:t>
      </w:r>
      <w:r w:rsidR="00CC42BF">
        <w:rPr>
          <w:rFonts w:asciiTheme="majorHAnsi" w:hAnsiTheme="majorHAnsi"/>
          <w:sz w:val="20"/>
          <w:szCs w:val="20"/>
          <w:lang w:val="es-ES"/>
        </w:rPr>
        <w:t xml:space="preserve">, dijo que </w:t>
      </w:r>
      <w:r w:rsidR="00A77577" w:rsidRPr="009D1E2F">
        <w:rPr>
          <w:rFonts w:asciiTheme="majorHAnsi" w:hAnsiTheme="majorHAnsi"/>
          <w:sz w:val="20"/>
          <w:szCs w:val="20"/>
          <w:lang w:val="es-ES"/>
        </w:rPr>
        <w:t>“</w:t>
      </w:r>
      <w:r w:rsidR="004A6DEF" w:rsidRPr="009D1E2F">
        <w:rPr>
          <w:rFonts w:asciiTheme="majorHAnsi" w:hAnsiTheme="majorHAnsi"/>
          <w:sz w:val="20"/>
          <w:szCs w:val="20"/>
          <w:lang w:val="es-ES"/>
        </w:rPr>
        <w:t>debe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interpretarse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forma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restrictiva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sentido</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debe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constituir</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una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medida</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sumamente</w:t>
      </w:r>
      <w:r w:rsidR="00B059EC" w:rsidRPr="009D1E2F">
        <w:rPr>
          <w:rFonts w:asciiTheme="majorHAnsi" w:hAnsiTheme="majorHAnsi"/>
          <w:sz w:val="20"/>
          <w:szCs w:val="20"/>
          <w:lang w:val="es-ES"/>
        </w:rPr>
        <w:t xml:space="preserve"> </w:t>
      </w:r>
      <w:r w:rsidR="004A6DEF" w:rsidRPr="009D1E2F">
        <w:rPr>
          <w:rFonts w:asciiTheme="majorHAnsi" w:hAnsiTheme="majorHAnsi"/>
          <w:sz w:val="20"/>
          <w:szCs w:val="20"/>
          <w:lang w:val="es-ES"/>
        </w:rPr>
        <w:t>excepcional</w:t>
      </w:r>
      <w:r w:rsidR="00A77577" w:rsidRPr="009D1E2F">
        <w:rPr>
          <w:rFonts w:asciiTheme="majorHAnsi" w:hAnsiTheme="majorHAnsi"/>
          <w:sz w:val="20"/>
          <w:szCs w:val="20"/>
          <w:lang w:val="es-ES"/>
        </w:rPr>
        <w:t>”</w:t>
      </w:r>
      <w:r w:rsidR="004C4A47" w:rsidRPr="009D1E2F">
        <w:rPr>
          <w:rStyle w:val="FootnoteReference"/>
          <w:rFonts w:asciiTheme="majorHAnsi" w:hAnsiTheme="majorHAnsi"/>
          <w:sz w:val="20"/>
          <w:szCs w:val="20"/>
          <w:lang w:val="es-ES"/>
        </w:rPr>
        <w:footnoteReference w:id="58"/>
      </w:r>
      <w:r w:rsidR="004A6DEF" w:rsidRPr="009D1E2F">
        <w:rPr>
          <w:rFonts w:asciiTheme="majorHAnsi" w:hAnsiTheme="majorHAnsi"/>
          <w:sz w:val="20"/>
          <w:szCs w:val="20"/>
          <w:lang w:val="es-ES"/>
        </w:rPr>
        <w:t>.</w:t>
      </w:r>
    </w:p>
    <w:p w14:paraId="60F4EBC5" w14:textId="77777777" w:rsidR="003D3CD4" w:rsidRPr="009D1E2F" w:rsidRDefault="003D3CD4" w:rsidP="00817426">
      <w:pPr>
        <w:pStyle w:val="ListParagraph"/>
        <w:tabs>
          <w:tab w:val="left" w:pos="360"/>
        </w:tabs>
        <w:rPr>
          <w:rFonts w:asciiTheme="majorHAnsi" w:eastAsia="Times New Roman" w:hAnsiTheme="majorHAnsi"/>
          <w:sz w:val="20"/>
          <w:szCs w:val="20"/>
          <w:lang w:val="es-ES"/>
        </w:rPr>
      </w:pPr>
    </w:p>
    <w:p w14:paraId="2F05C9DF" w14:textId="77777777" w:rsidR="003D3CD4" w:rsidRPr="009D1E2F" w:rsidRDefault="00A8636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 xml:space="preserve">Un examen de la jurisprudencia </w:t>
      </w:r>
      <w:r w:rsidRPr="009D1E2F">
        <w:rPr>
          <w:rFonts w:asciiTheme="majorHAnsi" w:eastAsia="Times New Roman" w:hAnsiTheme="majorHAnsi"/>
          <w:sz w:val="20"/>
          <w:szCs w:val="20"/>
          <w:lang w:val="es-ES"/>
        </w:rPr>
        <w:t>internacional</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pertinente en materia de recursos </w:t>
      </w:r>
      <w:r w:rsidR="003D0A3F" w:rsidRPr="009D1E2F">
        <w:rPr>
          <w:rFonts w:asciiTheme="majorHAnsi" w:eastAsia="Times New Roman" w:hAnsiTheme="majorHAnsi"/>
          <w:sz w:val="20"/>
          <w:szCs w:val="20"/>
          <w:lang w:val="es-ES"/>
        </w:rPr>
        <w:t>human</w:t>
      </w:r>
      <w:r>
        <w:rPr>
          <w:rFonts w:asciiTheme="majorHAnsi" w:eastAsia="Times New Roman" w:hAnsiTheme="majorHAnsi"/>
          <w:sz w:val="20"/>
          <w:szCs w:val="20"/>
          <w:lang w:val="es-ES"/>
        </w:rPr>
        <w:t>os</w:t>
      </w:r>
      <w:r w:rsidR="00B059EC" w:rsidRPr="009D1E2F">
        <w:rPr>
          <w:rFonts w:asciiTheme="majorHAnsi" w:eastAsia="Times New Roman" w:hAnsiTheme="majorHAnsi"/>
          <w:sz w:val="20"/>
          <w:szCs w:val="20"/>
          <w:lang w:val="es-ES"/>
        </w:rPr>
        <w:t xml:space="preserve"> </w:t>
      </w:r>
      <w:r w:rsidR="003D0A3F" w:rsidRPr="009D1E2F">
        <w:rPr>
          <w:rFonts w:asciiTheme="majorHAnsi" w:eastAsia="Times New Roman" w:hAnsiTheme="majorHAnsi"/>
          <w:sz w:val="20"/>
          <w:szCs w:val="20"/>
          <w:lang w:val="es-ES"/>
        </w:rPr>
        <w:t>indica</w:t>
      </w:r>
      <w:r>
        <w:rPr>
          <w:rFonts w:asciiTheme="majorHAnsi" w:eastAsia="Times New Roman" w:hAnsiTheme="majorHAnsi"/>
          <w:sz w:val="20"/>
          <w:szCs w:val="20"/>
          <w:lang w:val="es-ES"/>
        </w:rPr>
        <w:t xml:space="preserve"> que, para cumplir la condición que limita la pena </w:t>
      </w:r>
      <w:r w:rsidR="003D0A3F" w:rsidRPr="009D1E2F">
        <w:rPr>
          <w:rFonts w:asciiTheme="majorHAnsi" w:eastAsia="Times New Roman" w:hAnsiTheme="majorHAnsi"/>
          <w:sz w:val="20"/>
          <w:szCs w:val="20"/>
          <w:lang w:val="es-ES"/>
        </w:rPr>
        <w:t>capital</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a los más graves delitos, es necesario tener en cuenta las circunstancias particulares d</w:t>
      </w:r>
      <w:r w:rsidR="00FE5000">
        <w:rPr>
          <w:rFonts w:asciiTheme="majorHAnsi" w:eastAsia="Times New Roman" w:hAnsiTheme="majorHAnsi"/>
          <w:sz w:val="20"/>
          <w:szCs w:val="20"/>
          <w:lang w:val="es-ES"/>
        </w:rPr>
        <w:t>el delincuente</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y de su delito para </w:t>
      </w:r>
      <w:r w:rsidR="003D0A3F" w:rsidRPr="009D1E2F">
        <w:rPr>
          <w:rFonts w:asciiTheme="majorHAnsi" w:eastAsia="Times New Roman" w:hAnsiTheme="majorHAnsi"/>
          <w:sz w:val="20"/>
          <w:szCs w:val="20"/>
          <w:lang w:val="es-ES"/>
        </w:rPr>
        <w:t>determin</w:t>
      </w:r>
      <w:r>
        <w:rPr>
          <w:rFonts w:asciiTheme="majorHAnsi" w:eastAsia="Times New Roman" w:hAnsiTheme="majorHAnsi"/>
          <w:sz w:val="20"/>
          <w:szCs w:val="20"/>
          <w:lang w:val="es-ES"/>
        </w:rPr>
        <w:t xml:space="preserve">ar si la </w:t>
      </w:r>
      <w:r w:rsidR="00817426" w:rsidRPr="009D1E2F">
        <w:rPr>
          <w:rFonts w:asciiTheme="majorHAnsi" w:eastAsia="Times New Roman" w:hAnsiTheme="majorHAnsi"/>
          <w:sz w:val="20"/>
          <w:szCs w:val="20"/>
          <w:lang w:val="es-ES"/>
        </w:rPr>
        <w:t>pena</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de</w:t>
      </w:r>
      <w:r w:rsidR="00B059EC" w:rsidRPr="009D1E2F">
        <w:rPr>
          <w:rFonts w:asciiTheme="majorHAnsi" w:eastAsia="Times New Roman" w:hAnsiTheme="majorHAnsi"/>
          <w:sz w:val="20"/>
          <w:szCs w:val="20"/>
          <w:lang w:val="es-ES"/>
        </w:rPr>
        <w:t xml:space="preserve"> </w:t>
      </w:r>
      <w:r w:rsidR="00817426" w:rsidRPr="009D1E2F">
        <w:rPr>
          <w:rFonts w:asciiTheme="majorHAnsi" w:eastAsia="Times New Roman" w:hAnsiTheme="majorHAnsi"/>
          <w:sz w:val="20"/>
          <w:szCs w:val="20"/>
          <w:lang w:val="es-ES"/>
        </w:rPr>
        <w:t>muerte</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es un</w:t>
      </w:r>
      <w:r w:rsidR="003D0A3F" w:rsidRPr="009D1E2F">
        <w:rPr>
          <w:rFonts w:asciiTheme="majorHAnsi" w:eastAsia="Times New Roman" w:hAnsiTheme="majorHAnsi"/>
          <w:sz w:val="20"/>
          <w:szCs w:val="20"/>
          <w:lang w:val="es-ES"/>
        </w:rPr>
        <w:t>a</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sanción permis</w:t>
      </w:r>
      <w:r w:rsidR="003D0A3F" w:rsidRPr="009D1E2F">
        <w:rPr>
          <w:rFonts w:asciiTheme="majorHAnsi" w:eastAsia="Times New Roman" w:hAnsiTheme="majorHAnsi"/>
          <w:sz w:val="20"/>
          <w:szCs w:val="20"/>
          <w:lang w:val="es-ES"/>
        </w:rPr>
        <w:t>ible</w:t>
      </w:r>
      <w:r>
        <w:rPr>
          <w:rFonts w:asciiTheme="majorHAnsi" w:eastAsia="Times New Roman" w:hAnsiTheme="majorHAnsi"/>
          <w:sz w:val="20"/>
          <w:szCs w:val="20"/>
          <w:lang w:val="es-ES"/>
        </w:rPr>
        <w:t xml:space="preserve"> en cada caso</w:t>
      </w:r>
      <w:r w:rsidR="003D0A3F" w:rsidRPr="009D1E2F">
        <w:rPr>
          <w:rStyle w:val="FootnoteReference"/>
          <w:rFonts w:asciiTheme="majorHAnsi" w:eastAsia="Times New Roman" w:hAnsiTheme="majorHAnsi"/>
          <w:sz w:val="20"/>
          <w:szCs w:val="20"/>
          <w:lang w:val="es-ES"/>
        </w:rPr>
        <w:footnoteReference w:id="59"/>
      </w:r>
      <w:r>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Entre los f</w:t>
      </w:r>
      <w:r w:rsidR="003D0A3F" w:rsidRPr="009D1E2F">
        <w:rPr>
          <w:rFonts w:asciiTheme="majorHAnsi" w:eastAsia="Times New Roman" w:hAnsiTheme="majorHAnsi"/>
          <w:sz w:val="20"/>
          <w:szCs w:val="20"/>
          <w:lang w:val="es-ES"/>
        </w:rPr>
        <w:t>actor</w:t>
      </w:r>
      <w:r>
        <w:rPr>
          <w:rFonts w:asciiTheme="majorHAnsi" w:eastAsia="Times New Roman" w:hAnsiTheme="majorHAnsi"/>
          <w:sz w:val="20"/>
          <w:szCs w:val="20"/>
          <w:lang w:val="es-ES"/>
        </w:rPr>
        <w:t>e</w:t>
      </w:r>
      <w:r w:rsidR="003D0A3F" w:rsidRPr="009D1E2F">
        <w:rPr>
          <w:rFonts w:asciiTheme="majorHAnsi" w:eastAsia="Times New Roman" w:hAnsiTheme="majorHAnsi"/>
          <w:sz w:val="20"/>
          <w:szCs w:val="20"/>
          <w:lang w:val="es-ES"/>
        </w:rPr>
        <w:t>s</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que deben tenerse en cuenta al </w:t>
      </w:r>
      <w:r w:rsidR="003D0A3F" w:rsidRPr="009D1E2F">
        <w:rPr>
          <w:rFonts w:asciiTheme="majorHAnsi" w:eastAsia="Times New Roman" w:hAnsiTheme="majorHAnsi"/>
          <w:sz w:val="20"/>
          <w:szCs w:val="20"/>
          <w:lang w:val="es-ES"/>
        </w:rPr>
        <w:t>determin</w:t>
      </w:r>
      <w:r>
        <w:rPr>
          <w:rFonts w:asciiTheme="majorHAnsi" w:eastAsia="Times New Roman" w:hAnsiTheme="majorHAnsi"/>
          <w:sz w:val="20"/>
          <w:szCs w:val="20"/>
          <w:lang w:val="es-ES"/>
        </w:rPr>
        <w:t xml:space="preserve">ar si un delito es de </w:t>
      </w:r>
      <w:r w:rsidR="0093050F">
        <w:rPr>
          <w:rFonts w:asciiTheme="majorHAnsi" w:eastAsia="Times New Roman" w:hAnsiTheme="majorHAnsi"/>
          <w:sz w:val="20"/>
          <w:szCs w:val="20"/>
          <w:lang w:val="es-ES"/>
        </w:rPr>
        <w:t>excepcional gravedad</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se encuentran la relación entre </w:t>
      </w:r>
      <w:r w:rsidR="00FE5000">
        <w:rPr>
          <w:rFonts w:asciiTheme="majorHAnsi" w:eastAsia="Times New Roman" w:hAnsiTheme="majorHAnsi"/>
          <w:sz w:val="20"/>
          <w:szCs w:val="20"/>
          <w:lang w:val="es-ES"/>
        </w:rPr>
        <w:t>el delincuente</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y</w:t>
      </w:r>
      <w:r w:rsidR="00B059EC" w:rsidRPr="009D1E2F">
        <w:rPr>
          <w:rFonts w:asciiTheme="majorHAnsi" w:eastAsia="Times New Roman" w:hAnsiTheme="majorHAnsi"/>
          <w:sz w:val="20"/>
          <w:szCs w:val="20"/>
          <w:lang w:val="es-ES"/>
        </w:rPr>
        <w:t xml:space="preserve"> </w:t>
      </w:r>
      <w:r w:rsidR="00C851B8">
        <w:rPr>
          <w:rFonts w:asciiTheme="majorHAnsi" w:eastAsia="Times New Roman" w:hAnsiTheme="majorHAnsi"/>
          <w:sz w:val="20"/>
          <w:szCs w:val="20"/>
          <w:lang w:val="es-ES"/>
        </w:rPr>
        <w:t>la víctima</w:t>
      </w:r>
      <w:r w:rsidR="003D0A3F"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los antecedentes penales de ambos, los motivos del comportamiento, la magnitud y la intensidad del daño causado, las circunstancias en las cuales se cometió el delito y los medios utilizados por </w:t>
      </w:r>
      <w:r w:rsidR="00FE5000">
        <w:rPr>
          <w:rFonts w:asciiTheme="majorHAnsi" w:eastAsia="Times New Roman" w:hAnsiTheme="majorHAnsi"/>
          <w:sz w:val="20"/>
          <w:szCs w:val="20"/>
          <w:lang w:val="es-ES"/>
        </w:rPr>
        <w:t>el delincuente</w:t>
      </w:r>
      <w:r w:rsidR="003D0A3F" w:rsidRPr="009D1E2F">
        <w:rPr>
          <w:rStyle w:val="FootnoteReference"/>
          <w:rFonts w:asciiTheme="majorHAnsi" w:eastAsia="Times New Roman" w:hAnsiTheme="majorHAnsi"/>
          <w:sz w:val="20"/>
          <w:szCs w:val="20"/>
          <w:lang w:val="es-ES"/>
        </w:rPr>
        <w:footnoteReference w:id="60"/>
      </w:r>
      <w:r>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0C1E39AB" w14:textId="77777777" w:rsidR="005A2217" w:rsidRPr="009D1E2F" w:rsidRDefault="005A2217" w:rsidP="00817426">
      <w:pPr>
        <w:pStyle w:val="ListParagraph"/>
        <w:rPr>
          <w:rFonts w:asciiTheme="majorHAnsi" w:hAnsiTheme="majorHAnsi"/>
          <w:sz w:val="20"/>
          <w:szCs w:val="20"/>
          <w:lang w:val="es-ES"/>
        </w:rPr>
      </w:pPr>
    </w:p>
    <w:p w14:paraId="7E971DCC" w14:textId="77777777" w:rsidR="005A2217" w:rsidRPr="009D1E2F" w:rsidRDefault="00A86365"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Por último</w:t>
      </w:r>
      <w:r w:rsidR="005A221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sidR="005A2217" w:rsidRPr="009D1E2F">
        <w:rPr>
          <w:rFonts w:asciiTheme="majorHAnsi" w:hAnsiTheme="majorHAnsi"/>
          <w:sz w:val="20"/>
          <w:szCs w:val="20"/>
          <w:lang w:val="es-ES"/>
        </w:rPr>
        <w:t>ha</w:t>
      </w:r>
      <w:r>
        <w:rPr>
          <w:rFonts w:asciiTheme="majorHAnsi" w:hAnsiTheme="majorHAnsi"/>
          <w:sz w:val="20"/>
          <w:szCs w:val="20"/>
          <w:lang w:val="es-ES"/>
        </w:rPr>
        <w:t xml:space="preserve"> demostrado que el derecho a las garantías </w:t>
      </w:r>
      <w:r w:rsidR="005A2217" w:rsidRPr="009D1E2F">
        <w:rPr>
          <w:rFonts w:asciiTheme="majorHAnsi" w:hAnsiTheme="majorHAnsi"/>
          <w:sz w:val="20"/>
          <w:szCs w:val="20"/>
          <w:lang w:val="es-ES"/>
        </w:rPr>
        <w:t>judicial</w:t>
      </w:r>
      <w:r>
        <w:rPr>
          <w:rFonts w:asciiTheme="majorHAnsi" w:hAnsiTheme="majorHAnsi"/>
          <w:sz w:val="20"/>
          <w:szCs w:val="20"/>
          <w:lang w:val="es-ES"/>
        </w:rPr>
        <w:t xml:space="preserve">es da lugar al </w:t>
      </w:r>
      <w:r w:rsidR="00D73F95" w:rsidRPr="009D1E2F">
        <w:rPr>
          <w:rFonts w:asciiTheme="majorHAnsi" w:hAnsiTheme="majorHAnsi"/>
          <w:sz w:val="20"/>
          <w:szCs w:val="20"/>
          <w:lang w:val="es-ES"/>
        </w:rPr>
        <w:t>deber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motivación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decisiones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judiciales</w:t>
      </w:r>
      <w:r w:rsidR="005A221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 xml:space="preserve">La </w:t>
      </w:r>
      <w:r w:rsidR="00D73F95" w:rsidRPr="009D1E2F">
        <w:rPr>
          <w:rFonts w:asciiTheme="majorHAnsi" w:hAnsiTheme="majorHAnsi"/>
          <w:sz w:val="20"/>
          <w:szCs w:val="20"/>
          <w:lang w:val="es-ES"/>
        </w:rPr>
        <w:t>motivación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exteriorización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justificación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razonada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permite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llegar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una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conclusión”</w:t>
      </w:r>
      <w:r w:rsidR="005A221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Este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deber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está</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vinculado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con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correcta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administración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justicia,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protege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derecho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ciudadanos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ser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juzgados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por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razones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d</w:t>
      </w:r>
      <w:r w:rsidR="00D73F95" w:rsidRPr="009D1E2F">
        <w:rPr>
          <w:rFonts w:asciiTheme="majorHAnsi" w:hAnsiTheme="majorHAnsi"/>
          <w:sz w:val="20"/>
          <w:szCs w:val="20"/>
          <w:lang w:val="es-ES"/>
        </w:rPr>
        <w:t>erecho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suministra,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 xml:space="preserve">da </w:t>
      </w:r>
      <w:r w:rsidR="00D73F95" w:rsidRPr="009D1E2F">
        <w:rPr>
          <w:rFonts w:asciiTheme="majorHAnsi" w:hAnsiTheme="majorHAnsi"/>
          <w:sz w:val="20"/>
          <w:szCs w:val="20"/>
          <w:lang w:val="es-ES"/>
        </w:rPr>
        <w:t>credibilidad</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decisiones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jurídicas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marco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una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sociedad</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democrática.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este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sentido,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argumentación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un</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fallo</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debe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mostrar</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 xml:space="preserve">se han tomado en cuenta </w:t>
      </w:r>
      <w:r w:rsidR="00D73F95" w:rsidRPr="009D1E2F">
        <w:rPr>
          <w:rFonts w:asciiTheme="majorHAnsi" w:hAnsiTheme="majorHAnsi"/>
          <w:sz w:val="20"/>
          <w:szCs w:val="20"/>
          <w:lang w:val="es-ES"/>
        </w:rPr>
        <w:t>debidamente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alegatos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partes</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se ha analizado el conjunto de</w:t>
      </w:r>
      <w:r w:rsidR="00B059EC" w:rsidRPr="009D1E2F">
        <w:rPr>
          <w:rFonts w:asciiTheme="majorHAnsi" w:hAnsiTheme="majorHAnsi"/>
          <w:sz w:val="20"/>
          <w:szCs w:val="20"/>
          <w:lang w:val="es-ES"/>
        </w:rPr>
        <w:t xml:space="preserve"> </w:t>
      </w:r>
      <w:r w:rsidR="00D73F95" w:rsidRPr="009D1E2F">
        <w:rPr>
          <w:rFonts w:asciiTheme="majorHAnsi" w:hAnsiTheme="majorHAnsi"/>
          <w:sz w:val="20"/>
          <w:szCs w:val="20"/>
          <w:lang w:val="es-ES"/>
        </w:rPr>
        <w:t>pruebas</w:t>
      </w:r>
      <w:r w:rsidR="005A221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Asimismo</w:t>
      </w:r>
      <w:r w:rsidR="005A221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casos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decisiones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s</w:t>
      </w:r>
      <w:r w:rsidR="00C45BFF">
        <w:rPr>
          <w:rFonts w:asciiTheme="majorHAnsi" w:hAnsiTheme="majorHAnsi"/>
          <w:sz w:val="20"/>
          <w:szCs w:val="20"/>
          <w:lang w:val="es-ES"/>
        </w:rPr>
        <w:t>ea</w:t>
      </w:r>
      <w:r w:rsidR="00305D93" w:rsidRPr="009D1E2F">
        <w:rPr>
          <w:rFonts w:asciiTheme="majorHAnsi" w:hAnsiTheme="majorHAnsi"/>
          <w:sz w:val="20"/>
          <w:szCs w:val="20"/>
          <w:lang w:val="es-ES"/>
        </w:rPr>
        <w:t>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recurribles,</w:t>
      </w:r>
      <w:r w:rsidR="00B059EC" w:rsidRPr="009D1E2F">
        <w:rPr>
          <w:rFonts w:asciiTheme="majorHAnsi" w:hAnsiTheme="majorHAnsi"/>
          <w:sz w:val="20"/>
          <w:szCs w:val="20"/>
          <w:lang w:val="es-ES"/>
        </w:rPr>
        <w:t xml:space="preserve"> </w:t>
      </w:r>
      <w:r w:rsidR="00C45BFF">
        <w:rPr>
          <w:rFonts w:asciiTheme="majorHAnsi" w:hAnsiTheme="majorHAnsi"/>
          <w:sz w:val="20"/>
          <w:szCs w:val="20"/>
          <w:lang w:val="es-ES"/>
        </w:rPr>
        <w:t xml:space="preserve">ofrece </w:t>
      </w:r>
      <w:r w:rsidR="00305D93"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posibilidad</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criticar</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resolución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lograr</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un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nuevo</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examen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cuestión</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ante</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instancias</w:t>
      </w:r>
      <w:r w:rsidR="00B059EC" w:rsidRPr="009D1E2F">
        <w:rPr>
          <w:rFonts w:asciiTheme="majorHAnsi" w:hAnsiTheme="majorHAnsi"/>
          <w:sz w:val="20"/>
          <w:szCs w:val="20"/>
          <w:lang w:val="es-ES"/>
        </w:rPr>
        <w:t xml:space="preserve"> </w:t>
      </w:r>
      <w:r w:rsidR="00305D93" w:rsidRPr="009D1E2F">
        <w:rPr>
          <w:rFonts w:asciiTheme="majorHAnsi" w:hAnsiTheme="majorHAnsi"/>
          <w:sz w:val="20"/>
          <w:szCs w:val="20"/>
          <w:lang w:val="es-ES"/>
        </w:rPr>
        <w:t>superiores</w:t>
      </w:r>
      <w:r w:rsidR="0079658B" w:rsidRPr="009D1E2F">
        <w:rPr>
          <w:rStyle w:val="FootnoteReference"/>
          <w:rFonts w:asciiTheme="majorHAnsi" w:hAnsiTheme="majorHAnsi"/>
          <w:sz w:val="20"/>
          <w:szCs w:val="20"/>
          <w:lang w:val="es-ES"/>
        </w:rPr>
        <w:footnoteReference w:id="61"/>
      </w:r>
      <w:r w:rsidR="00305D93" w:rsidRPr="009D1E2F">
        <w:rPr>
          <w:rFonts w:asciiTheme="majorHAnsi" w:hAnsiTheme="majorHAnsi"/>
          <w:sz w:val="20"/>
          <w:szCs w:val="20"/>
          <w:lang w:val="es-ES"/>
        </w:rPr>
        <w:t>.</w:t>
      </w:r>
      <w:r w:rsidR="00F776B4">
        <w:rPr>
          <w:rFonts w:asciiTheme="majorHAnsi" w:hAnsiTheme="majorHAnsi"/>
          <w:sz w:val="20"/>
          <w:szCs w:val="20"/>
          <w:lang w:val="es-ES"/>
        </w:rPr>
        <w:t xml:space="preserve"> </w:t>
      </w:r>
    </w:p>
    <w:p w14:paraId="065F22A9" w14:textId="77777777" w:rsidR="00F337EB" w:rsidRPr="009D1E2F" w:rsidRDefault="00F337EB" w:rsidP="00817426">
      <w:pPr>
        <w:tabs>
          <w:tab w:val="left" w:pos="360"/>
        </w:tabs>
        <w:rPr>
          <w:rFonts w:asciiTheme="majorHAnsi" w:hAnsiTheme="majorHAnsi"/>
          <w:sz w:val="20"/>
          <w:szCs w:val="20"/>
          <w:lang w:val="es-ES"/>
        </w:rPr>
      </w:pPr>
    </w:p>
    <w:p w14:paraId="332D663A" w14:textId="77777777" w:rsidR="002F62A9" w:rsidRDefault="002F62A9">
      <w:pPr>
        <w:rPr>
          <w:rFonts w:asciiTheme="majorHAnsi" w:eastAsiaTheme="majorEastAsia" w:hAnsiTheme="majorHAnsi" w:cstheme="majorBidi"/>
          <w:b/>
          <w:bCs/>
          <w:sz w:val="20"/>
          <w:szCs w:val="20"/>
          <w:lang w:val="es-ES"/>
        </w:rPr>
      </w:pPr>
      <w:bookmarkStart w:id="22" w:name="_Toc90284831"/>
      <w:r>
        <w:rPr>
          <w:sz w:val="20"/>
          <w:szCs w:val="20"/>
          <w:lang w:val="es-ES"/>
        </w:rPr>
        <w:br w:type="page"/>
      </w:r>
    </w:p>
    <w:p w14:paraId="0AC15124" w14:textId="68A5940B" w:rsidR="002D0ED4" w:rsidRPr="009D1E2F" w:rsidRDefault="000D6328" w:rsidP="00817426">
      <w:pPr>
        <w:pStyle w:val="Heading3"/>
        <w:keepNext w:val="0"/>
        <w:keepLines w:val="0"/>
        <w:numPr>
          <w:ilvl w:val="1"/>
          <w:numId w:val="53"/>
        </w:numPr>
        <w:spacing w:before="0"/>
        <w:ind w:left="360"/>
        <w:rPr>
          <w:color w:val="auto"/>
          <w:sz w:val="20"/>
          <w:szCs w:val="20"/>
          <w:lang w:val="es-ES"/>
        </w:rPr>
      </w:pPr>
      <w:r w:rsidRPr="009D1E2F">
        <w:rPr>
          <w:color w:val="auto"/>
          <w:sz w:val="20"/>
          <w:szCs w:val="20"/>
          <w:lang w:val="es-ES"/>
        </w:rPr>
        <w:lastRenderedPageBreak/>
        <w:t>Análisis</w:t>
      </w:r>
      <w:r w:rsidR="00B059EC" w:rsidRPr="009D1E2F">
        <w:rPr>
          <w:color w:val="auto"/>
          <w:sz w:val="20"/>
          <w:szCs w:val="20"/>
          <w:lang w:val="es-ES"/>
        </w:rPr>
        <w:t xml:space="preserve"> </w:t>
      </w:r>
      <w:r w:rsidRPr="009D1E2F">
        <w:rPr>
          <w:color w:val="auto"/>
          <w:sz w:val="20"/>
          <w:szCs w:val="20"/>
          <w:lang w:val="es-ES"/>
        </w:rPr>
        <w:t>del</w:t>
      </w:r>
      <w:r w:rsidR="00B059EC" w:rsidRPr="009D1E2F">
        <w:rPr>
          <w:color w:val="auto"/>
          <w:sz w:val="20"/>
          <w:szCs w:val="20"/>
          <w:lang w:val="es-ES"/>
        </w:rPr>
        <w:t xml:space="preserve"> </w:t>
      </w:r>
      <w:r w:rsidRPr="009D1E2F">
        <w:rPr>
          <w:color w:val="auto"/>
          <w:sz w:val="20"/>
          <w:szCs w:val="20"/>
          <w:lang w:val="es-ES"/>
        </w:rPr>
        <w:t>caso</w:t>
      </w:r>
      <w:bookmarkEnd w:id="22"/>
    </w:p>
    <w:p w14:paraId="355277D8" w14:textId="77777777" w:rsidR="002D0ED4" w:rsidRPr="009D1E2F" w:rsidRDefault="002D0ED4" w:rsidP="00817426">
      <w:pPr>
        <w:tabs>
          <w:tab w:val="left" w:pos="360"/>
        </w:tabs>
        <w:rPr>
          <w:rFonts w:asciiTheme="majorHAnsi" w:hAnsiTheme="majorHAnsi"/>
          <w:sz w:val="20"/>
          <w:szCs w:val="20"/>
          <w:lang w:val="es-ES"/>
        </w:rPr>
      </w:pPr>
    </w:p>
    <w:p w14:paraId="37CC61ED" w14:textId="77777777" w:rsidR="00F642A9" w:rsidRPr="009D1E2F" w:rsidRDefault="00E601E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Según el expediente de</w:t>
      </w:r>
      <w:r w:rsidR="0097061F">
        <w:rPr>
          <w:rFonts w:asciiTheme="majorHAnsi" w:hAnsiTheme="majorHAnsi"/>
          <w:sz w:val="20"/>
          <w:szCs w:val="20"/>
          <w:lang w:val="es-ES"/>
        </w:rPr>
        <w:t>l proceso interno, el día de los hechos</w:t>
      </w:r>
      <w:r>
        <w:rPr>
          <w:rFonts w:asciiTheme="majorHAnsi" w:hAnsiTheme="majorHAnsi"/>
          <w:sz w:val="20"/>
          <w:szCs w:val="20"/>
          <w:lang w:val="es-ES"/>
        </w:rPr>
        <w:t xml:space="preserve"> que llevaron a la condena</w:t>
      </w:r>
      <w:r w:rsidR="00A92AB3"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proofErr w:type="spellStart"/>
      <w:r w:rsidR="00F642A9" w:rsidRPr="009D1E2F">
        <w:rPr>
          <w:rFonts w:asciiTheme="majorHAnsi" w:hAnsiTheme="majorHAnsi"/>
          <w:sz w:val="20"/>
          <w:szCs w:val="20"/>
          <w:lang w:val="es-ES"/>
        </w:rPr>
        <w:t>Marlin</w:t>
      </w:r>
      <w:proofErr w:type="spellEnd"/>
      <w:r w:rsidR="00B059EC" w:rsidRPr="009D1E2F">
        <w:rPr>
          <w:rFonts w:asciiTheme="majorHAnsi" w:hAnsiTheme="majorHAnsi"/>
          <w:sz w:val="20"/>
          <w:szCs w:val="20"/>
          <w:lang w:val="es-ES"/>
        </w:rPr>
        <w:t xml:space="preserve"> </w:t>
      </w:r>
      <w:r w:rsidR="00F642A9"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y tres de sus amigos se encontraron con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proofErr w:type="spellStart"/>
      <w:r w:rsidR="007700F7" w:rsidRPr="009D1E2F">
        <w:rPr>
          <w:rFonts w:asciiTheme="majorHAnsi" w:hAnsiTheme="majorHAnsi"/>
          <w:sz w:val="20"/>
          <w:szCs w:val="20"/>
          <w:lang w:val="es-ES"/>
        </w:rPr>
        <w:t>Cummins</w:t>
      </w:r>
      <w:proofErr w:type="spellEnd"/>
      <w:r w:rsidR="00B059EC" w:rsidRPr="009D1E2F">
        <w:rPr>
          <w:rFonts w:asciiTheme="majorHAnsi" w:hAnsiTheme="majorHAnsi"/>
          <w:sz w:val="20"/>
          <w:szCs w:val="20"/>
          <w:lang w:val="es-ES"/>
        </w:rPr>
        <w:t xml:space="preserve"> </w:t>
      </w:r>
      <w:r>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009F3654"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009F3654" w:rsidRPr="009D1E2F">
        <w:rPr>
          <w:rFonts w:asciiTheme="majorHAnsi" w:hAnsiTheme="majorHAnsi"/>
          <w:sz w:val="20"/>
          <w:szCs w:val="20"/>
          <w:lang w:val="es-ES"/>
        </w:rPr>
        <w:t>hermanas</w:t>
      </w:r>
      <w:r w:rsidR="00B059EC" w:rsidRPr="009D1E2F">
        <w:rPr>
          <w:rFonts w:asciiTheme="majorHAnsi" w:hAnsiTheme="majorHAnsi"/>
          <w:sz w:val="20"/>
          <w:szCs w:val="20"/>
          <w:lang w:val="es-ES"/>
        </w:rPr>
        <w:t xml:space="preserve"> </w:t>
      </w:r>
      <w:r w:rsidR="009F3654" w:rsidRPr="009D1E2F">
        <w:rPr>
          <w:rFonts w:asciiTheme="majorHAnsi" w:hAnsiTheme="majorHAnsi"/>
          <w:sz w:val="20"/>
          <w:szCs w:val="20"/>
          <w:lang w:val="es-ES"/>
        </w:rPr>
        <w:t>Kerry</w:t>
      </w:r>
      <w:r w:rsidR="007700F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7700F7"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Pr>
          <w:rFonts w:asciiTheme="majorHAnsi" w:hAnsiTheme="majorHAnsi"/>
          <w:sz w:val="20"/>
          <w:szCs w:val="20"/>
          <w:lang w:val="es-ES"/>
        </w:rPr>
        <w:t>asaltó a</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proofErr w:type="spellStart"/>
      <w:r w:rsidR="00671CE4" w:rsidRPr="009D1E2F">
        <w:rPr>
          <w:rFonts w:asciiTheme="majorHAnsi" w:hAnsiTheme="majorHAnsi"/>
          <w:sz w:val="20"/>
          <w:szCs w:val="20"/>
          <w:lang w:val="es-ES"/>
        </w:rPr>
        <w:t>Cummins</w:t>
      </w:r>
      <w:proofErr w:type="spellEnd"/>
      <w:r w:rsidR="00B059EC" w:rsidRPr="009D1E2F">
        <w:rPr>
          <w:rFonts w:asciiTheme="majorHAnsi" w:hAnsiTheme="majorHAnsi"/>
          <w:sz w:val="20"/>
          <w:szCs w:val="20"/>
          <w:lang w:val="es-ES"/>
        </w:rPr>
        <w:t xml:space="preserve"> </w:t>
      </w:r>
      <w:r>
        <w:rPr>
          <w:rFonts w:asciiTheme="majorHAnsi" w:hAnsiTheme="majorHAnsi"/>
          <w:sz w:val="20"/>
          <w:szCs w:val="20"/>
          <w:lang w:val="es-ES"/>
        </w:rPr>
        <w:t>y violó a una de las hermanas. Después, R</w:t>
      </w:r>
      <w:r w:rsidR="007700F7" w:rsidRPr="009D1E2F">
        <w:rPr>
          <w:rFonts w:asciiTheme="majorHAnsi" w:hAnsiTheme="majorHAnsi"/>
          <w:sz w:val="20"/>
          <w:szCs w:val="20"/>
          <w:lang w:val="es-ES"/>
        </w:rPr>
        <w:t>ichardson,</w:t>
      </w:r>
      <w:r w:rsidR="00B059EC" w:rsidRPr="009D1E2F">
        <w:rPr>
          <w:rFonts w:asciiTheme="majorHAnsi" w:hAnsiTheme="majorHAnsi"/>
          <w:sz w:val="20"/>
          <w:szCs w:val="20"/>
          <w:lang w:val="es-ES"/>
        </w:rPr>
        <w:t xml:space="preserve"> </w:t>
      </w:r>
      <w:r>
        <w:rPr>
          <w:rFonts w:asciiTheme="majorHAnsi" w:hAnsiTheme="majorHAnsi"/>
          <w:sz w:val="20"/>
          <w:szCs w:val="20"/>
          <w:lang w:val="es-ES"/>
        </w:rPr>
        <w:t>uno de los amigos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7700F7" w:rsidRPr="009D1E2F">
        <w:rPr>
          <w:rFonts w:asciiTheme="majorHAnsi" w:hAnsiTheme="majorHAnsi"/>
          <w:sz w:val="20"/>
          <w:szCs w:val="20"/>
          <w:lang w:val="es-ES"/>
        </w:rPr>
        <w:t>Gray</w:t>
      </w:r>
      <w:r>
        <w:rPr>
          <w:rFonts w:asciiTheme="majorHAnsi" w:hAnsiTheme="majorHAnsi"/>
          <w:sz w:val="20"/>
          <w:szCs w:val="20"/>
          <w:lang w:val="es-ES"/>
        </w:rPr>
        <w:t xml:space="preserve">, empujó a las hermanas al río y le dijo al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proofErr w:type="spellStart"/>
      <w:r w:rsidR="007700F7" w:rsidRPr="009D1E2F">
        <w:rPr>
          <w:rFonts w:asciiTheme="majorHAnsi" w:hAnsiTheme="majorHAnsi"/>
          <w:sz w:val="20"/>
          <w:szCs w:val="20"/>
          <w:lang w:val="es-ES"/>
        </w:rPr>
        <w:t>Cummins</w:t>
      </w:r>
      <w:proofErr w:type="spellEnd"/>
      <w:r w:rsidR="00B059EC" w:rsidRPr="009D1E2F">
        <w:rPr>
          <w:rFonts w:asciiTheme="majorHAnsi" w:hAnsiTheme="majorHAnsi"/>
          <w:sz w:val="20"/>
          <w:szCs w:val="20"/>
          <w:lang w:val="es-ES"/>
        </w:rPr>
        <w:t xml:space="preserve"> </w:t>
      </w:r>
      <w:r>
        <w:rPr>
          <w:rFonts w:asciiTheme="majorHAnsi" w:hAnsiTheme="majorHAnsi"/>
          <w:sz w:val="20"/>
          <w:szCs w:val="20"/>
          <w:lang w:val="es-ES"/>
        </w:rPr>
        <w:t>que saltara</w:t>
      </w:r>
      <w:r w:rsidR="007700F7"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E</w:t>
      </w:r>
      <w:r w:rsidR="000E2468" w:rsidRPr="009D1E2F">
        <w:rPr>
          <w:rFonts w:asciiTheme="majorHAnsi" w:hAnsiTheme="majorHAnsi"/>
          <w:sz w:val="20"/>
          <w:szCs w:val="20"/>
          <w:lang w:val="es-ES"/>
        </w:rPr>
        <w:t>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5134DB" w:rsidRPr="009D1E2F">
        <w:rPr>
          <w:rFonts w:asciiTheme="majorHAnsi" w:hAnsiTheme="majorHAnsi"/>
          <w:sz w:val="20"/>
          <w:szCs w:val="20"/>
          <w:lang w:val="es-ES"/>
        </w:rPr>
        <w:t>Gray</w:t>
      </w:r>
      <w:r w:rsidR="00B80183"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D2003D">
        <w:rPr>
          <w:rFonts w:asciiTheme="majorHAnsi" w:hAnsiTheme="majorHAnsi"/>
          <w:sz w:val="20"/>
          <w:szCs w:val="20"/>
          <w:lang w:val="es-ES"/>
        </w:rPr>
        <w:t xml:space="preserve">un delincuente primario, fue condenado a muerte tras ser declarado culpable de dos cargos de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B059EC" w:rsidRPr="009D1E2F">
        <w:rPr>
          <w:rFonts w:asciiTheme="majorHAnsi" w:hAnsiTheme="majorHAnsi"/>
          <w:sz w:val="20"/>
          <w:szCs w:val="20"/>
          <w:lang w:val="es-ES"/>
        </w:rPr>
        <w:t xml:space="preserve"> </w:t>
      </w:r>
      <w:r w:rsidR="00D2003D">
        <w:rPr>
          <w:rFonts w:asciiTheme="majorHAnsi" w:hAnsiTheme="majorHAnsi"/>
          <w:sz w:val="20"/>
          <w:szCs w:val="20"/>
          <w:lang w:val="es-ES"/>
        </w:rPr>
        <w:t>y de otros delitos mayores</w:t>
      </w:r>
      <w:r w:rsidR="005134DB"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D2003D">
        <w:rPr>
          <w:rFonts w:asciiTheme="majorHAnsi" w:hAnsiTheme="majorHAnsi"/>
          <w:sz w:val="20"/>
          <w:szCs w:val="20"/>
          <w:lang w:val="es-ES"/>
        </w:rPr>
        <w:t xml:space="preserve">La condena y la sentencia fueron ratificadas por los tribunales de apelación y en la etapa </w:t>
      </w:r>
      <w:proofErr w:type="spellStart"/>
      <w:r w:rsidR="00D2003D">
        <w:rPr>
          <w:rFonts w:asciiTheme="majorHAnsi" w:hAnsiTheme="majorHAnsi"/>
          <w:sz w:val="20"/>
          <w:szCs w:val="20"/>
          <w:lang w:val="es-ES"/>
        </w:rPr>
        <w:t>poscondenatoria</w:t>
      </w:r>
      <w:proofErr w:type="spellEnd"/>
      <w:r w:rsidR="00483B03" w:rsidRPr="009D1E2F">
        <w:rPr>
          <w:rFonts w:asciiTheme="majorHAnsi" w:hAnsiTheme="majorHAnsi"/>
          <w:sz w:val="20"/>
          <w:szCs w:val="20"/>
          <w:lang w:val="es-ES"/>
        </w:rPr>
        <w:t>.</w:t>
      </w:r>
    </w:p>
    <w:p w14:paraId="36D58D60" w14:textId="77777777" w:rsidR="00483B03" w:rsidRPr="009D1E2F" w:rsidRDefault="00483B03" w:rsidP="00817426">
      <w:pPr>
        <w:pStyle w:val="ListParagraph"/>
        <w:rPr>
          <w:rFonts w:asciiTheme="majorHAnsi" w:hAnsiTheme="majorHAnsi"/>
          <w:sz w:val="20"/>
          <w:szCs w:val="20"/>
          <w:lang w:val="es-ES"/>
        </w:rPr>
      </w:pPr>
    </w:p>
    <w:p w14:paraId="399D7245" w14:textId="77777777" w:rsidR="000564D3" w:rsidRPr="009D1E2F" w:rsidRDefault="00305D93"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Comisión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reitera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no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competente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para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revisar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sentencias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emitidas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por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tribunales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nacionales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actúan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ámbitos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competencia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y</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debidas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garantías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judiciales.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principio,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debe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no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tiene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autoridad</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para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superponer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propias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interpretaciones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sobre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evaluación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hechos</w:t>
      </w:r>
      <w:r w:rsidR="00B059EC" w:rsidRPr="009D1E2F">
        <w:rPr>
          <w:rFonts w:asciiTheme="majorHAnsi" w:hAnsiTheme="majorHAnsi"/>
          <w:sz w:val="20"/>
          <w:szCs w:val="20"/>
          <w:lang w:val="es-ES"/>
        </w:rPr>
        <w:t xml:space="preserve"> </w:t>
      </w:r>
      <w:r w:rsidR="00E601ED">
        <w:rPr>
          <w:rFonts w:asciiTheme="majorHAnsi" w:hAnsiTheme="majorHAnsi"/>
          <w:sz w:val="20"/>
          <w:szCs w:val="20"/>
          <w:lang w:val="es-ES"/>
        </w:rPr>
        <w:t>efectuada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por</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tribunales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nacionales.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Sin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embargo,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fórmula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cuarta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instancia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no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impide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Comisión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considere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un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caso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cual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alegatos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del</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peticionario</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conllevan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una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posible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violación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cualquiera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derechos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establecidos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Declaración.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Esta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autoridad</w:t>
      </w:r>
      <w:r w:rsidR="00B059EC" w:rsidRPr="009D1E2F">
        <w:rPr>
          <w:rFonts w:asciiTheme="majorHAnsi" w:hAnsiTheme="majorHAnsi"/>
          <w:sz w:val="20"/>
          <w:szCs w:val="20"/>
          <w:lang w:val="es-ES"/>
        </w:rPr>
        <w:t xml:space="preserve"> </w:t>
      </w:r>
      <w:r w:rsidR="00122481">
        <w:rPr>
          <w:rFonts w:asciiTheme="majorHAnsi" w:hAnsiTheme="majorHAnsi"/>
          <w:sz w:val="20"/>
          <w:szCs w:val="20"/>
          <w:lang w:val="es-ES"/>
        </w:rPr>
        <w:t xml:space="preserve">es mayor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casos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implican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imposición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dada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irreversibilidad</w:t>
      </w:r>
      <w:r w:rsidR="000564D3" w:rsidRPr="009D1E2F">
        <w:rPr>
          <w:rStyle w:val="FootnoteReference"/>
          <w:rFonts w:asciiTheme="majorHAnsi" w:hAnsiTheme="majorHAnsi"/>
          <w:sz w:val="20"/>
          <w:szCs w:val="20"/>
          <w:lang w:val="es-ES"/>
        </w:rPr>
        <w:footnoteReference w:id="62"/>
      </w:r>
      <w:r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DD4FE2">
        <w:rPr>
          <w:rFonts w:asciiTheme="majorHAnsi" w:hAnsiTheme="majorHAnsi"/>
          <w:sz w:val="20"/>
          <w:szCs w:val="20"/>
          <w:lang w:val="es-ES"/>
        </w:rPr>
        <w:t>Por lo tanto</w:t>
      </w:r>
      <w:r w:rsidR="000564D3"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debe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cerciorarse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toda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denegación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vida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que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surja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aplicación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cumpla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estrictamente</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requisitos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enunciados</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Declaración</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Americana</w:t>
      </w:r>
      <w:r w:rsidR="000564D3" w:rsidRPr="009D1E2F">
        <w:rPr>
          <w:rStyle w:val="FootnoteReference"/>
          <w:rFonts w:asciiTheme="majorHAnsi" w:hAnsiTheme="majorHAnsi"/>
          <w:sz w:val="20"/>
          <w:szCs w:val="20"/>
          <w:lang w:val="es-ES"/>
        </w:rPr>
        <w:footnoteReference w:id="63"/>
      </w:r>
      <w:r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68358519" w14:textId="77777777" w:rsidR="000E6C43" w:rsidRPr="009D1E2F" w:rsidRDefault="000E6C43" w:rsidP="00817426">
      <w:pPr>
        <w:pStyle w:val="ListParagraph"/>
        <w:rPr>
          <w:rFonts w:asciiTheme="majorHAnsi" w:hAnsiTheme="majorHAnsi"/>
          <w:sz w:val="20"/>
          <w:szCs w:val="20"/>
          <w:lang w:val="es-ES"/>
        </w:rPr>
      </w:pPr>
    </w:p>
    <w:p w14:paraId="68400D96" w14:textId="77777777" w:rsidR="000E6C43"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Pr="009D1E2F">
        <w:rPr>
          <w:rFonts w:asciiTheme="majorHAnsi" w:hAnsiTheme="majorHAnsi"/>
          <w:sz w:val="20"/>
          <w:szCs w:val="20"/>
          <w:lang w:val="es-ES"/>
        </w:rPr>
        <w:t>Comisión</w:t>
      </w:r>
      <w:r w:rsidR="00B059EC" w:rsidRPr="009D1E2F">
        <w:rPr>
          <w:rFonts w:asciiTheme="majorHAnsi" w:hAnsiTheme="majorHAnsi"/>
          <w:sz w:val="20"/>
          <w:szCs w:val="20"/>
          <w:lang w:val="es-ES"/>
        </w:rPr>
        <w:t xml:space="preserve"> </w:t>
      </w:r>
      <w:r w:rsidR="000E6C43" w:rsidRPr="009D1E2F">
        <w:rPr>
          <w:rFonts w:asciiTheme="majorHAnsi" w:hAnsiTheme="majorHAnsi"/>
          <w:sz w:val="20"/>
          <w:szCs w:val="20"/>
          <w:lang w:val="es-ES"/>
        </w:rPr>
        <w:t>determin</w:t>
      </w:r>
      <w:r w:rsidR="00610874">
        <w:rPr>
          <w:rFonts w:asciiTheme="majorHAnsi" w:hAnsiTheme="majorHAnsi"/>
          <w:sz w:val="20"/>
          <w:szCs w:val="20"/>
          <w:lang w:val="es-ES"/>
        </w:rPr>
        <w:t>ará</w:t>
      </w:r>
      <w:r w:rsidR="00CA01A3">
        <w:rPr>
          <w:rFonts w:asciiTheme="majorHAnsi" w:hAnsiTheme="majorHAnsi"/>
          <w:sz w:val="20"/>
          <w:szCs w:val="20"/>
          <w:lang w:val="es-ES"/>
        </w:rPr>
        <w:t xml:space="preserve"> a continuación</w:t>
      </w:r>
      <w:r w:rsidR="00610874">
        <w:rPr>
          <w:rFonts w:asciiTheme="majorHAnsi" w:hAnsiTheme="majorHAnsi"/>
          <w:sz w:val="20"/>
          <w:szCs w:val="20"/>
          <w:lang w:val="es-ES"/>
        </w:rPr>
        <w:t xml:space="preserve"> si, en el caso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0E6C43" w:rsidRPr="009D1E2F">
        <w:rPr>
          <w:rFonts w:asciiTheme="majorHAnsi" w:hAnsiTheme="majorHAnsi"/>
          <w:sz w:val="20"/>
          <w:szCs w:val="20"/>
          <w:lang w:val="es-ES"/>
        </w:rPr>
        <w:t>Gray</w:t>
      </w:r>
      <w:r w:rsidR="00610874">
        <w:rPr>
          <w:rFonts w:asciiTheme="majorHAnsi" w:hAnsiTheme="majorHAnsi"/>
          <w:sz w:val="20"/>
          <w:szCs w:val="20"/>
          <w:lang w:val="es-ES"/>
        </w:rPr>
        <w:t xml:space="preserve">,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00912DC0">
        <w:rPr>
          <w:rFonts w:asciiTheme="majorHAnsi" w:hAnsiTheme="majorHAnsi"/>
          <w:sz w:val="20"/>
          <w:szCs w:val="20"/>
          <w:lang w:val="es-ES"/>
        </w:rPr>
        <w:t>se aplicó de conformidad con lo</w:t>
      </w:r>
      <w:r w:rsidR="00610874">
        <w:rPr>
          <w:rFonts w:asciiTheme="majorHAnsi" w:hAnsiTheme="majorHAnsi"/>
          <w:sz w:val="20"/>
          <w:szCs w:val="20"/>
          <w:lang w:val="es-ES"/>
        </w:rPr>
        <w:t xml:space="preserve">s </w:t>
      </w:r>
      <w:r w:rsidR="00912DC0">
        <w:rPr>
          <w:rFonts w:asciiTheme="majorHAnsi" w:hAnsiTheme="majorHAnsi"/>
          <w:sz w:val="20"/>
          <w:szCs w:val="20"/>
          <w:lang w:val="es-ES"/>
        </w:rPr>
        <w:t>mencionado</w:t>
      </w:r>
      <w:r w:rsidR="0097061F">
        <w:rPr>
          <w:rFonts w:asciiTheme="majorHAnsi" w:hAnsiTheme="majorHAnsi"/>
          <w:sz w:val="20"/>
          <w:szCs w:val="20"/>
          <w:lang w:val="es-ES"/>
        </w:rPr>
        <w:t xml:space="preserve">s </w:t>
      </w:r>
      <w:r w:rsidR="00912DC0">
        <w:rPr>
          <w:rFonts w:asciiTheme="majorHAnsi" w:hAnsiTheme="majorHAnsi"/>
          <w:sz w:val="20"/>
          <w:szCs w:val="20"/>
          <w:lang w:val="es-ES"/>
        </w:rPr>
        <w:t>estándares</w:t>
      </w:r>
      <w:r w:rsidR="00B059EC" w:rsidRPr="009D1E2F">
        <w:rPr>
          <w:rFonts w:asciiTheme="majorHAnsi" w:hAnsiTheme="majorHAnsi"/>
          <w:sz w:val="20"/>
          <w:szCs w:val="20"/>
          <w:lang w:val="es-ES"/>
        </w:rPr>
        <w:t xml:space="preserve"> </w:t>
      </w:r>
      <w:r w:rsidR="000E6C43" w:rsidRPr="009D1E2F">
        <w:rPr>
          <w:rFonts w:asciiTheme="majorHAnsi" w:hAnsiTheme="majorHAnsi"/>
          <w:sz w:val="20"/>
          <w:szCs w:val="20"/>
          <w:lang w:val="es-ES"/>
        </w:rPr>
        <w:t>inter</w:t>
      </w:r>
      <w:r w:rsidR="00610874">
        <w:rPr>
          <w:rFonts w:asciiTheme="majorHAnsi" w:hAnsiTheme="majorHAnsi"/>
          <w:sz w:val="20"/>
          <w:szCs w:val="20"/>
          <w:lang w:val="es-ES"/>
        </w:rPr>
        <w:t>a</w:t>
      </w:r>
      <w:r w:rsidR="000E6C43" w:rsidRPr="009D1E2F">
        <w:rPr>
          <w:rFonts w:asciiTheme="majorHAnsi" w:hAnsiTheme="majorHAnsi"/>
          <w:sz w:val="20"/>
          <w:szCs w:val="20"/>
          <w:lang w:val="es-ES"/>
        </w:rPr>
        <w:t>merican</w:t>
      </w:r>
      <w:r w:rsidR="00912DC0">
        <w:rPr>
          <w:rFonts w:asciiTheme="majorHAnsi" w:hAnsiTheme="majorHAnsi"/>
          <w:sz w:val="20"/>
          <w:szCs w:val="20"/>
          <w:lang w:val="es-ES"/>
        </w:rPr>
        <w:t>o</w:t>
      </w:r>
      <w:r w:rsidR="00610874">
        <w:rPr>
          <w:rFonts w:asciiTheme="majorHAnsi" w:hAnsiTheme="majorHAnsi"/>
          <w:sz w:val="20"/>
          <w:szCs w:val="20"/>
          <w:lang w:val="es-ES"/>
        </w:rPr>
        <w:t>s</w:t>
      </w:r>
      <w:r w:rsidR="00B059EC" w:rsidRPr="009D1E2F">
        <w:rPr>
          <w:rFonts w:asciiTheme="majorHAnsi" w:hAnsiTheme="majorHAnsi"/>
          <w:sz w:val="20"/>
          <w:szCs w:val="20"/>
          <w:lang w:val="es-ES"/>
        </w:rPr>
        <w:t xml:space="preserve"> </w:t>
      </w:r>
      <w:r w:rsidR="00610874">
        <w:rPr>
          <w:rFonts w:asciiTheme="majorHAnsi" w:hAnsiTheme="majorHAnsi"/>
          <w:sz w:val="20"/>
          <w:szCs w:val="20"/>
          <w:lang w:val="es-ES"/>
        </w:rPr>
        <w:t>e internacionales y, e</w:t>
      </w:r>
      <w:r w:rsidR="000E6C43" w:rsidRPr="009D1E2F">
        <w:rPr>
          <w:rFonts w:asciiTheme="majorHAnsi" w:hAnsiTheme="majorHAnsi"/>
          <w:sz w:val="20"/>
          <w:szCs w:val="20"/>
          <w:lang w:val="es-ES"/>
        </w:rPr>
        <w:t>n</w:t>
      </w:r>
      <w:r w:rsidR="00B059EC" w:rsidRPr="009D1E2F">
        <w:rPr>
          <w:rFonts w:asciiTheme="majorHAnsi" w:hAnsiTheme="majorHAnsi"/>
          <w:sz w:val="20"/>
          <w:szCs w:val="20"/>
          <w:lang w:val="es-ES"/>
        </w:rPr>
        <w:t xml:space="preserve"> </w:t>
      </w:r>
      <w:r w:rsidR="000E6C43" w:rsidRPr="009D1E2F">
        <w:rPr>
          <w:rFonts w:asciiTheme="majorHAnsi" w:hAnsiTheme="majorHAnsi"/>
          <w:sz w:val="20"/>
          <w:szCs w:val="20"/>
          <w:lang w:val="es-ES"/>
        </w:rPr>
        <w:t>particular,</w:t>
      </w:r>
      <w:r w:rsidR="00B059EC" w:rsidRPr="009D1E2F">
        <w:rPr>
          <w:rFonts w:asciiTheme="majorHAnsi" w:hAnsiTheme="majorHAnsi"/>
          <w:sz w:val="20"/>
          <w:szCs w:val="20"/>
          <w:lang w:val="es-ES"/>
        </w:rPr>
        <w:t xml:space="preserve"> </w:t>
      </w:r>
      <w:r w:rsidR="00610874">
        <w:rPr>
          <w:rFonts w:asciiTheme="majorHAnsi" w:hAnsiTheme="majorHAnsi"/>
          <w:sz w:val="20"/>
          <w:szCs w:val="20"/>
          <w:lang w:val="es-ES"/>
        </w:rPr>
        <w:t xml:space="preserve">si se aplicó a un delito de </w:t>
      </w:r>
      <w:r w:rsidR="0093050F">
        <w:rPr>
          <w:rFonts w:asciiTheme="majorHAnsi" w:hAnsiTheme="majorHAnsi"/>
          <w:sz w:val="20"/>
          <w:szCs w:val="20"/>
          <w:lang w:val="es-ES"/>
        </w:rPr>
        <w:t>excepcional gravedad</w:t>
      </w:r>
      <w:r w:rsidR="00B059EC" w:rsidRPr="009D1E2F">
        <w:rPr>
          <w:rFonts w:asciiTheme="majorHAnsi" w:hAnsiTheme="majorHAnsi"/>
          <w:sz w:val="20"/>
          <w:szCs w:val="20"/>
          <w:lang w:val="es-ES"/>
        </w:rPr>
        <w:t xml:space="preserve"> </w:t>
      </w:r>
      <w:r w:rsidR="000E6C43" w:rsidRPr="009D1E2F">
        <w:rPr>
          <w:rFonts w:asciiTheme="majorHAnsi" w:hAnsiTheme="majorHAnsi"/>
          <w:sz w:val="20"/>
          <w:szCs w:val="20"/>
          <w:lang w:val="es-ES"/>
        </w:rPr>
        <w:t>prescri</w:t>
      </w:r>
      <w:r w:rsidR="00610874">
        <w:rPr>
          <w:rFonts w:asciiTheme="majorHAnsi" w:hAnsiTheme="majorHAnsi"/>
          <w:sz w:val="20"/>
          <w:szCs w:val="20"/>
          <w:lang w:val="es-ES"/>
        </w:rPr>
        <w:t>to en leyes preexistentes.</w:t>
      </w:r>
    </w:p>
    <w:p w14:paraId="7C5616D8" w14:textId="77777777" w:rsidR="000564D3" w:rsidRPr="009D1E2F" w:rsidRDefault="000564D3" w:rsidP="00817426">
      <w:pPr>
        <w:pStyle w:val="ListParagraph"/>
        <w:rPr>
          <w:rFonts w:asciiTheme="majorHAnsi" w:hAnsiTheme="majorHAnsi"/>
          <w:sz w:val="20"/>
          <w:szCs w:val="20"/>
          <w:lang w:val="es-ES"/>
        </w:rPr>
      </w:pPr>
    </w:p>
    <w:p w14:paraId="0DB75721" w14:textId="77777777" w:rsidR="002D1C82" w:rsidRPr="009D1E2F" w:rsidRDefault="0061087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AA45D5">
        <w:rPr>
          <w:rFonts w:asciiTheme="majorHAnsi" w:hAnsiTheme="majorHAnsi"/>
          <w:sz w:val="20"/>
          <w:szCs w:val="20"/>
          <w:lang w:val="es-ES"/>
        </w:rPr>
        <w:t xml:space="preserve">Según las leyes de Misuri, una persona comete </w:t>
      </w:r>
      <w:r w:rsidR="00423F33" w:rsidRPr="00AA45D5">
        <w:rPr>
          <w:rFonts w:asciiTheme="majorHAnsi" w:hAnsiTheme="majorHAnsi"/>
          <w:sz w:val="20"/>
          <w:szCs w:val="20"/>
          <w:lang w:val="es-ES"/>
        </w:rPr>
        <w:t>el delito</w:t>
      </w:r>
      <w:r w:rsidR="00B059EC" w:rsidRPr="00AA45D5">
        <w:rPr>
          <w:rFonts w:asciiTheme="majorHAnsi" w:hAnsiTheme="majorHAnsi"/>
          <w:sz w:val="20"/>
          <w:szCs w:val="20"/>
          <w:lang w:val="es-ES"/>
        </w:rPr>
        <w:t xml:space="preserve"> </w:t>
      </w:r>
      <w:r w:rsidRPr="00AA45D5">
        <w:rPr>
          <w:rFonts w:asciiTheme="majorHAnsi" w:hAnsiTheme="majorHAnsi"/>
          <w:sz w:val="20"/>
          <w:szCs w:val="20"/>
          <w:lang w:val="es-ES"/>
        </w:rPr>
        <w:t>de</w:t>
      </w:r>
      <w:r w:rsidR="00B059EC" w:rsidRPr="00AA45D5">
        <w:rPr>
          <w:rFonts w:asciiTheme="majorHAnsi" w:hAnsiTheme="majorHAnsi"/>
          <w:sz w:val="20"/>
          <w:szCs w:val="20"/>
          <w:lang w:val="es-ES"/>
        </w:rPr>
        <w:t xml:space="preserve"> </w:t>
      </w:r>
      <w:r w:rsidRPr="00AA45D5">
        <w:rPr>
          <w:rFonts w:asciiTheme="majorHAnsi" w:hAnsiTheme="majorHAnsi"/>
          <w:sz w:val="20"/>
          <w:szCs w:val="20"/>
          <w:lang w:val="es-ES"/>
        </w:rPr>
        <w:t>homicidio en primer grado</w:t>
      </w:r>
      <w:r w:rsidR="00B059EC" w:rsidRPr="00AA45D5">
        <w:rPr>
          <w:rFonts w:asciiTheme="majorHAnsi" w:hAnsiTheme="majorHAnsi"/>
          <w:sz w:val="20"/>
          <w:szCs w:val="20"/>
          <w:lang w:val="es-ES"/>
        </w:rPr>
        <w:t xml:space="preserve"> </w:t>
      </w:r>
      <w:r w:rsidRPr="00AA45D5">
        <w:rPr>
          <w:rFonts w:asciiTheme="majorHAnsi" w:hAnsiTheme="majorHAnsi"/>
          <w:sz w:val="20"/>
          <w:szCs w:val="20"/>
          <w:lang w:val="es-ES"/>
        </w:rPr>
        <w:t xml:space="preserve">si causa la muerte de otra persona a sabiendas </w:t>
      </w:r>
      <w:r w:rsidR="002F1D34" w:rsidRPr="00AA45D5">
        <w:rPr>
          <w:rFonts w:asciiTheme="majorHAnsi" w:hAnsiTheme="majorHAnsi"/>
          <w:sz w:val="20"/>
          <w:szCs w:val="20"/>
          <w:lang w:val="es-ES"/>
        </w:rPr>
        <w:t>“</w:t>
      </w:r>
      <w:r w:rsidRPr="00AA45D5">
        <w:rPr>
          <w:rFonts w:asciiTheme="majorHAnsi" w:hAnsiTheme="majorHAnsi"/>
          <w:sz w:val="20"/>
          <w:szCs w:val="20"/>
          <w:lang w:val="es-ES"/>
        </w:rPr>
        <w:t>después de deliberar sobre el asunto</w:t>
      </w:r>
      <w:r w:rsidR="002F1D34" w:rsidRPr="00AA45D5">
        <w:rPr>
          <w:rFonts w:asciiTheme="majorHAnsi" w:hAnsiTheme="majorHAnsi"/>
          <w:sz w:val="20"/>
          <w:szCs w:val="20"/>
          <w:lang w:val="es-ES"/>
        </w:rPr>
        <w:t>”</w:t>
      </w:r>
      <w:r w:rsidRPr="00AA45D5">
        <w:rPr>
          <w:rFonts w:asciiTheme="majorHAnsi" w:hAnsiTheme="majorHAnsi"/>
          <w:sz w:val="20"/>
          <w:szCs w:val="20"/>
          <w:lang w:val="es-ES"/>
        </w:rPr>
        <w:t>.</w:t>
      </w:r>
      <w:r w:rsidR="00B059EC" w:rsidRPr="00AA45D5">
        <w:rPr>
          <w:rFonts w:asciiTheme="majorHAnsi" w:hAnsiTheme="majorHAnsi"/>
          <w:sz w:val="20"/>
          <w:szCs w:val="20"/>
          <w:lang w:val="es-ES"/>
        </w:rPr>
        <w:t xml:space="preserve"> </w:t>
      </w:r>
      <w:r w:rsidR="0097061F">
        <w:rPr>
          <w:rFonts w:asciiTheme="majorHAnsi" w:hAnsiTheme="majorHAnsi"/>
          <w:sz w:val="20"/>
          <w:szCs w:val="20"/>
          <w:lang w:val="es-ES"/>
        </w:rPr>
        <w:t>L</w:t>
      </w:r>
      <w:r w:rsidRPr="00AA45D5">
        <w:rPr>
          <w:rFonts w:asciiTheme="majorHAnsi" w:hAnsiTheme="majorHAnsi"/>
          <w:sz w:val="20"/>
          <w:szCs w:val="20"/>
          <w:lang w:val="es-ES"/>
        </w:rPr>
        <w:t>a ley</w:t>
      </w:r>
      <w:r w:rsidR="0097061F">
        <w:rPr>
          <w:rFonts w:asciiTheme="majorHAnsi" w:hAnsiTheme="majorHAnsi"/>
          <w:sz w:val="20"/>
          <w:szCs w:val="20"/>
          <w:lang w:val="es-ES"/>
        </w:rPr>
        <w:t xml:space="preserve"> define</w:t>
      </w:r>
      <w:r w:rsidRPr="00AA45D5">
        <w:rPr>
          <w:rFonts w:asciiTheme="majorHAnsi" w:hAnsiTheme="majorHAnsi"/>
          <w:sz w:val="20"/>
          <w:szCs w:val="20"/>
          <w:lang w:val="es-ES"/>
        </w:rPr>
        <w:t xml:space="preserve"> “deliberación” como una reflexión serena </w:t>
      </w:r>
      <w:r w:rsidR="002F1D34" w:rsidRPr="00AA45D5">
        <w:rPr>
          <w:rFonts w:asciiTheme="majorHAnsi" w:hAnsiTheme="majorHAnsi"/>
          <w:sz w:val="20"/>
          <w:szCs w:val="20"/>
          <w:lang w:val="es-ES"/>
        </w:rPr>
        <w:t>“</w:t>
      </w:r>
      <w:r w:rsidRPr="00AA45D5">
        <w:rPr>
          <w:rFonts w:asciiTheme="majorHAnsi" w:hAnsiTheme="majorHAnsi"/>
          <w:sz w:val="20"/>
          <w:szCs w:val="20"/>
          <w:lang w:val="es-ES"/>
        </w:rPr>
        <w:t>de cualquier duración, por más breve que sea</w:t>
      </w:r>
      <w:r w:rsidR="002F1D34" w:rsidRPr="00AA45D5">
        <w:rPr>
          <w:rFonts w:asciiTheme="majorHAnsi" w:hAnsiTheme="majorHAnsi"/>
          <w:sz w:val="20"/>
          <w:szCs w:val="20"/>
          <w:lang w:val="es-ES"/>
        </w:rPr>
        <w:t>”</w:t>
      </w:r>
      <w:r w:rsidRPr="00AA45D5">
        <w:rPr>
          <w:rFonts w:asciiTheme="majorHAnsi" w:hAnsiTheme="majorHAnsi"/>
          <w:sz w:val="20"/>
          <w:szCs w:val="20"/>
          <w:lang w:val="es-ES"/>
        </w:rPr>
        <w:t>.</w:t>
      </w:r>
      <w:r w:rsidR="00B059EC" w:rsidRPr="00AA45D5">
        <w:rPr>
          <w:rFonts w:asciiTheme="majorHAnsi" w:hAnsiTheme="majorHAnsi"/>
          <w:sz w:val="20"/>
          <w:szCs w:val="20"/>
          <w:lang w:val="es-ES"/>
        </w:rPr>
        <w:t xml:space="preserve"> </w:t>
      </w:r>
      <w:r w:rsidR="002449BB" w:rsidRPr="00AA45D5">
        <w:rPr>
          <w:rFonts w:asciiTheme="majorHAnsi" w:hAnsiTheme="majorHAnsi"/>
          <w:sz w:val="20"/>
          <w:szCs w:val="20"/>
          <w:lang w:val="es-ES"/>
        </w:rPr>
        <w:t>A</w:t>
      </w:r>
      <w:r w:rsidRPr="00AA45D5">
        <w:rPr>
          <w:rFonts w:asciiTheme="majorHAnsi" w:hAnsiTheme="majorHAnsi"/>
          <w:sz w:val="20"/>
          <w:szCs w:val="20"/>
          <w:lang w:val="es-ES"/>
        </w:rPr>
        <w:t xml:space="preserve">demás, de acuerdo con las leyes de Misuri, una persona puede ser culpable de </w:t>
      </w:r>
      <w:r w:rsidR="00793CFB" w:rsidRPr="00AA45D5">
        <w:rPr>
          <w:rFonts w:asciiTheme="majorHAnsi" w:hAnsiTheme="majorHAnsi"/>
          <w:sz w:val="20"/>
          <w:szCs w:val="20"/>
          <w:lang w:val="es-ES"/>
        </w:rPr>
        <w:t>homicidio</w:t>
      </w:r>
      <w:r w:rsidR="00B059EC" w:rsidRPr="00AA45D5">
        <w:rPr>
          <w:rFonts w:asciiTheme="majorHAnsi" w:hAnsiTheme="majorHAnsi"/>
          <w:sz w:val="20"/>
          <w:szCs w:val="20"/>
          <w:lang w:val="es-ES"/>
        </w:rPr>
        <w:t xml:space="preserve"> </w:t>
      </w:r>
      <w:r w:rsidR="00793CFB" w:rsidRPr="00AA45D5">
        <w:rPr>
          <w:rFonts w:asciiTheme="majorHAnsi" w:hAnsiTheme="majorHAnsi"/>
          <w:sz w:val="20"/>
          <w:szCs w:val="20"/>
          <w:lang w:val="es-ES"/>
        </w:rPr>
        <w:t>en</w:t>
      </w:r>
      <w:r w:rsidR="00B059EC" w:rsidRPr="00AA45D5">
        <w:rPr>
          <w:rFonts w:asciiTheme="majorHAnsi" w:hAnsiTheme="majorHAnsi"/>
          <w:sz w:val="20"/>
          <w:szCs w:val="20"/>
          <w:lang w:val="es-ES"/>
        </w:rPr>
        <w:t xml:space="preserve"> </w:t>
      </w:r>
      <w:r w:rsidR="00793CFB" w:rsidRPr="00AA45D5">
        <w:rPr>
          <w:rFonts w:asciiTheme="majorHAnsi" w:hAnsiTheme="majorHAnsi"/>
          <w:sz w:val="20"/>
          <w:szCs w:val="20"/>
          <w:lang w:val="es-ES"/>
        </w:rPr>
        <w:t>primer</w:t>
      </w:r>
      <w:r w:rsidR="00B059EC" w:rsidRPr="00AA45D5">
        <w:rPr>
          <w:rFonts w:asciiTheme="majorHAnsi" w:hAnsiTheme="majorHAnsi"/>
          <w:sz w:val="20"/>
          <w:szCs w:val="20"/>
          <w:lang w:val="es-ES"/>
        </w:rPr>
        <w:t xml:space="preserve"> </w:t>
      </w:r>
      <w:r w:rsidR="00793CFB" w:rsidRPr="00AA45D5">
        <w:rPr>
          <w:rFonts w:asciiTheme="majorHAnsi" w:hAnsiTheme="majorHAnsi"/>
          <w:sz w:val="20"/>
          <w:szCs w:val="20"/>
          <w:lang w:val="es-ES"/>
        </w:rPr>
        <w:t>grado</w:t>
      </w:r>
      <w:r w:rsidR="00B059EC" w:rsidRPr="00AA45D5">
        <w:rPr>
          <w:rFonts w:asciiTheme="majorHAnsi" w:hAnsiTheme="majorHAnsi"/>
          <w:sz w:val="20"/>
          <w:szCs w:val="20"/>
          <w:lang w:val="es-ES"/>
        </w:rPr>
        <w:t xml:space="preserve"> </w:t>
      </w:r>
      <w:r w:rsidRPr="00AA45D5">
        <w:rPr>
          <w:rFonts w:asciiTheme="majorHAnsi" w:hAnsiTheme="majorHAnsi"/>
          <w:sz w:val="20"/>
          <w:szCs w:val="20"/>
          <w:lang w:val="es-ES"/>
        </w:rPr>
        <w:t>aunque no haya sido el asesino en la práctica</w:t>
      </w:r>
      <w:r w:rsidR="00993D72" w:rsidRPr="00AA45D5">
        <w:rPr>
          <w:rFonts w:asciiTheme="majorHAnsi" w:hAnsiTheme="majorHAnsi"/>
          <w:sz w:val="20"/>
          <w:szCs w:val="20"/>
          <w:lang w:val="es-ES"/>
        </w:rPr>
        <w:t>.</w:t>
      </w:r>
      <w:r w:rsidR="00B059EC" w:rsidRPr="00AA45D5">
        <w:rPr>
          <w:rFonts w:asciiTheme="majorHAnsi" w:hAnsiTheme="majorHAnsi"/>
          <w:sz w:val="20"/>
          <w:szCs w:val="20"/>
          <w:lang w:val="es-ES"/>
        </w:rPr>
        <w:t xml:space="preserve"> </w:t>
      </w:r>
      <w:r w:rsidRPr="00AA45D5">
        <w:rPr>
          <w:rFonts w:asciiTheme="majorHAnsi" w:hAnsiTheme="majorHAnsi"/>
          <w:sz w:val="20"/>
          <w:szCs w:val="20"/>
          <w:lang w:val="es-ES"/>
        </w:rPr>
        <w:t xml:space="preserve">Según la jurisprudencia pertinente, hay ciertas circunstancias que permiten inferir que un </w:t>
      </w:r>
      <w:r w:rsidR="0067655A" w:rsidRPr="00AA45D5">
        <w:rPr>
          <w:rFonts w:asciiTheme="majorHAnsi" w:hAnsiTheme="majorHAnsi"/>
          <w:sz w:val="20"/>
          <w:szCs w:val="20"/>
          <w:lang w:val="es-ES"/>
        </w:rPr>
        <w:t>cómplice</w:t>
      </w:r>
      <w:r w:rsidR="00B059EC" w:rsidRPr="00AA45D5">
        <w:rPr>
          <w:rFonts w:asciiTheme="majorHAnsi" w:hAnsiTheme="majorHAnsi"/>
          <w:sz w:val="20"/>
          <w:szCs w:val="20"/>
          <w:lang w:val="es-ES"/>
        </w:rPr>
        <w:t xml:space="preserve"> </w:t>
      </w:r>
      <w:r w:rsidR="002449BB" w:rsidRPr="00AA45D5">
        <w:rPr>
          <w:rFonts w:asciiTheme="majorHAnsi" w:hAnsiTheme="majorHAnsi"/>
          <w:sz w:val="20"/>
          <w:szCs w:val="20"/>
          <w:lang w:val="es-ES"/>
        </w:rPr>
        <w:t>deliber</w:t>
      </w:r>
      <w:r w:rsidR="002102CB" w:rsidRPr="00AA45D5">
        <w:rPr>
          <w:rFonts w:asciiTheme="majorHAnsi" w:hAnsiTheme="majorHAnsi"/>
          <w:sz w:val="20"/>
          <w:szCs w:val="20"/>
          <w:lang w:val="es-ES"/>
        </w:rPr>
        <w:t>ó antes del homicidio</w:t>
      </w:r>
      <w:r w:rsidR="002449BB" w:rsidRPr="00AA45D5">
        <w:rPr>
          <w:rFonts w:asciiTheme="majorHAnsi" w:hAnsiTheme="majorHAnsi"/>
          <w:sz w:val="20"/>
          <w:szCs w:val="20"/>
          <w:lang w:val="es-ES"/>
        </w:rPr>
        <w:t>.</w:t>
      </w:r>
      <w:r w:rsidR="00B059EC" w:rsidRPr="00AA45D5">
        <w:rPr>
          <w:rFonts w:asciiTheme="majorHAnsi" w:hAnsiTheme="majorHAnsi"/>
          <w:sz w:val="20"/>
          <w:szCs w:val="20"/>
          <w:lang w:val="es-ES"/>
        </w:rPr>
        <w:t xml:space="preserve"> </w:t>
      </w:r>
      <w:r w:rsidR="002102CB" w:rsidRPr="00AA45D5">
        <w:rPr>
          <w:rFonts w:asciiTheme="majorHAnsi" w:hAnsiTheme="majorHAnsi"/>
          <w:sz w:val="20"/>
          <w:szCs w:val="20"/>
          <w:lang w:val="es-ES"/>
        </w:rPr>
        <w:t>Esa inferencia se realiza, por ejemplo, cuando una declaración o la conducta de</w:t>
      </w:r>
      <w:r w:rsidR="002102CB">
        <w:rPr>
          <w:rFonts w:asciiTheme="majorHAnsi" w:hAnsiTheme="majorHAnsi"/>
          <w:sz w:val="20"/>
          <w:szCs w:val="20"/>
          <w:lang w:val="es-ES"/>
        </w:rPr>
        <w:t xml:space="preserve"> un coacusado en presencia del </w:t>
      </w:r>
      <w:r w:rsidR="0067655A">
        <w:rPr>
          <w:rFonts w:asciiTheme="majorHAnsi" w:hAnsiTheme="majorHAnsi"/>
          <w:sz w:val="20"/>
          <w:szCs w:val="20"/>
          <w:lang w:val="es-ES"/>
        </w:rPr>
        <w:t>cómplice</w:t>
      </w:r>
      <w:r w:rsidR="00B059EC" w:rsidRPr="009D1E2F">
        <w:rPr>
          <w:rFonts w:asciiTheme="majorHAnsi" w:hAnsiTheme="majorHAnsi"/>
          <w:sz w:val="20"/>
          <w:szCs w:val="20"/>
          <w:lang w:val="es-ES"/>
        </w:rPr>
        <w:t xml:space="preserve"> </w:t>
      </w:r>
      <w:r w:rsidR="002102CB">
        <w:rPr>
          <w:rFonts w:asciiTheme="majorHAnsi" w:hAnsiTheme="majorHAnsi"/>
          <w:sz w:val="20"/>
          <w:szCs w:val="20"/>
          <w:lang w:val="es-ES"/>
        </w:rPr>
        <w:t>antes d</w:t>
      </w:r>
      <w:r w:rsidR="00C851B8">
        <w:rPr>
          <w:rFonts w:asciiTheme="majorHAnsi" w:hAnsiTheme="majorHAnsi"/>
          <w:sz w:val="20"/>
          <w:szCs w:val="20"/>
          <w:lang w:val="es-ES"/>
        </w:rPr>
        <w:t>el homicidio</w:t>
      </w:r>
      <w:r w:rsidR="00B059EC" w:rsidRPr="009D1E2F">
        <w:rPr>
          <w:rFonts w:asciiTheme="majorHAnsi" w:hAnsiTheme="majorHAnsi"/>
          <w:sz w:val="20"/>
          <w:szCs w:val="20"/>
          <w:lang w:val="es-ES"/>
        </w:rPr>
        <w:t xml:space="preserve"> </w:t>
      </w:r>
      <w:r w:rsidR="002D1C82" w:rsidRPr="009D1E2F">
        <w:rPr>
          <w:rFonts w:asciiTheme="majorHAnsi" w:hAnsiTheme="majorHAnsi"/>
          <w:sz w:val="20"/>
          <w:szCs w:val="20"/>
          <w:lang w:val="es-ES"/>
        </w:rPr>
        <w:t>indica</w:t>
      </w:r>
      <w:r w:rsidR="00AA45D5">
        <w:rPr>
          <w:rFonts w:asciiTheme="majorHAnsi" w:hAnsiTheme="majorHAnsi"/>
          <w:sz w:val="20"/>
          <w:szCs w:val="20"/>
          <w:lang w:val="es-ES"/>
        </w:rPr>
        <w:t>n</w:t>
      </w:r>
      <w:r w:rsidR="002102CB">
        <w:rPr>
          <w:rFonts w:asciiTheme="majorHAnsi" w:hAnsiTheme="majorHAnsi"/>
          <w:sz w:val="20"/>
          <w:szCs w:val="20"/>
          <w:lang w:val="es-ES"/>
        </w:rPr>
        <w:t xml:space="preserve"> la intención de matar a un ser </w:t>
      </w:r>
      <w:r w:rsidR="002D1C82" w:rsidRPr="009D1E2F">
        <w:rPr>
          <w:rFonts w:asciiTheme="majorHAnsi" w:hAnsiTheme="majorHAnsi"/>
          <w:sz w:val="20"/>
          <w:szCs w:val="20"/>
          <w:lang w:val="es-ES"/>
        </w:rPr>
        <w:t>human</w:t>
      </w:r>
      <w:r w:rsidR="002102CB">
        <w:rPr>
          <w:rFonts w:asciiTheme="majorHAnsi" w:hAnsiTheme="majorHAnsi"/>
          <w:sz w:val="20"/>
          <w:szCs w:val="20"/>
          <w:lang w:val="es-ES"/>
        </w:rPr>
        <w:t xml:space="preserve">o y cuando hay pruebas de que el </w:t>
      </w:r>
      <w:r w:rsidR="0067655A">
        <w:rPr>
          <w:rFonts w:asciiTheme="majorHAnsi" w:hAnsiTheme="majorHAnsi"/>
          <w:sz w:val="20"/>
          <w:szCs w:val="20"/>
          <w:lang w:val="es-ES"/>
        </w:rPr>
        <w:t>cómplice</w:t>
      </w:r>
      <w:r w:rsidR="00B059EC" w:rsidRPr="009D1E2F">
        <w:rPr>
          <w:rFonts w:asciiTheme="majorHAnsi" w:hAnsiTheme="majorHAnsi"/>
          <w:sz w:val="20"/>
          <w:szCs w:val="20"/>
          <w:lang w:val="es-ES"/>
        </w:rPr>
        <w:t xml:space="preserve"> </w:t>
      </w:r>
      <w:r w:rsidR="002D1C82" w:rsidRPr="009D1E2F">
        <w:rPr>
          <w:rFonts w:asciiTheme="majorHAnsi" w:hAnsiTheme="majorHAnsi"/>
          <w:sz w:val="20"/>
          <w:szCs w:val="20"/>
          <w:lang w:val="es-ES"/>
        </w:rPr>
        <w:t>continu</w:t>
      </w:r>
      <w:r w:rsidR="002102CB">
        <w:rPr>
          <w:rFonts w:asciiTheme="majorHAnsi" w:hAnsiTheme="majorHAnsi"/>
          <w:sz w:val="20"/>
          <w:szCs w:val="20"/>
          <w:lang w:val="es-ES"/>
        </w:rPr>
        <w:t>ó la actividad delictiva cuando era evidente que iba</w:t>
      </w:r>
      <w:r w:rsidR="00AA45D5">
        <w:rPr>
          <w:rFonts w:asciiTheme="majorHAnsi" w:hAnsiTheme="majorHAnsi"/>
          <w:sz w:val="20"/>
          <w:szCs w:val="20"/>
          <w:lang w:val="es-ES"/>
        </w:rPr>
        <w:t>n</w:t>
      </w:r>
      <w:r w:rsidR="002102CB">
        <w:rPr>
          <w:rFonts w:asciiTheme="majorHAnsi" w:hAnsiTheme="majorHAnsi"/>
          <w:sz w:val="20"/>
          <w:szCs w:val="20"/>
          <w:lang w:val="es-ES"/>
        </w:rPr>
        <w:t xml:space="preserve"> a matar a una víctima. De acuerdo con las leyes de Misuri, el</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homicidio</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en</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primer</w:t>
      </w:r>
      <w:r w:rsidR="00B059EC" w:rsidRPr="009D1E2F">
        <w:rPr>
          <w:rFonts w:asciiTheme="majorHAnsi" w:hAnsiTheme="majorHAnsi"/>
          <w:sz w:val="20"/>
          <w:szCs w:val="20"/>
          <w:lang w:val="es-ES"/>
        </w:rPr>
        <w:t xml:space="preserve"> </w:t>
      </w:r>
      <w:r w:rsidR="00793CFB" w:rsidRPr="009D1E2F">
        <w:rPr>
          <w:rFonts w:asciiTheme="majorHAnsi" w:hAnsiTheme="majorHAnsi"/>
          <w:sz w:val="20"/>
          <w:szCs w:val="20"/>
          <w:lang w:val="es-ES"/>
        </w:rPr>
        <w:t>grado</w:t>
      </w:r>
      <w:r w:rsidR="00B059EC" w:rsidRPr="009D1E2F">
        <w:rPr>
          <w:rFonts w:asciiTheme="majorHAnsi" w:hAnsiTheme="majorHAnsi"/>
          <w:sz w:val="20"/>
          <w:szCs w:val="20"/>
          <w:lang w:val="es-ES"/>
        </w:rPr>
        <w:t xml:space="preserve"> </w:t>
      </w:r>
      <w:r w:rsidR="002102CB">
        <w:rPr>
          <w:rFonts w:asciiTheme="majorHAnsi" w:hAnsiTheme="majorHAnsi"/>
          <w:sz w:val="20"/>
          <w:szCs w:val="20"/>
          <w:lang w:val="es-ES"/>
        </w:rPr>
        <w:t xml:space="preserve">es punible con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1D5E5E" w:rsidRPr="009D1E2F">
        <w:rPr>
          <w:rFonts w:asciiTheme="majorHAnsi" w:hAnsiTheme="majorHAnsi"/>
          <w:sz w:val="20"/>
          <w:szCs w:val="20"/>
          <w:lang w:val="es-ES"/>
        </w:rPr>
        <w:t>.</w:t>
      </w:r>
    </w:p>
    <w:p w14:paraId="4D964DCD" w14:textId="77777777" w:rsidR="002D1C82" w:rsidRPr="009D1E2F" w:rsidRDefault="002D1C82" w:rsidP="00817426">
      <w:pPr>
        <w:pStyle w:val="ListParagraph"/>
        <w:rPr>
          <w:rFonts w:asciiTheme="majorHAnsi" w:hAnsiTheme="majorHAnsi"/>
          <w:sz w:val="20"/>
          <w:szCs w:val="20"/>
          <w:lang w:val="es-ES"/>
        </w:rPr>
      </w:pPr>
    </w:p>
    <w:p w14:paraId="1A338FE3" w14:textId="77777777" w:rsidR="00A03CAB" w:rsidRPr="00413EE3" w:rsidRDefault="00972E7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413EE3">
        <w:rPr>
          <w:rFonts w:asciiTheme="majorHAnsi" w:hAnsiTheme="majorHAnsi"/>
          <w:sz w:val="20"/>
          <w:szCs w:val="20"/>
          <w:lang w:val="es-ES"/>
        </w:rPr>
        <w:t>E</w:t>
      </w:r>
      <w:r w:rsidR="002D1C82" w:rsidRPr="00413EE3">
        <w:rPr>
          <w:rFonts w:asciiTheme="majorHAnsi" w:hAnsiTheme="majorHAnsi"/>
          <w:sz w:val="20"/>
          <w:szCs w:val="20"/>
          <w:lang w:val="es-ES"/>
        </w:rPr>
        <w:t>n</w:t>
      </w:r>
      <w:r w:rsidR="00B059EC" w:rsidRPr="00413EE3">
        <w:rPr>
          <w:rFonts w:asciiTheme="majorHAnsi" w:hAnsiTheme="majorHAnsi"/>
          <w:sz w:val="20"/>
          <w:szCs w:val="20"/>
          <w:lang w:val="es-ES"/>
        </w:rPr>
        <w:t xml:space="preserve"> </w:t>
      </w:r>
      <w:r w:rsidR="005B3F2B" w:rsidRPr="00413EE3">
        <w:rPr>
          <w:rFonts w:asciiTheme="majorHAnsi" w:hAnsiTheme="majorHAnsi"/>
          <w:sz w:val="20"/>
          <w:szCs w:val="20"/>
          <w:lang w:val="es-ES"/>
        </w:rPr>
        <w:t>el</w:t>
      </w:r>
      <w:r w:rsidR="00B059EC" w:rsidRPr="00413EE3">
        <w:rPr>
          <w:rFonts w:asciiTheme="majorHAnsi" w:hAnsiTheme="majorHAnsi"/>
          <w:sz w:val="20"/>
          <w:szCs w:val="20"/>
          <w:lang w:val="es-ES"/>
        </w:rPr>
        <w:t xml:space="preserve"> </w:t>
      </w:r>
      <w:r w:rsidR="004B2FD3">
        <w:rPr>
          <w:rFonts w:asciiTheme="majorHAnsi" w:hAnsiTheme="majorHAnsi"/>
          <w:sz w:val="20"/>
          <w:szCs w:val="20"/>
          <w:lang w:val="es-ES"/>
        </w:rPr>
        <w:t xml:space="preserve">presente </w:t>
      </w:r>
      <w:r w:rsidR="005B3F2B" w:rsidRPr="00413EE3">
        <w:rPr>
          <w:rFonts w:asciiTheme="majorHAnsi" w:hAnsiTheme="majorHAnsi"/>
          <w:sz w:val="20"/>
          <w:szCs w:val="20"/>
          <w:lang w:val="es-ES"/>
        </w:rPr>
        <w:t>caso</w:t>
      </w:r>
      <w:r w:rsidR="002D1C82" w:rsidRPr="00413EE3">
        <w:rPr>
          <w:rFonts w:asciiTheme="majorHAnsi" w:hAnsiTheme="majorHAnsi"/>
          <w:sz w:val="20"/>
          <w:szCs w:val="20"/>
          <w:lang w:val="es-ES"/>
        </w:rPr>
        <w:t>,</w:t>
      </w:r>
      <w:r w:rsidR="00B059EC" w:rsidRPr="00413EE3">
        <w:rPr>
          <w:rFonts w:asciiTheme="majorHAnsi" w:hAnsiTheme="majorHAnsi"/>
          <w:sz w:val="20"/>
          <w:szCs w:val="20"/>
          <w:lang w:val="es-ES"/>
        </w:rPr>
        <w:t xml:space="preserve"> </w:t>
      </w:r>
      <w:r w:rsidR="0093050F" w:rsidRPr="00413EE3">
        <w:rPr>
          <w:rFonts w:asciiTheme="majorHAnsi" w:hAnsiTheme="majorHAnsi"/>
          <w:sz w:val="20"/>
          <w:szCs w:val="20"/>
          <w:lang w:val="es-ES"/>
        </w:rPr>
        <w:t>el jurado</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declaró a</w:t>
      </w:r>
      <w:r w:rsidR="000E2468" w:rsidRPr="00413EE3">
        <w:rPr>
          <w:rFonts w:asciiTheme="majorHAnsi" w:hAnsiTheme="majorHAnsi"/>
          <w:sz w:val="20"/>
          <w:szCs w:val="20"/>
          <w:lang w:val="es-ES"/>
        </w:rPr>
        <w:t>l</w:t>
      </w:r>
      <w:r w:rsidR="00B059EC" w:rsidRPr="00413EE3">
        <w:rPr>
          <w:rFonts w:asciiTheme="majorHAnsi" w:hAnsiTheme="majorHAnsi"/>
          <w:sz w:val="20"/>
          <w:szCs w:val="20"/>
          <w:lang w:val="es-ES"/>
        </w:rPr>
        <w:t xml:space="preserve"> </w:t>
      </w:r>
      <w:r w:rsidR="000E2468" w:rsidRPr="00413EE3">
        <w:rPr>
          <w:rFonts w:asciiTheme="majorHAnsi" w:hAnsiTheme="majorHAnsi"/>
          <w:sz w:val="20"/>
          <w:szCs w:val="20"/>
          <w:lang w:val="es-ES"/>
        </w:rPr>
        <w:t>señor</w:t>
      </w:r>
      <w:r w:rsidR="00B059EC" w:rsidRPr="00413EE3">
        <w:rPr>
          <w:rFonts w:asciiTheme="majorHAnsi" w:hAnsiTheme="majorHAnsi"/>
          <w:sz w:val="20"/>
          <w:szCs w:val="20"/>
          <w:lang w:val="es-ES"/>
        </w:rPr>
        <w:t xml:space="preserve"> </w:t>
      </w:r>
      <w:r w:rsidR="006145C8" w:rsidRPr="00413EE3">
        <w:rPr>
          <w:rFonts w:asciiTheme="majorHAnsi" w:hAnsiTheme="majorHAnsi"/>
          <w:sz w:val="20"/>
          <w:szCs w:val="20"/>
          <w:lang w:val="es-ES"/>
        </w:rPr>
        <w:t>Gray</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 xml:space="preserve">culpable de dos cargos de </w:t>
      </w:r>
      <w:r w:rsidR="00793CFB" w:rsidRPr="00413EE3">
        <w:rPr>
          <w:rFonts w:asciiTheme="majorHAnsi" w:hAnsiTheme="majorHAnsi"/>
          <w:sz w:val="20"/>
          <w:szCs w:val="20"/>
          <w:lang w:val="es-ES"/>
        </w:rPr>
        <w:t>homicidio</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en</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primer</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grado</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 xml:space="preserve">en calidad de </w:t>
      </w:r>
      <w:r w:rsidR="0067655A" w:rsidRPr="00413EE3">
        <w:rPr>
          <w:rFonts w:asciiTheme="majorHAnsi" w:hAnsiTheme="majorHAnsi"/>
          <w:sz w:val="20"/>
          <w:szCs w:val="20"/>
          <w:lang w:val="es-ES"/>
        </w:rPr>
        <w:t>cómplice</w:t>
      </w:r>
      <w:r w:rsidR="00B059EC" w:rsidRPr="00413EE3">
        <w:rPr>
          <w:rFonts w:asciiTheme="majorHAnsi" w:hAnsiTheme="majorHAnsi"/>
          <w:sz w:val="20"/>
          <w:szCs w:val="20"/>
          <w:lang w:val="es-ES"/>
        </w:rPr>
        <w:t xml:space="preserve"> </w:t>
      </w:r>
      <w:r w:rsidR="004B2FD3">
        <w:rPr>
          <w:rFonts w:asciiTheme="majorHAnsi" w:hAnsiTheme="majorHAnsi"/>
          <w:sz w:val="20"/>
          <w:szCs w:val="20"/>
          <w:lang w:val="es-ES"/>
        </w:rPr>
        <w:t>por</w:t>
      </w:r>
      <w:r w:rsidR="00380ECB" w:rsidRPr="00413EE3">
        <w:rPr>
          <w:rFonts w:asciiTheme="majorHAnsi" w:hAnsiTheme="majorHAnsi"/>
          <w:sz w:val="20"/>
          <w:szCs w:val="20"/>
          <w:lang w:val="es-ES"/>
        </w:rPr>
        <w:t xml:space="preserve"> la muerte de</w:t>
      </w:r>
      <w:r w:rsidR="00B059EC" w:rsidRPr="00413EE3">
        <w:rPr>
          <w:rFonts w:asciiTheme="majorHAnsi" w:hAnsiTheme="majorHAnsi"/>
          <w:sz w:val="20"/>
          <w:szCs w:val="20"/>
          <w:lang w:val="es-ES"/>
        </w:rPr>
        <w:t xml:space="preserve"> </w:t>
      </w:r>
      <w:r w:rsidR="006145C8" w:rsidRPr="00413EE3">
        <w:rPr>
          <w:rFonts w:asciiTheme="majorHAnsi" w:hAnsiTheme="majorHAnsi"/>
          <w:sz w:val="20"/>
          <w:szCs w:val="20"/>
          <w:lang w:val="es-ES"/>
        </w:rPr>
        <w:t>Julie</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y</w:t>
      </w:r>
      <w:r w:rsidR="00B059EC" w:rsidRPr="00413EE3">
        <w:rPr>
          <w:rFonts w:asciiTheme="majorHAnsi" w:hAnsiTheme="majorHAnsi"/>
          <w:sz w:val="20"/>
          <w:szCs w:val="20"/>
          <w:lang w:val="es-ES"/>
        </w:rPr>
        <w:t xml:space="preserve"> </w:t>
      </w:r>
      <w:r w:rsidR="006145C8" w:rsidRPr="00413EE3">
        <w:rPr>
          <w:rFonts w:asciiTheme="majorHAnsi" w:hAnsiTheme="majorHAnsi"/>
          <w:sz w:val="20"/>
          <w:szCs w:val="20"/>
          <w:lang w:val="es-ES"/>
        </w:rPr>
        <w:t>Robin</w:t>
      </w:r>
      <w:r w:rsidR="00B059EC" w:rsidRPr="00413EE3">
        <w:rPr>
          <w:rFonts w:asciiTheme="majorHAnsi" w:hAnsiTheme="majorHAnsi"/>
          <w:sz w:val="20"/>
          <w:szCs w:val="20"/>
          <w:lang w:val="es-ES"/>
        </w:rPr>
        <w:t xml:space="preserve"> </w:t>
      </w:r>
      <w:r w:rsidR="006145C8" w:rsidRPr="00413EE3">
        <w:rPr>
          <w:rFonts w:asciiTheme="majorHAnsi" w:hAnsiTheme="majorHAnsi"/>
          <w:sz w:val="20"/>
          <w:szCs w:val="20"/>
          <w:lang w:val="es-ES"/>
        </w:rPr>
        <w:t>Kerry.</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 xml:space="preserve">Con respecto a los </w:t>
      </w:r>
      <w:r w:rsidR="002F4DB7" w:rsidRPr="00413EE3">
        <w:rPr>
          <w:rFonts w:asciiTheme="majorHAnsi" w:hAnsiTheme="majorHAnsi"/>
          <w:sz w:val="20"/>
          <w:szCs w:val="20"/>
          <w:lang w:val="es-ES"/>
        </w:rPr>
        <w:t>element</w:t>
      </w:r>
      <w:r w:rsidR="00380ECB" w:rsidRPr="00413EE3">
        <w:rPr>
          <w:rFonts w:asciiTheme="majorHAnsi" w:hAnsiTheme="majorHAnsi"/>
          <w:sz w:val="20"/>
          <w:szCs w:val="20"/>
          <w:lang w:val="es-ES"/>
        </w:rPr>
        <w:t>o</w:t>
      </w:r>
      <w:r w:rsidR="002F4DB7" w:rsidRPr="00413EE3">
        <w:rPr>
          <w:rFonts w:asciiTheme="majorHAnsi" w:hAnsiTheme="majorHAnsi"/>
          <w:sz w:val="20"/>
          <w:szCs w:val="20"/>
          <w:lang w:val="es-ES"/>
        </w:rPr>
        <w:t>s</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de los</w:t>
      </w:r>
      <w:r w:rsidR="00423F33" w:rsidRPr="00413EE3">
        <w:rPr>
          <w:rFonts w:asciiTheme="majorHAnsi" w:hAnsiTheme="majorHAnsi"/>
          <w:sz w:val="20"/>
          <w:szCs w:val="20"/>
          <w:lang w:val="es-ES"/>
        </w:rPr>
        <w:t xml:space="preserve"> delito</w:t>
      </w:r>
      <w:r w:rsidR="002F4DB7" w:rsidRPr="00413EE3">
        <w:rPr>
          <w:rFonts w:asciiTheme="majorHAnsi" w:hAnsiTheme="majorHAnsi"/>
          <w:sz w:val="20"/>
          <w:szCs w:val="20"/>
          <w:lang w:val="es-ES"/>
        </w:rPr>
        <w:t>s,</w:t>
      </w:r>
      <w:r w:rsidR="00B059EC" w:rsidRPr="00413EE3">
        <w:rPr>
          <w:rFonts w:asciiTheme="majorHAnsi" w:hAnsiTheme="majorHAnsi"/>
          <w:sz w:val="20"/>
          <w:szCs w:val="20"/>
          <w:lang w:val="es-ES"/>
        </w:rPr>
        <w:t xml:space="preserve"> </w:t>
      </w:r>
      <w:r w:rsidR="00380ECB" w:rsidRPr="00413EE3">
        <w:rPr>
          <w:rFonts w:asciiTheme="majorHAnsi" w:hAnsiTheme="majorHAnsi"/>
          <w:sz w:val="20"/>
          <w:szCs w:val="20"/>
          <w:lang w:val="es-ES"/>
        </w:rPr>
        <w:t xml:space="preserve">los tribunales observaron que </w:t>
      </w:r>
      <w:r w:rsidR="000E2468" w:rsidRPr="00413EE3">
        <w:rPr>
          <w:rFonts w:asciiTheme="majorHAnsi" w:hAnsiTheme="majorHAnsi"/>
          <w:sz w:val="20"/>
          <w:szCs w:val="20"/>
          <w:lang w:val="es-ES"/>
        </w:rPr>
        <w:t>el</w:t>
      </w:r>
      <w:r w:rsidR="00B059EC" w:rsidRPr="00413EE3">
        <w:rPr>
          <w:rFonts w:asciiTheme="majorHAnsi" w:hAnsiTheme="majorHAnsi"/>
          <w:sz w:val="20"/>
          <w:szCs w:val="20"/>
          <w:lang w:val="es-ES"/>
        </w:rPr>
        <w:t xml:space="preserve"> </w:t>
      </w:r>
      <w:r w:rsidR="000E2468" w:rsidRPr="00413EE3">
        <w:rPr>
          <w:rFonts w:asciiTheme="majorHAnsi" w:hAnsiTheme="majorHAnsi"/>
          <w:sz w:val="20"/>
          <w:szCs w:val="20"/>
          <w:lang w:val="es-ES"/>
        </w:rPr>
        <w:t>señor</w:t>
      </w:r>
      <w:r w:rsidR="00B059EC" w:rsidRPr="00413EE3">
        <w:rPr>
          <w:rFonts w:asciiTheme="majorHAnsi" w:hAnsiTheme="majorHAnsi"/>
          <w:sz w:val="20"/>
          <w:szCs w:val="20"/>
          <w:lang w:val="es-ES"/>
        </w:rPr>
        <w:t xml:space="preserve"> </w:t>
      </w:r>
      <w:r w:rsidR="001644FC" w:rsidRPr="00413EE3">
        <w:rPr>
          <w:rFonts w:asciiTheme="majorHAnsi" w:hAnsiTheme="majorHAnsi"/>
          <w:sz w:val="20"/>
          <w:szCs w:val="20"/>
          <w:lang w:val="es-ES"/>
        </w:rPr>
        <w:t>Gray</w:t>
      </w:r>
      <w:r w:rsidR="00B059EC" w:rsidRPr="00413EE3">
        <w:rPr>
          <w:rFonts w:asciiTheme="majorHAnsi" w:hAnsiTheme="majorHAnsi"/>
          <w:sz w:val="20"/>
          <w:szCs w:val="20"/>
          <w:lang w:val="es-ES"/>
        </w:rPr>
        <w:t xml:space="preserve"> </w:t>
      </w:r>
      <w:r w:rsidR="001644FC" w:rsidRPr="00413EE3">
        <w:rPr>
          <w:rFonts w:asciiTheme="majorHAnsi" w:hAnsiTheme="majorHAnsi"/>
          <w:sz w:val="20"/>
          <w:szCs w:val="20"/>
          <w:lang w:val="es-ES"/>
        </w:rPr>
        <w:t>p</w:t>
      </w:r>
      <w:r w:rsidR="00A449AE" w:rsidRPr="00413EE3">
        <w:rPr>
          <w:rFonts w:asciiTheme="majorHAnsi" w:hAnsiTheme="majorHAnsi"/>
          <w:sz w:val="20"/>
          <w:szCs w:val="20"/>
          <w:lang w:val="es-ES"/>
        </w:rPr>
        <w:t>articip</w:t>
      </w:r>
      <w:r w:rsidR="00380ECB" w:rsidRPr="00413EE3">
        <w:rPr>
          <w:rFonts w:asciiTheme="majorHAnsi" w:hAnsiTheme="majorHAnsi"/>
          <w:sz w:val="20"/>
          <w:szCs w:val="20"/>
          <w:lang w:val="es-ES"/>
        </w:rPr>
        <w:t>ó en la planificación</w:t>
      </w:r>
      <w:r w:rsidR="00D03EE0" w:rsidRPr="00413EE3">
        <w:rPr>
          <w:rFonts w:asciiTheme="majorHAnsi" w:hAnsiTheme="majorHAnsi"/>
          <w:sz w:val="20"/>
          <w:szCs w:val="20"/>
          <w:lang w:val="es-ES"/>
        </w:rPr>
        <w:t xml:space="preserve"> y la ejecución de la violación y el robo</w:t>
      </w:r>
      <w:r w:rsidR="00A449AE" w:rsidRPr="00413EE3">
        <w:rPr>
          <w:rFonts w:asciiTheme="majorHAnsi" w:hAnsiTheme="majorHAnsi"/>
          <w:sz w:val="20"/>
          <w:szCs w:val="20"/>
          <w:lang w:val="es-ES"/>
        </w:rPr>
        <w:t>,</w:t>
      </w:r>
      <w:r w:rsidR="00B059EC" w:rsidRPr="00413EE3">
        <w:rPr>
          <w:rFonts w:asciiTheme="majorHAnsi" w:hAnsiTheme="majorHAnsi"/>
          <w:sz w:val="20"/>
          <w:szCs w:val="20"/>
          <w:lang w:val="es-ES"/>
        </w:rPr>
        <w:t xml:space="preserve"> </w:t>
      </w:r>
      <w:r w:rsidR="00D03EE0" w:rsidRPr="00413EE3">
        <w:rPr>
          <w:rFonts w:asciiTheme="majorHAnsi" w:hAnsiTheme="majorHAnsi"/>
          <w:sz w:val="20"/>
          <w:szCs w:val="20"/>
          <w:lang w:val="es-ES"/>
        </w:rPr>
        <w:t xml:space="preserve">sus cómplices perpetraron homicidios y él actuó junto con ellos para causar la muerte de las víctimas. Por lo tanto, la información que obra en el expediente muestra que </w:t>
      </w:r>
      <w:r w:rsidR="000E2468" w:rsidRPr="00413EE3">
        <w:rPr>
          <w:rFonts w:asciiTheme="majorHAnsi" w:hAnsiTheme="majorHAnsi"/>
          <w:sz w:val="20"/>
          <w:szCs w:val="20"/>
          <w:lang w:val="es-ES"/>
        </w:rPr>
        <w:t>el</w:t>
      </w:r>
      <w:r w:rsidR="00B059EC" w:rsidRPr="00413EE3">
        <w:rPr>
          <w:rFonts w:asciiTheme="majorHAnsi" w:hAnsiTheme="majorHAnsi"/>
          <w:sz w:val="20"/>
          <w:szCs w:val="20"/>
          <w:lang w:val="es-ES"/>
        </w:rPr>
        <w:t xml:space="preserve"> </w:t>
      </w:r>
      <w:r w:rsidR="000E2468" w:rsidRPr="00413EE3">
        <w:rPr>
          <w:rFonts w:asciiTheme="majorHAnsi" w:hAnsiTheme="majorHAnsi"/>
          <w:sz w:val="20"/>
          <w:szCs w:val="20"/>
          <w:lang w:val="es-ES"/>
        </w:rPr>
        <w:t>señor</w:t>
      </w:r>
      <w:r w:rsidR="00B059EC" w:rsidRPr="00413EE3">
        <w:rPr>
          <w:rFonts w:asciiTheme="majorHAnsi" w:hAnsiTheme="majorHAnsi"/>
          <w:sz w:val="20"/>
          <w:szCs w:val="20"/>
          <w:lang w:val="es-ES"/>
        </w:rPr>
        <w:t xml:space="preserve"> </w:t>
      </w:r>
      <w:r w:rsidR="00A03CAB" w:rsidRPr="00413EE3">
        <w:rPr>
          <w:rFonts w:asciiTheme="majorHAnsi" w:hAnsiTheme="majorHAnsi"/>
          <w:sz w:val="20"/>
          <w:szCs w:val="20"/>
          <w:lang w:val="es-ES"/>
        </w:rPr>
        <w:t>Gray</w:t>
      </w:r>
      <w:r w:rsidR="00B059EC" w:rsidRPr="00413EE3">
        <w:rPr>
          <w:rFonts w:asciiTheme="majorHAnsi" w:hAnsiTheme="majorHAnsi"/>
          <w:sz w:val="20"/>
          <w:szCs w:val="20"/>
          <w:lang w:val="es-ES"/>
        </w:rPr>
        <w:t xml:space="preserve"> </w:t>
      </w:r>
      <w:r w:rsidR="00D03EE0" w:rsidRPr="00413EE3">
        <w:rPr>
          <w:rFonts w:asciiTheme="majorHAnsi" w:hAnsiTheme="majorHAnsi"/>
          <w:sz w:val="20"/>
          <w:szCs w:val="20"/>
          <w:lang w:val="es-ES"/>
        </w:rPr>
        <w:t>fue declarado culpable de</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homicidio</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en</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primer</w:t>
      </w:r>
      <w:r w:rsidR="00B059EC" w:rsidRPr="00413EE3">
        <w:rPr>
          <w:rFonts w:asciiTheme="majorHAnsi" w:hAnsiTheme="majorHAnsi"/>
          <w:sz w:val="20"/>
          <w:szCs w:val="20"/>
          <w:lang w:val="es-ES"/>
        </w:rPr>
        <w:t xml:space="preserve"> </w:t>
      </w:r>
      <w:r w:rsidR="00793CFB" w:rsidRPr="00413EE3">
        <w:rPr>
          <w:rFonts w:asciiTheme="majorHAnsi" w:hAnsiTheme="majorHAnsi"/>
          <w:sz w:val="20"/>
          <w:szCs w:val="20"/>
          <w:lang w:val="es-ES"/>
        </w:rPr>
        <w:t>grado</w:t>
      </w:r>
      <w:r w:rsidR="00B059EC" w:rsidRPr="00413EE3">
        <w:rPr>
          <w:rFonts w:asciiTheme="majorHAnsi" w:hAnsiTheme="majorHAnsi"/>
          <w:sz w:val="20"/>
          <w:szCs w:val="20"/>
          <w:lang w:val="es-ES"/>
        </w:rPr>
        <w:t xml:space="preserve"> </w:t>
      </w:r>
      <w:r w:rsidR="00D03EE0" w:rsidRPr="00413EE3">
        <w:rPr>
          <w:rFonts w:asciiTheme="majorHAnsi" w:hAnsiTheme="majorHAnsi"/>
          <w:sz w:val="20"/>
          <w:szCs w:val="20"/>
          <w:lang w:val="es-ES"/>
        </w:rPr>
        <w:t xml:space="preserve">sobre la base de una ley preexistente. Además, </w:t>
      </w:r>
      <w:r w:rsidR="00363E52" w:rsidRPr="00413EE3">
        <w:rPr>
          <w:rFonts w:asciiTheme="majorHAnsi" w:hAnsiTheme="majorHAnsi"/>
          <w:sz w:val="20"/>
          <w:szCs w:val="20"/>
          <w:lang w:val="es-ES"/>
        </w:rPr>
        <w:t>la</w:t>
      </w:r>
      <w:r w:rsidR="00B059EC" w:rsidRPr="00413EE3">
        <w:rPr>
          <w:rFonts w:asciiTheme="majorHAnsi" w:hAnsiTheme="majorHAnsi"/>
          <w:sz w:val="20"/>
          <w:szCs w:val="20"/>
          <w:lang w:val="es-ES"/>
        </w:rPr>
        <w:t xml:space="preserve"> </w:t>
      </w:r>
      <w:r w:rsidR="00363E52" w:rsidRPr="00413EE3">
        <w:rPr>
          <w:rFonts w:asciiTheme="majorHAnsi" w:hAnsiTheme="majorHAnsi"/>
          <w:sz w:val="20"/>
          <w:szCs w:val="20"/>
          <w:lang w:val="es-ES"/>
        </w:rPr>
        <w:t>CIDH</w:t>
      </w:r>
      <w:r w:rsidR="00B059EC" w:rsidRPr="00413EE3">
        <w:rPr>
          <w:rFonts w:asciiTheme="majorHAnsi" w:hAnsiTheme="majorHAnsi"/>
          <w:sz w:val="20"/>
          <w:szCs w:val="20"/>
          <w:lang w:val="es-ES"/>
        </w:rPr>
        <w:t xml:space="preserve"> </w:t>
      </w:r>
      <w:r w:rsidR="00D03EE0" w:rsidRPr="00413EE3">
        <w:rPr>
          <w:rFonts w:asciiTheme="majorHAnsi" w:hAnsiTheme="majorHAnsi"/>
          <w:sz w:val="20"/>
          <w:szCs w:val="20"/>
          <w:lang w:val="es-ES"/>
        </w:rPr>
        <w:t>no tiene</w:t>
      </w:r>
      <w:r w:rsidR="00B059EC" w:rsidRPr="00413EE3">
        <w:rPr>
          <w:rFonts w:asciiTheme="majorHAnsi" w:hAnsiTheme="majorHAnsi"/>
          <w:sz w:val="20"/>
          <w:szCs w:val="20"/>
          <w:lang w:val="es-ES"/>
        </w:rPr>
        <w:t xml:space="preserve"> </w:t>
      </w:r>
      <w:r w:rsidR="00A03CAB" w:rsidRPr="00413EE3">
        <w:rPr>
          <w:rFonts w:asciiTheme="majorHAnsi" w:hAnsiTheme="majorHAnsi"/>
          <w:sz w:val="20"/>
          <w:szCs w:val="20"/>
          <w:lang w:val="es-ES"/>
        </w:rPr>
        <w:t>element</w:t>
      </w:r>
      <w:r w:rsidR="00D03EE0" w:rsidRPr="00413EE3">
        <w:rPr>
          <w:rFonts w:asciiTheme="majorHAnsi" w:hAnsiTheme="majorHAnsi"/>
          <w:sz w:val="20"/>
          <w:szCs w:val="20"/>
          <w:lang w:val="es-ES"/>
        </w:rPr>
        <w:t>o</w:t>
      </w:r>
      <w:r w:rsidR="00A03CAB" w:rsidRPr="00413EE3">
        <w:rPr>
          <w:rFonts w:asciiTheme="majorHAnsi" w:hAnsiTheme="majorHAnsi"/>
          <w:sz w:val="20"/>
          <w:szCs w:val="20"/>
          <w:lang w:val="es-ES"/>
        </w:rPr>
        <w:t>s</w:t>
      </w:r>
      <w:r w:rsidR="00B059EC" w:rsidRPr="00413EE3">
        <w:rPr>
          <w:rFonts w:asciiTheme="majorHAnsi" w:hAnsiTheme="majorHAnsi"/>
          <w:sz w:val="20"/>
          <w:szCs w:val="20"/>
          <w:lang w:val="es-ES"/>
        </w:rPr>
        <w:t xml:space="preserve"> </w:t>
      </w:r>
      <w:r w:rsidR="00D03EE0" w:rsidRPr="00413EE3">
        <w:rPr>
          <w:rFonts w:asciiTheme="majorHAnsi" w:hAnsiTheme="majorHAnsi"/>
          <w:sz w:val="20"/>
          <w:szCs w:val="20"/>
          <w:lang w:val="es-ES"/>
        </w:rPr>
        <w:t xml:space="preserve">para concluir que las leyes de Misuri de por sí sean contrarias a la </w:t>
      </w:r>
      <w:r w:rsidR="000D6328" w:rsidRPr="00413EE3">
        <w:rPr>
          <w:rFonts w:asciiTheme="majorHAnsi" w:hAnsiTheme="majorHAnsi"/>
          <w:sz w:val="20"/>
          <w:szCs w:val="20"/>
          <w:lang w:val="es-ES"/>
        </w:rPr>
        <w:t>Declaración</w:t>
      </w:r>
      <w:r w:rsidR="00B059EC" w:rsidRPr="00413EE3">
        <w:rPr>
          <w:rFonts w:asciiTheme="majorHAnsi" w:hAnsiTheme="majorHAnsi"/>
          <w:sz w:val="20"/>
          <w:szCs w:val="20"/>
          <w:lang w:val="es-ES"/>
        </w:rPr>
        <w:t xml:space="preserve"> </w:t>
      </w:r>
      <w:r w:rsidR="000D6328" w:rsidRPr="00413EE3">
        <w:rPr>
          <w:rFonts w:asciiTheme="majorHAnsi" w:hAnsiTheme="majorHAnsi"/>
          <w:sz w:val="20"/>
          <w:szCs w:val="20"/>
          <w:lang w:val="es-ES"/>
        </w:rPr>
        <w:t>Americana</w:t>
      </w:r>
      <w:r w:rsidR="00B059EC" w:rsidRPr="00413EE3">
        <w:rPr>
          <w:rFonts w:asciiTheme="majorHAnsi" w:hAnsiTheme="majorHAnsi"/>
          <w:sz w:val="20"/>
          <w:szCs w:val="20"/>
          <w:lang w:val="es-ES"/>
        </w:rPr>
        <w:t xml:space="preserve"> </w:t>
      </w:r>
      <w:r w:rsidR="00A03CAB" w:rsidRPr="00413EE3">
        <w:rPr>
          <w:rFonts w:asciiTheme="majorHAnsi" w:hAnsiTheme="majorHAnsi"/>
          <w:sz w:val="20"/>
          <w:szCs w:val="20"/>
          <w:lang w:val="es-ES"/>
        </w:rPr>
        <w:t>o</w:t>
      </w:r>
      <w:r w:rsidR="00D03EE0" w:rsidRPr="00413EE3">
        <w:rPr>
          <w:rFonts w:asciiTheme="majorHAnsi" w:hAnsiTheme="majorHAnsi"/>
          <w:sz w:val="20"/>
          <w:szCs w:val="20"/>
          <w:lang w:val="es-ES"/>
        </w:rPr>
        <w:t xml:space="preserve"> a </w:t>
      </w:r>
      <w:r w:rsidR="00CA01A3">
        <w:rPr>
          <w:rFonts w:asciiTheme="majorHAnsi" w:hAnsiTheme="majorHAnsi"/>
          <w:sz w:val="20"/>
          <w:szCs w:val="20"/>
          <w:lang w:val="es-ES"/>
        </w:rPr>
        <w:t>los estándares</w:t>
      </w:r>
      <w:r w:rsidR="00B059EC" w:rsidRPr="00413EE3">
        <w:rPr>
          <w:rFonts w:asciiTheme="majorHAnsi" w:hAnsiTheme="majorHAnsi"/>
          <w:sz w:val="20"/>
          <w:szCs w:val="20"/>
          <w:lang w:val="es-ES"/>
        </w:rPr>
        <w:t xml:space="preserve"> </w:t>
      </w:r>
      <w:r w:rsidR="00A03CAB" w:rsidRPr="00413EE3">
        <w:rPr>
          <w:rFonts w:asciiTheme="majorHAnsi" w:hAnsiTheme="majorHAnsi"/>
          <w:sz w:val="20"/>
          <w:szCs w:val="20"/>
          <w:lang w:val="es-ES"/>
        </w:rPr>
        <w:t>inter</w:t>
      </w:r>
      <w:r w:rsidR="00D03EE0" w:rsidRPr="00413EE3">
        <w:rPr>
          <w:rFonts w:asciiTheme="majorHAnsi" w:hAnsiTheme="majorHAnsi"/>
          <w:sz w:val="20"/>
          <w:szCs w:val="20"/>
          <w:lang w:val="es-ES"/>
        </w:rPr>
        <w:t>a</w:t>
      </w:r>
      <w:r w:rsidR="00A03CAB" w:rsidRPr="00413EE3">
        <w:rPr>
          <w:rFonts w:asciiTheme="majorHAnsi" w:hAnsiTheme="majorHAnsi"/>
          <w:sz w:val="20"/>
          <w:szCs w:val="20"/>
          <w:lang w:val="es-ES"/>
        </w:rPr>
        <w:t>merican</w:t>
      </w:r>
      <w:r w:rsidR="00CA01A3">
        <w:rPr>
          <w:rFonts w:asciiTheme="majorHAnsi" w:hAnsiTheme="majorHAnsi"/>
          <w:sz w:val="20"/>
          <w:szCs w:val="20"/>
          <w:lang w:val="es-ES"/>
        </w:rPr>
        <w:t>o</w:t>
      </w:r>
      <w:r w:rsidR="00D03EE0" w:rsidRPr="00413EE3">
        <w:rPr>
          <w:rFonts w:asciiTheme="majorHAnsi" w:hAnsiTheme="majorHAnsi"/>
          <w:sz w:val="20"/>
          <w:szCs w:val="20"/>
          <w:lang w:val="es-ES"/>
        </w:rPr>
        <w:t>s en materia de derechos</w:t>
      </w:r>
      <w:r w:rsidR="00B059EC" w:rsidRPr="00413EE3">
        <w:rPr>
          <w:rFonts w:asciiTheme="majorHAnsi" w:hAnsiTheme="majorHAnsi"/>
          <w:sz w:val="20"/>
          <w:szCs w:val="20"/>
          <w:lang w:val="es-ES"/>
        </w:rPr>
        <w:t xml:space="preserve"> </w:t>
      </w:r>
      <w:r w:rsidR="00A03CAB" w:rsidRPr="00413EE3">
        <w:rPr>
          <w:rFonts w:asciiTheme="majorHAnsi" w:hAnsiTheme="majorHAnsi"/>
          <w:sz w:val="20"/>
          <w:szCs w:val="20"/>
          <w:lang w:val="es-ES"/>
        </w:rPr>
        <w:t>human</w:t>
      </w:r>
      <w:r w:rsidR="00D03EE0" w:rsidRPr="00413EE3">
        <w:rPr>
          <w:rFonts w:asciiTheme="majorHAnsi" w:hAnsiTheme="majorHAnsi"/>
          <w:sz w:val="20"/>
          <w:szCs w:val="20"/>
          <w:lang w:val="es-ES"/>
        </w:rPr>
        <w:t>os</w:t>
      </w:r>
      <w:r w:rsidR="00A03CAB" w:rsidRPr="00413EE3">
        <w:rPr>
          <w:rFonts w:asciiTheme="majorHAnsi" w:hAnsiTheme="majorHAnsi"/>
          <w:sz w:val="20"/>
          <w:szCs w:val="20"/>
          <w:lang w:val="es-ES"/>
        </w:rPr>
        <w:t>.</w:t>
      </w:r>
    </w:p>
    <w:p w14:paraId="4723A5D8" w14:textId="77777777" w:rsidR="00A03CAB" w:rsidRPr="009D1E2F" w:rsidRDefault="00A03CAB" w:rsidP="00817426">
      <w:pPr>
        <w:pStyle w:val="ListParagraph"/>
        <w:rPr>
          <w:rFonts w:asciiTheme="majorHAnsi" w:hAnsiTheme="majorHAnsi"/>
          <w:sz w:val="20"/>
          <w:szCs w:val="20"/>
          <w:lang w:val="es-ES"/>
        </w:rPr>
      </w:pPr>
    </w:p>
    <w:p w14:paraId="3D9E3A04" w14:textId="77777777" w:rsidR="000203E6" w:rsidRPr="00537F75" w:rsidRDefault="00537F75" w:rsidP="00305D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Después de declarar a</w:t>
      </w:r>
      <w:r w:rsidR="000E2468" w:rsidRPr="00537F75">
        <w:rPr>
          <w:rFonts w:asciiTheme="majorHAnsi" w:hAnsiTheme="majorHAnsi"/>
          <w:sz w:val="20"/>
          <w:szCs w:val="20"/>
          <w:lang w:val="es-ES"/>
        </w:rPr>
        <w:t>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r w:rsidR="00DA7A6A" w:rsidRPr="00537F75">
        <w:rPr>
          <w:rFonts w:asciiTheme="majorHAnsi" w:hAnsiTheme="majorHAnsi"/>
          <w:sz w:val="20"/>
          <w:szCs w:val="20"/>
          <w:lang w:val="es-ES"/>
        </w:rPr>
        <w:t>Gray</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culpable de dos cargos de </w:t>
      </w:r>
      <w:r w:rsidR="00793CFB" w:rsidRPr="00537F75">
        <w:rPr>
          <w:rFonts w:asciiTheme="majorHAnsi" w:hAnsiTheme="majorHAnsi"/>
          <w:sz w:val="20"/>
          <w:szCs w:val="20"/>
          <w:lang w:val="es-ES"/>
        </w:rPr>
        <w:t>homicidio</w:t>
      </w:r>
      <w:r w:rsidR="00B059EC" w:rsidRPr="00537F75">
        <w:rPr>
          <w:rFonts w:asciiTheme="majorHAnsi" w:hAnsiTheme="majorHAnsi"/>
          <w:sz w:val="20"/>
          <w:szCs w:val="20"/>
          <w:lang w:val="es-ES"/>
        </w:rPr>
        <w:t xml:space="preserve"> </w:t>
      </w:r>
      <w:r w:rsidR="00793CFB" w:rsidRPr="00537F75">
        <w:rPr>
          <w:rFonts w:asciiTheme="majorHAnsi" w:hAnsiTheme="majorHAnsi"/>
          <w:sz w:val="20"/>
          <w:szCs w:val="20"/>
          <w:lang w:val="es-ES"/>
        </w:rPr>
        <w:t>en</w:t>
      </w:r>
      <w:r w:rsidR="00B059EC" w:rsidRPr="00537F75">
        <w:rPr>
          <w:rFonts w:asciiTheme="majorHAnsi" w:hAnsiTheme="majorHAnsi"/>
          <w:sz w:val="20"/>
          <w:szCs w:val="20"/>
          <w:lang w:val="es-ES"/>
        </w:rPr>
        <w:t xml:space="preserve"> </w:t>
      </w:r>
      <w:r w:rsidR="00793CFB" w:rsidRPr="00537F75">
        <w:rPr>
          <w:rFonts w:asciiTheme="majorHAnsi" w:hAnsiTheme="majorHAnsi"/>
          <w:sz w:val="20"/>
          <w:szCs w:val="20"/>
          <w:lang w:val="es-ES"/>
        </w:rPr>
        <w:t>primer</w:t>
      </w:r>
      <w:r w:rsidR="00B059EC" w:rsidRPr="00537F75">
        <w:rPr>
          <w:rFonts w:asciiTheme="majorHAnsi" w:hAnsiTheme="majorHAnsi"/>
          <w:sz w:val="20"/>
          <w:szCs w:val="20"/>
          <w:lang w:val="es-ES"/>
        </w:rPr>
        <w:t xml:space="preserve"> </w:t>
      </w:r>
      <w:r w:rsidR="00793CFB" w:rsidRPr="00537F75">
        <w:rPr>
          <w:rFonts w:asciiTheme="majorHAnsi" w:hAnsiTheme="majorHAnsi"/>
          <w:sz w:val="20"/>
          <w:szCs w:val="20"/>
          <w:lang w:val="es-ES"/>
        </w:rPr>
        <w:t>grado</w:t>
      </w:r>
      <w:r w:rsidR="00DA7A6A"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r w:rsidR="0093050F" w:rsidRPr="00537F75">
        <w:rPr>
          <w:rFonts w:asciiTheme="majorHAnsi" w:hAnsiTheme="majorHAnsi"/>
          <w:sz w:val="20"/>
          <w:szCs w:val="20"/>
          <w:lang w:val="es-ES"/>
        </w:rPr>
        <w:t>el jurado</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emitió un veredicto de pena de muerte, y el Tribunal de Circuito de la Ciudad de </w:t>
      </w:r>
      <w:r w:rsidR="00DA7A6A" w:rsidRPr="00537F75">
        <w:rPr>
          <w:rFonts w:asciiTheme="majorHAnsi" w:hAnsiTheme="majorHAnsi"/>
          <w:sz w:val="20"/>
          <w:szCs w:val="20"/>
          <w:lang w:val="es-ES"/>
        </w:rPr>
        <w:t>St.</w:t>
      </w:r>
      <w:r w:rsidR="00B059EC" w:rsidRPr="00537F75">
        <w:rPr>
          <w:rFonts w:asciiTheme="majorHAnsi" w:hAnsiTheme="majorHAnsi"/>
          <w:sz w:val="20"/>
          <w:szCs w:val="20"/>
          <w:lang w:val="es-ES"/>
        </w:rPr>
        <w:t xml:space="preserve"> </w:t>
      </w:r>
      <w:r w:rsidR="00DA7A6A" w:rsidRPr="00537F75">
        <w:rPr>
          <w:rFonts w:asciiTheme="majorHAnsi" w:hAnsiTheme="majorHAnsi"/>
          <w:sz w:val="20"/>
          <w:szCs w:val="20"/>
          <w:lang w:val="es-ES"/>
        </w:rPr>
        <w:t>Louis</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lo condenó a </w:t>
      </w:r>
      <w:r w:rsidR="00817426" w:rsidRPr="00537F75">
        <w:rPr>
          <w:rFonts w:asciiTheme="majorHAnsi" w:hAnsiTheme="majorHAnsi"/>
          <w:sz w:val="20"/>
          <w:szCs w:val="20"/>
          <w:lang w:val="es-ES"/>
        </w:rPr>
        <w:t>muerte</w:t>
      </w:r>
      <w:r w:rsidR="00DA7A6A"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Según la información proporcionada por </w:t>
      </w:r>
      <w:r w:rsidR="000E2468" w:rsidRPr="00537F75">
        <w:rPr>
          <w:rFonts w:asciiTheme="majorHAnsi" w:hAnsiTheme="majorHAnsi"/>
          <w:sz w:val="20"/>
          <w:szCs w:val="20"/>
          <w:lang w:val="es-ES"/>
        </w:rPr>
        <w:t>el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Estado</w:t>
      </w:r>
      <w:r w:rsidR="00DA7A6A"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no </w:t>
      </w:r>
      <w:r w:rsidR="004B2FD3">
        <w:rPr>
          <w:rFonts w:asciiTheme="majorHAnsi" w:hAnsiTheme="majorHAnsi"/>
          <w:sz w:val="20"/>
          <w:szCs w:val="20"/>
          <w:lang w:val="es-ES"/>
        </w:rPr>
        <w:t>controvertida</w:t>
      </w:r>
      <w:r>
        <w:rPr>
          <w:rFonts w:asciiTheme="majorHAnsi" w:hAnsiTheme="majorHAnsi"/>
          <w:sz w:val="20"/>
          <w:szCs w:val="20"/>
          <w:lang w:val="es-ES"/>
        </w:rPr>
        <w:t xml:space="preserve"> por los peticionarios</w:t>
      </w:r>
      <w:r w:rsidR="00DA7A6A"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r w:rsidR="0093050F" w:rsidRPr="00537F75">
        <w:rPr>
          <w:rFonts w:asciiTheme="majorHAnsi" w:hAnsiTheme="majorHAnsi"/>
          <w:sz w:val="20"/>
          <w:szCs w:val="20"/>
          <w:lang w:val="es-ES"/>
        </w:rPr>
        <w:t>el jurado</w:t>
      </w:r>
      <w:r w:rsidR="00B059EC" w:rsidRPr="00537F75">
        <w:rPr>
          <w:rFonts w:asciiTheme="majorHAnsi" w:hAnsiTheme="majorHAnsi"/>
          <w:sz w:val="20"/>
          <w:szCs w:val="20"/>
          <w:lang w:val="es-ES"/>
        </w:rPr>
        <w:t xml:space="preserve"> </w:t>
      </w:r>
      <w:r>
        <w:rPr>
          <w:rFonts w:asciiTheme="majorHAnsi" w:hAnsiTheme="majorHAnsi"/>
          <w:sz w:val="20"/>
          <w:szCs w:val="20"/>
          <w:lang w:val="es-ES"/>
        </w:rPr>
        <w:t xml:space="preserve">encontró seis agravantes establecidas por ley en relación con cada cargo de homicidio y en eso se basó para considerar la pena </w:t>
      </w:r>
      <w:r w:rsidR="00DA7A6A" w:rsidRPr="00537F75">
        <w:rPr>
          <w:rFonts w:asciiTheme="majorHAnsi" w:hAnsiTheme="majorHAnsi"/>
          <w:sz w:val="20"/>
          <w:szCs w:val="20"/>
          <w:lang w:val="es-ES"/>
        </w:rPr>
        <w:t>capital</w:t>
      </w:r>
      <w:r>
        <w:rPr>
          <w:rFonts w:asciiTheme="majorHAnsi" w:hAnsiTheme="majorHAnsi"/>
          <w:sz w:val="20"/>
          <w:szCs w:val="20"/>
          <w:lang w:val="es-ES"/>
        </w:rPr>
        <w:t>. En el expediente no hay ninguna información que indique cuáles de las agravantes establecidas en las leyes de Misuri fueron</w:t>
      </w:r>
      <w:r w:rsidR="00F776B4">
        <w:rPr>
          <w:rFonts w:asciiTheme="majorHAnsi" w:hAnsiTheme="majorHAnsi"/>
          <w:sz w:val="20"/>
          <w:szCs w:val="20"/>
          <w:lang w:val="es-ES"/>
        </w:rPr>
        <w:t xml:space="preserve"> </w:t>
      </w:r>
      <w:r>
        <w:rPr>
          <w:rFonts w:asciiTheme="majorHAnsi" w:hAnsiTheme="majorHAnsi"/>
          <w:sz w:val="20"/>
          <w:szCs w:val="20"/>
          <w:lang w:val="es-ES"/>
        </w:rPr>
        <w:t xml:space="preserve">consideradas </w:t>
      </w:r>
      <w:r w:rsidR="004368FD">
        <w:rPr>
          <w:rFonts w:asciiTheme="majorHAnsi" w:hAnsiTheme="majorHAnsi"/>
          <w:sz w:val="20"/>
          <w:szCs w:val="20"/>
          <w:lang w:val="es-ES"/>
        </w:rPr>
        <w:t xml:space="preserve">por </w:t>
      </w:r>
      <w:r w:rsidR="0093050F" w:rsidRPr="00537F75">
        <w:rPr>
          <w:rFonts w:asciiTheme="majorHAnsi" w:hAnsiTheme="majorHAnsi"/>
          <w:sz w:val="20"/>
          <w:szCs w:val="20"/>
          <w:lang w:val="es-ES"/>
        </w:rPr>
        <w:t>el jurado</w:t>
      </w:r>
      <w:r w:rsidR="002E21F2"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r w:rsidR="004368FD">
        <w:rPr>
          <w:rFonts w:asciiTheme="majorHAnsi" w:hAnsiTheme="majorHAnsi"/>
          <w:sz w:val="20"/>
          <w:szCs w:val="20"/>
          <w:lang w:val="es-ES"/>
        </w:rPr>
        <w:t>Sin embargo, en las</w:t>
      </w:r>
      <w:r w:rsidR="00B059EC" w:rsidRPr="00537F75">
        <w:rPr>
          <w:rFonts w:asciiTheme="majorHAnsi" w:hAnsiTheme="majorHAnsi"/>
          <w:sz w:val="20"/>
          <w:szCs w:val="20"/>
          <w:lang w:val="es-ES"/>
        </w:rPr>
        <w:t xml:space="preserve"> </w:t>
      </w:r>
      <w:r w:rsidR="00252C93" w:rsidRPr="00537F75">
        <w:rPr>
          <w:rFonts w:asciiTheme="majorHAnsi" w:hAnsiTheme="majorHAnsi"/>
          <w:sz w:val="20"/>
          <w:szCs w:val="20"/>
          <w:lang w:val="es-ES"/>
        </w:rPr>
        <w:t>decision</w:t>
      </w:r>
      <w:r w:rsidR="004368FD">
        <w:rPr>
          <w:rFonts w:asciiTheme="majorHAnsi" w:hAnsiTheme="majorHAnsi"/>
          <w:sz w:val="20"/>
          <w:szCs w:val="20"/>
          <w:lang w:val="es-ES"/>
        </w:rPr>
        <w:t>e</w:t>
      </w:r>
      <w:r w:rsidR="00252C93" w:rsidRPr="00537F75">
        <w:rPr>
          <w:rFonts w:asciiTheme="majorHAnsi" w:hAnsiTheme="majorHAnsi"/>
          <w:sz w:val="20"/>
          <w:szCs w:val="20"/>
          <w:lang w:val="es-ES"/>
        </w:rPr>
        <w:t>s</w:t>
      </w:r>
      <w:r w:rsidR="00B059EC" w:rsidRPr="00537F75">
        <w:rPr>
          <w:rFonts w:asciiTheme="majorHAnsi" w:hAnsiTheme="majorHAnsi"/>
          <w:sz w:val="20"/>
          <w:szCs w:val="20"/>
          <w:lang w:val="es-ES"/>
        </w:rPr>
        <w:t xml:space="preserve"> </w:t>
      </w:r>
      <w:r w:rsidR="004368FD">
        <w:rPr>
          <w:rFonts w:asciiTheme="majorHAnsi" w:hAnsiTheme="majorHAnsi"/>
          <w:sz w:val="20"/>
          <w:szCs w:val="20"/>
          <w:lang w:val="es-ES"/>
        </w:rPr>
        <w:t xml:space="preserve">emitidas en la apelación y en la etapa </w:t>
      </w:r>
      <w:proofErr w:type="spellStart"/>
      <w:r w:rsidR="004368FD">
        <w:rPr>
          <w:rFonts w:asciiTheme="majorHAnsi" w:hAnsiTheme="majorHAnsi"/>
          <w:sz w:val="20"/>
          <w:szCs w:val="20"/>
          <w:lang w:val="es-ES"/>
        </w:rPr>
        <w:t>poscondenatoria</w:t>
      </w:r>
      <w:proofErr w:type="spellEnd"/>
      <w:r w:rsidR="004368FD">
        <w:rPr>
          <w:rFonts w:asciiTheme="majorHAnsi" w:hAnsiTheme="majorHAnsi"/>
          <w:sz w:val="20"/>
          <w:szCs w:val="20"/>
          <w:lang w:val="es-ES"/>
        </w:rPr>
        <w:t xml:space="preserve"> se indica que había pruebas de amenazas proferidas por </w:t>
      </w:r>
      <w:r w:rsidR="000E2468" w:rsidRPr="00537F75">
        <w:rPr>
          <w:rFonts w:asciiTheme="majorHAnsi" w:hAnsiTheme="majorHAnsi"/>
          <w:sz w:val="20"/>
          <w:szCs w:val="20"/>
          <w:lang w:val="es-ES"/>
        </w:rPr>
        <w:t>el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r w:rsidR="002972C2" w:rsidRPr="00537F75">
        <w:rPr>
          <w:rFonts w:asciiTheme="majorHAnsi" w:hAnsiTheme="majorHAnsi"/>
          <w:sz w:val="20"/>
          <w:szCs w:val="20"/>
          <w:lang w:val="es-ES"/>
        </w:rPr>
        <w:t>Gray</w:t>
      </w:r>
      <w:r w:rsidR="00B059EC" w:rsidRPr="00537F75">
        <w:rPr>
          <w:rFonts w:asciiTheme="majorHAnsi" w:hAnsiTheme="majorHAnsi"/>
          <w:sz w:val="20"/>
          <w:szCs w:val="20"/>
          <w:lang w:val="es-ES"/>
        </w:rPr>
        <w:t xml:space="preserve"> </w:t>
      </w:r>
      <w:r w:rsidR="002972C2" w:rsidRPr="00537F75">
        <w:rPr>
          <w:rFonts w:asciiTheme="majorHAnsi" w:hAnsiTheme="majorHAnsi"/>
          <w:sz w:val="20"/>
          <w:szCs w:val="20"/>
          <w:lang w:val="es-ES"/>
        </w:rPr>
        <w:t>o</w:t>
      </w:r>
      <w:r w:rsidR="004368FD">
        <w:rPr>
          <w:rFonts w:asciiTheme="majorHAnsi" w:hAnsiTheme="majorHAnsi"/>
          <w:sz w:val="20"/>
          <w:szCs w:val="20"/>
          <w:lang w:val="es-ES"/>
        </w:rPr>
        <w:t xml:space="preserve"> en su presencia, que el señor Gray continuó la actividad delictiva después de formular esas amenazas y que participó en una discusión sobre si debían matar al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proofErr w:type="spellStart"/>
      <w:r w:rsidR="002972C2" w:rsidRPr="00537F75">
        <w:rPr>
          <w:rFonts w:asciiTheme="majorHAnsi" w:hAnsiTheme="majorHAnsi"/>
          <w:sz w:val="20"/>
          <w:szCs w:val="20"/>
          <w:lang w:val="es-ES"/>
        </w:rPr>
        <w:t>Cummins</w:t>
      </w:r>
      <w:proofErr w:type="spellEnd"/>
      <w:r w:rsidR="004368FD">
        <w:rPr>
          <w:rFonts w:asciiTheme="majorHAnsi" w:hAnsiTheme="majorHAnsi"/>
          <w:sz w:val="20"/>
          <w:szCs w:val="20"/>
          <w:lang w:val="es-ES"/>
        </w:rPr>
        <w:t>, seguida de un atentado contra la vida d</w:t>
      </w:r>
      <w:r w:rsidR="000E2468" w:rsidRPr="00537F75">
        <w:rPr>
          <w:rFonts w:asciiTheme="majorHAnsi" w:hAnsiTheme="majorHAnsi"/>
          <w:sz w:val="20"/>
          <w:szCs w:val="20"/>
          <w:lang w:val="es-ES"/>
        </w:rPr>
        <w:t>el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proofErr w:type="spellStart"/>
      <w:r w:rsidR="002972C2" w:rsidRPr="00537F75">
        <w:rPr>
          <w:rFonts w:asciiTheme="majorHAnsi" w:hAnsiTheme="majorHAnsi"/>
          <w:sz w:val="20"/>
          <w:szCs w:val="20"/>
          <w:lang w:val="es-ES"/>
        </w:rPr>
        <w:t>Cummin</w:t>
      </w:r>
      <w:r w:rsidR="00413EE3">
        <w:rPr>
          <w:rFonts w:asciiTheme="majorHAnsi" w:hAnsiTheme="majorHAnsi"/>
          <w:sz w:val="20"/>
          <w:szCs w:val="20"/>
          <w:lang w:val="es-ES"/>
        </w:rPr>
        <w:t>s</w:t>
      </w:r>
      <w:proofErr w:type="spellEnd"/>
      <w:r w:rsidR="004368FD">
        <w:rPr>
          <w:rFonts w:asciiTheme="majorHAnsi" w:hAnsiTheme="majorHAnsi"/>
          <w:sz w:val="20"/>
          <w:szCs w:val="20"/>
          <w:lang w:val="es-ES"/>
        </w:rPr>
        <w:t xml:space="preserve"> y los dos homicidios. Los tribunales consideraron que estas pruebas, combinadas con el </w:t>
      </w:r>
      <w:r w:rsidR="004B2FD3">
        <w:rPr>
          <w:rFonts w:asciiTheme="majorHAnsi" w:hAnsiTheme="majorHAnsi"/>
          <w:sz w:val="20"/>
          <w:szCs w:val="20"/>
          <w:lang w:val="es-ES"/>
        </w:rPr>
        <w:t>rol</w:t>
      </w:r>
      <w:r w:rsidR="004368FD">
        <w:rPr>
          <w:rFonts w:asciiTheme="majorHAnsi" w:hAnsiTheme="majorHAnsi"/>
          <w:sz w:val="20"/>
          <w:szCs w:val="20"/>
          <w:lang w:val="es-ES"/>
        </w:rPr>
        <w:t xml:space="preserve"> de</w:t>
      </w:r>
      <w:r w:rsidR="000E2468" w:rsidRPr="00537F75">
        <w:rPr>
          <w:rFonts w:asciiTheme="majorHAnsi" w:hAnsiTheme="majorHAnsi"/>
          <w:sz w:val="20"/>
          <w:szCs w:val="20"/>
          <w:lang w:val="es-ES"/>
        </w:rPr>
        <w:t>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r w:rsidR="002972C2" w:rsidRPr="00537F75">
        <w:rPr>
          <w:rFonts w:asciiTheme="majorHAnsi" w:hAnsiTheme="majorHAnsi"/>
          <w:sz w:val="20"/>
          <w:szCs w:val="20"/>
          <w:lang w:val="es-ES"/>
        </w:rPr>
        <w:lastRenderedPageBreak/>
        <w:t>Gray</w:t>
      </w:r>
      <w:r w:rsidR="004368FD">
        <w:rPr>
          <w:rFonts w:asciiTheme="majorHAnsi" w:hAnsiTheme="majorHAnsi"/>
          <w:sz w:val="20"/>
          <w:szCs w:val="20"/>
          <w:lang w:val="es-ES"/>
        </w:rPr>
        <w:t xml:space="preserve"> en el grupo y con el hecho de que, antes de irse del puente, estaba convencido de que su cómplice había ido a ahogar a </w:t>
      </w:r>
      <w:r w:rsidR="002972C2" w:rsidRPr="00537F75">
        <w:rPr>
          <w:rFonts w:asciiTheme="majorHAnsi" w:hAnsiTheme="majorHAnsi"/>
          <w:sz w:val="20"/>
          <w:szCs w:val="20"/>
          <w:lang w:val="es-ES"/>
        </w:rPr>
        <w:t>Julie</w:t>
      </w:r>
      <w:r w:rsidR="00B059EC" w:rsidRPr="00537F75">
        <w:rPr>
          <w:rFonts w:asciiTheme="majorHAnsi" w:hAnsiTheme="majorHAnsi"/>
          <w:sz w:val="20"/>
          <w:szCs w:val="20"/>
          <w:lang w:val="es-ES"/>
        </w:rPr>
        <w:t xml:space="preserve"> </w:t>
      </w:r>
      <w:r w:rsidR="002972C2" w:rsidRPr="00537F75">
        <w:rPr>
          <w:rFonts w:asciiTheme="majorHAnsi" w:hAnsiTheme="majorHAnsi"/>
          <w:sz w:val="20"/>
          <w:szCs w:val="20"/>
          <w:lang w:val="es-ES"/>
        </w:rPr>
        <w:t>Kerry</w:t>
      </w:r>
      <w:r w:rsidR="00B059EC" w:rsidRPr="00537F75">
        <w:rPr>
          <w:rFonts w:asciiTheme="majorHAnsi" w:hAnsiTheme="majorHAnsi"/>
          <w:sz w:val="20"/>
          <w:szCs w:val="20"/>
          <w:lang w:val="es-ES"/>
        </w:rPr>
        <w:t xml:space="preserve"> </w:t>
      </w:r>
      <w:r w:rsidR="004368FD">
        <w:rPr>
          <w:rFonts w:asciiTheme="majorHAnsi" w:hAnsiTheme="majorHAnsi"/>
          <w:sz w:val="20"/>
          <w:szCs w:val="20"/>
          <w:lang w:val="es-ES"/>
        </w:rPr>
        <w:t xml:space="preserve">en el río, eran suficientes para que </w:t>
      </w:r>
      <w:r w:rsidR="0093050F" w:rsidRPr="00537F75">
        <w:rPr>
          <w:rFonts w:asciiTheme="majorHAnsi" w:hAnsiTheme="majorHAnsi"/>
          <w:sz w:val="20"/>
          <w:szCs w:val="20"/>
          <w:lang w:val="es-ES"/>
        </w:rPr>
        <w:t>el jurado</w:t>
      </w:r>
      <w:r w:rsidR="00B059EC" w:rsidRPr="00537F75">
        <w:rPr>
          <w:rFonts w:asciiTheme="majorHAnsi" w:hAnsiTheme="majorHAnsi"/>
          <w:sz w:val="20"/>
          <w:szCs w:val="20"/>
          <w:lang w:val="es-ES"/>
        </w:rPr>
        <w:t xml:space="preserve"> </w:t>
      </w:r>
      <w:r w:rsidR="004368FD">
        <w:rPr>
          <w:rFonts w:asciiTheme="majorHAnsi" w:hAnsiTheme="majorHAnsi"/>
          <w:sz w:val="20"/>
          <w:szCs w:val="20"/>
          <w:lang w:val="es-ES"/>
        </w:rPr>
        <w:t xml:space="preserve">infiriera que </w:t>
      </w:r>
      <w:r w:rsidR="000E2468" w:rsidRPr="00537F75">
        <w:rPr>
          <w:rFonts w:asciiTheme="majorHAnsi" w:hAnsiTheme="majorHAnsi"/>
          <w:sz w:val="20"/>
          <w:szCs w:val="20"/>
          <w:lang w:val="es-ES"/>
        </w:rPr>
        <w:t>el</w:t>
      </w:r>
      <w:r w:rsidR="00B059EC" w:rsidRPr="00537F75">
        <w:rPr>
          <w:rFonts w:asciiTheme="majorHAnsi" w:hAnsiTheme="majorHAnsi"/>
          <w:sz w:val="20"/>
          <w:szCs w:val="20"/>
          <w:lang w:val="es-ES"/>
        </w:rPr>
        <w:t xml:space="preserve"> </w:t>
      </w:r>
      <w:r w:rsidR="000E2468" w:rsidRPr="00537F75">
        <w:rPr>
          <w:rFonts w:asciiTheme="majorHAnsi" w:hAnsiTheme="majorHAnsi"/>
          <w:sz w:val="20"/>
          <w:szCs w:val="20"/>
          <w:lang w:val="es-ES"/>
        </w:rPr>
        <w:t>señor</w:t>
      </w:r>
      <w:r w:rsidR="00B059EC" w:rsidRPr="00537F75">
        <w:rPr>
          <w:rFonts w:asciiTheme="majorHAnsi" w:hAnsiTheme="majorHAnsi"/>
          <w:sz w:val="20"/>
          <w:szCs w:val="20"/>
          <w:lang w:val="es-ES"/>
        </w:rPr>
        <w:t xml:space="preserve"> </w:t>
      </w:r>
      <w:r w:rsidR="002972C2" w:rsidRPr="00537F75">
        <w:rPr>
          <w:rFonts w:asciiTheme="majorHAnsi" w:hAnsiTheme="majorHAnsi"/>
          <w:sz w:val="20"/>
          <w:szCs w:val="20"/>
          <w:lang w:val="es-ES"/>
        </w:rPr>
        <w:t>Gray</w:t>
      </w:r>
      <w:r w:rsidR="00B059EC" w:rsidRPr="00537F75">
        <w:rPr>
          <w:rFonts w:asciiTheme="majorHAnsi" w:hAnsiTheme="majorHAnsi"/>
          <w:sz w:val="20"/>
          <w:szCs w:val="20"/>
          <w:lang w:val="es-ES"/>
        </w:rPr>
        <w:t xml:space="preserve"> </w:t>
      </w:r>
      <w:r w:rsidR="004368FD">
        <w:rPr>
          <w:rFonts w:asciiTheme="majorHAnsi" w:hAnsiTheme="majorHAnsi"/>
          <w:sz w:val="20"/>
          <w:szCs w:val="20"/>
          <w:lang w:val="es-ES"/>
        </w:rPr>
        <w:t xml:space="preserve">tenía la intención consciente de cometer los actos que cometió para que se matara a las </w:t>
      </w:r>
      <w:r w:rsidR="00C851B8" w:rsidRPr="00537F75">
        <w:rPr>
          <w:rFonts w:asciiTheme="majorHAnsi" w:hAnsiTheme="majorHAnsi"/>
          <w:sz w:val="20"/>
          <w:szCs w:val="20"/>
          <w:lang w:val="es-ES"/>
        </w:rPr>
        <w:t>víctima</w:t>
      </w:r>
      <w:r w:rsidR="00103174" w:rsidRPr="00537F75">
        <w:rPr>
          <w:rFonts w:asciiTheme="majorHAnsi" w:hAnsiTheme="majorHAnsi"/>
          <w:sz w:val="20"/>
          <w:szCs w:val="20"/>
          <w:lang w:val="es-ES"/>
        </w:rPr>
        <w:t>s</w:t>
      </w:r>
      <w:r w:rsidR="002972C2" w:rsidRPr="00537F75">
        <w:rPr>
          <w:rFonts w:asciiTheme="majorHAnsi" w:hAnsiTheme="majorHAnsi"/>
          <w:sz w:val="20"/>
          <w:szCs w:val="20"/>
          <w:lang w:val="es-ES"/>
        </w:rPr>
        <w:t>.</w:t>
      </w:r>
      <w:r w:rsidR="00B059EC" w:rsidRPr="00537F75">
        <w:rPr>
          <w:rFonts w:asciiTheme="majorHAnsi" w:hAnsiTheme="majorHAnsi"/>
          <w:sz w:val="20"/>
          <w:szCs w:val="20"/>
          <w:lang w:val="es-ES"/>
        </w:rPr>
        <w:t xml:space="preserve"> </w:t>
      </w:r>
    </w:p>
    <w:p w14:paraId="7A249087" w14:textId="77777777" w:rsidR="00BA273E" w:rsidRPr="009D1E2F" w:rsidRDefault="00BA273E" w:rsidP="00817426">
      <w:pPr>
        <w:pStyle w:val="ListParagraph"/>
        <w:rPr>
          <w:rFonts w:asciiTheme="majorHAnsi" w:hAnsiTheme="majorHAnsi"/>
          <w:sz w:val="20"/>
          <w:szCs w:val="20"/>
          <w:lang w:val="es-ES"/>
        </w:rPr>
      </w:pPr>
    </w:p>
    <w:p w14:paraId="67C98C84" w14:textId="77777777" w:rsidR="00F37044" w:rsidRPr="009D1E2F" w:rsidRDefault="004368FD"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Como ya se </w:t>
      </w:r>
      <w:r w:rsidR="004B2FD3">
        <w:rPr>
          <w:rFonts w:asciiTheme="majorHAnsi" w:hAnsiTheme="majorHAnsi"/>
          <w:sz w:val="20"/>
          <w:szCs w:val="20"/>
          <w:lang w:val="es-ES"/>
        </w:rPr>
        <w:t>indicó</w:t>
      </w:r>
      <w:r>
        <w:rPr>
          <w:rFonts w:asciiTheme="majorHAnsi" w:hAnsiTheme="majorHAnsi"/>
          <w:sz w:val="20"/>
          <w:szCs w:val="20"/>
          <w:lang w:val="es-ES"/>
        </w:rPr>
        <w:t xml:space="preserve">, </w:t>
      </w:r>
      <w:r w:rsidR="00D31D1A" w:rsidRPr="00D31D1A">
        <w:rPr>
          <w:rFonts w:asciiTheme="majorHAnsi" w:hAnsiTheme="majorHAnsi"/>
          <w:sz w:val="20"/>
          <w:szCs w:val="20"/>
          <w:lang w:val="es-ES"/>
        </w:rPr>
        <w:t xml:space="preserve">para cumplir </w:t>
      </w:r>
      <w:r w:rsidR="00CA01A3">
        <w:rPr>
          <w:rFonts w:asciiTheme="majorHAnsi" w:hAnsiTheme="majorHAnsi"/>
          <w:sz w:val="20"/>
          <w:szCs w:val="20"/>
          <w:lang w:val="es-ES"/>
        </w:rPr>
        <w:t xml:space="preserve">con </w:t>
      </w:r>
      <w:r w:rsidR="00D31D1A" w:rsidRPr="00D31D1A">
        <w:rPr>
          <w:rFonts w:asciiTheme="majorHAnsi" w:hAnsiTheme="majorHAnsi"/>
          <w:sz w:val="20"/>
          <w:szCs w:val="20"/>
          <w:lang w:val="es-ES"/>
        </w:rPr>
        <w:t xml:space="preserve">la condición </w:t>
      </w:r>
      <w:r w:rsidR="004B2FD3">
        <w:rPr>
          <w:rFonts w:asciiTheme="majorHAnsi" w:hAnsiTheme="majorHAnsi"/>
          <w:sz w:val="20"/>
          <w:szCs w:val="20"/>
          <w:lang w:val="es-ES"/>
        </w:rPr>
        <w:t>de limitar</w:t>
      </w:r>
      <w:r w:rsidR="00D31D1A" w:rsidRPr="00D31D1A">
        <w:rPr>
          <w:rFonts w:asciiTheme="majorHAnsi" w:hAnsiTheme="majorHAnsi"/>
          <w:sz w:val="20"/>
          <w:szCs w:val="20"/>
          <w:lang w:val="es-ES"/>
        </w:rPr>
        <w:t xml:space="preserve"> la pena capital a los más graves delitos, es necesario tener en cuenta las circunstancias </w:t>
      </w:r>
      <w:r w:rsidR="00CA01A3">
        <w:rPr>
          <w:rFonts w:asciiTheme="majorHAnsi" w:hAnsiTheme="majorHAnsi"/>
          <w:sz w:val="20"/>
          <w:szCs w:val="20"/>
          <w:lang w:val="es-ES"/>
        </w:rPr>
        <w:t>individuales</w:t>
      </w:r>
      <w:r w:rsidR="00D31D1A" w:rsidRPr="00D31D1A">
        <w:rPr>
          <w:rFonts w:asciiTheme="majorHAnsi" w:hAnsiTheme="majorHAnsi"/>
          <w:sz w:val="20"/>
          <w:szCs w:val="20"/>
          <w:lang w:val="es-ES"/>
        </w:rPr>
        <w:t xml:space="preserve"> del delincuente y de su delito </w:t>
      </w:r>
      <w:r w:rsidR="00CA01A3">
        <w:rPr>
          <w:rFonts w:asciiTheme="majorHAnsi" w:hAnsiTheme="majorHAnsi"/>
          <w:sz w:val="20"/>
          <w:szCs w:val="20"/>
          <w:lang w:val="es-ES"/>
        </w:rPr>
        <w:t>a f</w:t>
      </w:r>
      <w:r w:rsidR="00413EE3">
        <w:rPr>
          <w:rFonts w:asciiTheme="majorHAnsi" w:hAnsiTheme="majorHAnsi"/>
          <w:sz w:val="20"/>
          <w:szCs w:val="20"/>
          <w:lang w:val="es-ES"/>
        </w:rPr>
        <w:t xml:space="preserve">in de </w:t>
      </w:r>
      <w:r w:rsidR="00D31D1A" w:rsidRPr="00D31D1A">
        <w:rPr>
          <w:rFonts w:asciiTheme="majorHAnsi" w:hAnsiTheme="majorHAnsi"/>
          <w:sz w:val="20"/>
          <w:szCs w:val="20"/>
          <w:lang w:val="es-ES"/>
        </w:rPr>
        <w:t>determinar si la pena de muerte es una sanción</w:t>
      </w:r>
      <w:r w:rsidR="00B059EC" w:rsidRPr="009D1E2F">
        <w:rPr>
          <w:rFonts w:asciiTheme="majorHAnsi" w:hAnsiTheme="majorHAnsi"/>
          <w:sz w:val="20"/>
          <w:szCs w:val="20"/>
          <w:lang w:val="es-ES"/>
        </w:rPr>
        <w:t xml:space="preserve"> </w:t>
      </w:r>
      <w:r w:rsidR="00AB5DFA" w:rsidRPr="009D1E2F">
        <w:rPr>
          <w:rFonts w:asciiTheme="majorHAnsi" w:hAnsiTheme="majorHAnsi"/>
          <w:sz w:val="20"/>
          <w:szCs w:val="20"/>
          <w:lang w:val="es-ES"/>
        </w:rPr>
        <w:t>permisible</w:t>
      </w:r>
      <w:r w:rsidR="00B059EC" w:rsidRPr="009D1E2F">
        <w:rPr>
          <w:rFonts w:asciiTheme="majorHAnsi" w:hAnsiTheme="majorHAnsi"/>
          <w:sz w:val="20"/>
          <w:szCs w:val="20"/>
          <w:lang w:val="es-ES"/>
        </w:rPr>
        <w:t xml:space="preserve"> </w:t>
      </w:r>
      <w:r w:rsidR="00D31D1A">
        <w:rPr>
          <w:rFonts w:asciiTheme="majorHAnsi" w:hAnsiTheme="majorHAnsi"/>
          <w:sz w:val="20"/>
          <w:szCs w:val="20"/>
          <w:lang w:val="es-ES"/>
        </w:rPr>
        <w:t xml:space="preserve">en cada caso particular. Según </w:t>
      </w:r>
      <w:r w:rsidR="00912DC0">
        <w:rPr>
          <w:rFonts w:asciiTheme="majorHAnsi" w:hAnsiTheme="majorHAnsi"/>
          <w:sz w:val="20"/>
          <w:szCs w:val="20"/>
          <w:lang w:val="es-ES"/>
        </w:rPr>
        <w:t>los estándares</w:t>
      </w:r>
      <w:r w:rsidR="00D31D1A">
        <w:rPr>
          <w:rFonts w:asciiTheme="majorHAnsi" w:hAnsiTheme="majorHAnsi"/>
          <w:sz w:val="20"/>
          <w:szCs w:val="20"/>
          <w:lang w:val="es-ES"/>
        </w:rPr>
        <w:t xml:space="preserve"> </w:t>
      </w:r>
      <w:r w:rsidR="00E50799" w:rsidRPr="009D1E2F">
        <w:rPr>
          <w:rFonts w:asciiTheme="majorHAnsi" w:hAnsiTheme="majorHAnsi"/>
          <w:sz w:val="20"/>
          <w:szCs w:val="20"/>
          <w:lang w:val="es-ES"/>
        </w:rPr>
        <w:t>inter</w:t>
      </w:r>
      <w:r w:rsidR="00D31D1A">
        <w:rPr>
          <w:rFonts w:asciiTheme="majorHAnsi" w:hAnsiTheme="majorHAnsi"/>
          <w:sz w:val="20"/>
          <w:szCs w:val="20"/>
          <w:lang w:val="es-ES"/>
        </w:rPr>
        <w:t>a</w:t>
      </w:r>
      <w:r w:rsidR="00E50799" w:rsidRPr="009D1E2F">
        <w:rPr>
          <w:rFonts w:asciiTheme="majorHAnsi" w:hAnsiTheme="majorHAnsi"/>
          <w:sz w:val="20"/>
          <w:szCs w:val="20"/>
          <w:lang w:val="es-ES"/>
        </w:rPr>
        <w:t>merican</w:t>
      </w:r>
      <w:r w:rsidR="00D31D1A">
        <w:rPr>
          <w:rFonts w:asciiTheme="majorHAnsi" w:hAnsiTheme="majorHAnsi"/>
          <w:sz w:val="20"/>
          <w:szCs w:val="20"/>
          <w:lang w:val="es-ES"/>
        </w:rPr>
        <w:t xml:space="preserve">as, los tribunales </w:t>
      </w:r>
      <w:r w:rsidR="00CA01A3">
        <w:rPr>
          <w:rFonts w:asciiTheme="majorHAnsi" w:hAnsiTheme="majorHAnsi"/>
          <w:sz w:val="20"/>
          <w:szCs w:val="20"/>
          <w:lang w:val="es-ES"/>
        </w:rPr>
        <w:t>nacionales</w:t>
      </w:r>
      <w:r w:rsidR="00D31D1A">
        <w:rPr>
          <w:rFonts w:asciiTheme="majorHAnsi" w:hAnsiTheme="majorHAnsi"/>
          <w:sz w:val="20"/>
          <w:szCs w:val="20"/>
          <w:lang w:val="es-ES"/>
        </w:rPr>
        <w:t xml:space="preserve"> deben hacer una evaluación graduada de la gravedad d</w:t>
      </w:r>
      <w:r w:rsidR="00423F33">
        <w:rPr>
          <w:rFonts w:asciiTheme="majorHAnsi" w:hAnsiTheme="majorHAnsi"/>
          <w:sz w:val="20"/>
          <w:szCs w:val="20"/>
          <w:lang w:val="es-ES"/>
        </w:rPr>
        <w:t>el delito</w:t>
      </w:r>
      <w:r w:rsidR="00B059EC" w:rsidRPr="009D1E2F">
        <w:rPr>
          <w:rFonts w:asciiTheme="majorHAnsi" w:hAnsiTheme="majorHAnsi"/>
          <w:sz w:val="20"/>
          <w:szCs w:val="20"/>
          <w:lang w:val="es-ES"/>
        </w:rPr>
        <w:t xml:space="preserve"> </w:t>
      </w:r>
      <w:r w:rsidR="00E676AB" w:rsidRPr="009D1E2F">
        <w:rPr>
          <w:rFonts w:asciiTheme="majorHAnsi" w:hAnsiTheme="majorHAnsi"/>
          <w:sz w:val="20"/>
          <w:szCs w:val="20"/>
          <w:lang w:val="es-ES"/>
        </w:rPr>
        <w:t>bas</w:t>
      </w:r>
      <w:r w:rsidR="00D31D1A">
        <w:rPr>
          <w:rFonts w:asciiTheme="majorHAnsi" w:hAnsiTheme="majorHAnsi"/>
          <w:sz w:val="20"/>
          <w:szCs w:val="20"/>
          <w:lang w:val="es-ES"/>
        </w:rPr>
        <w:t>ada en ciertos</w:t>
      </w:r>
      <w:r w:rsidR="00B059EC" w:rsidRPr="009D1E2F">
        <w:rPr>
          <w:rFonts w:asciiTheme="majorHAnsi" w:hAnsiTheme="majorHAnsi"/>
          <w:sz w:val="20"/>
          <w:szCs w:val="20"/>
          <w:lang w:val="es-ES"/>
        </w:rPr>
        <w:t xml:space="preserve"> </w:t>
      </w:r>
      <w:r w:rsidR="00E676AB" w:rsidRPr="009D1E2F">
        <w:rPr>
          <w:rFonts w:asciiTheme="majorHAnsi" w:hAnsiTheme="majorHAnsi"/>
          <w:sz w:val="20"/>
          <w:szCs w:val="20"/>
          <w:lang w:val="es-ES"/>
        </w:rPr>
        <w:t>element</w:t>
      </w:r>
      <w:r w:rsidR="00D31D1A">
        <w:rPr>
          <w:rFonts w:asciiTheme="majorHAnsi" w:hAnsiTheme="majorHAnsi"/>
          <w:sz w:val="20"/>
          <w:szCs w:val="20"/>
          <w:lang w:val="es-ES"/>
        </w:rPr>
        <w:t>o</w:t>
      </w:r>
      <w:r w:rsidR="00E676AB" w:rsidRPr="009D1E2F">
        <w:rPr>
          <w:rFonts w:asciiTheme="majorHAnsi" w:hAnsiTheme="majorHAnsi"/>
          <w:sz w:val="20"/>
          <w:szCs w:val="20"/>
          <w:lang w:val="es-ES"/>
        </w:rPr>
        <w:t>s</w:t>
      </w:r>
      <w:r w:rsidR="00D31D1A">
        <w:rPr>
          <w:rFonts w:asciiTheme="majorHAnsi" w:hAnsiTheme="majorHAnsi"/>
          <w:sz w:val="20"/>
          <w:szCs w:val="20"/>
          <w:lang w:val="es-ES"/>
        </w:rPr>
        <w:t xml:space="preserve">, como los motivos del comportamiento, las circunstancias en las cuales se comete el delito y los medios utilizados por </w:t>
      </w:r>
      <w:r w:rsidR="00FE5000">
        <w:rPr>
          <w:rFonts w:asciiTheme="majorHAnsi" w:hAnsiTheme="majorHAnsi"/>
          <w:sz w:val="20"/>
          <w:szCs w:val="20"/>
          <w:lang w:val="es-ES"/>
        </w:rPr>
        <w:t xml:space="preserve">el </w:t>
      </w:r>
      <w:r w:rsidR="00CA01A3">
        <w:rPr>
          <w:rFonts w:asciiTheme="majorHAnsi" w:hAnsiTheme="majorHAnsi"/>
          <w:sz w:val="20"/>
          <w:szCs w:val="20"/>
          <w:lang w:val="es-ES"/>
        </w:rPr>
        <w:t>acusado</w:t>
      </w:r>
      <w:r w:rsidR="00E50799"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5B2164">
        <w:rPr>
          <w:rFonts w:asciiTheme="majorHAnsi" w:hAnsiTheme="majorHAnsi"/>
          <w:sz w:val="20"/>
          <w:szCs w:val="20"/>
          <w:lang w:val="es-ES"/>
        </w:rPr>
        <w:t>de manera que guarde una relación apropiada con los niveles graduados de gravedad de la pena aplicable</w:t>
      </w:r>
      <w:r w:rsidR="00E50799"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3A209F5C" w14:textId="77777777" w:rsidR="00F37044" w:rsidRPr="009D1E2F" w:rsidRDefault="00F37044"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108E6C7C" w14:textId="77777777" w:rsidR="002F4DB7" w:rsidRPr="009D1E2F" w:rsidRDefault="005B216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 xml:space="preserve">La información disponible muestra que, al </w:t>
      </w:r>
      <w:r w:rsidR="00F644B2" w:rsidRPr="009D1E2F">
        <w:rPr>
          <w:rFonts w:asciiTheme="majorHAnsi" w:hAnsiTheme="majorHAnsi"/>
          <w:sz w:val="20"/>
          <w:szCs w:val="20"/>
          <w:lang w:val="es-ES"/>
        </w:rPr>
        <w:t>evalu</w:t>
      </w:r>
      <w:r>
        <w:rPr>
          <w:rFonts w:asciiTheme="majorHAnsi" w:hAnsiTheme="majorHAnsi"/>
          <w:sz w:val="20"/>
          <w:szCs w:val="20"/>
          <w:lang w:val="es-ES"/>
        </w:rPr>
        <w:t xml:space="preserve">ar la culpabilidad </w:t>
      </w:r>
      <w:r w:rsidR="00F644B2" w:rsidRPr="009D1E2F">
        <w:rPr>
          <w:rFonts w:asciiTheme="majorHAnsi" w:hAnsiTheme="majorHAnsi"/>
          <w:sz w:val="20"/>
          <w:szCs w:val="20"/>
          <w:lang w:val="es-ES"/>
        </w:rPr>
        <w:t>individual</w:t>
      </w:r>
      <w:r w:rsidR="00B059EC" w:rsidRPr="009D1E2F">
        <w:rPr>
          <w:rFonts w:asciiTheme="majorHAnsi" w:hAnsiTheme="majorHAnsi"/>
          <w:sz w:val="20"/>
          <w:szCs w:val="20"/>
          <w:lang w:val="es-ES"/>
        </w:rPr>
        <w:t xml:space="preserve"> </w:t>
      </w:r>
      <w:r>
        <w:rPr>
          <w:rFonts w:asciiTheme="majorHAnsi" w:hAnsiTheme="majorHAnsi"/>
          <w:sz w:val="20"/>
          <w:szCs w:val="20"/>
          <w:lang w:val="es-ES"/>
        </w:rPr>
        <w:t>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F644B2" w:rsidRPr="009D1E2F">
        <w:rPr>
          <w:rFonts w:asciiTheme="majorHAnsi" w:hAnsiTheme="majorHAnsi"/>
          <w:sz w:val="20"/>
          <w:szCs w:val="20"/>
          <w:lang w:val="es-ES"/>
        </w:rPr>
        <w:t>Gray</w:t>
      </w:r>
      <w:r>
        <w:rPr>
          <w:rFonts w:asciiTheme="majorHAnsi" w:hAnsiTheme="majorHAnsi"/>
          <w:sz w:val="20"/>
          <w:szCs w:val="20"/>
          <w:lang w:val="es-ES"/>
        </w:rPr>
        <w:t xml:space="preserve">, el jurado tuvo en cuenta las circunstancias agravantes y atenuantes establecidas en la ley e impuso la </w:t>
      </w:r>
      <w:r w:rsidR="00817426" w:rsidRPr="009D1E2F">
        <w:rPr>
          <w:rFonts w:asciiTheme="majorHAnsi" w:hAnsiTheme="majorHAnsi"/>
          <w:sz w:val="20"/>
          <w:szCs w:val="20"/>
          <w:lang w:val="es-ES"/>
        </w:rPr>
        <w:t>pena</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817426" w:rsidRPr="009D1E2F">
        <w:rPr>
          <w:rFonts w:asciiTheme="majorHAnsi" w:hAnsiTheme="majorHAnsi"/>
          <w:sz w:val="20"/>
          <w:szCs w:val="20"/>
          <w:lang w:val="es-ES"/>
        </w:rPr>
        <w:t>muerte</w:t>
      </w:r>
      <w:r w:rsidR="00B059EC" w:rsidRPr="009D1E2F">
        <w:rPr>
          <w:rFonts w:asciiTheme="majorHAnsi" w:hAnsiTheme="majorHAnsi"/>
          <w:sz w:val="20"/>
          <w:szCs w:val="20"/>
          <w:lang w:val="es-ES"/>
        </w:rPr>
        <w:t xml:space="preserve"> </w:t>
      </w:r>
      <w:r w:rsidR="00377B5D">
        <w:rPr>
          <w:rFonts w:asciiTheme="majorHAnsi" w:hAnsiTheme="majorHAnsi"/>
          <w:sz w:val="20"/>
          <w:szCs w:val="20"/>
          <w:lang w:val="es-ES"/>
        </w:rPr>
        <w:t>luego</w:t>
      </w:r>
      <w:r>
        <w:rPr>
          <w:rFonts w:asciiTheme="majorHAnsi" w:hAnsiTheme="majorHAnsi"/>
          <w:sz w:val="20"/>
          <w:szCs w:val="20"/>
          <w:lang w:val="es-ES"/>
        </w:rPr>
        <w:t xml:space="preserve"> de considerar todas las pruebas </w:t>
      </w:r>
      <w:r w:rsidR="00CA01A3">
        <w:rPr>
          <w:rFonts w:asciiTheme="majorHAnsi" w:hAnsiTheme="majorHAnsi"/>
          <w:sz w:val="20"/>
          <w:szCs w:val="20"/>
          <w:lang w:val="es-ES"/>
        </w:rPr>
        <w:t>agravantes o atenuantes de</w:t>
      </w:r>
      <w:r>
        <w:rPr>
          <w:rFonts w:asciiTheme="majorHAnsi" w:hAnsiTheme="majorHAnsi"/>
          <w:sz w:val="20"/>
          <w:szCs w:val="20"/>
          <w:lang w:val="es-ES"/>
        </w:rPr>
        <w:t xml:space="preserve"> la pena</w:t>
      </w:r>
      <w:r w:rsidR="00673C1A"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93050F">
        <w:rPr>
          <w:rFonts w:asciiTheme="majorHAnsi" w:hAnsiTheme="majorHAnsi"/>
          <w:sz w:val="20"/>
          <w:szCs w:val="20"/>
          <w:lang w:val="es-ES"/>
        </w:rPr>
        <w:t>El jurado</w:t>
      </w:r>
      <w:r w:rsidR="00B059EC" w:rsidRPr="009D1E2F">
        <w:rPr>
          <w:rFonts w:asciiTheme="majorHAnsi" w:hAnsiTheme="majorHAnsi"/>
          <w:sz w:val="20"/>
          <w:szCs w:val="20"/>
          <w:lang w:val="es-ES"/>
        </w:rPr>
        <w:t xml:space="preserve"> </w:t>
      </w:r>
      <w:r>
        <w:rPr>
          <w:rFonts w:asciiTheme="majorHAnsi" w:hAnsiTheme="majorHAnsi"/>
          <w:sz w:val="20"/>
          <w:szCs w:val="20"/>
          <w:lang w:val="es-ES"/>
        </w:rPr>
        <w:t>y los</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tribunales </w:t>
      </w:r>
      <w:r w:rsidR="00F712EC">
        <w:rPr>
          <w:rFonts w:asciiTheme="majorHAnsi" w:hAnsiTheme="majorHAnsi"/>
          <w:sz w:val="20"/>
          <w:szCs w:val="20"/>
          <w:lang w:val="es-ES"/>
        </w:rPr>
        <w:t>nacionales</w:t>
      </w:r>
      <w:r w:rsidR="00B059EC" w:rsidRPr="009D1E2F">
        <w:rPr>
          <w:rFonts w:asciiTheme="majorHAnsi" w:hAnsiTheme="majorHAnsi"/>
          <w:sz w:val="20"/>
          <w:szCs w:val="20"/>
          <w:lang w:val="es-ES"/>
        </w:rPr>
        <w:t xml:space="preserve"> </w:t>
      </w:r>
      <w:r w:rsidR="00917EEF" w:rsidRPr="009D1E2F">
        <w:rPr>
          <w:rFonts w:asciiTheme="majorHAnsi" w:hAnsiTheme="majorHAnsi"/>
          <w:sz w:val="20"/>
          <w:szCs w:val="20"/>
          <w:lang w:val="es-ES"/>
        </w:rPr>
        <w:t>consider</w:t>
      </w:r>
      <w:r>
        <w:rPr>
          <w:rFonts w:asciiTheme="majorHAnsi" w:hAnsiTheme="majorHAnsi"/>
          <w:sz w:val="20"/>
          <w:szCs w:val="20"/>
          <w:lang w:val="es-ES"/>
        </w:rPr>
        <w:t>aron las circunstancias individuales d</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A44E4C" w:rsidRPr="009D1E2F">
        <w:rPr>
          <w:rFonts w:asciiTheme="majorHAnsi" w:hAnsiTheme="majorHAnsi"/>
          <w:sz w:val="20"/>
          <w:szCs w:val="20"/>
          <w:lang w:val="es-ES"/>
        </w:rPr>
        <w:t>Gray</w:t>
      </w:r>
      <w:r>
        <w:rPr>
          <w:rFonts w:asciiTheme="majorHAnsi" w:hAnsiTheme="majorHAnsi"/>
          <w:sz w:val="20"/>
          <w:szCs w:val="20"/>
          <w:lang w:val="es-ES"/>
        </w:rPr>
        <w:t xml:space="preserve">, como el hecho de que era la persona de mayor edad del grupo </w:t>
      </w:r>
      <w:r w:rsidR="00A44E4C" w:rsidRPr="009D1E2F">
        <w:rPr>
          <w:rFonts w:asciiTheme="majorHAnsi" w:hAnsiTheme="majorHAnsi"/>
          <w:sz w:val="20"/>
          <w:szCs w:val="20"/>
          <w:lang w:val="es-ES"/>
        </w:rPr>
        <w:t>(</w:t>
      </w:r>
      <w:r w:rsidR="00F712EC">
        <w:rPr>
          <w:rFonts w:asciiTheme="majorHAnsi" w:hAnsiTheme="majorHAnsi"/>
          <w:sz w:val="20"/>
          <w:szCs w:val="20"/>
          <w:lang w:val="es-ES"/>
        </w:rPr>
        <w:t>a</w:t>
      </w:r>
      <w:r>
        <w:rPr>
          <w:rFonts w:asciiTheme="majorHAnsi" w:hAnsiTheme="majorHAnsi"/>
          <w:sz w:val="20"/>
          <w:szCs w:val="20"/>
          <w:lang w:val="es-ES"/>
        </w:rPr>
        <w:t xml:space="preserve">l momento de los hechos, tenía </w:t>
      </w:r>
      <w:r w:rsidR="006E2E1A" w:rsidRPr="009D1E2F">
        <w:rPr>
          <w:rFonts w:asciiTheme="majorHAnsi" w:hAnsiTheme="majorHAnsi"/>
          <w:sz w:val="20"/>
          <w:szCs w:val="20"/>
          <w:lang w:val="es-ES"/>
        </w:rPr>
        <w:t>24</w:t>
      </w:r>
      <w:r w:rsidR="00B059EC" w:rsidRPr="009D1E2F">
        <w:rPr>
          <w:rFonts w:asciiTheme="majorHAnsi" w:hAnsiTheme="majorHAnsi"/>
          <w:sz w:val="20"/>
          <w:szCs w:val="20"/>
          <w:lang w:val="es-ES"/>
        </w:rPr>
        <w:t xml:space="preserve"> </w:t>
      </w:r>
      <w:proofErr w:type="gramStart"/>
      <w:r>
        <w:rPr>
          <w:rFonts w:asciiTheme="majorHAnsi" w:hAnsiTheme="majorHAnsi"/>
          <w:sz w:val="20"/>
          <w:szCs w:val="20"/>
          <w:lang w:val="es-ES"/>
        </w:rPr>
        <w:t>años de edad</w:t>
      </w:r>
      <w:proofErr w:type="gramEnd"/>
      <w:r>
        <w:rPr>
          <w:rFonts w:asciiTheme="majorHAnsi" w:hAnsiTheme="majorHAnsi"/>
          <w:sz w:val="20"/>
          <w:szCs w:val="20"/>
          <w:lang w:val="es-ES"/>
        </w:rPr>
        <w:t xml:space="preserve">, mientras que </w:t>
      </w:r>
      <w:r w:rsidR="00A44E4C" w:rsidRPr="009D1E2F">
        <w:rPr>
          <w:rFonts w:asciiTheme="majorHAnsi" w:hAnsiTheme="majorHAnsi"/>
          <w:sz w:val="20"/>
          <w:szCs w:val="20"/>
          <w:lang w:val="es-ES"/>
        </w:rPr>
        <w:t>Winfrey</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tenía </w:t>
      </w:r>
      <w:r w:rsidR="006E2E1A" w:rsidRPr="009D1E2F">
        <w:rPr>
          <w:rFonts w:asciiTheme="majorHAnsi" w:hAnsiTheme="majorHAnsi"/>
          <w:sz w:val="20"/>
          <w:szCs w:val="20"/>
          <w:lang w:val="es-ES"/>
        </w:rPr>
        <w:t>15</w:t>
      </w:r>
      <w:r w:rsidR="00B059EC" w:rsidRPr="009D1E2F">
        <w:rPr>
          <w:rFonts w:asciiTheme="majorHAnsi" w:hAnsiTheme="majorHAnsi"/>
          <w:sz w:val="20"/>
          <w:szCs w:val="20"/>
          <w:lang w:val="es-ES"/>
        </w:rPr>
        <w:t xml:space="preserve"> </w:t>
      </w:r>
      <w:r>
        <w:rPr>
          <w:rFonts w:asciiTheme="majorHAnsi" w:hAnsiTheme="majorHAnsi"/>
          <w:sz w:val="20"/>
          <w:szCs w:val="20"/>
          <w:lang w:val="es-ES"/>
        </w:rPr>
        <w:t>años</w:t>
      </w:r>
      <w:r w:rsidR="006E2E1A"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A44E4C" w:rsidRPr="009D1E2F">
        <w:rPr>
          <w:rFonts w:asciiTheme="majorHAnsi" w:hAnsiTheme="majorHAnsi"/>
          <w:sz w:val="20"/>
          <w:szCs w:val="20"/>
          <w:lang w:val="es-ES"/>
        </w:rPr>
        <w:t>Richardson</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tenía </w:t>
      </w:r>
      <w:r w:rsidR="00A44E4C" w:rsidRPr="009D1E2F">
        <w:rPr>
          <w:rFonts w:asciiTheme="majorHAnsi" w:hAnsiTheme="majorHAnsi"/>
          <w:sz w:val="20"/>
          <w:szCs w:val="20"/>
          <w:lang w:val="es-ES"/>
        </w:rPr>
        <w:t>16</w:t>
      </w:r>
      <w:r>
        <w:rPr>
          <w:rFonts w:asciiTheme="majorHAnsi" w:hAnsiTheme="majorHAnsi"/>
          <w:sz w:val="20"/>
          <w:szCs w:val="20"/>
          <w:lang w:val="es-ES"/>
        </w:rPr>
        <w:t xml:space="preserve"> y </w:t>
      </w:r>
      <w:r w:rsidR="006E2E1A" w:rsidRPr="009D1E2F">
        <w:rPr>
          <w:rFonts w:asciiTheme="majorHAnsi" w:hAnsiTheme="majorHAnsi"/>
          <w:sz w:val="20"/>
          <w:szCs w:val="20"/>
          <w:lang w:val="es-ES"/>
        </w:rPr>
        <w:t>Clemmons</w:t>
      </w:r>
      <w:r w:rsidR="00B059EC" w:rsidRPr="009D1E2F">
        <w:rPr>
          <w:rFonts w:asciiTheme="majorHAnsi" w:hAnsiTheme="majorHAnsi"/>
          <w:sz w:val="20"/>
          <w:szCs w:val="20"/>
          <w:lang w:val="es-ES"/>
        </w:rPr>
        <w:t xml:space="preserve"> </w:t>
      </w:r>
      <w:r w:rsidR="006E2E1A" w:rsidRPr="009D1E2F">
        <w:rPr>
          <w:rFonts w:asciiTheme="majorHAnsi" w:hAnsiTheme="majorHAnsi"/>
          <w:sz w:val="20"/>
          <w:szCs w:val="20"/>
          <w:lang w:val="es-ES"/>
        </w:rPr>
        <w:t>19</w:t>
      </w:r>
      <w:r w:rsidR="00A44E4C" w:rsidRPr="009D1E2F">
        <w:rPr>
          <w:rFonts w:asciiTheme="majorHAnsi" w:hAnsiTheme="majorHAnsi"/>
          <w:sz w:val="20"/>
          <w:szCs w:val="20"/>
          <w:lang w:val="es-ES"/>
        </w:rPr>
        <w:t>)</w:t>
      </w:r>
      <w:r w:rsidR="008F27B1"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También consideraron las circunstancias d</w:t>
      </w:r>
      <w:r w:rsidR="00423F33">
        <w:rPr>
          <w:rFonts w:asciiTheme="majorHAnsi" w:hAnsiTheme="majorHAnsi"/>
          <w:sz w:val="20"/>
          <w:szCs w:val="20"/>
          <w:lang w:val="es-ES"/>
        </w:rPr>
        <w:t>el delito</w:t>
      </w:r>
      <w:r w:rsidR="008F27B1"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Pr>
          <w:rFonts w:asciiTheme="majorHAnsi" w:hAnsiTheme="majorHAnsi"/>
          <w:sz w:val="20"/>
          <w:szCs w:val="20"/>
          <w:lang w:val="es-ES"/>
        </w:rPr>
        <w:t xml:space="preserve">como los </w:t>
      </w:r>
      <w:r w:rsidRPr="009D1E2F">
        <w:rPr>
          <w:rFonts w:asciiTheme="majorHAnsi" w:hAnsiTheme="majorHAnsi"/>
          <w:sz w:val="20"/>
          <w:szCs w:val="20"/>
          <w:lang w:val="es-ES"/>
        </w:rPr>
        <w:t>múltiple</w:t>
      </w:r>
      <w:r>
        <w:rPr>
          <w:rFonts w:asciiTheme="majorHAnsi" w:hAnsiTheme="majorHAnsi"/>
          <w:sz w:val="20"/>
          <w:szCs w:val="20"/>
          <w:lang w:val="es-ES"/>
        </w:rPr>
        <w:t>s</w:t>
      </w:r>
      <w:r w:rsidR="00B059EC" w:rsidRPr="009D1E2F">
        <w:rPr>
          <w:rFonts w:asciiTheme="majorHAnsi" w:hAnsiTheme="majorHAnsi"/>
          <w:sz w:val="20"/>
          <w:szCs w:val="20"/>
          <w:lang w:val="es-ES"/>
        </w:rPr>
        <w:t xml:space="preserve"> </w:t>
      </w:r>
      <w:r w:rsidR="004658D0" w:rsidRPr="009D1E2F">
        <w:rPr>
          <w:rFonts w:asciiTheme="majorHAnsi" w:hAnsiTheme="majorHAnsi"/>
          <w:sz w:val="20"/>
          <w:szCs w:val="20"/>
          <w:lang w:val="es-ES"/>
        </w:rPr>
        <w:t>homicid</w:t>
      </w:r>
      <w:r>
        <w:rPr>
          <w:rFonts w:asciiTheme="majorHAnsi" w:hAnsiTheme="majorHAnsi"/>
          <w:sz w:val="20"/>
          <w:szCs w:val="20"/>
          <w:lang w:val="es-ES"/>
        </w:rPr>
        <w:t xml:space="preserve">ios, las violaciones y el hecho de que el delito se cometió con el fin de evadir la captura y la </w:t>
      </w:r>
      <w:r w:rsidRPr="009D1E2F">
        <w:rPr>
          <w:rFonts w:asciiTheme="majorHAnsi" w:hAnsiTheme="majorHAnsi"/>
          <w:sz w:val="20"/>
          <w:szCs w:val="20"/>
          <w:lang w:val="es-ES"/>
        </w:rPr>
        <w:t>identificación</w:t>
      </w:r>
      <w:r w:rsidR="004658D0"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Pr>
          <w:rFonts w:asciiTheme="majorHAnsi" w:hAnsiTheme="majorHAnsi"/>
          <w:sz w:val="20"/>
          <w:szCs w:val="20"/>
          <w:lang w:val="es-ES"/>
        </w:rPr>
        <w:t>observa asimismo que todas las decisiones</w:t>
      </w:r>
      <w:r w:rsidR="00B059EC" w:rsidRPr="009D1E2F">
        <w:rPr>
          <w:rFonts w:asciiTheme="majorHAnsi" w:hAnsiTheme="majorHAnsi"/>
          <w:sz w:val="20"/>
          <w:szCs w:val="20"/>
          <w:lang w:val="es-ES"/>
        </w:rPr>
        <w:t xml:space="preserve"> </w:t>
      </w:r>
      <w:r w:rsidR="00BB7556" w:rsidRPr="009D1E2F">
        <w:rPr>
          <w:rFonts w:asciiTheme="majorHAnsi" w:hAnsiTheme="majorHAnsi"/>
          <w:sz w:val="20"/>
          <w:szCs w:val="20"/>
          <w:lang w:val="es-ES"/>
        </w:rPr>
        <w:t>judicial</w:t>
      </w:r>
      <w:r>
        <w:rPr>
          <w:rFonts w:asciiTheme="majorHAnsi" w:hAnsiTheme="majorHAnsi"/>
          <w:sz w:val="20"/>
          <w:szCs w:val="20"/>
          <w:lang w:val="es-ES"/>
        </w:rPr>
        <w:t>es</w:t>
      </w:r>
      <w:r w:rsidR="00B059EC" w:rsidRPr="009D1E2F">
        <w:rPr>
          <w:rFonts w:asciiTheme="majorHAnsi" w:hAnsiTheme="majorHAnsi"/>
          <w:sz w:val="20"/>
          <w:szCs w:val="20"/>
          <w:lang w:val="es-ES"/>
        </w:rPr>
        <w:t xml:space="preserve"> </w:t>
      </w:r>
      <w:r w:rsidR="00F712EC">
        <w:rPr>
          <w:rFonts w:asciiTheme="majorHAnsi" w:hAnsiTheme="majorHAnsi"/>
          <w:sz w:val="20"/>
          <w:szCs w:val="20"/>
          <w:lang w:val="es-ES"/>
        </w:rPr>
        <w:t>fueron debidamente motivadas</w:t>
      </w:r>
      <w:r w:rsidR="000B150D">
        <w:rPr>
          <w:rFonts w:asciiTheme="majorHAnsi" w:hAnsiTheme="majorHAnsi"/>
          <w:sz w:val="20"/>
          <w:szCs w:val="20"/>
          <w:lang w:val="es-ES"/>
        </w:rPr>
        <w:t xml:space="preserve"> de conformidad con </w:t>
      </w:r>
      <w:r w:rsidR="00F712EC">
        <w:rPr>
          <w:rFonts w:asciiTheme="majorHAnsi" w:hAnsiTheme="majorHAnsi"/>
          <w:sz w:val="20"/>
          <w:szCs w:val="20"/>
          <w:lang w:val="es-ES"/>
        </w:rPr>
        <w:t>los estándares</w:t>
      </w:r>
      <w:r w:rsidR="000B150D">
        <w:rPr>
          <w:rFonts w:asciiTheme="majorHAnsi" w:hAnsiTheme="majorHAnsi"/>
          <w:sz w:val="20"/>
          <w:szCs w:val="20"/>
          <w:lang w:val="es-ES"/>
        </w:rPr>
        <w:t xml:space="preserve"> </w:t>
      </w:r>
      <w:r w:rsidR="00F712EC">
        <w:rPr>
          <w:rFonts w:asciiTheme="majorHAnsi" w:hAnsiTheme="majorHAnsi"/>
          <w:sz w:val="20"/>
          <w:szCs w:val="20"/>
          <w:lang w:val="es-ES"/>
        </w:rPr>
        <w:t>interamericanos de</w:t>
      </w:r>
      <w:r w:rsidR="000B150D">
        <w:rPr>
          <w:rFonts w:asciiTheme="majorHAnsi" w:hAnsiTheme="majorHAnsi"/>
          <w:sz w:val="20"/>
          <w:szCs w:val="20"/>
          <w:lang w:val="es-ES"/>
        </w:rPr>
        <w:t xml:space="preserve"> derechos humanos</w:t>
      </w:r>
      <w:r w:rsidR="00F712EC">
        <w:rPr>
          <w:rFonts w:asciiTheme="majorHAnsi" w:hAnsiTheme="majorHAnsi"/>
          <w:sz w:val="20"/>
          <w:szCs w:val="20"/>
          <w:lang w:val="es-ES"/>
        </w:rPr>
        <w:t xml:space="preserve"> aplicables</w:t>
      </w:r>
      <w:r w:rsidR="00BB7556" w:rsidRPr="009D1E2F">
        <w:rPr>
          <w:rFonts w:asciiTheme="majorHAnsi" w:hAnsiTheme="majorHAnsi"/>
          <w:sz w:val="20"/>
          <w:szCs w:val="20"/>
          <w:lang w:val="es-ES"/>
        </w:rPr>
        <w:t>.</w:t>
      </w:r>
    </w:p>
    <w:p w14:paraId="42E47F47" w14:textId="77777777" w:rsidR="00A9530F" w:rsidRPr="009D1E2F" w:rsidRDefault="00A9530F" w:rsidP="00817426">
      <w:pPr>
        <w:pStyle w:val="ListParagraph"/>
        <w:rPr>
          <w:rFonts w:asciiTheme="majorHAnsi" w:hAnsiTheme="majorHAnsi"/>
          <w:sz w:val="20"/>
          <w:szCs w:val="20"/>
          <w:lang w:val="es-ES"/>
        </w:rPr>
      </w:pPr>
    </w:p>
    <w:p w14:paraId="52F3A367" w14:textId="77777777" w:rsidR="00A9530F" w:rsidRPr="009D1E2F" w:rsidRDefault="006C32FE"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Cambria" w:hAnsi="Cambria"/>
          <w:sz w:val="20"/>
          <w:szCs w:val="20"/>
          <w:lang w:val="es-ES"/>
        </w:rPr>
        <w:t>Con</w:t>
      </w:r>
      <w:r w:rsidR="00B562BD">
        <w:rPr>
          <w:rFonts w:ascii="Cambria" w:hAnsi="Cambria"/>
          <w:sz w:val="20"/>
          <w:szCs w:val="20"/>
          <w:lang w:val="es-ES"/>
        </w:rPr>
        <w:t xml:space="preserve"> base </w:t>
      </w:r>
      <w:r>
        <w:rPr>
          <w:rFonts w:ascii="Cambria" w:hAnsi="Cambria"/>
          <w:sz w:val="20"/>
          <w:szCs w:val="20"/>
          <w:lang w:val="es-ES"/>
        </w:rPr>
        <w:t>en</w:t>
      </w:r>
      <w:r w:rsidR="00B562BD">
        <w:rPr>
          <w:rFonts w:ascii="Cambria" w:hAnsi="Cambria"/>
          <w:sz w:val="20"/>
          <w:szCs w:val="20"/>
          <w:lang w:val="es-ES"/>
        </w:rPr>
        <w:t xml:space="preserve"> las consideraciones precedentes y de la información que obra en el expediente</w:t>
      </w:r>
      <w:r w:rsidR="00C71F81"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CIDH</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no cuenta con suficientes</w:t>
      </w:r>
      <w:r w:rsidR="00B059EC" w:rsidRPr="009D1E2F">
        <w:rPr>
          <w:rFonts w:asciiTheme="majorHAnsi" w:hAnsiTheme="majorHAnsi"/>
          <w:sz w:val="20"/>
          <w:szCs w:val="20"/>
          <w:lang w:val="es-ES"/>
        </w:rPr>
        <w:t xml:space="preserve"> </w:t>
      </w:r>
      <w:r w:rsidR="00181B73" w:rsidRPr="009D1E2F">
        <w:rPr>
          <w:rFonts w:asciiTheme="majorHAnsi" w:hAnsiTheme="majorHAnsi"/>
          <w:sz w:val="20"/>
          <w:szCs w:val="20"/>
          <w:lang w:val="es-ES"/>
        </w:rPr>
        <w:t>element</w:t>
      </w:r>
      <w:r w:rsidR="00B562BD">
        <w:rPr>
          <w:rFonts w:asciiTheme="majorHAnsi" w:hAnsiTheme="majorHAnsi"/>
          <w:sz w:val="20"/>
          <w:szCs w:val="20"/>
          <w:lang w:val="es-ES"/>
        </w:rPr>
        <w:t>o</w:t>
      </w:r>
      <w:r w:rsidR="00181B73" w:rsidRPr="009D1E2F">
        <w:rPr>
          <w:rFonts w:asciiTheme="majorHAnsi" w:hAnsiTheme="majorHAnsi"/>
          <w:sz w:val="20"/>
          <w:szCs w:val="20"/>
          <w:lang w:val="es-ES"/>
        </w:rPr>
        <w:t>s</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 xml:space="preserve">para concluir que los </w:t>
      </w:r>
      <w:r w:rsidR="005B2164">
        <w:rPr>
          <w:rFonts w:asciiTheme="majorHAnsi" w:hAnsiTheme="majorHAnsi"/>
          <w:sz w:val="20"/>
          <w:szCs w:val="20"/>
          <w:lang w:val="es-ES"/>
        </w:rPr>
        <w:t>tribunales de jurisdicción interna</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 xml:space="preserve">hayan </w:t>
      </w:r>
      <w:r w:rsidR="00C71F81" w:rsidRPr="009D1E2F">
        <w:rPr>
          <w:rFonts w:asciiTheme="majorHAnsi" w:hAnsiTheme="majorHAnsi"/>
          <w:sz w:val="20"/>
          <w:szCs w:val="20"/>
          <w:lang w:val="es-ES"/>
        </w:rPr>
        <w:t>viola</w:t>
      </w:r>
      <w:r w:rsidR="00B562BD">
        <w:rPr>
          <w:rFonts w:asciiTheme="majorHAnsi" w:hAnsiTheme="majorHAnsi"/>
          <w:sz w:val="20"/>
          <w:szCs w:val="20"/>
          <w:lang w:val="es-ES"/>
        </w:rPr>
        <w:t xml:space="preserve">do el </w:t>
      </w:r>
      <w:r w:rsidR="005B3F2B" w:rsidRPr="009D1E2F">
        <w:rPr>
          <w:rFonts w:asciiTheme="majorHAnsi" w:hAnsiTheme="majorHAnsi"/>
          <w:sz w:val="20"/>
          <w:szCs w:val="20"/>
          <w:lang w:val="es-ES"/>
        </w:rPr>
        <w:t>artículo</w:t>
      </w:r>
      <w:r w:rsidR="00B059EC" w:rsidRPr="009D1E2F">
        <w:rPr>
          <w:rFonts w:asciiTheme="majorHAnsi" w:hAnsiTheme="majorHAnsi"/>
          <w:sz w:val="20"/>
          <w:szCs w:val="20"/>
          <w:lang w:val="es-ES"/>
        </w:rPr>
        <w:t xml:space="preserve"> </w:t>
      </w:r>
      <w:r w:rsidR="00181B73" w:rsidRPr="009D1E2F">
        <w:rPr>
          <w:rFonts w:asciiTheme="majorHAnsi" w:hAnsiTheme="majorHAnsi"/>
          <w:sz w:val="20"/>
          <w:szCs w:val="20"/>
          <w:lang w:val="es-ES"/>
        </w:rPr>
        <w:t>I</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de</w:t>
      </w:r>
      <w:r w:rsidR="00B059EC" w:rsidRPr="009D1E2F">
        <w:rPr>
          <w:rFonts w:asciiTheme="majorHAnsi" w:hAnsiTheme="majorHAnsi"/>
          <w:sz w:val="20"/>
          <w:szCs w:val="20"/>
          <w:lang w:val="es-ES"/>
        </w:rPr>
        <w:t xml:space="preserve"> </w:t>
      </w:r>
      <w:r w:rsidR="000D6328" w:rsidRPr="009D1E2F">
        <w:rPr>
          <w:rFonts w:asciiTheme="majorHAnsi" w:hAnsiTheme="majorHAnsi"/>
          <w:sz w:val="20"/>
          <w:szCs w:val="20"/>
          <w:lang w:val="es-ES"/>
        </w:rPr>
        <w:t>la</w:t>
      </w:r>
      <w:r w:rsidR="00B059EC" w:rsidRPr="009D1E2F">
        <w:rPr>
          <w:rFonts w:asciiTheme="majorHAnsi" w:hAnsiTheme="majorHAnsi"/>
          <w:sz w:val="20"/>
          <w:szCs w:val="20"/>
          <w:lang w:val="es-ES"/>
        </w:rPr>
        <w:t xml:space="preserve"> </w:t>
      </w:r>
      <w:r w:rsidR="000D6328" w:rsidRPr="009D1E2F">
        <w:rPr>
          <w:rFonts w:asciiTheme="majorHAnsi" w:hAnsiTheme="majorHAnsi"/>
          <w:sz w:val="20"/>
          <w:szCs w:val="20"/>
          <w:lang w:val="es-ES"/>
        </w:rPr>
        <w:t>Declaración</w:t>
      </w:r>
      <w:r w:rsidR="00B059EC" w:rsidRPr="009D1E2F">
        <w:rPr>
          <w:rFonts w:asciiTheme="majorHAnsi" w:hAnsiTheme="majorHAnsi"/>
          <w:sz w:val="20"/>
          <w:szCs w:val="20"/>
          <w:lang w:val="es-ES"/>
        </w:rPr>
        <w:t xml:space="preserve"> </w:t>
      </w:r>
      <w:r w:rsidR="000D6328" w:rsidRPr="009D1E2F">
        <w:rPr>
          <w:rFonts w:asciiTheme="majorHAnsi" w:hAnsiTheme="majorHAnsi"/>
          <w:sz w:val="20"/>
          <w:szCs w:val="20"/>
          <w:lang w:val="es-ES"/>
        </w:rPr>
        <w:t>Americana</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 xml:space="preserve">al determinar que los actos cometidos por </w:t>
      </w:r>
      <w:r w:rsidR="000E2468" w:rsidRPr="009D1E2F">
        <w:rPr>
          <w:rFonts w:asciiTheme="majorHAnsi" w:hAnsiTheme="majorHAnsi"/>
          <w:sz w:val="20"/>
          <w:szCs w:val="20"/>
          <w:lang w:val="es-ES"/>
        </w:rPr>
        <w:t>el</w:t>
      </w:r>
      <w:r w:rsidR="00B059EC" w:rsidRPr="009D1E2F">
        <w:rPr>
          <w:rFonts w:asciiTheme="majorHAnsi" w:hAnsiTheme="majorHAnsi"/>
          <w:sz w:val="20"/>
          <w:szCs w:val="20"/>
          <w:lang w:val="es-ES"/>
        </w:rPr>
        <w:t xml:space="preserve"> </w:t>
      </w:r>
      <w:r w:rsidR="000E2468" w:rsidRPr="009D1E2F">
        <w:rPr>
          <w:rFonts w:asciiTheme="majorHAnsi" w:hAnsiTheme="majorHAnsi"/>
          <w:sz w:val="20"/>
          <w:szCs w:val="20"/>
          <w:lang w:val="es-ES"/>
        </w:rPr>
        <w:t>señor</w:t>
      </w:r>
      <w:r w:rsidR="00B059EC" w:rsidRPr="009D1E2F">
        <w:rPr>
          <w:rFonts w:asciiTheme="majorHAnsi" w:hAnsiTheme="majorHAnsi"/>
          <w:sz w:val="20"/>
          <w:szCs w:val="20"/>
          <w:lang w:val="es-ES"/>
        </w:rPr>
        <w:t xml:space="preserve"> </w:t>
      </w:r>
      <w:r w:rsidR="008D6465"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constituyeron un delito grave y al</w:t>
      </w:r>
      <w:r w:rsidR="00B059EC" w:rsidRPr="009D1E2F">
        <w:rPr>
          <w:rFonts w:asciiTheme="majorHAnsi" w:hAnsiTheme="majorHAnsi"/>
          <w:sz w:val="20"/>
          <w:szCs w:val="20"/>
          <w:lang w:val="es-ES"/>
        </w:rPr>
        <w:t xml:space="preserve"> </w:t>
      </w:r>
      <w:r w:rsidR="00C71F81" w:rsidRPr="009D1E2F">
        <w:rPr>
          <w:rFonts w:asciiTheme="majorHAnsi" w:hAnsiTheme="majorHAnsi"/>
          <w:sz w:val="20"/>
          <w:szCs w:val="20"/>
          <w:lang w:val="es-ES"/>
        </w:rPr>
        <w:t>impo</w:t>
      </w:r>
      <w:r w:rsidR="00B562BD">
        <w:rPr>
          <w:rFonts w:asciiTheme="majorHAnsi" w:hAnsiTheme="majorHAnsi"/>
          <w:sz w:val="20"/>
          <w:szCs w:val="20"/>
          <w:lang w:val="es-ES"/>
        </w:rPr>
        <w:t xml:space="preserve">ner la pena después de hacer una evaluación graduada de la gravedad del </w:t>
      </w:r>
      <w:r w:rsidR="00423F33">
        <w:rPr>
          <w:rFonts w:asciiTheme="majorHAnsi" w:hAnsiTheme="majorHAnsi"/>
          <w:sz w:val="20"/>
          <w:szCs w:val="20"/>
          <w:lang w:val="es-ES"/>
        </w:rPr>
        <w:t>delito</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y considerar las circunstancias particulares d</w:t>
      </w:r>
      <w:r w:rsidR="00FE5000">
        <w:rPr>
          <w:rFonts w:asciiTheme="majorHAnsi" w:hAnsiTheme="majorHAnsi"/>
          <w:sz w:val="20"/>
          <w:szCs w:val="20"/>
          <w:lang w:val="es-ES"/>
        </w:rPr>
        <w:t xml:space="preserve">el </w:t>
      </w:r>
      <w:r>
        <w:rPr>
          <w:rFonts w:asciiTheme="majorHAnsi" w:hAnsiTheme="majorHAnsi"/>
          <w:sz w:val="20"/>
          <w:szCs w:val="20"/>
          <w:lang w:val="es-ES"/>
        </w:rPr>
        <w:t>acusado</w:t>
      </w:r>
      <w:r w:rsidR="00B059EC" w:rsidRPr="009D1E2F">
        <w:rPr>
          <w:rFonts w:asciiTheme="majorHAnsi" w:hAnsiTheme="majorHAnsi"/>
          <w:sz w:val="20"/>
          <w:szCs w:val="20"/>
          <w:lang w:val="es-ES"/>
        </w:rPr>
        <w:t xml:space="preserve"> </w:t>
      </w:r>
      <w:r w:rsidR="00B562BD">
        <w:rPr>
          <w:rFonts w:asciiTheme="majorHAnsi" w:hAnsiTheme="majorHAnsi"/>
          <w:sz w:val="20"/>
          <w:szCs w:val="20"/>
          <w:lang w:val="es-ES"/>
        </w:rPr>
        <w:t>y su delito</w:t>
      </w:r>
      <w:r w:rsidR="00C71F81" w:rsidRPr="009D1E2F">
        <w:rPr>
          <w:rFonts w:asciiTheme="majorHAnsi" w:hAnsiTheme="majorHAnsi"/>
          <w:sz w:val="20"/>
          <w:szCs w:val="20"/>
          <w:lang w:val="es-ES"/>
        </w:rPr>
        <w:t>.</w:t>
      </w:r>
      <w:r w:rsidR="00B059EC" w:rsidRPr="009D1E2F">
        <w:rPr>
          <w:rFonts w:asciiTheme="majorHAnsi" w:hAnsiTheme="majorHAnsi"/>
          <w:sz w:val="20"/>
          <w:szCs w:val="20"/>
          <w:lang w:val="es-ES"/>
        </w:rPr>
        <w:t xml:space="preserve"> </w:t>
      </w:r>
    </w:p>
    <w:p w14:paraId="67D093BC" w14:textId="77777777" w:rsidR="00DE5D25" w:rsidRPr="009D1E2F" w:rsidRDefault="00E40F91" w:rsidP="00817426">
      <w:pPr>
        <w:pStyle w:val="Heading2"/>
        <w:keepNext w:val="0"/>
        <w:keepLines w:val="0"/>
        <w:numPr>
          <w:ilvl w:val="0"/>
          <w:numId w:val="58"/>
        </w:numPr>
        <w:ind w:left="360"/>
        <w:jc w:val="both"/>
        <w:rPr>
          <w:rFonts w:eastAsia="Arial Unicode MS"/>
          <w:color w:val="auto"/>
          <w:sz w:val="20"/>
          <w:szCs w:val="20"/>
          <w:lang w:val="es-ES"/>
        </w:rPr>
      </w:pPr>
      <w:bookmarkStart w:id="23" w:name="_Toc535334404"/>
      <w:bookmarkStart w:id="24" w:name="_Toc90284832"/>
      <w:r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privación</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libertad</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en</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el</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corredor</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muerte</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y</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el</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derecho</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protección</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contra</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un</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castigo</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cruel,</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infamante</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o</w:t>
      </w:r>
      <w:r w:rsidR="00B059EC" w:rsidRPr="009D1E2F">
        <w:rPr>
          <w:rFonts w:eastAsia="Arial Unicode MS"/>
          <w:color w:val="auto"/>
          <w:sz w:val="20"/>
          <w:szCs w:val="20"/>
          <w:lang w:val="es-ES"/>
        </w:rPr>
        <w:t xml:space="preserve"> </w:t>
      </w:r>
      <w:r w:rsidRPr="009D1E2F">
        <w:rPr>
          <w:rFonts w:eastAsia="Arial Unicode MS"/>
          <w:color w:val="auto"/>
          <w:sz w:val="20"/>
          <w:szCs w:val="20"/>
          <w:lang w:val="es-ES"/>
        </w:rPr>
        <w:t>inusitado</w:t>
      </w:r>
      <w:r w:rsidR="00DE5D25" w:rsidRPr="009D1E2F">
        <w:rPr>
          <w:rStyle w:val="FootnoteReference"/>
          <w:rFonts w:ascii="Cambria" w:eastAsia="Arial Unicode MS" w:hAnsi="Cambria"/>
          <w:bCs w:val="0"/>
          <w:color w:val="auto"/>
          <w:sz w:val="20"/>
          <w:szCs w:val="20"/>
          <w:lang w:val="es-ES"/>
        </w:rPr>
        <w:footnoteReference w:id="64"/>
      </w:r>
      <w:bookmarkEnd w:id="23"/>
      <w:bookmarkEnd w:id="24"/>
      <w:r w:rsidR="00B059EC" w:rsidRPr="009D1E2F">
        <w:rPr>
          <w:rStyle w:val="FootnoteReference"/>
          <w:rFonts w:ascii="Cambria" w:eastAsia="Arial Unicode MS" w:hAnsi="Cambria"/>
          <w:bCs w:val="0"/>
          <w:color w:val="auto"/>
          <w:sz w:val="20"/>
          <w:szCs w:val="20"/>
          <w:lang w:val="es-ES"/>
        </w:rPr>
        <w:t xml:space="preserve"> </w:t>
      </w:r>
    </w:p>
    <w:p w14:paraId="47C09406" w14:textId="77777777" w:rsidR="00DE5D25" w:rsidRPr="009D1E2F" w:rsidRDefault="00DE5D25" w:rsidP="00817426">
      <w:pPr>
        <w:tabs>
          <w:tab w:val="left" w:pos="360"/>
        </w:tabs>
        <w:suppressAutoHyphens/>
        <w:jc w:val="both"/>
        <w:rPr>
          <w:rFonts w:ascii="Cambria" w:hAnsi="Cambria"/>
          <w:b/>
          <w:sz w:val="20"/>
          <w:szCs w:val="20"/>
          <w:lang w:val="es-ES"/>
        </w:rPr>
      </w:pPr>
    </w:p>
    <w:p w14:paraId="41FB8644" w14:textId="77777777" w:rsidR="003D3CD4" w:rsidRPr="009D1E2F" w:rsidRDefault="00C0501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Cambria" w:hAnsi="Cambria" w:cs="Arial"/>
          <w:sz w:val="20"/>
          <w:szCs w:val="20"/>
          <w:lang w:val="es-ES"/>
        </w:rPr>
        <w:t>Tanto</w:t>
      </w:r>
      <w:r w:rsidR="00B059EC" w:rsidRPr="009D1E2F">
        <w:rPr>
          <w:rFonts w:ascii="Cambria" w:hAnsi="Cambria" w:cs="Arial"/>
          <w:sz w:val="20"/>
          <w:szCs w:val="20"/>
          <w:lang w:val="es-ES"/>
        </w:rPr>
        <w:t xml:space="preserve"> </w:t>
      </w:r>
      <w:r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Pr="009D1E2F">
        <w:rPr>
          <w:rFonts w:ascii="Cambria" w:hAnsi="Cambria" w:cs="Arial"/>
          <w:sz w:val="20"/>
          <w:szCs w:val="20"/>
          <w:lang w:val="es-ES"/>
        </w:rPr>
        <w:t>derecho</w:t>
      </w:r>
      <w:r w:rsidR="00B059EC" w:rsidRPr="009D1E2F">
        <w:rPr>
          <w:rFonts w:ascii="Cambria" w:hAnsi="Cambria" w:cs="Arial"/>
          <w:sz w:val="20"/>
          <w:szCs w:val="20"/>
          <w:lang w:val="es-ES"/>
        </w:rPr>
        <w:t xml:space="preserve"> </w:t>
      </w:r>
      <w:r w:rsidRPr="009D1E2F">
        <w:rPr>
          <w:rFonts w:ascii="Cambria" w:hAnsi="Cambria" w:cs="Arial"/>
          <w:sz w:val="20"/>
          <w:szCs w:val="20"/>
          <w:lang w:val="es-ES"/>
        </w:rPr>
        <w:t>internacional</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los</w:t>
      </w:r>
      <w:r w:rsidR="00B059EC" w:rsidRPr="009D1E2F">
        <w:rPr>
          <w:rFonts w:ascii="Cambria" w:hAnsi="Cambria" w:cs="Arial"/>
          <w:sz w:val="20"/>
          <w:szCs w:val="20"/>
          <w:lang w:val="es-ES"/>
        </w:rPr>
        <w:t xml:space="preserve"> </w:t>
      </w:r>
      <w:r w:rsidRPr="009D1E2F">
        <w:rPr>
          <w:rFonts w:ascii="Cambria" w:hAnsi="Cambria" w:cs="Arial"/>
          <w:sz w:val="20"/>
          <w:szCs w:val="20"/>
          <w:lang w:val="es-ES"/>
        </w:rPr>
        <w:t>derechos</w:t>
      </w:r>
      <w:r w:rsidR="00B059EC" w:rsidRPr="009D1E2F">
        <w:rPr>
          <w:rFonts w:ascii="Cambria" w:hAnsi="Cambria" w:cs="Arial"/>
          <w:sz w:val="20"/>
          <w:szCs w:val="20"/>
          <w:lang w:val="es-ES"/>
        </w:rPr>
        <w:t xml:space="preserve"> </w:t>
      </w:r>
      <w:r w:rsidRPr="009D1E2F">
        <w:rPr>
          <w:rFonts w:ascii="Cambria" w:hAnsi="Cambria" w:cs="Arial"/>
          <w:sz w:val="20"/>
          <w:szCs w:val="20"/>
          <w:lang w:val="es-ES"/>
        </w:rPr>
        <w:t>humanos</w:t>
      </w:r>
      <w:r w:rsidR="00B059EC" w:rsidRPr="009D1E2F">
        <w:rPr>
          <w:rFonts w:ascii="Cambria" w:hAnsi="Cambria" w:cs="Arial"/>
          <w:sz w:val="20"/>
          <w:szCs w:val="20"/>
          <w:lang w:val="es-ES"/>
        </w:rPr>
        <w:t xml:space="preserve"> </w:t>
      </w:r>
      <w:r w:rsidRPr="009D1E2F">
        <w:rPr>
          <w:rFonts w:ascii="Cambria" w:hAnsi="Cambria" w:cs="Arial"/>
          <w:sz w:val="20"/>
          <w:szCs w:val="20"/>
          <w:lang w:val="es-ES"/>
        </w:rPr>
        <w:t>como</w:t>
      </w:r>
      <w:r w:rsidR="00B059EC" w:rsidRPr="009D1E2F">
        <w:rPr>
          <w:rFonts w:ascii="Cambria" w:hAnsi="Cambria" w:cs="Arial"/>
          <w:sz w:val="20"/>
          <w:szCs w:val="20"/>
          <w:lang w:val="es-ES"/>
        </w:rPr>
        <w:t xml:space="preserve"> </w:t>
      </w:r>
      <w:r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Pr="009D1E2F">
        <w:rPr>
          <w:rFonts w:ascii="Cambria" w:hAnsi="Cambria" w:cs="Arial"/>
          <w:sz w:val="20"/>
          <w:szCs w:val="20"/>
          <w:lang w:val="es-ES"/>
        </w:rPr>
        <w:t>derecho</w:t>
      </w:r>
      <w:r w:rsidR="00B059EC" w:rsidRPr="009D1E2F">
        <w:rPr>
          <w:rFonts w:ascii="Cambria" w:hAnsi="Cambria" w:cs="Arial"/>
          <w:sz w:val="20"/>
          <w:szCs w:val="20"/>
          <w:lang w:val="es-ES"/>
        </w:rPr>
        <w:t xml:space="preserve"> </w:t>
      </w:r>
      <w:r w:rsidRPr="009D1E2F">
        <w:rPr>
          <w:rFonts w:ascii="Cambria" w:hAnsi="Cambria" w:cs="Arial"/>
          <w:sz w:val="20"/>
          <w:szCs w:val="20"/>
          <w:lang w:val="es-ES"/>
        </w:rPr>
        <w:t>comparado</w:t>
      </w:r>
      <w:r w:rsidR="00B059EC" w:rsidRPr="009D1E2F">
        <w:rPr>
          <w:rFonts w:ascii="Cambria" w:hAnsi="Cambria" w:cs="Arial"/>
          <w:sz w:val="20"/>
          <w:szCs w:val="20"/>
          <w:lang w:val="es-ES"/>
        </w:rPr>
        <w:t xml:space="preserve"> </w:t>
      </w:r>
      <w:r w:rsidRPr="009D1E2F">
        <w:rPr>
          <w:rFonts w:ascii="Cambria" w:hAnsi="Cambria" w:cs="Arial"/>
          <w:sz w:val="20"/>
          <w:szCs w:val="20"/>
          <w:lang w:val="es-ES"/>
        </w:rPr>
        <w:t>se</w:t>
      </w:r>
      <w:r w:rsidR="00B059EC" w:rsidRPr="009D1E2F">
        <w:rPr>
          <w:rFonts w:ascii="Cambria" w:hAnsi="Cambria" w:cs="Arial"/>
          <w:sz w:val="20"/>
          <w:szCs w:val="20"/>
          <w:lang w:val="es-ES"/>
        </w:rPr>
        <w:t xml:space="preserve"> </w:t>
      </w:r>
      <w:r w:rsidRPr="009D1E2F">
        <w:rPr>
          <w:rFonts w:ascii="Cambria" w:hAnsi="Cambria" w:cs="Arial"/>
          <w:sz w:val="20"/>
          <w:szCs w:val="20"/>
          <w:lang w:val="es-ES"/>
        </w:rPr>
        <w:t>ha</w:t>
      </w:r>
      <w:r w:rsidR="00B059EC" w:rsidRPr="009D1E2F">
        <w:rPr>
          <w:rFonts w:ascii="Cambria" w:hAnsi="Cambria" w:cs="Arial"/>
          <w:sz w:val="20"/>
          <w:szCs w:val="20"/>
          <w:lang w:val="es-ES"/>
        </w:rPr>
        <w:t xml:space="preserve"> </w:t>
      </w:r>
      <w:r w:rsidRPr="009D1E2F">
        <w:rPr>
          <w:rFonts w:ascii="Cambria" w:hAnsi="Cambria" w:cs="Arial"/>
          <w:sz w:val="20"/>
          <w:szCs w:val="20"/>
          <w:lang w:val="es-ES"/>
        </w:rPr>
        <w:t>desarrollado</w:t>
      </w:r>
      <w:r w:rsidR="00B059EC" w:rsidRPr="009D1E2F">
        <w:rPr>
          <w:rFonts w:ascii="Cambria" w:hAnsi="Cambria" w:cs="Arial"/>
          <w:sz w:val="20"/>
          <w:szCs w:val="20"/>
          <w:lang w:val="es-ES"/>
        </w:rPr>
        <w:t xml:space="preserve"> </w:t>
      </w:r>
      <w:r w:rsidRPr="009D1E2F">
        <w:rPr>
          <w:rFonts w:ascii="Cambria" w:hAnsi="Cambria" w:cs="Arial"/>
          <w:sz w:val="20"/>
          <w:szCs w:val="20"/>
          <w:lang w:val="es-ES"/>
        </w:rPr>
        <w:t>a</w:t>
      </w:r>
      <w:r w:rsidR="00B059EC" w:rsidRPr="009D1E2F">
        <w:rPr>
          <w:rFonts w:ascii="Cambria" w:hAnsi="Cambria" w:cs="Arial"/>
          <w:sz w:val="20"/>
          <w:szCs w:val="20"/>
          <w:lang w:val="es-ES"/>
        </w:rPr>
        <w:t xml:space="preserve"> </w:t>
      </w:r>
      <w:r w:rsidRPr="009D1E2F">
        <w:rPr>
          <w:rFonts w:ascii="Cambria" w:hAnsi="Cambria" w:cs="Arial"/>
          <w:sz w:val="20"/>
          <w:szCs w:val="20"/>
          <w:lang w:val="es-ES"/>
        </w:rPr>
        <w:t>lo</w:t>
      </w:r>
      <w:r w:rsidR="00B059EC" w:rsidRPr="009D1E2F">
        <w:rPr>
          <w:rFonts w:ascii="Cambria" w:hAnsi="Cambria" w:cs="Arial"/>
          <w:sz w:val="20"/>
          <w:szCs w:val="20"/>
          <w:lang w:val="es-ES"/>
        </w:rPr>
        <w:t xml:space="preserve"> </w:t>
      </w:r>
      <w:r w:rsidRPr="009D1E2F">
        <w:rPr>
          <w:rFonts w:ascii="Cambria" w:hAnsi="Cambria" w:cs="Arial"/>
          <w:sz w:val="20"/>
          <w:szCs w:val="20"/>
          <w:lang w:val="es-ES"/>
        </w:rPr>
        <w:t>largo</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décadas</w:t>
      </w:r>
      <w:r w:rsidR="00B059EC" w:rsidRPr="009D1E2F">
        <w:rPr>
          <w:rFonts w:ascii="Cambria" w:hAnsi="Cambria" w:cs="Arial"/>
          <w:sz w:val="20"/>
          <w:szCs w:val="20"/>
          <w:lang w:val="es-ES"/>
        </w:rPr>
        <w:t xml:space="preserve"> </w:t>
      </w:r>
      <w:r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Pr="009D1E2F">
        <w:rPr>
          <w:rFonts w:ascii="Cambria" w:hAnsi="Cambria" w:cs="Arial"/>
          <w:sz w:val="20"/>
          <w:szCs w:val="20"/>
          <w:lang w:val="es-ES"/>
        </w:rPr>
        <w:t>tema</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privación</w:t>
      </w:r>
      <w:r w:rsidR="00B059EC" w:rsidRPr="009D1E2F">
        <w:rPr>
          <w:rFonts w:ascii="Cambria" w:hAnsi="Cambria" w:cs="Arial"/>
          <w:sz w:val="20"/>
          <w:szCs w:val="20"/>
          <w:lang w:val="es-ES"/>
        </w:rPr>
        <w:t xml:space="preserve"> </w:t>
      </w:r>
      <w:r w:rsidRPr="009D1E2F">
        <w:rPr>
          <w:rFonts w:ascii="Cambria" w:hAnsi="Cambria" w:cs="Arial"/>
          <w:sz w:val="20"/>
          <w:szCs w:val="20"/>
          <w:lang w:val="es-ES"/>
        </w:rPr>
        <w:t>prolongada</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libertad</w:t>
      </w:r>
      <w:r w:rsidR="00B059EC" w:rsidRPr="009D1E2F">
        <w:rPr>
          <w:rFonts w:ascii="Cambria" w:hAnsi="Cambria" w:cs="Arial"/>
          <w:sz w:val="20"/>
          <w:szCs w:val="20"/>
          <w:lang w:val="es-ES"/>
        </w:rPr>
        <w:t xml:space="preserve"> </w:t>
      </w:r>
      <w:r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Pr="009D1E2F">
        <w:rPr>
          <w:rFonts w:ascii="Cambria" w:hAnsi="Cambria" w:cs="Arial"/>
          <w:sz w:val="20"/>
          <w:szCs w:val="20"/>
          <w:lang w:val="es-ES"/>
        </w:rPr>
        <w:t>corredor</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muerte,</w:t>
      </w:r>
      <w:r w:rsidR="00B059EC" w:rsidRPr="009D1E2F">
        <w:rPr>
          <w:rFonts w:ascii="Cambria" w:hAnsi="Cambria" w:cs="Arial"/>
          <w:sz w:val="20"/>
          <w:szCs w:val="20"/>
          <w:lang w:val="es-ES"/>
        </w:rPr>
        <w:t xml:space="preserve"> </w:t>
      </w:r>
      <w:r w:rsidRPr="009D1E2F">
        <w:rPr>
          <w:rFonts w:ascii="Cambria" w:hAnsi="Cambria" w:cs="Arial"/>
          <w:sz w:val="20"/>
          <w:szCs w:val="20"/>
          <w:lang w:val="es-ES"/>
        </w:rPr>
        <w:t>conocido</w:t>
      </w:r>
      <w:r w:rsidR="00B059EC" w:rsidRPr="009D1E2F">
        <w:rPr>
          <w:rFonts w:ascii="Cambria" w:hAnsi="Cambria" w:cs="Arial"/>
          <w:sz w:val="20"/>
          <w:szCs w:val="20"/>
          <w:lang w:val="es-ES"/>
        </w:rPr>
        <w:t xml:space="preserve"> </w:t>
      </w:r>
      <w:r w:rsidRPr="009D1E2F">
        <w:rPr>
          <w:rFonts w:ascii="Cambria" w:hAnsi="Cambria" w:cs="Arial"/>
          <w:sz w:val="20"/>
          <w:szCs w:val="20"/>
          <w:lang w:val="es-ES"/>
        </w:rPr>
        <w:t>como</w:t>
      </w:r>
      <w:r w:rsidR="00B059EC" w:rsidRPr="009D1E2F">
        <w:rPr>
          <w:rFonts w:ascii="Cambria" w:hAnsi="Cambria" w:cs="Arial"/>
          <w:sz w:val="20"/>
          <w:szCs w:val="20"/>
          <w:lang w:val="es-ES"/>
        </w:rPr>
        <w:t xml:space="preserve"> </w:t>
      </w:r>
      <w:r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Pr="009D1E2F">
        <w:rPr>
          <w:rFonts w:ascii="Cambria" w:hAnsi="Cambria" w:cs="Arial"/>
          <w:sz w:val="20"/>
          <w:szCs w:val="20"/>
          <w:lang w:val="es-ES"/>
        </w:rPr>
        <w:t>“fenómeno</w:t>
      </w:r>
      <w:r w:rsidR="00B059EC" w:rsidRPr="009D1E2F">
        <w:rPr>
          <w:rFonts w:ascii="Cambria" w:hAnsi="Cambria" w:cs="Arial"/>
          <w:sz w:val="20"/>
          <w:szCs w:val="20"/>
          <w:lang w:val="es-ES"/>
        </w:rPr>
        <w:t xml:space="preserve"> </w:t>
      </w:r>
      <w:r w:rsidRPr="009D1E2F">
        <w:rPr>
          <w:rFonts w:ascii="Cambria" w:hAnsi="Cambria" w:cs="Arial"/>
          <w:sz w:val="20"/>
          <w:szCs w:val="20"/>
          <w:lang w:val="es-ES"/>
        </w:rPr>
        <w:t>del</w:t>
      </w:r>
      <w:r w:rsidR="00B059EC" w:rsidRPr="009D1E2F">
        <w:rPr>
          <w:rFonts w:ascii="Cambria" w:hAnsi="Cambria" w:cs="Arial"/>
          <w:sz w:val="20"/>
          <w:szCs w:val="20"/>
          <w:lang w:val="es-ES"/>
        </w:rPr>
        <w:t xml:space="preserve"> </w:t>
      </w:r>
      <w:r w:rsidRPr="009D1E2F">
        <w:rPr>
          <w:rFonts w:ascii="Cambria" w:hAnsi="Cambria" w:cs="Arial"/>
          <w:sz w:val="20"/>
          <w:szCs w:val="20"/>
          <w:lang w:val="es-ES"/>
        </w:rPr>
        <w:t>corredor</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muerte”,</w:t>
      </w:r>
      <w:r w:rsidR="00B059EC" w:rsidRPr="009D1E2F">
        <w:rPr>
          <w:rFonts w:ascii="Cambria" w:hAnsi="Cambria" w:cs="Arial"/>
          <w:sz w:val="20"/>
          <w:szCs w:val="20"/>
          <w:lang w:val="es-ES"/>
        </w:rPr>
        <w:t xml:space="preserve"> </w:t>
      </w:r>
      <w:r w:rsidRPr="009D1E2F">
        <w:rPr>
          <w:rFonts w:ascii="Cambria" w:hAnsi="Cambria" w:cs="Arial"/>
          <w:sz w:val="20"/>
          <w:szCs w:val="20"/>
          <w:lang w:val="es-ES"/>
        </w:rPr>
        <w:t>a</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luz</w:t>
      </w:r>
      <w:r w:rsidR="00B059EC" w:rsidRPr="009D1E2F">
        <w:rPr>
          <w:rFonts w:ascii="Cambria" w:hAnsi="Cambria" w:cs="Arial"/>
          <w:sz w:val="20"/>
          <w:szCs w:val="20"/>
          <w:lang w:val="es-ES"/>
        </w:rPr>
        <w:t xml:space="preserve"> </w:t>
      </w:r>
      <w:r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prohibición</w:t>
      </w:r>
      <w:r w:rsidR="00B059EC" w:rsidRPr="009D1E2F">
        <w:rPr>
          <w:rFonts w:ascii="Cambria" w:hAnsi="Cambria" w:cs="Arial"/>
          <w:sz w:val="20"/>
          <w:szCs w:val="20"/>
          <w:lang w:val="es-ES"/>
        </w:rPr>
        <w:t xml:space="preserve"> </w:t>
      </w:r>
      <w:r w:rsidRPr="009D1E2F">
        <w:rPr>
          <w:rFonts w:ascii="Cambria" w:hAnsi="Cambria" w:cs="Arial"/>
          <w:sz w:val="20"/>
          <w:szCs w:val="20"/>
          <w:lang w:val="es-ES"/>
        </w:rPr>
        <w:t>del</w:t>
      </w:r>
      <w:r w:rsidR="00B059EC" w:rsidRPr="009D1E2F">
        <w:rPr>
          <w:rFonts w:ascii="Cambria" w:hAnsi="Cambria" w:cs="Arial"/>
          <w:sz w:val="20"/>
          <w:szCs w:val="20"/>
          <w:lang w:val="es-ES"/>
        </w:rPr>
        <w:t xml:space="preserve"> </w:t>
      </w:r>
      <w:r w:rsidRPr="009D1E2F">
        <w:rPr>
          <w:rFonts w:ascii="Cambria" w:hAnsi="Cambria" w:cs="Arial"/>
          <w:sz w:val="20"/>
          <w:szCs w:val="20"/>
          <w:lang w:val="es-ES"/>
        </w:rPr>
        <w:t>trato</w:t>
      </w:r>
      <w:r w:rsidR="00B059EC" w:rsidRPr="009D1E2F">
        <w:rPr>
          <w:rFonts w:ascii="Cambria" w:hAnsi="Cambria" w:cs="Arial"/>
          <w:sz w:val="20"/>
          <w:szCs w:val="20"/>
          <w:lang w:val="es-ES"/>
        </w:rPr>
        <w:t xml:space="preserve"> </w:t>
      </w:r>
      <w:r w:rsidRPr="009D1E2F">
        <w:rPr>
          <w:rFonts w:ascii="Cambria" w:hAnsi="Cambria" w:cs="Arial"/>
          <w:sz w:val="20"/>
          <w:szCs w:val="20"/>
          <w:lang w:val="es-ES"/>
        </w:rPr>
        <w:t>cruel,</w:t>
      </w:r>
      <w:r w:rsidR="00B059EC" w:rsidRPr="009D1E2F">
        <w:rPr>
          <w:rFonts w:ascii="Cambria" w:hAnsi="Cambria" w:cs="Arial"/>
          <w:sz w:val="20"/>
          <w:szCs w:val="20"/>
          <w:lang w:val="es-ES"/>
        </w:rPr>
        <w:t xml:space="preserve"> </w:t>
      </w:r>
      <w:r w:rsidRPr="009D1E2F">
        <w:rPr>
          <w:rFonts w:ascii="Cambria" w:hAnsi="Cambria" w:cs="Arial"/>
          <w:sz w:val="20"/>
          <w:szCs w:val="20"/>
          <w:lang w:val="es-ES"/>
        </w:rPr>
        <w:t>inhumano</w:t>
      </w:r>
      <w:r w:rsidR="00B059EC" w:rsidRPr="009D1E2F">
        <w:rPr>
          <w:rFonts w:ascii="Cambria" w:hAnsi="Cambria" w:cs="Arial"/>
          <w:sz w:val="20"/>
          <w:szCs w:val="20"/>
          <w:lang w:val="es-ES"/>
        </w:rPr>
        <w:t xml:space="preserve"> </w:t>
      </w:r>
      <w:r w:rsidRPr="009D1E2F">
        <w:rPr>
          <w:rFonts w:ascii="Cambria" w:hAnsi="Cambria" w:cs="Arial"/>
          <w:sz w:val="20"/>
          <w:szCs w:val="20"/>
          <w:lang w:val="es-ES"/>
        </w:rPr>
        <w:t>y</w:t>
      </w:r>
      <w:r w:rsidR="00B059EC" w:rsidRPr="009D1E2F">
        <w:rPr>
          <w:rFonts w:ascii="Cambria" w:hAnsi="Cambria" w:cs="Arial"/>
          <w:sz w:val="20"/>
          <w:szCs w:val="20"/>
          <w:lang w:val="es-ES"/>
        </w:rPr>
        <w:t xml:space="preserve"> </w:t>
      </w:r>
      <w:r w:rsidRPr="009D1E2F">
        <w:rPr>
          <w:rFonts w:ascii="Cambria" w:hAnsi="Cambria" w:cs="Arial"/>
          <w:sz w:val="20"/>
          <w:szCs w:val="20"/>
          <w:lang w:val="es-ES"/>
        </w:rPr>
        <w:t>degradante</w:t>
      </w:r>
      <w:r w:rsidR="00B059EC" w:rsidRPr="009D1E2F">
        <w:rPr>
          <w:rFonts w:ascii="Cambria" w:hAnsi="Cambria" w:cs="Arial"/>
          <w:sz w:val="20"/>
          <w:szCs w:val="20"/>
          <w:lang w:val="es-ES"/>
        </w:rPr>
        <w:t xml:space="preserve"> </w:t>
      </w:r>
      <w:r w:rsidRPr="009D1E2F">
        <w:rPr>
          <w:rFonts w:ascii="Cambria" w:hAnsi="Cambria" w:cs="Arial"/>
          <w:sz w:val="20"/>
          <w:szCs w:val="20"/>
          <w:lang w:val="es-ES"/>
        </w:rPr>
        <w:t>dispuesta</w:t>
      </w:r>
      <w:r w:rsidR="00B059EC" w:rsidRPr="009D1E2F">
        <w:rPr>
          <w:rFonts w:ascii="Cambria" w:hAnsi="Cambria" w:cs="Arial"/>
          <w:sz w:val="20"/>
          <w:szCs w:val="20"/>
          <w:lang w:val="es-ES"/>
        </w:rPr>
        <w:t xml:space="preserve"> </w:t>
      </w:r>
      <w:r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Pr="009D1E2F">
        <w:rPr>
          <w:rFonts w:ascii="Cambria" w:hAnsi="Cambria" w:cs="Arial"/>
          <w:sz w:val="20"/>
          <w:szCs w:val="20"/>
          <w:lang w:val="es-ES"/>
        </w:rPr>
        <w:t>las</w:t>
      </w:r>
      <w:r w:rsidR="00B059EC" w:rsidRPr="009D1E2F">
        <w:rPr>
          <w:rFonts w:ascii="Cambria" w:hAnsi="Cambria" w:cs="Arial"/>
          <w:sz w:val="20"/>
          <w:szCs w:val="20"/>
          <w:lang w:val="es-ES"/>
        </w:rPr>
        <w:t xml:space="preserve"> </w:t>
      </w:r>
      <w:r w:rsidRPr="009D1E2F">
        <w:rPr>
          <w:rFonts w:ascii="Cambria" w:hAnsi="Cambria" w:cs="Arial"/>
          <w:sz w:val="20"/>
          <w:szCs w:val="20"/>
          <w:lang w:val="es-ES"/>
        </w:rPr>
        <w:t>constituciones</w:t>
      </w:r>
      <w:r w:rsidR="00B059EC" w:rsidRPr="009D1E2F">
        <w:rPr>
          <w:rFonts w:ascii="Cambria" w:hAnsi="Cambria" w:cs="Arial"/>
          <w:sz w:val="20"/>
          <w:szCs w:val="20"/>
          <w:lang w:val="es-ES"/>
        </w:rPr>
        <w:t xml:space="preserve"> </w:t>
      </w:r>
      <w:r w:rsidRPr="009D1E2F">
        <w:rPr>
          <w:rFonts w:ascii="Cambria" w:hAnsi="Cambria" w:cs="Arial"/>
          <w:sz w:val="20"/>
          <w:szCs w:val="20"/>
          <w:lang w:val="es-ES"/>
        </w:rPr>
        <w:t>y</w:t>
      </w:r>
      <w:r w:rsidR="00B059EC" w:rsidRPr="009D1E2F">
        <w:rPr>
          <w:rFonts w:ascii="Cambria" w:hAnsi="Cambria" w:cs="Arial"/>
          <w:sz w:val="20"/>
          <w:szCs w:val="20"/>
          <w:lang w:val="es-ES"/>
        </w:rPr>
        <w:t xml:space="preserve"> </w:t>
      </w:r>
      <w:r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Pr="009D1E2F">
        <w:rPr>
          <w:rFonts w:ascii="Cambria" w:hAnsi="Cambria" w:cs="Arial"/>
          <w:sz w:val="20"/>
          <w:szCs w:val="20"/>
          <w:lang w:val="es-ES"/>
        </w:rPr>
        <w:t>muchos</w:t>
      </w:r>
      <w:r w:rsidR="00B059EC" w:rsidRPr="009D1E2F">
        <w:rPr>
          <w:rFonts w:ascii="Cambria" w:hAnsi="Cambria" w:cs="Arial"/>
          <w:sz w:val="20"/>
          <w:szCs w:val="20"/>
          <w:lang w:val="es-ES"/>
        </w:rPr>
        <w:t xml:space="preserve"> </w:t>
      </w:r>
      <w:r w:rsidRPr="009D1E2F">
        <w:rPr>
          <w:rFonts w:ascii="Cambria" w:hAnsi="Cambria" w:cs="Arial"/>
          <w:sz w:val="20"/>
          <w:szCs w:val="20"/>
          <w:lang w:val="es-ES"/>
        </w:rPr>
        <w:t>tratados</w:t>
      </w:r>
      <w:r w:rsidR="00B059EC" w:rsidRPr="009D1E2F">
        <w:rPr>
          <w:rFonts w:ascii="Cambria" w:hAnsi="Cambria" w:cs="Arial"/>
          <w:sz w:val="20"/>
          <w:szCs w:val="20"/>
          <w:lang w:val="es-ES"/>
        </w:rPr>
        <w:t xml:space="preserve"> </w:t>
      </w:r>
      <w:r w:rsidRPr="009D1E2F">
        <w:rPr>
          <w:rFonts w:ascii="Cambria" w:hAnsi="Cambria" w:cs="Arial"/>
          <w:sz w:val="20"/>
          <w:szCs w:val="20"/>
          <w:lang w:val="es-ES"/>
        </w:rPr>
        <w:t>internacionales,</w:t>
      </w:r>
      <w:r w:rsidR="00B059EC" w:rsidRPr="009D1E2F">
        <w:rPr>
          <w:rFonts w:ascii="Cambria" w:hAnsi="Cambria" w:cs="Arial"/>
          <w:sz w:val="20"/>
          <w:szCs w:val="20"/>
          <w:lang w:val="es-ES"/>
        </w:rPr>
        <w:t xml:space="preserve"> </w:t>
      </w:r>
      <w:r w:rsidRPr="009D1E2F">
        <w:rPr>
          <w:rFonts w:ascii="Cambria" w:hAnsi="Cambria" w:cs="Arial"/>
          <w:sz w:val="20"/>
          <w:szCs w:val="20"/>
          <w:lang w:val="es-ES"/>
        </w:rPr>
        <w:t>entre</w:t>
      </w:r>
      <w:r w:rsidR="00B059EC" w:rsidRPr="009D1E2F">
        <w:rPr>
          <w:rFonts w:ascii="Cambria" w:hAnsi="Cambria" w:cs="Arial"/>
          <w:sz w:val="20"/>
          <w:szCs w:val="20"/>
          <w:lang w:val="es-ES"/>
        </w:rPr>
        <w:t xml:space="preserve"> </w:t>
      </w:r>
      <w:r w:rsidRPr="009D1E2F">
        <w:rPr>
          <w:rFonts w:ascii="Cambria" w:hAnsi="Cambria" w:cs="Arial"/>
          <w:sz w:val="20"/>
          <w:szCs w:val="20"/>
          <w:lang w:val="es-ES"/>
        </w:rPr>
        <w:t>ellos</w:t>
      </w:r>
      <w:r w:rsidR="00B059EC" w:rsidRPr="009D1E2F">
        <w:rPr>
          <w:rFonts w:ascii="Cambria" w:hAnsi="Cambria" w:cs="Arial"/>
          <w:sz w:val="20"/>
          <w:szCs w:val="20"/>
          <w:lang w:val="es-ES"/>
        </w:rPr>
        <w:t xml:space="preserve"> </w:t>
      </w: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Declaración</w:t>
      </w:r>
      <w:r w:rsidR="00B059EC" w:rsidRPr="009D1E2F">
        <w:rPr>
          <w:rFonts w:ascii="Cambria" w:hAnsi="Cambria" w:cs="Arial"/>
          <w:sz w:val="20"/>
          <w:szCs w:val="20"/>
          <w:lang w:val="es-ES"/>
        </w:rPr>
        <w:t xml:space="preserve"> </w:t>
      </w:r>
      <w:r w:rsidRPr="009D1E2F">
        <w:rPr>
          <w:rFonts w:ascii="Cambria" w:hAnsi="Cambria" w:cs="Arial"/>
          <w:sz w:val="20"/>
          <w:szCs w:val="20"/>
          <w:lang w:val="es-ES"/>
        </w:rPr>
        <w:t>Americana</w:t>
      </w:r>
      <w:r w:rsidR="00DE5D25" w:rsidRPr="009D1E2F">
        <w:rPr>
          <w:rFonts w:ascii="Cambria" w:hAnsi="Cambria" w:cs="Arial"/>
          <w:sz w:val="20"/>
          <w:szCs w:val="20"/>
          <w:lang w:val="es-ES"/>
        </w:rPr>
        <w:t>.</w:t>
      </w:r>
    </w:p>
    <w:p w14:paraId="695AC19B" w14:textId="77777777" w:rsidR="004E7FF7" w:rsidRPr="009D1E2F" w:rsidRDefault="004E7FF7"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59C24E85" w14:textId="77777777" w:rsidR="004E7FF7" w:rsidRPr="009D1E2F" w:rsidRDefault="00851411"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Cambria" w:hAnsi="Cambria" w:cs="Arial"/>
          <w:sz w:val="20"/>
          <w:szCs w:val="20"/>
          <w:lang w:val="es-ES"/>
        </w:rPr>
        <w:t xml:space="preserve">En el caso </w:t>
      </w:r>
      <w:r w:rsidR="004E7FF7" w:rsidRPr="00851411">
        <w:rPr>
          <w:rFonts w:ascii="Cambria" w:hAnsi="Cambria" w:cs="Arial"/>
          <w:i/>
          <w:sz w:val="20"/>
          <w:szCs w:val="20"/>
          <w:lang w:val="es-ES"/>
        </w:rPr>
        <w:t>Russel</w:t>
      </w:r>
      <w:r w:rsidRPr="00851411">
        <w:rPr>
          <w:rFonts w:ascii="Cambria" w:hAnsi="Cambria" w:cs="Arial"/>
          <w:i/>
          <w:sz w:val="20"/>
          <w:szCs w:val="20"/>
          <w:lang w:val="es-ES"/>
        </w:rPr>
        <w:t xml:space="preserve">l </w:t>
      </w:r>
      <w:proofErr w:type="spellStart"/>
      <w:r w:rsidR="004E7FF7" w:rsidRPr="00851411">
        <w:rPr>
          <w:rFonts w:ascii="Cambria" w:hAnsi="Cambria" w:cs="Arial"/>
          <w:i/>
          <w:sz w:val="20"/>
          <w:szCs w:val="20"/>
          <w:lang w:val="es-ES"/>
        </w:rPr>
        <w:t>Bucklew</w:t>
      </w:r>
      <w:proofErr w:type="spellEnd"/>
      <w:r w:rsidR="00B059EC" w:rsidRPr="00851411">
        <w:rPr>
          <w:rFonts w:ascii="Cambria" w:hAnsi="Cambria" w:cs="Arial"/>
          <w:i/>
          <w:sz w:val="20"/>
          <w:szCs w:val="20"/>
          <w:lang w:val="es-ES"/>
        </w:rPr>
        <w:t xml:space="preserve"> </w:t>
      </w:r>
      <w:r w:rsidRPr="00851411">
        <w:rPr>
          <w:rFonts w:ascii="Cambria" w:hAnsi="Cambria" w:cs="Arial"/>
          <w:i/>
          <w:sz w:val="20"/>
          <w:szCs w:val="20"/>
          <w:lang w:val="es-ES"/>
        </w:rPr>
        <w:t>contra</w:t>
      </w:r>
      <w:r w:rsidR="00B059EC" w:rsidRPr="00851411">
        <w:rPr>
          <w:rFonts w:ascii="Cambria" w:hAnsi="Cambria" w:cs="Arial"/>
          <w:i/>
          <w:sz w:val="20"/>
          <w:szCs w:val="20"/>
          <w:lang w:val="es-ES"/>
        </w:rPr>
        <w:t xml:space="preserve"> </w:t>
      </w:r>
      <w:r w:rsidRPr="00851411">
        <w:rPr>
          <w:rFonts w:ascii="Cambria" w:hAnsi="Cambria" w:cs="Arial"/>
          <w:i/>
          <w:sz w:val="20"/>
          <w:szCs w:val="20"/>
          <w:lang w:val="es-ES"/>
        </w:rPr>
        <w:t>Estados Unidos</w:t>
      </w:r>
      <w:r w:rsidR="004E7FF7"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sidR="00363E52"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363E52" w:rsidRPr="009D1E2F">
        <w:rPr>
          <w:rFonts w:ascii="Cambria" w:hAnsi="Cambria" w:cs="Arial"/>
          <w:sz w:val="20"/>
          <w:szCs w:val="20"/>
          <w:lang w:val="es-ES"/>
        </w:rPr>
        <w:t>CIDH</w:t>
      </w:r>
      <w:r w:rsidR="004F73E5"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sidR="004F73E5" w:rsidRPr="009D1E2F">
        <w:rPr>
          <w:rFonts w:ascii="Cambria" w:hAnsi="Cambria" w:cs="Arial"/>
          <w:sz w:val="20"/>
          <w:szCs w:val="20"/>
          <w:lang w:val="es-ES"/>
        </w:rPr>
        <w:t>bas</w:t>
      </w:r>
      <w:r>
        <w:rPr>
          <w:rFonts w:ascii="Cambria" w:hAnsi="Cambria" w:cs="Arial"/>
          <w:sz w:val="20"/>
          <w:szCs w:val="20"/>
          <w:lang w:val="es-ES"/>
        </w:rPr>
        <w:t>ándose en varios elementos que se describen a continuación, entre ellos el sistema</w:t>
      </w:r>
      <w:r w:rsidR="00B059EC" w:rsidRPr="009D1E2F">
        <w:rPr>
          <w:rFonts w:ascii="Cambria" w:hAnsi="Cambria" w:cs="Arial"/>
          <w:sz w:val="20"/>
          <w:szCs w:val="20"/>
          <w:lang w:val="es-ES"/>
        </w:rPr>
        <w:t xml:space="preserve"> </w:t>
      </w:r>
      <w:r w:rsidR="004F73E5" w:rsidRPr="009D1E2F">
        <w:rPr>
          <w:rFonts w:ascii="Cambria" w:hAnsi="Cambria" w:cs="Arial"/>
          <w:sz w:val="20"/>
          <w:szCs w:val="20"/>
          <w:lang w:val="es-ES"/>
        </w:rPr>
        <w:t>regional</w:t>
      </w:r>
      <w:r w:rsidR="00B059EC" w:rsidRPr="009D1E2F">
        <w:rPr>
          <w:rFonts w:ascii="Cambria" w:hAnsi="Cambria" w:cs="Arial"/>
          <w:sz w:val="20"/>
          <w:szCs w:val="20"/>
          <w:lang w:val="es-ES"/>
        </w:rPr>
        <w:t xml:space="preserve"> </w:t>
      </w:r>
      <w:r>
        <w:rPr>
          <w:rFonts w:ascii="Cambria" w:hAnsi="Cambria" w:cs="Arial"/>
          <w:sz w:val="20"/>
          <w:szCs w:val="20"/>
          <w:lang w:val="es-ES"/>
        </w:rPr>
        <w:t>y el sistema de las Naciones Unidas</w:t>
      </w:r>
      <w:r w:rsidR="004F73E5"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Pr>
          <w:rFonts w:ascii="Cambria" w:hAnsi="Cambria" w:cs="Arial"/>
          <w:sz w:val="20"/>
          <w:szCs w:val="20"/>
          <w:lang w:val="es-ES"/>
        </w:rPr>
        <w:t xml:space="preserve">determinó que </w:t>
      </w:r>
      <w:r w:rsidR="00C05011"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privación</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prolongada</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libertad</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corredor</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muerte</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era</w:t>
      </w:r>
      <w:r w:rsidR="00B059EC" w:rsidRPr="009D1E2F">
        <w:rPr>
          <w:rFonts w:ascii="Cambria" w:hAnsi="Cambria" w:cs="Arial"/>
          <w:sz w:val="20"/>
          <w:szCs w:val="20"/>
          <w:lang w:val="es-ES"/>
        </w:rPr>
        <w:t xml:space="preserve"> </w:t>
      </w:r>
      <w:r w:rsidR="004F73E5" w:rsidRPr="009D1E2F">
        <w:rPr>
          <w:rFonts w:ascii="Cambria" w:hAnsi="Cambria" w:cs="Arial"/>
          <w:sz w:val="20"/>
          <w:szCs w:val="20"/>
          <w:lang w:val="es-ES"/>
        </w:rPr>
        <w:t>excesiv</w:t>
      </w:r>
      <w:r w:rsidR="00C05011" w:rsidRPr="009D1E2F">
        <w:rPr>
          <w:rFonts w:ascii="Cambria" w:hAnsi="Cambria" w:cs="Arial"/>
          <w:sz w:val="20"/>
          <w:szCs w:val="20"/>
          <w:lang w:val="es-ES"/>
        </w:rPr>
        <w:t>a</w:t>
      </w:r>
      <w:r w:rsidR="00B059EC" w:rsidRPr="009D1E2F">
        <w:rPr>
          <w:rFonts w:ascii="Cambria" w:hAnsi="Cambria" w:cs="Arial"/>
          <w:sz w:val="20"/>
          <w:szCs w:val="20"/>
          <w:lang w:val="es-ES"/>
        </w:rPr>
        <w:t xml:space="preserve"> </w:t>
      </w:r>
      <w:r w:rsidR="00C05011" w:rsidRPr="009D1E2F">
        <w:rPr>
          <w:rFonts w:ascii="Cambria" w:hAnsi="Cambria" w:cs="Arial"/>
          <w:sz w:val="20"/>
          <w:szCs w:val="20"/>
          <w:lang w:val="es-ES"/>
        </w:rPr>
        <w:t>e</w:t>
      </w:r>
      <w:r w:rsidR="00B059EC" w:rsidRPr="009D1E2F">
        <w:rPr>
          <w:rFonts w:ascii="Cambria" w:hAnsi="Cambria" w:cs="Arial"/>
          <w:sz w:val="20"/>
          <w:szCs w:val="20"/>
          <w:lang w:val="es-ES"/>
        </w:rPr>
        <w:t xml:space="preserve"> </w:t>
      </w:r>
      <w:r w:rsidR="004F73E5" w:rsidRPr="009D1E2F">
        <w:rPr>
          <w:rFonts w:ascii="Cambria" w:hAnsi="Cambria" w:cs="Arial"/>
          <w:sz w:val="20"/>
          <w:szCs w:val="20"/>
          <w:lang w:val="es-ES"/>
        </w:rPr>
        <w:t>inhuman</w:t>
      </w:r>
      <w:r w:rsidR="00C05011" w:rsidRPr="009D1E2F">
        <w:rPr>
          <w:rFonts w:ascii="Cambria" w:hAnsi="Cambria" w:cs="Arial"/>
          <w:sz w:val="20"/>
          <w:szCs w:val="20"/>
          <w:lang w:val="es-ES"/>
        </w:rPr>
        <w:t>a</w:t>
      </w:r>
      <w:r w:rsidR="00806906" w:rsidRPr="009D1E2F">
        <w:rPr>
          <w:rStyle w:val="FootnoteReference"/>
          <w:rFonts w:ascii="Cambria" w:hAnsi="Cambria"/>
          <w:sz w:val="20"/>
          <w:szCs w:val="20"/>
          <w:lang w:val="es-ES"/>
        </w:rPr>
        <w:footnoteReference w:id="65"/>
      </w:r>
      <w:r w:rsidR="00C05011" w:rsidRPr="009D1E2F">
        <w:rPr>
          <w:rFonts w:ascii="Cambria" w:hAnsi="Cambria" w:cs="Arial"/>
          <w:sz w:val="20"/>
          <w:szCs w:val="20"/>
          <w:lang w:val="es-ES"/>
        </w:rPr>
        <w:t>.</w:t>
      </w:r>
      <w:r w:rsidR="00B059EC" w:rsidRPr="009D1E2F">
        <w:rPr>
          <w:rFonts w:ascii="Cambria" w:hAnsi="Cambria" w:cs="Arial"/>
          <w:sz w:val="20"/>
          <w:szCs w:val="20"/>
          <w:lang w:val="es-ES"/>
        </w:rPr>
        <w:t xml:space="preserve"> </w:t>
      </w:r>
    </w:p>
    <w:p w14:paraId="0E4B1DC9" w14:textId="77777777" w:rsidR="003D3CD4" w:rsidRPr="009D1E2F" w:rsidRDefault="003D3CD4"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72C256D9" w14:textId="77777777" w:rsidR="00DE5D25" w:rsidRPr="009D1E2F" w:rsidRDefault="00363E52" w:rsidP="00B059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Pr="009D1E2F">
        <w:rPr>
          <w:rFonts w:ascii="Cambria" w:hAnsi="Cambria" w:cs="Arial"/>
          <w:sz w:val="20"/>
          <w:szCs w:val="20"/>
          <w:lang w:val="es-ES"/>
        </w:rPr>
        <w:t>Comisión</w:t>
      </w:r>
      <w:r w:rsidR="00B059EC" w:rsidRPr="009D1E2F">
        <w:rPr>
          <w:rFonts w:ascii="Cambria" w:hAnsi="Cambria"/>
          <w:sz w:val="20"/>
          <w:lang w:val="es-ES"/>
        </w:rPr>
        <w:t xml:space="preserve"> </w:t>
      </w:r>
      <w:r w:rsidR="00DE5D25" w:rsidRPr="009D1E2F">
        <w:rPr>
          <w:rFonts w:ascii="Cambria" w:hAnsi="Cambria"/>
          <w:sz w:val="20"/>
          <w:lang w:val="es-ES"/>
        </w:rPr>
        <w:t>t</w:t>
      </w:r>
      <w:r w:rsidR="00B059EC" w:rsidRPr="009D1E2F">
        <w:rPr>
          <w:rFonts w:ascii="Cambria" w:hAnsi="Cambria"/>
          <w:sz w:val="20"/>
          <w:lang w:val="es-ES"/>
        </w:rPr>
        <w:t>oma nota del concepto del “fenómeno del pabellón de los condenados a muerte”, que el Relator Especial sobre la tortura y otros tratos o penas crueles, inhumanos o degradantes, de las Naciones Unidas, explica de la siguiente forma</w:t>
      </w:r>
      <w:r w:rsidR="00DE5D25" w:rsidRPr="009D1E2F">
        <w:rPr>
          <w:rFonts w:ascii="Cambria" w:hAnsi="Cambria"/>
          <w:sz w:val="20"/>
          <w:lang w:val="es-ES"/>
        </w:rPr>
        <w:t>:</w:t>
      </w:r>
      <w:r w:rsidR="00B059EC" w:rsidRPr="009D1E2F">
        <w:rPr>
          <w:rFonts w:ascii="Cambria" w:hAnsi="Cambria"/>
          <w:sz w:val="20"/>
          <w:lang w:val="es-ES"/>
        </w:rPr>
        <w:t xml:space="preserve"> </w:t>
      </w:r>
    </w:p>
    <w:p w14:paraId="248AB0D4" w14:textId="77777777" w:rsidR="00DE5D25" w:rsidRPr="009D1E2F" w:rsidRDefault="00DE5D25" w:rsidP="00817426">
      <w:pPr>
        <w:pStyle w:val="ListParagraph"/>
        <w:tabs>
          <w:tab w:val="left" w:pos="360"/>
        </w:tabs>
        <w:rPr>
          <w:sz w:val="20"/>
          <w:szCs w:val="20"/>
          <w:lang w:val="es-ES"/>
        </w:rPr>
      </w:pPr>
    </w:p>
    <w:p w14:paraId="77AE815D" w14:textId="77777777" w:rsidR="00DE5D25" w:rsidRPr="009D1E2F" w:rsidRDefault="00B059E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lang w:val="es-ES"/>
        </w:rPr>
      </w:pPr>
      <w:r w:rsidRPr="009D1E2F">
        <w:rPr>
          <w:rFonts w:ascii="Cambria" w:hAnsi="Cambria"/>
          <w:sz w:val="18"/>
          <w:szCs w:val="18"/>
          <w:lang w:val="es-ES"/>
        </w:rPr>
        <w:lastRenderedPageBreak/>
        <w:t>Consiste en una combinación de circunstancias que producen graves traumas mentales y deterioro físico en los presos sentenciados a muerte</w:t>
      </w:r>
      <w:r w:rsidR="00DE5D25" w:rsidRPr="009D1E2F">
        <w:rPr>
          <w:rFonts w:ascii="Cambria" w:hAnsi="Cambria"/>
          <w:sz w:val="18"/>
          <w:szCs w:val="18"/>
          <w:vertAlign w:val="superscript"/>
          <w:lang w:val="es-ES"/>
        </w:rPr>
        <w:footnoteReference w:id="66"/>
      </w:r>
      <w:r w:rsidRPr="009D1E2F">
        <w:rPr>
          <w:rFonts w:ascii="Cambria" w:hAnsi="Cambria"/>
          <w:sz w:val="18"/>
          <w:szCs w:val="18"/>
          <w:lang w:val="es-ES"/>
        </w:rPr>
        <w:t>.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00DE5D25" w:rsidRPr="009D1E2F">
        <w:rPr>
          <w:rFonts w:ascii="Cambria" w:hAnsi="Cambria"/>
          <w:sz w:val="18"/>
          <w:szCs w:val="18"/>
          <w:vertAlign w:val="superscript"/>
          <w:lang w:val="es-ES"/>
        </w:rPr>
        <w:footnoteReference w:id="67"/>
      </w:r>
      <w:r w:rsidRPr="009D1E2F">
        <w:rPr>
          <w:rFonts w:ascii="Cambria" w:hAnsi="Cambria"/>
          <w:sz w:val="18"/>
          <w:szCs w:val="18"/>
          <w:lang w:val="es-ES"/>
        </w:rPr>
        <w:t>.</w:t>
      </w:r>
    </w:p>
    <w:p w14:paraId="7CA5D081" w14:textId="77777777" w:rsidR="00DE5D25" w:rsidRPr="009D1E2F" w:rsidRDefault="00DE5D25"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lang w:val="es-ES"/>
        </w:rPr>
      </w:pPr>
    </w:p>
    <w:p w14:paraId="003CF1A8" w14:textId="77777777" w:rsidR="003D3CD4" w:rsidRPr="009D1E2F" w:rsidRDefault="00B059EC"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Cambria" w:hAnsi="Cambria"/>
          <w:sz w:val="20"/>
          <w:lang w:val="es-ES"/>
        </w:rPr>
        <w:t xml:space="preserve">En el caso </w:t>
      </w:r>
      <w:proofErr w:type="spellStart"/>
      <w:r w:rsidRPr="009D1E2F">
        <w:rPr>
          <w:rFonts w:ascii="Cambria" w:hAnsi="Cambria"/>
          <w:i/>
          <w:sz w:val="20"/>
          <w:lang w:val="es-ES"/>
        </w:rPr>
        <w:t>Soering</w:t>
      </w:r>
      <w:proofErr w:type="spellEnd"/>
      <w:r w:rsidRPr="009D1E2F">
        <w:rPr>
          <w:rFonts w:ascii="Cambria" w:hAnsi="Cambria"/>
          <w:i/>
          <w:sz w:val="20"/>
          <w:lang w:val="es-ES"/>
        </w:rPr>
        <w:t xml:space="preserve"> contra el Reino Unido</w:t>
      </w:r>
      <w:r w:rsidRPr="009D1E2F">
        <w:rPr>
          <w:rFonts w:ascii="Cambria" w:hAnsi="Cambria"/>
          <w:sz w:val="20"/>
          <w:lang w:val="es-ES"/>
        </w:rPr>
        <w:t>, el Tribunal Europeo de Derechos Humanos, al interpretar la prohibición del trato cruel, inhumano y degradante y al abordar la pena de muerte</w:t>
      </w:r>
      <w:r w:rsidR="00DE5D25" w:rsidRPr="009D1E2F">
        <w:rPr>
          <w:rStyle w:val="sb8d990e2"/>
          <w:rFonts w:ascii="Cambria" w:hAnsi="Cambria"/>
          <w:sz w:val="20"/>
          <w:lang w:val="es-ES"/>
        </w:rPr>
        <w:t>,</w:t>
      </w:r>
      <w:r w:rsidRPr="009D1E2F">
        <w:rPr>
          <w:rStyle w:val="sb8d990e2"/>
          <w:rFonts w:ascii="Cambria" w:hAnsi="Cambria"/>
          <w:sz w:val="20"/>
          <w:lang w:val="es-ES"/>
        </w:rPr>
        <w:t xml:space="preserve"> </w:t>
      </w:r>
      <w:r w:rsidR="008701F3">
        <w:rPr>
          <w:rStyle w:val="sb8d990e2"/>
          <w:rFonts w:ascii="Cambria" w:hAnsi="Cambria"/>
          <w:sz w:val="20"/>
          <w:lang w:val="es-ES"/>
        </w:rPr>
        <w:t xml:space="preserve">determinó que el </w:t>
      </w:r>
      <w:r w:rsidRPr="009D1E2F">
        <w:rPr>
          <w:rFonts w:ascii="Cambria" w:eastAsia="Cambria" w:hAnsi="Cambria" w:cs="Cambria"/>
          <w:bCs/>
          <w:sz w:val="20"/>
          <w:szCs w:val="20"/>
          <w:lang w:val="es-ES"/>
        </w:rPr>
        <w:t>síndrome del corredor de la muerte</w:t>
      </w:r>
      <w:r w:rsidR="002C6169" w:rsidRPr="009D1E2F">
        <w:rPr>
          <w:rFonts w:ascii="Cambria" w:eastAsia="Cambria" w:hAnsi="Cambria" w:cs="Cambria"/>
          <w:bCs/>
          <w:sz w:val="20"/>
          <w:szCs w:val="20"/>
          <w:lang w:val="es-ES"/>
        </w:rPr>
        <w:t>”</w:t>
      </w:r>
      <w:r w:rsidRPr="009D1E2F">
        <w:rPr>
          <w:rFonts w:ascii="Cambria" w:eastAsia="Cambria" w:hAnsi="Cambria" w:cs="Cambria"/>
          <w:bCs/>
          <w:sz w:val="20"/>
          <w:szCs w:val="20"/>
          <w:lang w:val="es-ES"/>
        </w:rPr>
        <w:t xml:space="preserve"> </w:t>
      </w:r>
      <w:r w:rsidR="008701F3">
        <w:rPr>
          <w:rFonts w:ascii="Cambria" w:eastAsia="Cambria" w:hAnsi="Cambria" w:cs="Cambria"/>
          <w:bCs/>
          <w:sz w:val="20"/>
          <w:szCs w:val="20"/>
          <w:lang w:val="es-ES"/>
        </w:rPr>
        <w:t xml:space="preserve">constituye trato </w:t>
      </w:r>
      <w:r w:rsidR="00DE5D25" w:rsidRPr="009D1E2F">
        <w:rPr>
          <w:rFonts w:ascii="Cambria" w:eastAsia="Cambria" w:hAnsi="Cambria" w:cs="Cambria"/>
          <w:bCs/>
          <w:sz w:val="20"/>
          <w:szCs w:val="20"/>
          <w:lang w:val="es-ES"/>
        </w:rPr>
        <w:t>cruel,</w:t>
      </w:r>
      <w:r w:rsidRPr="009D1E2F">
        <w:rPr>
          <w:rFonts w:ascii="Cambria" w:eastAsia="Cambria" w:hAnsi="Cambria" w:cs="Cambria"/>
          <w:bCs/>
          <w:sz w:val="20"/>
          <w:szCs w:val="20"/>
          <w:lang w:val="es-ES"/>
        </w:rPr>
        <w:t xml:space="preserve"> </w:t>
      </w:r>
      <w:r w:rsidR="00DE5D25" w:rsidRPr="009D1E2F">
        <w:rPr>
          <w:rFonts w:ascii="Cambria" w:eastAsia="Cambria" w:hAnsi="Cambria" w:cs="Cambria"/>
          <w:bCs/>
          <w:sz w:val="20"/>
          <w:szCs w:val="20"/>
          <w:lang w:val="es-ES"/>
        </w:rPr>
        <w:t>inhuman</w:t>
      </w:r>
      <w:r w:rsidR="008701F3">
        <w:rPr>
          <w:rFonts w:ascii="Cambria" w:eastAsia="Cambria" w:hAnsi="Cambria" w:cs="Cambria"/>
          <w:bCs/>
          <w:sz w:val="20"/>
          <w:szCs w:val="20"/>
          <w:lang w:val="es-ES"/>
        </w:rPr>
        <w:t xml:space="preserve">o y degradante, caracterizado por un período prolongado de detención </w:t>
      </w:r>
      <w:r w:rsidR="006C03BC">
        <w:rPr>
          <w:rFonts w:ascii="Cambria" w:eastAsia="Cambria" w:hAnsi="Cambria" w:cs="Cambria"/>
          <w:bCs/>
          <w:sz w:val="20"/>
          <w:szCs w:val="20"/>
          <w:lang w:val="es-ES"/>
        </w:rPr>
        <w:t>en espera de la ejecución, durante el cual los reclusos condenados a muerte pueden</w:t>
      </w:r>
      <w:r w:rsidRPr="009D1E2F">
        <w:rPr>
          <w:rFonts w:ascii="Cambria" w:eastAsia="Cambria" w:hAnsi="Cambria" w:cs="Cambria"/>
          <w:bCs/>
          <w:sz w:val="20"/>
          <w:szCs w:val="20"/>
          <w:lang w:val="es-ES"/>
        </w:rPr>
        <w:t xml:space="preserve"> </w:t>
      </w:r>
      <w:r w:rsidR="006C03BC">
        <w:rPr>
          <w:rFonts w:ascii="Cambria" w:eastAsia="Cambria" w:hAnsi="Cambria" w:cs="Cambria"/>
          <w:bCs/>
          <w:sz w:val="20"/>
          <w:szCs w:val="20"/>
          <w:lang w:val="es-ES"/>
        </w:rPr>
        <w:t xml:space="preserve">padecer ansiedad </w:t>
      </w:r>
      <w:r w:rsidR="00DE5D25" w:rsidRPr="009D1E2F">
        <w:rPr>
          <w:rFonts w:ascii="Cambria" w:eastAsia="Cambria" w:hAnsi="Cambria" w:cs="Cambria"/>
          <w:bCs/>
          <w:sz w:val="20"/>
          <w:szCs w:val="20"/>
          <w:lang w:val="es-ES"/>
        </w:rPr>
        <w:t>mental</w:t>
      </w:r>
      <w:r w:rsidRPr="009D1E2F">
        <w:rPr>
          <w:rFonts w:ascii="Cambria" w:eastAsia="Cambria" w:hAnsi="Cambria" w:cs="Cambria"/>
          <w:bCs/>
          <w:sz w:val="20"/>
          <w:szCs w:val="20"/>
          <w:lang w:val="es-ES"/>
        </w:rPr>
        <w:t xml:space="preserve"> </w:t>
      </w:r>
      <w:r w:rsidR="006C03BC">
        <w:rPr>
          <w:rFonts w:ascii="Cambria" w:eastAsia="Cambria" w:hAnsi="Cambria" w:cs="Cambria"/>
          <w:bCs/>
          <w:sz w:val="20"/>
          <w:szCs w:val="20"/>
          <w:lang w:val="es-ES"/>
        </w:rPr>
        <w:t xml:space="preserve">grave, tensión psicológica </w:t>
      </w:r>
      <w:r w:rsidR="00DE5D25" w:rsidRPr="009D1E2F">
        <w:rPr>
          <w:rFonts w:ascii="Cambria" w:eastAsia="Cambria" w:hAnsi="Cambria" w:cs="Cambria"/>
          <w:bCs/>
          <w:sz w:val="20"/>
          <w:szCs w:val="20"/>
          <w:lang w:val="es-ES"/>
        </w:rPr>
        <w:t>extrem</w:t>
      </w:r>
      <w:r w:rsidR="006C03BC">
        <w:rPr>
          <w:rFonts w:ascii="Cambria" w:eastAsia="Cambria" w:hAnsi="Cambria" w:cs="Cambria"/>
          <w:bCs/>
          <w:sz w:val="20"/>
          <w:szCs w:val="20"/>
          <w:lang w:val="es-ES"/>
        </w:rPr>
        <w:t xml:space="preserve">a y </w:t>
      </w:r>
      <w:r w:rsidR="00DE5D25" w:rsidRPr="009D1E2F">
        <w:rPr>
          <w:rFonts w:ascii="Cambria" w:eastAsia="Cambria" w:hAnsi="Cambria" w:cs="Cambria"/>
          <w:bCs/>
          <w:sz w:val="20"/>
          <w:szCs w:val="20"/>
          <w:lang w:val="es-ES"/>
        </w:rPr>
        <w:t>trauma</w:t>
      </w:r>
      <w:r w:rsidR="00DE5D25" w:rsidRPr="009D1E2F">
        <w:rPr>
          <w:rStyle w:val="FootnoteReference"/>
          <w:rFonts w:ascii="Cambria" w:eastAsia="Cambria" w:hAnsi="Cambria" w:cs="Cambria"/>
          <w:bCs/>
          <w:sz w:val="20"/>
          <w:szCs w:val="20"/>
          <w:lang w:val="es-ES"/>
        </w:rPr>
        <w:footnoteReference w:id="68"/>
      </w:r>
      <w:r w:rsidR="006C03BC">
        <w:rPr>
          <w:rFonts w:ascii="Cambria" w:eastAsia="Cambria" w:hAnsi="Cambria" w:cs="Cambria"/>
          <w:bCs/>
          <w:sz w:val="20"/>
          <w:szCs w:val="20"/>
          <w:lang w:val="es-ES"/>
        </w:rPr>
        <w:t xml:space="preserve">. El Tribunal reconoció asimismo que es inevitable que haya cierta demora entre la imposición y la ejecución de la sentencia y que se experimente un estrés grave en las condiciones necesarias para una reclusión estricta y tuvo en cuenta elementos tales como el período muy largo </w:t>
      </w:r>
      <w:r w:rsidR="00B506C5">
        <w:rPr>
          <w:rFonts w:ascii="Cambria" w:eastAsia="Cambria" w:hAnsi="Cambria" w:cs="Cambria"/>
          <w:bCs/>
          <w:sz w:val="20"/>
          <w:szCs w:val="20"/>
          <w:lang w:val="es-ES"/>
        </w:rPr>
        <w:t xml:space="preserve">que hay que pasar en </w:t>
      </w:r>
      <w:r w:rsidR="000E2468" w:rsidRPr="009D1E2F">
        <w:rPr>
          <w:rFonts w:ascii="Cambria" w:hAnsi="Cambria"/>
          <w:sz w:val="20"/>
          <w:lang w:val="es-ES"/>
        </w:rPr>
        <w:t>el</w:t>
      </w:r>
      <w:r w:rsidRPr="009D1E2F">
        <w:rPr>
          <w:rFonts w:ascii="Cambria" w:hAnsi="Cambria"/>
          <w:sz w:val="20"/>
          <w:lang w:val="es-ES"/>
        </w:rPr>
        <w:t xml:space="preserve"> </w:t>
      </w:r>
      <w:r w:rsidR="000E2468" w:rsidRPr="009D1E2F">
        <w:rPr>
          <w:rFonts w:ascii="Cambria" w:hAnsi="Cambria"/>
          <w:sz w:val="20"/>
          <w:lang w:val="es-ES"/>
        </w:rPr>
        <w:t>corredor</w:t>
      </w:r>
      <w:r w:rsidRPr="009D1E2F">
        <w:rPr>
          <w:rFonts w:ascii="Cambria" w:hAnsi="Cambria"/>
          <w:sz w:val="20"/>
          <w:lang w:val="es-ES"/>
        </w:rPr>
        <w:t xml:space="preserve"> </w:t>
      </w:r>
      <w:r w:rsidR="000E2468" w:rsidRPr="009D1E2F">
        <w:rPr>
          <w:rFonts w:ascii="Cambria" w:hAnsi="Cambria"/>
          <w:sz w:val="20"/>
          <w:lang w:val="es-ES"/>
        </w:rPr>
        <w:t>de</w:t>
      </w:r>
      <w:r w:rsidRPr="009D1E2F">
        <w:rPr>
          <w:rFonts w:ascii="Cambria" w:hAnsi="Cambria"/>
          <w:sz w:val="20"/>
          <w:lang w:val="es-ES"/>
        </w:rPr>
        <w:t xml:space="preserve"> </w:t>
      </w:r>
      <w:r w:rsidR="000E2468" w:rsidRPr="009D1E2F">
        <w:rPr>
          <w:rFonts w:ascii="Cambria" w:hAnsi="Cambria"/>
          <w:sz w:val="20"/>
          <w:lang w:val="es-ES"/>
        </w:rPr>
        <w:t>la</w:t>
      </w:r>
      <w:r w:rsidRPr="009D1E2F">
        <w:rPr>
          <w:rFonts w:ascii="Cambria" w:hAnsi="Cambria"/>
          <w:sz w:val="20"/>
          <w:lang w:val="es-ES"/>
        </w:rPr>
        <w:t xml:space="preserve"> </w:t>
      </w:r>
      <w:r w:rsidR="000E2468" w:rsidRPr="009D1E2F">
        <w:rPr>
          <w:rFonts w:ascii="Cambria" w:hAnsi="Cambria"/>
          <w:sz w:val="20"/>
          <w:lang w:val="es-ES"/>
        </w:rPr>
        <w:t>muerte</w:t>
      </w:r>
      <w:r w:rsidRPr="009D1E2F">
        <w:rPr>
          <w:rFonts w:ascii="Cambria" w:hAnsi="Cambria"/>
          <w:sz w:val="20"/>
          <w:lang w:val="es-ES"/>
        </w:rPr>
        <w:t xml:space="preserve"> </w:t>
      </w:r>
      <w:r w:rsidR="00B506C5">
        <w:rPr>
          <w:rFonts w:ascii="Cambria" w:hAnsi="Cambria"/>
          <w:sz w:val="20"/>
          <w:lang w:val="es-ES"/>
        </w:rPr>
        <w:t xml:space="preserve">en condiciones tan extremas, con la angustia siempre </w:t>
      </w:r>
      <w:r w:rsidR="00DE5D25" w:rsidRPr="009D1E2F">
        <w:rPr>
          <w:rFonts w:ascii="Cambria" w:hAnsi="Cambria"/>
          <w:sz w:val="20"/>
          <w:lang w:val="es-ES"/>
        </w:rPr>
        <w:t>present</w:t>
      </w:r>
      <w:r w:rsidR="00B506C5">
        <w:rPr>
          <w:rFonts w:ascii="Cambria" w:hAnsi="Cambria"/>
          <w:sz w:val="20"/>
          <w:lang w:val="es-ES"/>
        </w:rPr>
        <w:t>e y creciente generada por la espera de la ejecución de la</w:t>
      </w:r>
      <w:r w:rsidRPr="009D1E2F">
        <w:rPr>
          <w:rFonts w:ascii="Cambria" w:hAnsi="Cambria"/>
          <w:sz w:val="20"/>
          <w:lang w:val="es-ES"/>
        </w:rPr>
        <w:t xml:space="preserve"> </w:t>
      </w:r>
      <w:r w:rsidR="00817426" w:rsidRPr="009D1E2F">
        <w:rPr>
          <w:rFonts w:ascii="Cambria" w:hAnsi="Cambria"/>
          <w:sz w:val="20"/>
          <w:lang w:val="es-ES"/>
        </w:rPr>
        <w:t>pena</w:t>
      </w:r>
      <w:r w:rsidRPr="009D1E2F">
        <w:rPr>
          <w:rFonts w:ascii="Cambria" w:hAnsi="Cambria"/>
          <w:sz w:val="20"/>
          <w:lang w:val="es-ES"/>
        </w:rPr>
        <w:t xml:space="preserve"> </w:t>
      </w:r>
      <w:r w:rsidR="00817426" w:rsidRPr="009D1E2F">
        <w:rPr>
          <w:rFonts w:ascii="Cambria" w:hAnsi="Cambria"/>
          <w:sz w:val="20"/>
          <w:lang w:val="es-ES"/>
        </w:rPr>
        <w:t>de</w:t>
      </w:r>
      <w:r w:rsidRPr="009D1E2F">
        <w:rPr>
          <w:rFonts w:ascii="Cambria" w:hAnsi="Cambria"/>
          <w:sz w:val="20"/>
          <w:lang w:val="es-ES"/>
        </w:rPr>
        <w:t xml:space="preserve"> </w:t>
      </w:r>
      <w:r w:rsidR="00817426" w:rsidRPr="009D1E2F">
        <w:rPr>
          <w:rFonts w:ascii="Cambria" w:hAnsi="Cambria"/>
          <w:sz w:val="20"/>
          <w:lang w:val="es-ES"/>
        </w:rPr>
        <w:t>muerte</w:t>
      </w:r>
      <w:r w:rsidR="00DE5D25" w:rsidRPr="009D1E2F">
        <w:rPr>
          <w:rFonts w:ascii="Cambria" w:hAnsi="Cambria"/>
          <w:sz w:val="20"/>
          <w:lang w:val="es-ES"/>
        </w:rPr>
        <w:t>,</w:t>
      </w:r>
      <w:r w:rsidRPr="009D1E2F">
        <w:rPr>
          <w:rFonts w:ascii="Cambria" w:hAnsi="Cambria"/>
          <w:sz w:val="20"/>
          <w:lang w:val="es-ES"/>
        </w:rPr>
        <w:t xml:space="preserve"> </w:t>
      </w:r>
      <w:r w:rsidR="001C679E">
        <w:rPr>
          <w:rFonts w:ascii="Cambria" w:hAnsi="Cambria"/>
          <w:sz w:val="20"/>
          <w:lang w:val="es-ES"/>
        </w:rPr>
        <w:t xml:space="preserve">lo cual colocó esta demora en el ámbito de la exposición a un riesgo real de que el trato exceda el umbral establecido en el </w:t>
      </w:r>
      <w:r w:rsidR="005B3F2B" w:rsidRPr="009D1E2F">
        <w:rPr>
          <w:rFonts w:ascii="Cambria" w:hAnsi="Cambria"/>
          <w:sz w:val="20"/>
          <w:lang w:val="es-ES"/>
        </w:rPr>
        <w:t>artículo</w:t>
      </w:r>
      <w:r w:rsidRPr="009D1E2F">
        <w:rPr>
          <w:rFonts w:ascii="Cambria" w:hAnsi="Cambria"/>
          <w:sz w:val="20"/>
          <w:lang w:val="es-ES"/>
        </w:rPr>
        <w:t xml:space="preserve"> </w:t>
      </w:r>
      <w:r w:rsidR="00DE5D25" w:rsidRPr="009D1E2F">
        <w:rPr>
          <w:rFonts w:ascii="Cambria" w:hAnsi="Cambria"/>
          <w:sz w:val="20"/>
          <w:lang w:val="es-ES"/>
        </w:rPr>
        <w:t>3</w:t>
      </w:r>
      <w:r w:rsidR="00DE5D25" w:rsidRPr="009D1E2F">
        <w:rPr>
          <w:rFonts w:ascii="Cambria" w:hAnsi="Cambria"/>
          <w:sz w:val="20"/>
          <w:vertAlign w:val="superscript"/>
          <w:lang w:val="es-ES"/>
        </w:rPr>
        <w:footnoteReference w:id="69"/>
      </w:r>
      <w:r w:rsidR="001C679E">
        <w:rPr>
          <w:rFonts w:ascii="Cambria" w:hAnsi="Cambria"/>
          <w:sz w:val="20"/>
          <w:lang w:val="es-ES"/>
        </w:rPr>
        <w:t>.</w:t>
      </w:r>
    </w:p>
    <w:p w14:paraId="3D0F7932" w14:textId="77777777" w:rsidR="003D3CD4" w:rsidRPr="009D1E2F" w:rsidRDefault="003D3CD4" w:rsidP="00817426">
      <w:pPr>
        <w:pStyle w:val="ListParagraph"/>
        <w:tabs>
          <w:tab w:val="left" w:pos="360"/>
        </w:tabs>
        <w:rPr>
          <w:sz w:val="20"/>
          <w:lang w:val="es-ES"/>
        </w:rPr>
      </w:pPr>
    </w:p>
    <w:p w14:paraId="15A951BA" w14:textId="77777777" w:rsidR="00DE5D25" w:rsidRPr="009D1E2F" w:rsidRDefault="001C679E"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Cambria" w:hAnsi="Cambria"/>
          <w:sz w:val="20"/>
          <w:lang w:val="es-ES"/>
        </w:rPr>
        <w:t>Asimismo, en el contexto del derecho comparado</w:t>
      </w:r>
      <w:r w:rsidR="00DE5D25" w:rsidRPr="009D1E2F">
        <w:rPr>
          <w:rFonts w:ascii="Cambria" w:hAnsi="Cambria"/>
          <w:sz w:val="20"/>
          <w:lang w:val="es-ES"/>
        </w:rPr>
        <w:t>,</w:t>
      </w:r>
      <w:r w:rsidR="00B059EC" w:rsidRPr="009D1E2F">
        <w:rPr>
          <w:rFonts w:ascii="Cambria" w:hAnsi="Cambria"/>
          <w:sz w:val="20"/>
          <w:lang w:val="es-ES"/>
        </w:rPr>
        <w:t xml:space="preserve"> </w:t>
      </w:r>
      <w:r w:rsidR="00363E52" w:rsidRPr="009D1E2F">
        <w:rPr>
          <w:rFonts w:ascii="Cambria" w:hAnsi="Cambria"/>
          <w:sz w:val="20"/>
          <w:lang w:val="es-ES"/>
        </w:rPr>
        <w:t>la</w:t>
      </w:r>
      <w:r w:rsidR="00B059EC" w:rsidRPr="009D1E2F">
        <w:rPr>
          <w:rFonts w:ascii="Cambria" w:hAnsi="Cambria"/>
          <w:sz w:val="20"/>
          <w:lang w:val="es-ES"/>
        </w:rPr>
        <w:t xml:space="preserve"> </w:t>
      </w:r>
      <w:r w:rsidR="00363E52" w:rsidRPr="009D1E2F">
        <w:rPr>
          <w:rFonts w:ascii="Cambria" w:hAnsi="Cambria"/>
          <w:sz w:val="20"/>
          <w:lang w:val="es-ES"/>
        </w:rPr>
        <w:t>Comisión</w:t>
      </w:r>
      <w:r w:rsidR="00B059EC" w:rsidRPr="009D1E2F">
        <w:rPr>
          <w:rFonts w:ascii="Cambria" w:hAnsi="Cambria"/>
          <w:sz w:val="20"/>
          <w:lang w:val="es-ES"/>
        </w:rPr>
        <w:t xml:space="preserve"> </w:t>
      </w:r>
      <w:r>
        <w:rPr>
          <w:rFonts w:ascii="Cambria" w:hAnsi="Cambria"/>
          <w:sz w:val="20"/>
          <w:lang w:val="es-ES"/>
        </w:rPr>
        <w:t xml:space="preserve">observa que el Consejo Privado de la Cámara de los Lores de Gran Bretaña </w:t>
      </w:r>
      <w:r w:rsidR="00DE430F">
        <w:rPr>
          <w:rFonts w:ascii="Cambria" w:hAnsi="Cambria"/>
          <w:sz w:val="20"/>
          <w:lang w:val="es-ES"/>
        </w:rPr>
        <w:t>señaló</w:t>
      </w:r>
      <w:r>
        <w:rPr>
          <w:rFonts w:ascii="Cambria" w:hAnsi="Cambria"/>
          <w:sz w:val="20"/>
          <w:lang w:val="es-ES"/>
        </w:rPr>
        <w:t xml:space="preserve"> en </w:t>
      </w:r>
      <w:r w:rsidR="00DE5D25" w:rsidRPr="009D1E2F">
        <w:rPr>
          <w:rFonts w:ascii="Cambria" w:hAnsi="Cambria"/>
          <w:sz w:val="20"/>
          <w:lang w:val="es-ES"/>
        </w:rPr>
        <w:t>1993</w:t>
      </w:r>
      <w:r>
        <w:rPr>
          <w:rFonts w:ascii="Cambria" w:hAnsi="Cambria"/>
          <w:sz w:val="20"/>
          <w:lang w:val="es-ES"/>
        </w:rPr>
        <w:t xml:space="preserve">, con respecto al fenómeno el corredor de la muerte en el caso </w:t>
      </w:r>
      <w:r w:rsidR="00DE5D25" w:rsidRPr="009D1E2F">
        <w:rPr>
          <w:rFonts w:ascii="Cambria" w:hAnsi="Cambria"/>
          <w:i/>
          <w:sz w:val="20"/>
          <w:lang w:val="es-ES"/>
        </w:rPr>
        <w:t>Pratt</w:t>
      </w:r>
      <w:r w:rsidR="00B059EC" w:rsidRPr="009D1E2F">
        <w:rPr>
          <w:rFonts w:ascii="Cambria" w:hAnsi="Cambria"/>
          <w:i/>
          <w:sz w:val="20"/>
          <w:lang w:val="es-ES"/>
        </w:rPr>
        <w:t xml:space="preserve"> </w:t>
      </w:r>
      <w:r>
        <w:rPr>
          <w:rFonts w:ascii="Cambria" w:hAnsi="Cambria"/>
          <w:i/>
          <w:sz w:val="20"/>
          <w:lang w:val="es-ES"/>
        </w:rPr>
        <w:t>y</w:t>
      </w:r>
      <w:r w:rsidR="00B059EC" w:rsidRPr="009D1E2F">
        <w:rPr>
          <w:rFonts w:ascii="Cambria" w:hAnsi="Cambria"/>
          <w:i/>
          <w:sz w:val="20"/>
          <w:lang w:val="es-ES"/>
        </w:rPr>
        <w:t xml:space="preserve"> </w:t>
      </w:r>
      <w:r w:rsidR="00DE5D25" w:rsidRPr="009D1E2F">
        <w:rPr>
          <w:rFonts w:ascii="Cambria" w:hAnsi="Cambria"/>
          <w:i/>
          <w:sz w:val="20"/>
          <w:lang w:val="es-ES"/>
        </w:rPr>
        <w:t>Morgan</w:t>
      </w:r>
      <w:r w:rsidR="00B059EC" w:rsidRPr="009D1E2F">
        <w:rPr>
          <w:rFonts w:ascii="Cambria" w:hAnsi="Cambria"/>
          <w:i/>
          <w:sz w:val="20"/>
          <w:lang w:val="es-ES"/>
        </w:rPr>
        <w:t xml:space="preserve"> </w:t>
      </w:r>
      <w:r>
        <w:rPr>
          <w:rFonts w:ascii="Cambria" w:hAnsi="Cambria"/>
          <w:i/>
          <w:sz w:val="20"/>
          <w:lang w:val="es-ES"/>
        </w:rPr>
        <w:t>contra</w:t>
      </w:r>
      <w:r w:rsidR="00B059EC" w:rsidRPr="009D1E2F">
        <w:rPr>
          <w:rFonts w:ascii="Cambria" w:hAnsi="Cambria"/>
          <w:i/>
          <w:sz w:val="20"/>
          <w:lang w:val="es-ES"/>
        </w:rPr>
        <w:t xml:space="preserve"> </w:t>
      </w:r>
      <w:r w:rsidR="00DE5D25" w:rsidRPr="009D1E2F">
        <w:rPr>
          <w:rFonts w:ascii="Cambria" w:hAnsi="Cambria"/>
          <w:i/>
          <w:sz w:val="20"/>
          <w:lang w:val="es-ES"/>
        </w:rPr>
        <w:t>Jamaica</w:t>
      </w:r>
      <w:r w:rsidR="00DE5D25" w:rsidRPr="009D1E2F">
        <w:rPr>
          <w:rFonts w:ascii="Cambria" w:hAnsi="Cambria"/>
          <w:sz w:val="20"/>
          <w:lang w:val="es-ES"/>
        </w:rPr>
        <w:t>,</w:t>
      </w:r>
      <w:r w:rsidR="00B059EC" w:rsidRPr="009D1E2F">
        <w:rPr>
          <w:rFonts w:ascii="Cambria" w:hAnsi="Cambria"/>
          <w:sz w:val="20"/>
          <w:lang w:val="es-ES"/>
        </w:rPr>
        <w:t xml:space="preserve"> </w:t>
      </w:r>
      <w:r>
        <w:rPr>
          <w:rFonts w:ascii="Cambria" w:hAnsi="Cambria"/>
          <w:sz w:val="20"/>
          <w:lang w:val="es-ES"/>
        </w:rPr>
        <w:t>que</w:t>
      </w:r>
      <w:r w:rsidR="00DE5D25" w:rsidRPr="009D1E2F">
        <w:rPr>
          <w:rFonts w:ascii="Cambria" w:hAnsi="Cambria"/>
          <w:sz w:val="20"/>
          <w:lang w:val="es-ES"/>
        </w:rPr>
        <w:t>:</w:t>
      </w:r>
    </w:p>
    <w:p w14:paraId="1BB11747" w14:textId="77777777" w:rsidR="00DE5D25" w:rsidRPr="009D1E2F" w:rsidRDefault="00DE5D25"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lang w:val="es-ES"/>
        </w:rPr>
      </w:pPr>
    </w:p>
    <w:p w14:paraId="73D6B5F0" w14:textId="77777777" w:rsidR="00DE5D25" w:rsidRPr="00ED218D" w:rsidRDefault="00ED218D"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Cambria" w:eastAsia="Calibri" w:hAnsi="Cambria" w:cs="Tahoma"/>
          <w:sz w:val="18"/>
          <w:szCs w:val="18"/>
          <w:bdr w:val="none" w:sz="0" w:space="0" w:color="auto"/>
          <w:lang w:val="es-ES"/>
        </w:rPr>
      </w:pPr>
      <w:r>
        <w:rPr>
          <w:rFonts w:ascii="Cambria" w:eastAsia="Calibri" w:hAnsi="Cambria"/>
          <w:sz w:val="18"/>
          <w:szCs w:val="18"/>
          <w:bdr w:val="none" w:sz="0" w:space="0" w:color="auto"/>
          <w:lang w:val="es-ES"/>
        </w:rPr>
        <w:t xml:space="preserve">En opinión de sus señorías, un Estado que quiera conservar la pena </w:t>
      </w:r>
      <w:r w:rsidR="00DE5D25" w:rsidRPr="00ED218D">
        <w:rPr>
          <w:rFonts w:ascii="Cambria" w:eastAsia="Calibri" w:hAnsi="Cambria"/>
          <w:sz w:val="18"/>
          <w:szCs w:val="18"/>
          <w:bdr w:val="none" w:sz="0" w:space="0" w:color="auto"/>
          <w:lang w:val="es-ES"/>
        </w:rPr>
        <w:t>capital</w:t>
      </w:r>
      <w:r w:rsidR="00B059EC" w:rsidRPr="00ED218D">
        <w:rPr>
          <w:rFonts w:ascii="Cambria" w:eastAsia="Calibri" w:hAnsi="Cambria"/>
          <w:sz w:val="18"/>
          <w:szCs w:val="18"/>
          <w:bdr w:val="none" w:sz="0" w:space="0" w:color="auto"/>
          <w:lang w:val="es-ES"/>
        </w:rPr>
        <w:t xml:space="preserve"> </w:t>
      </w:r>
      <w:r>
        <w:rPr>
          <w:rFonts w:ascii="Cambria" w:eastAsia="Calibri" w:hAnsi="Cambria"/>
          <w:sz w:val="18"/>
          <w:szCs w:val="18"/>
          <w:bdr w:val="none" w:sz="0" w:space="0" w:color="auto"/>
          <w:lang w:val="es-ES"/>
        </w:rPr>
        <w:t xml:space="preserve">debe aceptar la responsabilidad de asegurar que la ejecución tenga lugar con la mayor prontitud posible después de la sentencia, dando un plazo razonable para que se pueda apelar y para que se pueda considerar la suspensión de la ejecución de la sentencia. </w:t>
      </w:r>
      <w:r w:rsidR="009A2634">
        <w:rPr>
          <w:rFonts w:ascii="Cambria" w:eastAsia="Calibri" w:hAnsi="Cambria"/>
          <w:sz w:val="18"/>
          <w:szCs w:val="18"/>
          <w:bdr w:val="none" w:sz="0" w:space="0" w:color="auto"/>
          <w:lang w:val="es-ES"/>
        </w:rPr>
        <w:t xml:space="preserve">Es propio de la condición </w:t>
      </w:r>
      <w:r w:rsidR="00DE5D25" w:rsidRPr="00ED218D">
        <w:rPr>
          <w:rFonts w:ascii="Cambria" w:eastAsia="Calibri" w:hAnsi="Cambria"/>
          <w:sz w:val="18"/>
          <w:szCs w:val="18"/>
          <w:bdr w:val="none" w:sz="0" w:space="0" w:color="auto"/>
          <w:lang w:val="es-ES"/>
        </w:rPr>
        <w:t>human</w:t>
      </w:r>
      <w:r w:rsidR="009A2634">
        <w:rPr>
          <w:rFonts w:ascii="Cambria" w:eastAsia="Calibri" w:hAnsi="Cambria"/>
          <w:sz w:val="18"/>
          <w:szCs w:val="18"/>
          <w:bdr w:val="none" w:sz="0" w:space="0" w:color="auto"/>
          <w:lang w:val="es-ES"/>
        </w:rPr>
        <w:t xml:space="preserve">a que un hombre condenado aproveche toda oportunidad que se le presente para </w:t>
      </w:r>
      <w:r w:rsidR="00DE430F">
        <w:rPr>
          <w:rFonts w:ascii="Cambria" w:eastAsia="Calibri" w:hAnsi="Cambria"/>
          <w:sz w:val="18"/>
          <w:szCs w:val="18"/>
          <w:bdr w:val="none" w:sz="0" w:space="0" w:color="auto"/>
          <w:lang w:val="es-ES"/>
        </w:rPr>
        <w:t>apelar a fin de salvar su vida</w:t>
      </w:r>
      <w:r w:rsidR="009A2634">
        <w:rPr>
          <w:rFonts w:ascii="Cambria" w:eastAsia="Calibri" w:hAnsi="Cambria"/>
          <w:sz w:val="18"/>
          <w:szCs w:val="18"/>
          <w:bdr w:val="none" w:sz="0" w:space="0" w:color="auto"/>
          <w:lang w:val="es-ES"/>
        </w:rPr>
        <w:t xml:space="preserve">. Si este procedimiento le permite al recluso prolongar las audiencias de apelación durante varios años, la culpa la tiene el sistema de apelación que permite una demora de ese tipo, no el recluso que lo aprovecha. Los procedimientos de apelación que se prolongan años no son compatibles con la pena </w:t>
      </w:r>
      <w:r w:rsidR="00DE5D25" w:rsidRPr="00ED218D">
        <w:rPr>
          <w:rFonts w:ascii="Cambria" w:eastAsia="Calibri" w:hAnsi="Cambria"/>
          <w:sz w:val="18"/>
          <w:szCs w:val="18"/>
          <w:bdr w:val="none" w:sz="0" w:space="0" w:color="auto"/>
          <w:lang w:val="es-ES"/>
        </w:rPr>
        <w:t>capital</w:t>
      </w:r>
      <w:r w:rsidR="009A2634">
        <w:rPr>
          <w:rFonts w:ascii="Cambria" w:eastAsia="Calibri" w:hAnsi="Cambria"/>
          <w:sz w:val="18"/>
          <w:szCs w:val="18"/>
          <w:bdr w:val="none" w:sz="0" w:space="0" w:color="auto"/>
          <w:lang w:val="es-ES"/>
        </w:rPr>
        <w:t>. El fenómeno del corredor de la muerte no debe arraigarse como parte de nuestra jurisprudencia.</w:t>
      </w:r>
    </w:p>
    <w:p w14:paraId="0F0EAC68" w14:textId="77777777" w:rsidR="00DE5D25" w:rsidRPr="009D1E2F" w:rsidRDefault="009A2634"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Cambria" w:eastAsia="Calibri" w:hAnsi="Cambria" w:cs="Tahoma"/>
          <w:sz w:val="18"/>
          <w:szCs w:val="18"/>
          <w:bdr w:val="none" w:sz="0" w:space="0" w:color="auto"/>
          <w:lang w:val="es-ES"/>
        </w:rPr>
      </w:pPr>
      <w:r w:rsidRPr="00781D5D">
        <w:rPr>
          <w:rFonts w:ascii="Cambria" w:eastAsia="Calibri" w:hAnsi="Cambria"/>
          <w:sz w:val="18"/>
          <w:szCs w:val="18"/>
          <w:bdr w:val="none" w:sz="0" w:space="0" w:color="auto"/>
          <w:lang w:val="es-ES"/>
        </w:rPr>
        <w:t>[</w:t>
      </w:r>
      <w:r w:rsidR="00DE5D25" w:rsidRPr="00ED218D">
        <w:rPr>
          <w:rFonts w:ascii="Cambria" w:eastAsia="Calibri" w:hAnsi="Cambria"/>
          <w:sz w:val="18"/>
          <w:szCs w:val="18"/>
          <w:bdr w:val="none" w:sz="0" w:space="0" w:color="auto"/>
          <w:lang w:val="es-ES"/>
        </w:rPr>
        <w:t>…</w:t>
      </w:r>
      <w:r>
        <w:rPr>
          <w:rFonts w:ascii="Cambria" w:eastAsia="Calibri" w:hAnsi="Cambria"/>
          <w:sz w:val="18"/>
          <w:szCs w:val="18"/>
          <w:bdr w:val="none" w:sz="0" w:space="0" w:color="auto"/>
          <w:lang w:val="es-ES"/>
        </w:rPr>
        <w:t>]</w:t>
      </w:r>
    </w:p>
    <w:p w14:paraId="40F8BAC4" w14:textId="77777777" w:rsidR="00DE5D25" w:rsidRPr="009D1E2F" w:rsidRDefault="00844565"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eastAsia="Calibri" w:hAnsi="Cambria"/>
          <w:sz w:val="18"/>
          <w:szCs w:val="18"/>
          <w:bdr w:val="none" w:sz="0" w:space="0" w:color="auto"/>
          <w:lang w:val="es-ES"/>
        </w:rPr>
      </w:pPr>
      <w:r>
        <w:rPr>
          <w:rFonts w:ascii="Cambria" w:eastAsia="Calibri" w:hAnsi="Cambria"/>
          <w:sz w:val="18"/>
          <w:szCs w:val="18"/>
          <w:bdr w:val="none" w:sz="0" w:space="0" w:color="auto"/>
          <w:lang w:val="es-ES"/>
        </w:rPr>
        <w:t xml:space="preserve">Estas </w:t>
      </w:r>
      <w:r w:rsidR="00DE5D25" w:rsidRPr="009D1E2F">
        <w:rPr>
          <w:rFonts w:ascii="Cambria" w:eastAsia="Calibri" w:hAnsi="Cambria"/>
          <w:sz w:val="18"/>
          <w:szCs w:val="18"/>
          <w:bdr w:val="none" w:sz="0" w:space="0" w:color="auto"/>
          <w:lang w:val="es-ES"/>
        </w:rPr>
        <w:t>considera</w:t>
      </w:r>
      <w:r>
        <w:rPr>
          <w:rFonts w:ascii="Cambria" w:eastAsia="Calibri" w:hAnsi="Cambria"/>
          <w:sz w:val="18"/>
          <w:szCs w:val="18"/>
          <w:bdr w:val="none" w:sz="0" w:space="0" w:color="auto"/>
          <w:lang w:val="es-ES"/>
        </w:rPr>
        <w:t>c</w:t>
      </w:r>
      <w:r w:rsidR="00DE5D25" w:rsidRPr="009D1E2F">
        <w:rPr>
          <w:rFonts w:ascii="Cambria" w:eastAsia="Calibri" w:hAnsi="Cambria"/>
          <w:sz w:val="18"/>
          <w:szCs w:val="18"/>
          <w:bdr w:val="none" w:sz="0" w:space="0" w:color="auto"/>
          <w:lang w:val="es-ES"/>
        </w:rPr>
        <w:t>ion</w:t>
      </w:r>
      <w:r>
        <w:rPr>
          <w:rFonts w:ascii="Cambria" w:eastAsia="Calibri" w:hAnsi="Cambria"/>
          <w:sz w:val="18"/>
          <w:szCs w:val="18"/>
          <w:bdr w:val="none" w:sz="0" w:space="0" w:color="auto"/>
          <w:lang w:val="es-ES"/>
        </w:rPr>
        <w:t>es llevan a sus señorías a la</w:t>
      </w:r>
      <w:r w:rsidR="00B059EC" w:rsidRPr="009D1E2F">
        <w:rPr>
          <w:rFonts w:ascii="Cambria" w:eastAsia="Calibri" w:hAnsi="Cambria"/>
          <w:sz w:val="18"/>
          <w:szCs w:val="18"/>
          <w:bdr w:val="none" w:sz="0" w:space="0" w:color="auto"/>
          <w:lang w:val="es-ES"/>
        </w:rPr>
        <w:t xml:space="preserve"> </w:t>
      </w:r>
      <w:r w:rsidR="00DE5D25" w:rsidRPr="009D1E2F">
        <w:rPr>
          <w:rFonts w:ascii="Cambria" w:eastAsia="Calibri" w:hAnsi="Cambria"/>
          <w:sz w:val="18"/>
          <w:szCs w:val="18"/>
          <w:bdr w:val="none" w:sz="0" w:space="0" w:color="auto"/>
          <w:lang w:val="es-ES"/>
        </w:rPr>
        <w:t>conclusi</w:t>
      </w:r>
      <w:r>
        <w:rPr>
          <w:rFonts w:ascii="Cambria" w:eastAsia="Calibri" w:hAnsi="Cambria"/>
          <w:sz w:val="18"/>
          <w:szCs w:val="18"/>
          <w:bdr w:val="none" w:sz="0" w:space="0" w:color="auto"/>
          <w:lang w:val="es-ES"/>
        </w:rPr>
        <w:t xml:space="preserve">ón de que, en los casos en que la ejecución vaya a tener lugar más de cinco años después de la sentencia, habrá fuertes razones para creer que la demora en sí constituye un “castigo o trato </w:t>
      </w:r>
      <w:r w:rsidR="00DE5D25" w:rsidRPr="009D1E2F">
        <w:rPr>
          <w:rFonts w:ascii="Cambria" w:eastAsia="Calibri" w:hAnsi="Cambria"/>
          <w:sz w:val="18"/>
          <w:szCs w:val="18"/>
          <w:bdr w:val="none" w:sz="0" w:space="0" w:color="auto"/>
          <w:lang w:val="es-ES"/>
        </w:rPr>
        <w:t>inhuman</w:t>
      </w:r>
      <w:r w:rsidR="00B059EC" w:rsidRPr="009D1E2F">
        <w:rPr>
          <w:rFonts w:ascii="Cambria" w:eastAsia="Calibri" w:hAnsi="Cambria"/>
          <w:sz w:val="18"/>
          <w:szCs w:val="18"/>
          <w:bdr w:val="none" w:sz="0" w:space="0" w:color="auto"/>
          <w:lang w:val="es-ES"/>
        </w:rPr>
        <w:t xml:space="preserve"> </w:t>
      </w:r>
      <w:r w:rsidR="00DE5D25" w:rsidRPr="009D1E2F">
        <w:rPr>
          <w:rFonts w:ascii="Cambria" w:eastAsia="Calibri" w:hAnsi="Cambria"/>
          <w:sz w:val="18"/>
          <w:szCs w:val="18"/>
          <w:bdr w:val="none" w:sz="0" w:space="0" w:color="auto"/>
          <w:lang w:val="es-ES"/>
        </w:rPr>
        <w:t>o</w:t>
      </w:r>
      <w:r w:rsidR="00B059EC" w:rsidRPr="009D1E2F">
        <w:rPr>
          <w:rFonts w:ascii="Cambria" w:eastAsia="Calibri" w:hAnsi="Cambria"/>
          <w:sz w:val="18"/>
          <w:szCs w:val="18"/>
          <w:bdr w:val="none" w:sz="0" w:space="0" w:color="auto"/>
          <w:lang w:val="es-ES"/>
        </w:rPr>
        <w:t xml:space="preserve"> </w:t>
      </w:r>
      <w:r w:rsidR="00DE5D25" w:rsidRPr="009D1E2F">
        <w:rPr>
          <w:rFonts w:ascii="Cambria" w:eastAsia="Calibri" w:hAnsi="Cambria"/>
          <w:sz w:val="18"/>
          <w:szCs w:val="18"/>
          <w:bdr w:val="none" w:sz="0" w:space="0" w:color="auto"/>
          <w:lang w:val="es-ES"/>
        </w:rPr>
        <w:t>degrad</w:t>
      </w:r>
      <w:r>
        <w:rPr>
          <w:rFonts w:ascii="Cambria" w:eastAsia="Calibri" w:hAnsi="Cambria"/>
          <w:sz w:val="18"/>
          <w:szCs w:val="18"/>
          <w:bdr w:val="none" w:sz="0" w:space="0" w:color="auto"/>
          <w:lang w:val="es-ES"/>
        </w:rPr>
        <w:t>ante”</w:t>
      </w:r>
      <w:r w:rsidR="00DE5D25" w:rsidRPr="009D1E2F">
        <w:rPr>
          <w:rFonts w:ascii="Cambria" w:eastAsia="Calibri" w:hAnsi="Cambria"/>
          <w:sz w:val="18"/>
          <w:szCs w:val="18"/>
          <w:bdr w:val="none" w:sz="0" w:space="0" w:color="auto"/>
          <w:vertAlign w:val="superscript"/>
          <w:lang w:val="es-ES"/>
        </w:rPr>
        <w:footnoteReference w:id="70"/>
      </w:r>
      <w:r>
        <w:rPr>
          <w:rFonts w:ascii="Cambria" w:eastAsia="Calibri" w:hAnsi="Cambria"/>
          <w:sz w:val="18"/>
          <w:szCs w:val="18"/>
          <w:bdr w:val="none" w:sz="0" w:space="0" w:color="auto"/>
          <w:lang w:val="es-ES"/>
        </w:rPr>
        <w:t>.</w:t>
      </w:r>
    </w:p>
    <w:p w14:paraId="2121D8C2" w14:textId="77777777" w:rsidR="006C379B" w:rsidRPr="009D1E2F" w:rsidRDefault="006C379B" w:rsidP="00817426">
      <w:pPr>
        <w:tabs>
          <w:tab w:val="left" w:pos="360"/>
        </w:tabs>
        <w:rPr>
          <w:sz w:val="20"/>
          <w:lang w:val="es-ES"/>
        </w:rPr>
      </w:pPr>
    </w:p>
    <w:p w14:paraId="2A853F01" w14:textId="77777777" w:rsidR="006C379B" w:rsidRPr="009D1E2F" w:rsidRDefault="00B52584"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Cambria" w:hAnsi="Cambria" w:cs="Arial"/>
          <w:sz w:val="20"/>
          <w:szCs w:val="20"/>
          <w:lang w:val="es-ES"/>
        </w:rPr>
        <w:t>Como se ha señalado en este informe</w:t>
      </w:r>
      <w:r w:rsidR="002E299B"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señor</w:t>
      </w:r>
      <w:r w:rsidR="00B059EC" w:rsidRPr="009D1E2F">
        <w:rPr>
          <w:rFonts w:ascii="Cambria" w:hAnsi="Cambria" w:cs="Arial"/>
          <w:sz w:val="20"/>
          <w:szCs w:val="20"/>
          <w:lang w:val="es-ES"/>
        </w:rPr>
        <w:t xml:space="preserve"> </w:t>
      </w:r>
      <w:r w:rsidR="002E299B" w:rsidRPr="009D1E2F">
        <w:rPr>
          <w:rFonts w:ascii="Cambria" w:hAnsi="Cambria" w:cs="Arial"/>
          <w:sz w:val="20"/>
          <w:szCs w:val="20"/>
          <w:lang w:val="es-ES"/>
        </w:rPr>
        <w:t>Gray</w:t>
      </w:r>
      <w:r w:rsidR="00B059EC" w:rsidRPr="009D1E2F">
        <w:rPr>
          <w:rFonts w:ascii="Cambria" w:hAnsi="Cambria" w:cs="Arial"/>
          <w:sz w:val="20"/>
          <w:szCs w:val="20"/>
          <w:lang w:val="es-ES"/>
        </w:rPr>
        <w:t xml:space="preserve"> </w:t>
      </w:r>
      <w:r>
        <w:rPr>
          <w:rFonts w:ascii="Cambria" w:hAnsi="Cambria" w:cs="Arial"/>
          <w:sz w:val="20"/>
          <w:szCs w:val="20"/>
          <w:lang w:val="es-ES"/>
        </w:rPr>
        <w:t xml:space="preserve">fue condenado a muerte el </w:t>
      </w:r>
      <w:r w:rsidR="002E299B" w:rsidRPr="009D1E2F">
        <w:rPr>
          <w:rFonts w:ascii="Cambria" w:hAnsi="Cambria" w:cs="Arial"/>
          <w:sz w:val="20"/>
          <w:szCs w:val="20"/>
          <w:lang w:val="es-ES"/>
        </w:rPr>
        <w:t>3</w:t>
      </w:r>
      <w:r>
        <w:rPr>
          <w:rFonts w:ascii="Cambria" w:hAnsi="Cambria" w:cs="Arial"/>
          <w:sz w:val="20"/>
          <w:szCs w:val="20"/>
          <w:lang w:val="es-ES"/>
        </w:rPr>
        <w:t xml:space="preserve"> de diciembre de</w:t>
      </w:r>
      <w:r w:rsidR="00B059EC" w:rsidRPr="009D1E2F">
        <w:rPr>
          <w:rFonts w:ascii="Cambria" w:hAnsi="Cambria" w:cs="Arial"/>
          <w:sz w:val="20"/>
          <w:szCs w:val="20"/>
          <w:lang w:val="es-ES"/>
        </w:rPr>
        <w:t xml:space="preserve"> </w:t>
      </w:r>
      <w:r w:rsidR="002E299B" w:rsidRPr="009D1E2F">
        <w:rPr>
          <w:rFonts w:ascii="Cambria" w:hAnsi="Cambria" w:cs="Arial"/>
          <w:sz w:val="20"/>
          <w:szCs w:val="20"/>
          <w:lang w:val="es-ES"/>
        </w:rPr>
        <w:t>1992</w:t>
      </w:r>
      <w:r>
        <w:rPr>
          <w:rFonts w:ascii="Cambria" w:hAnsi="Cambria" w:cs="Arial"/>
          <w:sz w:val="20"/>
          <w:szCs w:val="20"/>
          <w:lang w:val="es-ES"/>
        </w:rPr>
        <w:t xml:space="preserve"> y fue ejecutado el </w:t>
      </w:r>
      <w:r w:rsidR="002E299B" w:rsidRPr="009D1E2F">
        <w:rPr>
          <w:rFonts w:ascii="Cambria" w:hAnsi="Cambria" w:cs="Arial"/>
          <w:sz w:val="20"/>
          <w:szCs w:val="20"/>
          <w:lang w:val="es-ES"/>
        </w:rPr>
        <w:t>26</w:t>
      </w:r>
      <w:r>
        <w:rPr>
          <w:rFonts w:ascii="Cambria" w:hAnsi="Cambria" w:cs="Arial"/>
          <w:sz w:val="20"/>
          <w:szCs w:val="20"/>
          <w:lang w:val="es-ES"/>
        </w:rPr>
        <w:t xml:space="preserve"> de octubre de</w:t>
      </w:r>
      <w:r w:rsidR="00B059EC" w:rsidRPr="009D1E2F">
        <w:rPr>
          <w:rFonts w:ascii="Cambria" w:hAnsi="Cambria" w:cs="Arial"/>
          <w:sz w:val="20"/>
          <w:szCs w:val="20"/>
          <w:lang w:val="es-ES"/>
        </w:rPr>
        <w:t xml:space="preserve"> </w:t>
      </w:r>
      <w:r w:rsidR="002E299B" w:rsidRPr="009D1E2F">
        <w:rPr>
          <w:rFonts w:ascii="Cambria" w:hAnsi="Cambria" w:cs="Arial"/>
          <w:sz w:val="20"/>
          <w:szCs w:val="20"/>
          <w:lang w:val="es-ES"/>
        </w:rPr>
        <w:t>2005</w:t>
      </w:r>
      <w:r w:rsidR="00B059EC" w:rsidRPr="009D1E2F">
        <w:rPr>
          <w:rFonts w:ascii="Cambria" w:hAnsi="Cambria" w:cs="Arial"/>
          <w:sz w:val="20"/>
          <w:szCs w:val="20"/>
          <w:lang w:val="es-ES"/>
        </w:rPr>
        <w:t xml:space="preserve"> </w:t>
      </w:r>
      <w:r w:rsidR="002E299B" w:rsidRPr="009D1E2F">
        <w:rPr>
          <w:rFonts w:ascii="Cambria" w:hAnsi="Cambria" w:cs="Arial"/>
          <w:sz w:val="20"/>
          <w:szCs w:val="20"/>
          <w:lang w:val="es-ES"/>
        </w:rPr>
        <w:t>a</w:t>
      </w:r>
      <w:r>
        <w:rPr>
          <w:rFonts w:ascii="Cambria" w:hAnsi="Cambria" w:cs="Arial"/>
          <w:sz w:val="20"/>
          <w:szCs w:val="20"/>
          <w:lang w:val="es-ES"/>
        </w:rPr>
        <w:t xml:space="preserve"> las 0</w:t>
      </w:r>
      <w:r w:rsidR="002E299B" w:rsidRPr="009D1E2F">
        <w:rPr>
          <w:rFonts w:ascii="Cambria" w:hAnsi="Cambria" w:cs="Arial"/>
          <w:sz w:val="20"/>
          <w:szCs w:val="20"/>
          <w:lang w:val="es-ES"/>
        </w:rPr>
        <w:t>:07</w:t>
      </w:r>
      <w:r>
        <w:rPr>
          <w:rFonts w:ascii="Cambria" w:hAnsi="Cambria" w:cs="Arial"/>
          <w:sz w:val="20"/>
          <w:szCs w:val="20"/>
          <w:lang w:val="es-ES"/>
        </w:rPr>
        <w:t xml:space="preserve"> horas</w:t>
      </w:r>
      <w:r w:rsidR="00DE430F">
        <w:rPr>
          <w:rFonts w:ascii="Cambria" w:hAnsi="Cambria" w:cs="Arial"/>
          <w:sz w:val="20"/>
          <w:szCs w:val="20"/>
          <w:lang w:val="es-ES"/>
        </w:rPr>
        <w:t>, lo cual significa que</w:t>
      </w:r>
      <w:r>
        <w:rPr>
          <w:rFonts w:ascii="Cambria" w:hAnsi="Cambria" w:cs="Arial"/>
          <w:sz w:val="20"/>
          <w:szCs w:val="20"/>
          <w:lang w:val="es-ES"/>
        </w:rPr>
        <w:t xml:space="preserve"> estuvo </w:t>
      </w:r>
      <w:r w:rsidR="000E2468"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corredor</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muerte</w:t>
      </w:r>
      <w:r w:rsidR="00B059EC" w:rsidRPr="009D1E2F">
        <w:rPr>
          <w:rFonts w:ascii="Cambria" w:hAnsi="Cambria" w:cs="Arial"/>
          <w:sz w:val="20"/>
          <w:szCs w:val="20"/>
          <w:lang w:val="es-ES"/>
        </w:rPr>
        <w:t xml:space="preserve"> </w:t>
      </w:r>
      <w:r>
        <w:rPr>
          <w:rFonts w:ascii="Cambria" w:hAnsi="Cambria" w:cs="Arial"/>
          <w:sz w:val="20"/>
          <w:szCs w:val="20"/>
          <w:lang w:val="es-ES"/>
        </w:rPr>
        <w:t>más de catorce años</w:t>
      </w:r>
      <w:r w:rsidR="002E299B"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sidR="00363E52"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363E52" w:rsidRPr="009D1E2F">
        <w:rPr>
          <w:rFonts w:ascii="Cambria" w:hAnsi="Cambria" w:cs="Arial"/>
          <w:sz w:val="20"/>
          <w:szCs w:val="20"/>
          <w:lang w:val="es-ES"/>
        </w:rPr>
        <w:t>Comisión</w:t>
      </w:r>
      <w:r w:rsidR="00B059EC" w:rsidRPr="009D1E2F">
        <w:rPr>
          <w:rFonts w:ascii="Cambria" w:hAnsi="Cambria" w:cs="Arial"/>
          <w:sz w:val="20"/>
          <w:szCs w:val="20"/>
          <w:lang w:val="es-ES"/>
        </w:rPr>
        <w:t xml:space="preserve"> </w:t>
      </w:r>
      <w:r>
        <w:rPr>
          <w:rFonts w:ascii="Cambria" w:hAnsi="Cambria" w:cs="Arial"/>
          <w:sz w:val="20"/>
          <w:szCs w:val="20"/>
          <w:lang w:val="es-ES"/>
        </w:rPr>
        <w:t xml:space="preserve">observa que el mero hecho de pasar catorce años </w:t>
      </w:r>
      <w:r w:rsidR="000E2468" w:rsidRPr="009D1E2F">
        <w:rPr>
          <w:rFonts w:ascii="Cambria" w:hAnsi="Cambria" w:cs="Arial"/>
          <w:sz w:val="20"/>
          <w:szCs w:val="20"/>
          <w:lang w:val="es-ES"/>
        </w:rPr>
        <w:t>en</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el</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corredor</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de</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la</w:t>
      </w:r>
      <w:r w:rsidR="00B059EC" w:rsidRPr="009D1E2F">
        <w:rPr>
          <w:rFonts w:ascii="Cambria" w:hAnsi="Cambria" w:cs="Arial"/>
          <w:sz w:val="20"/>
          <w:szCs w:val="20"/>
          <w:lang w:val="es-ES"/>
        </w:rPr>
        <w:t xml:space="preserve"> </w:t>
      </w:r>
      <w:r w:rsidR="000E2468" w:rsidRPr="009D1E2F">
        <w:rPr>
          <w:rFonts w:ascii="Cambria" w:hAnsi="Cambria" w:cs="Arial"/>
          <w:sz w:val="20"/>
          <w:szCs w:val="20"/>
          <w:lang w:val="es-ES"/>
        </w:rPr>
        <w:t>muerte</w:t>
      </w:r>
      <w:r w:rsidR="00B059EC" w:rsidRPr="009D1E2F">
        <w:rPr>
          <w:rFonts w:ascii="Cambria" w:hAnsi="Cambria" w:cs="Arial"/>
          <w:sz w:val="20"/>
          <w:szCs w:val="20"/>
          <w:lang w:val="es-ES"/>
        </w:rPr>
        <w:t xml:space="preserve"> </w:t>
      </w:r>
      <w:r>
        <w:rPr>
          <w:rFonts w:ascii="Cambria" w:hAnsi="Cambria" w:cs="Arial"/>
          <w:sz w:val="20"/>
          <w:szCs w:val="20"/>
          <w:lang w:val="es-ES"/>
        </w:rPr>
        <w:t>e</w:t>
      </w:r>
      <w:r w:rsidR="002E299B" w:rsidRPr="009D1E2F">
        <w:rPr>
          <w:rFonts w:ascii="Cambria" w:hAnsi="Cambria" w:cs="Arial"/>
          <w:sz w:val="20"/>
          <w:szCs w:val="20"/>
          <w:lang w:val="es-ES"/>
        </w:rPr>
        <w:t>s,</w:t>
      </w:r>
      <w:r w:rsidR="00B059EC" w:rsidRPr="009D1E2F">
        <w:rPr>
          <w:rFonts w:ascii="Cambria" w:hAnsi="Cambria" w:cs="Arial"/>
          <w:sz w:val="20"/>
          <w:szCs w:val="20"/>
          <w:lang w:val="es-ES"/>
        </w:rPr>
        <w:t xml:space="preserve"> </w:t>
      </w:r>
      <w:r>
        <w:rPr>
          <w:rFonts w:ascii="Cambria" w:hAnsi="Cambria" w:cs="Arial"/>
          <w:sz w:val="20"/>
          <w:szCs w:val="20"/>
          <w:lang w:val="es-ES"/>
        </w:rPr>
        <w:t xml:space="preserve">desde todo punto de vista, </w:t>
      </w:r>
      <w:r w:rsidR="002E299B" w:rsidRPr="009D1E2F">
        <w:rPr>
          <w:rFonts w:ascii="Cambria" w:hAnsi="Cambria" w:cs="Arial"/>
          <w:sz w:val="20"/>
          <w:szCs w:val="20"/>
          <w:lang w:val="es-ES"/>
        </w:rPr>
        <w:t>excesiv</w:t>
      </w:r>
      <w:r>
        <w:rPr>
          <w:rFonts w:ascii="Cambria" w:hAnsi="Cambria" w:cs="Arial"/>
          <w:sz w:val="20"/>
          <w:szCs w:val="20"/>
          <w:lang w:val="es-ES"/>
        </w:rPr>
        <w:t xml:space="preserve">o e </w:t>
      </w:r>
      <w:r w:rsidR="002E299B" w:rsidRPr="009D1E2F">
        <w:rPr>
          <w:rFonts w:ascii="Cambria" w:hAnsi="Cambria" w:cs="Arial"/>
          <w:sz w:val="20"/>
          <w:szCs w:val="20"/>
          <w:lang w:val="es-ES"/>
        </w:rPr>
        <w:t>inhuman</w:t>
      </w:r>
      <w:r>
        <w:rPr>
          <w:rFonts w:ascii="Cambria" w:hAnsi="Cambria" w:cs="Arial"/>
          <w:sz w:val="20"/>
          <w:szCs w:val="20"/>
          <w:lang w:val="es-ES"/>
        </w:rPr>
        <w:t>o</w:t>
      </w:r>
      <w:r w:rsidR="00803232" w:rsidRPr="009D1E2F">
        <w:rPr>
          <w:rFonts w:ascii="Cambria" w:hAnsi="Cambria" w:cs="Arial"/>
          <w:sz w:val="20"/>
          <w:szCs w:val="20"/>
          <w:lang w:val="es-ES"/>
        </w:rPr>
        <w:t>,</w:t>
      </w:r>
      <w:r w:rsidR="00B059EC" w:rsidRPr="009D1E2F">
        <w:rPr>
          <w:rFonts w:ascii="Cambria" w:hAnsi="Cambria" w:cs="Arial"/>
          <w:sz w:val="20"/>
          <w:szCs w:val="20"/>
          <w:lang w:val="es-ES"/>
        </w:rPr>
        <w:t xml:space="preserve"> </w:t>
      </w:r>
      <w:r>
        <w:rPr>
          <w:rFonts w:ascii="Cambria" w:hAnsi="Cambria" w:cs="Arial"/>
          <w:sz w:val="20"/>
          <w:szCs w:val="20"/>
          <w:lang w:val="es-ES"/>
        </w:rPr>
        <w:t xml:space="preserve">con la agravante de la expectativa prolongada de la ejecución. Por lo tanto, </w:t>
      </w:r>
      <w:r w:rsidR="00363E52" w:rsidRPr="009D1E2F">
        <w:rPr>
          <w:rFonts w:ascii="Cambria" w:hAnsi="Cambria"/>
          <w:sz w:val="20"/>
          <w:lang w:val="es-ES"/>
        </w:rPr>
        <w:t>la</w:t>
      </w:r>
      <w:r w:rsidR="00B059EC" w:rsidRPr="009D1E2F">
        <w:rPr>
          <w:rFonts w:ascii="Cambria" w:hAnsi="Cambria"/>
          <w:sz w:val="20"/>
          <w:lang w:val="es-ES"/>
        </w:rPr>
        <w:t xml:space="preserve"> </w:t>
      </w:r>
      <w:r w:rsidR="00363E52" w:rsidRPr="009D1E2F">
        <w:rPr>
          <w:rFonts w:ascii="Cambria" w:hAnsi="Cambria"/>
          <w:sz w:val="20"/>
          <w:lang w:val="es-ES"/>
        </w:rPr>
        <w:t>Comisión</w:t>
      </w:r>
      <w:r w:rsidR="00B059EC" w:rsidRPr="009D1E2F">
        <w:rPr>
          <w:rFonts w:ascii="Cambria" w:hAnsi="Cambria"/>
          <w:sz w:val="20"/>
          <w:lang w:val="es-ES"/>
        </w:rPr>
        <w:t xml:space="preserve"> </w:t>
      </w:r>
      <w:r w:rsidR="006C379B" w:rsidRPr="009D1E2F">
        <w:rPr>
          <w:rFonts w:ascii="Cambria" w:hAnsi="Cambria"/>
          <w:sz w:val="20"/>
          <w:lang w:val="es-ES"/>
        </w:rPr>
        <w:t>consider</w:t>
      </w:r>
      <w:r>
        <w:rPr>
          <w:rFonts w:ascii="Cambria" w:hAnsi="Cambria"/>
          <w:sz w:val="20"/>
          <w:lang w:val="es-ES"/>
        </w:rPr>
        <w:t>a que el tiempo que</w:t>
      </w:r>
      <w:r w:rsidR="00B059EC" w:rsidRPr="009D1E2F">
        <w:rPr>
          <w:rFonts w:ascii="Cambria" w:hAnsi="Cambria"/>
          <w:sz w:val="20"/>
          <w:lang w:val="es-ES"/>
        </w:rPr>
        <w:t xml:space="preserve"> </w:t>
      </w:r>
      <w:proofErr w:type="spellStart"/>
      <w:r w:rsidR="006C379B" w:rsidRPr="009D1E2F">
        <w:rPr>
          <w:rFonts w:ascii="Cambria" w:hAnsi="Cambria"/>
          <w:sz w:val="20"/>
          <w:lang w:val="es-ES"/>
        </w:rPr>
        <w:t>Marlin</w:t>
      </w:r>
      <w:proofErr w:type="spellEnd"/>
      <w:r w:rsidR="00B059EC" w:rsidRPr="009D1E2F">
        <w:rPr>
          <w:rFonts w:ascii="Cambria" w:hAnsi="Cambria"/>
          <w:sz w:val="20"/>
          <w:lang w:val="es-ES"/>
        </w:rPr>
        <w:t xml:space="preserve"> </w:t>
      </w:r>
      <w:r w:rsidR="006C379B" w:rsidRPr="009D1E2F">
        <w:rPr>
          <w:rFonts w:ascii="Cambria" w:hAnsi="Cambria"/>
          <w:sz w:val="20"/>
          <w:lang w:val="es-ES"/>
        </w:rPr>
        <w:t>Gray</w:t>
      </w:r>
      <w:r w:rsidR="00B059EC" w:rsidRPr="009D1E2F">
        <w:rPr>
          <w:rFonts w:ascii="Cambria" w:hAnsi="Cambria"/>
          <w:sz w:val="20"/>
          <w:lang w:val="es-ES"/>
        </w:rPr>
        <w:t xml:space="preserve"> </w:t>
      </w:r>
      <w:r>
        <w:rPr>
          <w:rFonts w:ascii="Cambria" w:hAnsi="Cambria"/>
          <w:sz w:val="20"/>
          <w:lang w:val="es-ES"/>
        </w:rPr>
        <w:t xml:space="preserve">pasó </w:t>
      </w:r>
      <w:r w:rsidR="000E2468" w:rsidRPr="009D1E2F">
        <w:rPr>
          <w:rFonts w:ascii="Cambria" w:hAnsi="Cambria"/>
          <w:sz w:val="20"/>
          <w:lang w:val="es-ES"/>
        </w:rPr>
        <w:t>en</w:t>
      </w:r>
      <w:r w:rsidR="00B059EC" w:rsidRPr="009D1E2F">
        <w:rPr>
          <w:rFonts w:ascii="Cambria" w:hAnsi="Cambria"/>
          <w:sz w:val="20"/>
          <w:lang w:val="es-ES"/>
        </w:rPr>
        <w:t xml:space="preserve"> </w:t>
      </w:r>
      <w:r w:rsidR="000E2468" w:rsidRPr="009D1E2F">
        <w:rPr>
          <w:rFonts w:ascii="Cambria" w:hAnsi="Cambria"/>
          <w:sz w:val="20"/>
          <w:lang w:val="es-ES"/>
        </w:rPr>
        <w:t>el</w:t>
      </w:r>
      <w:r w:rsidR="00B059EC" w:rsidRPr="009D1E2F">
        <w:rPr>
          <w:rFonts w:ascii="Cambria" w:hAnsi="Cambria"/>
          <w:sz w:val="20"/>
          <w:lang w:val="es-ES"/>
        </w:rPr>
        <w:t xml:space="preserve"> </w:t>
      </w:r>
      <w:r w:rsidR="000E2468" w:rsidRPr="009D1E2F">
        <w:rPr>
          <w:rFonts w:ascii="Cambria" w:hAnsi="Cambria"/>
          <w:sz w:val="20"/>
          <w:lang w:val="es-ES"/>
        </w:rPr>
        <w:t>corredor</w:t>
      </w:r>
      <w:r w:rsidR="00B059EC" w:rsidRPr="009D1E2F">
        <w:rPr>
          <w:rFonts w:ascii="Cambria" w:hAnsi="Cambria"/>
          <w:sz w:val="20"/>
          <w:lang w:val="es-ES"/>
        </w:rPr>
        <w:t xml:space="preserve"> </w:t>
      </w:r>
      <w:r w:rsidR="000E2468" w:rsidRPr="009D1E2F">
        <w:rPr>
          <w:rFonts w:ascii="Cambria" w:hAnsi="Cambria"/>
          <w:sz w:val="20"/>
          <w:lang w:val="es-ES"/>
        </w:rPr>
        <w:t>de</w:t>
      </w:r>
      <w:r w:rsidR="00B059EC" w:rsidRPr="009D1E2F">
        <w:rPr>
          <w:rFonts w:ascii="Cambria" w:hAnsi="Cambria"/>
          <w:sz w:val="20"/>
          <w:lang w:val="es-ES"/>
        </w:rPr>
        <w:t xml:space="preserve"> </w:t>
      </w:r>
      <w:r w:rsidR="000E2468" w:rsidRPr="009D1E2F">
        <w:rPr>
          <w:rFonts w:ascii="Cambria" w:hAnsi="Cambria"/>
          <w:sz w:val="20"/>
          <w:lang w:val="es-ES"/>
        </w:rPr>
        <w:t>la</w:t>
      </w:r>
      <w:r w:rsidR="00B059EC" w:rsidRPr="009D1E2F">
        <w:rPr>
          <w:rFonts w:ascii="Cambria" w:hAnsi="Cambria"/>
          <w:sz w:val="20"/>
          <w:lang w:val="es-ES"/>
        </w:rPr>
        <w:t xml:space="preserve"> </w:t>
      </w:r>
      <w:r w:rsidR="000E2468" w:rsidRPr="009D1E2F">
        <w:rPr>
          <w:rFonts w:ascii="Cambria" w:hAnsi="Cambria"/>
          <w:sz w:val="20"/>
          <w:lang w:val="es-ES"/>
        </w:rPr>
        <w:t>muerte</w:t>
      </w:r>
      <w:r w:rsidR="00B059EC" w:rsidRPr="009D1E2F">
        <w:rPr>
          <w:rFonts w:ascii="Cambria" w:hAnsi="Cambria"/>
          <w:sz w:val="20"/>
          <w:lang w:val="es-ES"/>
        </w:rPr>
        <w:t xml:space="preserve"> </w:t>
      </w:r>
      <w:r w:rsidR="00825AC2" w:rsidRPr="009D1E2F">
        <w:rPr>
          <w:rFonts w:ascii="Cambria" w:hAnsi="Cambria"/>
          <w:sz w:val="20"/>
          <w:lang w:val="es-ES"/>
        </w:rPr>
        <w:t>constitu</w:t>
      </w:r>
      <w:r>
        <w:rPr>
          <w:rFonts w:ascii="Cambria" w:hAnsi="Cambria"/>
          <w:sz w:val="20"/>
          <w:lang w:val="es-ES"/>
        </w:rPr>
        <w:t>y</w:t>
      </w:r>
      <w:r w:rsidR="00C30A10">
        <w:rPr>
          <w:rFonts w:ascii="Cambria" w:hAnsi="Cambria"/>
          <w:sz w:val="20"/>
          <w:lang w:val="es-ES"/>
        </w:rPr>
        <w:t>ó una violación del derecho a un trato</w:t>
      </w:r>
      <w:r w:rsidR="00B059EC" w:rsidRPr="009D1E2F">
        <w:rPr>
          <w:rFonts w:ascii="Cambria" w:hAnsi="Cambria"/>
          <w:sz w:val="20"/>
          <w:lang w:val="es-ES"/>
        </w:rPr>
        <w:t xml:space="preserve"> </w:t>
      </w:r>
      <w:r w:rsidR="00825AC2" w:rsidRPr="009D1E2F">
        <w:rPr>
          <w:rFonts w:ascii="Cambria" w:hAnsi="Cambria"/>
          <w:sz w:val="20"/>
          <w:lang w:val="es-ES"/>
        </w:rPr>
        <w:t>human</w:t>
      </w:r>
      <w:r w:rsidR="00C30A10">
        <w:rPr>
          <w:rFonts w:ascii="Cambria" w:hAnsi="Cambria"/>
          <w:sz w:val="20"/>
          <w:lang w:val="es-ES"/>
        </w:rPr>
        <w:t xml:space="preserve">o y </w:t>
      </w:r>
      <w:r w:rsidR="00C30A10" w:rsidRPr="00C30A10">
        <w:rPr>
          <w:rFonts w:ascii="Cambria" w:hAnsi="Cambria"/>
          <w:sz w:val="20"/>
          <w:lang w:val="es-ES"/>
        </w:rPr>
        <w:t>a que no se impongan penas crueles, infamantes o inusitadas</w:t>
      </w:r>
      <w:r w:rsidR="00C30A10">
        <w:rPr>
          <w:rFonts w:ascii="Cambria" w:hAnsi="Cambria"/>
          <w:sz w:val="20"/>
          <w:lang w:val="es-ES"/>
        </w:rPr>
        <w:t xml:space="preserve"> de acuerdo con los </w:t>
      </w:r>
      <w:r w:rsidR="005B3F2B" w:rsidRPr="00C30A10">
        <w:rPr>
          <w:rFonts w:ascii="Cambria" w:hAnsi="Cambria"/>
          <w:sz w:val="20"/>
          <w:lang w:val="es-ES"/>
        </w:rPr>
        <w:t>artículo</w:t>
      </w:r>
      <w:r w:rsidR="0006434A" w:rsidRPr="00C30A10">
        <w:rPr>
          <w:rFonts w:ascii="Cambria" w:hAnsi="Cambria"/>
          <w:sz w:val="20"/>
          <w:lang w:val="es-ES"/>
        </w:rPr>
        <w:t>s</w:t>
      </w:r>
      <w:r w:rsidR="00B059EC" w:rsidRPr="00C30A10">
        <w:rPr>
          <w:rFonts w:ascii="Cambria" w:hAnsi="Cambria"/>
          <w:sz w:val="20"/>
          <w:lang w:val="es-ES"/>
        </w:rPr>
        <w:t xml:space="preserve"> </w:t>
      </w:r>
      <w:r w:rsidR="0006434A" w:rsidRPr="00C30A10">
        <w:rPr>
          <w:rFonts w:ascii="Cambria" w:hAnsi="Cambria"/>
          <w:sz w:val="20"/>
          <w:lang w:val="es-ES"/>
        </w:rPr>
        <w:t>XXV</w:t>
      </w:r>
      <w:r w:rsidR="00B059EC" w:rsidRPr="00C30A10">
        <w:rPr>
          <w:rFonts w:ascii="Cambria" w:hAnsi="Cambria"/>
          <w:sz w:val="20"/>
          <w:lang w:val="es-ES"/>
        </w:rPr>
        <w:t xml:space="preserve"> </w:t>
      </w:r>
      <w:r w:rsidR="00C30A10">
        <w:rPr>
          <w:rFonts w:ascii="Cambria" w:hAnsi="Cambria"/>
          <w:sz w:val="20"/>
          <w:lang w:val="es-ES"/>
        </w:rPr>
        <w:t>y</w:t>
      </w:r>
      <w:r w:rsidR="00B059EC" w:rsidRPr="00C30A10">
        <w:rPr>
          <w:rFonts w:ascii="Cambria" w:hAnsi="Cambria"/>
          <w:sz w:val="20"/>
          <w:lang w:val="es-ES"/>
        </w:rPr>
        <w:t xml:space="preserve"> </w:t>
      </w:r>
      <w:r w:rsidR="0006434A" w:rsidRPr="00C30A10">
        <w:rPr>
          <w:rFonts w:ascii="Cambria" w:hAnsi="Cambria"/>
          <w:sz w:val="20"/>
          <w:lang w:val="es-ES"/>
        </w:rPr>
        <w:t>XXVI</w:t>
      </w:r>
      <w:r w:rsidR="00B059EC" w:rsidRPr="00C30A10">
        <w:rPr>
          <w:rFonts w:ascii="Cambria" w:hAnsi="Cambria"/>
          <w:sz w:val="20"/>
          <w:lang w:val="es-ES"/>
        </w:rPr>
        <w:t xml:space="preserve"> </w:t>
      </w:r>
      <w:r w:rsidR="00C30A10">
        <w:rPr>
          <w:rFonts w:ascii="Cambria" w:hAnsi="Cambria"/>
          <w:sz w:val="20"/>
          <w:lang w:val="es-ES"/>
        </w:rPr>
        <w:t>de</w:t>
      </w:r>
      <w:r w:rsidR="00B059EC" w:rsidRPr="00C30A10">
        <w:rPr>
          <w:rFonts w:ascii="Cambria" w:hAnsi="Cambria"/>
          <w:sz w:val="20"/>
          <w:lang w:val="es-ES"/>
        </w:rPr>
        <w:t xml:space="preserve"> </w:t>
      </w:r>
      <w:r w:rsidR="000D6328" w:rsidRPr="00C30A10">
        <w:rPr>
          <w:rFonts w:ascii="Cambria" w:hAnsi="Cambria"/>
          <w:sz w:val="20"/>
          <w:lang w:val="es-ES"/>
        </w:rPr>
        <w:t>la</w:t>
      </w:r>
      <w:r w:rsidR="00B059EC" w:rsidRPr="00C30A10">
        <w:rPr>
          <w:rFonts w:ascii="Cambria" w:hAnsi="Cambria"/>
          <w:sz w:val="20"/>
          <w:lang w:val="es-ES"/>
        </w:rPr>
        <w:t xml:space="preserve"> </w:t>
      </w:r>
      <w:r w:rsidR="000D6328" w:rsidRPr="00C30A10">
        <w:rPr>
          <w:rFonts w:ascii="Cambria" w:hAnsi="Cambria"/>
          <w:sz w:val="20"/>
          <w:lang w:val="es-ES"/>
        </w:rPr>
        <w:t>Dec</w:t>
      </w:r>
      <w:r w:rsidR="000D6328" w:rsidRPr="009D1E2F">
        <w:rPr>
          <w:rFonts w:ascii="Cambria" w:hAnsi="Cambria"/>
          <w:sz w:val="20"/>
          <w:lang w:val="es-ES"/>
        </w:rPr>
        <w:t>laración</w:t>
      </w:r>
      <w:r w:rsidR="00B059EC" w:rsidRPr="009D1E2F">
        <w:rPr>
          <w:rFonts w:ascii="Cambria" w:hAnsi="Cambria"/>
          <w:sz w:val="20"/>
          <w:lang w:val="es-ES"/>
        </w:rPr>
        <w:t xml:space="preserve"> </w:t>
      </w:r>
      <w:r w:rsidR="000D6328" w:rsidRPr="009D1E2F">
        <w:rPr>
          <w:rFonts w:ascii="Cambria" w:hAnsi="Cambria"/>
          <w:sz w:val="20"/>
          <w:lang w:val="es-ES"/>
        </w:rPr>
        <w:t>Americana</w:t>
      </w:r>
      <w:r w:rsidR="006C379B" w:rsidRPr="009D1E2F">
        <w:rPr>
          <w:rFonts w:ascii="Cambria" w:hAnsi="Cambria"/>
          <w:sz w:val="20"/>
          <w:lang w:val="es-ES"/>
        </w:rPr>
        <w:t>.</w:t>
      </w:r>
      <w:r w:rsidR="00B059EC" w:rsidRPr="009D1E2F">
        <w:rPr>
          <w:rFonts w:ascii="Cambria" w:hAnsi="Cambria"/>
          <w:sz w:val="20"/>
          <w:lang w:val="es-ES"/>
        </w:rPr>
        <w:t xml:space="preserve"> </w:t>
      </w:r>
    </w:p>
    <w:p w14:paraId="54CEC980" w14:textId="77777777" w:rsidR="00BA0255" w:rsidRPr="009D1E2F" w:rsidRDefault="00BA0255" w:rsidP="00817426">
      <w:pPr>
        <w:pStyle w:val="Heading2"/>
        <w:keepNext w:val="0"/>
        <w:keepLines w:val="0"/>
        <w:tabs>
          <w:tab w:val="left" w:pos="360"/>
        </w:tabs>
        <w:rPr>
          <w:rFonts w:eastAsia="Arial Unicode MS"/>
          <w:color w:val="auto"/>
          <w:sz w:val="20"/>
          <w:szCs w:val="20"/>
          <w:lang w:val="es-ES"/>
        </w:rPr>
      </w:pPr>
      <w:bookmarkStart w:id="25" w:name="_Toc90284833"/>
      <w:r w:rsidRPr="009D1E2F">
        <w:rPr>
          <w:rFonts w:eastAsia="Arial Unicode MS"/>
          <w:color w:val="auto"/>
          <w:sz w:val="20"/>
          <w:szCs w:val="20"/>
          <w:lang w:val="es-ES"/>
        </w:rPr>
        <w:lastRenderedPageBreak/>
        <w:t>D.</w:t>
      </w:r>
      <w:r w:rsidRPr="009D1E2F">
        <w:rPr>
          <w:rFonts w:eastAsia="Arial Unicode MS"/>
          <w:color w:val="auto"/>
          <w:sz w:val="20"/>
          <w:szCs w:val="20"/>
          <w:lang w:val="es-ES"/>
        </w:rPr>
        <w:tab/>
      </w:r>
      <w:r w:rsidR="000D6328" w:rsidRPr="009D1E2F">
        <w:rPr>
          <w:rFonts w:eastAsia="Arial Unicode MS"/>
          <w:color w:val="auto"/>
          <w:sz w:val="20"/>
          <w:szCs w:val="20"/>
          <w:lang w:val="es-ES"/>
        </w:rPr>
        <w:t>Derecho</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petición</w:t>
      </w:r>
      <w:r w:rsidRPr="009D1E2F">
        <w:rPr>
          <w:rStyle w:val="FootnoteReference"/>
          <w:rFonts w:eastAsia="Arial Unicode MS"/>
          <w:color w:val="auto"/>
          <w:sz w:val="20"/>
          <w:szCs w:val="20"/>
          <w:lang w:val="es-ES"/>
        </w:rPr>
        <w:footnoteReference w:id="71"/>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y</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derecho</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la</w:t>
      </w:r>
      <w:r w:rsidR="00B059EC" w:rsidRPr="009D1E2F">
        <w:rPr>
          <w:rFonts w:eastAsia="Arial Unicode MS"/>
          <w:color w:val="auto"/>
          <w:sz w:val="20"/>
          <w:szCs w:val="20"/>
          <w:lang w:val="es-ES"/>
        </w:rPr>
        <w:t xml:space="preserve"> </w:t>
      </w:r>
      <w:r w:rsidR="000D6328" w:rsidRPr="009D1E2F">
        <w:rPr>
          <w:rFonts w:eastAsia="Arial Unicode MS"/>
          <w:color w:val="auto"/>
          <w:sz w:val="20"/>
          <w:szCs w:val="20"/>
          <w:lang w:val="es-ES"/>
        </w:rPr>
        <w:t>vida</w:t>
      </w:r>
      <w:r w:rsidR="00B346FF" w:rsidRPr="009D1E2F">
        <w:rPr>
          <w:rStyle w:val="FootnoteReference"/>
          <w:rFonts w:eastAsia="Arial Unicode MS"/>
          <w:color w:val="auto"/>
          <w:sz w:val="20"/>
          <w:szCs w:val="20"/>
          <w:lang w:val="es-ES"/>
        </w:rPr>
        <w:footnoteReference w:id="72"/>
      </w:r>
      <w:bookmarkEnd w:id="25"/>
      <w:r w:rsidR="00B059EC" w:rsidRPr="009D1E2F">
        <w:rPr>
          <w:rFonts w:eastAsia="Arial Unicode MS"/>
          <w:color w:val="auto"/>
          <w:sz w:val="20"/>
          <w:szCs w:val="20"/>
          <w:lang w:val="es-ES"/>
        </w:rPr>
        <w:t xml:space="preserve"> </w:t>
      </w:r>
    </w:p>
    <w:p w14:paraId="1C151FEC" w14:textId="77777777" w:rsidR="00BA0255" w:rsidRPr="009D1E2F" w:rsidRDefault="00BA0255" w:rsidP="00817426">
      <w:pPr>
        <w:rPr>
          <w:rFonts w:asciiTheme="majorHAnsi" w:hAnsiTheme="majorHAnsi"/>
          <w:sz w:val="20"/>
          <w:szCs w:val="20"/>
          <w:lang w:val="es-ES"/>
        </w:rPr>
      </w:pPr>
    </w:p>
    <w:p w14:paraId="71767434" w14:textId="77777777" w:rsidR="00BA0255" w:rsidRPr="009D1E2F" w:rsidRDefault="000E2468"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BA0255" w:rsidRPr="009D1E2F">
        <w:rPr>
          <w:rFonts w:asciiTheme="majorHAnsi" w:eastAsia="Times New Roman" w:hAnsiTheme="majorHAnsi"/>
          <w:sz w:val="20"/>
          <w:szCs w:val="20"/>
          <w:lang w:val="es-ES"/>
        </w:rPr>
        <w:t>ha</w:t>
      </w:r>
      <w:r w:rsidR="00844565">
        <w:rPr>
          <w:rFonts w:asciiTheme="majorHAnsi" w:eastAsia="Times New Roman" w:hAnsiTheme="majorHAnsi"/>
          <w:sz w:val="20"/>
          <w:szCs w:val="20"/>
          <w:lang w:val="es-ES"/>
        </w:rPr>
        <w:t xml:space="preserve"> argumentado que </w:t>
      </w:r>
      <w:r w:rsidR="00844565" w:rsidRPr="00844565">
        <w:rPr>
          <w:rFonts w:asciiTheme="majorHAnsi" w:eastAsia="Times New Roman" w:hAnsiTheme="majorHAnsi"/>
          <w:sz w:val="20"/>
          <w:szCs w:val="20"/>
          <w:lang w:val="es-ES"/>
        </w:rPr>
        <w:t xml:space="preserve">la Comisión no está facultada para </w:t>
      </w:r>
      <w:r w:rsidR="006C32FE">
        <w:rPr>
          <w:rFonts w:asciiTheme="majorHAnsi" w:eastAsia="Times New Roman" w:hAnsiTheme="majorHAnsi"/>
          <w:sz w:val="20"/>
          <w:szCs w:val="20"/>
          <w:lang w:val="es-ES"/>
        </w:rPr>
        <w:t>solicitar</w:t>
      </w:r>
      <w:r w:rsidR="00844565" w:rsidRPr="00844565">
        <w:rPr>
          <w:rFonts w:asciiTheme="majorHAnsi" w:eastAsia="Times New Roman" w:hAnsiTheme="majorHAnsi"/>
          <w:sz w:val="20"/>
          <w:szCs w:val="20"/>
          <w:lang w:val="es-ES"/>
        </w:rPr>
        <w:t xml:space="preserve"> </w:t>
      </w:r>
      <w:r w:rsidR="00DE430F">
        <w:rPr>
          <w:rFonts w:asciiTheme="majorHAnsi" w:eastAsia="Times New Roman" w:hAnsiTheme="majorHAnsi"/>
          <w:sz w:val="20"/>
          <w:szCs w:val="20"/>
          <w:lang w:val="es-ES"/>
        </w:rPr>
        <w:t>a</w:t>
      </w:r>
      <w:r w:rsidR="00844565" w:rsidRPr="00844565">
        <w:rPr>
          <w:rFonts w:asciiTheme="majorHAnsi" w:eastAsia="Times New Roman" w:hAnsiTheme="majorHAnsi"/>
          <w:sz w:val="20"/>
          <w:szCs w:val="20"/>
          <w:lang w:val="es-ES"/>
        </w:rPr>
        <w:t xml:space="preserve"> los Estados que no han ratificado la Convención Americana </w:t>
      </w:r>
      <w:r w:rsidR="00DE430F">
        <w:rPr>
          <w:rFonts w:asciiTheme="majorHAnsi" w:eastAsia="Times New Roman" w:hAnsiTheme="majorHAnsi"/>
          <w:sz w:val="20"/>
          <w:szCs w:val="20"/>
          <w:lang w:val="es-ES"/>
        </w:rPr>
        <w:t xml:space="preserve">que adopten </w:t>
      </w:r>
      <w:r w:rsidR="00844565" w:rsidRPr="00844565">
        <w:rPr>
          <w:rFonts w:asciiTheme="majorHAnsi" w:eastAsia="Times New Roman" w:hAnsiTheme="majorHAnsi"/>
          <w:sz w:val="20"/>
          <w:szCs w:val="20"/>
          <w:lang w:val="es-ES"/>
        </w:rPr>
        <w:t xml:space="preserve">medidas cautelares, </w:t>
      </w:r>
      <w:r w:rsidR="006C32FE">
        <w:rPr>
          <w:rFonts w:asciiTheme="majorHAnsi" w:eastAsia="Times New Roman" w:hAnsiTheme="majorHAnsi"/>
          <w:sz w:val="20"/>
          <w:szCs w:val="20"/>
          <w:lang w:val="es-ES"/>
        </w:rPr>
        <w:t>debido a que</w:t>
      </w:r>
      <w:r w:rsidR="00844565" w:rsidRPr="00844565">
        <w:rPr>
          <w:rFonts w:asciiTheme="majorHAnsi" w:eastAsia="Times New Roman" w:hAnsiTheme="majorHAnsi"/>
          <w:sz w:val="20"/>
          <w:szCs w:val="20"/>
          <w:lang w:val="es-ES"/>
        </w:rPr>
        <w:t xml:space="preserve"> la disposición que rige estas medidas consta en el Reglamento de la Comisión y no en su Estatuto</w:t>
      </w:r>
      <w:r w:rsidR="00844565">
        <w:rPr>
          <w:rFonts w:asciiTheme="majorHAnsi" w:eastAsia="Times New Roman" w:hAnsiTheme="majorHAnsi"/>
          <w:sz w:val="20"/>
          <w:szCs w:val="20"/>
          <w:lang w:val="es-ES"/>
        </w:rPr>
        <w:t>.</w:t>
      </w:r>
    </w:p>
    <w:p w14:paraId="6854D611" w14:textId="77777777" w:rsidR="00BA0255" w:rsidRPr="009D1E2F" w:rsidRDefault="00BA0255"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19A528AA" w14:textId="77777777" w:rsidR="00211A8A" w:rsidRPr="009D1E2F" w:rsidRDefault="008B3700"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Al respecto</w:t>
      </w:r>
      <w:r w:rsidR="00BA025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BA0255" w:rsidRPr="009D1E2F">
        <w:rPr>
          <w:rFonts w:asciiTheme="majorHAnsi" w:eastAsia="Times New Roman" w:hAnsiTheme="majorHAnsi"/>
          <w:sz w:val="20"/>
          <w:szCs w:val="20"/>
          <w:lang w:val="es-ES"/>
        </w:rPr>
        <w:t>rec</w:t>
      </w:r>
      <w:r>
        <w:rPr>
          <w:rFonts w:asciiTheme="majorHAnsi" w:eastAsia="Times New Roman" w:hAnsiTheme="majorHAnsi"/>
          <w:sz w:val="20"/>
          <w:szCs w:val="20"/>
          <w:lang w:val="es-ES"/>
        </w:rPr>
        <w:t xml:space="preserve">uerda que, en su decisión en el caso </w:t>
      </w:r>
      <w:r w:rsidR="00BA0255" w:rsidRPr="008B3700">
        <w:rPr>
          <w:rFonts w:asciiTheme="majorHAnsi" w:eastAsia="Times New Roman" w:hAnsiTheme="majorHAnsi"/>
          <w:i/>
          <w:sz w:val="20"/>
          <w:szCs w:val="20"/>
          <w:lang w:val="es-ES"/>
        </w:rPr>
        <w:t>Juan</w:t>
      </w:r>
      <w:r w:rsidR="00B059EC" w:rsidRPr="008B3700">
        <w:rPr>
          <w:rFonts w:asciiTheme="majorHAnsi" w:eastAsia="Times New Roman" w:hAnsiTheme="majorHAnsi"/>
          <w:i/>
          <w:sz w:val="20"/>
          <w:szCs w:val="20"/>
          <w:lang w:val="es-ES"/>
        </w:rPr>
        <w:t xml:space="preserve"> </w:t>
      </w:r>
      <w:r w:rsidRPr="008B3700">
        <w:rPr>
          <w:rFonts w:asciiTheme="majorHAnsi" w:eastAsia="Times New Roman" w:hAnsiTheme="majorHAnsi"/>
          <w:i/>
          <w:sz w:val="20"/>
          <w:szCs w:val="20"/>
          <w:lang w:val="es-ES"/>
        </w:rPr>
        <w:t>Raúl</w:t>
      </w:r>
      <w:r w:rsidR="00B059EC" w:rsidRPr="008B3700">
        <w:rPr>
          <w:rFonts w:asciiTheme="majorHAnsi" w:eastAsia="Times New Roman" w:hAnsiTheme="majorHAnsi"/>
          <w:i/>
          <w:sz w:val="20"/>
          <w:szCs w:val="20"/>
          <w:lang w:val="es-ES"/>
        </w:rPr>
        <w:t xml:space="preserve"> </w:t>
      </w:r>
      <w:r w:rsidR="00BA0255" w:rsidRPr="008B3700">
        <w:rPr>
          <w:rFonts w:asciiTheme="majorHAnsi" w:eastAsia="Times New Roman" w:hAnsiTheme="majorHAnsi"/>
          <w:i/>
          <w:sz w:val="20"/>
          <w:szCs w:val="20"/>
          <w:lang w:val="es-ES"/>
        </w:rPr>
        <w:t>Garza</w:t>
      </w:r>
      <w:r w:rsidR="00B059EC" w:rsidRPr="008B3700">
        <w:rPr>
          <w:rFonts w:asciiTheme="majorHAnsi" w:eastAsia="Times New Roman" w:hAnsiTheme="majorHAnsi"/>
          <w:i/>
          <w:sz w:val="20"/>
          <w:szCs w:val="20"/>
          <w:lang w:val="es-ES"/>
        </w:rPr>
        <w:t xml:space="preserve"> </w:t>
      </w:r>
      <w:r w:rsidR="006C32FE" w:rsidRPr="006C32FE">
        <w:rPr>
          <w:rFonts w:asciiTheme="majorHAnsi" w:eastAsia="Times New Roman" w:hAnsiTheme="majorHAnsi"/>
          <w:sz w:val="20"/>
          <w:szCs w:val="20"/>
          <w:lang w:val="es-ES"/>
        </w:rPr>
        <w:t>respecto de</w:t>
      </w:r>
      <w:r w:rsidRPr="006C32FE">
        <w:rPr>
          <w:rFonts w:asciiTheme="majorHAnsi" w:eastAsia="Times New Roman" w:hAnsiTheme="majorHAnsi"/>
          <w:sz w:val="20"/>
          <w:szCs w:val="20"/>
          <w:lang w:val="es-ES"/>
        </w:rPr>
        <w:t xml:space="preserve"> Estados Unidos</w:t>
      </w:r>
      <w:r w:rsidR="00BA0255" w:rsidRPr="006C32FE">
        <w:rPr>
          <w:rFonts w:asciiTheme="majorHAnsi" w:eastAsia="Times New Roman" w:hAnsiTheme="majorHAnsi"/>
          <w:sz w:val="20"/>
          <w:szCs w:val="20"/>
          <w:lang w:val="es-ES"/>
        </w:rPr>
        <w:t>,</w:t>
      </w:r>
      <w:r w:rsidR="00B059EC" w:rsidRPr="006C32FE">
        <w:rPr>
          <w:rFonts w:asciiTheme="majorHAnsi" w:eastAsia="Times New Roman" w:hAnsiTheme="majorHAnsi"/>
          <w:sz w:val="20"/>
          <w:szCs w:val="20"/>
          <w:lang w:val="es-ES"/>
        </w:rPr>
        <w:t xml:space="preserve"> </w:t>
      </w:r>
      <w:r w:rsidR="00363E52" w:rsidRPr="006C32FE">
        <w:rPr>
          <w:rFonts w:asciiTheme="majorHAnsi" w:eastAsia="Times New Roman" w:hAnsiTheme="majorHAnsi"/>
          <w:sz w:val="20"/>
          <w:szCs w:val="20"/>
          <w:lang w:val="es-ES"/>
        </w:rPr>
        <w:t>la</w:t>
      </w:r>
      <w:r w:rsidR="00B059EC" w:rsidRPr="006C32FE">
        <w:rPr>
          <w:rFonts w:asciiTheme="majorHAnsi" w:eastAsia="Times New Roman" w:hAnsiTheme="majorHAnsi"/>
          <w:sz w:val="20"/>
          <w:szCs w:val="20"/>
          <w:lang w:val="es-ES"/>
        </w:rPr>
        <w:t xml:space="preserve"> </w:t>
      </w:r>
      <w:r w:rsidR="00363E52" w:rsidRPr="006C32FE">
        <w:rPr>
          <w:rFonts w:asciiTheme="majorHAnsi" w:eastAsia="Times New Roman" w:hAnsiTheme="majorHAnsi"/>
          <w:sz w:val="20"/>
          <w:szCs w:val="20"/>
          <w:lang w:val="es-ES"/>
        </w:rPr>
        <w:t>Comisión</w:t>
      </w:r>
      <w:r w:rsidR="00B059EC" w:rsidRPr="006C32FE">
        <w:rPr>
          <w:rFonts w:asciiTheme="majorHAnsi" w:eastAsia="Times New Roman" w:hAnsiTheme="majorHAnsi"/>
          <w:sz w:val="20"/>
          <w:szCs w:val="20"/>
          <w:lang w:val="es-ES"/>
        </w:rPr>
        <w:t xml:space="preserve"> </w:t>
      </w:r>
      <w:r w:rsidRPr="006C32FE">
        <w:rPr>
          <w:rFonts w:asciiTheme="majorHAnsi" w:eastAsia="Times New Roman" w:hAnsiTheme="majorHAnsi"/>
          <w:sz w:val="20"/>
          <w:szCs w:val="20"/>
          <w:lang w:val="es-ES"/>
        </w:rPr>
        <w:t xml:space="preserve">concluyó que, </w:t>
      </w:r>
      <w:r w:rsidR="000C281D" w:rsidRPr="006C32FE">
        <w:rPr>
          <w:rFonts w:asciiTheme="majorHAnsi" w:eastAsia="Times New Roman" w:hAnsiTheme="majorHAnsi"/>
          <w:sz w:val="20"/>
          <w:szCs w:val="20"/>
          <w:lang w:val="es-ES"/>
        </w:rPr>
        <w:t xml:space="preserve">en los casos de pena </w:t>
      </w:r>
      <w:r w:rsidR="00BA0255" w:rsidRPr="006C32FE">
        <w:rPr>
          <w:rFonts w:asciiTheme="majorHAnsi" w:eastAsia="Times New Roman" w:hAnsiTheme="majorHAnsi"/>
          <w:sz w:val="20"/>
          <w:szCs w:val="20"/>
          <w:lang w:val="es-ES"/>
        </w:rPr>
        <w:t>capital</w:t>
      </w:r>
      <w:r w:rsidR="000C281D" w:rsidRPr="006C32FE">
        <w:rPr>
          <w:rFonts w:asciiTheme="majorHAnsi" w:eastAsia="Times New Roman" w:hAnsiTheme="majorHAnsi"/>
          <w:sz w:val="20"/>
          <w:szCs w:val="20"/>
          <w:lang w:val="es-ES"/>
        </w:rPr>
        <w:t xml:space="preserve">, el hecho de que un Estado Miembro de la OEA no preserve la vida del recluso condenado mientras su denuncia está pendiente de examen </w:t>
      </w:r>
      <w:r w:rsidR="00F776B4" w:rsidRPr="006C32FE">
        <w:rPr>
          <w:rFonts w:asciiTheme="majorHAnsi" w:eastAsia="Times New Roman" w:hAnsiTheme="majorHAnsi"/>
          <w:sz w:val="20"/>
          <w:szCs w:val="20"/>
          <w:lang w:val="es-ES"/>
        </w:rPr>
        <w:t xml:space="preserve">ante </w:t>
      </w:r>
      <w:r w:rsidR="00363E52" w:rsidRPr="006C32FE">
        <w:rPr>
          <w:rFonts w:asciiTheme="majorHAnsi" w:eastAsia="Times New Roman" w:hAnsiTheme="majorHAnsi"/>
          <w:sz w:val="20"/>
          <w:szCs w:val="20"/>
          <w:lang w:val="es-ES"/>
        </w:rPr>
        <w:t>la</w:t>
      </w:r>
      <w:r w:rsidR="00B059EC" w:rsidRPr="006C32FE">
        <w:rPr>
          <w:rFonts w:asciiTheme="majorHAnsi" w:eastAsia="Times New Roman" w:hAnsiTheme="majorHAnsi"/>
          <w:sz w:val="20"/>
          <w:szCs w:val="20"/>
          <w:lang w:val="es-ES"/>
        </w:rPr>
        <w:t xml:space="preserve"> </w:t>
      </w:r>
      <w:r w:rsidR="00363E52" w:rsidRPr="006C32FE">
        <w:rPr>
          <w:rFonts w:asciiTheme="majorHAnsi" w:eastAsia="Times New Roman" w:hAnsiTheme="majorHAnsi"/>
          <w:sz w:val="20"/>
          <w:szCs w:val="20"/>
          <w:lang w:val="es-ES"/>
        </w:rPr>
        <w:t>Comisión</w:t>
      </w:r>
      <w:r w:rsidR="00B059EC" w:rsidRPr="006C32FE">
        <w:rPr>
          <w:rFonts w:asciiTheme="majorHAnsi" w:eastAsia="Times New Roman" w:hAnsiTheme="majorHAnsi"/>
          <w:sz w:val="20"/>
          <w:szCs w:val="20"/>
          <w:lang w:val="es-ES"/>
        </w:rPr>
        <w:t xml:space="preserve"> </w:t>
      </w:r>
      <w:r w:rsidR="000C281D" w:rsidRPr="006C32FE">
        <w:rPr>
          <w:rFonts w:asciiTheme="majorHAnsi" w:eastAsia="Times New Roman" w:hAnsiTheme="majorHAnsi"/>
          <w:sz w:val="20"/>
          <w:szCs w:val="20"/>
          <w:lang w:val="es-ES"/>
        </w:rPr>
        <w:t>sustrae</w:t>
      </w:r>
      <w:r w:rsidR="000C281D" w:rsidRPr="009D1E2F">
        <w:rPr>
          <w:rFonts w:asciiTheme="majorHAnsi" w:eastAsia="Times New Roman" w:hAnsiTheme="majorHAnsi"/>
          <w:sz w:val="20"/>
          <w:szCs w:val="20"/>
          <w:lang w:val="es-ES"/>
        </w:rPr>
        <w:t xml:space="preserve"> toda eficacia a</w:t>
      </w:r>
      <w:r w:rsidR="00F776B4">
        <w:rPr>
          <w:rFonts w:asciiTheme="majorHAnsi" w:eastAsia="Times New Roman" w:hAnsiTheme="majorHAnsi"/>
          <w:sz w:val="20"/>
          <w:szCs w:val="20"/>
          <w:lang w:val="es-ES"/>
        </w:rPr>
        <w:t xml:space="preserve"> este</w:t>
      </w:r>
      <w:r w:rsidR="000C281D" w:rsidRPr="009D1E2F">
        <w:rPr>
          <w:rFonts w:asciiTheme="majorHAnsi" w:eastAsia="Times New Roman" w:hAnsiTheme="majorHAnsi"/>
          <w:sz w:val="20"/>
          <w:szCs w:val="20"/>
          <w:lang w:val="es-ES"/>
        </w:rPr>
        <w:t xml:space="preserve"> proceso, priva a los condenados del derecho de petición ante el sistema interamericano de derechos humanos y da lugar a un daño grave e irreparable para esas personas, razón por la cual es incompatible con las obligaciones d</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0C281D" w:rsidRPr="009D1E2F">
        <w:rPr>
          <w:rFonts w:asciiTheme="majorHAnsi" w:eastAsia="Times New Roman" w:hAnsiTheme="majorHAnsi"/>
          <w:sz w:val="20"/>
          <w:szCs w:val="20"/>
          <w:lang w:val="es-ES"/>
        </w:rPr>
        <w:t xml:space="preserve"> en materia de derechos humanos</w:t>
      </w:r>
      <w:r w:rsidR="00BA0255" w:rsidRPr="009D1E2F">
        <w:rPr>
          <w:rStyle w:val="FootnoteReference"/>
          <w:rFonts w:asciiTheme="majorHAnsi" w:eastAsia="Times New Roman" w:hAnsiTheme="majorHAnsi"/>
          <w:sz w:val="20"/>
          <w:szCs w:val="20"/>
          <w:lang w:val="es-ES"/>
        </w:rPr>
        <w:footnoteReference w:id="73"/>
      </w:r>
      <w:r w:rsidR="000C281D"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7015B71B" w14:textId="77777777" w:rsidR="00211A8A" w:rsidRPr="009D1E2F" w:rsidRDefault="00211A8A" w:rsidP="00817426">
      <w:pPr>
        <w:pStyle w:val="ListParagraph"/>
        <w:rPr>
          <w:rFonts w:asciiTheme="majorHAnsi" w:eastAsia="Times New Roman" w:hAnsiTheme="majorHAnsi"/>
          <w:sz w:val="20"/>
          <w:szCs w:val="20"/>
          <w:lang w:val="es-ES"/>
        </w:rPr>
      </w:pPr>
    </w:p>
    <w:p w14:paraId="0C1E6D3D" w14:textId="77777777" w:rsidR="00BA0255"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basa estas obligaciones en la conclusión de que</w:t>
      </w:r>
      <w:r w:rsidR="00B059EC" w:rsidRPr="009D1E2F">
        <w:rPr>
          <w:rFonts w:asciiTheme="majorHAnsi" w:eastAsia="Times New Roman" w:hAnsiTheme="majorHAnsi"/>
          <w:sz w:val="20"/>
          <w:szCs w:val="20"/>
          <w:lang w:val="es-ES"/>
        </w:rPr>
        <w:t xml:space="preserve"> </w:t>
      </w:r>
      <w:r w:rsidR="00DF3068" w:rsidRPr="009D1E2F">
        <w:rPr>
          <w:rFonts w:asciiTheme="majorHAnsi" w:eastAsia="Times New Roman" w:hAnsiTheme="majorHAnsi"/>
          <w:sz w:val="20"/>
          <w:szCs w:val="20"/>
          <w:lang w:val="es-ES"/>
        </w:rPr>
        <w:t>los Estados Miembros de la OEA</w:t>
      </w:r>
      <w:r w:rsidR="00BA025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DF3068" w:rsidRPr="009D1E2F">
        <w:rPr>
          <w:rFonts w:asciiTheme="majorHAnsi" w:eastAsia="Times New Roman" w:hAnsiTheme="majorHAnsi"/>
          <w:sz w:val="20"/>
          <w:szCs w:val="20"/>
          <w:lang w:val="es-ES"/>
        </w:rPr>
        <w:t xml:space="preserve">al crear la Comisión y encomendarle, </w:t>
      </w:r>
      <w:r w:rsidR="00F776B4">
        <w:rPr>
          <w:rFonts w:asciiTheme="majorHAnsi" w:eastAsia="Times New Roman" w:hAnsiTheme="majorHAnsi"/>
          <w:sz w:val="20"/>
          <w:szCs w:val="20"/>
          <w:lang w:val="es-ES"/>
        </w:rPr>
        <w:t xml:space="preserve">por medio </w:t>
      </w:r>
      <w:r w:rsidR="00DF3068" w:rsidRPr="009D1E2F">
        <w:rPr>
          <w:rFonts w:asciiTheme="majorHAnsi" w:eastAsia="Times New Roman" w:hAnsiTheme="majorHAnsi"/>
          <w:sz w:val="20"/>
          <w:szCs w:val="20"/>
          <w:lang w:val="es-ES"/>
        </w:rPr>
        <w:t xml:space="preserve">de la Carta de la OEA y del Estatuto de la Comisión, </w:t>
      </w:r>
      <w:r w:rsidR="00F776B4">
        <w:rPr>
          <w:rFonts w:asciiTheme="majorHAnsi" w:eastAsia="Times New Roman" w:hAnsiTheme="majorHAnsi"/>
          <w:sz w:val="20"/>
          <w:szCs w:val="20"/>
          <w:lang w:val="es-ES"/>
        </w:rPr>
        <w:t xml:space="preserve">que promueva </w:t>
      </w:r>
      <w:r w:rsidR="00DF3068" w:rsidRPr="009D1E2F">
        <w:rPr>
          <w:rFonts w:asciiTheme="majorHAnsi" w:eastAsia="Times New Roman" w:hAnsiTheme="majorHAnsi"/>
          <w:sz w:val="20"/>
          <w:szCs w:val="20"/>
          <w:lang w:val="es-ES"/>
        </w:rPr>
        <w:t xml:space="preserve">la observancia y </w:t>
      </w:r>
      <w:r w:rsidR="00F776B4">
        <w:rPr>
          <w:rFonts w:asciiTheme="majorHAnsi" w:eastAsia="Times New Roman" w:hAnsiTheme="majorHAnsi"/>
          <w:sz w:val="20"/>
          <w:szCs w:val="20"/>
          <w:lang w:val="es-ES"/>
        </w:rPr>
        <w:t xml:space="preserve">la </w:t>
      </w:r>
      <w:r w:rsidR="00DF3068" w:rsidRPr="009D1E2F">
        <w:rPr>
          <w:rFonts w:asciiTheme="majorHAnsi" w:eastAsia="Times New Roman" w:hAnsiTheme="majorHAnsi"/>
          <w:sz w:val="20"/>
          <w:szCs w:val="20"/>
          <w:lang w:val="es-ES"/>
        </w:rPr>
        <w:t xml:space="preserve">protección de los derechos humanos de los pueblos americanos, se han comprometido implícitamente a implementar medidas de esta naturaleza en los casos en que </w:t>
      </w:r>
      <w:r w:rsidR="00F776B4">
        <w:rPr>
          <w:rFonts w:asciiTheme="majorHAnsi" w:eastAsia="Times New Roman" w:hAnsiTheme="majorHAnsi"/>
          <w:sz w:val="20"/>
          <w:szCs w:val="20"/>
          <w:lang w:val="es-ES"/>
        </w:rPr>
        <w:t xml:space="preserve">ello sea </w:t>
      </w:r>
      <w:r w:rsidR="00DF3068" w:rsidRPr="009D1E2F">
        <w:rPr>
          <w:rFonts w:asciiTheme="majorHAnsi" w:eastAsia="Times New Roman" w:hAnsiTheme="majorHAnsi"/>
          <w:sz w:val="20"/>
          <w:szCs w:val="20"/>
          <w:lang w:val="es-ES"/>
        </w:rPr>
        <w:t>esencial para preservar el mandato de la Comisión</w:t>
      </w:r>
      <w:r w:rsidR="00BA0255" w:rsidRPr="009D1E2F">
        <w:rPr>
          <w:rStyle w:val="FootnoteReference"/>
          <w:rFonts w:asciiTheme="majorHAnsi" w:eastAsia="Times New Roman" w:hAnsiTheme="majorHAnsi"/>
          <w:sz w:val="20"/>
          <w:szCs w:val="20"/>
          <w:lang w:val="es-ES"/>
        </w:rPr>
        <w:footnoteReference w:id="74"/>
      </w:r>
      <w:r w:rsidR="00DF3068"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C</w:t>
      </w:r>
      <w:r w:rsidR="00F776B4">
        <w:rPr>
          <w:rFonts w:asciiTheme="majorHAnsi" w:eastAsia="Times New Roman" w:hAnsiTheme="majorHAnsi"/>
          <w:sz w:val="20"/>
          <w:szCs w:val="20"/>
          <w:lang w:val="es-ES"/>
        </w:rPr>
        <w:t>IDH</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encontró un fundamento para esta </w:t>
      </w:r>
      <w:r w:rsidR="00BA0255" w:rsidRPr="009D1E2F">
        <w:rPr>
          <w:rFonts w:asciiTheme="majorHAnsi" w:eastAsia="Times New Roman" w:hAnsiTheme="majorHAnsi"/>
          <w:sz w:val="20"/>
          <w:szCs w:val="20"/>
          <w:lang w:val="es-ES"/>
        </w:rPr>
        <w:t>determina</w:t>
      </w:r>
      <w:r w:rsidR="00844565">
        <w:rPr>
          <w:rFonts w:asciiTheme="majorHAnsi" w:eastAsia="Times New Roman" w:hAnsiTheme="majorHAnsi"/>
          <w:sz w:val="20"/>
          <w:szCs w:val="20"/>
          <w:lang w:val="es-ES"/>
        </w:rPr>
        <w:t xml:space="preserve">ción en su propia jurisprudencia y en </w:t>
      </w:r>
      <w:r w:rsidR="006C32FE">
        <w:rPr>
          <w:rFonts w:asciiTheme="majorHAnsi" w:eastAsia="Times New Roman" w:hAnsiTheme="majorHAnsi"/>
          <w:sz w:val="20"/>
          <w:szCs w:val="20"/>
          <w:lang w:val="es-ES"/>
        </w:rPr>
        <w:t>las conclusiones</w:t>
      </w:r>
      <w:r w:rsidR="00844565">
        <w:rPr>
          <w:rFonts w:asciiTheme="majorHAnsi" w:eastAsia="Times New Roman" w:hAnsiTheme="majorHAnsi"/>
          <w:sz w:val="20"/>
          <w:szCs w:val="20"/>
          <w:lang w:val="es-ES"/>
        </w:rPr>
        <w:t xml:space="preserve"> de otros órganos </w:t>
      </w:r>
      <w:r w:rsidR="00BA0255" w:rsidRPr="009D1E2F">
        <w:rPr>
          <w:rFonts w:asciiTheme="majorHAnsi" w:eastAsia="Times New Roman" w:hAnsiTheme="majorHAnsi"/>
          <w:sz w:val="20"/>
          <w:szCs w:val="20"/>
          <w:lang w:val="es-ES"/>
        </w:rPr>
        <w:t>regional</w:t>
      </w:r>
      <w:r w:rsidR="00844565">
        <w:rPr>
          <w:rFonts w:asciiTheme="majorHAnsi" w:eastAsia="Times New Roman" w:hAnsiTheme="majorHAnsi"/>
          <w:sz w:val="20"/>
          <w:szCs w:val="20"/>
          <w:lang w:val="es-ES"/>
        </w:rPr>
        <w:t>es</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e </w:t>
      </w:r>
      <w:r w:rsidR="00BA0255" w:rsidRPr="009D1E2F">
        <w:rPr>
          <w:rFonts w:asciiTheme="majorHAnsi" w:eastAsia="Times New Roman" w:hAnsiTheme="majorHAnsi"/>
          <w:sz w:val="20"/>
          <w:szCs w:val="20"/>
          <w:lang w:val="es-ES"/>
        </w:rPr>
        <w:t>interna</w:t>
      </w:r>
      <w:r w:rsidR="00844565">
        <w:rPr>
          <w:rFonts w:asciiTheme="majorHAnsi" w:eastAsia="Times New Roman" w:hAnsiTheme="majorHAnsi"/>
          <w:sz w:val="20"/>
          <w:szCs w:val="20"/>
          <w:lang w:val="es-ES"/>
        </w:rPr>
        <w:t>c</w:t>
      </w:r>
      <w:r w:rsidR="00BA0255" w:rsidRPr="009D1E2F">
        <w:rPr>
          <w:rFonts w:asciiTheme="majorHAnsi" w:eastAsia="Times New Roman" w:hAnsiTheme="majorHAnsi"/>
          <w:sz w:val="20"/>
          <w:szCs w:val="20"/>
          <w:lang w:val="es-ES"/>
        </w:rPr>
        <w:t>ional</w:t>
      </w:r>
      <w:r w:rsidR="00844565">
        <w:rPr>
          <w:rFonts w:asciiTheme="majorHAnsi" w:eastAsia="Times New Roman" w:hAnsiTheme="majorHAnsi"/>
          <w:sz w:val="20"/>
          <w:szCs w:val="20"/>
          <w:lang w:val="es-ES"/>
        </w:rPr>
        <w:t xml:space="preserve">es, como el </w:t>
      </w:r>
      <w:r w:rsidR="00481435" w:rsidRPr="009D1E2F">
        <w:rPr>
          <w:rFonts w:asciiTheme="majorHAnsi" w:eastAsia="Times New Roman" w:hAnsiTheme="majorHAnsi"/>
          <w:sz w:val="20"/>
          <w:szCs w:val="20"/>
          <w:lang w:val="es-ES"/>
        </w:rPr>
        <w:t>Comité de Derechos Humanos de las Naciones Unidas</w:t>
      </w:r>
      <w:r w:rsidR="00BA025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el </w:t>
      </w:r>
      <w:r w:rsidR="00481435" w:rsidRPr="009D1E2F">
        <w:rPr>
          <w:rFonts w:asciiTheme="majorHAnsi" w:eastAsia="Times New Roman" w:hAnsiTheme="majorHAnsi"/>
          <w:sz w:val="20"/>
          <w:szCs w:val="20"/>
          <w:lang w:val="es-ES"/>
        </w:rPr>
        <w:t>Tribunal Europeo de Derechos Humanos</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y la </w:t>
      </w:r>
      <w:r w:rsidR="00481435" w:rsidRPr="009D1E2F">
        <w:rPr>
          <w:rFonts w:asciiTheme="majorHAnsi" w:eastAsia="Times New Roman" w:hAnsiTheme="majorHAnsi"/>
          <w:sz w:val="20"/>
          <w:szCs w:val="20"/>
          <w:lang w:val="es-ES"/>
        </w:rPr>
        <w:t xml:space="preserve">Corte </w:t>
      </w:r>
      <w:r w:rsidR="00BA0255" w:rsidRPr="009D1E2F">
        <w:rPr>
          <w:rFonts w:asciiTheme="majorHAnsi" w:eastAsia="Times New Roman" w:hAnsiTheme="majorHAnsi"/>
          <w:sz w:val="20"/>
          <w:szCs w:val="20"/>
          <w:lang w:val="es-ES"/>
        </w:rPr>
        <w:t>Interna</w:t>
      </w:r>
      <w:r w:rsidR="00481435" w:rsidRPr="009D1E2F">
        <w:rPr>
          <w:rFonts w:asciiTheme="majorHAnsi" w:eastAsia="Times New Roman" w:hAnsiTheme="majorHAnsi"/>
          <w:sz w:val="20"/>
          <w:szCs w:val="20"/>
          <w:lang w:val="es-ES"/>
        </w:rPr>
        <w:t>c</w:t>
      </w:r>
      <w:r w:rsidR="00BA0255" w:rsidRPr="009D1E2F">
        <w:rPr>
          <w:rFonts w:asciiTheme="majorHAnsi" w:eastAsia="Times New Roman" w:hAnsiTheme="majorHAnsi"/>
          <w:sz w:val="20"/>
          <w:szCs w:val="20"/>
          <w:lang w:val="es-ES"/>
        </w:rPr>
        <w:t>ional</w:t>
      </w:r>
      <w:r w:rsidR="00B059EC" w:rsidRPr="009D1E2F">
        <w:rPr>
          <w:rFonts w:asciiTheme="majorHAnsi" w:eastAsia="Times New Roman" w:hAnsiTheme="majorHAnsi"/>
          <w:sz w:val="20"/>
          <w:szCs w:val="20"/>
          <w:lang w:val="es-ES"/>
        </w:rPr>
        <w:t xml:space="preserve"> </w:t>
      </w:r>
      <w:r w:rsidR="00481435" w:rsidRPr="009D1E2F">
        <w:rPr>
          <w:rFonts w:asciiTheme="majorHAnsi" w:eastAsia="Times New Roman" w:hAnsiTheme="majorHAnsi"/>
          <w:sz w:val="20"/>
          <w:szCs w:val="20"/>
          <w:lang w:val="es-ES"/>
        </w:rPr>
        <w:t>de Justicia</w:t>
      </w:r>
      <w:r w:rsidR="00BA0255" w:rsidRPr="009D1E2F">
        <w:rPr>
          <w:rStyle w:val="FootnoteReference"/>
          <w:rFonts w:asciiTheme="majorHAnsi" w:eastAsia="Times New Roman" w:hAnsiTheme="majorHAnsi"/>
          <w:sz w:val="20"/>
          <w:szCs w:val="20"/>
          <w:lang w:val="es-ES"/>
        </w:rPr>
        <w:footnoteReference w:id="75"/>
      </w:r>
      <w:r w:rsidR="0048143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E</w:t>
      </w:r>
      <w:r w:rsidR="00BA0255" w:rsidRPr="009D1E2F">
        <w:rPr>
          <w:rFonts w:asciiTheme="majorHAnsi" w:eastAsia="Times New Roman" w:hAnsiTheme="majorHAnsi"/>
          <w:sz w:val="20"/>
          <w:szCs w:val="20"/>
          <w:lang w:val="es-ES"/>
        </w:rPr>
        <w:t>n</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opinión de </w:t>
      </w:r>
      <w:r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Pr="009D1E2F">
        <w:rPr>
          <w:rFonts w:asciiTheme="majorHAnsi" w:eastAsia="Times New Roman" w:hAnsiTheme="majorHAnsi"/>
          <w:sz w:val="20"/>
          <w:szCs w:val="20"/>
          <w:lang w:val="es-ES"/>
        </w:rPr>
        <w:t>Comisión</w:t>
      </w:r>
      <w:r w:rsidR="00844565">
        <w:rPr>
          <w:rFonts w:asciiTheme="majorHAnsi" w:eastAsia="Times New Roman" w:hAnsiTheme="majorHAnsi"/>
          <w:sz w:val="20"/>
          <w:szCs w:val="20"/>
          <w:lang w:val="es-ES"/>
        </w:rPr>
        <w:t xml:space="preserve">, esta </w:t>
      </w:r>
      <w:r w:rsidR="00BA0255" w:rsidRPr="009D1E2F">
        <w:rPr>
          <w:rFonts w:asciiTheme="majorHAnsi" w:eastAsia="Times New Roman" w:hAnsiTheme="majorHAnsi"/>
          <w:sz w:val="20"/>
          <w:szCs w:val="20"/>
          <w:lang w:val="es-ES"/>
        </w:rPr>
        <w:t>jurisprudenc</w:t>
      </w:r>
      <w:r w:rsidR="00844565">
        <w:rPr>
          <w:rFonts w:asciiTheme="majorHAnsi" w:eastAsia="Times New Roman" w:hAnsiTheme="majorHAnsi"/>
          <w:sz w:val="20"/>
          <w:szCs w:val="20"/>
          <w:lang w:val="es-ES"/>
        </w:rPr>
        <w:t xml:space="preserve">ia expresa un principio común del funcionamiento de los sistemas internacionales según el cual los Estados Miembros deben implementar </w:t>
      </w:r>
      <w:r w:rsidR="005B3F2B" w:rsidRPr="009D1E2F">
        <w:rPr>
          <w:rFonts w:asciiTheme="majorHAnsi" w:eastAsia="Times New Roman" w:hAnsiTheme="majorHAnsi"/>
          <w:sz w:val="20"/>
          <w:szCs w:val="20"/>
          <w:lang w:val="es-ES"/>
        </w:rPr>
        <w:t>medidas</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provisionales o </w:t>
      </w:r>
      <w:r w:rsidR="005B3F2B" w:rsidRPr="009D1E2F">
        <w:rPr>
          <w:rFonts w:asciiTheme="majorHAnsi" w:eastAsia="Times New Roman" w:hAnsiTheme="majorHAnsi"/>
          <w:sz w:val="20"/>
          <w:szCs w:val="20"/>
          <w:lang w:val="es-ES"/>
        </w:rPr>
        <w:t>cautelares</w:t>
      </w:r>
      <w:r w:rsidR="00B059EC" w:rsidRPr="009D1E2F">
        <w:rPr>
          <w:rFonts w:asciiTheme="majorHAnsi" w:eastAsia="Times New Roman" w:hAnsiTheme="majorHAnsi"/>
          <w:sz w:val="20"/>
          <w:szCs w:val="20"/>
          <w:lang w:val="es-ES"/>
        </w:rPr>
        <w:t xml:space="preserve"> </w:t>
      </w:r>
      <w:r w:rsidR="00844565">
        <w:rPr>
          <w:rFonts w:asciiTheme="majorHAnsi" w:eastAsia="Times New Roman" w:hAnsiTheme="majorHAnsi"/>
          <w:sz w:val="20"/>
          <w:szCs w:val="20"/>
          <w:lang w:val="es-ES"/>
        </w:rPr>
        <w:t xml:space="preserve">en los casos en que sea necesario para preservar los fines mismos para los cuales se crearon los sistemas y </w:t>
      </w:r>
      <w:r w:rsidR="00915246">
        <w:rPr>
          <w:rFonts w:asciiTheme="majorHAnsi" w:eastAsia="Times New Roman" w:hAnsiTheme="majorHAnsi"/>
          <w:sz w:val="20"/>
          <w:szCs w:val="20"/>
          <w:lang w:val="es-ES"/>
        </w:rPr>
        <w:t xml:space="preserve">evitar daños </w:t>
      </w:r>
      <w:r w:rsidR="00BA0255" w:rsidRPr="009D1E2F">
        <w:rPr>
          <w:rFonts w:asciiTheme="majorHAnsi" w:eastAsia="Times New Roman" w:hAnsiTheme="majorHAnsi"/>
          <w:sz w:val="20"/>
          <w:szCs w:val="20"/>
          <w:lang w:val="es-ES"/>
        </w:rPr>
        <w:t>irreparable</w:t>
      </w:r>
      <w:r w:rsidR="00915246">
        <w:rPr>
          <w:rFonts w:asciiTheme="majorHAnsi" w:eastAsia="Times New Roman" w:hAnsiTheme="majorHAnsi"/>
          <w:sz w:val="20"/>
          <w:szCs w:val="20"/>
          <w:lang w:val="es-ES"/>
        </w:rPr>
        <w:t>s para las partes cuyos intereses se determinen por medio de esos procesos</w:t>
      </w:r>
      <w:r w:rsidR="00BA025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p>
    <w:p w14:paraId="06517C54" w14:textId="77777777" w:rsidR="00BA0255" w:rsidRPr="009D1E2F" w:rsidRDefault="00BA0255"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7F1B5AB5" w14:textId="77777777" w:rsidR="00BA0255" w:rsidRPr="009D1E2F" w:rsidRDefault="00D64653"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New Roman" w:hAnsiTheme="majorHAnsi"/>
          <w:sz w:val="20"/>
          <w:szCs w:val="20"/>
          <w:lang w:val="es-ES"/>
        </w:rPr>
        <w:t>Al considerar las observaciones de</w:t>
      </w:r>
      <w:r w:rsidR="000E2468" w:rsidRPr="009D1E2F">
        <w:rPr>
          <w:rFonts w:asciiTheme="majorHAnsi" w:eastAsia="Times New Roman" w:hAnsiTheme="majorHAnsi"/>
          <w:sz w:val="20"/>
          <w:szCs w:val="20"/>
          <w:lang w:val="es-ES"/>
        </w:rPr>
        <w:t>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BA0255" w:rsidRPr="009D1E2F">
        <w:rPr>
          <w:rFonts w:asciiTheme="majorHAnsi" w:eastAsia="Times New Roman" w:hAnsiTheme="majorHAnsi"/>
          <w:sz w:val="20"/>
          <w:szCs w:val="20"/>
          <w:lang w:val="es-ES"/>
        </w:rPr>
        <w:t>,</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Comisión</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no encontró motivos para </w:t>
      </w:r>
      <w:r w:rsidR="006C32FE">
        <w:rPr>
          <w:rFonts w:asciiTheme="majorHAnsi" w:eastAsia="Times New Roman" w:hAnsiTheme="majorHAnsi"/>
          <w:sz w:val="20"/>
          <w:szCs w:val="20"/>
          <w:lang w:val="es-ES"/>
        </w:rPr>
        <w:t>varias su jurisprudencia al respecto</w:t>
      </w:r>
      <w:r>
        <w:rPr>
          <w:rFonts w:asciiTheme="majorHAnsi" w:eastAsia="Times New Roman" w:hAnsiTheme="majorHAnsi"/>
          <w:sz w:val="20"/>
          <w:szCs w:val="20"/>
          <w:lang w:val="es-ES"/>
        </w:rPr>
        <w:t xml:space="preserve">. </w:t>
      </w:r>
      <w:r w:rsidR="006C32FE">
        <w:rPr>
          <w:rFonts w:asciiTheme="majorHAnsi" w:eastAsia="Times New Roman" w:hAnsiTheme="majorHAnsi"/>
          <w:sz w:val="20"/>
          <w:szCs w:val="20"/>
          <w:lang w:val="es-ES"/>
        </w:rPr>
        <w:t>La Comisión reitera</w:t>
      </w:r>
      <w:r>
        <w:rPr>
          <w:rFonts w:asciiTheme="majorHAnsi" w:eastAsia="Times New Roman" w:hAnsiTheme="majorHAnsi"/>
          <w:sz w:val="20"/>
          <w:szCs w:val="20"/>
          <w:lang w:val="es-ES"/>
        </w:rPr>
        <w:t xml:space="preserve"> que, en circunstancias como las de</w:t>
      </w:r>
      <w:r w:rsidR="00666F2F">
        <w:rPr>
          <w:rFonts w:asciiTheme="majorHAnsi" w:eastAsia="Times New Roman" w:hAnsiTheme="majorHAnsi"/>
          <w:sz w:val="20"/>
          <w:szCs w:val="20"/>
          <w:lang w:val="es-ES"/>
        </w:rPr>
        <w:t xml:space="preserve"> este</w:t>
      </w:r>
      <w:r>
        <w:rPr>
          <w:rFonts w:asciiTheme="majorHAnsi" w:eastAsia="Times New Roman" w:hAnsiTheme="majorHAnsi"/>
          <w:sz w:val="20"/>
          <w:szCs w:val="20"/>
          <w:lang w:val="es-ES"/>
        </w:rPr>
        <w:t xml:space="preserve"> caso, su facultad para otorgar </w:t>
      </w:r>
      <w:r w:rsidR="005B3F2B" w:rsidRPr="009D1E2F">
        <w:rPr>
          <w:rFonts w:asciiTheme="majorHAnsi" w:eastAsia="Times New Roman" w:hAnsiTheme="majorHAnsi"/>
          <w:sz w:val="20"/>
          <w:szCs w:val="20"/>
          <w:lang w:val="es-ES"/>
        </w:rPr>
        <w:t>medidas</w:t>
      </w:r>
      <w:r w:rsidR="00B059EC" w:rsidRPr="009D1E2F">
        <w:rPr>
          <w:rFonts w:asciiTheme="majorHAnsi" w:eastAsia="Times New Roman" w:hAnsiTheme="majorHAnsi"/>
          <w:sz w:val="20"/>
          <w:szCs w:val="20"/>
          <w:lang w:val="es-ES"/>
        </w:rPr>
        <w:t xml:space="preserve"> </w:t>
      </w:r>
      <w:r w:rsidR="005B3F2B" w:rsidRPr="009D1E2F">
        <w:rPr>
          <w:rFonts w:asciiTheme="majorHAnsi" w:eastAsia="Times New Roman" w:hAnsiTheme="majorHAnsi"/>
          <w:sz w:val="20"/>
          <w:szCs w:val="20"/>
          <w:lang w:val="es-ES"/>
        </w:rPr>
        <w:t>cautelares</w:t>
      </w:r>
      <w:r w:rsidR="00B059EC" w:rsidRPr="009D1E2F">
        <w:rPr>
          <w:rFonts w:asciiTheme="majorHAnsi" w:eastAsia="Times New Roman" w:hAnsiTheme="majorHAnsi"/>
          <w:sz w:val="20"/>
          <w:szCs w:val="20"/>
          <w:lang w:val="es-ES"/>
        </w:rPr>
        <w:t xml:space="preserve"> </w:t>
      </w:r>
      <w:r>
        <w:rPr>
          <w:rFonts w:asciiTheme="majorHAnsi" w:eastAsia="Times New Roman" w:hAnsiTheme="majorHAnsi"/>
          <w:sz w:val="20"/>
          <w:szCs w:val="20"/>
          <w:lang w:val="es-ES"/>
        </w:rPr>
        <w:t xml:space="preserve">deriva de los compromisos </w:t>
      </w:r>
      <w:r w:rsidR="00C56198">
        <w:rPr>
          <w:rFonts w:asciiTheme="majorHAnsi" w:eastAsia="Times New Roman" w:hAnsiTheme="majorHAnsi"/>
          <w:sz w:val="20"/>
          <w:szCs w:val="20"/>
          <w:lang w:val="es-ES"/>
        </w:rPr>
        <w:t xml:space="preserve">fundamentales </w:t>
      </w:r>
      <w:r>
        <w:rPr>
          <w:rFonts w:asciiTheme="majorHAnsi" w:eastAsia="Times New Roman" w:hAnsiTheme="majorHAnsi"/>
          <w:sz w:val="20"/>
          <w:szCs w:val="20"/>
          <w:lang w:val="es-ES"/>
        </w:rPr>
        <w:t>con los derechos humano</w:t>
      </w:r>
      <w:r w:rsidR="00BA0255" w:rsidRPr="009D1E2F">
        <w:rPr>
          <w:rFonts w:asciiTheme="majorHAnsi" w:eastAsia="Times New Roman" w:hAnsiTheme="majorHAnsi"/>
          <w:sz w:val="20"/>
          <w:szCs w:val="20"/>
          <w:lang w:val="es-ES"/>
        </w:rPr>
        <w:t>s</w:t>
      </w:r>
      <w:r w:rsidR="00B059EC" w:rsidRPr="009D1E2F">
        <w:rPr>
          <w:rFonts w:asciiTheme="majorHAnsi" w:eastAsia="Times New Roman" w:hAnsiTheme="majorHAnsi"/>
          <w:sz w:val="20"/>
          <w:szCs w:val="20"/>
          <w:lang w:val="es-ES"/>
        </w:rPr>
        <w:t xml:space="preserve"> </w:t>
      </w:r>
      <w:r w:rsidR="00C56198">
        <w:rPr>
          <w:rFonts w:asciiTheme="majorHAnsi" w:eastAsia="Times New Roman" w:hAnsiTheme="majorHAnsi"/>
          <w:sz w:val="20"/>
          <w:szCs w:val="20"/>
          <w:lang w:val="es-ES"/>
        </w:rPr>
        <w:t xml:space="preserve">que el Estado asumió </w:t>
      </w:r>
      <w:r w:rsidR="00666F2F">
        <w:rPr>
          <w:rFonts w:asciiTheme="majorHAnsi" w:eastAsia="Times New Roman" w:hAnsiTheme="majorHAnsi"/>
          <w:sz w:val="20"/>
          <w:szCs w:val="20"/>
          <w:lang w:val="es-ES"/>
        </w:rPr>
        <w:t xml:space="preserve">en calidad de Estado Parte de la Carta de la OEA y, por lo tanto,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Estado</w:t>
      </w:r>
      <w:r w:rsidR="00B059EC" w:rsidRPr="009D1E2F">
        <w:rPr>
          <w:rFonts w:asciiTheme="majorHAnsi" w:eastAsia="Times New Roman" w:hAnsiTheme="majorHAnsi"/>
          <w:sz w:val="20"/>
          <w:szCs w:val="20"/>
          <w:lang w:val="es-ES"/>
        </w:rPr>
        <w:t xml:space="preserve"> </w:t>
      </w:r>
      <w:r w:rsidR="00666F2F">
        <w:rPr>
          <w:rFonts w:asciiTheme="majorHAnsi" w:eastAsia="Times New Roman" w:hAnsiTheme="majorHAnsi"/>
          <w:sz w:val="20"/>
          <w:szCs w:val="20"/>
          <w:lang w:val="es-ES"/>
        </w:rPr>
        <w:t xml:space="preserve">tenía la obligación </w:t>
      </w:r>
      <w:r w:rsidR="00BA0255" w:rsidRPr="009D1E2F">
        <w:rPr>
          <w:rFonts w:asciiTheme="majorHAnsi" w:eastAsia="Times New Roman" w:hAnsiTheme="majorHAnsi"/>
          <w:sz w:val="20"/>
          <w:szCs w:val="20"/>
          <w:lang w:val="es-ES"/>
        </w:rPr>
        <w:t>legal</w:t>
      </w:r>
      <w:r w:rsidR="00B059EC" w:rsidRPr="009D1E2F">
        <w:rPr>
          <w:rFonts w:asciiTheme="majorHAnsi" w:eastAsia="Times New Roman" w:hAnsiTheme="majorHAnsi"/>
          <w:sz w:val="20"/>
          <w:szCs w:val="20"/>
          <w:lang w:val="es-ES"/>
        </w:rPr>
        <w:t xml:space="preserve"> </w:t>
      </w:r>
      <w:r w:rsidR="00666F2F">
        <w:rPr>
          <w:rFonts w:asciiTheme="majorHAnsi" w:eastAsia="Times New Roman" w:hAnsiTheme="majorHAnsi"/>
          <w:sz w:val="20"/>
          <w:szCs w:val="20"/>
          <w:lang w:val="es-ES"/>
        </w:rPr>
        <w:t>internacional de preservar la vida</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el</w:t>
      </w:r>
      <w:r w:rsidR="00B059EC" w:rsidRPr="009D1E2F">
        <w:rPr>
          <w:rFonts w:asciiTheme="majorHAnsi" w:eastAsia="Times New Roman" w:hAnsiTheme="majorHAnsi"/>
          <w:sz w:val="20"/>
          <w:szCs w:val="20"/>
          <w:lang w:val="es-ES"/>
        </w:rPr>
        <w:t xml:space="preserve"> </w:t>
      </w:r>
      <w:r w:rsidR="000E2468" w:rsidRPr="009D1E2F">
        <w:rPr>
          <w:rFonts w:asciiTheme="majorHAnsi" w:eastAsia="Times New Roman" w:hAnsiTheme="majorHAnsi"/>
          <w:sz w:val="20"/>
          <w:szCs w:val="20"/>
          <w:lang w:val="es-ES"/>
        </w:rPr>
        <w:t>señor</w:t>
      </w:r>
      <w:r w:rsidR="00B059EC" w:rsidRPr="009D1E2F">
        <w:rPr>
          <w:rFonts w:asciiTheme="majorHAnsi" w:eastAsia="Times New Roman" w:hAnsiTheme="majorHAnsi"/>
          <w:sz w:val="20"/>
          <w:szCs w:val="20"/>
          <w:lang w:val="es-ES"/>
        </w:rPr>
        <w:t xml:space="preserve"> </w:t>
      </w:r>
      <w:r w:rsidR="00BA0255" w:rsidRPr="009D1E2F">
        <w:rPr>
          <w:rFonts w:asciiTheme="majorHAnsi" w:eastAsia="Times New Roman" w:hAnsiTheme="majorHAnsi"/>
          <w:sz w:val="20"/>
          <w:szCs w:val="20"/>
          <w:lang w:val="es-ES"/>
        </w:rPr>
        <w:t>Gray</w:t>
      </w:r>
      <w:r w:rsidR="00666F2F">
        <w:rPr>
          <w:rFonts w:asciiTheme="majorHAnsi" w:eastAsia="Times New Roman" w:hAnsiTheme="majorHAnsi"/>
          <w:sz w:val="20"/>
          <w:szCs w:val="20"/>
          <w:lang w:val="es-ES"/>
        </w:rPr>
        <w:t xml:space="preserve"> mientras su petición estuviera pendiente ante </w:t>
      </w:r>
      <w:r w:rsidR="00363E52" w:rsidRPr="009D1E2F">
        <w:rPr>
          <w:rFonts w:asciiTheme="majorHAnsi" w:eastAsia="Times New Roman" w:hAnsiTheme="majorHAnsi"/>
          <w:sz w:val="20"/>
          <w:szCs w:val="20"/>
          <w:lang w:val="es-ES"/>
        </w:rPr>
        <w:t>la</w:t>
      </w:r>
      <w:r w:rsidR="00B059EC" w:rsidRPr="009D1E2F">
        <w:rPr>
          <w:rFonts w:asciiTheme="majorHAnsi" w:eastAsia="Times New Roman" w:hAnsiTheme="majorHAnsi"/>
          <w:sz w:val="20"/>
          <w:szCs w:val="20"/>
          <w:lang w:val="es-ES"/>
        </w:rPr>
        <w:t xml:space="preserve"> </w:t>
      </w:r>
      <w:r w:rsidR="00363E52" w:rsidRPr="009D1E2F">
        <w:rPr>
          <w:rFonts w:asciiTheme="majorHAnsi" w:eastAsia="Times New Roman" w:hAnsiTheme="majorHAnsi"/>
          <w:sz w:val="20"/>
          <w:szCs w:val="20"/>
          <w:lang w:val="es-ES"/>
        </w:rPr>
        <w:t>Comisión</w:t>
      </w:r>
      <w:r w:rsidR="00666F2F">
        <w:rPr>
          <w:rFonts w:asciiTheme="majorHAnsi" w:eastAsia="Times New Roman" w:hAnsiTheme="majorHAnsi"/>
          <w:sz w:val="20"/>
          <w:szCs w:val="20"/>
          <w:lang w:val="es-ES"/>
        </w:rPr>
        <w:t>.</w:t>
      </w:r>
    </w:p>
    <w:p w14:paraId="5773DACC" w14:textId="77777777" w:rsidR="00BA0255" w:rsidRPr="009D1E2F" w:rsidRDefault="00BA0255" w:rsidP="00817426">
      <w:pPr>
        <w:pStyle w:val="ListParagraph"/>
        <w:tabs>
          <w:tab w:val="left" w:pos="360"/>
        </w:tabs>
        <w:rPr>
          <w:rFonts w:asciiTheme="majorHAnsi" w:eastAsia="Times" w:hAnsiTheme="majorHAnsi" w:cs="Times"/>
          <w:sz w:val="20"/>
          <w:szCs w:val="20"/>
          <w:lang w:val="es-ES"/>
        </w:rPr>
      </w:pPr>
    </w:p>
    <w:p w14:paraId="129DA67E" w14:textId="77777777" w:rsidR="00BA0255" w:rsidRPr="009D1E2F" w:rsidRDefault="00666F2F"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w:hAnsiTheme="majorHAnsi" w:cs="Times"/>
          <w:sz w:val="20"/>
          <w:szCs w:val="20"/>
          <w:lang w:val="es-ES"/>
        </w:rPr>
        <w:t>La denegación por e</w:t>
      </w:r>
      <w:r w:rsidR="000E2468" w:rsidRPr="009D1E2F">
        <w:rPr>
          <w:rFonts w:asciiTheme="majorHAnsi" w:eastAsia="Times" w:hAnsiTheme="majorHAnsi" w:cs="Times"/>
          <w:sz w:val="20"/>
          <w:szCs w:val="20"/>
          <w:lang w:val="es-ES"/>
        </w:rPr>
        <w:t>l</w:t>
      </w:r>
      <w:r w:rsidR="00B059EC" w:rsidRPr="009D1E2F">
        <w:rPr>
          <w:rFonts w:asciiTheme="majorHAnsi" w:eastAsia="Times" w:hAnsiTheme="majorHAnsi" w:cs="Times"/>
          <w:sz w:val="20"/>
          <w:szCs w:val="20"/>
          <w:lang w:val="es-ES"/>
        </w:rPr>
        <w:t xml:space="preserve"> </w:t>
      </w:r>
      <w:r w:rsidR="000E2468" w:rsidRPr="009D1E2F">
        <w:rPr>
          <w:rFonts w:asciiTheme="majorHAnsi" w:eastAsia="Times" w:hAnsiTheme="majorHAnsi" w:cs="Times"/>
          <w:sz w:val="20"/>
          <w:szCs w:val="20"/>
          <w:lang w:val="es-ES"/>
        </w:rPr>
        <w:t>Estado</w:t>
      </w:r>
      <w:r>
        <w:rPr>
          <w:rFonts w:asciiTheme="majorHAnsi" w:eastAsia="Times" w:hAnsiTheme="majorHAnsi" w:cs="Times"/>
          <w:sz w:val="20"/>
          <w:szCs w:val="20"/>
          <w:lang w:val="es-ES"/>
        </w:rPr>
        <w:t xml:space="preserve"> de la suspensión de la ejecución a pesar de la </w:t>
      </w:r>
      <w:r w:rsidR="00481435" w:rsidRPr="009D1E2F">
        <w:rPr>
          <w:rFonts w:asciiTheme="majorHAnsi" w:eastAsia="Cambria" w:hAnsiTheme="majorHAnsi" w:cs="Cambria"/>
          <w:sz w:val="20"/>
          <w:szCs w:val="20"/>
          <w:lang w:val="es-ES"/>
        </w:rPr>
        <w:t>medida cautelar</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otorgada por</w:t>
      </w:r>
      <w:r w:rsidR="00B059EC" w:rsidRPr="009D1E2F">
        <w:rPr>
          <w:rFonts w:asciiTheme="majorHAnsi" w:eastAsia="Cambria" w:hAnsiTheme="majorHAnsi" w:cs="Cambria"/>
          <w:sz w:val="20"/>
          <w:szCs w:val="20"/>
          <w:lang w:val="es-ES"/>
        </w:rPr>
        <w:t xml:space="preserve"> </w:t>
      </w:r>
      <w:r w:rsidR="00363E52"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00363E52" w:rsidRPr="009D1E2F">
        <w:rPr>
          <w:rFonts w:asciiTheme="majorHAnsi" w:eastAsia="Cambria" w:hAnsiTheme="majorHAnsi" w:cs="Cambria"/>
          <w:sz w:val="20"/>
          <w:szCs w:val="20"/>
          <w:lang w:val="es-ES"/>
        </w:rPr>
        <w:t>Comisión</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para evaluar posibles violaciones de derechos humanos y el hecho de que no haya preservado la vida de un recluso condenado hasta que concluyera el procedimiento, incluido el cumplimiento de las recomendaciones finales de</w:t>
      </w:r>
      <w:r w:rsidR="00B059EC" w:rsidRPr="009D1E2F">
        <w:rPr>
          <w:rFonts w:asciiTheme="majorHAnsi" w:eastAsia="Times" w:hAnsiTheme="majorHAnsi" w:cs="Times"/>
          <w:sz w:val="20"/>
          <w:szCs w:val="20"/>
          <w:lang w:val="es-ES"/>
        </w:rPr>
        <w:t xml:space="preserve"> </w:t>
      </w:r>
      <w:r w:rsidR="00363E52" w:rsidRPr="009D1E2F">
        <w:rPr>
          <w:rFonts w:asciiTheme="majorHAnsi" w:eastAsia="Times" w:hAnsiTheme="majorHAnsi" w:cs="Times"/>
          <w:sz w:val="20"/>
          <w:szCs w:val="20"/>
          <w:lang w:val="es-ES"/>
        </w:rPr>
        <w:t>la</w:t>
      </w:r>
      <w:r w:rsidR="00B059EC" w:rsidRPr="009D1E2F">
        <w:rPr>
          <w:rFonts w:asciiTheme="majorHAnsi" w:eastAsia="Times" w:hAnsiTheme="majorHAnsi" w:cs="Times"/>
          <w:sz w:val="20"/>
          <w:szCs w:val="20"/>
          <w:lang w:val="es-ES"/>
        </w:rPr>
        <w:t xml:space="preserve"> </w:t>
      </w:r>
      <w:r w:rsidR="00363E52" w:rsidRPr="009D1E2F">
        <w:rPr>
          <w:rFonts w:asciiTheme="majorHAnsi" w:eastAsia="Times" w:hAnsiTheme="majorHAnsi" w:cs="Times"/>
          <w:sz w:val="20"/>
          <w:szCs w:val="20"/>
          <w:lang w:val="es-ES"/>
        </w:rPr>
        <w:t>Comisión</w:t>
      </w:r>
      <w:r>
        <w:rPr>
          <w:rFonts w:asciiTheme="majorHAnsi" w:eastAsia="Times" w:hAnsiTheme="majorHAnsi" w:cs="Times"/>
          <w:sz w:val="20"/>
          <w:szCs w:val="20"/>
          <w:lang w:val="es-ES"/>
        </w:rPr>
        <w:t xml:space="preserve">, socava la eficacia del proceso de la </w:t>
      </w:r>
      <w:r w:rsidR="00363E52" w:rsidRPr="009D1E2F">
        <w:rPr>
          <w:rFonts w:asciiTheme="majorHAnsi" w:eastAsia="Times" w:hAnsiTheme="majorHAnsi" w:cs="Times"/>
          <w:sz w:val="20"/>
          <w:szCs w:val="20"/>
          <w:lang w:val="es-ES"/>
        </w:rPr>
        <w:t>Comisión</w:t>
      </w:r>
      <w:r>
        <w:rPr>
          <w:rFonts w:asciiTheme="majorHAnsi" w:eastAsia="Times" w:hAnsiTheme="majorHAnsi" w:cs="Times"/>
          <w:sz w:val="20"/>
          <w:szCs w:val="20"/>
          <w:lang w:val="es-ES"/>
        </w:rPr>
        <w:t xml:space="preserve">, priva a las personas condenadas del </w:t>
      </w:r>
      <w:r w:rsidR="009A61E6">
        <w:rPr>
          <w:rFonts w:asciiTheme="majorHAnsi" w:eastAsia="Times" w:hAnsiTheme="majorHAnsi" w:cs="Times"/>
          <w:sz w:val="20"/>
          <w:szCs w:val="20"/>
          <w:lang w:val="es-ES"/>
        </w:rPr>
        <w:t xml:space="preserve">derecho de petición y da lugar a daños graves e </w:t>
      </w:r>
      <w:r w:rsidR="00BA0255" w:rsidRPr="009D1E2F">
        <w:rPr>
          <w:rFonts w:asciiTheme="majorHAnsi" w:eastAsia="Times" w:hAnsiTheme="majorHAnsi" w:cs="Times"/>
          <w:sz w:val="20"/>
          <w:szCs w:val="20"/>
          <w:lang w:val="es-ES"/>
        </w:rPr>
        <w:t>irreparable</w:t>
      </w:r>
      <w:r w:rsidR="009A61E6">
        <w:rPr>
          <w:rFonts w:asciiTheme="majorHAnsi" w:eastAsia="Times" w:hAnsiTheme="majorHAnsi" w:cs="Times"/>
          <w:sz w:val="20"/>
          <w:szCs w:val="20"/>
          <w:lang w:val="es-ES"/>
        </w:rPr>
        <w:t>s para esas personas. Una ejecución en esas circunstancias obstruye la capacidad de l</w:t>
      </w:r>
      <w:r w:rsidR="00363E52" w:rsidRPr="009D1E2F">
        <w:rPr>
          <w:rFonts w:asciiTheme="majorHAnsi" w:hAnsiTheme="majorHAnsi"/>
          <w:sz w:val="20"/>
          <w:szCs w:val="20"/>
          <w:lang w:val="es-ES"/>
        </w:rPr>
        <w:t>a</w:t>
      </w:r>
      <w:r w:rsidR="00B059EC" w:rsidRPr="009D1E2F">
        <w:rPr>
          <w:rFonts w:asciiTheme="majorHAnsi" w:hAnsiTheme="majorHAnsi"/>
          <w:sz w:val="20"/>
          <w:szCs w:val="20"/>
          <w:lang w:val="es-ES"/>
        </w:rPr>
        <w:t xml:space="preserve"> </w:t>
      </w:r>
      <w:r w:rsidR="00363E52" w:rsidRPr="009D1E2F">
        <w:rPr>
          <w:rFonts w:asciiTheme="majorHAnsi" w:hAnsiTheme="majorHAnsi"/>
          <w:sz w:val="20"/>
          <w:szCs w:val="20"/>
          <w:lang w:val="es-ES"/>
        </w:rPr>
        <w:t>Comisión</w:t>
      </w:r>
      <w:r w:rsidR="009A61E6">
        <w:rPr>
          <w:rFonts w:asciiTheme="majorHAnsi" w:hAnsiTheme="majorHAnsi"/>
          <w:sz w:val="20"/>
          <w:szCs w:val="20"/>
          <w:lang w:val="es-ES"/>
        </w:rPr>
        <w:t xml:space="preserve"> </w:t>
      </w:r>
      <w:r w:rsidR="00BA0255" w:rsidRPr="009D1E2F">
        <w:rPr>
          <w:rFonts w:asciiTheme="majorHAnsi" w:hAnsiTheme="majorHAnsi"/>
          <w:sz w:val="20"/>
          <w:szCs w:val="20"/>
          <w:lang w:val="es-ES"/>
        </w:rPr>
        <w:t>o</w:t>
      </w:r>
      <w:r w:rsidR="009A61E6">
        <w:rPr>
          <w:rFonts w:asciiTheme="majorHAnsi" w:hAnsiTheme="majorHAnsi"/>
          <w:sz w:val="20"/>
          <w:szCs w:val="20"/>
          <w:lang w:val="es-ES"/>
        </w:rPr>
        <w:t xml:space="preserve"> de la Corte para investigar eficazmente casos de pena de muerte y pronunciarse al</w:t>
      </w:r>
      <w:r w:rsidR="00F776B4">
        <w:rPr>
          <w:rFonts w:asciiTheme="majorHAnsi" w:hAnsiTheme="majorHAnsi"/>
          <w:sz w:val="20"/>
          <w:szCs w:val="20"/>
          <w:lang w:val="es-ES"/>
        </w:rPr>
        <w:t xml:space="preserve"> </w:t>
      </w:r>
      <w:r w:rsidR="009A61E6">
        <w:rPr>
          <w:rFonts w:asciiTheme="majorHAnsi" w:hAnsiTheme="majorHAnsi"/>
          <w:sz w:val="20"/>
          <w:szCs w:val="20"/>
          <w:lang w:val="es-ES"/>
        </w:rPr>
        <w:t>respecto.</w:t>
      </w:r>
    </w:p>
    <w:p w14:paraId="4508F635" w14:textId="77777777" w:rsidR="00BA0255" w:rsidRPr="009D1E2F" w:rsidRDefault="00BA0255" w:rsidP="00817426">
      <w:pPr>
        <w:pStyle w:val="ListParagraph"/>
        <w:tabs>
          <w:tab w:val="left" w:pos="360"/>
        </w:tabs>
        <w:rPr>
          <w:rFonts w:asciiTheme="majorHAnsi" w:eastAsia="Times" w:hAnsiTheme="majorHAnsi" w:cs="Times"/>
          <w:sz w:val="20"/>
          <w:szCs w:val="20"/>
          <w:lang w:val="es-ES"/>
        </w:rPr>
      </w:pPr>
    </w:p>
    <w:p w14:paraId="03DA1F35" w14:textId="77777777" w:rsidR="00F86F6E" w:rsidRPr="009D1E2F" w:rsidRDefault="009A61E6"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Times" w:hAnsiTheme="majorHAnsi" w:cs="Times"/>
          <w:sz w:val="20"/>
          <w:szCs w:val="20"/>
          <w:lang w:val="es-ES"/>
        </w:rPr>
        <w:t xml:space="preserve">Tanto </w:t>
      </w:r>
      <w:r w:rsidR="00363E52" w:rsidRPr="009D1E2F">
        <w:rPr>
          <w:rFonts w:asciiTheme="majorHAnsi" w:eastAsia="Times" w:hAnsiTheme="majorHAnsi" w:cs="Times"/>
          <w:sz w:val="20"/>
          <w:szCs w:val="20"/>
          <w:lang w:val="es-ES"/>
        </w:rPr>
        <w:t>la</w:t>
      </w:r>
      <w:r w:rsidR="00B059EC" w:rsidRPr="009D1E2F">
        <w:rPr>
          <w:rFonts w:asciiTheme="majorHAnsi" w:eastAsia="Times" w:hAnsiTheme="majorHAnsi" w:cs="Times"/>
          <w:sz w:val="20"/>
          <w:szCs w:val="20"/>
          <w:lang w:val="es-ES"/>
        </w:rPr>
        <w:t xml:space="preserve"> </w:t>
      </w:r>
      <w:r w:rsidR="00363E52" w:rsidRPr="009D1E2F">
        <w:rPr>
          <w:rFonts w:asciiTheme="majorHAnsi" w:eastAsia="Times" w:hAnsiTheme="majorHAnsi" w:cs="Times"/>
          <w:sz w:val="20"/>
          <w:szCs w:val="20"/>
          <w:lang w:val="es-ES"/>
        </w:rPr>
        <w:t>Comisión</w:t>
      </w:r>
      <w:r w:rsidR="00B059EC" w:rsidRPr="009D1E2F">
        <w:rPr>
          <w:rFonts w:asciiTheme="majorHAnsi" w:eastAsia="Times" w:hAnsiTheme="majorHAnsi" w:cs="Times"/>
          <w:sz w:val="20"/>
          <w:szCs w:val="20"/>
          <w:lang w:val="es-ES"/>
        </w:rPr>
        <w:t xml:space="preserve"> </w:t>
      </w:r>
      <w:r>
        <w:rPr>
          <w:rFonts w:asciiTheme="majorHAnsi" w:eastAsia="Times" w:hAnsiTheme="majorHAnsi" w:cs="Times"/>
          <w:sz w:val="20"/>
          <w:szCs w:val="20"/>
          <w:lang w:val="es-ES"/>
        </w:rPr>
        <w:t xml:space="preserve">como </w:t>
      </w:r>
      <w:r w:rsidR="00915246">
        <w:rPr>
          <w:rFonts w:asciiTheme="majorHAnsi" w:eastAsia="Times" w:hAnsiTheme="majorHAnsi" w:cs="Times"/>
          <w:sz w:val="20"/>
          <w:szCs w:val="20"/>
          <w:lang w:val="es-ES"/>
        </w:rPr>
        <w:t>la Corte Interamericana</w:t>
      </w:r>
      <w:r w:rsidR="00B059EC" w:rsidRPr="009D1E2F">
        <w:rPr>
          <w:rFonts w:asciiTheme="majorHAnsi" w:eastAsia="Times" w:hAnsiTheme="majorHAnsi" w:cs="Times"/>
          <w:sz w:val="20"/>
          <w:szCs w:val="20"/>
          <w:lang w:val="es-ES"/>
        </w:rPr>
        <w:t xml:space="preserve"> </w:t>
      </w:r>
      <w:r w:rsidR="00BA0255" w:rsidRPr="009D1E2F">
        <w:rPr>
          <w:rFonts w:asciiTheme="majorHAnsi" w:eastAsia="Times" w:hAnsiTheme="majorHAnsi" w:cs="Times"/>
          <w:sz w:val="20"/>
          <w:szCs w:val="20"/>
          <w:lang w:val="es-ES"/>
        </w:rPr>
        <w:t>ha</w:t>
      </w:r>
      <w:r w:rsidR="00DA31F8">
        <w:rPr>
          <w:rFonts w:asciiTheme="majorHAnsi" w:eastAsia="Times" w:hAnsiTheme="majorHAnsi" w:cs="Times"/>
          <w:sz w:val="20"/>
          <w:szCs w:val="20"/>
          <w:lang w:val="es-ES"/>
        </w:rPr>
        <w:t xml:space="preserve">n señalado que la ejecución de una persona </w:t>
      </w:r>
      <w:r w:rsidR="00EE3652">
        <w:rPr>
          <w:rFonts w:asciiTheme="majorHAnsi" w:eastAsia="Times" w:hAnsiTheme="majorHAnsi" w:cs="Times"/>
          <w:sz w:val="20"/>
          <w:szCs w:val="20"/>
          <w:lang w:val="es-ES"/>
        </w:rPr>
        <w:t>a favor de quien</w:t>
      </w:r>
      <w:r w:rsidR="00DA31F8">
        <w:rPr>
          <w:rFonts w:asciiTheme="majorHAnsi" w:eastAsia="Times" w:hAnsiTheme="majorHAnsi" w:cs="Times"/>
          <w:sz w:val="20"/>
          <w:szCs w:val="20"/>
          <w:lang w:val="es-ES"/>
        </w:rPr>
        <w:t xml:space="preserve"> se han otorgado medidas cautelares o </w:t>
      </w:r>
      <w:r w:rsidR="00BA0255" w:rsidRPr="009D1E2F">
        <w:rPr>
          <w:rFonts w:asciiTheme="majorHAnsi" w:eastAsia="Times" w:hAnsiTheme="majorHAnsi" w:cs="Times"/>
          <w:sz w:val="20"/>
          <w:szCs w:val="20"/>
          <w:lang w:val="es-ES"/>
        </w:rPr>
        <w:t>provisional</w:t>
      </w:r>
      <w:r w:rsidR="00DA31F8">
        <w:rPr>
          <w:rFonts w:asciiTheme="majorHAnsi" w:eastAsia="Times" w:hAnsiTheme="majorHAnsi" w:cs="Times"/>
          <w:sz w:val="20"/>
          <w:szCs w:val="20"/>
          <w:lang w:val="es-ES"/>
        </w:rPr>
        <w:t>es, respectivamente, constituye una violación agravada d</w:t>
      </w:r>
      <w:r w:rsidR="00185654" w:rsidRPr="009D1E2F">
        <w:rPr>
          <w:rFonts w:asciiTheme="majorHAnsi" w:eastAsia="Times" w:hAnsiTheme="majorHAnsi" w:cs="Times"/>
          <w:sz w:val="20"/>
          <w:szCs w:val="20"/>
          <w:lang w:val="es-ES"/>
        </w:rPr>
        <w:t>el</w:t>
      </w:r>
      <w:r w:rsidR="00B059EC" w:rsidRPr="009D1E2F">
        <w:rPr>
          <w:rFonts w:asciiTheme="majorHAnsi" w:eastAsia="Times" w:hAnsiTheme="majorHAnsi" w:cs="Times"/>
          <w:sz w:val="20"/>
          <w:szCs w:val="20"/>
          <w:lang w:val="es-ES"/>
        </w:rPr>
        <w:t xml:space="preserve"> </w:t>
      </w:r>
      <w:r w:rsidR="00185654" w:rsidRPr="009D1E2F">
        <w:rPr>
          <w:rFonts w:asciiTheme="majorHAnsi" w:eastAsia="Times" w:hAnsiTheme="majorHAnsi" w:cs="Times"/>
          <w:sz w:val="20"/>
          <w:szCs w:val="20"/>
          <w:lang w:val="es-ES"/>
        </w:rPr>
        <w:t>derecho</w:t>
      </w:r>
      <w:r w:rsidR="00B059EC" w:rsidRPr="009D1E2F">
        <w:rPr>
          <w:rFonts w:asciiTheme="majorHAnsi" w:eastAsia="Times" w:hAnsiTheme="majorHAnsi" w:cs="Times"/>
          <w:sz w:val="20"/>
          <w:szCs w:val="20"/>
          <w:lang w:val="es-ES"/>
        </w:rPr>
        <w:t xml:space="preserve"> </w:t>
      </w:r>
      <w:r w:rsidR="00185654" w:rsidRPr="009D1E2F">
        <w:rPr>
          <w:rFonts w:asciiTheme="majorHAnsi" w:eastAsia="Times" w:hAnsiTheme="majorHAnsi" w:cs="Times"/>
          <w:sz w:val="20"/>
          <w:szCs w:val="20"/>
          <w:lang w:val="es-ES"/>
        </w:rPr>
        <w:t>a</w:t>
      </w:r>
      <w:r w:rsidR="00B059EC" w:rsidRPr="009D1E2F">
        <w:rPr>
          <w:rFonts w:asciiTheme="majorHAnsi" w:eastAsia="Times" w:hAnsiTheme="majorHAnsi" w:cs="Times"/>
          <w:sz w:val="20"/>
          <w:szCs w:val="20"/>
          <w:lang w:val="es-ES"/>
        </w:rPr>
        <w:t xml:space="preserve"> </w:t>
      </w:r>
      <w:r w:rsidR="00185654" w:rsidRPr="009D1E2F">
        <w:rPr>
          <w:rFonts w:asciiTheme="majorHAnsi" w:eastAsia="Times" w:hAnsiTheme="majorHAnsi" w:cs="Times"/>
          <w:sz w:val="20"/>
          <w:szCs w:val="20"/>
          <w:lang w:val="es-ES"/>
        </w:rPr>
        <w:t>la</w:t>
      </w:r>
      <w:r w:rsidR="00B059EC" w:rsidRPr="009D1E2F">
        <w:rPr>
          <w:rFonts w:asciiTheme="majorHAnsi" w:eastAsia="Times" w:hAnsiTheme="majorHAnsi" w:cs="Times"/>
          <w:sz w:val="20"/>
          <w:szCs w:val="20"/>
          <w:lang w:val="es-ES"/>
        </w:rPr>
        <w:t xml:space="preserve"> </w:t>
      </w:r>
      <w:r w:rsidR="00185654" w:rsidRPr="009D1E2F">
        <w:rPr>
          <w:rFonts w:asciiTheme="majorHAnsi" w:eastAsia="Times" w:hAnsiTheme="majorHAnsi" w:cs="Times"/>
          <w:sz w:val="20"/>
          <w:szCs w:val="20"/>
          <w:lang w:val="es-ES"/>
        </w:rPr>
        <w:t>vida</w:t>
      </w:r>
      <w:r w:rsidR="00BA0255" w:rsidRPr="009D1E2F">
        <w:rPr>
          <w:rFonts w:asciiTheme="majorHAnsi" w:eastAsia="Times" w:hAnsiTheme="majorHAnsi" w:cs="Times"/>
          <w:sz w:val="20"/>
          <w:szCs w:val="20"/>
          <w:lang w:val="es-ES"/>
        </w:rPr>
        <w:t>.</w:t>
      </w:r>
      <w:r w:rsidR="00B059EC" w:rsidRPr="009D1E2F">
        <w:rPr>
          <w:rFonts w:asciiTheme="majorHAnsi" w:eastAsia="Times" w:hAnsiTheme="majorHAnsi" w:cs="Times"/>
          <w:sz w:val="20"/>
          <w:szCs w:val="20"/>
          <w:lang w:val="es-ES"/>
        </w:rPr>
        <w:t xml:space="preserve"> </w:t>
      </w:r>
      <w:r w:rsidR="00DA31F8">
        <w:rPr>
          <w:rFonts w:asciiTheme="majorHAnsi" w:eastAsia="Times" w:hAnsiTheme="majorHAnsi" w:cs="Times"/>
          <w:sz w:val="20"/>
          <w:szCs w:val="20"/>
          <w:lang w:val="es-ES"/>
        </w:rPr>
        <w:t>Como se indica en este informe</w:t>
      </w:r>
      <w:r w:rsidR="00F86F6E"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r w:rsidR="00DA31F8">
        <w:rPr>
          <w:rFonts w:asciiTheme="majorHAnsi" w:eastAsia="Cambria" w:hAnsiTheme="majorHAnsi" w:cs="Cambria"/>
          <w:sz w:val="20"/>
          <w:szCs w:val="20"/>
          <w:lang w:val="es-ES"/>
        </w:rPr>
        <w:t xml:space="preserve">se reconoce ampliamente que </w:t>
      </w:r>
      <w:r w:rsidR="00185654"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00185654" w:rsidRPr="009D1E2F">
        <w:rPr>
          <w:rFonts w:asciiTheme="majorHAnsi" w:eastAsia="Cambria" w:hAnsiTheme="majorHAnsi" w:cs="Cambria"/>
          <w:sz w:val="20"/>
          <w:szCs w:val="20"/>
          <w:lang w:val="es-ES"/>
        </w:rPr>
        <w:t>derecho</w:t>
      </w:r>
      <w:r w:rsidR="00B059EC" w:rsidRPr="009D1E2F">
        <w:rPr>
          <w:rFonts w:asciiTheme="majorHAnsi" w:eastAsia="Cambria" w:hAnsiTheme="majorHAnsi" w:cs="Cambria"/>
          <w:sz w:val="20"/>
          <w:szCs w:val="20"/>
          <w:lang w:val="es-ES"/>
        </w:rPr>
        <w:t xml:space="preserve"> </w:t>
      </w:r>
      <w:r w:rsidR="00185654" w:rsidRPr="009D1E2F">
        <w:rPr>
          <w:rFonts w:asciiTheme="majorHAnsi" w:eastAsia="Cambria" w:hAnsiTheme="majorHAnsi" w:cs="Cambria"/>
          <w:sz w:val="20"/>
          <w:szCs w:val="20"/>
          <w:lang w:val="es-ES"/>
        </w:rPr>
        <w:t>a</w:t>
      </w:r>
      <w:r w:rsidR="00B059EC" w:rsidRPr="009D1E2F">
        <w:rPr>
          <w:rFonts w:asciiTheme="majorHAnsi" w:eastAsia="Cambria" w:hAnsiTheme="majorHAnsi" w:cs="Cambria"/>
          <w:sz w:val="20"/>
          <w:szCs w:val="20"/>
          <w:lang w:val="es-ES"/>
        </w:rPr>
        <w:t xml:space="preserve"> </w:t>
      </w:r>
      <w:r w:rsidR="00185654"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00185654" w:rsidRPr="009D1E2F">
        <w:rPr>
          <w:rFonts w:asciiTheme="majorHAnsi" w:eastAsia="Cambria" w:hAnsiTheme="majorHAnsi" w:cs="Cambria"/>
          <w:sz w:val="20"/>
          <w:szCs w:val="20"/>
          <w:lang w:val="es-ES"/>
        </w:rPr>
        <w:t>vida</w:t>
      </w:r>
      <w:r w:rsidR="00B059EC" w:rsidRPr="009D1E2F">
        <w:rPr>
          <w:rFonts w:asciiTheme="majorHAnsi" w:eastAsia="Cambria" w:hAnsiTheme="majorHAnsi" w:cs="Cambria"/>
          <w:sz w:val="20"/>
          <w:szCs w:val="20"/>
          <w:lang w:val="es-ES"/>
        </w:rPr>
        <w:t xml:space="preserve"> </w:t>
      </w:r>
      <w:r w:rsidR="00DA31F8">
        <w:rPr>
          <w:rFonts w:asciiTheme="majorHAnsi" w:eastAsia="Cambria" w:hAnsiTheme="majorHAnsi" w:cs="Cambria"/>
          <w:sz w:val="20"/>
          <w:szCs w:val="20"/>
          <w:lang w:val="es-ES"/>
        </w:rPr>
        <w:t xml:space="preserve">es el derecho supremo del ser humano. Asimismo, la Corte Interamericana ha confirmado que, </w:t>
      </w:r>
      <w:r w:rsidR="00F86F6E" w:rsidRPr="009D1E2F">
        <w:rPr>
          <w:rFonts w:asciiTheme="majorHAnsi" w:eastAsia="Cambria" w:hAnsiTheme="majorHAnsi" w:cs="Cambria"/>
          <w:sz w:val="20"/>
          <w:szCs w:val="20"/>
          <w:lang w:val="es-ES"/>
        </w:rPr>
        <w:t>“</w:t>
      </w:r>
      <w:r w:rsidR="00DA31F8" w:rsidRPr="00781D5D">
        <w:rPr>
          <w:rFonts w:asciiTheme="majorHAnsi" w:eastAsia="Cambria" w:hAnsiTheme="majorHAnsi" w:cs="Cambria"/>
          <w:sz w:val="20"/>
          <w:szCs w:val="20"/>
          <w:lang w:val="es-ES"/>
        </w:rPr>
        <w:t>[</w:t>
      </w:r>
      <w:r w:rsidR="00DA31F8">
        <w:rPr>
          <w:rFonts w:asciiTheme="majorHAnsi" w:eastAsia="Cambria" w:hAnsiTheme="majorHAnsi" w:cs="Cambria"/>
          <w:sz w:val="20"/>
          <w:szCs w:val="20"/>
          <w:lang w:val="es-ES"/>
        </w:rPr>
        <w:t>s]</w:t>
      </w:r>
      <w:proofErr w:type="spellStart"/>
      <w:r w:rsidR="00430146" w:rsidRPr="009D1E2F">
        <w:rPr>
          <w:rFonts w:asciiTheme="majorHAnsi" w:eastAsia="Cambria" w:hAnsiTheme="majorHAnsi" w:cs="Cambria"/>
          <w:sz w:val="20"/>
          <w:szCs w:val="20"/>
          <w:lang w:val="es-ES"/>
        </w:rPr>
        <w:t>iendo</w:t>
      </w:r>
      <w:proofErr w:type="spellEnd"/>
      <w:r w:rsidR="00430146" w:rsidRPr="009D1E2F">
        <w:rPr>
          <w:rFonts w:asciiTheme="majorHAnsi" w:eastAsia="Cambria" w:hAnsiTheme="majorHAnsi" w:cs="Cambria"/>
          <w:sz w:val="20"/>
          <w:szCs w:val="20"/>
          <w:lang w:val="es-ES"/>
        </w:rPr>
        <w:t xml:space="preserve"> la ejecución </w:t>
      </w:r>
      <w:r w:rsidR="00430146" w:rsidRPr="009D1E2F">
        <w:rPr>
          <w:rFonts w:asciiTheme="majorHAnsi" w:eastAsia="Cambria" w:hAnsiTheme="majorHAnsi" w:cs="Cambria"/>
          <w:sz w:val="20"/>
          <w:szCs w:val="20"/>
          <w:lang w:val="es-ES"/>
        </w:rPr>
        <w:lastRenderedPageBreak/>
        <w:t>de la pena de muerte una medida de carácter irreversible, exige del Estado el más estricto y riguroso respeto de las garantías judiciales, de modo a evitar una violación de éstas, que, a su vez, acarrearía una privación arbitraria de la vida</w:t>
      </w:r>
      <w:r w:rsidR="00F86F6E" w:rsidRPr="009D1E2F">
        <w:rPr>
          <w:rFonts w:asciiTheme="majorHAnsi" w:eastAsia="Cambria" w:hAnsiTheme="majorHAnsi" w:cs="Cambria"/>
          <w:sz w:val="20"/>
          <w:szCs w:val="20"/>
          <w:lang w:val="es-ES"/>
        </w:rPr>
        <w:t>”</w:t>
      </w:r>
      <w:r w:rsidR="00F86F6E" w:rsidRPr="009D1E2F">
        <w:rPr>
          <w:rStyle w:val="FootnoteReference"/>
          <w:rFonts w:asciiTheme="majorHAnsi" w:eastAsia="Times New Roman" w:hAnsiTheme="majorHAnsi"/>
          <w:sz w:val="20"/>
          <w:szCs w:val="20"/>
          <w:lang w:val="es-ES"/>
        </w:rPr>
        <w:footnoteReference w:id="76"/>
      </w:r>
      <w:r w:rsidR="00430146" w:rsidRPr="009D1E2F">
        <w:rPr>
          <w:rFonts w:asciiTheme="majorHAnsi" w:eastAsia="Cambria" w:hAnsiTheme="majorHAnsi" w:cs="Cambria"/>
          <w:sz w:val="20"/>
          <w:szCs w:val="20"/>
          <w:lang w:val="es-ES"/>
        </w:rPr>
        <w:t>.</w:t>
      </w:r>
    </w:p>
    <w:p w14:paraId="61EBE076" w14:textId="77777777" w:rsidR="00F86F6E" w:rsidRPr="009D1E2F" w:rsidRDefault="00F86F6E"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310EEF27" w14:textId="77777777" w:rsidR="00BA0255" w:rsidRPr="009D1E2F" w:rsidRDefault="00363E52"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9D1E2F">
        <w:rPr>
          <w:rFonts w:asciiTheme="majorHAnsi" w:eastAsia="Times" w:hAnsiTheme="majorHAnsi" w:cs="Times"/>
          <w:sz w:val="20"/>
          <w:szCs w:val="20"/>
          <w:lang w:val="es-ES"/>
        </w:rPr>
        <w:t>La</w:t>
      </w:r>
      <w:r w:rsidR="00B059EC" w:rsidRPr="009D1E2F">
        <w:rPr>
          <w:rFonts w:asciiTheme="majorHAnsi" w:eastAsia="Times" w:hAnsiTheme="majorHAnsi" w:cs="Times"/>
          <w:sz w:val="20"/>
          <w:szCs w:val="20"/>
          <w:lang w:val="es-ES"/>
        </w:rPr>
        <w:t xml:space="preserve"> </w:t>
      </w:r>
      <w:r w:rsidRPr="009D1E2F">
        <w:rPr>
          <w:rFonts w:asciiTheme="majorHAnsi" w:eastAsia="Times" w:hAnsiTheme="majorHAnsi" w:cs="Times"/>
          <w:sz w:val="20"/>
          <w:szCs w:val="20"/>
          <w:lang w:val="es-ES"/>
        </w:rPr>
        <w:t>Comisión</w:t>
      </w:r>
      <w:r w:rsidR="00B059EC" w:rsidRPr="009D1E2F">
        <w:rPr>
          <w:rFonts w:asciiTheme="majorHAnsi" w:eastAsia="Times" w:hAnsiTheme="majorHAnsi" w:cs="Times"/>
          <w:sz w:val="20"/>
          <w:szCs w:val="20"/>
          <w:lang w:val="es-ES"/>
        </w:rPr>
        <w:t xml:space="preserve"> </w:t>
      </w:r>
      <w:r w:rsidR="00BA0255" w:rsidRPr="009D1E2F">
        <w:rPr>
          <w:rFonts w:asciiTheme="majorHAnsi" w:eastAsia="Times" w:hAnsiTheme="majorHAnsi" w:cs="Times"/>
          <w:sz w:val="20"/>
          <w:szCs w:val="20"/>
          <w:lang w:val="es-ES"/>
        </w:rPr>
        <w:t>ha</w:t>
      </w:r>
      <w:r w:rsidR="00DA31F8">
        <w:rPr>
          <w:rFonts w:asciiTheme="majorHAnsi" w:eastAsia="Times" w:hAnsiTheme="majorHAnsi" w:cs="Times"/>
          <w:sz w:val="20"/>
          <w:szCs w:val="20"/>
          <w:lang w:val="es-ES"/>
        </w:rPr>
        <w:t xml:space="preserve"> condenado de manera </w:t>
      </w:r>
      <w:r w:rsidR="00110360">
        <w:rPr>
          <w:rFonts w:asciiTheme="majorHAnsi" w:eastAsia="Times" w:hAnsiTheme="majorHAnsi" w:cs="Times"/>
          <w:sz w:val="20"/>
          <w:szCs w:val="20"/>
          <w:lang w:val="es-ES"/>
        </w:rPr>
        <w:t xml:space="preserve">enfática y </w:t>
      </w:r>
      <w:r w:rsidR="00DA31F8">
        <w:rPr>
          <w:rFonts w:asciiTheme="majorHAnsi" w:eastAsia="Times" w:hAnsiTheme="majorHAnsi" w:cs="Times"/>
          <w:sz w:val="20"/>
          <w:szCs w:val="20"/>
          <w:lang w:val="es-ES"/>
        </w:rPr>
        <w:t xml:space="preserve">sistemática la práctica de algunos Estados de ejecutar a personas condenadas a muerte en violación de </w:t>
      </w:r>
      <w:r w:rsidR="005B3F2B" w:rsidRPr="009D1E2F">
        <w:rPr>
          <w:rFonts w:asciiTheme="majorHAnsi" w:eastAsia="Times" w:hAnsiTheme="majorHAnsi" w:cs="Times"/>
          <w:sz w:val="20"/>
          <w:szCs w:val="20"/>
          <w:lang w:val="es-ES"/>
        </w:rPr>
        <w:t>medidas</w:t>
      </w:r>
      <w:r w:rsidR="00B059EC" w:rsidRPr="009D1E2F">
        <w:rPr>
          <w:rFonts w:asciiTheme="majorHAnsi" w:eastAsia="Times" w:hAnsiTheme="majorHAnsi" w:cs="Times"/>
          <w:sz w:val="20"/>
          <w:szCs w:val="20"/>
          <w:lang w:val="es-ES"/>
        </w:rPr>
        <w:t xml:space="preserve"> </w:t>
      </w:r>
      <w:r w:rsidR="005B3F2B" w:rsidRPr="009D1E2F">
        <w:rPr>
          <w:rFonts w:asciiTheme="majorHAnsi" w:eastAsia="Times" w:hAnsiTheme="majorHAnsi" w:cs="Times"/>
          <w:sz w:val="20"/>
          <w:szCs w:val="20"/>
          <w:lang w:val="es-ES"/>
        </w:rPr>
        <w:t>cautelares</w:t>
      </w:r>
      <w:r w:rsidR="00B059EC" w:rsidRPr="009D1E2F">
        <w:rPr>
          <w:rFonts w:asciiTheme="majorHAnsi" w:eastAsia="Times" w:hAnsiTheme="majorHAnsi" w:cs="Times"/>
          <w:sz w:val="20"/>
          <w:szCs w:val="20"/>
          <w:lang w:val="es-ES"/>
        </w:rPr>
        <w:t xml:space="preserve"> </w:t>
      </w:r>
      <w:r w:rsidR="00DA31F8">
        <w:rPr>
          <w:rFonts w:asciiTheme="majorHAnsi" w:eastAsia="Times" w:hAnsiTheme="majorHAnsi" w:cs="Times"/>
          <w:sz w:val="20"/>
          <w:szCs w:val="20"/>
          <w:lang w:val="es-ES"/>
        </w:rPr>
        <w:t>otorgadas por la Comisión</w:t>
      </w:r>
      <w:r w:rsidR="00BA0255" w:rsidRPr="009D1E2F">
        <w:rPr>
          <w:rFonts w:asciiTheme="majorHAnsi" w:eastAsia="Times" w:hAnsiTheme="majorHAnsi" w:cs="Times"/>
          <w:sz w:val="20"/>
          <w:szCs w:val="20"/>
          <w:lang w:val="es-ES"/>
        </w:rPr>
        <w:t>,</w:t>
      </w:r>
      <w:r w:rsidR="00B059EC" w:rsidRPr="009D1E2F">
        <w:rPr>
          <w:rFonts w:asciiTheme="majorHAnsi" w:eastAsia="Times" w:hAnsiTheme="majorHAnsi" w:cs="Times"/>
          <w:sz w:val="20"/>
          <w:szCs w:val="20"/>
          <w:lang w:val="es-ES"/>
        </w:rPr>
        <w:t xml:space="preserve"> </w:t>
      </w:r>
      <w:r w:rsidR="00BA0255" w:rsidRPr="009D1E2F">
        <w:rPr>
          <w:rFonts w:asciiTheme="majorHAnsi" w:eastAsia="Times" w:hAnsiTheme="majorHAnsi" w:cs="Times"/>
          <w:sz w:val="20"/>
          <w:szCs w:val="20"/>
          <w:lang w:val="es-ES"/>
        </w:rPr>
        <w:t>inclu</w:t>
      </w:r>
      <w:r w:rsidR="00DA31F8">
        <w:rPr>
          <w:rFonts w:asciiTheme="majorHAnsi" w:eastAsia="Times" w:hAnsiTheme="majorHAnsi" w:cs="Times"/>
          <w:sz w:val="20"/>
          <w:szCs w:val="20"/>
          <w:lang w:val="es-ES"/>
        </w:rPr>
        <w:t xml:space="preserve">so en casos en que había una petición pendiente ante </w:t>
      </w:r>
      <w:r w:rsidRPr="009D1E2F">
        <w:rPr>
          <w:rFonts w:asciiTheme="majorHAnsi" w:eastAsia="Times" w:hAnsiTheme="majorHAnsi" w:cs="Times"/>
          <w:sz w:val="20"/>
          <w:szCs w:val="20"/>
          <w:lang w:val="es-ES"/>
        </w:rPr>
        <w:t>la</w:t>
      </w:r>
      <w:r w:rsidR="00B059EC" w:rsidRPr="009D1E2F">
        <w:rPr>
          <w:rFonts w:asciiTheme="majorHAnsi" w:eastAsia="Times" w:hAnsiTheme="majorHAnsi" w:cs="Times"/>
          <w:sz w:val="20"/>
          <w:szCs w:val="20"/>
          <w:lang w:val="es-ES"/>
        </w:rPr>
        <w:t xml:space="preserve"> </w:t>
      </w:r>
      <w:r w:rsidRPr="009D1E2F">
        <w:rPr>
          <w:rFonts w:asciiTheme="majorHAnsi" w:eastAsia="Times" w:hAnsiTheme="majorHAnsi" w:cs="Times"/>
          <w:sz w:val="20"/>
          <w:szCs w:val="20"/>
          <w:lang w:val="es-ES"/>
        </w:rPr>
        <w:t>Comisión</w:t>
      </w:r>
      <w:r w:rsidR="00B059EC" w:rsidRPr="009D1E2F">
        <w:rPr>
          <w:rFonts w:asciiTheme="majorHAnsi" w:eastAsia="Times" w:hAnsiTheme="majorHAnsi" w:cs="Times"/>
          <w:sz w:val="20"/>
          <w:szCs w:val="20"/>
          <w:lang w:val="es-ES"/>
        </w:rPr>
        <w:t xml:space="preserve"> </w:t>
      </w:r>
      <w:r w:rsidR="00DA31F8">
        <w:rPr>
          <w:rFonts w:asciiTheme="majorHAnsi" w:eastAsia="Times" w:hAnsiTheme="majorHAnsi" w:cs="Times"/>
          <w:sz w:val="20"/>
          <w:szCs w:val="20"/>
          <w:lang w:val="es-ES"/>
        </w:rPr>
        <w:t>en la cual se alegaban violaciones del debido proceso o de otro tipo en el juicio que condujo a la sentencia</w:t>
      </w:r>
      <w:r w:rsidR="00BA0255" w:rsidRPr="009D1E2F">
        <w:rPr>
          <w:rFonts w:asciiTheme="majorHAnsi" w:eastAsia="Times" w:hAnsiTheme="majorHAnsi" w:cs="Times"/>
          <w:sz w:val="20"/>
          <w:szCs w:val="20"/>
          <w:lang w:val="es-ES"/>
        </w:rPr>
        <w:t>.</w:t>
      </w:r>
      <w:r w:rsidR="00B059EC" w:rsidRPr="009D1E2F">
        <w:rPr>
          <w:rFonts w:asciiTheme="majorHAnsi" w:eastAsia="Times" w:hAnsiTheme="majorHAnsi" w:cs="Times"/>
          <w:sz w:val="20"/>
          <w:szCs w:val="20"/>
          <w:lang w:val="es-ES"/>
        </w:rPr>
        <w:t xml:space="preserve"> </w:t>
      </w:r>
    </w:p>
    <w:p w14:paraId="24F96E4E" w14:textId="77777777" w:rsidR="00BA0255" w:rsidRPr="009D1E2F" w:rsidRDefault="00BA0255" w:rsidP="00817426">
      <w:pPr>
        <w:pStyle w:val="ListParagraph"/>
        <w:tabs>
          <w:tab w:val="left" w:pos="360"/>
        </w:tabs>
        <w:rPr>
          <w:rFonts w:asciiTheme="majorHAnsi" w:hAnsiTheme="majorHAnsi"/>
          <w:sz w:val="20"/>
          <w:szCs w:val="20"/>
          <w:lang w:val="es-ES"/>
        </w:rPr>
      </w:pPr>
    </w:p>
    <w:p w14:paraId="10097696" w14:textId="77777777" w:rsidR="00BA0255" w:rsidRPr="009D1E2F" w:rsidRDefault="00C56198" w:rsidP="008174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eastAsia="Cambria" w:hAnsiTheme="majorHAnsi" w:cs="Cambria"/>
          <w:sz w:val="20"/>
          <w:szCs w:val="20"/>
          <w:lang w:val="es-ES"/>
        </w:rPr>
        <w:t>La ejecución de la sentencia de muerte d</w:t>
      </w:r>
      <w:r w:rsidR="000E2468"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000E2468" w:rsidRPr="009D1E2F">
        <w:rPr>
          <w:rFonts w:asciiTheme="majorHAnsi" w:eastAsia="Cambria" w:hAnsiTheme="majorHAnsi" w:cs="Cambria"/>
          <w:sz w:val="20"/>
          <w:szCs w:val="20"/>
          <w:lang w:val="es-ES"/>
        </w:rPr>
        <w:t>señor</w:t>
      </w:r>
      <w:r w:rsidR="00B059EC" w:rsidRPr="009D1E2F">
        <w:rPr>
          <w:rFonts w:asciiTheme="majorHAnsi" w:eastAsia="Cambria" w:hAnsiTheme="majorHAnsi" w:cs="Cambria"/>
          <w:sz w:val="20"/>
          <w:szCs w:val="20"/>
          <w:lang w:val="es-ES"/>
        </w:rPr>
        <w:t xml:space="preserve"> </w:t>
      </w:r>
      <w:r w:rsidR="00BA0255" w:rsidRPr="009D1E2F">
        <w:rPr>
          <w:rFonts w:asciiTheme="majorHAnsi" w:eastAsia="Cambria" w:hAnsiTheme="majorHAnsi" w:cs="Cambria"/>
          <w:sz w:val="20"/>
          <w:szCs w:val="20"/>
          <w:lang w:val="es-ES"/>
        </w:rPr>
        <w:t>Gray</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 xml:space="preserve">significa que </w:t>
      </w:r>
      <w:r w:rsidR="000E2468"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000E2468" w:rsidRPr="009D1E2F">
        <w:rPr>
          <w:rFonts w:asciiTheme="majorHAnsi" w:eastAsia="Cambria" w:hAnsiTheme="majorHAnsi" w:cs="Cambria"/>
          <w:sz w:val="20"/>
          <w:szCs w:val="20"/>
          <w:lang w:val="es-ES"/>
        </w:rPr>
        <w:t>Estado</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 xml:space="preserve">no </w:t>
      </w:r>
      <w:r w:rsidR="00BA0255" w:rsidRPr="009D1E2F">
        <w:rPr>
          <w:rFonts w:asciiTheme="majorHAnsi" w:eastAsia="Cambria" w:hAnsiTheme="majorHAnsi" w:cs="Cambria"/>
          <w:sz w:val="20"/>
          <w:szCs w:val="20"/>
          <w:lang w:val="es-ES"/>
        </w:rPr>
        <w:t>implement</w:t>
      </w:r>
      <w:r>
        <w:rPr>
          <w:rFonts w:asciiTheme="majorHAnsi" w:eastAsia="Cambria" w:hAnsiTheme="majorHAnsi" w:cs="Cambria"/>
          <w:sz w:val="20"/>
          <w:szCs w:val="20"/>
          <w:lang w:val="es-ES"/>
        </w:rPr>
        <w:t>ó la</w:t>
      </w:r>
      <w:r w:rsidR="00B059EC" w:rsidRPr="009D1E2F">
        <w:rPr>
          <w:rFonts w:asciiTheme="majorHAnsi" w:eastAsia="Cambria" w:hAnsiTheme="majorHAnsi" w:cs="Cambria"/>
          <w:sz w:val="20"/>
          <w:szCs w:val="20"/>
          <w:lang w:val="es-ES"/>
        </w:rPr>
        <w:t xml:space="preserve"> </w:t>
      </w:r>
      <w:r w:rsidR="00481435" w:rsidRPr="009D1E2F">
        <w:rPr>
          <w:rFonts w:asciiTheme="majorHAnsi" w:eastAsia="Cambria" w:hAnsiTheme="majorHAnsi" w:cs="Cambria"/>
          <w:sz w:val="20"/>
          <w:szCs w:val="20"/>
          <w:lang w:val="es-ES"/>
        </w:rPr>
        <w:t>medida cautelar</w:t>
      </w:r>
      <w:r w:rsidR="00BA0255"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r w:rsidR="00110360">
        <w:rPr>
          <w:rFonts w:asciiTheme="majorHAnsi" w:eastAsia="Cambria" w:hAnsiTheme="majorHAnsi" w:cs="Cambria"/>
          <w:sz w:val="20"/>
          <w:szCs w:val="20"/>
          <w:lang w:val="es-ES"/>
        </w:rPr>
        <w:t>L</w:t>
      </w:r>
      <w:r w:rsidR="00110360" w:rsidRPr="00110360">
        <w:rPr>
          <w:rFonts w:asciiTheme="majorHAnsi" w:eastAsia="Cambria" w:hAnsiTheme="majorHAnsi" w:cs="Cambria"/>
          <w:sz w:val="20"/>
          <w:szCs w:val="20"/>
          <w:lang w:val="es-ES"/>
        </w:rPr>
        <w:t>a Comisión considera que</w:t>
      </w:r>
      <w:r w:rsidR="00110360">
        <w:rPr>
          <w:rFonts w:asciiTheme="majorHAnsi" w:eastAsia="Cambria" w:hAnsiTheme="majorHAnsi" w:cs="Cambria"/>
          <w:sz w:val="20"/>
          <w:szCs w:val="20"/>
          <w:lang w:val="es-ES"/>
        </w:rPr>
        <w:t>, a</w:t>
      </w:r>
      <w:r>
        <w:rPr>
          <w:rFonts w:asciiTheme="majorHAnsi" w:eastAsia="Cambria" w:hAnsiTheme="majorHAnsi" w:cs="Cambria"/>
          <w:sz w:val="20"/>
          <w:szCs w:val="20"/>
          <w:lang w:val="es-ES"/>
        </w:rPr>
        <w:t>l permitir que se procediera con la ejecución d</w:t>
      </w:r>
      <w:r w:rsidR="000E2468" w:rsidRPr="009D1E2F">
        <w:rPr>
          <w:rFonts w:asciiTheme="majorHAnsi" w:eastAsia="Cambria" w:hAnsiTheme="majorHAnsi" w:cs="Cambria"/>
          <w:sz w:val="20"/>
          <w:szCs w:val="20"/>
          <w:lang w:val="es-ES"/>
        </w:rPr>
        <w:t>el</w:t>
      </w:r>
      <w:r w:rsidR="00B059EC" w:rsidRPr="009D1E2F">
        <w:rPr>
          <w:rFonts w:asciiTheme="majorHAnsi" w:eastAsia="Cambria" w:hAnsiTheme="majorHAnsi" w:cs="Cambria"/>
          <w:sz w:val="20"/>
          <w:szCs w:val="20"/>
          <w:lang w:val="es-ES"/>
        </w:rPr>
        <w:t xml:space="preserve"> </w:t>
      </w:r>
      <w:r w:rsidR="000E2468" w:rsidRPr="009D1E2F">
        <w:rPr>
          <w:rFonts w:asciiTheme="majorHAnsi" w:eastAsia="Cambria" w:hAnsiTheme="majorHAnsi" w:cs="Cambria"/>
          <w:sz w:val="20"/>
          <w:szCs w:val="20"/>
          <w:lang w:val="es-ES"/>
        </w:rPr>
        <w:t>señor</w:t>
      </w:r>
      <w:r w:rsidR="00B059EC" w:rsidRPr="009D1E2F">
        <w:rPr>
          <w:rFonts w:asciiTheme="majorHAnsi" w:eastAsia="Cambria" w:hAnsiTheme="majorHAnsi" w:cs="Cambria"/>
          <w:sz w:val="20"/>
          <w:szCs w:val="20"/>
          <w:lang w:val="es-ES"/>
        </w:rPr>
        <w:t xml:space="preserve"> </w:t>
      </w:r>
      <w:r w:rsidR="00BA0255" w:rsidRPr="009D1E2F">
        <w:rPr>
          <w:rFonts w:asciiTheme="majorHAnsi" w:eastAsia="Cambria" w:hAnsiTheme="majorHAnsi" w:cs="Cambria"/>
          <w:sz w:val="20"/>
          <w:szCs w:val="20"/>
          <w:lang w:val="es-ES"/>
        </w:rPr>
        <w:t>Gray</w:t>
      </w:r>
      <w:r>
        <w:rPr>
          <w:rFonts w:asciiTheme="majorHAnsi" w:eastAsia="Cambria" w:hAnsiTheme="majorHAnsi" w:cs="Cambria"/>
          <w:sz w:val="20"/>
          <w:szCs w:val="20"/>
          <w:lang w:val="es-ES"/>
        </w:rPr>
        <w:t xml:space="preserve"> en estas circunstancias</w:t>
      </w:r>
      <w:r w:rsidR="00BA0255"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r w:rsidR="000E2468" w:rsidRPr="009D1E2F">
        <w:rPr>
          <w:rFonts w:asciiTheme="majorHAnsi" w:eastAsia="Cambria" w:hAnsiTheme="majorHAnsi" w:cs="Cambria"/>
          <w:sz w:val="20"/>
          <w:szCs w:val="20"/>
          <w:lang w:val="es-ES"/>
        </w:rPr>
        <w:t>Estados</w:t>
      </w:r>
      <w:r w:rsidR="00B059EC" w:rsidRPr="009D1E2F">
        <w:rPr>
          <w:rFonts w:asciiTheme="majorHAnsi" w:eastAsia="Cambria" w:hAnsiTheme="majorHAnsi" w:cs="Cambria"/>
          <w:sz w:val="20"/>
          <w:szCs w:val="20"/>
          <w:lang w:val="es-ES"/>
        </w:rPr>
        <w:t xml:space="preserve"> </w:t>
      </w:r>
      <w:r w:rsidR="000E2468" w:rsidRPr="009D1E2F">
        <w:rPr>
          <w:rFonts w:asciiTheme="majorHAnsi" w:eastAsia="Cambria" w:hAnsiTheme="majorHAnsi" w:cs="Cambria"/>
          <w:sz w:val="20"/>
          <w:szCs w:val="20"/>
          <w:lang w:val="es-ES"/>
        </w:rPr>
        <w:t>Unidos</w:t>
      </w:r>
      <w:r w:rsidR="00B059EC" w:rsidRPr="009D1E2F">
        <w:rPr>
          <w:rFonts w:asciiTheme="majorHAnsi" w:eastAsia="Cambria" w:hAnsiTheme="majorHAnsi" w:cs="Cambria"/>
          <w:sz w:val="20"/>
          <w:szCs w:val="20"/>
          <w:lang w:val="es-ES"/>
        </w:rPr>
        <w:t xml:space="preserve"> </w:t>
      </w:r>
      <w:r w:rsidR="0006434A" w:rsidRPr="009D1E2F">
        <w:rPr>
          <w:rFonts w:asciiTheme="majorHAnsi" w:eastAsia="Cambria" w:hAnsiTheme="majorHAnsi" w:cs="Cambria"/>
          <w:sz w:val="20"/>
          <w:szCs w:val="20"/>
          <w:lang w:val="es-ES"/>
        </w:rPr>
        <w:t>viol</w:t>
      </w:r>
      <w:r>
        <w:rPr>
          <w:rFonts w:asciiTheme="majorHAnsi" w:eastAsia="Cambria" w:hAnsiTheme="majorHAnsi" w:cs="Cambria"/>
          <w:sz w:val="20"/>
          <w:szCs w:val="20"/>
          <w:lang w:val="es-ES"/>
        </w:rPr>
        <w:t>ó los</w:t>
      </w:r>
      <w:r w:rsidR="00B059EC" w:rsidRPr="009D1E2F">
        <w:rPr>
          <w:rFonts w:asciiTheme="majorHAnsi" w:eastAsia="Cambria" w:hAnsiTheme="majorHAnsi" w:cs="Cambria"/>
          <w:sz w:val="20"/>
          <w:szCs w:val="20"/>
          <w:lang w:val="es-ES"/>
        </w:rPr>
        <w:t xml:space="preserve"> </w:t>
      </w:r>
      <w:r w:rsidR="005B3F2B" w:rsidRPr="009D1E2F">
        <w:rPr>
          <w:rFonts w:asciiTheme="majorHAnsi" w:eastAsia="Cambria" w:hAnsiTheme="majorHAnsi" w:cs="Cambria"/>
          <w:sz w:val="20"/>
          <w:szCs w:val="20"/>
          <w:lang w:val="es-ES"/>
        </w:rPr>
        <w:t>artículo</w:t>
      </w:r>
      <w:r w:rsidR="00F86F6E" w:rsidRPr="009D1E2F">
        <w:rPr>
          <w:rFonts w:asciiTheme="majorHAnsi" w:eastAsia="Cambria" w:hAnsiTheme="majorHAnsi" w:cs="Cambria"/>
          <w:sz w:val="20"/>
          <w:szCs w:val="20"/>
          <w:lang w:val="es-ES"/>
        </w:rPr>
        <w:t>s</w:t>
      </w:r>
      <w:r w:rsidR="00B059EC" w:rsidRPr="009D1E2F">
        <w:rPr>
          <w:rFonts w:asciiTheme="majorHAnsi" w:eastAsia="Cambria" w:hAnsiTheme="majorHAnsi" w:cs="Cambria"/>
          <w:sz w:val="20"/>
          <w:szCs w:val="20"/>
          <w:lang w:val="es-ES"/>
        </w:rPr>
        <w:t xml:space="preserve"> </w:t>
      </w:r>
      <w:r w:rsidR="00F86F6E" w:rsidRPr="009D1E2F">
        <w:rPr>
          <w:rFonts w:asciiTheme="majorHAnsi" w:eastAsia="Cambria" w:hAnsiTheme="majorHAnsi" w:cs="Cambria"/>
          <w:sz w:val="20"/>
          <w:szCs w:val="20"/>
          <w:lang w:val="es-ES"/>
        </w:rPr>
        <w:t>I</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y</w:t>
      </w:r>
      <w:r w:rsidR="00B059EC" w:rsidRPr="009D1E2F">
        <w:rPr>
          <w:rFonts w:asciiTheme="majorHAnsi" w:eastAsia="Cambria" w:hAnsiTheme="majorHAnsi" w:cs="Cambria"/>
          <w:sz w:val="20"/>
          <w:szCs w:val="20"/>
          <w:lang w:val="es-ES"/>
        </w:rPr>
        <w:t xml:space="preserve"> </w:t>
      </w:r>
      <w:r w:rsidR="0006434A" w:rsidRPr="009D1E2F">
        <w:rPr>
          <w:rFonts w:asciiTheme="majorHAnsi" w:eastAsia="Cambria" w:hAnsiTheme="majorHAnsi" w:cs="Cambria"/>
          <w:sz w:val="20"/>
          <w:szCs w:val="20"/>
          <w:lang w:val="es-ES"/>
        </w:rPr>
        <w:t>XXIV</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de</w:t>
      </w:r>
      <w:r w:rsidR="00B059EC" w:rsidRPr="009D1E2F">
        <w:rPr>
          <w:rFonts w:asciiTheme="majorHAnsi" w:eastAsia="Cambria" w:hAnsiTheme="majorHAnsi" w:cs="Cambria"/>
          <w:sz w:val="20"/>
          <w:szCs w:val="20"/>
          <w:lang w:val="es-ES"/>
        </w:rPr>
        <w:t xml:space="preserve"> </w:t>
      </w:r>
      <w:r w:rsidR="000D6328" w:rsidRPr="009D1E2F">
        <w:rPr>
          <w:rFonts w:asciiTheme="majorHAnsi" w:eastAsia="Cambria" w:hAnsiTheme="majorHAnsi" w:cs="Cambria"/>
          <w:sz w:val="20"/>
          <w:szCs w:val="20"/>
          <w:lang w:val="es-ES"/>
        </w:rPr>
        <w:t>la</w:t>
      </w:r>
      <w:r w:rsidR="00B059EC" w:rsidRPr="009D1E2F">
        <w:rPr>
          <w:rFonts w:asciiTheme="majorHAnsi" w:eastAsia="Cambria" w:hAnsiTheme="majorHAnsi" w:cs="Cambria"/>
          <w:sz w:val="20"/>
          <w:szCs w:val="20"/>
          <w:lang w:val="es-ES"/>
        </w:rPr>
        <w:t xml:space="preserve"> </w:t>
      </w:r>
      <w:r w:rsidR="000D6328" w:rsidRPr="009D1E2F">
        <w:rPr>
          <w:rFonts w:asciiTheme="majorHAnsi" w:eastAsia="Cambria" w:hAnsiTheme="majorHAnsi" w:cs="Cambria"/>
          <w:sz w:val="20"/>
          <w:szCs w:val="20"/>
          <w:lang w:val="es-ES"/>
        </w:rPr>
        <w:t>Declaración</w:t>
      </w:r>
      <w:r w:rsidR="00B059EC" w:rsidRPr="009D1E2F">
        <w:rPr>
          <w:rFonts w:asciiTheme="majorHAnsi" w:eastAsia="Cambria" w:hAnsiTheme="majorHAnsi" w:cs="Cambria"/>
          <w:sz w:val="20"/>
          <w:szCs w:val="20"/>
          <w:lang w:val="es-ES"/>
        </w:rPr>
        <w:t xml:space="preserve"> </w:t>
      </w:r>
      <w:r w:rsidR="000D6328" w:rsidRPr="009D1E2F">
        <w:rPr>
          <w:rFonts w:asciiTheme="majorHAnsi" w:eastAsia="Cambria" w:hAnsiTheme="majorHAnsi" w:cs="Cambria"/>
          <w:sz w:val="20"/>
          <w:szCs w:val="20"/>
          <w:lang w:val="es-ES"/>
        </w:rPr>
        <w:t>Americana</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y no actuó de conformidad con las obligaciones</w:t>
      </w:r>
      <w:r w:rsidR="00B059EC" w:rsidRPr="009D1E2F">
        <w:rPr>
          <w:rFonts w:asciiTheme="majorHAnsi" w:eastAsia="Cambria" w:hAnsiTheme="majorHAnsi" w:cs="Cambria"/>
          <w:sz w:val="20"/>
          <w:szCs w:val="20"/>
          <w:lang w:val="es-ES"/>
        </w:rPr>
        <w:t xml:space="preserve"> </w:t>
      </w:r>
      <w:r w:rsidR="00BA0255" w:rsidRPr="009D1E2F">
        <w:rPr>
          <w:rFonts w:asciiTheme="majorHAnsi" w:eastAsia="Cambria" w:hAnsiTheme="majorHAnsi" w:cs="Cambria"/>
          <w:sz w:val="20"/>
          <w:szCs w:val="20"/>
          <w:lang w:val="es-ES"/>
        </w:rPr>
        <w:t>fundamental</w:t>
      </w:r>
      <w:r>
        <w:rPr>
          <w:rFonts w:asciiTheme="majorHAnsi" w:eastAsia="Cambria" w:hAnsiTheme="majorHAnsi" w:cs="Cambria"/>
          <w:sz w:val="20"/>
          <w:szCs w:val="20"/>
          <w:lang w:val="es-ES"/>
        </w:rPr>
        <w:t>es</w:t>
      </w:r>
      <w:r w:rsidR="00B059EC" w:rsidRPr="009D1E2F">
        <w:rPr>
          <w:rFonts w:asciiTheme="majorHAnsi" w:eastAsia="Cambria" w:hAnsiTheme="majorHAnsi" w:cs="Cambria"/>
          <w:sz w:val="20"/>
          <w:szCs w:val="20"/>
          <w:lang w:val="es-ES"/>
        </w:rPr>
        <w:t xml:space="preserve"> </w:t>
      </w:r>
      <w:r>
        <w:rPr>
          <w:rFonts w:asciiTheme="majorHAnsi" w:eastAsia="Cambria" w:hAnsiTheme="majorHAnsi" w:cs="Cambria"/>
          <w:sz w:val="20"/>
          <w:szCs w:val="20"/>
          <w:lang w:val="es-ES"/>
        </w:rPr>
        <w:t xml:space="preserve">en materia de derechos </w:t>
      </w:r>
      <w:r w:rsidR="00BA0255" w:rsidRPr="009D1E2F">
        <w:rPr>
          <w:rFonts w:asciiTheme="majorHAnsi" w:eastAsia="Cambria" w:hAnsiTheme="majorHAnsi" w:cs="Cambria"/>
          <w:sz w:val="20"/>
          <w:szCs w:val="20"/>
          <w:lang w:val="es-ES"/>
        </w:rPr>
        <w:t>human</w:t>
      </w:r>
      <w:r>
        <w:rPr>
          <w:rFonts w:asciiTheme="majorHAnsi" w:eastAsia="Cambria" w:hAnsiTheme="majorHAnsi" w:cs="Cambria"/>
          <w:sz w:val="20"/>
          <w:szCs w:val="20"/>
          <w:lang w:val="es-ES"/>
        </w:rPr>
        <w:t xml:space="preserve">os que asumió en calidad de miembro de la </w:t>
      </w:r>
      <w:r w:rsidR="00915246" w:rsidRPr="009D1E2F">
        <w:rPr>
          <w:rFonts w:asciiTheme="majorHAnsi" w:eastAsia="Cambria" w:hAnsiTheme="majorHAnsi" w:cs="Cambria"/>
          <w:sz w:val="20"/>
          <w:szCs w:val="20"/>
          <w:lang w:val="es-ES"/>
        </w:rPr>
        <w:t>Organización</w:t>
      </w:r>
      <w:r w:rsidR="00B059EC" w:rsidRPr="009D1E2F">
        <w:rPr>
          <w:rFonts w:asciiTheme="majorHAnsi" w:eastAsia="Cambria" w:hAnsiTheme="majorHAnsi" w:cs="Cambria"/>
          <w:sz w:val="20"/>
          <w:szCs w:val="20"/>
          <w:lang w:val="es-ES"/>
        </w:rPr>
        <w:t xml:space="preserve"> </w:t>
      </w:r>
      <w:r w:rsidR="00915246">
        <w:rPr>
          <w:rFonts w:asciiTheme="majorHAnsi" w:eastAsia="Cambria" w:hAnsiTheme="majorHAnsi" w:cs="Cambria"/>
          <w:sz w:val="20"/>
          <w:szCs w:val="20"/>
          <w:lang w:val="es-ES"/>
        </w:rPr>
        <w:t xml:space="preserve">de los Estados </w:t>
      </w:r>
      <w:r w:rsidR="00BA0255" w:rsidRPr="009D1E2F">
        <w:rPr>
          <w:rFonts w:asciiTheme="majorHAnsi" w:eastAsia="Cambria" w:hAnsiTheme="majorHAnsi" w:cs="Cambria"/>
          <w:sz w:val="20"/>
          <w:szCs w:val="20"/>
          <w:lang w:val="es-ES"/>
        </w:rPr>
        <w:t>American</w:t>
      </w:r>
      <w:r w:rsidR="00915246">
        <w:rPr>
          <w:rFonts w:asciiTheme="majorHAnsi" w:eastAsia="Cambria" w:hAnsiTheme="majorHAnsi" w:cs="Cambria"/>
          <w:sz w:val="20"/>
          <w:szCs w:val="20"/>
          <w:lang w:val="es-ES"/>
        </w:rPr>
        <w:t>os</w:t>
      </w:r>
      <w:r w:rsidR="00BA0255" w:rsidRPr="009D1E2F">
        <w:rPr>
          <w:rFonts w:asciiTheme="majorHAnsi" w:eastAsia="Cambria" w:hAnsiTheme="majorHAnsi" w:cs="Cambria"/>
          <w:sz w:val="20"/>
          <w:szCs w:val="20"/>
          <w:lang w:val="es-ES"/>
        </w:rPr>
        <w:t>.</w:t>
      </w:r>
      <w:r w:rsidR="00B059EC" w:rsidRPr="009D1E2F">
        <w:rPr>
          <w:rFonts w:asciiTheme="majorHAnsi" w:eastAsia="Cambria" w:hAnsiTheme="majorHAnsi" w:cs="Cambria"/>
          <w:sz w:val="20"/>
          <w:szCs w:val="20"/>
          <w:lang w:val="es-ES"/>
        </w:rPr>
        <w:t xml:space="preserve"> </w:t>
      </w:r>
    </w:p>
    <w:p w14:paraId="56172092" w14:textId="77777777" w:rsidR="0022310C" w:rsidRDefault="0022310C" w:rsidP="0022310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50497733" w14:textId="77777777" w:rsidR="0022310C" w:rsidRPr="00081633" w:rsidRDefault="0022310C" w:rsidP="0022310C">
      <w:pPr>
        <w:pStyle w:val="Heading1"/>
        <w:tabs>
          <w:tab w:val="left" w:pos="360"/>
        </w:tabs>
        <w:spacing w:before="0"/>
        <w:ind w:left="0" w:firstLine="0"/>
        <w:rPr>
          <w:color w:val="auto"/>
          <w:sz w:val="20"/>
          <w:szCs w:val="20"/>
          <w:lang w:val="es-ES_tradnl"/>
        </w:rPr>
      </w:pPr>
      <w:bookmarkStart w:id="26" w:name="_Toc87434319"/>
      <w:bookmarkStart w:id="27" w:name="_Toc87538754"/>
      <w:bookmarkStart w:id="28" w:name="_Toc87604895"/>
      <w:bookmarkStart w:id="29" w:name="_Toc90284834"/>
      <w:r w:rsidRPr="00081633">
        <w:rPr>
          <w:color w:val="auto"/>
          <w:sz w:val="20"/>
          <w:szCs w:val="20"/>
          <w:lang w:val="es-ES_tradnl"/>
        </w:rPr>
        <w:t>INFORME Nº 241/19 E INFORMACIÓN SOBRE EL CUMPLIMIENTO</w:t>
      </w:r>
      <w:bookmarkEnd w:id="26"/>
      <w:bookmarkEnd w:id="27"/>
      <w:bookmarkEnd w:id="28"/>
      <w:bookmarkEnd w:id="29"/>
    </w:p>
    <w:p w14:paraId="2D6ECA87" w14:textId="77777777" w:rsidR="0022310C" w:rsidRPr="00081633" w:rsidRDefault="0022310C" w:rsidP="0022310C">
      <w:pPr>
        <w:rPr>
          <w:lang w:val="es-ES_tradnl"/>
        </w:rPr>
      </w:pPr>
    </w:p>
    <w:p w14:paraId="0E5C5F35" w14:textId="77777777" w:rsidR="0022310C" w:rsidRPr="00081633" w:rsidRDefault="0022310C" w:rsidP="002231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Theme="majorHAnsi" w:hAnsiTheme="majorHAnsi"/>
          <w:color w:val="000000" w:themeColor="text1"/>
          <w:sz w:val="20"/>
          <w:szCs w:val="20"/>
          <w:lang w:val="es-ES_tradnl"/>
        </w:rPr>
      </w:pPr>
      <w:r w:rsidRPr="002F62A9">
        <w:rPr>
          <w:rFonts w:asciiTheme="majorHAnsi" w:hAnsiTheme="majorHAnsi"/>
          <w:color w:val="000000" w:themeColor="text1"/>
          <w:sz w:val="20"/>
          <w:szCs w:val="20"/>
          <w:lang w:val="es-US"/>
        </w:rPr>
        <w:t>El</w:t>
      </w:r>
      <w:r w:rsidRPr="00081633">
        <w:rPr>
          <w:rFonts w:asciiTheme="majorHAnsi" w:hAnsiTheme="majorHAnsi"/>
          <w:color w:val="000000" w:themeColor="text1"/>
          <w:sz w:val="20"/>
          <w:szCs w:val="20"/>
          <w:lang w:val="es-ES_tradnl"/>
        </w:rPr>
        <w:t xml:space="preserve"> 6 de diciembre de 2019, la Comisión aprobó el Informe No. 241/19 sobre el fondo del presente caso, que comprende los párrafos 1 a 7</w:t>
      </w:r>
      <w:r w:rsidR="00F84BC2" w:rsidRPr="00081633">
        <w:rPr>
          <w:rFonts w:asciiTheme="majorHAnsi" w:hAnsiTheme="majorHAnsi"/>
          <w:color w:val="000000" w:themeColor="text1"/>
          <w:sz w:val="20"/>
          <w:szCs w:val="20"/>
          <w:lang w:val="es-ES_tradnl"/>
        </w:rPr>
        <w:t>2</w:t>
      </w:r>
      <w:r w:rsidRPr="00081633">
        <w:rPr>
          <w:rFonts w:asciiTheme="majorHAnsi" w:hAnsiTheme="majorHAnsi"/>
          <w:color w:val="000000" w:themeColor="text1"/>
          <w:sz w:val="20"/>
          <w:szCs w:val="20"/>
          <w:lang w:val="es-ES_tradnl"/>
        </w:rPr>
        <w:t xml:space="preserve"> supra, y emitió las siguientes recomendaciones al Estado:</w:t>
      </w:r>
    </w:p>
    <w:p w14:paraId="08BD36A5" w14:textId="77777777" w:rsidR="0022310C" w:rsidRPr="00081633" w:rsidRDefault="0022310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lang w:val="es-ES"/>
        </w:rPr>
      </w:pPr>
    </w:p>
    <w:p w14:paraId="5DE608DE" w14:textId="77777777" w:rsidR="0022310C" w:rsidRPr="00081633" w:rsidRDefault="0022310C" w:rsidP="002231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lang w:val="es-ES"/>
        </w:rPr>
      </w:pPr>
      <w:r w:rsidRPr="00081633">
        <w:rPr>
          <w:rFonts w:asciiTheme="majorHAnsi" w:hAnsiTheme="majorHAnsi"/>
          <w:sz w:val="20"/>
          <w:szCs w:val="20"/>
          <w:lang w:val="es-ES"/>
        </w:rPr>
        <w:t xml:space="preserve">Que otorgue reparaciones a la familia de </w:t>
      </w:r>
      <w:proofErr w:type="spellStart"/>
      <w:r w:rsidRPr="00081633">
        <w:rPr>
          <w:rFonts w:asciiTheme="majorHAnsi" w:hAnsiTheme="majorHAnsi"/>
          <w:sz w:val="20"/>
          <w:szCs w:val="20"/>
          <w:lang w:val="es-ES"/>
        </w:rPr>
        <w:t>Marlin</w:t>
      </w:r>
      <w:proofErr w:type="spellEnd"/>
      <w:r w:rsidRPr="00081633">
        <w:rPr>
          <w:rFonts w:asciiTheme="majorHAnsi" w:hAnsiTheme="majorHAnsi"/>
          <w:sz w:val="20"/>
          <w:szCs w:val="20"/>
          <w:lang w:val="es-ES"/>
        </w:rPr>
        <w:t xml:space="preserve"> Gray como consecuencia de las violaciones demostradas en el presente informe, incluido el pago de</w:t>
      </w:r>
      <w:r w:rsidRPr="00081633">
        <w:rPr>
          <w:rFonts w:eastAsia="Times New Roman" w:cs="Tahoma"/>
          <w:sz w:val="20"/>
          <w:szCs w:val="20"/>
          <w:bdr w:val="none" w:sz="0" w:space="0" w:color="auto"/>
          <w:lang w:val="es-ES"/>
        </w:rPr>
        <w:t xml:space="preserve"> una indemnización pecuniaria;</w:t>
      </w:r>
    </w:p>
    <w:p w14:paraId="5CEF1DF0" w14:textId="77777777" w:rsidR="0022310C" w:rsidRPr="00081633" w:rsidRDefault="0022310C" w:rsidP="0022310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14:paraId="5C5C729A" w14:textId="77777777" w:rsidR="0022310C" w:rsidRPr="00081633" w:rsidRDefault="0022310C" w:rsidP="002231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lang w:val="es-ES"/>
        </w:rPr>
      </w:pPr>
      <w:r w:rsidRPr="00081633">
        <w:rPr>
          <w:rFonts w:asciiTheme="majorHAnsi" w:hAnsiTheme="majorHAnsi" w:cs="Calibri"/>
          <w:sz w:val="20"/>
          <w:szCs w:val="20"/>
          <w:lang w:val="es-ES"/>
        </w:rPr>
        <w:t>Que asegure el cumplimiento de las medidas cautelares otorgadas por la CIDH en relación con personas condenadas a muerte;</w:t>
      </w:r>
    </w:p>
    <w:p w14:paraId="61A565CB" w14:textId="77777777" w:rsidR="0022310C" w:rsidRPr="00081633" w:rsidRDefault="0022310C" w:rsidP="0022310C">
      <w:pPr>
        <w:pStyle w:val="ListParagraph"/>
        <w:rPr>
          <w:rFonts w:asciiTheme="majorHAnsi" w:hAnsiTheme="majorHAnsi"/>
          <w:sz w:val="20"/>
          <w:lang w:val="es-ES"/>
        </w:rPr>
      </w:pPr>
    </w:p>
    <w:p w14:paraId="213F1382" w14:textId="77777777" w:rsidR="0022310C" w:rsidRPr="00081633" w:rsidRDefault="0022310C" w:rsidP="002231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lang w:val="es-ES"/>
        </w:rPr>
      </w:pPr>
      <w:r w:rsidRPr="00081633">
        <w:rPr>
          <w:rFonts w:asciiTheme="majorHAnsi" w:hAnsiTheme="majorHAnsi"/>
          <w:sz w:val="20"/>
          <w:lang w:val="es-ES"/>
        </w:rPr>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081633">
        <w:rPr>
          <w:rStyle w:val="FootnoteReference"/>
          <w:sz w:val="20"/>
          <w:lang w:val="es-ES"/>
        </w:rPr>
        <w:footnoteReference w:id="77"/>
      </w:r>
      <w:r w:rsidRPr="00081633">
        <w:rPr>
          <w:rFonts w:asciiTheme="majorHAnsi" w:hAnsiTheme="majorHAnsi"/>
          <w:sz w:val="20"/>
          <w:lang w:val="es-ES"/>
        </w:rPr>
        <w:t>.</w:t>
      </w:r>
    </w:p>
    <w:p w14:paraId="0BDC383F" w14:textId="77777777" w:rsidR="0022310C" w:rsidRPr="00081633" w:rsidRDefault="0022310C"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lang w:val="es-ES"/>
        </w:rPr>
      </w:pPr>
    </w:p>
    <w:p w14:paraId="1A669072" w14:textId="77777777" w:rsidR="0022310C" w:rsidRPr="00D457AE" w:rsidRDefault="0022310C" w:rsidP="002231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081633">
        <w:rPr>
          <w:rFonts w:ascii="Cambria" w:hAnsi="Cambria"/>
          <w:sz w:val="20"/>
          <w:szCs w:val="20"/>
          <w:lang w:val="es-ES"/>
        </w:rPr>
        <w:t xml:space="preserve">El 20 de febrero de 2020 la CIDH transmitió el informe al Estado con un plazo de dos meses para informar a la Comisión sobre las medidas adoptadas para cumplir con sus recomendaciones. Hasta la fecha, la Comisión no ha recibido ninguna </w:t>
      </w:r>
      <w:r w:rsidRPr="00D457AE">
        <w:rPr>
          <w:rFonts w:ascii="Cambria" w:hAnsi="Cambria"/>
          <w:sz w:val="20"/>
          <w:szCs w:val="20"/>
          <w:lang w:val="es-ES"/>
        </w:rPr>
        <w:t>respuesta de Estados Unidos en relación con el informe No. 241/19.</w:t>
      </w:r>
    </w:p>
    <w:p w14:paraId="6BC02ACC" w14:textId="77777777" w:rsidR="00081633" w:rsidRPr="00D457AE" w:rsidRDefault="00081633" w:rsidP="00081633">
      <w:pPr>
        <w:tabs>
          <w:tab w:val="left" w:pos="0"/>
          <w:tab w:val="left" w:pos="360"/>
        </w:tabs>
        <w:jc w:val="both"/>
        <w:rPr>
          <w:rFonts w:ascii="Cambria" w:hAnsi="Cambria"/>
          <w:color w:val="000000"/>
          <w:sz w:val="20"/>
          <w:szCs w:val="20"/>
          <w:lang w:val="es-ES_tradnl"/>
        </w:rPr>
      </w:pPr>
    </w:p>
    <w:p w14:paraId="4636B597" w14:textId="77777777" w:rsidR="00081633" w:rsidRPr="00D457AE" w:rsidRDefault="00081633" w:rsidP="00081633">
      <w:pPr>
        <w:pStyle w:val="Heading1"/>
        <w:tabs>
          <w:tab w:val="left" w:pos="360"/>
        </w:tabs>
        <w:spacing w:before="0"/>
        <w:ind w:hanging="720"/>
        <w:rPr>
          <w:color w:val="auto"/>
          <w:sz w:val="20"/>
          <w:szCs w:val="20"/>
          <w:lang w:val="es-ES"/>
        </w:rPr>
      </w:pPr>
      <w:bookmarkStart w:id="30" w:name="_Toc26552694"/>
      <w:bookmarkStart w:id="31" w:name="_Toc87522750"/>
      <w:bookmarkStart w:id="32" w:name="_Toc90117848"/>
      <w:bookmarkStart w:id="33" w:name="_Toc90283158"/>
      <w:bookmarkStart w:id="34" w:name="_Toc90284835"/>
      <w:r w:rsidRPr="00D457AE">
        <w:rPr>
          <w:color w:val="auto"/>
          <w:sz w:val="20"/>
          <w:szCs w:val="20"/>
          <w:lang w:val="es-ES"/>
        </w:rPr>
        <w:t>ACCIONES POSTERIORES AL INFORME No. 327/</w:t>
      </w:r>
      <w:bookmarkEnd w:id="30"/>
      <w:r w:rsidRPr="00D457AE">
        <w:rPr>
          <w:color w:val="auto"/>
          <w:sz w:val="20"/>
          <w:szCs w:val="20"/>
          <w:lang w:val="es-ES"/>
        </w:rPr>
        <w:t>2</w:t>
      </w:r>
      <w:bookmarkEnd w:id="31"/>
      <w:r w:rsidRPr="00D457AE">
        <w:rPr>
          <w:color w:val="auto"/>
          <w:sz w:val="20"/>
          <w:szCs w:val="20"/>
          <w:lang w:val="es-ES"/>
        </w:rPr>
        <w:t>1</w:t>
      </w:r>
      <w:bookmarkEnd w:id="32"/>
      <w:bookmarkEnd w:id="33"/>
      <w:bookmarkEnd w:id="34"/>
    </w:p>
    <w:p w14:paraId="3BE147D5" w14:textId="77777777" w:rsidR="00081633" w:rsidRPr="00D457AE" w:rsidRDefault="00081633" w:rsidP="00081633">
      <w:pPr>
        <w:tabs>
          <w:tab w:val="left" w:pos="0"/>
          <w:tab w:val="left" w:pos="360"/>
        </w:tabs>
        <w:jc w:val="both"/>
        <w:rPr>
          <w:lang w:val="es-AR"/>
        </w:rPr>
      </w:pPr>
    </w:p>
    <w:p w14:paraId="4C8D9862" w14:textId="77777777" w:rsidR="00081633" w:rsidRPr="00D457AE" w:rsidRDefault="00081633" w:rsidP="000816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lang w:val="es-UY"/>
        </w:rPr>
      </w:pPr>
      <w:r w:rsidRPr="002F62A9">
        <w:rPr>
          <w:rFonts w:asciiTheme="majorHAnsi" w:hAnsiTheme="majorHAnsi"/>
          <w:color w:val="000000" w:themeColor="text1"/>
          <w:sz w:val="20"/>
          <w:szCs w:val="20"/>
          <w:lang w:val="es-US"/>
        </w:rPr>
        <w:t>El</w:t>
      </w:r>
      <w:r w:rsidRPr="00D457AE">
        <w:rPr>
          <w:rFonts w:ascii="Cambria" w:hAnsi="Cambria"/>
          <w:sz w:val="20"/>
          <w:szCs w:val="20"/>
          <w:lang w:val="es-UY"/>
        </w:rPr>
        <w:t xml:space="preserve"> 19 de noviembre de 2021, la Comisión aprobó el Informe de Fondo Final No. 327/21, que abarca los párrafos 1 a 74 </w:t>
      </w:r>
      <w:r w:rsidRPr="00D457AE">
        <w:rPr>
          <w:rFonts w:ascii="Cambria" w:hAnsi="Cambria"/>
          <w:i/>
          <w:sz w:val="20"/>
          <w:szCs w:val="20"/>
          <w:lang w:val="es-UY"/>
        </w:rPr>
        <w:t>supra</w:t>
      </w:r>
      <w:r w:rsidRPr="00D457AE">
        <w:rPr>
          <w:rFonts w:ascii="Cambria" w:hAnsi="Cambria"/>
          <w:sz w:val="20"/>
          <w:szCs w:val="20"/>
          <w:lang w:val="es-UY"/>
        </w:rPr>
        <w:t>, y emitió sus conclusiones y recomendaciones finales al Estado. El 30 de noviembre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327/21.</w:t>
      </w:r>
    </w:p>
    <w:p w14:paraId="6F1BD7EB" w14:textId="77777777" w:rsidR="00081633" w:rsidRPr="009D1E2F" w:rsidRDefault="00081633"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lang w:val="es-ES"/>
        </w:rPr>
      </w:pPr>
    </w:p>
    <w:p w14:paraId="1A3736ED" w14:textId="77777777" w:rsidR="001C4006" w:rsidRPr="009D1E2F" w:rsidRDefault="00E40F91" w:rsidP="00817426">
      <w:pPr>
        <w:pStyle w:val="Heading1"/>
        <w:keepNext w:val="0"/>
        <w:keepLines w:val="0"/>
        <w:spacing w:before="0"/>
        <w:ind w:left="360"/>
        <w:rPr>
          <w:color w:val="auto"/>
          <w:sz w:val="20"/>
          <w:szCs w:val="20"/>
          <w:lang w:val="es-ES"/>
        </w:rPr>
      </w:pPr>
      <w:bookmarkStart w:id="35" w:name="_Toc90284836"/>
      <w:r w:rsidRPr="009D1E2F">
        <w:rPr>
          <w:color w:val="auto"/>
          <w:sz w:val="20"/>
          <w:szCs w:val="20"/>
          <w:lang w:val="es-ES"/>
        </w:rPr>
        <w:t>CONCLUSIONES</w:t>
      </w:r>
      <w:r w:rsidR="00B059EC" w:rsidRPr="009D1E2F">
        <w:rPr>
          <w:color w:val="auto"/>
          <w:sz w:val="20"/>
          <w:szCs w:val="20"/>
          <w:lang w:val="es-ES"/>
        </w:rPr>
        <w:t xml:space="preserve"> </w:t>
      </w:r>
      <w:r w:rsidRPr="009D1E2F">
        <w:rPr>
          <w:color w:val="auto"/>
          <w:sz w:val="20"/>
          <w:szCs w:val="20"/>
          <w:lang w:val="es-ES"/>
        </w:rPr>
        <w:t>Y</w:t>
      </w:r>
      <w:r w:rsidR="00B059EC" w:rsidRPr="009D1E2F">
        <w:rPr>
          <w:color w:val="auto"/>
          <w:sz w:val="20"/>
          <w:szCs w:val="20"/>
          <w:lang w:val="es-ES"/>
        </w:rPr>
        <w:t xml:space="preserve"> </w:t>
      </w:r>
      <w:r w:rsidRPr="009D1E2F">
        <w:rPr>
          <w:color w:val="auto"/>
          <w:sz w:val="20"/>
          <w:szCs w:val="20"/>
          <w:lang w:val="es-ES"/>
        </w:rPr>
        <w:t>RECOMENDACIONES</w:t>
      </w:r>
      <w:r w:rsidR="0022310C">
        <w:rPr>
          <w:color w:val="auto"/>
          <w:sz w:val="20"/>
          <w:szCs w:val="20"/>
          <w:lang w:val="es-ES"/>
        </w:rPr>
        <w:t xml:space="preserve"> </w:t>
      </w:r>
      <w:r w:rsidR="0022310C" w:rsidRPr="00081633">
        <w:rPr>
          <w:color w:val="auto"/>
          <w:sz w:val="20"/>
          <w:szCs w:val="20"/>
          <w:lang w:val="es-ES"/>
        </w:rPr>
        <w:t>FINALES</w:t>
      </w:r>
      <w:bookmarkEnd w:id="35"/>
    </w:p>
    <w:p w14:paraId="5342F2F2" w14:textId="77777777" w:rsidR="00576D19" w:rsidRPr="009D1E2F" w:rsidRDefault="00576D19"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hAnsiTheme="majorHAnsi"/>
          <w:b/>
          <w:sz w:val="20"/>
          <w:szCs w:val="20"/>
          <w:lang w:val="es-ES"/>
        </w:rPr>
      </w:pPr>
    </w:p>
    <w:p w14:paraId="4A6F0761" w14:textId="77777777" w:rsidR="0064712F" w:rsidRPr="009D1E2F" w:rsidRDefault="00C56198" w:rsidP="00C561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C56198">
        <w:rPr>
          <w:rFonts w:asciiTheme="majorHAnsi" w:hAnsiTheme="majorHAnsi"/>
          <w:color w:val="000000" w:themeColor="text1"/>
          <w:sz w:val="20"/>
          <w:szCs w:val="20"/>
          <w:lang w:val="es-ES"/>
        </w:rPr>
        <w:t>Sobre la base de las determinaciones de hecho y de derecho</w:t>
      </w:r>
      <w:r w:rsidR="00F1763D"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sidR="007D747A"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007D747A" w:rsidRPr="009D1E2F">
        <w:rPr>
          <w:rFonts w:asciiTheme="majorHAnsi" w:hAnsiTheme="majorHAnsi"/>
          <w:color w:val="000000" w:themeColor="text1"/>
          <w:sz w:val="20"/>
          <w:szCs w:val="20"/>
          <w:lang w:val="es-ES"/>
        </w:rPr>
        <w:t>Comisión</w:t>
      </w:r>
      <w:r w:rsidR="00B059EC" w:rsidRPr="009D1E2F">
        <w:rPr>
          <w:rFonts w:asciiTheme="majorHAnsi" w:hAnsiTheme="majorHAnsi"/>
          <w:color w:val="000000" w:themeColor="text1"/>
          <w:sz w:val="20"/>
          <w:szCs w:val="20"/>
          <w:lang w:val="es-ES"/>
        </w:rPr>
        <w:t xml:space="preserve"> </w:t>
      </w:r>
      <w:r w:rsidR="007D747A" w:rsidRPr="009D1E2F">
        <w:rPr>
          <w:rFonts w:asciiTheme="majorHAnsi" w:hAnsiTheme="majorHAnsi"/>
          <w:color w:val="000000" w:themeColor="text1"/>
          <w:sz w:val="20"/>
          <w:szCs w:val="20"/>
          <w:lang w:val="es-ES"/>
        </w:rPr>
        <w:t>Interamericana</w:t>
      </w:r>
      <w:r w:rsidR="00B059EC" w:rsidRPr="009D1E2F">
        <w:rPr>
          <w:rFonts w:asciiTheme="majorHAnsi" w:hAnsiTheme="majorHAnsi"/>
          <w:color w:val="000000" w:themeColor="text1"/>
          <w:sz w:val="20"/>
          <w:szCs w:val="20"/>
          <w:lang w:val="es-ES"/>
        </w:rPr>
        <w:t xml:space="preserve"> </w:t>
      </w:r>
      <w:r w:rsidR="00F1763D" w:rsidRPr="009D1E2F">
        <w:rPr>
          <w:rFonts w:asciiTheme="majorHAnsi" w:hAnsiTheme="majorHAnsi"/>
          <w:color w:val="000000" w:themeColor="text1"/>
          <w:sz w:val="20"/>
          <w:szCs w:val="20"/>
          <w:lang w:val="es-ES"/>
        </w:rPr>
        <w:t>conclu</w:t>
      </w:r>
      <w:r>
        <w:rPr>
          <w:rFonts w:asciiTheme="majorHAnsi" w:hAnsiTheme="majorHAnsi"/>
          <w:color w:val="000000" w:themeColor="text1"/>
          <w:sz w:val="20"/>
          <w:szCs w:val="20"/>
          <w:lang w:val="es-ES"/>
        </w:rPr>
        <w:t xml:space="preserve">ye que </w:t>
      </w:r>
      <w:r w:rsidR="000E2468" w:rsidRPr="009D1E2F">
        <w:rPr>
          <w:rFonts w:asciiTheme="majorHAnsi" w:hAnsiTheme="majorHAnsi"/>
          <w:color w:val="000000" w:themeColor="text1"/>
          <w:sz w:val="20"/>
          <w:szCs w:val="20"/>
          <w:lang w:val="es-ES"/>
        </w:rPr>
        <w:t>el</w:t>
      </w:r>
      <w:r w:rsidR="00B059EC" w:rsidRPr="009D1E2F">
        <w:rPr>
          <w:rFonts w:asciiTheme="majorHAnsi" w:hAnsiTheme="majorHAnsi"/>
          <w:color w:val="000000" w:themeColor="text1"/>
          <w:sz w:val="20"/>
          <w:szCs w:val="20"/>
          <w:lang w:val="es-ES"/>
        </w:rPr>
        <w:t xml:space="preserve"> </w:t>
      </w:r>
      <w:r w:rsidR="000E2468" w:rsidRPr="009D1E2F">
        <w:rPr>
          <w:rFonts w:asciiTheme="majorHAnsi" w:hAnsiTheme="majorHAnsi"/>
          <w:color w:val="000000" w:themeColor="text1"/>
          <w:sz w:val="20"/>
          <w:szCs w:val="20"/>
          <w:lang w:val="es-ES"/>
        </w:rPr>
        <w:t>Estado</w:t>
      </w:r>
      <w:r w:rsidR="00B059EC" w:rsidRPr="009D1E2F">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e</w:t>
      </w:r>
      <w:r w:rsidR="00F1763D" w:rsidRPr="009D1E2F">
        <w:rPr>
          <w:rFonts w:asciiTheme="majorHAnsi" w:hAnsiTheme="majorHAnsi"/>
          <w:color w:val="000000" w:themeColor="text1"/>
          <w:sz w:val="20"/>
          <w:szCs w:val="20"/>
          <w:lang w:val="es-ES"/>
        </w:rPr>
        <w:t>s</w:t>
      </w:r>
      <w:r w:rsidR="00B059EC" w:rsidRPr="009D1E2F">
        <w:rPr>
          <w:rFonts w:asciiTheme="majorHAnsi" w:hAnsiTheme="majorHAnsi"/>
          <w:color w:val="000000" w:themeColor="text1"/>
          <w:sz w:val="20"/>
          <w:szCs w:val="20"/>
          <w:lang w:val="es-ES"/>
        </w:rPr>
        <w:t xml:space="preserve"> </w:t>
      </w:r>
      <w:r w:rsidRPr="009D1E2F">
        <w:rPr>
          <w:rFonts w:asciiTheme="majorHAnsi" w:hAnsiTheme="majorHAnsi"/>
          <w:color w:val="000000" w:themeColor="text1"/>
          <w:sz w:val="20"/>
          <w:szCs w:val="20"/>
          <w:lang w:val="es-ES"/>
        </w:rPr>
        <w:t>responsable</w:t>
      </w:r>
      <w:r w:rsidR="00B059EC" w:rsidRPr="009D1E2F">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de la </w:t>
      </w:r>
      <w:r w:rsidRPr="009D1E2F">
        <w:rPr>
          <w:rFonts w:asciiTheme="majorHAnsi" w:hAnsiTheme="majorHAnsi"/>
          <w:color w:val="000000" w:themeColor="text1"/>
          <w:sz w:val="20"/>
          <w:szCs w:val="20"/>
          <w:lang w:val="es-ES"/>
        </w:rPr>
        <w:t>violación</w:t>
      </w:r>
      <w:r w:rsidR="00B059EC" w:rsidRPr="009D1E2F">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de los </w:t>
      </w:r>
      <w:r w:rsidR="005B3F2B" w:rsidRPr="009D1E2F">
        <w:rPr>
          <w:rFonts w:asciiTheme="majorHAnsi" w:hAnsiTheme="majorHAnsi"/>
          <w:color w:val="000000" w:themeColor="text1"/>
          <w:sz w:val="20"/>
          <w:szCs w:val="20"/>
          <w:lang w:val="es-ES"/>
        </w:rPr>
        <w:t>artículo</w:t>
      </w:r>
      <w:r w:rsidR="00F1763D" w:rsidRPr="009D1E2F">
        <w:rPr>
          <w:rFonts w:asciiTheme="majorHAnsi" w:hAnsiTheme="majorHAnsi"/>
          <w:color w:val="000000" w:themeColor="text1"/>
          <w:sz w:val="20"/>
          <w:szCs w:val="20"/>
          <w:lang w:val="es-ES"/>
        </w:rPr>
        <w:t>s</w:t>
      </w:r>
      <w:r w:rsidR="00B059EC" w:rsidRPr="009D1E2F">
        <w:rPr>
          <w:rFonts w:asciiTheme="majorHAnsi" w:hAnsiTheme="majorHAnsi"/>
          <w:color w:val="000000" w:themeColor="text1"/>
          <w:sz w:val="20"/>
          <w:szCs w:val="20"/>
          <w:lang w:val="es-ES"/>
        </w:rPr>
        <w:t xml:space="preserve"> </w:t>
      </w:r>
      <w:r w:rsidR="000C4902" w:rsidRPr="009D1E2F">
        <w:rPr>
          <w:rFonts w:asciiTheme="majorHAnsi" w:hAnsiTheme="majorHAnsi"/>
          <w:color w:val="000000" w:themeColor="text1"/>
          <w:sz w:val="20"/>
          <w:szCs w:val="20"/>
          <w:lang w:val="es-ES"/>
        </w:rPr>
        <w:t>I</w:t>
      </w:r>
      <w:r w:rsidR="00B059EC" w:rsidRPr="009D1E2F">
        <w:rPr>
          <w:rFonts w:asciiTheme="majorHAnsi" w:hAnsiTheme="majorHAnsi"/>
          <w:color w:val="000000" w:themeColor="text1"/>
          <w:sz w:val="20"/>
          <w:szCs w:val="20"/>
          <w:lang w:val="es-ES"/>
        </w:rPr>
        <w:t xml:space="preserve"> </w:t>
      </w:r>
      <w:r w:rsidR="000C4902" w:rsidRPr="009D1E2F">
        <w:rPr>
          <w:rFonts w:asciiTheme="majorHAnsi" w:hAnsiTheme="majorHAnsi"/>
          <w:color w:val="000000" w:themeColor="text1"/>
          <w:sz w:val="20"/>
          <w:szCs w:val="20"/>
          <w:lang w:val="es-ES"/>
        </w:rPr>
        <w:t>(</w:t>
      </w:r>
      <w:r w:rsidR="00430146" w:rsidRPr="009D1E2F">
        <w:rPr>
          <w:rFonts w:asciiTheme="majorHAnsi" w:hAnsiTheme="majorHAnsi"/>
          <w:color w:val="000000" w:themeColor="text1"/>
          <w:sz w:val="20"/>
          <w:szCs w:val="20"/>
          <w:lang w:val="es-ES"/>
        </w:rPr>
        <w:t>derecho a la vida</w:t>
      </w:r>
      <w:r w:rsidR="000C4902"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sidR="00A147AE" w:rsidRPr="009D1E2F">
        <w:rPr>
          <w:rFonts w:asciiTheme="majorHAnsi" w:hAnsiTheme="majorHAnsi"/>
          <w:color w:val="000000" w:themeColor="text1"/>
          <w:sz w:val="20"/>
          <w:szCs w:val="20"/>
          <w:lang w:val="es-ES"/>
        </w:rPr>
        <w:t>XXIV</w:t>
      </w:r>
      <w:r w:rsidR="00B059EC" w:rsidRPr="009D1E2F">
        <w:rPr>
          <w:rFonts w:asciiTheme="majorHAnsi" w:hAnsiTheme="majorHAnsi"/>
          <w:color w:val="000000" w:themeColor="text1"/>
          <w:sz w:val="20"/>
          <w:szCs w:val="20"/>
          <w:lang w:val="es-ES"/>
        </w:rPr>
        <w:t xml:space="preserve"> </w:t>
      </w:r>
      <w:r w:rsidR="00A147AE" w:rsidRPr="009D1E2F">
        <w:rPr>
          <w:rFonts w:asciiTheme="majorHAnsi" w:hAnsiTheme="majorHAnsi"/>
          <w:color w:val="000000" w:themeColor="text1"/>
          <w:sz w:val="20"/>
          <w:szCs w:val="20"/>
          <w:lang w:val="es-ES"/>
        </w:rPr>
        <w:t>(</w:t>
      </w:r>
      <w:r w:rsidR="00430146" w:rsidRPr="009D1E2F">
        <w:rPr>
          <w:rFonts w:asciiTheme="majorHAnsi" w:hAnsiTheme="majorHAnsi"/>
          <w:color w:val="000000" w:themeColor="text1"/>
          <w:sz w:val="20"/>
          <w:szCs w:val="20"/>
          <w:lang w:val="es-ES"/>
        </w:rPr>
        <w:t>derecho de petición</w:t>
      </w:r>
      <w:r w:rsidR="00A147AE"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sidR="000550C0" w:rsidRPr="009D1E2F">
        <w:rPr>
          <w:rFonts w:asciiTheme="majorHAnsi" w:hAnsiTheme="majorHAnsi"/>
          <w:color w:val="000000" w:themeColor="text1"/>
          <w:sz w:val="20"/>
          <w:szCs w:val="20"/>
          <w:lang w:val="es-ES"/>
        </w:rPr>
        <w:t>XXV</w:t>
      </w:r>
      <w:r w:rsidR="00B059EC" w:rsidRPr="009D1E2F">
        <w:rPr>
          <w:rFonts w:asciiTheme="majorHAnsi" w:hAnsiTheme="majorHAnsi"/>
          <w:color w:val="000000" w:themeColor="text1"/>
          <w:sz w:val="20"/>
          <w:szCs w:val="20"/>
          <w:lang w:val="es-ES"/>
        </w:rPr>
        <w:t xml:space="preserve"> </w:t>
      </w:r>
      <w:r w:rsidR="000550C0" w:rsidRPr="009D1E2F">
        <w:rPr>
          <w:rFonts w:asciiTheme="majorHAnsi" w:hAnsiTheme="majorHAnsi"/>
          <w:color w:val="000000" w:themeColor="text1"/>
          <w:sz w:val="20"/>
          <w:szCs w:val="20"/>
          <w:lang w:val="es-ES"/>
        </w:rPr>
        <w:t>(</w:t>
      </w:r>
      <w:r w:rsidR="00430146" w:rsidRPr="009D1E2F">
        <w:rPr>
          <w:rFonts w:asciiTheme="majorHAnsi" w:hAnsiTheme="majorHAnsi"/>
          <w:color w:val="000000" w:themeColor="text1"/>
          <w:sz w:val="20"/>
          <w:szCs w:val="20"/>
          <w:lang w:val="es-ES"/>
        </w:rPr>
        <w:t>derecho de protección contra la detención arbitraria</w:t>
      </w:r>
      <w:r w:rsidR="00985A4B"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y</w:t>
      </w:r>
      <w:r w:rsidR="00B059EC" w:rsidRPr="009D1E2F">
        <w:rPr>
          <w:rFonts w:asciiTheme="majorHAnsi" w:hAnsiTheme="majorHAnsi"/>
          <w:color w:val="000000" w:themeColor="text1"/>
          <w:sz w:val="20"/>
          <w:szCs w:val="20"/>
          <w:lang w:val="es-ES"/>
        </w:rPr>
        <w:t xml:space="preserve"> </w:t>
      </w:r>
      <w:r w:rsidR="00A147AE" w:rsidRPr="009D1E2F">
        <w:rPr>
          <w:rFonts w:asciiTheme="majorHAnsi" w:hAnsiTheme="majorHAnsi"/>
          <w:color w:val="000000" w:themeColor="text1"/>
          <w:sz w:val="20"/>
          <w:szCs w:val="20"/>
          <w:lang w:val="es-ES"/>
        </w:rPr>
        <w:t>XXVI</w:t>
      </w:r>
      <w:r w:rsidR="00B059EC" w:rsidRPr="009D1E2F">
        <w:rPr>
          <w:rFonts w:asciiTheme="majorHAnsi" w:hAnsiTheme="majorHAnsi"/>
          <w:color w:val="000000" w:themeColor="text1"/>
          <w:sz w:val="20"/>
          <w:szCs w:val="20"/>
          <w:lang w:val="es-ES"/>
        </w:rPr>
        <w:t xml:space="preserve"> </w:t>
      </w:r>
      <w:r w:rsidR="00A147AE" w:rsidRPr="009D1E2F">
        <w:rPr>
          <w:rFonts w:asciiTheme="majorHAnsi" w:hAnsiTheme="majorHAnsi"/>
          <w:color w:val="000000" w:themeColor="text1"/>
          <w:sz w:val="20"/>
          <w:szCs w:val="20"/>
          <w:lang w:val="es-ES"/>
        </w:rPr>
        <w:t>(</w:t>
      </w:r>
      <w:r w:rsidR="00430146" w:rsidRPr="009D1E2F">
        <w:rPr>
          <w:rFonts w:asciiTheme="majorHAnsi" w:hAnsiTheme="majorHAnsi"/>
          <w:color w:val="000000" w:themeColor="text1"/>
          <w:sz w:val="20"/>
          <w:szCs w:val="20"/>
          <w:lang w:val="es-ES"/>
        </w:rPr>
        <w:t>derecho a proceso regular</w:t>
      </w:r>
      <w:r w:rsidR="00A147AE"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de</w:t>
      </w:r>
      <w:r w:rsidR="00B059EC" w:rsidRPr="009D1E2F">
        <w:rPr>
          <w:rFonts w:asciiTheme="majorHAnsi" w:hAnsiTheme="majorHAnsi"/>
          <w:color w:val="000000" w:themeColor="text1"/>
          <w:sz w:val="20"/>
          <w:szCs w:val="20"/>
          <w:lang w:val="es-ES"/>
        </w:rPr>
        <w:t xml:space="preserve"> </w:t>
      </w:r>
      <w:r w:rsidR="000D6328" w:rsidRPr="009D1E2F">
        <w:rPr>
          <w:rFonts w:asciiTheme="majorHAnsi" w:hAnsiTheme="majorHAnsi"/>
          <w:color w:val="000000" w:themeColor="text1"/>
          <w:sz w:val="20"/>
          <w:szCs w:val="20"/>
          <w:lang w:val="es-ES"/>
        </w:rPr>
        <w:t>la</w:t>
      </w:r>
      <w:r w:rsidR="00B059EC" w:rsidRPr="009D1E2F">
        <w:rPr>
          <w:rFonts w:asciiTheme="majorHAnsi" w:hAnsiTheme="majorHAnsi"/>
          <w:color w:val="000000" w:themeColor="text1"/>
          <w:sz w:val="20"/>
          <w:szCs w:val="20"/>
          <w:lang w:val="es-ES"/>
        </w:rPr>
        <w:t xml:space="preserve"> </w:t>
      </w:r>
      <w:r w:rsidR="000D6328" w:rsidRPr="009D1E2F">
        <w:rPr>
          <w:rFonts w:asciiTheme="majorHAnsi" w:hAnsiTheme="majorHAnsi"/>
          <w:color w:val="000000" w:themeColor="text1"/>
          <w:sz w:val="20"/>
          <w:szCs w:val="20"/>
          <w:lang w:val="es-ES"/>
        </w:rPr>
        <w:t>Declaración</w:t>
      </w:r>
      <w:r w:rsidR="00B059EC" w:rsidRPr="009D1E2F">
        <w:rPr>
          <w:rFonts w:asciiTheme="majorHAnsi" w:hAnsiTheme="majorHAnsi"/>
          <w:color w:val="000000" w:themeColor="text1"/>
          <w:sz w:val="20"/>
          <w:szCs w:val="20"/>
          <w:lang w:val="es-ES"/>
        </w:rPr>
        <w:t xml:space="preserve"> </w:t>
      </w:r>
      <w:r w:rsidR="000D6328" w:rsidRPr="009D1E2F">
        <w:rPr>
          <w:rFonts w:asciiTheme="majorHAnsi" w:hAnsiTheme="majorHAnsi"/>
          <w:color w:val="000000" w:themeColor="text1"/>
          <w:sz w:val="20"/>
          <w:szCs w:val="20"/>
          <w:lang w:val="es-ES"/>
        </w:rPr>
        <w:t>Americana</w:t>
      </w:r>
      <w:r w:rsidR="00F1763D" w:rsidRPr="009D1E2F">
        <w:rPr>
          <w:rFonts w:asciiTheme="majorHAnsi" w:hAnsiTheme="majorHAnsi"/>
          <w:color w:val="000000" w:themeColor="text1"/>
          <w:sz w:val="20"/>
          <w:szCs w:val="20"/>
          <w:lang w:val="es-ES"/>
        </w:rPr>
        <w:t>.</w:t>
      </w:r>
      <w:r w:rsidR="00B059EC" w:rsidRPr="009D1E2F">
        <w:rPr>
          <w:rFonts w:asciiTheme="majorHAnsi" w:hAnsiTheme="majorHAnsi"/>
          <w:color w:val="000000" w:themeColor="text1"/>
          <w:sz w:val="20"/>
          <w:szCs w:val="20"/>
          <w:lang w:val="es-ES"/>
        </w:rPr>
        <w:t xml:space="preserve"> </w:t>
      </w:r>
    </w:p>
    <w:p w14:paraId="207AE96F" w14:textId="77777777" w:rsidR="00BA7984" w:rsidRPr="009D1E2F" w:rsidRDefault="00BA7984" w:rsidP="008174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lang w:val="es-ES"/>
        </w:rPr>
      </w:pPr>
    </w:p>
    <w:p w14:paraId="265A0EF5" w14:textId="77777777" w:rsidR="001C4006" w:rsidRPr="009D1E2F" w:rsidRDefault="00481435" w:rsidP="00817426">
      <w:pPr>
        <w:jc w:val="both"/>
        <w:rPr>
          <w:rFonts w:ascii="Cambria" w:hAnsi="Cambria"/>
          <w:b/>
          <w:sz w:val="20"/>
          <w:szCs w:val="20"/>
          <w:lang w:val="es-ES"/>
        </w:rPr>
      </w:pPr>
      <w:r w:rsidRPr="00081633">
        <w:rPr>
          <w:rFonts w:ascii="Cambria" w:hAnsi="Cambria"/>
          <w:b/>
          <w:sz w:val="20"/>
          <w:szCs w:val="20"/>
          <w:lang w:val="es-ES"/>
        </w:rPr>
        <w:t>LA</w:t>
      </w:r>
      <w:r w:rsidR="00B059EC" w:rsidRPr="00081633">
        <w:rPr>
          <w:rFonts w:ascii="Cambria" w:hAnsi="Cambria"/>
          <w:b/>
          <w:sz w:val="20"/>
          <w:szCs w:val="20"/>
          <w:lang w:val="es-ES"/>
        </w:rPr>
        <w:t xml:space="preserve"> </w:t>
      </w:r>
      <w:r w:rsidR="00363E52" w:rsidRPr="00081633">
        <w:rPr>
          <w:rFonts w:ascii="Cambria" w:hAnsi="Cambria"/>
          <w:b/>
          <w:sz w:val="20"/>
          <w:szCs w:val="20"/>
          <w:lang w:val="es-ES"/>
        </w:rPr>
        <w:t>COMISIÓN</w:t>
      </w:r>
      <w:r w:rsidR="00B059EC" w:rsidRPr="00081633">
        <w:rPr>
          <w:rFonts w:ascii="Cambria" w:hAnsi="Cambria"/>
          <w:b/>
          <w:sz w:val="20"/>
          <w:szCs w:val="20"/>
          <w:lang w:val="es-ES"/>
        </w:rPr>
        <w:t xml:space="preserve"> </w:t>
      </w:r>
      <w:r w:rsidR="00363E52" w:rsidRPr="00081633">
        <w:rPr>
          <w:rFonts w:ascii="Cambria" w:hAnsi="Cambria"/>
          <w:b/>
          <w:sz w:val="20"/>
          <w:szCs w:val="20"/>
          <w:lang w:val="es-ES"/>
        </w:rPr>
        <w:t>INTERAMERICANA</w:t>
      </w:r>
      <w:r w:rsidR="00B059EC" w:rsidRPr="00081633">
        <w:rPr>
          <w:rFonts w:ascii="Cambria" w:hAnsi="Cambria"/>
          <w:b/>
          <w:sz w:val="20"/>
          <w:szCs w:val="20"/>
          <w:lang w:val="es-ES"/>
        </w:rPr>
        <w:t xml:space="preserve"> </w:t>
      </w:r>
      <w:r w:rsidR="00363E52" w:rsidRPr="00081633">
        <w:rPr>
          <w:rFonts w:ascii="Cambria" w:hAnsi="Cambria"/>
          <w:b/>
          <w:sz w:val="20"/>
          <w:szCs w:val="20"/>
          <w:lang w:val="es-ES"/>
        </w:rPr>
        <w:t>DE</w:t>
      </w:r>
      <w:r w:rsidR="00B059EC" w:rsidRPr="00081633">
        <w:rPr>
          <w:rFonts w:ascii="Cambria" w:hAnsi="Cambria"/>
          <w:b/>
          <w:sz w:val="20"/>
          <w:szCs w:val="20"/>
          <w:lang w:val="es-ES"/>
        </w:rPr>
        <w:t xml:space="preserve"> </w:t>
      </w:r>
      <w:r w:rsidR="00363E52" w:rsidRPr="00081633">
        <w:rPr>
          <w:rFonts w:ascii="Cambria" w:hAnsi="Cambria"/>
          <w:b/>
          <w:sz w:val="20"/>
          <w:szCs w:val="20"/>
          <w:lang w:val="es-ES"/>
        </w:rPr>
        <w:t>DERECHOS</w:t>
      </w:r>
      <w:r w:rsidR="00B059EC" w:rsidRPr="00081633">
        <w:rPr>
          <w:rFonts w:ascii="Cambria" w:hAnsi="Cambria"/>
          <w:b/>
          <w:sz w:val="20"/>
          <w:szCs w:val="20"/>
          <w:lang w:val="es-ES"/>
        </w:rPr>
        <w:t xml:space="preserve"> </w:t>
      </w:r>
      <w:r w:rsidR="00363E52" w:rsidRPr="00081633">
        <w:rPr>
          <w:rFonts w:ascii="Cambria" w:hAnsi="Cambria"/>
          <w:b/>
          <w:sz w:val="20"/>
          <w:szCs w:val="20"/>
          <w:lang w:val="es-ES"/>
        </w:rPr>
        <w:t>HUMANOS</w:t>
      </w:r>
      <w:r w:rsidR="00B059EC" w:rsidRPr="00081633">
        <w:rPr>
          <w:rFonts w:ascii="Cambria" w:hAnsi="Cambria"/>
          <w:b/>
          <w:sz w:val="20"/>
          <w:szCs w:val="20"/>
          <w:lang w:val="es-ES"/>
        </w:rPr>
        <w:t xml:space="preserve"> </w:t>
      </w:r>
      <w:r w:rsidR="001C4006" w:rsidRPr="00081633">
        <w:rPr>
          <w:rFonts w:ascii="Cambria" w:hAnsi="Cambria"/>
          <w:b/>
          <w:sz w:val="20"/>
          <w:szCs w:val="20"/>
          <w:lang w:val="es-ES"/>
        </w:rPr>
        <w:t>RE</w:t>
      </w:r>
      <w:r w:rsidR="0022310C" w:rsidRPr="00081633">
        <w:rPr>
          <w:rFonts w:ascii="Cambria" w:hAnsi="Cambria"/>
          <w:b/>
          <w:sz w:val="20"/>
          <w:szCs w:val="20"/>
          <w:lang w:val="es-ES"/>
        </w:rPr>
        <w:t>ITERA</w:t>
      </w:r>
      <w:r w:rsidRPr="009D1E2F">
        <w:rPr>
          <w:rFonts w:ascii="Cambria" w:hAnsi="Cambria"/>
          <w:b/>
          <w:sz w:val="20"/>
          <w:szCs w:val="20"/>
          <w:lang w:val="es-ES"/>
        </w:rPr>
        <w:t xml:space="preserve"> A </w:t>
      </w:r>
      <w:r w:rsidR="000E2468" w:rsidRPr="009D1E2F">
        <w:rPr>
          <w:rFonts w:ascii="Cambria" w:hAnsi="Cambria"/>
          <w:b/>
          <w:sz w:val="20"/>
          <w:szCs w:val="20"/>
          <w:lang w:val="es-ES"/>
        </w:rPr>
        <w:t>ESTADOS</w:t>
      </w:r>
      <w:r w:rsidR="00B059EC" w:rsidRPr="009D1E2F">
        <w:rPr>
          <w:rFonts w:ascii="Cambria" w:hAnsi="Cambria"/>
          <w:b/>
          <w:sz w:val="20"/>
          <w:szCs w:val="20"/>
          <w:lang w:val="es-ES"/>
        </w:rPr>
        <w:t xml:space="preserve"> </w:t>
      </w:r>
      <w:r w:rsidR="000E2468" w:rsidRPr="009D1E2F">
        <w:rPr>
          <w:rFonts w:ascii="Cambria" w:hAnsi="Cambria"/>
          <w:b/>
          <w:sz w:val="20"/>
          <w:szCs w:val="20"/>
          <w:lang w:val="es-ES"/>
        </w:rPr>
        <w:t>UNIDOS</w:t>
      </w:r>
      <w:r w:rsidR="00B059EC" w:rsidRPr="009D1E2F">
        <w:rPr>
          <w:rFonts w:ascii="Cambria" w:hAnsi="Cambria"/>
          <w:b/>
          <w:sz w:val="20"/>
          <w:szCs w:val="20"/>
          <w:lang w:val="es-ES"/>
        </w:rPr>
        <w:t xml:space="preserve"> </w:t>
      </w:r>
      <w:r w:rsidRPr="009D1E2F">
        <w:rPr>
          <w:rFonts w:ascii="Cambria" w:hAnsi="Cambria"/>
          <w:b/>
          <w:sz w:val="20"/>
          <w:szCs w:val="20"/>
          <w:lang w:val="es-ES"/>
        </w:rPr>
        <w:t>DE</w:t>
      </w:r>
      <w:r w:rsidR="00B059EC" w:rsidRPr="009D1E2F">
        <w:rPr>
          <w:rFonts w:ascii="Cambria" w:hAnsi="Cambria"/>
          <w:b/>
          <w:sz w:val="20"/>
          <w:szCs w:val="20"/>
          <w:lang w:val="es-ES"/>
        </w:rPr>
        <w:t xml:space="preserve"> </w:t>
      </w:r>
      <w:r w:rsidR="002E432F" w:rsidRPr="009D1E2F">
        <w:rPr>
          <w:rFonts w:ascii="Cambria" w:hAnsi="Cambria"/>
          <w:b/>
          <w:sz w:val="20"/>
          <w:szCs w:val="20"/>
          <w:lang w:val="es-ES"/>
        </w:rPr>
        <w:t>AM</w:t>
      </w:r>
      <w:r w:rsidRPr="009D1E2F">
        <w:rPr>
          <w:rFonts w:ascii="Cambria" w:hAnsi="Cambria"/>
          <w:b/>
          <w:sz w:val="20"/>
          <w:szCs w:val="20"/>
          <w:lang w:val="es-ES"/>
        </w:rPr>
        <w:t>É</w:t>
      </w:r>
      <w:r w:rsidR="002E432F" w:rsidRPr="009D1E2F">
        <w:rPr>
          <w:rFonts w:ascii="Cambria" w:hAnsi="Cambria"/>
          <w:b/>
          <w:sz w:val="20"/>
          <w:szCs w:val="20"/>
          <w:lang w:val="es-ES"/>
        </w:rPr>
        <w:t>RICA</w:t>
      </w:r>
      <w:r w:rsidRPr="009D1E2F">
        <w:rPr>
          <w:rFonts w:ascii="Cambria" w:hAnsi="Cambria"/>
          <w:b/>
          <w:sz w:val="20"/>
          <w:szCs w:val="20"/>
          <w:lang w:val="es-ES"/>
        </w:rPr>
        <w:t>:</w:t>
      </w:r>
    </w:p>
    <w:p w14:paraId="67FC995B" w14:textId="77777777" w:rsidR="001C4006" w:rsidRPr="009D1E2F" w:rsidRDefault="001C4006" w:rsidP="00817426">
      <w:pPr>
        <w:ind w:firstLine="720"/>
        <w:jc w:val="both"/>
        <w:rPr>
          <w:rFonts w:ascii="Cambria" w:hAnsi="Cambria"/>
          <w:b/>
          <w:sz w:val="20"/>
          <w:szCs w:val="20"/>
          <w:lang w:val="es-ES"/>
        </w:rPr>
      </w:pPr>
    </w:p>
    <w:p w14:paraId="6094156B" w14:textId="77777777" w:rsidR="00F86F6E" w:rsidRPr="0022310C" w:rsidRDefault="00481435" w:rsidP="0022310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r w:rsidRPr="009D1E2F">
        <w:rPr>
          <w:rFonts w:asciiTheme="majorHAnsi" w:hAnsiTheme="majorHAnsi"/>
          <w:sz w:val="20"/>
          <w:szCs w:val="20"/>
          <w:lang w:val="es-ES"/>
        </w:rPr>
        <w:t>Que otorgue reparaciones a la familia de</w:t>
      </w:r>
      <w:r w:rsidR="00B059EC" w:rsidRPr="009D1E2F">
        <w:rPr>
          <w:rFonts w:asciiTheme="majorHAnsi" w:hAnsiTheme="majorHAnsi"/>
          <w:sz w:val="20"/>
          <w:szCs w:val="20"/>
          <w:lang w:val="es-ES"/>
        </w:rPr>
        <w:t xml:space="preserve"> </w:t>
      </w:r>
      <w:proofErr w:type="spellStart"/>
      <w:r w:rsidR="00AF264B" w:rsidRPr="009D1E2F">
        <w:rPr>
          <w:rFonts w:asciiTheme="majorHAnsi" w:hAnsiTheme="majorHAnsi"/>
          <w:sz w:val="20"/>
          <w:szCs w:val="20"/>
          <w:lang w:val="es-ES"/>
        </w:rPr>
        <w:t>Marlin</w:t>
      </w:r>
      <w:proofErr w:type="spellEnd"/>
      <w:r w:rsidR="00B059EC" w:rsidRPr="009D1E2F">
        <w:rPr>
          <w:rFonts w:asciiTheme="majorHAnsi" w:hAnsiTheme="majorHAnsi"/>
          <w:sz w:val="20"/>
          <w:szCs w:val="20"/>
          <w:lang w:val="es-ES"/>
        </w:rPr>
        <w:t xml:space="preserve"> </w:t>
      </w:r>
      <w:r w:rsidR="00AF264B" w:rsidRPr="009D1E2F">
        <w:rPr>
          <w:rFonts w:asciiTheme="majorHAnsi" w:hAnsiTheme="majorHAnsi"/>
          <w:sz w:val="20"/>
          <w:szCs w:val="20"/>
          <w:lang w:val="es-ES"/>
        </w:rPr>
        <w:t>Gray</w:t>
      </w:r>
      <w:r w:rsidR="00B059EC" w:rsidRPr="009D1E2F">
        <w:rPr>
          <w:rFonts w:asciiTheme="majorHAnsi" w:hAnsiTheme="majorHAnsi"/>
          <w:sz w:val="20"/>
          <w:szCs w:val="20"/>
          <w:lang w:val="es-ES"/>
        </w:rPr>
        <w:t xml:space="preserve"> </w:t>
      </w:r>
      <w:r w:rsidR="00C56198">
        <w:rPr>
          <w:rFonts w:asciiTheme="majorHAnsi" w:hAnsiTheme="majorHAnsi"/>
          <w:sz w:val="20"/>
          <w:szCs w:val="20"/>
          <w:lang w:val="es-ES"/>
        </w:rPr>
        <w:t>como consecuencia de las violaciones demostradas en el presente informe, incluido el pago de</w:t>
      </w:r>
      <w:r w:rsidR="00B059EC" w:rsidRPr="0022310C">
        <w:rPr>
          <w:rFonts w:asciiTheme="majorHAnsi" w:hAnsiTheme="majorHAnsi"/>
          <w:sz w:val="20"/>
          <w:szCs w:val="20"/>
          <w:lang w:val="es-ES"/>
        </w:rPr>
        <w:t xml:space="preserve"> </w:t>
      </w:r>
      <w:r w:rsidRPr="0022310C">
        <w:rPr>
          <w:rFonts w:asciiTheme="majorHAnsi" w:hAnsiTheme="majorHAnsi"/>
          <w:sz w:val="20"/>
          <w:szCs w:val="20"/>
          <w:lang w:val="es-ES"/>
        </w:rPr>
        <w:t>una indemnización pecuniaria;</w:t>
      </w:r>
    </w:p>
    <w:p w14:paraId="2C069026" w14:textId="77777777" w:rsidR="00516C89" w:rsidRPr="0022310C" w:rsidRDefault="00516C89" w:rsidP="002231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sz w:val="20"/>
          <w:szCs w:val="20"/>
          <w:lang w:val="es-ES"/>
        </w:rPr>
      </w:pPr>
    </w:p>
    <w:p w14:paraId="12D4D953" w14:textId="77777777" w:rsidR="008A6254" w:rsidRPr="0022310C" w:rsidRDefault="00481435" w:rsidP="0022310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r w:rsidRPr="0022310C">
        <w:rPr>
          <w:rFonts w:asciiTheme="majorHAnsi" w:hAnsiTheme="majorHAnsi"/>
          <w:sz w:val="20"/>
          <w:szCs w:val="20"/>
          <w:lang w:val="es-ES"/>
        </w:rPr>
        <w:t xml:space="preserve">Que </w:t>
      </w:r>
      <w:r w:rsidR="00C56198" w:rsidRPr="0022310C">
        <w:rPr>
          <w:rFonts w:asciiTheme="majorHAnsi" w:hAnsiTheme="majorHAnsi"/>
          <w:sz w:val="20"/>
          <w:szCs w:val="20"/>
          <w:lang w:val="es-ES"/>
        </w:rPr>
        <w:t xml:space="preserve">asegure el cumplimiento de las </w:t>
      </w:r>
      <w:r w:rsidR="005B3F2B" w:rsidRPr="0022310C">
        <w:rPr>
          <w:rFonts w:asciiTheme="majorHAnsi" w:hAnsiTheme="majorHAnsi"/>
          <w:sz w:val="20"/>
          <w:szCs w:val="20"/>
          <w:lang w:val="es-ES"/>
        </w:rPr>
        <w:t>medidas</w:t>
      </w:r>
      <w:r w:rsidR="00B059EC" w:rsidRPr="0022310C">
        <w:rPr>
          <w:rFonts w:asciiTheme="majorHAnsi" w:hAnsiTheme="majorHAnsi"/>
          <w:sz w:val="20"/>
          <w:szCs w:val="20"/>
          <w:lang w:val="es-ES"/>
        </w:rPr>
        <w:t xml:space="preserve"> </w:t>
      </w:r>
      <w:r w:rsidR="005B3F2B" w:rsidRPr="0022310C">
        <w:rPr>
          <w:rFonts w:asciiTheme="majorHAnsi" w:hAnsiTheme="majorHAnsi"/>
          <w:sz w:val="20"/>
          <w:szCs w:val="20"/>
          <w:lang w:val="es-ES"/>
        </w:rPr>
        <w:t>cautelares</w:t>
      </w:r>
      <w:r w:rsidR="00B059EC" w:rsidRPr="0022310C">
        <w:rPr>
          <w:rFonts w:asciiTheme="majorHAnsi" w:hAnsiTheme="majorHAnsi"/>
          <w:sz w:val="20"/>
          <w:szCs w:val="20"/>
          <w:lang w:val="es-ES"/>
        </w:rPr>
        <w:t xml:space="preserve"> </w:t>
      </w:r>
      <w:r w:rsidR="00175FF7" w:rsidRPr="0022310C">
        <w:rPr>
          <w:rFonts w:asciiTheme="majorHAnsi" w:hAnsiTheme="majorHAnsi"/>
          <w:sz w:val="20"/>
          <w:szCs w:val="20"/>
          <w:lang w:val="es-ES"/>
        </w:rPr>
        <w:t>otorgadas por</w:t>
      </w:r>
      <w:r w:rsidR="00B059EC" w:rsidRPr="0022310C">
        <w:rPr>
          <w:rFonts w:asciiTheme="majorHAnsi" w:hAnsiTheme="majorHAnsi"/>
          <w:sz w:val="20"/>
          <w:szCs w:val="20"/>
          <w:lang w:val="es-ES"/>
        </w:rPr>
        <w:t xml:space="preserve"> </w:t>
      </w:r>
      <w:r w:rsidR="00363E52" w:rsidRPr="0022310C">
        <w:rPr>
          <w:rFonts w:asciiTheme="majorHAnsi" w:hAnsiTheme="majorHAnsi"/>
          <w:sz w:val="20"/>
          <w:szCs w:val="20"/>
          <w:lang w:val="es-ES"/>
        </w:rPr>
        <w:t>la</w:t>
      </w:r>
      <w:r w:rsidR="00B059EC" w:rsidRPr="0022310C">
        <w:rPr>
          <w:rFonts w:asciiTheme="majorHAnsi" w:hAnsiTheme="majorHAnsi"/>
          <w:sz w:val="20"/>
          <w:szCs w:val="20"/>
          <w:lang w:val="es-ES"/>
        </w:rPr>
        <w:t xml:space="preserve"> </w:t>
      </w:r>
      <w:r w:rsidR="00363E52" w:rsidRPr="0022310C">
        <w:rPr>
          <w:rFonts w:asciiTheme="majorHAnsi" w:hAnsiTheme="majorHAnsi"/>
          <w:sz w:val="20"/>
          <w:szCs w:val="20"/>
          <w:lang w:val="es-ES"/>
        </w:rPr>
        <w:t>CIDH</w:t>
      </w:r>
      <w:r w:rsidR="00B059EC" w:rsidRPr="0022310C">
        <w:rPr>
          <w:rFonts w:asciiTheme="majorHAnsi" w:hAnsiTheme="majorHAnsi"/>
          <w:sz w:val="20"/>
          <w:szCs w:val="20"/>
          <w:lang w:val="es-ES"/>
        </w:rPr>
        <w:t xml:space="preserve"> </w:t>
      </w:r>
      <w:r w:rsidR="00175FF7" w:rsidRPr="0022310C">
        <w:rPr>
          <w:rFonts w:asciiTheme="majorHAnsi" w:hAnsiTheme="majorHAnsi"/>
          <w:sz w:val="20"/>
          <w:szCs w:val="20"/>
          <w:lang w:val="es-ES"/>
        </w:rPr>
        <w:t xml:space="preserve">en relación con personas condenadas a </w:t>
      </w:r>
      <w:r w:rsidR="00817426" w:rsidRPr="0022310C">
        <w:rPr>
          <w:rFonts w:asciiTheme="majorHAnsi" w:hAnsiTheme="majorHAnsi"/>
          <w:sz w:val="20"/>
          <w:szCs w:val="20"/>
          <w:lang w:val="es-ES"/>
        </w:rPr>
        <w:t>muerte</w:t>
      </w:r>
      <w:r w:rsidRPr="0022310C">
        <w:rPr>
          <w:rFonts w:asciiTheme="majorHAnsi" w:hAnsiTheme="majorHAnsi"/>
          <w:sz w:val="20"/>
          <w:szCs w:val="20"/>
          <w:lang w:val="es-ES"/>
        </w:rPr>
        <w:t>;</w:t>
      </w:r>
    </w:p>
    <w:p w14:paraId="0AA1FEA0" w14:textId="77777777" w:rsidR="008A6254" w:rsidRPr="0022310C" w:rsidRDefault="008A6254" w:rsidP="002231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sz w:val="20"/>
          <w:szCs w:val="20"/>
          <w:lang w:val="es-ES"/>
        </w:rPr>
      </w:pPr>
    </w:p>
    <w:p w14:paraId="03B1FFD1" w14:textId="77777777" w:rsidR="001C4006" w:rsidRPr="0022310C" w:rsidRDefault="00481435" w:rsidP="0022310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r w:rsidRPr="0022310C">
        <w:rPr>
          <w:rFonts w:asciiTheme="majorHAnsi" w:hAnsiTheme="majorHAnsi"/>
          <w:sz w:val="20"/>
          <w:szCs w:val="20"/>
          <w:lang w:val="es-ES"/>
        </w:rPr>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00A54E22" w:rsidRPr="0022310C">
        <w:rPr>
          <w:rFonts w:asciiTheme="majorHAnsi" w:hAnsiTheme="majorHAnsi"/>
          <w:sz w:val="20"/>
          <w:szCs w:val="20"/>
          <w:vertAlign w:val="superscript"/>
        </w:rPr>
        <w:footnoteReference w:id="78"/>
      </w:r>
      <w:r w:rsidRPr="0022310C">
        <w:rPr>
          <w:rFonts w:asciiTheme="majorHAnsi" w:hAnsiTheme="majorHAnsi"/>
          <w:sz w:val="20"/>
          <w:szCs w:val="20"/>
          <w:lang w:val="es-ES"/>
        </w:rPr>
        <w:t>.</w:t>
      </w:r>
    </w:p>
    <w:p w14:paraId="5EAFB789" w14:textId="77777777" w:rsidR="00081633" w:rsidRPr="00D006F7" w:rsidRDefault="00081633" w:rsidP="00081633">
      <w:pPr>
        <w:jc w:val="both"/>
        <w:rPr>
          <w:rFonts w:ascii="Cambria" w:eastAsia="Times New Roman" w:hAnsi="Cambria" w:cs="Tahoma"/>
          <w:color w:val="000000"/>
          <w:sz w:val="20"/>
          <w:szCs w:val="20"/>
          <w:u w:color="000000"/>
          <w:bdr w:val="none" w:sz="0" w:space="0" w:color="auto" w:frame="1"/>
          <w:lang w:val="es-ES_tradnl" w:eastAsia="es-ES"/>
        </w:rPr>
      </w:pPr>
    </w:p>
    <w:p w14:paraId="1620EEF8" w14:textId="77777777" w:rsidR="00081633" w:rsidRPr="00D457AE" w:rsidRDefault="00081633" w:rsidP="00081633">
      <w:pPr>
        <w:pStyle w:val="Heading1"/>
        <w:tabs>
          <w:tab w:val="left" w:pos="360"/>
        </w:tabs>
        <w:spacing w:before="0"/>
        <w:ind w:hanging="720"/>
        <w:rPr>
          <w:color w:val="auto"/>
          <w:sz w:val="20"/>
          <w:szCs w:val="20"/>
          <w:lang w:val="es-ES"/>
        </w:rPr>
      </w:pPr>
      <w:bookmarkStart w:id="36" w:name="_Toc26552696"/>
      <w:bookmarkStart w:id="37" w:name="_Toc87522752"/>
      <w:bookmarkStart w:id="38" w:name="_Toc90117850"/>
      <w:bookmarkStart w:id="39" w:name="_Toc90283160"/>
      <w:bookmarkStart w:id="40" w:name="_Toc90284837"/>
      <w:r w:rsidRPr="00D457AE">
        <w:rPr>
          <w:color w:val="auto"/>
          <w:sz w:val="20"/>
          <w:szCs w:val="20"/>
          <w:lang w:val="es-ES"/>
        </w:rPr>
        <w:t>PUBLICACIÓN</w:t>
      </w:r>
      <w:bookmarkEnd w:id="36"/>
      <w:bookmarkEnd w:id="37"/>
      <w:bookmarkEnd w:id="38"/>
      <w:bookmarkEnd w:id="39"/>
      <w:bookmarkEnd w:id="40"/>
    </w:p>
    <w:p w14:paraId="087C5EAA" w14:textId="77777777" w:rsidR="00081633" w:rsidRPr="00D457AE" w:rsidRDefault="00081633" w:rsidP="00081633">
      <w:pPr>
        <w:ind w:left="360"/>
        <w:jc w:val="both"/>
        <w:rPr>
          <w:lang w:val="es-UY"/>
        </w:rPr>
      </w:pPr>
    </w:p>
    <w:p w14:paraId="26484693" w14:textId="77777777" w:rsidR="00081633" w:rsidRPr="00D457AE" w:rsidRDefault="00081633" w:rsidP="000816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AR"/>
        </w:rPr>
      </w:pPr>
      <w:r w:rsidRPr="00D457AE">
        <w:rPr>
          <w:rFonts w:asciiTheme="majorHAnsi" w:hAnsiTheme="majorHAnsi"/>
          <w:color w:val="000000" w:themeColor="text1"/>
          <w:sz w:val="20"/>
          <w:szCs w:val="20"/>
          <w:lang w:val="es-ES"/>
        </w:rPr>
        <w:t>En</w:t>
      </w:r>
      <w:r w:rsidRPr="00D457AE">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3DC82C53" w14:textId="7722B015" w:rsidR="0022310C" w:rsidRDefault="0022310C" w:rsidP="00817426">
      <w:pPr>
        <w:tabs>
          <w:tab w:val="center" w:pos="5400"/>
        </w:tabs>
        <w:suppressAutoHyphens/>
        <w:spacing w:line="276" w:lineRule="auto"/>
        <w:ind w:left="360" w:hanging="360"/>
        <w:rPr>
          <w:rFonts w:asciiTheme="majorHAnsi" w:hAnsiTheme="majorHAnsi"/>
          <w:sz w:val="20"/>
          <w:szCs w:val="20"/>
          <w:lang w:val="es-ES"/>
        </w:rPr>
      </w:pPr>
    </w:p>
    <w:p w14:paraId="4B866032" w14:textId="77777777" w:rsidR="004F1137" w:rsidRDefault="004F1137" w:rsidP="004F1137">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Presidenta;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08CA14A3" w14:textId="77777777" w:rsidR="004F1137" w:rsidRPr="009D1E2F" w:rsidRDefault="004F1137" w:rsidP="00817426">
      <w:pPr>
        <w:tabs>
          <w:tab w:val="center" w:pos="5400"/>
        </w:tabs>
        <w:suppressAutoHyphens/>
        <w:spacing w:line="276" w:lineRule="auto"/>
        <w:ind w:left="360" w:hanging="360"/>
        <w:rPr>
          <w:rFonts w:asciiTheme="majorHAnsi" w:hAnsiTheme="majorHAnsi"/>
          <w:sz w:val="20"/>
          <w:szCs w:val="20"/>
          <w:lang w:val="es-ES"/>
        </w:rPr>
      </w:pPr>
    </w:p>
    <w:sectPr w:rsidR="004F1137" w:rsidRPr="009D1E2F" w:rsidSect="006311DA">
      <w:footerReference w:type="first" r:id="rId2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E649" w14:textId="77777777" w:rsidR="00A16B38" w:rsidRDefault="00A16B38" w:rsidP="00036A8A">
      <w:r>
        <w:separator/>
      </w:r>
    </w:p>
  </w:endnote>
  <w:endnote w:type="continuationSeparator" w:id="0">
    <w:p w14:paraId="3A090944" w14:textId="77777777" w:rsidR="00A16B38" w:rsidRDefault="00A16B3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5F18BDC" w14:textId="77777777" w:rsidR="00B30ED6" w:rsidRPr="006311DA" w:rsidRDefault="00B30ED6">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1</w:t>
        </w:r>
        <w:r>
          <w:rPr>
            <w:noProof/>
            <w:sz w:val="16"/>
          </w:rPr>
          <w:fldChar w:fldCharType="end"/>
        </w:r>
      </w:p>
    </w:sdtContent>
  </w:sdt>
  <w:p w14:paraId="1E8F35E7" w14:textId="77777777" w:rsidR="00B30ED6" w:rsidRDefault="00B3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32D" w14:textId="77777777" w:rsidR="00B30ED6" w:rsidRDefault="00B30ED6">
    <w:pPr>
      <w:pStyle w:val="Footer"/>
      <w:jc w:val="center"/>
    </w:pPr>
  </w:p>
  <w:p w14:paraId="3C6CD6D4" w14:textId="77777777" w:rsidR="00B30ED6" w:rsidRDefault="00B30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117DA6A" w14:textId="77777777" w:rsidR="00B30ED6" w:rsidRDefault="00B30ED6">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B22BC38" w14:textId="77777777" w:rsidR="00B30ED6" w:rsidRDefault="00B3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9BDB" w14:textId="77777777" w:rsidR="00A16B38" w:rsidRPr="00036A8A" w:rsidRDefault="00A16B3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FFE770" w14:textId="77777777" w:rsidR="00A16B38" w:rsidRPr="00036A8A" w:rsidRDefault="00A16B38" w:rsidP="00036A8A">
      <w:pPr>
        <w:rPr>
          <w:rFonts w:asciiTheme="majorHAnsi" w:hAnsiTheme="majorHAnsi"/>
          <w:sz w:val="16"/>
          <w:szCs w:val="16"/>
        </w:rPr>
      </w:pPr>
      <w:r w:rsidRPr="00036A8A">
        <w:rPr>
          <w:rFonts w:asciiTheme="majorHAnsi" w:hAnsiTheme="majorHAnsi"/>
          <w:sz w:val="16"/>
          <w:szCs w:val="16"/>
        </w:rPr>
        <w:separator/>
      </w:r>
    </w:p>
    <w:p w14:paraId="3B5EAA99" w14:textId="77777777" w:rsidR="00A16B38" w:rsidRPr="00036A8A" w:rsidRDefault="00A16B3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spellStart"/>
      <w:r>
        <w:rPr>
          <w:rFonts w:asciiTheme="majorHAnsi" w:hAnsiTheme="majorHAnsi"/>
          <w:sz w:val="16"/>
          <w:szCs w:val="16"/>
        </w:rPr>
        <w:t>c</w:t>
      </w:r>
      <w:r w:rsidRPr="00036A8A">
        <w:rPr>
          <w:rFonts w:asciiTheme="majorHAnsi" w:hAnsiTheme="majorHAnsi"/>
          <w:sz w:val="16"/>
          <w:szCs w:val="16"/>
        </w:rPr>
        <w:t>ontinua</w:t>
      </w:r>
      <w:r>
        <w:rPr>
          <w:rFonts w:asciiTheme="majorHAnsi" w:hAnsiTheme="majorHAnsi"/>
          <w:sz w:val="16"/>
          <w:szCs w:val="16"/>
        </w:rPr>
        <w:t>ción</w:t>
      </w:r>
      <w:proofErr w:type="spellEnd"/>
      <w:r>
        <w:rPr>
          <w:rFonts w:asciiTheme="majorHAnsi" w:hAnsiTheme="majorHAnsi"/>
          <w:sz w:val="16"/>
          <w:szCs w:val="16"/>
        </w:rPr>
        <w:t>]</w:t>
      </w:r>
    </w:p>
  </w:footnote>
  <w:footnote w:type="continuationNotice" w:id="1">
    <w:p w14:paraId="1F02B452" w14:textId="77777777" w:rsidR="00A16B38" w:rsidRPr="00915246" w:rsidRDefault="00A16B38" w:rsidP="005B222D">
      <w:pPr>
        <w:jc w:val="right"/>
        <w:rPr>
          <w:rFonts w:asciiTheme="majorHAnsi" w:hAnsiTheme="majorHAnsi"/>
          <w:sz w:val="16"/>
          <w:szCs w:val="16"/>
          <w:lang w:val="es-ES"/>
        </w:rPr>
      </w:pPr>
      <w:r w:rsidRPr="00915246">
        <w:rPr>
          <w:rFonts w:asciiTheme="majorHAnsi" w:hAnsiTheme="majorHAnsi"/>
          <w:sz w:val="16"/>
          <w:szCs w:val="16"/>
          <w:lang w:val="es-ES"/>
        </w:rPr>
        <w:t>[continúa…]</w:t>
      </w:r>
    </w:p>
  </w:footnote>
  <w:footnote w:id="2">
    <w:p w14:paraId="60E44C26"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El 10 de mayo de 2004, la CIDH otorgó medidas cautelares a favor de </w:t>
      </w:r>
      <w:proofErr w:type="spellStart"/>
      <w:r w:rsidRPr="0097061F">
        <w:rPr>
          <w:rFonts w:asciiTheme="majorHAnsi" w:hAnsiTheme="majorHAnsi"/>
          <w:sz w:val="16"/>
          <w:szCs w:val="16"/>
          <w:lang w:val="es-ES"/>
        </w:rPr>
        <w:t>Marlin</w:t>
      </w:r>
      <w:proofErr w:type="spellEnd"/>
      <w:r w:rsidRPr="0097061F">
        <w:rPr>
          <w:rFonts w:asciiTheme="majorHAnsi" w:hAnsiTheme="majorHAnsi"/>
          <w:sz w:val="16"/>
          <w:szCs w:val="16"/>
          <w:lang w:val="es-ES"/>
        </w:rPr>
        <w:t xml:space="preserve"> Gray de conformidad con el artículo 25.1 de su Reglamento, solicitó a Estados Unidos que tomara las medidas necesarias para preservar su vida e integridad física a fin de no obstaculizar la tramitación del caso ante el sistema interamericano y reiteró ese pedido por medio de una nota del </w:t>
      </w:r>
      <w:r w:rsidRPr="0097061F">
        <w:rPr>
          <w:rFonts w:ascii="Cambria" w:eastAsia="Cambria" w:hAnsi="Cambria" w:cs="Cambria"/>
          <w:sz w:val="16"/>
          <w:szCs w:val="16"/>
          <w:lang w:val="es-ES"/>
        </w:rPr>
        <w:t>10 de octubre de 2005</w:t>
      </w:r>
      <w:r w:rsidRPr="0097061F">
        <w:rPr>
          <w:rFonts w:asciiTheme="majorHAnsi" w:hAnsiTheme="majorHAnsi"/>
          <w:sz w:val="16"/>
          <w:szCs w:val="16"/>
          <w:lang w:val="es-ES"/>
        </w:rPr>
        <w:t>.</w:t>
      </w:r>
    </w:p>
  </w:footnote>
  <w:footnote w:id="3">
    <w:p w14:paraId="314A3BA7" w14:textId="77777777" w:rsidR="00B30ED6" w:rsidRPr="002F62A9" w:rsidRDefault="00B30ED6" w:rsidP="008A6254">
      <w:pPr>
        <w:pStyle w:val="FootnoteText"/>
        <w:jc w:val="both"/>
        <w:rPr>
          <w:rFonts w:asciiTheme="majorHAnsi" w:hAnsiTheme="majorHAnsi"/>
          <w:sz w:val="16"/>
          <w:szCs w:val="16"/>
          <w:lang w:val="es-US"/>
        </w:rPr>
      </w:pPr>
      <w:r w:rsidRPr="0097061F">
        <w:rPr>
          <w:rStyle w:val="FootnoteReference"/>
          <w:rFonts w:asciiTheme="majorHAnsi" w:hAnsiTheme="majorHAnsi"/>
          <w:sz w:val="16"/>
          <w:lang w:val="es-ES"/>
        </w:rPr>
        <w:footnoteRef/>
      </w:r>
      <w:r w:rsidRPr="0097061F">
        <w:rPr>
          <w:rFonts w:asciiTheme="majorHAnsi" w:hAnsiTheme="majorHAnsi"/>
          <w:sz w:val="16"/>
          <w:lang w:val="es-ES"/>
        </w:rPr>
        <w:t xml:space="preserve"> CIDH.</w:t>
      </w:r>
      <w:r w:rsidRPr="0097061F">
        <w:rPr>
          <w:rFonts w:asciiTheme="majorHAnsi" w:hAnsiTheme="majorHAnsi"/>
          <w:sz w:val="16"/>
          <w:szCs w:val="16"/>
          <w:lang w:val="es-ES"/>
        </w:rPr>
        <w:t xml:space="preserve"> Informe No. 79/05. Petición P-396-04. Admisibilidad. </w:t>
      </w:r>
      <w:proofErr w:type="spellStart"/>
      <w:r w:rsidRPr="0097061F">
        <w:rPr>
          <w:rFonts w:asciiTheme="majorHAnsi" w:hAnsiTheme="majorHAnsi"/>
          <w:sz w:val="16"/>
          <w:szCs w:val="16"/>
          <w:lang w:val="es-ES"/>
        </w:rPr>
        <w:t>Marlin</w:t>
      </w:r>
      <w:proofErr w:type="spellEnd"/>
      <w:r w:rsidRPr="0097061F">
        <w:rPr>
          <w:rFonts w:asciiTheme="majorHAnsi" w:hAnsiTheme="majorHAnsi"/>
          <w:sz w:val="16"/>
          <w:szCs w:val="16"/>
          <w:lang w:val="es-ES"/>
        </w:rPr>
        <w:t xml:space="preserve"> Gray. Estados Unidos. </w:t>
      </w:r>
      <w:r w:rsidRPr="002F62A9">
        <w:rPr>
          <w:rFonts w:asciiTheme="majorHAnsi" w:hAnsiTheme="majorHAnsi"/>
          <w:sz w:val="16"/>
          <w:szCs w:val="16"/>
          <w:lang w:val="es-US"/>
        </w:rPr>
        <w:t>24 de octubre de 2005.</w:t>
      </w:r>
    </w:p>
  </w:footnote>
  <w:footnote w:id="4">
    <w:p w14:paraId="07DF3416"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2F62A9">
        <w:rPr>
          <w:rFonts w:asciiTheme="majorHAnsi" w:hAnsiTheme="majorHAnsi"/>
          <w:sz w:val="16"/>
          <w:szCs w:val="16"/>
          <w:lang w:val="es-US"/>
        </w:rPr>
        <w:t xml:space="preserve"> </w:t>
      </w:r>
      <w:proofErr w:type="spellStart"/>
      <w:r w:rsidRPr="002F62A9">
        <w:rPr>
          <w:rFonts w:asciiTheme="majorHAnsi" w:hAnsiTheme="majorHAnsi"/>
          <w:sz w:val="16"/>
          <w:szCs w:val="16"/>
          <w:lang w:val="es-US"/>
        </w:rPr>
        <w:t>State</w:t>
      </w:r>
      <w:proofErr w:type="spellEnd"/>
      <w:r w:rsidRPr="002F62A9">
        <w:rPr>
          <w:rFonts w:asciiTheme="majorHAnsi" w:hAnsiTheme="majorHAnsi"/>
          <w:sz w:val="16"/>
          <w:szCs w:val="16"/>
          <w:lang w:val="es-US"/>
        </w:rPr>
        <w:t xml:space="preserve"> v Gray, 887 S.W. 2d, párr. </w:t>
      </w:r>
      <w:r w:rsidRPr="0097061F">
        <w:rPr>
          <w:rFonts w:asciiTheme="majorHAnsi" w:hAnsiTheme="majorHAnsi"/>
          <w:sz w:val="16"/>
          <w:szCs w:val="16"/>
        </w:rPr>
        <w:t>377.</w:t>
      </w:r>
    </w:p>
  </w:footnote>
  <w:footnote w:id="5">
    <w:p w14:paraId="18DDEF3C"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w:t>
      </w:r>
      <w:proofErr w:type="spellStart"/>
      <w:r w:rsidRPr="0097061F">
        <w:rPr>
          <w:rFonts w:asciiTheme="majorHAnsi" w:hAnsiTheme="majorHAnsi"/>
          <w:sz w:val="16"/>
          <w:szCs w:val="16"/>
        </w:rPr>
        <w:t>párr</w:t>
      </w:r>
      <w:proofErr w:type="spellEnd"/>
      <w:r w:rsidRPr="0097061F">
        <w:rPr>
          <w:rFonts w:asciiTheme="majorHAnsi" w:hAnsiTheme="majorHAnsi"/>
          <w:sz w:val="16"/>
          <w:szCs w:val="16"/>
        </w:rPr>
        <w:t>. 375.</w:t>
      </w:r>
    </w:p>
  </w:footnote>
  <w:footnote w:id="6">
    <w:p w14:paraId="152F8FF7"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MO. REV. STAT. 565.020(1)</w:t>
      </w:r>
    </w:p>
  </w:footnote>
  <w:footnote w:id="7">
    <w:p w14:paraId="5CB2AEED"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w:t>
      </w:r>
      <w:proofErr w:type="spellStart"/>
      <w:r w:rsidRPr="0097061F">
        <w:rPr>
          <w:rFonts w:asciiTheme="majorHAnsi" w:hAnsiTheme="majorHAnsi"/>
          <w:sz w:val="16"/>
          <w:szCs w:val="16"/>
        </w:rPr>
        <w:t>párr</w:t>
      </w:r>
      <w:proofErr w:type="spellEnd"/>
      <w:r w:rsidRPr="0097061F">
        <w:rPr>
          <w:rFonts w:asciiTheme="majorHAnsi" w:hAnsiTheme="majorHAnsi"/>
          <w:sz w:val="16"/>
          <w:szCs w:val="16"/>
        </w:rPr>
        <w:t xml:space="preserve">. </w:t>
      </w:r>
      <w:r w:rsidRPr="0097061F">
        <w:rPr>
          <w:rFonts w:asciiTheme="majorHAnsi" w:hAnsiTheme="majorHAnsi"/>
          <w:sz w:val="16"/>
          <w:szCs w:val="16"/>
          <w:lang w:val="es-ES"/>
        </w:rPr>
        <w:t>377.</w:t>
      </w:r>
    </w:p>
  </w:footnote>
  <w:footnote w:id="8">
    <w:p w14:paraId="4DED9CC7"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Tercera respuesta del Estado, presentada el 31 de mayo de 2006.</w:t>
      </w:r>
    </w:p>
  </w:footnote>
  <w:footnote w:id="9">
    <w:p w14:paraId="2FA4609A" w14:textId="77777777" w:rsidR="00B30ED6" w:rsidRPr="0097061F" w:rsidRDefault="00B30ED6" w:rsidP="00C9221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MO. REV. STAT. 562.041.</w:t>
      </w:r>
    </w:p>
  </w:footnote>
  <w:footnote w:id="10">
    <w:p w14:paraId="501AB369" w14:textId="77777777" w:rsidR="00B30ED6" w:rsidRPr="0097061F" w:rsidRDefault="00B30ED6" w:rsidP="001741DD">
      <w:pPr>
        <w:pStyle w:val="FootnoteText"/>
        <w:jc w:val="both"/>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rPr>
        <w:t xml:space="preserve"> </w:t>
      </w:r>
      <w:r w:rsidRPr="0097061F">
        <w:rPr>
          <w:rFonts w:asciiTheme="majorHAnsi" w:hAnsiTheme="majorHAnsi"/>
          <w:sz w:val="16"/>
          <w:szCs w:val="16"/>
        </w:rPr>
        <w:t>State v. Isa, 850 S.W.2d 876, 882-83 (Mo. 1993); State v. Six, 805 S.W.2d 159, 165 (Mo. 1991); State v. Betts, 646 S.W.2d 94, 95 (Mo. 1983).</w:t>
      </w:r>
    </w:p>
  </w:footnote>
  <w:footnote w:id="11">
    <w:p w14:paraId="2B619737" w14:textId="77777777" w:rsidR="00B30ED6" w:rsidRPr="0097061F" w:rsidRDefault="00B30ED6">
      <w:pPr>
        <w:pStyle w:val="FootnoteText"/>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rPr>
        <w:t xml:space="preserve"> </w:t>
      </w:r>
      <w:r w:rsidRPr="0097061F">
        <w:rPr>
          <w:rFonts w:asciiTheme="majorHAnsi" w:hAnsiTheme="majorHAnsi"/>
          <w:sz w:val="16"/>
          <w:szCs w:val="16"/>
        </w:rPr>
        <w:t>State v. Roberts, 709 S.W.2d 857, 860 (Mo. 1986); State v. Lindsay, 507 S.W.2d 1, 2 (Mo. 1974).</w:t>
      </w:r>
    </w:p>
  </w:footnote>
  <w:footnote w:id="12">
    <w:p w14:paraId="59F2EB2D" w14:textId="77777777" w:rsidR="00B30ED6" w:rsidRPr="0097061F" w:rsidRDefault="00B30ED6" w:rsidP="004B20D9">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Gray v Bowersox 281 F.3d 749 (8</w:t>
      </w:r>
      <w:r w:rsidRPr="0097061F">
        <w:rPr>
          <w:rFonts w:asciiTheme="majorHAnsi" w:hAnsiTheme="majorHAnsi"/>
          <w:sz w:val="16"/>
          <w:szCs w:val="16"/>
          <w:vertAlign w:val="superscript"/>
        </w:rPr>
        <w:t>th</w:t>
      </w:r>
      <w:r w:rsidRPr="0097061F">
        <w:rPr>
          <w:rFonts w:asciiTheme="majorHAnsi" w:hAnsiTheme="majorHAnsi"/>
          <w:sz w:val="16"/>
          <w:szCs w:val="16"/>
        </w:rPr>
        <w:t xml:space="preserve"> Cir. 2002).</w:t>
      </w:r>
    </w:p>
  </w:footnote>
  <w:footnote w:id="13">
    <w:p w14:paraId="57350127" w14:textId="77777777" w:rsidR="00B30ED6" w:rsidRPr="0097061F" w:rsidRDefault="00B30ED6">
      <w:pPr>
        <w:pStyle w:val="FootnoteText"/>
        <w:rPr>
          <w:rFonts w:asciiTheme="majorHAnsi" w:hAnsiTheme="majorHAnsi"/>
          <w:sz w:val="16"/>
          <w:szCs w:val="16"/>
          <w:lang w:val="es-ES"/>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rPr>
        <w:t xml:space="preserve"> Missouri Death Row. Capital Punishment in Missouri. </w:t>
      </w:r>
      <w:r w:rsidRPr="0097061F">
        <w:rPr>
          <w:rFonts w:asciiTheme="majorHAnsi" w:hAnsiTheme="majorHAnsi"/>
          <w:color w:val="auto"/>
          <w:sz w:val="16"/>
          <w:szCs w:val="16"/>
          <w:lang w:val="es-ES"/>
        </w:rPr>
        <w:t xml:space="preserve">Se encuentra en </w:t>
      </w:r>
      <w:r w:rsidRPr="0097061F">
        <w:rPr>
          <w:rFonts w:asciiTheme="majorHAnsi" w:hAnsiTheme="majorHAnsi" w:cs="Arial"/>
          <w:color w:val="auto"/>
          <w:spacing w:val="5"/>
          <w:sz w:val="16"/>
          <w:szCs w:val="16"/>
          <w:lang w:val="es-ES"/>
        </w:rPr>
        <w:t>https://missourideathrow.com/2008/12/gray_marlin/.</w:t>
      </w:r>
    </w:p>
  </w:footnote>
  <w:footnote w:id="14">
    <w:p w14:paraId="277A0CE9" w14:textId="77777777" w:rsidR="00B30ED6" w:rsidRPr="0097061F" w:rsidRDefault="00B30ED6">
      <w:pPr>
        <w:pStyle w:val="FootnoteText"/>
        <w:rPr>
          <w:lang w:val="es-ES"/>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rPr>
        <w:t xml:space="preserve"> Missouri Death Row. Capital Punishment in Missouri. </w:t>
      </w:r>
      <w:r w:rsidRPr="0097061F">
        <w:rPr>
          <w:rFonts w:asciiTheme="majorHAnsi" w:hAnsiTheme="majorHAnsi"/>
          <w:color w:val="auto"/>
          <w:sz w:val="16"/>
          <w:szCs w:val="16"/>
          <w:lang w:val="es-ES"/>
        </w:rPr>
        <w:t>Se encuentra en</w:t>
      </w:r>
      <w:r w:rsidRPr="0097061F">
        <w:rPr>
          <w:rFonts w:asciiTheme="majorHAnsi" w:hAnsiTheme="majorHAnsi" w:cs="Arial"/>
          <w:color w:val="auto"/>
          <w:spacing w:val="5"/>
          <w:sz w:val="16"/>
          <w:szCs w:val="16"/>
          <w:lang w:val="es-ES"/>
        </w:rPr>
        <w:t xml:space="preserve"> https://missourideathrow.com/2008/12/gray_marlin/.</w:t>
      </w:r>
    </w:p>
  </w:footnote>
  <w:footnote w:id="15">
    <w:p w14:paraId="104E1506"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rPr>
        <w:t xml:space="preserve"> Gray v Bowersox 281 F.3d 749 (8</w:t>
      </w:r>
      <w:r w:rsidRPr="0097061F">
        <w:rPr>
          <w:rFonts w:asciiTheme="majorHAnsi" w:hAnsiTheme="majorHAnsi"/>
          <w:color w:val="auto"/>
          <w:sz w:val="16"/>
          <w:szCs w:val="16"/>
          <w:vertAlign w:val="superscript"/>
        </w:rPr>
        <w:t>th</w:t>
      </w:r>
      <w:r w:rsidRPr="0097061F">
        <w:rPr>
          <w:rFonts w:asciiTheme="majorHAnsi" w:hAnsiTheme="majorHAnsi"/>
          <w:color w:val="auto"/>
          <w:sz w:val="16"/>
          <w:szCs w:val="16"/>
        </w:rPr>
        <w:t xml:space="preserve"> Cir. 2002).</w:t>
      </w:r>
    </w:p>
  </w:footnote>
  <w:footnote w:id="16">
    <w:p w14:paraId="1E893A82" w14:textId="77777777" w:rsidR="00B30ED6" w:rsidRPr="0097061F" w:rsidRDefault="00B30ED6" w:rsidP="00586B77">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 (Mo. Banc 1994).</w:t>
      </w:r>
    </w:p>
  </w:footnote>
  <w:footnote w:id="17">
    <w:p w14:paraId="119650F7" w14:textId="77777777" w:rsidR="00B30ED6" w:rsidRPr="0097061F" w:rsidRDefault="00B30ED6" w:rsidP="0055390F">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w:t>
      </w:r>
    </w:p>
  </w:footnote>
  <w:footnote w:id="18">
    <w:p w14:paraId="4EACCF00" w14:textId="77777777" w:rsidR="00B30ED6" w:rsidRPr="0097061F" w:rsidRDefault="00B30ED6" w:rsidP="0006511C">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Transcripción de la declaración de Thomas Patrick </w:t>
      </w:r>
      <w:proofErr w:type="spellStart"/>
      <w:r w:rsidRPr="0097061F">
        <w:rPr>
          <w:rFonts w:asciiTheme="majorHAnsi" w:hAnsiTheme="majorHAnsi"/>
          <w:sz w:val="16"/>
          <w:szCs w:val="16"/>
          <w:lang w:val="es-ES"/>
        </w:rPr>
        <w:t>Cummins</w:t>
      </w:r>
      <w:proofErr w:type="spellEnd"/>
      <w:r w:rsidRPr="0097061F">
        <w:rPr>
          <w:rFonts w:asciiTheme="majorHAnsi" w:hAnsiTheme="majorHAnsi"/>
          <w:sz w:val="16"/>
          <w:szCs w:val="16"/>
          <w:lang w:val="es-ES"/>
        </w:rPr>
        <w:t>, víctima sobreviviente, en la apelación interpuesta ante la Corte Suprema de Misuri, anexo 1 del escrito presentado por el peticionario el 2 de septiembre de 2004.</w:t>
      </w:r>
    </w:p>
  </w:footnote>
  <w:footnote w:id="19">
    <w:p w14:paraId="568E007A" w14:textId="77777777" w:rsidR="00B30ED6" w:rsidRPr="0097061F" w:rsidRDefault="00B30ED6" w:rsidP="0006511C">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Transcripción de las palabras de Nels Moss, fiscal principal, en la etapa condenatoria del juicio, anexo A del escrito presentado por el peticionario el 2 de septiembre de 2004.</w:t>
      </w:r>
    </w:p>
  </w:footnote>
  <w:footnote w:id="20">
    <w:p w14:paraId="20B51B1E" w14:textId="77777777" w:rsidR="00B30ED6" w:rsidRPr="0097061F" w:rsidRDefault="00B30ED6" w:rsidP="0006511C">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Transcripción de las palabras de Nels Moss, fiscal principal, en la etapa de la sentencia del juicio, anexo B del escrito presentado por el peticionario el 2 de septiembre de 2004.</w:t>
      </w:r>
    </w:p>
  </w:footnote>
  <w:footnote w:id="21">
    <w:p w14:paraId="5EDE1CB9" w14:textId="77777777" w:rsidR="00B30ED6" w:rsidRPr="0097061F" w:rsidRDefault="00B30ED6" w:rsidP="0006511C">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Transcripción de las palabras de Nels Moss, fiscal principal, en la etapa condenatoria del juicio, anexo A del escrito presentado por el peticionario el 2 de septiembre de 2004.</w:t>
      </w:r>
    </w:p>
  </w:footnote>
  <w:footnote w:id="22">
    <w:p w14:paraId="0A00C259" w14:textId="77777777" w:rsidR="00B30ED6" w:rsidRPr="0097061F" w:rsidRDefault="00B30ED6" w:rsidP="0006511C">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Transcripción de las palabras de Nels Moss, fiscal principal, en la etapa de la sentencia del juicio, anexo B del escrito presentado por el peticionario el 2 de septiembre de 2004.</w:t>
      </w:r>
    </w:p>
  </w:footnote>
  <w:footnote w:id="23">
    <w:p w14:paraId="5A2C7B57" w14:textId="77777777" w:rsidR="00B30ED6" w:rsidRPr="0097061F" w:rsidRDefault="00B30ED6" w:rsidP="0006511C">
      <w:pPr>
        <w:pStyle w:val="FootnoteText"/>
        <w:jc w:val="both"/>
        <w:rPr>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w:t>
      </w:r>
      <w:r w:rsidRPr="0097061F">
        <w:rPr>
          <w:rFonts w:asciiTheme="majorHAnsi" w:hAnsiTheme="majorHAnsi"/>
          <w:color w:val="auto"/>
          <w:sz w:val="16"/>
          <w:szCs w:val="16"/>
        </w:rPr>
        <w:t xml:space="preserve">Missouri Death Row. Capital Punishment in Missouri. </w:t>
      </w:r>
      <w:r w:rsidRPr="0097061F">
        <w:rPr>
          <w:rFonts w:asciiTheme="majorHAnsi" w:hAnsiTheme="majorHAnsi"/>
          <w:color w:val="auto"/>
          <w:sz w:val="16"/>
          <w:szCs w:val="16"/>
          <w:lang w:val="es-ES"/>
        </w:rPr>
        <w:t>Se encuentra en</w:t>
      </w:r>
      <w:r w:rsidRPr="0097061F">
        <w:rPr>
          <w:rFonts w:asciiTheme="majorHAnsi" w:hAnsiTheme="majorHAnsi" w:cs="Arial"/>
          <w:color w:val="auto"/>
          <w:spacing w:val="5"/>
          <w:sz w:val="16"/>
          <w:szCs w:val="16"/>
          <w:lang w:val="es-ES"/>
        </w:rPr>
        <w:t xml:space="preserve"> https://missourideathrow.com/2008/12/gray_marlin/.</w:t>
      </w:r>
    </w:p>
  </w:footnote>
  <w:footnote w:id="24">
    <w:p w14:paraId="77849C7B"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 (Mo. Banc 1994).</w:t>
      </w:r>
    </w:p>
  </w:footnote>
  <w:footnote w:id="25">
    <w:p w14:paraId="35741FC2"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w:t>
      </w:r>
    </w:p>
  </w:footnote>
  <w:footnote w:id="26">
    <w:p w14:paraId="42F31FBB"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w:t>
      </w:r>
    </w:p>
  </w:footnote>
  <w:footnote w:id="27">
    <w:p w14:paraId="04152300"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w:t>
      </w:r>
    </w:p>
  </w:footnote>
  <w:footnote w:id="28">
    <w:p w14:paraId="39EC7737"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w:t>
      </w:r>
      <w:r w:rsidRPr="0097061F">
        <w:rPr>
          <w:rFonts w:asciiTheme="majorHAnsi" w:eastAsia="Times New Roman" w:hAnsiTheme="majorHAnsi"/>
          <w:sz w:val="16"/>
          <w:szCs w:val="16"/>
        </w:rPr>
        <w:t>State v Isa 850 S.W.2d 876, 882-83 (Mo. Banc 1993).</w:t>
      </w:r>
    </w:p>
  </w:footnote>
  <w:footnote w:id="29">
    <w:p w14:paraId="3FA64602"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w:t>
      </w:r>
      <w:r w:rsidRPr="0097061F">
        <w:rPr>
          <w:rFonts w:asciiTheme="majorHAnsi" w:eastAsia="Times New Roman" w:hAnsiTheme="majorHAnsi"/>
          <w:sz w:val="16"/>
          <w:szCs w:val="16"/>
        </w:rPr>
        <w:t>State v Turner 623 S.W.2D 4, 6-7 (Mo. Banc 1981).</w:t>
      </w:r>
    </w:p>
  </w:footnote>
  <w:footnote w:id="30">
    <w:p w14:paraId="68D88A13"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w:t>
      </w:r>
      <w:r w:rsidRPr="0097061F">
        <w:rPr>
          <w:rFonts w:asciiTheme="majorHAnsi" w:eastAsia="Times New Roman" w:hAnsiTheme="majorHAnsi"/>
          <w:sz w:val="16"/>
          <w:szCs w:val="16"/>
        </w:rPr>
        <w:t>Lindsay 507 S.W.2d.</w:t>
      </w:r>
    </w:p>
  </w:footnote>
  <w:footnote w:id="31">
    <w:p w14:paraId="5635E274" w14:textId="77777777" w:rsidR="00B30ED6" w:rsidRPr="0097061F" w:rsidRDefault="00B30ED6" w:rsidP="00766DEB">
      <w:pPr>
        <w:pStyle w:val="FootnoteText"/>
        <w:jc w:val="both"/>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State v Gray 887 S.W. 2d 369.</w:t>
      </w:r>
    </w:p>
  </w:footnote>
  <w:footnote w:id="32">
    <w:p w14:paraId="6C3D5707" w14:textId="77777777" w:rsidR="00B30ED6" w:rsidRPr="0097061F" w:rsidRDefault="00B30ED6">
      <w:pPr>
        <w:pStyle w:val="FootnoteText"/>
      </w:pPr>
      <w:r w:rsidRPr="0097061F">
        <w:rPr>
          <w:rStyle w:val="FootnoteReference"/>
          <w:rFonts w:asciiTheme="majorHAnsi" w:hAnsiTheme="majorHAnsi"/>
          <w:sz w:val="16"/>
          <w:szCs w:val="16"/>
          <w:lang w:val="es-ES"/>
        </w:rPr>
        <w:footnoteRef/>
      </w:r>
      <w:r w:rsidRPr="0097061F">
        <w:t xml:space="preserve"> </w:t>
      </w:r>
      <w:r w:rsidRPr="0097061F">
        <w:rPr>
          <w:rFonts w:asciiTheme="majorHAnsi" w:hAnsiTheme="majorHAnsi"/>
          <w:sz w:val="16"/>
          <w:szCs w:val="16"/>
        </w:rPr>
        <w:t>State v Gray 887 S.W. 2d 369.</w:t>
      </w:r>
    </w:p>
  </w:footnote>
  <w:footnote w:id="33">
    <w:p w14:paraId="08408E0C" w14:textId="77777777" w:rsidR="00B30ED6" w:rsidRPr="0097061F" w:rsidRDefault="00B30ED6">
      <w:pPr>
        <w:pStyle w:val="FootnoteText"/>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Gray v Missouri, 514 U.S. 1042 (1995)</w:t>
      </w:r>
    </w:p>
  </w:footnote>
  <w:footnote w:id="34">
    <w:p w14:paraId="2F96286B" w14:textId="77777777" w:rsidR="00B30ED6" w:rsidRPr="0097061F" w:rsidRDefault="00B30ED6">
      <w:pPr>
        <w:pStyle w:val="FootnoteText"/>
        <w:rPr>
          <w:lang w:val="es-ES"/>
        </w:rPr>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rPr>
        <w:t xml:space="preserve"> </w:t>
      </w:r>
      <w:r w:rsidRPr="0097061F">
        <w:rPr>
          <w:rFonts w:asciiTheme="majorHAnsi" w:hAnsiTheme="majorHAnsi"/>
          <w:color w:val="auto"/>
          <w:sz w:val="16"/>
          <w:szCs w:val="16"/>
        </w:rPr>
        <w:t xml:space="preserve">Missouri Death Row. Capital Punishment in Missouri. </w:t>
      </w:r>
      <w:r w:rsidRPr="0097061F">
        <w:rPr>
          <w:rFonts w:asciiTheme="majorHAnsi" w:hAnsiTheme="majorHAnsi"/>
          <w:color w:val="auto"/>
          <w:sz w:val="16"/>
          <w:szCs w:val="16"/>
          <w:lang w:val="es-ES"/>
        </w:rPr>
        <w:t>Se encuentra en</w:t>
      </w:r>
      <w:r w:rsidRPr="0097061F">
        <w:rPr>
          <w:rFonts w:asciiTheme="majorHAnsi" w:hAnsiTheme="majorHAnsi" w:cs="Arial"/>
          <w:color w:val="auto"/>
          <w:spacing w:val="5"/>
          <w:sz w:val="16"/>
          <w:szCs w:val="16"/>
          <w:lang w:val="es-ES"/>
        </w:rPr>
        <w:t xml:space="preserve"> https://missourideathrow.com/2008/12/gray_marlin/.</w:t>
      </w:r>
    </w:p>
  </w:footnote>
  <w:footnote w:id="35">
    <w:p w14:paraId="2E996458" w14:textId="77777777" w:rsidR="00B30ED6" w:rsidRPr="0097061F" w:rsidRDefault="00B30ED6">
      <w:pPr>
        <w:pStyle w:val="FootnoteText"/>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Gray v Bowersox 281 F.3d 749 (8</w:t>
      </w:r>
      <w:r w:rsidRPr="0097061F">
        <w:rPr>
          <w:rFonts w:asciiTheme="majorHAnsi" w:hAnsiTheme="majorHAnsi"/>
          <w:sz w:val="16"/>
          <w:szCs w:val="16"/>
          <w:vertAlign w:val="superscript"/>
        </w:rPr>
        <w:t>th</w:t>
      </w:r>
      <w:r w:rsidRPr="0097061F">
        <w:rPr>
          <w:rFonts w:asciiTheme="majorHAnsi" w:hAnsiTheme="majorHAnsi"/>
          <w:sz w:val="16"/>
          <w:szCs w:val="16"/>
        </w:rPr>
        <w:t xml:space="preserve"> Cir. 2002).</w:t>
      </w:r>
    </w:p>
  </w:footnote>
  <w:footnote w:id="36">
    <w:p w14:paraId="4DAB44C8" w14:textId="77777777" w:rsidR="00B30ED6" w:rsidRPr="0097061F" w:rsidRDefault="00B30ED6" w:rsidP="008A6254">
      <w:pPr>
        <w:pStyle w:val="FootnoteText"/>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Gray v Bowersox 281 F.3d 749 (8</w:t>
      </w:r>
      <w:r w:rsidRPr="0097061F">
        <w:rPr>
          <w:rFonts w:asciiTheme="majorHAnsi" w:hAnsiTheme="majorHAnsi"/>
          <w:sz w:val="16"/>
          <w:szCs w:val="16"/>
          <w:vertAlign w:val="superscript"/>
        </w:rPr>
        <w:t>th</w:t>
      </w:r>
      <w:r w:rsidRPr="0097061F">
        <w:rPr>
          <w:rFonts w:asciiTheme="majorHAnsi" w:hAnsiTheme="majorHAnsi"/>
          <w:sz w:val="16"/>
          <w:szCs w:val="16"/>
        </w:rPr>
        <w:t xml:space="preserve"> Cir. 2002).</w:t>
      </w:r>
    </w:p>
  </w:footnote>
  <w:footnote w:id="37">
    <w:p w14:paraId="3E7A8B11" w14:textId="77777777" w:rsidR="00B30ED6" w:rsidRPr="0097061F" w:rsidRDefault="00B30ED6">
      <w:pPr>
        <w:pStyle w:val="FootnoteText"/>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Gray v </w:t>
      </w:r>
      <w:proofErr w:type="spellStart"/>
      <w:r w:rsidRPr="0097061F">
        <w:rPr>
          <w:rFonts w:asciiTheme="majorHAnsi" w:hAnsiTheme="majorHAnsi"/>
          <w:sz w:val="16"/>
          <w:szCs w:val="16"/>
        </w:rPr>
        <w:t>Luebbers</w:t>
      </w:r>
      <w:proofErr w:type="spellEnd"/>
      <w:r w:rsidRPr="0097061F">
        <w:rPr>
          <w:rFonts w:asciiTheme="majorHAnsi" w:hAnsiTheme="majorHAnsi"/>
          <w:sz w:val="16"/>
          <w:szCs w:val="16"/>
        </w:rPr>
        <w:t>, 537 U.S. 115 (2002)</w:t>
      </w:r>
    </w:p>
  </w:footnote>
  <w:footnote w:id="38">
    <w:p w14:paraId="7E35DFEB" w14:textId="77777777" w:rsidR="00B30ED6" w:rsidRPr="0097061F" w:rsidRDefault="00B30ED6">
      <w:pPr>
        <w:pStyle w:val="FootnoteText"/>
        <w:rPr>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w:t>
      </w:r>
      <w:r w:rsidRPr="0097061F">
        <w:rPr>
          <w:rFonts w:asciiTheme="majorHAnsi" w:hAnsiTheme="majorHAnsi"/>
          <w:color w:val="auto"/>
          <w:sz w:val="16"/>
          <w:szCs w:val="16"/>
        </w:rPr>
        <w:t xml:space="preserve">Missouri Death Row. Capital Punishment in Missouri. </w:t>
      </w:r>
      <w:r w:rsidRPr="0097061F">
        <w:rPr>
          <w:rFonts w:asciiTheme="majorHAnsi" w:hAnsiTheme="majorHAnsi"/>
          <w:color w:val="auto"/>
          <w:sz w:val="16"/>
          <w:szCs w:val="16"/>
          <w:lang w:val="es-ES"/>
        </w:rPr>
        <w:t>Se encuentra en</w:t>
      </w:r>
      <w:r w:rsidRPr="0097061F">
        <w:rPr>
          <w:rFonts w:asciiTheme="majorHAnsi" w:hAnsiTheme="majorHAnsi" w:cs="Arial"/>
          <w:color w:val="auto"/>
          <w:spacing w:val="5"/>
          <w:sz w:val="16"/>
          <w:szCs w:val="16"/>
          <w:lang w:val="es-ES"/>
        </w:rPr>
        <w:t xml:space="preserve"> https://missourideathrow.com/2008/12/gray_marlin/.</w:t>
      </w:r>
    </w:p>
  </w:footnote>
  <w:footnote w:id="39">
    <w:p w14:paraId="73DC24EB" w14:textId="77777777" w:rsidR="00B30ED6" w:rsidRPr="0097061F" w:rsidRDefault="00B30ED6" w:rsidP="00314429">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Clemmons v. </w:t>
      </w:r>
      <w:proofErr w:type="spellStart"/>
      <w:r w:rsidRPr="0097061F">
        <w:rPr>
          <w:rFonts w:asciiTheme="majorHAnsi" w:hAnsiTheme="majorHAnsi"/>
          <w:sz w:val="16"/>
          <w:szCs w:val="16"/>
        </w:rPr>
        <w:t>Luebbers</w:t>
      </w:r>
      <w:proofErr w:type="spellEnd"/>
      <w:r w:rsidRPr="0097061F">
        <w:rPr>
          <w:rFonts w:asciiTheme="majorHAnsi" w:hAnsiTheme="majorHAnsi"/>
          <w:sz w:val="16"/>
          <w:szCs w:val="16"/>
        </w:rPr>
        <w:t>, 212 F. Supp.2d 1105 (</w:t>
      </w:r>
      <w:proofErr w:type="spellStart"/>
      <w:r w:rsidRPr="0097061F">
        <w:rPr>
          <w:rFonts w:asciiTheme="majorHAnsi" w:hAnsiTheme="majorHAnsi"/>
          <w:sz w:val="16"/>
          <w:szCs w:val="16"/>
        </w:rPr>
        <w:t>E.D.Mo</w:t>
      </w:r>
      <w:proofErr w:type="spellEnd"/>
      <w:r w:rsidRPr="0097061F">
        <w:rPr>
          <w:rFonts w:asciiTheme="majorHAnsi" w:hAnsiTheme="majorHAnsi"/>
          <w:sz w:val="16"/>
          <w:szCs w:val="16"/>
        </w:rPr>
        <w:t xml:space="preserve">. 2002). </w:t>
      </w:r>
      <w:r w:rsidRPr="0097061F">
        <w:rPr>
          <w:rFonts w:asciiTheme="majorHAnsi" w:hAnsiTheme="majorHAnsi"/>
          <w:sz w:val="16"/>
          <w:szCs w:val="16"/>
          <w:lang w:val="es-ES"/>
        </w:rPr>
        <w:t xml:space="preserve">Anexo 5 del escrito presentado por el Estado el 28 de julio de 2004; Daniel Winfrey v. Missouri </w:t>
      </w:r>
      <w:proofErr w:type="spellStart"/>
      <w:r w:rsidRPr="0097061F">
        <w:rPr>
          <w:rFonts w:asciiTheme="majorHAnsi" w:hAnsiTheme="majorHAnsi"/>
          <w:sz w:val="16"/>
          <w:szCs w:val="16"/>
          <w:lang w:val="es-ES"/>
        </w:rPr>
        <w:t>Board</w:t>
      </w:r>
      <w:proofErr w:type="spellEnd"/>
      <w:r w:rsidRPr="0097061F">
        <w:rPr>
          <w:rFonts w:asciiTheme="majorHAnsi" w:hAnsiTheme="majorHAnsi"/>
          <w:sz w:val="16"/>
          <w:szCs w:val="16"/>
          <w:lang w:val="es-ES"/>
        </w:rPr>
        <w:t xml:space="preserve"> of </w:t>
      </w:r>
      <w:proofErr w:type="spellStart"/>
      <w:r w:rsidRPr="0097061F">
        <w:rPr>
          <w:rFonts w:asciiTheme="majorHAnsi" w:hAnsiTheme="majorHAnsi"/>
          <w:sz w:val="16"/>
          <w:szCs w:val="16"/>
          <w:lang w:val="es-ES"/>
        </w:rPr>
        <w:t>Probation</w:t>
      </w:r>
      <w:proofErr w:type="spellEnd"/>
      <w:r w:rsidRPr="0097061F">
        <w:rPr>
          <w:rFonts w:asciiTheme="majorHAnsi" w:hAnsiTheme="majorHAnsi"/>
          <w:sz w:val="16"/>
          <w:szCs w:val="16"/>
          <w:lang w:val="es-ES"/>
        </w:rPr>
        <w:t xml:space="preserve"> and </w:t>
      </w:r>
      <w:proofErr w:type="spellStart"/>
      <w:r w:rsidRPr="0097061F">
        <w:rPr>
          <w:rFonts w:asciiTheme="majorHAnsi" w:hAnsiTheme="majorHAnsi"/>
          <w:sz w:val="16"/>
          <w:szCs w:val="16"/>
          <w:lang w:val="es-ES"/>
        </w:rPr>
        <w:t>Parole</w:t>
      </w:r>
      <w:proofErr w:type="spellEnd"/>
      <w:r w:rsidRPr="0097061F">
        <w:rPr>
          <w:rFonts w:asciiTheme="majorHAnsi" w:hAnsiTheme="majorHAnsi"/>
          <w:sz w:val="16"/>
          <w:szCs w:val="16"/>
          <w:lang w:val="es-ES"/>
        </w:rPr>
        <w:t xml:space="preserve"> et al., 30 de mayo de 2017. </w:t>
      </w:r>
      <w:r w:rsidRPr="0097061F">
        <w:rPr>
          <w:rFonts w:asciiTheme="majorHAnsi" w:hAnsiTheme="majorHAnsi"/>
          <w:sz w:val="16"/>
          <w:szCs w:val="16"/>
        </w:rPr>
        <w:t xml:space="preserve">Se </w:t>
      </w:r>
      <w:proofErr w:type="spellStart"/>
      <w:r w:rsidRPr="0097061F">
        <w:rPr>
          <w:rFonts w:asciiTheme="majorHAnsi" w:hAnsiTheme="majorHAnsi"/>
          <w:sz w:val="16"/>
          <w:szCs w:val="16"/>
        </w:rPr>
        <w:t>encuentra</w:t>
      </w:r>
      <w:proofErr w:type="spellEnd"/>
      <w:r w:rsidRPr="0097061F">
        <w:rPr>
          <w:rFonts w:asciiTheme="majorHAnsi" w:hAnsiTheme="majorHAnsi"/>
          <w:sz w:val="16"/>
          <w:szCs w:val="16"/>
        </w:rPr>
        <w:t xml:space="preserve"> </w:t>
      </w:r>
      <w:proofErr w:type="spellStart"/>
      <w:r w:rsidRPr="0097061F">
        <w:rPr>
          <w:rFonts w:asciiTheme="majorHAnsi" w:hAnsiTheme="majorHAnsi"/>
          <w:sz w:val="16"/>
          <w:szCs w:val="16"/>
        </w:rPr>
        <w:t>en</w:t>
      </w:r>
      <w:proofErr w:type="spellEnd"/>
      <w:r w:rsidRPr="0097061F">
        <w:rPr>
          <w:rFonts w:asciiTheme="majorHAnsi" w:hAnsiTheme="majorHAnsi"/>
          <w:sz w:val="16"/>
          <w:szCs w:val="16"/>
        </w:rPr>
        <w:t xml:space="preserve"> </w:t>
      </w:r>
      <w:hyperlink r:id="rId1" w:history="1">
        <w:r w:rsidRPr="0097061F">
          <w:rPr>
            <w:rFonts w:asciiTheme="majorHAnsi" w:hAnsiTheme="majorHAnsi"/>
            <w:sz w:val="16"/>
            <w:szCs w:val="16"/>
          </w:rPr>
          <w:t>https://caselaw.findlaw.com/mo-court-of-appeals/1862318.html</w:t>
        </w:r>
      </w:hyperlink>
      <w:r w:rsidRPr="0097061F">
        <w:rPr>
          <w:rFonts w:asciiTheme="majorHAnsi" w:hAnsiTheme="majorHAnsi"/>
          <w:sz w:val="16"/>
          <w:szCs w:val="16"/>
        </w:rPr>
        <w:t>;</w:t>
      </w:r>
      <w:r w:rsidRPr="0097061F">
        <w:t xml:space="preserve"> </w:t>
      </w:r>
      <w:r w:rsidRPr="0097061F">
        <w:rPr>
          <w:rFonts w:asciiTheme="majorHAnsi" w:hAnsiTheme="majorHAnsi"/>
          <w:sz w:val="16"/>
          <w:szCs w:val="16"/>
        </w:rPr>
        <w:t xml:space="preserve">The Seattle Times. </w:t>
      </w:r>
      <w:r w:rsidRPr="0097061F">
        <w:rPr>
          <w:rFonts w:asciiTheme="majorHAnsi" w:hAnsiTheme="majorHAnsi"/>
          <w:i/>
          <w:sz w:val="16"/>
          <w:szCs w:val="16"/>
        </w:rPr>
        <w:t>Ex-Missouri death row inmate re-sentenced to life in prison</w:t>
      </w:r>
      <w:r w:rsidRPr="0097061F">
        <w:rPr>
          <w:rFonts w:asciiTheme="majorHAnsi" w:hAnsiTheme="majorHAnsi"/>
          <w:sz w:val="16"/>
          <w:szCs w:val="16"/>
        </w:rPr>
        <w:t xml:space="preserve">. 18 de </w:t>
      </w:r>
      <w:proofErr w:type="spellStart"/>
      <w:r w:rsidRPr="0097061F">
        <w:rPr>
          <w:rFonts w:asciiTheme="majorHAnsi" w:hAnsiTheme="majorHAnsi"/>
          <w:sz w:val="16"/>
          <w:szCs w:val="16"/>
        </w:rPr>
        <w:t>diciembre</w:t>
      </w:r>
      <w:proofErr w:type="spellEnd"/>
      <w:r w:rsidRPr="0097061F">
        <w:rPr>
          <w:rFonts w:asciiTheme="majorHAnsi" w:hAnsiTheme="majorHAnsi"/>
          <w:sz w:val="16"/>
          <w:szCs w:val="16"/>
        </w:rPr>
        <w:t xml:space="preserve"> de 2017; Belleville News-Democrat. </w:t>
      </w:r>
      <w:r w:rsidRPr="0097061F">
        <w:rPr>
          <w:rFonts w:asciiTheme="majorHAnsi" w:hAnsiTheme="majorHAnsi"/>
          <w:i/>
          <w:sz w:val="16"/>
          <w:szCs w:val="16"/>
        </w:rPr>
        <w:t>Twenty-six years later, last of four Chain of Rocks Bridge killers pleads guilty</w:t>
      </w:r>
      <w:r w:rsidRPr="0097061F">
        <w:rPr>
          <w:rFonts w:asciiTheme="majorHAnsi" w:hAnsiTheme="majorHAnsi"/>
          <w:sz w:val="16"/>
          <w:szCs w:val="16"/>
        </w:rPr>
        <w:t xml:space="preserve">. </w:t>
      </w:r>
      <w:r w:rsidRPr="0097061F">
        <w:rPr>
          <w:rFonts w:asciiTheme="majorHAnsi" w:hAnsiTheme="majorHAnsi"/>
          <w:sz w:val="16"/>
          <w:szCs w:val="16"/>
          <w:lang w:val="es-ES"/>
        </w:rPr>
        <w:t xml:space="preserve">Se encuentra en </w:t>
      </w:r>
      <w:hyperlink r:id="rId2" w:history="1">
        <w:r w:rsidRPr="0097061F">
          <w:rPr>
            <w:rStyle w:val="Hyperlink"/>
            <w:rFonts w:asciiTheme="majorHAnsi" w:hAnsiTheme="majorHAnsi"/>
            <w:sz w:val="16"/>
            <w:szCs w:val="16"/>
            <w:lang w:val="es-ES"/>
          </w:rPr>
          <w:t>https://www.bnd.com/news/local/crime/article190391684.html</w:t>
        </w:r>
      </w:hyperlink>
      <w:r w:rsidRPr="0097061F">
        <w:rPr>
          <w:rFonts w:asciiTheme="majorHAnsi" w:hAnsiTheme="majorHAnsi"/>
          <w:sz w:val="16"/>
          <w:szCs w:val="16"/>
          <w:lang w:val="es-ES"/>
        </w:rPr>
        <w:t>.</w:t>
      </w:r>
    </w:p>
  </w:footnote>
  <w:footnote w:id="40">
    <w:p w14:paraId="5F813099" w14:textId="77777777" w:rsidR="00B30ED6" w:rsidRPr="0097061F" w:rsidRDefault="00B30ED6" w:rsidP="00CC0D1F">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Clemmons v. </w:t>
      </w:r>
      <w:proofErr w:type="spellStart"/>
      <w:r w:rsidRPr="0097061F">
        <w:rPr>
          <w:rFonts w:asciiTheme="majorHAnsi" w:hAnsiTheme="majorHAnsi"/>
          <w:sz w:val="16"/>
          <w:szCs w:val="16"/>
        </w:rPr>
        <w:t>Luebbers</w:t>
      </w:r>
      <w:proofErr w:type="spellEnd"/>
      <w:r w:rsidRPr="0097061F">
        <w:rPr>
          <w:rFonts w:asciiTheme="majorHAnsi" w:hAnsiTheme="majorHAnsi"/>
          <w:sz w:val="16"/>
          <w:szCs w:val="16"/>
        </w:rPr>
        <w:t>, 212 F. Supp.2d 1105 (</w:t>
      </w:r>
      <w:proofErr w:type="spellStart"/>
      <w:r w:rsidRPr="0097061F">
        <w:rPr>
          <w:rFonts w:asciiTheme="majorHAnsi" w:hAnsiTheme="majorHAnsi"/>
          <w:sz w:val="16"/>
          <w:szCs w:val="16"/>
        </w:rPr>
        <w:t>E.D.Mo</w:t>
      </w:r>
      <w:proofErr w:type="spellEnd"/>
      <w:r w:rsidRPr="0097061F">
        <w:rPr>
          <w:rFonts w:asciiTheme="majorHAnsi" w:hAnsiTheme="majorHAnsi"/>
          <w:sz w:val="16"/>
          <w:szCs w:val="16"/>
        </w:rPr>
        <w:t xml:space="preserve">. 2002). </w:t>
      </w:r>
      <w:r w:rsidRPr="0097061F">
        <w:rPr>
          <w:rFonts w:asciiTheme="majorHAnsi" w:hAnsiTheme="majorHAnsi"/>
          <w:sz w:val="16"/>
          <w:szCs w:val="16"/>
          <w:lang w:val="es-ES"/>
        </w:rPr>
        <w:t>Anexo 5 del escrito presentado por el Estado el 28 de julio de 2004.</w:t>
      </w:r>
    </w:p>
  </w:footnote>
  <w:footnote w:id="41">
    <w:p w14:paraId="7A3246B4" w14:textId="77777777" w:rsidR="00B30ED6" w:rsidRPr="0097061F" w:rsidRDefault="00B30ED6">
      <w:pPr>
        <w:pStyle w:val="FootnoteText"/>
        <w:rPr>
          <w:lang w:val="es-ES"/>
        </w:rPr>
      </w:pPr>
      <w:r w:rsidRPr="0097061F">
        <w:rPr>
          <w:rFonts w:asciiTheme="majorHAnsi" w:eastAsia="Cambria" w:hAnsiTheme="majorHAnsi" w:cs="Cambria"/>
          <w:sz w:val="16"/>
          <w:vertAlign w:val="superscript"/>
          <w:lang w:val="es-ES"/>
        </w:rPr>
        <w:footnoteRef/>
      </w:r>
      <w:r w:rsidRPr="0097061F">
        <w:rPr>
          <w:rFonts w:asciiTheme="majorHAnsi" w:eastAsia="Cambria" w:hAnsiTheme="majorHAnsi" w:cs="Cambria"/>
          <w:sz w:val="16"/>
          <w:lang w:val="es-ES"/>
        </w:rPr>
        <w:t xml:space="preserve"> E</w:t>
      </w:r>
      <w:r w:rsidRPr="0097061F">
        <w:rPr>
          <w:rFonts w:asciiTheme="majorHAnsi" w:hAnsiTheme="majorHAnsi"/>
          <w:sz w:val="16"/>
          <w:szCs w:val="16"/>
          <w:lang w:val="es-ES"/>
        </w:rPr>
        <w:t>scrito presentado por el Estado el 28 de julio de 2004, p. 5.</w:t>
      </w:r>
    </w:p>
  </w:footnote>
  <w:footnote w:id="42">
    <w:p w14:paraId="75CF6185" w14:textId="77777777" w:rsidR="00B30ED6" w:rsidRPr="0097061F" w:rsidRDefault="00B30ED6">
      <w:pPr>
        <w:pStyle w:val="FootnoteText"/>
        <w:rPr>
          <w:lang w:val="es-ES"/>
        </w:rPr>
      </w:pPr>
      <w:r w:rsidRPr="0097061F">
        <w:rPr>
          <w:rFonts w:asciiTheme="majorHAnsi" w:eastAsia="Cambria" w:hAnsiTheme="majorHAnsi" w:cs="Cambria"/>
          <w:sz w:val="16"/>
          <w:vertAlign w:val="superscript"/>
          <w:lang w:val="es-ES"/>
        </w:rPr>
        <w:footnoteRef/>
      </w:r>
      <w:r w:rsidRPr="0097061F">
        <w:t xml:space="preserve"> </w:t>
      </w:r>
      <w:r w:rsidRPr="0097061F">
        <w:rPr>
          <w:rFonts w:asciiTheme="majorHAnsi" w:hAnsiTheme="majorHAnsi"/>
          <w:sz w:val="16"/>
          <w:szCs w:val="16"/>
        </w:rPr>
        <w:t xml:space="preserve">Clemmons v. </w:t>
      </w:r>
      <w:proofErr w:type="spellStart"/>
      <w:r w:rsidRPr="0097061F">
        <w:rPr>
          <w:rFonts w:asciiTheme="majorHAnsi" w:hAnsiTheme="majorHAnsi"/>
          <w:sz w:val="16"/>
          <w:szCs w:val="16"/>
        </w:rPr>
        <w:t>Luebbers</w:t>
      </w:r>
      <w:proofErr w:type="spellEnd"/>
      <w:r w:rsidRPr="0097061F">
        <w:rPr>
          <w:rFonts w:asciiTheme="majorHAnsi" w:hAnsiTheme="majorHAnsi"/>
          <w:sz w:val="16"/>
          <w:szCs w:val="16"/>
        </w:rPr>
        <w:t>, 212 F. Supp.2d 1105 (</w:t>
      </w:r>
      <w:proofErr w:type="spellStart"/>
      <w:r w:rsidRPr="0097061F">
        <w:rPr>
          <w:rFonts w:asciiTheme="majorHAnsi" w:hAnsiTheme="majorHAnsi"/>
          <w:sz w:val="16"/>
          <w:szCs w:val="16"/>
        </w:rPr>
        <w:t>E.D.Mo</w:t>
      </w:r>
      <w:proofErr w:type="spellEnd"/>
      <w:r w:rsidRPr="0097061F">
        <w:rPr>
          <w:rFonts w:asciiTheme="majorHAnsi" w:hAnsiTheme="majorHAnsi"/>
          <w:sz w:val="16"/>
          <w:szCs w:val="16"/>
        </w:rPr>
        <w:t xml:space="preserve">. 2002). </w:t>
      </w:r>
      <w:r w:rsidRPr="0097061F">
        <w:rPr>
          <w:rFonts w:asciiTheme="majorHAnsi" w:hAnsiTheme="majorHAnsi"/>
          <w:sz w:val="16"/>
          <w:szCs w:val="16"/>
          <w:lang w:val="es-ES"/>
        </w:rPr>
        <w:t>Anexo 5 del escrito presentado por el Estado el 28 de julio de 2004.</w:t>
      </w:r>
    </w:p>
  </w:footnote>
  <w:footnote w:id="43">
    <w:p w14:paraId="2FDD2E84" w14:textId="77777777" w:rsidR="00B30ED6" w:rsidRPr="0097061F" w:rsidRDefault="00B30ED6" w:rsidP="008049CD">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rPr>
        <w:t xml:space="preserve"> The Seattle Times. </w:t>
      </w:r>
      <w:r w:rsidRPr="0097061F">
        <w:rPr>
          <w:rFonts w:asciiTheme="majorHAnsi" w:hAnsiTheme="majorHAnsi"/>
          <w:i/>
          <w:sz w:val="16"/>
          <w:szCs w:val="16"/>
        </w:rPr>
        <w:t>Ex-Missouri death row inmate re-sentenced to life in prison</w:t>
      </w:r>
      <w:r w:rsidRPr="0097061F">
        <w:rPr>
          <w:rFonts w:asciiTheme="majorHAnsi" w:hAnsiTheme="majorHAnsi"/>
          <w:sz w:val="16"/>
          <w:szCs w:val="16"/>
        </w:rPr>
        <w:t xml:space="preserve">. </w:t>
      </w:r>
      <w:r w:rsidRPr="0097061F">
        <w:rPr>
          <w:rFonts w:asciiTheme="majorHAnsi" w:hAnsiTheme="majorHAnsi"/>
          <w:sz w:val="16"/>
          <w:szCs w:val="16"/>
          <w:lang w:val="es-ES"/>
        </w:rPr>
        <w:t xml:space="preserve">18 de diciembre de 2017. Se encuentra en </w:t>
      </w:r>
      <w:hyperlink r:id="rId3" w:history="1">
        <w:r w:rsidRPr="0097061F">
          <w:rPr>
            <w:rStyle w:val="Hyperlink"/>
            <w:rFonts w:asciiTheme="majorHAnsi" w:hAnsiTheme="majorHAnsi"/>
            <w:sz w:val="16"/>
            <w:szCs w:val="16"/>
            <w:lang w:val="es-ES"/>
          </w:rPr>
          <w:t>https://www.seattletimes.com/nation-world/ex-missouri-death-row-inmate-re-sentenced-to-life-in-prison/</w:t>
        </w:r>
      </w:hyperlink>
      <w:r w:rsidRPr="0097061F">
        <w:rPr>
          <w:rFonts w:asciiTheme="majorHAnsi" w:hAnsiTheme="majorHAnsi"/>
          <w:sz w:val="16"/>
          <w:szCs w:val="16"/>
          <w:lang w:val="es-ES"/>
        </w:rPr>
        <w:t xml:space="preserve">; </w:t>
      </w:r>
      <w:proofErr w:type="spellStart"/>
      <w:r w:rsidRPr="0097061F">
        <w:rPr>
          <w:rFonts w:asciiTheme="majorHAnsi" w:hAnsiTheme="majorHAnsi"/>
          <w:sz w:val="16"/>
          <w:szCs w:val="16"/>
          <w:lang w:val="es-ES"/>
        </w:rPr>
        <w:t>Daily</w:t>
      </w:r>
      <w:proofErr w:type="spellEnd"/>
      <w:r w:rsidRPr="0097061F">
        <w:rPr>
          <w:rFonts w:asciiTheme="majorHAnsi" w:hAnsiTheme="majorHAnsi"/>
          <w:sz w:val="16"/>
          <w:szCs w:val="16"/>
          <w:lang w:val="es-ES"/>
        </w:rPr>
        <w:t xml:space="preserve"> News. </w:t>
      </w:r>
      <w:r w:rsidRPr="0097061F">
        <w:rPr>
          <w:rFonts w:asciiTheme="majorHAnsi" w:hAnsiTheme="majorHAnsi"/>
          <w:i/>
          <w:sz w:val="16"/>
          <w:szCs w:val="16"/>
        </w:rPr>
        <w:t>Killer who raped sisters and pushed them off bridge could be released in two years despite initial death sentence</w:t>
      </w:r>
      <w:r w:rsidRPr="0097061F">
        <w:rPr>
          <w:rFonts w:asciiTheme="majorHAnsi" w:hAnsiTheme="majorHAnsi"/>
          <w:sz w:val="16"/>
          <w:szCs w:val="16"/>
        </w:rPr>
        <w:t xml:space="preserve">. </w:t>
      </w:r>
      <w:r w:rsidRPr="0097061F">
        <w:rPr>
          <w:rFonts w:asciiTheme="majorHAnsi" w:hAnsiTheme="majorHAnsi"/>
          <w:sz w:val="16"/>
          <w:szCs w:val="16"/>
          <w:lang w:val="es-ES"/>
        </w:rPr>
        <w:t xml:space="preserve">25 de septiembre de 2018. Se encuentra en </w:t>
      </w:r>
      <w:hyperlink r:id="rId4" w:history="1">
        <w:r w:rsidRPr="0097061F">
          <w:rPr>
            <w:rStyle w:val="Hyperlink"/>
            <w:rFonts w:asciiTheme="majorHAnsi" w:hAnsiTheme="majorHAnsi"/>
            <w:sz w:val="16"/>
            <w:szCs w:val="16"/>
            <w:lang w:val="es-ES"/>
          </w:rPr>
          <w:t>http://www.nydailynews.com/news/crime/ny-news-clemons-sisters-parole-20180925-story.html</w:t>
        </w:r>
      </w:hyperlink>
      <w:r w:rsidRPr="0097061F">
        <w:rPr>
          <w:rFonts w:asciiTheme="majorHAnsi" w:hAnsiTheme="majorHAnsi"/>
          <w:sz w:val="16"/>
          <w:szCs w:val="16"/>
          <w:lang w:val="es-ES"/>
        </w:rPr>
        <w:t>.</w:t>
      </w:r>
    </w:p>
  </w:footnote>
  <w:footnote w:id="44">
    <w:p w14:paraId="534E59E4" w14:textId="77777777" w:rsidR="00B30ED6" w:rsidRPr="0097061F" w:rsidRDefault="00B30ED6" w:rsidP="008049CD">
      <w:pPr>
        <w:pStyle w:val="FootnoteText"/>
        <w:jc w:val="both"/>
        <w:rPr>
          <w:rFonts w:asciiTheme="majorHAnsi" w:hAnsiTheme="majorHAnsi"/>
          <w:sz w:val="16"/>
          <w:szCs w:val="16"/>
          <w:lang w:val="es-ES"/>
        </w:rPr>
      </w:pPr>
      <w:r w:rsidRPr="0097061F">
        <w:rPr>
          <w:rFonts w:asciiTheme="majorHAnsi" w:eastAsia="Cambria" w:hAnsiTheme="majorHAnsi" w:cs="Cambria"/>
          <w:sz w:val="16"/>
          <w:szCs w:val="16"/>
          <w:vertAlign w:val="superscript"/>
          <w:lang w:val="es-ES"/>
        </w:rPr>
        <w:footnoteRef/>
      </w:r>
      <w:r w:rsidRPr="0097061F">
        <w:rPr>
          <w:rFonts w:asciiTheme="majorHAnsi" w:eastAsia="Cambria" w:hAnsiTheme="majorHAnsi" w:cs="Cambria"/>
          <w:sz w:val="16"/>
          <w:szCs w:val="16"/>
          <w:lang w:val="es-ES"/>
        </w:rPr>
        <w:t xml:space="preserve"> Al respecto, véase CIDH, </w:t>
      </w:r>
      <w:hyperlink r:id="rId5" w:history="1">
        <w:r w:rsidRPr="0097061F">
          <w:rPr>
            <w:rStyle w:val="Hyperlink"/>
            <w:rFonts w:asciiTheme="majorHAnsi" w:eastAsia="Cambria" w:hAnsiTheme="majorHAnsi" w:cs="Cambria"/>
            <w:i/>
            <w:iCs/>
            <w:sz w:val="16"/>
            <w:szCs w:val="16"/>
            <w:lang w:val="es-ES"/>
          </w:rPr>
          <w:t>La pena de muerte en el Sistema Interamericano de Derechos Humanos: de restricciones a abolición</w:t>
        </w:r>
      </w:hyperlink>
      <w:r w:rsidRPr="0097061F">
        <w:rPr>
          <w:rFonts w:asciiTheme="majorHAnsi" w:eastAsia="Cambria" w:hAnsiTheme="majorHAnsi" w:cs="Cambria"/>
          <w:sz w:val="16"/>
          <w:szCs w:val="16"/>
          <w:lang w:val="es-ES"/>
        </w:rPr>
        <w:t>, OEA/</w:t>
      </w:r>
      <w:proofErr w:type="spellStart"/>
      <w:r w:rsidRPr="0097061F">
        <w:rPr>
          <w:rFonts w:asciiTheme="majorHAnsi" w:eastAsia="Cambria" w:hAnsiTheme="majorHAnsi" w:cs="Cambria"/>
          <w:sz w:val="16"/>
          <w:szCs w:val="16"/>
          <w:lang w:val="es-ES"/>
        </w:rPr>
        <w:t>Ser.L</w:t>
      </w:r>
      <w:proofErr w:type="spellEnd"/>
      <w:r w:rsidRPr="0097061F">
        <w:rPr>
          <w:rFonts w:asciiTheme="majorHAnsi" w:eastAsia="Cambria" w:hAnsiTheme="majorHAnsi" w:cs="Cambria"/>
          <w:sz w:val="16"/>
          <w:szCs w:val="16"/>
          <w:lang w:val="es-ES"/>
        </w:rPr>
        <w:t>/V/II.Doc. 68, 31 de diciembre de 2011.</w:t>
      </w:r>
    </w:p>
  </w:footnote>
  <w:footnote w:id="45">
    <w:p w14:paraId="7FDB54CB" w14:textId="77777777" w:rsidR="00B30ED6" w:rsidRPr="0097061F" w:rsidRDefault="00B30ED6" w:rsidP="008049CD">
      <w:pPr>
        <w:pStyle w:val="FootnoteText"/>
        <w:jc w:val="both"/>
        <w:rPr>
          <w:rFonts w:asciiTheme="majorHAnsi" w:hAnsiTheme="majorHAnsi"/>
          <w:sz w:val="16"/>
          <w:lang w:val="es-ES"/>
        </w:rPr>
      </w:pPr>
      <w:r w:rsidRPr="0097061F">
        <w:rPr>
          <w:rFonts w:asciiTheme="majorHAnsi" w:eastAsia="Cambria" w:hAnsiTheme="majorHAnsi" w:cs="Cambria"/>
          <w:sz w:val="16"/>
          <w:szCs w:val="16"/>
          <w:vertAlign w:val="superscript"/>
          <w:lang w:val="es-ES"/>
        </w:rPr>
        <w:footnoteRef/>
      </w:r>
      <w:r w:rsidRPr="0097061F">
        <w:rPr>
          <w:rFonts w:asciiTheme="majorHAnsi" w:eastAsia="Cambria" w:hAnsiTheme="majorHAnsi" w:cs="Cambria"/>
          <w:sz w:val="16"/>
          <w:szCs w:val="16"/>
          <w:lang w:val="es-ES"/>
        </w:rPr>
        <w:t xml:space="preserve"> Véanse, por ejemplo, Corte IDH, Opinión Consultiva OC-16/99 (1 de octubre de 1999), </w:t>
      </w:r>
      <w:r w:rsidRPr="0097061F">
        <w:rPr>
          <w:rFonts w:asciiTheme="majorHAnsi" w:eastAsia="Cambria" w:hAnsiTheme="majorHAnsi" w:cs="Cambria"/>
          <w:i/>
          <w:sz w:val="16"/>
          <w:szCs w:val="16"/>
          <w:lang w:val="es-ES"/>
        </w:rPr>
        <w:t>E</w:t>
      </w:r>
      <w:r w:rsidRPr="0097061F">
        <w:rPr>
          <w:rFonts w:asciiTheme="majorHAnsi" w:eastAsia="Cambria" w:hAnsiTheme="majorHAnsi" w:cs="Cambria"/>
          <w:i/>
          <w:iCs/>
          <w:sz w:val="16"/>
          <w:szCs w:val="16"/>
          <w:lang w:val="es-ES"/>
        </w:rPr>
        <w:t>l derecho a la información sobre la asistencia consular en el marco de las garantías del debido proceso legal</w:t>
      </w:r>
      <w:r w:rsidRPr="0097061F">
        <w:rPr>
          <w:rFonts w:asciiTheme="majorHAnsi" w:eastAsia="Cambria" w:hAnsiTheme="majorHAnsi" w:cs="Cambria"/>
          <w:sz w:val="16"/>
          <w:szCs w:val="16"/>
          <w:lang w:val="es-ES"/>
        </w:rPr>
        <w:t>, párr. 136 (donde se señala que, “[s]</w:t>
      </w:r>
      <w:proofErr w:type="spellStart"/>
      <w:r w:rsidRPr="0097061F">
        <w:rPr>
          <w:rFonts w:asciiTheme="majorHAnsi" w:eastAsia="Cambria" w:hAnsiTheme="majorHAnsi" w:cs="Cambria"/>
          <w:sz w:val="16"/>
          <w:szCs w:val="16"/>
          <w:lang w:val="es-ES"/>
        </w:rPr>
        <w:t>iendo</w:t>
      </w:r>
      <w:proofErr w:type="spellEnd"/>
      <w:r w:rsidRPr="0097061F">
        <w:rPr>
          <w:rFonts w:asciiTheme="majorHAnsi" w:eastAsia="Cambria" w:hAnsiTheme="majorHAnsi" w:cs="Cambria"/>
          <w:sz w:val="16"/>
          <w:szCs w:val="16"/>
          <w:lang w:val="es-ES"/>
        </w:rPr>
        <w:t xml:space="preserve"> la ejecución de la pena de muerte una medida de carácter irreversible, exige del Estado el más estricto y riguroso respeto de las garantías judiciales, de modo a evitar una violación de éstas, que, a su vez, acarrearía una privación arbitraria de la vida”); Comité de Derechos Humanos de las Naciones Unidas, </w:t>
      </w:r>
      <w:proofErr w:type="spellStart"/>
      <w:r w:rsidRPr="0097061F">
        <w:rPr>
          <w:rFonts w:asciiTheme="majorHAnsi" w:eastAsia="Cambria" w:hAnsiTheme="majorHAnsi" w:cs="Cambria"/>
          <w:i/>
          <w:iCs/>
          <w:sz w:val="16"/>
          <w:szCs w:val="16"/>
          <w:lang w:val="es-ES"/>
        </w:rPr>
        <w:t>Baboheram-Adhin</w:t>
      </w:r>
      <w:proofErr w:type="spellEnd"/>
      <w:r w:rsidRPr="0097061F">
        <w:rPr>
          <w:rFonts w:asciiTheme="majorHAnsi" w:eastAsia="Cambria" w:hAnsiTheme="majorHAnsi" w:cs="Cambria"/>
          <w:i/>
          <w:iCs/>
          <w:sz w:val="16"/>
          <w:szCs w:val="16"/>
          <w:lang w:val="es-ES"/>
        </w:rPr>
        <w:t xml:space="preserve"> et al. c. </w:t>
      </w:r>
      <w:proofErr w:type="spellStart"/>
      <w:r w:rsidRPr="0097061F">
        <w:rPr>
          <w:rFonts w:asciiTheme="majorHAnsi" w:eastAsia="Cambria" w:hAnsiTheme="majorHAnsi" w:cs="Cambria"/>
          <w:i/>
          <w:iCs/>
          <w:sz w:val="16"/>
          <w:szCs w:val="16"/>
          <w:lang w:val="es-ES"/>
        </w:rPr>
        <w:t>Suriname</w:t>
      </w:r>
      <w:proofErr w:type="spellEnd"/>
      <w:r w:rsidRPr="0097061F">
        <w:rPr>
          <w:rFonts w:asciiTheme="majorHAnsi" w:eastAsia="Cambria" w:hAnsiTheme="majorHAnsi" w:cs="Cambria"/>
          <w:sz w:val="16"/>
          <w:szCs w:val="16"/>
          <w:lang w:val="es-ES"/>
        </w:rPr>
        <w:t>,</w:t>
      </w:r>
      <w:r w:rsidRPr="0097061F">
        <w:rPr>
          <w:rFonts w:asciiTheme="majorHAnsi" w:eastAsia="Cambria" w:hAnsiTheme="majorHAnsi" w:cs="Cambria"/>
          <w:i/>
          <w:iCs/>
          <w:sz w:val="16"/>
          <w:szCs w:val="16"/>
          <w:lang w:val="es-ES"/>
        </w:rPr>
        <w:t xml:space="preserve"> </w:t>
      </w:r>
      <w:r w:rsidRPr="0097061F">
        <w:rPr>
          <w:rFonts w:asciiTheme="majorHAnsi" w:eastAsia="Cambria" w:hAnsiTheme="majorHAnsi" w:cs="Cambria"/>
          <w:sz w:val="16"/>
          <w:szCs w:val="16"/>
          <w:lang w:val="es-ES"/>
        </w:rPr>
        <w:t xml:space="preserve">Comunicaciones Nos. 148 a 154/1983, aprobadas el 4 de abril de 1985, párr. 14.3 (donde se observa que la ley debe controlar y limitar estrictamente las circunstancias en las cuales las autoridades del Estado pueden privar de la vida a una persona); </w:t>
      </w:r>
      <w:r w:rsidRPr="0097061F">
        <w:rPr>
          <w:rFonts w:asciiTheme="majorHAnsi" w:eastAsia="Cambria" w:hAnsiTheme="majorHAnsi" w:cs="Cambria"/>
          <w:i/>
          <w:iCs/>
          <w:sz w:val="16"/>
          <w:szCs w:val="16"/>
          <w:lang w:val="es-ES"/>
        </w:rPr>
        <w:t>Informe del Relator Especial de las Naciones Unidas sobre ejecuciones extrajudiciales, sumarias o arbitrarias</w:t>
      </w:r>
      <w:r w:rsidRPr="0097061F">
        <w:rPr>
          <w:rFonts w:asciiTheme="majorHAnsi" w:eastAsia="Cambria" w:hAnsiTheme="majorHAnsi" w:cs="Cambria"/>
          <w:i/>
          <w:sz w:val="16"/>
          <w:szCs w:val="16"/>
          <w:lang w:val="es-ES"/>
        </w:rPr>
        <w:t xml:space="preserve">, Sr. Bacre Waly </w:t>
      </w:r>
      <w:proofErr w:type="spellStart"/>
      <w:r w:rsidRPr="0097061F">
        <w:rPr>
          <w:rFonts w:asciiTheme="majorHAnsi" w:eastAsia="Cambria" w:hAnsiTheme="majorHAnsi" w:cs="Cambria"/>
          <w:i/>
          <w:sz w:val="16"/>
          <w:szCs w:val="16"/>
          <w:lang w:val="es-ES"/>
        </w:rPr>
        <w:t>Ndiaye</w:t>
      </w:r>
      <w:proofErr w:type="spellEnd"/>
      <w:r w:rsidRPr="0097061F">
        <w:rPr>
          <w:rFonts w:asciiTheme="majorHAnsi" w:eastAsia="Cambria" w:hAnsiTheme="majorHAnsi" w:cs="Cambria"/>
          <w:i/>
          <w:sz w:val="16"/>
          <w:szCs w:val="16"/>
          <w:lang w:val="es-ES"/>
        </w:rPr>
        <w:t>, presentado en cumplimiento de la resolución 1994/82 de la Comisión de Derechos Humanos, “Cuestión de la violación de los derechos humanos y las libertades fundamentales en cualquier parte del mundo, especialmente en los países y territorios coloniales y dependientes”</w:t>
      </w:r>
      <w:r w:rsidRPr="0097061F">
        <w:rPr>
          <w:rFonts w:asciiTheme="majorHAnsi" w:eastAsia="Cambria" w:hAnsiTheme="majorHAnsi" w:cs="Cambria"/>
          <w:sz w:val="16"/>
          <w:szCs w:val="16"/>
          <w:lang w:val="es-ES"/>
        </w:rPr>
        <w:t xml:space="preserve">, E/CN.4/1995/61 (14 de diciembre de 1994) (“el Informe </w:t>
      </w:r>
      <w:proofErr w:type="spellStart"/>
      <w:r w:rsidRPr="0097061F">
        <w:rPr>
          <w:rFonts w:asciiTheme="majorHAnsi" w:eastAsia="Cambria" w:hAnsiTheme="majorHAnsi" w:cs="Cambria"/>
          <w:sz w:val="16"/>
          <w:szCs w:val="16"/>
          <w:lang w:val="es-ES"/>
        </w:rPr>
        <w:t>Ndiaye</w:t>
      </w:r>
      <w:proofErr w:type="spellEnd"/>
      <w:r w:rsidRPr="0097061F">
        <w:rPr>
          <w:rFonts w:asciiTheme="majorHAnsi" w:eastAsia="Cambria" w:hAnsiTheme="majorHAnsi" w:cs="Cambria"/>
          <w:sz w:val="16"/>
          <w:szCs w:val="16"/>
          <w:lang w:val="es-ES"/>
        </w:rPr>
        <w:t>”), párr. 378 (donde se recalca que, en casos de pena de muerte, hay que asegurar la aplicación de las normas del juicio imparcial en cada caso y, si hay indicaciones en contrario, verificarla de conformidad con las obligaciones establecidas en el derecho internacional de realizar investigaciones exhaustivas e imparciales en las alegaciones de violaciones del derecho a la vida).</w:t>
      </w:r>
    </w:p>
  </w:footnote>
  <w:footnote w:id="46">
    <w:p w14:paraId="1C50EF34" w14:textId="77777777" w:rsidR="00B30ED6" w:rsidRPr="0097061F" w:rsidRDefault="00B30ED6" w:rsidP="008A6254">
      <w:pPr>
        <w:pStyle w:val="FootnoteText"/>
        <w:jc w:val="both"/>
        <w:rPr>
          <w:rFonts w:asciiTheme="majorHAnsi" w:hAnsiTheme="majorHAnsi"/>
          <w:sz w:val="16"/>
          <w:lang w:val="es-ES"/>
        </w:rPr>
      </w:pPr>
      <w:r w:rsidRPr="0097061F">
        <w:rPr>
          <w:rFonts w:asciiTheme="majorHAnsi" w:eastAsia="Cambria" w:hAnsiTheme="majorHAnsi" w:cs="Cambria"/>
          <w:sz w:val="16"/>
          <w:vertAlign w:val="superscript"/>
          <w:lang w:val="es-ES"/>
        </w:rPr>
        <w:footnoteRef/>
      </w:r>
      <w:r w:rsidRPr="0097061F">
        <w:rPr>
          <w:rFonts w:asciiTheme="majorHAnsi" w:eastAsia="Cambria" w:hAnsiTheme="majorHAnsi" w:cs="Cambria"/>
          <w:sz w:val="16"/>
          <w:szCs w:val="16"/>
          <w:lang w:val="es-ES"/>
        </w:rPr>
        <w:t xml:space="preserve"> CIDH. Informe No. 11/15. Caso 12.833. Fondo (Publicación). Félix Rocha Díaz. Estados Unidos. 23 de marzo de 2015, párr. 54; CIDH. Informe No. 44/14. Caso 12.873. Fondo (Publicación). Edgar Tamayo Arias. Estados Unidos. 17 de julio de 2014, párr. 127;</w:t>
      </w:r>
      <w:r w:rsidRPr="0097061F">
        <w:rPr>
          <w:rFonts w:asciiTheme="majorHAnsi" w:eastAsia="Cambria" w:hAnsiTheme="majorHAnsi" w:cs="Cambria"/>
          <w:i/>
          <w:iCs/>
          <w:sz w:val="16"/>
          <w:szCs w:val="16"/>
          <w:lang w:val="es-ES"/>
        </w:rPr>
        <w:t xml:space="preserve"> </w:t>
      </w:r>
      <w:r w:rsidRPr="0097061F">
        <w:rPr>
          <w:rFonts w:asciiTheme="majorHAnsi" w:eastAsia="Cambria" w:hAnsiTheme="majorHAnsi" w:cs="Cambria"/>
          <w:iCs/>
          <w:sz w:val="16"/>
          <w:szCs w:val="16"/>
          <w:lang w:val="es-ES"/>
        </w:rPr>
        <w:t xml:space="preserve">CIDH. </w:t>
      </w:r>
      <w:r w:rsidRPr="0097061F">
        <w:rPr>
          <w:rFonts w:asciiTheme="majorHAnsi" w:eastAsia="Cambria" w:hAnsiTheme="majorHAnsi" w:cs="Cambria"/>
          <w:sz w:val="16"/>
          <w:szCs w:val="16"/>
          <w:lang w:val="es-ES"/>
        </w:rPr>
        <w:t xml:space="preserve">Informe No. 57/96. </w:t>
      </w:r>
      <w:r w:rsidRPr="0097061F">
        <w:rPr>
          <w:rFonts w:asciiTheme="majorHAnsi" w:eastAsia="Cambria" w:hAnsiTheme="majorHAnsi" w:cs="Cambria"/>
          <w:iCs/>
          <w:sz w:val="16"/>
          <w:szCs w:val="16"/>
          <w:lang w:val="es-ES"/>
        </w:rPr>
        <w:t>Andrews. Estados Unidos.</w:t>
      </w:r>
      <w:r w:rsidRPr="0097061F">
        <w:rPr>
          <w:rFonts w:asciiTheme="majorHAnsi" w:eastAsia="Cambria" w:hAnsiTheme="majorHAnsi" w:cs="Cambria"/>
          <w:sz w:val="16"/>
          <w:szCs w:val="16"/>
          <w:lang w:val="es-ES"/>
        </w:rPr>
        <w:t xml:space="preserve"> Informe Anual de la CIDH 1997, </w:t>
      </w:r>
      <w:proofErr w:type="spellStart"/>
      <w:r w:rsidRPr="0097061F">
        <w:rPr>
          <w:rFonts w:asciiTheme="majorHAnsi" w:eastAsia="Cambria" w:hAnsiTheme="majorHAnsi" w:cs="Cambria"/>
          <w:sz w:val="16"/>
          <w:szCs w:val="16"/>
          <w:lang w:val="es-ES"/>
        </w:rPr>
        <w:t>párrs</w:t>
      </w:r>
      <w:proofErr w:type="spellEnd"/>
      <w:r w:rsidRPr="0097061F">
        <w:rPr>
          <w:rFonts w:asciiTheme="majorHAnsi" w:eastAsia="Cambria" w:hAnsiTheme="majorHAnsi" w:cs="Cambria"/>
          <w:sz w:val="16"/>
          <w:szCs w:val="16"/>
          <w:lang w:val="es-ES"/>
        </w:rPr>
        <w:t>. 170 y 171.</w:t>
      </w:r>
    </w:p>
  </w:footnote>
  <w:footnote w:id="47">
    <w:p w14:paraId="67F55051" w14:textId="77777777" w:rsidR="00B30ED6" w:rsidRPr="0097061F" w:rsidRDefault="00B30ED6" w:rsidP="008A6254">
      <w:pPr>
        <w:pStyle w:val="Body"/>
        <w:jc w:val="both"/>
        <w:rPr>
          <w:rFonts w:asciiTheme="majorHAnsi" w:hAnsiTheme="majorHAnsi"/>
          <w:sz w:val="16"/>
          <w:lang w:val="es-ES"/>
        </w:rPr>
      </w:pPr>
      <w:r w:rsidRPr="0097061F">
        <w:rPr>
          <w:rFonts w:asciiTheme="majorHAnsi" w:eastAsia="Cambria" w:hAnsiTheme="majorHAnsi" w:cs="Cambria"/>
          <w:sz w:val="16"/>
          <w:szCs w:val="20"/>
          <w:vertAlign w:val="superscript"/>
          <w:lang w:val="es-ES"/>
        </w:rPr>
        <w:footnoteRef/>
      </w:r>
      <w:r w:rsidRPr="0097061F">
        <w:rPr>
          <w:rFonts w:asciiTheme="majorHAnsi" w:eastAsia="Cambria" w:hAnsiTheme="majorHAnsi" w:cs="Cambria"/>
          <w:sz w:val="16"/>
          <w:szCs w:val="16"/>
          <w:lang w:val="es-ES"/>
        </w:rPr>
        <w:t xml:space="preserve"> CIDH. </w:t>
      </w:r>
      <w:bookmarkStart w:id="12" w:name="h_i_t1"/>
      <w:bookmarkEnd w:id="12"/>
      <w:r w:rsidRPr="0097061F">
        <w:rPr>
          <w:rFonts w:asciiTheme="majorHAnsi" w:eastAsia="Cambria" w:hAnsiTheme="majorHAnsi" w:cs="Cambria"/>
          <w:i/>
          <w:iCs/>
          <w:sz w:val="16"/>
          <w:szCs w:val="16"/>
          <w:lang w:val="es-ES"/>
        </w:rPr>
        <w:fldChar w:fldCharType="begin"/>
      </w:r>
      <w:r w:rsidRPr="0097061F">
        <w:rPr>
          <w:rFonts w:asciiTheme="majorHAnsi" w:eastAsia="Cambria" w:hAnsiTheme="majorHAnsi" w:cs="Cambria"/>
          <w:i/>
          <w:iCs/>
          <w:sz w:val="16"/>
          <w:szCs w:val="16"/>
          <w:lang w:val="es-ES"/>
        </w:rPr>
        <w:instrText xml:space="preserve"> HYPERLINK "https://www.oas.org/es/cidh/docs/pdfs/penademuerte.pdf" </w:instrText>
      </w:r>
      <w:r w:rsidRPr="0097061F">
        <w:rPr>
          <w:rFonts w:asciiTheme="majorHAnsi" w:eastAsia="Cambria" w:hAnsiTheme="majorHAnsi" w:cs="Cambria"/>
          <w:i/>
          <w:iCs/>
          <w:sz w:val="16"/>
          <w:szCs w:val="16"/>
          <w:lang w:val="es-ES"/>
        </w:rPr>
        <w:fldChar w:fldCharType="separate"/>
      </w:r>
      <w:r w:rsidRPr="0097061F">
        <w:rPr>
          <w:rStyle w:val="Hyperlink"/>
          <w:rFonts w:asciiTheme="majorHAnsi" w:eastAsia="Cambria" w:hAnsiTheme="majorHAnsi" w:cs="Cambria"/>
          <w:i/>
          <w:iCs/>
          <w:sz w:val="16"/>
          <w:szCs w:val="16"/>
          <w:lang w:val="es-ES"/>
        </w:rPr>
        <w:t xml:space="preserve">La </w:t>
      </w:r>
      <w:bookmarkStart w:id="13" w:name="h_i_t2"/>
      <w:bookmarkEnd w:id="13"/>
      <w:r w:rsidRPr="0097061F">
        <w:rPr>
          <w:rStyle w:val="Hyperlink"/>
          <w:rFonts w:asciiTheme="majorHAnsi" w:eastAsia="Cambria" w:hAnsiTheme="majorHAnsi" w:cs="Cambria"/>
          <w:i/>
          <w:iCs/>
          <w:sz w:val="16"/>
          <w:szCs w:val="16"/>
          <w:lang w:val="es-ES"/>
        </w:rPr>
        <w:t xml:space="preserve">pena </w:t>
      </w:r>
      <w:bookmarkStart w:id="14" w:name="h_i_t3"/>
      <w:bookmarkEnd w:id="14"/>
      <w:r w:rsidRPr="0097061F">
        <w:rPr>
          <w:rStyle w:val="Hyperlink"/>
          <w:rFonts w:asciiTheme="majorHAnsi" w:eastAsia="Cambria" w:hAnsiTheme="majorHAnsi" w:cs="Cambria"/>
          <w:i/>
          <w:iCs/>
          <w:sz w:val="16"/>
          <w:szCs w:val="16"/>
          <w:lang w:val="es-ES"/>
        </w:rPr>
        <w:t xml:space="preserve">de </w:t>
      </w:r>
      <w:bookmarkStart w:id="15" w:name="h_i_t4"/>
      <w:bookmarkEnd w:id="15"/>
      <w:r w:rsidRPr="0097061F">
        <w:rPr>
          <w:rStyle w:val="Hyperlink"/>
          <w:rFonts w:asciiTheme="majorHAnsi" w:eastAsia="Cambria" w:hAnsiTheme="majorHAnsi" w:cs="Cambria"/>
          <w:i/>
          <w:iCs/>
          <w:sz w:val="16"/>
          <w:szCs w:val="16"/>
          <w:lang w:val="es-ES"/>
        </w:rPr>
        <w:t xml:space="preserve">muerte </w:t>
      </w:r>
      <w:bookmarkStart w:id="16" w:name="h_i_t5"/>
      <w:bookmarkEnd w:id="16"/>
      <w:r w:rsidRPr="0097061F">
        <w:rPr>
          <w:rStyle w:val="Hyperlink"/>
          <w:rFonts w:asciiTheme="majorHAnsi" w:eastAsia="Cambria" w:hAnsiTheme="majorHAnsi" w:cs="Cambria"/>
          <w:i/>
          <w:iCs/>
          <w:sz w:val="16"/>
          <w:szCs w:val="16"/>
          <w:lang w:val="es-ES"/>
        </w:rPr>
        <w:t xml:space="preserve">en </w:t>
      </w:r>
      <w:bookmarkStart w:id="17" w:name="h_i_t6"/>
      <w:bookmarkEnd w:id="17"/>
      <w:r w:rsidRPr="0097061F">
        <w:rPr>
          <w:rStyle w:val="Hyperlink"/>
          <w:rFonts w:asciiTheme="majorHAnsi" w:eastAsia="Cambria" w:hAnsiTheme="majorHAnsi" w:cs="Cambria"/>
          <w:i/>
          <w:iCs/>
          <w:sz w:val="16"/>
          <w:szCs w:val="16"/>
          <w:lang w:val="es-ES"/>
        </w:rPr>
        <w:t xml:space="preserve">el </w:t>
      </w:r>
      <w:bookmarkStart w:id="18" w:name="h_i_t7"/>
      <w:bookmarkEnd w:id="18"/>
      <w:r w:rsidRPr="0097061F">
        <w:rPr>
          <w:rStyle w:val="Hyperlink"/>
          <w:rFonts w:asciiTheme="majorHAnsi" w:eastAsia="Cambria" w:hAnsiTheme="majorHAnsi" w:cs="Cambria"/>
          <w:i/>
          <w:iCs/>
          <w:sz w:val="16"/>
          <w:szCs w:val="16"/>
          <w:lang w:val="es-ES"/>
        </w:rPr>
        <w:t>Sistema Interamericano de Derechos Humanos: de restricciones a abolición</w:t>
      </w:r>
      <w:r w:rsidRPr="0097061F">
        <w:rPr>
          <w:rFonts w:asciiTheme="majorHAnsi" w:eastAsia="Cambria" w:hAnsiTheme="majorHAnsi" w:cs="Cambria"/>
          <w:i/>
          <w:iCs/>
          <w:sz w:val="16"/>
          <w:szCs w:val="16"/>
          <w:lang w:val="es-ES"/>
        </w:rPr>
        <w:fldChar w:fldCharType="end"/>
      </w:r>
      <w:r w:rsidRPr="0097061F">
        <w:rPr>
          <w:rFonts w:asciiTheme="majorHAnsi" w:eastAsia="Cambria" w:hAnsiTheme="majorHAnsi" w:cs="Cambria"/>
          <w:sz w:val="16"/>
          <w:szCs w:val="16"/>
          <w:lang w:val="es-ES"/>
        </w:rPr>
        <w:t>, OEA/</w:t>
      </w:r>
      <w:proofErr w:type="spellStart"/>
      <w:r w:rsidRPr="0097061F">
        <w:rPr>
          <w:rFonts w:asciiTheme="majorHAnsi" w:eastAsia="Cambria" w:hAnsiTheme="majorHAnsi" w:cs="Cambria"/>
          <w:sz w:val="16"/>
          <w:szCs w:val="16"/>
          <w:lang w:val="es-ES"/>
        </w:rPr>
        <w:t>Ser.L</w:t>
      </w:r>
      <w:proofErr w:type="spellEnd"/>
      <w:r w:rsidRPr="0097061F">
        <w:rPr>
          <w:rFonts w:asciiTheme="majorHAnsi" w:eastAsia="Cambria" w:hAnsiTheme="majorHAnsi" w:cs="Cambria"/>
          <w:sz w:val="16"/>
          <w:szCs w:val="16"/>
          <w:lang w:val="es-ES"/>
        </w:rPr>
        <w:t>/V/II.Doc. 68, 31 de diciembre de 2011, párr. 41.</w:t>
      </w:r>
    </w:p>
  </w:footnote>
  <w:footnote w:id="48">
    <w:p w14:paraId="491716A1" w14:textId="77777777" w:rsidR="00B30ED6" w:rsidRPr="0097061F" w:rsidRDefault="00B30ED6" w:rsidP="008A6254">
      <w:pPr>
        <w:pStyle w:val="Body"/>
        <w:jc w:val="both"/>
        <w:rPr>
          <w:rFonts w:asciiTheme="majorHAnsi" w:hAnsiTheme="majorHAnsi"/>
          <w:sz w:val="16"/>
          <w:lang w:val="es-ES"/>
        </w:rPr>
      </w:pPr>
      <w:r w:rsidRPr="0097061F">
        <w:rPr>
          <w:rFonts w:asciiTheme="majorHAnsi" w:eastAsia="Cambria" w:hAnsiTheme="majorHAnsi" w:cs="Cambria"/>
          <w:sz w:val="16"/>
          <w:szCs w:val="20"/>
          <w:vertAlign w:val="superscript"/>
          <w:lang w:val="es-ES"/>
        </w:rPr>
        <w:footnoteRef/>
      </w:r>
      <w:r w:rsidRPr="0097061F">
        <w:rPr>
          <w:rFonts w:asciiTheme="majorHAnsi" w:eastAsia="Cambria" w:hAnsiTheme="majorHAnsi" w:cs="Cambria"/>
          <w:sz w:val="16"/>
          <w:szCs w:val="16"/>
          <w:lang w:val="es-ES"/>
        </w:rPr>
        <w:t xml:space="preserve"> CIDH. </w:t>
      </w:r>
      <w:hyperlink r:id="rId6" w:history="1">
        <w:r w:rsidRPr="0097061F">
          <w:rPr>
            <w:rStyle w:val="Hyperlink"/>
            <w:rFonts w:asciiTheme="majorHAnsi" w:eastAsia="Cambria" w:hAnsiTheme="majorHAnsi" w:cs="Cambria"/>
            <w:sz w:val="16"/>
            <w:szCs w:val="16"/>
            <w:lang w:val="es-ES"/>
          </w:rPr>
          <w:t>Informe No. 78/07. Caso 12.265. Fondo (Publicación)</w:t>
        </w:r>
      </w:hyperlink>
      <w:r w:rsidRPr="0097061F">
        <w:rPr>
          <w:rStyle w:val="Hyperlink"/>
          <w:rFonts w:asciiTheme="majorHAnsi" w:eastAsia="Cambria" w:hAnsiTheme="majorHAnsi" w:cs="Cambria"/>
          <w:sz w:val="16"/>
          <w:szCs w:val="16"/>
          <w:u w:val="none"/>
          <w:lang w:val="es-ES"/>
        </w:rPr>
        <w:t>.</w:t>
      </w:r>
      <w:r w:rsidRPr="0097061F">
        <w:rPr>
          <w:rFonts w:asciiTheme="majorHAnsi" w:eastAsia="Cambria" w:hAnsiTheme="majorHAnsi" w:cs="Cambria"/>
          <w:sz w:val="16"/>
          <w:szCs w:val="16"/>
          <w:lang w:val="es-ES"/>
        </w:rPr>
        <w:t xml:space="preserve"> Chad Roger Goodman. Bahamas. 15 de octubre de 2007, párr. 34.</w:t>
      </w:r>
    </w:p>
  </w:footnote>
  <w:footnote w:id="49">
    <w:p w14:paraId="15CC0B36" w14:textId="77777777" w:rsidR="00B30ED6" w:rsidRPr="0097061F" w:rsidRDefault="00B30ED6" w:rsidP="008A6254">
      <w:pPr>
        <w:pStyle w:val="FootnoteText"/>
        <w:jc w:val="both"/>
        <w:rPr>
          <w:rFonts w:asciiTheme="majorHAnsi" w:hAnsiTheme="majorHAnsi"/>
          <w:sz w:val="16"/>
          <w:lang w:val="es-ES"/>
        </w:rPr>
      </w:pPr>
      <w:r w:rsidRPr="0097061F">
        <w:rPr>
          <w:rFonts w:asciiTheme="majorHAnsi" w:eastAsia="Cambria" w:hAnsiTheme="majorHAnsi" w:cs="Cambria"/>
          <w:sz w:val="16"/>
          <w:vertAlign w:val="superscript"/>
          <w:lang w:val="es-ES"/>
        </w:rPr>
        <w:footnoteRef/>
      </w:r>
      <w:r w:rsidRPr="0097061F">
        <w:rPr>
          <w:rFonts w:asciiTheme="majorHAnsi" w:eastAsia="Cambria" w:hAnsiTheme="majorHAnsi" w:cs="Cambria"/>
          <w:sz w:val="16"/>
          <w:szCs w:val="16"/>
          <w:lang w:val="es-ES"/>
        </w:rPr>
        <w:t xml:space="preserve"> CIDH. </w:t>
      </w:r>
      <w:hyperlink r:id="rId7" w:history="1">
        <w:r w:rsidRPr="0097061F">
          <w:rPr>
            <w:rStyle w:val="Hyperlink"/>
            <w:rFonts w:asciiTheme="majorHAnsi" w:eastAsia="Cambria" w:hAnsiTheme="majorHAnsi" w:cs="Cambria"/>
            <w:sz w:val="16"/>
            <w:szCs w:val="16"/>
            <w:lang w:val="es-ES"/>
          </w:rPr>
          <w:t>Informe No. 44/14. Caso 12.873. Informe de Fondo (Publicación)</w:t>
        </w:r>
      </w:hyperlink>
      <w:r w:rsidRPr="0097061F">
        <w:rPr>
          <w:rStyle w:val="Hyperlink"/>
          <w:rFonts w:asciiTheme="majorHAnsi" w:eastAsia="Cambria" w:hAnsiTheme="majorHAnsi" w:cs="Cambria"/>
          <w:sz w:val="16"/>
          <w:szCs w:val="16"/>
          <w:u w:val="none"/>
          <w:lang w:val="es-ES"/>
        </w:rPr>
        <w:t>.</w:t>
      </w:r>
      <w:r w:rsidRPr="0097061F">
        <w:rPr>
          <w:rFonts w:asciiTheme="majorHAnsi" w:eastAsia="Cambria" w:hAnsiTheme="majorHAnsi" w:cs="Cambria"/>
          <w:sz w:val="16"/>
          <w:szCs w:val="16"/>
          <w:lang w:val="es-ES"/>
        </w:rPr>
        <w:t xml:space="preserve"> Edgar Tamayo Arias. Estados Unidos. 17 de julio de 2014, párr. 214.</w:t>
      </w:r>
    </w:p>
  </w:footnote>
  <w:footnote w:id="50">
    <w:p w14:paraId="4FD6DF99" w14:textId="77777777" w:rsidR="00B30ED6" w:rsidRPr="0097061F" w:rsidRDefault="00B30ED6" w:rsidP="008A6254">
      <w:pPr>
        <w:pStyle w:val="Body"/>
        <w:jc w:val="both"/>
        <w:rPr>
          <w:rFonts w:asciiTheme="majorHAnsi" w:eastAsia="Cambria" w:hAnsiTheme="majorHAnsi" w:cs="Cambria"/>
          <w:sz w:val="16"/>
          <w:szCs w:val="20"/>
          <w:lang w:val="es-ES"/>
        </w:rPr>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lang w:val="es-ES"/>
        </w:rPr>
        <w:t xml:space="preserve"> </w:t>
      </w:r>
      <w:r w:rsidRPr="0097061F">
        <w:rPr>
          <w:rFonts w:asciiTheme="majorHAnsi" w:hAnsiTheme="majorHAnsi"/>
          <w:sz w:val="16"/>
          <w:szCs w:val="16"/>
          <w:lang w:val="es-ES"/>
        </w:rPr>
        <w:t>El artículo I de la Declaración Americana dice: “</w:t>
      </w:r>
      <w:r w:rsidRPr="0097061F">
        <w:rPr>
          <w:rFonts w:asciiTheme="majorHAnsi" w:eastAsia="Cambria" w:hAnsiTheme="majorHAnsi" w:cs="Cambria"/>
          <w:sz w:val="16"/>
          <w:szCs w:val="16"/>
          <w:shd w:val="clear" w:color="auto" w:fill="FFFFFF"/>
          <w:lang w:val="es-ES"/>
        </w:rPr>
        <w:t>Todo ser humano tiene derecho a la vida, a la libertad y a la seguridad de su persona</w:t>
      </w:r>
      <w:r w:rsidRPr="0097061F">
        <w:rPr>
          <w:rFonts w:asciiTheme="majorHAnsi" w:hAnsiTheme="majorHAnsi"/>
          <w:sz w:val="16"/>
          <w:szCs w:val="16"/>
          <w:lang w:val="es-ES"/>
        </w:rPr>
        <w:t>”.</w:t>
      </w:r>
    </w:p>
  </w:footnote>
  <w:footnote w:id="51">
    <w:p w14:paraId="014CC747" w14:textId="77777777" w:rsidR="00B30ED6" w:rsidRPr="0097061F" w:rsidRDefault="00B30ED6" w:rsidP="008A6254">
      <w:pPr>
        <w:pStyle w:val="NormalWeb"/>
        <w:spacing w:before="0" w:beforeAutospacing="0" w:after="0" w:afterAutospacing="0"/>
        <w:jc w:val="both"/>
        <w:rPr>
          <w:lang w:val="es-ES"/>
        </w:rPr>
      </w:pPr>
      <w:r w:rsidRPr="0097061F">
        <w:rPr>
          <w:rFonts w:asciiTheme="majorHAnsi" w:eastAsia="Calibri" w:hAnsiTheme="majorHAnsi" w:cs="Calibri"/>
          <w:sz w:val="16"/>
          <w:szCs w:val="20"/>
          <w:vertAlign w:val="superscript"/>
          <w:lang w:val="es-ES"/>
        </w:rPr>
        <w:footnoteRef/>
      </w:r>
      <w:r w:rsidRPr="0097061F">
        <w:rPr>
          <w:rFonts w:asciiTheme="majorHAnsi" w:hAnsiTheme="majorHAnsi"/>
          <w:sz w:val="16"/>
          <w:lang w:val="es-ES"/>
        </w:rPr>
        <w:t xml:space="preserve"> CIDH. Informe No. 121/18. Caso 10.573. Fondo (Publicación). José Isabel Salas Galindo y otros. Estados Unidos. 5 de octubre de 2018, párr. 337. Véase también, </w:t>
      </w:r>
      <w:r w:rsidRPr="0097061F">
        <w:rPr>
          <w:rFonts w:asciiTheme="majorHAnsi" w:hAnsiTheme="majorHAnsi"/>
          <w:i/>
          <w:sz w:val="16"/>
          <w:lang w:val="es-ES"/>
        </w:rPr>
        <w:t xml:space="preserve">mutatis </w:t>
      </w:r>
      <w:proofErr w:type="spellStart"/>
      <w:r w:rsidRPr="0097061F">
        <w:rPr>
          <w:rFonts w:asciiTheme="majorHAnsi" w:hAnsiTheme="majorHAnsi"/>
          <w:i/>
          <w:sz w:val="16"/>
          <w:lang w:val="es-ES"/>
        </w:rPr>
        <w:t>mutandi</w:t>
      </w:r>
      <w:proofErr w:type="spellEnd"/>
      <w:r w:rsidRPr="0097061F">
        <w:rPr>
          <w:rFonts w:asciiTheme="majorHAnsi" w:hAnsiTheme="majorHAnsi"/>
          <w:sz w:val="16"/>
          <w:lang w:val="es-ES"/>
        </w:rPr>
        <w:t xml:space="preserve">, </w:t>
      </w:r>
      <w:r w:rsidRPr="0097061F">
        <w:rPr>
          <w:rFonts w:asciiTheme="majorHAnsi" w:eastAsia="Calibri" w:hAnsiTheme="majorHAnsi" w:cs="Calibri"/>
          <w:sz w:val="16"/>
          <w:szCs w:val="16"/>
          <w:lang w:val="es-ES"/>
        </w:rPr>
        <w:t xml:space="preserve">Corte IDH, </w:t>
      </w:r>
      <w:r w:rsidRPr="0097061F">
        <w:rPr>
          <w:rFonts w:asciiTheme="majorHAnsi" w:eastAsia="Calibri" w:hAnsiTheme="majorHAnsi" w:cs="Calibri"/>
          <w:i/>
          <w:iCs/>
          <w:sz w:val="16"/>
          <w:szCs w:val="16"/>
          <w:lang w:val="es-ES"/>
        </w:rPr>
        <w:t>El derecho a la información sobre la asistencia consular en el marco de las garantías del debido proceso legal.</w:t>
      </w:r>
      <w:r w:rsidRPr="0097061F">
        <w:rPr>
          <w:rFonts w:asciiTheme="majorHAnsi" w:eastAsia="Calibri" w:hAnsiTheme="majorHAnsi" w:cs="Calibri"/>
          <w:iCs/>
          <w:sz w:val="16"/>
          <w:szCs w:val="16"/>
          <w:lang w:val="es-ES"/>
        </w:rPr>
        <w:t xml:space="preserve"> Opinión Consultiva </w:t>
      </w:r>
      <w:r w:rsidRPr="0097061F">
        <w:rPr>
          <w:rFonts w:asciiTheme="majorHAnsi" w:eastAsia="Calibri" w:hAnsiTheme="majorHAnsi" w:cs="Calibri"/>
          <w:sz w:val="16"/>
          <w:szCs w:val="16"/>
          <w:lang w:val="es-ES"/>
        </w:rPr>
        <w:t>OC‐16/99 de 1 de octubre de 1999. Serie A No. 16, párr. 136.</w:t>
      </w:r>
      <w:r w:rsidRPr="0097061F">
        <w:rPr>
          <w:rFonts w:ascii="Calibri" w:eastAsia="Calibri" w:hAnsi="Calibri" w:cs="Calibri"/>
          <w:sz w:val="16"/>
          <w:szCs w:val="16"/>
          <w:lang w:val="es-ES"/>
        </w:rPr>
        <w:t xml:space="preserve"> </w:t>
      </w:r>
    </w:p>
  </w:footnote>
  <w:footnote w:id="52">
    <w:p w14:paraId="7985A856" w14:textId="77777777" w:rsidR="00B30ED6" w:rsidRPr="0097061F" w:rsidRDefault="00B30ED6" w:rsidP="00182FB6">
      <w:pPr>
        <w:jc w:val="both"/>
        <w:rPr>
          <w:rFonts w:asciiTheme="majorHAnsi" w:eastAsia="Times New Roman"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CIDH. Informe </w:t>
      </w:r>
      <w:r w:rsidRPr="0097061F">
        <w:rPr>
          <w:rFonts w:asciiTheme="majorHAnsi" w:eastAsia="Times New Roman" w:hAnsiTheme="majorHAnsi"/>
          <w:sz w:val="16"/>
          <w:szCs w:val="16"/>
          <w:lang w:val="es-ES"/>
        </w:rPr>
        <w:t xml:space="preserve">52/01. Caso 12.243. Juan Raúl Garza. Estados Unidos, </w:t>
      </w:r>
      <w:proofErr w:type="spellStart"/>
      <w:r w:rsidRPr="0097061F">
        <w:rPr>
          <w:rFonts w:asciiTheme="majorHAnsi" w:eastAsia="Times New Roman" w:hAnsiTheme="majorHAnsi"/>
          <w:sz w:val="16"/>
          <w:szCs w:val="16"/>
          <w:lang w:val="es-ES"/>
        </w:rPr>
        <w:t>párrs</w:t>
      </w:r>
      <w:proofErr w:type="spellEnd"/>
      <w:r w:rsidRPr="0097061F">
        <w:rPr>
          <w:rFonts w:asciiTheme="majorHAnsi" w:eastAsia="Times New Roman" w:hAnsiTheme="majorHAnsi"/>
          <w:sz w:val="16"/>
          <w:szCs w:val="16"/>
          <w:lang w:val="es-ES"/>
        </w:rPr>
        <w:t>. 89 a 91; CIDH. Informe 57/96. Caso 11.139. William Andrews. Estados Unidos, párr. 177.</w:t>
      </w:r>
    </w:p>
  </w:footnote>
  <w:footnote w:id="53">
    <w:p w14:paraId="1797D844" w14:textId="77777777" w:rsidR="00B30ED6" w:rsidRPr="0097061F" w:rsidRDefault="00B30ED6" w:rsidP="00365545">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Corte IDH. </w:t>
      </w:r>
      <w:r w:rsidRPr="0097061F">
        <w:rPr>
          <w:rFonts w:asciiTheme="majorHAnsi" w:hAnsiTheme="majorHAnsi"/>
          <w:i/>
          <w:sz w:val="16"/>
          <w:szCs w:val="16"/>
          <w:lang w:val="es-ES"/>
        </w:rPr>
        <w:t>Opinión Consultiva OC-3/83 del 8 de setiembre de 1983. Restricciones a la pena de muerte (arts. 4.2 y 4.4 Convención Americana sobre Derechos Humanos)</w:t>
      </w:r>
      <w:r w:rsidRPr="0097061F">
        <w:rPr>
          <w:rFonts w:asciiTheme="majorHAnsi" w:hAnsiTheme="majorHAnsi"/>
          <w:sz w:val="16"/>
          <w:szCs w:val="16"/>
          <w:lang w:val="es-ES"/>
        </w:rPr>
        <w:t>. Serie A, No. 3 (1983), párr. 54.</w:t>
      </w:r>
    </w:p>
  </w:footnote>
  <w:footnote w:id="54">
    <w:p w14:paraId="375072CF" w14:textId="77777777" w:rsidR="00B30ED6" w:rsidRPr="0097061F" w:rsidRDefault="00B30ED6" w:rsidP="00C31331">
      <w:pPr>
        <w:pStyle w:val="FootnoteText"/>
        <w:jc w:val="both"/>
        <w:rPr>
          <w:rFonts w:asciiTheme="majorHAnsi" w:hAnsiTheme="majorHAnsi" w:cs="Times New Roman"/>
          <w:b/>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w:t>
      </w:r>
      <w:r w:rsidRPr="0097061F">
        <w:rPr>
          <w:rFonts w:asciiTheme="majorHAnsi" w:hAnsiTheme="majorHAnsi"/>
          <w:bCs/>
          <w:sz w:val="16"/>
          <w:szCs w:val="16"/>
          <w:lang w:val="es-ES"/>
        </w:rPr>
        <w:t xml:space="preserve">Corte IDH. </w:t>
      </w:r>
      <w:hyperlink r:id="rId8" w:history="1">
        <w:r w:rsidRPr="0097061F">
          <w:rPr>
            <w:rStyle w:val="Hyperlink"/>
            <w:rFonts w:asciiTheme="majorHAnsi" w:hAnsiTheme="majorHAnsi"/>
            <w:bCs/>
            <w:i/>
            <w:iCs/>
            <w:sz w:val="16"/>
            <w:szCs w:val="16"/>
            <w:lang w:val="es-ES"/>
          </w:rPr>
          <w:t xml:space="preserve">Caso Hilaire, </w:t>
        </w:r>
        <w:proofErr w:type="spellStart"/>
        <w:r w:rsidRPr="0097061F">
          <w:rPr>
            <w:rStyle w:val="Hyperlink"/>
            <w:rFonts w:asciiTheme="majorHAnsi" w:hAnsiTheme="majorHAnsi"/>
            <w:bCs/>
            <w:i/>
            <w:iCs/>
            <w:sz w:val="16"/>
            <w:szCs w:val="16"/>
            <w:lang w:val="es-ES"/>
          </w:rPr>
          <w:t>Constantine</w:t>
        </w:r>
        <w:proofErr w:type="spellEnd"/>
        <w:r w:rsidRPr="0097061F">
          <w:rPr>
            <w:rStyle w:val="Hyperlink"/>
            <w:rFonts w:asciiTheme="majorHAnsi" w:hAnsiTheme="majorHAnsi"/>
            <w:bCs/>
            <w:i/>
            <w:iCs/>
            <w:sz w:val="16"/>
            <w:szCs w:val="16"/>
            <w:lang w:val="es-ES"/>
          </w:rPr>
          <w:t xml:space="preserve"> y </w:t>
        </w:r>
        <w:proofErr w:type="spellStart"/>
        <w:r w:rsidRPr="0097061F">
          <w:rPr>
            <w:rStyle w:val="Hyperlink"/>
            <w:rFonts w:asciiTheme="majorHAnsi" w:hAnsiTheme="majorHAnsi"/>
            <w:bCs/>
            <w:i/>
            <w:iCs/>
            <w:sz w:val="16"/>
            <w:szCs w:val="16"/>
            <w:lang w:val="es-ES"/>
          </w:rPr>
          <w:t>Benjamin</w:t>
        </w:r>
        <w:proofErr w:type="spellEnd"/>
        <w:r w:rsidRPr="0097061F">
          <w:rPr>
            <w:rStyle w:val="Hyperlink"/>
            <w:rFonts w:asciiTheme="majorHAnsi" w:hAnsiTheme="majorHAnsi"/>
            <w:bCs/>
            <w:i/>
            <w:iCs/>
            <w:sz w:val="16"/>
            <w:szCs w:val="16"/>
            <w:lang w:val="es-ES"/>
          </w:rPr>
          <w:t xml:space="preserve"> y otros Vs. Trinidad y Tobago</w:t>
        </w:r>
      </w:hyperlink>
      <w:r w:rsidRPr="0097061F">
        <w:rPr>
          <w:rFonts w:asciiTheme="majorHAnsi" w:hAnsiTheme="majorHAnsi"/>
          <w:bCs/>
          <w:sz w:val="16"/>
          <w:szCs w:val="16"/>
          <w:lang w:val="es-ES"/>
        </w:rPr>
        <w:t xml:space="preserve">. Fondo, Reparaciones y Costas. Sentencia de 21 de junio de 2002. Serie C No. 94, párr. </w:t>
      </w:r>
      <w:r w:rsidRPr="0097061F">
        <w:rPr>
          <w:rFonts w:asciiTheme="majorHAnsi" w:hAnsiTheme="majorHAnsi"/>
          <w:sz w:val="16"/>
          <w:szCs w:val="16"/>
          <w:lang w:val="es-ES"/>
        </w:rPr>
        <w:t>102; Corte IDH.</w:t>
      </w:r>
      <w:r w:rsidRPr="0097061F">
        <w:rPr>
          <w:rFonts w:asciiTheme="majorHAnsi" w:hAnsiTheme="majorHAnsi"/>
          <w:bCs/>
          <w:sz w:val="16"/>
          <w:szCs w:val="16"/>
          <w:lang w:val="es-ES"/>
        </w:rPr>
        <w:t xml:space="preserve"> </w:t>
      </w:r>
      <w:r w:rsidRPr="0097061F">
        <w:rPr>
          <w:rFonts w:asciiTheme="majorHAnsi" w:hAnsiTheme="majorHAnsi"/>
          <w:bCs/>
          <w:i/>
          <w:sz w:val="16"/>
          <w:szCs w:val="16"/>
          <w:lang w:val="es-ES"/>
        </w:rPr>
        <w:t>Caso Boyce y otros vs. Barbados</w:t>
      </w:r>
      <w:r w:rsidRPr="0097061F">
        <w:rPr>
          <w:rFonts w:asciiTheme="majorHAnsi" w:hAnsiTheme="majorHAnsi"/>
          <w:bCs/>
          <w:sz w:val="16"/>
          <w:szCs w:val="16"/>
          <w:lang w:val="es-ES"/>
        </w:rPr>
        <w:t xml:space="preserve">. Excepción Preliminar, Fondo, Reparaciones y Costas. Sentencia de 20 de noviembre de 2007. Serie C No. 169, párr. </w:t>
      </w:r>
      <w:r w:rsidRPr="0097061F">
        <w:rPr>
          <w:rFonts w:asciiTheme="majorHAnsi" w:hAnsiTheme="majorHAnsi"/>
          <w:sz w:val="16"/>
          <w:szCs w:val="16"/>
          <w:lang w:val="es-ES"/>
        </w:rPr>
        <w:t>53; Corte IDH.</w:t>
      </w:r>
      <w:r w:rsidRPr="0097061F">
        <w:rPr>
          <w:rFonts w:asciiTheme="majorHAnsi" w:hAnsiTheme="majorHAnsi"/>
          <w:bCs/>
          <w:sz w:val="16"/>
          <w:szCs w:val="16"/>
          <w:lang w:val="es-ES"/>
        </w:rPr>
        <w:t xml:space="preserve"> </w:t>
      </w:r>
      <w:r w:rsidRPr="0097061F">
        <w:rPr>
          <w:rFonts w:asciiTheme="majorHAnsi" w:hAnsiTheme="majorHAnsi"/>
          <w:bCs/>
          <w:i/>
          <w:sz w:val="16"/>
          <w:szCs w:val="16"/>
          <w:lang w:val="es-ES"/>
        </w:rPr>
        <w:t xml:space="preserve">Caso </w:t>
      </w:r>
      <w:proofErr w:type="spellStart"/>
      <w:r w:rsidRPr="0097061F">
        <w:rPr>
          <w:rFonts w:asciiTheme="majorHAnsi" w:hAnsiTheme="majorHAnsi"/>
          <w:bCs/>
          <w:i/>
          <w:sz w:val="16"/>
          <w:szCs w:val="16"/>
          <w:lang w:val="es-ES"/>
        </w:rPr>
        <w:t>DaCosta</w:t>
      </w:r>
      <w:proofErr w:type="spellEnd"/>
      <w:r w:rsidRPr="0097061F">
        <w:rPr>
          <w:rFonts w:asciiTheme="majorHAnsi" w:hAnsiTheme="majorHAnsi"/>
          <w:bCs/>
          <w:i/>
          <w:sz w:val="16"/>
          <w:szCs w:val="16"/>
          <w:lang w:val="es-ES"/>
        </w:rPr>
        <w:t xml:space="preserve"> Cadogan vs. Barbados</w:t>
      </w:r>
      <w:r w:rsidRPr="0097061F">
        <w:rPr>
          <w:rFonts w:asciiTheme="majorHAnsi" w:hAnsiTheme="majorHAnsi"/>
          <w:bCs/>
          <w:sz w:val="16"/>
          <w:szCs w:val="16"/>
          <w:lang w:val="es-ES"/>
        </w:rPr>
        <w:t>. Excepciones Preliminares, Fondo, Reparaciones y Costas. Sentencia de 24 de septiembre de 2009. Serie C No. 204, párr. 50.</w:t>
      </w:r>
    </w:p>
  </w:footnote>
  <w:footnote w:id="55">
    <w:p w14:paraId="24513B54" w14:textId="77777777" w:rsidR="00B30ED6" w:rsidRPr="0097061F" w:rsidRDefault="00B30ED6" w:rsidP="00C31331">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Oficina del Alto Comisionado de Derechos Humanos. </w:t>
      </w:r>
      <w:hyperlink r:id="rId9" w:history="1">
        <w:r w:rsidRPr="0097061F">
          <w:rPr>
            <w:rStyle w:val="Hyperlink"/>
            <w:rFonts w:asciiTheme="majorHAnsi" w:hAnsiTheme="majorHAnsi"/>
            <w:i/>
            <w:sz w:val="16"/>
            <w:szCs w:val="16"/>
            <w:lang w:val="es-ES"/>
          </w:rPr>
          <w:t>Pacto Internacional de Derechos Civiles y Políticos</w:t>
        </w:r>
      </w:hyperlink>
      <w:r w:rsidRPr="0097061F">
        <w:rPr>
          <w:rFonts w:asciiTheme="majorHAnsi" w:hAnsiTheme="majorHAnsi"/>
          <w:sz w:val="16"/>
          <w:szCs w:val="16"/>
          <w:lang w:val="es-ES"/>
        </w:rPr>
        <w:t>, 16 de diciembre de 1966, artículo 6, inciso 2.</w:t>
      </w:r>
    </w:p>
  </w:footnote>
  <w:footnote w:id="56">
    <w:p w14:paraId="5B5DCDF8" w14:textId="77777777" w:rsidR="00B30ED6" w:rsidRPr="0097061F" w:rsidRDefault="00B30ED6" w:rsidP="00C31331">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Consejo de Derechos Humanos. </w:t>
      </w:r>
      <w:hyperlink r:id="rId10" w:history="1">
        <w:r w:rsidRPr="0097061F">
          <w:rPr>
            <w:rStyle w:val="Hyperlink"/>
            <w:rFonts w:asciiTheme="majorHAnsi" w:hAnsiTheme="majorHAnsi"/>
            <w:i/>
            <w:sz w:val="16"/>
            <w:szCs w:val="16"/>
            <w:lang w:val="es-ES"/>
          </w:rPr>
          <w:t xml:space="preserve">Informe del Relator Especial, Philip </w:t>
        </w:r>
        <w:proofErr w:type="spellStart"/>
        <w:r w:rsidRPr="0097061F">
          <w:rPr>
            <w:rStyle w:val="Hyperlink"/>
            <w:rFonts w:asciiTheme="majorHAnsi" w:hAnsiTheme="majorHAnsi"/>
            <w:i/>
            <w:sz w:val="16"/>
            <w:szCs w:val="16"/>
            <w:lang w:val="es-ES"/>
          </w:rPr>
          <w:t>Alston</w:t>
        </w:r>
        <w:proofErr w:type="spellEnd"/>
        <w:r w:rsidRPr="0097061F">
          <w:rPr>
            <w:rStyle w:val="Hyperlink"/>
            <w:rFonts w:asciiTheme="majorHAnsi" w:hAnsiTheme="majorHAnsi"/>
            <w:i/>
            <w:sz w:val="16"/>
            <w:szCs w:val="16"/>
            <w:lang w:val="es-ES"/>
          </w:rPr>
          <w:t>, sobre las ejecuciones extrajudiciales, sumarias o arbitrarias</w:t>
        </w:r>
      </w:hyperlink>
      <w:r w:rsidRPr="0097061F">
        <w:rPr>
          <w:rFonts w:asciiTheme="majorHAnsi" w:hAnsiTheme="majorHAnsi"/>
          <w:sz w:val="16"/>
          <w:szCs w:val="16"/>
          <w:lang w:val="es-ES"/>
        </w:rPr>
        <w:t xml:space="preserve">. A/HRC/4/20, 29 de enero de 2007, </w:t>
      </w:r>
      <w:proofErr w:type="spellStart"/>
      <w:r w:rsidRPr="0097061F">
        <w:rPr>
          <w:rFonts w:asciiTheme="majorHAnsi" w:hAnsiTheme="majorHAnsi"/>
          <w:sz w:val="16"/>
          <w:szCs w:val="16"/>
          <w:lang w:val="es-ES"/>
        </w:rPr>
        <w:t>párrs</w:t>
      </w:r>
      <w:proofErr w:type="spellEnd"/>
      <w:r w:rsidRPr="0097061F">
        <w:rPr>
          <w:rFonts w:asciiTheme="majorHAnsi" w:hAnsiTheme="majorHAnsi"/>
          <w:sz w:val="16"/>
          <w:szCs w:val="16"/>
          <w:lang w:val="es-ES"/>
        </w:rPr>
        <w:t xml:space="preserve">. 39 a 53 y 65. </w:t>
      </w:r>
    </w:p>
  </w:footnote>
  <w:footnote w:id="57">
    <w:p w14:paraId="38B395BC"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Consejo Económico y Social. </w:t>
      </w:r>
      <w:hyperlink r:id="rId11" w:history="1">
        <w:r w:rsidRPr="0097061F">
          <w:rPr>
            <w:rStyle w:val="Hyperlink"/>
            <w:rFonts w:asciiTheme="majorHAnsi" w:hAnsiTheme="majorHAnsi"/>
            <w:i/>
            <w:sz w:val="16"/>
            <w:szCs w:val="16"/>
            <w:lang w:val="es-ES"/>
          </w:rPr>
          <w:t>Aplicación de las salvaguardias para garantizar la protección de los derechos de los condenados a la pena de muerte</w:t>
        </w:r>
      </w:hyperlink>
      <w:r w:rsidRPr="0097061F">
        <w:rPr>
          <w:rFonts w:asciiTheme="majorHAnsi" w:hAnsiTheme="majorHAnsi"/>
          <w:sz w:val="16"/>
          <w:szCs w:val="16"/>
          <w:lang w:val="es-ES"/>
        </w:rPr>
        <w:t xml:space="preserve">. </w:t>
      </w:r>
      <w:r w:rsidRPr="0097061F">
        <w:rPr>
          <w:rFonts w:asciiTheme="majorHAnsi" w:hAnsiTheme="majorHAnsi"/>
          <w:color w:val="auto"/>
          <w:sz w:val="16"/>
          <w:szCs w:val="16"/>
          <w:lang w:val="es-ES"/>
        </w:rPr>
        <w:t>Resolución 1984/50 del 25 de mayo de 1984.</w:t>
      </w:r>
    </w:p>
  </w:footnote>
  <w:footnote w:id="58">
    <w:p w14:paraId="5C8423B0"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Carpo v </w:t>
      </w:r>
      <w:proofErr w:type="spellStart"/>
      <w:r w:rsidRPr="0097061F">
        <w:rPr>
          <w:rFonts w:asciiTheme="majorHAnsi" w:hAnsiTheme="majorHAnsi"/>
          <w:sz w:val="16"/>
          <w:szCs w:val="16"/>
          <w:lang w:val="es-ES"/>
        </w:rPr>
        <w:t>The</w:t>
      </w:r>
      <w:proofErr w:type="spellEnd"/>
      <w:r w:rsidRPr="0097061F">
        <w:rPr>
          <w:rFonts w:asciiTheme="majorHAnsi" w:hAnsiTheme="majorHAnsi"/>
          <w:sz w:val="16"/>
          <w:szCs w:val="16"/>
          <w:lang w:val="es-ES"/>
        </w:rPr>
        <w:t xml:space="preserve"> </w:t>
      </w:r>
      <w:proofErr w:type="spellStart"/>
      <w:r w:rsidRPr="0097061F">
        <w:rPr>
          <w:rFonts w:asciiTheme="majorHAnsi" w:hAnsiTheme="majorHAnsi"/>
          <w:sz w:val="16"/>
          <w:szCs w:val="16"/>
          <w:lang w:val="es-ES"/>
        </w:rPr>
        <w:t>Philippines</w:t>
      </w:r>
      <w:proofErr w:type="spellEnd"/>
      <w:r w:rsidRPr="0097061F">
        <w:rPr>
          <w:rFonts w:asciiTheme="majorHAnsi" w:hAnsiTheme="majorHAnsi"/>
          <w:sz w:val="16"/>
          <w:szCs w:val="16"/>
          <w:lang w:val="es-ES"/>
        </w:rPr>
        <w:t xml:space="preserve"> </w:t>
      </w:r>
      <w:proofErr w:type="spellStart"/>
      <w:r w:rsidRPr="0097061F">
        <w:rPr>
          <w:rFonts w:asciiTheme="majorHAnsi" w:hAnsiTheme="majorHAnsi"/>
          <w:sz w:val="16"/>
          <w:szCs w:val="16"/>
          <w:lang w:val="es-ES"/>
        </w:rPr>
        <w:t>Schabas</w:t>
      </w:r>
      <w:proofErr w:type="spellEnd"/>
      <w:r w:rsidRPr="0097061F">
        <w:rPr>
          <w:rFonts w:asciiTheme="majorHAnsi" w:hAnsiTheme="majorHAnsi"/>
          <w:sz w:val="16"/>
          <w:szCs w:val="16"/>
          <w:lang w:val="es-ES"/>
        </w:rPr>
        <w:t xml:space="preserve"> n. 2, pp. 106 a 111.</w:t>
      </w:r>
    </w:p>
  </w:footnote>
  <w:footnote w:id="59">
    <w:p w14:paraId="545A0156"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w:t>
      </w:r>
      <w:r w:rsidRPr="0097061F">
        <w:rPr>
          <w:rFonts w:asciiTheme="majorHAnsi" w:eastAsia="Times New Roman" w:hAnsiTheme="majorHAnsi" w:cs="Times New Roman"/>
          <w:bCs/>
          <w:sz w:val="16"/>
          <w:szCs w:val="16"/>
          <w:lang w:val="es-ES"/>
        </w:rPr>
        <w:t xml:space="preserve">Corte IDH. </w:t>
      </w:r>
      <w:hyperlink r:id="rId12" w:history="1">
        <w:r w:rsidRPr="0097061F">
          <w:rPr>
            <w:rStyle w:val="Hyperlink"/>
            <w:rFonts w:asciiTheme="majorHAnsi" w:eastAsia="Times New Roman" w:hAnsiTheme="majorHAnsi" w:cs="Times New Roman"/>
            <w:bCs/>
            <w:i/>
            <w:iCs/>
            <w:sz w:val="16"/>
            <w:szCs w:val="16"/>
            <w:lang w:val="es-ES"/>
          </w:rPr>
          <w:t xml:space="preserve">Caso Hilaire, </w:t>
        </w:r>
        <w:proofErr w:type="spellStart"/>
        <w:r w:rsidRPr="0097061F">
          <w:rPr>
            <w:rStyle w:val="Hyperlink"/>
            <w:rFonts w:asciiTheme="majorHAnsi" w:eastAsia="Times New Roman" w:hAnsiTheme="majorHAnsi" w:cs="Times New Roman"/>
            <w:bCs/>
            <w:i/>
            <w:iCs/>
            <w:sz w:val="16"/>
            <w:szCs w:val="16"/>
            <w:lang w:val="es-ES"/>
          </w:rPr>
          <w:t>Constantine</w:t>
        </w:r>
        <w:proofErr w:type="spellEnd"/>
        <w:r w:rsidRPr="0097061F">
          <w:rPr>
            <w:rStyle w:val="Hyperlink"/>
            <w:rFonts w:asciiTheme="majorHAnsi" w:eastAsia="Times New Roman" w:hAnsiTheme="majorHAnsi" w:cs="Times New Roman"/>
            <w:bCs/>
            <w:i/>
            <w:iCs/>
            <w:sz w:val="16"/>
            <w:szCs w:val="16"/>
            <w:lang w:val="es-ES"/>
          </w:rPr>
          <w:t xml:space="preserve"> y </w:t>
        </w:r>
        <w:proofErr w:type="spellStart"/>
        <w:r w:rsidRPr="0097061F">
          <w:rPr>
            <w:rStyle w:val="Hyperlink"/>
            <w:rFonts w:asciiTheme="majorHAnsi" w:eastAsia="Times New Roman" w:hAnsiTheme="majorHAnsi" w:cs="Times New Roman"/>
            <w:bCs/>
            <w:i/>
            <w:iCs/>
            <w:sz w:val="16"/>
            <w:szCs w:val="16"/>
            <w:lang w:val="es-ES"/>
          </w:rPr>
          <w:t>Benjamin</w:t>
        </w:r>
        <w:proofErr w:type="spellEnd"/>
        <w:r w:rsidRPr="0097061F">
          <w:rPr>
            <w:rStyle w:val="Hyperlink"/>
            <w:rFonts w:asciiTheme="majorHAnsi" w:eastAsia="Times New Roman" w:hAnsiTheme="majorHAnsi" w:cs="Times New Roman"/>
            <w:bCs/>
            <w:i/>
            <w:iCs/>
            <w:sz w:val="16"/>
            <w:szCs w:val="16"/>
            <w:lang w:val="es-ES"/>
          </w:rPr>
          <w:t xml:space="preserve"> y otros Vs. Trinidad y Tobago</w:t>
        </w:r>
      </w:hyperlink>
      <w:r w:rsidRPr="0097061F">
        <w:rPr>
          <w:rFonts w:asciiTheme="majorHAnsi" w:eastAsia="Times New Roman" w:hAnsiTheme="majorHAnsi" w:cs="Times New Roman"/>
          <w:bCs/>
          <w:sz w:val="16"/>
          <w:szCs w:val="16"/>
          <w:lang w:val="es-ES"/>
        </w:rPr>
        <w:t>. Fondo, Reparaciones y Costas. Sentencia de 21 de junio de 2002. Serie</w:t>
      </w:r>
      <w:r w:rsidRPr="0097061F">
        <w:rPr>
          <w:rFonts w:asciiTheme="majorHAnsi" w:eastAsia="Times New Roman" w:hAnsiTheme="majorHAnsi" w:cs="Times New Roman"/>
          <w:sz w:val="16"/>
          <w:szCs w:val="16"/>
          <w:lang w:val="es-ES"/>
        </w:rPr>
        <w:t xml:space="preserve"> C No. 94, párr. 102; </w:t>
      </w:r>
      <w:r w:rsidRPr="0097061F">
        <w:rPr>
          <w:rFonts w:asciiTheme="majorHAnsi" w:eastAsia="Times New Roman" w:hAnsiTheme="majorHAnsi"/>
          <w:sz w:val="16"/>
          <w:szCs w:val="16"/>
          <w:lang w:val="es-ES"/>
        </w:rPr>
        <w:t xml:space="preserve">Corte IDH. </w:t>
      </w:r>
      <w:proofErr w:type="spellStart"/>
      <w:r w:rsidRPr="0097061F">
        <w:rPr>
          <w:rFonts w:asciiTheme="majorHAnsi" w:eastAsia="Times New Roman" w:hAnsiTheme="majorHAnsi"/>
          <w:i/>
          <w:sz w:val="16"/>
          <w:szCs w:val="16"/>
          <w:lang w:val="es-ES"/>
        </w:rPr>
        <w:t>Raxcacó</w:t>
      </w:r>
      <w:proofErr w:type="spellEnd"/>
      <w:r w:rsidRPr="0097061F">
        <w:rPr>
          <w:rFonts w:asciiTheme="majorHAnsi" w:eastAsia="Times New Roman" w:hAnsiTheme="majorHAnsi"/>
          <w:i/>
          <w:sz w:val="16"/>
          <w:szCs w:val="16"/>
          <w:lang w:val="es-ES"/>
        </w:rPr>
        <w:t xml:space="preserve"> Reyes Vs. Guatemala</w:t>
      </w:r>
      <w:r w:rsidRPr="0097061F">
        <w:rPr>
          <w:rFonts w:asciiTheme="majorHAnsi" w:eastAsia="Times New Roman" w:hAnsiTheme="majorHAnsi"/>
          <w:sz w:val="16"/>
          <w:szCs w:val="16"/>
          <w:lang w:val="es-ES"/>
        </w:rPr>
        <w:t>. Fondo, Reparaciones y Costas. Sentencia de 15 de septiembre de 2005</w:t>
      </w:r>
      <w:r w:rsidRPr="0097061F">
        <w:rPr>
          <w:rFonts w:asciiTheme="majorHAnsi" w:eastAsia="Times New Roman" w:hAnsiTheme="majorHAnsi" w:cs="Times New Roman"/>
          <w:sz w:val="16"/>
          <w:szCs w:val="16"/>
          <w:lang w:val="es-ES"/>
        </w:rPr>
        <w:t xml:space="preserve">, Serie C No. 133, </w:t>
      </w:r>
      <w:proofErr w:type="spellStart"/>
      <w:r w:rsidRPr="0097061F">
        <w:rPr>
          <w:rFonts w:asciiTheme="majorHAnsi" w:eastAsia="Times New Roman" w:hAnsiTheme="majorHAnsi" w:cs="Times New Roman"/>
          <w:sz w:val="16"/>
          <w:szCs w:val="16"/>
          <w:lang w:val="es-ES"/>
        </w:rPr>
        <w:t>párrs</w:t>
      </w:r>
      <w:proofErr w:type="spellEnd"/>
      <w:r w:rsidRPr="0097061F">
        <w:rPr>
          <w:rFonts w:asciiTheme="majorHAnsi" w:eastAsia="Times New Roman" w:hAnsiTheme="majorHAnsi" w:cs="Times New Roman"/>
          <w:sz w:val="16"/>
          <w:szCs w:val="16"/>
          <w:lang w:val="es-ES"/>
        </w:rPr>
        <w:t xml:space="preserve">. 79-82; UNHRC. </w:t>
      </w:r>
      <w:proofErr w:type="spellStart"/>
      <w:r w:rsidRPr="0097061F">
        <w:rPr>
          <w:rFonts w:asciiTheme="majorHAnsi" w:eastAsia="Times New Roman" w:hAnsiTheme="majorHAnsi" w:cs="Times New Roman"/>
          <w:i/>
          <w:sz w:val="16"/>
          <w:szCs w:val="16"/>
          <w:lang w:val="es-ES"/>
        </w:rPr>
        <w:t>Communication</w:t>
      </w:r>
      <w:proofErr w:type="spellEnd"/>
      <w:r w:rsidRPr="0097061F">
        <w:rPr>
          <w:rFonts w:asciiTheme="majorHAnsi" w:eastAsia="Times New Roman" w:hAnsiTheme="majorHAnsi" w:cs="Times New Roman"/>
          <w:i/>
          <w:sz w:val="16"/>
          <w:szCs w:val="16"/>
          <w:lang w:val="es-ES"/>
        </w:rPr>
        <w:t xml:space="preserve"> No. 390/1990, </w:t>
      </w:r>
      <w:proofErr w:type="spellStart"/>
      <w:r w:rsidRPr="0097061F">
        <w:rPr>
          <w:rFonts w:asciiTheme="majorHAnsi" w:eastAsia="Times New Roman" w:hAnsiTheme="majorHAnsi" w:cs="Times New Roman"/>
          <w:i/>
          <w:sz w:val="16"/>
          <w:szCs w:val="16"/>
          <w:lang w:val="es-ES"/>
        </w:rPr>
        <w:t>Lubuto</w:t>
      </w:r>
      <w:proofErr w:type="spellEnd"/>
      <w:r w:rsidRPr="0097061F">
        <w:rPr>
          <w:rFonts w:asciiTheme="majorHAnsi" w:eastAsia="Times New Roman" w:hAnsiTheme="majorHAnsi" w:cs="Times New Roman"/>
          <w:i/>
          <w:sz w:val="16"/>
          <w:szCs w:val="16"/>
          <w:lang w:val="es-ES"/>
        </w:rPr>
        <w:t xml:space="preserve"> (Zambia)</w:t>
      </w:r>
      <w:r w:rsidRPr="0097061F">
        <w:rPr>
          <w:rFonts w:asciiTheme="majorHAnsi" w:eastAsia="Times New Roman" w:hAnsiTheme="majorHAnsi" w:cs="Times New Roman"/>
          <w:sz w:val="16"/>
          <w:szCs w:val="16"/>
          <w:lang w:val="es-ES"/>
        </w:rPr>
        <w:t>, CCRP/C/55/D/390/1990 (17 de noviembre de 1995).</w:t>
      </w:r>
    </w:p>
  </w:footnote>
  <w:footnote w:id="60">
    <w:p w14:paraId="1BF21763" w14:textId="77777777" w:rsidR="00B30ED6" w:rsidRPr="0097061F" w:rsidRDefault="00B30ED6" w:rsidP="008A6254">
      <w:pPr>
        <w:jc w:val="both"/>
        <w:rPr>
          <w:rFonts w:asciiTheme="majorHAnsi" w:eastAsia="Times New Roman"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w:t>
      </w:r>
      <w:r w:rsidRPr="0097061F">
        <w:rPr>
          <w:rFonts w:asciiTheme="majorHAnsi" w:eastAsia="Times New Roman" w:hAnsiTheme="majorHAnsi"/>
          <w:bCs/>
          <w:sz w:val="16"/>
          <w:szCs w:val="16"/>
          <w:lang w:val="es-ES"/>
        </w:rPr>
        <w:t xml:space="preserve">Corte IDH. </w:t>
      </w:r>
      <w:hyperlink r:id="rId13" w:history="1">
        <w:r w:rsidRPr="0097061F">
          <w:rPr>
            <w:rStyle w:val="Hyperlink"/>
            <w:rFonts w:asciiTheme="majorHAnsi" w:eastAsia="Times New Roman" w:hAnsiTheme="majorHAnsi"/>
            <w:bCs/>
            <w:i/>
            <w:iCs/>
            <w:sz w:val="16"/>
            <w:szCs w:val="16"/>
            <w:lang w:val="es-ES"/>
          </w:rPr>
          <w:t xml:space="preserve">Caso Hilaire, </w:t>
        </w:r>
        <w:proofErr w:type="spellStart"/>
        <w:r w:rsidRPr="0097061F">
          <w:rPr>
            <w:rStyle w:val="Hyperlink"/>
            <w:rFonts w:asciiTheme="majorHAnsi" w:eastAsia="Times New Roman" w:hAnsiTheme="majorHAnsi"/>
            <w:bCs/>
            <w:i/>
            <w:iCs/>
            <w:sz w:val="16"/>
            <w:szCs w:val="16"/>
            <w:lang w:val="es-ES"/>
          </w:rPr>
          <w:t>Constantine</w:t>
        </w:r>
        <w:proofErr w:type="spellEnd"/>
        <w:r w:rsidRPr="0097061F">
          <w:rPr>
            <w:rStyle w:val="Hyperlink"/>
            <w:rFonts w:asciiTheme="majorHAnsi" w:eastAsia="Times New Roman" w:hAnsiTheme="majorHAnsi"/>
            <w:bCs/>
            <w:i/>
            <w:iCs/>
            <w:sz w:val="16"/>
            <w:szCs w:val="16"/>
            <w:lang w:val="es-ES"/>
          </w:rPr>
          <w:t xml:space="preserve"> y </w:t>
        </w:r>
        <w:proofErr w:type="spellStart"/>
        <w:r w:rsidRPr="0097061F">
          <w:rPr>
            <w:rStyle w:val="Hyperlink"/>
            <w:rFonts w:asciiTheme="majorHAnsi" w:eastAsia="Times New Roman" w:hAnsiTheme="majorHAnsi"/>
            <w:bCs/>
            <w:i/>
            <w:iCs/>
            <w:sz w:val="16"/>
            <w:szCs w:val="16"/>
            <w:lang w:val="es-ES"/>
          </w:rPr>
          <w:t>Benjamin</w:t>
        </w:r>
        <w:proofErr w:type="spellEnd"/>
        <w:r w:rsidRPr="0097061F">
          <w:rPr>
            <w:rStyle w:val="Hyperlink"/>
            <w:rFonts w:asciiTheme="majorHAnsi" w:eastAsia="Times New Roman" w:hAnsiTheme="majorHAnsi"/>
            <w:bCs/>
            <w:i/>
            <w:iCs/>
            <w:sz w:val="16"/>
            <w:szCs w:val="16"/>
            <w:lang w:val="es-ES"/>
          </w:rPr>
          <w:t xml:space="preserve"> y otros Vs. Trinidad y Tobago</w:t>
        </w:r>
      </w:hyperlink>
      <w:r w:rsidRPr="0097061F">
        <w:rPr>
          <w:rFonts w:asciiTheme="majorHAnsi" w:eastAsia="Times New Roman" w:hAnsiTheme="majorHAnsi"/>
          <w:bCs/>
          <w:sz w:val="16"/>
          <w:szCs w:val="16"/>
          <w:lang w:val="es-ES"/>
        </w:rPr>
        <w:t>. Fondo, Reparaciones y Costas. Sentencia de 21 de junio de 2002. Serie</w:t>
      </w:r>
      <w:r w:rsidRPr="0097061F">
        <w:rPr>
          <w:rFonts w:asciiTheme="majorHAnsi" w:eastAsia="Times New Roman" w:hAnsiTheme="majorHAnsi"/>
          <w:color w:val="000000"/>
          <w:sz w:val="16"/>
          <w:szCs w:val="16"/>
          <w:lang w:val="es-ES"/>
        </w:rPr>
        <w:t xml:space="preserve"> C No. 94, </w:t>
      </w:r>
      <w:proofErr w:type="spellStart"/>
      <w:r w:rsidRPr="0097061F">
        <w:rPr>
          <w:rFonts w:asciiTheme="majorHAnsi" w:eastAsia="Times New Roman" w:hAnsiTheme="majorHAnsi"/>
          <w:color w:val="000000"/>
          <w:sz w:val="16"/>
          <w:szCs w:val="16"/>
          <w:lang w:val="es-ES"/>
        </w:rPr>
        <w:t>párrs</w:t>
      </w:r>
      <w:proofErr w:type="spellEnd"/>
      <w:r w:rsidRPr="0097061F">
        <w:rPr>
          <w:rFonts w:asciiTheme="majorHAnsi" w:eastAsia="Times New Roman" w:hAnsiTheme="majorHAnsi"/>
          <w:color w:val="000000"/>
          <w:sz w:val="16"/>
          <w:szCs w:val="16"/>
          <w:lang w:val="es-ES"/>
        </w:rPr>
        <w:t xml:space="preserve">. 102 a 108; </w:t>
      </w:r>
      <w:r w:rsidRPr="0097061F">
        <w:rPr>
          <w:rFonts w:asciiTheme="majorHAnsi" w:eastAsia="Times New Roman" w:hAnsiTheme="majorHAnsi"/>
          <w:sz w:val="16"/>
          <w:szCs w:val="16"/>
          <w:lang w:val="es-ES"/>
        </w:rPr>
        <w:t xml:space="preserve">Corte IDH. </w:t>
      </w:r>
      <w:proofErr w:type="spellStart"/>
      <w:r w:rsidRPr="0097061F">
        <w:rPr>
          <w:rFonts w:asciiTheme="majorHAnsi" w:eastAsia="Times New Roman" w:hAnsiTheme="majorHAnsi"/>
          <w:i/>
          <w:sz w:val="16"/>
          <w:szCs w:val="16"/>
          <w:lang w:val="es-ES"/>
        </w:rPr>
        <w:t>Raxcacó</w:t>
      </w:r>
      <w:proofErr w:type="spellEnd"/>
      <w:r w:rsidRPr="0097061F">
        <w:rPr>
          <w:rFonts w:asciiTheme="majorHAnsi" w:eastAsia="Times New Roman" w:hAnsiTheme="majorHAnsi"/>
          <w:i/>
          <w:sz w:val="16"/>
          <w:szCs w:val="16"/>
          <w:lang w:val="es-ES"/>
        </w:rPr>
        <w:t xml:space="preserve"> Reyes Vs. Guatemala</w:t>
      </w:r>
      <w:r w:rsidRPr="0097061F">
        <w:rPr>
          <w:rFonts w:asciiTheme="majorHAnsi" w:eastAsia="Times New Roman" w:hAnsiTheme="majorHAnsi"/>
          <w:sz w:val="16"/>
          <w:szCs w:val="16"/>
          <w:lang w:val="es-ES"/>
        </w:rPr>
        <w:t xml:space="preserve">. Fondo, Reparaciones y Costas. Sentencia de 15 de septiembre de 2005, </w:t>
      </w:r>
      <w:r w:rsidRPr="0097061F">
        <w:rPr>
          <w:rFonts w:asciiTheme="majorHAnsi" w:eastAsia="Times New Roman" w:hAnsiTheme="majorHAnsi"/>
          <w:color w:val="000000"/>
          <w:sz w:val="16"/>
          <w:szCs w:val="16"/>
          <w:lang w:val="es-ES"/>
        </w:rPr>
        <w:t xml:space="preserve">Serie C No. 133, párr. 81; </w:t>
      </w:r>
      <w:r w:rsidRPr="0097061F">
        <w:rPr>
          <w:rFonts w:asciiTheme="majorHAnsi" w:eastAsia="Times New Roman" w:hAnsiTheme="majorHAnsi"/>
          <w:sz w:val="16"/>
          <w:szCs w:val="16"/>
          <w:lang w:val="es-ES"/>
        </w:rPr>
        <w:t xml:space="preserve">UNHRC. </w:t>
      </w:r>
      <w:proofErr w:type="spellStart"/>
      <w:r w:rsidRPr="0097061F">
        <w:rPr>
          <w:rFonts w:asciiTheme="majorHAnsi" w:eastAsia="Times New Roman" w:hAnsiTheme="majorHAnsi"/>
          <w:i/>
          <w:sz w:val="16"/>
          <w:szCs w:val="16"/>
          <w:lang w:val="es-ES"/>
        </w:rPr>
        <w:t>Communication</w:t>
      </w:r>
      <w:proofErr w:type="spellEnd"/>
      <w:r w:rsidRPr="0097061F">
        <w:rPr>
          <w:rFonts w:asciiTheme="majorHAnsi" w:eastAsia="Times New Roman" w:hAnsiTheme="majorHAnsi"/>
          <w:i/>
          <w:sz w:val="16"/>
          <w:szCs w:val="16"/>
          <w:lang w:val="es-ES"/>
        </w:rPr>
        <w:t xml:space="preserve"> No. 390/1990, </w:t>
      </w:r>
      <w:proofErr w:type="spellStart"/>
      <w:r w:rsidRPr="0097061F">
        <w:rPr>
          <w:rFonts w:asciiTheme="majorHAnsi" w:eastAsia="Times New Roman" w:hAnsiTheme="majorHAnsi"/>
          <w:i/>
          <w:sz w:val="16"/>
          <w:szCs w:val="16"/>
          <w:lang w:val="es-ES"/>
        </w:rPr>
        <w:t>Lubuto</w:t>
      </w:r>
      <w:proofErr w:type="spellEnd"/>
      <w:r w:rsidRPr="0097061F">
        <w:rPr>
          <w:rFonts w:asciiTheme="majorHAnsi" w:eastAsia="Times New Roman" w:hAnsiTheme="majorHAnsi"/>
          <w:i/>
          <w:sz w:val="16"/>
          <w:szCs w:val="16"/>
          <w:lang w:val="es-ES"/>
        </w:rPr>
        <w:t xml:space="preserve"> (Zambia)</w:t>
      </w:r>
      <w:r w:rsidRPr="0097061F">
        <w:rPr>
          <w:rFonts w:asciiTheme="majorHAnsi" w:eastAsia="Times New Roman" w:hAnsiTheme="majorHAnsi"/>
          <w:sz w:val="16"/>
          <w:szCs w:val="16"/>
          <w:lang w:val="es-ES"/>
        </w:rPr>
        <w:t xml:space="preserve">, CCRP/C/55/D/390/1990 (17 de noviembre de 1995), párr. 7.2. </w:t>
      </w:r>
    </w:p>
  </w:footnote>
  <w:footnote w:id="61">
    <w:p w14:paraId="3177EDF5" w14:textId="77777777" w:rsidR="00B30ED6" w:rsidRPr="0097061F" w:rsidRDefault="00B30ED6" w:rsidP="0079658B">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CIDH. </w:t>
      </w:r>
      <w:hyperlink r:id="rId14" w:history="1">
        <w:r w:rsidRPr="0097061F">
          <w:rPr>
            <w:rStyle w:val="Hyperlink"/>
            <w:rFonts w:asciiTheme="majorHAnsi" w:hAnsiTheme="majorHAnsi"/>
            <w:sz w:val="16"/>
            <w:szCs w:val="16"/>
            <w:lang w:val="es-ES"/>
          </w:rPr>
          <w:t>Informe No. 99/17, Caso 11.782</w:t>
        </w:r>
      </w:hyperlink>
      <w:r w:rsidRPr="0097061F">
        <w:rPr>
          <w:rFonts w:asciiTheme="majorHAnsi" w:hAnsiTheme="majorHAnsi"/>
          <w:sz w:val="16"/>
          <w:szCs w:val="16"/>
          <w:lang w:val="es-ES"/>
        </w:rPr>
        <w:t>. Admisibilidad y Fondo. Miguel Ángel Rodríguez Revolorio, Miguel Ángel López Calo y Aníbal Archilla Pérez. Guatemala. 5 de septiembre de 2017, párr. 123.</w:t>
      </w:r>
    </w:p>
  </w:footnote>
  <w:footnote w:id="62">
    <w:p w14:paraId="60F0A44C" w14:textId="77777777" w:rsidR="00B30ED6" w:rsidRPr="0097061F" w:rsidRDefault="00B30ED6" w:rsidP="000564D3">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CIDH. </w:t>
      </w:r>
      <w:hyperlink r:id="rId15" w:history="1">
        <w:r w:rsidRPr="0097061F">
          <w:rPr>
            <w:rStyle w:val="Hyperlink"/>
            <w:rFonts w:asciiTheme="majorHAnsi" w:hAnsiTheme="majorHAnsi"/>
            <w:sz w:val="16"/>
            <w:szCs w:val="16"/>
            <w:lang w:val="es-ES"/>
          </w:rPr>
          <w:t>Informe No. 71/18, Caso 12.958</w:t>
        </w:r>
      </w:hyperlink>
      <w:r w:rsidRPr="0097061F">
        <w:rPr>
          <w:rFonts w:asciiTheme="majorHAnsi" w:hAnsiTheme="majorHAnsi"/>
          <w:sz w:val="16"/>
          <w:szCs w:val="16"/>
          <w:lang w:val="es-ES"/>
        </w:rPr>
        <w:t xml:space="preserve">. Fondo. Russell </w:t>
      </w:r>
      <w:proofErr w:type="spellStart"/>
      <w:r w:rsidRPr="0097061F">
        <w:rPr>
          <w:rFonts w:asciiTheme="majorHAnsi" w:hAnsiTheme="majorHAnsi"/>
          <w:sz w:val="16"/>
          <w:szCs w:val="16"/>
          <w:lang w:val="es-ES"/>
        </w:rPr>
        <w:t>Bucklew</w:t>
      </w:r>
      <w:proofErr w:type="spellEnd"/>
      <w:r w:rsidRPr="0097061F">
        <w:rPr>
          <w:rFonts w:asciiTheme="majorHAnsi" w:hAnsiTheme="majorHAnsi"/>
          <w:sz w:val="16"/>
          <w:szCs w:val="16"/>
          <w:lang w:val="es-ES"/>
        </w:rPr>
        <w:t>. Estados Unidos. 10 de mayo de 2018, párr. 93.</w:t>
      </w:r>
    </w:p>
  </w:footnote>
  <w:footnote w:id="63">
    <w:p w14:paraId="0ADBDEB7" w14:textId="77777777" w:rsidR="00B30ED6" w:rsidRPr="0097061F" w:rsidRDefault="00B30ED6" w:rsidP="000564D3">
      <w:pPr>
        <w:pStyle w:val="FootnoteText"/>
        <w:rPr>
          <w:lang w:val="es-ES"/>
        </w:rPr>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lang w:val="es-ES"/>
        </w:rPr>
        <w:t xml:space="preserve"> </w:t>
      </w:r>
      <w:r w:rsidRPr="0097061F">
        <w:rPr>
          <w:rFonts w:asciiTheme="majorHAnsi" w:eastAsia="Times New Roman" w:hAnsiTheme="majorHAnsi" w:cs="Times New Roman"/>
          <w:color w:val="auto"/>
          <w:sz w:val="16"/>
          <w:szCs w:val="16"/>
          <w:lang w:val="es-ES" w:eastAsia="en-US"/>
        </w:rPr>
        <w:t xml:space="preserve">CIDH. </w:t>
      </w:r>
      <w:hyperlink r:id="rId16" w:history="1">
        <w:r w:rsidRPr="0097061F">
          <w:rPr>
            <w:rStyle w:val="Hyperlink"/>
            <w:rFonts w:asciiTheme="majorHAnsi" w:eastAsia="Times New Roman" w:hAnsiTheme="majorHAnsi" w:cs="Times New Roman"/>
            <w:sz w:val="16"/>
            <w:szCs w:val="16"/>
            <w:lang w:val="es-ES" w:eastAsia="en-US"/>
          </w:rPr>
          <w:t>Informe No. 53/13, Caso 12.864</w:t>
        </w:r>
      </w:hyperlink>
      <w:r w:rsidRPr="0097061F">
        <w:rPr>
          <w:rFonts w:asciiTheme="majorHAnsi" w:eastAsia="Times New Roman" w:hAnsiTheme="majorHAnsi" w:cs="Times New Roman"/>
          <w:color w:val="auto"/>
          <w:sz w:val="16"/>
          <w:szCs w:val="16"/>
          <w:lang w:val="es-ES" w:eastAsia="en-US"/>
        </w:rPr>
        <w:t xml:space="preserve">. Fondo (Publicación). </w:t>
      </w:r>
      <w:proofErr w:type="spellStart"/>
      <w:r w:rsidRPr="0097061F">
        <w:rPr>
          <w:rFonts w:asciiTheme="majorHAnsi" w:eastAsia="Times New Roman" w:hAnsiTheme="majorHAnsi" w:cs="Times New Roman"/>
          <w:color w:val="auto"/>
          <w:sz w:val="16"/>
          <w:szCs w:val="16"/>
          <w:lang w:val="es-ES" w:eastAsia="en-US"/>
        </w:rPr>
        <w:t>Ivan</w:t>
      </w:r>
      <w:proofErr w:type="spellEnd"/>
      <w:r w:rsidRPr="0097061F">
        <w:rPr>
          <w:rFonts w:asciiTheme="majorHAnsi" w:eastAsia="Times New Roman" w:hAnsiTheme="majorHAnsi" w:cs="Times New Roman"/>
          <w:color w:val="auto"/>
          <w:sz w:val="16"/>
          <w:szCs w:val="16"/>
          <w:lang w:val="es-ES" w:eastAsia="en-US"/>
        </w:rPr>
        <w:t xml:space="preserve"> </w:t>
      </w:r>
      <w:proofErr w:type="spellStart"/>
      <w:r w:rsidRPr="0097061F">
        <w:rPr>
          <w:rFonts w:asciiTheme="majorHAnsi" w:eastAsia="Times New Roman" w:hAnsiTheme="majorHAnsi" w:cs="Times New Roman"/>
          <w:color w:val="auto"/>
          <w:sz w:val="16"/>
          <w:szCs w:val="16"/>
          <w:lang w:val="es-ES" w:eastAsia="en-US"/>
        </w:rPr>
        <w:t>Teleguz</w:t>
      </w:r>
      <w:proofErr w:type="spellEnd"/>
      <w:r w:rsidRPr="0097061F">
        <w:rPr>
          <w:rFonts w:asciiTheme="majorHAnsi" w:eastAsia="Times New Roman" w:hAnsiTheme="majorHAnsi" w:cs="Times New Roman"/>
          <w:color w:val="auto"/>
          <w:sz w:val="16"/>
          <w:szCs w:val="16"/>
          <w:lang w:val="es-ES" w:eastAsia="en-US"/>
        </w:rPr>
        <w:t>. Estados Unidos. 15 de julio de 2013, párr. 129.</w:t>
      </w:r>
      <w:r w:rsidRPr="0097061F">
        <w:rPr>
          <w:sz w:val="16"/>
          <w:szCs w:val="16"/>
          <w:lang w:val="es-ES"/>
        </w:rPr>
        <w:t xml:space="preserve"> </w:t>
      </w:r>
    </w:p>
  </w:footnote>
  <w:footnote w:id="64">
    <w:p w14:paraId="2FFBC38F" w14:textId="77777777" w:rsidR="00B30ED6" w:rsidRPr="0097061F" w:rsidRDefault="00B30ED6" w:rsidP="008A6254">
      <w:pPr>
        <w:pStyle w:val="FootnoteText"/>
        <w:jc w:val="both"/>
        <w:rPr>
          <w:rFonts w:asciiTheme="majorHAnsi" w:hAnsiTheme="majorHAnsi"/>
          <w:color w:val="auto"/>
          <w:sz w:val="16"/>
          <w:szCs w:val="16"/>
          <w:lang w:val="es-ES"/>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lang w:val="es-ES"/>
        </w:rPr>
        <w:t xml:space="preserve"> El artículo XXV de la Declaración Americana dice: “[…] Todo individuo que haya sido privado de su libertad […] Tiene derecho también a un tratamiento humano durante la privación de su libertad”. </w:t>
      </w:r>
    </w:p>
    <w:p w14:paraId="688A1DD0" w14:textId="77777777" w:rsidR="00B30ED6" w:rsidRPr="0097061F" w:rsidRDefault="00B30ED6" w:rsidP="008A6254">
      <w:pPr>
        <w:pStyle w:val="FootnoteText"/>
        <w:jc w:val="both"/>
        <w:rPr>
          <w:rFonts w:asciiTheme="majorHAnsi" w:hAnsiTheme="majorHAnsi"/>
          <w:color w:val="auto"/>
          <w:sz w:val="16"/>
          <w:szCs w:val="16"/>
          <w:lang w:val="es-ES"/>
        </w:rPr>
      </w:pPr>
      <w:r w:rsidRPr="0097061F">
        <w:rPr>
          <w:rFonts w:asciiTheme="majorHAnsi" w:hAnsiTheme="majorHAnsi"/>
          <w:color w:val="auto"/>
          <w:sz w:val="16"/>
          <w:szCs w:val="16"/>
          <w:lang w:val="es-ES"/>
        </w:rPr>
        <w:t>El artículo XXVI of la Declaración Americana dice: “[…] Toda persona acusada de delito tiene derecho a […] que no se le imponga penas crueles, infamantes o inusitadas”</w:t>
      </w:r>
    </w:p>
  </w:footnote>
  <w:footnote w:id="65">
    <w:p w14:paraId="15A69EBD" w14:textId="77777777" w:rsidR="00B30ED6" w:rsidRPr="0097061F" w:rsidRDefault="00B30ED6" w:rsidP="00806906">
      <w:pPr>
        <w:pStyle w:val="FootnoteText"/>
        <w:jc w:val="both"/>
        <w:rPr>
          <w:rFonts w:asciiTheme="majorHAnsi" w:hAnsiTheme="majorHAnsi"/>
          <w:color w:val="auto"/>
          <w:sz w:val="16"/>
          <w:szCs w:val="16"/>
          <w:lang w:val="es-ES"/>
        </w:rPr>
      </w:pPr>
      <w:r w:rsidRPr="0097061F">
        <w:rPr>
          <w:rStyle w:val="FootnoteReference"/>
          <w:rFonts w:asciiTheme="majorHAnsi" w:hAnsiTheme="majorHAnsi"/>
          <w:color w:val="auto"/>
          <w:sz w:val="16"/>
          <w:szCs w:val="16"/>
          <w:lang w:val="es-ES"/>
        </w:rPr>
        <w:footnoteRef/>
      </w:r>
      <w:r w:rsidRPr="0097061F">
        <w:rPr>
          <w:rStyle w:val="FootnoteReference"/>
          <w:rFonts w:asciiTheme="majorHAnsi" w:hAnsiTheme="majorHAnsi"/>
          <w:color w:val="auto"/>
          <w:sz w:val="16"/>
          <w:szCs w:val="16"/>
          <w:lang w:val="es-ES"/>
        </w:rPr>
        <w:t xml:space="preserve"> </w:t>
      </w:r>
      <w:r w:rsidRPr="0097061F">
        <w:rPr>
          <w:rFonts w:asciiTheme="majorHAnsi" w:hAnsiTheme="majorHAnsi"/>
          <w:sz w:val="16"/>
          <w:szCs w:val="16"/>
          <w:lang w:val="es-ES"/>
        </w:rPr>
        <w:t xml:space="preserve">CIDH. </w:t>
      </w:r>
      <w:hyperlink r:id="rId17" w:history="1">
        <w:r w:rsidRPr="0097061F">
          <w:rPr>
            <w:rStyle w:val="Hyperlink"/>
            <w:rFonts w:asciiTheme="majorHAnsi" w:hAnsiTheme="majorHAnsi"/>
            <w:sz w:val="16"/>
            <w:szCs w:val="16"/>
            <w:lang w:val="es-ES"/>
          </w:rPr>
          <w:t>Informe No. 71/18. Caso 12.958</w:t>
        </w:r>
      </w:hyperlink>
      <w:r w:rsidRPr="0097061F">
        <w:rPr>
          <w:rFonts w:asciiTheme="majorHAnsi" w:hAnsiTheme="majorHAnsi"/>
          <w:sz w:val="16"/>
          <w:szCs w:val="16"/>
          <w:lang w:val="es-ES"/>
        </w:rPr>
        <w:t xml:space="preserve">. Fondo. Russell </w:t>
      </w:r>
      <w:proofErr w:type="spellStart"/>
      <w:r w:rsidRPr="0097061F">
        <w:rPr>
          <w:rFonts w:asciiTheme="majorHAnsi" w:hAnsiTheme="majorHAnsi"/>
          <w:sz w:val="16"/>
          <w:szCs w:val="16"/>
          <w:lang w:val="es-ES"/>
        </w:rPr>
        <w:t>Bucklew</w:t>
      </w:r>
      <w:proofErr w:type="spellEnd"/>
      <w:r w:rsidRPr="0097061F">
        <w:rPr>
          <w:rFonts w:asciiTheme="majorHAnsi" w:hAnsiTheme="majorHAnsi"/>
          <w:color w:val="auto"/>
          <w:sz w:val="16"/>
          <w:szCs w:val="16"/>
          <w:lang w:val="es-ES"/>
        </w:rPr>
        <w:t xml:space="preserve">. Estados Unidos. 10 de mayo de 2018, </w:t>
      </w:r>
      <w:proofErr w:type="spellStart"/>
      <w:r w:rsidRPr="0097061F">
        <w:rPr>
          <w:rFonts w:asciiTheme="majorHAnsi" w:hAnsiTheme="majorHAnsi"/>
          <w:color w:val="auto"/>
          <w:sz w:val="16"/>
          <w:szCs w:val="16"/>
          <w:lang w:val="es-ES"/>
        </w:rPr>
        <w:t>párrs</w:t>
      </w:r>
      <w:proofErr w:type="spellEnd"/>
      <w:r w:rsidRPr="0097061F">
        <w:rPr>
          <w:rFonts w:asciiTheme="majorHAnsi" w:hAnsiTheme="majorHAnsi"/>
          <w:color w:val="auto"/>
          <w:sz w:val="16"/>
          <w:szCs w:val="16"/>
          <w:lang w:val="es-ES"/>
        </w:rPr>
        <w:t>. 86 a 90. En este informe, la Comisión cita varios avances en el sistema interamericano y en otros sistemas de protección, entre ellos los sistemas regionales y el sistema de las Naciones Unidas.</w:t>
      </w:r>
    </w:p>
  </w:footnote>
  <w:footnote w:id="66">
    <w:p w14:paraId="34247AE6" w14:textId="77777777" w:rsidR="00B30ED6" w:rsidRPr="0097061F" w:rsidRDefault="00B30ED6" w:rsidP="008A6254">
      <w:pPr>
        <w:pStyle w:val="FootnoteText"/>
        <w:tabs>
          <w:tab w:val="right" w:pos="0"/>
          <w:tab w:val="left" w:pos="180"/>
          <w:tab w:val="left" w:pos="900"/>
        </w:tabs>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Naciones Unidas, Asamblea General. </w:t>
      </w:r>
      <w:hyperlink r:id="rId18" w:history="1">
        <w:r w:rsidRPr="0097061F">
          <w:rPr>
            <w:rStyle w:val="Hyperlink"/>
            <w:rFonts w:asciiTheme="majorHAnsi" w:hAnsiTheme="majorHAnsi"/>
            <w:i/>
            <w:iCs/>
            <w:sz w:val="16"/>
            <w:szCs w:val="16"/>
            <w:lang w:val="es-ES"/>
          </w:rPr>
          <w:t>Informe provisional del Relator Especial sobre la tortura y otros tratos o penas crueles, inhumanos o degradantes</w:t>
        </w:r>
      </w:hyperlink>
      <w:r w:rsidRPr="0097061F">
        <w:rPr>
          <w:rFonts w:asciiTheme="majorHAnsi" w:hAnsiTheme="majorHAnsi"/>
          <w:sz w:val="16"/>
          <w:szCs w:val="16"/>
          <w:lang w:val="es-ES"/>
        </w:rPr>
        <w:t xml:space="preserve">. </w:t>
      </w:r>
      <w:r w:rsidRPr="0097061F">
        <w:rPr>
          <w:rFonts w:asciiTheme="majorHAnsi" w:hAnsiTheme="majorHAnsi"/>
          <w:sz w:val="16"/>
          <w:szCs w:val="16"/>
        </w:rPr>
        <w:t xml:space="preserve">A/67/279, 9 de </w:t>
      </w:r>
      <w:proofErr w:type="spellStart"/>
      <w:r w:rsidRPr="0097061F">
        <w:rPr>
          <w:rFonts w:asciiTheme="majorHAnsi" w:hAnsiTheme="majorHAnsi"/>
          <w:sz w:val="16"/>
          <w:szCs w:val="16"/>
        </w:rPr>
        <w:t>agosto</w:t>
      </w:r>
      <w:proofErr w:type="spellEnd"/>
      <w:r w:rsidRPr="0097061F">
        <w:rPr>
          <w:rFonts w:asciiTheme="majorHAnsi" w:hAnsiTheme="majorHAnsi"/>
          <w:sz w:val="16"/>
          <w:szCs w:val="16"/>
        </w:rPr>
        <w:t xml:space="preserve"> de 2012. A/67/279, </w:t>
      </w:r>
      <w:proofErr w:type="spellStart"/>
      <w:r w:rsidRPr="0097061F">
        <w:rPr>
          <w:rFonts w:asciiTheme="majorHAnsi" w:hAnsiTheme="majorHAnsi"/>
          <w:sz w:val="16"/>
          <w:szCs w:val="16"/>
        </w:rPr>
        <w:t>párr</w:t>
      </w:r>
      <w:proofErr w:type="spellEnd"/>
      <w:r w:rsidRPr="0097061F">
        <w:rPr>
          <w:rFonts w:asciiTheme="majorHAnsi" w:hAnsiTheme="majorHAnsi"/>
          <w:sz w:val="16"/>
          <w:szCs w:val="16"/>
        </w:rPr>
        <w:t xml:space="preserve">. 42, </w:t>
      </w:r>
      <w:proofErr w:type="spellStart"/>
      <w:r w:rsidRPr="0097061F">
        <w:rPr>
          <w:rFonts w:asciiTheme="majorHAnsi" w:hAnsiTheme="majorHAnsi"/>
          <w:sz w:val="16"/>
          <w:szCs w:val="16"/>
        </w:rPr>
        <w:t>donde</w:t>
      </w:r>
      <w:proofErr w:type="spellEnd"/>
      <w:r w:rsidRPr="0097061F">
        <w:rPr>
          <w:rFonts w:asciiTheme="majorHAnsi" w:hAnsiTheme="majorHAnsi"/>
          <w:sz w:val="16"/>
          <w:szCs w:val="16"/>
        </w:rPr>
        <w:t xml:space="preserve"> se </w:t>
      </w:r>
      <w:proofErr w:type="spellStart"/>
      <w:r w:rsidRPr="0097061F">
        <w:rPr>
          <w:rFonts w:asciiTheme="majorHAnsi" w:hAnsiTheme="majorHAnsi"/>
          <w:sz w:val="16"/>
          <w:szCs w:val="16"/>
        </w:rPr>
        <w:t>cita</w:t>
      </w:r>
      <w:proofErr w:type="spellEnd"/>
      <w:r w:rsidRPr="0097061F">
        <w:rPr>
          <w:rFonts w:asciiTheme="majorHAnsi" w:hAnsiTheme="majorHAnsi"/>
          <w:sz w:val="16"/>
          <w:szCs w:val="16"/>
        </w:rPr>
        <w:t xml:space="preserve"> a Patrick Hudson, “Does the death row phenomenon violate a prisoner’s rights under international law?”, </w:t>
      </w:r>
      <w:r w:rsidRPr="0097061F">
        <w:rPr>
          <w:rFonts w:asciiTheme="majorHAnsi" w:hAnsiTheme="majorHAnsi"/>
          <w:i/>
          <w:sz w:val="16"/>
          <w:szCs w:val="16"/>
        </w:rPr>
        <w:t>European Journal of International Law</w:t>
      </w:r>
      <w:r w:rsidRPr="0097061F">
        <w:rPr>
          <w:rFonts w:asciiTheme="majorHAnsi" w:hAnsiTheme="majorHAnsi"/>
          <w:sz w:val="16"/>
          <w:szCs w:val="16"/>
        </w:rPr>
        <w:t xml:space="preserve">, vol. 11, No. 4 (2000), </w:t>
      </w:r>
      <w:proofErr w:type="spellStart"/>
      <w:r w:rsidRPr="0097061F">
        <w:rPr>
          <w:rFonts w:asciiTheme="majorHAnsi" w:hAnsiTheme="majorHAnsi"/>
          <w:sz w:val="16"/>
          <w:szCs w:val="16"/>
        </w:rPr>
        <w:t>págs</w:t>
      </w:r>
      <w:proofErr w:type="spellEnd"/>
      <w:r w:rsidRPr="0097061F">
        <w:rPr>
          <w:rFonts w:asciiTheme="majorHAnsi" w:hAnsiTheme="majorHAnsi"/>
          <w:sz w:val="16"/>
          <w:szCs w:val="16"/>
        </w:rPr>
        <w:t xml:space="preserve">. </w:t>
      </w:r>
      <w:r w:rsidRPr="0097061F">
        <w:rPr>
          <w:rFonts w:asciiTheme="majorHAnsi" w:hAnsiTheme="majorHAnsi"/>
          <w:sz w:val="16"/>
          <w:szCs w:val="16"/>
          <w:lang w:val="es-ES"/>
        </w:rPr>
        <w:t>834 a 837.</w:t>
      </w:r>
    </w:p>
  </w:footnote>
  <w:footnote w:id="67">
    <w:p w14:paraId="768B92E8" w14:textId="77777777" w:rsidR="00B30ED6" w:rsidRPr="0097061F" w:rsidRDefault="00B30ED6" w:rsidP="008A6254">
      <w:pPr>
        <w:pStyle w:val="FootnoteText"/>
        <w:jc w:val="both"/>
        <w:rPr>
          <w:rFonts w:asciiTheme="majorHAnsi" w:hAnsiTheme="majorHAnsi"/>
          <w:sz w:val="16"/>
          <w:szCs w:val="16"/>
          <w:lang w:val="pt-BR"/>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Naciones Unidas, Asamblea General. </w:t>
      </w:r>
      <w:hyperlink r:id="rId19" w:history="1">
        <w:r w:rsidRPr="0097061F">
          <w:rPr>
            <w:rStyle w:val="Hyperlink"/>
            <w:rFonts w:asciiTheme="majorHAnsi" w:hAnsiTheme="majorHAnsi"/>
            <w:i/>
            <w:iCs/>
            <w:sz w:val="16"/>
            <w:szCs w:val="16"/>
            <w:lang w:val="es-ES"/>
          </w:rPr>
          <w:t>Informe provisional del Relator Especial sobre la tortura y otros tratos o penas crueles, inhumanos o degradantes</w:t>
        </w:r>
      </w:hyperlink>
      <w:r w:rsidRPr="0097061F">
        <w:rPr>
          <w:rFonts w:asciiTheme="majorHAnsi" w:hAnsiTheme="majorHAnsi"/>
          <w:sz w:val="16"/>
          <w:szCs w:val="16"/>
          <w:lang w:val="es-ES"/>
        </w:rPr>
        <w:t xml:space="preserve">. </w:t>
      </w:r>
      <w:r w:rsidRPr="0097061F">
        <w:rPr>
          <w:rFonts w:asciiTheme="majorHAnsi" w:hAnsiTheme="majorHAnsi"/>
          <w:sz w:val="16"/>
          <w:szCs w:val="16"/>
          <w:lang w:val="pt-BR"/>
        </w:rPr>
        <w:t xml:space="preserve">A/67/279, 9 de agosto de 2012. </w:t>
      </w:r>
      <w:r w:rsidRPr="0097061F">
        <w:rPr>
          <w:rFonts w:asciiTheme="majorHAnsi" w:hAnsiTheme="majorHAnsi"/>
          <w:sz w:val="16"/>
          <w:szCs w:val="16"/>
          <w:lang w:val="pt-BR"/>
        </w:rPr>
        <w:t>A/67/279, párr. 42.</w:t>
      </w:r>
    </w:p>
  </w:footnote>
  <w:footnote w:id="68">
    <w:p w14:paraId="638FC7D0" w14:textId="77777777" w:rsidR="00B30ED6" w:rsidRPr="0097061F" w:rsidRDefault="00B30ED6" w:rsidP="00217FF0">
      <w:pPr>
        <w:pStyle w:val="FootnoteText"/>
        <w:rPr>
          <w:rFonts w:ascii="Cambria" w:hAnsi="Cambria"/>
          <w:sz w:val="16"/>
          <w:szCs w:val="16"/>
          <w:lang w:val="es-ES"/>
        </w:rPr>
      </w:pPr>
      <w:r w:rsidRPr="0097061F">
        <w:rPr>
          <w:rStyle w:val="FootnoteReference"/>
          <w:rFonts w:ascii="Cambria" w:hAnsi="Cambria"/>
          <w:sz w:val="16"/>
          <w:szCs w:val="16"/>
          <w:lang w:val="es-ES"/>
        </w:rPr>
        <w:footnoteRef/>
      </w:r>
      <w:r w:rsidRPr="0097061F">
        <w:rPr>
          <w:rFonts w:ascii="Cambria" w:hAnsi="Cambria"/>
          <w:sz w:val="16"/>
          <w:szCs w:val="16"/>
          <w:lang w:val="pt-BR"/>
        </w:rPr>
        <w:t xml:space="preserve"> TEDH. </w:t>
      </w:r>
      <w:r w:rsidRPr="0097061F">
        <w:rPr>
          <w:rFonts w:ascii="Cambria" w:hAnsi="Cambria"/>
          <w:i/>
          <w:sz w:val="16"/>
          <w:szCs w:val="16"/>
          <w:lang w:val="pt-BR"/>
        </w:rPr>
        <w:t>Caso Soering c. Reino Unido</w:t>
      </w:r>
      <w:r w:rsidRPr="0097061F">
        <w:rPr>
          <w:rFonts w:ascii="Cambria" w:hAnsi="Cambria"/>
          <w:sz w:val="16"/>
          <w:szCs w:val="16"/>
          <w:lang w:val="pt-BR"/>
        </w:rPr>
        <w:t xml:space="preserve">. </w:t>
      </w:r>
      <w:r w:rsidRPr="0097061F">
        <w:rPr>
          <w:rFonts w:ascii="Cambria" w:hAnsi="Cambria"/>
          <w:sz w:val="16"/>
          <w:szCs w:val="16"/>
          <w:lang w:val="es-ES"/>
        </w:rPr>
        <w:t>Demanda No. 14038/88. Sentencia, 7 de julio de 1989. Serie A, Vol. 161. Asimismo, la Corte Suprema de Estados Unidos de América reconoció que el tiempo transcurrido en espera de la ejecución de una sentencia de muerte destruye el espíritu humano y constituye una tortura psicológica que suele llevar a la enajenación mental (Furman v. Georgia, 408 U.S. 238, 287-288 [197]).</w:t>
      </w:r>
    </w:p>
  </w:footnote>
  <w:footnote w:id="69">
    <w:p w14:paraId="1DF16862" w14:textId="77777777" w:rsidR="00B30ED6" w:rsidRPr="002F62A9" w:rsidRDefault="00B30ED6" w:rsidP="008A6254">
      <w:pPr>
        <w:pStyle w:val="FootnoteText"/>
        <w:tabs>
          <w:tab w:val="right" w:pos="540"/>
          <w:tab w:val="left" w:pos="900"/>
        </w:tabs>
        <w:jc w:val="both"/>
        <w:rPr>
          <w:rFonts w:asciiTheme="majorHAnsi" w:hAnsiTheme="majorHAnsi"/>
          <w:sz w:val="16"/>
          <w:szCs w:val="16"/>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TEDH. </w:t>
      </w:r>
      <w:r w:rsidRPr="0097061F">
        <w:rPr>
          <w:rFonts w:asciiTheme="majorHAnsi" w:hAnsiTheme="majorHAnsi"/>
          <w:i/>
          <w:sz w:val="16"/>
          <w:szCs w:val="16"/>
          <w:lang w:val="es-ES"/>
        </w:rPr>
        <w:t xml:space="preserve">Caso </w:t>
      </w:r>
      <w:proofErr w:type="spellStart"/>
      <w:r w:rsidRPr="0097061F">
        <w:rPr>
          <w:rFonts w:asciiTheme="majorHAnsi" w:hAnsiTheme="majorHAnsi"/>
          <w:i/>
          <w:sz w:val="16"/>
          <w:szCs w:val="16"/>
          <w:lang w:val="es-ES"/>
        </w:rPr>
        <w:t>Soering</w:t>
      </w:r>
      <w:proofErr w:type="spellEnd"/>
      <w:r w:rsidRPr="0097061F">
        <w:rPr>
          <w:rFonts w:asciiTheme="majorHAnsi" w:hAnsiTheme="majorHAnsi"/>
          <w:i/>
          <w:sz w:val="16"/>
          <w:szCs w:val="16"/>
          <w:lang w:val="es-ES"/>
        </w:rPr>
        <w:t xml:space="preserve"> c. Reino Unido</w:t>
      </w:r>
      <w:r w:rsidRPr="0097061F">
        <w:rPr>
          <w:rFonts w:asciiTheme="majorHAnsi" w:hAnsiTheme="majorHAnsi"/>
          <w:sz w:val="16"/>
          <w:szCs w:val="16"/>
          <w:lang w:val="es-ES"/>
        </w:rPr>
        <w:t xml:space="preserve">. Demanda No. 14038/88. Sentencia de 7 de julio de 1989, párr. </w:t>
      </w:r>
      <w:r w:rsidRPr="002F62A9">
        <w:rPr>
          <w:rFonts w:asciiTheme="majorHAnsi" w:hAnsiTheme="majorHAnsi"/>
          <w:sz w:val="16"/>
          <w:szCs w:val="16"/>
        </w:rPr>
        <w:t>111.</w:t>
      </w:r>
    </w:p>
  </w:footnote>
  <w:footnote w:id="70">
    <w:p w14:paraId="513E27B4" w14:textId="77777777" w:rsidR="00B30ED6" w:rsidRPr="0097061F" w:rsidRDefault="00B30ED6" w:rsidP="008A6254">
      <w:pPr>
        <w:widowControl w:val="0"/>
        <w:autoSpaceDE w:val="0"/>
        <w:autoSpaceDN w:val="0"/>
        <w:adjustRightInd w:val="0"/>
        <w:jc w:val="both"/>
        <w:rPr>
          <w:rFonts w:asciiTheme="majorHAnsi" w:hAnsiTheme="majorHAnsi" w:cs="Arial"/>
          <w:bCs/>
          <w:sz w:val="16"/>
          <w:szCs w:val="16"/>
          <w:lang w:val="es-ES"/>
        </w:rPr>
      </w:pPr>
      <w:r w:rsidRPr="0097061F">
        <w:rPr>
          <w:rStyle w:val="FootnoteReference"/>
          <w:rFonts w:asciiTheme="majorHAnsi" w:hAnsiTheme="majorHAnsi"/>
          <w:sz w:val="16"/>
          <w:szCs w:val="16"/>
          <w:lang w:val="es-ES"/>
        </w:rPr>
        <w:footnoteRef/>
      </w:r>
      <w:r w:rsidRPr="002F62A9">
        <w:rPr>
          <w:rFonts w:asciiTheme="majorHAnsi" w:hAnsiTheme="majorHAnsi"/>
          <w:sz w:val="16"/>
          <w:szCs w:val="16"/>
        </w:rPr>
        <w:t xml:space="preserve"> Pratt and Morgan v. The Attorney General for Jamaica and another (Jamaica) [1993] UKPC 1 (2 de </w:t>
      </w:r>
      <w:proofErr w:type="spellStart"/>
      <w:r w:rsidRPr="002F62A9">
        <w:rPr>
          <w:rFonts w:asciiTheme="majorHAnsi" w:hAnsiTheme="majorHAnsi"/>
          <w:sz w:val="16"/>
          <w:szCs w:val="16"/>
        </w:rPr>
        <w:t>noviembre</w:t>
      </w:r>
      <w:proofErr w:type="spellEnd"/>
      <w:r w:rsidRPr="002F62A9">
        <w:rPr>
          <w:rFonts w:asciiTheme="majorHAnsi" w:hAnsiTheme="majorHAnsi"/>
          <w:sz w:val="16"/>
          <w:szCs w:val="16"/>
        </w:rPr>
        <w:t xml:space="preserve"> de 1993), </w:t>
      </w:r>
      <w:proofErr w:type="spellStart"/>
      <w:r w:rsidRPr="002F62A9">
        <w:rPr>
          <w:rFonts w:asciiTheme="majorHAnsi" w:hAnsiTheme="majorHAnsi"/>
          <w:sz w:val="16"/>
          <w:szCs w:val="16"/>
        </w:rPr>
        <w:t>párrs</w:t>
      </w:r>
      <w:proofErr w:type="spellEnd"/>
      <w:r w:rsidRPr="002F62A9">
        <w:rPr>
          <w:rFonts w:asciiTheme="majorHAnsi" w:hAnsiTheme="majorHAnsi"/>
          <w:sz w:val="16"/>
          <w:szCs w:val="16"/>
        </w:rPr>
        <w:t xml:space="preserve">. </w:t>
      </w:r>
      <w:r w:rsidRPr="0097061F">
        <w:rPr>
          <w:rFonts w:asciiTheme="majorHAnsi" w:hAnsiTheme="majorHAnsi"/>
          <w:sz w:val="16"/>
          <w:szCs w:val="16"/>
          <w:lang w:val="es-ES"/>
        </w:rPr>
        <w:t xml:space="preserve">73, 74, 75 y 84. </w:t>
      </w:r>
    </w:p>
  </w:footnote>
  <w:footnote w:id="71">
    <w:p w14:paraId="588615C2" w14:textId="77777777" w:rsidR="00B30ED6" w:rsidRPr="0097061F" w:rsidRDefault="00B30ED6" w:rsidP="008A6254">
      <w:pPr>
        <w:pStyle w:val="Body"/>
        <w:jc w:val="both"/>
        <w:rPr>
          <w:rFonts w:ascii="Cambria" w:eastAsia="Cambria" w:hAnsi="Cambria" w:cs="Cambria"/>
          <w:sz w:val="20"/>
          <w:szCs w:val="20"/>
          <w:lang w:val="es-ES"/>
        </w:rPr>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lang w:val="es-ES"/>
        </w:rPr>
        <w:t xml:space="preserve"> </w:t>
      </w:r>
      <w:r w:rsidRPr="0097061F">
        <w:rPr>
          <w:rFonts w:asciiTheme="majorHAnsi" w:hAnsiTheme="majorHAnsi"/>
          <w:sz w:val="16"/>
          <w:szCs w:val="16"/>
          <w:lang w:val="es-ES"/>
        </w:rPr>
        <w:t>El artículo XXIV de la Declaración Americana dice: “Toda persona tiene derecho de presentar peticiones respetuosas a cualquiera autoridad competente, ya sea por motivo de interés general, ya de interés particular, y el de obtener pronta resolución”.</w:t>
      </w:r>
    </w:p>
  </w:footnote>
  <w:footnote w:id="72">
    <w:p w14:paraId="2AFD8680" w14:textId="77777777" w:rsidR="00B30ED6" w:rsidRPr="0097061F" w:rsidRDefault="00B30ED6" w:rsidP="00B346FF">
      <w:pPr>
        <w:pStyle w:val="Body"/>
        <w:jc w:val="both"/>
        <w:rPr>
          <w:rFonts w:asciiTheme="majorHAnsi" w:eastAsia="Cambria" w:hAnsiTheme="majorHAnsi" w:cs="Cambria"/>
          <w:sz w:val="16"/>
          <w:szCs w:val="20"/>
          <w:lang w:val="es-ES"/>
        </w:rPr>
      </w:pPr>
      <w:r w:rsidRPr="0097061F">
        <w:rPr>
          <w:rStyle w:val="FootnoteReference"/>
          <w:rFonts w:asciiTheme="majorHAnsi" w:hAnsiTheme="majorHAnsi"/>
          <w:sz w:val="16"/>
          <w:szCs w:val="16"/>
          <w:lang w:val="es-ES"/>
        </w:rPr>
        <w:footnoteRef/>
      </w:r>
      <w:r w:rsidRPr="0097061F">
        <w:rPr>
          <w:rStyle w:val="FootnoteReference"/>
          <w:rFonts w:asciiTheme="majorHAnsi" w:hAnsiTheme="majorHAnsi"/>
          <w:sz w:val="16"/>
          <w:szCs w:val="16"/>
          <w:lang w:val="es-ES"/>
        </w:rPr>
        <w:t xml:space="preserve"> </w:t>
      </w:r>
      <w:r w:rsidRPr="0097061F">
        <w:rPr>
          <w:rFonts w:asciiTheme="majorHAnsi" w:hAnsiTheme="majorHAnsi"/>
          <w:sz w:val="16"/>
          <w:szCs w:val="16"/>
          <w:lang w:val="es-ES"/>
        </w:rPr>
        <w:t>El artículo I de la Declaración Americana dice: “</w:t>
      </w:r>
      <w:r w:rsidRPr="0097061F">
        <w:rPr>
          <w:rFonts w:asciiTheme="majorHAnsi" w:eastAsia="Cambria" w:hAnsiTheme="majorHAnsi" w:cs="Cambria"/>
          <w:sz w:val="16"/>
          <w:szCs w:val="16"/>
          <w:shd w:val="clear" w:color="auto" w:fill="FFFFFF"/>
          <w:lang w:val="es-ES"/>
        </w:rPr>
        <w:t>Todo ser humano tiene derecho a la vida, a la libertad y a la seguridad de su persona</w:t>
      </w:r>
      <w:r w:rsidRPr="0097061F">
        <w:rPr>
          <w:rFonts w:asciiTheme="majorHAnsi" w:hAnsiTheme="majorHAnsi"/>
          <w:sz w:val="16"/>
          <w:szCs w:val="16"/>
          <w:lang w:val="es-ES"/>
        </w:rPr>
        <w:t>”.</w:t>
      </w:r>
    </w:p>
  </w:footnote>
  <w:footnote w:id="73">
    <w:p w14:paraId="5B1D99DD"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CIDH. </w:t>
      </w:r>
      <w:hyperlink r:id="rId20" w:history="1">
        <w:r w:rsidRPr="0097061F">
          <w:rPr>
            <w:rStyle w:val="Hyperlink"/>
            <w:rFonts w:asciiTheme="majorHAnsi" w:hAnsiTheme="majorHAnsi"/>
            <w:sz w:val="16"/>
            <w:szCs w:val="16"/>
            <w:lang w:val="es-ES"/>
          </w:rPr>
          <w:t xml:space="preserve">Informe </w:t>
        </w:r>
        <w:r w:rsidRPr="0097061F">
          <w:rPr>
            <w:rStyle w:val="Hyperlink"/>
            <w:rFonts w:asciiTheme="majorHAnsi" w:eastAsia="Times New Roman" w:hAnsiTheme="majorHAnsi"/>
            <w:sz w:val="16"/>
            <w:szCs w:val="16"/>
            <w:lang w:val="es-ES"/>
          </w:rPr>
          <w:t>52/01. Caso 12.243</w:t>
        </w:r>
      </w:hyperlink>
      <w:r w:rsidRPr="0097061F">
        <w:rPr>
          <w:rFonts w:asciiTheme="majorHAnsi" w:eastAsia="Times New Roman" w:hAnsiTheme="majorHAnsi"/>
          <w:sz w:val="16"/>
          <w:szCs w:val="16"/>
          <w:lang w:val="es-ES"/>
        </w:rPr>
        <w:t>. Juan Raúl Garza. Estados Unidos</w:t>
      </w:r>
      <w:r w:rsidRPr="0097061F">
        <w:rPr>
          <w:rFonts w:asciiTheme="majorHAnsi" w:eastAsia="Times New Roman" w:hAnsiTheme="majorHAnsi" w:cs="Times New Roman"/>
          <w:sz w:val="16"/>
          <w:szCs w:val="16"/>
          <w:lang w:val="es-ES"/>
        </w:rPr>
        <w:t>, párr. 117. Véase también</w:t>
      </w:r>
      <w:r w:rsidRPr="0097061F">
        <w:rPr>
          <w:rFonts w:asciiTheme="majorHAnsi" w:eastAsia="Times New Roman" w:hAnsiTheme="majorHAnsi" w:cs="Times New Roman"/>
          <w:i/>
          <w:iCs/>
          <w:sz w:val="16"/>
          <w:szCs w:val="16"/>
          <w:lang w:val="es-ES"/>
        </w:rPr>
        <w:t xml:space="preserve"> </w:t>
      </w:r>
      <w:r w:rsidRPr="0097061F">
        <w:rPr>
          <w:rFonts w:asciiTheme="majorHAnsi" w:eastAsia="Times New Roman" w:hAnsiTheme="majorHAnsi" w:cs="Times New Roman"/>
          <w:sz w:val="16"/>
          <w:szCs w:val="16"/>
          <w:lang w:val="es-ES"/>
        </w:rPr>
        <w:t xml:space="preserve">CIDH, </w:t>
      </w:r>
      <w:hyperlink r:id="rId21" w:history="1">
        <w:r w:rsidRPr="0097061F">
          <w:rPr>
            <w:rStyle w:val="Hyperlink"/>
            <w:rFonts w:asciiTheme="majorHAnsi" w:eastAsia="Times New Roman" w:hAnsiTheme="majorHAnsi" w:cs="Times New Roman"/>
            <w:i/>
            <w:sz w:val="16"/>
            <w:szCs w:val="16"/>
            <w:lang w:val="es-ES"/>
          </w:rPr>
          <w:t>Quinto informe sobre la situación de los derechos humanos en Guatemala</w:t>
        </w:r>
      </w:hyperlink>
      <w:r w:rsidRPr="0097061F">
        <w:rPr>
          <w:rFonts w:asciiTheme="majorHAnsi" w:eastAsia="Times New Roman" w:hAnsiTheme="majorHAnsi" w:cs="Times New Roman"/>
          <w:sz w:val="16"/>
          <w:szCs w:val="16"/>
          <w:lang w:val="es-ES"/>
        </w:rPr>
        <w:t>, OEA/</w:t>
      </w:r>
      <w:proofErr w:type="spellStart"/>
      <w:r w:rsidRPr="0097061F">
        <w:rPr>
          <w:rFonts w:asciiTheme="majorHAnsi" w:eastAsia="Times New Roman" w:hAnsiTheme="majorHAnsi" w:cs="Times New Roman"/>
          <w:sz w:val="16"/>
          <w:szCs w:val="16"/>
          <w:lang w:val="es-ES"/>
        </w:rPr>
        <w:t>Ser.L</w:t>
      </w:r>
      <w:proofErr w:type="spellEnd"/>
      <w:r w:rsidRPr="0097061F">
        <w:rPr>
          <w:rFonts w:asciiTheme="majorHAnsi" w:eastAsia="Times New Roman" w:hAnsiTheme="majorHAnsi" w:cs="Times New Roman"/>
          <w:sz w:val="16"/>
          <w:szCs w:val="16"/>
          <w:lang w:val="es-ES"/>
        </w:rPr>
        <w:t xml:space="preserve">/V/II.111 doc. 21 </w:t>
      </w:r>
      <w:proofErr w:type="spellStart"/>
      <w:r w:rsidRPr="0097061F">
        <w:rPr>
          <w:rFonts w:asciiTheme="majorHAnsi" w:eastAsia="Times New Roman" w:hAnsiTheme="majorHAnsi" w:cs="Times New Roman"/>
          <w:sz w:val="16"/>
          <w:szCs w:val="16"/>
          <w:lang w:val="es-ES"/>
        </w:rPr>
        <w:t>rev.</w:t>
      </w:r>
      <w:proofErr w:type="spellEnd"/>
      <w:r w:rsidRPr="0097061F">
        <w:rPr>
          <w:rFonts w:asciiTheme="majorHAnsi" w:eastAsia="Times New Roman" w:hAnsiTheme="majorHAnsi" w:cs="Times New Roman"/>
          <w:sz w:val="16"/>
          <w:szCs w:val="16"/>
          <w:lang w:val="es-ES"/>
        </w:rPr>
        <w:t xml:space="preserve"> (6 de abril de 2001), </w:t>
      </w:r>
      <w:proofErr w:type="spellStart"/>
      <w:r w:rsidRPr="0097061F">
        <w:rPr>
          <w:rFonts w:asciiTheme="majorHAnsi" w:eastAsia="Times New Roman" w:hAnsiTheme="majorHAnsi" w:cs="Times New Roman"/>
          <w:sz w:val="16"/>
          <w:szCs w:val="16"/>
          <w:lang w:val="es-ES"/>
        </w:rPr>
        <w:t>párrs</w:t>
      </w:r>
      <w:proofErr w:type="spellEnd"/>
      <w:r w:rsidRPr="0097061F">
        <w:rPr>
          <w:rFonts w:asciiTheme="majorHAnsi" w:eastAsia="Times New Roman" w:hAnsiTheme="majorHAnsi" w:cs="Times New Roman"/>
          <w:sz w:val="16"/>
          <w:szCs w:val="16"/>
          <w:lang w:val="es-ES"/>
        </w:rPr>
        <w:t>. 71 y 72.</w:t>
      </w:r>
    </w:p>
  </w:footnote>
  <w:footnote w:id="74">
    <w:p w14:paraId="19A4AA6C"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CIDH. </w:t>
      </w:r>
      <w:hyperlink r:id="rId22" w:history="1">
        <w:r w:rsidRPr="0097061F">
          <w:rPr>
            <w:rStyle w:val="Hyperlink"/>
            <w:rFonts w:asciiTheme="majorHAnsi" w:hAnsiTheme="majorHAnsi"/>
            <w:sz w:val="16"/>
            <w:szCs w:val="16"/>
            <w:lang w:val="es-ES"/>
          </w:rPr>
          <w:t xml:space="preserve">Informe </w:t>
        </w:r>
        <w:r w:rsidRPr="0097061F">
          <w:rPr>
            <w:rStyle w:val="Hyperlink"/>
            <w:rFonts w:asciiTheme="majorHAnsi" w:eastAsia="Times New Roman" w:hAnsiTheme="majorHAnsi"/>
            <w:sz w:val="16"/>
            <w:szCs w:val="16"/>
            <w:lang w:val="es-ES"/>
          </w:rPr>
          <w:t>52/01. Caso 12.243</w:t>
        </w:r>
      </w:hyperlink>
      <w:r w:rsidRPr="0097061F">
        <w:rPr>
          <w:rFonts w:asciiTheme="majorHAnsi" w:eastAsia="Times New Roman" w:hAnsiTheme="majorHAnsi"/>
          <w:sz w:val="16"/>
          <w:szCs w:val="16"/>
          <w:lang w:val="es-ES"/>
        </w:rPr>
        <w:t>. Juan Raúl Garza. Estados Unidos</w:t>
      </w:r>
      <w:r w:rsidRPr="0097061F">
        <w:rPr>
          <w:rFonts w:asciiTheme="majorHAnsi" w:eastAsia="Times New Roman" w:hAnsiTheme="majorHAnsi" w:cs="Times New Roman"/>
          <w:sz w:val="16"/>
          <w:szCs w:val="16"/>
          <w:lang w:val="es-ES"/>
        </w:rPr>
        <w:t>, párr. 117. Véase también</w:t>
      </w:r>
      <w:r w:rsidRPr="0097061F">
        <w:rPr>
          <w:rFonts w:asciiTheme="majorHAnsi" w:eastAsia="Times New Roman" w:hAnsiTheme="majorHAnsi" w:cs="Times New Roman"/>
          <w:i/>
          <w:iCs/>
          <w:sz w:val="16"/>
          <w:szCs w:val="16"/>
          <w:lang w:val="es-ES"/>
        </w:rPr>
        <w:t xml:space="preserve"> </w:t>
      </w:r>
      <w:r w:rsidRPr="0097061F">
        <w:rPr>
          <w:rFonts w:asciiTheme="majorHAnsi" w:eastAsia="Times New Roman" w:hAnsiTheme="majorHAnsi" w:cs="Times New Roman"/>
          <w:sz w:val="16"/>
          <w:szCs w:val="16"/>
          <w:lang w:val="es-ES"/>
        </w:rPr>
        <w:t xml:space="preserve">CIDH, </w:t>
      </w:r>
      <w:hyperlink r:id="rId23" w:history="1">
        <w:r w:rsidRPr="0097061F">
          <w:rPr>
            <w:rStyle w:val="Hyperlink"/>
            <w:rFonts w:asciiTheme="majorHAnsi" w:eastAsia="Times New Roman" w:hAnsiTheme="majorHAnsi" w:cs="Times New Roman"/>
            <w:i/>
            <w:sz w:val="16"/>
            <w:szCs w:val="16"/>
            <w:lang w:val="es-ES"/>
          </w:rPr>
          <w:t>Quinto informe sobre la situación de los derechos humanos en Guatemala</w:t>
        </w:r>
      </w:hyperlink>
      <w:r w:rsidRPr="0097061F">
        <w:rPr>
          <w:rFonts w:asciiTheme="majorHAnsi" w:eastAsia="Times New Roman" w:hAnsiTheme="majorHAnsi" w:cs="Times New Roman"/>
          <w:sz w:val="16"/>
          <w:szCs w:val="16"/>
          <w:lang w:val="es-ES"/>
        </w:rPr>
        <w:t>, OEA/</w:t>
      </w:r>
      <w:proofErr w:type="spellStart"/>
      <w:r w:rsidRPr="0097061F">
        <w:rPr>
          <w:rFonts w:asciiTheme="majorHAnsi" w:eastAsia="Times New Roman" w:hAnsiTheme="majorHAnsi" w:cs="Times New Roman"/>
          <w:sz w:val="16"/>
          <w:szCs w:val="16"/>
          <w:lang w:val="es-ES"/>
        </w:rPr>
        <w:t>Ser.L</w:t>
      </w:r>
      <w:proofErr w:type="spellEnd"/>
      <w:r w:rsidRPr="0097061F">
        <w:rPr>
          <w:rFonts w:asciiTheme="majorHAnsi" w:eastAsia="Times New Roman" w:hAnsiTheme="majorHAnsi" w:cs="Times New Roman"/>
          <w:sz w:val="16"/>
          <w:szCs w:val="16"/>
          <w:lang w:val="es-ES"/>
        </w:rPr>
        <w:t xml:space="preserve">/V/II.111 doc. 21 </w:t>
      </w:r>
      <w:proofErr w:type="spellStart"/>
      <w:r w:rsidRPr="0097061F">
        <w:rPr>
          <w:rFonts w:asciiTheme="majorHAnsi" w:eastAsia="Times New Roman" w:hAnsiTheme="majorHAnsi" w:cs="Times New Roman"/>
          <w:sz w:val="16"/>
          <w:szCs w:val="16"/>
          <w:lang w:val="es-ES"/>
        </w:rPr>
        <w:t>rev.</w:t>
      </w:r>
      <w:proofErr w:type="spellEnd"/>
      <w:r w:rsidRPr="0097061F">
        <w:rPr>
          <w:rFonts w:asciiTheme="majorHAnsi" w:eastAsia="Times New Roman" w:hAnsiTheme="majorHAnsi" w:cs="Times New Roman"/>
          <w:sz w:val="16"/>
          <w:szCs w:val="16"/>
          <w:lang w:val="es-ES"/>
        </w:rPr>
        <w:t xml:space="preserve"> (6 de abril de 2001), </w:t>
      </w:r>
      <w:proofErr w:type="spellStart"/>
      <w:r w:rsidRPr="0097061F">
        <w:rPr>
          <w:rFonts w:asciiTheme="majorHAnsi" w:eastAsia="Times New Roman" w:hAnsiTheme="majorHAnsi" w:cs="Times New Roman"/>
          <w:sz w:val="16"/>
          <w:szCs w:val="16"/>
          <w:lang w:val="es-ES"/>
        </w:rPr>
        <w:t>párrs</w:t>
      </w:r>
      <w:proofErr w:type="spellEnd"/>
      <w:r w:rsidRPr="0097061F">
        <w:rPr>
          <w:rFonts w:asciiTheme="majorHAnsi" w:eastAsia="Times New Roman" w:hAnsiTheme="majorHAnsi" w:cs="Times New Roman"/>
          <w:sz w:val="16"/>
          <w:szCs w:val="16"/>
          <w:lang w:val="es-ES"/>
        </w:rPr>
        <w:t>. 71 y 72.</w:t>
      </w:r>
    </w:p>
  </w:footnote>
  <w:footnote w:id="75">
    <w:p w14:paraId="5D2AC3BB" w14:textId="77777777" w:rsidR="00B30ED6" w:rsidRPr="0097061F" w:rsidRDefault="00B30ED6" w:rsidP="008A6254">
      <w:pPr>
        <w:pStyle w:val="FootnoteText"/>
        <w:jc w:val="both"/>
        <w:rPr>
          <w:rFonts w:asciiTheme="majorHAnsi" w:hAnsiTheme="majorHAnsi"/>
          <w:sz w:val="16"/>
          <w:szCs w:val="16"/>
          <w:lang w:val="es-ES"/>
        </w:rPr>
      </w:pPr>
      <w:r w:rsidRPr="0097061F">
        <w:rPr>
          <w:rStyle w:val="FootnoteReference"/>
          <w:rFonts w:asciiTheme="majorHAnsi" w:hAnsiTheme="majorHAnsi"/>
          <w:sz w:val="16"/>
          <w:szCs w:val="16"/>
          <w:lang w:val="es-ES"/>
        </w:rPr>
        <w:footnoteRef/>
      </w:r>
      <w:r w:rsidRPr="0097061F">
        <w:rPr>
          <w:rFonts w:asciiTheme="majorHAnsi" w:hAnsiTheme="majorHAnsi"/>
          <w:sz w:val="16"/>
          <w:szCs w:val="16"/>
          <w:lang w:val="es-ES"/>
        </w:rPr>
        <w:t xml:space="preserve"> </w:t>
      </w:r>
      <w:r w:rsidRPr="0097061F">
        <w:rPr>
          <w:rFonts w:asciiTheme="majorHAnsi" w:eastAsia="Times New Roman" w:hAnsiTheme="majorHAnsi" w:cs="Times New Roman"/>
          <w:sz w:val="16"/>
          <w:szCs w:val="16"/>
          <w:lang w:val="es-ES"/>
        </w:rPr>
        <w:t xml:space="preserve">CIDH. </w:t>
      </w:r>
      <w:hyperlink r:id="rId24" w:history="1">
        <w:r w:rsidRPr="0097061F">
          <w:rPr>
            <w:rStyle w:val="Hyperlink"/>
            <w:rFonts w:asciiTheme="majorHAnsi" w:hAnsiTheme="majorHAnsi"/>
            <w:sz w:val="16"/>
            <w:szCs w:val="16"/>
            <w:lang w:val="es-ES"/>
          </w:rPr>
          <w:t xml:space="preserve">Informe </w:t>
        </w:r>
        <w:r w:rsidRPr="0097061F">
          <w:rPr>
            <w:rStyle w:val="Hyperlink"/>
            <w:rFonts w:asciiTheme="majorHAnsi" w:eastAsia="Times New Roman" w:hAnsiTheme="majorHAnsi"/>
            <w:sz w:val="16"/>
            <w:szCs w:val="16"/>
            <w:lang w:val="es-ES"/>
          </w:rPr>
          <w:t>52/01. Caso 12.243</w:t>
        </w:r>
      </w:hyperlink>
      <w:r w:rsidRPr="0097061F">
        <w:rPr>
          <w:rFonts w:asciiTheme="majorHAnsi" w:eastAsia="Times New Roman" w:hAnsiTheme="majorHAnsi" w:cs="Times New Roman"/>
          <w:sz w:val="16"/>
          <w:szCs w:val="16"/>
          <w:lang w:val="es-ES"/>
        </w:rPr>
        <w:t>. Juan Raúl Garza. Estados Unidos, párr. 117. Véase también</w:t>
      </w:r>
      <w:r w:rsidRPr="0097061F">
        <w:rPr>
          <w:rFonts w:asciiTheme="majorHAnsi" w:eastAsia="Times New Roman" w:hAnsiTheme="majorHAnsi" w:cs="Times New Roman"/>
          <w:i/>
          <w:iCs/>
          <w:sz w:val="16"/>
          <w:szCs w:val="16"/>
          <w:lang w:val="es-ES"/>
        </w:rPr>
        <w:t xml:space="preserve"> </w:t>
      </w:r>
      <w:r w:rsidRPr="0097061F">
        <w:rPr>
          <w:rFonts w:asciiTheme="majorHAnsi" w:eastAsia="Times New Roman" w:hAnsiTheme="majorHAnsi" w:cs="Times New Roman"/>
          <w:sz w:val="16"/>
          <w:szCs w:val="16"/>
          <w:lang w:val="es-ES"/>
        </w:rPr>
        <w:t xml:space="preserve">CIDH, </w:t>
      </w:r>
      <w:hyperlink r:id="rId25" w:history="1">
        <w:r w:rsidRPr="0097061F">
          <w:rPr>
            <w:rStyle w:val="Hyperlink"/>
            <w:rFonts w:asciiTheme="majorHAnsi" w:eastAsia="Times New Roman" w:hAnsiTheme="majorHAnsi" w:cs="Times New Roman"/>
            <w:i/>
            <w:sz w:val="16"/>
            <w:szCs w:val="16"/>
            <w:lang w:val="es-ES"/>
          </w:rPr>
          <w:t>Quinto informe sobre la situación de los derechos humanos en Guatemala</w:t>
        </w:r>
      </w:hyperlink>
      <w:r w:rsidRPr="0097061F">
        <w:rPr>
          <w:rFonts w:asciiTheme="majorHAnsi" w:eastAsia="Times New Roman" w:hAnsiTheme="majorHAnsi" w:cs="Times New Roman"/>
          <w:sz w:val="16"/>
          <w:szCs w:val="16"/>
          <w:lang w:val="es-ES"/>
        </w:rPr>
        <w:t>, OEA/</w:t>
      </w:r>
      <w:proofErr w:type="spellStart"/>
      <w:r w:rsidRPr="0097061F">
        <w:rPr>
          <w:rFonts w:asciiTheme="majorHAnsi" w:eastAsia="Times New Roman" w:hAnsiTheme="majorHAnsi" w:cs="Times New Roman"/>
          <w:sz w:val="16"/>
          <w:szCs w:val="16"/>
          <w:lang w:val="es-ES"/>
        </w:rPr>
        <w:t>Ser.L</w:t>
      </w:r>
      <w:proofErr w:type="spellEnd"/>
      <w:r w:rsidRPr="0097061F">
        <w:rPr>
          <w:rFonts w:asciiTheme="majorHAnsi" w:eastAsia="Times New Roman" w:hAnsiTheme="majorHAnsi" w:cs="Times New Roman"/>
          <w:sz w:val="16"/>
          <w:szCs w:val="16"/>
          <w:lang w:val="es-ES"/>
        </w:rPr>
        <w:t xml:space="preserve">/V/II.111 doc. 21 </w:t>
      </w:r>
      <w:proofErr w:type="spellStart"/>
      <w:r w:rsidRPr="0097061F">
        <w:rPr>
          <w:rFonts w:asciiTheme="majorHAnsi" w:eastAsia="Times New Roman" w:hAnsiTheme="majorHAnsi" w:cs="Times New Roman"/>
          <w:sz w:val="16"/>
          <w:szCs w:val="16"/>
          <w:lang w:val="es-ES"/>
        </w:rPr>
        <w:t>rev.</w:t>
      </w:r>
      <w:proofErr w:type="spellEnd"/>
      <w:r w:rsidRPr="0097061F">
        <w:rPr>
          <w:rFonts w:asciiTheme="majorHAnsi" w:eastAsia="Times New Roman" w:hAnsiTheme="majorHAnsi" w:cs="Times New Roman"/>
          <w:sz w:val="16"/>
          <w:szCs w:val="16"/>
          <w:lang w:val="es-ES"/>
        </w:rPr>
        <w:t xml:space="preserve"> (6 de abril de 2001), </w:t>
      </w:r>
      <w:proofErr w:type="spellStart"/>
      <w:r w:rsidRPr="0097061F">
        <w:rPr>
          <w:rFonts w:asciiTheme="majorHAnsi" w:eastAsia="Times New Roman" w:hAnsiTheme="majorHAnsi" w:cs="Times New Roman"/>
          <w:sz w:val="16"/>
          <w:szCs w:val="16"/>
          <w:lang w:val="es-ES"/>
        </w:rPr>
        <w:t>párrs</w:t>
      </w:r>
      <w:proofErr w:type="spellEnd"/>
      <w:r w:rsidRPr="0097061F">
        <w:rPr>
          <w:rFonts w:asciiTheme="majorHAnsi" w:eastAsia="Times New Roman" w:hAnsiTheme="majorHAnsi" w:cs="Times New Roman"/>
          <w:sz w:val="16"/>
          <w:szCs w:val="16"/>
          <w:lang w:val="es-ES"/>
        </w:rPr>
        <w:t>. 71 y 72</w:t>
      </w:r>
      <w:r w:rsidRPr="0097061F">
        <w:rPr>
          <w:rFonts w:asciiTheme="majorHAnsi" w:eastAsia="Times New Roman" w:hAnsiTheme="majorHAnsi"/>
          <w:sz w:val="16"/>
          <w:szCs w:val="16"/>
          <w:lang w:val="es-ES"/>
        </w:rPr>
        <w:t xml:space="preserve">, donde se cita la Corte Internacional de Justicia, </w:t>
      </w:r>
      <w:r w:rsidRPr="0097061F">
        <w:rPr>
          <w:rFonts w:asciiTheme="majorHAnsi" w:eastAsia="Times New Roman" w:hAnsiTheme="majorHAnsi"/>
          <w:i/>
          <w:iCs/>
          <w:sz w:val="16"/>
          <w:szCs w:val="16"/>
          <w:lang w:val="es-ES"/>
        </w:rPr>
        <w:t>Caso vinculado a la Convención de Viena sobre Relaciones Consulares (Alemania c/ Estados Unidos de América)</w:t>
      </w:r>
      <w:r w:rsidRPr="0097061F">
        <w:rPr>
          <w:rFonts w:asciiTheme="majorHAnsi" w:eastAsia="Times New Roman" w:hAnsiTheme="majorHAnsi"/>
          <w:sz w:val="16"/>
          <w:szCs w:val="16"/>
          <w:lang w:val="es-ES"/>
        </w:rPr>
        <w:t xml:space="preserve">, Pedido de indicación de medidas provisionales, Orden del 3 de marzo de 1999, Lista General, </w:t>
      </w:r>
      <w:proofErr w:type="spellStart"/>
      <w:r w:rsidRPr="0097061F">
        <w:rPr>
          <w:rFonts w:asciiTheme="majorHAnsi" w:eastAsia="Times New Roman" w:hAnsiTheme="majorHAnsi"/>
          <w:sz w:val="16"/>
          <w:szCs w:val="16"/>
          <w:lang w:val="es-ES"/>
        </w:rPr>
        <w:t>N.</w:t>
      </w:r>
      <w:r w:rsidRPr="0097061F">
        <w:rPr>
          <w:rFonts w:asciiTheme="majorHAnsi" w:eastAsia="Times New Roman" w:hAnsiTheme="majorHAnsi"/>
          <w:sz w:val="16"/>
          <w:szCs w:val="16"/>
          <w:vertAlign w:val="superscript"/>
          <w:lang w:val="es-ES"/>
        </w:rPr>
        <w:t>o</w:t>
      </w:r>
      <w:proofErr w:type="spellEnd"/>
      <w:r w:rsidRPr="0097061F">
        <w:rPr>
          <w:rFonts w:asciiTheme="majorHAnsi" w:eastAsia="Times New Roman" w:hAnsiTheme="majorHAnsi"/>
          <w:sz w:val="16"/>
          <w:szCs w:val="16"/>
          <w:lang w:val="es-ES"/>
        </w:rPr>
        <w:t xml:space="preserve"> 104, </w:t>
      </w:r>
      <w:proofErr w:type="spellStart"/>
      <w:r w:rsidRPr="0097061F">
        <w:rPr>
          <w:rFonts w:asciiTheme="majorHAnsi" w:eastAsia="Times New Roman" w:hAnsiTheme="majorHAnsi"/>
          <w:sz w:val="16"/>
          <w:szCs w:val="16"/>
          <w:lang w:val="es-ES"/>
        </w:rPr>
        <w:t>párrs</w:t>
      </w:r>
      <w:proofErr w:type="spellEnd"/>
      <w:r w:rsidRPr="0097061F">
        <w:rPr>
          <w:rFonts w:asciiTheme="majorHAnsi" w:eastAsia="Times New Roman" w:hAnsiTheme="majorHAnsi"/>
          <w:sz w:val="16"/>
          <w:szCs w:val="16"/>
          <w:lang w:val="es-ES"/>
        </w:rPr>
        <w:t xml:space="preserve">. 22 a 28; Comité de Derechos Humanos de las Naciones Unidas, Dante </w:t>
      </w:r>
      <w:proofErr w:type="spellStart"/>
      <w:r w:rsidRPr="0097061F">
        <w:rPr>
          <w:rFonts w:asciiTheme="majorHAnsi" w:eastAsia="Times New Roman" w:hAnsiTheme="majorHAnsi"/>
          <w:sz w:val="16"/>
          <w:szCs w:val="16"/>
          <w:lang w:val="es-ES"/>
        </w:rPr>
        <w:t>Piandiong</w:t>
      </w:r>
      <w:proofErr w:type="spellEnd"/>
      <w:r w:rsidRPr="0097061F">
        <w:rPr>
          <w:rFonts w:asciiTheme="majorHAnsi" w:eastAsia="Times New Roman" w:hAnsiTheme="majorHAnsi"/>
          <w:sz w:val="16"/>
          <w:szCs w:val="16"/>
          <w:lang w:val="es-ES"/>
        </w:rPr>
        <w:t xml:space="preserve"> et al. c/ Filipinas, Comunicación </w:t>
      </w:r>
      <w:proofErr w:type="spellStart"/>
      <w:r w:rsidRPr="0097061F">
        <w:rPr>
          <w:rFonts w:asciiTheme="majorHAnsi" w:eastAsia="Times New Roman" w:hAnsiTheme="majorHAnsi"/>
          <w:sz w:val="16"/>
          <w:szCs w:val="16"/>
          <w:lang w:val="es-ES"/>
        </w:rPr>
        <w:t>N.</w:t>
      </w:r>
      <w:r w:rsidRPr="0097061F">
        <w:rPr>
          <w:rFonts w:asciiTheme="majorHAnsi" w:eastAsia="Times New Roman" w:hAnsiTheme="majorHAnsi"/>
          <w:sz w:val="16"/>
          <w:szCs w:val="16"/>
          <w:vertAlign w:val="superscript"/>
          <w:lang w:val="es-ES"/>
        </w:rPr>
        <w:t>o</w:t>
      </w:r>
      <w:proofErr w:type="spellEnd"/>
      <w:r w:rsidRPr="0097061F">
        <w:rPr>
          <w:rFonts w:asciiTheme="majorHAnsi" w:eastAsia="Times New Roman" w:hAnsiTheme="majorHAnsi"/>
          <w:sz w:val="16"/>
          <w:szCs w:val="16"/>
          <w:lang w:val="es-ES"/>
        </w:rPr>
        <w:t xml:space="preserve"> 869/1999, CCPR/C/70/D/869 (19 de octubre de 1999), </w:t>
      </w:r>
      <w:proofErr w:type="spellStart"/>
      <w:r w:rsidRPr="0097061F">
        <w:rPr>
          <w:rFonts w:asciiTheme="majorHAnsi" w:eastAsia="Times New Roman" w:hAnsiTheme="majorHAnsi"/>
          <w:sz w:val="16"/>
          <w:szCs w:val="16"/>
          <w:lang w:val="es-ES"/>
        </w:rPr>
        <w:t>párrs</w:t>
      </w:r>
      <w:proofErr w:type="spellEnd"/>
      <w:r w:rsidRPr="0097061F">
        <w:rPr>
          <w:rFonts w:asciiTheme="majorHAnsi" w:eastAsia="Times New Roman" w:hAnsiTheme="majorHAnsi"/>
          <w:sz w:val="16"/>
          <w:szCs w:val="16"/>
          <w:lang w:val="es-ES"/>
        </w:rPr>
        <w:t xml:space="preserve">. 5.1 a 5.4; </w:t>
      </w:r>
      <w:proofErr w:type="spellStart"/>
      <w:r w:rsidRPr="0097061F">
        <w:rPr>
          <w:rFonts w:asciiTheme="majorHAnsi" w:eastAsia="Times New Roman" w:hAnsiTheme="majorHAnsi"/>
          <w:sz w:val="16"/>
          <w:szCs w:val="16"/>
          <w:lang w:val="es-ES"/>
        </w:rPr>
        <w:t>Eur</w:t>
      </w:r>
      <w:proofErr w:type="spellEnd"/>
      <w:r w:rsidRPr="0097061F">
        <w:rPr>
          <w:rFonts w:asciiTheme="majorHAnsi" w:eastAsia="Times New Roman" w:hAnsiTheme="majorHAnsi"/>
          <w:sz w:val="16"/>
          <w:szCs w:val="16"/>
          <w:lang w:val="es-ES"/>
        </w:rPr>
        <w:t xml:space="preserve">. </w:t>
      </w:r>
      <w:proofErr w:type="spellStart"/>
      <w:r w:rsidRPr="0097061F">
        <w:rPr>
          <w:rFonts w:asciiTheme="majorHAnsi" w:eastAsia="Times New Roman" w:hAnsiTheme="majorHAnsi"/>
          <w:sz w:val="16"/>
          <w:szCs w:val="16"/>
          <w:lang w:val="es-ES"/>
        </w:rPr>
        <w:t>Court</w:t>
      </w:r>
      <w:proofErr w:type="spellEnd"/>
      <w:r w:rsidRPr="0097061F">
        <w:rPr>
          <w:rFonts w:asciiTheme="majorHAnsi" w:eastAsia="Times New Roman" w:hAnsiTheme="majorHAnsi"/>
          <w:sz w:val="16"/>
          <w:szCs w:val="16"/>
          <w:lang w:val="es-ES"/>
        </w:rPr>
        <w:t xml:space="preserve"> H.R., </w:t>
      </w:r>
      <w:r w:rsidRPr="0097061F">
        <w:rPr>
          <w:rFonts w:asciiTheme="majorHAnsi" w:eastAsia="Times New Roman" w:hAnsiTheme="majorHAnsi"/>
          <w:i/>
          <w:sz w:val="16"/>
          <w:szCs w:val="16"/>
          <w:lang w:val="es-ES"/>
        </w:rPr>
        <w:t xml:space="preserve">Affaire </w:t>
      </w:r>
      <w:proofErr w:type="spellStart"/>
      <w:r w:rsidRPr="0097061F">
        <w:rPr>
          <w:rFonts w:asciiTheme="majorHAnsi" w:eastAsia="Times New Roman" w:hAnsiTheme="majorHAnsi"/>
          <w:i/>
          <w:sz w:val="16"/>
          <w:szCs w:val="16"/>
          <w:lang w:val="es-ES"/>
        </w:rPr>
        <w:t>Mamatkulov</w:t>
      </w:r>
      <w:proofErr w:type="spellEnd"/>
      <w:r w:rsidRPr="0097061F">
        <w:rPr>
          <w:rFonts w:asciiTheme="majorHAnsi" w:eastAsia="Times New Roman" w:hAnsiTheme="majorHAnsi"/>
          <w:i/>
          <w:sz w:val="16"/>
          <w:szCs w:val="16"/>
          <w:lang w:val="es-ES"/>
        </w:rPr>
        <w:t xml:space="preserve"> et </w:t>
      </w:r>
      <w:proofErr w:type="spellStart"/>
      <w:r w:rsidRPr="0097061F">
        <w:rPr>
          <w:rFonts w:asciiTheme="majorHAnsi" w:eastAsia="Times New Roman" w:hAnsiTheme="majorHAnsi"/>
          <w:i/>
          <w:sz w:val="16"/>
          <w:szCs w:val="16"/>
          <w:lang w:val="es-ES"/>
        </w:rPr>
        <w:t>Abdurasulovic</w:t>
      </w:r>
      <w:proofErr w:type="spellEnd"/>
      <w:r w:rsidRPr="0097061F">
        <w:rPr>
          <w:rFonts w:asciiTheme="majorHAnsi" w:eastAsia="Times New Roman" w:hAnsiTheme="majorHAnsi"/>
          <w:i/>
          <w:sz w:val="16"/>
          <w:szCs w:val="16"/>
          <w:lang w:val="es-ES"/>
        </w:rPr>
        <w:t xml:space="preserve"> c. </w:t>
      </w:r>
      <w:proofErr w:type="spellStart"/>
      <w:r w:rsidRPr="0097061F">
        <w:rPr>
          <w:rFonts w:asciiTheme="majorHAnsi" w:eastAsia="Times New Roman" w:hAnsiTheme="majorHAnsi"/>
          <w:i/>
          <w:sz w:val="16"/>
          <w:szCs w:val="16"/>
          <w:lang w:val="es-ES"/>
        </w:rPr>
        <w:t>Turkey</w:t>
      </w:r>
      <w:proofErr w:type="spellEnd"/>
      <w:r w:rsidRPr="0097061F">
        <w:rPr>
          <w:rFonts w:asciiTheme="majorHAnsi" w:eastAsia="Times New Roman" w:hAnsiTheme="majorHAnsi"/>
          <w:sz w:val="16"/>
          <w:szCs w:val="16"/>
          <w:lang w:val="es-ES"/>
        </w:rPr>
        <w:t xml:space="preserve">, </w:t>
      </w:r>
      <w:proofErr w:type="spellStart"/>
      <w:r w:rsidRPr="0097061F">
        <w:rPr>
          <w:rFonts w:asciiTheme="majorHAnsi" w:eastAsia="Times New Roman" w:hAnsiTheme="majorHAnsi"/>
          <w:sz w:val="16"/>
          <w:szCs w:val="16"/>
          <w:lang w:val="es-ES"/>
        </w:rPr>
        <w:t>Reqs</w:t>
      </w:r>
      <w:proofErr w:type="spellEnd"/>
      <w:r w:rsidRPr="0097061F">
        <w:rPr>
          <w:rFonts w:asciiTheme="majorHAnsi" w:eastAsia="Times New Roman" w:hAnsiTheme="majorHAnsi"/>
          <w:sz w:val="16"/>
          <w:szCs w:val="16"/>
          <w:lang w:val="es-ES"/>
        </w:rPr>
        <w:t xml:space="preserve">. Nos. 46827/99, 46951/99 (6 de febrero de 2003), </w:t>
      </w:r>
      <w:proofErr w:type="spellStart"/>
      <w:r w:rsidRPr="0097061F">
        <w:rPr>
          <w:rFonts w:asciiTheme="majorHAnsi" w:eastAsia="Times New Roman" w:hAnsiTheme="majorHAnsi"/>
          <w:sz w:val="16"/>
          <w:szCs w:val="16"/>
          <w:lang w:val="es-ES"/>
        </w:rPr>
        <w:t>párrs</w:t>
      </w:r>
      <w:proofErr w:type="spellEnd"/>
      <w:r w:rsidRPr="0097061F">
        <w:rPr>
          <w:rFonts w:asciiTheme="majorHAnsi" w:eastAsia="Times New Roman" w:hAnsiTheme="majorHAnsi"/>
          <w:sz w:val="16"/>
          <w:szCs w:val="16"/>
          <w:lang w:val="es-ES"/>
        </w:rPr>
        <w:t xml:space="preserve">. 104 a 107. </w:t>
      </w:r>
    </w:p>
  </w:footnote>
  <w:footnote w:id="76">
    <w:p w14:paraId="4CA3B63F" w14:textId="77777777" w:rsidR="00B30ED6" w:rsidRPr="0097061F" w:rsidRDefault="00B30ED6" w:rsidP="00F86F6E">
      <w:pPr>
        <w:pStyle w:val="NormalWeb"/>
        <w:spacing w:before="0" w:beforeAutospacing="0" w:after="0" w:afterAutospacing="0"/>
        <w:rPr>
          <w:lang w:val="es-ES"/>
        </w:rPr>
      </w:pPr>
      <w:r w:rsidRPr="0097061F">
        <w:rPr>
          <w:rFonts w:asciiTheme="majorHAnsi" w:eastAsia="Calibri" w:hAnsiTheme="majorHAnsi" w:cs="Calibri"/>
          <w:sz w:val="16"/>
          <w:szCs w:val="20"/>
          <w:vertAlign w:val="superscript"/>
          <w:lang w:val="es-ES"/>
        </w:rPr>
        <w:footnoteRef/>
      </w:r>
      <w:r w:rsidRPr="0097061F">
        <w:rPr>
          <w:rFonts w:asciiTheme="majorHAnsi" w:hAnsiTheme="majorHAnsi"/>
          <w:sz w:val="16"/>
          <w:lang w:val="es-ES"/>
        </w:rPr>
        <w:t xml:space="preserve"> </w:t>
      </w:r>
      <w:r w:rsidRPr="0097061F">
        <w:rPr>
          <w:rFonts w:asciiTheme="majorHAnsi" w:eastAsia="Calibri" w:hAnsiTheme="majorHAnsi" w:cs="Calibri"/>
          <w:sz w:val="16"/>
          <w:szCs w:val="16"/>
          <w:lang w:val="es-ES"/>
        </w:rPr>
        <w:t xml:space="preserve">Corte IDH. </w:t>
      </w:r>
      <w:hyperlink r:id="rId26" w:history="1">
        <w:r w:rsidRPr="0097061F">
          <w:rPr>
            <w:rStyle w:val="Hyperlink"/>
            <w:rFonts w:asciiTheme="majorHAnsi" w:eastAsia="Calibri" w:hAnsiTheme="majorHAnsi" w:cs="Calibri"/>
            <w:i/>
            <w:sz w:val="16"/>
            <w:szCs w:val="16"/>
            <w:lang w:val="es-ES"/>
          </w:rPr>
          <w:t>El derecho a la información sobre la asistencia consular en el marco de las garantías del debido proceso</w:t>
        </w:r>
      </w:hyperlink>
      <w:r w:rsidRPr="0097061F">
        <w:rPr>
          <w:rFonts w:asciiTheme="majorHAnsi" w:eastAsia="Calibri" w:hAnsiTheme="majorHAnsi" w:cs="Calibri"/>
          <w:sz w:val="16"/>
          <w:szCs w:val="16"/>
          <w:lang w:val="es-ES"/>
        </w:rPr>
        <w:t>. Opinión Consultiva OC-16/99 de 1 de octubre de 1999. Serie A No. 16, párr. 136.</w:t>
      </w:r>
      <w:r w:rsidRPr="0097061F">
        <w:rPr>
          <w:rFonts w:ascii="Calibri" w:eastAsia="Calibri" w:hAnsi="Calibri" w:cs="Calibri"/>
          <w:sz w:val="16"/>
          <w:szCs w:val="16"/>
          <w:lang w:val="es-ES"/>
        </w:rPr>
        <w:t xml:space="preserve"> </w:t>
      </w:r>
    </w:p>
  </w:footnote>
  <w:footnote w:id="77">
    <w:p w14:paraId="3F937C82" w14:textId="77777777" w:rsidR="0022310C" w:rsidRPr="00430146" w:rsidRDefault="0022310C" w:rsidP="0022310C">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lang w:val="es-ES"/>
        </w:rPr>
        <w:t xml:space="preserve"> En este sentido, véase </w:t>
      </w:r>
      <w:r w:rsidRPr="0097061F">
        <w:rPr>
          <w:rFonts w:asciiTheme="majorHAnsi" w:eastAsia="Cambria" w:hAnsiTheme="majorHAnsi" w:cs="Cambria"/>
          <w:sz w:val="16"/>
          <w:szCs w:val="16"/>
          <w:lang w:val="es-ES"/>
        </w:rPr>
        <w:t xml:space="preserve">CIDH, </w:t>
      </w:r>
      <w:hyperlink r:id="rId27" w:history="1">
        <w:r w:rsidRPr="0097061F">
          <w:rPr>
            <w:rStyle w:val="Hyperlink"/>
            <w:rFonts w:asciiTheme="majorHAnsi" w:eastAsia="Cambria" w:hAnsiTheme="majorHAnsi" w:cs="Cambria"/>
            <w:i/>
            <w:iCs/>
            <w:sz w:val="16"/>
            <w:szCs w:val="16"/>
            <w:lang w:val="es-ES"/>
          </w:rPr>
          <w:t>La pena de muerte en el Sistema Interamericano de Derechos Humanos: de restricciones a abolición</w:t>
        </w:r>
      </w:hyperlink>
      <w:r w:rsidRPr="0097061F">
        <w:rPr>
          <w:rFonts w:asciiTheme="majorHAnsi" w:eastAsia="Cambria" w:hAnsiTheme="majorHAnsi" w:cs="Cambria"/>
          <w:sz w:val="16"/>
          <w:szCs w:val="16"/>
          <w:lang w:val="es-ES"/>
        </w:rPr>
        <w:t>, OEA/</w:t>
      </w:r>
      <w:proofErr w:type="spellStart"/>
      <w:r w:rsidRPr="0097061F">
        <w:rPr>
          <w:rFonts w:asciiTheme="majorHAnsi" w:eastAsia="Cambria" w:hAnsiTheme="majorHAnsi" w:cs="Cambria"/>
          <w:sz w:val="16"/>
          <w:szCs w:val="16"/>
          <w:lang w:val="es-ES"/>
        </w:rPr>
        <w:t>Ser.L</w:t>
      </w:r>
      <w:proofErr w:type="spellEnd"/>
      <w:r w:rsidRPr="0097061F">
        <w:rPr>
          <w:rFonts w:asciiTheme="majorHAnsi" w:eastAsia="Cambria" w:hAnsiTheme="majorHAnsi" w:cs="Cambria"/>
          <w:sz w:val="16"/>
          <w:szCs w:val="16"/>
          <w:lang w:val="es-ES"/>
        </w:rPr>
        <w:t>/V/II.Doc. 68, 31 de diciembre de 2011</w:t>
      </w:r>
      <w:r w:rsidRPr="0097061F">
        <w:rPr>
          <w:rFonts w:asciiTheme="majorHAnsi" w:hAnsiTheme="majorHAnsi"/>
          <w:color w:val="auto"/>
          <w:sz w:val="16"/>
          <w:szCs w:val="16"/>
          <w:lang w:val="es-ES"/>
        </w:rPr>
        <w:t>.</w:t>
      </w:r>
    </w:p>
  </w:footnote>
  <w:footnote w:id="78">
    <w:p w14:paraId="181C571A" w14:textId="77777777" w:rsidR="00B30ED6" w:rsidRPr="00430146" w:rsidRDefault="00B30ED6" w:rsidP="008A6254">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97061F">
        <w:rPr>
          <w:rStyle w:val="FootnoteReference"/>
          <w:rFonts w:asciiTheme="majorHAnsi" w:hAnsiTheme="majorHAnsi"/>
          <w:color w:val="auto"/>
          <w:sz w:val="16"/>
          <w:szCs w:val="16"/>
          <w:lang w:val="es-ES"/>
        </w:rPr>
        <w:footnoteRef/>
      </w:r>
      <w:r w:rsidRPr="0097061F">
        <w:rPr>
          <w:rFonts w:asciiTheme="majorHAnsi" w:hAnsiTheme="majorHAnsi"/>
          <w:color w:val="auto"/>
          <w:sz w:val="16"/>
          <w:szCs w:val="16"/>
          <w:lang w:val="es-ES"/>
        </w:rPr>
        <w:t xml:space="preserve"> En este sentido, véase </w:t>
      </w:r>
      <w:r w:rsidRPr="0097061F">
        <w:rPr>
          <w:rFonts w:asciiTheme="majorHAnsi" w:eastAsia="Cambria" w:hAnsiTheme="majorHAnsi" w:cs="Cambria"/>
          <w:sz w:val="16"/>
          <w:szCs w:val="16"/>
          <w:lang w:val="es-ES"/>
        </w:rPr>
        <w:t xml:space="preserve">CIDH, </w:t>
      </w:r>
      <w:hyperlink r:id="rId28" w:history="1">
        <w:r w:rsidRPr="0097061F">
          <w:rPr>
            <w:rStyle w:val="Hyperlink"/>
            <w:rFonts w:asciiTheme="majorHAnsi" w:eastAsia="Cambria" w:hAnsiTheme="majorHAnsi" w:cs="Cambria"/>
            <w:i/>
            <w:iCs/>
            <w:sz w:val="16"/>
            <w:szCs w:val="16"/>
            <w:lang w:val="es-ES"/>
          </w:rPr>
          <w:t>La pena de muerte en el Sistema Interamericano de Derechos Humanos: de restricciones a abolición</w:t>
        </w:r>
      </w:hyperlink>
      <w:r w:rsidRPr="0097061F">
        <w:rPr>
          <w:rFonts w:asciiTheme="majorHAnsi" w:eastAsia="Cambria" w:hAnsiTheme="majorHAnsi" w:cs="Cambria"/>
          <w:sz w:val="16"/>
          <w:szCs w:val="16"/>
          <w:lang w:val="es-ES"/>
        </w:rPr>
        <w:t>, OEA/</w:t>
      </w:r>
      <w:proofErr w:type="spellStart"/>
      <w:r w:rsidRPr="0097061F">
        <w:rPr>
          <w:rFonts w:asciiTheme="majorHAnsi" w:eastAsia="Cambria" w:hAnsiTheme="majorHAnsi" w:cs="Cambria"/>
          <w:sz w:val="16"/>
          <w:szCs w:val="16"/>
          <w:lang w:val="es-ES"/>
        </w:rPr>
        <w:t>Ser.L</w:t>
      </w:r>
      <w:proofErr w:type="spellEnd"/>
      <w:r w:rsidRPr="0097061F">
        <w:rPr>
          <w:rFonts w:asciiTheme="majorHAnsi" w:eastAsia="Cambria" w:hAnsiTheme="majorHAnsi" w:cs="Cambria"/>
          <w:sz w:val="16"/>
          <w:szCs w:val="16"/>
          <w:lang w:val="es-ES"/>
        </w:rPr>
        <w:t>/V/II.Doc. 68, 31 de diciembre de 2011</w:t>
      </w:r>
      <w:r w:rsidRPr="0097061F">
        <w:rPr>
          <w:rFonts w:asciiTheme="majorHAnsi" w:hAnsiTheme="majorHAnsi"/>
          <w:color w:val="auto"/>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82B1" w14:textId="77777777" w:rsidR="00B30ED6" w:rsidRDefault="00B30ED6"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9D7F78" w14:textId="77777777" w:rsidR="00B30ED6" w:rsidRDefault="00B3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E611" w14:textId="77777777" w:rsidR="00B30ED6" w:rsidRDefault="00B30ED6" w:rsidP="002C1641">
    <w:pPr>
      <w:pStyle w:val="Header"/>
      <w:tabs>
        <w:tab w:val="clear" w:pos="4320"/>
        <w:tab w:val="clear" w:pos="8640"/>
      </w:tabs>
      <w:jc w:val="center"/>
      <w:rPr>
        <w:sz w:val="22"/>
        <w:szCs w:val="22"/>
      </w:rPr>
    </w:pPr>
    <w:r>
      <w:rPr>
        <w:noProof/>
        <w:sz w:val="22"/>
        <w:szCs w:val="22"/>
      </w:rPr>
      <w:drawing>
        <wp:inline distT="0" distB="0" distL="0" distR="0" wp14:anchorId="68FED3AF" wp14:editId="130BE281">
          <wp:extent cx="1972237" cy="104775"/>
          <wp:effectExtent l="0" t="0" r="9525" b="0"/>
          <wp:docPr id="10" name="Picture 10"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F39E19F" w14:textId="77777777" w:rsidR="00B30ED6" w:rsidRPr="00EC7D62" w:rsidRDefault="00A16B38" w:rsidP="002C1641">
    <w:pPr>
      <w:pStyle w:val="Header"/>
      <w:tabs>
        <w:tab w:val="clear" w:pos="4320"/>
        <w:tab w:val="clear" w:pos="8640"/>
      </w:tabs>
      <w:jc w:val="center"/>
      <w:rPr>
        <w:sz w:val="22"/>
        <w:szCs w:val="22"/>
      </w:rPr>
    </w:pPr>
    <w:r>
      <w:rPr>
        <w:noProof/>
        <w:sz w:val="22"/>
        <w:szCs w:val="22"/>
        <w:bdr w:val="nil"/>
      </w:rPr>
      <w:pict w14:anchorId="49FD20F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4" w15:restartNumberingAfterBreak="0">
    <w:nsid w:val="0E1D2261"/>
    <w:multiLevelType w:val="hybridMultilevel"/>
    <w:tmpl w:val="87AE7E06"/>
    <w:lvl w:ilvl="0" w:tplc="11100042">
      <w:start w:val="1"/>
      <w:numFmt w:val="decimal"/>
      <w:lvlText w:val="%1."/>
      <w:lvlJc w:val="left"/>
      <w:pPr>
        <w:tabs>
          <w:tab w:val="num" w:pos="720"/>
        </w:tabs>
        <w:ind w:left="0" w:firstLine="720"/>
      </w:pPr>
      <w:rPr>
        <w:rFonts w:hint="default"/>
        <w:i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322AA3"/>
    <w:multiLevelType w:val="hybridMultilevel"/>
    <w:tmpl w:val="06BA8E26"/>
    <w:lvl w:ilvl="0" w:tplc="BDDE7ADE">
      <w:start w:val="8"/>
      <w:numFmt w:val="decimal"/>
      <w:lvlText w:val="%1."/>
      <w:lvlJc w:val="left"/>
      <w:pPr>
        <w:tabs>
          <w:tab w:val="num" w:pos="1080"/>
        </w:tabs>
        <w:ind w:left="360" w:firstLine="720"/>
      </w:pPr>
      <w:rPr>
        <w:rFonts w:asciiTheme="majorHAnsi" w:hAnsiTheme="majorHAnsi" w:hint="default"/>
        <w:color w:val="auto"/>
        <w:sz w:val="20"/>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3"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6" w15:restartNumberingAfterBreak="0">
    <w:nsid w:val="26DD33BB"/>
    <w:multiLevelType w:val="hybridMultilevel"/>
    <w:tmpl w:val="D39828EA"/>
    <w:numStyleLink w:val="ImportedStyle6"/>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9" w15:restartNumberingAfterBreak="0">
    <w:nsid w:val="2BAA43AD"/>
    <w:multiLevelType w:val="hybridMultilevel"/>
    <w:tmpl w:val="1D42AC04"/>
    <w:lvl w:ilvl="0" w:tplc="673286BA">
      <w:start w:val="2"/>
      <w:numFmt w:val="bullet"/>
      <w:lvlText w:val="-"/>
      <w:lvlJc w:val="left"/>
      <w:pPr>
        <w:ind w:left="720" w:hanging="360"/>
      </w:pPr>
      <w:rPr>
        <w:rFonts w:ascii="Segoe UI" w:eastAsia="Arial Unicode MS"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8" w15:restartNumberingAfterBreak="0">
    <w:nsid w:val="355F2E7A"/>
    <w:multiLevelType w:val="hybridMultilevel"/>
    <w:tmpl w:val="3CACD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31"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2" w15:restartNumberingAfterBreak="0">
    <w:nsid w:val="4F03689F"/>
    <w:multiLevelType w:val="hybridMultilevel"/>
    <w:tmpl w:val="4AA2B45E"/>
    <w:lvl w:ilvl="0" w:tplc="242CFAE2">
      <w:start w:val="1"/>
      <w:numFmt w:val="decimal"/>
      <w:lvlText w:val="%1."/>
      <w:lvlJc w:val="left"/>
      <w:pPr>
        <w:tabs>
          <w:tab w:val="num" w:pos="851"/>
        </w:tabs>
        <w:ind w:left="0" w:firstLine="0"/>
      </w:pPr>
      <w:rPr>
        <w:rFonts w:ascii="Verdana" w:hAnsi="Verdana" w:hint="default"/>
        <w:b w:val="0"/>
        <w:i w:val="0"/>
        <w:strike w:val="0"/>
        <w:dstrike w:val="0"/>
        <w:color w:val="auto"/>
        <w:sz w:val="20"/>
        <w:szCs w:val="20"/>
        <w:u w:val="none"/>
        <w:effect w:val="none"/>
      </w:rPr>
    </w:lvl>
    <w:lvl w:ilvl="1" w:tplc="75B8E952">
      <w:start w:val="1"/>
      <w:numFmt w:val="decimal"/>
      <w:lvlText w:val="%2."/>
      <w:lvlJc w:val="left"/>
      <w:pPr>
        <w:tabs>
          <w:tab w:val="num" w:pos="1418"/>
        </w:tabs>
        <w:ind w:left="0" w:firstLine="108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6"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9" w15:restartNumberingAfterBreak="0">
    <w:nsid w:val="54550C4C"/>
    <w:multiLevelType w:val="multilevel"/>
    <w:tmpl w:val="024A16C2"/>
    <w:numStyleLink w:val="List0"/>
  </w:abstractNum>
  <w:abstractNum w:abstractNumId="50" w15:restartNumberingAfterBreak="0">
    <w:nsid w:val="58A633D6"/>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4"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5D1410CC"/>
    <w:multiLevelType w:val="singleLevel"/>
    <w:tmpl w:val="0409000F"/>
    <w:lvl w:ilvl="0">
      <w:start w:val="1"/>
      <w:numFmt w:val="decimal"/>
      <w:lvlText w:val="%1."/>
      <w:lvlJc w:val="left"/>
      <w:pPr>
        <w:tabs>
          <w:tab w:val="num" w:pos="2135"/>
        </w:tabs>
        <w:ind w:left="2135" w:hanging="271"/>
      </w:pPr>
      <w:rPr>
        <w:b/>
        <w:bCs/>
        <w:color w:val="000000"/>
        <w:position w:val="0"/>
        <w:sz w:val="22"/>
        <w:szCs w:val="22"/>
        <w:u w:color="000000"/>
        <w:lang w:val="es-ES_tradnl"/>
      </w:rPr>
    </w:lvl>
  </w:abstractNum>
  <w:abstractNum w:abstractNumId="56"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9" w15:restartNumberingAfterBreak="0">
    <w:nsid w:val="672E115F"/>
    <w:multiLevelType w:val="hybridMultilevel"/>
    <w:tmpl w:val="9ACAA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97E60A7"/>
    <w:multiLevelType w:val="hybridMultilevel"/>
    <w:tmpl w:val="F700628C"/>
    <w:lvl w:ilvl="0" w:tplc="1EA2AC34">
      <w:start w:val="22"/>
      <w:numFmt w:val="decimal"/>
      <w:lvlText w:val="%1."/>
      <w:lvlJc w:val="left"/>
      <w:pPr>
        <w:ind w:left="720" w:hanging="360"/>
      </w:pPr>
      <w:rPr>
        <w:rFonts w:hint="default"/>
        <w:b w:val="0"/>
      </w:rPr>
    </w:lvl>
    <w:lvl w:ilvl="1" w:tplc="F40616D2" w:tentative="1">
      <w:start w:val="1"/>
      <w:numFmt w:val="lowerLetter"/>
      <w:lvlText w:val="%2."/>
      <w:lvlJc w:val="left"/>
      <w:pPr>
        <w:ind w:left="1440" w:hanging="360"/>
      </w:pPr>
    </w:lvl>
    <w:lvl w:ilvl="2" w:tplc="DE5C19A4" w:tentative="1">
      <w:start w:val="1"/>
      <w:numFmt w:val="lowerRoman"/>
      <w:lvlText w:val="%3."/>
      <w:lvlJc w:val="right"/>
      <w:pPr>
        <w:ind w:left="2160" w:hanging="180"/>
      </w:pPr>
    </w:lvl>
    <w:lvl w:ilvl="3" w:tplc="07B2AEC4" w:tentative="1">
      <w:start w:val="1"/>
      <w:numFmt w:val="decimal"/>
      <w:lvlText w:val="%4."/>
      <w:lvlJc w:val="left"/>
      <w:pPr>
        <w:ind w:left="2880" w:hanging="360"/>
      </w:pPr>
    </w:lvl>
    <w:lvl w:ilvl="4" w:tplc="257676DA" w:tentative="1">
      <w:start w:val="1"/>
      <w:numFmt w:val="lowerLetter"/>
      <w:lvlText w:val="%5."/>
      <w:lvlJc w:val="left"/>
      <w:pPr>
        <w:ind w:left="3600" w:hanging="360"/>
      </w:pPr>
    </w:lvl>
    <w:lvl w:ilvl="5" w:tplc="1688D3BA" w:tentative="1">
      <w:start w:val="1"/>
      <w:numFmt w:val="lowerRoman"/>
      <w:lvlText w:val="%6."/>
      <w:lvlJc w:val="right"/>
      <w:pPr>
        <w:ind w:left="4320" w:hanging="180"/>
      </w:pPr>
    </w:lvl>
    <w:lvl w:ilvl="6" w:tplc="42E22C46" w:tentative="1">
      <w:start w:val="1"/>
      <w:numFmt w:val="decimal"/>
      <w:lvlText w:val="%7."/>
      <w:lvlJc w:val="left"/>
      <w:pPr>
        <w:ind w:left="5040" w:hanging="360"/>
      </w:pPr>
    </w:lvl>
    <w:lvl w:ilvl="7" w:tplc="EDE28B80" w:tentative="1">
      <w:start w:val="1"/>
      <w:numFmt w:val="lowerLetter"/>
      <w:lvlText w:val="%8."/>
      <w:lvlJc w:val="left"/>
      <w:pPr>
        <w:ind w:left="5760" w:hanging="360"/>
      </w:pPr>
    </w:lvl>
    <w:lvl w:ilvl="8" w:tplc="22BCE6F2" w:tentative="1">
      <w:start w:val="1"/>
      <w:numFmt w:val="lowerRoman"/>
      <w:lvlText w:val="%9."/>
      <w:lvlJc w:val="right"/>
      <w:pPr>
        <w:ind w:left="6480" w:hanging="180"/>
      </w:pPr>
    </w:lvl>
  </w:abstractNum>
  <w:abstractNum w:abstractNumId="6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6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4" w15:restartNumberingAfterBreak="0">
    <w:nsid w:val="70786ED7"/>
    <w:multiLevelType w:val="hybridMultilevel"/>
    <w:tmpl w:val="893AFD0C"/>
    <w:lvl w:ilvl="0" w:tplc="FB4C2A84">
      <w:start w:val="1"/>
      <w:numFmt w:val="upperRoman"/>
      <w:pStyle w:val="Heading1"/>
      <w:lvlText w:val="%1."/>
      <w:lvlJc w:val="left"/>
      <w:pPr>
        <w:ind w:left="720" w:hanging="360"/>
      </w:pPr>
      <w:rPr>
        <w:rFonts w:hint="default"/>
      </w:rPr>
    </w:lvl>
    <w:lvl w:ilvl="1" w:tplc="6BA2B3FA">
      <w:start w:val="1"/>
      <w:numFmt w:val="decimal"/>
      <w:lvlText w:val="%2."/>
      <w:lvlJc w:val="left"/>
      <w:pPr>
        <w:ind w:left="1440" w:hanging="360"/>
      </w:pPr>
      <w:rPr>
        <w:rFonts w:hint="default"/>
      </w:rPr>
    </w:lvl>
    <w:lvl w:ilvl="2" w:tplc="EFD0C2AE" w:tentative="1">
      <w:start w:val="1"/>
      <w:numFmt w:val="lowerRoman"/>
      <w:lvlText w:val="%3."/>
      <w:lvlJc w:val="right"/>
      <w:pPr>
        <w:ind w:left="2160" w:hanging="180"/>
      </w:pPr>
    </w:lvl>
    <w:lvl w:ilvl="3" w:tplc="31A052B0" w:tentative="1">
      <w:start w:val="1"/>
      <w:numFmt w:val="decimal"/>
      <w:lvlText w:val="%4."/>
      <w:lvlJc w:val="left"/>
      <w:pPr>
        <w:ind w:left="2880" w:hanging="360"/>
      </w:pPr>
    </w:lvl>
    <w:lvl w:ilvl="4" w:tplc="90DCEF50" w:tentative="1">
      <w:start w:val="1"/>
      <w:numFmt w:val="lowerLetter"/>
      <w:lvlText w:val="%5."/>
      <w:lvlJc w:val="left"/>
      <w:pPr>
        <w:ind w:left="3600" w:hanging="360"/>
      </w:pPr>
    </w:lvl>
    <w:lvl w:ilvl="5" w:tplc="5838B790" w:tentative="1">
      <w:start w:val="1"/>
      <w:numFmt w:val="lowerRoman"/>
      <w:lvlText w:val="%6."/>
      <w:lvlJc w:val="right"/>
      <w:pPr>
        <w:ind w:left="4320" w:hanging="180"/>
      </w:pPr>
    </w:lvl>
    <w:lvl w:ilvl="6" w:tplc="9D94DA3E" w:tentative="1">
      <w:start w:val="1"/>
      <w:numFmt w:val="decimal"/>
      <w:lvlText w:val="%7."/>
      <w:lvlJc w:val="left"/>
      <w:pPr>
        <w:ind w:left="5040" w:hanging="360"/>
      </w:pPr>
    </w:lvl>
    <w:lvl w:ilvl="7" w:tplc="F9364FEA" w:tentative="1">
      <w:start w:val="1"/>
      <w:numFmt w:val="lowerLetter"/>
      <w:lvlText w:val="%8."/>
      <w:lvlJc w:val="left"/>
      <w:pPr>
        <w:ind w:left="5760" w:hanging="360"/>
      </w:pPr>
    </w:lvl>
    <w:lvl w:ilvl="8" w:tplc="1C2ACEA0" w:tentative="1">
      <w:start w:val="1"/>
      <w:numFmt w:val="lowerRoman"/>
      <w:lvlText w:val="%9."/>
      <w:lvlJc w:val="right"/>
      <w:pPr>
        <w:ind w:left="6480" w:hanging="180"/>
      </w:pPr>
    </w:lvl>
  </w:abstractNum>
  <w:abstractNum w:abstractNumId="6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6" w15:restartNumberingAfterBreak="0">
    <w:nsid w:val="7745554A"/>
    <w:multiLevelType w:val="hybridMultilevel"/>
    <w:tmpl w:val="FA40F4D6"/>
    <w:lvl w:ilvl="0" w:tplc="914ED354">
      <w:start w:val="1"/>
      <w:numFmt w:val="upperLetter"/>
      <w:lvlText w:val="%1."/>
      <w:lvlJc w:val="left"/>
      <w:pPr>
        <w:ind w:left="720" w:hanging="360"/>
      </w:pPr>
      <w:rPr>
        <w:rFonts w:hint="default"/>
      </w:rPr>
    </w:lvl>
    <w:lvl w:ilvl="1" w:tplc="EBC0D542" w:tentative="1">
      <w:start w:val="1"/>
      <w:numFmt w:val="lowerLetter"/>
      <w:lvlText w:val="%2."/>
      <w:lvlJc w:val="left"/>
      <w:pPr>
        <w:ind w:left="1440" w:hanging="360"/>
      </w:pPr>
    </w:lvl>
    <w:lvl w:ilvl="2" w:tplc="D960CBC2" w:tentative="1">
      <w:start w:val="1"/>
      <w:numFmt w:val="lowerRoman"/>
      <w:lvlText w:val="%3."/>
      <w:lvlJc w:val="right"/>
      <w:pPr>
        <w:ind w:left="2160" w:hanging="180"/>
      </w:pPr>
    </w:lvl>
    <w:lvl w:ilvl="3" w:tplc="66AE90F2" w:tentative="1">
      <w:start w:val="1"/>
      <w:numFmt w:val="decimal"/>
      <w:lvlText w:val="%4."/>
      <w:lvlJc w:val="left"/>
      <w:pPr>
        <w:ind w:left="2880" w:hanging="360"/>
      </w:pPr>
    </w:lvl>
    <w:lvl w:ilvl="4" w:tplc="0580476A" w:tentative="1">
      <w:start w:val="1"/>
      <w:numFmt w:val="lowerLetter"/>
      <w:lvlText w:val="%5."/>
      <w:lvlJc w:val="left"/>
      <w:pPr>
        <w:ind w:left="3600" w:hanging="360"/>
      </w:pPr>
    </w:lvl>
    <w:lvl w:ilvl="5" w:tplc="4242414A" w:tentative="1">
      <w:start w:val="1"/>
      <w:numFmt w:val="lowerRoman"/>
      <w:lvlText w:val="%6."/>
      <w:lvlJc w:val="right"/>
      <w:pPr>
        <w:ind w:left="4320" w:hanging="180"/>
      </w:pPr>
    </w:lvl>
    <w:lvl w:ilvl="6" w:tplc="23B41E74" w:tentative="1">
      <w:start w:val="1"/>
      <w:numFmt w:val="decimal"/>
      <w:lvlText w:val="%7."/>
      <w:lvlJc w:val="left"/>
      <w:pPr>
        <w:ind w:left="5040" w:hanging="360"/>
      </w:pPr>
    </w:lvl>
    <w:lvl w:ilvl="7" w:tplc="D0C0D4E8" w:tentative="1">
      <w:start w:val="1"/>
      <w:numFmt w:val="lowerLetter"/>
      <w:lvlText w:val="%8."/>
      <w:lvlJc w:val="left"/>
      <w:pPr>
        <w:ind w:left="5760" w:hanging="360"/>
      </w:pPr>
    </w:lvl>
    <w:lvl w:ilvl="8" w:tplc="4032224E" w:tentative="1">
      <w:start w:val="1"/>
      <w:numFmt w:val="lowerRoman"/>
      <w:lvlText w:val="%9."/>
      <w:lvlJc w:val="right"/>
      <w:pPr>
        <w:ind w:left="6480" w:hanging="180"/>
      </w:pPr>
    </w:lvl>
  </w:abstractNum>
  <w:abstractNum w:abstractNumId="6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69" w15:restartNumberingAfterBreak="0">
    <w:nsid w:val="7994649A"/>
    <w:multiLevelType w:val="hybridMultilevel"/>
    <w:tmpl w:val="0EECEAD0"/>
    <w:lvl w:ilvl="0" w:tplc="C6FEA96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1" w15:restartNumberingAfterBreak="0">
    <w:nsid w:val="7C051419"/>
    <w:multiLevelType w:val="hybridMultilevel"/>
    <w:tmpl w:val="66148FEE"/>
    <w:styleLink w:val="ImportedStyle3"/>
    <w:lvl w:ilvl="0" w:tplc="E634E536">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C1C80EA">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50CA3F6">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00CE52">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1B4FA0C">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F34266A">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A9AAD74">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C7C8DFA">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2EE4376">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3"/>
  </w:num>
  <w:num w:numId="2">
    <w:abstractNumId w:val="6"/>
  </w:num>
  <w:num w:numId="3">
    <w:abstractNumId w:val="68"/>
  </w:num>
  <w:num w:numId="4">
    <w:abstractNumId w:val="24"/>
  </w:num>
  <w:num w:numId="5">
    <w:abstractNumId w:val="58"/>
  </w:num>
  <w:num w:numId="6">
    <w:abstractNumId w:val="30"/>
  </w:num>
  <w:num w:numId="7">
    <w:abstractNumId w:val="7"/>
  </w:num>
  <w:num w:numId="8">
    <w:abstractNumId w:val="20"/>
  </w:num>
  <w:num w:numId="9">
    <w:abstractNumId w:val="48"/>
  </w:num>
  <w:num w:numId="10">
    <w:abstractNumId w:val="0"/>
  </w:num>
  <w:num w:numId="11">
    <w:abstractNumId w:val="40"/>
  </w:num>
  <w:num w:numId="12">
    <w:abstractNumId w:val="41"/>
  </w:num>
  <w:num w:numId="13">
    <w:abstractNumId w:val="5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3"/>
  </w:num>
  <w:num w:numId="40">
    <w:abstractNumId w:val="44"/>
  </w:num>
  <w:num w:numId="41">
    <w:abstractNumId w:val="57"/>
  </w:num>
  <w:num w:numId="42">
    <w:abstractNumId w:val="62"/>
  </w:num>
  <w:num w:numId="43">
    <w:abstractNumId w:val="63"/>
  </w:num>
  <w:num w:numId="44">
    <w:abstractNumId w:val="65"/>
  </w:num>
  <w:num w:numId="45">
    <w:abstractNumId w:val="67"/>
  </w:num>
  <w:num w:numId="46">
    <w:abstractNumId w:val="70"/>
  </w:num>
  <w:num w:numId="47">
    <w:abstractNumId w:val="72"/>
  </w:num>
  <w:num w:numId="48">
    <w:abstractNumId w:val="73"/>
  </w:num>
  <w:num w:numId="49">
    <w:abstractNumId w:val="74"/>
  </w:num>
  <w:num w:numId="50">
    <w:abstractNumId w:val="75"/>
  </w:num>
  <w:num w:numId="51">
    <w:abstractNumId w:val="23"/>
  </w:num>
  <w:num w:numId="52">
    <w:abstractNumId w:val="45"/>
  </w:num>
  <w:num w:numId="53">
    <w:abstractNumId w:val="64"/>
  </w:num>
  <w:num w:numId="54">
    <w:abstractNumId w:val="53"/>
  </w:num>
  <w:num w:numId="55">
    <w:abstractNumId w:val="56"/>
  </w:num>
  <w:num w:numId="56">
    <w:abstractNumId w:val="51"/>
  </w:num>
  <w:num w:numId="57">
    <w:abstractNumId w:val="60"/>
  </w:num>
  <w:num w:numId="58">
    <w:abstractNumId w:val="46"/>
  </w:num>
  <w:num w:numId="59">
    <w:abstractNumId w:val="66"/>
  </w:num>
  <w:num w:numId="60">
    <w:abstractNumId w:val="5"/>
  </w:num>
  <w:num w:numId="61">
    <w:abstractNumId w:val="61"/>
  </w:num>
  <w:num w:numId="62">
    <w:abstractNumId w:val="71"/>
  </w:num>
  <w:num w:numId="63">
    <w:abstractNumId w:val="47"/>
  </w:num>
  <w:num w:numId="64">
    <w:abstractNumId w:val="31"/>
  </w:num>
  <w:num w:numId="65">
    <w:abstractNumId w:val="13"/>
  </w:num>
  <w:num w:numId="66">
    <w:abstractNumId w:val="16"/>
  </w:num>
  <w:num w:numId="67">
    <w:abstractNumId w:val="54"/>
  </w:num>
  <w:num w:numId="68">
    <w:abstractNumId w:val="19"/>
  </w:num>
  <w:num w:numId="69">
    <w:abstractNumId w:val="49"/>
  </w:num>
  <w:num w:numId="70">
    <w:abstractNumId w:val="55"/>
  </w:num>
  <w:num w:numId="71">
    <w:abstractNumId w:val="50"/>
  </w:num>
  <w:num w:numId="72">
    <w:abstractNumId w:val="59"/>
  </w:num>
  <w:num w:numId="73">
    <w:abstractNumId w:val="28"/>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38CF"/>
    <w:rsid w:val="000050CC"/>
    <w:rsid w:val="00006DD7"/>
    <w:rsid w:val="00006E50"/>
    <w:rsid w:val="00006EDD"/>
    <w:rsid w:val="00006F2E"/>
    <w:rsid w:val="000070D7"/>
    <w:rsid w:val="00007690"/>
    <w:rsid w:val="00007B4D"/>
    <w:rsid w:val="00007C5F"/>
    <w:rsid w:val="00010877"/>
    <w:rsid w:val="00010A7E"/>
    <w:rsid w:val="00010E1E"/>
    <w:rsid w:val="000111A8"/>
    <w:rsid w:val="00011E4C"/>
    <w:rsid w:val="00011EB8"/>
    <w:rsid w:val="00012470"/>
    <w:rsid w:val="00012683"/>
    <w:rsid w:val="00012ADD"/>
    <w:rsid w:val="00012E4F"/>
    <w:rsid w:val="00013F78"/>
    <w:rsid w:val="000157B5"/>
    <w:rsid w:val="00015C68"/>
    <w:rsid w:val="00015F42"/>
    <w:rsid w:val="000160EE"/>
    <w:rsid w:val="00017552"/>
    <w:rsid w:val="0001788C"/>
    <w:rsid w:val="000203E6"/>
    <w:rsid w:val="00021201"/>
    <w:rsid w:val="00022424"/>
    <w:rsid w:val="000225C7"/>
    <w:rsid w:val="0002357A"/>
    <w:rsid w:val="00024730"/>
    <w:rsid w:val="000248B7"/>
    <w:rsid w:val="00024BB7"/>
    <w:rsid w:val="000265CB"/>
    <w:rsid w:val="0002681D"/>
    <w:rsid w:val="0002683C"/>
    <w:rsid w:val="00027222"/>
    <w:rsid w:val="0003022F"/>
    <w:rsid w:val="00030834"/>
    <w:rsid w:val="00030D15"/>
    <w:rsid w:val="00031A82"/>
    <w:rsid w:val="00032BDA"/>
    <w:rsid w:val="0003324D"/>
    <w:rsid w:val="000332F4"/>
    <w:rsid w:val="000351D4"/>
    <w:rsid w:val="00036A8A"/>
    <w:rsid w:val="00037CC9"/>
    <w:rsid w:val="00040C3A"/>
    <w:rsid w:val="000427EE"/>
    <w:rsid w:val="00042CED"/>
    <w:rsid w:val="00042FA0"/>
    <w:rsid w:val="0004390C"/>
    <w:rsid w:val="00044DA8"/>
    <w:rsid w:val="00045601"/>
    <w:rsid w:val="000459E0"/>
    <w:rsid w:val="0004681B"/>
    <w:rsid w:val="0004761C"/>
    <w:rsid w:val="00047F35"/>
    <w:rsid w:val="000516F4"/>
    <w:rsid w:val="000517B2"/>
    <w:rsid w:val="00051EB4"/>
    <w:rsid w:val="000520FB"/>
    <w:rsid w:val="00053172"/>
    <w:rsid w:val="00053D12"/>
    <w:rsid w:val="00054E1B"/>
    <w:rsid w:val="000550C0"/>
    <w:rsid w:val="00055FAE"/>
    <w:rsid w:val="000564D3"/>
    <w:rsid w:val="000564E1"/>
    <w:rsid w:val="00056BAD"/>
    <w:rsid w:val="000576AA"/>
    <w:rsid w:val="00057D4F"/>
    <w:rsid w:val="00057EDB"/>
    <w:rsid w:val="00060666"/>
    <w:rsid w:val="0006097A"/>
    <w:rsid w:val="000615CF"/>
    <w:rsid w:val="00061A23"/>
    <w:rsid w:val="000620DE"/>
    <w:rsid w:val="00062C0F"/>
    <w:rsid w:val="00062C28"/>
    <w:rsid w:val="00062FEC"/>
    <w:rsid w:val="000630E1"/>
    <w:rsid w:val="000639C0"/>
    <w:rsid w:val="0006434A"/>
    <w:rsid w:val="00064BE5"/>
    <w:rsid w:val="0006511C"/>
    <w:rsid w:val="000657E1"/>
    <w:rsid w:val="000679BC"/>
    <w:rsid w:val="0007019C"/>
    <w:rsid w:val="00070F3A"/>
    <w:rsid w:val="0007127E"/>
    <w:rsid w:val="000716C5"/>
    <w:rsid w:val="00071A9D"/>
    <w:rsid w:val="00071E45"/>
    <w:rsid w:val="00073088"/>
    <w:rsid w:val="00074669"/>
    <w:rsid w:val="00075292"/>
    <w:rsid w:val="0007563A"/>
    <w:rsid w:val="00075E23"/>
    <w:rsid w:val="000764E3"/>
    <w:rsid w:val="0007744E"/>
    <w:rsid w:val="00077882"/>
    <w:rsid w:val="00077A87"/>
    <w:rsid w:val="00080249"/>
    <w:rsid w:val="00080357"/>
    <w:rsid w:val="00080AEA"/>
    <w:rsid w:val="00081633"/>
    <w:rsid w:val="00081EC3"/>
    <w:rsid w:val="000823DA"/>
    <w:rsid w:val="00082CBB"/>
    <w:rsid w:val="00082CF2"/>
    <w:rsid w:val="000830D5"/>
    <w:rsid w:val="000833FB"/>
    <w:rsid w:val="00083E3C"/>
    <w:rsid w:val="00084A11"/>
    <w:rsid w:val="00084C5B"/>
    <w:rsid w:val="00084FE7"/>
    <w:rsid w:val="00085F60"/>
    <w:rsid w:val="00085F65"/>
    <w:rsid w:val="000868E3"/>
    <w:rsid w:val="00086BFA"/>
    <w:rsid w:val="0008733D"/>
    <w:rsid w:val="00090227"/>
    <w:rsid w:val="000906DF"/>
    <w:rsid w:val="00090720"/>
    <w:rsid w:val="00091707"/>
    <w:rsid w:val="000919DF"/>
    <w:rsid w:val="000922C5"/>
    <w:rsid w:val="000924E3"/>
    <w:rsid w:val="00092817"/>
    <w:rsid w:val="000929D9"/>
    <w:rsid w:val="00092F32"/>
    <w:rsid w:val="00093055"/>
    <w:rsid w:val="0009344A"/>
    <w:rsid w:val="0009454E"/>
    <w:rsid w:val="00094AFA"/>
    <w:rsid w:val="00094ED2"/>
    <w:rsid w:val="00095575"/>
    <w:rsid w:val="0009575D"/>
    <w:rsid w:val="0009719E"/>
    <w:rsid w:val="000973C5"/>
    <w:rsid w:val="000A0445"/>
    <w:rsid w:val="000A0EF3"/>
    <w:rsid w:val="000A1126"/>
    <w:rsid w:val="000A16DB"/>
    <w:rsid w:val="000A1AC9"/>
    <w:rsid w:val="000A1E84"/>
    <w:rsid w:val="000A2085"/>
    <w:rsid w:val="000A254B"/>
    <w:rsid w:val="000A3276"/>
    <w:rsid w:val="000A3E84"/>
    <w:rsid w:val="000A4138"/>
    <w:rsid w:val="000A4DDD"/>
    <w:rsid w:val="000A575F"/>
    <w:rsid w:val="000A584B"/>
    <w:rsid w:val="000A5B0F"/>
    <w:rsid w:val="000A62C0"/>
    <w:rsid w:val="000A650D"/>
    <w:rsid w:val="000A6C50"/>
    <w:rsid w:val="000A7A76"/>
    <w:rsid w:val="000A7DBA"/>
    <w:rsid w:val="000B0004"/>
    <w:rsid w:val="000B040F"/>
    <w:rsid w:val="000B150D"/>
    <w:rsid w:val="000B25FC"/>
    <w:rsid w:val="000B276D"/>
    <w:rsid w:val="000B2A22"/>
    <w:rsid w:val="000B2EF7"/>
    <w:rsid w:val="000B478D"/>
    <w:rsid w:val="000B4DAF"/>
    <w:rsid w:val="000B4EAA"/>
    <w:rsid w:val="000B50C3"/>
    <w:rsid w:val="000B64A7"/>
    <w:rsid w:val="000B6581"/>
    <w:rsid w:val="000B6B28"/>
    <w:rsid w:val="000C0092"/>
    <w:rsid w:val="000C0149"/>
    <w:rsid w:val="000C04CF"/>
    <w:rsid w:val="000C09A7"/>
    <w:rsid w:val="000C1094"/>
    <w:rsid w:val="000C1B5A"/>
    <w:rsid w:val="000C1D57"/>
    <w:rsid w:val="000C281D"/>
    <w:rsid w:val="000C376B"/>
    <w:rsid w:val="000C4902"/>
    <w:rsid w:val="000C6615"/>
    <w:rsid w:val="000C6FFD"/>
    <w:rsid w:val="000D069C"/>
    <w:rsid w:val="000D10DB"/>
    <w:rsid w:val="000D1FC7"/>
    <w:rsid w:val="000D3921"/>
    <w:rsid w:val="000D3B27"/>
    <w:rsid w:val="000D5691"/>
    <w:rsid w:val="000D6328"/>
    <w:rsid w:val="000D641D"/>
    <w:rsid w:val="000D6817"/>
    <w:rsid w:val="000D68F4"/>
    <w:rsid w:val="000D6EEF"/>
    <w:rsid w:val="000E0F8F"/>
    <w:rsid w:val="000E1356"/>
    <w:rsid w:val="000E2468"/>
    <w:rsid w:val="000E2AD7"/>
    <w:rsid w:val="000E2BD0"/>
    <w:rsid w:val="000E3937"/>
    <w:rsid w:val="000E44C7"/>
    <w:rsid w:val="000E56C3"/>
    <w:rsid w:val="000E69B3"/>
    <w:rsid w:val="000E6C43"/>
    <w:rsid w:val="000E6EDD"/>
    <w:rsid w:val="000E7140"/>
    <w:rsid w:val="000E7636"/>
    <w:rsid w:val="000E7B4D"/>
    <w:rsid w:val="000E7ED0"/>
    <w:rsid w:val="000E7F69"/>
    <w:rsid w:val="000F030F"/>
    <w:rsid w:val="000F0A25"/>
    <w:rsid w:val="000F0E52"/>
    <w:rsid w:val="000F0EEC"/>
    <w:rsid w:val="000F1E39"/>
    <w:rsid w:val="000F214A"/>
    <w:rsid w:val="000F2A83"/>
    <w:rsid w:val="000F4547"/>
    <w:rsid w:val="000F4C8A"/>
    <w:rsid w:val="000F4D36"/>
    <w:rsid w:val="000F5B71"/>
    <w:rsid w:val="000F5C19"/>
    <w:rsid w:val="000F7409"/>
    <w:rsid w:val="00101553"/>
    <w:rsid w:val="00102348"/>
    <w:rsid w:val="001024E3"/>
    <w:rsid w:val="001025B1"/>
    <w:rsid w:val="00103174"/>
    <w:rsid w:val="001032AB"/>
    <w:rsid w:val="00103526"/>
    <w:rsid w:val="0010484D"/>
    <w:rsid w:val="00104889"/>
    <w:rsid w:val="00104896"/>
    <w:rsid w:val="00104C50"/>
    <w:rsid w:val="00105433"/>
    <w:rsid w:val="001063FA"/>
    <w:rsid w:val="001067A5"/>
    <w:rsid w:val="00106990"/>
    <w:rsid w:val="00107414"/>
    <w:rsid w:val="00107A02"/>
    <w:rsid w:val="00110360"/>
    <w:rsid w:val="00111F1D"/>
    <w:rsid w:val="00112617"/>
    <w:rsid w:val="001126EB"/>
    <w:rsid w:val="00113149"/>
    <w:rsid w:val="00113CE8"/>
    <w:rsid w:val="00114527"/>
    <w:rsid w:val="00114D96"/>
    <w:rsid w:val="00115009"/>
    <w:rsid w:val="00116FBD"/>
    <w:rsid w:val="00122481"/>
    <w:rsid w:val="00123ECD"/>
    <w:rsid w:val="00125D3B"/>
    <w:rsid w:val="001267FB"/>
    <w:rsid w:val="00127A93"/>
    <w:rsid w:val="00130A27"/>
    <w:rsid w:val="00130DE9"/>
    <w:rsid w:val="00130E12"/>
    <w:rsid w:val="00131042"/>
    <w:rsid w:val="0013104F"/>
    <w:rsid w:val="00131239"/>
    <w:rsid w:val="0013178F"/>
    <w:rsid w:val="00131B01"/>
    <w:rsid w:val="00133465"/>
    <w:rsid w:val="0013403C"/>
    <w:rsid w:val="00134B21"/>
    <w:rsid w:val="00134FF0"/>
    <w:rsid w:val="001357AD"/>
    <w:rsid w:val="001365B6"/>
    <w:rsid w:val="001369FD"/>
    <w:rsid w:val="00137EBA"/>
    <w:rsid w:val="00137FBC"/>
    <w:rsid w:val="00140921"/>
    <w:rsid w:val="00141DEA"/>
    <w:rsid w:val="00142AE8"/>
    <w:rsid w:val="00143E4B"/>
    <w:rsid w:val="00143EB9"/>
    <w:rsid w:val="00144208"/>
    <w:rsid w:val="00145EDC"/>
    <w:rsid w:val="00147723"/>
    <w:rsid w:val="001503E0"/>
    <w:rsid w:val="00150DD0"/>
    <w:rsid w:val="00151AFC"/>
    <w:rsid w:val="00152085"/>
    <w:rsid w:val="00152829"/>
    <w:rsid w:val="001528F1"/>
    <w:rsid w:val="00152944"/>
    <w:rsid w:val="0015335C"/>
    <w:rsid w:val="00154179"/>
    <w:rsid w:val="00155010"/>
    <w:rsid w:val="00155F1D"/>
    <w:rsid w:val="00157341"/>
    <w:rsid w:val="001577B2"/>
    <w:rsid w:val="00157A9F"/>
    <w:rsid w:val="001600A4"/>
    <w:rsid w:val="0016108B"/>
    <w:rsid w:val="00161150"/>
    <w:rsid w:val="00161160"/>
    <w:rsid w:val="0016186F"/>
    <w:rsid w:val="00162AAD"/>
    <w:rsid w:val="00162CEF"/>
    <w:rsid w:val="001638DF"/>
    <w:rsid w:val="0016440B"/>
    <w:rsid w:val="001644FC"/>
    <w:rsid w:val="0016465A"/>
    <w:rsid w:val="00166F26"/>
    <w:rsid w:val="00167A34"/>
    <w:rsid w:val="0017088C"/>
    <w:rsid w:val="00170952"/>
    <w:rsid w:val="00170976"/>
    <w:rsid w:val="001710D1"/>
    <w:rsid w:val="00171725"/>
    <w:rsid w:val="001733D5"/>
    <w:rsid w:val="0017348C"/>
    <w:rsid w:val="001739DA"/>
    <w:rsid w:val="001739F5"/>
    <w:rsid w:val="001741DD"/>
    <w:rsid w:val="001747B4"/>
    <w:rsid w:val="00174911"/>
    <w:rsid w:val="00174F72"/>
    <w:rsid w:val="00175827"/>
    <w:rsid w:val="00175FF7"/>
    <w:rsid w:val="0017635E"/>
    <w:rsid w:val="0017642E"/>
    <w:rsid w:val="0018037F"/>
    <w:rsid w:val="001805B4"/>
    <w:rsid w:val="00180A28"/>
    <w:rsid w:val="00180D3C"/>
    <w:rsid w:val="00180E3B"/>
    <w:rsid w:val="001810E2"/>
    <w:rsid w:val="00181186"/>
    <w:rsid w:val="001819A8"/>
    <w:rsid w:val="00181B73"/>
    <w:rsid w:val="00182F27"/>
    <w:rsid w:val="00182FB6"/>
    <w:rsid w:val="00184083"/>
    <w:rsid w:val="00184BFA"/>
    <w:rsid w:val="00184C6F"/>
    <w:rsid w:val="00185654"/>
    <w:rsid w:val="00187268"/>
    <w:rsid w:val="00187CED"/>
    <w:rsid w:val="00190214"/>
    <w:rsid w:val="001917D9"/>
    <w:rsid w:val="00191F07"/>
    <w:rsid w:val="0019332D"/>
    <w:rsid w:val="001937A5"/>
    <w:rsid w:val="00195976"/>
    <w:rsid w:val="001965CC"/>
    <w:rsid w:val="0019748D"/>
    <w:rsid w:val="001A0225"/>
    <w:rsid w:val="001A1776"/>
    <w:rsid w:val="001A2434"/>
    <w:rsid w:val="001A3A62"/>
    <w:rsid w:val="001A5F27"/>
    <w:rsid w:val="001A6423"/>
    <w:rsid w:val="001A64EB"/>
    <w:rsid w:val="001A67D1"/>
    <w:rsid w:val="001A7439"/>
    <w:rsid w:val="001A76CF"/>
    <w:rsid w:val="001A7870"/>
    <w:rsid w:val="001A7EDC"/>
    <w:rsid w:val="001B17B9"/>
    <w:rsid w:val="001B3279"/>
    <w:rsid w:val="001B4974"/>
    <w:rsid w:val="001B56BC"/>
    <w:rsid w:val="001B5F45"/>
    <w:rsid w:val="001B71B2"/>
    <w:rsid w:val="001B7BA1"/>
    <w:rsid w:val="001C04BF"/>
    <w:rsid w:val="001C15B8"/>
    <w:rsid w:val="001C1B41"/>
    <w:rsid w:val="001C2003"/>
    <w:rsid w:val="001C2173"/>
    <w:rsid w:val="001C3032"/>
    <w:rsid w:val="001C38BC"/>
    <w:rsid w:val="001C3B2D"/>
    <w:rsid w:val="001C4006"/>
    <w:rsid w:val="001C48AF"/>
    <w:rsid w:val="001C4E97"/>
    <w:rsid w:val="001C5228"/>
    <w:rsid w:val="001C6025"/>
    <w:rsid w:val="001C679E"/>
    <w:rsid w:val="001C68E7"/>
    <w:rsid w:val="001C6E0E"/>
    <w:rsid w:val="001C6F52"/>
    <w:rsid w:val="001D1343"/>
    <w:rsid w:val="001D1A17"/>
    <w:rsid w:val="001D1FC1"/>
    <w:rsid w:val="001D2946"/>
    <w:rsid w:val="001D328C"/>
    <w:rsid w:val="001D34E9"/>
    <w:rsid w:val="001D41FC"/>
    <w:rsid w:val="001D4913"/>
    <w:rsid w:val="001D4D75"/>
    <w:rsid w:val="001D59B1"/>
    <w:rsid w:val="001D5E5E"/>
    <w:rsid w:val="001D7B45"/>
    <w:rsid w:val="001E0270"/>
    <w:rsid w:val="001E10CA"/>
    <w:rsid w:val="001E2867"/>
    <w:rsid w:val="001E3060"/>
    <w:rsid w:val="001E3F3E"/>
    <w:rsid w:val="001E477E"/>
    <w:rsid w:val="001E4D7D"/>
    <w:rsid w:val="001E52D7"/>
    <w:rsid w:val="001E53FB"/>
    <w:rsid w:val="001E555D"/>
    <w:rsid w:val="001E5A1A"/>
    <w:rsid w:val="001E5F04"/>
    <w:rsid w:val="001E699E"/>
    <w:rsid w:val="001E6A1A"/>
    <w:rsid w:val="001E6C37"/>
    <w:rsid w:val="001F0014"/>
    <w:rsid w:val="001F0B72"/>
    <w:rsid w:val="001F3B00"/>
    <w:rsid w:val="001F3CD7"/>
    <w:rsid w:val="001F3D15"/>
    <w:rsid w:val="001F4294"/>
    <w:rsid w:val="001F62D9"/>
    <w:rsid w:val="001F76BD"/>
    <w:rsid w:val="001F79C0"/>
    <w:rsid w:val="00200BBE"/>
    <w:rsid w:val="0020134D"/>
    <w:rsid w:val="00201F31"/>
    <w:rsid w:val="002027D1"/>
    <w:rsid w:val="00202A19"/>
    <w:rsid w:val="00203307"/>
    <w:rsid w:val="00203653"/>
    <w:rsid w:val="00203841"/>
    <w:rsid w:val="00204924"/>
    <w:rsid w:val="00204DFD"/>
    <w:rsid w:val="002056C8"/>
    <w:rsid w:val="0020667C"/>
    <w:rsid w:val="00207544"/>
    <w:rsid w:val="002102CB"/>
    <w:rsid w:val="0021055A"/>
    <w:rsid w:val="00210E0E"/>
    <w:rsid w:val="00211A8A"/>
    <w:rsid w:val="00212CAA"/>
    <w:rsid w:val="00213A2F"/>
    <w:rsid w:val="0021591D"/>
    <w:rsid w:val="00215CE2"/>
    <w:rsid w:val="002170B5"/>
    <w:rsid w:val="00217D6A"/>
    <w:rsid w:val="00217FF0"/>
    <w:rsid w:val="00220055"/>
    <w:rsid w:val="0022169F"/>
    <w:rsid w:val="00222050"/>
    <w:rsid w:val="002226AA"/>
    <w:rsid w:val="0022310C"/>
    <w:rsid w:val="00223245"/>
    <w:rsid w:val="002240FB"/>
    <w:rsid w:val="00225375"/>
    <w:rsid w:val="002256AE"/>
    <w:rsid w:val="002277C3"/>
    <w:rsid w:val="00227BDB"/>
    <w:rsid w:val="0023061B"/>
    <w:rsid w:val="00231CD1"/>
    <w:rsid w:val="002351E7"/>
    <w:rsid w:val="00236FA5"/>
    <w:rsid w:val="0024070A"/>
    <w:rsid w:val="00241361"/>
    <w:rsid w:val="00241B9E"/>
    <w:rsid w:val="0024247E"/>
    <w:rsid w:val="0024379B"/>
    <w:rsid w:val="00244726"/>
    <w:rsid w:val="002449BB"/>
    <w:rsid w:val="00245446"/>
    <w:rsid w:val="00246E7D"/>
    <w:rsid w:val="00247019"/>
    <w:rsid w:val="002470B2"/>
    <w:rsid w:val="0024722E"/>
    <w:rsid w:val="00247403"/>
    <w:rsid w:val="00247542"/>
    <w:rsid w:val="00247592"/>
    <w:rsid w:val="00250662"/>
    <w:rsid w:val="00250B61"/>
    <w:rsid w:val="00250F0E"/>
    <w:rsid w:val="00250F42"/>
    <w:rsid w:val="00252C93"/>
    <w:rsid w:val="00252FB1"/>
    <w:rsid w:val="00253096"/>
    <w:rsid w:val="00253F1B"/>
    <w:rsid w:val="00255140"/>
    <w:rsid w:val="002552DF"/>
    <w:rsid w:val="0025532E"/>
    <w:rsid w:val="00255475"/>
    <w:rsid w:val="00255759"/>
    <w:rsid w:val="00256677"/>
    <w:rsid w:val="00256813"/>
    <w:rsid w:val="00256D45"/>
    <w:rsid w:val="00257614"/>
    <w:rsid w:val="00257893"/>
    <w:rsid w:val="0026109F"/>
    <w:rsid w:val="0026154C"/>
    <w:rsid w:val="002626A2"/>
    <w:rsid w:val="002626F5"/>
    <w:rsid w:val="00262CC1"/>
    <w:rsid w:val="00262ECA"/>
    <w:rsid w:val="00263B2B"/>
    <w:rsid w:val="00264033"/>
    <w:rsid w:val="00264225"/>
    <w:rsid w:val="00264870"/>
    <w:rsid w:val="00264944"/>
    <w:rsid w:val="00266092"/>
    <w:rsid w:val="002669F0"/>
    <w:rsid w:val="00266B61"/>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3645"/>
    <w:rsid w:val="00273817"/>
    <w:rsid w:val="00274F86"/>
    <w:rsid w:val="00275FC9"/>
    <w:rsid w:val="00276C31"/>
    <w:rsid w:val="0028111A"/>
    <w:rsid w:val="00281514"/>
    <w:rsid w:val="00283851"/>
    <w:rsid w:val="00283909"/>
    <w:rsid w:val="00284E33"/>
    <w:rsid w:val="00284E86"/>
    <w:rsid w:val="002869C6"/>
    <w:rsid w:val="00287642"/>
    <w:rsid w:val="00287680"/>
    <w:rsid w:val="00290094"/>
    <w:rsid w:val="00291C7D"/>
    <w:rsid w:val="00291D28"/>
    <w:rsid w:val="00292239"/>
    <w:rsid w:val="00292CEC"/>
    <w:rsid w:val="00292E86"/>
    <w:rsid w:val="0029397E"/>
    <w:rsid w:val="00293AEB"/>
    <w:rsid w:val="00293B75"/>
    <w:rsid w:val="0029466E"/>
    <w:rsid w:val="00294727"/>
    <w:rsid w:val="00294B4A"/>
    <w:rsid w:val="00294FA9"/>
    <w:rsid w:val="0029518F"/>
    <w:rsid w:val="0029615A"/>
    <w:rsid w:val="002963E4"/>
    <w:rsid w:val="0029715B"/>
    <w:rsid w:val="00297288"/>
    <w:rsid w:val="002972C2"/>
    <w:rsid w:val="0029754B"/>
    <w:rsid w:val="00297D44"/>
    <w:rsid w:val="002A00C2"/>
    <w:rsid w:val="002A036F"/>
    <w:rsid w:val="002A05B1"/>
    <w:rsid w:val="002A1C6E"/>
    <w:rsid w:val="002A1D6A"/>
    <w:rsid w:val="002A24D4"/>
    <w:rsid w:val="002A2720"/>
    <w:rsid w:val="002A2E09"/>
    <w:rsid w:val="002A3CD5"/>
    <w:rsid w:val="002A50B1"/>
    <w:rsid w:val="002A5BB1"/>
    <w:rsid w:val="002A733A"/>
    <w:rsid w:val="002A7A01"/>
    <w:rsid w:val="002B008D"/>
    <w:rsid w:val="002B01A2"/>
    <w:rsid w:val="002B0BE7"/>
    <w:rsid w:val="002B110C"/>
    <w:rsid w:val="002B1184"/>
    <w:rsid w:val="002B2AB5"/>
    <w:rsid w:val="002B30E6"/>
    <w:rsid w:val="002B3275"/>
    <w:rsid w:val="002B3E05"/>
    <w:rsid w:val="002B4B61"/>
    <w:rsid w:val="002B5F8A"/>
    <w:rsid w:val="002C10D7"/>
    <w:rsid w:val="002C1641"/>
    <w:rsid w:val="002C1EB3"/>
    <w:rsid w:val="002C3312"/>
    <w:rsid w:val="002C3671"/>
    <w:rsid w:val="002C3D66"/>
    <w:rsid w:val="002C4070"/>
    <w:rsid w:val="002C58D2"/>
    <w:rsid w:val="002C5A89"/>
    <w:rsid w:val="002C5EC4"/>
    <w:rsid w:val="002C6169"/>
    <w:rsid w:val="002D033F"/>
    <w:rsid w:val="002D0ED4"/>
    <w:rsid w:val="002D1C82"/>
    <w:rsid w:val="002D45C2"/>
    <w:rsid w:val="002D4CA0"/>
    <w:rsid w:val="002D51E2"/>
    <w:rsid w:val="002D52BE"/>
    <w:rsid w:val="002D628F"/>
    <w:rsid w:val="002D6C75"/>
    <w:rsid w:val="002D6E69"/>
    <w:rsid w:val="002D7DC4"/>
    <w:rsid w:val="002D7EA2"/>
    <w:rsid w:val="002E03A4"/>
    <w:rsid w:val="002E10DC"/>
    <w:rsid w:val="002E15DF"/>
    <w:rsid w:val="002E187C"/>
    <w:rsid w:val="002E18E3"/>
    <w:rsid w:val="002E1CDE"/>
    <w:rsid w:val="002E21F2"/>
    <w:rsid w:val="002E2451"/>
    <w:rsid w:val="002E299B"/>
    <w:rsid w:val="002E349E"/>
    <w:rsid w:val="002E35D7"/>
    <w:rsid w:val="002E3C15"/>
    <w:rsid w:val="002E432F"/>
    <w:rsid w:val="002E4F78"/>
    <w:rsid w:val="002E61E7"/>
    <w:rsid w:val="002E6267"/>
    <w:rsid w:val="002E6465"/>
    <w:rsid w:val="002E6E57"/>
    <w:rsid w:val="002E755E"/>
    <w:rsid w:val="002E78C1"/>
    <w:rsid w:val="002E7E79"/>
    <w:rsid w:val="002F097A"/>
    <w:rsid w:val="002F0CB4"/>
    <w:rsid w:val="002F15EA"/>
    <w:rsid w:val="002F17C9"/>
    <w:rsid w:val="002F1B00"/>
    <w:rsid w:val="002F1D34"/>
    <w:rsid w:val="002F2D41"/>
    <w:rsid w:val="002F2E1F"/>
    <w:rsid w:val="002F3202"/>
    <w:rsid w:val="002F3554"/>
    <w:rsid w:val="002F3598"/>
    <w:rsid w:val="002F35CB"/>
    <w:rsid w:val="002F3D27"/>
    <w:rsid w:val="002F414B"/>
    <w:rsid w:val="002F443F"/>
    <w:rsid w:val="002F4DB7"/>
    <w:rsid w:val="002F503E"/>
    <w:rsid w:val="002F5E45"/>
    <w:rsid w:val="002F6201"/>
    <w:rsid w:val="002F62A9"/>
    <w:rsid w:val="002F63D9"/>
    <w:rsid w:val="002F6C1E"/>
    <w:rsid w:val="002F6ECD"/>
    <w:rsid w:val="002F7284"/>
    <w:rsid w:val="002F7B0F"/>
    <w:rsid w:val="00301075"/>
    <w:rsid w:val="00301B3D"/>
    <w:rsid w:val="00301F71"/>
    <w:rsid w:val="00302733"/>
    <w:rsid w:val="00302E8A"/>
    <w:rsid w:val="00303707"/>
    <w:rsid w:val="00303B04"/>
    <w:rsid w:val="00303FAB"/>
    <w:rsid w:val="0030446B"/>
    <w:rsid w:val="00304EED"/>
    <w:rsid w:val="00305D93"/>
    <w:rsid w:val="0030600F"/>
    <w:rsid w:val="00306D2A"/>
    <w:rsid w:val="00307C53"/>
    <w:rsid w:val="00307C8D"/>
    <w:rsid w:val="00310042"/>
    <w:rsid w:val="003112C6"/>
    <w:rsid w:val="00311A4F"/>
    <w:rsid w:val="00312BD5"/>
    <w:rsid w:val="00313332"/>
    <w:rsid w:val="00314078"/>
    <w:rsid w:val="00314429"/>
    <w:rsid w:val="00315905"/>
    <w:rsid w:val="00316559"/>
    <w:rsid w:val="0031724D"/>
    <w:rsid w:val="00317255"/>
    <w:rsid w:val="00317E8A"/>
    <w:rsid w:val="00317FFC"/>
    <w:rsid w:val="00320402"/>
    <w:rsid w:val="00320A64"/>
    <w:rsid w:val="00321A96"/>
    <w:rsid w:val="00322398"/>
    <w:rsid w:val="00322450"/>
    <w:rsid w:val="003241CF"/>
    <w:rsid w:val="003245A7"/>
    <w:rsid w:val="003246B5"/>
    <w:rsid w:val="003249CF"/>
    <w:rsid w:val="003265BE"/>
    <w:rsid w:val="003267B5"/>
    <w:rsid w:val="00326FBD"/>
    <w:rsid w:val="00327501"/>
    <w:rsid w:val="00330196"/>
    <w:rsid w:val="00330B23"/>
    <w:rsid w:val="00330E0E"/>
    <w:rsid w:val="0033161A"/>
    <w:rsid w:val="00331687"/>
    <w:rsid w:val="0033169F"/>
    <w:rsid w:val="00332152"/>
    <w:rsid w:val="003330D2"/>
    <w:rsid w:val="00336085"/>
    <w:rsid w:val="0033706A"/>
    <w:rsid w:val="00337546"/>
    <w:rsid w:val="003378E0"/>
    <w:rsid w:val="00337961"/>
    <w:rsid w:val="00337C43"/>
    <w:rsid w:val="003407E0"/>
    <w:rsid w:val="00340A95"/>
    <w:rsid w:val="003410A6"/>
    <w:rsid w:val="003414AC"/>
    <w:rsid w:val="003414E6"/>
    <w:rsid w:val="00342070"/>
    <w:rsid w:val="00342AF4"/>
    <w:rsid w:val="0034357F"/>
    <w:rsid w:val="003447BB"/>
    <w:rsid w:val="00344B38"/>
    <w:rsid w:val="003464A2"/>
    <w:rsid w:val="00346770"/>
    <w:rsid w:val="00346D16"/>
    <w:rsid w:val="00347742"/>
    <w:rsid w:val="0034794C"/>
    <w:rsid w:val="00347AF6"/>
    <w:rsid w:val="00350BB3"/>
    <w:rsid w:val="003520F3"/>
    <w:rsid w:val="0035485A"/>
    <w:rsid w:val="00355779"/>
    <w:rsid w:val="00356185"/>
    <w:rsid w:val="00356F61"/>
    <w:rsid w:val="00357206"/>
    <w:rsid w:val="0035777A"/>
    <w:rsid w:val="00357C4D"/>
    <w:rsid w:val="00357D78"/>
    <w:rsid w:val="00360380"/>
    <w:rsid w:val="0036137D"/>
    <w:rsid w:val="00361744"/>
    <w:rsid w:val="00361EB7"/>
    <w:rsid w:val="003627DA"/>
    <w:rsid w:val="00362FE0"/>
    <w:rsid w:val="0036346A"/>
    <w:rsid w:val="00363E52"/>
    <w:rsid w:val="00365545"/>
    <w:rsid w:val="00365D52"/>
    <w:rsid w:val="00366182"/>
    <w:rsid w:val="00366924"/>
    <w:rsid w:val="00366DBE"/>
    <w:rsid w:val="00366FA7"/>
    <w:rsid w:val="00367444"/>
    <w:rsid w:val="003675B8"/>
    <w:rsid w:val="00370DD4"/>
    <w:rsid w:val="003712A0"/>
    <w:rsid w:val="003712A7"/>
    <w:rsid w:val="00371814"/>
    <w:rsid w:val="00371EFD"/>
    <w:rsid w:val="003726A4"/>
    <w:rsid w:val="00372C5E"/>
    <w:rsid w:val="00372F8E"/>
    <w:rsid w:val="00373790"/>
    <w:rsid w:val="003741EF"/>
    <w:rsid w:val="003745F9"/>
    <w:rsid w:val="00374940"/>
    <w:rsid w:val="00374E0B"/>
    <w:rsid w:val="003750C8"/>
    <w:rsid w:val="003759D2"/>
    <w:rsid w:val="00376244"/>
    <w:rsid w:val="003763A9"/>
    <w:rsid w:val="00377AD8"/>
    <w:rsid w:val="00377B5D"/>
    <w:rsid w:val="00380645"/>
    <w:rsid w:val="00380A1D"/>
    <w:rsid w:val="00380B68"/>
    <w:rsid w:val="00380ECB"/>
    <w:rsid w:val="00380ECF"/>
    <w:rsid w:val="0038209A"/>
    <w:rsid w:val="00382403"/>
    <w:rsid w:val="00382598"/>
    <w:rsid w:val="00382B98"/>
    <w:rsid w:val="00382CE7"/>
    <w:rsid w:val="0038330F"/>
    <w:rsid w:val="00384072"/>
    <w:rsid w:val="0038421B"/>
    <w:rsid w:val="00385B08"/>
    <w:rsid w:val="00386CF0"/>
    <w:rsid w:val="00386FEA"/>
    <w:rsid w:val="00387480"/>
    <w:rsid w:val="003902B2"/>
    <w:rsid w:val="0039046B"/>
    <w:rsid w:val="0039061F"/>
    <w:rsid w:val="00390A8A"/>
    <w:rsid w:val="00390D19"/>
    <w:rsid w:val="00391879"/>
    <w:rsid w:val="00391CD8"/>
    <w:rsid w:val="00392C2B"/>
    <w:rsid w:val="00392FEA"/>
    <w:rsid w:val="00393C8E"/>
    <w:rsid w:val="00394608"/>
    <w:rsid w:val="0039471C"/>
    <w:rsid w:val="00394A5D"/>
    <w:rsid w:val="003954CE"/>
    <w:rsid w:val="00396106"/>
    <w:rsid w:val="003964BF"/>
    <w:rsid w:val="00397B1B"/>
    <w:rsid w:val="003A187E"/>
    <w:rsid w:val="003A1AE3"/>
    <w:rsid w:val="003A27F4"/>
    <w:rsid w:val="003A2DC1"/>
    <w:rsid w:val="003A3C43"/>
    <w:rsid w:val="003A4790"/>
    <w:rsid w:val="003A485E"/>
    <w:rsid w:val="003A4B42"/>
    <w:rsid w:val="003A527A"/>
    <w:rsid w:val="003A542A"/>
    <w:rsid w:val="003A6019"/>
    <w:rsid w:val="003A632E"/>
    <w:rsid w:val="003A71F1"/>
    <w:rsid w:val="003A7BFE"/>
    <w:rsid w:val="003B10C0"/>
    <w:rsid w:val="003B13EE"/>
    <w:rsid w:val="003B2C5F"/>
    <w:rsid w:val="003B2C86"/>
    <w:rsid w:val="003B349D"/>
    <w:rsid w:val="003B3E94"/>
    <w:rsid w:val="003B5C8C"/>
    <w:rsid w:val="003B63A0"/>
    <w:rsid w:val="003B640E"/>
    <w:rsid w:val="003B6423"/>
    <w:rsid w:val="003B6609"/>
    <w:rsid w:val="003B66DC"/>
    <w:rsid w:val="003B6950"/>
    <w:rsid w:val="003C1E38"/>
    <w:rsid w:val="003C32BC"/>
    <w:rsid w:val="003C3722"/>
    <w:rsid w:val="003C3A5E"/>
    <w:rsid w:val="003C3FC6"/>
    <w:rsid w:val="003C4BC0"/>
    <w:rsid w:val="003C54AD"/>
    <w:rsid w:val="003C6480"/>
    <w:rsid w:val="003C7061"/>
    <w:rsid w:val="003C71C3"/>
    <w:rsid w:val="003C7271"/>
    <w:rsid w:val="003D0A3F"/>
    <w:rsid w:val="003D0C05"/>
    <w:rsid w:val="003D0CF4"/>
    <w:rsid w:val="003D0D3E"/>
    <w:rsid w:val="003D1390"/>
    <w:rsid w:val="003D1B14"/>
    <w:rsid w:val="003D1E49"/>
    <w:rsid w:val="003D2871"/>
    <w:rsid w:val="003D28BB"/>
    <w:rsid w:val="003D2C7F"/>
    <w:rsid w:val="003D3435"/>
    <w:rsid w:val="003D3507"/>
    <w:rsid w:val="003D3CD4"/>
    <w:rsid w:val="003D3E1C"/>
    <w:rsid w:val="003D3F9A"/>
    <w:rsid w:val="003D40A7"/>
    <w:rsid w:val="003D4A67"/>
    <w:rsid w:val="003D5176"/>
    <w:rsid w:val="003D51A2"/>
    <w:rsid w:val="003D5A38"/>
    <w:rsid w:val="003D5CD7"/>
    <w:rsid w:val="003D5F18"/>
    <w:rsid w:val="003D640B"/>
    <w:rsid w:val="003D79BC"/>
    <w:rsid w:val="003E06A3"/>
    <w:rsid w:val="003E0852"/>
    <w:rsid w:val="003E0B07"/>
    <w:rsid w:val="003E1FEC"/>
    <w:rsid w:val="003E2564"/>
    <w:rsid w:val="003E366F"/>
    <w:rsid w:val="003E3DD2"/>
    <w:rsid w:val="003E427B"/>
    <w:rsid w:val="003E4D55"/>
    <w:rsid w:val="003E4D93"/>
    <w:rsid w:val="003E4E8A"/>
    <w:rsid w:val="003E520F"/>
    <w:rsid w:val="003E60B8"/>
    <w:rsid w:val="003E65E7"/>
    <w:rsid w:val="003E68BB"/>
    <w:rsid w:val="003E6FB6"/>
    <w:rsid w:val="003E70A6"/>
    <w:rsid w:val="003E70EF"/>
    <w:rsid w:val="003E7380"/>
    <w:rsid w:val="003F0153"/>
    <w:rsid w:val="003F03FA"/>
    <w:rsid w:val="003F0B2B"/>
    <w:rsid w:val="003F1230"/>
    <w:rsid w:val="003F1820"/>
    <w:rsid w:val="003F1BBF"/>
    <w:rsid w:val="003F2D46"/>
    <w:rsid w:val="003F6707"/>
    <w:rsid w:val="003F7001"/>
    <w:rsid w:val="003F7161"/>
    <w:rsid w:val="00400E6B"/>
    <w:rsid w:val="00400EA4"/>
    <w:rsid w:val="004010E9"/>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3B37"/>
    <w:rsid w:val="00413EE3"/>
    <w:rsid w:val="004142F6"/>
    <w:rsid w:val="004155D1"/>
    <w:rsid w:val="00415804"/>
    <w:rsid w:val="00415BAE"/>
    <w:rsid w:val="004165C2"/>
    <w:rsid w:val="00417263"/>
    <w:rsid w:val="00417356"/>
    <w:rsid w:val="0041797E"/>
    <w:rsid w:val="00417E33"/>
    <w:rsid w:val="00420FE2"/>
    <w:rsid w:val="00421ECF"/>
    <w:rsid w:val="0042334E"/>
    <w:rsid w:val="00423909"/>
    <w:rsid w:val="00423F33"/>
    <w:rsid w:val="00425BA4"/>
    <w:rsid w:val="0042692E"/>
    <w:rsid w:val="00426A93"/>
    <w:rsid w:val="00426DB7"/>
    <w:rsid w:val="00427406"/>
    <w:rsid w:val="00427487"/>
    <w:rsid w:val="0042749C"/>
    <w:rsid w:val="00427B63"/>
    <w:rsid w:val="00427C8F"/>
    <w:rsid w:val="00430146"/>
    <w:rsid w:val="00431C20"/>
    <w:rsid w:val="00432731"/>
    <w:rsid w:val="00433039"/>
    <w:rsid w:val="004332C3"/>
    <w:rsid w:val="00433505"/>
    <w:rsid w:val="004352C7"/>
    <w:rsid w:val="004368FD"/>
    <w:rsid w:val="00436C66"/>
    <w:rsid w:val="004413C0"/>
    <w:rsid w:val="00441954"/>
    <w:rsid w:val="00441D48"/>
    <w:rsid w:val="00443E6F"/>
    <w:rsid w:val="00444596"/>
    <w:rsid w:val="00445B43"/>
    <w:rsid w:val="00445C74"/>
    <w:rsid w:val="00446259"/>
    <w:rsid w:val="0044656D"/>
    <w:rsid w:val="00446F15"/>
    <w:rsid w:val="0044706E"/>
    <w:rsid w:val="00447468"/>
    <w:rsid w:val="00447B8F"/>
    <w:rsid w:val="00450A4A"/>
    <w:rsid w:val="00450C5A"/>
    <w:rsid w:val="00450D96"/>
    <w:rsid w:val="00451A25"/>
    <w:rsid w:val="00451B2C"/>
    <w:rsid w:val="00451E96"/>
    <w:rsid w:val="00452DAB"/>
    <w:rsid w:val="00453073"/>
    <w:rsid w:val="00453466"/>
    <w:rsid w:val="00453D04"/>
    <w:rsid w:val="00454492"/>
    <w:rsid w:val="0045481D"/>
    <w:rsid w:val="00455165"/>
    <w:rsid w:val="0045524E"/>
    <w:rsid w:val="00457228"/>
    <w:rsid w:val="00457B89"/>
    <w:rsid w:val="004600B9"/>
    <w:rsid w:val="00460177"/>
    <w:rsid w:val="0046041C"/>
    <w:rsid w:val="0046072C"/>
    <w:rsid w:val="00460C26"/>
    <w:rsid w:val="004613B3"/>
    <w:rsid w:val="0046208F"/>
    <w:rsid w:val="00462248"/>
    <w:rsid w:val="00462781"/>
    <w:rsid w:val="00462F9A"/>
    <w:rsid w:val="004630F5"/>
    <w:rsid w:val="004641C1"/>
    <w:rsid w:val="004642EF"/>
    <w:rsid w:val="0046487C"/>
    <w:rsid w:val="0046574C"/>
    <w:rsid w:val="004658D0"/>
    <w:rsid w:val="004660D1"/>
    <w:rsid w:val="0046622A"/>
    <w:rsid w:val="004666FB"/>
    <w:rsid w:val="00467542"/>
    <w:rsid w:val="00467B7E"/>
    <w:rsid w:val="00467CF1"/>
    <w:rsid w:val="0047006D"/>
    <w:rsid w:val="00471927"/>
    <w:rsid w:val="00471BC8"/>
    <w:rsid w:val="004730AF"/>
    <w:rsid w:val="00473463"/>
    <w:rsid w:val="00474D97"/>
    <w:rsid w:val="00476B10"/>
    <w:rsid w:val="00477BE3"/>
    <w:rsid w:val="00477C46"/>
    <w:rsid w:val="00477D29"/>
    <w:rsid w:val="0048119E"/>
    <w:rsid w:val="00481435"/>
    <w:rsid w:val="00481C1F"/>
    <w:rsid w:val="00482208"/>
    <w:rsid w:val="00482528"/>
    <w:rsid w:val="00482644"/>
    <w:rsid w:val="00483146"/>
    <w:rsid w:val="004831F1"/>
    <w:rsid w:val="00483697"/>
    <w:rsid w:val="00483974"/>
    <w:rsid w:val="00483B03"/>
    <w:rsid w:val="00483D9E"/>
    <w:rsid w:val="00484B2F"/>
    <w:rsid w:val="00484F80"/>
    <w:rsid w:val="004850C2"/>
    <w:rsid w:val="00486A15"/>
    <w:rsid w:val="00486D1F"/>
    <w:rsid w:val="0048701C"/>
    <w:rsid w:val="00487254"/>
    <w:rsid w:val="004907E1"/>
    <w:rsid w:val="00490BE7"/>
    <w:rsid w:val="00490C98"/>
    <w:rsid w:val="00490FC7"/>
    <w:rsid w:val="00493004"/>
    <w:rsid w:val="00493649"/>
    <w:rsid w:val="0049419D"/>
    <w:rsid w:val="00495029"/>
    <w:rsid w:val="00495396"/>
    <w:rsid w:val="00495CD7"/>
    <w:rsid w:val="004962B8"/>
    <w:rsid w:val="00496687"/>
    <w:rsid w:val="00496C69"/>
    <w:rsid w:val="00496DBC"/>
    <w:rsid w:val="0049749D"/>
    <w:rsid w:val="004977D3"/>
    <w:rsid w:val="00497D2C"/>
    <w:rsid w:val="00497D68"/>
    <w:rsid w:val="004A0977"/>
    <w:rsid w:val="004A17A5"/>
    <w:rsid w:val="004A1B66"/>
    <w:rsid w:val="004A1EEA"/>
    <w:rsid w:val="004A2B9D"/>
    <w:rsid w:val="004A37A5"/>
    <w:rsid w:val="004A3806"/>
    <w:rsid w:val="004A3DC4"/>
    <w:rsid w:val="004A4A3E"/>
    <w:rsid w:val="004A4DB0"/>
    <w:rsid w:val="004A514F"/>
    <w:rsid w:val="004A6DEF"/>
    <w:rsid w:val="004A7B58"/>
    <w:rsid w:val="004B0888"/>
    <w:rsid w:val="004B20D9"/>
    <w:rsid w:val="004B2762"/>
    <w:rsid w:val="004B2DE8"/>
    <w:rsid w:val="004B2FD3"/>
    <w:rsid w:val="004B388C"/>
    <w:rsid w:val="004B40A9"/>
    <w:rsid w:val="004B417A"/>
    <w:rsid w:val="004B45B7"/>
    <w:rsid w:val="004B4E6F"/>
    <w:rsid w:val="004B5A59"/>
    <w:rsid w:val="004B62CE"/>
    <w:rsid w:val="004B7EB6"/>
    <w:rsid w:val="004C0FE4"/>
    <w:rsid w:val="004C127B"/>
    <w:rsid w:val="004C17B4"/>
    <w:rsid w:val="004C28A6"/>
    <w:rsid w:val="004C3B13"/>
    <w:rsid w:val="004C4474"/>
    <w:rsid w:val="004C4A47"/>
    <w:rsid w:val="004C4B62"/>
    <w:rsid w:val="004C599D"/>
    <w:rsid w:val="004C5FC3"/>
    <w:rsid w:val="004C68B8"/>
    <w:rsid w:val="004C6FAC"/>
    <w:rsid w:val="004C7257"/>
    <w:rsid w:val="004C758F"/>
    <w:rsid w:val="004C77DC"/>
    <w:rsid w:val="004C7EE2"/>
    <w:rsid w:val="004D0229"/>
    <w:rsid w:val="004D37B1"/>
    <w:rsid w:val="004D4782"/>
    <w:rsid w:val="004D4A6A"/>
    <w:rsid w:val="004D4D1B"/>
    <w:rsid w:val="004D5088"/>
    <w:rsid w:val="004D6025"/>
    <w:rsid w:val="004D657F"/>
    <w:rsid w:val="004D72BC"/>
    <w:rsid w:val="004D78B4"/>
    <w:rsid w:val="004E2452"/>
    <w:rsid w:val="004E3A16"/>
    <w:rsid w:val="004E4761"/>
    <w:rsid w:val="004E6B90"/>
    <w:rsid w:val="004E6C9C"/>
    <w:rsid w:val="004E7FF7"/>
    <w:rsid w:val="004F04A5"/>
    <w:rsid w:val="004F0842"/>
    <w:rsid w:val="004F1137"/>
    <w:rsid w:val="004F15C4"/>
    <w:rsid w:val="004F16E8"/>
    <w:rsid w:val="004F1DAD"/>
    <w:rsid w:val="004F21CF"/>
    <w:rsid w:val="004F2694"/>
    <w:rsid w:val="004F2FC4"/>
    <w:rsid w:val="004F37CA"/>
    <w:rsid w:val="004F3905"/>
    <w:rsid w:val="004F441A"/>
    <w:rsid w:val="004F455B"/>
    <w:rsid w:val="004F4C1C"/>
    <w:rsid w:val="004F530D"/>
    <w:rsid w:val="004F5466"/>
    <w:rsid w:val="004F6949"/>
    <w:rsid w:val="004F69EA"/>
    <w:rsid w:val="004F69ED"/>
    <w:rsid w:val="004F73E5"/>
    <w:rsid w:val="004F7B27"/>
    <w:rsid w:val="005008C7"/>
    <w:rsid w:val="0050128F"/>
    <w:rsid w:val="00501399"/>
    <w:rsid w:val="00501DFB"/>
    <w:rsid w:val="005028FE"/>
    <w:rsid w:val="00502E35"/>
    <w:rsid w:val="00503C4C"/>
    <w:rsid w:val="0050536C"/>
    <w:rsid w:val="00505B63"/>
    <w:rsid w:val="005066A4"/>
    <w:rsid w:val="005068B0"/>
    <w:rsid w:val="00506C98"/>
    <w:rsid w:val="00507534"/>
    <w:rsid w:val="00507BC4"/>
    <w:rsid w:val="00510311"/>
    <w:rsid w:val="005128E4"/>
    <w:rsid w:val="00512A35"/>
    <w:rsid w:val="00513229"/>
    <w:rsid w:val="005134DB"/>
    <w:rsid w:val="005152B7"/>
    <w:rsid w:val="0051637B"/>
    <w:rsid w:val="00516BBE"/>
    <w:rsid w:val="00516C89"/>
    <w:rsid w:val="00521909"/>
    <w:rsid w:val="00521D9B"/>
    <w:rsid w:val="005223AF"/>
    <w:rsid w:val="00522E6E"/>
    <w:rsid w:val="00523977"/>
    <w:rsid w:val="0052411B"/>
    <w:rsid w:val="00524268"/>
    <w:rsid w:val="00524416"/>
    <w:rsid w:val="00524748"/>
    <w:rsid w:val="00525278"/>
    <w:rsid w:val="00525560"/>
    <w:rsid w:val="00525C32"/>
    <w:rsid w:val="00525F05"/>
    <w:rsid w:val="00526204"/>
    <w:rsid w:val="005267AC"/>
    <w:rsid w:val="00526B7D"/>
    <w:rsid w:val="00527461"/>
    <w:rsid w:val="00530295"/>
    <w:rsid w:val="00530B2B"/>
    <w:rsid w:val="00531008"/>
    <w:rsid w:val="0053187E"/>
    <w:rsid w:val="005325F6"/>
    <w:rsid w:val="00532F64"/>
    <w:rsid w:val="00533CF3"/>
    <w:rsid w:val="005343C0"/>
    <w:rsid w:val="005346E1"/>
    <w:rsid w:val="005348AB"/>
    <w:rsid w:val="00535135"/>
    <w:rsid w:val="005357A6"/>
    <w:rsid w:val="0053592E"/>
    <w:rsid w:val="00535FF9"/>
    <w:rsid w:val="005366E5"/>
    <w:rsid w:val="005367D0"/>
    <w:rsid w:val="00536848"/>
    <w:rsid w:val="00536B9E"/>
    <w:rsid w:val="00537F75"/>
    <w:rsid w:val="005401F2"/>
    <w:rsid w:val="00540AEC"/>
    <w:rsid w:val="0054113A"/>
    <w:rsid w:val="00541B01"/>
    <w:rsid w:val="005422EF"/>
    <w:rsid w:val="00542B4F"/>
    <w:rsid w:val="005430A6"/>
    <w:rsid w:val="0054316E"/>
    <w:rsid w:val="00543705"/>
    <w:rsid w:val="005439C3"/>
    <w:rsid w:val="00544278"/>
    <w:rsid w:val="00544C49"/>
    <w:rsid w:val="00544C80"/>
    <w:rsid w:val="0054561F"/>
    <w:rsid w:val="005456B2"/>
    <w:rsid w:val="0054591A"/>
    <w:rsid w:val="00547EB7"/>
    <w:rsid w:val="00550141"/>
    <w:rsid w:val="0055160C"/>
    <w:rsid w:val="00552FC3"/>
    <w:rsid w:val="005531BB"/>
    <w:rsid w:val="0055390F"/>
    <w:rsid w:val="00553EC6"/>
    <w:rsid w:val="00554AD7"/>
    <w:rsid w:val="00554BAB"/>
    <w:rsid w:val="005557F2"/>
    <w:rsid w:val="00555A6E"/>
    <w:rsid w:val="00555CD9"/>
    <w:rsid w:val="005570AF"/>
    <w:rsid w:val="00557C07"/>
    <w:rsid w:val="00561652"/>
    <w:rsid w:val="005627FD"/>
    <w:rsid w:val="00562E4A"/>
    <w:rsid w:val="005633E7"/>
    <w:rsid w:val="00563F04"/>
    <w:rsid w:val="005640EF"/>
    <w:rsid w:val="0056432A"/>
    <w:rsid w:val="00565B4B"/>
    <w:rsid w:val="00566E15"/>
    <w:rsid w:val="005706EF"/>
    <w:rsid w:val="00570AF2"/>
    <w:rsid w:val="00571247"/>
    <w:rsid w:val="00573E03"/>
    <w:rsid w:val="0057402A"/>
    <w:rsid w:val="00574148"/>
    <w:rsid w:val="005744A4"/>
    <w:rsid w:val="0057509A"/>
    <w:rsid w:val="005755D5"/>
    <w:rsid w:val="00575C82"/>
    <w:rsid w:val="005764DD"/>
    <w:rsid w:val="00576832"/>
    <w:rsid w:val="00576D19"/>
    <w:rsid w:val="005771D0"/>
    <w:rsid w:val="0058022B"/>
    <w:rsid w:val="00581ACD"/>
    <w:rsid w:val="00582750"/>
    <w:rsid w:val="00582E54"/>
    <w:rsid w:val="0058343A"/>
    <w:rsid w:val="005837C8"/>
    <w:rsid w:val="00584C28"/>
    <w:rsid w:val="00585DED"/>
    <w:rsid w:val="00586B77"/>
    <w:rsid w:val="00587964"/>
    <w:rsid w:val="00587D7B"/>
    <w:rsid w:val="005902A3"/>
    <w:rsid w:val="0059066D"/>
    <w:rsid w:val="00590BF3"/>
    <w:rsid w:val="00590C43"/>
    <w:rsid w:val="005910C0"/>
    <w:rsid w:val="005916E2"/>
    <w:rsid w:val="0059191A"/>
    <w:rsid w:val="00591B96"/>
    <w:rsid w:val="00591DEE"/>
    <w:rsid w:val="00591F60"/>
    <w:rsid w:val="005921FF"/>
    <w:rsid w:val="00592751"/>
    <w:rsid w:val="0059318E"/>
    <w:rsid w:val="005937E2"/>
    <w:rsid w:val="00594CE1"/>
    <w:rsid w:val="00596514"/>
    <w:rsid w:val="00596694"/>
    <w:rsid w:val="0059670F"/>
    <w:rsid w:val="00596ABE"/>
    <w:rsid w:val="00596AD3"/>
    <w:rsid w:val="00596F42"/>
    <w:rsid w:val="00597162"/>
    <w:rsid w:val="0059770B"/>
    <w:rsid w:val="00597C8A"/>
    <w:rsid w:val="00597E00"/>
    <w:rsid w:val="005A0410"/>
    <w:rsid w:val="005A20B8"/>
    <w:rsid w:val="005A2217"/>
    <w:rsid w:val="005A2E9B"/>
    <w:rsid w:val="005A482E"/>
    <w:rsid w:val="005A6205"/>
    <w:rsid w:val="005A6D0E"/>
    <w:rsid w:val="005A6E50"/>
    <w:rsid w:val="005A734E"/>
    <w:rsid w:val="005B0001"/>
    <w:rsid w:val="005B1D89"/>
    <w:rsid w:val="005B2164"/>
    <w:rsid w:val="005B222D"/>
    <w:rsid w:val="005B28A7"/>
    <w:rsid w:val="005B3DEC"/>
    <w:rsid w:val="005B3EF2"/>
    <w:rsid w:val="005B3F2B"/>
    <w:rsid w:val="005B4F9C"/>
    <w:rsid w:val="005B52B0"/>
    <w:rsid w:val="005B67DE"/>
    <w:rsid w:val="005B6806"/>
    <w:rsid w:val="005B68B6"/>
    <w:rsid w:val="005B711D"/>
    <w:rsid w:val="005B7BC5"/>
    <w:rsid w:val="005C00F9"/>
    <w:rsid w:val="005C05FA"/>
    <w:rsid w:val="005C0BC0"/>
    <w:rsid w:val="005C1326"/>
    <w:rsid w:val="005C164F"/>
    <w:rsid w:val="005C1853"/>
    <w:rsid w:val="005C1A8D"/>
    <w:rsid w:val="005C1D3C"/>
    <w:rsid w:val="005C1D8E"/>
    <w:rsid w:val="005C207A"/>
    <w:rsid w:val="005C232A"/>
    <w:rsid w:val="005C23BD"/>
    <w:rsid w:val="005C2BA2"/>
    <w:rsid w:val="005C2E02"/>
    <w:rsid w:val="005C3149"/>
    <w:rsid w:val="005C4011"/>
    <w:rsid w:val="005C4225"/>
    <w:rsid w:val="005C4AF4"/>
    <w:rsid w:val="005C5F93"/>
    <w:rsid w:val="005C63A0"/>
    <w:rsid w:val="005C6EDD"/>
    <w:rsid w:val="005C717C"/>
    <w:rsid w:val="005D0AC5"/>
    <w:rsid w:val="005D0FBF"/>
    <w:rsid w:val="005D1076"/>
    <w:rsid w:val="005D4283"/>
    <w:rsid w:val="005D50AD"/>
    <w:rsid w:val="005D55A5"/>
    <w:rsid w:val="005D5C54"/>
    <w:rsid w:val="005D5DED"/>
    <w:rsid w:val="005D6797"/>
    <w:rsid w:val="005D6891"/>
    <w:rsid w:val="005D6A03"/>
    <w:rsid w:val="005D6AC4"/>
    <w:rsid w:val="005D6B2C"/>
    <w:rsid w:val="005D7191"/>
    <w:rsid w:val="005D7280"/>
    <w:rsid w:val="005D7DFE"/>
    <w:rsid w:val="005E022B"/>
    <w:rsid w:val="005E09BC"/>
    <w:rsid w:val="005E1D4B"/>
    <w:rsid w:val="005E2BDE"/>
    <w:rsid w:val="005E435E"/>
    <w:rsid w:val="005E47EE"/>
    <w:rsid w:val="005E49AA"/>
    <w:rsid w:val="005E4A95"/>
    <w:rsid w:val="005E5196"/>
    <w:rsid w:val="005E5258"/>
    <w:rsid w:val="005E53DB"/>
    <w:rsid w:val="005E5419"/>
    <w:rsid w:val="005E68B0"/>
    <w:rsid w:val="005E6C0C"/>
    <w:rsid w:val="005E6EE3"/>
    <w:rsid w:val="005E74C5"/>
    <w:rsid w:val="005E7642"/>
    <w:rsid w:val="005E772D"/>
    <w:rsid w:val="005E7CF8"/>
    <w:rsid w:val="005F0F33"/>
    <w:rsid w:val="005F1405"/>
    <w:rsid w:val="005F1C54"/>
    <w:rsid w:val="005F2254"/>
    <w:rsid w:val="005F2A0D"/>
    <w:rsid w:val="005F32A0"/>
    <w:rsid w:val="005F3F11"/>
    <w:rsid w:val="005F46E6"/>
    <w:rsid w:val="005F5456"/>
    <w:rsid w:val="005F55DC"/>
    <w:rsid w:val="005F66C7"/>
    <w:rsid w:val="005F6935"/>
    <w:rsid w:val="005F724E"/>
    <w:rsid w:val="005F7459"/>
    <w:rsid w:val="005F7C35"/>
    <w:rsid w:val="0060040E"/>
    <w:rsid w:val="006005C1"/>
    <w:rsid w:val="00600A96"/>
    <w:rsid w:val="00600DEB"/>
    <w:rsid w:val="00600EE3"/>
    <w:rsid w:val="00602146"/>
    <w:rsid w:val="00602B9B"/>
    <w:rsid w:val="00603949"/>
    <w:rsid w:val="00603D6F"/>
    <w:rsid w:val="0060445F"/>
    <w:rsid w:val="00604B83"/>
    <w:rsid w:val="00605291"/>
    <w:rsid w:val="006059FA"/>
    <w:rsid w:val="0060786A"/>
    <w:rsid w:val="00607F83"/>
    <w:rsid w:val="00610874"/>
    <w:rsid w:val="006112EF"/>
    <w:rsid w:val="0061250B"/>
    <w:rsid w:val="00612D8E"/>
    <w:rsid w:val="00613027"/>
    <w:rsid w:val="006130E4"/>
    <w:rsid w:val="00613120"/>
    <w:rsid w:val="00613A08"/>
    <w:rsid w:val="0061412F"/>
    <w:rsid w:val="00614153"/>
    <w:rsid w:val="006145C8"/>
    <w:rsid w:val="00614AE8"/>
    <w:rsid w:val="00615073"/>
    <w:rsid w:val="0061546B"/>
    <w:rsid w:val="00616320"/>
    <w:rsid w:val="00617156"/>
    <w:rsid w:val="006206FF"/>
    <w:rsid w:val="00620A30"/>
    <w:rsid w:val="00620A65"/>
    <w:rsid w:val="00620B75"/>
    <w:rsid w:val="00621073"/>
    <w:rsid w:val="006225B7"/>
    <w:rsid w:val="00623324"/>
    <w:rsid w:val="006238CB"/>
    <w:rsid w:val="00624716"/>
    <w:rsid w:val="006247DB"/>
    <w:rsid w:val="00624E66"/>
    <w:rsid w:val="00625CC8"/>
    <w:rsid w:val="00626360"/>
    <w:rsid w:val="006263C9"/>
    <w:rsid w:val="006263CE"/>
    <w:rsid w:val="00626A1D"/>
    <w:rsid w:val="00626BBA"/>
    <w:rsid w:val="00627A51"/>
    <w:rsid w:val="00627AC3"/>
    <w:rsid w:val="00627C9F"/>
    <w:rsid w:val="006302E0"/>
    <w:rsid w:val="006307DF"/>
    <w:rsid w:val="00630B42"/>
    <w:rsid w:val="00630C75"/>
    <w:rsid w:val="00630F01"/>
    <w:rsid w:val="00630F7D"/>
    <w:rsid w:val="00631023"/>
    <w:rsid w:val="006311DA"/>
    <w:rsid w:val="006311E9"/>
    <w:rsid w:val="00631F5F"/>
    <w:rsid w:val="006322B9"/>
    <w:rsid w:val="00632354"/>
    <w:rsid w:val="00632429"/>
    <w:rsid w:val="00632BF2"/>
    <w:rsid w:val="00633261"/>
    <w:rsid w:val="006333B2"/>
    <w:rsid w:val="006354CD"/>
    <w:rsid w:val="00636406"/>
    <w:rsid w:val="00636E0C"/>
    <w:rsid w:val="00636F4A"/>
    <w:rsid w:val="00637539"/>
    <w:rsid w:val="00637B7B"/>
    <w:rsid w:val="00637E84"/>
    <w:rsid w:val="00640173"/>
    <w:rsid w:val="006418C1"/>
    <w:rsid w:val="006420B7"/>
    <w:rsid w:val="00642810"/>
    <w:rsid w:val="00643F66"/>
    <w:rsid w:val="00644643"/>
    <w:rsid w:val="00644689"/>
    <w:rsid w:val="00644E9E"/>
    <w:rsid w:val="006458AD"/>
    <w:rsid w:val="006468F2"/>
    <w:rsid w:val="0064708D"/>
    <w:rsid w:val="0064712F"/>
    <w:rsid w:val="0064793C"/>
    <w:rsid w:val="00647ECE"/>
    <w:rsid w:val="00650FA3"/>
    <w:rsid w:val="006516A4"/>
    <w:rsid w:val="006516FE"/>
    <w:rsid w:val="00651D1D"/>
    <w:rsid w:val="00652333"/>
    <w:rsid w:val="00653AC7"/>
    <w:rsid w:val="006549A4"/>
    <w:rsid w:val="00654F6F"/>
    <w:rsid w:val="00656085"/>
    <w:rsid w:val="00656FE7"/>
    <w:rsid w:val="0065765B"/>
    <w:rsid w:val="00657A39"/>
    <w:rsid w:val="006605AC"/>
    <w:rsid w:val="00662F5D"/>
    <w:rsid w:val="006634C1"/>
    <w:rsid w:val="00663571"/>
    <w:rsid w:val="006636C8"/>
    <w:rsid w:val="00664C08"/>
    <w:rsid w:val="00664DDE"/>
    <w:rsid w:val="00666536"/>
    <w:rsid w:val="00666AEF"/>
    <w:rsid w:val="00666F2F"/>
    <w:rsid w:val="00671ABB"/>
    <w:rsid w:val="00671CE4"/>
    <w:rsid w:val="0067329C"/>
    <w:rsid w:val="00673C1A"/>
    <w:rsid w:val="00674465"/>
    <w:rsid w:val="0067472A"/>
    <w:rsid w:val="00674E9F"/>
    <w:rsid w:val="0067655A"/>
    <w:rsid w:val="00677938"/>
    <w:rsid w:val="0068009E"/>
    <w:rsid w:val="006802A8"/>
    <w:rsid w:val="00683305"/>
    <w:rsid w:val="00684434"/>
    <w:rsid w:val="006847BC"/>
    <w:rsid w:val="006849BF"/>
    <w:rsid w:val="00685184"/>
    <w:rsid w:val="00687432"/>
    <w:rsid w:val="00687725"/>
    <w:rsid w:val="006901ED"/>
    <w:rsid w:val="00690423"/>
    <w:rsid w:val="006906BB"/>
    <w:rsid w:val="0069244C"/>
    <w:rsid w:val="00692996"/>
    <w:rsid w:val="00692A55"/>
    <w:rsid w:val="006938A1"/>
    <w:rsid w:val="0069578C"/>
    <w:rsid w:val="006972FB"/>
    <w:rsid w:val="006A0548"/>
    <w:rsid w:val="006A0E85"/>
    <w:rsid w:val="006A0F00"/>
    <w:rsid w:val="006A0F77"/>
    <w:rsid w:val="006A11FD"/>
    <w:rsid w:val="006A17D2"/>
    <w:rsid w:val="006A3B33"/>
    <w:rsid w:val="006A508B"/>
    <w:rsid w:val="006A538E"/>
    <w:rsid w:val="006A58D1"/>
    <w:rsid w:val="006A6E1A"/>
    <w:rsid w:val="006A70B4"/>
    <w:rsid w:val="006A72B7"/>
    <w:rsid w:val="006A7316"/>
    <w:rsid w:val="006A73E6"/>
    <w:rsid w:val="006A7408"/>
    <w:rsid w:val="006A7764"/>
    <w:rsid w:val="006B0169"/>
    <w:rsid w:val="006B057B"/>
    <w:rsid w:val="006B0699"/>
    <w:rsid w:val="006B130C"/>
    <w:rsid w:val="006B17B3"/>
    <w:rsid w:val="006B248C"/>
    <w:rsid w:val="006B2623"/>
    <w:rsid w:val="006B265D"/>
    <w:rsid w:val="006B295E"/>
    <w:rsid w:val="006B2D5C"/>
    <w:rsid w:val="006B3773"/>
    <w:rsid w:val="006B4324"/>
    <w:rsid w:val="006B544B"/>
    <w:rsid w:val="006B6D64"/>
    <w:rsid w:val="006B6FFA"/>
    <w:rsid w:val="006B7D73"/>
    <w:rsid w:val="006C03BC"/>
    <w:rsid w:val="006C0F5D"/>
    <w:rsid w:val="006C1815"/>
    <w:rsid w:val="006C2346"/>
    <w:rsid w:val="006C2B38"/>
    <w:rsid w:val="006C2EF1"/>
    <w:rsid w:val="006C32FE"/>
    <w:rsid w:val="006C379B"/>
    <w:rsid w:val="006C3D28"/>
    <w:rsid w:val="006C4233"/>
    <w:rsid w:val="006C4596"/>
    <w:rsid w:val="006C49B8"/>
    <w:rsid w:val="006C4EB1"/>
    <w:rsid w:val="006C588F"/>
    <w:rsid w:val="006C6E31"/>
    <w:rsid w:val="006C7E62"/>
    <w:rsid w:val="006D0195"/>
    <w:rsid w:val="006D01E3"/>
    <w:rsid w:val="006D0424"/>
    <w:rsid w:val="006D1A3C"/>
    <w:rsid w:val="006D27EC"/>
    <w:rsid w:val="006D2C28"/>
    <w:rsid w:val="006D2D13"/>
    <w:rsid w:val="006D48BB"/>
    <w:rsid w:val="006D5D5D"/>
    <w:rsid w:val="006D6E36"/>
    <w:rsid w:val="006D6E3A"/>
    <w:rsid w:val="006D7976"/>
    <w:rsid w:val="006E00AB"/>
    <w:rsid w:val="006E0166"/>
    <w:rsid w:val="006E07EB"/>
    <w:rsid w:val="006E1163"/>
    <w:rsid w:val="006E17B3"/>
    <w:rsid w:val="006E18B8"/>
    <w:rsid w:val="006E1DFC"/>
    <w:rsid w:val="006E2E1A"/>
    <w:rsid w:val="006E35A0"/>
    <w:rsid w:val="006E4B61"/>
    <w:rsid w:val="006E4CCE"/>
    <w:rsid w:val="006E5C58"/>
    <w:rsid w:val="006E6048"/>
    <w:rsid w:val="006E6612"/>
    <w:rsid w:val="006E67F6"/>
    <w:rsid w:val="006E6C78"/>
    <w:rsid w:val="006E6F1E"/>
    <w:rsid w:val="006E7B34"/>
    <w:rsid w:val="006E7EA4"/>
    <w:rsid w:val="006F157C"/>
    <w:rsid w:val="006F317C"/>
    <w:rsid w:val="006F3590"/>
    <w:rsid w:val="006F3597"/>
    <w:rsid w:val="006F374D"/>
    <w:rsid w:val="006F672E"/>
    <w:rsid w:val="006F732C"/>
    <w:rsid w:val="006F7488"/>
    <w:rsid w:val="006F77D9"/>
    <w:rsid w:val="0070045F"/>
    <w:rsid w:val="00700471"/>
    <w:rsid w:val="00700C65"/>
    <w:rsid w:val="00701610"/>
    <w:rsid w:val="00701B24"/>
    <w:rsid w:val="00702565"/>
    <w:rsid w:val="0070267B"/>
    <w:rsid w:val="00702A7C"/>
    <w:rsid w:val="00702CD7"/>
    <w:rsid w:val="00702DE6"/>
    <w:rsid w:val="00702EA5"/>
    <w:rsid w:val="00702F10"/>
    <w:rsid w:val="00703F90"/>
    <w:rsid w:val="0070404E"/>
    <w:rsid w:val="00704098"/>
    <w:rsid w:val="0070456C"/>
    <w:rsid w:val="0070603C"/>
    <w:rsid w:val="00706591"/>
    <w:rsid w:val="00706698"/>
    <w:rsid w:val="00706D7E"/>
    <w:rsid w:val="007070DC"/>
    <w:rsid w:val="00707116"/>
    <w:rsid w:val="007072EE"/>
    <w:rsid w:val="00707486"/>
    <w:rsid w:val="00707BAF"/>
    <w:rsid w:val="00707E8E"/>
    <w:rsid w:val="00710376"/>
    <w:rsid w:val="00710ED5"/>
    <w:rsid w:val="00711137"/>
    <w:rsid w:val="007135A3"/>
    <w:rsid w:val="007140C0"/>
    <w:rsid w:val="00715928"/>
    <w:rsid w:val="00716BEC"/>
    <w:rsid w:val="00716D62"/>
    <w:rsid w:val="00717B70"/>
    <w:rsid w:val="0072003B"/>
    <w:rsid w:val="00720169"/>
    <w:rsid w:val="0072130B"/>
    <w:rsid w:val="00722812"/>
    <w:rsid w:val="0072335A"/>
    <w:rsid w:val="007237C3"/>
    <w:rsid w:val="0072472F"/>
    <w:rsid w:val="007247E2"/>
    <w:rsid w:val="00724BC2"/>
    <w:rsid w:val="00724D5D"/>
    <w:rsid w:val="00726948"/>
    <w:rsid w:val="007278E3"/>
    <w:rsid w:val="00727D80"/>
    <w:rsid w:val="00730731"/>
    <w:rsid w:val="00731DA0"/>
    <w:rsid w:val="00732EDB"/>
    <w:rsid w:val="00734033"/>
    <w:rsid w:val="007359CB"/>
    <w:rsid w:val="00737936"/>
    <w:rsid w:val="00737A15"/>
    <w:rsid w:val="007400D8"/>
    <w:rsid w:val="0074145C"/>
    <w:rsid w:val="007419F4"/>
    <w:rsid w:val="00741D4C"/>
    <w:rsid w:val="007433B0"/>
    <w:rsid w:val="007451C8"/>
    <w:rsid w:val="0074535C"/>
    <w:rsid w:val="0074572F"/>
    <w:rsid w:val="0074581C"/>
    <w:rsid w:val="00745899"/>
    <w:rsid w:val="00746AB9"/>
    <w:rsid w:val="00750078"/>
    <w:rsid w:val="00750568"/>
    <w:rsid w:val="00750BB6"/>
    <w:rsid w:val="00751379"/>
    <w:rsid w:val="0075164B"/>
    <w:rsid w:val="007538FC"/>
    <w:rsid w:val="007542BA"/>
    <w:rsid w:val="00754A2A"/>
    <w:rsid w:val="00754E95"/>
    <w:rsid w:val="00755F05"/>
    <w:rsid w:val="007561AD"/>
    <w:rsid w:val="00756737"/>
    <w:rsid w:val="007570FA"/>
    <w:rsid w:val="00757C19"/>
    <w:rsid w:val="00757F66"/>
    <w:rsid w:val="007607C4"/>
    <w:rsid w:val="007607EC"/>
    <w:rsid w:val="00760ABE"/>
    <w:rsid w:val="00760B45"/>
    <w:rsid w:val="00761A58"/>
    <w:rsid w:val="00762A2F"/>
    <w:rsid w:val="00763403"/>
    <w:rsid w:val="00763B20"/>
    <w:rsid w:val="0076457E"/>
    <w:rsid w:val="007649AF"/>
    <w:rsid w:val="00765584"/>
    <w:rsid w:val="00765CB7"/>
    <w:rsid w:val="0076643F"/>
    <w:rsid w:val="00766DEB"/>
    <w:rsid w:val="007700F7"/>
    <w:rsid w:val="00771045"/>
    <w:rsid w:val="00771205"/>
    <w:rsid w:val="00773C5A"/>
    <w:rsid w:val="00774375"/>
    <w:rsid w:val="007744CC"/>
    <w:rsid w:val="00774D86"/>
    <w:rsid w:val="007771C5"/>
    <w:rsid w:val="007776FF"/>
    <w:rsid w:val="0078069F"/>
    <w:rsid w:val="0078085D"/>
    <w:rsid w:val="007809DA"/>
    <w:rsid w:val="00780ED7"/>
    <w:rsid w:val="00781C89"/>
    <w:rsid w:val="00781D5D"/>
    <w:rsid w:val="00782080"/>
    <w:rsid w:val="007820BB"/>
    <w:rsid w:val="00782E68"/>
    <w:rsid w:val="0078305D"/>
    <w:rsid w:val="0078426B"/>
    <w:rsid w:val="00784600"/>
    <w:rsid w:val="00784DE5"/>
    <w:rsid w:val="00784FEC"/>
    <w:rsid w:val="0078587E"/>
    <w:rsid w:val="0078595F"/>
    <w:rsid w:val="00785F8D"/>
    <w:rsid w:val="00786501"/>
    <w:rsid w:val="00790499"/>
    <w:rsid w:val="007928DA"/>
    <w:rsid w:val="00793A12"/>
    <w:rsid w:val="00793C17"/>
    <w:rsid w:val="00793CFB"/>
    <w:rsid w:val="00795940"/>
    <w:rsid w:val="00795E01"/>
    <w:rsid w:val="0079658B"/>
    <w:rsid w:val="00796E7A"/>
    <w:rsid w:val="007977A5"/>
    <w:rsid w:val="007A13D7"/>
    <w:rsid w:val="007A17C8"/>
    <w:rsid w:val="007A18EB"/>
    <w:rsid w:val="007A2423"/>
    <w:rsid w:val="007A2EC7"/>
    <w:rsid w:val="007A2F70"/>
    <w:rsid w:val="007A3293"/>
    <w:rsid w:val="007A3478"/>
    <w:rsid w:val="007A4240"/>
    <w:rsid w:val="007A44FF"/>
    <w:rsid w:val="007A4980"/>
    <w:rsid w:val="007A57A6"/>
    <w:rsid w:val="007A7F31"/>
    <w:rsid w:val="007B0357"/>
    <w:rsid w:val="007B04BF"/>
    <w:rsid w:val="007B186C"/>
    <w:rsid w:val="007B19A1"/>
    <w:rsid w:val="007B19FE"/>
    <w:rsid w:val="007B1B6A"/>
    <w:rsid w:val="007B2769"/>
    <w:rsid w:val="007B3B97"/>
    <w:rsid w:val="007B3C72"/>
    <w:rsid w:val="007B430B"/>
    <w:rsid w:val="007B4826"/>
    <w:rsid w:val="007B4C00"/>
    <w:rsid w:val="007B5867"/>
    <w:rsid w:val="007B6279"/>
    <w:rsid w:val="007B6492"/>
    <w:rsid w:val="007B6A17"/>
    <w:rsid w:val="007B6C22"/>
    <w:rsid w:val="007B6FE2"/>
    <w:rsid w:val="007B762A"/>
    <w:rsid w:val="007B7F45"/>
    <w:rsid w:val="007C10AC"/>
    <w:rsid w:val="007C16AB"/>
    <w:rsid w:val="007C22DF"/>
    <w:rsid w:val="007C25BB"/>
    <w:rsid w:val="007C3334"/>
    <w:rsid w:val="007C3481"/>
    <w:rsid w:val="007C396A"/>
    <w:rsid w:val="007C50A0"/>
    <w:rsid w:val="007C50F6"/>
    <w:rsid w:val="007C52BB"/>
    <w:rsid w:val="007C5476"/>
    <w:rsid w:val="007C58E8"/>
    <w:rsid w:val="007C6557"/>
    <w:rsid w:val="007C6F4C"/>
    <w:rsid w:val="007C7402"/>
    <w:rsid w:val="007C757E"/>
    <w:rsid w:val="007C798F"/>
    <w:rsid w:val="007C7B95"/>
    <w:rsid w:val="007D0207"/>
    <w:rsid w:val="007D0309"/>
    <w:rsid w:val="007D06CB"/>
    <w:rsid w:val="007D278F"/>
    <w:rsid w:val="007D29B6"/>
    <w:rsid w:val="007D2B98"/>
    <w:rsid w:val="007D2FEE"/>
    <w:rsid w:val="007D3E9B"/>
    <w:rsid w:val="007D4C93"/>
    <w:rsid w:val="007D4FA5"/>
    <w:rsid w:val="007D69AC"/>
    <w:rsid w:val="007D747A"/>
    <w:rsid w:val="007E13CE"/>
    <w:rsid w:val="007E1856"/>
    <w:rsid w:val="007E1AF3"/>
    <w:rsid w:val="007E42C4"/>
    <w:rsid w:val="007E5338"/>
    <w:rsid w:val="007E5C9F"/>
    <w:rsid w:val="007E6A48"/>
    <w:rsid w:val="007E6B32"/>
    <w:rsid w:val="007E6D7C"/>
    <w:rsid w:val="007E6DAC"/>
    <w:rsid w:val="007E783F"/>
    <w:rsid w:val="007E7889"/>
    <w:rsid w:val="007F05E6"/>
    <w:rsid w:val="007F074A"/>
    <w:rsid w:val="007F2DA5"/>
    <w:rsid w:val="007F35ED"/>
    <w:rsid w:val="007F410D"/>
    <w:rsid w:val="007F42BF"/>
    <w:rsid w:val="007F4925"/>
    <w:rsid w:val="007F4A54"/>
    <w:rsid w:val="007F4B82"/>
    <w:rsid w:val="007F4F2C"/>
    <w:rsid w:val="007F4FE2"/>
    <w:rsid w:val="007F53E1"/>
    <w:rsid w:val="007F5625"/>
    <w:rsid w:val="007F6EF7"/>
    <w:rsid w:val="00800983"/>
    <w:rsid w:val="00800E57"/>
    <w:rsid w:val="00801B96"/>
    <w:rsid w:val="00802AC1"/>
    <w:rsid w:val="00803232"/>
    <w:rsid w:val="0080393B"/>
    <w:rsid w:val="00803F1C"/>
    <w:rsid w:val="008040C3"/>
    <w:rsid w:val="008049CD"/>
    <w:rsid w:val="00804A43"/>
    <w:rsid w:val="00804FA2"/>
    <w:rsid w:val="008054CB"/>
    <w:rsid w:val="00805784"/>
    <w:rsid w:val="00805885"/>
    <w:rsid w:val="0080600E"/>
    <w:rsid w:val="00806906"/>
    <w:rsid w:val="0081181A"/>
    <w:rsid w:val="008125C0"/>
    <w:rsid w:val="00812EAF"/>
    <w:rsid w:val="00813CCC"/>
    <w:rsid w:val="008141EA"/>
    <w:rsid w:val="00817426"/>
    <w:rsid w:val="00817612"/>
    <w:rsid w:val="00817D2F"/>
    <w:rsid w:val="00820860"/>
    <w:rsid w:val="00820D73"/>
    <w:rsid w:val="008215C0"/>
    <w:rsid w:val="008218A2"/>
    <w:rsid w:val="00821E9F"/>
    <w:rsid w:val="008234B0"/>
    <w:rsid w:val="00823A91"/>
    <w:rsid w:val="0082595F"/>
    <w:rsid w:val="00825AC2"/>
    <w:rsid w:val="00825B7F"/>
    <w:rsid w:val="00825CC2"/>
    <w:rsid w:val="00827DB7"/>
    <w:rsid w:val="00830930"/>
    <w:rsid w:val="00830E88"/>
    <w:rsid w:val="00831BA5"/>
    <w:rsid w:val="008321E7"/>
    <w:rsid w:val="00835F5A"/>
    <w:rsid w:val="008367C9"/>
    <w:rsid w:val="00836F32"/>
    <w:rsid w:val="0083716D"/>
    <w:rsid w:val="008373B6"/>
    <w:rsid w:val="00837C45"/>
    <w:rsid w:val="008414A3"/>
    <w:rsid w:val="008426FE"/>
    <w:rsid w:val="00844565"/>
    <w:rsid w:val="00844BE3"/>
    <w:rsid w:val="00845C1A"/>
    <w:rsid w:val="00845F70"/>
    <w:rsid w:val="00846865"/>
    <w:rsid w:val="00846904"/>
    <w:rsid w:val="008472FB"/>
    <w:rsid w:val="00847A8B"/>
    <w:rsid w:val="00847B26"/>
    <w:rsid w:val="00850044"/>
    <w:rsid w:val="00850407"/>
    <w:rsid w:val="008509CC"/>
    <w:rsid w:val="00850B3B"/>
    <w:rsid w:val="00851411"/>
    <w:rsid w:val="00852AFB"/>
    <w:rsid w:val="00853318"/>
    <w:rsid w:val="00853419"/>
    <w:rsid w:val="00853A23"/>
    <w:rsid w:val="00854FE3"/>
    <w:rsid w:val="008560E1"/>
    <w:rsid w:val="0085746D"/>
    <w:rsid w:val="008579E4"/>
    <w:rsid w:val="00860233"/>
    <w:rsid w:val="00861437"/>
    <w:rsid w:val="0086147D"/>
    <w:rsid w:val="00861972"/>
    <w:rsid w:val="00861EC2"/>
    <w:rsid w:val="008628FD"/>
    <w:rsid w:val="0086292E"/>
    <w:rsid w:val="00862933"/>
    <w:rsid w:val="00864785"/>
    <w:rsid w:val="008648E9"/>
    <w:rsid w:val="00864EF3"/>
    <w:rsid w:val="00865279"/>
    <w:rsid w:val="00865368"/>
    <w:rsid w:val="00865A1C"/>
    <w:rsid w:val="00865C9B"/>
    <w:rsid w:val="0086628D"/>
    <w:rsid w:val="00866353"/>
    <w:rsid w:val="008665EC"/>
    <w:rsid w:val="00866D7E"/>
    <w:rsid w:val="008678EF"/>
    <w:rsid w:val="0087014C"/>
    <w:rsid w:val="008701F3"/>
    <w:rsid w:val="00871372"/>
    <w:rsid w:val="00871EBE"/>
    <w:rsid w:val="0087234A"/>
    <w:rsid w:val="00872B1E"/>
    <w:rsid w:val="0087347D"/>
    <w:rsid w:val="008741A2"/>
    <w:rsid w:val="00874BEE"/>
    <w:rsid w:val="00875ABB"/>
    <w:rsid w:val="00875BA1"/>
    <w:rsid w:val="00875EC6"/>
    <w:rsid w:val="00876085"/>
    <w:rsid w:val="00877E1B"/>
    <w:rsid w:val="00880B21"/>
    <w:rsid w:val="00880F95"/>
    <w:rsid w:val="00882952"/>
    <w:rsid w:val="00882C32"/>
    <w:rsid w:val="0088373B"/>
    <w:rsid w:val="00883E89"/>
    <w:rsid w:val="00883EA4"/>
    <w:rsid w:val="00884270"/>
    <w:rsid w:val="00884C43"/>
    <w:rsid w:val="0088540B"/>
    <w:rsid w:val="008869BA"/>
    <w:rsid w:val="00887B7D"/>
    <w:rsid w:val="00890066"/>
    <w:rsid w:val="008903D5"/>
    <w:rsid w:val="0089156D"/>
    <w:rsid w:val="008917C2"/>
    <w:rsid w:val="00893E24"/>
    <w:rsid w:val="00893E44"/>
    <w:rsid w:val="008945B4"/>
    <w:rsid w:val="0089514B"/>
    <w:rsid w:val="008969D3"/>
    <w:rsid w:val="00896A60"/>
    <w:rsid w:val="008971D8"/>
    <w:rsid w:val="00897E12"/>
    <w:rsid w:val="008A065A"/>
    <w:rsid w:val="008A0A13"/>
    <w:rsid w:val="008A0F37"/>
    <w:rsid w:val="008A1C4B"/>
    <w:rsid w:val="008A1C95"/>
    <w:rsid w:val="008A3434"/>
    <w:rsid w:val="008A36FA"/>
    <w:rsid w:val="008A4398"/>
    <w:rsid w:val="008A4B7D"/>
    <w:rsid w:val="008A4FAC"/>
    <w:rsid w:val="008A5A80"/>
    <w:rsid w:val="008A5BF4"/>
    <w:rsid w:val="008A6254"/>
    <w:rsid w:val="008A67CF"/>
    <w:rsid w:val="008A6DA2"/>
    <w:rsid w:val="008A6E6B"/>
    <w:rsid w:val="008A7EB9"/>
    <w:rsid w:val="008A7F97"/>
    <w:rsid w:val="008A7FC7"/>
    <w:rsid w:val="008B0E6D"/>
    <w:rsid w:val="008B0EE7"/>
    <w:rsid w:val="008B14CB"/>
    <w:rsid w:val="008B1E82"/>
    <w:rsid w:val="008B24D5"/>
    <w:rsid w:val="008B25FC"/>
    <w:rsid w:val="008B2DA9"/>
    <w:rsid w:val="008B3466"/>
    <w:rsid w:val="008B3700"/>
    <w:rsid w:val="008B44C5"/>
    <w:rsid w:val="008B5124"/>
    <w:rsid w:val="008C00EE"/>
    <w:rsid w:val="008C2789"/>
    <w:rsid w:val="008C2DF6"/>
    <w:rsid w:val="008C3661"/>
    <w:rsid w:val="008C606A"/>
    <w:rsid w:val="008C6FC4"/>
    <w:rsid w:val="008C7564"/>
    <w:rsid w:val="008D03B0"/>
    <w:rsid w:val="008D0556"/>
    <w:rsid w:val="008D2607"/>
    <w:rsid w:val="008D2EC1"/>
    <w:rsid w:val="008D307A"/>
    <w:rsid w:val="008D33C9"/>
    <w:rsid w:val="008D3FC2"/>
    <w:rsid w:val="008D43BA"/>
    <w:rsid w:val="008D6249"/>
    <w:rsid w:val="008D6465"/>
    <w:rsid w:val="008D7317"/>
    <w:rsid w:val="008D7DF4"/>
    <w:rsid w:val="008E10AE"/>
    <w:rsid w:val="008E3602"/>
    <w:rsid w:val="008E3759"/>
    <w:rsid w:val="008E46CE"/>
    <w:rsid w:val="008E4DBE"/>
    <w:rsid w:val="008E53E4"/>
    <w:rsid w:val="008E5615"/>
    <w:rsid w:val="008E668C"/>
    <w:rsid w:val="008E71E6"/>
    <w:rsid w:val="008E7622"/>
    <w:rsid w:val="008F27B1"/>
    <w:rsid w:val="008F298E"/>
    <w:rsid w:val="008F2A35"/>
    <w:rsid w:val="008F2A73"/>
    <w:rsid w:val="008F2E03"/>
    <w:rsid w:val="008F2E1C"/>
    <w:rsid w:val="008F3BF9"/>
    <w:rsid w:val="008F3E4A"/>
    <w:rsid w:val="008F405E"/>
    <w:rsid w:val="008F40FD"/>
    <w:rsid w:val="008F4101"/>
    <w:rsid w:val="008F4522"/>
    <w:rsid w:val="008F49E6"/>
    <w:rsid w:val="008F559D"/>
    <w:rsid w:val="008F6470"/>
    <w:rsid w:val="008F6AA1"/>
    <w:rsid w:val="008F7B4C"/>
    <w:rsid w:val="008F7D4D"/>
    <w:rsid w:val="008F7F3F"/>
    <w:rsid w:val="009003AB"/>
    <w:rsid w:val="0090091F"/>
    <w:rsid w:val="009011FD"/>
    <w:rsid w:val="009021D6"/>
    <w:rsid w:val="00902845"/>
    <w:rsid w:val="009041DC"/>
    <w:rsid w:val="009047EE"/>
    <w:rsid w:val="00904B4B"/>
    <w:rsid w:val="0090668D"/>
    <w:rsid w:val="00907012"/>
    <w:rsid w:val="00907CCD"/>
    <w:rsid w:val="00910151"/>
    <w:rsid w:val="00910304"/>
    <w:rsid w:val="009104B4"/>
    <w:rsid w:val="00912171"/>
    <w:rsid w:val="00912642"/>
    <w:rsid w:val="00912DC0"/>
    <w:rsid w:val="00913B6D"/>
    <w:rsid w:val="00914897"/>
    <w:rsid w:val="00915246"/>
    <w:rsid w:val="00915CDE"/>
    <w:rsid w:val="00915FDE"/>
    <w:rsid w:val="0091677E"/>
    <w:rsid w:val="009171F5"/>
    <w:rsid w:val="0091728F"/>
    <w:rsid w:val="0091789D"/>
    <w:rsid w:val="00917ACD"/>
    <w:rsid w:val="00917EEF"/>
    <w:rsid w:val="009207F2"/>
    <w:rsid w:val="00921023"/>
    <w:rsid w:val="00922A9F"/>
    <w:rsid w:val="00923920"/>
    <w:rsid w:val="00924D62"/>
    <w:rsid w:val="00924F0A"/>
    <w:rsid w:val="009252BC"/>
    <w:rsid w:val="00925564"/>
    <w:rsid w:val="00925FCD"/>
    <w:rsid w:val="00926B12"/>
    <w:rsid w:val="00926E99"/>
    <w:rsid w:val="00927B0B"/>
    <w:rsid w:val="0093035E"/>
    <w:rsid w:val="0093050F"/>
    <w:rsid w:val="00930ED0"/>
    <w:rsid w:val="009322FE"/>
    <w:rsid w:val="009324EB"/>
    <w:rsid w:val="0093441A"/>
    <w:rsid w:val="00934829"/>
    <w:rsid w:val="0093569C"/>
    <w:rsid w:val="009356F2"/>
    <w:rsid w:val="00935735"/>
    <w:rsid w:val="009359E3"/>
    <w:rsid w:val="00935A29"/>
    <w:rsid w:val="0093658A"/>
    <w:rsid w:val="00936C4F"/>
    <w:rsid w:val="00940F2D"/>
    <w:rsid w:val="0094103C"/>
    <w:rsid w:val="009412E0"/>
    <w:rsid w:val="0094199B"/>
    <w:rsid w:val="009424BD"/>
    <w:rsid w:val="00942703"/>
    <w:rsid w:val="00942AA6"/>
    <w:rsid w:val="00942BBC"/>
    <w:rsid w:val="009435DC"/>
    <w:rsid w:val="00943C38"/>
    <w:rsid w:val="00943C6D"/>
    <w:rsid w:val="00945F51"/>
    <w:rsid w:val="0094702E"/>
    <w:rsid w:val="00950D77"/>
    <w:rsid w:val="00951A16"/>
    <w:rsid w:val="00952CAA"/>
    <w:rsid w:val="00952DC4"/>
    <w:rsid w:val="0095466D"/>
    <w:rsid w:val="009546BF"/>
    <w:rsid w:val="00954BF7"/>
    <w:rsid w:val="00955093"/>
    <w:rsid w:val="009554F0"/>
    <w:rsid w:val="00955EA3"/>
    <w:rsid w:val="0095624F"/>
    <w:rsid w:val="0095641C"/>
    <w:rsid w:val="00957A32"/>
    <w:rsid w:val="00960555"/>
    <w:rsid w:val="00963233"/>
    <w:rsid w:val="00964B54"/>
    <w:rsid w:val="009653A0"/>
    <w:rsid w:val="00965F42"/>
    <w:rsid w:val="009661AD"/>
    <w:rsid w:val="009668D9"/>
    <w:rsid w:val="009668E5"/>
    <w:rsid w:val="0096706E"/>
    <w:rsid w:val="00967ECF"/>
    <w:rsid w:val="00970006"/>
    <w:rsid w:val="0097061F"/>
    <w:rsid w:val="009714F6"/>
    <w:rsid w:val="00971BFC"/>
    <w:rsid w:val="0097237F"/>
    <w:rsid w:val="009724C3"/>
    <w:rsid w:val="00972E74"/>
    <w:rsid w:val="00973675"/>
    <w:rsid w:val="00973798"/>
    <w:rsid w:val="00973E1D"/>
    <w:rsid w:val="00973FD3"/>
    <w:rsid w:val="009753D7"/>
    <w:rsid w:val="00976209"/>
    <w:rsid w:val="00976E74"/>
    <w:rsid w:val="00981203"/>
    <w:rsid w:val="00981FBA"/>
    <w:rsid w:val="009826CC"/>
    <w:rsid w:val="00982E24"/>
    <w:rsid w:val="009835AD"/>
    <w:rsid w:val="00983AF6"/>
    <w:rsid w:val="009843A2"/>
    <w:rsid w:val="009844C2"/>
    <w:rsid w:val="00985A4B"/>
    <w:rsid w:val="00985ADA"/>
    <w:rsid w:val="00986129"/>
    <w:rsid w:val="00986662"/>
    <w:rsid w:val="00986AEE"/>
    <w:rsid w:val="009879D3"/>
    <w:rsid w:val="009908CD"/>
    <w:rsid w:val="00991846"/>
    <w:rsid w:val="0099229D"/>
    <w:rsid w:val="009923C3"/>
    <w:rsid w:val="00992A7F"/>
    <w:rsid w:val="009937A7"/>
    <w:rsid w:val="00993D72"/>
    <w:rsid w:val="009941C9"/>
    <w:rsid w:val="00994ECF"/>
    <w:rsid w:val="00995BB7"/>
    <w:rsid w:val="009967AF"/>
    <w:rsid w:val="0099714E"/>
    <w:rsid w:val="00997E99"/>
    <w:rsid w:val="009A03DC"/>
    <w:rsid w:val="009A03E7"/>
    <w:rsid w:val="009A0816"/>
    <w:rsid w:val="009A0B09"/>
    <w:rsid w:val="009A0F04"/>
    <w:rsid w:val="009A1A5D"/>
    <w:rsid w:val="009A1D2A"/>
    <w:rsid w:val="009A2634"/>
    <w:rsid w:val="009A28FA"/>
    <w:rsid w:val="009A2BA7"/>
    <w:rsid w:val="009A6130"/>
    <w:rsid w:val="009A61E6"/>
    <w:rsid w:val="009A67CC"/>
    <w:rsid w:val="009A67D9"/>
    <w:rsid w:val="009A7953"/>
    <w:rsid w:val="009B07BE"/>
    <w:rsid w:val="009B1206"/>
    <w:rsid w:val="009B1525"/>
    <w:rsid w:val="009B1A02"/>
    <w:rsid w:val="009B26C8"/>
    <w:rsid w:val="009B2E1C"/>
    <w:rsid w:val="009B2F9E"/>
    <w:rsid w:val="009B351F"/>
    <w:rsid w:val="009B3602"/>
    <w:rsid w:val="009B381B"/>
    <w:rsid w:val="009B4536"/>
    <w:rsid w:val="009B507E"/>
    <w:rsid w:val="009B5129"/>
    <w:rsid w:val="009B541A"/>
    <w:rsid w:val="009B5E10"/>
    <w:rsid w:val="009B61B2"/>
    <w:rsid w:val="009B71D5"/>
    <w:rsid w:val="009B74A4"/>
    <w:rsid w:val="009C1615"/>
    <w:rsid w:val="009C1691"/>
    <w:rsid w:val="009C1877"/>
    <w:rsid w:val="009C1D8B"/>
    <w:rsid w:val="009C2F9F"/>
    <w:rsid w:val="009C458A"/>
    <w:rsid w:val="009C4893"/>
    <w:rsid w:val="009C4D68"/>
    <w:rsid w:val="009C56A5"/>
    <w:rsid w:val="009C6C2B"/>
    <w:rsid w:val="009C6FEE"/>
    <w:rsid w:val="009D0946"/>
    <w:rsid w:val="009D0D81"/>
    <w:rsid w:val="009D0DEE"/>
    <w:rsid w:val="009D1186"/>
    <w:rsid w:val="009D15C7"/>
    <w:rsid w:val="009D16D3"/>
    <w:rsid w:val="009D1E2F"/>
    <w:rsid w:val="009D2342"/>
    <w:rsid w:val="009D280B"/>
    <w:rsid w:val="009D3728"/>
    <w:rsid w:val="009D50C6"/>
    <w:rsid w:val="009D561E"/>
    <w:rsid w:val="009D6116"/>
    <w:rsid w:val="009D7611"/>
    <w:rsid w:val="009E075C"/>
    <w:rsid w:val="009E27A9"/>
    <w:rsid w:val="009E3488"/>
    <w:rsid w:val="009E374A"/>
    <w:rsid w:val="009E3A41"/>
    <w:rsid w:val="009E3ABD"/>
    <w:rsid w:val="009E3C23"/>
    <w:rsid w:val="009E4331"/>
    <w:rsid w:val="009E4906"/>
    <w:rsid w:val="009E53DE"/>
    <w:rsid w:val="009E5D2B"/>
    <w:rsid w:val="009E6FD9"/>
    <w:rsid w:val="009E7A69"/>
    <w:rsid w:val="009F08C8"/>
    <w:rsid w:val="009F0AED"/>
    <w:rsid w:val="009F0CF2"/>
    <w:rsid w:val="009F114F"/>
    <w:rsid w:val="009F1B62"/>
    <w:rsid w:val="009F1ED5"/>
    <w:rsid w:val="009F24AF"/>
    <w:rsid w:val="009F24FF"/>
    <w:rsid w:val="009F297A"/>
    <w:rsid w:val="009F2CC4"/>
    <w:rsid w:val="009F3654"/>
    <w:rsid w:val="009F3705"/>
    <w:rsid w:val="009F3B22"/>
    <w:rsid w:val="009F54BA"/>
    <w:rsid w:val="009F7113"/>
    <w:rsid w:val="009F76DF"/>
    <w:rsid w:val="009F76E5"/>
    <w:rsid w:val="00A00719"/>
    <w:rsid w:val="00A014DA"/>
    <w:rsid w:val="00A03579"/>
    <w:rsid w:val="00A03B6C"/>
    <w:rsid w:val="00A03CAB"/>
    <w:rsid w:val="00A03DA5"/>
    <w:rsid w:val="00A049B5"/>
    <w:rsid w:val="00A05C64"/>
    <w:rsid w:val="00A05F15"/>
    <w:rsid w:val="00A06FEB"/>
    <w:rsid w:val="00A072E8"/>
    <w:rsid w:val="00A07CAA"/>
    <w:rsid w:val="00A10246"/>
    <w:rsid w:val="00A10403"/>
    <w:rsid w:val="00A10450"/>
    <w:rsid w:val="00A10A25"/>
    <w:rsid w:val="00A10C01"/>
    <w:rsid w:val="00A11E0C"/>
    <w:rsid w:val="00A12250"/>
    <w:rsid w:val="00A13A94"/>
    <w:rsid w:val="00A147AE"/>
    <w:rsid w:val="00A14D37"/>
    <w:rsid w:val="00A15A9B"/>
    <w:rsid w:val="00A15C9A"/>
    <w:rsid w:val="00A1636C"/>
    <w:rsid w:val="00A163A4"/>
    <w:rsid w:val="00A16474"/>
    <w:rsid w:val="00A1688B"/>
    <w:rsid w:val="00A169DC"/>
    <w:rsid w:val="00A16B38"/>
    <w:rsid w:val="00A17625"/>
    <w:rsid w:val="00A17C14"/>
    <w:rsid w:val="00A17E82"/>
    <w:rsid w:val="00A2015A"/>
    <w:rsid w:val="00A20B65"/>
    <w:rsid w:val="00A20F5F"/>
    <w:rsid w:val="00A213FD"/>
    <w:rsid w:val="00A22B7B"/>
    <w:rsid w:val="00A23924"/>
    <w:rsid w:val="00A24331"/>
    <w:rsid w:val="00A24409"/>
    <w:rsid w:val="00A2456A"/>
    <w:rsid w:val="00A25C0A"/>
    <w:rsid w:val="00A27314"/>
    <w:rsid w:val="00A27941"/>
    <w:rsid w:val="00A31451"/>
    <w:rsid w:val="00A31CB0"/>
    <w:rsid w:val="00A32364"/>
    <w:rsid w:val="00A3286C"/>
    <w:rsid w:val="00A32D38"/>
    <w:rsid w:val="00A3305E"/>
    <w:rsid w:val="00A34273"/>
    <w:rsid w:val="00A344FD"/>
    <w:rsid w:val="00A349B5"/>
    <w:rsid w:val="00A34F17"/>
    <w:rsid w:val="00A36168"/>
    <w:rsid w:val="00A3676E"/>
    <w:rsid w:val="00A36E16"/>
    <w:rsid w:val="00A376A9"/>
    <w:rsid w:val="00A3773C"/>
    <w:rsid w:val="00A37DA9"/>
    <w:rsid w:val="00A40463"/>
    <w:rsid w:val="00A40CED"/>
    <w:rsid w:val="00A43458"/>
    <w:rsid w:val="00A438C4"/>
    <w:rsid w:val="00A438F6"/>
    <w:rsid w:val="00A444C4"/>
    <w:rsid w:val="00A445B3"/>
    <w:rsid w:val="00A447CD"/>
    <w:rsid w:val="00A449AE"/>
    <w:rsid w:val="00A44B56"/>
    <w:rsid w:val="00A44E4C"/>
    <w:rsid w:val="00A47174"/>
    <w:rsid w:val="00A476A2"/>
    <w:rsid w:val="00A47D0B"/>
    <w:rsid w:val="00A500DA"/>
    <w:rsid w:val="00A50201"/>
    <w:rsid w:val="00A5028C"/>
    <w:rsid w:val="00A50CF2"/>
    <w:rsid w:val="00A52375"/>
    <w:rsid w:val="00A5251F"/>
    <w:rsid w:val="00A527E1"/>
    <w:rsid w:val="00A528D1"/>
    <w:rsid w:val="00A53D23"/>
    <w:rsid w:val="00A542D1"/>
    <w:rsid w:val="00A54E22"/>
    <w:rsid w:val="00A553C1"/>
    <w:rsid w:val="00A55776"/>
    <w:rsid w:val="00A56E9B"/>
    <w:rsid w:val="00A5736F"/>
    <w:rsid w:val="00A60093"/>
    <w:rsid w:val="00A618DF"/>
    <w:rsid w:val="00A6269C"/>
    <w:rsid w:val="00A6287A"/>
    <w:rsid w:val="00A62FDE"/>
    <w:rsid w:val="00A63958"/>
    <w:rsid w:val="00A64DA8"/>
    <w:rsid w:val="00A64EE8"/>
    <w:rsid w:val="00A64F5F"/>
    <w:rsid w:val="00A650D1"/>
    <w:rsid w:val="00A669C6"/>
    <w:rsid w:val="00A66BE5"/>
    <w:rsid w:val="00A709DB"/>
    <w:rsid w:val="00A70FA6"/>
    <w:rsid w:val="00A71D99"/>
    <w:rsid w:val="00A731AE"/>
    <w:rsid w:val="00A7605D"/>
    <w:rsid w:val="00A774E2"/>
    <w:rsid w:val="00A77577"/>
    <w:rsid w:val="00A802FC"/>
    <w:rsid w:val="00A80C1E"/>
    <w:rsid w:val="00A80D3F"/>
    <w:rsid w:val="00A81D28"/>
    <w:rsid w:val="00A8335C"/>
    <w:rsid w:val="00A83588"/>
    <w:rsid w:val="00A84A45"/>
    <w:rsid w:val="00A84A53"/>
    <w:rsid w:val="00A84B01"/>
    <w:rsid w:val="00A86365"/>
    <w:rsid w:val="00A871CA"/>
    <w:rsid w:val="00A87FF5"/>
    <w:rsid w:val="00A91C87"/>
    <w:rsid w:val="00A91F89"/>
    <w:rsid w:val="00A92714"/>
    <w:rsid w:val="00A92784"/>
    <w:rsid w:val="00A9281E"/>
    <w:rsid w:val="00A92AB3"/>
    <w:rsid w:val="00A92DCA"/>
    <w:rsid w:val="00A947C6"/>
    <w:rsid w:val="00A9530F"/>
    <w:rsid w:val="00A95F1A"/>
    <w:rsid w:val="00A978E7"/>
    <w:rsid w:val="00A97CDE"/>
    <w:rsid w:val="00AA00C2"/>
    <w:rsid w:val="00AA09FF"/>
    <w:rsid w:val="00AA23D3"/>
    <w:rsid w:val="00AA25DA"/>
    <w:rsid w:val="00AA33AF"/>
    <w:rsid w:val="00AA45D5"/>
    <w:rsid w:val="00AA4746"/>
    <w:rsid w:val="00AA57B5"/>
    <w:rsid w:val="00AA5C88"/>
    <w:rsid w:val="00AA6698"/>
    <w:rsid w:val="00AA792C"/>
    <w:rsid w:val="00AA7A2C"/>
    <w:rsid w:val="00AA7E8A"/>
    <w:rsid w:val="00AB0745"/>
    <w:rsid w:val="00AB097B"/>
    <w:rsid w:val="00AB09C5"/>
    <w:rsid w:val="00AB2233"/>
    <w:rsid w:val="00AB2F3B"/>
    <w:rsid w:val="00AB3118"/>
    <w:rsid w:val="00AB352F"/>
    <w:rsid w:val="00AB3712"/>
    <w:rsid w:val="00AB4B54"/>
    <w:rsid w:val="00AB4CD6"/>
    <w:rsid w:val="00AB55B8"/>
    <w:rsid w:val="00AB5A7B"/>
    <w:rsid w:val="00AB5DFA"/>
    <w:rsid w:val="00AB6166"/>
    <w:rsid w:val="00AC01AD"/>
    <w:rsid w:val="00AC043D"/>
    <w:rsid w:val="00AC0531"/>
    <w:rsid w:val="00AC2C74"/>
    <w:rsid w:val="00AC313B"/>
    <w:rsid w:val="00AC388E"/>
    <w:rsid w:val="00AC4106"/>
    <w:rsid w:val="00AC4E50"/>
    <w:rsid w:val="00AC4F7C"/>
    <w:rsid w:val="00AC619C"/>
    <w:rsid w:val="00AC6A4A"/>
    <w:rsid w:val="00AC6AE6"/>
    <w:rsid w:val="00AC7F4D"/>
    <w:rsid w:val="00AD0AFC"/>
    <w:rsid w:val="00AD1164"/>
    <w:rsid w:val="00AD1E27"/>
    <w:rsid w:val="00AD29F5"/>
    <w:rsid w:val="00AD2BC6"/>
    <w:rsid w:val="00AD34D9"/>
    <w:rsid w:val="00AD37C1"/>
    <w:rsid w:val="00AD38AF"/>
    <w:rsid w:val="00AD38E9"/>
    <w:rsid w:val="00AD4435"/>
    <w:rsid w:val="00AD452E"/>
    <w:rsid w:val="00AD4A7C"/>
    <w:rsid w:val="00AD4C6C"/>
    <w:rsid w:val="00AD4CD7"/>
    <w:rsid w:val="00AD4E05"/>
    <w:rsid w:val="00AD5B57"/>
    <w:rsid w:val="00AD5EB5"/>
    <w:rsid w:val="00AD7A33"/>
    <w:rsid w:val="00AE0DEC"/>
    <w:rsid w:val="00AE1302"/>
    <w:rsid w:val="00AE15A9"/>
    <w:rsid w:val="00AE1F0C"/>
    <w:rsid w:val="00AE38BC"/>
    <w:rsid w:val="00AE4B8D"/>
    <w:rsid w:val="00AE4C43"/>
    <w:rsid w:val="00AE6271"/>
    <w:rsid w:val="00AE66EC"/>
    <w:rsid w:val="00AE6AE5"/>
    <w:rsid w:val="00AE6F91"/>
    <w:rsid w:val="00AE7200"/>
    <w:rsid w:val="00AF0440"/>
    <w:rsid w:val="00AF22CE"/>
    <w:rsid w:val="00AF24AF"/>
    <w:rsid w:val="00AF264B"/>
    <w:rsid w:val="00AF2782"/>
    <w:rsid w:val="00AF2A65"/>
    <w:rsid w:val="00AF3344"/>
    <w:rsid w:val="00AF3D8C"/>
    <w:rsid w:val="00AF5571"/>
    <w:rsid w:val="00AF79FA"/>
    <w:rsid w:val="00B016BF"/>
    <w:rsid w:val="00B016EF"/>
    <w:rsid w:val="00B01D8D"/>
    <w:rsid w:val="00B033E8"/>
    <w:rsid w:val="00B057C9"/>
    <w:rsid w:val="00B059EC"/>
    <w:rsid w:val="00B05FCA"/>
    <w:rsid w:val="00B0667E"/>
    <w:rsid w:val="00B06BF4"/>
    <w:rsid w:val="00B124E6"/>
    <w:rsid w:val="00B13F5E"/>
    <w:rsid w:val="00B1479A"/>
    <w:rsid w:val="00B14837"/>
    <w:rsid w:val="00B1519B"/>
    <w:rsid w:val="00B15287"/>
    <w:rsid w:val="00B160A4"/>
    <w:rsid w:val="00B167E9"/>
    <w:rsid w:val="00B16FF4"/>
    <w:rsid w:val="00B17170"/>
    <w:rsid w:val="00B1724A"/>
    <w:rsid w:val="00B17E2C"/>
    <w:rsid w:val="00B20180"/>
    <w:rsid w:val="00B20427"/>
    <w:rsid w:val="00B2068A"/>
    <w:rsid w:val="00B207F5"/>
    <w:rsid w:val="00B20B83"/>
    <w:rsid w:val="00B20BD7"/>
    <w:rsid w:val="00B20FE7"/>
    <w:rsid w:val="00B21064"/>
    <w:rsid w:val="00B211D5"/>
    <w:rsid w:val="00B21BC5"/>
    <w:rsid w:val="00B22C40"/>
    <w:rsid w:val="00B23A86"/>
    <w:rsid w:val="00B24843"/>
    <w:rsid w:val="00B27127"/>
    <w:rsid w:val="00B2728E"/>
    <w:rsid w:val="00B27C65"/>
    <w:rsid w:val="00B301E8"/>
    <w:rsid w:val="00B30278"/>
    <w:rsid w:val="00B30ED6"/>
    <w:rsid w:val="00B314DB"/>
    <w:rsid w:val="00B316A7"/>
    <w:rsid w:val="00B31EBE"/>
    <w:rsid w:val="00B321B3"/>
    <w:rsid w:val="00B346FF"/>
    <w:rsid w:val="00B34B9E"/>
    <w:rsid w:val="00B34D82"/>
    <w:rsid w:val="00B36E37"/>
    <w:rsid w:val="00B3718B"/>
    <w:rsid w:val="00B37C3B"/>
    <w:rsid w:val="00B41AAC"/>
    <w:rsid w:val="00B424CD"/>
    <w:rsid w:val="00B42ABC"/>
    <w:rsid w:val="00B42FB2"/>
    <w:rsid w:val="00B432D6"/>
    <w:rsid w:val="00B4461B"/>
    <w:rsid w:val="00B44F4C"/>
    <w:rsid w:val="00B45BE7"/>
    <w:rsid w:val="00B45ECD"/>
    <w:rsid w:val="00B46033"/>
    <w:rsid w:val="00B46313"/>
    <w:rsid w:val="00B4632A"/>
    <w:rsid w:val="00B475F0"/>
    <w:rsid w:val="00B478B1"/>
    <w:rsid w:val="00B478C4"/>
    <w:rsid w:val="00B506C5"/>
    <w:rsid w:val="00B506F8"/>
    <w:rsid w:val="00B50B12"/>
    <w:rsid w:val="00B50F68"/>
    <w:rsid w:val="00B5149E"/>
    <w:rsid w:val="00B515A8"/>
    <w:rsid w:val="00B52584"/>
    <w:rsid w:val="00B5358C"/>
    <w:rsid w:val="00B540E8"/>
    <w:rsid w:val="00B54D6D"/>
    <w:rsid w:val="00B553D0"/>
    <w:rsid w:val="00B55E95"/>
    <w:rsid w:val="00B562BD"/>
    <w:rsid w:val="00B56796"/>
    <w:rsid w:val="00B56ED1"/>
    <w:rsid w:val="00B574EE"/>
    <w:rsid w:val="00B575D6"/>
    <w:rsid w:val="00B60E25"/>
    <w:rsid w:val="00B62894"/>
    <w:rsid w:val="00B62BC0"/>
    <w:rsid w:val="00B63572"/>
    <w:rsid w:val="00B63577"/>
    <w:rsid w:val="00B64D22"/>
    <w:rsid w:val="00B673F4"/>
    <w:rsid w:val="00B67539"/>
    <w:rsid w:val="00B70462"/>
    <w:rsid w:val="00B72E00"/>
    <w:rsid w:val="00B74DAF"/>
    <w:rsid w:val="00B75886"/>
    <w:rsid w:val="00B75BE4"/>
    <w:rsid w:val="00B75D57"/>
    <w:rsid w:val="00B765F1"/>
    <w:rsid w:val="00B76BE8"/>
    <w:rsid w:val="00B779A8"/>
    <w:rsid w:val="00B77B09"/>
    <w:rsid w:val="00B80183"/>
    <w:rsid w:val="00B801CB"/>
    <w:rsid w:val="00B83A9C"/>
    <w:rsid w:val="00B84E34"/>
    <w:rsid w:val="00B84FC7"/>
    <w:rsid w:val="00B85B6B"/>
    <w:rsid w:val="00B8646F"/>
    <w:rsid w:val="00B86577"/>
    <w:rsid w:val="00B8664E"/>
    <w:rsid w:val="00B868A4"/>
    <w:rsid w:val="00B871DF"/>
    <w:rsid w:val="00B8786D"/>
    <w:rsid w:val="00B90178"/>
    <w:rsid w:val="00B91EF0"/>
    <w:rsid w:val="00B920B7"/>
    <w:rsid w:val="00B926B1"/>
    <w:rsid w:val="00B92DC9"/>
    <w:rsid w:val="00B933E1"/>
    <w:rsid w:val="00B933E4"/>
    <w:rsid w:val="00B945B3"/>
    <w:rsid w:val="00BA0255"/>
    <w:rsid w:val="00BA0E3E"/>
    <w:rsid w:val="00BA11D2"/>
    <w:rsid w:val="00BA154C"/>
    <w:rsid w:val="00BA198F"/>
    <w:rsid w:val="00BA1D41"/>
    <w:rsid w:val="00BA273E"/>
    <w:rsid w:val="00BA276C"/>
    <w:rsid w:val="00BA2988"/>
    <w:rsid w:val="00BA3099"/>
    <w:rsid w:val="00BA3133"/>
    <w:rsid w:val="00BA31DF"/>
    <w:rsid w:val="00BA3565"/>
    <w:rsid w:val="00BA6FFA"/>
    <w:rsid w:val="00BA7984"/>
    <w:rsid w:val="00BB06BE"/>
    <w:rsid w:val="00BB12C2"/>
    <w:rsid w:val="00BB151F"/>
    <w:rsid w:val="00BB285D"/>
    <w:rsid w:val="00BB3066"/>
    <w:rsid w:val="00BB306F"/>
    <w:rsid w:val="00BB31F9"/>
    <w:rsid w:val="00BB3466"/>
    <w:rsid w:val="00BB356D"/>
    <w:rsid w:val="00BB36D4"/>
    <w:rsid w:val="00BB438F"/>
    <w:rsid w:val="00BB4587"/>
    <w:rsid w:val="00BB521F"/>
    <w:rsid w:val="00BB53AD"/>
    <w:rsid w:val="00BB5A59"/>
    <w:rsid w:val="00BB633E"/>
    <w:rsid w:val="00BB6D96"/>
    <w:rsid w:val="00BB7556"/>
    <w:rsid w:val="00BB78FE"/>
    <w:rsid w:val="00BB7B0A"/>
    <w:rsid w:val="00BB7C2F"/>
    <w:rsid w:val="00BB7C52"/>
    <w:rsid w:val="00BC04F8"/>
    <w:rsid w:val="00BC0C11"/>
    <w:rsid w:val="00BC2154"/>
    <w:rsid w:val="00BC243A"/>
    <w:rsid w:val="00BC35EB"/>
    <w:rsid w:val="00BC397C"/>
    <w:rsid w:val="00BC5C8F"/>
    <w:rsid w:val="00BC68ED"/>
    <w:rsid w:val="00BC6FB1"/>
    <w:rsid w:val="00BC73B5"/>
    <w:rsid w:val="00BD10AC"/>
    <w:rsid w:val="00BD1D31"/>
    <w:rsid w:val="00BD232B"/>
    <w:rsid w:val="00BD2443"/>
    <w:rsid w:val="00BD2C5B"/>
    <w:rsid w:val="00BD3469"/>
    <w:rsid w:val="00BD393F"/>
    <w:rsid w:val="00BD4B89"/>
    <w:rsid w:val="00BD5B66"/>
    <w:rsid w:val="00BD7372"/>
    <w:rsid w:val="00BD7F14"/>
    <w:rsid w:val="00BE0098"/>
    <w:rsid w:val="00BE014C"/>
    <w:rsid w:val="00BE118B"/>
    <w:rsid w:val="00BE1438"/>
    <w:rsid w:val="00BE14B2"/>
    <w:rsid w:val="00BE201A"/>
    <w:rsid w:val="00BE35D9"/>
    <w:rsid w:val="00BE36D7"/>
    <w:rsid w:val="00BE4872"/>
    <w:rsid w:val="00BE4C89"/>
    <w:rsid w:val="00BE59EF"/>
    <w:rsid w:val="00BE60A3"/>
    <w:rsid w:val="00BE6182"/>
    <w:rsid w:val="00BE6B74"/>
    <w:rsid w:val="00BE7E23"/>
    <w:rsid w:val="00BF0063"/>
    <w:rsid w:val="00BF08CB"/>
    <w:rsid w:val="00BF1F10"/>
    <w:rsid w:val="00BF2000"/>
    <w:rsid w:val="00BF2523"/>
    <w:rsid w:val="00BF2939"/>
    <w:rsid w:val="00BF334F"/>
    <w:rsid w:val="00BF4865"/>
    <w:rsid w:val="00BF4871"/>
    <w:rsid w:val="00BF4AF7"/>
    <w:rsid w:val="00BF6F6B"/>
    <w:rsid w:val="00BF7C42"/>
    <w:rsid w:val="00C0028D"/>
    <w:rsid w:val="00C010E4"/>
    <w:rsid w:val="00C01451"/>
    <w:rsid w:val="00C01BA5"/>
    <w:rsid w:val="00C03059"/>
    <w:rsid w:val="00C0391B"/>
    <w:rsid w:val="00C03A29"/>
    <w:rsid w:val="00C04473"/>
    <w:rsid w:val="00C05011"/>
    <w:rsid w:val="00C070BA"/>
    <w:rsid w:val="00C07884"/>
    <w:rsid w:val="00C101BC"/>
    <w:rsid w:val="00C11023"/>
    <w:rsid w:val="00C111ED"/>
    <w:rsid w:val="00C144E7"/>
    <w:rsid w:val="00C14557"/>
    <w:rsid w:val="00C14701"/>
    <w:rsid w:val="00C14CE0"/>
    <w:rsid w:val="00C1525C"/>
    <w:rsid w:val="00C1586E"/>
    <w:rsid w:val="00C16D95"/>
    <w:rsid w:val="00C2142B"/>
    <w:rsid w:val="00C21762"/>
    <w:rsid w:val="00C224DF"/>
    <w:rsid w:val="00C22DD6"/>
    <w:rsid w:val="00C2324A"/>
    <w:rsid w:val="00C23BA8"/>
    <w:rsid w:val="00C24049"/>
    <w:rsid w:val="00C24543"/>
    <w:rsid w:val="00C256A2"/>
    <w:rsid w:val="00C25808"/>
    <w:rsid w:val="00C26A69"/>
    <w:rsid w:val="00C30A10"/>
    <w:rsid w:val="00C31331"/>
    <w:rsid w:val="00C31770"/>
    <w:rsid w:val="00C3238A"/>
    <w:rsid w:val="00C32560"/>
    <w:rsid w:val="00C32A61"/>
    <w:rsid w:val="00C338B0"/>
    <w:rsid w:val="00C33D69"/>
    <w:rsid w:val="00C33EB0"/>
    <w:rsid w:val="00C340DC"/>
    <w:rsid w:val="00C3492D"/>
    <w:rsid w:val="00C34E6A"/>
    <w:rsid w:val="00C34F68"/>
    <w:rsid w:val="00C35CD6"/>
    <w:rsid w:val="00C3629F"/>
    <w:rsid w:val="00C36E35"/>
    <w:rsid w:val="00C378D1"/>
    <w:rsid w:val="00C4068A"/>
    <w:rsid w:val="00C40941"/>
    <w:rsid w:val="00C41AB9"/>
    <w:rsid w:val="00C423E4"/>
    <w:rsid w:val="00C43174"/>
    <w:rsid w:val="00C43FC7"/>
    <w:rsid w:val="00C443E8"/>
    <w:rsid w:val="00C44886"/>
    <w:rsid w:val="00C44ECB"/>
    <w:rsid w:val="00C45555"/>
    <w:rsid w:val="00C45976"/>
    <w:rsid w:val="00C45A93"/>
    <w:rsid w:val="00C45BFF"/>
    <w:rsid w:val="00C4696E"/>
    <w:rsid w:val="00C46A80"/>
    <w:rsid w:val="00C4716E"/>
    <w:rsid w:val="00C47791"/>
    <w:rsid w:val="00C4793D"/>
    <w:rsid w:val="00C47E39"/>
    <w:rsid w:val="00C506EB"/>
    <w:rsid w:val="00C50A5C"/>
    <w:rsid w:val="00C50C1E"/>
    <w:rsid w:val="00C53F60"/>
    <w:rsid w:val="00C546AB"/>
    <w:rsid w:val="00C5474E"/>
    <w:rsid w:val="00C548FA"/>
    <w:rsid w:val="00C55378"/>
    <w:rsid w:val="00C55560"/>
    <w:rsid w:val="00C56198"/>
    <w:rsid w:val="00C56691"/>
    <w:rsid w:val="00C573C7"/>
    <w:rsid w:val="00C60644"/>
    <w:rsid w:val="00C61997"/>
    <w:rsid w:val="00C62393"/>
    <w:rsid w:val="00C6266E"/>
    <w:rsid w:val="00C62BF4"/>
    <w:rsid w:val="00C640EB"/>
    <w:rsid w:val="00C669C1"/>
    <w:rsid w:val="00C66B72"/>
    <w:rsid w:val="00C674CD"/>
    <w:rsid w:val="00C67F18"/>
    <w:rsid w:val="00C702E0"/>
    <w:rsid w:val="00C714BB"/>
    <w:rsid w:val="00C71F81"/>
    <w:rsid w:val="00C7275B"/>
    <w:rsid w:val="00C7281A"/>
    <w:rsid w:val="00C73487"/>
    <w:rsid w:val="00C74AAA"/>
    <w:rsid w:val="00C74C37"/>
    <w:rsid w:val="00C7526E"/>
    <w:rsid w:val="00C75A4F"/>
    <w:rsid w:val="00C75E68"/>
    <w:rsid w:val="00C76135"/>
    <w:rsid w:val="00C768EA"/>
    <w:rsid w:val="00C76EBB"/>
    <w:rsid w:val="00C77013"/>
    <w:rsid w:val="00C771A2"/>
    <w:rsid w:val="00C775A0"/>
    <w:rsid w:val="00C7792F"/>
    <w:rsid w:val="00C77F47"/>
    <w:rsid w:val="00C80BAC"/>
    <w:rsid w:val="00C81339"/>
    <w:rsid w:val="00C81FBE"/>
    <w:rsid w:val="00C82B0B"/>
    <w:rsid w:val="00C84B0E"/>
    <w:rsid w:val="00C84E16"/>
    <w:rsid w:val="00C850FD"/>
    <w:rsid w:val="00C851B8"/>
    <w:rsid w:val="00C85897"/>
    <w:rsid w:val="00C85CF6"/>
    <w:rsid w:val="00C85DDE"/>
    <w:rsid w:val="00C866C0"/>
    <w:rsid w:val="00C86C06"/>
    <w:rsid w:val="00C87075"/>
    <w:rsid w:val="00C8737F"/>
    <w:rsid w:val="00C9055F"/>
    <w:rsid w:val="00C9128B"/>
    <w:rsid w:val="00C92214"/>
    <w:rsid w:val="00C92CF7"/>
    <w:rsid w:val="00C936C3"/>
    <w:rsid w:val="00C949E2"/>
    <w:rsid w:val="00C94B6D"/>
    <w:rsid w:val="00C94BF5"/>
    <w:rsid w:val="00C9567A"/>
    <w:rsid w:val="00C957E5"/>
    <w:rsid w:val="00C95BF6"/>
    <w:rsid w:val="00C9670F"/>
    <w:rsid w:val="00C96AF3"/>
    <w:rsid w:val="00C96BFF"/>
    <w:rsid w:val="00CA01A3"/>
    <w:rsid w:val="00CA0E2F"/>
    <w:rsid w:val="00CA249C"/>
    <w:rsid w:val="00CA28C5"/>
    <w:rsid w:val="00CA43BB"/>
    <w:rsid w:val="00CA44E8"/>
    <w:rsid w:val="00CA53D1"/>
    <w:rsid w:val="00CA61E3"/>
    <w:rsid w:val="00CA65F1"/>
    <w:rsid w:val="00CA6E49"/>
    <w:rsid w:val="00CB088F"/>
    <w:rsid w:val="00CB13BC"/>
    <w:rsid w:val="00CB17C1"/>
    <w:rsid w:val="00CB2422"/>
    <w:rsid w:val="00CB2660"/>
    <w:rsid w:val="00CB2A1A"/>
    <w:rsid w:val="00CB359E"/>
    <w:rsid w:val="00CB3738"/>
    <w:rsid w:val="00CB3827"/>
    <w:rsid w:val="00CB3A1A"/>
    <w:rsid w:val="00CB4D35"/>
    <w:rsid w:val="00CB6764"/>
    <w:rsid w:val="00CB712B"/>
    <w:rsid w:val="00CB7A42"/>
    <w:rsid w:val="00CC0D1F"/>
    <w:rsid w:val="00CC0D91"/>
    <w:rsid w:val="00CC30E5"/>
    <w:rsid w:val="00CC42BF"/>
    <w:rsid w:val="00CC5E13"/>
    <w:rsid w:val="00CC5E90"/>
    <w:rsid w:val="00CD046C"/>
    <w:rsid w:val="00CD2EE9"/>
    <w:rsid w:val="00CD36BA"/>
    <w:rsid w:val="00CD57D3"/>
    <w:rsid w:val="00CD6BCF"/>
    <w:rsid w:val="00CD7BB2"/>
    <w:rsid w:val="00CE0FD7"/>
    <w:rsid w:val="00CE1390"/>
    <w:rsid w:val="00CE4868"/>
    <w:rsid w:val="00CE4999"/>
    <w:rsid w:val="00CE5199"/>
    <w:rsid w:val="00CE66D5"/>
    <w:rsid w:val="00CE6E2C"/>
    <w:rsid w:val="00CE7EE6"/>
    <w:rsid w:val="00CE7FBE"/>
    <w:rsid w:val="00CF100C"/>
    <w:rsid w:val="00CF1FF5"/>
    <w:rsid w:val="00CF2346"/>
    <w:rsid w:val="00CF24B3"/>
    <w:rsid w:val="00CF2824"/>
    <w:rsid w:val="00CF3EBB"/>
    <w:rsid w:val="00CF4138"/>
    <w:rsid w:val="00CF439C"/>
    <w:rsid w:val="00CF449A"/>
    <w:rsid w:val="00CF4BAF"/>
    <w:rsid w:val="00CF5539"/>
    <w:rsid w:val="00CF6754"/>
    <w:rsid w:val="00CF768E"/>
    <w:rsid w:val="00CF78FA"/>
    <w:rsid w:val="00CF7930"/>
    <w:rsid w:val="00D002FC"/>
    <w:rsid w:val="00D02E9F"/>
    <w:rsid w:val="00D03633"/>
    <w:rsid w:val="00D03C39"/>
    <w:rsid w:val="00D03C79"/>
    <w:rsid w:val="00D03EE0"/>
    <w:rsid w:val="00D04137"/>
    <w:rsid w:val="00D04674"/>
    <w:rsid w:val="00D05066"/>
    <w:rsid w:val="00D07439"/>
    <w:rsid w:val="00D0799B"/>
    <w:rsid w:val="00D07A1B"/>
    <w:rsid w:val="00D11349"/>
    <w:rsid w:val="00D1169D"/>
    <w:rsid w:val="00D11888"/>
    <w:rsid w:val="00D12D6C"/>
    <w:rsid w:val="00D14582"/>
    <w:rsid w:val="00D14B21"/>
    <w:rsid w:val="00D15ABB"/>
    <w:rsid w:val="00D15E54"/>
    <w:rsid w:val="00D16299"/>
    <w:rsid w:val="00D16C41"/>
    <w:rsid w:val="00D2003D"/>
    <w:rsid w:val="00D208AB"/>
    <w:rsid w:val="00D20D54"/>
    <w:rsid w:val="00D211D9"/>
    <w:rsid w:val="00D2131F"/>
    <w:rsid w:val="00D21D95"/>
    <w:rsid w:val="00D21DA2"/>
    <w:rsid w:val="00D2250C"/>
    <w:rsid w:val="00D22F94"/>
    <w:rsid w:val="00D2345D"/>
    <w:rsid w:val="00D23785"/>
    <w:rsid w:val="00D24291"/>
    <w:rsid w:val="00D2456B"/>
    <w:rsid w:val="00D25889"/>
    <w:rsid w:val="00D25C75"/>
    <w:rsid w:val="00D27FBF"/>
    <w:rsid w:val="00D30316"/>
    <w:rsid w:val="00D30FA7"/>
    <w:rsid w:val="00D31A13"/>
    <w:rsid w:val="00D31D1A"/>
    <w:rsid w:val="00D32D94"/>
    <w:rsid w:val="00D340AA"/>
    <w:rsid w:val="00D34786"/>
    <w:rsid w:val="00D35609"/>
    <w:rsid w:val="00D3641C"/>
    <w:rsid w:val="00D36696"/>
    <w:rsid w:val="00D36A2C"/>
    <w:rsid w:val="00D37539"/>
    <w:rsid w:val="00D40341"/>
    <w:rsid w:val="00D4040F"/>
    <w:rsid w:val="00D40A1E"/>
    <w:rsid w:val="00D41308"/>
    <w:rsid w:val="00D42BAB"/>
    <w:rsid w:val="00D43C78"/>
    <w:rsid w:val="00D44A80"/>
    <w:rsid w:val="00D44B04"/>
    <w:rsid w:val="00D44BDF"/>
    <w:rsid w:val="00D45150"/>
    <w:rsid w:val="00D45500"/>
    <w:rsid w:val="00D457AE"/>
    <w:rsid w:val="00D46CDC"/>
    <w:rsid w:val="00D47631"/>
    <w:rsid w:val="00D47E97"/>
    <w:rsid w:val="00D5025B"/>
    <w:rsid w:val="00D50AFF"/>
    <w:rsid w:val="00D512DC"/>
    <w:rsid w:val="00D52729"/>
    <w:rsid w:val="00D52B5B"/>
    <w:rsid w:val="00D537DA"/>
    <w:rsid w:val="00D53F3D"/>
    <w:rsid w:val="00D54FD9"/>
    <w:rsid w:val="00D558C4"/>
    <w:rsid w:val="00D55D01"/>
    <w:rsid w:val="00D568A0"/>
    <w:rsid w:val="00D57019"/>
    <w:rsid w:val="00D57047"/>
    <w:rsid w:val="00D57833"/>
    <w:rsid w:val="00D6092C"/>
    <w:rsid w:val="00D61163"/>
    <w:rsid w:val="00D6144B"/>
    <w:rsid w:val="00D62BD0"/>
    <w:rsid w:val="00D62FFA"/>
    <w:rsid w:val="00D63033"/>
    <w:rsid w:val="00D63233"/>
    <w:rsid w:val="00D63DBE"/>
    <w:rsid w:val="00D64653"/>
    <w:rsid w:val="00D64C6E"/>
    <w:rsid w:val="00D64D80"/>
    <w:rsid w:val="00D65E4F"/>
    <w:rsid w:val="00D6603B"/>
    <w:rsid w:val="00D677D5"/>
    <w:rsid w:val="00D712D3"/>
    <w:rsid w:val="00D71422"/>
    <w:rsid w:val="00D7145E"/>
    <w:rsid w:val="00D71A30"/>
    <w:rsid w:val="00D720FF"/>
    <w:rsid w:val="00D727F7"/>
    <w:rsid w:val="00D72985"/>
    <w:rsid w:val="00D7314E"/>
    <w:rsid w:val="00D73376"/>
    <w:rsid w:val="00D73E27"/>
    <w:rsid w:val="00D73F95"/>
    <w:rsid w:val="00D74A1F"/>
    <w:rsid w:val="00D74B5B"/>
    <w:rsid w:val="00D74C93"/>
    <w:rsid w:val="00D74F68"/>
    <w:rsid w:val="00D7558D"/>
    <w:rsid w:val="00D76163"/>
    <w:rsid w:val="00D76232"/>
    <w:rsid w:val="00D7649A"/>
    <w:rsid w:val="00D77796"/>
    <w:rsid w:val="00D80145"/>
    <w:rsid w:val="00D80440"/>
    <w:rsid w:val="00D811FF"/>
    <w:rsid w:val="00D81D92"/>
    <w:rsid w:val="00D825B6"/>
    <w:rsid w:val="00D826A0"/>
    <w:rsid w:val="00D82EA8"/>
    <w:rsid w:val="00D838BE"/>
    <w:rsid w:val="00D83DD3"/>
    <w:rsid w:val="00D83FFE"/>
    <w:rsid w:val="00D84378"/>
    <w:rsid w:val="00D84B06"/>
    <w:rsid w:val="00D86569"/>
    <w:rsid w:val="00D87416"/>
    <w:rsid w:val="00D8763F"/>
    <w:rsid w:val="00D877CC"/>
    <w:rsid w:val="00D9040B"/>
    <w:rsid w:val="00D9087A"/>
    <w:rsid w:val="00D915AB"/>
    <w:rsid w:val="00D91B1E"/>
    <w:rsid w:val="00D93446"/>
    <w:rsid w:val="00D9382D"/>
    <w:rsid w:val="00D946AA"/>
    <w:rsid w:val="00D94D1C"/>
    <w:rsid w:val="00D9539C"/>
    <w:rsid w:val="00D95402"/>
    <w:rsid w:val="00D96245"/>
    <w:rsid w:val="00D978E5"/>
    <w:rsid w:val="00DA1520"/>
    <w:rsid w:val="00DA18BD"/>
    <w:rsid w:val="00DA1C24"/>
    <w:rsid w:val="00DA1D1A"/>
    <w:rsid w:val="00DA2A7C"/>
    <w:rsid w:val="00DA3005"/>
    <w:rsid w:val="00DA300A"/>
    <w:rsid w:val="00DA31F8"/>
    <w:rsid w:val="00DA341C"/>
    <w:rsid w:val="00DA41B6"/>
    <w:rsid w:val="00DA44EA"/>
    <w:rsid w:val="00DA4E4E"/>
    <w:rsid w:val="00DA559E"/>
    <w:rsid w:val="00DA55E5"/>
    <w:rsid w:val="00DA5ECF"/>
    <w:rsid w:val="00DA6AB3"/>
    <w:rsid w:val="00DA7151"/>
    <w:rsid w:val="00DA77AA"/>
    <w:rsid w:val="00DA7982"/>
    <w:rsid w:val="00DA79D0"/>
    <w:rsid w:val="00DA7A6A"/>
    <w:rsid w:val="00DA7B5F"/>
    <w:rsid w:val="00DB0387"/>
    <w:rsid w:val="00DB0672"/>
    <w:rsid w:val="00DB0D0D"/>
    <w:rsid w:val="00DB0F13"/>
    <w:rsid w:val="00DB187F"/>
    <w:rsid w:val="00DB18A8"/>
    <w:rsid w:val="00DB1DA3"/>
    <w:rsid w:val="00DB3050"/>
    <w:rsid w:val="00DB30EC"/>
    <w:rsid w:val="00DB3374"/>
    <w:rsid w:val="00DB4573"/>
    <w:rsid w:val="00DB4A1E"/>
    <w:rsid w:val="00DB4D80"/>
    <w:rsid w:val="00DB5C3C"/>
    <w:rsid w:val="00DB710E"/>
    <w:rsid w:val="00DB7493"/>
    <w:rsid w:val="00DC008A"/>
    <w:rsid w:val="00DC07A4"/>
    <w:rsid w:val="00DC174D"/>
    <w:rsid w:val="00DC28C0"/>
    <w:rsid w:val="00DC2FF2"/>
    <w:rsid w:val="00DC3121"/>
    <w:rsid w:val="00DC31F4"/>
    <w:rsid w:val="00DC4839"/>
    <w:rsid w:val="00DC5165"/>
    <w:rsid w:val="00DC5ABD"/>
    <w:rsid w:val="00DC6453"/>
    <w:rsid w:val="00DC6D2C"/>
    <w:rsid w:val="00DC7597"/>
    <w:rsid w:val="00DC7693"/>
    <w:rsid w:val="00DD045E"/>
    <w:rsid w:val="00DD1E65"/>
    <w:rsid w:val="00DD2615"/>
    <w:rsid w:val="00DD2635"/>
    <w:rsid w:val="00DD2BE4"/>
    <w:rsid w:val="00DD2C54"/>
    <w:rsid w:val="00DD4FE2"/>
    <w:rsid w:val="00DD6DEF"/>
    <w:rsid w:val="00DD6F04"/>
    <w:rsid w:val="00DD759E"/>
    <w:rsid w:val="00DD7C5E"/>
    <w:rsid w:val="00DE0266"/>
    <w:rsid w:val="00DE132D"/>
    <w:rsid w:val="00DE174A"/>
    <w:rsid w:val="00DE26A2"/>
    <w:rsid w:val="00DE426E"/>
    <w:rsid w:val="00DE430F"/>
    <w:rsid w:val="00DE5D25"/>
    <w:rsid w:val="00DE62F2"/>
    <w:rsid w:val="00DE67FF"/>
    <w:rsid w:val="00DE735D"/>
    <w:rsid w:val="00DE7417"/>
    <w:rsid w:val="00DE783D"/>
    <w:rsid w:val="00DE7D2E"/>
    <w:rsid w:val="00DF0A39"/>
    <w:rsid w:val="00DF1CDD"/>
    <w:rsid w:val="00DF1DF9"/>
    <w:rsid w:val="00DF23E1"/>
    <w:rsid w:val="00DF3068"/>
    <w:rsid w:val="00DF4BDE"/>
    <w:rsid w:val="00DF5077"/>
    <w:rsid w:val="00DF7793"/>
    <w:rsid w:val="00E01B40"/>
    <w:rsid w:val="00E02360"/>
    <w:rsid w:val="00E023DF"/>
    <w:rsid w:val="00E04093"/>
    <w:rsid w:val="00E051CE"/>
    <w:rsid w:val="00E052B0"/>
    <w:rsid w:val="00E067A6"/>
    <w:rsid w:val="00E06DDE"/>
    <w:rsid w:val="00E0702F"/>
    <w:rsid w:val="00E0734B"/>
    <w:rsid w:val="00E0740A"/>
    <w:rsid w:val="00E10778"/>
    <w:rsid w:val="00E10805"/>
    <w:rsid w:val="00E11392"/>
    <w:rsid w:val="00E11D68"/>
    <w:rsid w:val="00E12B3B"/>
    <w:rsid w:val="00E1339C"/>
    <w:rsid w:val="00E1451D"/>
    <w:rsid w:val="00E1542D"/>
    <w:rsid w:val="00E15FBA"/>
    <w:rsid w:val="00E16F9D"/>
    <w:rsid w:val="00E17683"/>
    <w:rsid w:val="00E200F9"/>
    <w:rsid w:val="00E2121C"/>
    <w:rsid w:val="00E22278"/>
    <w:rsid w:val="00E2284A"/>
    <w:rsid w:val="00E230FD"/>
    <w:rsid w:val="00E2398E"/>
    <w:rsid w:val="00E23A98"/>
    <w:rsid w:val="00E25A41"/>
    <w:rsid w:val="00E2673A"/>
    <w:rsid w:val="00E26EDD"/>
    <w:rsid w:val="00E26F97"/>
    <w:rsid w:val="00E26FCD"/>
    <w:rsid w:val="00E27AA4"/>
    <w:rsid w:val="00E30281"/>
    <w:rsid w:val="00E32696"/>
    <w:rsid w:val="00E3317B"/>
    <w:rsid w:val="00E337D9"/>
    <w:rsid w:val="00E33CA7"/>
    <w:rsid w:val="00E33E64"/>
    <w:rsid w:val="00E34445"/>
    <w:rsid w:val="00E3622A"/>
    <w:rsid w:val="00E364C4"/>
    <w:rsid w:val="00E3757F"/>
    <w:rsid w:val="00E37980"/>
    <w:rsid w:val="00E40F91"/>
    <w:rsid w:val="00E42C74"/>
    <w:rsid w:val="00E43157"/>
    <w:rsid w:val="00E43212"/>
    <w:rsid w:val="00E4390D"/>
    <w:rsid w:val="00E43C54"/>
    <w:rsid w:val="00E43C96"/>
    <w:rsid w:val="00E45D29"/>
    <w:rsid w:val="00E461F9"/>
    <w:rsid w:val="00E46307"/>
    <w:rsid w:val="00E4781D"/>
    <w:rsid w:val="00E50136"/>
    <w:rsid w:val="00E50499"/>
    <w:rsid w:val="00E50799"/>
    <w:rsid w:val="00E5082C"/>
    <w:rsid w:val="00E533FF"/>
    <w:rsid w:val="00E53BD8"/>
    <w:rsid w:val="00E53DC6"/>
    <w:rsid w:val="00E53E5E"/>
    <w:rsid w:val="00E54EF8"/>
    <w:rsid w:val="00E56477"/>
    <w:rsid w:val="00E56B6C"/>
    <w:rsid w:val="00E57833"/>
    <w:rsid w:val="00E57B6B"/>
    <w:rsid w:val="00E57ECF"/>
    <w:rsid w:val="00E601ED"/>
    <w:rsid w:val="00E6049E"/>
    <w:rsid w:val="00E608CA"/>
    <w:rsid w:val="00E61067"/>
    <w:rsid w:val="00E61732"/>
    <w:rsid w:val="00E61DC3"/>
    <w:rsid w:val="00E61FC3"/>
    <w:rsid w:val="00E62965"/>
    <w:rsid w:val="00E6356C"/>
    <w:rsid w:val="00E6364D"/>
    <w:rsid w:val="00E638AB"/>
    <w:rsid w:val="00E63B98"/>
    <w:rsid w:val="00E64645"/>
    <w:rsid w:val="00E64863"/>
    <w:rsid w:val="00E648F3"/>
    <w:rsid w:val="00E64AF6"/>
    <w:rsid w:val="00E64E6F"/>
    <w:rsid w:val="00E654A2"/>
    <w:rsid w:val="00E65CB4"/>
    <w:rsid w:val="00E676AB"/>
    <w:rsid w:val="00E67989"/>
    <w:rsid w:val="00E709B3"/>
    <w:rsid w:val="00E70B54"/>
    <w:rsid w:val="00E711AB"/>
    <w:rsid w:val="00E7126F"/>
    <w:rsid w:val="00E71BA7"/>
    <w:rsid w:val="00E71E57"/>
    <w:rsid w:val="00E71FD7"/>
    <w:rsid w:val="00E72C66"/>
    <w:rsid w:val="00E73318"/>
    <w:rsid w:val="00E74123"/>
    <w:rsid w:val="00E74177"/>
    <w:rsid w:val="00E753FA"/>
    <w:rsid w:val="00E75FA5"/>
    <w:rsid w:val="00E766FD"/>
    <w:rsid w:val="00E7676B"/>
    <w:rsid w:val="00E767BD"/>
    <w:rsid w:val="00E7739E"/>
    <w:rsid w:val="00E774E4"/>
    <w:rsid w:val="00E80E83"/>
    <w:rsid w:val="00E81771"/>
    <w:rsid w:val="00E81A3E"/>
    <w:rsid w:val="00E82A9C"/>
    <w:rsid w:val="00E82F32"/>
    <w:rsid w:val="00E830CC"/>
    <w:rsid w:val="00E867DE"/>
    <w:rsid w:val="00E86ABD"/>
    <w:rsid w:val="00E86E84"/>
    <w:rsid w:val="00E86EAF"/>
    <w:rsid w:val="00E87515"/>
    <w:rsid w:val="00E8789F"/>
    <w:rsid w:val="00E908CF"/>
    <w:rsid w:val="00E91BE2"/>
    <w:rsid w:val="00E920D0"/>
    <w:rsid w:val="00E92107"/>
    <w:rsid w:val="00E92215"/>
    <w:rsid w:val="00E92993"/>
    <w:rsid w:val="00E9316D"/>
    <w:rsid w:val="00E9318F"/>
    <w:rsid w:val="00E93940"/>
    <w:rsid w:val="00E93BDB"/>
    <w:rsid w:val="00E94203"/>
    <w:rsid w:val="00E94D19"/>
    <w:rsid w:val="00E94E3D"/>
    <w:rsid w:val="00E96942"/>
    <w:rsid w:val="00E978C5"/>
    <w:rsid w:val="00E97B71"/>
    <w:rsid w:val="00EA01E7"/>
    <w:rsid w:val="00EA077D"/>
    <w:rsid w:val="00EA0E0D"/>
    <w:rsid w:val="00EA1283"/>
    <w:rsid w:val="00EA26BA"/>
    <w:rsid w:val="00EA425E"/>
    <w:rsid w:val="00EA4410"/>
    <w:rsid w:val="00EA5A04"/>
    <w:rsid w:val="00EA5FE2"/>
    <w:rsid w:val="00EA603E"/>
    <w:rsid w:val="00EA6A6E"/>
    <w:rsid w:val="00EA70E0"/>
    <w:rsid w:val="00EB0252"/>
    <w:rsid w:val="00EB0EE9"/>
    <w:rsid w:val="00EB134D"/>
    <w:rsid w:val="00EB24D7"/>
    <w:rsid w:val="00EB4080"/>
    <w:rsid w:val="00EB454D"/>
    <w:rsid w:val="00EB454F"/>
    <w:rsid w:val="00EB4B7E"/>
    <w:rsid w:val="00EB51DC"/>
    <w:rsid w:val="00EB51EA"/>
    <w:rsid w:val="00EB55C1"/>
    <w:rsid w:val="00EB6170"/>
    <w:rsid w:val="00EB62D9"/>
    <w:rsid w:val="00EB6316"/>
    <w:rsid w:val="00EB6B06"/>
    <w:rsid w:val="00EB7F0A"/>
    <w:rsid w:val="00EC0411"/>
    <w:rsid w:val="00EC0BA4"/>
    <w:rsid w:val="00EC112E"/>
    <w:rsid w:val="00EC1628"/>
    <w:rsid w:val="00EC20C2"/>
    <w:rsid w:val="00EC27D8"/>
    <w:rsid w:val="00EC2AAD"/>
    <w:rsid w:val="00EC2E20"/>
    <w:rsid w:val="00EC31F9"/>
    <w:rsid w:val="00EC45C1"/>
    <w:rsid w:val="00EC5570"/>
    <w:rsid w:val="00EC596F"/>
    <w:rsid w:val="00EC68B2"/>
    <w:rsid w:val="00EC6931"/>
    <w:rsid w:val="00EC73C8"/>
    <w:rsid w:val="00EC74EB"/>
    <w:rsid w:val="00ED0E31"/>
    <w:rsid w:val="00ED1405"/>
    <w:rsid w:val="00ED147C"/>
    <w:rsid w:val="00ED18FD"/>
    <w:rsid w:val="00ED19E9"/>
    <w:rsid w:val="00ED1A76"/>
    <w:rsid w:val="00ED1C8D"/>
    <w:rsid w:val="00ED218D"/>
    <w:rsid w:val="00ED273B"/>
    <w:rsid w:val="00ED2D1D"/>
    <w:rsid w:val="00ED3A8E"/>
    <w:rsid w:val="00ED3AB2"/>
    <w:rsid w:val="00ED4CBA"/>
    <w:rsid w:val="00ED56AB"/>
    <w:rsid w:val="00ED5BE1"/>
    <w:rsid w:val="00ED6AAB"/>
    <w:rsid w:val="00EE04C1"/>
    <w:rsid w:val="00EE0BA9"/>
    <w:rsid w:val="00EE0D3E"/>
    <w:rsid w:val="00EE140F"/>
    <w:rsid w:val="00EE14C5"/>
    <w:rsid w:val="00EE3522"/>
    <w:rsid w:val="00EE3652"/>
    <w:rsid w:val="00EE36D7"/>
    <w:rsid w:val="00EE39AD"/>
    <w:rsid w:val="00EE39F1"/>
    <w:rsid w:val="00EE4E4B"/>
    <w:rsid w:val="00EE5C5E"/>
    <w:rsid w:val="00EE5D7E"/>
    <w:rsid w:val="00EE5E58"/>
    <w:rsid w:val="00EF04A0"/>
    <w:rsid w:val="00EF0CEF"/>
    <w:rsid w:val="00EF1247"/>
    <w:rsid w:val="00EF2493"/>
    <w:rsid w:val="00EF36AC"/>
    <w:rsid w:val="00EF49F0"/>
    <w:rsid w:val="00EF4EC3"/>
    <w:rsid w:val="00EF56CE"/>
    <w:rsid w:val="00EF5AA9"/>
    <w:rsid w:val="00EF619B"/>
    <w:rsid w:val="00EF6972"/>
    <w:rsid w:val="00EF7231"/>
    <w:rsid w:val="00EF774B"/>
    <w:rsid w:val="00F005EE"/>
    <w:rsid w:val="00F00B55"/>
    <w:rsid w:val="00F0193E"/>
    <w:rsid w:val="00F04A71"/>
    <w:rsid w:val="00F04AFE"/>
    <w:rsid w:val="00F04B92"/>
    <w:rsid w:val="00F059CF"/>
    <w:rsid w:val="00F05B63"/>
    <w:rsid w:val="00F06961"/>
    <w:rsid w:val="00F0764A"/>
    <w:rsid w:val="00F1005F"/>
    <w:rsid w:val="00F11242"/>
    <w:rsid w:val="00F11741"/>
    <w:rsid w:val="00F1215D"/>
    <w:rsid w:val="00F1380F"/>
    <w:rsid w:val="00F13CDA"/>
    <w:rsid w:val="00F14613"/>
    <w:rsid w:val="00F14F0E"/>
    <w:rsid w:val="00F14F98"/>
    <w:rsid w:val="00F15799"/>
    <w:rsid w:val="00F15B6A"/>
    <w:rsid w:val="00F15CFB"/>
    <w:rsid w:val="00F16AD4"/>
    <w:rsid w:val="00F175ED"/>
    <w:rsid w:val="00F1763D"/>
    <w:rsid w:val="00F17799"/>
    <w:rsid w:val="00F20236"/>
    <w:rsid w:val="00F2059E"/>
    <w:rsid w:val="00F20D2B"/>
    <w:rsid w:val="00F21553"/>
    <w:rsid w:val="00F21703"/>
    <w:rsid w:val="00F2328B"/>
    <w:rsid w:val="00F24C29"/>
    <w:rsid w:val="00F24CE1"/>
    <w:rsid w:val="00F253CC"/>
    <w:rsid w:val="00F25C31"/>
    <w:rsid w:val="00F267BE"/>
    <w:rsid w:val="00F27458"/>
    <w:rsid w:val="00F274FC"/>
    <w:rsid w:val="00F277DB"/>
    <w:rsid w:val="00F27ACD"/>
    <w:rsid w:val="00F27CD8"/>
    <w:rsid w:val="00F30741"/>
    <w:rsid w:val="00F311E2"/>
    <w:rsid w:val="00F31814"/>
    <w:rsid w:val="00F31F0E"/>
    <w:rsid w:val="00F32C55"/>
    <w:rsid w:val="00F3379A"/>
    <w:rsid w:val="00F337EB"/>
    <w:rsid w:val="00F34265"/>
    <w:rsid w:val="00F352FC"/>
    <w:rsid w:val="00F35C2A"/>
    <w:rsid w:val="00F35E2A"/>
    <w:rsid w:val="00F3660C"/>
    <w:rsid w:val="00F36D40"/>
    <w:rsid w:val="00F36F27"/>
    <w:rsid w:val="00F37044"/>
    <w:rsid w:val="00F37481"/>
    <w:rsid w:val="00F37F99"/>
    <w:rsid w:val="00F40879"/>
    <w:rsid w:val="00F40B92"/>
    <w:rsid w:val="00F4129A"/>
    <w:rsid w:val="00F427E6"/>
    <w:rsid w:val="00F434F9"/>
    <w:rsid w:val="00F438CD"/>
    <w:rsid w:val="00F441B9"/>
    <w:rsid w:val="00F44529"/>
    <w:rsid w:val="00F452F9"/>
    <w:rsid w:val="00F45EBF"/>
    <w:rsid w:val="00F461D1"/>
    <w:rsid w:val="00F46498"/>
    <w:rsid w:val="00F503B5"/>
    <w:rsid w:val="00F508E3"/>
    <w:rsid w:val="00F511F7"/>
    <w:rsid w:val="00F51F0D"/>
    <w:rsid w:val="00F5237B"/>
    <w:rsid w:val="00F545AC"/>
    <w:rsid w:val="00F548A6"/>
    <w:rsid w:val="00F5497B"/>
    <w:rsid w:val="00F54CB0"/>
    <w:rsid w:val="00F55507"/>
    <w:rsid w:val="00F55F3B"/>
    <w:rsid w:val="00F5694D"/>
    <w:rsid w:val="00F56A40"/>
    <w:rsid w:val="00F56BA5"/>
    <w:rsid w:val="00F56BE1"/>
    <w:rsid w:val="00F56D59"/>
    <w:rsid w:val="00F57538"/>
    <w:rsid w:val="00F6022A"/>
    <w:rsid w:val="00F60E01"/>
    <w:rsid w:val="00F61379"/>
    <w:rsid w:val="00F6160F"/>
    <w:rsid w:val="00F61BE4"/>
    <w:rsid w:val="00F6255A"/>
    <w:rsid w:val="00F62C42"/>
    <w:rsid w:val="00F637BF"/>
    <w:rsid w:val="00F642A9"/>
    <w:rsid w:val="00F644B2"/>
    <w:rsid w:val="00F644E6"/>
    <w:rsid w:val="00F6589A"/>
    <w:rsid w:val="00F66BDC"/>
    <w:rsid w:val="00F712EC"/>
    <w:rsid w:val="00F71643"/>
    <w:rsid w:val="00F71F53"/>
    <w:rsid w:val="00F725D1"/>
    <w:rsid w:val="00F737D9"/>
    <w:rsid w:val="00F7392C"/>
    <w:rsid w:val="00F746CA"/>
    <w:rsid w:val="00F74B0B"/>
    <w:rsid w:val="00F760C8"/>
    <w:rsid w:val="00F769C7"/>
    <w:rsid w:val="00F7730A"/>
    <w:rsid w:val="00F776B4"/>
    <w:rsid w:val="00F7784C"/>
    <w:rsid w:val="00F77995"/>
    <w:rsid w:val="00F77BFA"/>
    <w:rsid w:val="00F77E6F"/>
    <w:rsid w:val="00F820EF"/>
    <w:rsid w:val="00F82683"/>
    <w:rsid w:val="00F83D11"/>
    <w:rsid w:val="00F84BC2"/>
    <w:rsid w:val="00F857F6"/>
    <w:rsid w:val="00F86586"/>
    <w:rsid w:val="00F86B08"/>
    <w:rsid w:val="00F86E36"/>
    <w:rsid w:val="00F86EE8"/>
    <w:rsid w:val="00F86F6E"/>
    <w:rsid w:val="00F87A9A"/>
    <w:rsid w:val="00F916AC"/>
    <w:rsid w:val="00F92CA1"/>
    <w:rsid w:val="00F93061"/>
    <w:rsid w:val="00F93826"/>
    <w:rsid w:val="00F945F6"/>
    <w:rsid w:val="00F9518D"/>
    <w:rsid w:val="00F9653B"/>
    <w:rsid w:val="00F97714"/>
    <w:rsid w:val="00F97B89"/>
    <w:rsid w:val="00F97D53"/>
    <w:rsid w:val="00FA081A"/>
    <w:rsid w:val="00FA1759"/>
    <w:rsid w:val="00FA1ADA"/>
    <w:rsid w:val="00FA2245"/>
    <w:rsid w:val="00FA2C02"/>
    <w:rsid w:val="00FA2C1D"/>
    <w:rsid w:val="00FA310E"/>
    <w:rsid w:val="00FA359A"/>
    <w:rsid w:val="00FA3BDF"/>
    <w:rsid w:val="00FA63CD"/>
    <w:rsid w:val="00FA7982"/>
    <w:rsid w:val="00FA7CCD"/>
    <w:rsid w:val="00FB0E27"/>
    <w:rsid w:val="00FB0F94"/>
    <w:rsid w:val="00FB10AF"/>
    <w:rsid w:val="00FB1A16"/>
    <w:rsid w:val="00FB1A3C"/>
    <w:rsid w:val="00FB2597"/>
    <w:rsid w:val="00FB4EE9"/>
    <w:rsid w:val="00FB558C"/>
    <w:rsid w:val="00FB576D"/>
    <w:rsid w:val="00FB62CF"/>
    <w:rsid w:val="00FB74AE"/>
    <w:rsid w:val="00FC052E"/>
    <w:rsid w:val="00FC084F"/>
    <w:rsid w:val="00FC126B"/>
    <w:rsid w:val="00FC1E3D"/>
    <w:rsid w:val="00FC3262"/>
    <w:rsid w:val="00FC3283"/>
    <w:rsid w:val="00FC3EB4"/>
    <w:rsid w:val="00FC544A"/>
    <w:rsid w:val="00FC6C58"/>
    <w:rsid w:val="00FC789C"/>
    <w:rsid w:val="00FC78B0"/>
    <w:rsid w:val="00FD0B4D"/>
    <w:rsid w:val="00FD1C8A"/>
    <w:rsid w:val="00FD1DD0"/>
    <w:rsid w:val="00FD1E1C"/>
    <w:rsid w:val="00FD279F"/>
    <w:rsid w:val="00FD3BD1"/>
    <w:rsid w:val="00FD49B3"/>
    <w:rsid w:val="00FD5518"/>
    <w:rsid w:val="00FD635E"/>
    <w:rsid w:val="00FD71F0"/>
    <w:rsid w:val="00FD746F"/>
    <w:rsid w:val="00FE022B"/>
    <w:rsid w:val="00FE09CA"/>
    <w:rsid w:val="00FE140A"/>
    <w:rsid w:val="00FE144F"/>
    <w:rsid w:val="00FE157F"/>
    <w:rsid w:val="00FE1EAD"/>
    <w:rsid w:val="00FE1FFB"/>
    <w:rsid w:val="00FE21AB"/>
    <w:rsid w:val="00FE3B59"/>
    <w:rsid w:val="00FE3CEC"/>
    <w:rsid w:val="00FE40DE"/>
    <w:rsid w:val="00FE4DCD"/>
    <w:rsid w:val="00FE5000"/>
    <w:rsid w:val="00FE5165"/>
    <w:rsid w:val="00FE57F6"/>
    <w:rsid w:val="00FE6B45"/>
    <w:rsid w:val="00FE6B58"/>
    <w:rsid w:val="00FE6EBC"/>
    <w:rsid w:val="00FE769E"/>
    <w:rsid w:val="00FF05BC"/>
    <w:rsid w:val="00FF0651"/>
    <w:rsid w:val="00FF087F"/>
    <w:rsid w:val="00FF1A72"/>
    <w:rsid w:val="00FF1B5F"/>
    <w:rsid w:val="00FF1C1C"/>
    <w:rsid w:val="00FF2B99"/>
    <w:rsid w:val="00FF379A"/>
    <w:rsid w:val="00FF3FB7"/>
    <w:rsid w:val="00FF4B22"/>
    <w:rsid w:val="00FF5724"/>
    <w:rsid w:val="00FF5851"/>
    <w:rsid w:val="00FF6C89"/>
    <w:rsid w:val="00FF7818"/>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99"/>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E07EB"/>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6E07EB"/>
    <w:pPr>
      <w:tabs>
        <w:tab w:val="left" w:pos="1080"/>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36F32"/>
    <w:pPr>
      <w:tabs>
        <w:tab w:val="left" w:pos="880"/>
        <w:tab w:val="left" w:pos="1440"/>
        <w:tab w:val="left" w:pos="1800"/>
        <w:tab w:val="right" w:leader="dot" w:pos="9350"/>
      </w:tabs>
      <w:spacing w:after="100"/>
      <w:ind w:left="180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uiPriority w:val="99"/>
    <w:rsid w:val="00191F07"/>
    <w:rPr>
      <w:rFonts w:cs="Arial Unicode MS"/>
      <w:color w:val="000000"/>
      <w:u w:color="000000"/>
      <w:lang w:val="en-US" w:eastAsia="en-US"/>
    </w:rPr>
  </w:style>
  <w:style w:type="numbering" w:customStyle="1" w:styleId="ImportedStyle3">
    <w:name w:val="Imported Style 3"/>
    <w:rsid w:val="006A72B7"/>
    <w:pPr>
      <w:numPr>
        <w:numId w:val="62"/>
      </w:numPr>
    </w:pPr>
  </w:style>
  <w:style w:type="numbering" w:customStyle="1" w:styleId="ImportedStyle4">
    <w:name w:val="Imported Style 4"/>
    <w:rsid w:val="00EA425E"/>
    <w:pPr>
      <w:numPr>
        <w:numId w:val="63"/>
      </w:numPr>
    </w:pPr>
  </w:style>
  <w:style w:type="numbering" w:customStyle="1" w:styleId="ImportedStyle5">
    <w:name w:val="Imported Style 5"/>
    <w:rsid w:val="00C80BAC"/>
    <w:pPr>
      <w:numPr>
        <w:numId w:val="64"/>
      </w:numPr>
    </w:pPr>
  </w:style>
  <w:style w:type="numbering" w:customStyle="1" w:styleId="ImportedStyle6">
    <w:name w:val="Imported Style 6"/>
    <w:rsid w:val="00264225"/>
    <w:pPr>
      <w:numPr>
        <w:numId w:val="65"/>
      </w:numPr>
    </w:pPr>
  </w:style>
  <w:style w:type="numbering" w:customStyle="1" w:styleId="ImportedStyle8">
    <w:name w:val="Imported Style 8"/>
    <w:rsid w:val="00037CC9"/>
    <w:pPr>
      <w:numPr>
        <w:numId w:val="67"/>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customStyle="1" w:styleId="norm">
    <w:name w:val="norm"/>
    <w:basedOn w:val="Normal"/>
    <w:rsid w:val="00ED1C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pPr>
    <w:rPr>
      <w:rFonts w:ascii="Palatino Linotype" w:eastAsia="Times New Roman" w:hAnsi="Palatino Linotype"/>
      <w:sz w:val="28"/>
      <w:szCs w:val="28"/>
      <w:bdr w:val="none" w:sz="0" w:space="0" w:color="auto"/>
    </w:rPr>
  </w:style>
  <w:style w:type="character" w:customStyle="1" w:styleId="bold1">
    <w:name w:val="bold1"/>
    <w:basedOn w:val="DefaultParagraphFont"/>
    <w:rsid w:val="00ED1C8D"/>
    <w:rPr>
      <w:rFonts w:ascii="Palatino Linotype" w:hAnsi="Palatino Linotype" w:hint="default"/>
      <w:b/>
      <w:bCs/>
      <w:sz w:val="28"/>
      <w:szCs w:val="28"/>
    </w:rPr>
  </w:style>
  <w:style w:type="paragraph" w:customStyle="1" w:styleId="tiny">
    <w:name w:val="tiny"/>
    <w:basedOn w:val="Normal"/>
    <w:rsid w:val="001E5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i/>
      <w:iCs/>
      <w:color w:val="FFFFFF"/>
      <w:sz w:val="8"/>
      <w:szCs w:val="8"/>
      <w:bdr w:val="none" w:sz="0" w:space="0" w:color="auto"/>
    </w:rPr>
  </w:style>
  <w:style w:type="paragraph" w:styleId="BodyTextIndent2">
    <w:name w:val="Body Text Indent 2"/>
    <w:basedOn w:val="Normal"/>
    <w:link w:val="BodyTextIndent2Char"/>
    <w:semiHidden/>
    <w:unhideWhenUsed/>
    <w:rsid w:val="00BA273E"/>
    <w:pPr>
      <w:spacing w:after="120" w:line="480" w:lineRule="auto"/>
      <w:ind w:left="360"/>
    </w:pPr>
  </w:style>
  <w:style w:type="character" w:customStyle="1" w:styleId="BodyTextIndent2Char">
    <w:name w:val="Body Text Indent 2 Char"/>
    <w:basedOn w:val="DefaultParagraphFont"/>
    <w:link w:val="BodyTextIndent2"/>
    <w:semiHidden/>
    <w:rsid w:val="00BA273E"/>
    <w:rPr>
      <w:lang w:val="en-US" w:eastAsia="en-US"/>
    </w:rPr>
  </w:style>
  <w:style w:type="character" w:styleId="FollowedHyperlink">
    <w:name w:val="FollowedHyperlink"/>
    <w:basedOn w:val="DefaultParagraphFont"/>
    <w:unhideWhenUsed/>
    <w:rsid w:val="004A6DEF"/>
    <w:rPr>
      <w:color w:val="800080" w:themeColor="followedHyperlink"/>
      <w:u w:val="single"/>
    </w:rPr>
  </w:style>
  <w:style w:type="paragraph" w:customStyle="1" w:styleId="xmsonormal">
    <w:name w:val="x_msonormal"/>
    <w:basedOn w:val="Normal"/>
    <w:rsid w:val="004F11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4F11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34296202">
      <w:bodyDiv w:val="1"/>
      <w:marLeft w:val="0"/>
      <w:marRight w:val="0"/>
      <w:marTop w:val="0"/>
      <w:marBottom w:val="0"/>
      <w:divBdr>
        <w:top w:val="none" w:sz="0" w:space="0" w:color="auto"/>
        <w:left w:val="none" w:sz="0" w:space="0" w:color="auto"/>
        <w:bottom w:val="none" w:sz="0" w:space="0" w:color="auto"/>
        <w:right w:val="none" w:sz="0" w:space="0" w:color="auto"/>
      </w:divBdr>
    </w:div>
    <w:div w:id="534736935">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71164389">
      <w:bodyDiv w:val="1"/>
      <w:marLeft w:val="0"/>
      <w:marRight w:val="0"/>
      <w:marTop w:val="0"/>
      <w:marBottom w:val="0"/>
      <w:divBdr>
        <w:top w:val="none" w:sz="0" w:space="0" w:color="auto"/>
        <w:left w:val="none" w:sz="0" w:space="0" w:color="auto"/>
        <w:bottom w:val="none" w:sz="0" w:space="0" w:color="auto"/>
        <w:right w:val="none" w:sz="0" w:space="0" w:color="auto"/>
      </w:divBdr>
      <w:divsChild>
        <w:div w:id="1653824192">
          <w:marLeft w:val="0"/>
          <w:marRight w:val="0"/>
          <w:marTop w:val="0"/>
          <w:marBottom w:val="0"/>
          <w:divBdr>
            <w:top w:val="none" w:sz="0" w:space="0" w:color="auto"/>
            <w:left w:val="none" w:sz="0" w:space="0" w:color="auto"/>
            <w:bottom w:val="none" w:sz="0" w:space="0" w:color="auto"/>
            <w:right w:val="none" w:sz="0" w:space="0" w:color="auto"/>
          </w:divBdr>
          <w:divsChild>
            <w:div w:id="252052519">
              <w:marLeft w:val="0"/>
              <w:marRight w:val="0"/>
              <w:marTop w:val="0"/>
              <w:marBottom w:val="0"/>
              <w:divBdr>
                <w:top w:val="none" w:sz="0" w:space="0" w:color="auto"/>
                <w:left w:val="none" w:sz="0" w:space="0" w:color="auto"/>
                <w:bottom w:val="none" w:sz="0" w:space="0" w:color="auto"/>
                <w:right w:val="none" w:sz="0" w:space="0" w:color="auto"/>
              </w:divBdr>
              <w:divsChild>
                <w:div w:id="1794327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825510943">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07296216">
      <w:bodyDiv w:val="1"/>
      <w:marLeft w:val="0"/>
      <w:marRight w:val="0"/>
      <w:marTop w:val="0"/>
      <w:marBottom w:val="0"/>
      <w:divBdr>
        <w:top w:val="none" w:sz="0" w:space="0" w:color="auto"/>
        <w:left w:val="none" w:sz="0" w:space="0" w:color="auto"/>
        <w:bottom w:val="none" w:sz="0" w:space="0" w:color="auto"/>
        <w:right w:val="none" w:sz="0" w:space="0" w:color="auto"/>
      </w:divBdr>
      <w:divsChild>
        <w:div w:id="1089429906">
          <w:marLeft w:val="0"/>
          <w:marRight w:val="0"/>
          <w:marTop w:val="0"/>
          <w:marBottom w:val="0"/>
          <w:divBdr>
            <w:top w:val="none" w:sz="0" w:space="0" w:color="auto"/>
            <w:left w:val="none" w:sz="0" w:space="0" w:color="auto"/>
            <w:bottom w:val="none" w:sz="0" w:space="0" w:color="auto"/>
            <w:right w:val="none" w:sz="0" w:space="0" w:color="auto"/>
          </w:divBdr>
          <w:divsChild>
            <w:div w:id="32312152">
              <w:marLeft w:val="0"/>
              <w:marRight w:val="0"/>
              <w:marTop w:val="0"/>
              <w:marBottom w:val="0"/>
              <w:divBdr>
                <w:top w:val="none" w:sz="0" w:space="0" w:color="auto"/>
                <w:left w:val="none" w:sz="0" w:space="0" w:color="auto"/>
                <w:bottom w:val="none" w:sz="0" w:space="0" w:color="auto"/>
                <w:right w:val="none" w:sz="0" w:space="0" w:color="auto"/>
              </w:divBdr>
              <w:divsChild>
                <w:div w:id="491483317">
                  <w:marLeft w:val="0"/>
                  <w:marRight w:val="0"/>
                  <w:marTop w:val="0"/>
                  <w:marBottom w:val="0"/>
                  <w:divBdr>
                    <w:top w:val="none" w:sz="0" w:space="0" w:color="auto"/>
                    <w:left w:val="none" w:sz="0" w:space="0" w:color="auto"/>
                    <w:bottom w:val="none" w:sz="0" w:space="0" w:color="auto"/>
                    <w:right w:val="none" w:sz="0" w:space="0" w:color="auto"/>
                  </w:divBdr>
                  <w:divsChild>
                    <w:div w:id="1401051643">
                      <w:marLeft w:val="0"/>
                      <w:marRight w:val="0"/>
                      <w:marTop w:val="0"/>
                      <w:marBottom w:val="0"/>
                      <w:divBdr>
                        <w:top w:val="none" w:sz="0" w:space="0" w:color="auto"/>
                        <w:left w:val="none" w:sz="0" w:space="0" w:color="auto"/>
                        <w:bottom w:val="none" w:sz="0" w:space="0" w:color="auto"/>
                        <w:right w:val="none" w:sz="0" w:space="0" w:color="auto"/>
                      </w:divBdr>
                      <w:divsChild>
                        <w:div w:id="1004211956">
                          <w:marLeft w:val="0"/>
                          <w:marRight w:val="0"/>
                          <w:marTop w:val="0"/>
                          <w:marBottom w:val="0"/>
                          <w:divBdr>
                            <w:top w:val="none" w:sz="0" w:space="0" w:color="auto"/>
                            <w:left w:val="none" w:sz="0" w:space="0" w:color="auto"/>
                            <w:bottom w:val="none" w:sz="0" w:space="0" w:color="auto"/>
                            <w:right w:val="none" w:sz="0" w:space="0" w:color="auto"/>
                          </w:divBdr>
                          <w:divsChild>
                            <w:div w:id="6190691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450006191">
      <w:bodyDiv w:val="1"/>
      <w:marLeft w:val="0"/>
      <w:marRight w:val="0"/>
      <w:marTop w:val="0"/>
      <w:marBottom w:val="0"/>
      <w:divBdr>
        <w:top w:val="none" w:sz="0" w:space="0" w:color="auto"/>
        <w:left w:val="none" w:sz="0" w:space="0" w:color="auto"/>
        <w:bottom w:val="none" w:sz="0" w:space="0" w:color="auto"/>
        <w:right w:val="none" w:sz="0" w:space="0" w:color="auto"/>
      </w:divBdr>
      <w:divsChild>
        <w:div w:id="877820074">
          <w:marLeft w:val="0"/>
          <w:marRight w:val="0"/>
          <w:marTop w:val="0"/>
          <w:marBottom w:val="0"/>
          <w:divBdr>
            <w:top w:val="none" w:sz="0" w:space="0" w:color="auto"/>
            <w:left w:val="none" w:sz="0" w:space="0" w:color="auto"/>
            <w:bottom w:val="none" w:sz="0" w:space="0" w:color="auto"/>
            <w:right w:val="none" w:sz="0" w:space="0" w:color="auto"/>
          </w:divBdr>
        </w:div>
      </w:divsChild>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559756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63204573">
      <w:bodyDiv w:val="1"/>
      <w:marLeft w:val="0"/>
      <w:marRight w:val="0"/>
      <w:marTop w:val="0"/>
      <w:marBottom w:val="0"/>
      <w:divBdr>
        <w:top w:val="none" w:sz="0" w:space="0" w:color="auto"/>
        <w:left w:val="none" w:sz="0" w:space="0" w:color="auto"/>
        <w:bottom w:val="none" w:sz="0" w:space="0" w:color="auto"/>
        <w:right w:val="none" w:sz="0" w:space="0" w:color="auto"/>
      </w:divBdr>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51158354">
      <w:bodyDiv w:val="1"/>
      <w:marLeft w:val="0"/>
      <w:marRight w:val="0"/>
      <w:marTop w:val="0"/>
      <w:marBottom w:val="0"/>
      <w:divBdr>
        <w:top w:val="none" w:sz="0" w:space="0" w:color="auto"/>
        <w:left w:val="none" w:sz="0" w:space="0" w:color="auto"/>
        <w:bottom w:val="none" w:sz="0" w:space="0" w:color="auto"/>
        <w:right w:val="none" w:sz="0" w:space="0" w:color="auto"/>
      </w:divBdr>
      <w:divsChild>
        <w:div w:id="1000886464">
          <w:marLeft w:val="0"/>
          <w:marRight w:val="0"/>
          <w:marTop w:val="0"/>
          <w:marBottom w:val="0"/>
          <w:divBdr>
            <w:top w:val="none" w:sz="0" w:space="0" w:color="auto"/>
            <w:left w:val="none" w:sz="0" w:space="0" w:color="auto"/>
            <w:bottom w:val="none" w:sz="0" w:space="0" w:color="auto"/>
            <w:right w:val="none" w:sz="0" w:space="0" w:color="auto"/>
          </w:divBdr>
          <w:divsChild>
            <w:div w:id="637539221">
              <w:marLeft w:val="0"/>
              <w:marRight w:val="0"/>
              <w:marTop w:val="0"/>
              <w:marBottom w:val="0"/>
              <w:divBdr>
                <w:top w:val="none" w:sz="0" w:space="0" w:color="auto"/>
                <w:left w:val="none" w:sz="0" w:space="0" w:color="auto"/>
                <w:bottom w:val="none" w:sz="0" w:space="0" w:color="auto"/>
                <w:right w:val="none" w:sz="0" w:space="0" w:color="auto"/>
              </w:divBdr>
              <w:divsChild>
                <w:div w:id="40861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5847747">
      <w:bodyDiv w:val="1"/>
      <w:marLeft w:val="0"/>
      <w:marRight w:val="0"/>
      <w:marTop w:val="0"/>
      <w:marBottom w:val="0"/>
      <w:divBdr>
        <w:top w:val="none" w:sz="0" w:space="0" w:color="auto"/>
        <w:left w:val="none" w:sz="0" w:space="0" w:color="auto"/>
        <w:bottom w:val="none" w:sz="0" w:space="0" w:color="auto"/>
        <w:right w:val="none" w:sz="0" w:space="0" w:color="auto"/>
      </w:divBdr>
      <w:divsChild>
        <w:div w:id="1438209429">
          <w:marLeft w:val="0"/>
          <w:marRight w:val="0"/>
          <w:marTop w:val="0"/>
          <w:marBottom w:val="0"/>
          <w:divBdr>
            <w:top w:val="none" w:sz="0" w:space="0" w:color="auto"/>
            <w:left w:val="none" w:sz="0" w:space="0" w:color="auto"/>
            <w:bottom w:val="none" w:sz="0" w:space="0" w:color="auto"/>
            <w:right w:val="none" w:sz="0" w:space="0" w:color="auto"/>
          </w:divBdr>
          <w:divsChild>
            <w:div w:id="1718896183">
              <w:marLeft w:val="0"/>
              <w:marRight w:val="0"/>
              <w:marTop w:val="0"/>
              <w:marBottom w:val="0"/>
              <w:divBdr>
                <w:top w:val="none" w:sz="0" w:space="0" w:color="auto"/>
                <w:left w:val="none" w:sz="0" w:space="0" w:color="auto"/>
                <w:bottom w:val="none" w:sz="0" w:space="0" w:color="auto"/>
                <w:right w:val="none" w:sz="0" w:space="0" w:color="auto"/>
              </w:divBdr>
            </w:div>
            <w:div w:id="1315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revisor.mo.gov/main/OneChapter.aspx?chapter=19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revisor.mo.gov/main/OneSection.aspx?section=579" TargetMode="External"/><Relationship Id="rId2" Type="http://schemas.openxmlformats.org/officeDocument/2006/relationships/numbering" Target="numbering.xml"/><Relationship Id="rId16" Type="http://schemas.openxmlformats.org/officeDocument/2006/relationships/hyperlink" Target="http://revisor.mo.gov/main/OneChapter.aspx?chapter=195" TargetMode="External"/><Relationship Id="rId20" Type="http://schemas.openxmlformats.org/officeDocument/2006/relationships/hyperlink" Target="http://revisor.mo.gov/main/OneSection.aspx?section=578.4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revisor.mo.gov/main/OneSection.aspx?section=579"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rteidh.or.cr/docs/casos/articulos/Seriec_94_esp.pdf" TargetMode="External"/><Relationship Id="rId13" Type="http://schemas.openxmlformats.org/officeDocument/2006/relationships/hyperlink" Target="http://www.corteidh.or.cr/docs/casos/articulos/Seriec_94_esp.pdf" TargetMode="External"/><Relationship Id="rId18" Type="http://schemas.openxmlformats.org/officeDocument/2006/relationships/hyperlink" Target="https://undocs.org/pdf?symbol=es/A/67/279" TargetMode="External"/><Relationship Id="rId26" Type="http://schemas.openxmlformats.org/officeDocument/2006/relationships/hyperlink" Target="https://www.acnur.org/fileadmin/Documentos/BDL/2001/0102.pdf?file=fileadmin/Documentos/BDL/2001/0102" TargetMode="External"/><Relationship Id="rId3" Type="http://schemas.openxmlformats.org/officeDocument/2006/relationships/hyperlink" Target="https://www.seattletimes.com/nation-world/ex-missouri-death-row-inmate-re-sentenced-to-life-in-prison/" TargetMode="External"/><Relationship Id="rId21" Type="http://schemas.openxmlformats.org/officeDocument/2006/relationships/hyperlink" Target="https://www.cidh.oas.org/countryrep/Guatemala01sp/indice.htm" TargetMode="External"/><Relationship Id="rId7" Type="http://schemas.openxmlformats.org/officeDocument/2006/relationships/hyperlink" Target="http://www.oas.org/es/cidh/decisiones/2014/USPU12873ES.pdf" TargetMode="External"/><Relationship Id="rId12" Type="http://schemas.openxmlformats.org/officeDocument/2006/relationships/hyperlink" Target="http://www.corteidh.or.cr/docs/casos/articulos/Seriec_94_esp.pdf" TargetMode="External"/><Relationship Id="rId17" Type="http://schemas.openxmlformats.org/officeDocument/2006/relationships/hyperlink" Target="https://www.oas.org/es/cidh/decisiones/2018/USPU12958ES.pdf" TargetMode="External"/><Relationship Id="rId25" Type="http://schemas.openxmlformats.org/officeDocument/2006/relationships/hyperlink" Target="https://www.cidh.oas.org/countryrep/Guatemala01sp/indice.htm" TargetMode="External"/><Relationship Id="rId2" Type="http://schemas.openxmlformats.org/officeDocument/2006/relationships/hyperlink" Target="https://www.bnd.com/news/local/crime/article190391684.html" TargetMode="External"/><Relationship Id="rId16" Type="http://schemas.openxmlformats.org/officeDocument/2006/relationships/hyperlink" Target="https://www.oas.org/es/cidh/decisiones/2013/USPU12864ES.doc" TargetMode="External"/><Relationship Id="rId20" Type="http://schemas.openxmlformats.org/officeDocument/2006/relationships/hyperlink" Target="https://www.cidh.oas.org/annualrep/2000sp/CapituloIII/Fondo/EEUU12.243a.htm" TargetMode="External"/><Relationship Id="rId1" Type="http://schemas.openxmlformats.org/officeDocument/2006/relationships/hyperlink" Target="https://caselaw.findlaw.com/mo-court-of-appeals/1862318.html" TargetMode="External"/><Relationship Id="rId6" Type="http://schemas.openxmlformats.org/officeDocument/2006/relationships/hyperlink" Target="https://www.cidh.oas.org/annualrep/2007sp/Bahamas12265sp.htm" TargetMode="External"/><Relationship Id="rId11" Type="http://schemas.openxmlformats.org/officeDocument/2006/relationships/hyperlink" Target="https://www.ohchr.org/SP/ProfessionalInterest/Pages/DeathPenalty.aspx" TargetMode="External"/><Relationship Id="rId24" Type="http://schemas.openxmlformats.org/officeDocument/2006/relationships/hyperlink" Target="https://www.cidh.oas.org/annualrep/2000sp/CapituloIII/Fondo/EEUU12.243a.htm" TargetMode="External"/><Relationship Id="rId5" Type="http://schemas.openxmlformats.org/officeDocument/2006/relationships/hyperlink" Target="https://www.oas.org/es/cidh/docs/pdfs/penademuerte.pdf" TargetMode="External"/><Relationship Id="rId15" Type="http://schemas.openxmlformats.org/officeDocument/2006/relationships/hyperlink" Target="https://www.oas.org/es/cidh/decisiones/2018/USPU12958ES.pdf" TargetMode="External"/><Relationship Id="rId23" Type="http://schemas.openxmlformats.org/officeDocument/2006/relationships/hyperlink" Target="https://www.cidh.oas.org/countryrep/Guatemala01sp/indice.htm" TargetMode="External"/><Relationship Id="rId28" Type="http://schemas.openxmlformats.org/officeDocument/2006/relationships/hyperlink" Target="https://www.oas.org/es/cidh/docs/pdfs/penademuerte.pdf" TargetMode="External"/><Relationship Id="rId10" Type="http://schemas.openxmlformats.org/officeDocument/2006/relationships/hyperlink" Target="http://www.academicsforabolition.net/files/2016/04/ap20.pdf" TargetMode="External"/><Relationship Id="rId19" Type="http://schemas.openxmlformats.org/officeDocument/2006/relationships/hyperlink" Target="https://undocs.org/pdf?symbol=es/A/67/279" TargetMode="External"/><Relationship Id="rId4" Type="http://schemas.openxmlformats.org/officeDocument/2006/relationships/hyperlink" Target="http://www.nydailynews.com/news/crime/ny-news-clemons-sisters-parole-20180925-story.html" TargetMode="External"/><Relationship Id="rId9" Type="http://schemas.openxmlformats.org/officeDocument/2006/relationships/hyperlink" Target="https://www.ohchr.org/SP/ProfessionalInterest/Pages/CCPR.aspx" TargetMode="External"/><Relationship Id="rId14" Type="http://schemas.openxmlformats.org/officeDocument/2006/relationships/hyperlink" Target="https://www.oas.org/es/cidh/decisiones/corte/2018/11782FondoEs.pdf" TargetMode="External"/><Relationship Id="rId22" Type="http://schemas.openxmlformats.org/officeDocument/2006/relationships/hyperlink" Target="https://www.cidh.oas.org/annualrep/2000sp/CapituloIII/Fondo/EEUU12.243a.htm" TargetMode="External"/><Relationship Id="rId27" Type="http://schemas.openxmlformats.org/officeDocument/2006/relationships/hyperlink" Target="https://www.oas.org/es/cidh/docs/pdfs/penademuer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9239-784F-1242-B71C-7009CC15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10380</Words>
  <Characters>53667</Characters>
  <Application>Microsoft Office Word</Application>
  <DocSecurity>0</DocSecurity>
  <Lines>894</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462/21</dc:title>
  <dc:creator/>
  <cp:lastModifiedBy/>
  <cp:revision>1</cp:revision>
  <dcterms:created xsi:type="dcterms:W3CDTF">2022-04-04T16:23:00Z</dcterms:created>
  <dcterms:modified xsi:type="dcterms:W3CDTF">2022-04-04T16:23:00Z</dcterms:modified>
</cp:coreProperties>
</file>