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5EA73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493D79" w:rsidRDefault="00493D79"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493D79" w:rsidRDefault="00493D79" w:rsidP="00AE5488">
                      <w:r>
                        <w:rPr>
                          <w:noProof/>
                          <w:lang w:val="pt-BR" w:eastAsia="pt-BR"/>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60D26CE" w:rsidR="00493D79" w:rsidRPr="004E2649" w:rsidRDefault="00493D7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91125">
                              <w:rPr>
                                <w:rFonts w:asciiTheme="majorHAnsi" w:hAnsiTheme="majorHAnsi" w:cs="Arial"/>
                                <w:b/>
                                <w:bCs/>
                                <w:color w:val="0D0D0D" w:themeColor="text1" w:themeTint="F2"/>
                                <w:sz w:val="36"/>
                                <w:szCs w:val="22"/>
                                <w:lang w:val="es-ES_tradnl"/>
                              </w:rPr>
                              <w:t>110</w:t>
                            </w:r>
                            <w:r>
                              <w:rPr>
                                <w:rFonts w:asciiTheme="majorHAnsi" w:hAnsiTheme="majorHAnsi" w:cs="Arial"/>
                                <w:b/>
                                <w:bCs/>
                                <w:color w:val="0D0D0D" w:themeColor="text1" w:themeTint="F2"/>
                                <w:sz w:val="36"/>
                                <w:szCs w:val="22"/>
                                <w:lang w:val="es-ES_tradnl"/>
                              </w:rPr>
                              <w:t>/</w:t>
                            </w:r>
                            <w:r w:rsidR="005B7598">
                              <w:rPr>
                                <w:rFonts w:asciiTheme="majorHAnsi" w:hAnsiTheme="majorHAnsi" w:cs="Arial"/>
                                <w:b/>
                                <w:bCs/>
                                <w:color w:val="0D0D0D" w:themeColor="text1" w:themeTint="F2"/>
                                <w:sz w:val="36"/>
                                <w:szCs w:val="22"/>
                                <w:lang w:val="es-ES_tradnl"/>
                              </w:rPr>
                              <w:t>2</w:t>
                            </w:r>
                            <w:r w:rsidR="00891125">
                              <w:rPr>
                                <w:rFonts w:asciiTheme="majorHAnsi" w:hAnsiTheme="majorHAnsi" w:cs="Arial"/>
                                <w:b/>
                                <w:bCs/>
                                <w:color w:val="0D0D0D" w:themeColor="text1" w:themeTint="F2"/>
                                <w:sz w:val="36"/>
                                <w:szCs w:val="22"/>
                                <w:lang w:val="es-ES_tradnl"/>
                              </w:rPr>
                              <w:t>1</w:t>
                            </w:r>
                          </w:p>
                          <w:p w14:paraId="09C54AB3" w14:textId="1DA2A2D8" w:rsidR="00493D79" w:rsidRDefault="00493D7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869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3840213D" w:rsidR="00493D79" w:rsidRPr="0010736F" w:rsidRDefault="00493D7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493D79" w:rsidRPr="0010736F" w:rsidRDefault="00493D79" w:rsidP="00997BC5">
                            <w:pPr>
                              <w:spacing w:line="276" w:lineRule="auto"/>
                              <w:rPr>
                                <w:rFonts w:asciiTheme="majorHAnsi" w:hAnsiTheme="majorHAnsi" w:cs="Arial"/>
                                <w:color w:val="0D0D0D" w:themeColor="text1" w:themeTint="F2"/>
                                <w:szCs w:val="22"/>
                                <w:lang w:val="es-ES_tradnl"/>
                              </w:rPr>
                            </w:pPr>
                            <w:bookmarkStart w:id="0" w:name="_ftnref1"/>
                          </w:p>
                          <w:p w14:paraId="4CFA2FBF" w14:textId="62D8DE68" w:rsidR="00493D79" w:rsidRPr="0010736F" w:rsidRDefault="00493D7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VÍCTOR HUGO MARTÍNEZ NICOLÁS</w:t>
                            </w:r>
                          </w:p>
                          <w:bookmarkEnd w:id="0"/>
                          <w:p w14:paraId="35068D0D" w14:textId="2F6858C2" w:rsidR="00493D79" w:rsidRPr="0010736F" w:rsidRDefault="00493D7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75DFD52" w14:textId="77777777" w:rsidR="00493D79" w:rsidRPr="00AE5488" w:rsidRDefault="00493D79"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60D26CE" w:rsidR="00493D79" w:rsidRPr="004E2649" w:rsidRDefault="00493D79"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891125">
                        <w:rPr>
                          <w:rFonts w:asciiTheme="majorHAnsi" w:hAnsiTheme="majorHAnsi" w:cs="Arial"/>
                          <w:b/>
                          <w:bCs/>
                          <w:color w:val="0D0D0D" w:themeColor="text1" w:themeTint="F2"/>
                          <w:sz w:val="36"/>
                          <w:szCs w:val="22"/>
                          <w:lang w:val="es-ES_tradnl"/>
                        </w:rPr>
                        <w:t>110</w:t>
                      </w:r>
                      <w:r>
                        <w:rPr>
                          <w:rFonts w:asciiTheme="majorHAnsi" w:hAnsiTheme="majorHAnsi" w:cs="Arial"/>
                          <w:b/>
                          <w:bCs/>
                          <w:color w:val="0D0D0D" w:themeColor="text1" w:themeTint="F2"/>
                          <w:sz w:val="36"/>
                          <w:szCs w:val="22"/>
                          <w:lang w:val="es-ES_tradnl"/>
                        </w:rPr>
                        <w:t>/</w:t>
                      </w:r>
                      <w:r w:rsidR="005B7598">
                        <w:rPr>
                          <w:rFonts w:asciiTheme="majorHAnsi" w:hAnsiTheme="majorHAnsi" w:cs="Arial"/>
                          <w:b/>
                          <w:bCs/>
                          <w:color w:val="0D0D0D" w:themeColor="text1" w:themeTint="F2"/>
                          <w:sz w:val="36"/>
                          <w:szCs w:val="22"/>
                          <w:lang w:val="es-ES_tradnl"/>
                        </w:rPr>
                        <w:t>2</w:t>
                      </w:r>
                      <w:r w:rsidR="00891125">
                        <w:rPr>
                          <w:rFonts w:asciiTheme="majorHAnsi" w:hAnsiTheme="majorHAnsi" w:cs="Arial"/>
                          <w:b/>
                          <w:bCs/>
                          <w:color w:val="0D0D0D" w:themeColor="text1" w:themeTint="F2"/>
                          <w:sz w:val="36"/>
                          <w:szCs w:val="22"/>
                          <w:lang w:val="es-ES_tradnl"/>
                        </w:rPr>
                        <w:t>1</w:t>
                      </w:r>
                    </w:p>
                    <w:p w14:paraId="09C54AB3" w14:textId="1DA2A2D8" w:rsidR="00493D79" w:rsidRDefault="00493D79"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869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14:paraId="70CF6833" w14:textId="3840213D" w:rsidR="00493D79" w:rsidRPr="0010736F" w:rsidRDefault="00493D79"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493D79" w:rsidRPr="0010736F" w:rsidRDefault="00493D79" w:rsidP="00997BC5">
                      <w:pPr>
                        <w:spacing w:line="276" w:lineRule="auto"/>
                        <w:rPr>
                          <w:rFonts w:asciiTheme="majorHAnsi" w:hAnsiTheme="majorHAnsi" w:cs="Arial"/>
                          <w:color w:val="0D0D0D" w:themeColor="text1" w:themeTint="F2"/>
                          <w:szCs w:val="22"/>
                          <w:lang w:val="es-ES_tradnl"/>
                        </w:rPr>
                      </w:pPr>
                      <w:bookmarkStart w:id="1" w:name="_ftnref1"/>
                    </w:p>
                    <w:p w14:paraId="4CFA2FBF" w14:textId="62D8DE68" w:rsidR="00493D79" w:rsidRPr="0010736F" w:rsidRDefault="00493D7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VÍCTOR HUGO MARTÍNEZ NICOLÁS</w:t>
                      </w:r>
                    </w:p>
                    <w:bookmarkEnd w:id="1"/>
                    <w:p w14:paraId="35068D0D" w14:textId="2F6858C2" w:rsidR="00493D79" w:rsidRPr="0010736F" w:rsidRDefault="00493D79"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14:paraId="575DFD52" w14:textId="77777777" w:rsidR="00493D79" w:rsidRPr="00AE5488" w:rsidRDefault="00493D79"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61F5C0EC" w:rsidR="00493D79" w:rsidRPr="00935F06" w:rsidRDefault="00493D7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1D3A7B45" w:rsidR="00493D79" w:rsidRPr="00891125" w:rsidRDefault="00493D79" w:rsidP="007A5817">
                            <w:pPr>
                              <w:spacing w:line="276" w:lineRule="auto"/>
                              <w:jc w:val="right"/>
                              <w:rPr>
                                <w:rFonts w:asciiTheme="minorHAnsi" w:hAnsiTheme="minorHAnsi"/>
                                <w:color w:val="FFFFFF" w:themeColor="background1"/>
                                <w:sz w:val="22"/>
                                <w:lang w:val="es-419"/>
                              </w:rPr>
                            </w:pPr>
                            <w:r w:rsidRPr="00891125">
                              <w:rPr>
                                <w:rFonts w:asciiTheme="minorHAnsi" w:hAnsiTheme="minorHAnsi"/>
                                <w:color w:val="FFFFFF" w:themeColor="background1"/>
                                <w:sz w:val="22"/>
                                <w:lang w:val="es-419"/>
                              </w:rPr>
                              <w:t xml:space="preserve">Doc. </w:t>
                            </w:r>
                            <w:r w:rsidR="00891125">
                              <w:rPr>
                                <w:rFonts w:asciiTheme="minorHAnsi" w:hAnsiTheme="minorHAnsi"/>
                                <w:color w:val="FFFFFF" w:themeColor="background1"/>
                                <w:sz w:val="22"/>
                                <w:lang w:val="es-419"/>
                              </w:rPr>
                              <w:t>117</w:t>
                            </w:r>
                          </w:p>
                          <w:p w14:paraId="69373ED2" w14:textId="75316665" w:rsidR="00493D79" w:rsidRPr="001B4C00" w:rsidRDefault="00891125"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 junio</w:t>
                            </w:r>
                            <w:r w:rsidR="00493D79" w:rsidRPr="001B4C00">
                              <w:rPr>
                                <w:rFonts w:asciiTheme="minorHAnsi" w:hAnsiTheme="minorHAnsi"/>
                                <w:color w:val="FFFFFF" w:themeColor="background1"/>
                                <w:sz w:val="22"/>
                                <w:lang w:val="es-ES"/>
                              </w:rPr>
                              <w:t xml:space="preserve"> 20</w:t>
                            </w:r>
                            <w:r>
                              <w:rPr>
                                <w:rFonts w:asciiTheme="minorHAnsi" w:hAnsiTheme="minorHAnsi"/>
                                <w:color w:val="FFFFFF" w:themeColor="background1"/>
                                <w:sz w:val="22"/>
                                <w:lang w:val="es-ES"/>
                              </w:rPr>
                              <w:t>2</w:t>
                            </w:r>
                            <w:r w:rsidR="00493D79" w:rsidRPr="001B4C00">
                              <w:rPr>
                                <w:rFonts w:asciiTheme="minorHAnsi" w:hAnsiTheme="minorHAnsi"/>
                                <w:color w:val="FFFFFF" w:themeColor="background1"/>
                                <w:sz w:val="22"/>
                                <w:lang w:val="es-ES"/>
                              </w:rPr>
                              <w:t>1</w:t>
                            </w:r>
                          </w:p>
                          <w:p w14:paraId="0771DB5B" w14:textId="77777777" w:rsidR="00493D79" w:rsidRPr="001B4C00" w:rsidRDefault="00493D79"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61F5C0EC" w:rsidR="00493D79" w:rsidRPr="00935F06" w:rsidRDefault="00493D7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1D3A7B45" w:rsidR="00493D79" w:rsidRPr="00891125" w:rsidRDefault="00493D79" w:rsidP="007A5817">
                      <w:pPr>
                        <w:spacing w:line="276" w:lineRule="auto"/>
                        <w:jc w:val="right"/>
                        <w:rPr>
                          <w:rFonts w:asciiTheme="minorHAnsi" w:hAnsiTheme="minorHAnsi"/>
                          <w:color w:val="FFFFFF" w:themeColor="background1"/>
                          <w:sz w:val="22"/>
                          <w:lang w:val="es-419"/>
                        </w:rPr>
                      </w:pPr>
                      <w:r w:rsidRPr="00891125">
                        <w:rPr>
                          <w:rFonts w:asciiTheme="minorHAnsi" w:hAnsiTheme="minorHAnsi"/>
                          <w:color w:val="FFFFFF" w:themeColor="background1"/>
                          <w:sz w:val="22"/>
                          <w:lang w:val="es-419"/>
                        </w:rPr>
                        <w:t xml:space="preserve">Doc. </w:t>
                      </w:r>
                      <w:r w:rsidR="00891125">
                        <w:rPr>
                          <w:rFonts w:asciiTheme="minorHAnsi" w:hAnsiTheme="minorHAnsi"/>
                          <w:color w:val="FFFFFF" w:themeColor="background1"/>
                          <w:sz w:val="22"/>
                          <w:lang w:val="es-419"/>
                        </w:rPr>
                        <w:t>117</w:t>
                      </w:r>
                    </w:p>
                    <w:p w14:paraId="69373ED2" w14:textId="75316665" w:rsidR="00493D79" w:rsidRPr="001B4C00" w:rsidRDefault="00891125" w:rsidP="007A5817">
                      <w:pPr>
                        <w:spacing w:line="276" w:lineRule="auto"/>
                        <w:jc w:val="right"/>
                        <w:rPr>
                          <w:rFonts w:asciiTheme="minorHAnsi" w:hAnsiTheme="minorHAnsi"/>
                          <w:color w:val="FFFFFF" w:themeColor="background1"/>
                          <w:sz w:val="22"/>
                          <w:lang w:val="es-ES"/>
                        </w:rPr>
                      </w:pPr>
                      <w:r>
                        <w:rPr>
                          <w:rFonts w:asciiTheme="minorHAnsi" w:hAnsiTheme="minorHAnsi"/>
                          <w:color w:val="FFFFFF" w:themeColor="background1"/>
                          <w:sz w:val="22"/>
                          <w:lang w:val="es-ES"/>
                        </w:rPr>
                        <w:t>3 junio</w:t>
                      </w:r>
                      <w:r w:rsidR="00493D79" w:rsidRPr="001B4C00">
                        <w:rPr>
                          <w:rFonts w:asciiTheme="minorHAnsi" w:hAnsiTheme="minorHAnsi"/>
                          <w:color w:val="FFFFFF" w:themeColor="background1"/>
                          <w:sz w:val="22"/>
                          <w:lang w:val="es-ES"/>
                        </w:rPr>
                        <w:t xml:space="preserve"> 20</w:t>
                      </w:r>
                      <w:r>
                        <w:rPr>
                          <w:rFonts w:asciiTheme="minorHAnsi" w:hAnsiTheme="minorHAnsi"/>
                          <w:color w:val="FFFFFF" w:themeColor="background1"/>
                          <w:sz w:val="22"/>
                          <w:lang w:val="es-ES"/>
                        </w:rPr>
                        <w:t>2</w:t>
                      </w:r>
                      <w:r w:rsidR="00493D79" w:rsidRPr="001B4C00">
                        <w:rPr>
                          <w:rFonts w:asciiTheme="minorHAnsi" w:hAnsiTheme="minorHAnsi"/>
                          <w:color w:val="FFFFFF" w:themeColor="background1"/>
                          <w:sz w:val="22"/>
                          <w:lang w:val="es-ES"/>
                        </w:rPr>
                        <w:t>1</w:t>
                      </w:r>
                    </w:p>
                    <w:p w14:paraId="0771DB5B" w14:textId="77777777" w:rsidR="00493D79" w:rsidRPr="001B4C00" w:rsidRDefault="00493D79" w:rsidP="007A5817">
                      <w:pPr>
                        <w:spacing w:line="276" w:lineRule="auto"/>
                        <w:jc w:val="right"/>
                        <w:rPr>
                          <w:rFonts w:asciiTheme="minorHAnsi" w:hAnsiTheme="minorHAnsi"/>
                          <w:color w:val="FFFFFF" w:themeColor="background1"/>
                          <w:sz w:val="22"/>
                          <w:lang w:val="es-ES"/>
                        </w:rPr>
                      </w:pPr>
                      <w:r w:rsidRPr="001B4C00">
                        <w:rPr>
                          <w:rFonts w:asciiTheme="minorHAnsi" w:hAnsiTheme="minorHAnsi"/>
                          <w:color w:val="FFFFFF" w:themeColor="background1"/>
                          <w:sz w:val="22"/>
                          <w:lang w:val="es-ES"/>
                        </w:rPr>
                        <w:t>Original: español</w:t>
                      </w:r>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16FAB10C" w:rsidR="00493D79" w:rsidRPr="00890650" w:rsidRDefault="00493D79"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91125">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891125">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005B7598">
                              <w:rPr>
                                <w:rFonts w:asciiTheme="majorHAnsi" w:hAnsiTheme="majorHAnsi"/>
                                <w:color w:val="0D0D0D" w:themeColor="text1" w:themeTint="F2"/>
                                <w:sz w:val="18"/>
                                <w:szCs w:val="22"/>
                                <w:lang w:val="es-ES"/>
                              </w:rPr>
                              <w:t>de 202</w:t>
                            </w:r>
                            <w:r w:rsidR="00891125">
                              <w:rPr>
                                <w:rFonts w:asciiTheme="majorHAnsi" w:hAnsiTheme="majorHAnsi"/>
                                <w:color w:val="0D0D0D" w:themeColor="text1" w:themeTint="F2"/>
                                <w:sz w:val="18"/>
                                <w:szCs w:val="22"/>
                                <w:lang w:val="es-ES"/>
                              </w:rPr>
                              <w:t>1</w:t>
                            </w:r>
                            <w:r w:rsidR="00C85DFF">
                              <w:rPr>
                                <w:rFonts w:asciiTheme="majorHAnsi" w:hAnsiTheme="majorHAnsi"/>
                                <w:color w:val="0D0D0D" w:themeColor="text1" w:themeTint="F2"/>
                                <w:sz w:val="18"/>
                                <w:szCs w:val="22"/>
                                <w:lang w:val="es-ES"/>
                              </w:rPr>
                              <w:t>.</w:t>
                            </w:r>
                          </w:p>
                          <w:p w14:paraId="4BDF3581" w14:textId="77777777" w:rsidR="00493D79" w:rsidRPr="007A5817" w:rsidRDefault="00493D7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493D79" w:rsidRPr="00167A34" w:rsidRDefault="00493D79"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16FAB10C" w:rsidR="00493D79" w:rsidRPr="00890650" w:rsidRDefault="00493D79"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891125">
                        <w:rPr>
                          <w:rFonts w:asciiTheme="majorHAnsi" w:hAnsiTheme="majorHAnsi"/>
                          <w:color w:val="0D0D0D" w:themeColor="text1" w:themeTint="F2"/>
                          <w:sz w:val="18"/>
                          <w:szCs w:val="22"/>
                          <w:lang w:val="es-ES"/>
                        </w:rPr>
                        <w:t>3</w:t>
                      </w:r>
                      <w:r w:rsidRPr="00890650">
                        <w:rPr>
                          <w:rFonts w:asciiTheme="majorHAnsi" w:hAnsiTheme="majorHAnsi"/>
                          <w:color w:val="0D0D0D" w:themeColor="text1" w:themeTint="F2"/>
                          <w:sz w:val="18"/>
                          <w:szCs w:val="22"/>
                          <w:lang w:val="es-ES"/>
                        </w:rPr>
                        <w:t xml:space="preserve"> de </w:t>
                      </w:r>
                      <w:r w:rsidR="00891125">
                        <w:rPr>
                          <w:rFonts w:asciiTheme="majorHAnsi" w:hAnsiTheme="majorHAnsi"/>
                          <w:color w:val="0D0D0D" w:themeColor="text1" w:themeTint="F2"/>
                          <w:sz w:val="18"/>
                          <w:szCs w:val="22"/>
                          <w:lang w:val="es-ES"/>
                        </w:rPr>
                        <w:t>junio</w:t>
                      </w:r>
                      <w:r>
                        <w:rPr>
                          <w:rFonts w:asciiTheme="majorHAnsi" w:hAnsiTheme="majorHAnsi"/>
                          <w:color w:val="0D0D0D" w:themeColor="text1" w:themeTint="F2"/>
                          <w:sz w:val="18"/>
                          <w:szCs w:val="22"/>
                          <w:lang w:val="es-ES"/>
                        </w:rPr>
                        <w:t xml:space="preserve"> </w:t>
                      </w:r>
                      <w:r w:rsidR="005B7598">
                        <w:rPr>
                          <w:rFonts w:asciiTheme="majorHAnsi" w:hAnsiTheme="majorHAnsi"/>
                          <w:color w:val="0D0D0D" w:themeColor="text1" w:themeTint="F2"/>
                          <w:sz w:val="18"/>
                          <w:szCs w:val="22"/>
                          <w:lang w:val="es-ES"/>
                        </w:rPr>
                        <w:t>de 202</w:t>
                      </w:r>
                      <w:r w:rsidR="00891125">
                        <w:rPr>
                          <w:rFonts w:asciiTheme="majorHAnsi" w:hAnsiTheme="majorHAnsi"/>
                          <w:color w:val="0D0D0D" w:themeColor="text1" w:themeTint="F2"/>
                          <w:sz w:val="18"/>
                          <w:szCs w:val="22"/>
                          <w:lang w:val="es-ES"/>
                        </w:rPr>
                        <w:t>1</w:t>
                      </w:r>
                      <w:r w:rsidR="00C85DFF">
                        <w:rPr>
                          <w:rFonts w:asciiTheme="majorHAnsi" w:hAnsiTheme="majorHAnsi"/>
                          <w:color w:val="0D0D0D" w:themeColor="text1" w:themeTint="F2"/>
                          <w:sz w:val="18"/>
                          <w:szCs w:val="22"/>
                          <w:lang w:val="es-ES"/>
                        </w:rPr>
                        <w:t>.</w:t>
                      </w:r>
                    </w:p>
                    <w:p w14:paraId="4BDF3581" w14:textId="77777777" w:rsidR="00493D79" w:rsidRPr="007A5817" w:rsidRDefault="00493D79"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493D79" w:rsidRPr="00167A34" w:rsidRDefault="00493D79"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5C0FF0" w14:textId="77777777" w:rsidR="00891125" w:rsidRDefault="00493D79"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91125" w:rsidRPr="00891125">
                              <w:rPr>
                                <w:rFonts w:asciiTheme="majorHAnsi" w:hAnsiTheme="majorHAnsi"/>
                                <w:color w:val="595959" w:themeColor="text1" w:themeTint="A6"/>
                                <w:sz w:val="18"/>
                                <w:szCs w:val="18"/>
                                <w:lang w:val="pt-BR"/>
                              </w:rPr>
                              <w:t>110</w:t>
                            </w:r>
                            <w:r w:rsidRPr="00891125">
                              <w:rPr>
                                <w:rFonts w:asciiTheme="majorHAnsi" w:hAnsiTheme="majorHAnsi"/>
                                <w:color w:val="595959" w:themeColor="text1" w:themeTint="A6"/>
                                <w:sz w:val="18"/>
                                <w:szCs w:val="18"/>
                                <w:lang w:val="pt-BR"/>
                              </w:rPr>
                              <w:t>/</w:t>
                            </w:r>
                            <w:r w:rsidR="00891125" w:rsidRPr="00891125">
                              <w:rPr>
                                <w:rFonts w:asciiTheme="majorHAnsi" w:hAnsiTheme="majorHAnsi"/>
                                <w:color w:val="595959" w:themeColor="text1" w:themeTint="A6"/>
                                <w:sz w:val="18"/>
                                <w:szCs w:val="18"/>
                                <w:lang w:val="pt-BR"/>
                              </w:rPr>
                              <w:t>21</w:t>
                            </w:r>
                            <w:r w:rsidRPr="00891125">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891125">
                              <w:rPr>
                                <w:rFonts w:asciiTheme="majorHAnsi" w:hAnsiTheme="majorHAnsi"/>
                                <w:color w:val="595959" w:themeColor="text1" w:themeTint="A6"/>
                                <w:sz w:val="18"/>
                                <w:szCs w:val="18"/>
                                <w:lang w:val="es-ES_tradnl"/>
                              </w:rPr>
                              <w:t>Víctor Hugo Martínez Nicolás</w:t>
                            </w:r>
                            <w:r w:rsidRPr="00890650">
                              <w:rPr>
                                <w:rFonts w:asciiTheme="majorHAnsi" w:hAnsiTheme="majorHAnsi"/>
                                <w:color w:val="595959" w:themeColor="text1" w:themeTint="A6"/>
                                <w:sz w:val="18"/>
                                <w:szCs w:val="18"/>
                                <w:lang w:val="es-ES_tradnl"/>
                              </w:rPr>
                              <w:t xml:space="preserve">. </w:t>
                            </w:r>
                          </w:p>
                          <w:p w14:paraId="0D1B22CF" w14:textId="13CEC8FD" w:rsidR="00493D79" w:rsidRPr="007B05C4" w:rsidRDefault="0089112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México</w:t>
                            </w:r>
                            <w:r w:rsidR="00493D79"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3 de junio de 2021</w:t>
                            </w:r>
                            <w:r w:rsidR="00493D79"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45C0FF0" w14:textId="77777777" w:rsidR="00891125" w:rsidRDefault="00493D79"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891125" w:rsidRPr="00891125">
                        <w:rPr>
                          <w:rFonts w:asciiTheme="majorHAnsi" w:hAnsiTheme="majorHAnsi"/>
                          <w:color w:val="595959" w:themeColor="text1" w:themeTint="A6"/>
                          <w:sz w:val="18"/>
                          <w:szCs w:val="18"/>
                          <w:lang w:val="pt-BR"/>
                        </w:rPr>
                        <w:t>110</w:t>
                      </w:r>
                      <w:r w:rsidRPr="00891125">
                        <w:rPr>
                          <w:rFonts w:asciiTheme="majorHAnsi" w:hAnsiTheme="majorHAnsi"/>
                          <w:color w:val="595959" w:themeColor="text1" w:themeTint="A6"/>
                          <w:sz w:val="18"/>
                          <w:szCs w:val="18"/>
                          <w:lang w:val="pt-BR"/>
                        </w:rPr>
                        <w:t>/</w:t>
                      </w:r>
                      <w:r w:rsidR="00891125" w:rsidRPr="00891125">
                        <w:rPr>
                          <w:rFonts w:asciiTheme="majorHAnsi" w:hAnsiTheme="majorHAnsi"/>
                          <w:color w:val="595959" w:themeColor="text1" w:themeTint="A6"/>
                          <w:sz w:val="18"/>
                          <w:szCs w:val="18"/>
                          <w:lang w:val="pt-BR"/>
                        </w:rPr>
                        <w:t>21</w:t>
                      </w:r>
                      <w:r w:rsidRPr="00891125">
                        <w:rPr>
                          <w:rFonts w:asciiTheme="majorHAnsi" w:hAnsiTheme="majorHAnsi"/>
                          <w:color w:val="595959" w:themeColor="text1" w:themeTint="A6"/>
                          <w:sz w:val="18"/>
                          <w:szCs w:val="18"/>
                          <w:lang w:val="pt-BR"/>
                        </w:rPr>
                        <w:t xml:space="preserve">. </w:t>
                      </w:r>
                      <w:r w:rsidRPr="00890650">
                        <w:rPr>
                          <w:rFonts w:asciiTheme="majorHAnsi" w:hAnsiTheme="majorHAnsi"/>
                          <w:color w:val="595959" w:themeColor="text1" w:themeTint="A6"/>
                          <w:sz w:val="18"/>
                          <w:szCs w:val="18"/>
                          <w:lang w:val="es-ES_tradnl"/>
                        </w:rPr>
                        <w:t xml:space="preserve">Admisibilidad. </w:t>
                      </w:r>
                      <w:r w:rsidR="00891125">
                        <w:rPr>
                          <w:rFonts w:asciiTheme="majorHAnsi" w:hAnsiTheme="majorHAnsi"/>
                          <w:color w:val="595959" w:themeColor="text1" w:themeTint="A6"/>
                          <w:sz w:val="18"/>
                          <w:szCs w:val="18"/>
                          <w:lang w:val="es-ES_tradnl"/>
                        </w:rPr>
                        <w:t>Víctor Hugo Martínez Nicolás</w:t>
                      </w:r>
                      <w:r w:rsidRPr="00890650">
                        <w:rPr>
                          <w:rFonts w:asciiTheme="majorHAnsi" w:hAnsiTheme="majorHAnsi"/>
                          <w:color w:val="595959" w:themeColor="text1" w:themeTint="A6"/>
                          <w:sz w:val="18"/>
                          <w:szCs w:val="18"/>
                          <w:lang w:val="es-ES_tradnl"/>
                        </w:rPr>
                        <w:t xml:space="preserve">. </w:t>
                      </w:r>
                    </w:p>
                    <w:p w14:paraId="0D1B22CF" w14:textId="13CEC8FD" w:rsidR="00493D79" w:rsidRPr="007B05C4" w:rsidRDefault="00891125"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México</w:t>
                      </w:r>
                      <w:r w:rsidR="00493D79" w:rsidRPr="00890650">
                        <w:rPr>
                          <w:rFonts w:asciiTheme="majorHAnsi" w:hAnsiTheme="majorHAnsi"/>
                          <w:color w:val="595959" w:themeColor="text1" w:themeTint="A6"/>
                          <w:sz w:val="18"/>
                          <w:szCs w:val="18"/>
                          <w:lang w:val="es-ES_tradnl"/>
                        </w:rPr>
                        <w:t>.</w:t>
                      </w:r>
                      <w:r>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
                        </w:rPr>
                        <w:t>3 de junio de 2021</w:t>
                      </w:r>
                      <w:r w:rsidR="00493D79"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6D5D6C70"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40CEA2E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493D79" w:rsidRPr="004B7EB6" w:rsidRDefault="00493D7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493D79" w:rsidRPr="004B7EB6" w:rsidRDefault="00493D79"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3415FE4C" w:rsidR="0070697F" w:rsidRPr="00006B74" w:rsidRDefault="00891125"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837C8F9">
                <wp:simplePos x="0" y="0"/>
                <wp:positionH relativeFrom="column">
                  <wp:posOffset>1328057</wp:posOffset>
                </wp:positionH>
                <wp:positionV relativeFrom="paragraph">
                  <wp:posOffset>490220</wp:posOffset>
                </wp:positionV>
                <wp:extent cx="4096385" cy="6477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09638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493D79" w:rsidRPr="00D72DC6" w:rsidRDefault="00493D7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426B2F30">
                                  <wp:extent cx="1997528" cy="513864"/>
                                  <wp:effectExtent l="0" t="0" r="317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02081" cy="5150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472543" id="Text Box 9" o:spid="_x0000_s1032" type="#_x0000_t202" style="position:absolute;left:0;text-align:left;margin-left:104.55pt;margin-top:38.6pt;width:322.55pt;height: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" fillcolor="white [3201]" stroked="f" strokeweight=".5pt">
                <v:textbox>
                  <w:txbxContent>
                    <w:p w14:paraId="2A1ECD3C" w14:textId="77777777" w:rsidR="00493D79" w:rsidRPr="00D72DC6" w:rsidRDefault="00493D79"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426B2F30">
                            <wp:extent cx="1997528" cy="513864"/>
                            <wp:effectExtent l="0" t="0" r="317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002081" cy="515035"/>
                                    </a:xfrm>
                                    <a:prstGeom prst="rect">
                                      <a:avLst/>
                                    </a:prstGeom>
                                    <a:noFill/>
                                    <a:ln>
                                      <a:noFill/>
                                    </a:ln>
                                  </pic:spPr>
                                </pic:pic>
                              </a:graphicData>
                            </a:graphic>
                          </wp:inline>
                        </w:drawing>
                      </w:r>
                    </w:p>
                  </w:txbxContent>
                </v:textbox>
              </v:shape>
            </w:pict>
          </mc:Fallback>
        </mc:AlternateContent>
      </w:r>
      <w:r w:rsidR="004A6A54"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1B4C00"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493D79">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30F66F21" w:rsidR="003239B8" w:rsidRPr="00006B74" w:rsidRDefault="00726E58" w:rsidP="00493D79">
            <w:pPr>
              <w:jc w:val="both"/>
              <w:rPr>
                <w:rFonts w:ascii="Cambria" w:hAnsi="Cambria"/>
                <w:bCs/>
                <w:sz w:val="19"/>
                <w:szCs w:val="19"/>
                <w:lang w:val="es-ES"/>
              </w:rPr>
            </w:pPr>
            <w:r>
              <w:rPr>
                <w:rFonts w:ascii="Cambria" w:hAnsi="Cambria"/>
                <w:bCs/>
                <w:sz w:val="19"/>
                <w:szCs w:val="19"/>
                <w:lang w:val="es-ES"/>
              </w:rPr>
              <w:t xml:space="preserve">Víctor Hugo Martínez </w:t>
            </w:r>
            <w:r w:rsidR="000651B1">
              <w:rPr>
                <w:rFonts w:ascii="Cambria" w:hAnsi="Cambria"/>
                <w:bCs/>
                <w:sz w:val="19"/>
                <w:szCs w:val="19"/>
                <w:lang w:val="es-ES"/>
              </w:rPr>
              <w:t>Nicolás</w:t>
            </w:r>
          </w:p>
        </w:tc>
      </w:tr>
      <w:tr w:rsidR="003239B8" w:rsidRPr="001B4C00"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6191E4A1" w:rsidR="003239B8" w:rsidRPr="00006B74" w:rsidRDefault="002355A9" w:rsidP="00493D79">
            <w:pPr>
              <w:jc w:val="center"/>
              <w:rPr>
                <w:rFonts w:ascii="Cambria" w:hAnsi="Cambria"/>
                <w:bCs/>
                <w:color w:val="FFFFFF" w:themeColor="background1"/>
                <w:sz w:val="19"/>
                <w:szCs w:val="19"/>
                <w:lang w:val="es-ES"/>
              </w:rPr>
            </w:pPr>
            <w:r>
              <w:rPr>
                <w:rFonts w:ascii="Cambria" w:hAnsi="Cambria"/>
                <w:bCs/>
                <w:color w:val="FFFFFF" w:themeColor="background1"/>
                <w:sz w:val="19"/>
                <w:szCs w:val="19"/>
                <w:lang w:val="es-ES"/>
              </w:rPr>
              <w:t>Presunta víctima</w:t>
            </w:r>
          </w:p>
        </w:tc>
        <w:tc>
          <w:tcPr>
            <w:tcW w:w="6570" w:type="dxa"/>
            <w:vAlign w:val="center"/>
          </w:tcPr>
          <w:p w14:paraId="4AEBF59E" w14:textId="3068EE47" w:rsidR="003239B8" w:rsidRPr="00006B74" w:rsidRDefault="00726E58" w:rsidP="005B6D22">
            <w:pPr>
              <w:jc w:val="both"/>
              <w:rPr>
                <w:rFonts w:ascii="Cambria" w:hAnsi="Cambria"/>
                <w:bCs/>
                <w:sz w:val="19"/>
                <w:szCs w:val="19"/>
                <w:lang w:val="es-ES"/>
              </w:rPr>
            </w:pPr>
            <w:r>
              <w:rPr>
                <w:rFonts w:ascii="Cambria" w:hAnsi="Cambria"/>
                <w:bCs/>
                <w:sz w:val="19"/>
                <w:szCs w:val="19"/>
                <w:lang w:val="es-ES"/>
              </w:rPr>
              <w:t xml:space="preserve">Víctor Hugo Martínez </w:t>
            </w:r>
            <w:r w:rsidR="000651B1">
              <w:rPr>
                <w:rFonts w:ascii="Cambria" w:hAnsi="Cambria"/>
                <w:bCs/>
                <w:sz w:val="19"/>
                <w:szCs w:val="19"/>
                <w:lang w:val="es-ES"/>
              </w:rPr>
              <w:t>Nicolás</w:t>
            </w:r>
          </w:p>
        </w:tc>
      </w:tr>
      <w:tr w:rsidR="003239B8" w:rsidRPr="00006B74" w14:paraId="3E62E1D3" w14:textId="77777777" w:rsidTr="00806D72">
        <w:trPr>
          <w:trHeight w:val="147"/>
        </w:trPr>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493D79">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106248C2" w:rsidR="003239B8" w:rsidRPr="00006B74" w:rsidRDefault="00726E58" w:rsidP="00493D79">
            <w:pPr>
              <w:jc w:val="both"/>
              <w:rPr>
                <w:rFonts w:ascii="Cambria" w:hAnsi="Cambria"/>
                <w:bCs/>
                <w:sz w:val="19"/>
                <w:szCs w:val="19"/>
                <w:lang w:val="es-ES"/>
              </w:rPr>
            </w:pPr>
            <w:r>
              <w:rPr>
                <w:rFonts w:ascii="Cambria" w:hAnsi="Cambria"/>
                <w:bCs/>
                <w:sz w:val="19"/>
                <w:szCs w:val="19"/>
                <w:lang w:val="es-ES"/>
              </w:rPr>
              <w:t>México</w:t>
            </w:r>
            <w:r w:rsidR="004A6A54" w:rsidRPr="00006B74">
              <w:rPr>
                <w:rStyle w:val="FootnoteReference"/>
                <w:rFonts w:ascii="Cambria" w:hAnsi="Cambria"/>
                <w:bCs/>
                <w:sz w:val="19"/>
                <w:szCs w:val="19"/>
                <w:lang w:val="es-ES"/>
              </w:rPr>
              <w:footnoteReference w:id="2"/>
            </w:r>
          </w:p>
        </w:tc>
      </w:tr>
      <w:tr w:rsidR="00223A29" w:rsidRPr="005553E1"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013E865F" w:rsidR="00223A29" w:rsidRPr="00006B74" w:rsidRDefault="00BF514A" w:rsidP="005E2E5A">
            <w:pPr>
              <w:jc w:val="both"/>
              <w:rPr>
                <w:rFonts w:ascii="Cambria" w:hAnsi="Cambria"/>
                <w:bCs/>
                <w:sz w:val="19"/>
                <w:szCs w:val="19"/>
                <w:lang w:val="es-ES"/>
              </w:rPr>
            </w:pPr>
            <w:r w:rsidRPr="00F33848">
              <w:rPr>
                <w:rFonts w:ascii="Cambria" w:hAnsi="Cambria"/>
                <w:bCs/>
                <w:sz w:val="19"/>
                <w:szCs w:val="19"/>
                <w:lang w:val="es-ES"/>
              </w:rPr>
              <w:t xml:space="preserve">Artículos </w:t>
            </w:r>
            <w:r w:rsidR="00726E58" w:rsidRPr="00F33848">
              <w:rPr>
                <w:rFonts w:ascii="Cambria" w:hAnsi="Cambria"/>
                <w:bCs/>
                <w:sz w:val="19"/>
                <w:szCs w:val="19"/>
                <w:lang w:val="es-ES"/>
              </w:rPr>
              <w:t>8 (garantías judiciales)</w:t>
            </w:r>
            <w:r w:rsidR="004D32E0" w:rsidRPr="00F33848">
              <w:rPr>
                <w:rFonts w:ascii="Cambria" w:hAnsi="Cambria"/>
                <w:bCs/>
                <w:sz w:val="19"/>
                <w:szCs w:val="19"/>
                <w:lang w:val="es-ES"/>
              </w:rPr>
              <w:t xml:space="preserve"> </w:t>
            </w:r>
            <w:r w:rsidR="00726E58" w:rsidRPr="00F33848">
              <w:rPr>
                <w:rFonts w:ascii="Cambria" w:hAnsi="Cambria"/>
                <w:bCs/>
                <w:sz w:val="19"/>
                <w:szCs w:val="19"/>
                <w:lang w:val="es-ES"/>
              </w:rPr>
              <w:t>y 25 (protección judicial)</w:t>
            </w:r>
            <w:r w:rsidRPr="00F33848">
              <w:rPr>
                <w:rFonts w:ascii="Cambria" w:hAnsi="Cambria"/>
                <w:bCs/>
                <w:sz w:val="19"/>
                <w:szCs w:val="19"/>
                <w:lang w:val="es-ES"/>
              </w:rPr>
              <w:t xml:space="preserve"> de la Convención Americana sobre Derechos Humanos</w:t>
            </w:r>
            <w:r w:rsidRPr="00F33848">
              <w:rPr>
                <w:rStyle w:val="FootnoteReference"/>
                <w:rFonts w:ascii="Cambria" w:hAnsi="Cambria"/>
                <w:bCs/>
                <w:sz w:val="19"/>
                <w:szCs w:val="19"/>
                <w:lang w:val="es-ES"/>
              </w:rPr>
              <w:footnoteReference w:id="3"/>
            </w:r>
            <w:r w:rsidR="00726E58" w:rsidRPr="00F33848">
              <w:rPr>
                <w:rFonts w:ascii="Cambria" w:hAnsi="Cambria"/>
                <w:bCs/>
                <w:sz w:val="19"/>
                <w:szCs w:val="19"/>
                <w:lang w:val="es-ES"/>
              </w:rPr>
              <w:t xml:space="preserve"> en relación con sus artículos 1</w:t>
            </w:r>
            <w:r w:rsidR="004D32E0" w:rsidRPr="00F33848">
              <w:rPr>
                <w:rFonts w:ascii="Cambria" w:hAnsi="Cambria"/>
                <w:bCs/>
                <w:sz w:val="19"/>
                <w:szCs w:val="19"/>
                <w:lang w:val="es-ES"/>
              </w:rPr>
              <w:t xml:space="preserve"> (</w:t>
            </w:r>
            <w:r w:rsidR="00F33848" w:rsidRPr="00F33848">
              <w:rPr>
                <w:rFonts w:ascii="Cambria" w:hAnsi="Cambria"/>
                <w:bCs/>
                <w:sz w:val="19"/>
                <w:szCs w:val="19"/>
                <w:lang w:val="es-ES"/>
              </w:rPr>
              <w:t>obligación de respetar los derechos</w:t>
            </w:r>
            <w:r w:rsidR="004D32E0" w:rsidRPr="00F33848">
              <w:rPr>
                <w:rFonts w:ascii="Cambria" w:hAnsi="Cambria"/>
                <w:bCs/>
                <w:sz w:val="19"/>
                <w:szCs w:val="19"/>
                <w:lang w:val="es-ES"/>
              </w:rPr>
              <w:t>)</w:t>
            </w:r>
            <w:r w:rsidR="00726E58" w:rsidRPr="00F33848">
              <w:rPr>
                <w:rFonts w:ascii="Cambria" w:hAnsi="Cambria"/>
                <w:bCs/>
                <w:sz w:val="19"/>
                <w:szCs w:val="19"/>
                <w:lang w:val="es-ES"/>
              </w:rPr>
              <w:t xml:space="preserve"> y 2</w:t>
            </w:r>
            <w:r w:rsidR="004D32E0" w:rsidRPr="00F33848">
              <w:rPr>
                <w:rFonts w:ascii="Cambria" w:hAnsi="Cambria"/>
                <w:bCs/>
                <w:sz w:val="19"/>
                <w:szCs w:val="19"/>
                <w:lang w:val="es-ES"/>
              </w:rPr>
              <w:t xml:space="preserve"> (</w:t>
            </w:r>
            <w:r w:rsidR="00F33848" w:rsidRPr="00F33848">
              <w:rPr>
                <w:rFonts w:ascii="Cambria" w:hAnsi="Cambria"/>
                <w:bCs/>
                <w:sz w:val="19"/>
                <w:szCs w:val="19"/>
                <w:lang w:val="es-ES"/>
              </w:rPr>
              <w:t>deber de adoptar disposiciones de derecho interno</w:t>
            </w:r>
            <w:r w:rsidR="004D32E0" w:rsidRPr="00F33848">
              <w:rPr>
                <w:rFonts w:ascii="Cambria" w:hAnsi="Cambria"/>
                <w:bCs/>
                <w:sz w:val="19"/>
                <w:szCs w:val="19"/>
                <w:lang w:val="es-ES"/>
              </w:rPr>
              <w:t>)</w:t>
            </w:r>
            <w:r w:rsidR="00726E58" w:rsidRPr="00F33848">
              <w:rPr>
                <w:rFonts w:ascii="Cambria" w:hAnsi="Cambria"/>
                <w:bCs/>
                <w:sz w:val="19"/>
                <w:szCs w:val="19"/>
                <w:lang w:val="es-ES"/>
              </w:rPr>
              <w:t xml:space="preserve">; </w:t>
            </w:r>
            <w:r w:rsidR="005E2E5A">
              <w:rPr>
                <w:rFonts w:ascii="Cambria" w:hAnsi="Cambria"/>
                <w:bCs/>
                <w:sz w:val="19"/>
                <w:szCs w:val="19"/>
                <w:lang w:val="es-ES"/>
              </w:rPr>
              <w:t>a</w:t>
            </w:r>
            <w:r w:rsidR="00726E58" w:rsidRPr="00F33848">
              <w:rPr>
                <w:rFonts w:ascii="Cambria" w:hAnsi="Cambria"/>
                <w:bCs/>
                <w:sz w:val="19"/>
                <w:szCs w:val="19"/>
                <w:lang w:val="es-ES"/>
              </w:rPr>
              <w:t>rtículos I, II, V, XIV, XVII y VIIII de la Declaración Americana de Derechos Humanos y Deberes del Hombre</w:t>
            </w:r>
            <w:r w:rsidR="00726E58" w:rsidRPr="00F33848">
              <w:rPr>
                <w:rStyle w:val="FootnoteReference"/>
                <w:rFonts w:ascii="Cambria" w:hAnsi="Cambria"/>
                <w:bCs/>
                <w:sz w:val="19"/>
                <w:szCs w:val="19"/>
                <w:lang w:val="es-ES"/>
              </w:rPr>
              <w:footnoteReference w:id="4"/>
            </w:r>
            <w:r w:rsidR="00726E58" w:rsidRPr="00F33848">
              <w:rPr>
                <w:rFonts w:ascii="Cambria" w:hAnsi="Cambria"/>
                <w:bCs/>
                <w:sz w:val="19"/>
                <w:szCs w:val="19"/>
                <w:lang w:val="es-ES"/>
              </w:rPr>
              <w:t xml:space="preserve">; </w:t>
            </w:r>
            <w:r w:rsidR="005E2E5A">
              <w:rPr>
                <w:rFonts w:ascii="Cambria" w:hAnsi="Cambria"/>
                <w:bCs/>
                <w:sz w:val="19"/>
                <w:szCs w:val="19"/>
                <w:lang w:val="es-ES"/>
              </w:rPr>
              <w:t>a</w:t>
            </w:r>
            <w:r w:rsidR="00726E58" w:rsidRPr="00F33848">
              <w:rPr>
                <w:rFonts w:ascii="Cambria" w:hAnsi="Cambria"/>
                <w:bCs/>
                <w:sz w:val="19"/>
                <w:szCs w:val="19"/>
                <w:lang w:val="es-ES"/>
              </w:rPr>
              <w:t>rtículos 4 (no admisión de restricciones), 6 (derecho al trabajo) y 7 (condiciones justas, equitativas y satisfactorias de trabajo) del Protocolo Adicional a la Convención Americana sobre Derechos Humanos en Materia de Derechos Económicos, Sociales y Culturales</w:t>
            </w:r>
            <w:r w:rsidR="00726E58" w:rsidRPr="00F33848">
              <w:rPr>
                <w:rStyle w:val="FootnoteReference"/>
                <w:rFonts w:ascii="Cambria" w:hAnsi="Cambria"/>
                <w:bCs/>
                <w:sz w:val="19"/>
                <w:szCs w:val="19"/>
                <w:lang w:val="es-ES"/>
              </w:rPr>
              <w:footnoteReference w:id="5"/>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47080D" w:rsidRDefault="000C1C69" w:rsidP="004A6A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Recepción</w:t>
            </w:r>
            <w:r w:rsidR="00D77503" w:rsidRPr="0047080D">
              <w:rPr>
                <w:rFonts w:ascii="Cambria" w:hAnsi="Cambria"/>
                <w:bCs/>
                <w:color w:val="FFFFFF" w:themeColor="background1"/>
                <w:sz w:val="19"/>
                <w:szCs w:val="19"/>
                <w:lang w:val="es-ES"/>
              </w:rPr>
              <w:t xml:space="preserve"> de la petición</w:t>
            </w:r>
          </w:p>
        </w:tc>
        <w:tc>
          <w:tcPr>
            <w:tcW w:w="6570" w:type="dxa"/>
            <w:vAlign w:val="center"/>
          </w:tcPr>
          <w:p w14:paraId="6E579153" w14:textId="260E7ECA" w:rsidR="004C2312" w:rsidRPr="0047080D" w:rsidRDefault="005A735A" w:rsidP="00493D79">
            <w:pPr>
              <w:jc w:val="both"/>
              <w:rPr>
                <w:rFonts w:ascii="Cambria" w:hAnsi="Cambria"/>
                <w:bCs/>
                <w:sz w:val="19"/>
                <w:szCs w:val="19"/>
                <w:lang w:val="es-ES"/>
              </w:rPr>
            </w:pPr>
            <w:r>
              <w:rPr>
                <w:rFonts w:ascii="Cambria" w:hAnsi="Cambria"/>
                <w:bCs/>
                <w:sz w:val="19"/>
                <w:szCs w:val="19"/>
                <w:lang w:val="es-ES"/>
              </w:rPr>
              <w:t>11</w:t>
            </w:r>
            <w:r w:rsidR="003443E9">
              <w:rPr>
                <w:rFonts w:ascii="Cambria" w:hAnsi="Cambria"/>
                <w:bCs/>
                <w:sz w:val="19"/>
                <w:szCs w:val="19"/>
                <w:lang w:val="es-ES"/>
              </w:rPr>
              <w:t xml:space="preserve"> de julio de 2009</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47080D" w:rsidRDefault="004A6A54" w:rsidP="000C1C69">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N</w:t>
            </w:r>
            <w:r w:rsidR="004C2312" w:rsidRPr="0047080D">
              <w:rPr>
                <w:rFonts w:ascii="Cambria" w:hAnsi="Cambria"/>
                <w:color w:val="FFFFFF" w:themeColor="background1"/>
                <w:sz w:val="19"/>
                <w:szCs w:val="19"/>
                <w:lang w:val="es-ES"/>
              </w:rPr>
              <w:t>otificación de la petición</w:t>
            </w:r>
          </w:p>
        </w:tc>
        <w:tc>
          <w:tcPr>
            <w:tcW w:w="6570" w:type="dxa"/>
            <w:vAlign w:val="center"/>
          </w:tcPr>
          <w:p w14:paraId="1519DA6A" w14:textId="47BE71A8" w:rsidR="004C2312" w:rsidRPr="0047080D" w:rsidRDefault="00C72F67" w:rsidP="00493D79">
            <w:pPr>
              <w:jc w:val="both"/>
              <w:rPr>
                <w:rFonts w:ascii="Cambria" w:hAnsi="Cambria"/>
                <w:bCs/>
                <w:sz w:val="19"/>
                <w:szCs w:val="19"/>
                <w:lang w:val="es-ES"/>
              </w:rPr>
            </w:pPr>
            <w:r>
              <w:rPr>
                <w:rFonts w:ascii="Cambria" w:hAnsi="Cambria"/>
                <w:bCs/>
                <w:sz w:val="19"/>
                <w:szCs w:val="19"/>
                <w:lang w:val="es-ES"/>
              </w:rPr>
              <w:t>15 de septiembre de 2016</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47080D" w:rsidRDefault="00D77503" w:rsidP="00F06354">
            <w:pPr>
              <w:jc w:val="center"/>
              <w:rPr>
                <w:rFonts w:ascii="Cambria" w:hAnsi="Cambria"/>
                <w:bCs/>
                <w:color w:val="FFFFFF" w:themeColor="background1"/>
                <w:sz w:val="19"/>
                <w:szCs w:val="19"/>
                <w:lang w:val="es-ES"/>
              </w:rPr>
            </w:pPr>
            <w:r w:rsidRPr="0047080D">
              <w:rPr>
                <w:rFonts w:ascii="Cambria" w:hAnsi="Cambria"/>
                <w:color w:val="FFFFFF" w:themeColor="background1"/>
                <w:sz w:val="19"/>
                <w:szCs w:val="19"/>
                <w:lang w:val="es-ES"/>
              </w:rPr>
              <w:t>Primera respuesta del Estado</w:t>
            </w:r>
          </w:p>
        </w:tc>
        <w:tc>
          <w:tcPr>
            <w:tcW w:w="6570" w:type="dxa"/>
            <w:vAlign w:val="center"/>
          </w:tcPr>
          <w:p w14:paraId="1972B99E" w14:textId="37FB312A" w:rsidR="00F06354" w:rsidRPr="0047080D" w:rsidRDefault="0033186A" w:rsidP="00F06354">
            <w:pPr>
              <w:jc w:val="both"/>
              <w:rPr>
                <w:rFonts w:ascii="Cambria" w:hAnsi="Cambria"/>
                <w:bCs/>
                <w:sz w:val="19"/>
                <w:szCs w:val="19"/>
                <w:lang w:val="es-ES"/>
              </w:rPr>
            </w:pPr>
            <w:r>
              <w:rPr>
                <w:rFonts w:ascii="Cambria" w:hAnsi="Cambria"/>
                <w:bCs/>
                <w:sz w:val="19"/>
                <w:szCs w:val="19"/>
                <w:lang w:val="es-ES"/>
              </w:rPr>
              <w:t>28 de febrero de 2017</w:t>
            </w:r>
          </w:p>
        </w:tc>
      </w:tr>
      <w:tr w:rsidR="00F06354" w:rsidRPr="00726E58"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47080D" w:rsidRDefault="00F06354"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Observaciones adicionales de</w:t>
            </w:r>
            <w:r w:rsidR="00D77503" w:rsidRPr="0047080D">
              <w:rPr>
                <w:rFonts w:ascii="Cambria" w:hAnsi="Cambria"/>
                <w:bCs/>
                <w:color w:val="FFFFFF" w:themeColor="background1"/>
                <w:sz w:val="19"/>
                <w:szCs w:val="19"/>
                <w:lang w:val="es-ES"/>
              </w:rPr>
              <w:t xml:space="preserve"> la parte peticionaria</w:t>
            </w:r>
          </w:p>
        </w:tc>
        <w:tc>
          <w:tcPr>
            <w:tcW w:w="6570" w:type="dxa"/>
            <w:vAlign w:val="center"/>
          </w:tcPr>
          <w:p w14:paraId="41D8B862" w14:textId="2824ECD7" w:rsidR="00F06354" w:rsidRPr="0047080D" w:rsidRDefault="0033186A" w:rsidP="00D77503">
            <w:pPr>
              <w:jc w:val="both"/>
              <w:rPr>
                <w:rFonts w:ascii="Cambria" w:hAnsi="Cambria"/>
                <w:bCs/>
                <w:sz w:val="19"/>
                <w:szCs w:val="19"/>
                <w:lang w:val="es-ES"/>
              </w:rPr>
            </w:pPr>
            <w:r>
              <w:rPr>
                <w:rFonts w:ascii="Cambria" w:hAnsi="Cambria"/>
                <w:bCs/>
                <w:sz w:val="19"/>
                <w:szCs w:val="19"/>
                <w:lang w:val="es-ES"/>
              </w:rPr>
              <w:t>7 de enero de 2019</w:t>
            </w:r>
          </w:p>
        </w:tc>
      </w:tr>
      <w:tr w:rsidR="006E772A" w:rsidRPr="00006B74" w14:paraId="7AE929FB" w14:textId="77777777" w:rsidTr="00954B82">
        <w:tc>
          <w:tcPr>
            <w:tcW w:w="2790" w:type="dxa"/>
            <w:tcBorders>
              <w:top w:val="single" w:sz="6" w:space="0" w:color="auto"/>
              <w:bottom w:val="single" w:sz="6" w:space="0" w:color="auto"/>
            </w:tcBorders>
            <w:shd w:val="clear" w:color="auto" w:fill="386294"/>
            <w:vAlign w:val="center"/>
          </w:tcPr>
          <w:p w14:paraId="2F1661A8" w14:textId="5DFC7FC3" w:rsidR="006E772A" w:rsidRPr="0047080D" w:rsidRDefault="006E772A" w:rsidP="00F06354">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Advertencia de archivo</w:t>
            </w:r>
          </w:p>
        </w:tc>
        <w:tc>
          <w:tcPr>
            <w:tcW w:w="6570" w:type="dxa"/>
            <w:vAlign w:val="center"/>
          </w:tcPr>
          <w:p w14:paraId="08AD497E" w14:textId="31A0F90E" w:rsidR="006E772A" w:rsidRPr="0047080D" w:rsidRDefault="0033186A" w:rsidP="00F06354">
            <w:pPr>
              <w:jc w:val="both"/>
              <w:rPr>
                <w:rFonts w:ascii="Cambria" w:hAnsi="Cambria"/>
                <w:bCs/>
                <w:sz w:val="19"/>
                <w:szCs w:val="19"/>
                <w:lang w:val="es-ES"/>
              </w:rPr>
            </w:pPr>
            <w:r>
              <w:rPr>
                <w:rFonts w:ascii="Cambria" w:hAnsi="Cambria"/>
                <w:bCs/>
                <w:sz w:val="19"/>
                <w:szCs w:val="19"/>
                <w:lang w:val="es-ES"/>
              </w:rPr>
              <w:t>13 de diciembre de 2018</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59"/>
        <w:gridCol w:w="6483"/>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47080D" w:rsidRDefault="00D77503" w:rsidP="00493D79">
            <w:pPr>
              <w:jc w:val="center"/>
              <w:rPr>
                <w:rFonts w:ascii="Cambria" w:hAnsi="Cambria"/>
                <w:bCs/>
                <w:i/>
                <w:color w:val="FFFFFF" w:themeColor="background1"/>
                <w:sz w:val="19"/>
                <w:szCs w:val="19"/>
                <w:lang w:val="es-ES"/>
              </w:rPr>
            </w:pPr>
            <w:r w:rsidRPr="0047080D">
              <w:rPr>
                <w:rFonts w:ascii="Cambria" w:hAnsi="Cambria"/>
                <w:bCs/>
                <w:i/>
                <w:color w:val="FFFFFF" w:themeColor="background1"/>
                <w:sz w:val="19"/>
                <w:szCs w:val="19"/>
                <w:lang w:val="es-ES"/>
              </w:rPr>
              <w:t>Ratione personae</w:t>
            </w:r>
          </w:p>
        </w:tc>
        <w:tc>
          <w:tcPr>
            <w:tcW w:w="6570" w:type="dxa"/>
            <w:vAlign w:val="center"/>
          </w:tcPr>
          <w:p w14:paraId="7707F3E9" w14:textId="75261C44" w:rsidR="003239B8" w:rsidRPr="0047080D" w:rsidRDefault="00493D79" w:rsidP="00493D79">
            <w:pPr>
              <w:rPr>
                <w:rFonts w:ascii="Cambria" w:hAnsi="Cambria"/>
                <w:bCs/>
                <w:sz w:val="19"/>
                <w:szCs w:val="19"/>
                <w:lang w:val="es-ES"/>
              </w:rPr>
            </w:pPr>
            <w:r>
              <w:rPr>
                <w:rFonts w:ascii="Cambria" w:hAnsi="Cambria"/>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47080D" w:rsidRDefault="003239B8" w:rsidP="00D77503">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loci</w:t>
            </w:r>
          </w:p>
        </w:tc>
        <w:tc>
          <w:tcPr>
            <w:tcW w:w="6570" w:type="dxa"/>
            <w:vAlign w:val="center"/>
          </w:tcPr>
          <w:p w14:paraId="12C931CB" w14:textId="39880291" w:rsidR="003239B8" w:rsidRPr="0047080D" w:rsidRDefault="00493D79" w:rsidP="00493D79">
            <w:pPr>
              <w:rPr>
                <w:rFonts w:ascii="Cambria" w:hAnsi="Cambria"/>
                <w:bCs/>
                <w:sz w:val="19"/>
                <w:szCs w:val="19"/>
                <w:lang w:val="es-ES"/>
              </w:rPr>
            </w:pPr>
            <w:r>
              <w:rPr>
                <w:rFonts w:ascii="Cambria" w:hAnsi="Cambria"/>
                <w:bCs/>
                <w:sz w:val="19"/>
                <w:szCs w:val="19"/>
                <w:lang w:val="es-ES"/>
              </w:rPr>
              <w:t>Sí</w:t>
            </w:r>
          </w:p>
        </w:tc>
      </w:tr>
      <w:tr w:rsidR="003239B8" w:rsidRPr="00803FA0"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47080D" w:rsidRDefault="003239B8" w:rsidP="00493D79">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temporis</w:t>
            </w:r>
          </w:p>
        </w:tc>
        <w:tc>
          <w:tcPr>
            <w:tcW w:w="6570" w:type="dxa"/>
            <w:vAlign w:val="center"/>
          </w:tcPr>
          <w:p w14:paraId="6F8B059B" w14:textId="413161A2" w:rsidR="003239B8" w:rsidRPr="0047080D" w:rsidRDefault="00493D79" w:rsidP="00803FA0">
            <w:pPr>
              <w:rPr>
                <w:rFonts w:ascii="Cambria" w:hAnsi="Cambria"/>
                <w:bCs/>
                <w:sz w:val="19"/>
                <w:szCs w:val="19"/>
                <w:lang w:val="es-ES"/>
              </w:rPr>
            </w:pPr>
            <w:r>
              <w:rPr>
                <w:rFonts w:ascii="Cambria" w:hAnsi="Cambria"/>
                <w:bCs/>
                <w:sz w:val="19"/>
                <w:szCs w:val="19"/>
                <w:lang w:val="es-ES"/>
              </w:rPr>
              <w:t>Sí</w:t>
            </w:r>
          </w:p>
        </w:tc>
      </w:tr>
      <w:tr w:rsidR="003239B8" w:rsidRPr="005553E1"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47080D" w:rsidRDefault="003239B8" w:rsidP="00493D79">
            <w:pPr>
              <w:jc w:val="center"/>
              <w:rPr>
                <w:rFonts w:ascii="Cambria" w:hAnsi="Cambria"/>
                <w:bCs/>
                <w:color w:val="FFFFFF" w:themeColor="background1"/>
                <w:sz w:val="19"/>
                <w:szCs w:val="19"/>
                <w:lang w:val="es-ES"/>
              </w:rPr>
            </w:pPr>
            <w:r w:rsidRPr="0047080D">
              <w:rPr>
                <w:rFonts w:ascii="Cambria" w:hAnsi="Cambria"/>
                <w:bCs/>
                <w:i/>
                <w:color w:val="FFFFFF" w:themeColor="background1"/>
                <w:sz w:val="19"/>
                <w:szCs w:val="19"/>
                <w:lang w:val="es-ES"/>
              </w:rPr>
              <w:t>Ratione materia</w:t>
            </w:r>
            <w:r w:rsidR="00EE00E9" w:rsidRPr="0047080D">
              <w:rPr>
                <w:rFonts w:ascii="Cambria" w:hAnsi="Cambria"/>
                <w:bCs/>
                <w:i/>
                <w:color w:val="FFFFFF" w:themeColor="background1"/>
                <w:sz w:val="19"/>
                <w:szCs w:val="19"/>
                <w:lang w:val="es-ES"/>
              </w:rPr>
              <w:t>e</w:t>
            </w:r>
          </w:p>
        </w:tc>
        <w:tc>
          <w:tcPr>
            <w:tcW w:w="6570" w:type="dxa"/>
            <w:vAlign w:val="center"/>
          </w:tcPr>
          <w:p w14:paraId="0C122F44" w14:textId="790153F1" w:rsidR="003239B8" w:rsidRPr="0047080D" w:rsidRDefault="00493D79" w:rsidP="00493D79">
            <w:pPr>
              <w:jc w:val="both"/>
              <w:rPr>
                <w:rFonts w:ascii="Cambria" w:hAnsi="Cambria"/>
                <w:bCs/>
                <w:sz w:val="19"/>
                <w:szCs w:val="19"/>
                <w:lang w:val="es-ES"/>
              </w:rPr>
            </w:pPr>
            <w:r>
              <w:rPr>
                <w:rFonts w:ascii="Cambria" w:hAnsi="Cambria"/>
                <w:bCs/>
                <w:sz w:val="19"/>
                <w:szCs w:val="19"/>
                <w:lang w:val="es-ES"/>
              </w:rPr>
              <w:t xml:space="preserve">Sí, Convención Americana </w:t>
            </w:r>
            <w:r w:rsidR="00456DF2">
              <w:rPr>
                <w:rFonts w:ascii="Cambria" w:hAnsi="Cambria"/>
                <w:bCs/>
                <w:sz w:val="19"/>
                <w:szCs w:val="19"/>
                <w:lang w:val="es-ES"/>
              </w:rPr>
              <w:t>(instrumento adoptado</w:t>
            </w:r>
            <w:r>
              <w:rPr>
                <w:rFonts w:ascii="Cambria" w:hAnsi="Cambria"/>
                <w:bCs/>
                <w:sz w:val="19"/>
                <w:szCs w:val="19"/>
                <w:lang w:val="es-ES"/>
              </w:rPr>
              <w:t xml:space="preserve"> el 24 de marzo de 1981</w:t>
            </w:r>
            <w:r w:rsidR="00456DF2">
              <w:rPr>
                <w:rFonts w:ascii="Cambria" w:hAnsi="Cambria"/>
                <w:bCs/>
                <w:sz w:val="19"/>
                <w:szCs w:val="19"/>
                <w:lang w:val="es-ES"/>
              </w:rPr>
              <w:t xml:space="preserve">); </w:t>
            </w:r>
            <w:r>
              <w:rPr>
                <w:rFonts w:ascii="Cambria" w:hAnsi="Cambria"/>
                <w:bCs/>
                <w:sz w:val="19"/>
                <w:szCs w:val="19"/>
                <w:lang w:val="es-ES"/>
              </w:rPr>
              <w:t xml:space="preserve"> Protocolo de San Salvador </w:t>
            </w:r>
            <w:r w:rsidR="00456DF2">
              <w:rPr>
                <w:rFonts w:ascii="Cambria" w:hAnsi="Cambria"/>
                <w:bCs/>
                <w:sz w:val="19"/>
                <w:szCs w:val="19"/>
                <w:lang w:val="es-ES"/>
              </w:rPr>
              <w:t xml:space="preserve">(instrumento </w:t>
            </w:r>
            <w:r>
              <w:rPr>
                <w:rFonts w:ascii="Cambria" w:hAnsi="Cambria"/>
                <w:bCs/>
                <w:sz w:val="19"/>
                <w:szCs w:val="19"/>
                <w:lang w:val="es-ES"/>
              </w:rPr>
              <w:t>adoptado el 16 de abril de 1996</w:t>
            </w:r>
            <w:r w:rsidR="00456DF2">
              <w:rPr>
                <w:rFonts w:ascii="Cambria" w:hAnsi="Cambria"/>
                <w:bCs/>
                <w:sz w:val="19"/>
                <w:szCs w:val="19"/>
                <w:lang w:val="es-ES"/>
              </w:rPr>
              <w:t>)</w:t>
            </w:r>
          </w:p>
        </w:tc>
      </w:tr>
    </w:tbl>
    <w:p w14:paraId="4E92C444" w14:textId="337B768D"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EE00E9" w:rsidRPr="00006B74">
        <w:rPr>
          <w:rFonts w:asciiTheme="majorHAnsi" w:hAnsiTheme="majorHAnsi"/>
          <w:b/>
          <w:bCs/>
          <w:sz w:val="20"/>
          <w:szCs w:val="20"/>
          <w:lang w:val="es-ES"/>
        </w:rPr>
        <w:t>I</w:t>
      </w:r>
      <w:r w:rsidR="00803FA0">
        <w:rPr>
          <w:rFonts w:asciiTheme="majorHAnsi" w:hAnsiTheme="majorHAnsi"/>
          <w:b/>
          <w:bCs/>
          <w:sz w:val="20"/>
          <w:szCs w:val="20"/>
          <w:lang w:val="es-ES"/>
        </w:rPr>
        <w:t>NTERNACIONAL,</w:t>
      </w:r>
      <w:r w:rsidRPr="00006B74">
        <w:rPr>
          <w:rFonts w:asciiTheme="majorHAnsi" w:hAnsiTheme="majorHAnsi"/>
          <w:b/>
          <w:bCs/>
          <w:sz w:val="20"/>
          <w:szCs w:val="20"/>
          <w:lang w:val="es-ES"/>
        </w:rPr>
        <w:t xml:space="preserve"> CARACTERIZACIÓN,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64"/>
        <w:gridCol w:w="6478"/>
      </w:tblGrid>
      <w:tr w:rsidR="00EE00E9" w:rsidRPr="00726E58"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47080D" w:rsidRDefault="00EE00E9" w:rsidP="00954B82">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 xml:space="preserve">Duplicación </w:t>
            </w:r>
            <w:r w:rsidR="00D77503" w:rsidRPr="0047080D">
              <w:rPr>
                <w:rFonts w:ascii="Cambria" w:hAnsi="Cambria"/>
                <w:bCs/>
                <w:color w:val="FFFFFF" w:themeColor="background1"/>
                <w:sz w:val="19"/>
                <w:szCs w:val="19"/>
                <w:lang w:val="es-ES"/>
              </w:rPr>
              <w:t>y cosa juzgada internacional</w:t>
            </w:r>
          </w:p>
        </w:tc>
        <w:tc>
          <w:tcPr>
            <w:tcW w:w="6570" w:type="dxa"/>
            <w:vAlign w:val="center"/>
          </w:tcPr>
          <w:p w14:paraId="240941E6" w14:textId="5638964F" w:rsidR="00EE00E9" w:rsidRPr="0047080D" w:rsidRDefault="00493D79" w:rsidP="00493D79">
            <w:pPr>
              <w:jc w:val="both"/>
              <w:rPr>
                <w:rFonts w:ascii="Cambria" w:hAnsi="Cambria"/>
                <w:bCs/>
                <w:sz w:val="19"/>
                <w:szCs w:val="19"/>
                <w:lang w:val="es-ES"/>
              </w:rPr>
            </w:pPr>
            <w:r>
              <w:rPr>
                <w:rFonts w:ascii="Cambria" w:hAnsi="Cambria"/>
                <w:bCs/>
                <w:sz w:val="19"/>
                <w:szCs w:val="19"/>
                <w:lang w:val="es-ES"/>
              </w:rPr>
              <w:t>No</w:t>
            </w:r>
          </w:p>
        </w:tc>
      </w:tr>
      <w:tr w:rsidR="003239B8" w:rsidRPr="005553E1"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47080D" w:rsidRDefault="003239B8" w:rsidP="00954B82">
            <w:pPr>
              <w:jc w:val="center"/>
              <w:rPr>
                <w:rFonts w:ascii="Cambria" w:hAnsi="Cambria"/>
                <w:bCs/>
                <w:i/>
                <w:color w:val="FFFFFF" w:themeColor="background1"/>
                <w:sz w:val="19"/>
                <w:szCs w:val="19"/>
                <w:lang w:val="es-ES"/>
              </w:rPr>
            </w:pPr>
            <w:r w:rsidRPr="0047080D">
              <w:rPr>
                <w:rFonts w:ascii="Cambria" w:hAnsi="Cambria"/>
                <w:bCs/>
                <w:color w:val="FFFFFF" w:themeColor="background1"/>
                <w:sz w:val="19"/>
                <w:szCs w:val="19"/>
                <w:lang w:val="es-ES"/>
              </w:rPr>
              <w:t>Derechos admi</w:t>
            </w:r>
            <w:r w:rsidR="00954B82" w:rsidRPr="0047080D">
              <w:rPr>
                <w:rFonts w:ascii="Cambria" w:hAnsi="Cambria"/>
                <w:bCs/>
                <w:color w:val="FFFFFF" w:themeColor="background1"/>
                <w:sz w:val="19"/>
                <w:szCs w:val="19"/>
                <w:lang w:val="es-ES"/>
              </w:rPr>
              <w:t>tidos</w:t>
            </w:r>
          </w:p>
        </w:tc>
        <w:tc>
          <w:tcPr>
            <w:tcW w:w="6570" w:type="dxa"/>
            <w:vAlign w:val="center"/>
          </w:tcPr>
          <w:p w14:paraId="6310C8F7" w14:textId="40E06AC5" w:rsidR="003239B8" w:rsidRPr="005A735A" w:rsidRDefault="00493D79" w:rsidP="005E2E5A">
            <w:pPr>
              <w:jc w:val="both"/>
              <w:rPr>
                <w:rFonts w:ascii="Cambria" w:hAnsi="Cambria"/>
                <w:bCs/>
                <w:sz w:val="19"/>
                <w:szCs w:val="19"/>
                <w:lang w:val="es-ES"/>
              </w:rPr>
            </w:pPr>
            <w:r w:rsidRPr="005A735A">
              <w:rPr>
                <w:rFonts w:ascii="Cambria" w:hAnsi="Cambria"/>
                <w:bCs/>
                <w:sz w:val="19"/>
                <w:szCs w:val="19"/>
                <w:lang w:val="es-ES"/>
              </w:rPr>
              <w:t>Artículos 8 (garantías judiciales)</w:t>
            </w:r>
            <w:r w:rsidR="00803FA0" w:rsidRPr="005A735A">
              <w:rPr>
                <w:rFonts w:ascii="Cambria" w:hAnsi="Cambria"/>
                <w:bCs/>
                <w:sz w:val="19"/>
                <w:szCs w:val="19"/>
                <w:lang w:val="es-ES"/>
              </w:rPr>
              <w:t xml:space="preserve">, </w:t>
            </w:r>
            <w:r w:rsidRPr="005A735A">
              <w:rPr>
                <w:rFonts w:ascii="Cambria" w:hAnsi="Cambria"/>
                <w:bCs/>
                <w:sz w:val="19"/>
                <w:szCs w:val="19"/>
                <w:lang w:val="es-ES"/>
              </w:rPr>
              <w:t xml:space="preserve"> 25 (protección judicial) </w:t>
            </w:r>
            <w:r w:rsidR="00803FA0" w:rsidRPr="005A735A">
              <w:rPr>
                <w:rFonts w:ascii="Cambria" w:hAnsi="Cambria"/>
                <w:bCs/>
                <w:sz w:val="19"/>
                <w:szCs w:val="19"/>
                <w:lang w:val="es-ES"/>
              </w:rPr>
              <w:t xml:space="preserve">y 26 (derechos económicos, sociales y culturales) </w:t>
            </w:r>
            <w:r w:rsidRPr="005A735A">
              <w:rPr>
                <w:rFonts w:ascii="Cambria" w:hAnsi="Cambria"/>
                <w:bCs/>
                <w:sz w:val="19"/>
                <w:szCs w:val="19"/>
                <w:lang w:val="es-ES"/>
              </w:rPr>
              <w:t xml:space="preserve">de la Convención Americana en relación con sus artículos 1 </w:t>
            </w:r>
            <w:r w:rsidR="005A735A" w:rsidRPr="005A735A">
              <w:rPr>
                <w:rFonts w:ascii="Cambria" w:hAnsi="Cambria"/>
                <w:bCs/>
                <w:sz w:val="19"/>
                <w:szCs w:val="19"/>
                <w:lang w:val="es-ES"/>
              </w:rPr>
              <w:t>(obligación de respetar los derechos)</w:t>
            </w:r>
            <w:r w:rsidRPr="005A735A">
              <w:rPr>
                <w:rFonts w:ascii="Cambria" w:hAnsi="Cambria"/>
                <w:bCs/>
                <w:sz w:val="19"/>
                <w:szCs w:val="19"/>
                <w:lang w:val="es-ES"/>
              </w:rPr>
              <w:t xml:space="preserve"> y 2 (</w:t>
            </w:r>
            <w:r w:rsidR="005A735A" w:rsidRPr="005A735A">
              <w:rPr>
                <w:rFonts w:ascii="Cambria" w:hAnsi="Cambria"/>
                <w:bCs/>
                <w:sz w:val="19"/>
                <w:szCs w:val="19"/>
                <w:lang w:val="es-ES"/>
              </w:rPr>
              <w:t>deber de adoptar disposiciones de derecho interno</w:t>
            </w:r>
            <w:r w:rsidRPr="005A735A">
              <w:rPr>
                <w:rFonts w:ascii="Cambria" w:hAnsi="Cambria"/>
                <w:bCs/>
                <w:sz w:val="19"/>
                <w:szCs w:val="19"/>
                <w:lang w:val="es-ES"/>
              </w:rPr>
              <w:t xml:space="preserve">); </w:t>
            </w:r>
            <w:r w:rsidR="005E2E5A">
              <w:rPr>
                <w:rFonts w:ascii="Cambria" w:hAnsi="Cambria"/>
                <w:bCs/>
                <w:sz w:val="19"/>
                <w:szCs w:val="19"/>
                <w:lang w:val="es-ES"/>
              </w:rPr>
              <w:t>a</w:t>
            </w:r>
            <w:r w:rsidRPr="005A735A">
              <w:rPr>
                <w:rFonts w:ascii="Cambria" w:hAnsi="Cambria"/>
                <w:bCs/>
                <w:sz w:val="19"/>
                <w:szCs w:val="19"/>
                <w:lang w:val="es-ES"/>
              </w:rPr>
              <w:t>rtículos I, II, V, XIV, XVII y VI</w:t>
            </w:r>
            <w:r w:rsidR="005A735A" w:rsidRPr="005A735A">
              <w:rPr>
                <w:rFonts w:ascii="Cambria" w:hAnsi="Cambria"/>
                <w:bCs/>
                <w:sz w:val="19"/>
                <w:szCs w:val="19"/>
                <w:lang w:val="es-ES"/>
              </w:rPr>
              <w:t>III de la Declaración Americana.</w:t>
            </w:r>
          </w:p>
        </w:tc>
      </w:tr>
      <w:tr w:rsidR="003239B8" w:rsidRPr="005553E1"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058482B9" w:rsidR="003239B8" w:rsidRPr="0047080D" w:rsidRDefault="003239B8" w:rsidP="006775AB">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Agotamiento de</w:t>
            </w:r>
            <w:r w:rsidR="0069402E" w:rsidRPr="0047080D">
              <w:rPr>
                <w:rFonts w:ascii="Cambria" w:hAnsi="Cambria"/>
                <w:bCs/>
                <w:color w:val="FFFFFF" w:themeColor="background1"/>
                <w:sz w:val="19"/>
                <w:szCs w:val="19"/>
                <w:lang w:val="es-ES"/>
              </w:rPr>
              <w:t xml:space="preserve"> </w:t>
            </w:r>
            <w:r w:rsidRPr="0047080D">
              <w:rPr>
                <w:rFonts w:ascii="Cambria" w:hAnsi="Cambria"/>
                <w:bCs/>
                <w:color w:val="FFFFFF" w:themeColor="background1"/>
                <w:sz w:val="19"/>
                <w:szCs w:val="19"/>
                <w:lang w:val="es-ES"/>
              </w:rPr>
              <w:t xml:space="preserve">recursos </w:t>
            </w:r>
            <w:r w:rsidR="00D77503" w:rsidRPr="0047080D">
              <w:rPr>
                <w:rFonts w:ascii="Cambria" w:hAnsi="Cambria"/>
                <w:bCs/>
                <w:color w:val="FFFFFF" w:themeColor="background1"/>
                <w:sz w:val="19"/>
                <w:szCs w:val="19"/>
                <w:lang w:val="es-ES"/>
              </w:rPr>
              <w:t>o procedencia de una excepción</w:t>
            </w:r>
          </w:p>
        </w:tc>
        <w:tc>
          <w:tcPr>
            <w:tcW w:w="6570" w:type="dxa"/>
            <w:vAlign w:val="center"/>
          </w:tcPr>
          <w:p w14:paraId="69C53E8A" w14:textId="7582337B" w:rsidR="003239B8" w:rsidRPr="0047080D" w:rsidRDefault="00803FA0" w:rsidP="009751CF">
            <w:pPr>
              <w:rPr>
                <w:rFonts w:ascii="Cambria" w:hAnsi="Cambria"/>
                <w:bCs/>
                <w:sz w:val="19"/>
                <w:szCs w:val="19"/>
                <w:lang w:val="es-ES"/>
              </w:rPr>
            </w:pPr>
            <w:r>
              <w:rPr>
                <w:rFonts w:ascii="Cambria" w:hAnsi="Cambria"/>
                <w:bCs/>
                <w:sz w:val="19"/>
                <w:szCs w:val="19"/>
                <w:lang w:val="es-ES"/>
              </w:rPr>
              <w:t xml:space="preserve">Sí, según la sección </w:t>
            </w:r>
            <w:r w:rsidR="009751CF">
              <w:rPr>
                <w:rFonts w:ascii="Cambria" w:hAnsi="Cambria"/>
                <w:bCs/>
                <w:sz w:val="19"/>
                <w:szCs w:val="19"/>
                <w:lang w:val="es-ES"/>
              </w:rPr>
              <w:t>VII</w:t>
            </w:r>
          </w:p>
        </w:tc>
      </w:tr>
      <w:tr w:rsidR="003239B8" w:rsidRPr="00006B74"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47080D" w:rsidRDefault="00D77503" w:rsidP="00493D79">
            <w:pPr>
              <w:jc w:val="center"/>
              <w:rPr>
                <w:rFonts w:ascii="Cambria" w:hAnsi="Cambria"/>
                <w:bCs/>
                <w:color w:val="FFFFFF" w:themeColor="background1"/>
                <w:sz w:val="19"/>
                <w:szCs w:val="19"/>
                <w:lang w:val="es-ES"/>
              </w:rPr>
            </w:pPr>
            <w:r w:rsidRPr="0047080D">
              <w:rPr>
                <w:rFonts w:ascii="Cambria" w:hAnsi="Cambria"/>
                <w:bCs/>
                <w:color w:val="FFFFFF" w:themeColor="background1"/>
                <w:sz w:val="19"/>
                <w:szCs w:val="19"/>
                <w:lang w:val="es-ES"/>
              </w:rPr>
              <w:t>Presentación dentro de plazo</w:t>
            </w:r>
          </w:p>
        </w:tc>
        <w:tc>
          <w:tcPr>
            <w:tcW w:w="6570" w:type="dxa"/>
            <w:vAlign w:val="center"/>
          </w:tcPr>
          <w:p w14:paraId="4A2A4569" w14:textId="20EAD450" w:rsidR="003239B8" w:rsidRPr="0047080D" w:rsidRDefault="00803FA0" w:rsidP="00493D79">
            <w:pPr>
              <w:rPr>
                <w:rFonts w:ascii="Cambria" w:hAnsi="Cambria"/>
                <w:bCs/>
                <w:sz w:val="19"/>
                <w:szCs w:val="19"/>
                <w:lang w:val="es-ES"/>
              </w:rPr>
            </w:pPr>
            <w:r>
              <w:rPr>
                <w:rFonts w:ascii="Cambria" w:hAnsi="Cambria"/>
                <w:bCs/>
                <w:sz w:val="19"/>
                <w:szCs w:val="19"/>
                <w:lang w:val="es-ES"/>
              </w:rPr>
              <w:t>Sí</w:t>
            </w:r>
          </w:p>
        </w:tc>
      </w:tr>
    </w:tbl>
    <w:p w14:paraId="65D9770C" w14:textId="77777777" w:rsidR="00DD1EFF" w:rsidRDefault="00DD1EFF" w:rsidP="00DD1EFF">
      <w:pPr>
        <w:ind w:firstLine="720"/>
        <w:jc w:val="both"/>
        <w:rPr>
          <w:rFonts w:asciiTheme="majorHAnsi" w:hAnsiTheme="majorHAnsi"/>
          <w:b/>
          <w:sz w:val="20"/>
          <w:szCs w:val="20"/>
          <w:lang w:val="es-ES"/>
        </w:rPr>
      </w:pPr>
    </w:p>
    <w:p w14:paraId="18E6423B" w14:textId="1533232F" w:rsidR="003239B8" w:rsidRPr="00006B74" w:rsidRDefault="00223A29" w:rsidP="00DD1EFF">
      <w:pPr>
        <w:ind w:firstLine="720"/>
        <w:jc w:val="both"/>
        <w:rPr>
          <w:rFonts w:asciiTheme="majorHAnsi" w:hAnsiTheme="majorHAnsi"/>
          <w:b/>
          <w:sz w:val="20"/>
          <w:szCs w:val="20"/>
          <w:lang w:val="es-ES"/>
        </w:rPr>
      </w:pPr>
      <w:r w:rsidRPr="00006B74">
        <w:rPr>
          <w:rFonts w:asciiTheme="majorHAnsi" w:hAnsiTheme="majorHAnsi"/>
          <w:b/>
          <w:sz w:val="20"/>
          <w:szCs w:val="20"/>
          <w:lang w:val="es-ES"/>
        </w:rPr>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7447F3D3" w14:textId="77777777" w:rsidR="00DD1EFF" w:rsidRPr="00DD1EFF" w:rsidRDefault="00DD1EFF" w:rsidP="00DD1EF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p>
    <w:p w14:paraId="6E83C4C0" w14:textId="37EE6164" w:rsidR="00456DF2" w:rsidRPr="00456DF2" w:rsidRDefault="005E2E5A" w:rsidP="005E2E5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AR"/>
        </w:rPr>
      </w:pPr>
      <w:r>
        <w:rPr>
          <w:rFonts w:ascii="Cambria" w:hAnsi="Cambria"/>
          <w:sz w:val="20"/>
          <w:szCs w:val="20"/>
          <w:lang w:val="es-AR"/>
        </w:rPr>
        <w:t xml:space="preserve">El </w:t>
      </w:r>
      <w:r w:rsidR="00456DF2" w:rsidRPr="00456DF2">
        <w:rPr>
          <w:rFonts w:ascii="Cambria" w:hAnsi="Cambria"/>
          <w:sz w:val="20"/>
          <w:szCs w:val="20"/>
          <w:lang w:val="es-AR"/>
        </w:rPr>
        <w:t>peticionari</w:t>
      </w:r>
      <w:r>
        <w:rPr>
          <w:rFonts w:ascii="Cambria" w:hAnsi="Cambria"/>
          <w:sz w:val="20"/>
          <w:szCs w:val="20"/>
          <w:lang w:val="es-AR"/>
        </w:rPr>
        <w:t>o</w:t>
      </w:r>
      <w:r w:rsidR="00456DF2" w:rsidRPr="00456DF2">
        <w:rPr>
          <w:rFonts w:ascii="Cambria" w:hAnsi="Cambria"/>
          <w:sz w:val="20"/>
          <w:szCs w:val="20"/>
          <w:lang w:val="es-AR"/>
        </w:rPr>
        <w:t xml:space="preserve"> y presunta víctima</w:t>
      </w:r>
      <w:r>
        <w:rPr>
          <w:rFonts w:ascii="Cambria" w:hAnsi="Cambria"/>
          <w:sz w:val="20"/>
          <w:szCs w:val="20"/>
          <w:lang w:val="es-AR"/>
        </w:rPr>
        <w:t xml:space="preserve"> sostiene </w:t>
      </w:r>
      <w:r w:rsidR="00456DF2" w:rsidRPr="00456DF2">
        <w:rPr>
          <w:rFonts w:ascii="Cambria" w:hAnsi="Cambria"/>
          <w:sz w:val="20"/>
          <w:szCs w:val="20"/>
          <w:lang w:val="es-AR"/>
        </w:rPr>
        <w:t xml:space="preserve">que el Estado mexicano es responsable por su despido injustificado y por </w:t>
      </w:r>
      <w:r>
        <w:rPr>
          <w:rFonts w:ascii="Cambria" w:hAnsi="Cambria"/>
          <w:sz w:val="20"/>
          <w:szCs w:val="20"/>
          <w:lang w:val="es-AR"/>
        </w:rPr>
        <w:t>la falta de</w:t>
      </w:r>
      <w:r w:rsidR="00456DF2" w:rsidRPr="00456DF2">
        <w:rPr>
          <w:rFonts w:ascii="Cambria" w:hAnsi="Cambria"/>
          <w:sz w:val="20"/>
          <w:szCs w:val="20"/>
          <w:lang w:val="es-AR"/>
        </w:rPr>
        <w:t xml:space="preserve"> </w:t>
      </w:r>
      <w:r>
        <w:rPr>
          <w:rFonts w:ascii="Cambria" w:hAnsi="Cambria"/>
          <w:sz w:val="20"/>
          <w:szCs w:val="20"/>
          <w:lang w:val="es-AR"/>
        </w:rPr>
        <w:t xml:space="preserve">un </w:t>
      </w:r>
      <w:r w:rsidR="00456DF2" w:rsidRPr="00456DF2">
        <w:rPr>
          <w:rFonts w:ascii="Cambria" w:hAnsi="Cambria"/>
          <w:sz w:val="20"/>
          <w:szCs w:val="20"/>
          <w:lang w:val="es-AR"/>
        </w:rPr>
        <w:t xml:space="preserve">recurso judicial </w:t>
      </w:r>
      <w:r>
        <w:rPr>
          <w:rFonts w:ascii="Cambria" w:hAnsi="Cambria"/>
          <w:sz w:val="20"/>
          <w:szCs w:val="20"/>
          <w:lang w:val="es-AR"/>
        </w:rPr>
        <w:t xml:space="preserve">para </w:t>
      </w:r>
      <w:r w:rsidR="00456DF2" w:rsidRPr="00456DF2">
        <w:rPr>
          <w:rFonts w:ascii="Cambria" w:hAnsi="Cambria"/>
          <w:sz w:val="20"/>
          <w:szCs w:val="20"/>
          <w:lang w:val="es-AR"/>
        </w:rPr>
        <w:t>recurrir la decisión de d</w:t>
      </w:r>
      <w:r>
        <w:rPr>
          <w:rFonts w:ascii="Cambria" w:hAnsi="Cambria"/>
          <w:sz w:val="20"/>
          <w:szCs w:val="20"/>
          <w:lang w:val="es-AR"/>
        </w:rPr>
        <w:t>espido</w:t>
      </w:r>
      <w:r w:rsidR="00456DF2" w:rsidRPr="00456DF2">
        <w:rPr>
          <w:rFonts w:ascii="Cambria" w:hAnsi="Cambria"/>
          <w:sz w:val="20"/>
          <w:szCs w:val="20"/>
          <w:lang w:val="es-AR"/>
        </w:rPr>
        <w:t xml:space="preserve"> de los trabajadores de la Suprema Corte de Justicia de México. </w:t>
      </w:r>
      <w:r>
        <w:rPr>
          <w:rFonts w:ascii="Cambria" w:hAnsi="Cambria"/>
          <w:sz w:val="20"/>
          <w:szCs w:val="20"/>
          <w:lang w:val="es-AR"/>
        </w:rPr>
        <w:t>Alega</w:t>
      </w:r>
      <w:r w:rsidR="00456DF2" w:rsidRPr="00456DF2">
        <w:rPr>
          <w:rFonts w:ascii="Cambria" w:hAnsi="Cambria"/>
          <w:sz w:val="20"/>
          <w:szCs w:val="20"/>
          <w:lang w:val="es-AR"/>
        </w:rPr>
        <w:t xml:space="preserve"> que el Estado </w:t>
      </w:r>
      <w:r>
        <w:rPr>
          <w:rFonts w:ascii="Cambria" w:hAnsi="Cambria"/>
          <w:sz w:val="20"/>
          <w:szCs w:val="20"/>
          <w:lang w:val="es-AR"/>
        </w:rPr>
        <w:t xml:space="preserve">no </w:t>
      </w:r>
      <w:r w:rsidR="00456DF2" w:rsidRPr="00456DF2">
        <w:rPr>
          <w:rFonts w:ascii="Cambria" w:hAnsi="Cambria"/>
          <w:sz w:val="20"/>
          <w:szCs w:val="20"/>
          <w:lang w:val="es-AR"/>
        </w:rPr>
        <w:t xml:space="preserve">le confirió </w:t>
      </w:r>
      <w:r>
        <w:rPr>
          <w:rFonts w:ascii="Cambria" w:hAnsi="Cambria"/>
          <w:sz w:val="20"/>
          <w:szCs w:val="20"/>
          <w:lang w:val="es-AR"/>
        </w:rPr>
        <w:t xml:space="preserve">la </w:t>
      </w:r>
      <w:r w:rsidRPr="00456DF2">
        <w:rPr>
          <w:rFonts w:ascii="Cambria" w:hAnsi="Cambria"/>
          <w:sz w:val="20"/>
          <w:szCs w:val="20"/>
          <w:lang w:val="es-AR"/>
        </w:rPr>
        <w:t>información</w:t>
      </w:r>
      <w:r w:rsidR="00456DF2" w:rsidRPr="00456DF2">
        <w:rPr>
          <w:rFonts w:ascii="Cambria" w:hAnsi="Cambria"/>
          <w:sz w:val="20"/>
          <w:szCs w:val="20"/>
          <w:lang w:val="es-AR"/>
        </w:rPr>
        <w:t xml:space="preserve"> suficiente para que pudiera defenderse en las instancias administrativas que determinaron su </w:t>
      </w:r>
      <w:r>
        <w:rPr>
          <w:rFonts w:ascii="Cambria" w:hAnsi="Cambria"/>
          <w:sz w:val="20"/>
          <w:szCs w:val="20"/>
          <w:lang w:val="es-AR"/>
        </w:rPr>
        <w:t>despido,</w:t>
      </w:r>
      <w:r w:rsidR="00456DF2" w:rsidRPr="00456DF2">
        <w:rPr>
          <w:rFonts w:ascii="Cambria" w:hAnsi="Cambria"/>
          <w:sz w:val="20"/>
          <w:szCs w:val="20"/>
          <w:lang w:val="es-AR"/>
        </w:rPr>
        <w:t xml:space="preserve"> y que tampoco conoció las razones </w:t>
      </w:r>
      <w:r>
        <w:rPr>
          <w:rFonts w:ascii="Cambria" w:hAnsi="Cambria"/>
          <w:sz w:val="20"/>
          <w:szCs w:val="20"/>
          <w:lang w:val="es-AR"/>
        </w:rPr>
        <w:t xml:space="preserve">para dicha </w:t>
      </w:r>
      <w:r w:rsidR="00456DF2" w:rsidRPr="00456DF2">
        <w:rPr>
          <w:rFonts w:ascii="Cambria" w:hAnsi="Cambria"/>
          <w:sz w:val="20"/>
          <w:szCs w:val="20"/>
          <w:lang w:val="es-AR"/>
        </w:rPr>
        <w:t>de</w:t>
      </w:r>
      <w:r>
        <w:rPr>
          <w:rFonts w:ascii="Cambria" w:hAnsi="Cambria"/>
          <w:sz w:val="20"/>
          <w:szCs w:val="20"/>
          <w:lang w:val="es-AR"/>
        </w:rPr>
        <w:t>c</w:t>
      </w:r>
      <w:r w:rsidR="00456DF2" w:rsidRPr="00456DF2">
        <w:rPr>
          <w:rFonts w:ascii="Cambria" w:hAnsi="Cambria"/>
          <w:sz w:val="20"/>
          <w:szCs w:val="20"/>
          <w:lang w:val="es-AR"/>
        </w:rPr>
        <w:t>isión.</w:t>
      </w:r>
    </w:p>
    <w:p w14:paraId="5A934464" w14:textId="119A7BCF" w:rsidR="003244F1" w:rsidRPr="00DD1EFF" w:rsidRDefault="00DD1EFF" w:rsidP="005E2E5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lastRenderedPageBreak/>
        <w:t xml:space="preserve">El peticionario </w:t>
      </w:r>
      <w:r w:rsidR="008B59CF">
        <w:rPr>
          <w:rFonts w:ascii="Cambria" w:hAnsi="Cambria"/>
          <w:bCs/>
          <w:sz w:val="20"/>
          <w:szCs w:val="20"/>
          <w:lang w:val="es-ES"/>
        </w:rPr>
        <w:t>ingresó a la Suprema Corte de Justicia el 1</w:t>
      </w:r>
      <w:r>
        <w:rPr>
          <w:rFonts w:ascii="Cambria" w:hAnsi="Cambria"/>
          <w:bCs/>
          <w:sz w:val="20"/>
          <w:szCs w:val="20"/>
          <w:lang w:val="es-ES"/>
        </w:rPr>
        <w:t xml:space="preserve">º </w:t>
      </w:r>
      <w:r w:rsidR="008B59CF">
        <w:rPr>
          <w:rFonts w:ascii="Cambria" w:hAnsi="Cambria"/>
          <w:bCs/>
          <w:sz w:val="20"/>
          <w:szCs w:val="20"/>
          <w:lang w:val="es-ES"/>
        </w:rPr>
        <w:t>de jul</w:t>
      </w:r>
      <w:r>
        <w:rPr>
          <w:rFonts w:ascii="Cambria" w:hAnsi="Cambria"/>
          <w:bCs/>
          <w:sz w:val="20"/>
          <w:szCs w:val="20"/>
          <w:lang w:val="es-ES"/>
        </w:rPr>
        <w:t>i</w:t>
      </w:r>
      <w:r w:rsidR="008B59CF">
        <w:rPr>
          <w:rFonts w:ascii="Cambria" w:hAnsi="Cambria"/>
          <w:bCs/>
          <w:sz w:val="20"/>
          <w:szCs w:val="20"/>
          <w:lang w:val="es-ES"/>
        </w:rPr>
        <w:t>o de 1998 como Jefe de Departamento</w:t>
      </w:r>
      <w:r>
        <w:rPr>
          <w:rFonts w:ascii="Cambria" w:hAnsi="Cambria"/>
          <w:bCs/>
          <w:sz w:val="20"/>
          <w:szCs w:val="20"/>
          <w:lang w:val="es-ES"/>
        </w:rPr>
        <w:t>, y</w:t>
      </w:r>
      <w:r w:rsidR="008B59CF">
        <w:rPr>
          <w:rFonts w:ascii="Cambria" w:hAnsi="Cambria"/>
          <w:bCs/>
          <w:sz w:val="20"/>
          <w:szCs w:val="20"/>
          <w:lang w:val="es-ES"/>
        </w:rPr>
        <w:t xml:space="preserve"> el 1</w:t>
      </w:r>
      <w:r>
        <w:rPr>
          <w:rFonts w:ascii="Cambria" w:hAnsi="Cambria"/>
          <w:bCs/>
          <w:sz w:val="20"/>
          <w:szCs w:val="20"/>
          <w:lang w:val="es-ES"/>
        </w:rPr>
        <w:t xml:space="preserve">º </w:t>
      </w:r>
      <w:r w:rsidR="008B59CF">
        <w:rPr>
          <w:rFonts w:ascii="Cambria" w:hAnsi="Cambria"/>
          <w:bCs/>
          <w:sz w:val="20"/>
          <w:szCs w:val="20"/>
          <w:lang w:val="es-ES"/>
        </w:rPr>
        <w:t xml:space="preserve">de diciembre de 2002 </w:t>
      </w:r>
      <w:r>
        <w:rPr>
          <w:rFonts w:ascii="Cambria" w:hAnsi="Cambria"/>
          <w:bCs/>
          <w:sz w:val="20"/>
          <w:szCs w:val="20"/>
          <w:lang w:val="es-ES"/>
        </w:rPr>
        <w:t>fue ascendido a</w:t>
      </w:r>
      <w:r w:rsidR="008B59CF">
        <w:rPr>
          <w:rFonts w:ascii="Cambria" w:hAnsi="Cambria"/>
          <w:bCs/>
          <w:sz w:val="20"/>
          <w:szCs w:val="20"/>
          <w:lang w:val="es-ES"/>
        </w:rPr>
        <w:t xml:space="preserve"> Coordinador Administrativo</w:t>
      </w:r>
      <w:r>
        <w:rPr>
          <w:rFonts w:ascii="Cambria" w:hAnsi="Cambria"/>
          <w:bCs/>
          <w:sz w:val="20"/>
          <w:szCs w:val="20"/>
          <w:lang w:val="es-ES"/>
        </w:rPr>
        <w:t>.</w:t>
      </w:r>
      <w:r w:rsidR="008B59CF">
        <w:rPr>
          <w:rFonts w:ascii="Cambria" w:hAnsi="Cambria"/>
          <w:bCs/>
          <w:sz w:val="20"/>
          <w:szCs w:val="20"/>
          <w:lang w:val="es-ES"/>
        </w:rPr>
        <w:t xml:space="preserve"> </w:t>
      </w:r>
      <w:r>
        <w:rPr>
          <w:rFonts w:ascii="Cambria" w:hAnsi="Cambria"/>
          <w:bCs/>
          <w:sz w:val="20"/>
          <w:szCs w:val="20"/>
          <w:lang w:val="es-ES"/>
        </w:rPr>
        <w:t xml:space="preserve">El </w:t>
      </w:r>
      <w:r w:rsidR="008B59CF">
        <w:rPr>
          <w:rFonts w:ascii="Cambria" w:hAnsi="Cambria"/>
          <w:bCs/>
          <w:sz w:val="20"/>
          <w:szCs w:val="20"/>
          <w:lang w:val="es-ES"/>
        </w:rPr>
        <w:t>1</w:t>
      </w:r>
      <w:r>
        <w:rPr>
          <w:rFonts w:ascii="Cambria" w:hAnsi="Cambria"/>
          <w:bCs/>
          <w:sz w:val="20"/>
          <w:szCs w:val="20"/>
          <w:lang w:val="es-ES"/>
        </w:rPr>
        <w:t xml:space="preserve">º </w:t>
      </w:r>
      <w:r w:rsidR="008B59CF">
        <w:rPr>
          <w:rFonts w:ascii="Cambria" w:hAnsi="Cambria"/>
          <w:bCs/>
          <w:sz w:val="20"/>
          <w:szCs w:val="20"/>
          <w:lang w:val="es-ES"/>
        </w:rPr>
        <w:t xml:space="preserve">de febrero de 2005 fue designado Director de </w:t>
      </w:r>
      <w:r w:rsidR="004F74AC">
        <w:rPr>
          <w:rFonts w:ascii="Cambria" w:hAnsi="Cambria"/>
          <w:bCs/>
          <w:sz w:val="20"/>
          <w:szCs w:val="20"/>
          <w:lang w:val="es-ES"/>
        </w:rPr>
        <w:t>Área</w:t>
      </w:r>
      <w:r w:rsidR="008B59CF">
        <w:rPr>
          <w:rFonts w:ascii="Cambria" w:hAnsi="Cambria"/>
          <w:bCs/>
          <w:sz w:val="20"/>
          <w:szCs w:val="20"/>
          <w:lang w:val="es-ES"/>
        </w:rPr>
        <w:t xml:space="preserve"> en la Casa de la Cultura Jurídica de Guadalajara, </w:t>
      </w:r>
      <w:r>
        <w:rPr>
          <w:rFonts w:ascii="Cambria" w:hAnsi="Cambria"/>
          <w:bCs/>
          <w:sz w:val="20"/>
          <w:szCs w:val="20"/>
          <w:lang w:val="es-ES"/>
        </w:rPr>
        <w:t xml:space="preserve">en </w:t>
      </w:r>
      <w:r w:rsidR="000651B1">
        <w:rPr>
          <w:rFonts w:ascii="Cambria" w:hAnsi="Cambria"/>
          <w:bCs/>
          <w:sz w:val="20"/>
          <w:szCs w:val="20"/>
          <w:lang w:val="es-ES"/>
        </w:rPr>
        <w:t xml:space="preserve">nombramiento </w:t>
      </w:r>
      <w:r>
        <w:rPr>
          <w:rFonts w:ascii="Cambria" w:hAnsi="Cambria"/>
          <w:bCs/>
          <w:sz w:val="20"/>
          <w:szCs w:val="20"/>
          <w:lang w:val="es-ES"/>
        </w:rPr>
        <w:t xml:space="preserve">calificado </w:t>
      </w:r>
      <w:r w:rsidR="000651B1">
        <w:rPr>
          <w:rFonts w:ascii="Cambria" w:hAnsi="Cambria"/>
          <w:bCs/>
          <w:sz w:val="20"/>
          <w:szCs w:val="20"/>
          <w:lang w:val="es-ES"/>
        </w:rPr>
        <w:t>como definitivo</w:t>
      </w:r>
      <w:r w:rsidR="004F74AC">
        <w:rPr>
          <w:rFonts w:ascii="Cambria" w:hAnsi="Cambria"/>
          <w:bCs/>
          <w:sz w:val="20"/>
          <w:szCs w:val="20"/>
          <w:lang w:val="es-ES"/>
        </w:rPr>
        <w:t xml:space="preserve"> y </w:t>
      </w:r>
      <w:r>
        <w:rPr>
          <w:rFonts w:ascii="Cambria" w:hAnsi="Cambria"/>
          <w:bCs/>
          <w:sz w:val="20"/>
          <w:szCs w:val="20"/>
          <w:lang w:val="es-ES"/>
        </w:rPr>
        <w:t xml:space="preserve">en </w:t>
      </w:r>
      <w:r w:rsidR="00FA38F8">
        <w:rPr>
          <w:rFonts w:ascii="Cambria" w:hAnsi="Cambria"/>
          <w:bCs/>
          <w:sz w:val="20"/>
          <w:szCs w:val="20"/>
          <w:lang w:val="es-ES"/>
        </w:rPr>
        <w:t xml:space="preserve">un cargo </w:t>
      </w:r>
      <w:r w:rsidR="004F74AC">
        <w:rPr>
          <w:rFonts w:ascii="Cambria" w:hAnsi="Cambria"/>
          <w:bCs/>
          <w:sz w:val="20"/>
          <w:szCs w:val="20"/>
          <w:lang w:val="es-ES"/>
        </w:rPr>
        <w:t>de confianza</w:t>
      </w:r>
      <w:r>
        <w:rPr>
          <w:rFonts w:ascii="Cambria" w:hAnsi="Cambria"/>
          <w:bCs/>
          <w:sz w:val="20"/>
          <w:szCs w:val="20"/>
          <w:lang w:val="es-ES"/>
        </w:rPr>
        <w:t>, lo que le generó</w:t>
      </w:r>
      <w:r w:rsidR="000651B1">
        <w:rPr>
          <w:rFonts w:ascii="Cambria" w:hAnsi="Cambria"/>
          <w:bCs/>
          <w:sz w:val="20"/>
          <w:szCs w:val="20"/>
          <w:lang w:val="es-ES"/>
        </w:rPr>
        <w:t xml:space="preserve"> un derecho sustantivo de naturaleza laboral. </w:t>
      </w:r>
      <w:r>
        <w:rPr>
          <w:rFonts w:ascii="Cambria" w:hAnsi="Cambria"/>
          <w:bCs/>
          <w:sz w:val="20"/>
          <w:szCs w:val="20"/>
          <w:lang w:val="es-ES"/>
        </w:rPr>
        <w:t xml:space="preserve">El </w:t>
      </w:r>
      <w:r w:rsidR="00FA38F8">
        <w:rPr>
          <w:rFonts w:ascii="Cambria" w:hAnsi="Cambria"/>
          <w:bCs/>
          <w:sz w:val="20"/>
          <w:szCs w:val="20"/>
          <w:lang w:val="es-ES"/>
        </w:rPr>
        <w:t>12 de julio de 2006 el Director General de Casas de la Cultura Jurídica y Estudios Históricos de la Suprema Corte inició en su contra el Procedimiento de Solicitud de Baja No. 2/2007, para lo cual solicitó al Secretario Ejecutivo de la Contraloría del Alto Tribunal que realizara las investigaciones</w:t>
      </w:r>
      <w:r>
        <w:rPr>
          <w:rFonts w:ascii="Cambria" w:hAnsi="Cambria"/>
          <w:bCs/>
          <w:sz w:val="20"/>
          <w:szCs w:val="20"/>
          <w:lang w:val="es-ES"/>
        </w:rPr>
        <w:t>.</w:t>
      </w:r>
      <w:r w:rsidR="00FA38F8">
        <w:rPr>
          <w:rFonts w:ascii="Cambria" w:hAnsi="Cambria"/>
          <w:bCs/>
          <w:sz w:val="20"/>
          <w:szCs w:val="20"/>
          <w:lang w:val="es-ES"/>
        </w:rPr>
        <w:t xml:space="preserve"> </w:t>
      </w:r>
      <w:r>
        <w:rPr>
          <w:rFonts w:ascii="Cambria" w:hAnsi="Cambria"/>
          <w:bCs/>
          <w:sz w:val="20"/>
          <w:szCs w:val="20"/>
          <w:lang w:val="es-ES"/>
        </w:rPr>
        <w:t xml:space="preserve">Por </w:t>
      </w:r>
      <w:r w:rsidR="00FA38F8">
        <w:rPr>
          <w:rFonts w:ascii="Cambria" w:hAnsi="Cambria"/>
          <w:bCs/>
          <w:sz w:val="20"/>
          <w:szCs w:val="20"/>
          <w:lang w:val="es-ES"/>
        </w:rPr>
        <w:t xml:space="preserve">Oficio de 23 de enero de 2007 </w:t>
      </w:r>
      <w:r>
        <w:rPr>
          <w:rFonts w:ascii="Cambria" w:hAnsi="Cambria"/>
          <w:bCs/>
          <w:sz w:val="20"/>
          <w:szCs w:val="20"/>
          <w:lang w:val="es-ES"/>
        </w:rPr>
        <w:t xml:space="preserve">fue </w:t>
      </w:r>
      <w:r w:rsidR="00FA38F8">
        <w:rPr>
          <w:rFonts w:ascii="Cambria" w:hAnsi="Cambria"/>
          <w:bCs/>
          <w:sz w:val="20"/>
          <w:szCs w:val="20"/>
          <w:lang w:val="es-ES"/>
        </w:rPr>
        <w:t>suspen</w:t>
      </w:r>
      <w:r w:rsidR="00132848">
        <w:rPr>
          <w:rFonts w:ascii="Cambria" w:hAnsi="Cambria"/>
          <w:bCs/>
          <w:sz w:val="20"/>
          <w:szCs w:val="20"/>
          <w:lang w:val="es-ES"/>
        </w:rPr>
        <w:t>d</w:t>
      </w:r>
      <w:r>
        <w:rPr>
          <w:rFonts w:ascii="Cambria" w:hAnsi="Cambria"/>
          <w:bCs/>
          <w:sz w:val="20"/>
          <w:szCs w:val="20"/>
          <w:lang w:val="es-ES"/>
        </w:rPr>
        <w:t xml:space="preserve">ido </w:t>
      </w:r>
      <w:r w:rsidR="00132848">
        <w:rPr>
          <w:rFonts w:ascii="Cambria" w:hAnsi="Cambria"/>
          <w:bCs/>
          <w:sz w:val="20"/>
          <w:szCs w:val="20"/>
          <w:lang w:val="es-ES"/>
        </w:rPr>
        <w:t>de manera provisional</w:t>
      </w:r>
      <w:r w:rsidR="00FA38F8">
        <w:rPr>
          <w:rFonts w:ascii="Cambria" w:hAnsi="Cambria"/>
          <w:bCs/>
          <w:sz w:val="20"/>
          <w:szCs w:val="20"/>
          <w:lang w:val="es-ES"/>
        </w:rPr>
        <w:t xml:space="preserve"> y </w:t>
      </w:r>
      <w:r>
        <w:rPr>
          <w:rFonts w:ascii="Cambria" w:hAnsi="Cambria"/>
          <w:bCs/>
          <w:sz w:val="20"/>
          <w:szCs w:val="20"/>
          <w:lang w:val="es-ES"/>
        </w:rPr>
        <w:t xml:space="preserve">se le </w:t>
      </w:r>
      <w:r w:rsidR="00FA38F8">
        <w:rPr>
          <w:rFonts w:ascii="Cambria" w:hAnsi="Cambria"/>
          <w:bCs/>
          <w:sz w:val="20"/>
          <w:szCs w:val="20"/>
          <w:lang w:val="es-ES"/>
        </w:rPr>
        <w:t>notific</w:t>
      </w:r>
      <w:r>
        <w:rPr>
          <w:rFonts w:ascii="Cambria" w:hAnsi="Cambria"/>
          <w:bCs/>
          <w:sz w:val="20"/>
          <w:szCs w:val="20"/>
          <w:lang w:val="es-ES"/>
        </w:rPr>
        <w:t>ó</w:t>
      </w:r>
      <w:r w:rsidR="00FA38F8">
        <w:rPr>
          <w:rFonts w:ascii="Cambria" w:hAnsi="Cambria"/>
          <w:bCs/>
          <w:sz w:val="20"/>
          <w:szCs w:val="20"/>
          <w:lang w:val="es-ES"/>
        </w:rPr>
        <w:t xml:space="preserve"> que </w:t>
      </w:r>
      <w:r>
        <w:rPr>
          <w:rFonts w:ascii="Cambria" w:hAnsi="Cambria"/>
          <w:bCs/>
          <w:sz w:val="20"/>
          <w:szCs w:val="20"/>
          <w:lang w:val="es-ES"/>
        </w:rPr>
        <w:t xml:space="preserve">se había perdido la confianza en su persona, por lo que </w:t>
      </w:r>
      <w:r w:rsidR="00FA38F8">
        <w:rPr>
          <w:rFonts w:ascii="Cambria" w:hAnsi="Cambria"/>
          <w:bCs/>
          <w:sz w:val="20"/>
          <w:szCs w:val="20"/>
          <w:lang w:val="es-ES"/>
        </w:rPr>
        <w:t>en breve se solicitaría su baja ante el Comité de Gobierno y de Administración</w:t>
      </w:r>
      <w:r>
        <w:rPr>
          <w:rFonts w:ascii="Cambria" w:hAnsi="Cambria"/>
          <w:bCs/>
          <w:sz w:val="20"/>
          <w:szCs w:val="20"/>
          <w:lang w:val="es-ES"/>
        </w:rPr>
        <w:t>;</w:t>
      </w:r>
      <w:r w:rsidR="00132848">
        <w:rPr>
          <w:rFonts w:ascii="Cambria" w:hAnsi="Cambria"/>
          <w:bCs/>
          <w:sz w:val="20"/>
          <w:szCs w:val="20"/>
          <w:lang w:val="es-ES"/>
        </w:rPr>
        <w:t xml:space="preserve"> </w:t>
      </w:r>
      <w:r>
        <w:rPr>
          <w:rFonts w:ascii="Cambria" w:hAnsi="Cambria"/>
          <w:bCs/>
          <w:sz w:val="20"/>
          <w:szCs w:val="20"/>
          <w:lang w:val="es-ES"/>
        </w:rPr>
        <w:t xml:space="preserve">el 16 de marzo de 2007 se </w:t>
      </w:r>
      <w:r w:rsidR="00132848">
        <w:rPr>
          <w:rFonts w:ascii="Cambria" w:hAnsi="Cambria"/>
          <w:bCs/>
          <w:sz w:val="20"/>
          <w:szCs w:val="20"/>
          <w:lang w:val="es-ES"/>
        </w:rPr>
        <w:t>emiti</w:t>
      </w:r>
      <w:r>
        <w:rPr>
          <w:rFonts w:ascii="Cambria" w:hAnsi="Cambria"/>
          <w:bCs/>
          <w:sz w:val="20"/>
          <w:szCs w:val="20"/>
          <w:lang w:val="es-ES"/>
        </w:rPr>
        <w:t>ó</w:t>
      </w:r>
      <w:r w:rsidR="00132848">
        <w:rPr>
          <w:rFonts w:ascii="Cambria" w:hAnsi="Cambria"/>
          <w:bCs/>
          <w:sz w:val="20"/>
          <w:szCs w:val="20"/>
          <w:lang w:val="es-ES"/>
        </w:rPr>
        <w:t xml:space="preserve"> </w:t>
      </w:r>
      <w:r>
        <w:rPr>
          <w:rFonts w:ascii="Cambria" w:hAnsi="Cambria"/>
          <w:bCs/>
          <w:sz w:val="20"/>
          <w:szCs w:val="20"/>
          <w:lang w:val="es-ES"/>
        </w:rPr>
        <w:t xml:space="preserve">una </w:t>
      </w:r>
      <w:r w:rsidR="00132848">
        <w:rPr>
          <w:rFonts w:ascii="Cambria" w:hAnsi="Cambria"/>
          <w:bCs/>
          <w:sz w:val="20"/>
          <w:szCs w:val="20"/>
          <w:lang w:val="es-ES"/>
        </w:rPr>
        <w:t>resolución en su contra</w:t>
      </w:r>
      <w:r w:rsidR="00FA38F8">
        <w:rPr>
          <w:rFonts w:ascii="Cambria" w:hAnsi="Cambria"/>
          <w:bCs/>
          <w:sz w:val="20"/>
          <w:szCs w:val="20"/>
          <w:lang w:val="es-ES"/>
        </w:rPr>
        <w:t xml:space="preserve">. </w:t>
      </w:r>
    </w:p>
    <w:p w14:paraId="2F6BB20A" w14:textId="77777777" w:rsidR="00DD1EFF" w:rsidRPr="003244F1" w:rsidRDefault="00DD1EFF" w:rsidP="00DD1EF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7DC9BEDC" w14:textId="422EBBB1" w:rsidR="008B59CF" w:rsidRPr="00DD1EFF" w:rsidRDefault="00E24246" w:rsidP="005E2E5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bCs/>
          <w:sz w:val="20"/>
          <w:szCs w:val="20"/>
          <w:lang w:val="es-ES"/>
        </w:rPr>
        <w:t>S</w:t>
      </w:r>
      <w:r w:rsidR="00FA38F8">
        <w:rPr>
          <w:rFonts w:ascii="Cambria" w:hAnsi="Cambria"/>
          <w:bCs/>
          <w:sz w:val="20"/>
          <w:szCs w:val="20"/>
          <w:lang w:val="es-ES"/>
        </w:rPr>
        <w:t>ostiene que la solicitud de baja no contaba con los requisitos de circunstancia</w:t>
      </w:r>
      <w:r w:rsidR="00864FC8" w:rsidRPr="00864FC8">
        <w:rPr>
          <w:rFonts w:ascii="Cambria" w:hAnsi="Cambria"/>
          <w:bCs/>
          <w:sz w:val="20"/>
          <w:szCs w:val="20"/>
          <w:lang w:val="es-ES"/>
        </w:rPr>
        <w:t xml:space="preserve"> </w:t>
      </w:r>
      <w:r w:rsidR="00864FC8">
        <w:rPr>
          <w:rFonts w:ascii="Cambria" w:hAnsi="Cambria"/>
          <w:bCs/>
          <w:sz w:val="20"/>
          <w:szCs w:val="20"/>
          <w:lang w:val="es-ES"/>
        </w:rPr>
        <w:t>y que no conocía los señalamientos que le atribuyeron</w:t>
      </w:r>
      <w:r w:rsidR="00DD1EFF">
        <w:rPr>
          <w:rFonts w:ascii="Cambria" w:hAnsi="Cambria"/>
          <w:bCs/>
          <w:sz w:val="20"/>
          <w:szCs w:val="20"/>
          <w:lang w:val="es-ES"/>
        </w:rPr>
        <w:t>,</w:t>
      </w:r>
      <w:r w:rsidR="00FA38F8">
        <w:rPr>
          <w:rFonts w:ascii="Cambria" w:hAnsi="Cambria"/>
          <w:bCs/>
          <w:sz w:val="20"/>
          <w:szCs w:val="20"/>
          <w:lang w:val="es-ES"/>
        </w:rPr>
        <w:t xml:space="preserve"> </w:t>
      </w:r>
      <w:r w:rsidR="00864FC8">
        <w:rPr>
          <w:rFonts w:ascii="Cambria" w:hAnsi="Cambria"/>
          <w:bCs/>
          <w:sz w:val="20"/>
          <w:szCs w:val="20"/>
          <w:lang w:val="es-ES"/>
        </w:rPr>
        <w:t xml:space="preserve">por lo </w:t>
      </w:r>
      <w:r w:rsidR="00FA38F8">
        <w:rPr>
          <w:rFonts w:ascii="Cambria" w:hAnsi="Cambria"/>
          <w:bCs/>
          <w:sz w:val="20"/>
          <w:szCs w:val="20"/>
          <w:lang w:val="es-ES"/>
        </w:rPr>
        <w:t>que no pudo defenderse.</w:t>
      </w:r>
      <w:r w:rsidR="00132848">
        <w:rPr>
          <w:rFonts w:ascii="Cambria" w:hAnsi="Cambria"/>
          <w:bCs/>
          <w:sz w:val="20"/>
          <w:szCs w:val="20"/>
          <w:lang w:val="es-ES"/>
        </w:rPr>
        <w:t xml:space="preserve"> </w:t>
      </w:r>
      <w:r w:rsidR="00DD1EFF">
        <w:rPr>
          <w:rFonts w:ascii="Cambria" w:hAnsi="Cambria"/>
          <w:bCs/>
          <w:sz w:val="20"/>
          <w:szCs w:val="20"/>
          <w:lang w:val="es-ES"/>
        </w:rPr>
        <w:t>Afirma asimismo</w:t>
      </w:r>
      <w:r w:rsidR="00132848">
        <w:rPr>
          <w:rFonts w:ascii="Cambria" w:hAnsi="Cambria"/>
          <w:bCs/>
          <w:sz w:val="20"/>
          <w:szCs w:val="20"/>
          <w:lang w:val="es-ES"/>
        </w:rPr>
        <w:t xml:space="preserve"> que el proce</w:t>
      </w:r>
      <w:r w:rsidR="00864FC8">
        <w:rPr>
          <w:rFonts w:ascii="Cambria" w:hAnsi="Cambria"/>
          <w:bCs/>
          <w:sz w:val="20"/>
          <w:szCs w:val="20"/>
          <w:lang w:val="es-ES"/>
        </w:rPr>
        <w:t>dimiento de baja</w:t>
      </w:r>
      <w:r w:rsidR="00132848">
        <w:rPr>
          <w:rFonts w:ascii="Cambria" w:hAnsi="Cambria"/>
          <w:bCs/>
          <w:sz w:val="20"/>
          <w:szCs w:val="20"/>
          <w:lang w:val="es-ES"/>
        </w:rPr>
        <w:t xml:space="preserve"> </w:t>
      </w:r>
      <w:r w:rsidR="00864FC8">
        <w:rPr>
          <w:rFonts w:ascii="Cambria" w:hAnsi="Cambria"/>
          <w:bCs/>
          <w:sz w:val="20"/>
          <w:szCs w:val="20"/>
          <w:lang w:val="es-ES"/>
        </w:rPr>
        <w:t xml:space="preserve">fue generado </w:t>
      </w:r>
      <w:r w:rsidR="00132848">
        <w:rPr>
          <w:rFonts w:ascii="Cambria" w:hAnsi="Cambria"/>
          <w:bCs/>
          <w:sz w:val="20"/>
          <w:szCs w:val="20"/>
          <w:lang w:val="es-ES"/>
        </w:rPr>
        <w:t>solamente para causarle problemas en su trayectoria profesional</w:t>
      </w:r>
      <w:r w:rsidR="00C90005">
        <w:rPr>
          <w:rFonts w:ascii="Cambria" w:hAnsi="Cambria"/>
          <w:bCs/>
          <w:sz w:val="20"/>
          <w:szCs w:val="20"/>
          <w:lang w:val="es-ES"/>
        </w:rPr>
        <w:t>;</w:t>
      </w:r>
      <w:r w:rsidR="00132848">
        <w:rPr>
          <w:rFonts w:ascii="Cambria" w:hAnsi="Cambria"/>
          <w:bCs/>
          <w:sz w:val="20"/>
          <w:szCs w:val="20"/>
          <w:lang w:val="es-ES"/>
        </w:rPr>
        <w:t xml:space="preserve"> que no contaba con pruebas en su contra</w:t>
      </w:r>
      <w:r w:rsidR="00C90005">
        <w:rPr>
          <w:rFonts w:ascii="Cambria" w:hAnsi="Cambria"/>
          <w:bCs/>
          <w:sz w:val="20"/>
          <w:szCs w:val="20"/>
          <w:lang w:val="es-ES"/>
        </w:rPr>
        <w:t>;</w:t>
      </w:r>
      <w:r w:rsidR="00132848">
        <w:rPr>
          <w:rFonts w:ascii="Cambria" w:hAnsi="Cambria"/>
          <w:bCs/>
          <w:sz w:val="20"/>
          <w:szCs w:val="20"/>
          <w:lang w:val="es-ES"/>
        </w:rPr>
        <w:t xml:space="preserve"> </w:t>
      </w:r>
      <w:r w:rsidR="003244F1">
        <w:rPr>
          <w:rFonts w:ascii="Cambria" w:hAnsi="Cambria"/>
          <w:bCs/>
          <w:sz w:val="20"/>
          <w:szCs w:val="20"/>
          <w:lang w:val="es-ES"/>
        </w:rPr>
        <w:t xml:space="preserve">y que no fue iniciado por la autoridad competente, </w:t>
      </w:r>
      <w:r w:rsidR="00864FC8">
        <w:rPr>
          <w:rFonts w:ascii="Cambria" w:hAnsi="Cambria"/>
          <w:bCs/>
          <w:sz w:val="20"/>
          <w:szCs w:val="20"/>
          <w:lang w:val="es-ES"/>
        </w:rPr>
        <w:t xml:space="preserve">que debía ser </w:t>
      </w:r>
      <w:r w:rsidR="003244F1">
        <w:rPr>
          <w:rFonts w:ascii="Cambria" w:hAnsi="Cambria"/>
          <w:bCs/>
          <w:sz w:val="20"/>
          <w:szCs w:val="20"/>
          <w:lang w:val="es-ES"/>
        </w:rPr>
        <w:t xml:space="preserve">su superior jerárquico o inmediato superior. </w:t>
      </w:r>
      <w:r w:rsidR="00864FC8">
        <w:rPr>
          <w:rFonts w:ascii="Cambria" w:hAnsi="Cambria"/>
          <w:bCs/>
          <w:sz w:val="20"/>
          <w:szCs w:val="20"/>
          <w:lang w:val="es-ES"/>
        </w:rPr>
        <w:t>Por tales motivos</w:t>
      </w:r>
      <w:r w:rsidR="003244F1">
        <w:rPr>
          <w:rFonts w:ascii="Cambria" w:hAnsi="Cambria"/>
          <w:bCs/>
          <w:sz w:val="20"/>
          <w:szCs w:val="20"/>
          <w:lang w:val="es-ES"/>
        </w:rPr>
        <w:t xml:space="preserve">, </w:t>
      </w:r>
      <w:r w:rsidR="00864FC8">
        <w:rPr>
          <w:rFonts w:ascii="Cambria" w:hAnsi="Cambria"/>
          <w:bCs/>
          <w:sz w:val="20"/>
          <w:szCs w:val="20"/>
          <w:lang w:val="es-ES"/>
        </w:rPr>
        <w:t xml:space="preserve">el peticionario </w:t>
      </w:r>
      <w:r w:rsidR="003244F1">
        <w:rPr>
          <w:rFonts w:ascii="Cambria" w:hAnsi="Cambria"/>
          <w:bCs/>
          <w:sz w:val="20"/>
          <w:szCs w:val="20"/>
          <w:lang w:val="es-ES"/>
        </w:rPr>
        <w:t>present</w:t>
      </w:r>
      <w:r w:rsidR="00864FC8">
        <w:rPr>
          <w:rFonts w:ascii="Cambria" w:hAnsi="Cambria"/>
          <w:bCs/>
          <w:sz w:val="20"/>
          <w:szCs w:val="20"/>
          <w:lang w:val="es-ES"/>
        </w:rPr>
        <w:t>ó</w:t>
      </w:r>
      <w:r w:rsidR="003244F1">
        <w:rPr>
          <w:rFonts w:ascii="Cambria" w:hAnsi="Cambria"/>
          <w:bCs/>
          <w:sz w:val="20"/>
          <w:szCs w:val="20"/>
          <w:lang w:val="es-ES"/>
        </w:rPr>
        <w:t xml:space="preserve"> </w:t>
      </w:r>
      <w:r w:rsidR="00C90005">
        <w:rPr>
          <w:rFonts w:ascii="Cambria" w:hAnsi="Cambria"/>
          <w:bCs/>
          <w:sz w:val="20"/>
          <w:szCs w:val="20"/>
          <w:lang w:val="es-ES"/>
        </w:rPr>
        <w:t>un</w:t>
      </w:r>
      <w:r w:rsidR="00864FC8">
        <w:rPr>
          <w:rFonts w:ascii="Cambria" w:hAnsi="Cambria"/>
          <w:bCs/>
          <w:sz w:val="20"/>
          <w:szCs w:val="20"/>
          <w:lang w:val="es-ES"/>
        </w:rPr>
        <w:t>a</w:t>
      </w:r>
      <w:r w:rsidR="003244F1">
        <w:rPr>
          <w:rFonts w:ascii="Cambria" w:hAnsi="Cambria"/>
          <w:bCs/>
          <w:sz w:val="20"/>
          <w:szCs w:val="20"/>
          <w:lang w:val="es-ES"/>
        </w:rPr>
        <w:t xml:space="preserve"> demanda de </w:t>
      </w:r>
      <w:r w:rsidR="00864FC8">
        <w:rPr>
          <w:rFonts w:ascii="Cambria" w:hAnsi="Cambria"/>
          <w:bCs/>
          <w:sz w:val="20"/>
          <w:szCs w:val="20"/>
          <w:lang w:val="es-ES"/>
        </w:rPr>
        <w:t>c</w:t>
      </w:r>
      <w:r w:rsidR="003244F1">
        <w:rPr>
          <w:rFonts w:ascii="Cambria" w:hAnsi="Cambria"/>
          <w:bCs/>
          <w:sz w:val="20"/>
          <w:szCs w:val="20"/>
          <w:lang w:val="es-ES"/>
        </w:rPr>
        <w:t xml:space="preserve">onflicto de </w:t>
      </w:r>
      <w:r w:rsidR="00864FC8">
        <w:rPr>
          <w:rFonts w:ascii="Cambria" w:hAnsi="Cambria"/>
          <w:bCs/>
          <w:sz w:val="20"/>
          <w:szCs w:val="20"/>
          <w:lang w:val="es-ES"/>
        </w:rPr>
        <w:t>t</w:t>
      </w:r>
      <w:r w:rsidR="003244F1">
        <w:rPr>
          <w:rFonts w:ascii="Cambria" w:hAnsi="Cambria"/>
          <w:bCs/>
          <w:sz w:val="20"/>
          <w:szCs w:val="20"/>
          <w:lang w:val="es-ES"/>
        </w:rPr>
        <w:t>rabajo</w:t>
      </w:r>
      <w:r w:rsidR="00C90005">
        <w:rPr>
          <w:rFonts w:ascii="Cambria" w:hAnsi="Cambria"/>
          <w:bCs/>
          <w:sz w:val="20"/>
          <w:szCs w:val="20"/>
          <w:lang w:val="es-ES"/>
        </w:rPr>
        <w:t>, y</w:t>
      </w:r>
      <w:r w:rsidR="003244F1">
        <w:rPr>
          <w:rFonts w:ascii="Cambria" w:hAnsi="Cambria"/>
          <w:bCs/>
          <w:sz w:val="20"/>
          <w:szCs w:val="20"/>
          <w:lang w:val="es-ES"/>
        </w:rPr>
        <w:t xml:space="preserve"> el </w:t>
      </w:r>
      <w:r w:rsidR="00E562BB">
        <w:rPr>
          <w:rFonts w:ascii="Cambria" w:hAnsi="Cambria"/>
          <w:bCs/>
          <w:sz w:val="20"/>
          <w:szCs w:val="20"/>
          <w:lang w:val="es-ES"/>
        </w:rPr>
        <w:t>1</w:t>
      </w:r>
      <w:r w:rsidR="00864FC8">
        <w:rPr>
          <w:rFonts w:ascii="Cambria" w:hAnsi="Cambria"/>
          <w:bCs/>
          <w:sz w:val="20"/>
          <w:szCs w:val="20"/>
          <w:lang w:val="es-ES"/>
        </w:rPr>
        <w:t xml:space="preserve">º </w:t>
      </w:r>
      <w:r w:rsidR="00E562BB">
        <w:rPr>
          <w:rFonts w:ascii="Cambria" w:hAnsi="Cambria"/>
          <w:bCs/>
          <w:sz w:val="20"/>
          <w:szCs w:val="20"/>
          <w:lang w:val="es-ES"/>
        </w:rPr>
        <w:t>de diciembre de 2008 se declararon improcedentes sus pretensiones</w:t>
      </w:r>
      <w:r w:rsidR="00C90005">
        <w:rPr>
          <w:rFonts w:ascii="Cambria" w:hAnsi="Cambria"/>
          <w:bCs/>
          <w:sz w:val="20"/>
          <w:szCs w:val="20"/>
          <w:lang w:val="es-ES"/>
        </w:rPr>
        <w:t>.</w:t>
      </w:r>
      <w:r w:rsidR="000E2CBD">
        <w:rPr>
          <w:rFonts w:ascii="Cambria" w:hAnsi="Cambria"/>
          <w:bCs/>
          <w:sz w:val="20"/>
          <w:szCs w:val="20"/>
          <w:lang w:val="es-ES"/>
        </w:rPr>
        <w:t xml:space="preserve"> </w:t>
      </w:r>
      <w:r w:rsidR="00C90005">
        <w:rPr>
          <w:rFonts w:ascii="Cambria" w:hAnsi="Cambria"/>
          <w:bCs/>
          <w:sz w:val="20"/>
          <w:szCs w:val="20"/>
          <w:lang w:val="es-ES"/>
        </w:rPr>
        <w:t>S</w:t>
      </w:r>
      <w:r w:rsidR="000E2CBD">
        <w:rPr>
          <w:rFonts w:ascii="Cambria" w:hAnsi="Cambria"/>
          <w:bCs/>
          <w:sz w:val="20"/>
          <w:szCs w:val="20"/>
          <w:lang w:val="es-ES"/>
        </w:rPr>
        <w:t xml:space="preserve">e estableció </w:t>
      </w:r>
      <w:r w:rsidR="00864FC8">
        <w:rPr>
          <w:rFonts w:ascii="Cambria" w:hAnsi="Cambria"/>
          <w:bCs/>
          <w:sz w:val="20"/>
          <w:szCs w:val="20"/>
          <w:lang w:val="es-ES"/>
        </w:rPr>
        <w:t xml:space="preserve">además </w:t>
      </w:r>
      <w:r w:rsidR="000E2CBD">
        <w:rPr>
          <w:rFonts w:ascii="Cambria" w:hAnsi="Cambria"/>
          <w:bCs/>
          <w:sz w:val="20"/>
          <w:szCs w:val="20"/>
          <w:lang w:val="es-ES"/>
        </w:rPr>
        <w:t>que lo</w:t>
      </w:r>
      <w:r w:rsidR="00A004EB">
        <w:rPr>
          <w:rFonts w:ascii="Cambria" w:hAnsi="Cambria"/>
          <w:bCs/>
          <w:sz w:val="20"/>
          <w:szCs w:val="20"/>
          <w:lang w:val="es-ES"/>
        </w:rPr>
        <w:t>s conflictos laborales entre la</w:t>
      </w:r>
      <w:r w:rsidR="000E2CBD">
        <w:rPr>
          <w:rFonts w:ascii="Cambria" w:hAnsi="Cambria"/>
          <w:bCs/>
          <w:sz w:val="20"/>
          <w:szCs w:val="20"/>
          <w:lang w:val="es-ES"/>
        </w:rPr>
        <w:t xml:space="preserve"> Suprema Corte y sus trabajadores </w:t>
      </w:r>
      <w:r w:rsidR="00864FC8">
        <w:rPr>
          <w:rFonts w:ascii="Cambria" w:hAnsi="Cambria"/>
          <w:bCs/>
          <w:sz w:val="20"/>
          <w:szCs w:val="20"/>
          <w:lang w:val="es-ES"/>
        </w:rPr>
        <w:t xml:space="preserve">debían </w:t>
      </w:r>
      <w:r w:rsidR="000E2CBD">
        <w:rPr>
          <w:rFonts w:ascii="Cambria" w:hAnsi="Cambria"/>
          <w:bCs/>
          <w:sz w:val="20"/>
          <w:szCs w:val="20"/>
          <w:lang w:val="es-ES"/>
        </w:rPr>
        <w:t>ser resueltos por el Pleno de</w:t>
      </w:r>
      <w:r w:rsidR="00864FC8">
        <w:rPr>
          <w:rFonts w:ascii="Cambria" w:hAnsi="Cambria"/>
          <w:bCs/>
          <w:sz w:val="20"/>
          <w:szCs w:val="20"/>
          <w:lang w:val="es-ES"/>
        </w:rPr>
        <w:t xml:space="preserve"> dicho t</w:t>
      </w:r>
      <w:r w:rsidR="000E2CBD">
        <w:rPr>
          <w:rFonts w:ascii="Cambria" w:hAnsi="Cambria"/>
          <w:bCs/>
          <w:sz w:val="20"/>
          <w:szCs w:val="20"/>
          <w:lang w:val="es-ES"/>
        </w:rPr>
        <w:t xml:space="preserve">ribunal, en única </w:t>
      </w:r>
      <w:r w:rsidR="004D32E0">
        <w:rPr>
          <w:rFonts w:ascii="Cambria" w:hAnsi="Cambria"/>
          <w:bCs/>
          <w:sz w:val="20"/>
          <w:szCs w:val="20"/>
          <w:lang w:val="es-ES"/>
        </w:rPr>
        <w:t>instancia, según el artículo 152 de la Ley Reglamentario del Apartado B del Artículo 123 Constitucional.</w:t>
      </w:r>
      <w:r w:rsidR="00C72F67">
        <w:rPr>
          <w:rFonts w:ascii="Cambria" w:hAnsi="Cambria"/>
          <w:bCs/>
          <w:sz w:val="20"/>
          <w:szCs w:val="20"/>
          <w:lang w:val="es-ES"/>
        </w:rPr>
        <w:t xml:space="preserve"> Además, </w:t>
      </w:r>
      <w:r w:rsidR="00864FC8">
        <w:rPr>
          <w:rFonts w:ascii="Cambria" w:hAnsi="Cambria"/>
          <w:bCs/>
          <w:sz w:val="20"/>
          <w:szCs w:val="20"/>
          <w:lang w:val="es-ES"/>
        </w:rPr>
        <w:t xml:space="preserve">el peticionario </w:t>
      </w:r>
      <w:r w:rsidR="00C72F67">
        <w:rPr>
          <w:rFonts w:ascii="Cambria" w:hAnsi="Cambria"/>
          <w:bCs/>
          <w:sz w:val="20"/>
          <w:szCs w:val="20"/>
          <w:lang w:val="es-ES"/>
        </w:rPr>
        <w:t xml:space="preserve">afirma que no </w:t>
      </w:r>
      <w:r w:rsidR="00864FC8">
        <w:rPr>
          <w:rFonts w:ascii="Cambria" w:hAnsi="Cambria"/>
          <w:bCs/>
          <w:sz w:val="20"/>
          <w:szCs w:val="20"/>
          <w:lang w:val="es-ES"/>
        </w:rPr>
        <w:t>hubo</w:t>
      </w:r>
      <w:r w:rsidR="00C72F67">
        <w:rPr>
          <w:rFonts w:ascii="Cambria" w:hAnsi="Cambria"/>
          <w:bCs/>
          <w:sz w:val="20"/>
          <w:szCs w:val="20"/>
          <w:lang w:val="es-ES"/>
        </w:rPr>
        <w:t xml:space="preserve"> </w:t>
      </w:r>
      <w:r w:rsidR="00864FC8">
        <w:rPr>
          <w:rFonts w:ascii="Cambria" w:hAnsi="Cambria"/>
          <w:bCs/>
          <w:sz w:val="20"/>
          <w:szCs w:val="20"/>
          <w:lang w:val="es-ES"/>
        </w:rPr>
        <w:t>im</w:t>
      </w:r>
      <w:r w:rsidR="00C72F67">
        <w:rPr>
          <w:rFonts w:ascii="Cambria" w:hAnsi="Cambria"/>
          <w:bCs/>
          <w:sz w:val="20"/>
          <w:szCs w:val="20"/>
          <w:lang w:val="es-ES"/>
        </w:rPr>
        <w:t xml:space="preserve">parcialidad, </w:t>
      </w:r>
      <w:r w:rsidR="00864FC8">
        <w:rPr>
          <w:rFonts w:ascii="Cambria" w:hAnsi="Cambria"/>
          <w:bCs/>
          <w:sz w:val="20"/>
          <w:szCs w:val="20"/>
          <w:lang w:val="es-ES"/>
        </w:rPr>
        <w:t>toda</w:t>
      </w:r>
      <w:r w:rsidR="00C72F67">
        <w:rPr>
          <w:rFonts w:ascii="Cambria" w:hAnsi="Cambria"/>
          <w:bCs/>
          <w:sz w:val="20"/>
          <w:szCs w:val="20"/>
          <w:lang w:val="es-ES"/>
        </w:rPr>
        <w:t xml:space="preserve"> vez que la Suprema Corte investigó los hechos</w:t>
      </w:r>
      <w:r w:rsidR="00864FC8">
        <w:rPr>
          <w:rFonts w:ascii="Cambria" w:hAnsi="Cambria"/>
          <w:bCs/>
          <w:sz w:val="20"/>
          <w:szCs w:val="20"/>
          <w:lang w:val="es-ES"/>
        </w:rPr>
        <w:t xml:space="preserve"> y</w:t>
      </w:r>
      <w:r w:rsidR="00C72F67">
        <w:rPr>
          <w:rFonts w:ascii="Cambria" w:hAnsi="Cambria"/>
          <w:bCs/>
          <w:sz w:val="20"/>
          <w:szCs w:val="20"/>
          <w:lang w:val="es-ES"/>
        </w:rPr>
        <w:t xml:space="preserve"> determinó su suspensión.</w:t>
      </w:r>
    </w:p>
    <w:p w14:paraId="1CBB901C" w14:textId="7B66E89C" w:rsidR="00DD1EFF" w:rsidRPr="008B59CF" w:rsidRDefault="00DD1EFF" w:rsidP="00DD1EF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0D32F936" w14:textId="66EE5EA5" w:rsidR="004C616A" w:rsidRDefault="00A05C3C" w:rsidP="005E2E5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Por su parte, </w:t>
      </w:r>
      <w:r w:rsidR="00493D79">
        <w:rPr>
          <w:rFonts w:ascii="Cambria" w:hAnsi="Cambria"/>
          <w:sz w:val="20"/>
          <w:szCs w:val="20"/>
          <w:lang w:val="es-ES"/>
        </w:rPr>
        <w:t xml:space="preserve">el Estado afirma que el 29 de enero de 2007 el Comité de Gobierno y Administración de la Suprema Corte de Justicia </w:t>
      </w:r>
      <w:r w:rsidR="00C90005">
        <w:rPr>
          <w:rFonts w:ascii="Cambria" w:hAnsi="Cambria"/>
          <w:sz w:val="20"/>
          <w:szCs w:val="20"/>
          <w:lang w:val="es-ES"/>
        </w:rPr>
        <w:t>inició un procedimiento de pé</w:t>
      </w:r>
      <w:r w:rsidR="00493D79">
        <w:rPr>
          <w:rFonts w:ascii="Cambria" w:hAnsi="Cambria"/>
          <w:sz w:val="20"/>
          <w:szCs w:val="20"/>
          <w:lang w:val="es-ES"/>
        </w:rPr>
        <w:t xml:space="preserve">rdida de la confianza contra la presunta víctima. Posteriormente, la presunta víctima recurrió la resolución que puso fin al procedimiento de solicitud de baja, </w:t>
      </w:r>
      <w:r w:rsidR="00C90005">
        <w:rPr>
          <w:rFonts w:ascii="Cambria" w:hAnsi="Cambria"/>
          <w:sz w:val="20"/>
          <w:szCs w:val="20"/>
          <w:lang w:val="es-ES"/>
        </w:rPr>
        <w:t xml:space="preserve">que fue resuelta por </w:t>
      </w:r>
      <w:r w:rsidR="00493D79">
        <w:rPr>
          <w:rFonts w:ascii="Cambria" w:hAnsi="Cambria"/>
          <w:sz w:val="20"/>
          <w:szCs w:val="20"/>
          <w:lang w:val="es-ES"/>
        </w:rPr>
        <w:t>la Suprema Corte de Justicia de la Nación</w:t>
      </w:r>
      <w:r w:rsidR="00C90005">
        <w:rPr>
          <w:rFonts w:ascii="Cambria" w:hAnsi="Cambria"/>
          <w:sz w:val="20"/>
          <w:szCs w:val="20"/>
          <w:lang w:val="es-ES"/>
        </w:rPr>
        <w:t xml:space="preserve"> de manera desfavorable</w:t>
      </w:r>
      <w:r w:rsidR="00493D79">
        <w:rPr>
          <w:rFonts w:ascii="Cambria" w:hAnsi="Cambria"/>
          <w:sz w:val="20"/>
          <w:szCs w:val="20"/>
          <w:lang w:val="es-ES"/>
        </w:rPr>
        <w:t xml:space="preserve"> para los intereses de </w:t>
      </w:r>
      <w:r w:rsidR="00C90005">
        <w:rPr>
          <w:rFonts w:ascii="Cambria" w:hAnsi="Cambria"/>
          <w:sz w:val="20"/>
          <w:szCs w:val="20"/>
          <w:lang w:val="es-ES"/>
        </w:rPr>
        <w:t>aquell</w:t>
      </w:r>
      <w:r w:rsidR="00493D79">
        <w:rPr>
          <w:rFonts w:ascii="Cambria" w:hAnsi="Cambria"/>
          <w:sz w:val="20"/>
          <w:szCs w:val="20"/>
          <w:lang w:val="es-ES"/>
        </w:rPr>
        <w:t>a</w:t>
      </w:r>
      <w:r w:rsidR="00C90005">
        <w:rPr>
          <w:rFonts w:ascii="Cambria" w:hAnsi="Cambria"/>
          <w:sz w:val="20"/>
          <w:szCs w:val="20"/>
          <w:lang w:val="es-ES"/>
        </w:rPr>
        <w:t xml:space="preserve">. El Estado sostiene que este era </w:t>
      </w:r>
      <w:r w:rsidR="00493D79">
        <w:rPr>
          <w:rFonts w:ascii="Cambria" w:hAnsi="Cambria"/>
          <w:sz w:val="20"/>
          <w:szCs w:val="20"/>
          <w:lang w:val="es-ES"/>
        </w:rPr>
        <w:t xml:space="preserve">el recurso idóneo para atender sus pretensiones. </w:t>
      </w:r>
    </w:p>
    <w:p w14:paraId="1B508A37" w14:textId="77777777" w:rsidR="00DD1EFF" w:rsidRPr="00C90005" w:rsidRDefault="00DD1EFF" w:rsidP="005E2E5A">
      <w:pPr>
        <w:jc w:val="both"/>
        <w:rPr>
          <w:rFonts w:asciiTheme="majorHAnsi" w:hAnsiTheme="majorHAnsi"/>
          <w:b/>
          <w:bCs/>
          <w:sz w:val="20"/>
          <w:szCs w:val="20"/>
          <w:lang w:val="es-ES"/>
        </w:rPr>
      </w:pPr>
    </w:p>
    <w:p w14:paraId="3FE6F5AE" w14:textId="57B44C04" w:rsidR="004C616A" w:rsidRPr="00006B74" w:rsidRDefault="005B7598" w:rsidP="005E2E5A">
      <w:pPr>
        <w:pStyle w:val="ListParagraph"/>
        <w:jc w:val="both"/>
        <w:rPr>
          <w:rFonts w:asciiTheme="majorHAnsi" w:hAnsiTheme="majorHAnsi"/>
          <w:b/>
          <w:bCs/>
          <w:sz w:val="20"/>
          <w:szCs w:val="20"/>
          <w:lang w:val="es-ES"/>
        </w:rPr>
      </w:pPr>
      <w:r>
        <w:rPr>
          <w:rFonts w:asciiTheme="majorHAnsi" w:hAnsiTheme="majorHAnsi"/>
          <w:b/>
          <w:bCs/>
          <w:sz w:val="20"/>
          <w:szCs w:val="20"/>
          <w:lang w:val="es-ES"/>
        </w:rPr>
        <w:t>VI</w:t>
      </w:r>
      <w:r w:rsidR="00803FA0">
        <w:rPr>
          <w:rFonts w:asciiTheme="majorHAnsi" w:hAnsiTheme="majorHAnsi"/>
          <w:b/>
          <w:bCs/>
          <w:sz w:val="20"/>
          <w:szCs w:val="20"/>
          <w:lang w:val="es-ES"/>
        </w:rPr>
        <w:t xml:space="preserve">. </w:t>
      </w:r>
      <w:r w:rsidR="00DD1EFF">
        <w:rPr>
          <w:rFonts w:asciiTheme="majorHAnsi" w:hAnsiTheme="majorHAnsi"/>
          <w:b/>
          <w:bCs/>
          <w:sz w:val="20"/>
          <w:szCs w:val="20"/>
          <w:lang w:val="es-ES"/>
        </w:rPr>
        <w:tab/>
      </w:r>
      <w:r w:rsidR="004C616A" w:rsidRPr="00006B74">
        <w:rPr>
          <w:rFonts w:asciiTheme="majorHAnsi" w:hAnsiTheme="majorHAnsi"/>
          <w:b/>
          <w:bCs/>
          <w:sz w:val="20"/>
          <w:szCs w:val="20"/>
          <w:lang w:val="es-ES"/>
        </w:rPr>
        <w:t>AGOTAMIENTO DE LOS RECURSOS INTERNOS Y PLAZO DE PRESENTACIÓN</w:t>
      </w:r>
    </w:p>
    <w:p w14:paraId="07A28C43" w14:textId="77777777" w:rsidR="00DD1EFF" w:rsidRPr="00DD1EFF" w:rsidRDefault="00DD1EFF" w:rsidP="00DD1EFF">
      <w:pPr>
        <w:contextualSpacing/>
        <w:jc w:val="both"/>
        <w:rPr>
          <w:rFonts w:cs="Calibri"/>
          <w:sz w:val="20"/>
          <w:szCs w:val="20"/>
          <w:lang w:val="es-ES_tradnl"/>
        </w:rPr>
      </w:pPr>
    </w:p>
    <w:p w14:paraId="1A862E32" w14:textId="2BF954CF" w:rsidR="005B7598" w:rsidRPr="005B7598" w:rsidRDefault="00456DF2" w:rsidP="005E2E5A">
      <w:pPr>
        <w:pStyle w:val="ListParagraph"/>
        <w:numPr>
          <w:ilvl w:val="0"/>
          <w:numId w:val="55"/>
        </w:numPr>
        <w:contextualSpacing/>
        <w:jc w:val="both"/>
        <w:rPr>
          <w:rFonts w:cs="Calibri"/>
          <w:color w:val="auto"/>
          <w:sz w:val="20"/>
          <w:szCs w:val="20"/>
          <w:lang w:val="es-ES_tradnl"/>
        </w:rPr>
      </w:pPr>
      <w:r>
        <w:rPr>
          <w:sz w:val="20"/>
          <w:szCs w:val="20"/>
          <w:lang w:val="es-ES"/>
        </w:rPr>
        <w:t>L</w:t>
      </w:r>
      <w:r w:rsidR="004421D9" w:rsidRPr="009751CF">
        <w:rPr>
          <w:sz w:val="20"/>
          <w:szCs w:val="20"/>
          <w:lang w:val="es-ES"/>
        </w:rPr>
        <w:t>a presunta víctima argu</w:t>
      </w:r>
      <w:r w:rsidR="00A004EB" w:rsidRPr="009751CF">
        <w:rPr>
          <w:sz w:val="20"/>
          <w:szCs w:val="20"/>
          <w:lang w:val="es-ES"/>
        </w:rPr>
        <w:t>menta que la normativa mexicana</w:t>
      </w:r>
      <w:r w:rsidR="00803FA0" w:rsidRPr="009751CF">
        <w:rPr>
          <w:sz w:val="20"/>
          <w:szCs w:val="20"/>
          <w:lang w:val="es-ES"/>
        </w:rPr>
        <w:t xml:space="preserve"> </w:t>
      </w:r>
      <w:r w:rsidR="004421D9" w:rsidRPr="009751CF">
        <w:rPr>
          <w:sz w:val="20"/>
          <w:szCs w:val="20"/>
          <w:lang w:val="es-ES"/>
        </w:rPr>
        <w:t xml:space="preserve">no contempla un recurso </w:t>
      </w:r>
      <w:r w:rsidR="00A004EB" w:rsidRPr="009751CF">
        <w:rPr>
          <w:sz w:val="20"/>
          <w:szCs w:val="20"/>
          <w:lang w:val="es-ES"/>
        </w:rPr>
        <w:t xml:space="preserve">para los conflictos laborales entre la Suprema Corte y sus trabajadores que son resueltos por el Pleno del Alto Tribunal. </w:t>
      </w:r>
      <w:r w:rsidR="00C90005">
        <w:rPr>
          <w:sz w:val="20"/>
          <w:szCs w:val="20"/>
          <w:lang w:val="es-ES"/>
        </w:rPr>
        <w:t>El</w:t>
      </w:r>
      <w:r w:rsidR="004421D9" w:rsidRPr="009751CF">
        <w:rPr>
          <w:rFonts w:asciiTheme="majorHAnsi" w:hAnsiTheme="majorHAnsi" w:cs="Calibri"/>
          <w:sz w:val="20"/>
          <w:szCs w:val="20"/>
          <w:lang w:val="es-ES"/>
        </w:rPr>
        <w:t xml:space="preserve"> Estado no refuta expresamente </w:t>
      </w:r>
      <w:r w:rsidR="00C90005">
        <w:rPr>
          <w:rFonts w:asciiTheme="majorHAnsi" w:hAnsiTheme="majorHAnsi" w:cs="Calibri"/>
          <w:sz w:val="20"/>
          <w:szCs w:val="20"/>
          <w:lang w:val="es-ES"/>
        </w:rPr>
        <w:t xml:space="preserve">el alegato </w:t>
      </w:r>
      <w:r w:rsidR="004421D9" w:rsidRPr="009751CF">
        <w:rPr>
          <w:rFonts w:asciiTheme="majorHAnsi" w:hAnsiTheme="majorHAnsi" w:cs="Calibri"/>
          <w:sz w:val="20"/>
          <w:szCs w:val="20"/>
          <w:lang w:val="es-ES"/>
        </w:rPr>
        <w:t xml:space="preserve">sobre la </w:t>
      </w:r>
      <w:r w:rsidR="00C90005">
        <w:rPr>
          <w:rFonts w:asciiTheme="majorHAnsi" w:hAnsiTheme="majorHAnsi" w:cs="Calibri"/>
          <w:sz w:val="20"/>
          <w:szCs w:val="20"/>
          <w:lang w:val="es-ES"/>
        </w:rPr>
        <w:t xml:space="preserve">falta </w:t>
      </w:r>
      <w:r w:rsidR="004421D9" w:rsidRPr="009751CF">
        <w:rPr>
          <w:rFonts w:asciiTheme="majorHAnsi" w:hAnsiTheme="majorHAnsi" w:cs="Calibri"/>
          <w:sz w:val="20"/>
          <w:szCs w:val="20"/>
          <w:lang w:val="es-ES"/>
        </w:rPr>
        <w:t>de recurso co</w:t>
      </w:r>
      <w:r w:rsidR="00A004EB" w:rsidRPr="009751CF">
        <w:rPr>
          <w:rFonts w:asciiTheme="majorHAnsi" w:hAnsiTheme="majorHAnsi" w:cs="Calibri"/>
          <w:sz w:val="20"/>
          <w:szCs w:val="20"/>
          <w:lang w:val="es-ES"/>
        </w:rPr>
        <w:t xml:space="preserve">ntra el fallo emitido por el Pleno de la Suprema Corte </w:t>
      </w:r>
      <w:r w:rsidR="004421D9" w:rsidRPr="009751CF">
        <w:rPr>
          <w:rFonts w:asciiTheme="majorHAnsi" w:hAnsiTheme="majorHAnsi" w:cs="Calibri"/>
          <w:sz w:val="20"/>
          <w:szCs w:val="20"/>
          <w:lang w:val="es-ES"/>
        </w:rPr>
        <w:t>de Justicia</w:t>
      </w:r>
      <w:r w:rsidR="00A004EB" w:rsidRPr="009751CF">
        <w:rPr>
          <w:rFonts w:asciiTheme="majorHAnsi" w:hAnsiTheme="majorHAnsi" w:cs="Calibri"/>
          <w:sz w:val="20"/>
          <w:szCs w:val="20"/>
          <w:lang w:val="es-ES"/>
        </w:rPr>
        <w:t xml:space="preserve"> </w:t>
      </w:r>
      <w:r w:rsidR="004421D9" w:rsidRPr="009751CF">
        <w:rPr>
          <w:rFonts w:asciiTheme="majorHAnsi" w:hAnsiTheme="majorHAnsi" w:cs="Calibri"/>
          <w:sz w:val="20"/>
          <w:szCs w:val="20"/>
          <w:lang w:val="es-ES"/>
        </w:rPr>
        <w:t xml:space="preserve">en </w:t>
      </w:r>
      <w:r w:rsidR="00C90005">
        <w:rPr>
          <w:rFonts w:asciiTheme="majorHAnsi" w:hAnsiTheme="majorHAnsi" w:cs="Calibri"/>
          <w:sz w:val="20"/>
          <w:szCs w:val="20"/>
          <w:lang w:val="es-ES"/>
        </w:rPr>
        <w:t xml:space="preserve">los </w:t>
      </w:r>
      <w:r w:rsidR="004421D9" w:rsidRPr="009751CF">
        <w:rPr>
          <w:rFonts w:asciiTheme="majorHAnsi" w:hAnsiTheme="majorHAnsi" w:cs="Calibri"/>
          <w:sz w:val="20"/>
          <w:szCs w:val="20"/>
          <w:lang w:val="es-ES"/>
        </w:rPr>
        <w:t xml:space="preserve">procesos </w:t>
      </w:r>
      <w:r w:rsidR="00A004EB" w:rsidRPr="009751CF">
        <w:rPr>
          <w:rFonts w:asciiTheme="majorHAnsi" w:hAnsiTheme="majorHAnsi" w:cs="Calibri"/>
          <w:sz w:val="20"/>
          <w:szCs w:val="20"/>
          <w:lang w:val="es-ES"/>
        </w:rPr>
        <w:t>laborales de sus trabajadores</w:t>
      </w:r>
      <w:r w:rsidR="004421D9" w:rsidRPr="009751CF">
        <w:rPr>
          <w:rFonts w:asciiTheme="majorHAnsi" w:hAnsiTheme="majorHAnsi" w:cs="Calibri"/>
          <w:sz w:val="20"/>
          <w:szCs w:val="20"/>
          <w:lang w:val="es-ES"/>
        </w:rPr>
        <w:t xml:space="preserve">; </w:t>
      </w:r>
      <w:r w:rsidR="00C90005">
        <w:rPr>
          <w:rFonts w:asciiTheme="majorHAnsi" w:hAnsiTheme="majorHAnsi" w:cs="Calibri"/>
          <w:sz w:val="20"/>
          <w:szCs w:val="20"/>
          <w:lang w:val="es-ES"/>
        </w:rPr>
        <w:t xml:space="preserve">se </w:t>
      </w:r>
      <w:r w:rsidR="004421D9" w:rsidRPr="009751CF">
        <w:rPr>
          <w:rFonts w:asciiTheme="majorHAnsi" w:hAnsiTheme="majorHAnsi" w:cs="Calibri"/>
          <w:sz w:val="20"/>
          <w:szCs w:val="20"/>
          <w:lang w:val="es-ES"/>
        </w:rPr>
        <w:t>limit</w:t>
      </w:r>
      <w:r w:rsidR="00C90005">
        <w:rPr>
          <w:rFonts w:asciiTheme="majorHAnsi" w:hAnsiTheme="majorHAnsi" w:cs="Calibri"/>
          <w:sz w:val="20"/>
          <w:szCs w:val="20"/>
          <w:lang w:val="es-ES"/>
        </w:rPr>
        <w:t>a</w:t>
      </w:r>
      <w:r w:rsidR="004421D9" w:rsidRPr="009751CF">
        <w:rPr>
          <w:rFonts w:asciiTheme="majorHAnsi" w:hAnsiTheme="majorHAnsi" w:cs="Calibri"/>
          <w:sz w:val="20"/>
          <w:szCs w:val="20"/>
          <w:lang w:val="es-ES"/>
        </w:rPr>
        <w:t xml:space="preserve"> a s</w:t>
      </w:r>
      <w:r w:rsidR="00A004EB" w:rsidRPr="009751CF">
        <w:rPr>
          <w:rFonts w:asciiTheme="majorHAnsi" w:hAnsiTheme="majorHAnsi" w:cs="Calibri"/>
          <w:sz w:val="20"/>
          <w:szCs w:val="20"/>
          <w:lang w:val="es-ES"/>
        </w:rPr>
        <w:t xml:space="preserve">eñalar que la presunta víctima </w:t>
      </w:r>
      <w:r w:rsidR="00C90005">
        <w:rPr>
          <w:rFonts w:asciiTheme="majorHAnsi" w:hAnsiTheme="majorHAnsi" w:cs="Calibri"/>
          <w:sz w:val="20"/>
          <w:szCs w:val="20"/>
          <w:lang w:val="es-ES"/>
        </w:rPr>
        <w:t xml:space="preserve">podía </w:t>
      </w:r>
      <w:r w:rsidR="00A004EB" w:rsidRPr="009751CF">
        <w:rPr>
          <w:rFonts w:asciiTheme="majorHAnsi" w:hAnsiTheme="majorHAnsi" w:cs="Calibri"/>
          <w:sz w:val="20"/>
          <w:szCs w:val="20"/>
          <w:lang w:val="es-ES"/>
        </w:rPr>
        <w:t xml:space="preserve">recurrir la decisión de la </w:t>
      </w:r>
      <w:r w:rsidR="00A004EB" w:rsidRPr="009751CF">
        <w:rPr>
          <w:rFonts w:asciiTheme="majorHAnsi" w:hAnsiTheme="majorHAnsi"/>
          <w:bCs/>
          <w:sz w:val="20"/>
          <w:szCs w:val="20"/>
          <w:lang w:val="es-ES"/>
        </w:rPr>
        <w:t>Contraloría del Alto Tribunal.</w:t>
      </w:r>
      <w:r w:rsidR="009751CF" w:rsidRPr="009751CF">
        <w:rPr>
          <w:rFonts w:asciiTheme="majorHAnsi" w:hAnsiTheme="majorHAnsi"/>
          <w:bCs/>
          <w:sz w:val="20"/>
          <w:szCs w:val="20"/>
          <w:lang w:val="es-ES"/>
        </w:rPr>
        <w:t xml:space="preserve"> Es decir, el</w:t>
      </w:r>
      <w:r w:rsidR="004421D9" w:rsidRPr="009751CF">
        <w:rPr>
          <w:rFonts w:asciiTheme="majorHAnsi" w:hAnsiTheme="majorHAnsi" w:cs="Calibri"/>
          <w:sz w:val="20"/>
          <w:szCs w:val="20"/>
          <w:lang w:val="es-ES"/>
        </w:rPr>
        <w:t xml:space="preserve"> Estado no </w:t>
      </w:r>
      <w:r w:rsidR="00C90005">
        <w:rPr>
          <w:rFonts w:asciiTheme="majorHAnsi" w:hAnsiTheme="majorHAnsi" w:cs="Calibri"/>
          <w:sz w:val="20"/>
          <w:szCs w:val="20"/>
          <w:lang w:val="es-ES"/>
        </w:rPr>
        <w:t xml:space="preserve">cumplió su deber de </w:t>
      </w:r>
      <w:r w:rsidR="004421D9" w:rsidRPr="009751CF">
        <w:rPr>
          <w:rFonts w:asciiTheme="majorHAnsi" w:hAnsiTheme="majorHAnsi" w:cs="Calibri"/>
          <w:sz w:val="20"/>
          <w:szCs w:val="20"/>
          <w:lang w:val="es-ES"/>
        </w:rPr>
        <w:t xml:space="preserve">demostrar </w:t>
      </w:r>
      <w:r w:rsidR="00C90005">
        <w:rPr>
          <w:rFonts w:asciiTheme="majorHAnsi" w:hAnsiTheme="majorHAnsi" w:cs="Calibri"/>
          <w:sz w:val="20"/>
          <w:szCs w:val="20"/>
          <w:lang w:val="es-ES"/>
        </w:rPr>
        <w:t xml:space="preserve">que había </w:t>
      </w:r>
      <w:r w:rsidR="004421D9" w:rsidRPr="009751CF">
        <w:rPr>
          <w:rFonts w:asciiTheme="majorHAnsi" w:hAnsiTheme="majorHAnsi" w:cs="Calibri"/>
          <w:sz w:val="20"/>
          <w:szCs w:val="20"/>
          <w:lang w:val="es-ES"/>
        </w:rPr>
        <w:t xml:space="preserve">recursos internos adecuados, idóneos y efectivos que el peticionario no </w:t>
      </w:r>
      <w:r w:rsidR="00C90005">
        <w:rPr>
          <w:rFonts w:asciiTheme="majorHAnsi" w:hAnsiTheme="majorHAnsi" w:cs="Calibri"/>
          <w:sz w:val="20"/>
          <w:szCs w:val="20"/>
          <w:lang w:val="es-ES"/>
        </w:rPr>
        <w:t>agotó</w:t>
      </w:r>
      <w:r w:rsidR="004421D9" w:rsidRPr="009751CF">
        <w:rPr>
          <w:rFonts w:asciiTheme="majorHAnsi" w:hAnsiTheme="majorHAnsi" w:cs="Calibri"/>
          <w:sz w:val="20"/>
          <w:szCs w:val="20"/>
          <w:lang w:val="es-ES"/>
        </w:rPr>
        <w:t xml:space="preserve">. </w:t>
      </w:r>
    </w:p>
    <w:p w14:paraId="5FE8C05F" w14:textId="77777777" w:rsidR="005B7598" w:rsidRPr="00DD1EFF" w:rsidRDefault="005B7598" w:rsidP="005E2E5A">
      <w:pPr>
        <w:contextualSpacing/>
        <w:jc w:val="both"/>
        <w:rPr>
          <w:rFonts w:cs="Calibri"/>
          <w:sz w:val="20"/>
          <w:szCs w:val="20"/>
          <w:lang w:val="es-ES_tradnl"/>
        </w:rPr>
      </w:pPr>
    </w:p>
    <w:p w14:paraId="1DD1D379" w14:textId="7CC290F7" w:rsidR="005A735A" w:rsidRPr="005A735A" w:rsidRDefault="00C90005" w:rsidP="005E2E5A">
      <w:pPr>
        <w:pStyle w:val="ListParagraph"/>
        <w:numPr>
          <w:ilvl w:val="0"/>
          <w:numId w:val="55"/>
        </w:numPr>
        <w:contextualSpacing/>
        <w:jc w:val="both"/>
        <w:rPr>
          <w:rFonts w:cs="Calibri"/>
          <w:color w:val="auto"/>
          <w:sz w:val="20"/>
          <w:szCs w:val="20"/>
          <w:lang w:val="es-ES_tradnl"/>
        </w:rPr>
      </w:pPr>
      <w:r>
        <w:rPr>
          <w:rFonts w:asciiTheme="majorHAnsi" w:hAnsiTheme="majorHAnsi" w:cs="Calibri"/>
          <w:sz w:val="20"/>
          <w:szCs w:val="20"/>
          <w:lang w:val="es-ES_tradnl"/>
        </w:rPr>
        <w:t>La</w:t>
      </w:r>
      <w:r w:rsidR="004421D9" w:rsidRPr="009751CF">
        <w:rPr>
          <w:rFonts w:asciiTheme="majorHAnsi" w:hAnsiTheme="majorHAnsi" w:cs="Calibri"/>
          <w:sz w:val="20"/>
          <w:szCs w:val="20"/>
          <w:lang w:val="es-ES"/>
        </w:rPr>
        <w:t xml:space="preserve"> CIDH observa que </w:t>
      </w:r>
      <w:r>
        <w:rPr>
          <w:rFonts w:asciiTheme="majorHAnsi" w:hAnsiTheme="majorHAnsi" w:cs="Calibri"/>
          <w:sz w:val="20"/>
          <w:szCs w:val="20"/>
          <w:lang w:val="es-ES"/>
        </w:rPr>
        <w:t>el recurso</w:t>
      </w:r>
      <w:r w:rsidR="004421D9" w:rsidRPr="009751CF">
        <w:rPr>
          <w:rFonts w:asciiTheme="majorHAnsi" w:hAnsiTheme="majorHAnsi" w:cs="Calibri"/>
          <w:sz w:val="20"/>
          <w:szCs w:val="20"/>
          <w:lang w:val="es-ES"/>
        </w:rPr>
        <w:t xml:space="preserve"> citad</w:t>
      </w:r>
      <w:r>
        <w:rPr>
          <w:rFonts w:asciiTheme="majorHAnsi" w:hAnsiTheme="majorHAnsi" w:cs="Calibri"/>
          <w:sz w:val="20"/>
          <w:szCs w:val="20"/>
          <w:lang w:val="es-ES"/>
        </w:rPr>
        <w:t>o</w:t>
      </w:r>
      <w:r w:rsidR="004421D9" w:rsidRPr="009751CF">
        <w:rPr>
          <w:rFonts w:asciiTheme="majorHAnsi" w:hAnsiTheme="majorHAnsi" w:cs="Calibri"/>
          <w:sz w:val="20"/>
          <w:szCs w:val="20"/>
          <w:lang w:val="es-ES"/>
        </w:rPr>
        <w:t xml:space="preserve"> por el Estado procede contra </w:t>
      </w:r>
      <w:r w:rsidR="009751CF" w:rsidRPr="009751CF">
        <w:rPr>
          <w:rFonts w:asciiTheme="majorHAnsi" w:hAnsiTheme="majorHAnsi" w:cs="Calibri"/>
          <w:sz w:val="20"/>
          <w:szCs w:val="20"/>
          <w:lang w:val="es-ES"/>
        </w:rPr>
        <w:t>una decisión administrativ</w:t>
      </w:r>
      <w:r>
        <w:rPr>
          <w:rFonts w:asciiTheme="majorHAnsi" w:hAnsiTheme="majorHAnsi" w:cs="Calibri"/>
          <w:sz w:val="20"/>
          <w:szCs w:val="20"/>
          <w:lang w:val="es-ES"/>
        </w:rPr>
        <w:t>a;</w:t>
      </w:r>
      <w:r w:rsidR="006047B8">
        <w:rPr>
          <w:rFonts w:asciiTheme="majorHAnsi" w:hAnsiTheme="majorHAnsi" w:cs="Calibri"/>
          <w:sz w:val="20"/>
          <w:szCs w:val="20"/>
          <w:lang w:val="es-ES"/>
        </w:rPr>
        <w:t xml:space="preserve"> y </w:t>
      </w:r>
      <w:r w:rsidR="009751CF" w:rsidRPr="009751CF">
        <w:rPr>
          <w:rFonts w:asciiTheme="majorHAnsi" w:hAnsiTheme="majorHAnsi" w:cs="Calibri"/>
          <w:sz w:val="20"/>
          <w:szCs w:val="20"/>
          <w:lang w:val="es-ES"/>
        </w:rPr>
        <w:t xml:space="preserve"> </w:t>
      </w:r>
      <w:r w:rsidR="004421D9" w:rsidRPr="009751CF">
        <w:rPr>
          <w:rFonts w:asciiTheme="majorHAnsi" w:hAnsiTheme="majorHAnsi" w:cs="Calibri"/>
          <w:sz w:val="20"/>
          <w:szCs w:val="20"/>
          <w:lang w:val="es-ES"/>
        </w:rPr>
        <w:t xml:space="preserve">no </w:t>
      </w:r>
      <w:r>
        <w:rPr>
          <w:rFonts w:asciiTheme="majorHAnsi" w:hAnsiTheme="majorHAnsi" w:cs="Calibri"/>
          <w:sz w:val="20"/>
          <w:szCs w:val="20"/>
          <w:lang w:val="es-ES"/>
        </w:rPr>
        <w:t>constituye</w:t>
      </w:r>
      <w:r w:rsidR="009751CF" w:rsidRPr="009751CF">
        <w:rPr>
          <w:rFonts w:asciiTheme="majorHAnsi" w:hAnsiTheme="majorHAnsi" w:cs="Calibri"/>
          <w:sz w:val="20"/>
          <w:szCs w:val="20"/>
          <w:lang w:val="es-ES"/>
        </w:rPr>
        <w:t>,</w:t>
      </w:r>
      <w:r w:rsidR="004421D9" w:rsidRPr="009751CF">
        <w:rPr>
          <w:rFonts w:asciiTheme="majorHAnsi" w:hAnsiTheme="majorHAnsi" w:cs="Calibri"/>
          <w:sz w:val="20"/>
          <w:szCs w:val="20"/>
          <w:lang w:val="es-ES"/>
        </w:rPr>
        <w:t xml:space="preserve"> por lo tanto, un recurso idóneo que asegure la revisión o la doble conformidad de una sentencia condenatoria antes de ser definitiva. </w:t>
      </w:r>
      <w:r>
        <w:rPr>
          <w:rFonts w:asciiTheme="majorHAnsi" w:hAnsiTheme="majorHAnsi" w:cs="Calibri"/>
          <w:color w:val="auto"/>
          <w:sz w:val="20"/>
          <w:szCs w:val="20"/>
          <w:lang w:val="es-ES"/>
        </w:rPr>
        <w:t>La</w:t>
      </w:r>
      <w:r w:rsidR="005A735A" w:rsidRPr="005A735A">
        <w:rPr>
          <w:rFonts w:cs="Calibri"/>
          <w:color w:val="auto"/>
          <w:sz w:val="20"/>
          <w:szCs w:val="20"/>
          <w:lang w:val="es-ES_tradnl"/>
        </w:rPr>
        <w:t xml:space="preserve"> presunta víctima fue notificada el </w:t>
      </w:r>
      <w:r w:rsidR="005A735A" w:rsidRPr="005A735A">
        <w:rPr>
          <w:color w:val="auto"/>
          <w:sz w:val="20"/>
          <w:szCs w:val="20"/>
          <w:lang w:val="es-ES"/>
        </w:rPr>
        <w:t xml:space="preserve">13 de enero de 2009 sobre la decisión </w:t>
      </w:r>
      <w:r w:rsidR="002A39BF" w:rsidRPr="005A735A">
        <w:rPr>
          <w:color w:val="auto"/>
          <w:sz w:val="20"/>
          <w:szCs w:val="20"/>
          <w:lang w:val="es-ES"/>
        </w:rPr>
        <w:t xml:space="preserve">irrecurrible </w:t>
      </w:r>
      <w:r w:rsidR="005A735A" w:rsidRPr="005A735A">
        <w:rPr>
          <w:color w:val="auto"/>
          <w:sz w:val="20"/>
          <w:szCs w:val="20"/>
          <w:lang w:val="es-ES"/>
        </w:rPr>
        <w:t xml:space="preserve">de su baja laboral, </w:t>
      </w:r>
      <w:r w:rsidR="005A735A" w:rsidRPr="005A735A">
        <w:rPr>
          <w:rFonts w:cs="Calibri"/>
          <w:color w:val="auto"/>
          <w:sz w:val="20"/>
          <w:szCs w:val="20"/>
          <w:lang w:val="es-ES_tradnl"/>
        </w:rPr>
        <w:t xml:space="preserve">y presentó la petición ante la CIDH el </w:t>
      </w:r>
      <w:r w:rsidR="005A735A" w:rsidRPr="005A735A">
        <w:rPr>
          <w:bCs/>
          <w:color w:val="auto"/>
          <w:sz w:val="20"/>
          <w:szCs w:val="20"/>
          <w:lang w:val="es-ES"/>
        </w:rPr>
        <w:t>11 de julio de 2009</w:t>
      </w:r>
      <w:r w:rsidR="002A39BF">
        <w:rPr>
          <w:bCs/>
          <w:color w:val="auto"/>
          <w:sz w:val="20"/>
          <w:szCs w:val="20"/>
          <w:lang w:val="es-ES"/>
        </w:rPr>
        <w:t>;</w:t>
      </w:r>
      <w:r w:rsidR="005A735A" w:rsidRPr="005A735A">
        <w:rPr>
          <w:bCs/>
          <w:color w:val="auto"/>
          <w:sz w:val="20"/>
          <w:szCs w:val="20"/>
          <w:lang w:val="es-ES"/>
        </w:rPr>
        <w:t xml:space="preserve"> </w:t>
      </w:r>
      <w:r w:rsidR="002A39BF">
        <w:rPr>
          <w:bCs/>
          <w:color w:val="auto"/>
          <w:sz w:val="20"/>
          <w:szCs w:val="20"/>
          <w:lang w:val="es-ES"/>
        </w:rPr>
        <w:t xml:space="preserve">por lo tanto, se cumplió con el plazo </w:t>
      </w:r>
      <w:r w:rsidR="005A735A" w:rsidRPr="005A735A">
        <w:rPr>
          <w:bCs/>
          <w:color w:val="auto"/>
          <w:sz w:val="20"/>
          <w:szCs w:val="20"/>
          <w:lang w:val="es-ES"/>
        </w:rPr>
        <w:t xml:space="preserve">de seis meses </w:t>
      </w:r>
      <w:r w:rsidR="002A39BF">
        <w:rPr>
          <w:bCs/>
          <w:color w:val="auto"/>
          <w:sz w:val="20"/>
          <w:szCs w:val="20"/>
          <w:lang w:val="es-ES"/>
        </w:rPr>
        <w:t xml:space="preserve">previsto en el </w:t>
      </w:r>
      <w:r w:rsidR="005A735A" w:rsidRPr="005A735A">
        <w:rPr>
          <w:bCs/>
          <w:color w:val="auto"/>
          <w:sz w:val="20"/>
          <w:szCs w:val="20"/>
          <w:lang w:val="es-ES"/>
        </w:rPr>
        <w:t>artículo 46.1.b de la Convención</w:t>
      </w:r>
      <w:r w:rsidR="002A39BF">
        <w:rPr>
          <w:bCs/>
          <w:color w:val="auto"/>
          <w:sz w:val="20"/>
          <w:szCs w:val="20"/>
          <w:lang w:val="es-ES"/>
        </w:rPr>
        <w:t xml:space="preserve"> Americana</w:t>
      </w:r>
      <w:r w:rsidR="005A735A" w:rsidRPr="005A735A">
        <w:rPr>
          <w:bCs/>
          <w:color w:val="auto"/>
          <w:sz w:val="20"/>
          <w:szCs w:val="20"/>
          <w:lang w:val="es-ES"/>
        </w:rPr>
        <w:t xml:space="preserve">. </w:t>
      </w:r>
    </w:p>
    <w:p w14:paraId="188A67DB" w14:textId="77777777" w:rsidR="00803FA0" w:rsidRPr="005A735A" w:rsidRDefault="00803FA0" w:rsidP="005E2E5A">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_tradnl"/>
        </w:rPr>
      </w:pPr>
    </w:p>
    <w:p w14:paraId="7090A929" w14:textId="49B1C915" w:rsidR="00F04591" w:rsidRDefault="00F04591" w:rsidP="005E2E5A">
      <w:pPr>
        <w:pStyle w:val="ListParagraph"/>
        <w:jc w:val="both"/>
        <w:rPr>
          <w:rFonts w:asciiTheme="majorHAnsi" w:hAnsiTheme="majorHAnsi"/>
          <w:b/>
          <w:bCs/>
          <w:sz w:val="20"/>
          <w:szCs w:val="20"/>
          <w:lang w:val="es-ES"/>
        </w:rPr>
      </w:pPr>
      <w:r w:rsidRPr="00006B74">
        <w:rPr>
          <w:rFonts w:asciiTheme="majorHAnsi" w:hAnsiTheme="majorHAnsi"/>
          <w:b/>
          <w:bCs/>
          <w:sz w:val="20"/>
          <w:szCs w:val="20"/>
          <w:lang w:val="es-ES"/>
        </w:rPr>
        <w:t>V</w:t>
      </w:r>
      <w:r w:rsidR="00803FA0">
        <w:rPr>
          <w:rFonts w:asciiTheme="majorHAnsi" w:hAnsiTheme="majorHAnsi"/>
          <w:b/>
          <w:bCs/>
          <w:sz w:val="20"/>
          <w:szCs w:val="20"/>
          <w:lang w:val="es-ES"/>
        </w:rPr>
        <w:t>I</w:t>
      </w:r>
      <w:r w:rsidR="000E2789" w:rsidRPr="00006B74">
        <w:rPr>
          <w:rFonts w:asciiTheme="majorHAnsi" w:hAnsiTheme="majorHAnsi"/>
          <w:b/>
          <w:bCs/>
          <w:sz w:val="20"/>
          <w:szCs w:val="20"/>
          <w:lang w:val="es-ES"/>
        </w:rPr>
        <w:t>I</w:t>
      </w:r>
      <w:r w:rsidRPr="00006B74">
        <w:rPr>
          <w:rFonts w:asciiTheme="majorHAnsi" w:hAnsiTheme="majorHAnsi"/>
          <w:b/>
          <w:bCs/>
          <w:sz w:val="20"/>
          <w:szCs w:val="20"/>
          <w:lang w:val="es-ES"/>
        </w:rPr>
        <w:t xml:space="preserve">. </w:t>
      </w:r>
      <w:r w:rsidRPr="00006B74">
        <w:rPr>
          <w:rFonts w:asciiTheme="majorHAnsi" w:hAnsiTheme="majorHAnsi"/>
          <w:b/>
          <w:bCs/>
          <w:sz w:val="20"/>
          <w:szCs w:val="20"/>
          <w:lang w:val="es-ES"/>
        </w:rPr>
        <w:tab/>
        <w:t>CARACTERIZACIÓN</w:t>
      </w:r>
    </w:p>
    <w:p w14:paraId="447C0BBC" w14:textId="77777777" w:rsidR="00C90005" w:rsidRPr="00C90005" w:rsidRDefault="00C90005" w:rsidP="00C90005">
      <w:pPr>
        <w:jc w:val="both"/>
        <w:rPr>
          <w:rFonts w:asciiTheme="majorHAnsi" w:hAnsiTheme="majorHAnsi"/>
          <w:b/>
          <w:bCs/>
          <w:sz w:val="20"/>
          <w:szCs w:val="20"/>
          <w:lang w:val="es-ES"/>
        </w:rPr>
      </w:pPr>
    </w:p>
    <w:p w14:paraId="3DDB8C74" w14:textId="77777777" w:rsidR="002E03BB" w:rsidRDefault="002A39BF" w:rsidP="005E2E5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Pr>
          <w:rFonts w:ascii="Cambria" w:hAnsi="Cambria"/>
          <w:sz w:val="20"/>
          <w:szCs w:val="20"/>
          <w:lang w:val="es-ES"/>
        </w:rPr>
        <w:t xml:space="preserve">El peticionario </w:t>
      </w:r>
      <w:r w:rsidR="005B7598" w:rsidRPr="00E24246">
        <w:rPr>
          <w:rFonts w:ascii="Cambria" w:hAnsi="Cambria"/>
          <w:sz w:val="20"/>
          <w:szCs w:val="20"/>
          <w:lang w:val="es-ES"/>
        </w:rPr>
        <w:t>alega</w:t>
      </w:r>
      <w:r w:rsidR="00E24246" w:rsidRPr="00E24246">
        <w:rPr>
          <w:rFonts w:ascii="Cambria" w:hAnsi="Cambria"/>
          <w:sz w:val="20"/>
          <w:szCs w:val="20"/>
          <w:lang w:val="es-ES"/>
        </w:rPr>
        <w:t xml:space="preserve"> </w:t>
      </w:r>
      <w:r>
        <w:rPr>
          <w:rFonts w:ascii="Cambria" w:hAnsi="Cambria"/>
          <w:sz w:val="20"/>
          <w:szCs w:val="20"/>
          <w:lang w:val="es-ES"/>
        </w:rPr>
        <w:t xml:space="preserve">su </w:t>
      </w:r>
      <w:r w:rsidR="00E24246" w:rsidRPr="00E24246">
        <w:rPr>
          <w:rFonts w:ascii="Cambria" w:hAnsi="Cambria"/>
          <w:sz w:val="20"/>
          <w:szCs w:val="20"/>
          <w:lang w:val="es-ES"/>
        </w:rPr>
        <w:t xml:space="preserve">despido injustificado de la Suprema Corte de </w:t>
      </w:r>
      <w:r>
        <w:rPr>
          <w:rFonts w:ascii="Cambria" w:hAnsi="Cambria"/>
          <w:sz w:val="20"/>
          <w:szCs w:val="20"/>
          <w:lang w:val="es-ES"/>
        </w:rPr>
        <w:t>Justicia, así como</w:t>
      </w:r>
      <w:r w:rsidR="00E24246" w:rsidRPr="00E24246">
        <w:rPr>
          <w:rFonts w:ascii="Cambria" w:hAnsi="Cambria"/>
          <w:sz w:val="20"/>
          <w:szCs w:val="20"/>
          <w:lang w:val="es-ES"/>
        </w:rPr>
        <w:t xml:space="preserve"> la ausencia de garantías judiciales y protección judicial en </w:t>
      </w:r>
      <w:r>
        <w:rPr>
          <w:rFonts w:ascii="Cambria" w:hAnsi="Cambria"/>
          <w:sz w:val="20"/>
          <w:szCs w:val="20"/>
          <w:lang w:val="es-ES"/>
        </w:rPr>
        <w:t xml:space="preserve">los respectivos </w:t>
      </w:r>
      <w:r w:rsidR="00E24246" w:rsidRPr="00E24246">
        <w:rPr>
          <w:rFonts w:ascii="Cambria" w:hAnsi="Cambria"/>
          <w:sz w:val="20"/>
          <w:szCs w:val="20"/>
          <w:lang w:val="es-ES"/>
        </w:rPr>
        <w:t>proceso</w:t>
      </w:r>
      <w:r>
        <w:rPr>
          <w:rFonts w:ascii="Cambria" w:hAnsi="Cambria"/>
          <w:sz w:val="20"/>
          <w:szCs w:val="20"/>
          <w:lang w:val="es-ES"/>
        </w:rPr>
        <w:t>s</w:t>
      </w:r>
      <w:r w:rsidR="00E24246" w:rsidRPr="00E24246">
        <w:rPr>
          <w:rFonts w:ascii="Cambria" w:hAnsi="Cambria"/>
          <w:sz w:val="20"/>
          <w:szCs w:val="20"/>
          <w:lang w:val="es-ES"/>
        </w:rPr>
        <w:t xml:space="preserve"> administrativo</w:t>
      </w:r>
      <w:r>
        <w:rPr>
          <w:rFonts w:ascii="Cambria" w:hAnsi="Cambria"/>
          <w:sz w:val="20"/>
          <w:szCs w:val="20"/>
          <w:lang w:val="es-ES"/>
        </w:rPr>
        <w:t>s</w:t>
      </w:r>
      <w:r w:rsidR="00E24246" w:rsidRPr="00E24246">
        <w:rPr>
          <w:rFonts w:ascii="Cambria" w:hAnsi="Cambria"/>
          <w:sz w:val="20"/>
          <w:szCs w:val="20"/>
          <w:lang w:val="es-ES"/>
        </w:rPr>
        <w:t xml:space="preserve"> y judicial</w:t>
      </w:r>
      <w:r>
        <w:rPr>
          <w:rFonts w:ascii="Cambria" w:hAnsi="Cambria"/>
          <w:sz w:val="20"/>
          <w:szCs w:val="20"/>
          <w:lang w:val="es-ES"/>
        </w:rPr>
        <w:t>es</w:t>
      </w:r>
      <w:r w:rsidR="00E24246" w:rsidRPr="00E24246">
        <w:rPr>
          <w:rFonts w:ascii="Cambria" w:hAnsi="Cambria"/>
          <w:sz w:val="20"/>
          <w:szCs w:val="20"/>
          <w:lang w:val="es-ES"/>
        </w:rPr>
        <w:t xml:space="preserve">. Asimismo, alega la imposibilidad de recurrir las decisiones de la Suprema Corte, </w:t>
      </w:r>
      <w:r>
        <w:rPr>
          <w:rFonts w:ascii="Cambria" w:hAnsi="Cambria"/>
          <w:sz w:val="20"/>
          <w:szCs w:val="20"/>
          <w:lang w:val="es-ES"/>
        </w:rPr>
        <w:t xml:space="preserve">que actúa como </w:t>
      </w:r>
      <w:r w:rsidR="00E24246" w:rsidRPr="00E24246">
        <w:rPr>
          <w:rFonts w:ascii="Cambria" w:hAnsi="Cambria"/>
          <w:sz w:val="20"/>
          <w:szCs w:val="20"/>
          <w:lang w:val="es-ES"/>
        </w:rPr>
        <w:t xml:space="preserve">instancia </w:t>
      </w:r>
      <w:r w:rsidRPr="00E24246">
        <w:rPr>
          <w:rFonts w:ascii="Cambria" w:hAnsi="Cambria"/>
          <w:sz w:val="20"/>
          <w:szCs w:val="20"/>
          <w:lang w:val="es-ES"/>
        </w:rPr>
        <w:t xml:space="preserve">única </w:t>
      </w:r>
      <w:r w:rsidR="00E24246" w:rsidRPr="00E24246">
        <w:rPr>
          <w:rFonts w:ascii="Cambria" w:hAnsi="Cambria"/>
          <w:sz w:val="20"/>
          <w:szCs w:val="20"/>
          <w:lang w:val="es-ES"/>
        </w:rPr>
        <w:t xml:space="preserve">judicial en los casos de </w:t>
      </w:r>
      <w:r w:rsidR="007F0BE7">
        <w:rPr>
          <w:rFonts w:ascii="Cambria" w:hAnsi="Cambria"/>
          <w:sz w:val="20"/>
          <w:szCs w:val="20"/>
          <w:lang w:val="es-ES"/>
        </w:rPr>
        <w:t xml:space="preserve">procesos administrativos </w:t>
      </w:r>
      <w:r w:rsidR="002E03BB">
        <w:rPr>
          <w:rFonts w:ascii="Cambria" w:hAnsi="Cambria"/>
          <w:sz w:val="20"/>
          <w:szCs w:val="20"/>
          <w:lang w:val="es-ES"/>
        </w:rPr>
        <w:t xml:space="preserve">sancionatorios </w:t>
      </w:r>
      <w:r w:rsidR="002E03BB" w:rsidRPr="00E24246">
        <w:rPr>
          <w:rFonts w:ascii="Cambria" w:hAnsi="Cambria"/>
          <w:sz w:val="20"/>
          <w:szCs w:val="20"/>
          <w:lang w:val="es-ES"/>
        </w:rPr>
        <w:t>de</w:t>
      </w:r>
      <w:r w:rsidR="00E24246" w:rsidRPr="00E24246">
        <w:rPr>
          <w:rFonts w:ascii="Cambria" w:hAnsi="Cambria"/>
          <w:sz w:val="20"/>
          <w:szCs w:val="20"/>
          <w:lang w:val="es-ES"/>
        </w:rPr>
        <w:t xml:space="preserve"> sus funcionarios</w:t>
      </w:r>
      <w:r>
        <w:rPr>
          <w:rFonts w:ascii="Cambria" w:hAnsi="Cambria"/>
          <w:sz w:val="20"/>
          <w:szCs w:val="20"/>
          <w:lang w:val="es-ES"/>
        </w:rPr>
        <w:t>. Por su parte, el Estado alega</w:t>
      </w:r>
      <w:r w:rsidR="00E24246">
        <w:rPr>
          <w:rFonts w:ascii="Cambria" w:hAnsi="Cambria"/>
          <w:sz w:val="20"/>
          <w:szCs w:val="20"/>
          <w:lang w:val="es-ES"/>
        </w:rPr>
        <w:t xml:space="preserve"> que la CIDH estaría </w:t>
      </w:r>
      <w:r>
        <w:rPr>
          <w:rFonts w:ascii="Cambria" w:hAnsi="Cambria"/>
          <w:sz w:val="20"/>
          <w:szCs w:val="20"/>
          <w:lang w:val="es-ES"/>
        </w:rPr>
        <w:t xml:space="preserve">actuando como </w:t>
      </w:r>
      <w:r w:rsidR="00E24246">
        <w:rPr>
          <w:rFonts w:ascii="Cambria" w:hAnsi="Cambria"/>
          <w:sz w:val="20"/>
          <w:szCs w:val="20"/>
          <w:lang w:val="es-ES"/>
        </w:rPr>
        <w:t>una cuarta instancia</w:t>
      </w:r>
      <w:r>
        <w:rPr>
          <w:rFonts w:ascii="Cambria" w:hAnsi="Cambria"/>
          <w:sz w:val="20"/>
          <w:szCs w:val="20"/>
          <w:lang w:val="es-ES"/>
        </w:rPr>
        <w:t xml:space="preserve"> si revisara la petición</w:t>
      </w:r>
      <w:r w:rsidR="00E24246" w:rsidRPr="00E24246">
        <w:rPr>
          <w:rFonts w:ascii="Cambria" w:hAnsi="Cambria"/>
          <w:sz w:val="20"/>
          <w:szCs w:val="20"/>
          <w:lang w:val="es-ES"/>
        </w:rPr>
        <w:t>.</w:t>
      </w:r>
    </w:p>
    <w:p w14:paraId="74315CEC" w14:textId="36B44C30" w:rsidR="00E24246" w:rsidRDefault="00E24246" w:rsidP="002E03B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E24246">
        <w:rPr>
          <w:rFonts w:ascii="Cambria" w:hAnsi="Cambria"/>
          <w:sz w:val="20"/>
          <w:szCs w:val="20"/>
          <w:lang w:val="es-ES"/>
        </w:rPr>
        <w:t xml:space="preserve"> </w:t>
      </w:r>
    </w:p>
    <w:p w14:paraId="63E230A6" w14:textId="68290EB4" w:rsidR="005B7598" w:rsidRDefault="005B7598" w:rsidP="005E2E5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E24246">
        <w:rPr>
          <w:rFonts w:ascii="Cambria" w:hAnsi="Cambria"/>
          <w:sz w:val="20"/>
          <w:szCs w:val="20"/>
          <w:lang w:val="es-ES"/>
        </w:rPr>
        <w:t>En atención a estas consideraciones</w:t>
      </w:r>
      <w:r w:rsidR="002A39BF">
        <w:rPr>
          <w:rFonts w:ascii="Cambria" w:hAnsi="Cambria"/>
          <w:sz w:val="20"/>
          <w:szCs w:val="20"/>
          <w:lang w:val="es-ES"/>
        </w:rPr>
        <w:t>,</w:t>
      </w:r>
      <w:r w:rsidRPr="00E24246">
        <w:rPr>
          <w:rFonts w:ascii="Cambria" w:hAnsi="Cambria"/>
          <w:sz w:val="20"/>
          <w:szCs w:val="20"/>
          <w:lang w:val="es-ES"/>
        </w:rPr>
        <w:t xml:space="preserve"> y tras examinar los elementos de hecho y de derecho expuestos por las partes</w:t>
      </w:r>
      <w:r w:rsidR="002A39BF">
        <w:rPr>
          <w:rFonts w:ascii="Cambria" w:hAnsi="Cambria"/>
          <w:sz w:val="20"/>
          <w:szCs w:val="20"/>
          <w:lang w:val="es-ES"/>
        </w:rPr>
        <w:t>,</w:t>
      </w:r>
      <w:r w:rsidRPr="00E24246">
        <w:rPr>
          <w:rFonts w:ascii="Cambria" w:hAnsi="Cambria"/>
          <w:sz w:val="20"/>
          <w:szCs w:val="20"/>
          <w:lang w:val="es-ES"/>
        </w:rPr>
        <w:t xml:space="preserve"> la C</w:t>
      </w:r>
      <w:r w:rsidR="002A39BF">
        <w:rPr>
          <w:rFonts w:ascii="Cambria" w:hAnsi="Cambria"/>
          <w:sz w:val="20"/>
          <w:szCs w:val="20"/>
          <w:lang w:val="es-ES"/>
        </w:rPr>
        <w:t>IDH</w:t>
      </w:r>
      <w:r w:rsidRPr="00E24246">
        <w:rPr>
          <w:rFonts w:ascii="Cambria" w:hAnsi="Cambria"/>
          <w:sz w:val="20"/>
          <w:szCs w:val="20"/>
          <w:lang w:val="es-ES"/>
        </w:rPr>
        <w:t xml:space="preserve"> estima que </w:t>
      </w:r>
      <w:r w:rsidR="002A39BF">
        <w:rPr>
          <w:rFonts w:ascii="Cambria" w:hAnsi="Cambria"/>
          <w:sz w:val="20"/>
          <w:szCs w:val="20"/>
          <w:lang w:val="es-ES"/>
        </w:rPr>
        <w:t>los alegatos</w:t>
      </w:r>
      <w:r w:rsidRPr="00E24246">
        <w:rPr>
          <w:rFonts w:ascii="Cambria" w:hAnsi="Cambria"/>
          <w:sz w:val="20"/>
          <w:szCs w:val="20"/>
          <w:lang w:val="es-ES"/>
        </w:rPr>
        <w:t xml:space="preserve"> del peticionari</w:t>
      </w:r>
      <w:r w:rsidR="002A39BF">
        <w:rPr>
          <w:rFonts w:ascii="Cambria" w:hAnsi="Cambria"/>
          <w:sz w:val="20"/>
          <w:szCs w:val="20"/>
          <w:lang w:val="es-ES"/>
        </w:rPr>
        <w:t>o</w:t>
      </w:r>
      <w:r w:rsidRPr="00E24246">
        <w:rPr>
          <w:rFonts w:ascii="Cambria" w:hAnsi="Cambria"/>
          <w:sz w:val="20"/>
          <w:szCs w:val="20"/>
          <w:lang w:val="es-ES"/>
        </w:rPr>
        <w:t xml:space="preserve"> no resultan manifiestamente infundadas y requieren un estudio de fondo pues los hechos, de corroborarse como ciertos</w:t>
      </w:r>
      <w:r w:rsidR="002A39BF">
        <w:rPr>
          <w:rFonts w:ascii="Cambria" w:hAnsi="Cambria"/>
          <w:sz w:val="20"/>
          <w:szCs w:val="20"/>
          <w:lang w:val="es-ES"/>
        </w:rPr>
        <w:t>,</w:t>
      </w:r>
      <w:r w:rsidRPr="00E24246">
        <w:rPr>
          <w:rFonts w:ascii="Cambria" w:hAnsi="Cambria"/>
          <w:sz w:val="20"/>
          <w:szCs w:val="20"/>
          <w:lang w:val="es-ES"/>
        </w:rPr>
        <w:t xml:space="preserve"> podrían caracterizar violaciones </w:t>
      </w:r>
      <w:r w:rsidR="002A39BF">
        <w:rPr>
          <w:rFonts w:ascii="Cambria" w:hAnsi="Cambria"/>
          <w:sz w:val="20"/>
          <w:szCs w:val="20"/>
          <w:lang w:val="es-ES"/>
        </w:rPr>
        <w:t>de</w:t>
      </w:r>
      <w:r w:rsidRPr="00E24246">
        <w:rPr>
          <w:rFonts w:ascii="Cambria" w:hAnsi="Cambria"/>
          <w:sz w:val="20"/>
          <w:szCs w:val="20"/>
          <w:lang w:val="es-ES"/>
        </w:rPr>
        <w:t xml:space="preserve"> los artículos </w:t>
      </w:r>
      <w:r w:rsidR="002A39BF">
        <w:rPr>
          <w:rFonts w:ascii="Cambria" w:hAnsi="Cambria"/>
          <w:bCs/>
          <w:sz w:val="20"/>
          <w:szCs w:val="20"/>
          <w:lang w:val="es-ES"/>
        </w:rPr>
        <w:t>8 (garantías judiciales) y</w:t>
      </w:r>
      <w:r w:rsidR="00E24246" w:rsidRPr="00E24246">
        <w:rPr>
          <w:rFonts w:ascii="Cambria" w:hAnsi="Cambria"/>
          <w:bCs/>
          <w:sz w:val="20"/>
          <w:szCs w:val="20"/>
          <w:lang w:val="es-ES"/>
        </w:rPr>
        <w:t xml:space="preserve">  25 (protección judicial) de la Convención </w:t>
      </w:r>
      <w:r w:rsidR="00E24246" w:rsidRPr="00E24246">
        <w:rPr>
          <w:rFonts w:ascii="Cambria" w:hAnsi="Cambria"/>
          <w:bCs/>
          <w:sz w:val="20"/>
          <w:szCs w:val="20"/>
          <w:lang w:val="es-ES"/>
        </w:rPr>
        <w:lastRenderedPageBreak/>
        <w:t>Americana en relación con sus artículos 1.1 (obligación de respetar los derechos) y 2 (deber de adoptar disposiciones de derecho interno), así como de los artículos I, II, V, XIV, XVII y VIIII de la Declaración Americana</w:t>
      </w:r>
      <w:r w:rsidRPr="00E24246">
        <w:rPr>
          <w:rFonts w:ascii="Cambria" w:hAnsi="Cambria"/>
          <w:sz w:val="20"/>
          <w:szCs w:val="20"/>
          <w:lang w:val="es-ES"/>
        </w:rPr>
        <w:t>.</w:t>
      </w:r>
    </w:p>
    <w:p w14:paraId="46773E53" w14:textId="7A85AC82" w:rsidR="00F33848" w:rsidRPr="00E74D19" w:rsidRDefault="00F33848" w:rsidP="002E03BB">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cs="Calibri"/>
          <w:sz w:val="20"/>
          <w:szCs w:val="20"/>
          <w:lang w:val="es-ES_tradnl"/>
        </w:rPr>
      </w:pPr>
      <w:r>
        <w:rPr>
          <w:rFonts w:ascii="Cambria" w:hAnsi="Cambria"/>
          <w:bCs/>
          <w:sz w:val="20"/>
          <w:szCs w:val="20"/>
          <w:lang w:val="es-ES"/>
        </w:rPr>
        <w:t xml:space="preserve">Además, </w:t>
      </w:r>
      <w:r>
        <w:rPr>
          <w:rFonts w:ascii="Cambria" w:hAnsi="Cambria" w:cs="Calibri"/>
          <w:sz w:val="20"/>
          <w:szCs w:val="20"/>
          <w:lang w:val="es-ES_tradnl"/>
        </w:rPr>
        <w:t>los hechos alegados por la presunta víctima</w:t>
      </w:r>
      <w:r w:rsidRPr="00F33848">
        <w:rPr>
          <w:rFonts w:ascii="Cambria" w:hAnsi="Cambria" w:cs="Calibri"/>
          <w:sz w:val="20"/>
          <w:szCs w:val="20"/>
          <w:lang w:val="es-ES_tradnl"/>
        </w:rPr>
        <w:t xml:space="preserve"> caracteriza</w:t>
      </w:r>
      <w:r w:rsidR="002E03BB">
        <w:rPr>
          <w:rFonts w:ascii="Cambria" w:hAnsi="Cambria" w:cs="Calibri"/>
          <w:sz w:val="20"/>
          <w:szCs w:val="20"/>
          <w:lang w:val="es-ES_tradnl"/>
        </w:rPr>
        <w:t>n</w:t>
      </w:r>
      <w:r w:rsidRPr="00F33848">
        <w:rPr>
          <w:rFonts w:ascii="Cambria" w:hAnsi="Cambria" w:cs="Calibri"/>
          <w:sz w:val="20"/>
          <w:szCs w:val="20"/>
          <w:lang w:val="es-ES_tradnl"/>
        </w:rPr>
        <w:t xml:space="preserve"> </w:t>
      </w:r>
      <w:r w:rsidR="002A39BF" w:rsidRPr="00F33848">
        <w:rPr>
          <w:rFonts w:ascii="Cambria" w:hAnsi="Cambria" w:cs="Calibri"/>
          <w:i/>
          <w:sz w:val="20"/>
          <w:szCs w:val="20"/>
          <w:lang w:val="es-ES_tradnl"/>
        </w:rPr>
        <w:t>prima facie</w:t>
      </w:r>
      <w:r w:rsidR="002A39BF" w:rsidRPr="00F33848">
        <w:rPr>
          <w:rFonts w:ascii="Cambria" w:hAnsi="Cambria" w:cs="Calibri"/>
          <w:sz w:val="20"/>
          <w:szCs w:val="20"/>
          <w:lang w:val="es-ES_tradnl"/>
        </w:rPr>
        <w:t xml:space="preserve"> </w:t>
      </w:r>
      <w:r w:rsidRPr="00F33848">
        <w:rPr>
          <w:rFonts w:ascii="Cambria" w:hAnsi="Cambria" w:cs="Calibri"/>
          <w:sz w:val="20"/>
          <w:szCs w:val="20"/>
          <w:lang w:val="es-ES_tradnl"/>
        </w:rPr>
        <w:t xml:space="preserve">el </w:t>
      </w:r>
      <w:r w:rsidR="002E03BB">
        <w:rPr>
          <w:rFonts w:ascii="Cambria" w:hAnsi="Cambria" w:cs="Calibri"/>
          <w:sz w:val="20"/>
          <w:szCs w:val="20"/>
          <w:lang w:val="es-ES_tradnl"/>
        </w:rPr>
        <w:t xml:space="preserve">posible </w:t>
      </w:r>
      <w:r w:rsidRPr="00F33848">
        <w:rPr>
          <w:rFonts w:ascii="Cambria" w:hAnsi="Cambria" w:cs="Calibri"/>
          <w:sz w:val="20"/>
          <w:szCs w:val="20"/>
          <w:lang w:val="es-ES_tradnl"/>
        </w:rPr>
        <w:t>incumplimiento de</w:t>
      </w:r>
      <w:r w:rsidR="002A39BF">
        <w:rPr>
          <w:rFonts w:ascii="Cambria" w:hAnsi="Cambria" w:cs="Calibri"/>
          <w:sz w:val="20"/>
          <w:szCs w:val="20"/>
          <w:lang w:val="es-ES_tradnl"/>
        </w:rPr>
        <w:t xml:space="preserve"> lo previsto en </w:t>
      </w:r>
      <w:r w:rsidRPr="00F33848">
        <w:rPr>
          <w:rFonts w:ascii="Cambria" w:hAnsi="Cambria" w:cs="Calibri"/>
          <w:sz w:val="20"/>
          <w:szCs w:val="20"/>
          <w:lang w:val="es-ES_tradnl"/>
        </w:rPr>
        <w:t xml:space="preserve">el artículo 26 de la Convención Americana, </w:t>
      </w:r>
      <w:r w:rsidR="002A39BF">
        <w:rPr>
          <w:rFonts w:ascii="Cambria" w:hAnsi="Cambria" w:cs="Calibri"/>
          <w:sz w:val="20"/>
          <w:szCs w:val="20"/>
          <w:lang w:val="es-ES_tradnl"/>
        </w:rPr>
        <w:t xml:space="preserve">que </w:t>
      </w:r>
      <w:r w:rsidRPr="00F33848">
        <w:rPr>
          <w:rFonts w:ascii="Cambria" w:hAnsi="Cambria" w:cs="Calibri"/>
          <w:sz w:val="20"/>
          <w:szCs w:val="20"/>
          <w:lang w:val="es-ES_tradnl"/>
        </w:rPr>
        <w:t xml:space="preserve">establece </w:t>
      </w:r>
      <w:r w:rsidR="002A39BF">
        <w:rPr>
          <w:rFonts w:ascii="Cambria" w:hAnsi="Cambria" w:cs="Calibri"/>
          <w:sz w:val="20"/>
          <w:szCs w:val="20"/>
          <w:lang w:val="es-ES_tradnl"/>
        </w:rPr>
        <w:t>par</w:t>
      </w:r>
      <w:r w:rsidRPr="00F33848">
        <w:rPr>
          <w:rFonts w:ascii="Cambria" w:hAnsi="Cambria" w:cs="Calibri"/>
          <w:sz w:val="20"/>
          <w:szCs w:val="20"/>
          <w:lang w:val="es-ES_tradnl"/>
        </w:rPr>
        <w:t xml:space="preserve">a los Estados la obligación de desarrollar progresivamente la plena efectividad de los derechos que se derivan de las normas económicas, sociales y sobre educación, ciencia y cultura contenidas en la Carta de la Organización de Estados Americanos. </w:t>
      </w:r>
      <w:r w:rsidR="002A39BF">
        <w:rPr>
          <w:rFonts w:ascii="Cambria" w:hAnsi="Cambria" w:cs="Calibri"/>
          <w:sz w:val="20"/>
          <w:szCs w:val="20"/>
          <w:lang w:val="es-ES_tradnl"/>
        </w:rPr>
        <w:t>S</w:t>
      </w:r>
      <w:r w:rsidRPr="00F33848">
        <w:rPr>
          <w:rFonts w:ascii="Cambria" w:hAnsi="Cambria" w:cs="Calibri"/>
          <w:sz w:val="20"/>
          <w:szCs w:val="20"/>
          <w:lang w:val="es-ES_tradnl"/>
        </w:rPr>
        <w:t xml:space="preserve">in prejuzgar sobre el fondo del asunto, </w:t>
      </w:r>
      <w:r w:rsidR="002A39BF" w:rsidRPr="00F33848">
        <w:rPr>
          <w:rFonts w:ascii="Cambria" w:hAnsi="Cambria" w:cs="Calibri"/>
          <w:sz w:val="20"/>
          <w:szCs w:val="20"/>
          <w:lang w:val="es-ES_tradnl"/>
        </w:rPr>
        <w:t>la Comisión</w:t>
      </w:r>
      <w:r w:rsidR="002A39BF">
        <w:rPr>
          <w:rFonts w:ascii="Cambria" w:hAnsi="Cambria" w:cs="Calibri"/>
          <w:sz w:val="20"/>
          <w:szCs w:val="20"/>
          <w:lang w:val="es-ES_tradnl"/>
        </w:rPr>
        <w:t xml:space="preserve"> Interamericana</w:t>
      </w:r>
      <w:r w:rsidR="002A39BF" w:rsidRPr="00F33848">
        <w:rPr>
          <w:rFonts w:ascii="Cambria" w:hAnsi="Cambria" w:cs="Calibri"/>
          <w:sz w:val="20"/>
          <w:szCs w:val="20"/>
          <w:lang w:val="es-ES_tradnl"/>
        </w:rPr>
        <w:t xml:space="preserve"> </w:t>
      </w:r>
      <w:r w:rsidR="002A39BF">
        <w:rPr>
          <w:rFonts w:ascii="Cambria" w:hAnsi="Cambria" w:cs="Calibri"/>
          <w:sz w:val="20"/>
          <w:szCs w:val="20"/>
          <w:lang w:val="es-ES_tradnl"/>
        </w:rPr>
        <w:t>halla</w:t>
      </w:r>
      <w:r w:rsidRPr="00F33848">
        <w:rPr>
          <w:rFonts w:ascii="Cambria" w:hAnsi="Cambria" w:cs="Calibri"/>
          <w:sz w:val="20"/>
          <w:szCs w:val="20"/>
          <w:lang w:val="es-ES_tradnl"/>
        </w:rPr>
        <w:t xml:space="preserve"> que </w:t>
      </w:r>
      <w:r w:rsidR="002A39BF">
        <w:rPr>
          <w:rFonts w:ascii="Cambria" w:hAnsi="Cambria" w:cs="Calibri"/>
          <w:sz w:val="20"/>
          <w:szCs w:val="20"/>
          <w:lang w:val="es-ES_tradnl"/>
        </w:rPr>
        <w:t xml:space="preserve">el despido laboral </w:t>
      </w:r>
      <w:r>
        <w:rPr>
          <w:rFonts w:ascii="Cambria" w:hAnsi="Cambria" w:cs="Calibri"/>
          <w:sz w:val="20"/>
          <w:szCs w:val="20"/>
          <w:lang w:val="es-ES_tradnl"/>
        </w:rPr>
        <w:t xml:space="preserve">y la imposibilidad de recurrir </w:t>
      </w:r>
      <w:r w:rsidR="002A39BF">
        <w:rPr>
          <w:rFonts w:ascii="Cambria" w:hAnsi="Cambria" w:cs="Calibri"/>
          <w:sz w:val="20"/>
          <w:szCs w:val="20"/>
          <w:lang w:val="es-ES_tradnl"/>
        </w:rPr>
        <w:t>el</w:t>
      </w:r>
      <w:r>
        <w:rPr>
          <w:rFonts w:ascii="Cambria" w:hAnsi="Cambria" w:cs="Calibri"/>
          <w:sz w:val="20"/>
          <w:szCs w:val="20"/>
          <w:lang w:val="es-ES_tradnl"/>
        </w:rPr>
        <w:t xml:space="preserve"> fallo que </w:t>
      </w:r>
      <w:r w:rsidR="002A39BF">
        <w:rPr>
          <w:rFonts w:ascii="Cambria" w:hAnsi="Cambria" w:cs="Calibri"/>
          <w:sz w:val="20"/>
          <w:szCs w:val="20"/>
          <w:lang w:val="es-ES_tradnl"/>
        </w:rPr>
        <w:t>lo determinó</w:t>
      </w:r>
      <w:r w:rsidRPr="00F33848">
        <w:rPr>
          <w:rFonts w:ascii="Cambria" w:hAnsi="Cambria" w:cs="Calibri"/>
          <w:sz w:val="20"/>
          <w:szCs w:val="20"/>
          <w:lang w:val="es-ES_tradnl"/>
        </w:rPr>
        <w:t xml:space="preserve">, </w:t>
      </w:r>
      <w:r w:rsidR="002A39BF">
        <w:rPr>
          <w:rFonts w:ascii="Cambria" w:hAnsi="Cambria" w:cs="Calibri"/>
          <w:sz w:val="20"/>
          <w:szCs w:val="20"/>
          <w:lang w:val="es-ES_tradnl"/>
        </w:rPr>
        <w:t>tienden</w:t>
      </w:r>
      <w:r w:rsidRPr="00F33848">
        <w:rPr>
          <w:rFonts w:ascii="Cambria" w:hAnsi="Cambria" w:cs="Calibri"/>
          <w:sz w:val="20"/>
          <w:szCs w:val="20"/>
          <w:lang w:val="es-ES_tradnl"/>
        </w:rPr>
        <w:t xml:space="preserve"> a caracterizar una violación del </w:t>
      </w:r>
      <w:r w:rsidRPr="00E74D19">
        <w:rPr>
          <w:rFonts w:ascii="Cambria" w:hAnsi="Cambria" w:cs="Calibri"/>
          <w:sz w:val="20"/>
          <w:szCs w:val="20"/>
          <w:lang w:val="es-ES_tradnl"/>
        </w:rPr>
        <w:t>artículo 26 de la Convención Americana.</w:t>
      </w:r>
    </w:p>
    <w:p w14:paraId="7B6412ED" w14:textId="77777777" w:rsidR="00DD1EFF" w:rsidRPr="00DD1EFF" w:rsidRDefault="00DD1EFF" w:rsidP="00DD1EFF">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Cambria" w:hAnsi="Cambria"/>
          <w:sz w:val="20"/>
          <w:szCs w:val="20"/>
          <w:lang w:val="es-ES"/>
        </w:rPr>
      </w:pPr>
    </w:p>
    <w:p w14:paraId="5C6AB867" w14:textId="2AA80EC4" w:rsidR="005B7598" w:rsidRPr="00DD1EFF" w:rsidRDefault="00E24246" w:rsidP="005E2E5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E74D19">
        <w:rPr>
          <w:rFonts w:asciiTheme="majorHAnsi" w:hAnsiTheme="majorHAnsi"/>
          <w:bCs/>
          <w:sz w:val="20"/>
          <w:szCs w:val="20"/>
          <w:lang w:val="es-ES"/>
        </w:rPr>
        <w:t>Respe</w:t>
      </w:r>
      <w:r w:rsidR="002E03BB">
        <w:rPr>
          <w:rFonts w:asciiTheme="majorHAnsi" w:hAnsiTheme="majorHAnsi"/>
          <w:bCs/>
          <w:sz w:val="20"/>
          <w:szCs w:val="20"/>
          <w:lang w:val="es-ES"/>
        </w:rPr>
        <w:t>c</w:t>
      </w:r>
      <w:r w:rsidRPr="00E74D19">
        <w:rPr>
          <w:rFonts w:asciiTheme="majorHAnsi" w:hAnsiTheme="majorHAnsi"/>
          <w:bCs/>
          <w:sz w:val="20"/>
          <w:szCs w:val="20"/>
          <w:lang w:val="es-ES"/>
        </w:rPr>
        <w:t>to a</w:t>
      </w:r>
      <w:r w:rsidR="00D966CC">
        <w:rPr>
          <w:rFonts w:asciiTheme="majorHAnsi" w:hAnsiTheme="majorHAnsi"/>
          <w:bCs/>
          <w:sz w:val="20"/>
          <w:szCs w:val="20"/>
          <w:lang w:val="es-ES"/>
        </w:rPr>
        <w:t xml:space="preserve"> </w:t>
      </w:r>
      <w:r w:rsidRPr="00E74D19">
        <w:rPr>
          <w:rFonts w:asciiTheme="majorHAnsi" w:hAnsiTheme="majorHAnsi"/>
          <w:bCs/>
          <w:sz w:val="20"/>
          <w:szCs w:val="20"/>
          <w:lang w:val="es-ES"/>
        </w:rPr>
        <w:t>l</w:t>
      </w:r>
      <w:r w:rsidR="00D966CC">
        <w:rPr>
          <w:rFonts w:asciiTheme="majorHAnsi" w:hAnsiTheme="majorHAnsi"/>
          <w:bCs/>
          <w:sz w:val="20"/>
          <w:szCs w:val="20"/>
          <w:lang w:val="es-ES"/>
        </w:rPr>
        <w:t>os</w:t>
      </w:r>
      <w:r w:rsidRPr="00E74D19">
        <w:rPr>
          <w:rFonts w:asciiTheme="majorHAnsi" w:hAnsiTheme="majorHAnsi"/>
          <w:bCs/>
          <w:sz w:val="20"/>
          <w:szCs w:val="20"/>
          <w:lang w:val="es-ES"/>
        </w:rPr>
        <w:t xml:space="preserve"> alegato</w:t>
      </w:r>
      <w:r w:rsidR="00D966CC">
        <w:rPr>
          <w:rFonts w:asciiTheme="majorHAnsi" w:hAnsiTheme="majorHAnsi"/>
          <w:bCs/>
          <w:sz w:val="20"/>
          <w:szCs w:val="20"/>
          <w:lang w:val="es-ES"/>
        </w:rPr>
        <w:t>s</w:t>
      </w:r>
      <w:r w:rsidRPr="00E74D19">
        <w:rPr>
          <w:rFonts w:asciiTheme="majorHAnsi" w:hAnsiTheme="majorHAnsi"/>
          <w:bCs/>
          <w:sz w:val="20"/>
          <w:szCs w:val="20"/>
          <w:lang w:val="es-ES"/>
        </w:rPr>
        <w:t xml:space="preserve"> de </w:t>
      </w:r>
      <w:r w:rsidR="00D966CC">
        <w:rPr>
          <w:rFonts w:asciiTheme="majorHAnsi" w:hAnsiTheme="majorHAnsi"/>
          <w:bCs/>
          <w:sz w:val="20"/>
          <w:szCs w:val="20"/>
          <w:lang w:val="es-ES"/>
        </w:rPr>
        <w:t xml:space="preserve">violación de </w:t>
      </w:r>
      <w:r w:rsidR="005B7598" w:rsidRPr="00E74D19">
        <w:rPr>
          <w:rFonts w:asciiTheme="majorHAnsi" w:hAnsiTheme="majorHAnsi"/>
          <w:bCs/>
          <w:sz w:val="20"/>
          <w:szCs w:val="20"/>
          <w:lang w:val="es-ES"/>
        </w:rPr>
        <w:t>los artículos</w:t>
      </w:r>
      <w:r w:rsidR="005B7598" w:rsidRPr="00E74D19">
        <w:rPr>
          <w:rFonts w:asciiTheme="majorHAnsi" w:hAnsiTheme="majorHAnsi"/>
          <w:sz w:val="20"/>
          <w:szCs w:val="20"/>
          <w:lang w:val="es-ES"/>
        </w:rPr>
        <w:t xml:space="preserve"> </w:t>
      </w:r>
      <w:r w:rsidR="005B7598" w:rsidRPr="00E74D19">
        <w:rPr>
          <w:rFonts w:asciiTheme="majorHAnsi" w:hAnsiTheme="majorHAnsi"/>
          <w:bCs/>
          <w:sz w:val="20"/>
          <w:szCs w:val="20"/>
          <w:lang w:val="es-ES"/>
        </w:rPr>
        <w:t xml:space="preserve">4 (no admisión de restricciones), 6 (derecho al trabajo) y 7 (condiciones justas, equitativas y satisfactorias de trabajo) del Protocolo de San Salvador </w:t>
      </w:r>
      <w:r w:rsidR="00C37A8C">
        <w:rPr>
          <w:rFonts w:asciiTheme="majorHAnsi" w:hAnsiTheme="majorHAnsi"/>
          <w:bCs/>
          <w:sz w:val="20"/>
          <w:szCs w:val="20"/>
          <w:lang w:val="es-ES"/>
        </w:rPr>
        <w:t xml:space="preserve">por </w:t>
      </w:r>
      <w:r w:rsidR="005B7598" w:rsidRPr="00E74D19">
        <w:rPr>
          <w:rFonts w:asciiTheme="majorHAnsi" w:hAnsiTheme="majorHAnsi"/>
          <w:bCs/>
          <w:sz w:val="20"/>
          <w:szCs w:val="20"/>
          <w:lang w:val="es-ES"/>
        </w:rPr>
        <w:t>la decisión que determinó su baja</w:t>
      </w:r>
      <w:r w:rsidRPr="00E74D19">
        <w:rPr>
          <w:rFonts w:asciiTheme="majorHAnsi" w:hAnsiTheme="majorHAnsi"/>
          <w:bCs/>
          <w:sz w:val="20"/>
          <w:szCs w:val="20"/>
          <w:lang w:val="es-ES"/>
        </w:rPr>
        <w:t xml:space="preserve">, la </w:t>
      </w:r>
      <w:r w:rsidR="005B7598" w:rsidRPr="00E74D19">
        <w:rPr>
          <w:rFonts w:asciiTheme="majorHAnsi" w:hAnsiTheme="majorHAnsi" w:cs="Calibri"/>
          <w:sz w:val="20"/>
          <w:szCs w:val="20"/>
          <w:lang w:val="es-ES_tradnl"/>
        </w:rPr>
        <w:t>CIDH nota que la competencia prevista en el artículo 19.6 de dicho tratado para establecer violaciones en el contexto de un caso individual se limita a los artículos 8.1.a y 13</w:t>
      </w:r>
      <w:r w:rsidR="00C37A8C">
        <w:rPr>
          <w:rFonts w:asciiTheme="majorHAnsi" w:hAnsiTheme="majorHAnsi" w:cs="Calibri"/>
          <w:sz w:val="20"/>
          <w:szCs w:val="20"/>
          <w:lang w:val="es-ES_tradnl"/>
        </w:rPr>
        <w:t xml:space="preserve"> del mismo</w:t>
      </w:r>
      <w:r w:rsidR="005B7598" w:rsidRPr="00E74D19">
        <w:rPr>
          <w:rFonts w:asciiTheme="majorHAnsi" w:hAnsiTheme="majorHAnsi" w:cs="Calibri"/>
          <w:sz w:val="20"/>
          <w:szCs w:val="20"/>
          <w:lang w:val="es-ES_tradnl"/>
        </w:rPr>
        <w:t>. Respecto a l</w:t>
      </w:r>
      <w:r w:rsidR="00C37A8C">
        <w:rPr>
          <w:rFonts w:asciiTheme="majorHAnsi" w:hAnsiTheme="majorHAnsi" w:cs="Calibri"/>
          <w:sz w:val="20"/>
          <w:szCs w:val="20"/>
          <w:lang w:val="es-ES_tradnl"/>
        </w:rPr>
        <w:t>a</w:t>
      </w:r>
      <w:r w:rsidR="005B7598" w:rsidRPr="00E74D19">
        <w:rPr>
          <w:rFonts w:asciiTheme="majorHAnsi" w:hAnsiTheme="majorHAnsi" w:cs="Calibri"/>
          <w:sz w:val="20"/>
          <w:szCs w:val="20"/>
          <w:lang w:val="es-ES_tradnl"/>
        </w:rPr>
        <w:t xml:space="preserve">s demás </w:t>
      </w:r>
      <w:r w:rsidR="00C37A8C">
        <w:rPr>
          <w:rFonts w:asciiTheme="majorHAnsi" w:hAnsiTheme="majorHAnsi" w:cs="Calibri"/>
          <w:sz w:val="20"/>
          <w:szCs w:val="20"/>
          <w:lang w:val="es-ES_tradnl"/>
        </w:rPr>
        <w:t>disposiciones invocadas</w:t>
      </w:r>
      <w:r w:rsidR="005B7598" w:rsidRPr="00E74D19">
        <w:rPr>
          <w:rFonts w:asciiTheme="majorHAnsi" w:hAnsiTheme="majorHAnsi" w:cs="Calibri"/>
          <w:sz w:val="20"/>
          <w:szCs w:val="20"/>
          <w:lang w:val="es-ES_tradnl"/>
        </w:rPr>
        <w:t>, el artículo 29 de la Convención Americana</w:t>
      </w:r>
      <w:r w:rsidR="00C37A8C">
        <w:rPr>
          <w:rFonts w:asciiTheme="majorHAnsi" w:hAnsiTheme="majorHAnsi" w:cs="Calibri"/>
          <w:sz w:val="20"/>
          <w:szCs w:val="20"/>
          <w:lang w:val="es-ES_tradnl"/>
        </w:rPr>
        <w:t xml:space="preserve"> permite a</w:t>
      </w:r>
      <w:r w:rsidR="005B7598" w:rsidRPr="00E74D19">
        <w:rPr>
          <w:rFonts w:asciiTheme="majorHAnsi" w:hAnsiTheme="majorHAnsi" w:cs="Calibri"/>
          <w:sz w:val="20"/>
          <w:szCs w:val="20"/>
          <w:lang w:val="es-ES_tradnl"/>
        </w:rPr>
        <w:t xml:space="preserve"> la Comisión tomar</w:t>
      </w:r>
      <w:r w:rsidR="00C37A8C">
        <w:rPr>
          <w:rFonts w:asciiTheme="majorHAnsi" w:hAnsiTheme="majorHAnsi" w:cs="Calibri"/>
          <w:sz w:val="20"/>
          <w:szCs w:val="20"/>
          <w:lang w:val="es-ES_tradnl"/>
        </w:rPr>
        <w:t>las</w:t>
      </w:r>
      <w:r w:rsidR="005B7598" w:rsidRPr="00E74D19">
        <w:rPr>
          <w:rFonts w:asciiTheme="majorHAnsi" w:hAnsiTheme="majorHAnsi" w:cs="Calibri"/>
          <w:sz w:val="20"/>
          <w:szCs w:val="20"/>
          <w:lang w:val="es-ES_tradnl"/>
        </w:rPr>
        <w:t xml:space="preserve"> en cuenta para interpretar y aplicar </w:t>
      </w:r>
      <w:r w:rsidR="00C37A8C">
        <w:rPr>
          <w:rFonts w:asciiTheme="majorHAnsi" w:hAnsiTheme="majorHAnsi" w:cs="Calibri"/>
          <w:sz w:val="20"/>
          <w:szCs w:val="20"/>
          <w:lang w:val="es-ES_tradnl"/>
        </w:rPr>
        <w:t>dicho tratado</w:t>
      </w:r>
      <w:r w:rsidR="005B7598" w:rsidRPr="00E74D19">
        <w:rPr>
          <w:rFonts w:asciiTheme="majorHAnsi" w:hAnsiTheme="majorHAnsi" w:cs="Calibri"/>
          <w:sz w:val="20"/>
          <w:szCs w:val="20"/>
          <w:lang w:val="es-ES_tradnl"/>
        </w:rPr>
        <w:t xml:space="preserve"> y otros instrumentos aplicables</w:t>
      </w:r>
      <w:r w:rsidR="005B7598" w:rsidRPr="00E74D19">
        <w:rPr>
          <w:rFonts w:cs="Calibri"/>
          <w:sz w:val="20"/>
          <w:szCs w:val="20"/>
          <w:lang w:val="es-ES_tradnl"/>
        </w:rPr>
        <w:t>.</w:t>
      </w:r>
    </w:p>
    <w:p w14:paraId="3781AF5D" w14:textId="773664F7" w:rsidR="00DD1EFF" w:rsidRPr="00E74D19" w:rsidRDefault="00DD1EFF" w:rsidP="00DD1EF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p>
    <w:p w14:paraId="23AC334B" w14:textId="2538C101" w:rsidR="00E74D19" w:rsidRDefault="00E74D19" w:rsidP="005E2E5A">
      <w:pPr>
        <w:pStyle w:val="ListParagraph"/>
        <w:numPr>
          <w:ilvl w:val="0"/>
          <w:numId w:val="55"/>
        </w:numPr>
        <w:contextualSpacing/>
        <w:jc w:val="both"/>
        <w:rPr>
          <w:rFonts w:cs="Calibri"/>
          <w:sz w:val="20"/>
          <w:szCs w:val="20"/>
          <w:lang w:val="es-ES_tradnl"/>
        </w:rPr>
      </w:pPr>
      <w:r w:rsidRPr="00E74D19">
        <w:rPr>
          <w:rFonts w:cs="Calibri"/>
          <w:sz w:val="20"/>
          <w:szCs w:val="20"/>
          <w:lang w:val="es-ES_tradnl"/>
        </w:rPr>
        <w:t xml:space="preserve">Por último, respecto al alegato del Estado </w:t>
      </w:r>
      <w:r w:rsidR="00D966CC">
        <w:rPr>
          <w:rFonts w:cs="Calibri"/>
          <w:sz w:val="20"/>
          <w:szCs w:val="20"/>
          <w:lang w:val="es-ES_tradnl"/>
        </w:rPr>
        <w:t xml:space="preserve">sobre la llamada </w:t>
      </w:r>
      <w:r w:rsidRPr="00E74D19">
        <w:rPr>
          <w:rFonts w:cs="Calibri"/>
          <w:sz w:val="20"/>
          <w:szCs w:val="20"/>
          <w:lang w:val="es-ES_tradnl"/>
        </w:rPr>
        <w:t>cuarta instancia, la C</w:t>
      </w:r>
      <w:r w:rsidR="00D966CC">
        <w:rPr>
          <w:rFonts w:cs="Calibri"/>
          <w:sz w:val="20"/>
          <w:szCs w:val="20"/>
          <w:lang w:val="es-ES_tradnl"/>
        </w:rPr>
        <w:t>IDH</w:t>
      </w:r>
      <w:r w:rsidRPr="00E74D19">
        <w:rPr>
          <w:rFonts w:cs="Calibri"/>
          <w:sz w:val="20"/>
          <w:szCs w:val="20"/>
          <w:lang w:val="es-ES_tradnl"/>
        </w:rPr>
        <w:t xml:space="preserve"> observa que al admitir esta petición no pretende suplantar la competencia de las autoridades judiciales </w:t>
      </w:r>
      <w:r w:rsidR="00D966CC">
        <w:rPr>
          <w:rFonts w:cs="Calibri"/>
          <w:sz w:val="20"/>
          <w:szCs w:val="20"/>
          <w:lang w:val="es-ES_tradnl"/>
        </w:rPr>
        <w:t>nacionales</w:t>
      </w:r>
      <w:r w:rsidRPr="00E74D19">
        <w:rPr>
          <w:rFonts w:cs="Calibri"/>
          <w:sz w:val="20"/>
          <w:szCs w:val="20"/>
          <w:lang w:val="es-ES_tradnl"/>
        </w:rPr>
        <w:t xml:space="preserve">. </w:t>
      </w:r>
      <w:r w:rsidR="00D966CC">
        <w:rPr>
          <w:rFonts w:cs="Calibri"/>
          <w:sz w:val="20"/>
          <w:szCs w:val="20"/>
          <w:lang w:val="es-ES_tradnl"/>
        </w:rPr>
        <w:t xml:space="preserve">Lo que sí procede en el marco de su competencia es </w:t>
      </w:r>
      <w:r w:rsidRPr="00E74D19">
        <w:rPr>
          <w:rFonts w:cs="Calibri"/>
          <w:sz w:val="20"/>
          <w:szCs w:val="20"/>
          <w:lang w:val="es-ES_tradnl"/>
        </w:rPr>
        <w:t xml:space="preserve">analizar en la etapa de fondo si los procesos judiciales internos cumplieron con las garantías del debido proceso y protección judicial, y </w:t>
      </w:r>
      <w:r w:rsidR="00D966CC">
        <w:rPr>
          <w:rFonts w:cs="Calibri"/>
          <w:sz w:val="20"/>
          <w:szCs w:val="20"/>
          <w:lang w:val="es-ES_tradnl"/>
        </w:rPr>
        <w:t xml:space="preserve">si el peticionario contó con </w:t>
      </w:r>
      <w:r w:rsidRPr="00E74D19">
        <w:rPr>
          <w:rFonts w:cs="Calibri"/>
          <w:sz w:val="20"/>
          <w:szCs w:val="20"/>
          <w:lang w:val="es-ES_tradnl"/>
        </w:rPr>
        <w:t>las debidas garantías de acceso a la justicia en los términos de la Convención Americana.</w:t>
      </w:r>
    </w:p>
    <w:p w14:paraId="7236DB9A" w14:textId="77777777" w:rsidR="00E74D19" w:rsidRPr="00E74D19" w:rsidRDefault="00E74D19" w:rsidP="005E2E5A">
      <w:pPr>
        <w:pStyle w:val="ListParagraph"/>
        <w:contextualSpacing/>
        <w:jc w:val="both"/>
        <w:rPr>
          <w:rFonts w:cs="Calibri"/>
          <w:sz w:val="20"/>
          <w:szCs w:val="20"/>
          <w:lang w:val="es-ES_tradnl"/>
        </w:rPr>
      </w:pPr>
    </w:p>
    <w:p w14:paraId="29BB41F5" w14:textId="0A18CFA9" w:rsidR="003239B8" w:rsidRDefault="005B7598" w:rsidP="005E2E5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r>
        <w:rPr>
          <w:rFonts w:asciiTheme="majorHAnsi" w:hAnsiTheme="majorHAnsi"/>
          <w:b/>
          <w:bCs/>
          <w:sz w:val="20"/>
          <w:szCs w:val="20"/>
          <w:lang w:val="es-ES"/>
        </w:rPr>
        <w:t>VIII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74E34C86" w14:textId="77777777" w:rsidR="00DD1EFF" w:rsidRPr="00006B74" w:rsidRDefault="00DD1EFF" w:rsidP="005E2E5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b/>
          <w:bCs/>
          <w:sz w:val="20"/>
          <w:szCs w:val="20"/>
          <w:lang w:val="es-ES"/>
        </w:rPr>
      </w:pPr>
    </w:p>
    <w:p w14:paraId="0FDE1D10" w14:textId="549E0979" w:rsidR="003239B8" w:rsidRPr="00F33848" w:rsidRDefault="003239B8" w:rsidP="005E2E5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Cambria" w:hAnsi="Cambria"/>
          <w:sz w:val="20"/>
          <w:szCs w:val="20"/>
          <w:lang w:val="es-ES"/>
        </w:rPr>
      </w:pPr>
      <w:r w:rsidRPr="00F33848">
        <w:rPr>
          <w:rFonts w:asciiTheme="majorHAnsi" w:hAnsiTheme="majorHAnsi"/>
          <w:sz w:val="20"/>
          <w:szCs w:val="20"/>
          <w:lang w:val="es-ES"/>
        </w:rPr>
        <w:t>Declarar admisible la presente petición en relación con</w:t>
      </w:r>
      <w:r w:rsidR="003A6337" w:rsidRPr="00F33848">
        <w:rPr>
          <w:rFonts w:asciiTheme="majorHAnsi" w:hAnsiTheme="majorHAnsi"/>
          <w:sz w:val="20"/>
          <w:szCs w:val="20"/>
          <w:lang w:val="es-ES"/>
        </w:rPr>
        <w:t xml:space="preserve"> los </w:t>
      </w:r>
      <w:r w:rsidR="003A6337" w:rsidRPr="00F33848">
        <w:rPr>
          <w:rFonts w:ascii="Cambria" w:hAnsi="Cambria"/>
          <w:bCs/>
          <w:sz w:val="20"/>
          <w:szCs w:val="20"/>
          <w:lang w:val="es-ES"/>
        </w:rPr>
        <w:t xml:space="preserve">artículos </w:t>
      </w:r>
      <w:r w:rsidR="005A735A" w:rsidRPr="00F33848">
        <w:rPr>
          <w:rFonts w:ascii="Cambria" w:hAnsi="Cambria"/>
          <w:bCs/>
          <w:sz w:val="20"/>
          <w:szCs w:val="20"/>
          <w:lang w:val="es-ES"/>
        </w:rPr>
        <w:t>8</w:t>
      </w:r>
      <w:r w:rsidR="00DD1EFF" w:rsidRPr="00F33848">
        <w:rPr>
          <w:rFonts w:ascii="Cambria" w:hAnsi="Cambria"/>
          <w:bCs/>
          <w:sz w:val="20"/>
          <w:szCs w:val="20"/>
          <w:lang w:val="es-ES"/>
        </w:rPr>
        <w:t>, 25</w:t>
      </w:r>
      <w:r w:rsidR="005A735A" w:rsidRPr="00F33848">
        <w:rPr>
          <w:rFonts w:ascii="Cambria" w:hAnsi="Cambria"/>
          <w:bCs/>
          <w:sz w:val="20"/>
          <w:szCs w:val="20"/>
          <w:lang w:val="es-ES"/>
        </w:rPr>
        <w:t xml:space="preserve"> y 26 de la Convención Americana en relación con sus artículos 1</w:t>
      </w:r>
      <w:r w:rsidR="00D966CC">
        <w:rPr>
          <w:rFonts w:ascii="Cambria" w:hAnsi="Cambria"/>
          <w:bCs/>
          <w:sz w:val="20"/>
          <w:szCs w:val="20"/>
          <w:lang w:val="es-ES"/>
        </w:rPr>
        <w:t xml:space="preserve"> </w:t>
      </w:r>
      <w:r w:rsidR="005A735A" w:rsidRPr="00F33848">
        <w:rPr>
          <w:rFonts w:ascii="Cambria" w:hAnsi="Cambria"/>
          <w:bCs/>
          <w:sz w:val="20"/>
          <w:szCs w:val="20"/>
          <w:lang w:val="es-ES"/>
        </w:rPr>
        <w:t xml:space="preserve">y 2; </w:t>
      </w:r>
      <w:r w:rsidR="00D966CC">
        <w:rPr>
          <w:rFonts w:ascii="Cambria" w:hAnsi="Cambria"/>
          <w:bCs/>
          <w:sz w:val="20"/>
          <w:szCs w:val="20"/>
          <w:lang w:val="es-ES"/>
        </w:rPr>
        <w:t>y los a</w:t>
      </w:r>
      <w:r w:rsidR="005A735A" w:rsidRPr="00F33848">
        <w:rPr>
          <w:rFonts w:ascii="Cambria" w:hAnsi="Cambria"/>
          <w:bCs/>
          <w:sz w:val="20"/>
          <w:szCs w:val="20"/>
          <w:lang w:val="es-ES"/>
        </w:rPr>
        <w:t>rtículos I, II, V, XIV, XVII y VIIII de la Declaración Americana.</w:t>
      </w:r>
    </w:p>
    <w:p w14:paraId="10DB7338" w14:textId="77777777" w:rsidR="00DD1EFF" w:rsidRPr="00DD1EFF" w:rsidRDefault="00DD1EFF" w:rsidP="00DD1EFF">
      <w:pPr>
        <w:jc w:val="both"/>
        <w:rPr>
          <w:sz w:val="20"/>
          <w:szCs w:val="20"/>
          <w:lang w:val="es-ES"/>
        </w:rPr>
      </w:pPr>
    </w:p>
    <w:p w14:paraId="25AF43A9" w14:textId="76955DF8" w:rsidR="00803FA0" w:rsidRPr="00F33848" w:rsidRDefault="000419AD" w:rsidP="005E2E5A">
      <w:pPr>
        <w:pStyle w:val="ListParagraph"/>
        <w:numPr>
          <w:ilvl w:val="0"/>
          <w:numId w:val="56"/>
        </w:numPr>
        <w:jc w:val="both"/>
        <w:rPr>
          <w:rFonts w:eastAsia="Arial Unicode MS" w:cs="Times New Roman"/>
          <w:color w:val="auto"/>
          <w:sz w:val="20"/>
          <w:szCs w:val="20"/>
          <w:lang w:val="es-ES" w:eastAsia="en-US"/>
        </w:rPr>
      </w:pPr>
      <w:r w:rsidRPr="00F33848">
        <w:rPr>
          <w:rFonts w:eastAsia="Arial Unicode MS" w:cs="Times New Roman"/>
          <w:color w:val="auto"/>
          <w:sz w:val="20"/>
          <w:szCs w:val="20"/>
          <w:lang w:val="es-ES" w:eastAsia="en-US"/>
        </w:rPr>
        <w:t xml:space="preserve">Declarar inadmisible la presente petición en relación con </w:t>
      </w:r>
      <w:r w:rsidR="003A6337" w:rsidRPr="00F33848">
        <w:rPr>
          <w:color w:val="auto"/>
          <w:sz w:val="20"/>
          <w:szCs w:val="20"/>
          <w:lang w:val="es-ES"/>
        </w:rPr>
        <w:t xml:space="preserve">los artículos </w:t>
      </w:r>
      <w:r w:rsidR="00803FA0" w:rsidRPr="00F33848">
        <w:rPr>
          <w:bCs/>
          <w:color w:val="auto"/>
          <w:sz w:val="20"/>
          <w:szCs w:val="20"/>
          <w:lang w:val="es-ES"/>
        </w:rPr>
        <w:t>4, 6 y 7 del Protocolo de San Salvador</w:t>
      </w:r>
      <w:r w:rsidR="00D966CC">
        <w:rPr>
          <w:rFonts w:eastAsia="Arial Unicode MS" w:cs="Times New Roman"/>
          <w:color w:val="auto"/>
          <w:sz w:val="20"/>
          <w:szCs w:val="20"/>
          <w:lang w:val="es-ES" w:eastAsia="en-US"/>
        </w:rPr>
        <w:t>.</w:t>
      </w:r>
    </w:p>
    <w:p w14:paraId="6A94118B" w14:textId="77777777" w:rsidR="00DD1EFF" w:rsidRDefault="00DD1EFF" w:rsidP="00DD1EFF">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p>
    <w:p w14:paraId="4157390F" w14:textId="59AAF7D3" w:rsidR="00D93A90" w:rsidRDefault="004A6A54" w:rsidP="005E2E5A">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
        </w:rPr>
      </w:pPr>
      <w:r w:rsidRPr="00F33848">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7E68E687" w14:textId="77777777" w:rsidR="00891125" w:rsidRDefault="00891125" w:rsidP="00891125">
      <w:pPr>
        <w:pStyle w:val="ListParagraph"/>
        <w:rPr>
          <w:rFonts w:asciiTheme="majorHAnsi" w:hAnsiTheme="majorHAnsi"/>
          <w:sz w:val="20"/>
          <w:szCs w:val="20"/>
          <w:lang w:val="es-ES"/>
        </w:rPr>
      </w:pPr>
    </w:p>
    <w:p w14:paraId="69A3FB20" w14:textId="07B5A144" w:rsidR="00891125" w:rsidRPr="00A37B82" w:rsidRDefault="00891125" w:rsidP="00891125">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52E5E300" w14:textId="77777777" w:rsidR="00891125" w:rsidRPr="00A37B82" w:rsidRDefault="00891125" w:rsidP="00891125">
      <w:pPr>
        <w:suppressAutoHyphens/>
        <w:ind w:firstLine="720"/>
        <w:jc w:val="both"/>
        <w:rPr>
          <w:rFonts w:asciiTheme="majorHAnsi" w:hAnsiTheme="majorHAnsi" w:cs="Arial"/>
          <w:noProof/>
          <w:spacing w:val="-2"/>
          <w:sz w:val="20"/>
          <w:szCs w:val="20"/>
          <w:lang w:val="es-CL"/>
        </w:rPr>
      </w:pPr>
      <w:bookmarkStart w:id="1" w:name="_GoBack"/>
      <w:bookmarkEnd w:id="1"/>
    </w:p>
    <w:sectPr w:rsidR="00891125"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A21E6" w14:textId="77777777" w:rsidR="00525B81" w:rsidRDefault="00525B81">
      <w:r>
        <w:separator/>
      </w:r>
    </w:p>
  </w:endnote>
  <w:endnote w:type="continuationSeparator" w:id="0">
    <w:p w14:paraId="487F35AC" w14:textId="77777777" w:rsidR="00525B81" w:rsidRDefault="0052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4A59" w14:textId="77777777" w:rsidR="005553E1" w:rsidRDefault="005553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67DAE6BF" w:rsidR="00493D79" w:rsidRPr="00934A2C" w:rsidRDefault="00493D79">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553E1">
          <w:rPr>
            <w:noProof/>
            <w:sz w:val="16"/>
            <w:szCs w:val="22"/>
          </w:rPr>
          <w:t>1</w:t>
        </w:r>
        <w:r w:rsidRPr="00934A2C">
          <w:rPr>
            <w:noProof/>
            <w:sz w:val="16"/>
            <w:szCs w:val="22"/>
          </w:rPr>
          <w:fldChar w:fldCharType="end"/>
        </w:r>
      </w:p>
    </w:sdtContent>
  </w:sdt>
  <w:p w14:paraId="68530E6A" w14:textId="77777777" w:rsidR="00493D79" w:rsidRDefault="00493D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493D79" w:rsidRPr="00934A2C" w:rsidRDefault="00493D79">
    <w:pPr>
      <w:pStyle w:val="Footer"/>
      <w:jc w:val="center"/>
      <w:rPr>
        <w:sz w:val="16"/>
        <w:szCs w:val="22"/>
      </w:rPr>
    </w:pPr>
  </w:p>
  <w:p w14:paraId="49059CE3" w14:textId="77777777" w:rsidR="00493D79" w:rsidRDefault="00493D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E4380" w14:textId="77777777" w:rsidR="00525B81" w:rsidRPr="000F35ED" w:rsidRDefault="00525B81">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D461DF6" w14:textId="77777777" w:rsidR="00525B81" w:rsidRPr="000F35ED" w:rsidRDefault="00525B81" w:rsidP="000F35ED">
      <w:pPr>
        <w:rPr>
          <w:rFonts w:asciiTheme="majorHAnsi" w:hAnsiTheme="majorHAnsi"/>
          <w:sz w:val="16"/>
          <w:szCs w:val="16"/>
        </w:rPr>
      </w:pPr>
      <w:r w:rsidRPr="000F35ED">
        <w:rPr>
          <w:rFonts w:asciiTheme="majorHAnsi" w:hAnsiTheme="majorHAnsi"/>
          <w:sz w:val="16"/>
          <w:szCs w:val="16"/>
        </w:rPr>
        <w:separator/>
      </w:r>
    </w:p>
    <w:p w14:paraId="45F84BF8" w14:textId="77777777" w:rsidR="00525B81" w:rsidRPr="000F35ED" w:rsidRDefault="00525B81" w:rsidP="000F35ED">
      <w:pPr>
        <w:pStyle w:val="Footer"/>
        <w:rPr>
          <w:rFonts w:asciiTheme="majorHAnsi" w:hAnsiTheme="majorHAnsi"/>
          <w:sz w:val="16"/>
          <w:szCs w:val="16"/>
        </w:rPr>
      </w:pPr>
      <w:r>
        <w:rPr>
          <w:rFonts w:asciiTheme="majorHAnsi" w:hAnsiTheme="majorHAnsi"/>
          <w:sz w:val="16"/>
          <w:szCs w:val="16"/>
        </w:rPr>
        <w:t xml:space="preserve">[… </w:t>
      </w:r>
      <w:proofErr w:type="spellStart"/>
      <w:r>
        <w:rPr>
          <w:rFonts w:asciiTheme="majorHAnsi" w:hAnsiTheme="majorHAnsi"/>
          <w:sz w:val="16"/>
          <w:szCs w:val="16"/>
        </w:rPr>
        <w:t>c</w:t>
      </w:r>
      <w:r w:rsidRPr="000F35ED">
        <w:rPr>
          <w:rFonts w:asciiTheme="majorHAnsi" w:hAnsiTheme="majorHAnsi"/>
          <w:sz w:val="16"/>
          <w:szCs w:val="16"/>
        </w:rPr>
        <w:t>ontinuación</w:t>
      </w:r>
      <w:proofErr w:type="spellEnd"/>
      <w:r>
        <w:rPr>
          <w:rFonts w:asciiTheme="majorHAnsi" w:hAnsiTheme="majorHAnsi"/>
          <w:sz w:val="16"/>
          <w:szCs w:val="16"/>
        </w:rPr>
        <w:t>]</w:t>
      </w:r>
    </w:p>
  </w:footnote>
  <w:footnote w:type="continuationNotice" w:id="1">
    <w:p w14:paraId="1EE00853" w14:textId="77777777" w:rsidR="00525B81" w:rsidRPr="000F35ED" w:rsidRDefault="00525B81"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06C1BEFA" w14:textId="4AC97BF5" w:rsidR="00493D79" w:rsidRPr="00726E58" w:rsidRDefault="00891125" w:rsidP="00DD061E">
      <w:pPr>
        <w:pStyle w:val="FootnoteText"/>
        <w:jc w:val="both"/>
        <w:rPr>
          <w:rFonts w:ascii="Cambria" w:hAnsi="Cambria"/>
          <w:color w:val="auto"/>
          <w:sz w:val="16"/>
          <w:szCs w:val="16"/>
          <w:lang w:val="es-ES"/>
        </w:rPr>
      </w:pPr>
      <w:r>
        <w:rPr>
          <w:rFonts w:ascii="Cambria" w:hAnsi="Cambria"/>
          <w:color w:val="auto"/>
          <w:sz w:val="16"/>
          <w:szCs w:val="16"/>
          <w:lang w:val="es-ES"/>
        </w:rPr>
        <w:tab/>
      </w:r>
      <w:r w:rsidR="00493D79" w:rsidRPr="00726E58">
        <w:rPr>
          <w:rStyle w:val="FootnoteReference"/>
          <w:rFonts w:ascii="Cambria" w:hAnsi="Cambria"/>
          <w:color w:val="auto"/>
          <w:sz w:val="16"/>
          <w:szCs w:val="16"/>
        </w:rPr>
        <w:footnoteRef/>
      </w:r>
      <w:r w:rsidR="00493D79" w:rsidRPr="00726E58">
        <w:rPr>
          <w:rFonts w:ascii="Cambria" w:hAnsi="Cambria"/>
          <w:color w:val="auto"/>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3">
    <w:p w14:paraId="215EEB52" w14:textId="2EA53162" w:rsidR="00493D79" w:rsidRPr="00726E58" w:rsidRDefault="00891125" w:rsidP="00DD061E">
      <w:pPr>
        <w:pStyle w:val="FootnoteText"/>
        <w:jc w:val="both"/>
        <w:rPr>
          <w:rFonts w:ascii="Cambria" w:hAnsi="Cambria"/>
          <w:sz w:val="16"/>
          <w:szCs w:val="16"/>
          <w:lang w:val="es-ES"/>
        </w:rPr>
      </w:pPr>
      <w:r>
        <w:rPr>
          <w:rFonts w:ascii="Cambria" w:hAnsi="Cambria"/>
          <w:sz w:val="16"/>
          <w:szCs w:val="16"/>
          <w:lang w:val="es-ES"/>
        </w:rPr>
        <w:tab/>
      </w:r>
      <w:r w:rsidR="00493D79" w:rsidRPr="00726E58">
        <w:rPr>
          <w:rStyle w:val="FootnoteReference"/>
          <w:rFonts w:ascii="Cambria" w:hAnsi="Cambria"/>
          <w:sz w:val="16"/>
          <w:szCs w:val="16"/>
        </w:rPr>
        <w:footnoteRef/>
      </w:r>
      <w:r w:rsidR="00493D79" w:rsidRPr="00726E58">
        <w:rPr>
          <w:rFonts w:ascii="Cambria" w:hAnsi="Cambria"/>
          <w:sz w:val="16"/>
          <w:szCs w:val="16"/>
          <w:lang w:val="es-ES"/>
        </w:rPr>
        <w:t xml:space="preserve"> En adelante “la Convención Americana” o “la Convención”.</w:t>
      </w:r>
    </w:p>
  </w:footnote>
  <w:footnote w:id="4">
    <w:p w14:paraId="6C7B6EF4" w14:textId="12644C1B" w:rsidR="00493D79" w:rsidRPr="00726E58" w:rsidRDefault="00891125" w:rsidP="00726E58">
      <w:pPr>
        <w:pStyle w:val="FootnoteText"/>
        <w:jc w:val="both"/>
        <w:rPr>
          <w:rFonts w:ascii="Cambria" w:hAnsi="Cambria"/>
          <w:sz w:val="16"/>
          <w:szCs w:val="16"/>
          <w:lang w:val="es-ES"/>
        </w:rPr>
      </w:pPr>
      <w:r>
        <w:rPr>
          <w:rFonts w:ascii="Cambria" w:hAnsi="Cambria"/>
          <w:sz w:val="16"/>
          <w:szCs w:val="16"/>
          <w:lang w:val="es-ES"/>
        </w:rPr>
        <w:tab/>
      </w:r>
      <w:r w:rsidR="00493D79" w:rsidRPr="00726E58">
        <w:rPr>
          <w:rStyle w:val="FootnoteReference"/>
          <w:rFonts w:ascii="Cambria" w:hAnsi="Cambria"/>
          <w:sz w:val="16"/>
          <w:szCs w:val="16"/>
        </w:rPr>
        <w:footnoteRef/>
      </w:r>
      <w:r w:rsidR="00493D79" w:rsidRPr="00726E58">
        <w:rPr>
          <w:rFonts w:ascii="Cambria" w:hAnsi="Cambria"/>
          <w:sz w:val="16"/>
          <w:szCs w:val="16"/>
          <w:lang w:val="es-ES"/>
        </w:rPr>
        <w:t xml:space="preserve"> En adelante “la Declaración Americana” o “la Declaración”.</w:t>
      </w:r>
    </w:p>
  </w:footnote>
  <w:footnote w:id="5">
    <w:p w14:paraId="42FFEB98" w14:textId="2CC85092" w:rsidR="00493D79" w:rsidRPr="00DD061E" w:rsidRDefault="00891125" w:rsidP="00726E58">
      <w:pPr>
        <w:pStyle w:val="FootnoteText"/>
        <w:jc w:val="both"/>
        <w:rPr>
          <w:rFonts w:ascii="Cambria" w:hAnsi="Cambria"/>
          <w:sz w:val="16"/>
          <w:szCs w:val="16"/>
          <w:lang w:val="es-ES"/>
        </w:rPr>
      </w:pPr>
      <w:r>
        <w:rPr>
          <w:rFonts w:ascii="Cambria" w:hAnsi="Cambria"/>
          <w:sz w:val="16"/>
          <w:szCs w:val="16"/>
          <w:lang w:val="es-ES"/>
        </w:rPr>
        <w:tab/>
      </w:r>
      <w:r w:rsidR="00493D79" w:rsidRPr="00726E58">
        <w:rPr>
          <w:rStyle w:val="FootnoteReference"/>
          <w:rFonts w:ascii="Cambria" w:hAnsi="Cambria"/>
          <w:sz w:val="16"/>
          <w:szCs w:val="16"/>
        </w:rPr>
        <w:footnoteRef/>
      </w:r>
      <w:r w:rsidR="00493D79" w:rsidRPr="00726E58">
        <w:rPr>
          <w:rFonts w:ascii="Cambria" w:hAnsi="Cambria"/>
          <w:sz w:val="16"/>
          <w:szCs w:val="16"/>
          <w:lang w:val="es-ES"/>
        </w:rPr>
        <w:t xml:space="preserve"> En adelante “P</w:t>
      </w:r>
      <w:r w:rsidR="00493D79">
        <w:rPr>
          <w:rFonts w:ascii="Cambria" w:hAnsi="Cambria"/>
          <w:sz w:val="16"/>
          <w:szCs w:val="16"/>
          <w:lang w:val="es-ES"/>
        </w:rPr>
        <w:t>rotocolo</w:t>
      </w:r>
      <w:r w:rsidR="00493D79" w:rsidRPr="00726E58">
        <w:rPr>
          <w:rFonts w:ascii="Cambria" w:hAnsi="Cambria"/>
          <w:sz w:val="16"/>
          <w:szCs w:val="16"/>
          <w:lang w:val="es-ES"/>
        </w:rPr>
        <w:t xml:space="preserve"> de San Salvador”.</w:t>
      </w:r>
    </w:p>
  </w:footnote>
  <w:footnote w:id="6">
    <w:p w14:paraId="79F07139" w14:textId="1BC7C3B0" w:rsidR="00493D79" w:rsidRPr="00DD061E" w:rsidRDefault="00891125" w:rsidP="00DD061E">
      <w:pPr>
        <w:pStyle w:val="FootnoteText"/>
        <w:jc w:val="both"/>
        <w:rPr>
          <w:rFonts w:ascii="Cambria" w:hAnsi="Cambria"/>
          <w:sz w:val="16"/>
          <w:szCs w:val="16"/>
          <w:lang w:val="es-ES"/>
        </w:rPr>
      </w:pPr>
      <w:r>
        <w:rPr>
          <w:rFonts w:ascii="Cambria" w:hAnsi="Cambria"/>
          <w:sz w:val="16"/>
          <w:szCs w:val="16"/>
          <w:lang w:val="es-ES"/>
        </w:rPr>
        <w:tab/>
      </w:r>
      <w:r w:rsidR="00493D79" w:rsidRPr="00DD061E">
        <w:rPr>
          <w:rStyle w:val="FootnoteReference"/>
          <w:rFonts w:ascii="Cambria" w:hAnsi="Cambria"/>
          <w:sz w:val="16"/>
          <w:szCs w:val="16"/>
        </w:rPr>
        <w:footnoteRef/>
      </w:r>
      <w:r w:rsidR="00493D79" w:rsidRPr="00DD061E">
        <w:rPr>
          <w:rFonts w:ascii="Cambria" w:hAnsi="Cambria"/>
          <w:sz w:val="16"/>
          <w:szCs w:val="16"/>
          <w:lang w:val="es-ES"/>
        </w:rPr>
        <w:t xml:space="preserve"> Las observaciones de cada parte fueron debidamente trasladadas a la parte contraria.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493D79" w:rsidRDefault="00493D79" w:rsidP="00493D7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493D79" w:rsidRDefault="00493D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493D79" w:rsidRDefault="00493D79"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493D79" w:rsidRPr="00EC7D62" w:rsidRDefault="00525B81"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7AE2A" w14:textId="77777777" w:rsidR="005553E1" w:rsidRDefault="00555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C58496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2"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5"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EBC1D58"/>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8"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9"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483F4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EC64B12"/>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6"/>
  </w:num>
  <w:num w:numId="3">
    <w:abstractNumId w:val="53"/>
  </w:num>
  <w:num w:numId="4">
    <w:abstractNumId w:val="22"/>
  </w:num>
  <w:num w:numId="5">
    <w:abstractNumId w:val="47"/>
  </w:num>
  <w:num w:numId="6">
    <w:abstractNumId w:val="27"/>
  </w:num>
  <w:num w:numId="7">
    <w:abstractNumId w:val="7"/>
  </w:num>
  <w:num w:numId="8">
    <w:abstractNumId w:val="17"/>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14"/>
  </w:num>
  <w:num w:numId="23">
    <w:abstractNumId w:val="15"/>
  </w:num>
  <w:num w:numId="24">
    <w:abstractNumId w:val="16"/>
  </w:num>
  <w:num w:numId="25">
    <w:abstractNumId w:val="18"/>
  </w:num>
  <w:num w:numId="26">
    <w:abstractNumId w:val="19"/>
  </w:num>
  <w:num w:numId="27">
    <w:abstractNumId w:val="23"/>
  </w:num>
  <w:num w:numId="28">
    <w:abstractNumId w:val="24"/>
  </w:num>
  <w:num w:numId="29">
    <w:abstractNumId w:val="25"/>
  </w:num>
  <w:num w:numId="30">
    <w:abstractNumId w:val="26"/>
  </w:num>
  <w:num w:numId="31">
    <w:abstractNumId w:val="28"/>
  </w:num>
  <w:num w:numId="32">
    <w:abstractNumId w:val="29"/>
  </w:num>
  <w:num w:numId="33">
    <w:abstractNumId w:val="30"/>
  </w:num>
  <w:num w:numId="34">
    <w:abstractNumId w:val="31"/>
  </w:num>
  <w:num w:numId="35">
    <w:abstractNumId w:val="32"/>
  </w:num>
  <w:num w:numId="36">
    <w:abstractNumId w:val="33"/>
  </w:num>
  <w:num w:numId="37">
    <w:abstractNumId w:val="34"/>
  </w:num>
  <w:num w:numId="38">
    <w:abstractNumId w:val="35"/>
  </w:num>
  <w:num w:numId="39">
    <w:abstractNumId w:val="38"/>
  </w:num>
  <w:num w:numId="40">
    <w:abstractNumId w:val="39"/>
  </w:num>
  <w:num w:numId="41">
    <w:abstractNumId w:val="45"/>
  </w:num>
  <w:num w:numId="42">
    <w:abstractNumId w:val="48"/>
  </w:num>
  <w:num w:numId="43">
    <w:abstractNumId w:val="49"/>
  </w:num>
  <w:num w:numId="44">
    <w:abstractNumId w:val="51"/>
  </w:num>
  <w:num w:numId="45">
    <w:abstractNumId w:val="52"/>
  </w:num>
  <w:num w:numId="46">
    <w:abstractNumId w:val="54"/>
  </w:num>
  <w:num w:numId="47">
    <w:abstractNumId w:val="55"/>
  </w:num>
  <w:num w:numId="48">
    <w:abstractNumId w:val="56"/>
  </w:num>
  <w:num w:numId="49">
    <w:abstractNumId w:val="57"/>
  </w:num>
  <w:num w:numId="50">
    <w:abstractNumId w:val="59"/>
  </w:num>
  <w:num w:numId="51">
    <w:abstractNumId w:val="21"/>
  </w:num>
  <w:num w:numId="52">
    <w:abstractNumId w:val="40"/>
  </w:num>
  <w:num w:numId="53">
    <w:abstractNumId w:val="50"/>
  </w:num>
  <w:num w:numId="54">
    <w:abstractNumId w:val="44"/>
  </w:num>
  <w:num w:numId="55">
    <w:abstractNumId w:val="5"/>
  </w:num>
  <w:num w:numId="56">
    <w:abstractNumId w:val="42"/>
  </w:num>
  <w:num w:numId="57">
    <w:abstractNumId w:val="58"/>
  </w:num>
  <w:num w:numId="58">
    <w:abstractNumId w:val="20"/>
  </w:num>
  <w:num w:numId="59">
    <w:abstractNumId w:val="3"/>
  </w:num>
  <w:num w:numId="6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AJiY0MTIwsgx8RCSUcpOLW4ODM/D6TAohYAr3kSuiwAAAA="/>
  </w:docVars>
  <w:rsids>
    <w:rsidRoot w:val="006B2D5C"/>
    <w:rsid w:val="0000036F"/>
    <w:rsid w:val="00000CDA"/>
    <w:rsid w:val="000065D0"/>
    <w:rsid w:val="00006B74"/>
    <w:rsid w:val="00006E1F"/>
    <w:rsid w:val="000070D7"/>
    <w:rsid w:val="000104F5"/>
    <w:rsid w:val="00015701"/>
    <w:rsid w:val="0001788C"/>
    <w:rsid w:val="0002186F"/>
    <w:rsid w:val="000337EF"/>
    <w:rsid w:val="00040C3A"/>
    <w:rsid w:val="000419AD"/>
    <w:rsid w:val="000651B1"/>
    <w:rsid w:val="000716C5"/>
    <w:rsid w:val="00075E23"/>
    <w:rsid w:val="0009006E"/>
    <w:rsid w:val="0009344A"/>
    <w:rsid w:val="000A19F8"/>
    <w:rsid w:val="000A3254"/>
    <w:rsid w:val="000A392E"/>
    <w:rsid w:val="000A575F"/>
    <w:rsid w:val="000A63D0"/>
    <w:rsid w:val="000B0579"/>
    <w:rsid w:val="000C1C69"/>
    <w:rsid w:val="000C3A31"/>
    <w:rsid w:val="000D10DB"/>
    <w:rsid w:val="000D7BD5"/>
    <w:rsid w:val="000E2789"/>
    <w:rsid w:val="000E2CBD"/>
    <w:rsid w:val="000E5EB5"/>
    <w:rsid w:val="000F35ED"/>
    <w:rsid w:val="00107131"/>
    <w:rsid w:val="0010736F"/>
    <w:rsid w:val="00111A8A"/>
    <w:rsid w:val="00113F73"/>
    <w:rsid w:val="00121CC2"/>
    <w:rsid w:val="00131D8B"/>
    <w:rsid w:val="00132848"/>
    <w:rsid w:val="00133EE5"/>
    <w:rsid w:val="00136E3D"/>
    <w:rsid w:val="00143EFE"/>
    <w:rsid w:val="001479C0"/>
    <w:rsid w:val="0015330B"/>
    <w:rsid w:val="00167A34"/>
    <w:rsid w:val="00176BB3"/>
    <w:rsid w:val="00177EEF"/>
    <w:rsid w:val="001A7870"/>
    <w:rsid w:val="001B3A00"/>
    <w:rsid w:val="001B4C00"/>
    <w:rsid w:val="001C1B41"/>
    <w:rsid w:val="001D65EF"/>
    <w:rsid w:val="001E49E7"/>
    <w:rsid w:val="001F271B"/>
    <w:rsid w:val="001F7201"/>
    <w:rsid w:val="00204931"/>
    <w:rsid w:val="00223A29"/>
    <w:rsid w:val="002250A3"/>
    <w:rsid w:val="00231294"/>
    <w:rsid w:val="00235217"/>
    <w:rsid w:val="002355A9"/>
    <w:rsid w:val="00246D1F"/>
    <w:rsid w:val="00247403"/>
    <w:rsid w:val="00247542"/>
    <w:rsid w:val="00266B61"/>
    <w:rsid w:val="0026712A"/>
    <w:rsid w:val="002704DB"/>
    <w:rsid w:val="00277BDA"/>
    <w:rsid w:val="0029575A"/>
    <w:rsid w:val="002A0AAE"/>
    <w:rsid w:val="002A39BF"/>
    <w:rsid w:val="002A5820"/>
    <w:rsid w:val="002C3350"/>
    <w:rsid w:val="002D2B26"/>
    <w:rsid w:val="002D7EA2"/>
    <w:rsid w:val="002E03BB"/>
    <w:rsid w:val="002E187C"/>
    <w:rsid w:val="002E7512"/>
    <w:rsid w:val="002F3724"/>
    <w:rsid w:val="00302733"/>
    <w:rsid w:val="003121D5"/>
    <w:rsid w:val="00314078"/>
    <w:rsid w:val="0031535D"/>
    <w:rsid w:val="003239B8"/>
    <w:rsid w:val="003244F1"/>
    <w:rsid w:val="0033169F"/>
    <w:rsid w:val="0033186A"/>
    <w:rsid w:val="0034224A"/>
    <w:rsid w:val="00343438"/>
    <w:rsid w:val="003443E9"/>
    <w:rsid w:val="00344977"/>
    <w:rsid w:val="00346C95"/>
    <w:rsid w:val="00351155"/>
    <w:rsid w:val="00356185"/>
    <w:rsid w:val="00360380"/>
    <w:rsid w:val="0037519E"/>
    <w:rsid w:val="00386C6C"/>
    <w:rsid w:val="00386CF0"/>
    <w:rsid w:val="003942EC"/>
    <w:rsid w:val="003A6337"/>
    <w:rsid w:val="003B4FF6"/>
    <w:rsid w:val="003B70FB"/>
    <w:rsid w:val="003C6112"/>
    <w:rsid w:val="003C676B"/>
    <w:rsid w:val="003D0A55"/>
    <w:rsid w:val="003D3BC2"/>
    <w:rsid w:val="003D693A"/>
    <w:rsid w:val="003E614F"/>
    <w:rsid w:val="003E6CA1"/>
    <w:rsid w:val="004065A8"/>
    <w:rsid w:val="004153F5"/>
    <w:rsid w:val="004165C2"/>
    <w:rsid w:val="004304AD"/>
    <w:rsid w:val="00441ECB"/>
    <w:rsid w:val="004421D9"/>
    <w:rsid w:val="00445193"/>
    <w:rsid w:val="00447CCF"/>
    <w:rsid w:val="004565BA"/>
    <w:rsid w:val="00456DF2"/>
    <w:rsid w:val="00462C1B"/>
    <w:rsid w:val="00467B7E"/>
    <w:rsid w:val="0047080D"/>
    <w:rsid w:val="00473BB4"/>
    <w:rsid w:val="00476211"/>
    <w:rsid w:val="00477592"/>
    <w:rsid w:val="00486F1C"/>
    <w:rsid w:val="00493D79"/>
    <w:rsid w:val="0049419D"/>
    <w:rsid w:val="004A59CC"/>
    <w:rsid w:val="004A6A54"/>
    <w:rsid w:val="004C20D2"/>
    <w:rsid w:val="004C2312"/>
    <w:rsid w:val="004C4B62"/>
    <w:rsid w:val="004C54C9"/>
    <w:rsid w:val="004C616A"/>
    <w:rsid w:val="004D32E0"/>
    <w:rsid w:val="004D4ABA"/>
    <w:rsid w:val="004D6025"/>
    <w:rsid w:val="004E19B1"/>
    <w:rsid w:val="004E2649"/>
    <w:rsid w:val="004F74AC"/>
    <w:rsid w:val="00501399"/>
    <w:rsid w:val="00501652"/>
    <w:rsid w:val="0050633D"/>
    <w:rsid w:val="00507BC4"/>
    <w:rsid w:val="005128E4"/>
    <w:rsid w:val="005133DB"/>
    <w:rsid w:val="00525560"/>
    <w:rsid w:val="00525B81"/>
    <w:rsid w:val="005415E6"/>
    <w:rsid w:val="00544216"/>
    <w:rsid w:val="00544C49"/>
    <w:rsid w:val="005516A1"/>
    <w:rsid w:val="005553E1"/>
    <w:rsid w:val="00563557"/>
    <w:rsid w:val="0057402A"/>
    <w:rsid w:val="00574CB7"/>
    <w:rsid w:val="005771D0"/>
    <w:rsid w:val="0059191A"/>
    <w:rsid w:val="005921FF"/>
    <w:rsid w:val="00592679"/>
    <w:rsid w:val="00594707"/>
    <w:rsid w:val="005A24ED"/>
    <w:rsid w:val="005A6D0E"/>
    <w:rsid w:val="005A735A"/>
    <w:rsid w:val="005B37CC"/>
    <w:rsid w:val="005B52B0"/>
    <w:rsid w:val="005B6806"/>
    <w:rsid w:val="005B6D22"/>
    <w:rsid w:val="005B7598"/>
    <w:rsid w:val="005C261A"/>
    <w:rsid w:val="005C4225"/>
    <w:rsid w:val="005C7989"/>
    <w:rsid w:val="005D66AD"/>
    <w:rsid w:val="005E0B65"/>
    <w:rsid w:val="005E11B2"/>
    <w:rsid w:val="005E2E5A"/>
    <w:rsid w:val="005F0DAD"/>
    <w:rsid w:val="005F0F33"/>
    <w:rsid w:val="00600DEB"/>
    <w:rsid w:val="006047B8"/>
    <w:rsid w:val="006068B7"/>
    <w:rsid w:val="006277DE"/>
    <w:rsid w:val="00627C9F"/>
    <w:rsid w:val="006311E9"/>
    <w:rsid w:val="00632354"/>
    <w:rsid w:val="00642810"/>
    <w:rsid w:val="00647756"/>
    <w:rsid w:val="006509DA"/>
    <w:rsid w:val="00652333"/>
    <w:rsid w:val="006775AB"/>
    <w:rsid w:val="0068009E"/>
    <w:rsid w:val="006819E9"/>
    <w:rsid w:val="00686471"/>
    <w:rsid w:val="0068794B"/>
    <w:rsid w:val="00691BBE"/>
    <w:rsid w:val="00692219"/>
    <w:rsid w:val="0069402E"/>
    <w:rsid w:val="006A17D2"/>
    <w:rsid w:val="006A73E6"/>
    <w:rsid w:val="006B2D5C"/>
    <w:rsid w:val="006B2EE8"/>
    <w:rsid w:val="006C4EB1"/>
    <w:rsid w:val="006E0166"/>
    <w:rsid w:val="006E772A"/>
    <w:rsid w:val="006E7B34"/>
    <w:rsid w:val="0070697F"/>
    <w:rsid w:val="0072199C"/>
    <w:rsid w:val="00722C9F"/>
    <w:rsid w:val="007253B8"/>
    <w:rsid w:val="00726E58"/>
    <w:rsid w:val="00727B0E"/>
    <w:rsid w:val="0073598C"/>
    <w:rsid w:val="0073741F"/>
    <w:rsid w:val="0076579B"/>
    <w:rsid w:val="0076643F"/>
    <w:rsid w:val="00777F63"/>
    <w:rsid w:val="007852B5"/>
    <w:rsid w:val="00796A37"/>
    <w:rsid w:val="007A5817"/>
    <w:rsid w:val="007B05C4"/>
    <w:rsid w:val="007B60E9"/>
    <w:rsid w:val="007B6CC3"/>
    <w:rsid w:val="007C3334"/>
    <w:rsid w:val="007C402A"/>
    <w:rsid w:val="007D2B98"/>
    <w:rsid w:val="007D4194"/>
    <w:rsid w:val="007D7C02"/>
    <w:rsid w:val="007E21BC"/>
    <w:rsid w:val="007E58FE"/>
    <w:rsid w:val="007E7C82"/>
    <w:rsid w:val="007F0BE7"/>
    <w:rsid w:val="007F588D"/>
    <w:rsid w:val="00802748"/>
    <w:rsid w:val="00803F1C"/>
    <w:rsid w:val="00803FA0"/>
    <w:rsid w:val="0080600E"/>
    <w:rsid w:val="00806D72"/>
    <w:rsid w:val="00817612"/>
    <w:rsid w:val="008338A4"/>
    <w:rsid w:val="00834D49"/>
    <w:rsid w:val="00837C45"/>
    <w:rsid w:val="008411F0"/>
    <w:rsid w:val="008439BC"/>
    <w:rsid w:val="00844730"/>
    <w:rsid w:val="008457C2"/>
    <w:rsid w:val="00857A82"/>
    <w:rsid w:val="00864FC8"/>
    <w:rsid w:val="00871526"/>
    <w:rsid w:val="00873836"/>
    <w:rsid w:val="00875668"/>
    <w:rsid w:val="00885737"/>
    <w:rsid w:val="00890650"/>
    <w:rsid w:val="00891125"/>
    <w:rsid w:val="00897E12"/>
    <w:rsid w:val="008A0F81"/>
    <w:rsid w:val="008A310C"/>
    <w:rsid w:val="008A7E0F"/>
    <w:rsid w:val="008B12F5"/>
    <w:rsid w:val="008B5932"/>
    <w:rsid w:val="008B59CF"/>
    <w:rsid w:val="008C5751"/>
    <w:rsid w:val="008D768D"/>
    <w:rsid w:val="008E0FD8"/>
    <w:rsid w:val="008E328A"/>
    <w:rsid w:val="008E3759"/>
    <w:rsid w:val="008E3BFE"/>
    <w:rsid w:val="008E7900"/>
    <w:rsid w:val="008F1912"/>
    <w:rsid w:val="0090270B"/>
    <w:rsid w:val="009041DC"/>
    <w:rsid w:val="00917B5A"/>
    <w:rsid w:val="00920A58"/>
    <w:rsid w:val="00920A8C"/>
    <w:rsid w:val="009212A3"/>
    <w:rsid w:val="00934A2C"/>
    <w:rsid w:val="00935F06"/>
    <w:rsid w:val="00937B3A"/>
    <w:rsid w:val="00954B82"/>
    <w:rsid w:val="00957000"/>
    <w:rsid w:val="00962436"/>
    <w:rsid w:val="0096706E"/>
    <w:rsid w:val="00974491"/>
    <w:rsid w:val="009751CF"/>
    <w:rsid w:val="00975C4E"/>
    <w:rsid w:val="00980240"/>
    <w:rsid w:val="00981FBA"/>
    <w:rsid w:val="00997BC5"/>
    <w:rsid w:val="009A4F41"/>
    <w:rsid w:val="009B381B"/>
    <w:rsid w:val="009C2FC5"/>
    <w:rsid w:val="009D1753"/>
    <w:rsid w:val="009D6502"/>
    <w:rsid w:val="009D7611"/>
    <w:rsid w:val="009D78A5"/>
    <w:rsid w:val="009E08DD"/>
    <w:rsid w:val="009E0B61"/>
    <w:rsid w:val="009E53DE"/>
    <w:rsid w:val="009E7C00"/>
    <w:rsid w:val="009F444F"/>
    <w:rsid w:val="00A004EB"/>
    <w:rsid w:val="00A05C3C"/>
    <w:rsid w:val="00A0691C"/>
    <w:rsid w:val="00A11E44"/>
    <w:rsid w:val="00A154C8"/>
    <w:rsid w:val="00A22397"/>
    <w:rsid w:val="00A32313"/>
    <w:rsid w:val="00A328B3"/>
    <w:rsid w:val="00A50FCF"/>
    <w:rsid w:val="00A528D1"/>
    <w:rsid w:val="00A610CD"/>
    <w:rsid w:val="00A625E0"/>
    <w:rsid w:val="00A74947"/>
    <w:rsid w:val="00A758AA"/>
    <w:rsid w:val="00A92093"/>
    <w:rsid w:val="00AA09A2"/>
    <w:rsid w:val="00AA7996"/>
    <w:rsid w:val="00AC19CB"/>
    <w:rsid w:val="00AD1886"/>
    <w:rsid w:val="00AE5488"/>
    <w:rsid w:val="00AE6F91"/>
    <w:rsid w:val="00AF5571"/>
    <w:rsid w:val="00B06B4E"/>
    <w:rsid w:val="00B07341"/>
    <w:rsid w:val="00B1747D"/>
    <w:rsid w:val="00B202B5"/>
    <w:rsid w:val="00B30539"/>
    <w:rsid w:val="00B314DB"/>
    <w:rsid w:val="00B361F2"/>
    <w:rsid w:val="00B3718B"/>
    <w:rsid w:val="00B4632A"/>
    <w:rsid w:val="00B5067D"/>
    <w:rsid w:val="00B530F1"/>
    <w:rsid w:val="00B57297"/>
    <w:rsid w:val="00B736AF"/>
    <w:rsid w:val="00B742BE"/>
    <w:rsid w:val="00B87359"/>
    <w:rsid w:val="00B97946"/>
    <w:rsid w:val="00BA276C"/>
    <w:rsid w:val="00BA5544"/>
    <w:rsid w:val="00BB306F"/>
    <w:rsid w:val="00BB3FBD"/>
    <w:rsid w:val="00BC6CD0"/>
    <w:rsid w:val="00BD4B89"/>
    <w:rsid w:val="00BD5922"/>
    <w:rsid w:val="00BD76D9"/>
    <w:rsid w:val="00BF02CB"/>
    <w:rsid w:val="00BF514A"/>
    <w:rsid w:val="00BF6FD8"/>
    <w:rsid w:val="00BF775D"/>
    <w:rsid w:val="00C03680"/>
    <w:rsid w:val="00C054DF"/>
    <w:rsid w:val="00C10AFC"/>
    <w:rsid w:val="00C21562"/>
    <w:rsid w:val="00C21762"/>
    <w:rsid w:val="00C21FEF"/>
    <w:rsid w:val="00C24543"/>
    <w:rsid w:val="00C256A2"/>
    <w:rsid w:val="00C35A26"/>
    <w:rsid w:val="00C37A8C"/>
    <w:rsid w:val="00C51515"/>
    <w:rsid w:val="00C53910"/>
    <w:rsid w:val="00C5660B"/>
    <w:rsid w:val="00C56854"/>
    <w:rsid w:val="00C5788A"/>
    <w:rsid w:val="00C66B72"/>
    <w:rsid w:val="00C72F67"/>
    <w:rsid w:val="00C85DFF"/>
    <w:rsid w:val="00C87AC4"/>
    <w:rsid w:val="00C90005"/>
    <w:rsid w:val="00C9567A"/>
    <w:rsid w:val="00CA48A3"/>
    <w:rsid w:val="00CB212D"/>
    <w:rsid w:val="00CB2660"/>
    <w:rsid w:val="00CB4932"/>
    <w:rsid w:val="00CC5E90"/>
    <w:rsid w:val="00CD046C"/>
    <w:rsid w:val="00CD186A"/>
    <w:rsid w:val="00CE076C"/>
    <w:rsid w:val="00CE5199"/>
    <w:rsid w:val="00CE66D5"/>
    <w:rsid w:val="00CF637A"/>
    <w:rsid w:val="00D059DE"/>
    <w:rsid w:val="00D05ABD"/>
    <w:rsid w:val="00D13FCE"/>
    <w:rsid w:val="00D17E8C"/>
    <w:rsid w:val="00D306D1"/>
    <w:rsid w:val="00D30800"/>
    <w:rsid w:val="00D34786"/>
    <w:rsid w:val="00D37BFC"/>
    <w:rsid w:val="00D42822"/>
    <w:rsid w:val="00D47A8E"/>
    <w:rsid w:val="00D52D14"/>
    <w:rsid w:val="00D55256"/>
    <w:rsid w:val="00D56D93"/>
    <w:rsid w:val="00D712D3"/>
    <w:rsid w:val="00D71422"/>
    <w:rsid w:val="00D72DC6"/>
    <w:rsid w:val="00D73F5E"/>
    <w:rsid w:val="00D7558D"/>
    <w:rsid w:val="00D77503"/>
    <w:rsid w:val="00D81D92"/>
    <w:rsid w:val="00D876F9"/>
    <w:rsid w:val="00D877B6"/>
    <w:rsid w:val="00D93A90"/>
    <w:rsid w:val="00D966CC"/>
    <w:rsid w:val="00DA7B5F"/>
    <w:rsid w:val="00DC11E7"/>
    <w:rsid w:val="00DC7023"/>
    <w:rsid w:val="00DC769A"/>
    <w:rsid w:val="00DD061E"/>
    <w:rsid w:val="00DD1EFF"/>
    <w:rsid w:val="00DD3D86"/>
    <w:rsid w:val="00DE12F0"/>
    <w:rsid w:val="00DF1EC4"/>
    <w:rsid w:val="00DF51E9"/>
    <w:rsid w:val="00E01943"/>
    <w:rsid w:val="00E0340B"/>
    <w:rsid w:val="00E04A90"/>
    <w:rsid w:val="00E0551F"/>
    <w:rsid w:val="00E219C7"/>
    <w:rsid w:val="00E24246"/>
    <w:rsid w:val="00E26CCA"/>
    <w:rsid w:val="00E27F56"/>
    <w:rsid w:val="00E4118C"/>
    <w:rsid w:val="00E43157"/>
    <w:rsid w:val="00E461CE"/>
    <w:rsid w:val="00E562BB"/>
    <w:rsid w:val="00E720CA"/>
    <w:rsid w:val="00E74D19"/>
    <w:rsid w:val="00E84EB5"/>
    <w:rsid w:val="00E85662"/>
    <w:rsid w:val="00E8789F"/>
    <w:rsid w:val="00E92747"/>
    <w:rsid w:val="00E97B71"/>
    <w:rsid w:val="00EA3D34"/>
    <w:rsid w:val="00EB454D"/>
    <w:rsid w:val="00EC26E9"/>
    <w:rsid w:val="00EC72AB"/>
    <w:rsid w:val="00ED2F03"/>
    <w:rsid w:val="00ED549D"/>
    <w:rsid w:val="00ED76BE"/>
    <w:rsid w:val="00ED7F05"/>
    <w:rsid w:val="00EE00E9"/>
    <w:rsid w:val="00EE014D"/>
    <w:rsid w:val="00EF35AB"/>
    <w:rsid w:val="00EF4C44"/>
    <w:rsid w:val="00EF619B"/>
    <w:rsid w:val="00F00B55"/>
    <w:rsid w:val="00F02AD1"/>
    <w:rsid w:val="00F04591"/>
    <w:rsid w:val="00F06354"/>
    <w:rsid w:val="00F253CC"/>
    <w:rsid w:val="00F27AC4"/>
    <w:rsid w:val="00F332EF"/>
    <w:rsid w:val="00F33848"/>
    <w:rsid w:val="00F37106"/>
    <w:rsid w:val="00F519CF"/>
    <w:rsid w:val="00F53168"/>
    <w:rsid w:val="00F56BA5"/>
    <w:rsid w:val="00F60E22"/>
    <w:rsid w:val="00F63B39"/>
    <w:rsid w:val="00F669A8"/>
    <w:rsid w:val="00F81395"/>
    <w:rsid w:val="00F81887"/>
    <w:rsid w:val="00F81BB8"/>
    <w:rsid w:val="00F917D1"/>
    <w:rsid w:val="00F9342C"/>
    <w:rsid w:val="00F9653B"/>
    <w:rsid w:val="00FA38F8"/>
    <w:rsid w:val="00FA56EA"/>
    <w:rsid w:val="00FB62CF"/>
    <w:rsid w:val="00FC0F4A"/>
    <w:rsid w:val="00FC333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iPriority w:val="99"/>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uiPriority w:val="99"/>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B0DB4-5964-416C-8A0B-515B7B44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1552</Words>
  <Characters>8569</Characters>
  <Application>Microsoft Office Word</Application>
  <DocSecurity>0</DocSecurity>
  <Lines>174</Lines>
  <Paragraphs>71</Paragraphs>
  <ScaleCrop>false</ScaleCrop>
  <Company/>
  <LinksUpToDate>false</LinksUpToDate>
  <CharactersWithSpaces>10050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110/21</dc:title>
  <dc:creator/>
  <cp:lastModifiedBy/>
  <cp:revision>1</cp:revision>
  <dcterms:created xsi:type="dcterms:W3CDTF">2021-06-28T13:23:00Z</dcterms:created>
  <dcterms:modified xsi:type="dcterms:W3CDTF">2021-06-28T13:23:00Z</dcterms:modified>
</cp:coreProperties>
</file>