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0F5A08">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335C833">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239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" fillcolor="#4a7194"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636ED376" w:rsidR="00CB2660" w:rsidRDefault="002054F2">
                            <w:r>
                              <w:rPr>
                                <w:noProof/>
                              </w:rPr>
                              <w:drawing>
                                <wp:inline distT="0" distB="0" distL="0" distR="0" wp14:anchorId="2DB33CD2" wp14:editId="50310D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636ED376" w:rsidR="00CB2660" w:rsidRDefault="002054F2">
                      <w:r>
                        <w:rPr>
                          <w:noProof/>
                        </w:rPr>
                        <w:drawing>
                          <wp:inline distT="0" distB="0" distL="0" distR="0" wp14:anchorId="2DB33CD2" wp14:editId="50310DC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C1641">
                        <w:t xml:space="preserve">      </w:t>
                      </w:r>
                      <w:r w:rsidR="00AD37C1">
                        <w:t xml:space="preserve">                               </w:t>
                      </w:r>
                      <w:r w:rsidR="002C1641">
                        <w:t xml:space="preserve">  </w:t>
                      </w:r>
                      <w:r w:rsidR="00B31EBE">
                        <w:t xml:space="preserve">       </w:t>
                      </w:r>
                      <w:r w:rsidR="002C1641">
                        <w:t xml:space="preserve"> </w:t>
                      </w:r>
                    </w:p>
                  </w:txbxContent>
                </v:textbox>
              </v:shape>
            </w:pict>
          </mc:Fallback>
        </mc:AlternateContent>
      </w:r>
    </w:p>
    <w:p w14:paraId="3F665A89" w14:textId="77777777" w:rsidR="00040C3A" w:rsidRPr="003C32BC" w:rsidRDefault="00040C3A" w:rsidP="000F5A08">
      <w:pPr>
        <w:suppressAutoHyphens/>
        <w:jc w:val="both"/>
        <w:rPr>
          <w:rFonts w:asciiTheme="majorHAnsi" w:hAnsiTheme="majorHAnsi"/>
          <w:sz w:val="22"/>
          <w:szCs w:val="22"/>
          <w:lang w:val="es-ES"/>
        </w:rPr>
      </w:pPr>
    </w:p>
    <w:p w14:paraId="54AC1FBF" w14:textId="77777777" w:rsidR="00040C3A" w:rsidRPr="003C32BC" w:rsidRDefault="00040C3A" w:rsidP="000F5A08">
      <w:pPr>
        <w:suppressAutoHyphens/>
        <w:jc w:val="both"/>
        <w:rPr>
          <w:rFonts w:asciiTheme="majorHAnsi" w:hAnsiTheme="majorHAnsi"/>
          <w:sz w:val="22"/>
          <w:szCs w:val="22"/>
          <w:lang w:val="es-ES"/>
        </w:rPr>
      </w:pPr>
    </w:p>
    <w:p w14:paraId="6A4AC464" w14:textId="77777777" w:rsidR="005128E4" w:rsidRPr="003C32BC" w:rsidRDefault="005128E4" w:rsidP="000F5A08">
      <w:pPr>
        <w:suppressAutoHyphens/>
        <w:rPr>
          <w:rFonts w:asciiTheme="majorHAnsi" w:hAnsiTheme="majorHAnsi"/>
          <w:sz w:val="22"/>
          <w:szCs w:val="22"/>
          <w:lang w:val="es-ES_tradnl"/>
        </w:rPr>
      </w:pPr>
    </w:p>
    <w:p w14:paraId="515D20A5" w14:textId="77777777" w:rsidR="005128E4" w:rsidRPr="003C32BC" w:rsidRDefault="005128E4" w:rsidP="000F5A08">
      <w:pPr>
        <w:suppressAutoHyphens/>
        <w:rPr>
          <w:rFonts w:asciiTheme="majorHAnsi" w:hAnsiTheme="majorHAnsi"/>
          <w:sz w:val="22"/>
          <w:szCs w:val="22"/>
          <w:lang w:val="es-ES_tradnl"/>
        </w:rPr>
      </w:pPr>
    </w:p>
    <w:p w14:paraId="7CBA3E7E" w14:textId="77777777" w:rsidR="005128E4" w:rsidRPr="003C32BC" w:rsidRDefault="005128E4" w:rsidP="000F5A08">
      <w:pPr>
        <w:suppressAutoHyphens/>
        <w:rPr>
          <w:rFonts w:asciiTheme="majorHAnsi" w:hAnsiTheme="majorHAnsi"/>
          <w:sz w:val="22"/>
          <w:szCs w:val="22"/>
          <w:lang w:val="es-ES_tradnl"/>
        </w:rPr>
      </w:pPr>
    </w:p>
    <w:p w14:paraId="0FFC5ED6" w14:textId="77777777" w:rsidR="00040C3A" w:rsidRPr="003C32BC" w:rsidRDefault="00040C3A" w:rsidP="000F5A08">
      <w:pPr>
        <w:suppressAutoHyphens/>
        <w:jc w:val="center"/>
        <w:rPr>
          <w:rFonts w:asciiTheme="majorHAnsi" w:hAnsiTheme="majorHAnsi"/>
          <w:sz w:val="22"/>
          <w:szCs w:val="22"/>
          <w:lang w:val="es-ES_tradnl"/>
        </w:rPr>
      </w:pPr>
    </w:p>
    <w:p w14:paraId="5FCF0358" w14:textId="77777777" w:rsidR="00040C3A" w:rsidRPr="003C32BC" w:rsidRDefault="00040C3A" w:rsidP="000F5A08">
      <w:pPr>
        <w:suppressAutoHyphens/>
        <w:jc w:val="center"/>
        <w:rPr>
          <w:rFonts w:asciiTheme="majorHAnsi" w:hAnsiTheme="majorHAnsi"/>
          <w:sz w:val="22"/>
          <w:szCs w:val="22"/>
          <w:lang w:val="es-ES_tradnl"/>
        </w:rPr>
      </w:pPr>
    </w:p>
    <w:p w14:paraId="23C02B60" w14:textId="77777777" w:rsidR="005B52B0" w:rsidRPr="003C32BC" w:rsidRDefault="005B52B0" w:rsidP="000F5A08">
      <w:pPr>
        <w:suppressAutoHyphens/>
        <w:jc w:val="center"/>
        <w:rPr>
          <w:rFonts w:asciiTheme="majorHAnsi" w:hAnsiTheme="majorHAnsi"/>
          <w:sz w:val="22"/>
          <w:szCs w:val="22"/>
          <w:lang w:val="es-ES_tradnl"/>
        </w:rPr>
      </w:pPr>
    </w:p>
    <w:p w14:paraId="1E4CC4A3" w14:textId="77777777" w:rsidR="005B52B0" w:rsidRPr="003C32BC" w:rsidRDefault="005B52B0" w:rsidP="000F5A08">
      <w:pPr>
        <w:suppressAutoHyphens/>
        <w:jc w:val="center"/>
        <w:rPr>
          <w:rFonts w:asciiTheme="majorHAnsi" w:hAnsiTheme="majorHAnsi"/>
          <w:sz w:val="22"/>
          <w:szCs w:val="22"/>
          <w:lang w:val="es-ES_tradnl"/>
        </w:rPr>
      </w:pPr>
    </w:p>
    <w:p w14:paraId="022074FD" w14:textId="77777777" w:rsidR="005B52B0" w:rsidRPr="003C32BC" w:rsidRDefault="005B52B0" w:rsidP="000F5A08">
      <w:pPr>
        <w:suppressAutoHyphens/>
        <w:jc w:val="center"/>
        <w:rPr>
          <w:rFonts w:asciiTheme="majorHAnsi" w:hAnsiTheme="majorHAnsi"/>
          <w:sz w:val="22"/>
          <w:szCs w:val="22"/>
          <w:lang w:val="es-ES_tradnl"/>
        </w:rPr>
      </w:pPr>
    </w:p>
    <w:p w14:paraId="3234C43C" w14:textId="77777777" w:rsidR="00040C3A" w:rsidRPr="003C32BC" w:rsidRDefault="00040C3A" w:rsidP="000F5A08">
      <w:pPr>
        <w:suppressAutoHyphens/>
        <w:jc w:val="center"/>
        <w:rPr>
          <w:rFonts w:asciiTheme="majorHAnsi" w:hAnsiTheme="majorHAnsi"/>
          <w:sz w:val="22"/>
          <w:szCs w:val="22"/>
          <w:lang w:val="es-ES_tradnl"/>
        </w:rPr>
      </w:pPr>
    </w:p>
    <w:p w14:paraId="2D58FFBA" w14:textId="77777777" w:rsidR="00040C3A" w:rsidRPr="003C32BC" w:rsidRDefault="00040C3A" w:rsidP="000F5A08">
      <w:pPr>
        <w:suppressAutoHyphens/>
        <w:jc w:val="center"/>
        <w:rPr>
          <w:rFonts w:asciiTheme="majorHAnsi" w:hAnsiTheme="majorHAnsi"/>
          <w:sz w:val="22"/>
          <w:szCs w:val="22"/>
          <w:lang w:val="es-ES_tradnl"/>
        </w:rPr>
      </w:pPr>
    </w:p>
    <w:p w14:paraId="4A574974" w14:textId="77777777" w:rsidR="00040C3A" w:rsidRPr="003C32BC" w:rsidRDefault="00040C3A" w:rsidP="000F5A08">
      <w:pPr>
        <w:suppressAutoHyphens/>
        <w:jc w:val="center"/>
        <w:rPr>
          <w:rFonts w:asciiTheme="majorHAnsi" w:hAnsiTheme="majorHAnsi"/>
          <w:sz w:val="22"/>
          <w:szCs w:val="22"/>
          <w:lang w:val="es-ES_tradnl"/>
        </w:rPr>
      </w:pPr>
    </w:p>
    <w:p w14:paraId="11A9BA8A" w14:textId="77777777" w:rsidR="00040C3A" w:rsidRPr="003C32BC" w:rsidRDefault="00E533FF" w:rsidP="000F5A08">
      <w:pPr>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EA590" w14:textId="7DFE5770" w:rsidR="008154B2" w:rsidRPr="0088579C" w:rsidRDefault="008154B2" w:rsidP="008154B2">
                            <w:pPr>
                              <w:spacing w:line="276" w:lineRule="auto"/>
                              <w:rPr>
                                <w:rFonts w:asciiTheme="majorHAnsi" w:hAnsiTheme="majorHAnsi" w:cs="Arial"/>
                                <w:b/>
                                <w:bCs/>
                                <w:color w:val="0D0D0D" w:themeColor="text1" w:themeTint="F2"/>
                                <w:sz w:val="36"/>
                                <w:szCs w:val="40"/>
                                <w:lang w:val="es-AR"/>
                              </w:rPr>
                            </w:pPr>
                            <w:r w:rsidRPr="0088579C">
                              <w:rPr>
                                <w:rFonts w:asciiTheme="majorHAnsi" w:hAnsiTheme="majorHAnsi" w:cs="Arial"/>
                                <w:b/>
                                <w:bCs/>
                                <w:color w:val="0D0D0D" w:themeColor="text1" w:themeTint="F2"/>
                                <w:sz w:val="36"/>
                                <w:szCs w:val="40"/>
                                <w:lang w:val="es-AR"/>
                              </w:rPr>
                              <w:t xml:space="preserve">INFORME No. </w:t>
                            </w:r>
                            <w:r>
                              <w:rPr>
                                <w:rFonts w:asciiTheme="majorHAnsi" w:hAnsiTheme="majorHAnsi" w:cs="Arial"/>
                                <w:b/>
                                <w:bCs/>
                                <w:color w:val="0D0D0D" w:themeColor="text1" w:themeTint="F2"/>
                                <w:sz w:val="36"/>
                                <w:szCs w:val="40"/>
                                <w:lang w:val="es-AR"/>
                              </w:rPr>
                              <w:t>18</w:t>
                            </w:r>
                            <w:r w:rsidR="00410D20">
                              <w:rPr>
                                <w:rFonts w:asciiTheme="majorHAnsi" w:hAnsiTheme="majorHAnsi" w:cs="Arial"/>
                                <w:b/>
                                <w:bCs/>
                                <w:color w:val="0D0D0D" w:themeColor="text1" w:themeTint="F2"/>
                                <w:sz w:val="36"/>
                                <w:szCs w:val="40"/>
                                <w:lang w:val="es-AR"/>
                              </w:rPr>
                              <w:t>3</w:t>
                            </w:r>
                            <w:r w:rsidRPr="0088579C">
                              <w:rPr>
                                <w:rFonts w:asciiTheme="majorHAnsi" w:hAnsiTheme="majorHAnsi" w:cs="Arial"/>
                                <w:b/>
                                <w:bCs/>
                                <w:color w:val="0D0D0D" w:themeColor="text1" w:themeTint="F2"/>
                                <w:sz w:val="36"/>
                                <w:szCs w:val="40"/>
                                <w:lang w:val="es-AR"/>
                              </w:rPr>
                              <w:t>/21</w:t>
                            </w:r>
                          </w:p>
                          <w:p w14:paraId="77F23D35" w14:textId="7AC3E778" w:rsidR="008154B2" w:rsidRPr="002054F2" w:rsidRDefault="008154B2" w:rsidP="008154B2">
                            <w:pPr>
                              <w:spacing w:line="276" w:lineRule="auto"/>
                              <w:rPr>
                                <w:rFonts w:asciiTheme="majorHAnsi" w:hAnsiTheme="majorHAnsi" w:cs="Arial"/>
                                <w:b/>
                                <w:bCs/>
                                <w:color w:val="0D0D0D" w:themeColor="text1" w:themeTint="F2"/>
                                <w:sz w:val="36"/>
                                <w:szCs w:val="40"/>
                                <w:lang w:val="es-AR"/>
                              </w:rPr>
                            </w:pPr>
                            <w:r w:rsidRPr="002054F2">
                              <w:rPr>
                                <w:rFonts w:asciiTheme="majorHAnsi" w:hAnsiTheme="majorHAnsi" w:cs="Arial"/>
                                <w:b/>
                                <w:bCs/>
                                <w:color w:val="0D0D0D" w:themeColor="text1" w:themeTint="F2"/>
                                <w:sz w:val="36"/>
                                <w:szCs w:val="40"/>
                                <w:lang w:val="es-AR"/>
                              </w:rPr>
                              <w:t xml:space="preserve">PETICIÓN </w:t>
                            </w:r>
                            <w:r w:rsidR="00410D20">
                              <w:rPr>
                                <w:rFonts w:asciiTheme="majorHAnsi" w:hAnsiTheme="majorHAnsi" w:cs="Arial"/>
                                <w:b/>
                                <w:bCs/>
                                <w:color w:val="0D0D0D" w:themeColor="text1" w:themeTint="F2"/>
                                <w:sz w:val="36"/>
                                <w:szCs w:val="40"/>
                                <w:lang w:val="es-AR"/>
                              </w:rPr>
                              <w:t>313</w:t>
                            </w:r>
                            <w:r w:rsidRPr="002054F2">
                              <w:rPr>
                                <w:rFonts w:asciiTheme="majorHAnsi" w:hAnsiTheme="majorHAnsi" w:cs="Arial"/>
                                <w:b/>
                                <w:bCs/>
                                <w:color w:val="0D0D0D" w:themeColor="text1" w:themeTint="F2"/>
                                <w:sz w:val="36"/>
                                <w:szCs w:val="40"/>
                                <w:lang w:val="es-AR"/>
                              </w:rPr>
                              <w:t>-1</w:t>
                            </w:r>
                            <w:r w:rsidR="00410D20">
                              <w:rPr>
                                <w:rFonts w:asciiTheme="majorHAnsi" w:hAnsiTheme="majorHAnsi" w:cs="Arial"/>
                                <w:b/>
                                <w:bCs/>
                                <w:color w:val="0D0D0D" w:themeColor="text1" w:themeTint="F2"/>
                                <w:sz w:val="36"/>
                                <w:szCs w:val="40"/>
                                <w:lang w:val="es-AR"/>
                              </w:rPr>
                              <w:t>0</w:t>
                            </w:r>
                          </w:p>
                          <w:p w14:paraId="11E0AD1A" w14:textId="77777777" w:rsidR="008154B2" w:rsidRPr="002054F2" w:rsidRDefault="008154B2" w:rsidP="008154B2">
                            <w:pPr>
                              <w:spacing w:line="276" w:lineRule="auto"/>
                              <w:rPr>
                                <w:rFonts w:asciiTheme="majorHAnsi" w:hAnsiTheme="majorHAnsi" w:cs="Arial"/>
                                <w:color w:val="0D0D0D" w:themeColor="text1" w:themeTint="F2"/>
                                <w:szCs w:val="22"/>
                                <w:lang w:val="es-AR"/>
                              </w:rPr>
                            </w:pPr>
                            <w:r w:rsidRPr="002054F2">
                              <w:rPr>
                                <w:rFonts w:asciiTheme="majorHAnsi" w:hAnsiTheme="majorHAnsi" w:cs="Arial"/>
                                <w:color w:val="0D0D0D" w:themeColor="text1" w:themeTint="F2"/>
                                <w:szCs w:val="22"/>
                                <w:lang w:val="es-AR"/>
                              </w:rPr>
                              <w:t>INF</w:t>
                            </w:r>
                            <w:r>
                              <w:rPr>
                                <w:rFonts w:asciiTheme="majorHAnsi" w:hAnsiTheme="majorHAnsi" w:cs="Arial"/>
                                <w:color w:val="0D0D0D" w:themeColor="text1" w:themeTint="F2"/>
                                <w:szCs w:val="22"/>
                                <w:lang w:val="es-AR"/>
                              </w:rPr>
                              <w:t>ORME DE ADMISIBILIDAD</w:t>
                            </w:r>
                          </w:p>
                          <w:p w14:paraId="2B832807" w14:textId="77777777" w:rsidR="000B3E1F" w:rsidRDefault="000B3E1F"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p>
                          <w:p w14:paraId="735D8360" w14:textId="4EAA9367" w:rsidR="008154B2" w:rsidRPr="00052192" w:rsidRDefault="00410D20"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Cambria" w:hAnsi="Cambria" w:cs="Arial"/>
                                <w:color w:val="0D0D0D"/>
                                <w:szCs w:val="22"/>
                                <w:lang w:val="es-US"/>
                              </w:rPr>
                              <w:t>VÍCTOR MANUEL PÉREZ IBARRA</w:t>
                            </w:r>
                          </w:p>
                          <w:p w14:paraId="6585FE45" w14:textId="77777777" w:rsidR="008154B2" w:rsidRPr="00127111"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O"/>
                              </w:rPr>
                            </w:pPr>
                            <w:r w:rsidRPr="00127111">
                              <w:rPr>
                                <w:rFonts w:ascii="Cambria" w:hAnsi="Cambria" w:cs="Arial"/>
                                <w:color w:val="0D0D0D"/>
                                <w:szCs w:val="22"/>
                                <w:lang w:val="es-CO"/>
                              </w:rPr>
                              <w:t>MÉXICO</w:t>
                            </w:r>
                          </w:p>
                          <w:p w14:paraId="17A89EFB" w14:textId="77777777" w:rsidR="005B52B0" w:rsidRPr="00127111" w:rsidRDefault="005B52B0" w:rsidP="00F42B71">
                            <w:pPr>
                              <w:spacing w:line="276" w:lineRule="auto"/>
                              <w:rPr>
                                <w:rFonts w:asciiTheme="majorHAnsi" w:hAnsiTheme="majorHAnsi"/>
                                <w:color w:val="0D0D0D" w:themeColor="text1" w:themeTint="F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270EA590" w14:textId="7DFE5770" w:rsidR="008154B2" w:rsidRPr="0088579C" w:rsidRDefault="008154B2" w:rsidP="008154B2">
                      <w:pPr>
                        <w:spacing w:line="276" w:lineRule="auto"/>
                        <w:rPr>
                          <w:rFonts w:asciiTheme="majorHAnsi" w:hAnsiTheme="majorHAnsi" w:cs="Arial"/>
                          <w:b/>
                          <w:bCs/>
                          <w:color w:val="0D0D0D" w:themeColor="text1" w:themeTint="F2"/>
                          <w:sz w:val="36"/>
                          <w:szCs w:val="40"/>
                          <w:lang w:val="es-AR"/>
                        </w:rPr>
                      </w:pPr>
                      <w:r w:rsidRPr="0088579C">
                        <w:rPr>
                          <w:rFonts w:asciiTheme="majorHAnsi" w:hAnsiTheme="majorHAnsi" w:cs="Arial"/>
                          <w:b/>
                          <w:bCs/>
                          <w:color w:val="0D0D0D" w:themeColor="text1" w:themeTint="F2"/>
                          <w:sz w:val="36"/>
                          <w:szCs w:val="40"/>
                          <w:lang w:val="es-AR"/>
                        </w:rPr>
                        <w:t xml:space="preserve">INFORME No. </w:t>
                      </w:r>
                      <w:r>
                        <w:rPr>
                          <w:rFonts w:asciiTheme="majorHAnsi" w:hAnsiTheme="majorHAnsi" w:cs="Arial"/>
                          <w:b/>
                          <w:bCs/>
                          <w:color w:val="0D0D0D" w:themeColor="text1" w:themeTint="F2"/>
                          <w:sz w:val="36"/>
                          <w:szCs w:val="40"/>
                          <w:lang w:val="es-AR"/>
                        </w:rPr>
                        <w:t>18</w:t>
                      </w:r>
                      <w:r w:rsidR="00410D20">
                        <w:rPr>
                          <w:rFonts w:asciiTheme="majorHAnsi" w:hAnsiTheme="majorHAnsi" w:cs="Arial"/>
                          <w:b/>
                          <w:bCs/>
                          <w:color w:val="0D0D0D" w:themeColor="text1" w:themeTint="F2"/>
                          <w:sz w:val="36"/>
                          <w:szCs w:val="40"/>
                          <w:lang w:val="es-AR"/>
                        </w:rPr>
                        <w:t>3</w:t>
                      </w:r>
                      <w:r w:rsidRPr="0088579C">
                        <w:rPr>
                          <w:rFonts w:asciiTheme="majorHAnsi" w:hAnsiTheme="majorHAnsi" w:cs="Arial"/>
                          <w:b/>
                          <w:bCs/>
                          <w:color w:val="0D0D0D" w:themeColor="text1" w:themeTint="F2"/>
                          <w:sz w:val="36"/>
                          <w:szCs w:val="40"/>
                          <w:lang w:val="es-AR"/>
                        </w:rPr>
                        <w:t>/21</w:t>
                      </w:r>
                    </w:p>
                    <w:p w14:paraId="77F23D35" w14:textId="7AC3E778" w:rsidR="008154B2" w:rsidRPr="002054F2" w:rsidRDefault="008154B2" w:rsidP="008154B2">
                      <w:pPr>
                        <w:spacing w:line="276" w:lineRule="auto"/>
                        <w:rPr>
                          <w:rFonts w:asciiTheme="majorHAnsi" w:hAnsiTheme="majorHAnsi" w:cs="Arial"/>
                          <w:b/>
                          <w:bCs/>
                          <w:color w:val="0D0D0D" w:themeColor="text1" w:themeTint="F2"/>
                          <w:sz w:val="36"/>
                          <w:szCs w:val="40"/>
                          <w:lang w:val="es-AR"/>
                        </w:rPr>
                      </w:pPr>
                      <w:r w:rsidRPr="002054F2">
                        <w:rPr>
                          <w:rFonts w:asciiTheme="majorHAnsi" w:hAnsiTheme="majorHAnsi" w:cs="Arial"/>
                          <w:b/>
                          <w:bCs/>
                          <w:color w:val="0D0D0D" w:themeColor="text1" w:themeTint="F2"/>
                          <w:sz w:val="36"/>
                          <w:szCs w:val="40"/>
                          <w:lang w:val="es-AR"/>
                        </w:rPr>
                        <w:t xml:space="preserve">PETICIÓN </w:t>
                      </w:r>
                      <w:r w:rsidR="00410D20">
                        <w:rPr>
                          <w:rFonts w:asciiTheme="majorHAnsi" w:hAnsiTheme="majorHAnsi" w:cs="Arial"/>
                          <w:b/>
                          <w:bCs/>
                          <w:color w:val="0D0D0D" w:themeColor="text1" w:themeTint="F2"/>
                          <w:sz w:val="36"/>
                          <w:szCs w:val="40"/>
                          <w:lang w:val="es-AR"/>
                        </w:rPr>
                        <w:t>313</w:t>
                      </w:r>
                      <w:r w:rsidRPr="002054F2">
                        <w:rPr>
                          <w:rFonts w:asciiTheme="majorHAnsi" w:hAnsiTheme="majorHAnsi" w:cs="Arial"/>
                          <w:b/>
                          <w:bCs/>
                          <w:color w:val="0D0D0D" w:themeColor="text1" w:themeTint="F2"/>
                          <w:sz w:val="36"/>
                          <w:szCs w:val="40"/>
                          <w:lang w:val="es-AR"/>
                        </w:rPr>
                        <w:t>-1</w:t>
                      </w:r>
                      <w:r w:rsidR="00410D20">
                        <w:rPr>
                          <w:rFonts w:asciiTheme="majorHAnsi" w:hAnsiTheme="majorHAnsi" w:cs="Arial"/>
                          <w:b/>
                          <w:bCs/>
                          <w:color w:val="0D0D0D" w:themeColor="text1" w:themeTint="F2"/>
                          <w:sz w:val="36"/>
                          <w:szCs w:val="40"/>
                          <w:lang w:val="es-AR"/>
                        </w:rPr>
                        <w:t>0</w:t>
                      </w:r>
                    </w:p>
                    <w:p w14:paraId="11E0AD1A" w14:textId="77777777" w:rsidR="008154B2" w:rsidRPr="002054F2" w:rsidRDefault="008154B2" w:rsidP="008154B2">
                      <w:pPr>
                        <w:spacing w:line="276" w:lineRule="auto"/>
                        <w:rPr>
                          <w:rFonts w:asciiTheme="majorHAnsi" w:hAnsiTheme="majorHAnsi" w:cs="Arial"/>
                          <w:color w:val="0D0D0D" w:themeColor="text1" w:themeTint="F2"/>
                          <w:szCs w:val="22"/>
                          <w:lang w:val="es-AR"/>
                        </w:rPr>
                      </w:pPr>
                      <w:r w:rsidRPr="002054F2">
                        <w:rPr>
                          <w:rFonts w:asciiTheme="majorHAnsi" w:hAnsiTheme="majorHAnsi" w:cs="Arial"/>
                          <w:color w:val="0D0D0D" w:themeColor="text1" w:themeTint="F2"/>
                          <w:szCs w:val="22"/>
                          <w:lang w:val="es-AR"/>
                        </w:rPr>
                        <w:t>INF</w:t>
                      </w:r>
                      <w:r>
                        <w:rPr>
                          <w:rFonts w:asciiTheme="majorHAnsi" w:hAnsiTheme="majorHAnsi" w:cs="Arial"/>
                          <w:color w:val="0D0D0D" w:themeColor="text1" w:themeTint="F2"/>
                          <w:szCs w:val="22"/>
                          <w:lang w:val="es-AR"/>
                        </w:rPr>
                        <w:t>ORME DE ADMISIBILIDAD</w:t>
                      </w:r>
                    </w:p>
                    <w:p w14:paraId="2B832807" w14:textId="77777777" w:rsidR="000B3E1F" w:rsidRDefault="000B3E1F"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p>
                    <w:p w14:paraId="735D8360" w14:textId="4EAA9367" w:rsidR="008154B2" w:rsidRPr="00052192" w:rsidRDefault="00410D20"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US"/>
                        </w:rPr>
                      </w:pPr>
                      <w:r>
                        <w:rPr>
                          <w:rFonts w:ascii="Cambria" w:hAnsi="Cambria" w:cs="Arial"/>
                          <w:color w:val="0D0D0D"/>
                          <w:szCs w:val="22"/>
                          <w:lang w:val="es-US"/>
                        </w:rPr>
                        <w:t>VÍCTOR MANUEL PÉREZ IBARRA</w:t>
                      </w:r>
                    </w:p>
                    <w:p w14:paraId="6585FE45" w14:textId="77777777" w:rsidR="008154B2" w:rsidRPr="00127111" w:rsidRDefault="008154B2" w:rsidP="008154B2">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O"/>
                        </w:rPr>
                      </w:pPr>
                      <w:r w:rsidRPr="00127111">
                        <w:rPr>
                          <w:rFonts w:ascii="Cambria" w:hAnsi="Cambria" w:cs="Arial"/>
                          <w:color w:val="0D0D0D"/>
                          <w:szCs w:val="22"/>
                          <w:lang w:val="es-CO"/>
                        </w:rPr>
                        <w:t>MÉXICO</w:t>
                      </w:r>
                    </w:p>
                    <w:p w14:paraId="17A89EFB" w14:textId="77777777" w:rsidR="005B52B0" w:rsidRPr="00127111" w:rsidRDefault="005B52B0" w:rsidP="00F42B71">
                      <w:pPr>
                        <w:spacing w:line="276" w:lineRule="auto"/>
                        <w:rPr>
                          <w:rFonts w:asciiTheme="majorHAnsi" w:hAnsiTheme="majorHAnsi"/>
                          <w:color w:val="0D0D0D" w:themeColor="text1" w:themeTint="F2"/>
                          <w:lang w:val="es-CO"/>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3DC9B" w14:textId="0E4D795B" w:rsidR="008154B2" w:rsidRPr="00466D0B"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7F5307DD" w14:textId="13F7A60F" w:rsidR="008154B2" w:rsidRPr="0047011C"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47011C">
                              <w:rPr>
                                <w:rFonts w:asciiTheme="minorHAnsi" w:hAnsiTheme="minorHAnsi"/>
                                <w:color w:val="FFFFFF" w:themeColor="background1"/>
                                <w:sz w:val="22"/>
                                <w:lang w:val="pt-BR"/>
                              </w:rPr>
                              <w:t>.</w:t>
                            </w:r>
                            <w:r>
                              <w:rPr>
                                <w:rFonts w:asciiTheme="minorHAnsi" w:hAnsiTheme="minorHAnsi"/>
                                <w:color w:val="FFFFFF" w:themeColor="background1"/>
                                <w:sz w:val="22"/>
                                <w:lang w:val="pt-BR"/>
                              </w:rPr>
                              <w:t xml:space="preserve"> 19</w:t>
                            </w:r>
                            <w:r w:rsidR="00410D20">
                              <w:rPr>
                                <w:rFonts w:asciiTheme="minorHAnsi" w:hAnsiTheme="minorHAnsi"/>
                                <w:color w:val="FFFFFF" w:themeColor="background1"/>
                                <w:sz w:val="22"/>
                                <w:lang w:val="pt-BR"/>
                              </w:rPr>
                              <w:t>2</w:t>
                            </w:r>
                            <w:r w:rsidRPr="0047011C">
                              <w:rPr>
                                <w:rFonts w:asciiTheme="minorHAnsi" w:hAnsiTheme="minorHAnsi"/>
                                <w:color w:val="FFFFFF" w:themeColor="background1"/>
                                <w:sz w:val="22"/>
                                <w:lang w:val="pt-BR"/>
                              </w:rPr>
                              <w:t xml:space="preserve"> </w:t>
                            </w:r>
                          </w:p>
                          <w:p w14:paraId="2F619628" w14:textId="77777777" w:rsidR="008154B2" w:rsidRPr="0047011C" w:rsidRDefault="008154B2" w:rsidP="008154B2">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 agosto</w:t>
                            </w:r>
                            <w:r w:rsidRPr="0047011C">
                              <w:rPr>
                                <w:rFonts w:asciiTheme="minorHAnsi" w:hAnsiTheme="minorHAnsi"/>
                                <w:color w:val="FFFFFF" w:themeColor="background1"/>
                                <w:sz w:val="22"/>
                                <w:lang w:val="pt-BR"/>
                              </w:rPr>
                              <w:t xml:space="preserve"> 2021</w:t>
                            </w:r>
                          </w:p>
                          <w:p w14:paraId="4DCA5386" w14:textId="09F10457" w:rsidR="008154B2" w:rsidRPr="0047011C" w:rsidRDefault="008154B2" w:rsidP="008154B2">
                            <w:pPr>
                              <w:jc w:val="right"/>
                              <w:rPr>
                                <w:rFonts w:asciiTheme="minorHAnsi" w:hAnsiTheme="minorHAnsi"/>
                                <w:color w:val="FFFFFF" w:themeColor="background1"/>
                                <w:sz w:val="22"/>
                                <w:lang w:val="pt-BR"/>
                              </w:rPr>
                            </w:pPr>
                            <w:r w:rsidRPr="0047011C">
                              <w:rPr>
                                <w:rFonts w:asciiTheme="minorHAnsi" w:hAnsiTheme="minorHAnsi"/>
                                <w:color w:val="FFFFFF" w:themeColor="background1"/>
                                <w:sz w:val="22"/>
                                <w:lang w:val="pt-BR"/>
                              </w:rPr>
                              <w:t xml:space="preserve">Original: </w:t>
                            </w:r>
                            <w:r w:rsidR="00410D20">
                              <w:rPr>
                                <w:rFonts w:asciiTheme="minorHAnsi" w:hAnsiTheme="minorHAnsi"/>
                                <w:color w:val="FFFFFF" w:themeColor="background1"/>
                                <w:sz w:val="22"/>
                                <w:lang w:val="pt-BR"/>
                              </w:rPr>
                              <w:t>español</w:t>
                            </w:r>
                          </w:p>
                          <w:p w14:paraId="0FC103BD" w14:textId="2A9C70E5" w:rsidR="00627C9F" w:rsidRPr="002054F2" w:rsidRDefault="00627C9F" w:rsidP="009E566A">
                            <w:pPr>
                              <w:jc w:val="right"/>
                              <w:rPr>
                                <w:rFonts w:asciiTheme="minorHAnsi" w:hAnsiTheme="minorHAnsi"/>
                                <w:color w:val="FFFFFF" w:themeColor="background1"/>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4EA3DC9B" w14:textId="0E4D795B" w:rsidR="008154B2" w:rsidRPr="00466D0B"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7F5307DD" w14:textId="13F7A60F" w:rsidR="008154B2" w:rsidRPr="0047011C" w:rsidRDefault="008154B2" w:rsidP="008154B2">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47011C">
                        <w:rPr>
                          <w:rFonts w:asciiTheme="minorHAnsi" w:hAnsiTheme="minorHAnsi"/>
                          <w:color w:val="FFFFFF" w:themeColor="background1"/>
                          <w:sz w:val="22"/>
                          <w:lang w:val="pt-BR"/>
                        </w:rPr>
                        <w:t>.</w:t>
                      </w:r>
                      <w:r>
                        <w:rPr>
                          <w:rFonts w:asciiTheme="minorHAnsi" w:hAnsiTheme="minorHAnsi"/>
                          <w:color w:val="FFFFFF" w:themeColor="background1"/>
                          <w:sz w:val="22"/>
                          <w:lang w:val="pt-BR"/>
                        </w:rPr>
                        <w:t xml:space="preserve"> 19</w:t>
                      </w:r>
                      <w:r w:rsidR="00410D20">
                        <w:rPr>
                          <w:rFonts w:asciiTheme="minorHAnsi" w:hAnsiTheme="minorHAnsi"/>
                          <w:color w:val="FFFFFF" w:themeColor="background1"/>
                          <w:sz w:val="22"/>
                          <w:lang w:val="pt-BR"/>
                        </w:rPr>
                        <w:t>2</w:t>
                      </w:r>
                      <w:r w:rsidRPr="0047011C">
                        <w:rPr>
                          <w:rFonts w:asciiTheme="minorHAnsi" w:hAnsiTheme="minorHAnsi"/>
                          <w:color w:val="FFFFFF" w:themeColor="background1"/>
                          <w:sz w:val="22"/>
                          <w:lang w:val="pt-BR"/>
                        </w:rPr>
                        <w:t xml:space="preserve"> </w:t>
                      </w:r>
                    </w:p>
                    <w:p w14:paraId="2F619628" w14:textId="77777777" w:rsidR="008154B2" w:rsidRPr="0047011C" w:rsidRDefault="008154B2" w:rsidP="008154B2">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30 agosto</w:t>
                      </w:r>
                      <w:r w:rsidRPr="0047011C">
                        <w:rPr>
                          <w:rFonts w:asciiTheme="minorHAnsi" w:hAnsiTheme="minorHAnsi"/>
                          <w:color w:val="FFFFFF" w:themeColor="background1"/>
                          <w:sz w:val="22"/>
                          <w:lang w:val="pt-BR"/>
                        </w:rPr>
                        <w:t xml:space="preserve"> 2021</w:t>
                      </w:r>
                    </w:p>
                    <w:p w14:paraId="4DCA5386" w14:textId="09F10457" w:rsidR="008154B2" w:rsidRPr="0047011C" w:rsidRDefault="008154B2" w:rsidP="008154B2">
                      <w:pPr>
                        <w:jc w:val="right"/>
                        <w:rPr>
                          <w:rFonts w:asciiTheme="minorHAnsi" w:hAnsiTheme="minorHAnsi"/>
                          <w:color w:val="FFFFFF" w:themeColor="background1"/>
                          <w:sz w:val="22"/>
                          <w:lang w:val="pt-BR"/>
                        </w:rPr>
                      </w:pPr>
                      <w:r w:rsidRPr="0047011C">
                        <w:rPr>
                          <w:rFonts w:asciiTheme="minorHAnsi" w:hAnsiTheme="minorHAnsi"/>
                          <w:color w:val="FFFFFF" w:themeColor="background1"/>
                          <w:sz w:val="22"/>
                          <w:lang w:val="pt-BR"/>
                        </w:rPr>
                        <w:t xml:space="preserve">Original: </w:t>
                      </w:r>
                      <w:r w:rsidR="00410D20">
                        <w:rPr>
                          <w:rFonts w:asciiTheme="minorHAnsi" w:hAnsiTheme="minorHAnsi"/>
                          <w:color w:val="FFFFFF" w:themeColor="background1"/>
                          <w:sz w:val="22"/>
                          <w:lang w:val="pt-BR"/>
                        </w:rPr>
                        <w:t>español</w:t>
                      </w:r>
                    </w:p>
                    <w:p w14:paraId="0FC103BD" w14:textId="2A9C70E5" w:rsidR="00627C9F" w:rsidRPr="002054F2" w:rsidRDefault="00627C9F" w:rsidP="009E566A">
                      <w:pPr>
                        <w:jc w:val="right"/>
                        <w:rPr>
                          <w:rFonts w:asciiTheme="minorHAnsi" w:hAnsiTheme="minorHAnsi"/>
                          <w:color w:val="FFFFFF" w:themeColor="background1"/>
                          <w:sz w:val="22"/>
                          <w:lang w:val="pt-BR"/>
                        </w:rPr>
                      </w:pPr>
                    </w:p>
                  </w:txbxContent>
                </v:textbox>
              </v:shape>
            </w:pict>
          </mc:Fallback>
        </mc:AlternateContent>
      </w:r>
    </w:p>
    <w:p w14:paraId="3765F9FA" w14:textId="77777777" w:rsidR="00040C3A" w:rsidRPr="003C32BC" w:rsidRDefault="00040C3A" w:rsidP="000F5A08">
      <w:pPr>
        <w:suppressAutoHyphens/>
        <w:jc w:val="center"/>
        <w:rPr>
          <w:rFonts w:asciiTheme="majorHAnsi" w:hAnsiTheme="majorHAnsi"/>
          <w:sz w:val="22"/>
          <w:szCs w:val="22"/>
          <w:lang w:val="es-ES_tradnl"/>
        </w:rPr>
      </w:pPr>
    </w:p>
    <w:p w14:paraId="5E33CE59" w14:textId="77777777" w:rsidR="00040C3A" w:rsidRPr="003C32BC" w:rsidRDefault="00040C3A" w:rsidP="000F5A08">
      <w:pPr>
        <w:suppressAutoHyphens/>
        <w:jc w:val="center"/>
        <w:rPr>
          <w:rFonts w:asciiTheme="majorHAnsi" w:hAnsiTheme="majorHAnsi" w:cs="Arial"/>
          <w:sz w:val="22"/>
          <w:szCs w:val="22"/>
          <w:lang w:val="es-ES_tradnl"/>
        </w:rPr>
      </w:pPr>
    </w:p>
    <w:p w14:paraId="04802712" w14:textId="77777777" w:rsidR="00040C3A" w:rsidRPr="003C32BC" w:rsidRDefault="00040C3A" w:rsidP="000F5A08">
      <w:pPr>
        <w:suppressAutoHyphens/>
        <w:jc w:val="center"/>
        <w:rPr>
          <w:rFonts w:asciiTheme="majorHAnsi" w:hAnsiTheme="majorHAnsi"/>
          <w:sz w:val="22"/>
          <w:szCs w:val="22"/>
          <w:lang w:val="es-ES_tradnl"/>
        </w:rPr>
      </w:pPr>
    </w:p>
    <w:p w14:paraId="43677EE2" w14:textId="77777777" w:rsidR="00040C3A" w:rsidRPr="003C32BC" w:rsidRDefault="00040C3A" w:rsidP="000F5A08">
      <w:pPr>
        <w:suppressAutoHyphens/>
        <w:jc w:val="center"/>
        <w:rPr>
          <w:rFonts w:asciiTheme="majorHAnsi" w:hAnsiTheme="majorHAnsi"/>
          <w:sz w:val="22"/>
          <w:szCs w:val="22"/>
          <w:lang w:val="es-ES_tradnl"/>
        </w:rPr>
      </w:pPr>
    </w:p>
    <w:p w14:paraId="747B776B" w14:textId="77777777" w:rsidR="00040C3A" w:rsidRPr="003C32BC" w:rsidRDefault="00040C3A" w:rsidP="000F5A08">
      <w:pPr>
        <w:suppressAutoHyphens/>
        <w:jc w:val="center"/>
        <w:rPr>
          <w:rFonts w:asciiTheme="majorHAnsi" w:hAnsiTheme="majorHAnsi"/>
          <w:sz w:val="22"/>
          <w:szCs w:val="22"/>
          <w:lang w:val="es-ES_tradnl"/>
        </w:rPr>
      </w:pPr>
    </w:p>
    <w:p w14:paraId="3FA14379" w14:textId="77777777" w:rsidR="00040C3A" w:rsidRPr="003C32BC" w:rsidRDefault="00040C3A" w:rsidP="000F5A08">
      <w:pPr>
        <w:suppressAutoHyphens/>
        <w:jc w:val="center"/>
        <w:rPr>
          <w:rFonts w:asciiTheme="majorHAnsi" w:hAnsiTheme="majorHAnsi"/>
          <w:sz w:val="22"/>
          <w:szCs w:val="22"/>
          <w:lang w:val="es-ES_tradnl"/>
        </w:rPr>
      </w:pPr>
    </w:p>
    <w:p w14:paraId="28A65FAF" w14:textId="77777777" w:rsidR="005128E4" w:rsidRPr="003C32BC" w:rsidRDefault="005128E4" w:rsidP="000F5A08">
      <w:pPr>
        <w:suppressAutoHyphens/>
        <w:jc w:val="center"/>
        <w:rPr>
          <w:rFonts w:asciiTheme="majorHAnsi" w:hAnsiTheme="majorHAnsi"/>
          <w:sz w:val="22"/>
          <w:szCs w:val="22"/>
          <w:lang w:val="es-ES_tradnl"/>
        </w:rPr>
      </w:pPr>
    </w:p>
    <w:p w14:paraId="11B1978A" w14:textId="77777777" w:rsidR="00040C3A" w:rsidRPr="003C32BC" w:rsidRDefault="00040C3A" w:rsidP="000F5A08">
      <w:pPr>
        <w:suppressAutoHyphens/>
        <w:jc w:val="center"/>
        <w:rPr>
          <w:rFonts w:asciiTheme="majorHAnsi" w:hAnsiTheme="majorHAnsi"/>
          <w:sz w:val="22"/>
          <w:szCs w:val="22"/>
          <w:lang w:val="es-ES_tradnl"/>
        </w:rPr>
      </w:pPr>
    </w:p>
    <w:p w14:paraId="650F503D" w14:textId="77777777" w:rsidR="005128E4" w:rsidRPr="003C32BC" w:rsidRDefault="005128E4" w:rsidP="000F5A08">
      <w:pPr>
        <w:suppressAutoHyphens/>
        <w:jc w:val="center"/>
        <w:rPr>
          <w:rFonts w:asciiTheme="majorHAnsi" w:hAnsiTheme="majorHAnsi"/>
          <w:sz w:val="22"/>
          <w:szCs w:val="22"/>
          <w:lang w:val="es-ES_tradnl"/>
        </w:rPr>
      </w:pPr>
    </w:p>
    <w:p w14:paraId="17861C77" w14:textId="77777777" w:rsidR="005128E4" w:rsidRPr="003C32BC" w:rsidRDefault="005128E4" w:rsidP="000F5A08">
      <w:pPr>
        <w:suppressAutoHyphens/>
        <w:jc w:val="center"/>
        <w:rPr>
          <w:rFonts w:asciiTheme="majorHAnsi" w:hAnsiTheme="majorHAnsi"/>
          <w:sz w:val="22"/>
          <w:szCs w:val="22"/>
          <w:lang w:val="es-ES_tradnl"/>
        </w:rPr>
      </w:pPr>
    </w:p>
    <w:p w14:paraId="0EFEAEB7" w14:textId="77777777" w:rsidR="005128E4" w:rsidRPr="003C32BC" w:rsidRDefault="005128E4" w:rsidP="000F5A08">
      <w:pPr>
        <w:suppressAutoHyphens/>
        <w:jc w:val="center"/>
        <w:rPr>
          <w:rFonts w:asciiTheme="majorHAnsi" w:hAnsiTheme="majorHAnsi"/>
          <w:sz w:val="22"/>
          <w:szCs w:val="22"/>
          <w:lang w:val="es-ES_tradnl"/>
        </w:rPr>
      </w:pPr>
    </w:p>
    <w:p w14:paraId="5B815FC5" w14:textId="77777777" w:rsidR="00040C3A" w:rsidRPr="003C32BC" w:rsidRDefault="00040C3A" w:rsidP="000F5A08">
      <w:pPr>
        <w:suppressAutoHyphens/>
        <w:jc w:val="center"/>
        <w:rPr>
          <w:rFonts w:asciiTheme="majorHAnsi" w:hAnsiTheme="majorHAnsi"/>
          <w:sz w:val="22"/>
          <w:szCs w:val="22"/>
          <w:lang w:val="es-ES_tradnl"/>
        </w:rPr>
      </w:pPr>
    </w:p>
    <w:p w14:paraId="0D43F8BD" w14:textId="77777777" w:rsidR="00040C3A" w:rsidRPr="003C32BC" w:rsidRDefault="00040C3A" w:rsidP="000F5A08">
      <w:pPr>
        <w:suppressAutoHyphens/>
        <w:jc w:val="center"/>
        <w:rPr>
          <w:rFonts w:asciiTheme="majorHAnsi" w:hAnsiTheme="majorHAnsi"/>
          <w:sz w:val="22"/>
          <w:szCs w:val="22"/>
          <w:lang w:val="es-ES_tradnl"/>
        </w:rPr>
      </w:pPr>
    </w:p>
    <w:p w14:paraId="03AA1AEB" w14:textId="77777777" w:rsidR="002C1641" w:rsidRPr="003C32BC" w:rsidRDefault="002C1641" w:rsidP="000F5A08">
      <w:pPr>
        <w:suppressAutoHyphens/>
        <w:jc w:val="center"/>
        <w:rPr>
          <w:rFonts w:asciiTheme="majorHAnsi" w:hAnsiTheme="majorHAnsi"/>
          <w:sz w:val="18"/>
          <w:szCs w:val="22"/>
          <w:lang w:val="es-ES_tradnl"/>
        </w:rPr>
      </w:pPr>
    </w:p>
    <w:p w14:paraId="2FD75BF3" w14:textId="77777777" w:rsidR="002C1641" w:rsidRPr="003C32BC" w:rsidRDefault="002C1641" w:rsidP="000F5A08">
      <w:pPr>
        <w:suppressAutoHyphens/>
        <w:jc w:val="center"/>
        <w:rPr>
          <w:rFonts w:asciiTheme="majorHAnsi" w:hAnsiTheme="majorHAnsi"/>
          <w:sz w:val="18"/>
          <w:szCs w:val="22"/>
          <w:lang w:val="es-ES_tradnl"/>
        </w:rPr>
      </w:pPr>
    </w:p>
    <w:p w14:paraId="73EF440E" w14:textId="77777777" w:rsidR="002C1641" w:rsidRPr="003C32BC" w:rsidRDefault="002C1641" w:rsidP="000F5A08">
      <w:pPr>
        <w:suppressAutoHyphens/>
        <w:jc w:val="center"/>
        <w:rPr>
          <w:rFonts w:asciiTheme="majorHAnsi" w:hAnsiTheme="majorHAnsi"/>
          <w:sz w:val="18"/>
          <w:szCs w:val="22"/>
          <w:lang w:val="es-ES_tradnl"/>
        </w:rPr>
      </w:pPr>
    </w:p>
    <w:p w14:paraId="3D12B191" w14:textId="77777777" w:rsidR="002C1641" w:rsidRPr="003C32BC" w:rsidRDefault="002C1641" w:rsidP="000F5A08">
      <w:pPr>
        <w:suppressAutoHyphens/>
        <w:jc w:val="center"/>
        <w:rPr>
          <w:rFonts w:asciiTheme="majorHAnsi" w:hAnsiTheme="majorHAnsi"/>
          <w:sz w:val="18"/>
          <w:szCs w:val="22"/>
          <w:lang w:val="es-ES_tradnl"/>
        </w:rPr>
      </w:pPr>
    </w:p>
    <w:p w14:paraId="1132D17C" w14:textId="77777777" w:rsidR="002C1641" w:rsidRPr="003C32BC" w:rsidRDefault="002C1641" w:rsidP="000F5A08">
      <w:pPr>
        <w:suppressAutoHyphens/>
        <w:jc w:val="center"/>
        <w:rPr>
          <w:rFonts w:asciiTheme="majorHAnsi" w:hAnsiTheme="majorHAnsi"/>
          <w:sz w:val="18"/>
          <w:szCs w:val="22"/>
          <w:lang w:val="es-ES_tradnl"/>
        </w:rPr>
      </w:pPr>
    </w:p>
    <w:p w14:paraId="659B324C" w14:textId="77777777" w:rsidR="002C1641" w:rsidRPr="003C32BC" w:rsidRDefault="002C1641" w:rsidP="000F5A08">
      <w:pPr>
        <w:suppressAutoHyphens/>
        <w:jc w:val="center"/>
        <w:rPr>
          <w:rFonts w:asciiTheme="majorHAnsi" w:hAnsiTheme="majorHAnsi"/>
          <w:sz w:val="18"/>
          <w:szCs w:val="22"/>
          <w:lang w:val="es-ES_tradnl"/>
        </w:rPr>
      </w:pPr>
    </w:p>
    <w:p w14:paraId="0DE58CEA" w14:textId="77777777" w:rsidR="002C1641" w:rsidRPr="003C32BC" w:rsidRDefault="002C1641" w:rsidP="000F5A08">
      <w:pPr>
        <w:suppressAutoHyphens/>
        <w:jc w:val="center"/>
        <w:rPr>
          <w:rFonts w:asciiTheme="majorHAnsi" w:hAnsiTheme="majorHAnsi"/>
          <w:sz w:val="18"/>
          <w:szCs w:val="22"/>
          <w:lang w:val="es-ES_tradnl"/>
        </w:rPr>
      </w:pPr>
    </w:p>
    <w:p w14:paraId="3A5BB7C9" w14:textId="77777777" w:rsidR="002C1641" w:rsidRPr="003C32BC" w:rsidRDefault="002C1641" w:rsidP="000F5A08">
      <w:pPr>
        <w:suppressAutoHyphens/>
        <w:jc w:val="center"/>
        <w:rPr>
          <w:rFonts w:asciiTheme="majorHAnsi" w:hAnsiTheme="majorHAnsi"/>
          <w:sz w:val="18"/>
          <w:szCs w:val="22"/>
          <w:lang w:val="es-ES_tradnl"/>
        </w:rPr>
      </w:pPr>
    </w:p>
    <w:p w14:paraId="6BA67E7F" w14:textId="77777777" w:rsidR="002C1641" w:rsidRPr="003C32BC" w:rsidRDefault="002C1641" w:rsidP="000F5A08">
      <w:pPr>
        <w:suppressAutoHyphens/>
        <w:jc w:val="center"/>
        <w:rPr>
          <w:rFonts w:asciiTheme="majorHAnsi" w:hAnsiTheme="majorHAnsi"/>
          <w:sz w:val="18"/>
          <w:szCs w:val="22"/>
          <w:lang w:val="es-ES_tradnl"/>
        </w:rPr>
      </w:pPr>
    </w:p>
    <w:p w14:paraId="6D4FBE3A" w14:textId="77777777" w:rsidR="002C1641" w:rsidRPr="003C32BC" w:rsidRDefault="002C1641" w:rsidP="000F5A08">
      <w:pPr>
        <w:suppressAutoHyphens/>
        <w:jc w:val="center"/>
        <w:rPr>
          <w:rFonts w:asciiTheme="majorHAnsi" w:hAnsiTheme="majorHAnsi"/>
          <w:sz w:val="18"/>
          <w:szCs w:val="22"/>
          <w:lang w:val="es-ES_tradnl"/>
        </w:rPr>
      </w:pPr>
    </w:p>
    <w:p w14:paraId="2741AD16" w14:textId="77777777" w:rsidR="002C1641" w:rsidRPr="003C32BC" w:rsidRDefault="002C1641" w:rsidP="000F5A08">
      <w:pPr>
        <w:suppressAutoHyphens/>
        <w:jc w:val="center"/>
        <w:rPr>
          <w:rFonts w:asciiTheme="majorHAnsi" w:hAnsiTheme="majorHAnsi"/>
          <w:sz w:val="18"/>
          <w:szCs w:val="22"/>
          <w:lang w:val="es-ES_tradnl"/>
        </w:rPr>
      </w:pPr>
    </w:p>
    <w:p w14:paraId="1D99DBC4" w14:textId="77777777" w:rsidR="002C1641" w:rsidRPr="003C32BC" w:rsidRDefault="002C1641" w:rsidP="000F5A08">
      <w:pPr>
        <w:suppressAutoHyphens/>
        <w:jc w:val="center"/>
        <w:rPr>
          <w:rFonts w:asciiTheme="majorHAnsi" w:hAnsiTheme="majorHAnsi"/>
          <w:sz w:val="18"/>
          <w:szCs w:val="22"/>
          <w:lang w:val="es-ES_tradnl"/>
        </w:rPr>
      </w:pPr>
    </w:p>
    <w:p w14:paraId="3290BF94" w14:textId="77777777" w:rsidR="002C1641" w:rsidRPr="003C32BC" w:rsidRDefault="003C32BC" w:rsidP="000F5A08">
      <w:pPr>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928329F" w:rsidR="00092F32" w:rsidRPr="0088579C" w:rsidRDefault="008154B2" w:rsidP="004165C2">
                            <w:pPr>
                              <w:tabs>
                                <w:tab w:val="center" w:pos="5400"/>
                              </w:tabs>
                              <w:suppressAutoHyphens/>
                              <w:spacing w:before="60"/>
                              <w:rPr>
                                <w:rFonts w:asciiTheme="majorHAnsi" w:hAnsiTheme="majorHAnsi"/>
                                <w:color w:val="0D0D0D" w:themeColor="text1" w:themeTint="F2"/>
                                <w:sz w:val="18"/>
                                <w:szCs w:val="22"/>
                                <w:lang w:val="es-AR"/>
                              </w:rPr>
                            </w:pPr>
                            <w:r w:rsidRPr="008154B2">
                              <w:rPr>
                                <w:rFonts w:asciiTheme="majorHAnsi" w:hAnsiTheme="majorHAnsi"/>
                                <w:color w:val="0D0D0D" w:themeColor="text1" w:themeTint="F2"/>
                                <w:sz w:val="18"/>
                                <w:szCs w:val="20"/>
                                <w:lang w:val="es-AR"/>
                              </w:rPr>
                              <w:t>Aprobado electrónicamente por la Comisión el 30 de agosto de 2021</w:t>
                            </w:r>
                            <w:r w:rsidR="009D4E4F">
                              <w:rPr>
                                <w:rFonts w:asciiTheme="majorHAnsi" w:hAnsiTheme="majorHAnsi"/>
                                <w:color w:val="0D0D0D" w:themeColor="text1" w:themeTint="F2"/>
                                <w:sz w:val="18"/>
                                <w:szCs w:val="20"/>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928329F" w:rsidR="00092F32" w:rsidRPr="0088579C" w:rsidRDefault="008154B2" w:rsidP="004165C2">
                      <w:pPr>
                        <w:tabs>
                          <w:tab w:val="center" w:pos="5400"/>
                        </w:tabs>
                        <w:suppressAutoHyphens/>
                        <w:spacing w:before="60"/>
                        <w:rPr>
                          <w:rFonts w:asciiTheme="majorHAnsi" w:hAnsiTheme="majorHAnsi"/>
                          <w:color w:val="0D0D0D" w:themeColor="text1" w:themeTint="F2"/>
                          <w:sz w:val="18"/>
                          <w:szCs w:val="22"/>
                          <w:lang w:val="es-AR"/>
                        </w:rPr>
                      </w:pPr>
                      <w:r w:rsidRPr="008154B2">
                        <w:rPr>
                          <w:rFonts w:asciiTheme="majorHAnsi" w:hAnsiTheme="majorHAnsi"/>
                          <w:color w:val="0D0D0D" w:themeColor="text1" w:themeTint="F2"/>
                          <w:sz w:val="18"/>
                          <w:szCs w:val="20"/>
                          <w:lang w:val="es-AR"/>
                        </w:rPr>
                        <w:t>Aprobado electrónicamente por la Comisión el 30 de agosto de 2021</w:t>
                      </w:r>
                      <w:r w:rsidR="009D4E4F">
                        <w:rPr>
                          <w:rFonts w:asciiTheme="majorHAnsi" w:hAnsiTheme="majorHAnsi"/>
                          <w:color w:val="0D0D0D" w:themeColor="text1" w:themeTint="F2"/>
                          <w:sz w:val="18"/>
                          <w:szCs w:val="20"/>
                          <w:lang w:val="es-AR"/>
                        </w:rPr>
                        <w:t>.</w:t>
                      </w:r>
                    </w:p>
                  </w:txbxContent>
                </v:textbox>
              </v:shape>
            </w:pict>
          </mc:Fallback>
        </mc:AlternateContent>
      </w:r>
    </w:p>
    <w:p w14:paraId="76124E47" w14:textId="77777777" w:rsidR="002C1641" w:rsidRPr="003C32BC" w:rsidRDefault="002C1641" w:rsidP="000F5A08">
      <w:pPr>
        <w:suppressAutoHyphens/>
        <w:jc w:val="center"/>
        <w:rPr>
          <w:rFonts w:asciiTheme="majorHAnsi" w:hAnsiTheme="majorHAnsi"/>
          <w:sz w:val="18"/>
          <w:szCs w:val="22"/>
          <w:lang w:val="es-ES_tradnl"/>
        </w:rPr>
      </w:pPr>
    </w:p>
    <w:p w14:paraId="3751FEDE" w14:textId="77777777" w:rsidR="002C1641" w:rsidRPr="003C32BC" w:rsidRDefault="002C1641" w:rsidP="000F5A08">
      <w:pPr>
        <w:suppressAutoHyphens/>
        <w:jc w:val="center"/>
        <w:rPr>
          <w:rFonts w:asciiTheme="majorHAnsi" w:hAnsiTheme="majorHAnsi"/>
          <w:sz w:val="18"/>
          <w:szCs w:val="22"/>
          <w:lang w:val="es-ES_tradnl"/>
        </w:rPr>
      </w:pPr>
    </w:p>
    <w:p w14:paraId="5FAB54E7" w14:textId="77777777" w:rsidR="002C1641" w:rsidRPr="003C32BC" w:rsidRDefault="002C1641" w:rsidP="000F5A08">
      <w:pPr>
        <w:suppressAutoHyphens/>
        <w:jc w:val="center"/>
        <w:rPr>
          <w:rFonts w:asciiTheme="majorHAnsi" w:hAnsiTheme="majorHAnsi"/>
          <w:sz w:val="18"/>
          <w:szCs w:val="22"/>
          <w:lang w:val="es-ES_tradnl"/>
        </w:rPr>
      </w:pPr>
    </w:p>
    <w:p w14:paraId="4AE4FBFB" w14:textId="77777777" w:rsidR="002C1641" w:rsidRPr="003C32BC" w:rsidRDefault="002C1641" w:rsidP="000F5A08">
      <w:pPr>
        <w:suppressAutoHyphens/>
        <w:jc w:val="center"/>
        <w:rPr>
          <w:rFonts w:asciiTheme="majorHAnsi" w:hAnsiTheme="majorHAnsi"/>
          <w:sz w:val="18"/>
          <w:szCs w:val="22"/>
          <w:lang w:val="es-ES_tradnl"/>
        </w:rPr>
      </w:pPr>
    </w:p>
    <w:p w14:paraId="4DA3B2C3" w14:textId="77777777" w:rsidR="002C1641" w:rsidRPr="003C32BC" w:rsidRDefault="003C32BC" w:rsidP="000F5A08">
      <w:pPr>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3B314DC9">
                <wp:simplePos x="0" y="0"/>
                <wp:positionH relativeFrom="column">
                  <wp:posOffset>1200622</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CEA74A8" w:rsidR="00F644E6" w:rsidRPr="008154B2" w:rsidRDefault="008154B2" w:rsidP="00F644E6">
                            <w:pPr>
                              <w:spacing w:line="276" w:lineRule="auto"/>
                              <w:rPr>
                                <w:rFonts w:asciiTheme="majorHAnsi" w:hAnsiTheme="majorHAnsi"/>
                                <w:bCs/>
                                <w:color w:val="595959" w:themeColor="text1" w:themeTint="A6"/>
                                <w:sz w:val="18"/>
                              </w:rPr>
                            </w:pPr>
                            <w:r w:rsidRPr="008154B2">
                              <w:rPr>
                                <w:rFonts w:asciiTheme="majorHAnsi" w:hAnsiTheme="majorHAnsi"/>
                                <w:bCs/>
                                <w:color w:val="595959" w:themeColor="text1" w:themeTint="A6"/>
                                <w:sz w:val="18"/>
                                <w:lang w:val="es-419"/>
                              </w:rPr>
                              <w:t>Citar como: CIDH, Informe No. 18</w:t>
                            </w:r>
                            <w:r w:rsidR="00410D20">
                              <w:rPr>
                                <w:rFonts w:asciiTheme="majorHAnsi" w:hAnsiTheme="majorHAnsi"/>
                                <w:bCs/>
                                <w:color w:val="595959" w:themeColor="text1" w:themeTint="A6"/>
                                <w:sz w:val="18"/>
                                <w:lang w:val="es-419"/>
                              </w:rPr>
                              <w:t>3</w:t>
                            </w:r>
                            <w:r w:rsidRPr="008154B2">
                              <w:rPr>
                                <w:rFonts w:asciiTheme="majorHAnsi" w:hAnsiTheme="majorHAnsi"/>
                                <w:bCs/>
                                <w:color w:val="595959" w:themeColor="text1" w:themeTint="A6"/>
                                <w:sz w:val="18"/>
                                <w:lang w:val="es-419"/>
                              </w:rPr>
                              <w:t xml:space="preserve">/21, Petición </w:t>
                            </w:r>
                            <w:r w:rsidR="00410D20">
                              <w:rPr>
                                <w:rFonts w:asciiTheme="majorHAnsi" w:hAnsiTheme="majorHAnsi"/>
                                <w:bCs/>
                                <w:color w:val="595959" w:themeColor="text1" w:themeTint="A6"/>
                                <w:sz w:val="18"/>
                                <w:lang w:val="es-419"/>
                              </w:rPr>
                              <w:t>313</w:t>
                            </w:r>
                            <w:r w:rsidRPr="008154B2">
                              <w:rPr>
                                <w:rFonts w:asciiTheme="majorHAnsi" w:hAnsiTheme="majorHAnsi"/>
                                <w:bCs/>
                                <w:color w:val="595959" w:themeColor="text1" w:themeTint="A6"/>
                                <w:sz w:val="18"/>
                                <w:lang w:val="es-419"/>
                              </w:rPr>
                              <w:t>-1</w:t>
                            </w:r>
                            <w:r w:rsidR="00410D20">
                              <w:rPr>
                                <w:rFonts w:asciiTheme="majorHAnsi" w:hAnsiTheme="majorHAnsi"/>
                                <w:bCs/>
                                <w:color w:val="595959" w:themeColor="text1" w:themeTint="A6"/>
                                <w:sz w:val="18"/>
                                <w:lang w:val="es-419"/>
                              </w:rPr>
                              <w:t>0</w:t>
                            </w:r>
                            <w:r w:rsidRPr="008154B2">
                              <w:rPr>
                                <w:rFonts w:asciiTheme="majorHAnsi" w:hAnsiTheme="majorHAnsi"/>
                                <w:bCs/>
                                <w:color w:val="595959" w:themeColor="text1" w:themeTint="A6"/>
                                <w:sz w:val="18"/>
                                <w:lang w:val="es-419"/>
                              </w:rPr>
                              <w:t xml:space="preserve">. Admisibilidad. </w:t>
                            </w:r>
                            <w:r w:rsidR="00410D20" w:rsidRPr="00410D20">
                              <w:rPr>
                                <w:rFonts w:asciiTheme="majorHAnsi" w:hAnsiTheme="majorHAnsi"/>
                                <w:bCs/>
                                <w:color w:val="595959" w:themeColor="text1" w:themeTint="A6"/>
                                <w:sz w:val="18"/>
                                <w:lang w:val="pt-BR"/>
                              </w:rPr>
                              <w:t>Víctor Manuel Pérez Ibarra</w:t>
                            </w:r>
                            <w:r w:rsidRPr="008154B2">
                              <w:rPr>
                                <w:rFonts w:asciiTheme="majorHAnsi" w:hAnsiTheme="majorHAnsi"/>
                                <w:bCs/>
                                <w:color w:val="595959" w:themeColor="text1" w:themeTint="A6"/>
                                <w:sz w:val="18"/>
                                <w:lang w:val="pt-BR"/>
                              </w:rPr>
                              <w:t>. México. 30 de agosto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4.5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" filled="f" stroked="f" strokeweight=".5pt">
                <v:textbox>
                  <w:txbxContent>
                    <w:p w14:paraId="0126B579" w14:textId="3CEA74A8" w:rsidR="00F644E6" w:rsidRPr="008154B2" w:rsidRDefault="008154B2" w:rsidP="00F644E6">
                      <w:pPr>
                        <w:spacing w:line="276" w:lineRule="auto"/>
                        <w:rPr>
                          <w:rFonts w:asciiTheme="majorHAnsi" w:hAnsiTheme="majorHAnsi"/>
                          <w:bCs/>
                          <w:color w:val="595959" w:themeColor="text1" w:themeTint="A6"/>
                          <w:sz w:val="18"/>
                        </w:rPr>
                      </w:pPr>
                      <w:r w:rsidRPr="008154B2">
                        <w:rPr>
                          <w:rFonts w:asciiTheme="majorHAnsi" w:hAnsiTheme="majorHAnsi"/>
                          <w:bCs/>
                          <w:color w:val="595959" w:themeColor="text1" w:themeTint="A6"/>
                          <w:sz w:val="18"/>
                          <w:lang w:val="es-419"/>
                        </w:rPr>
                        <w:t>Citar como: CIDH, Informe No. 18</w:t>
                      </w:r>
                      <w:r w:rsidR="00410D20">
                        <w:rPr>
                          <w:rFonts w:asciiTheme="majorHAnsi" w:hAnsiTheme="majorHAnsi"/>
                          <w:bCs/>
                          <w:color w:val="595959" w:themeColor="text1" w:themeTint="A6"/>
                          <w:sz w:val="18"/>
                          <w:lang w:val="es-419"/>
                        </w:rPr>
                        <w:t>3</w:t>
                      </w:r>
                      <w:r w:rsidRPr="008154B2">
                        <w:rPr>
                          <w:rFonts w:asciiTheme="majorHAnsi" w:hAnsiTheme="majorHAnsi"/>
                          <w:bCs/>
                          <w:color w:val="595959" w:themeColor="text1" w:themeTint="A6"/>
                          <w:sz w:val="18"/>
                          <w:lang w:val="es-419"/>
                        </w:rPr>
                        <w:t xml:space="preserve">/21, Petición </w:t>
                      </w:r>
                      <w:r w:rsidR="00410D20">
                        <w:rPr>
                          <w:rFonts w:asciiTheme="majorHAnsi" w:hAnsiTheme="majorHAnsi"/>
                          <w:bCs/>
                          <w:color w:val="595959" w:themeColor="text1" w:themeTint="A6"/>
                          <w:sz w:val="18"/>
                          <w:lang w:val="es-419"/>
                        </w:rPr>
                        <w:t>313</w:t>
                      </w:r>
                      <w:r w:rsidRPr="008154B2">
                        <w:rPr>
                          <w:rFonts w:asciiTheme="majorHAnsi" w:hAnsiTheme="majorHAnsi"/>
                          <w:bCs/>
                          <w:color w:val="595959" w:themeColor="text1" w:themeTint="A6"/>
                          <w:sz w:val="18"/>
                          <w:lang w:val="es-419"/>
                        </w:rPr>
                        <w:t>-1</w:t>
                      </w:r>
                      <w:r w:rsidR="00410D20">
                        <w:rPr>
                          <w:rFonts w:asciiTheme="majorHAnsi" w:hAnsiTheme="majorHAnsi"/>
                          <w:bCs/>
                          <w:color w:val="595959" w:themeColor="text1" w:themeTint="A6"/>
                          <w:sz w:val="18"/>
                          <w:lang w:val="es-419"/>
                        </w:rPr>
                        <w:t>0</w:t>
                      </w:r>
                      <w:r w:rsidRPr="008154B2">
                        <w:rPr>
                          <w:rFonts w:asciiTheme="majorHAnsi" w:hAnsiTheme="majorHAnsi"/>
                          <w:bCs/>
                          <w:color w:val="595959" w:themeColor="text1" w:themeTint="A6"/>
                          <w:sz w:val="18"/>
                          <w:lang w:val="es-419"/>
                        </w:rPr>
                        <w:t xml:space="preserve">. Admisibilidad. </w:t>
                      </w:r>
                      <w:r w:rsidR="00410D20" w:rsidRPr="00410D20">
                        <w:rPr>
                          <w:rFonts w:asciiTheme="majorHAnsi" w:hAnsiTheme="majorHAnsi"/>
                          <w:bCs/>
                          <w:color w:val="595959" w:themeColor="text1" w:themeTint="A6"/>
                          <w:sz w:val="18"/>
                          <w:lang w:val="pt-BR"/>
                        </w:rPr>
                        <w:t>Víctor Manuel Pérez Ibarra</w:t>
                      </w:r>
                      <w:r w:rsidRPr="008154B2">
                        <w:rPr>
                          <w:rFonts w:asciiTheme="majorHAnsi" w:hAnsiTheme="majorHAnsi"/>
                          <w:bCs/>
                          <w:color w:val="595959" w:themeColor="text1" w:themeTint="A6"/>
                          <w:sz w:val="18"/>
                          <w:lang w:val="pt-BR"/>
                        </w:rPr>
                        <w:t>. México. 30 de agosto de 2021.</w:t>
                      </w:r>
                    </w:p>
                  </w:txbxContent>
                </v:textbox>
              </v:shape>
            </w:pict>
          </mc:Fallback>
        </mc:AlternateContent>
      </w:r>
    </w:p>
    <w:p w14:paraId="1C0DAFDE" w14:textId="77777777" w:rsidR="002C1641" w:rsidRPr="003C32BC" w:rsidRDefault="002C1641" w:rsidP="000F5A08">
      <w:pPr>
        <w:suppressAutoHyphens/>
        <w:jc w:val="center"/>
        <w:rPr>
          <w:rFonts w:asciiTheme="majorHAnsi" w:hAnsiTheme="majorHAnsi"/>
          <w:sz w:val="18"/>
          <w:szCs w:val="22"/>
          <w:lang w:val="es-ES_tradnl"/>
        </w:rPr>
      </w:pPr>
    </w:p>
    <w:p w14:paraId="5420A6FF" w14:textId="77777777" w:rsidR="002C1641" w:rsidRPr="003C32BC" w:rsidRDefault="002C1641" w:rsidP="000F5A08">
      <w:pPr>
        <w:suppressAutoHyphens/>
        <w:jc w:val="center"/>
        <w:rPr>
          <w:rFonts w:asciiTheme="majorHAnsi" w:hAnsiTheme="majorHAnsi"/>
          <w:sz w:val="18"/>
          <w:szCs w:val="22"/>
          <w:lang w:val="es-ES_tradnl"/>
        </w:rPr>
      </w:pPr>
    </w:p>
    <w:p w14:paraId="03B36C31" w14:textId="77777777" w:rsidR="003C32BC" w:rsidRPr="003C32BC" w:rsidRDefault="003C32BC" w:rsidP="000F5A08">
      <w:pPr>
        <w:suppressAutoHyphens/>
        <w:jc w:val="center"/>
        <w:rPr>
          <w:rFonts w:asciiTheme="majorHAnsi" w:hAnsiTheme="majorHAnsi"/>
          <w:sz w:val="18"/>
          <w:szCs w:val="22"/>
        </w:rPr>
      </w:pPr>
    </w:p>
    <w:p w14:paraId="154A4854" w14:textId="77777777" w:rsidR="003C32BC" w:rsidRPr="003C32BC" w:rsidRDefault="006311DA" w:rsidP="000F5A08">
      <w:pPr>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2D08DBBC" w:rsidR="003C32BC" w:rsidRDefault="00410D20">
                            <w:r>
                              <w:rPr>
                                <w:noProof/>
                              </w:rPr>
                              <w:drawing>
                                <wp:inline distT="0" distB="0" distL="0" distR="0" wp14:anchorId="47E293A3" wp14:editId="5A46B3F9">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0" cstate="print"/>
                                          <a:stretch>
                                            <a:fillRect/>
                                          </a:stretch>
                                        </pic:blipFill>
                                        <pic:spPr>
                                          <a:xfrm>
                                            <a:off x="0" y="0"/>
                                            <a:ext cx="1507490"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2D08DBBC" w:rsidR="003C32BC" w:rsidRDefault="00410D20">
                      <w:r>
                        <w:rPr>
                          <w:noProof/>
                        </w:rPr>
                        <w:drawing>
                          <wp:inline distT="0" distB="0" distL="0" distR="0" wp14:anchorId="47E293A3" wp14:editId="5A46B3F9">
                            <wp:extent cx="1507490" cy="3879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1" cstate="print"/>
                                    <a:stretch>
                                      <a:fillRect/>
                                    </a:stretch>
                                  </pic:blipFill>
                                  <pic:spPr>
                                    <a:xfrm>
                                      <a:off x="0" y="0"/>
                                      <a:ext cx="1507490" cy="387985"/>
                                    </a:xfrm>
                                    <a:prstGeom prst="rect">
                                      <a:avLst/>
                                    </a:prstGeom>
                                  </pic:spPr>
                                </pic:pic>
                              </a:graphicData>
                            </a:graphic>
                          </wp:inline>
                        </w:drawing>
                      </w:r>
                    </w:p>
                  </w:txbxContent>
                </v:textbox>
              </v:shape>
            </w:pict>
          </mc:Fallback>
        </mc:AlternateContent>
      </w:r>
    </w:p>
    <w:p w14:paraId="5DC57EA7" w14:textId="77777777" w:rsidR="007607C4" w:rsidRDefault="007607C4" w:rsidP="000F5A08">
      <w:pPr>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555DEF09" w:rsidR="00F621C3" w:rsidRPr="002054F2" w:rsidRDefault="00F621C3" w:rsidP="000F5A08">
      <w:pPr>
        <w:spacing w:after="240"/>
        <w:ind w:firstLine="720"/>
        <w:jc w:val="both"/>
        <w:rPr>
          <w:rFonts w:asciiTheme="majorHAnsi" w:hAnsiTheme="majorHAnsi"/>
          <w:b/>
          <w:bCs/>
          <w:sz w:val="20"/>
          <w:szCs w:val="20"/>
          <w:lang w:val="es-AR"/>
        </w:rPr>
      </w:pPr>
      <w:r w:rsidRPr="002054F2">
        <w:rPr>
          <w:rFonts w:asciiTheme="majorHAnsi" w:hAnsiTheme="majorHAnsi"/>
          <w:b/>
          <w:bCs/>
          <w:sz w:val="20"/>
          <w:szCs w:val="20"/>
          <w:lang w:val="es-AR"/>
        </w:rPr>
        <w:lastRenderedPageBreak/>
        <w:t>I.</w:t>
      </w:r>
      <w:r w:rsidRPr="002054F2">
        <w:rPr>
          <w:rFonts w:asciiTheme="majorHAnsi" w:hAnsiTheme="majorHAnsi"/>
          <w:b/>
          <w:bCs/>
          <w:sz w:val="20"/>
          <w:szCs w:val="20"/>
          <w:lang w:val="es-AR"/>
        </w:rPr>
        <w:tab/>
      </w:r>
      <w:r w:rsidR="002054F2" w:rsidRPr="002054F2">
        <w:rPr>
          <w:rFonts w:asciiTheme="majorHAnsi" w:hAnsiTheme="majorHAnsi"/>
          <w:b/>
          <w:bCs/>
          <w:sz w:val="20"/>
          <w:szCs w:val="20"/>
          <w:lang w:val="es-AR"/>
        </w:rPr>
        <w:t>DATOS DE LA PETICIÓN</w:t>
      </w:r>
      <w:r w:rsidRPr="002054F2">
        <w:rPr>
          <w:rFonts w:asciiTheme="majorHAnsi" w:hAnsiTheme="majorHAnsi"/>
          <w:b/>
          <w:bCs/>
          <w:sz w:val="20"/>
          <w:szCs w:val="20"/>
          <w:lang w:val="es-A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D4E4F" w14:paraId="491E8196" w14:textId="77777777" w:rsidTr="002054F2">
        <w:tc>
          <w:tcPr>
            <w:tcW w:w="3690" w:type="dxa"/>
            <w:tcBorders>
              <w:top w:val="single" w:sz="4" w:space="0" w:color="auto"/>
              <w:bottom w:val="single" w:sz="6" w:space="0" w:color="auto"/>
            </w:tcBorders>
            <w:shd w:val="clear" w:color="auto" w:fill="4A7194"/>
            <w:vAlign w:val="center"/>
          </w:tcPr>
          <w:p w14:paraId="5524F917" w14:textId="3F17457A"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Parte peticionaria</w:t>
            </w:r>
            <w:r w:rsidR="00F621C3" w:rsidRPr="000B6B7A">
              <w:rPr>
                <w:rFonts w:ascii="Cambria" w:hAnsi="Cambria"/>
                <w:b/>
                <w:bCs/>
                <w:color w:val="FFFFFF" w:themeColor="background1"/>
                <w:sz w:val="20"/>
                <w:szCs w:val="20"/>
              </w:rPr>
              <w:t>:</w:t>
            </w:r>
          </w:p>
        </w:tc>
        <w:tc>
          <w:tcPr>
            <w:tcW w:w="5670" w:type="dxa"/>
            <w:vAlign w:val="center"/>
          </w:tcPr>
          <w:p w14:paraId="0674C7B8" w14:textId="548F8885" w:rsidR="00F621C3" w:rsidRPr="009D4E4F" w:rsidRDefault="00634139" w:rsidP="000F5A08">
            <w:pPr>
              <w:jc w:val="both"/>
              <w:rPr>
                <w:rFonts w:ascii="Cambria" w:hAnsi="Cambria"/>
                <w:bCs/>
                <w:sz w:val="20"/>
                <w:szCs w:val="20"/>
                <w:lang w:val="es-US"/>
              </w:rPr>
            </w:pPr>
            <w:bookmarkStart w:id="0" w:name="_Hlk72323458"/>
            <w:r w:rsidRPr="009D4E4F">
              <w:rPr>
                <w:rFonts w:asciiTheme="majorHAnsi" w:hAnsiTheme="majorHAnsi"/>
                <w:sz w:val="20"/>
                <w:szCs w:val="20"/>
                <w:lang w:val="es-US"/>
              </w:rPr>
              <w:t>Víctor Manuel Pérez Ibarra</w:t>
            </w:r>
            <w:bookmarkEnd w:id="0"/>
            <w:r w:rsidRPr="009D4E4F">
              <w:rPr>
                <w:rFonts w:asciiTheme="majorHAnsi" w:hAnsiTheme="majorHAnsi"/>
                <w:sz w:val="20"/>
                <w:szCs w:val="20"/>
                <w:lang w:val="es-US"/>
              </w:rPr>
              <w:t xml:space="preserve">, Marisol Vásquez Sevilla, </w:t>
            </w:r>
            <w:proofErr w:type="spellStart"/>
            <w:r w:rsidRPr="009D4E4F">
              <w:rPr>
                <w:rFonts w:asciiTheme="majorHAnsi" w:hAnsiTheme="majorHAnsi"/>
                <w:sz w:val="20"/>
                <w:szCs w:val="20"/>
                <w:lang w:val="es-US"/>
              </w:rPr>
              <w:t>Yessica</w:t>
            </w:r>
            <w:proofErr w:type="spellEnd"/>
            <w:r w:rsidRPr="009D4E4F">
              <w:rPr>
                <w:rFonts w:asciiTheme="majorHAnsi" w:hAnsiTheme="majorHAnsi"/>
                <w:sz w:val="20"/>
                <w:szCs w:val="20"/>
                <w:lang w:val="es-US"/>
              </w:rPr>
              <w:t xml:space="preserve"> Daniela Pérez Vásquez</w:t>
            </w:r>
          </w:p>
        </w:tc>
      </w:tr>
      <w:tr w:rsidR="00F621C3" w:rsidRPr="000B3E1F" w14:paraId="0F4A57A0" w14:textId="77777777" w:rsidTr="002054F2">
        <w:tc>
          <w:tcPr>
            <w:tcW w:w="3690" w:type="dxa"/>
            <w:tcBorders>
              <w:top w:val="single" w:sz="6" w:space="0" w:color="auto"/>
              <w:bottom w:val="single" w:sz="6" w:space="0" w:color="auto"/>
            </w:tcBorders>
            <w:shd w:val="clear" w:color="auto" w:fill="4A7194"/>
            <w:vAlign w:val="center"/>
          </w:tcPr>
          <w:p w14:paraId="325E239F" w14:textId="2B22D157" w:rsidR="00F621C3" w:rsidRPr="000B6B7A" w:rsidRDefault="002054F2" w:rsidP="000F5A08">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Presunta</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víctima</w:t>
            </w:r>
            <w:proofErr w:type="spellEnd"/>
            <w:r>
              <w:rPr>
                <w:rFonts w:ascii="Cambria" w:hAnsi="Cambria"/>
                <w:b/>
                <w:bCs/>
                <w:color w:val="FFFFFF" w:themeColor="background1"/>
                <w:sz w:val="20"/>
                <w:szCs w:val="20"/>
              </w:rPr>
              <w:t>:</w:t>
            </w:r>
          </w:p>
        </w:tc>
        <w:tc>
          <w:tcPr>
            <w:tcW w:w="5670" w:type="dxa"/>
            <w:vAlign w:val="center"/>
          </w:tcPr>
          <w:p w14:paraId="60895337" w14:textId="1C7D4694" w:rsidR="00F621C3" w:rsidRPr="006F3AE4" w:rsidRDefault="00634139" w:rsidP="000F5A08">
            <w:pPr>
              <w:jc w:val="both"/>
              <w:rPr>
                <w:rFonts w:ascii="Cambria" w:hAnsi="Cambria"/>
                <w:bCs/>
                <w:sz w:val="20"/>
                <w:szCs w:val="20"/>
                <w:lang w:val="es-AR"/>
              </w:rPr>
            </w:pPr>
            <w:r w:rsidRPr="005A3F75">
              <w:rPr>
                <w:rFonts w:asciiTheme="majorHAnsi" w:hAnsiTheme="majorHAnsi"/>
                <w:sz w:val="20"/>
                <w:szCs w:val="20"/>
              </w:rPr>
              <w:t>Víctor Manuel Pérez Ibarra</w:t>
            </w:r>
          </w:p>
        </w:tc>
      </w:tr>
      <w:tr w:rsidR="00F621C3" w:rsidRPr="000B6B7A" w14:paraId="067638D2" w14:textId="77777777" w:rsidTr="002054F2">
        <w:tc>
          <w:tcPr>
            <w:tcW w:w="3690" w:type="dxa"/>
            <w:tcBorders>
              <w:top w:val="single" w:sz="6" w:space="0" w:color="auto"/>
              <w:bottom w:val="single" w:sz="6" w:space="0" w:color="auto"/>
            </w:tcBorders>
            <w:shd w:val="clear" w:color="auto" w:fill="4A7194"/>
            <w:vAlign w:val="center"/>
          </w:tcPr>
          <w:p w14:paraId="32104528" w14:textId="0CB5BD97" w:rsidR="00F621C3"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p>
        </w:tc>
        <w:tc>
          <w:tcPr>
            <w:tcW w:w="5670" w:type="dxa"/>
            <w:vAlign w:val="center"/>
          </w:tcPr>
          <w:p w14:paraId="3539D391" w14:textId="4D188CF9" w:rsidR="00F621C3" w:rsidRPr="000B6B7A" w:rsidRDefault="00911673" w:rsidP="000F5A08">
            <w:pPr>
              <w:jc w:val="both"/>
              <w:rPr>
                <w:rFonts w:ascii="Cambria" w:hAnsi="Cambria"/>
                <w:bCs/>
                <w:sz w:val="20"/>
                <w:szCs w:val="20"/>
              </w:rPr>
            </w:pPr>
            <w:r w:rsidRPr="00911673">
              <w:rPr>
                <w:rFonts w:ascii="Cambria" w:hAnsi="Cambria"/>
                <w:bCs/>
                <w:sz w:val="20"/>
                <w:szCs w:val="20"/>
              </w:rPr>
              <w:t>México</w:t>
            </w:r>
            <w:r w:rsidR="00346740">
              <w:rPr>
                <w:rStyle w:val="FootnoteReference"/>
                <w:rFonts w:ascii="Cambria" w:hAnsi="Cambria"/>
                <w:bCs/>
                <w:sz w:val="20"/>
                <w:szCs w:val="20"/>
              </w:rPr>
              <w:footnoteReference w:id="2"/>
            </w:r>
          </w:p>
        </w:tc>
      </w:tr>
      <w:tr w:rsidR="00E47F3D" w:rsidRPr="009D4E4F" w14:paraId="57F2C481" w14:textId="77777777" w:rsidTr="002054F2">
        <w:tc>
          <w:tcPr>
            <w:tcW w:w="3690" w:type="dxa"/>
            <w:tcBorders>
              <w:top w:val="single" w:sz="6" w:space="0" w:color="auto"/>
              <w:bottom w:val="single" w:sz="6" w:space="0" w:color="auto"/>
            </w:tcBorders>
            <w:shd w:val="clear" w:color="auto" w:fill="4A7194"/>
            <w:vAlign w:val="center"/>
          </w:tcPr>
          <w:p w14:paraId="62BEEF4B" w14:textId="4947C01E" w:rsidR="00E47F3D" w:rsidRPr="000B6B7A" w:rsidRDefault="002054F2" w:rsidP="000F5A08">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670" w:type="dxa"/>
            <w:vAlign w:val="center"/>
          </w:tcPr>
          <w:p w14:paraId="51EEF9D2" w14:textId="6233962D" w:rsidR="00E47F3D" w:rsidRPr="00634139" w:rsidRDefault="00634139" w:rsidP="000F5A08">
            <w:pPr>
              <w:jc w:val="both"/>
              <w:rPr>
                <w:rFonts w:ascii="Cambria" w:hAnsi="Cambria"/>
                <w:bCs/>
                <w:sz w:val="20"/>
                <w:szCs w:val="20"/>
                <w:lang w:val="es-419"/>
              </w:rPr>
            </w:pPr>
            <w:r w:rsidRPr="00634139">
              <w:rPr>
                <w:rFonts w:asciiTheme="majorHAnsi" w:hAnsiTheme="majorHAnsi"/>
                <w:sz w:val="20"/>
                <w:szCs w:val="20"/>
                <w:lang w:val="es-419"/>
              </w:rPr>
              <w:t>Artículos 5 (integridad personal), 7 (libertad personal), 8 (garantías judiciales), 25 (protección judicial) de la Convención Americana sobre Derechos Humanos.</w:t>
            </w:r>
          </w:p>
        </w:tc>
      </w:tr>
    </w:tbl>
    <w:p w14:paraId="006E8D49" w14:textId="73A051E4" w:rsidR="00F621C3" w:rsidRPr="002054F2" w:rsidRDefault="00F621C3" w:rsidP="000F5A08">
      <w:pPr>
        <w:spacing w:before="240" w:after="240"/>
        <w:ind w:firstLine="720"/>
        <w:jc w:val="both"/>
        <w:rPr>
          <w:rFonts w:asciiTheme="majorHAnsi" w:hAnsiTheme="majorHAnsi"/>
          <w:b/>
          <w:bCs/>
          <w:sz w:val="20"/>
          <w:szCs w:val="20"/>
          <w:lang w:val="es-AR"/>
        </w:rPr>
      </w:pPr>
      <w:r w:rsidRPr="002054F2">
        <w:rPr>
          <w:rFonts w:asciiTheme="majorHAnsi" w:hAnsiTheme="majorHAnsi"/>
          <w:b/>
          <w:bCs/>
          <w:sz w:val="20"/>
          <w:szCs w:val="20"/>
          <w:lang w:val="es-AR"/>
        </w:rPr>
        <w:t>II.</w:t>
      </w:r>
      <w:r w:rsidRPr="002054F2">
        <w:rPr>
          <w:rFonts w:asciiTheme="majorHAnsi" w:hAnsiTheme="majorHAnsi"/>
          <w:b/>
          <w:bCs/>
          <w:sz w:val="20"/>
          <w:szCs w:val="20"/>
          <w:lang w:val="es-AR"/>
        </w:rPr>
        <w:tab/>
      </w:r>
      <w:r w:rsidR="002054F2" w:rsidRPr="002054F2">
        <w:rPr>
          <w:rFonts w:asciiTheme="majorHAnsi" w:hAnsiTheme="majorHAnsi"/>
          <w:b/>
          <w:bCs/>
          <w:sz w:val="20"/>
          <w:szCs w:val="20"/>
          <w:lang w:val="es-AR"/>
        </w:rPr>
        <w:t>PROCEDIMIENTO ANTE LA CIDH</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634139" w:rsidRPr="000B6B7A" w14:paraId="1CAEC3AF" w14:textId="77777777" w:rsidTr="00634139">
        <w:tc>
          <w:tcPr>
            <w:tcW w:w="3690" w:type="dxa"/>
            <w:tcBorders>
              <w:top w:val="single" w:sz="6" w:space="0" w:color="auto"/>
              <w:bottom w:val="single" w:sz="6" w:space="0" w:color="auto"/>
            </w:tcBorders>
            <w:shd w:val="clear" w:color="auto" w:fill="4A7194"/>
          </w:tcPr>
          <w:p w14:paraId="5A68673F" w14:textId="7FB29CDC" w:rsidR="00634139" w:rsidRPr="000B6B7A" w:rsidRDefault="00634139" w:rsidP="00634139">
            <w:pPr>
              <w:jc w:val="center"/>
              <w:rPr>
                <w:rFonts w:ascii="Cambria" w:hAnsi="Cambria"/>
                <w:b/>
                <w:bCs/>
                <w:color w:val="FFFFFF" w:themeColor="background1"/>
                <w:sz w:val="20"/>
                <w:szCs w:val="20"/>
              </w:rPr>
            </w:pPr>
            <w:r w:rsidRPr="00346636">
              <w:rPr>
                <w:rFonts w:ascii="Cambria" w:hAnsi="Cambria"/>
                <w:b/>
                <w:bCs/>
                <w:color w:val="FFFFFF" w:themeColor="background1"/>
                <w:sz w:val="20"/>
                <w:szCs w:val="20"/>
              </w:rPr>
              <w:t>Recepción de la petición</w:t>
            </w:r>
          </w:p>
        </w:tc>
        <w:tc>
          <w:tcPr>
            <w:tcW w:w="5670" w:type="dxa"/>
          </w:tcPr>
          <w:p w14:paraId="16A35E5F" w14:textId="3370C60E" w:rsidR="00634139" w:rsidRDefault="00634139" w:rsidP="00634139">
            <w:pPr>
              <w:jc w:val="both"/>
              <w:rPr>
                <w:rFonts w:ascii="Cambria" w:hAnsi="Cambria"/>
                <w:bCs/>
                <w:sz w:val="20"/>
                <w:szCs w:val="20"/>
              </w:rPr>
            </w:pPr>
            <w:r w:rsidRPr="005A3F75">
              <w:rPr>
                <w:rFonts w:asciiTheme="majorHAnsi" w:hAnsiTheme="majorHAnsi"/>
                <w:sz w:val="20"/>
                <w:szCs w:val="20"/>
              </w:rPr>
              <w:t>8 de marzo de 2010</w:t>
            </w:r>
          </w:p>
        </w:tc>
      </w:tr>
      <w:tr w:rsidR="00634139" w:rsidRPr="009D4E4F" w14:paraId="700E913D" w14:textId="77777777" w:rsidTr="00634139">
        <w:tc>
          <w:tcPr>
            <w:tcW w:w="3690" w:type="dxa"/>
            <w:tcBorders>
              <w:top w:val="single" w:sz="6" w:space="0" w:color="auto"/>
              <w:bottom w:val="single" w:sz="6" w:space="0" w:color="auto"/>
            </w:tcBorders>
            <w:shd w:val="clear" w:color="auto" w:fill="4A7194"/>
          </w:tcPr>
          <w:p w14:paraId="296F9BAF" w14:textId="0238924C" w:rsidR="00634139" w:rsidRPr="0088579C" w:rsidRDefault="00634139" w:rsidP="00634139">
            <w:pPr>
              <w:jc w:val="center"/>
              <w:rPr>
                <w:rFonts w:ascii="Cambria" w:hAnsi="Cambria"/>
                <w:b/>
                <w:color w:val="FFFFFF" w:themeColor="background1"/>
                <w:sz w:val="20"/>
                <w:szCs w:val="20"/>
                <w:lang w:val="es-AR"/>
              </w:rPr>
            </w:pPr>
            <w:r w:rsidRPr="00634139">
              <w:rPr>
                <w:rFonts w:ascii="Cambria" w:hAnsi="Cambria"/>
                <w:b/>
                <w:bCs/>
                <w:color w:val="FFFFFF" w:themeColor="background1"/>
                <w:sz w:val="20"/>
                <w:szCs w:val="20"/>
                <w:lang w:val="es-419"/>
              </w:rPr>
              <w:t>Solicitación, por la CIDH, de informaciones adicionales a la parte peticionaria</w:t>
            </w:r>
          </w:p>
        </w:tc>
        <w:tc>
          <w:tcPr>
            <w:tcW w:w="5670" w:type="dxa"/>
          </w:tcPr>
          <w:p w14:paraId="086ADD7B" w14:textId="77777777" w:rsidR="00634139" w:rsidRPr="005A3F75" w:rsidRDefault="00634139" w:rsidP="00634139">
            <w:pPr>
              <w:pStyle w:val="TableParagraph"/>
              <w:spacing w:line="205" w:lineRule="exact"/>
              <w:ind w:right="80"/>
              <w:rPr>
                <w:rFonts w:asciiTheme="majorHAnsi" w:hAnsiTheme="majorHAnsi"/>
                <w:sz w:val="20"/>
                <w:szCs w:val="20"/>
              </w:rPr>
            </w:pPr>
          </w:p>
          <w:p w14:paraId="7BB83332" w14:textId="06BF7BB9" w:rsidR="00634139" w:rsidRPr="00634139" w:rsidRDefault="00634139" w:rsidP="00634139">
            <w:pPr>
              <w:jc w:val="both"/>
              <w:rPr>
                <w:rFonts w:ascii="Cambria" w:hAnsi="Cambria"/>
                <w:bCs/>
                <w:sz w:val="20"/>
                <w:szCs w:val="20"/>
                <w:lang w:val="es-419"/>
              </w:rPr>
            </w:pPr>
            <w:r w:rsidRPr="00634139">
              <w:rPr>
                <w:rFonts w:asciiTheme="majorHAnsi" w:hAnsiTheme="majorHAnsi"/>
                <w:sz w:val="20"/>
                <w:szCs w:val="20"/>
                <w:lang w:val="es-419"/>
              </w:rPr>
              <w:t>30 de enero de 2015, 8 de noviembre de 2016</w:t>
            </w:r>
          </w:p>
        </w:tc>
      </w:tr>
      <w:tr w:rsidR="00634139" w:rsidRPr="009D4E4F" w14:paraId="7EAB2BD7" w14:textId="77777777" w:rsidTr="00634139">
        <w:tc>
          <w:tcPr>
            <w:tcW w:w="3690" w:type="dxa"/>
            <w:tcBorders>
              <w:top w:val="single" w:sz="6" w:space="0" w:color="auto"/>
              <w:bottom w:val="single" w:sz="6" w:space="0" w:color="auto"/>
            </w:tcBorders>
            <w:shd w:val="clear" w:color="auto" w:fill="4A7194"/>
          </w:tcPr>
          <w:p w14:paraId="5739194D" w14:textId="4F511027" w:rsidR="00634139" w:rsidRPr="00634139" w:rsidRDefault="00634139" w:rsidP="00634139">
            <w:pPr>
              <w:jc w:val="center"/>
              <w:rPr>
                <w:rFonts w:ascii="Cambria" w:hAnsi="Cambria"/>
                <w:b/>
                <w:bCs/>
                <w:color w:val="FFFFFF" w:themeColor="background1"/>
                <w:sz w:val="20"/>
                <w:szCs w:val="20"/>
                <w:lang w:val="es-419"/>
              </w:rPr>
            </w:pPr>
            <w:r w:rsidRPr="00634139">
              <w:rPr>
                <w:rFonts w:ascii="Cambria" w:hAnsi="Cambria"/>
                <w:b/>
                <w:bCs/>
                <w:color w:val="FFFFFF" w:themeColor="background1"/>
                <w:sz w:val="20"/>
                <w:szCs w:val="20"/>
                <w:lang w:val="es-419"/>
              </w:rPr>
              <w:t>Observaciones adicionales de la parte peticionaria</w:t>
            </w:r>
          </w:p>
        </w:tc>
        <w:tc>
          <w:tcPr>
            <w:tcW w:w="5670" w:type="dxa"/>
          </w:tcPr>
          <w:p w14:paraId="284E9281" w14:textId="7AFA18FB" w:rsidR="00634139" w:rsidRPr="009D4E4F" w:rsidRDefault="00634139" w:rsidP="00634139">
            <w:pPr>
              <w:jc w:val="both"/>
              <w:rPr>
                <w:rFonts w:ascii="Cambria" w:hAnsi="Cambria"/>
                <w:bCs/>
                <w:sz w:val="20"/>
                <w:szCs w:val="20"/>
                <w:lang w:val="es-US"/>
              </w:rPr>
            </w:pPr>
            <w:r w:rsidRPr="005A3F75">
              <w:rPr>
                <w:rFonts w:asciiTheme="majorHAnsi" w:hAnsiTheme="majorHAnsi"/>
                <w:sz w:val="20"/>
                <w:szCs w:val="20"/>
                <w:lang w:val="pt-BR"/>
              </w:rPr>
              <w:t>16 de agosto de 2010, 29 de julio de 2015, 22 de noviembre de 2016, 8 de noviembre de 2017</w:t>
            </w:r>
          </w:p>
        </w:tc>
      </w:tr>
      <w:tr w:rsidR="00634139" w:rsidRPr="000B6B7A" w14:paraId="56560AE1" w14:textId="77777777" w:rsidTr="00634139">
        <w:trPr>
          <w:trHeight w:val="264"/>
        </w:trPr>
        <w:tc>
          <w:tcPr>
            <w:tcW w:w="3690" w:type="dxa"/>
            <w:tcBorders>
              <w:top w:val="single" w:sz="6" w:space="0" w:color="auto"/>
              <w:bottom w:val="single" w:sz="6" w:space="0" w:color="auto"/>
            </w:tcBorders>
            <w:shd w:val="clear" w:color="auto" w:fill="4A7194"/>
          </w:tcPr>
          <w:p w14:paraId="5D51063B" w14:textId="73E577E4" w:rsidR="00634139" w:rsidRPr="000B6B7A" w:rsidRDefault="00634139" w:rsidP="00634139">
            <w:pPr>
              <w:jc w:val="center"/>
              <w:rPr>
                <w:rFonts w:ascii="Cambria" w:hAnsi="Cambria"/>
                <w:b/>
                <w:bCs/>
                <w:color w:val="FFFFFF" w:themeColor="background1"/>
                <w:sz w:val="20"/>
                <w:szCs w:val="20"/>
              </w:rPr>
            </w:pPr>
            <w:proofErr w:type="spellStart"/>
            <w:r w:rsidRPr="00346636">
              <w:rPr>
                <w:rFonts w:ascii="Cambria" w:hAnsi="Cambria"/>
                <w:b/>
                <w:bCs/>
                <w:color w:val="FFFFFF" w:themeColor="background1"/>
                <w:sz w:val="20"/>
                <w:szCs w:val="20"/>
              </w:rPr>
              <w:t>Notificación</w:t>
            </w:r>
            <w:proofErr w:type="spellEnd"/>
            <w:r w:rsidRPr="00346636">
              <w:rPr>
                <w:rFonts w:ascii="Cambria" w:hAnsi="Cambria"/>
                <w:b/>
                <w:bCs/>
                <w:color w:val="FFFFFF" w:themeColor="background1"/>
                <w:sz w:val="20"/>
                <w:szCs w:val="20"/>
              </w:rPr>
              <w:t xml:space="preserve"> de la </w:t>
            </w:r>
            <w:proofErr w:type="spellStart"/>
            <w:r w:rsidRPr="00346636">
              <w:rPr>
                <w:rFonts w:ascii="Cambria" w:hAnsi="Cambria"/>
                <w:b/>
                <w:bCs/>
                <w:color w:val="FFFFFF" w:themeColor="background1"/>
                <w:sz w:val="20"/>
                <w:szCs w:val="20"/>
              </w:rPr>
              <w:t>petición</w:t>
            </w:r>
            <w:proofErr w:type="spellEnd"/>
          </w:p>
        </w:tc>
        <w:tc>
          <w:tcPr>
            <w:tcW w:w="5670" w:type="dxa"/>
          </w:tcPr>
          <w:p w14:paraId="4EEE282E" w14:textId="679D5EE6" w:rsidR="00634139" w:rsidRDefault="00634139" w:rsidP="00634139">
            <w:pPr>
              <w:jc w:val="both"/>
              <w:rPr>
                <w:rFonts w:ascii="Cambria" w:hAnsi="Cambria"/>
                <w:bCs/>
                <w:sz w:val="20"/>
                <w:szCs w:val="20"/>
              </w:rPr>
            </w:pPr>
            <w:r w:rsidRPr="005A3F75">
              <w:rPr>
                <w:rFonts w:asciiTheme="majorHAnsi" w:hAnsiTheme="majorHAnsi"/>
                <w:sz w:val="20"/>
                <w:szCs w:val="20"/>
              </w:rPr>
              <w:t>29 de marzo de 2017</w:t>
            </w:r>
          </w:p>
        </w:tc>
      </w:tr>
      <w:tr w:rsidR="00634139" w:rsidRPr="000B6B7A" w14:paraId="7A8A8A3C" w14:textId="77777777" w:rsidTr="00634139">
        <w:tc>
          <w:tcPr>
            <w:tcW w:w="3690" w:type="dxa"/>
            <w:tcBorders>
              <w:top w:val="single" w:sz="6" w:space="0" w:color="auto"/>
              <w:bottom w:val="single" w:sz="6" w:space="0" w:color="auto"/>
            </w:tcBorders>
            <w:shd w:val="clear" w:color="auto" w:fill="4A7194"/>
          </w:tcPr>
          <w:p w14:paraId="3D526F2F" w14:textId="453560DC" w:rsidR="00634139" w:rsidRPr="002054F2" w:rsidRDefault="00634139" w:rsidP="00634139">
            <w:pPr>
              <w:jc w:val="center"/>
              <w:rPr>
                <w:rFonts w:ascii="Cambria" w:hAnsi="Cambria"/>
                <w:b/>
                <w:bCs/>
                <w:color w:val="FFFFFF" w:themeColor="background1"/>
                <w:sz w:val="20"/>
                <w:szCs w:val="20"/>
                <w:lang w:val="es-AR"/>
              </w:rPr>
            </w:pPr>
            <w:r w:rsidRPr="00346636">
              <w:rPr>
                <w:rFonts w:ascii="Cambria" w:hAnsi="Cambria"/>
                <w:b/>
                <w:bCs/>
                <w:color w:val="FFFFFF" w:themeColor="background1"/>
                <w:sz w:val="20"/>
                <w:szCs w:val="20"/>
              </w:rPr>
              <w:t>Primera respuesta del Estado</w:t>
            </w:r>
          </w:p>
        </w:tc>
        <w:tc>
          <w:tcPr>
            <w:tcW w:w="5670" w:type="dxa"/>
          </w:tcPr>
          <w:p w14:paraId="02FC0CED" w14:textId="1B4E985D" w:rsidR="00634139" w:rsidRDefault="00634139" w:rsidP="00634139">
            <w:pPr>
              <w:jc w:val="both"/>
              <w:rPr>
                <w:rFonts w:ascii="Cambria" w:hAnsi="Cambria"/>
                <w:bCs/>
                <w:sz w:val="20"/>
                <w:szCs w:val="20"/>
              </w:rPr>
            </w:pPr>
            <w:r w:rsidRPr="005A3F75">
              <w:rPr>
                <w:rFonts w:asciiTheme="majorHAnsi" w:hAnsiTheme="majorHAnsi"/>
                <w:sz w:val="20"/>
                <w:szCs w:val="20"/>
              </w:rPr>
              <w:t>1 de agosto de 2017</w:t>
            </w:r>
          </w:p>
        </w:tc>
      </w:tr>
      <w:tr w:rsidR="00634139" w:rsidRPr="000B6B7A" w14:paraId="68CD293E" w14:textId="77777777" w:rsidTr="00634139">
        <w:tc>
          <w:tcPr>
            <w:tcW w:w="3690" w:type="dxa"/>
            <w:tcBorders>
              <w:top w:val="single" w:sz="6" w:space="0" w:color="auto"/>
              <w:bottom w:val="single" w:sz="6" w:space="0" w:color="auto"/>
            </w:tcBorders>
            <w:shd w:val="clear" w:color="auto" w:fill="4A7194"/>
          </w:tcPr>
          <w:p w14:paraId="37D6DEB7" w14:textId="2BD1BBA7" w:rsidR="00634139" w:rsidRPr="002054F2" w:rsidRDefault="00634139" w:rsidP="00634139">
            <w:pPr>
              <w:jc w:val="center"/>
              <w:rPr>
                <w:rFonts w:ascii="Cambria" w:hAnsi="Cambria"/>
                <w:b/>
                <w:bCs/>
                <w:color w:val="FFFFFF" w:themeColor="background1"/>
                <w:sz w:val="20"/>
                <w:szCs w:val="20"/>
                <w:lang w:val="es-AR"/>
              </w:rPr>
            </w:pPr>
            <w:r w:rsidRPr="00346636">
              <w:rPr>
                <w:rFonts w:ascii="Cambria" w:hAnsi="Cambria"/>
                <w:b/>
                <w:bCs/>
                <w:color w:val="FFFFFF" w:themeColor="background1"/>
                <w:sz w:val="20"/>
                <w:szCs w:val="20"/>
              </w:rPr>
              <w:t>Observaciones adicionales del Estado</w:t>
            </w:r>
          </w:p>
        </w:tc>
        <w:tc>
          <w:tcPr>
            <w:tcW w:w="5670" w:type="dxa"/>
          </w:tcPr>
          <w:p w14:paraId="0472A181" w14:textId="3137F676" w:rsidR="00634139" w:rsidRDefault="00634139" w:rsidP="00634139">
            <w:pPr>
              <w:jc w:val="both"/>
              <w:rPr>
                <w:rFonts w:ascii="Cambria" w:hAnsi="Cambria"/>
                <w:bCs/>
                <w:sz w:val="20"/>
                <w:szCs w:val="20"/>
              </w:rPr>
            </w:pPr>
            <w:r w:rsidRPr="005A3F75">
              <w:rPr>
                <w:rFonts w:asciiTheme="majorHAnsi" w:hAnsiTheme="majorHAnsi"/>
                <w:sz w:val="20"/>
                <w:szCs w:val="20"/>
              </w:rPr>
              <w:t>17 de agosto de 2018</w:t>
            </w:r>
          </w:p>
        </w:tc>
      </w:tr>
    </w:tbl>
    <w:p w14:paraId="7F88B361" w14:textId="106BB980" w:rsidR="00F621C3" w:rsidRPr="000B6B7A" w:rsidRDefault="00F621C3" w:rsidP="000F5A08">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COMPETENC</w:t>
      </w:r>
      <w:r w:rsidR="002054F2">
        <w:rPr>
          <w:rFonts w:asciiTheme="majorHAnsi" w:hAnsiTheme="majorHAnsi"/>
          <w:b/>
          <w:bCs/>
          <w:sz w:val="20"/>
          <w:szCs w:val="20"/>
        </w:rPr>
        <w:t>IA</w:t>
      </w:r>
      <w:r w:rsidRPr="000B6B7A">
        <w:rPr>
          <w:rFonts w:asciiTheme="majorHAnsi" w:hAnsiTheme="majorHAnsi"/>
          <w:b/>
          <w:bCs/>
          <w:sz w:val="20"/>
          <w:szCs w:val="20"/>
        </w:rPr>
        <w:t xml:space="preserve"> </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48"/>
        <w:gridCol w:w="5594"/>
      </w:tblGrid>
      <w:tr w:rsidR="00634139" w:rsidRPr="000B6B7A" w14:paraId="2F81CC8B" w14:textId="77777777" w:rsidTr="00634139">
        <w:trPr>
          <w:cantSplit/>
        </w:trPr>
        <w:tc>
          <w:tcPr>
            <w:tcW w:w="3648" w:type="dxa"/>
            <w:tcBorders>
              <w:top w:val="single" w:sz="4" w:space="0" w:color="auto"/>
              <w:bottom w:val="single" w:sz="6" w:space="0" w:color="auto"/>
            </w:tcBorders>
            <w:shd w:val="clear" w:color="auto" w:fill="4A7194"/>
            <w:vAlign w:val="center"/>
          </w:tcPr>
          <w:p w14:paraId="3A568008" w14:textId="63FFBBD0" w:rsidR="00634139" w:rsidRPr="000B6B7A" w:rsidRDefault="00634139" w:rsidP="00634139">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w:t>
            </w:r>
            <w:r>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personae:</w:t>
            </w:r>
          </w:p>
        </w:tc>
        <w:tc>
          <w:tcPr>
            <w:tcW w:w="5594" w:type="dxa"/>
          </w:tcPr>
          <w:p w14:paraId="476C9B00" w14:textId="2BC304F9" w:rsidR="00634139" w:rsidRDefault="00634139" w:rsidP="00634139">
            <w:pPr>
              <w:rPr>
                <w:rFonts w:asciiTheme="majorHAnsi" w:hAnsiTheme="majorHAnsi"/>
                <w:bCs/>
                <w:sz w:val="20"/>
                <w:szCs w:val="20"/>
              </w:rPr>
            </w:pPr>
            <w:r w:rsidRPr="005A3F75">
              <w:rPr>
                <w:rFonts w:asciiTheme="majorHAnsi" w:hAnsiTheme="majorHAnsi"/>
                <w:sz w:val="20"/>
                <w:szCs w:val="20"/>
              </w:rPr>
              <w:t>Sí</w:t>
            </w:r>
          </w:p>
        </w:tc>
      </w:tr>
      <w:tr w:rsidR="00634139" w:rsidRPr="000B6B7A" w14:paraId="5FE56D1B" w14:textId="77777777" w:rsidTr="00634139">
        <w:trPr>
          <w:cantSplit/>
        </w:trPr>
        <w:tc>
          <w:tcPr>
            <w:tcW w:w="3648" w:type="dxa"/>
            <w:tcBorders>
              <w:top w:val="single" w:sz="6" w:space="0" w:color="auto"/>
              <w:bottom w:val="single" w:sz="6" w:space="0" w:color="auto"/>
            </w:tcBorders>
            <w:shd w:val="clear" w:color="auto" w:fill="4A7194"/>
            <w:vAlign w:val="center"/>
          </w:tcPr>
          <w:p w14:paraId="2190B967" w14:textId="4E0DCCFD" w:rsidR="00634139" w:rsidRPr="000B6B7A" w:rsidRDefault="00634139" w:rsidP="0063413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94" w:type="dxa"/>
          </w:tcPr>
          <w:p w14:paraId="4099FC91" w14:textId="73A2A137" w:rsidR="00634139" w:rsidRDefault="00634139" w:rsidP="00634139">
            <w:pPr>
              <w:rPr>
                <w:rFonts w:asciiTheme="majorHAnsi" w:hAnsiTheme="majorHAnsi"/>
                <w:bCs/>
                <w:sz w:val="20"/>
                <w:szCs w:val="20"/>
              </w:rPr>
            </w:pPr>
            <w:r w:rsidRPr="005A3F75">
              <w:rPr>
                <w:rFonts w:asciiTheme="majorHAnsi" w:hAnsiTheme="majorHAnsi"/>
                <w:sz w:val="20"/>
                <w:szCs w:val="20"/>
              </w:rPr>
              <w:t>Sí</w:t>
            </w:r>
          </w:p>
        </w:tc>
      </w:tr>
      <w:tr w:rsidR="00634139" w:rsidRPr="000B6B7A" w14:paraId="372B5DD8" w14:textId="77777777" w:rsidTr="00634139">
        <w:trPr>
          <w:cantSplit/>
        </w:trPr>
        <w:tc>
          <w:tcPr>
            <w:tcW w:w="3648" w:type="dxa"/>
            <w:tcBorders>
              <w:top w:val="single" w:sz="6" w:space="0" w:color="auto"/>
              <w:bottom w:val="single" w:sz="6" w:space="0" w:color="auto"/>
            </w:tcBorders>
            <w:shd w:val="clear" w:color="auto" w:fill="4A7194"/>
            <w:vAlign w:val="center"/>
          </w:tcPr>
          <w:p w14:paraId="7F979173" w14:textId="267DDEBF" w:rsidR="00634139" w:rsidRPr="000B6B7A" w:rsidRDefault="00634139" w:rsidP="0063413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94" w:type="dxa"/>
          </w:tcPr>
          <w:p w14:paraId="06BD610F" w14:textId="410FB63D" w:rsidR="00634139" w:rsidRDefault="00634139" w:rsidP="00634139">
            <w:pPr>
              <w:rPr>
                <w:rFonts w:asciiTheme="majorHAnsi" w:hAnsiTheme="majorHAnsi"/>
                <w:bCs/>
                <w:sz w:val="20"/>
                <w:szCs w:val="20"/>
              </w:rPr>
            </w:pPr>
            <w:r w:rsidRPr="005A3F75">
              <w:rPr>
                <w:rFonts w:asciiTheme="majorHAnsi" w:hAnsiTheme="majorHAnsi"/>
                <w:sz w:val="20"/>
                <w:szCs w:val="20"/>
              </w:rPr>
              <w:t>Sí</w:t>
            </w:r>
          </w:p>
        </w:tc>
      </w:tr>
      <w:tr w:rsidR="00634139" w:rsidRPr="009D4E4F" w14:paraId="6648704B" w14:textId="77777777" w:rsidTr="00634139">
        <w:trPr>
          <w:cantSplit/>
        </w:trPr>
        <w:tc>
          <w:tcPr>
            <w:tcW w:w="3648" w:type="dxa"/>
            <w:tcBorders>
              <w:top w:val="single" w:sz="6" w:space="0" w:color="auto"/>
              <w:bottom w:val="single" w:sz="6" w:space="0" w:color="auto"/>
            </w:tcBorders>
            <w:shd w:val="clear" w:color="auto" w:fill="4A7194"/>
            <w:vAlign w:val="center"/>
          </w:tcPr>
          <w:p w14:paraId="15BBE7AF" w14:textId="25A5FF68" w:rsidR="00634139" w:rsidRPr="000B6B7A" w:rsidRDefault="00634139" w:rsidP="00634139">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w:t>
            </w:r>
            <w:r>
              <w:rPr>
                <w:rFonts w:ascii="Cambria" w:hAnsi="Cambria"/>
                <w:b/>
                <w:bCs/>
                <w:color w:val="FFFFFF" w:themeColor="background1"/>
                <w:sz w:val="20"/>
                <w:szCs w:val="20"/>
              </w:rPr>
              <w:t>ia</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94" w:type="dxa"/>
          </w:tcPr>
          <w:p w14:paraId="1F6B84B5" w14:textId="75C4DD06" w:rsidR="00634139" w:rsidRPr="000771C3" w:rsidRDefault="00634139" w:rsidP="00F84135">
            <w:pPr>
              <w:pStyle w:val="TableParagraph"/>
              <w:spacing w:line="220" w:lineRule="exact"/>
              <w:ind w:left="5"/>
              <w:rPr>
                <w:rFonts w:asciiTheme="majorHAnsi" w:hAnsiTheme="majorHAnsi"/>
                <w:bCs/>
                <w:sz w:val="20"/>
                <w:szCs w:val="20"/>
                <w:lang w:val="es-AR"/>
              </w:rPr>
            </w:pPr>
            <w:r w:rsidRPr="005A3F75">
              <w:rPr>
                <w:rFonts w:asciiTheme="majorHAnsi" w:hAnsiTheme="majorHAnsi"/>
                <w:sz w:val="20"/>
                <w:szCs w:val="20"/>
              </w:rPr>
              <w:t>Sí, Convención Americana (depósito del instrumento de ratificación realizado</w:t>
            </w:r>
            <w:r w:rsidR="00F84135">
              <w:rPr>
                <w:rFonts w:asciiTheme="majorHAnsi" w:hAnsiTheme="majorHAnsi"/>
                <w:sz w:val="20"/>
                <w:szCs w:val="20"/>
              </w:rPr>
              <w:t xml:space="preserve"> </w:t>
            </w:r>
            <w:r w:rsidRPr="005A3F75">
              <w:rPr>
                <w:rFonts w:asciiTheme="majorHAnsi" w:hAnsiTheme="majorHAnsi"/>
                <w:sz w:val="20"/>
                <w:szCs w:val="20"/>
              </w:rPr>
              <w:t>el 5 de setiembre de 1984)</w:t>
            </w:r>
          </w:p>
        </w:tc>
      </w:tr>
    </w:tbl>
    <w:p w14:paraId="0408D4CD" w14:textId="64F1DBB3" w:rsidR="00F621C3" w:rsidRPr="002054F2" w:rsidRDefault="00F621C3" w:rsidP="000F5A08">
      <w:pPr>
        <w:spacing w:before="240" w:after="240"/>
        <w:ind w:firstLine="720"/>
        <w:jc w:val="both"/>
        <w:rPr>
          <w:rFonts w:asciiTheme="majorHAnsi" w:hAnsiTheme="majorHAnsi"/>
          <w:b/>
          <w:bCs/>
          <w:sz w:val="20"/>
          <w:szCs w:val="20"/>
          <w:lang w:val="es-AR"/>
        </w:rPr>
      </w:pPr>
      <w:r w:rsidRPr="0088579C">
        <w:rPr>
          <w:rFonts w:asciiTheme="majorHAnsi" w:hAnsiTheme="majorHAnsi"/>
          <w:b/>
          <w:bCs/>
          <w:sz w:val="20"/>
          <w:szCs w:val="20"/>
          <w:lang w:val="es-AR"/>
        </w:rPr>
        <w:t xml:space="preserve">IV. </w:t>
      </w:r>
      <w:r w:rsidRPr="0088579C">
        <w:rPr>
          <w:rFonts w:asciiTheme="majorHAnsi" w:hAnsiTheme="majorHAnsi"/>
          <w:b/>
          <w:bCs/>
          <w:sz w:val="20"/>
          <w:szCs w:val="20"/>
          <w:lang w:val="es-AR"/>
        </w:rPr>
        <w:tab/>
      </w:r>
      <w:r w:rsidR="002054F2" w:rsidRPr="002054F2">
        <w:rPr>
          <w:rFonts w:asciiTheme="majorHAnsi" w:hAnsiTheme="majorHAnsi"/>
          <w:b/>
          <w:bCs/>
          <w:sz w:val="20"/>
          <w:szCs w:val="20"/>
          <w:lang w:val="es-AR"/>
        </w:rPr>
        <w:t xml:space="preserve">DUPLICACIÓN DE PROCEDIMIENTOS Y COSA JUZGADA INTERNACIONAL, AGOTAMIENTO DE LOS RECURSOS INTERNOS Y PLAZO DE </w:t>
      </w:r>
      <w:r w:rsidR="002054F2">
        <w:rPr>
          <w:rFonts w:asciiTheme="majorHAnsi" w:hAnsiTheme="majorHAnsi"/>
          <w:b/>
          <w:bCs/>
          <w:sz w:val="20"/>
          <w:szCs w:val="20"/>
          <w:lang w:val="es-AR"/>
        </w:rPr>
        <w:t>PRESENTACIÓN</w:t>
      </w:r>
    </w:p>
    <w:tbl>
      <w:tblPr>
        <w:tblStyle w:val="TableGrid"/>
        <w:tblW w:w="9242" w:type="dxa"/>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634139" w:rsidRPr="000B6B7A" w14:paraId="4091A423" w14:textId="77777777" w:rsidTr="00634139">
        <w:trPr>
          <w:cantSplit/>
        </w:trPr>
        <w:tc>
          <w:tcPr>
            <w:tcW w:w="3651" w:type="dxa"/>
            <w:tcBorders>
              <w:top w:val="single" w:sz="4" w:space="0" w:color="auto"/>
              <w:bottom w:val="single" w:sz="6" w:space="0" w:color="auto"/>
            </w:tcBorders>
            <w:shd w:val="clear" w:color="auto" w:fill="4A7194"/>
            <w:vAlign w:val="center"/>
          </w:tcPr>
          <w:p w14:paraId="61D870FF" w14:textId="32A3B81B" w:rsidR="00634139" w:rsidRPr="006F3AE4" w:rsidRDefault="00634139" w:rsidP="00634139">
            <w:pPr>
              <w:jc w:val="center"/>
              <w:rPr>
                <w:rFonts w:ascii="Cambria" w:hAnsi="Cambria"/>
                <w:b/>
                <w:bCs/>
                <w:color w:val="FFFFFF" w:themeColor="background1"/>
                <w:sz w:val="20"/>
                <w:szCs w:val="20"/>
                <w:lang w:val="es-AR"/>
              </w:rPr>
            </w:pPr>
            <w:r w:rsidRPr="006F3AE4">
              <w:rPr>
                <w:rFonts w:ascii="Cambria" w:hAnsi="Cambria"/>
                <w:b/>
                <w:bCs/>
                <w:color w:val="FFFFFF" w:themeColor="background1"/>
                <w:sz w:val="20"/>
                <w:szCs w:val="20"/>
                <w:lang w:val="es-AR"/>
              </w:rPr>
              <w:t>Duplicación de procedimientos y cosa juzgada internacional:</w:t>
            </w:r>
          </w:p>
        </w:tc>
        <w:tc>
          <w:tcPr>
            <w:tcW w:w="5591" w:type="dxa"/>
          </w:tcPr>
          <w:p w14:paraId="7A12F140" w14:textId="6CD46BB0" w:rsidR="00634139" w:rsidRDefault="00634139" w:rsidP="00634139">
            <w:pPr>
              <w:jc w:val="both"/>
              <w:rPr>
                <w:rFonts w:ascii="Cambria" w:hAnsi="Cambria"/>
                <w:bCs/>
                <w:sz w:val="20"/>
                <w:szCs w:val="20"/>
              </w:rPr>
            </w:pPr>
            <w:r w:rsidRPr="005A3F75">
              <w:rPr>
                <w:rFonts w:asciiTheme="majorHAnsi" w:hAnsiTheme="majorHAnsi"/>
                <w:sz w:val="20"/>
                <w:szCs w:val="20"/>
              </w:rPr>
              <w:t>No</w:t>
            </w:r>
          </w:p>
        </w:tc>
      </w:tr>
      <w:tr w:rsidR="00634139" w:rsidRPr="009D4E4F" w14:paraId="24B3B5A9" w14:textId="77777777" w:rsidTr="00634139">
        <w:trPr>
          <w:cantSplit/>
        </w:trPr>
        <w:tc>
          <w:tcPr>
            <w:tcW w:w="3651" w:type="dxa"/>
            <w:tcBorders>
              <w:top w:val="single" w:sz="6" w:space="0" w:color="auto"/>
              <w:bottom w:val="single" w:sz="6" w:space="0" w:color="auto"/>
            </w:tcBorders>
            <w:shd w:val="clear" w:color="auto" w:fill="4A7194"/>
            <w:vAlign w:val="center"/>
          </w:tcPr>
          <w:p w14:paraId="2E52A630" w14:textId="229E501B" w:rsidR="00634139" w:rsidRPr="000B6B7A" w:rsidRDefault="00634139" w:rsidP="00634139">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p>
        </w:tc>
        <w:tc>
          <w:tcPr>
            <w:tcW w:w="5591" w:type="dxa"/>
          </w:tcPr>
          <w:p w14:paraId="6F4D2D0A" w14:textId="1A1FE3C2" w:rsidR="00634139" w:rsidRDefault="00634139" w:rsidP="00634139">
            <w:pPr>
              <w:jc w:val="both"/>
              <w:rPr>
                <w:rFonts w:ascii="Cambria" w:hAnsi="Cambria"/>
                <w:bCs/>
                <w:sz w:val="20"/>
                <w:szCs w:val="20"/>
                <w:lang w:val="es-AR"/>
              </w:rPr>
            </w:pPr>
            <w:r w:rsidRPr="00634139">
              <w:rPr>
                <w:rFonts w:asciiTheme="majorHAnsi" w:hAnsiTheme="majorHAnsi"/>
                <w:sz w:val="20"/>
                <w:szCs w:val="20"/>
                <w:lang w:val="es-419"/>
              </w:rPr>
              <w:t xml:space="preserve">Artículos 5 (integridad personal), 7 (libertad personal), 8 (garantías judiciales), 25 (protección judicial) de la Convención Americana </w:t>
            </w:r>
            <w:r w:rsidR="009D4E4F">
              <w:rPr>
                <w:rFonts w:asciiTheme="majorHAnsi" w:hAnsiTheme="majorHAnsi"/>
                <w:sz w:val="20"/>
                <w:szCs w:val="20"/>
                <w:lang w:val="es-419"/>
              </w:rPr>
              <w:t>sobre</w:t>
            </w:r>
            <w:r w:rsidRPr="00634139">
              <w:rPr>
                <w:rFonts w:asciiTheme="majorHAnsi" w:hAnsiTheme="majorHAnsi"/>
                <w:sz w:val="20"/>
                <w:szCs w:val="20"/>
                <w:lang w:val="es-419"/>
              </w:rPr>
              <w:t xml:space="preserve"> Derechos Humanos, en conexión con el artículo 1.1 (obligación de respeto) de la Convención Americana.</w:t>
            </w:r>
          </w:p>
        </w:tc>
      </w:tr>
      <w:tr w:rsidR="00634139" w:rsidRPr="009D4E4F" w14:paraId="4DFB74FC" w14:textId="77777777" w:rsidTr="00634139">
        <w:trPr>
          <w:cantSplit/>
        </w:trPr>
        <w:tc>
          <w:tcPr>
            <w:tcW w:w="3651" w:type="dxa"/>
            <w:tcBorders>
              <w:top w:val="single" w:sz="6" w:space="0" w:color="auto"/>
              <w:bottom w:val="single" w:sz="6" w:space="0" w:color="auto"/>
            </w:tcBorders>
            <w:shd w:val="clear" w:color="auto" w:fill="4A7194"/>
            <w:vAlign w:val="center"/>
          </w:tcPr>
          <w:p w14:paraId="1D4CE924" w14:textId="005F747A" w:rsidR="00634139" w:rsidRPr="006F3AE4" w:rsidRDefault="00634139" w:rsidP="00634139">
            <w:pPr>
              <w:jc w:val="both"/>
              <w:rPr>
                <w:rFonts w:ascii="Cambria" w:hAnsi="Cambria"/>
                <w:b/>
                <w:bCs/>
                <w:color w:val="FFFFFF" w:themeColor="background1"/>
                <w:sz w:val="20"/>
                <w:szCs w:val="20"/>
                <w:lang w:val="es-AR"/>
              </w:rPr>
            </w:pPr>
            <w:r w:rsidRPr="006F3AE4">
              <w:rPr>
                <w:rFonts w:ascii="Cambria" w:hAnsi="Cambria"/>
                <w:b/>
                <w:bCs/>
                <w:color w:val="FFFFFF" w:themeColor="background1"/>
                <w:sz w:val="20"/>
                <w:szCs w:val="20"/>
                <w:lang w:val="es-AR"/>
              </w:rPr>
              <w:t>Agotamiento de los recursos i</w:t>
            </w:r>
            <w:r>
              <w:rPr>
                <w:rFonts w:ascii="Cambria" w:hAnsi="Cambria"/>
                <w:b/>
                <w:bCs/>
                <w:color w:val="FFFFFF" w:themeColor="background1"/>
                <w:sz w:val="20"/>
                <w:szCs w:val="20"/>
                <w:lang w:val="es-AR"/>
              </w:rPr>
              <w:t>nternos o procedencia de una excepción:</w:t>
            </w:r>
          </w:p>
        </w:tc>
        <w:tc>
          <w:tcPr>
            <w:tcW w:w="5591" w:type="dxa"/>
          </w:tcPr>
          <w:p w14:paraId="04A11826" w14:textId="6A6FE4F2" w:rsidR="00634139" w:rsidRPr="000771C3" w:rsidRDefault="00634139" w:rsidP="00634139">
            <w:pPr>
              <w:rPr>
                <w:rFonts w:ascii="Cambria" w:hAnsi="Cambria"/>
                <w:bCs/>
                <w:sz w:val="20"/>
                <w:szCs w:val="20"/>
                <w:lang w:val="es-AR"/>
              </w:rPr>
            </w:pPr>
            <w:r w:rsidRPr="00634139">
              <w:rPr>
                <w:rFonts w:asciiTheme="majorHAnsi" w:hAnsiTheme="majorHAnsi"/>
                <w:sz w:val="20"/>
                <w:szCs w:val="20"/>
                <w:lang w:val="es-419"/>
              </w:rPr>
              <w:t>Sí, excepción del artículo 46.2(c) de la Convención Americana</w:t>
            </w:r>
          </w:p>
        </w:tc>
      </w:tr>
      <w:tr w:rsidR="00634139" w:rsidRPr="009D4E4F" w14:paraId="6D900199" w14:textId="77777777" w:rsidTr="00634139">
        <w:trPr>
          <w:cantSplit/>
        </w:trPr>
        <w:tc>
          <w:tcPr>
            <w:tcW w:w="3651" w:type="dxa"/>
            <w:tcBorders>
              <w:top w:val="single" w:sz="6" w:space="0" w:color="auto"/>
              <w:bottom w:val="single" w:sz="6" w:space="0" w:color="auto"/>
            </w:tcBorders>
            <w:shd w:val="clear" w:color="auto" w:fill="4A7194"/>
            <w:vAlign w:val="center"/>
          </w:tcPr>
          <w:p w14:paraId="42C3BC97" w14:textId="4ECA735B" w:rsidR="00634139" w:rsidRPr="000B6B7A" w:rsidRDefault="00634139" w:rsidP="00634139">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dentro de </w:t>
            </w:r>
            <w:proofErr w:type="spellStart"/>
            <w:r>
              <w:rPr>
                <w:rFonts w:ascii="Cambria" w:hAnsi="Cambria"/>
                <w:b/>
                <w:bCs/>
                <w:color w:val="FFFFFF" w:themeColor="background1"/>
                <w:sz w:val="20"/>
                <w:szCs w:val="20"/>
              </w:rPr>
              <w:t>plazo</w:t>
            </w:r>
            <w:proofErr w:type="spellEnd"/>
            <w:r w:rsidRPr="000B6B7A">
              <w:rPr>
                <w:rFonts w:ascii="Cambria" w:hAnsi="Cambria"/>
                <w:b/>
                <w:bCs/>
                <w:color w:val="FFFFFF" w:themeColor="background1"/>
                <w:sz w:val="20"/>
                <w:szCs w:val="20"/>
              </w:rPr>
              <w:t>:</w:t>
            </w:r>
          </w:p>
        </w:tc>
        <w:tc>
          <w:tcPr>
            <w:tcW w:w="5591" w:type="dxa"/>
          </w:tcPr>
          <w:p w14:paraId="25821E9F" w14:textId="61AF0169" w:rsidR="00634139" w:rsidRPr="000771C3" w:rsidRDefault="00634139" w:rsidP="00634139">
            <w:pPr>
              <w:rPr>
                <w:rFonts w:asciiTheme="majorHAnsi" w:hAnsiTheme="majorHAnsi"/>
                <w:bCs/>
                <w:sz w:val="20"/>
                <w:szCs w:val="20"/>
                <w:lang w:val="es-AR"/>
              </w:rPr>
            </w:pPr>
            <w:r w:rsidRPr="00634139">
              <w:rPr>
                <w:rFonts w:asciiTheme="majorHAnsi" w:hAnsiTheme="majorHAnsi"/>
                <w:sz w:val="20"/>
                <w:szCs w:val="20"/>
                <w:lang w:val="es-419"/>
              </w:rPr>
              <w:t>Sí, la petición fue presentada dentro de un plazo razonable, en los términos del artículo 32.2 del Reglamento de la CIDH, en concordancia con el artículo 46.2 de la Convención Americana</w:t>
            </w:r>
          </w:p>
        </w:tc>
      </w:tr>
    </w:tbl>
    <w:p w14:paraId="01B153FA" w14:textId="517CB669" w:rsidR="00FF1E7D" w:rsidRDefault="00FF1E7D" w:rsidP="000F5A08">
      <w:pPr>
        <w:ind w:firstLine="720"/>
        <w:jc w:val="both"/>
        <w:rPr>
          <w:rFonts w:asciiTheme="majorHAnsi" w:hAnsiTheme="majorHAnsi"/>
          <w:b/>
          <w:sz w:val="20"/>
          <w:szCs w:val="20"/>
          <w:lang w:val="es-AR"/>
        </w:rPr>
      </w:pPr>
    </w:p>
    <w:p w14:paraId="386EB303" w14:textId="68728047" w:rsidR="00410D20" w:rsidRDefault="00410D20" w:rsidP="000F5A08">
      <w:pPr>
        <w:ind w:firstLine="720"/>
        <w:jc w:val="both"/>
        <w:rPr>
          <w:rFonts w:asciiTheme="majorHAnsi" w:hAnsiTheme="majorHAnsi"/>
          <w:b/>
          <w:sz w:val="20"/>
          <w:szCs w:val="20"/>
          <w:lang w:val="es-AR"/>
        </w:rPr>
      </w:pPr>
    </w:p>
    <w:p w14:paraId="0BB005BA" w14:textId="1C601370" w:rsidR="00410D20" w:rsidRDefault="00410D20" w:rsidP="000F5A08">
      <w:pPr>
        <w:ind w:firstLine="720"/>
        <w:jc w:val="both"/>
        <w:rPr>
          <w:rFonts w:asciiTheme="majorHAnsi" w:hAnsiTheme="majorHAnsi"/>
          <w:b/>
          <w:sz w:val="20"/>
          <w:szCs w:val="20"/>
          <w:lang w:val="es-AR"/>
        </w:rPr>
      </w:pPr>
    </w:p>
    <w:p w14:paraId="2CD664AA" w14:textId="77777777" w:rsidR="00F84135" w:rsidRDefault="00F84135" w:rsidP="000F5A08">
      <w:pPr>
        <w:ind w:firstLine="720"/>
        <w:jc w:val="both"/>
        <w:rPr>
          <w:rFonts w:asciiTheme="majorHAnsi" w:hAnsiTheme="majorHAnsi"/>
          <w:b/>
          <w:sz w:val="20"/>
          <w:szCs w:val="20"/>
          <w:lang w:val="es-AR"/>
        </w:rPr>
      </w:pPr>
    </w:p>
    <w:p w14:paraId="75154BBA" w14:textId="4D07042C" w:rsidR="00410D20" w:rsidRDefault="00410D20" w:rsidP="000F5A08">
      <w:pPr>
        <w:ind w:firstLine="720"/>
        <w:jc w:val="both"/>
        <w:rPr>
          <w:rFonts w:asciiTheme="majorHAnsi" w:hAnsiTheme="majorHAnsi"/>
          <w:b/>
          <w:sz w:val="20"/>
          <w:szCs w:val="20"/>
          <w:lang w:val="es-AR"/>
        </w:rPr>
      </w:pPr>
    </w:p>
    <w:p w14:paraId="2137F184" w14:textId="7A390D25" w:rsidR="00410D20" w:rsidRDefault="00410D20" w:rsidP="000F5A08">
      <w:pPr>
        <w:ind w:firstLine="720"/>
        <w:jc w:val="both"/>
        <w:rPr>
          <w:rFonts w:asciiTheme="majorHAnsi" w:hAnsiTheme="majorHAnsi"/>
          <w:b/>
          <w:sz w:val="20"/>
          <w:szCs w:val="20"/>
          <w:lang w:val="es-AR"/>
        </w:rPr>
      </w:pPr>
    </w:p>
    <w:p w14:paraId="3254F278" w14:textId="77777777" w:rsidR="00410D20" w:rsidRPr="00CB6297" w:rsidRDefault="00410D20" w:rsidP="00410D20">
      <w:pPr>
        <w:numPr>
          <w:ilvl w:val="0"/>
          <w:numId w:val="108"/>
        </w:numPr>
        <w:ind w:left="1440"/>
        <w:jc w:val="both"/>
        <w:rPr>
          <w:rFonts w:asciiTheme="majorHAnsi" w:hAnsiTheme="majorHAnsi"/>
          <w:b/>
          <w:sz w:val="20"/>
          <w:szCs w:val="20"/>
          <w:lang w:val="es-419"/>
        </w:rPr>
      </w:pPr>
      <w:r w:rsidRPr="00CB6297">
        <w:rPr>
          <w:rFonts w:asciiTheme="majorHAnsi" w:hAnsiTheme="majorHAnsi"/>
          <w:b/>
          <w:sz w:val="20"/>
          <w:szCs w:val="20"/>
          <w:lang w:val="es-419"/>
        </w:rPr>
        <w:lastRenderedPageBreak/>
        <w:t>RESUMEN DE LOS HECHOS ALEGADOS</w:t>
      </w:r>
    </w:p>
    <w:p w14:paraId="7FE6BC95" w14:textId="77777777" w:rsidR="00410D20" w:rsidRPr="00410D20" w:rsidRDefault="00410D20" w:rsidP="00410D20">
      <w:pPr>
        <w:pStyle w:val="ListParagraph"/>
        <w:ind w:right="475"/>
        <w:rPr>
          <w:rFonts w:asciiTheme="majorHAnsi" w:hAnsiTheme="majorHAnsi"/>
          <w:sz w:val="20"/>
          <w:szCs w:val="20"/>
          <w:lang w:val="es-419"/>
        </w:rPr>
      </w:pPr>
    </w:p>
    <w:p w14:paraId="51DD9BE9"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La parte peticionaria denuncia que Víctor Manuel Pérez Ibarra (en adelante “la presunta víctima”) fue detenido ilegalmente, torturado para confesar un delito que no había cometido, y luego condenado por tales hechos. Asimismo, alega que la presunta víctima fue sometida a golpes mientras estuvo privada de libertad, así como restricciones injustas a sus visitas y comunicaciones.</w:t>
      </w:r>
    </w:p>
    <w:p w14:paraId="3DB3162E" w14:textId="77777777" w:rsidR="00410D20" w:rsidRPr="00346636" w:rsidRDefault="00410D20" w:rsidP="00410D20">
      <w:pPr>
        <w:suppressAutoHyphens/>
        <w:ind w:left="720"/>
        <w:jc w:val="both"/>
        <w:rPr>
          <w:rFonts w:ascii="Cambria" w:hAnsi="Cambria"/>
          <w:sz w:val="20"/>
          <w:szCs w:val="20"/>
          <w:lang w:val="es-AR"/>
        </w:rPr>
      </w:pPr>
    </w:p>
    <w:p w14:paraId="1A66C911"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El 21 de marzo de 2005, la presunta víctima habría sido detenida por policías judiciales, que lo habrían torturado física y psicológicamente para que confesara delitos que no cometió; la parte peticionaria sostiene que aquel no denunció los hechos por miedo a represalias y para no afectar a su familia. Alega asimismo que la detención ocurrió sin orden de aprehensión ni flagrancia; que la presunta víctima fue condenada por los delitos de secuestro agravado y operaciones con recursos de procedencia ilícita; y que no se le dio la oportunidad de careo con la niña que supuestamente fue secuestrada. </w:t>
      </w:r>
    </w:p>
    <w:p w14:paraId="743C494B" w14:textId="77777777" w:rsidR="00410D20" w:rsidRPr="00346636" w:rsidRDefault="00410D20" w:rsidP="00410D20">
      <w:pPr>
        <w:suppressAutoHyphens/>
        <w:ind w:left="720"/>
        <w:jc w:val="both"/>
        <w:rPr>
          <w:rFonts w:ascii="Cambria" w:hAnsi="Cambria"/>
          <w:sz w:val="20"/>
          <w:szCs w:val="20"/>
          <w:lang w:val="es-AR"/>
        </w:rPr>
      </w:pPr>
    </w:p>
    <w:p w14:paraId="47D4C452"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La parte peticionaria afirma que no se consideraron elementos importantes para la condena, tales como un peritaje sobre apariencias físicas que no coinciden con la de la presunta víctima; y una carta de una persona de puño y letra que dice que aquel es inocente. Aduce además que la condena se basó en elementos equivocados, como el reconocimiento que hizo la niña de sus secuestradores mediante fotografías, ya que una de las personas que aparecía en ellas era físicamente muy similar a la presunta víctima. </w:t>
      </w:r>
    </w:p>
    <w:p w14:paraId="487C6437" w14:textId="77777777" w:rsidR="00410D20" w:rsidRPr="00346636" w:rsidRDefault="00410D20" w:rsidP="00410D20">
      <w:pPr>
        <w:suppressAutoHyphens/>
        <w:ind w:left="720"/>
        <w:jc w:val="both"/>
        <w:rPr>
          <w:rFonts w:ascii="Cambria" w:hAnsi="Cambria"/>
          <w:sz w:val="20"/>
          <w:szCs w:val="20"/>
          <w:lang w:val="es-AR"/>
        </w:rPr>
      </w:pPr>
    </w:p>
    <w:p w14:paraId="671D776E"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Alega adicionalmente que la tramitación del proceso judicial, que incluyó decisiones de declinación de competencia, resultó en que la presunta víctima fuera juzgada dos veces por el mismo delito; que esta estuvo privada de su libertad por más de 12 años, en perjuicio de su vida familiar; y que durante su privación de libertad no tuvo problemas de conducta, tomó cursos de capacitación personal, dio clases a sus compañeros y fue reconocido por sus participaciones. A pesar de lo anterior, fue trasladado a una prisión federal llamada “Las Torres”, donde sufrió golpes y restricciones injustas a sus visitas y llamadas.</w:t>
      </w:r>
    </w:p>
    <w:p w14:paraId="707BB4EA" w14:textId="77777777" w:rsidR="00410D20" w:rsidRPr="00346636" w:rsidRDefault="00410D20" w:rsidP="00410D20">
      <w:pPr>
        <w:suppressAutoHyphens/>
        <w:ind w:left="720"/>
        <w:jc w:val="both"/>
        <w:rPr>
          <w:rFonts w:ascii="Cambria" w:hAnsi="Cambria"/>
          <w:sz w:val="20"/>
          <w:szCs w:val="20"/>
          <w:lang w:val="es-AR"/>
        </w:rPr>
      </w:pPr>
    </w:p>
    <w:p w14:paraId="54D85BCF"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Por su parte, el Estado informa que el 11 de marzo de 2005, el Ministerio Público inició la averiguación previa en que estaba incluida la presunta víctima, y que emitió una orden de búsqueda y localización. Agrega que el 21 de marzo de 2005 la presunta víctima fue detenida bajo la figura jurídica de flagrancia, ya que llevaba consigo dinero y un arma de fuego; ese mismo día rindió su declaración inicial, representada por un abogado de oficio, y fue sometida a un dictamen de integridad física cuya conclusión fue la ausencia de “lesiones consecuencia de supuestos actos de tortura.” El 22 de marzo de 2005 se decretó su detención por un plazo de 48 horas, por la probable comisión de los delitos de delincuencia organizada y operaciones con recursos de procedencia ilícita en la hipótesis de transporte y portación de arma de fuego. Al día siguiente la autoridad judicial impuso a la presunta víctima la medida cautelar de arraigo de 90 días por secuestro y operaciones con recursos de procedencia ilícita, por considerar que había riesgo fundado de que pudiera sustraerse de la acción de la justicia. El 24 de mayo de 2005 se ejercitó la acción penal y al día siguiente la autoridad judicial decretó su detención y recabó su declaración preparatoria; el 30 de mayo de 2005 se dictó auto de formal prisión, que fue apelado por la presunta víctima y admitido el 3 de junio de 2005. El 14 de junio de 2005 la defensa particular de la presunta víctima ofreció diversas pruebas que fueron admitidas en el proceso judicial, entre ellas, la ampliación de declaración de la niña secuestrada. </w:t>
      </w:r>
    </w:p>
    <w:p w14:paraId="0B46F622" w14:textId="77777777" w:rsidR="00410D20" w:rsidRPr="00346636" w:rsidRDefault="00410D20" w:rsidP="00410D20">
      <w:pPr>
        <w:suppressAutoHyphens/>
        <w:ind w:left="720"/>
        <w:jc w:val="both"/>
        <w:rPr>
          <w:rFonts w:ascii="Cambria" w:hAnsi="Cambria"/>
          <w:sz w:val="20"/>
          <w:szCs w:val="20"/>
          <w:lang w:val="es-AR"/>
        </w:rPr>
      </w:pPr>
    </w:p>
    <w:p w14:paraId="3C5D3957"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La etapa de instrucción fue cerrada el 23 de febrero de 2006 por la autoridad judicial, y el 4 de julio de 2006 se dictó la sentencia definitiva en la que se condenó a la presunta víctima por privación ilegal de la libertad en la modalidad de secuestro y operaciones con recursos de procedencia ilícita, con base en el material probatorio y el hecho de que la niña reconoció a la presunta víctima como una de las personas involucradas en su secuestro. El 6 de julio de 2006 se admitió el recurso de apelación contra la sentencia condenatoria, interpuesto por el Ministerio Público y por la defensa de la presunta víctima. Con fecha 28 de diciembre de 2006, el tribunal de alzada resolvió revocar la sentencia de primera instancia y reponer el procedimiento a partir del momento en que se cerró la etapa de instrucción. El 15 de noviembre de 2007 el tribunal dictó la sentencia en que la presunta víctima fue condenada por la comisión del delito de operaciones con recursos de procedencia ilícita; por otra parte, declinó su competencia para juzgar el delito de secuestro a favor de un juzgado penal por considerar que era competencia del fuero común. El 29 de noviembre de 2007, la presunta víctima impugnó la sentencia condenatoria, que fue revocada el 2 de abril de 2008 por una </w:t>
      </w:r>
      <w:r w:rsidRPr="00346636">
        <w:rPr>
          <w:rFonts w:ascii="Cambria" w:hAnsi="Cambria"/>
          <w:sz w:val="20"/>
          <w:szCs w:val="20"/>
          <w:lang w:val="es-AR"/>
        </w:rPr>
        <w:lastRenderedPageBreak/>
        <w:t>resolución que además ordenó la reposición del procedimiento a partir del auto del 19 de abril de 2007 que declaró cerrada la instrucción en la causa penal y resolvió declinar la competencia por ambos delitos al ámbito local, por lo que se ordenó que la reposición del procedimiento ante la autoridad judicial correspondiente.</w:t>
      </w:r>
    </w:p>
    <w:p w14:paraId="5F6D80EA" w14:textId="77777777" w:rsidR="00410D20" w:rsidRPr="00346636" w:rsidRDefault="00410D20" w:rsidP="00410D20">
      <w:pPr>
        <w:suppressAutoHyphens/>
        <w:ind w:left="720"/>
        <w:jc w:val="both"/>
        <w:rPr>
          <w:rFonts w:ascii="Cambria" w:hAnsi="Cambria"/>
          <w:sz w:val="20"/>
          <w:szCs w:val="20"/>
          <w:lang w:val="es-AR"/>
        </w:rPr>
      </w:pPr>
    </w:p>
    <w:p w14:paraId="06F787B3" w14:textId="46A934FB"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El Estado presentó información adicional sobre el delito de operaciones con recursos de procedencia ilícita dentro de la causa penal 105/2008 resultante de la decisión de declinación de competencia mencionada supra</w:t>
      </w:r>
      <w:r w:rsidRPr="00CB6297">
        <w:rPr>
          <w:rStyle w:val="FootnoteReference"/>
          <w:rFonts w:asciiTheme="majorHAnsi" w:eastAsia="Cambria" w:hAnsiTheme="majorHAnsi" w:cs="Cambria"/>
          <w:sz w:val="20"/>
          <w:szCs w:val="20"/>
          <w:bdr w:val="none" w:sz="0" w:space="0" w:color="auto"/>
          <w:lang w:val="es-ES" w:eastAsia="es-ES" w:bidi="es-ES"/>
        </w:rPr>
        <w:footnoteReference w:id="3"/>
      </w:r>
      <w:r w:rsidRPr="00346636">
        <w:rPr>
          <w:rFonts w:ascii="Cambria" w:hAnsi="Cambria"/>
          <w:sz w:val="20"/>
          <w:szCs w:val="20"/>
          <w:lang w:val="es-AR"/>
        </w:rPr>
        <w:t>. Asimismo, aludió al delito de secuestro dentro de la causa penal 321/2007 resultante de la referida declinación de competencia</w:t>
      </w:r>
      <w:r w:rsidRPr="00CB6297">
        <w:rPr>
          <w:rStyle w:val="FootnoteReference"/>
          <w:rFonts w:asciiTheme="majorHAnsi" w:eastAsia="Cambria" w:hAnsiTheme="majorHAnsi" w:cs="Cambria"/>
          <w:sz w:val="20"/>
          <w:szCs w:val="20"/>
          <w:bdr w:val="none" w:sz="0" w:space="0" w:color="auto"/>
          <w:lang w:val="es-ES" w:eastAsia="es-ES" w:bidi="es-ES"/>
        </w:rPr>
        <w:footnoteReference w:id="4"/>
      </w:r>
      <w:r>
        <w:rPr>
          <w:sz w:val="20"/>
          <w:szCs w:val="20"/>
          <w:lang w:val="es-AR"/>
        </w:rPr>
        <w:t>.</w:t>
      </w:r>
      <w:r w:rsidRPr="00346636">
        <w:rPr>
          <w:rFonts w:ascii="Cambria" w:hAnsi="Cambria"/>
          <w:sz w:val="20"/>
          <w:szCs w:val="20"/>
          <w:lang w:val="es-AR"/>
        </w:rPr>
        <w:t xml:space="preserve"> </w:t>
      </w:r>
    </w:p>
    <w:p w14:paraId="611D86B6" w14:textId="77777777" w:rsidR="00410D20" w:rsidRPr="00346636" w:rsidRDefault="00410D20" w:rsidP="00410D20">
      <w:pPr>
        <w:suppressAutoHyphens/>
        <w:ind w:left="720"/>
        <w:jc w:val="both"/>
        <w:rPr>
          <w:rFonts w:ascii="Cambria" w:hAnsi="Cambria"/>
          <w:sz w:val="20"/>
          <w:szCs w:val="20"/>
          <w:lang w:val="es-AR"/>
        </w:rPr>
      </w:pPr>
    </w:p>
    <w:p w14:paraId="44C5E628" w14:textId="3F0EC7C5" w:rsidR="00410D20"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346636">
        <w:rPr>
          <w:rFonts w:ascii="Cambria" w:hAnsi="Cambria"/>
          <w:sz w:val="20"/>
          <w:szCs w:val="20"/>
          <w:lang w:val="es-AR"/>
        </w:rPr>
        <w:t>Por otra parte, el Estado sostiene que no hubo actos de tortura en agravio de la presunta víctima al momento de su detención, sino únicamente uso legítimo de la fuerza en respuesta a sus agresiones. Afirma que el 21 de marzo de 2005, con la asistencia de un defensor público federal, la presunta víctima refirió que presentaba algunas lesiones que le fueron ocasionadas en el momento de su detención, pero agregó que no tenía la intención de denunciarlas; y que habría dicho igualmente que desde el momento de su detención se habían respetado sus derechos humanos.  El mismo día se le realizó un dictamen de integridad física en que consta la presencia de “lesiones cuya naturaleza no ponen en peligro la vida y tardan en sanar menos de 15 días”. En su informe sobre la detención los agentes policiales “manifestaron haber empleado el uso legítimo de la fuerza ante la agresión de los detenidos”. Señala el Estado que en la declaración ampliada de 25 de julio de 2005 uno de los policías refiere que la presunta víctima “mostró una agresión física y verbal, empujones, manotazos, mentadas de madre, al momento de ser detenido”. Agrega que el 3 de agosto de 2005 un médico cirujano especialista en psiquiatría y un perito en psicología realizaron estudios psiquiátricos a la presunta víctima y las otras personas acusadas, y determinaron que no había secuelas psicológicas por actos de tortura. El Estado argumenta que no había elementos para iniciar una investigación de oficio por las lesiones, pero que de todas maneras la presunta víctima pudo haber interpuesto una querella o denuncia para abrir un nuevo proceso e investigar la supuesta tortura, o un juicio de amparo indirecto durante el proceso</w:t>
      </w:r>
      <w:r w:rsidRPr="00CB6297">
        <w:rPr>
          <w:rStyle w:val="FootnoteReference"/>
          <w:rFonts w:asciiTheme="majorHAnsi" w:eastAsia="Cambria" w:hAnsiTheme="majorHAnsi" w:cs="Cambria"/>
          <w:sz w:val="20"/>
          <w:szCs w:val="20"/>
          <w:bdr w:val="none" w:sz="0" w:space="0" w:color="auto"/>
          <w:lang w:val="es-ES" w:eastAsia="es-ES" w:bidi="es-ES"/>
        </w:rPr>
        <w:footnoteReference w:id="5"/>
      </w:r>
      <w:r w:rsidR="00F84135">
        <w:rPr>
          <w:rFonts w:ascii="Cambria" w:hAnsi="Cambria"/>
          <w:sz w:val="20"/>
          <w:szCs w:val="20"/>
          <w:lang w:val="es-AR"/>
        </w:rPr>
        <w:t>.</w:t>
      </w:r>
    </w:p>
    <w:p w14:paraId="771B77E7" w14:textId="77777777" w:rsidR="00410D20" w:rsidRPr="00346636" w:rsidRDefault="00410D20" w:rsidP="00410D20">
      <w:pPr>
        <w:suppressAutoHyphens/>
        <w:ind w:left="720"/>
        <w:jc w:val="both"/>
        <w:rPr>
          <w:rFonts w:ascii="Cambria" w:hAnsi="Cambria"/>
          <w:sz w:val="20"/>
          <w:szCs w:val="20"/>
          <w:lang w:val="es-AR"/>
        </w:rPr>
      </w:pPr>
    </w:p>
    <w:p w14:paraId="73D3BDEB" w14:textId="77777777" w:rsidR="00410D20" w:rsidRPr="00410D20" w:rsidRDefault="00410D20" w:rsidP="00410D20">
      <w:pPr>
        <w:numPr>
          <w:ilvl w:val="0"/>
          <w:numId w:val="108"/>
        </w:numPr>
        <w:ind w:left="0" w:firstLine="720"/>
        <w:jc w:val="both"/>
        <w:rPr>
          <w:rFonts w:asciiTheme="majorHAnsi" w:hAnsiTheme="majorHAnsi"/>
          <w:lang w:val="es-419"/>
        </w:rPr>
      </w:pPr>
      <w:r w:rsidRPr="00346636">
        <w:rPr>
          <w:rFonts w:asciiTheme="majorHAnsi" w:hAnsiTheme="majorHAnsi"/>
          <w:b/>
          <w:sz w:val="20"/>
          <w:szCs w:val="20"/>
          <w:lang w:val="es-419"/>
        </w:rPr>
        <w:t>AGOTAMIENTO DE LOS RECURSOS INTERNOS Y PLAZO DE PRESENTACIÓN</w:t>
      </w:r>
    </w:p>
    <w:p w14:paraId="1D29DAE2" w14:textId="77777777" w:rsidR="00410D20" w:rsidRPr="00410D20" w:rsidRDefault="00410D20" w:rsidP="00410D20">
      <w:pPr>
        <w:pStyle w:val="ListParagraph"/>
        <w:ind w:right="475" w:firstLine="720"/>
        <w:rPr>
          <w:rFonts w:asciiTheme="majorHAnsi" w:hAnsiTheme="majorHAnsi"/>
          <w:sz w:val="20"/>
          <w:szCs w:val="20"/>
          <w:lang w:val="es-419"/>
        </w:rPr>
      </w:pPr>
    </w:p>
    <w:p w14:paraId="69BEC2FA"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La parte peticionaria indica, de manera sucinta, que hubo retardo injustificado en la decisión final sobre el caso, y que las leyes internas no aseguran el debido proceso legal para la protección de los derechos que alega violados. De su parte, el Estado argumenta que la presunta víctima no agotó los recursos internos en relación con los supuestos actos de tortura ni con la medida cautelar de arraigo a la que fue sujeta al momento de su detención. Señala que la presunta víctima contó con todos los recursos contemplados en la legislación nacional para denunciar los supuestos agravios, pero no lo hizo. </w:t>
      </w:r>
    </w:p>
    <w:p w14:paraId="564AD779" w14:textId="77777777" w:rsidR="00410D20" w:rsidRPr="00346636" w:rsidRDefault="00410D20" w:rsidP="00410D20">
      <w:pPr>
        <w:suppressAutoHyphens/>
        <w:ind w:left="720"/>
        <w:jc w:val="both"/>
        <w:rPr>
          <w:rFonts w:ascii="Cambria" w:hAnsi="Cambria"/>
          <w:sz w:val="20"/>
          <w:szCs w:val="20"/>
          <w:lang w:val="es-AR"/>
        </w:rPr>
      </w:pPr>
    </w:p>
    <w:p w14:paraId="103910F4"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Con respecto a los presuntos actos de tortura, la Comisión Interamericana reitera que en casos como el presente, en que se alegan graves violaciones de derechos humanos perseguibles de oficio, el recurso </w:t>
      </w:r>
      <w:r w:rsidRPr="00346636">
        <w:rPr>
          <w:rFonts w:ascii="Cambria" w:hAnsi="Cambria"/>
          <w:sz w:val="20"/>
          <w:szCs w:val="20"/>
          <w:lang w:val="es-AR"/>
        </w:rPr>
        <w:lastRenderedPageBreak/>
        <w:t>adecuado y efectivo es precisamente el inicio y desarrollo de una investigación penal eficaz destinada a esclarecer los hechos y, de ser el caso, individualizar a los responsables y establecer las responsabilidades correspondientes.</w:t>
      </w:r>
      <w:r w:rsidRPr="00346636">
        <w:rPr>
          <w:rStyle w:val="FootnoteReference"/>
          <w:rFonts w:asciiTheme="majorHAnsi" w:eastAsia="Cambria" w:hAnsiTheme="majorHAnsi" w:cs="Cambria"/>
          <w:sz w:val="20"/>
          <w:szCs w:val="20"/>
          <w:bdr w:val="none" w:sz="0" w:space="0" w:color="auto"/>
          <w:lang w:val="es-ES" w:eastAsia="es-ES" w:bidi="es-ES"/>
        </w:rPr>
        <w:footnoteReference w:id="6"/>
      </w:r>
    </w:p>
    <w:p w14:paraId="784C2BDE" w14:textId="77777777" w:rsidR="00410D20" w:rsidRPr="00346636" w:rsidRDefault="00410D20" w:rsidP="00410D20">
      <w:pPr>
        <w:suppressAutoHyphens/>
        <w:ind w:left="720"/>
        <w:jc w:val="both"/>
        <w:rPr>
          <w:rFonts w:ascii="Cambria" w:hAnsi="Cambria"/>
          <w:sz w:val="20"/>
          <w:szCs w:val="20"/>
          <w:lang w:val="es-AR"/>
        </w:rPr>
      </w:pPr>
    </w:p>
    <w:p w14:paraId="1D3BCB94"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En el presente asunto, el propio Estado reconoció que no había realizado investigación alguna de oficio. El Estado sostiene al respecto que la presunta víctima habría manifestado que no quiso denunciar las lesiones sufridas durante su detención, y que se habrían respetado sus derechos humanos. Igualmente admite que el examen de integridad física de la presunta víctima encontró lesiones, y que los agentes estatales declararon que hicieron uso legítimo de la fuerza porque aquel se resistió a la detención. Asimismo, la parte peticionaria sostiene que la presunta víctima no prosiguió con la denuncia sobre los actos de tortura en su domicilio por temor a represalias contra su familia.</w:t>
      </w:r>
    </w:p>
    <w:p w14:paraId="19FD9DD9" w14:textId="77777777" w:rsidR="00410D20" w:rsidRPr="00346636" w:rsidRDefault="00410D20" w:rsidP="00410D20">
      <w:pPr>
        <w:suppressAutoHyphens/>
        <w:ind w:left="720"/>
        <w:jc w:val="both"/>
        <w:rPr>
          <w:rFonts w:ascii="Cambria" w:hAnsi="Cambria"/>
          <w:sz w:val="20"/>
          <w:szCs w:val="20"/>
          <w:lang w:val="es-AR"/>
        </w:rPr>
      </w:pPr>
    </w:p>
    <w:p w14:paraId="319D4056"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La CIDH destaca que las declaraciones de los propios agentes aprehensores no son válidas ni suficientes, por razones autoevidentes, para eliminar la obligación de investigar de oficio las denuncias de tortura. La rectificación de la presunta víctima tampoco afecta esta obligación, ya que solo mediante una investigación se puede determinar si hubo actos de tortura. Lamentablemente es común, o al menos posible, que en escenarios de tortura las víctimas sean coaccionadas o amenazadas a no presentar denuncias, o a no darles seguimiento. </w:t>
      </w:r>
    </w:p>
    <w:p w14:paraId="78B9E70D" w14:textId="77777777" w:rsidR="00410D20" w:rsidRPr="00346636" w:rsidRDefault="00410D20" w:rsidP="00410D20">
      <w:pPr>
        <w:suppressAutoHyphens/>
        <w:ind w:left="720"/>
        <w:jc w:val="both"/>
        <w:rPr>
          <w:rFonts w:ascii="Cambria" w:hAnsi="Cambria"/>
          <w:sz w:val="20"/>
          <w:szCs w:val="20"/>
          <w:lang w:val="es-AR"/>
        </w:rPr>
      </w:pPr>
    </w:p>
    <w:p w14:paraId="0EE1C653"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Sobre este punto, la Comisión Interamericana decide aplicar la excepción al agotamiento de los recursos internos prevista en el artículo 46.2(c) de la Convención Americana, con base en la demora injustificada del Estado de proveer el recurso idóneo, es decir, la investigación de oficio de la denuncia de tortura en la justicia ordinaria.</w:t>
      </w:r>
      <w:r w:rsidRPr="00F84135">
        <w:rPr>
          <w:rStyle w:val="FootnoteReference"/>
          <w:rFonts w:asciiTheme="majorHAnsi" w:eastAsia="Cambria" w:hAnsiTheme="majorHAnsi" w:cs="Cambria"/>
          <w:bdr w:val="none" w:sz="0" w:space="0" w:color="auto"/>
          <w:lang w:val="es-ES" w:eastAsia="es-ES" w:bidi="es-ES"/>
        </w:rPr>
        <w:footnoteReference w:id="7"/>
      </w:r>
      <w:r w:rsidRPr="00346636">
        <w:rPr>
          <w:rFonts w:ascii="Cambria" w:hAnsi="Cambria"/>
          <w:sz w:val="20"/>
          <w:szCs w:val="20"/>
          <w:lang w:val="es-AR"/>
        </w:rPr>
        <w:t xml:space="preserve"> En la medida en que procede dicha excepción, no corresponde analizar el cumplimiento del plazo de seis meses previsto en el artículo 46.1(b) de la Convención Americana. En el contexto del presente asunto, la CIDH considera que la petición fue presentada dentro de un plazo razonable conforme al artículo 32.2 de su Reglamento.</w:t>
      </w:r>
    </w:p>
    <w:p w14:paraId="06822783" w14:textId="77777777" w:rsidR="00410D20" w:rsidRPr="00346636" w:rsidRDefault="00410D20" w:rsidP="00410D20">
      <w:pPr>
        <w:suppressAutoHyphens/>
        <w:ind w:left="720"/>
        <w:jc w:val="both"/>
        <w:rPr>
          <w:rFonts w:ascii="Cambria" w:hAnsi="Cambria"/>
          <w:sz w:val="20"/>
          <w:szCs w:val="20"/>
          <w:lang w:val="es-AR"/>
        </w:rPr>
      </w:pPr>
    </w:p>
    <w:p w14:paraId="4A327966" w14:textId="252879C4"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Con respecto al proceso judicial, la CIDH debe analizar si se han menoscabado las garantías del debido proceso protegidas en la Convención Americana y si se han agotado los recursos internos o si corresponde aplicar alguna de las excepciones correspondientes.</w:t>
      </w:r>
      <w:r w:rsidRPr="00F84135">
        <w:rPr>
          <w:rStyle w:val="FootnoteReference"/>
          <w:rFonts w:asciiTheme="majorHAnsi" w:eastAsia="Cambria" w:hAnsiTheme="majorHAnsi" w:cs="Cambria"/>
          <w:bdr w:val="none" w:sz="0" w:space="0" w:color="auto"/>
          <w:lang w:val="es-ES" w:eastAsia="es-ES" w:bidi="es-ES"/>
        </w:rPr>
        <w:footnoteReference w:id="8"/>
      </w:r>
      <w:r w:rsidRPr="00346636">
        <w:rPr>
          <w:rFonts w:ascii="Cambria" w:hAnsi="Cambria"/>
          <w:sz w:val="20"/>
          <w:szCs w:val="20"/>
          <w:lang w:val="es-AR"/>
        </w:rPr>
        <w:t xml:space="preserve"> A la luz de los elementos que constan en el expediente del presente asunto, la Comisión Interamericana considera que la presunta víctima agotó los recursos disponibles en el ámbito interno el 9 de diciembre de 2009, fecha en que se rechazó el recurso de amparo interpuesto para interrumpir su reclusión y revertir la condena. Por lo tanto, la Comisión observa que se encuentra satisfecho el requisito del agotamiento de los recursos internos, de conformidad con el artículo 46.1(a) de la Convención Americana. Considerando que la petición fue presentada el 8 de marzo de 2010, la CIDH concluye que se observó el plazo de seis meses previsto en el artículo 46.1(b) </w:t>
      </w:r>
      <w:r w:rsidR="00F84135" w:rsidRPr="00346636">
        <w:rPr>
          <w:rFonts w:ascii="Cambria" w:hAnsi="Cambria"/>
          <w:sz w:val="20"/>
          <w:szCs w:val="20"/>
          <w:lang w:val="es-AR"/>
        </w:rPr>
        <w:t>del dicho tratado</w:t>
      </w:r>
      <w:r w:rsidRPr="00346636">
        <w:rPr>
          <w:rFonts w:ascii="Cambria" w:hAnsi="Cambria"/>
          <w:sz w:val="20"/>
          <w:szCs w:val="20"/>
          <w:lang w:val="es-AR"/>
        </w:rPr>
        <w:t>.</w:t>
      </w:r>
    </w:p>
    <w:p w14:paraId="71B221E2" w14:textId="77777777" w:rsidR="00410D20" w:rsidRPr="00410D20" w:rsidRDefault="00410D20" w:rsidP="00410D20">
      <w:pPr>
        <w:ind w:right="475"/>
        <w:rPr>
          <w:rFonts w:asciiTheme="majorHAnsi" w:hAnsiTheme="majorHAnsi"/>
          <w:sz w:val="20"/>
          <w:szCs w:val="20"/>
          <w:lang w:val="es-419"/>
        </w:rPr>
      </w:pPr>
    </w:p>
    <w:p w14:paraId="59CAD3CF" w14:textId="77777777" w:rsidR="00410D20" w:rsidRPr="00346636" w:rsidRDefault="00410D20" w:rsidP="00410D20">
      <w:pPr>
        <w:numPr>
          <w:ilvl w:val="0"/>
          <w:numId w:val="108"/>
        </w:numPr>
        <w:ind w:left="0" w:firstLine="720"/>
        <w:jc w:val="both"/>
        <w:rPr>
          <w:rFonts w:asciiTheme="majorHAnsi" w:hAnsiTheme="majorHAnsi"/>
          <w:b/>
          <w:sz w:val="20"/>
          <w:szCs w:val="20"/>
        </w:rPr>
      </w:pPr>
      <w:r w:rsidRPr="00346636">
        <w:rPr>
          <w:rFonts w:asciiTheme="majorHAnsi" w:hAnsiTheme="majorHAnsi"/>
          <w:b/>
          <w:sz w:val="20"/>
          <w:szCs w:val="20"/>
        </w:rPr>
        <w:t>CARACTERIZACIÓN</w:t>
      </w:r>
    </w:p>
    <w:p w14:paraId="552C9E04" w14:textId="77777777" w:rsidR="00410D20" w:rsidRPr="005A3F75" w:rsidRDefault="00410D20" w:rsidP="00410D20">
      <w:pPr>
        <w:pStyle w:val="ListParagraph"/>
        <w:ind w:right="475" w:firstLine="720"/>
        <w:rPr>
          <w:rFonts w:asciiTheme="majorHAnsi" w:hAnsiTheme="majorHAnsi"/>
          <w:sz w:val="20"/>
          <w:szCs w:val="20"/>
        </w:rPr>
      </w:pPr>
    </w:p>
    <w:p w14:paraId="2BB6D5EC"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La parte peticionaria alega detención arbitraria, actos de tortura y violaciones de debido proceso. A su vez, el Estado sostiene que la petición es inadmisible porque la parte peticionaria pretende que la CIDH actúe como una cuarta instancia y revise el valor otorgado a las pruebas dentro del proceso judicial interno.</w:t>
      </w:r>
    </w:p>
    <w:p w14:paraId="203989BD" w14:textId="77777777" w:rsidR="00410D20" w:rsidRPr="00346636" w:rsidRDefault="00410D20" w:rsidP="00410D20">
      <w:pPr>
        <w:suppressAutoHyphens/>
        <w:ind w:left="720"/>
        <w:jc w:val="both"/>
        <w:rPr>
          <w:rFonts w:ascii="Cambria" w:hAnsi="Cambria"/>
          <w:sz w:val="20"/>
          <w:szCs w:val="20"/>
          <w:lang w:val="es-AR"/>
        </w:rPr>
      </w:pPr>
    </w:p>
    <w:p w14:paraId="5A65EAAE" w14:textId="6B961828"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 xml:space="preserve">A efectos de la admisibilidad, la Comisión Interamericana debe decidir si los hechos alegados pueden caracterizar una violación de derechos humanos, según lo estipulado en el artículo 47(b) de la Convención Americana; y si la petición es manifiestamente infundada o es evidente su total improcedencia, conforme al inciso (c) de dicho artículo. El criterio de evaluación de esos requisitos difiere del que se utiliza para pronunciarse sobre el fondo de una petición; la CIDH debe realizar una evaluación prima facie para </w:t>
      </w:r>
      <w:r w:rsidRPr="00346636">
        <w:rPr>
          <w:rFonts w:ascii="Cambria" w:hAnsi="Cambria"/>
          <w:sz w:val="20"/>
          <w:szCs w:val="20"/>
          <w:lang w:val="es-AR"/>
        </w:rPr>
        <w:lastRenderedPageBreak/>
        <w:t>determinar si la petición establece el fundamento de la violación, posible o potencial, de un derecho garantizado por la Convención Americana, pero no para establecer alguna violación. La presente determinación requiere de un análisis primario, que no implica prejuzgar sobre el fondo del asunto</w:t>
      </w:r>
      <w:r w:rsidRPr="00F84135">
        <w:rPr>
          <w:rStyle w:val="FootnoteReference"/>
          <w:rFonts w:asciiTheme="majorHAnsi" w:eastAsia="Cambria" w:hAnsiTheme="majorHAnsi" w:cs="Cambria"/>
          <w:bdr w:val="none" w:sz="0" w:space="0" w:color="auto"/>
          <w:lang w:val="es-ES" w:eastAsia="es-ES" w:bidi="es-ES"/>
        </w:rPr>
        <w:footnoteReference w:id="9"/>
      </w:r>
      <w:r w:rsidR="00F84135">
        <w:rPr>
          <w:rFonts w:ascii="Cambria" w:hAnsi="Cambria"/>
          <w:sz w:val="20"/>
          <w:szCs w:val="20"/>
          <w:lang w:val="es-AR"/>
        </w:rPr>
        <w:t>.</w:t>
      </w:r>
    </w:p>
    <w:p w14:paraId="12E8F8F2" w14:textId="77777777" w:rsidR="00410D20" w:rsidRPr="00346636" w:rsidRDefault="00410D20" w:rsidP="00410D20">
      <w:pPr>
        <w:suppressAutoHyphens/>
        <w:ind w:left="720"/>
        <w:jc w:val="both"/>
        <w:rPr>
          <w:rFonts w:ascii="Cambria" w:hAnsi="Cambria"/>
          <w:sz w:val="20"/>
          <w:szCs w:val="20"/>
          <w:lang w:val="es-AR"/>
        </w:rPr>
      </w:pPr>
    </w:p>
    <w:p w14:paraId="0EA30654" w14:textId="7EDB58C2"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La CIDH es competente para declarar admisible una petición y fallar sobre su fundamento cuando se refiere a una sentencia judicial nacional dictada al margen del debido proceso, o que aparentemente viola cualquier otro derecho humano garantizado por la Convención Americana. La Comisión Interamericana ha admitido peticiones cuando de los alegatos de las partes se desprende prima facie que las sentencias judiciales o los procedimientos seguidos pudieron haber sido arbitrarios, o si implican un posible trato desigual, arbitrario, o discriminatorio</w:t>
      </w:r>
      <w:r w:rsidRPr="00F84135">
        <w:rPr>
          <w:rStyle w:val="FootnoteReference"/>
          <w:rFonts w:asciiTheme="majorHAnsi" w:eastAsia="Cambria" w:hAnsiTheme="majorHAnsi" w:cs="Cambria"/>
          <w:bdr w:val="none" w:sz="0" w:space="0" w:color="auto"/>
          <w:lang w:val="es-ES" w:eastAsia="es-ES" w:bidi="es-ES"/>
        </w:rPr>
        <w:footnoteReference w:id="10"/>
      </w:r>
      <w:r w:rsidR="00F84135">
        <w:rPr>
          <w:rFonts w:ascii="Cambria" w:hAnsi="Cambria"/>
          <w:sz w:val="20"/>
          <w:szCs w:val="20"/>
          <w:lang w:val="es-AR"/>
        </w:rPr>
        <w:t xml:space="preserve">. </w:t>
      </w:r>
      <w:r w:rsidRPr="00346636">
        <w:rPr>
          <w:rFonts w:ascii="Cambria" w:hAnsi="Cambria"/>
          <w:sz w:val="20"/>
          <w:szCs w:val="20"/>
          <w:lang w:val="es-AR"/>
        </w:rPr>
        <w:t>La CIDH nota que los hechos expuestos por la parte peticionaria pueden caracterizar violaciones de los derechos garantizados por la Convención Americana y que, por lo tanto, no hay razones para archivo de la presente petición.</w:t>
      </w:r>
    </w:p>
    <w:p w14:paraId="1F3670A7" w14:textId="77777777" w:rsidR="00410D20" w:rsidRPr="00346636" w:rsidRDefault="00410D20" w:rsidP="00410D20">
      <w:pPr>
        <w:suppressAutoHyphens/>
        <w:ind w:left="720"/>
        <w:jc w:val="both"/>
        <w:rPr>
          <w:rFonts w:ascii="Cambria" w:hAnsi="Cambria"/>
          <w:sz w:val="20"/>
          <w:szCs w:val="20"/>
          <w:lang w:val="es-AR"/>
        </w:rPr>
      </w:pPr>
    </w:p>
    <w:p w14:paraId="068C699F"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Tras examinar los elementos de hecho y de derecho expuestos por las partes, la Comisión Interamericana estima que los alegatos de la parte peticionaria no resultan manifiestamente infundados y requieren de un estudio de fondo pues los hechos, de corroborarse como ciertos, podrían constituir violaciones de los derechos reconocidos en los artículos 5 (integridad personal), 7 (libertad personal), 8 (garantías judiciales), y 25 (protección judicial) de la Convención Americana, en relación con su artículo 1.1 (obligación de respetar los derechos).</w:t>
      </w:r>
    </w:p>
    <w:p w14:paraId="53BCC005" w14:textId="77777777" w:rsidR="00410D20" w:rsidRPr="00346636" w:rsidRDefault="00410D20" w:rsidP="00410D20">
      <w:pPr>
        <w:suppressAutoHyphens/>
        <w:ind w:left="720"/>
        <w:jc w:val="both"/>
        <w:rPr>
          <w:rFonts w:ascii="Cambria" w:hAnsi="Cambria"/>
          <w:sz w:val="20"/>
          <w:szCs w:val="20"/>
          <w:lang w:val="es-AR"/>
        </w:rPr>
      </w:pPr>
    </w:p>
    <w:p w14:paraId="0B1F4FB2" w14:textId="77777777" w:rsidR="00410D20" w:rsidRPr="00346636" w:rsidRDefault="00410D20" w:rsidP="00410D20">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En cuanto a los alegatos del Estado referidos a la llamada “fórmula de cuarta instancia”, cabe reiterar que la Comisión Interamericana no es competente para revisar decisiones adoptadas por las autoridades judiciales internas en el marco de su competencia, en aplicación de las normas de debido proceso y garantías judiciales tuteladas por la Convención Americana. Sin embargo, sí es competente para declarar admisible una petición y pronunciarse sobre el fondo, cuando esta se refiere a procesos internos que podrían ser violatorios de alguno de los derechos garantizados por dicho instrumento.</w:t>
      </w:r>
    </w:p>
    <w:p w14:paraId="4B4104E7" w14:textId="77777777" w:rsidR="00410D20" w:rsidRPr="00410D20" w:rsidRDefault="00410D20" w:rsidP="00410D20">
      <w:pPr>
        <w:ind w:right="475"/>
        <w:rPr>
          <w:rFonts w:asciiTheme="majorHAnsi" w:hAnsiTheme="majorHAnsi"/>
          <w:sz w:val="20"/>
          <w:szCs w:val="20"/>
          <w:lang w:val="es-419"/>
        </w:rPr>
      </w:pPr>
    </w:p>
    <w:p w14:paraId="1865F653" w14:textId="77777777" w:rsidR="00410D20" w:rsidRPr="00346636" w:rsidRDefault="00410D20" w:rsidP="00410D20">
      <w:pPr>
        <w:numPr>
          <w:ilvl w:val="0"/>
          <w:numId w:val="108"/>
        </w:numPr>
        <w:ind w:left="0" w:firstLine="720"/>
        <w:jc w:val="both"/>
        <w:rPr>
          <w:rFonts w:asciiTheme="majorHAnsi" w:hAnsiTheme="majorHAnsi"/>
          <w:b/>
          <w:sz w:val="20"/>
          <w:szCs w:val="20"/>
        </w:rPr>
      </w:pPr>
      <w:r w:rsidRPr="00346636">
        <w:rPr>
          <w:rFonts w:asciiTheme="majorHAnsi" w:hAnsiTheme="majorHAnsi"/>
          <w:b/>
          <w:sz w:val="20"/>
          <w:szCs w:val="20"/>
        </w:rPr>
        <w:t>DECISIÓN</w:t>
      </w:r>
    </w:p>
    <w:p w14:paraId="1AA790EB" w14:textId="77777777" w:rsidR="00410D20" w:rsidRPr="005A3F75" w:rsidRDefault="00410D20" w:rsidP="00410D20">
      <w:pPr>
        <w:ind w:right="475"/>
        <w:rPr>
          <w:rFonts w:asciiTheme="majorHAnsi" w:hAnsiTheme="majorHAnsi"/>
          <w:sz w:val="20"/>
          <w:szCs w:val="20"/>
        </w:rPr>
      </w:pPr>
    </w:p>
    <w:p w14:paraId="296F34C8" w14:textId="77777777" w:rsidR="00410D20" w:rsidRPr="00346636" w:rsidRDefault="00410D20" w:rsidP="00410D2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Declarar admisible la presente petición en relación con los artículos 5, 7, 8 y 25 de la Convención Americana, en concordancia con los artículos 1.1 y 2 del mismo instrumento.</w:t>
      </w:r>
    </w:p>
    <w:p w14:paraId="2A4892FB" w14:textId="77777777" w:rsidR="00410D20" w:rsidRPr="00346636" w:rsidRDefault="00410D20" w:rsidP="00410D20">
      <w:pPr>
        <w:suppressAutoHyphens/>
        <w:ind w:left="720"/>
        <w:jc w:val="both"/>
        <w:rPr>
          <w:rFonts w:ascii="Cambria" w:hAnsi="Cambria"/>
          <w:sz w:val="20"/>
          <w:szCs w:val="20"/>
          <w:lang w:val="es-AR"/>
        </w:rPr>
      </w:pPr>
    </w:p>
    <w:p w14:paraId="3D3B751C" w14:textId="77777777" w:rsidR="00410D20" w:rsidRPr="00346636" w:rsidRDefault="00410D20" w:rsidP="00410D2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hAnsi="Cambria"/>
          <w:sz w:val="20"/>
          <w:szCs w:val="20"/>
          <w:lang w:val="es-AR"/>
        </w:rPr>
      </w:pPr>
      <w:r w:rsidRPr="00346636">
        <w:rPr>
          <w:rFonts w:ascii="Cambria" w:hAnsi="Cambria"/>
          <w:sz w:val="20"/>
          <w:szCs w:val="20"/>
          <w:lang w:val="es-AR"/>
        </w:rPr>
        <w:t>Notificar a las partes la presente decisión; continuar con el análisis del fondo de la cuestión; y publicar esta decisión e incluirla en su Informe Anual a la Asamblea General de la Organización de los Estados Americanos.</w:t>
      </w:r>
    </w:p>
    <w:p w14:paraId="66550519" w14:textId="77777777" w:rsidR="008154B2" w:rsidRPr="00410D20" w:rsidRDefault="008154B2" w:rsidP="008154B2">
      <w:pPr>
        <w:pStyle w:val="ListParagraph"/>
        <w:rPr>
          <w:sz w:val="20"/>
          <w:szCs w:val="20"/>
          <w:lang w:val="es-419"/>
        </w:rPr>
      </w:pPr>
    </w:p>
    <w:p w14:paraId="66B18DCF" w14:textId="48309A44" w:rsidR="008154B2" w:rsidRPr="00A37B82" w:rsidRDefault="008154B2" w:rsidP="008154B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49A3676" w14:textId="0B9AF4AE" w:rsidR="008154B2" w:rsidRDefault="008154B2" w:rsidP="008154B2">
      <w:pPr>
        <w:suppressAutoHyphens/>
        <w:ind w:firstLine="720"/>
        <w:jc w:val="both"/>
        <w:rPr>
          <w:rFonts w:asciiTheme="majorHAnsi" w:hAnsiTheme="majorHAnsi" w:cs="Arial"/>
          <w:noProof/>
          <w:spacing w:val="-2"/>
          <w:sz w:val="20"/>
          <w:szCs w:val="20"/>
          <w:lang w:val="es-CL"/>
        </w:rPr>
      </w:pPr>
    </w:p>
    <w:p w14:paraId="3A3E4AC8" w14:textId="77777777" w:rsidR="00410D20" w:rsidRDefault="00410D20" w:rsidP="009D4E4F">
      <w:pPr>
        <w:jc w:val="both"/>
        <w:rPr>
          <w:rFonts w:ascii="Cambria" w:hAnsi="Cambria" w:cs="Arial"/>
          <w:noProof/>
          <w:sz w:val="20"/>
          <w:szCs w:val="20"/>
          <w:lang w:val="es-CL"/>
        </w:rPr>
      </w:pPr>
    </w:p>
    <w:p w14:paraId="25C4849D" w14:textId="77777777" w:rsidR="00F84135" w:rsidRDefault="00F84135" w:rsidP="008154B2">
      <w:pPr>
        <w:ind w:firstLine="720"/>
        <w:jc w:val="both"/>
        <w:rPr>
          <w:rFonts w:ascii="Cambria" w:hAnsi="Cambria" w:cs="Arial"/>
          <w:noProof/>
          <w:sz w:val="20"/>
          <w:szCs w:val="20"/>
          <w:lang w:val="es-CL"/>
        </w:rPr>
      </w:pPr>
    </w:p>
    <w:p w14:paraId="13CA050E" w14:textId="77777777" w:rsidR="00F84135" w:rsidRDefault="00F84135" w:rsidP="008154B2">
      <w:pPr>
        <w:ind w:firstLine="720"/>
        <w:jc w:val="both"/>
        <w:rPr>
          <w:rFonts w:ascii="Cambria" w:hAnsi="Cambria" w:cs="Arial"/>
          <w:noProof/>
          <w:sz w:val="20"/>
          <w:szCs w:val="20"/>
          <w:lang w:val="es-CL"/>
        </w:rPr>
      </w:pPr>
    </w:p>
    <w:p w14:paraId="08C0C512" w14:textId="77777777" w:rsidR="008154B2" w:rsidRPr="00E876C4" w:rsidRDefault="008154B2" w:rsidP="008154B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AR"/>
        </w:rPr>
      </w:pPr>
    </w:p>
    <w:sectPr w:rsidR="008154B2" w:rsidRPr="00E876C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2F84" w14:textId="77777777" w:rsidR="00B5523D" w:rsidRDefault="00B5523D" w:rsidP="00036A8A">
      <w:r>
        <w:separator/>
      </w:r>
    </w:p>
  </w:endnote>
  <w:endnote w:type="continuationSeparator" w:id="0">
    <w:p w14:paraId="45E074EE" w14:textId="77777777" w:rsidR="00B5523D" w:rsidRDefault="00B5523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0D4E73B9"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52192">
          <w:rPr>
            <w:noProof/>
            <w:sz w:val="16"/>
          </w:rPr>
          <w:t>6</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81CE" w14:textId="77777777" w:rsidR="00B5523D" w:rsidRPr="00036A8A" w:rsidRDefault="00B5523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9505FFA" w14:textId="77777777" w:rsidR="00B5523D" w:rsidRPr="00036A8A" w:rsidRDefault="00B5523D" w:rsidP="00036A8A">
      <w:pPr>
        <w:rPr>
          <w:rFonts w:asciiTheme="majorHAnsi" w:hAnsiTheme="majorHAnsi"/>
          <w:sz w:val="16"/>
          <w:szCs w:val="16"/>
        </w:rPr>
      </w:pPr>
      <w:r w:rsidRPr="00036A8A">
        <w:rPr>
          <w:rFonts w:asciiTheme="majorHAnsi" w:hAnsiTheme="majorHAnsi"/>
          <w:sz w:val="16"/>
          <w:szCs w:val="16"/>
        </w:rPr>
        <w:separator/>
      </w:r>
    </w:p>
    <w:p w14:paraId="1B7EF827" w14:textId="77777777" w:rsidR="00B5523D" w:rsidRPr="00036A8A" w:rsidRDefault="00B5523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EBCB210" w14:textId="77777777" w:rsidR="00B5523D" w:rsidRPr="0093441A" w:rsidRDefault="00B5523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1E51C1A" w14:textId="11B8B5E8" w:rsidR="00346740" w:rsidRPr="009D4E4F" w:rsidRDefault="00346740" w:rsidP="009D4E4F">
      <w:pPr>
        <w:pStyle w:val="FootnoteText"/>
        <w:ind w:firstLine="720"/>
        <w:jc w:val="both"/>
        <w:rPr>
          <w:rFonts w:asciiTheme="majorHAnsi" w:hAnsiTheme="majorHAnsi"/>
          <w:sz w:val="16"/>
          <w:szCs w:val="16"/>
          <w:lang w:val="es-AR"/>
        </w:rPr>
      </w:pPr>
      <w:r w:rsidRPr="009D4E4F">
        <w:rPr>
          <w:rStyle w:val="FootnoteReference"/>
          <w:rFonts w:asciiTheme="majorHAnsi" w:hAnsiTheme="majorHAnsi"/>
          <w:sz w:val="16"/>
          <w:szCs w:val="16"/>
        </w:rPr>
        <w:footnoteRef/>
      </w:r>
      <w:r w:rsidRPr="009D4E4F">
        <w:rPr>
          <w:rFonts w:asciiTheme="majorHAnsi" w:hAnsiTheme="majorHAnsi"/>
          <w:sz w:val="16"/>
          <w:szCs w:val="16"/>
          <w:lang w:val="es-AR"/>
        </w:rPr>
        <w:t xml:space="preserve"> </w:t>
      </w:r>
      <w:bookmarkStart w:id="1" w:name="_Hlk82008381"/>
      <w:r w:rsidR="00E876C4" w:rsidRPr="009D4E4F">
        <w:rPr>
          <w:rFonts w:asciiTheme="majorHAnsi" w:hAnsiTheme="majorHAnsi"/>
          <w:sz w:val="16"/>
          <w:szCs w:val="16"/>
          <w:lang w:val="es-AR"/>
        </w:rPr>
        <w:t>De conformidad con el artículo 17.2.a del Reglamento de la CIDH, el Comisionado Joel Hernández García, de nacionalidad mexicana, no participó de la discusión o votación sobre este asunto.</w:t>
      </w:r>
      <w:bookmarkEnd w:id="1"/>
    </w:p>
  </w:footnote>
  <w:footnote w:id="3">
    <w:p w14:paraId="18AFA07B" w14:textId="77777777" w:rsidR="00410D20" w:rsidRPr="009D4E4F" w:rsidRDefault="00410D20" w:rsidP="009D4E4F">
      <w:pPr>
        <w:pStyle w:val="ListParagraph"/>
        <w:ind w:left="0"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En su escrito de 1º de agosto de 2017 el Estado informa lo siguiente:</w:t>
      </w:r>
    </w:p>
    <w:p w14:paraId="24AC4AEE" w14:textId="77777777" w:rsidR="00410D20" w:rsidRPr="009D4E4F" w:rsidRDefault="00410D20" w:rsidP="009D4E4F">
      <w:pPr>
        <w:pStyle w:val="ListParagraph"/>
        <w:ind w:left="0" w:firstLine="720"/>
        <w:jc w:val="both"/>
        <w:rPr>
          <w:rFonts w:asciiTheme="majorHAnsi" w:hAnsiTheme="majorHAnsi"/>
          <w:sz w:val="16"/>
          <w:szCs w:val="16"/>
          <w:lang w:val="es-419"/>
        </w:rPr>
      </w:pPr>
      <w:r w:rsidRPr="009D4E4F">
        <w:rPr>
          <w:rFonts w:asciiTheme="majorHAnsi" w:hAnsiTheme="majorHAnsi"/>
          <w:sz w:val="16"/>
          <w:szCs w:val="16"/>
          <w:lang w:val="es-419"/>
        </w:rPr>
        <w:t xml:space="preserve">El 16 de junio de 2008, el Juzgado Décimo Séptimo Penal de la ahora Ciudad de México aceptó la competencia por el delito de operaciones con recursos de procedencia ilícita y el caso fue radicado bajo la causa penal 105/2008. El 20 de junio de 2008 se declaró cerrada la etapa de instrucción. El 30 de octubre de 2008, el Juzgado Décimo Séptimo Penal de la ahora Ciudad de México dictó sentencia condenatoria en contra del peticionario por la comisión dolosa del delito de operaciones con recursos de procedencia ilícita, razón por la cual se impuso una pena de 7 años, 6 meses de prisión y 2000 días multa. El 5 de noviembre de 2008, tanto el peticionario como el ministerio publico presentaron un recurso de apelación, mismo que fue radicado bajo </w:t>
      </w:r>
      <w:proofErr w:type="gramStart"/>
      <w:r w:rsidRPr="009D4E4F">
        <w:rPr>
          <w:rFonts w:asciiTheme="majorHAnsi" w:hAnsiTheme="majorHAnsi"/>
          <w:sz w:val="16"/>
          <w:szCs w:val="16"/>
          <w:lang w:val="es-419"/>
        </w:rPr>
        <w:t>el toca</w:t>
      </w:r>
      <w:proofErr w:type="gramEnd"/>
      <w:r w:rsidRPr="009D4E4F">
        <w:rPr>
          <w:rFonts w:asciiTheme="majorHAnsi" w:hAnsiTheme="majorHAnsi"/>
          <w:sz w:val="16"/>
          <w:szCs w:val="16"/>
          <w:lang w:val="es-419"/>
        </w:rPr>
        <w:t xml:space="preserve"> penal número 1825/2008, del índice de la Octava Sala Penal. El 4 de marzo de 2009, la resolución de primera instancia fue confirmada por la Octava Sala Penal. Posteriormente, el peticionario interpuso un amparo directo, cuyo agravio consistió en la resolución de 4 de marzo de 2009. Al respecto, se admitió demanda con expediente D.P. 298/2009, donde el Noveno Tribunal Colegiado del Primer Circuito resolvió negar la protección de la justicia federal en favor del peticionario.</w:t>
      </w:r>
    </w:p>
  </w:footnote>
  <w:footnote w:id="4">
    <w:p w14:paraId="00C34170" w14:textId="77777777" w:rsidR="00410D20" w:rsidRPr="009D4E4F" w:rsidRDefault="00410D20" w:rsidP="009D4E4F">
      <w:pPr>
        <w:pStyle w:val="FootnoteText"/>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En su escrito de 1º de agosto de 2017 el Estado agrega:</w:t>
      </w:r>
    </w:p>
    <w:p w14:paraId="5DB22945" w14:textId="77777777" w:rsidR="00410D20" w:rsidRPr="009D4E4F" w:rsidRDefault="00410D20" w:rsidP="009D4E4F">
      <w:pPr>
        <w:pStyle w:val="ListParagraph"/>
        <w:ind w:left="0" w:firstLine="720"/>
        <w:jc w:val="both"/>
        <w:rPr>
          <w:rFonts w:asciiTheme="majorHAnsi" w:hAnsiTheme="majorHAnsi"/>
          <w:sz w:val="16"/>
          <w:szCs w:val="16"/>
          <w:lang w:val="es-419"/>
        </w:rPr>
      </w:pPr>
      <w:r w:rsidRPr="009D4E4F">
        <w:rPr>
          <w:rFonts w:asciiTheme="majorHAnsi" w:hAnsiTheme="majorHAnsi"/>
          <w:sz w:val="16"/>
          <w:szCs w:val="16"/>
          <w:lang w:val="es-419"/>
        </w:rPr>
        <w:t>En relación con el delito de privación ilegal de la libertad en la modalidad de secuestro, el Juzgado Décimo Séptimo Penal del entonces Distrito Federal aceptó la competencia, para conocer del proceso el 18 de diciembre de 2007. Con lo anterior, se inició la causa penal 321/2007, radicada en el Juzgado Décimo Séptimo Penal del entonces Distrito Federal. El 23 de junio de 2008 dictó sentencia definitiva en la que resolvió imponer al peticionario, 21 años y 3 meses de prisión y 525 días multa por el delito de privación ilegal de la libertad en la modalidad de secuestro. Dicha sentencia fue recurrida por el peticionario mediante recurso de apelación 1413/2008, radicado en la Octava Sala Penal, quien resolvió confirmar la sentencia de primera instancia. Contra dicha resolución, el peticionario interpuso el recurso de amparo 298/2009. El 4 de marzo de 2009, el Noveno Tribunal Colegiado en Materia Penal del Primer Circuito admitió el recurso, mismo que el 9 de diciembre de 2009 resolvió en sentido negativo.</w:t>
      </w:r>
    </w:p>
  </w:footnote>
  <w:footnote w:id="5">
    <w:p w14:paraId="16E63621" w14:textId="77777777" w:rsidR="00410D20" w:rsidRPr="009D4E4F" w:rsidRDefault="00410D20" w:rsidP="009D4E4F">
      <w:pPr>
        <w:pStyle w:val="FootnoteText"/>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Escrito del Estado de 17 de agosto de 2018.</w:t>
      </w:r>
    </w:p>
  </w:footnote>
  <w:footnote w:id="6">
    <w:p w14:paraId="18B74ACF" w14:textId="77777777" w:rsidR="00410D20" w:rsidRPr="009D4E4F" w:rsidRDefault="00410D20" w:rsidP="009D4E4F">
      <w:pPr>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CIDH, Informe No. 156/17, Petición 585-08. Admisibilidad. Carlos Alfonso Fonseca Murillo. Ecuador. 30 de noviembre de 2017, párr. 13.</w:t>
      </w:r>
    </w:p>
  </w:footnote>
  <w:footnote w:id="7">
    <w:p w14:paraId="4ABDB13A" w14:textId="77777777" w:rsidR="00410D20" w:rsidRPr="009D4E4F" w:rsidRDefault="00410D20" w:rsidP="009D4E4F">
      <w:pPr>
        <w:pStyle w:val="FootnoteText"/>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Cf., similarmente, CIDH, Informe No. 04/19, Petición 673-11. Admisibilidad. </w:t>
      </w:r>
      <w:r w:rsidRPr="009D4E4F">
        <w:rPr>
          <w:rFonts w:asciiTheme="majorHAnsi" w:hAnsiTheme="majorHAnsi"/>
          <w:sz w:val="16"/>
          <w:szCs w:val="16"/>
          <w:lang w:val="pt-BR"/>
        </w:rPr>
        <w:t xml:space="preserve">Fernando Alcântara de Figueiredo, Laci Marinho de Araújo. Brasil. 3 de enero de 2019, párr. </w:t>
      </w:r>
      <w:r w:rsidRPr="009D4E4F">
        <w:rPr>
          <w:rFonts w:asciiTheme="majorHAnsi" w:hAnsiTheme="majorHAnsi"/>
          <w:sz w:val="16"/>
          <w:szCs w:val="16"/>
          <w:lang w:val="es-419"/>
        </w:rPr>
        <w:t>22.</w:t>
      </w:r>
    </w:p>
  </w:footnote>
  <w:footnote w:id="8">
    <w:p w14:paraId="6A44E997" w14:textId="77777777" w:rsidR="00410D20" w:rsidRPr="009D4E4F" w:rsidRDefault="00410D20" w:rsidP="009D4E4F">
      <w:pPr>
        <w:pStyle w:val="FootnoteText"/>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CIDH, Informe No. 65/12, Petición 1671-02. Admisibilidad. Alejandro Peñafiel Salgado. Ecuador. 29 de marzo de 2012, párr. 38.</w:t>
      </w:r>
    </w:p>
  </w:footnote>
  <w:footnote w:id="9">
    <w:p w14:paraId="70C238CB" w14:textId="77777777" w:rsidR="00410D20" w:rsidRPr="009D4E4F" w:rsidRDefault="00410D20" w:rsidP="009D4E4F">
      <w:pPr>
        <w:pStyle w:val="FootnoteText"/>
        <w:ind w:firstLine="720"/>
        <w:jc w:val="both"/>
        <w:rPr>
          <w:rFonts w:asciiTheme="majorHAnsi" w:hAnsiTheme="majorHAnsi"/>
          <w:sz w:val="16"/>
          <w:szCs w:val="16"/>
          <w:lang w:val="es-419"/>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Cf., </w:t>
      </w:r>
      <w:r w:rsidRPr="009D4E4F">
        <w:rPr>
          <w:rFonts w:asciiTheme="majorHAnsi" w:hAnsiTheme="majorHAnsi"/>
          <w:i/>
          <w:iCs/>
          <w:sz w:val="16"/>
          <w:szCs w:val="16"/>
          <w:lang w:val="es-419"/>
        </w:rPr>
        <w:t>v.g.</w:t>
      </w:r>
      <w:r w:rsidRPr="009D4E4F">
        <w:rPr>
          <w:rFonts w:asciiTheme="majorHAnsi" w:hAnsiTheme="majorHAnsi"/>
          <w:sz w:val="16"/>
          <w:szCs w:val="16"/>
          <w:lang w:val="es-419"/>
        </w:rPr>
        <w:t>, CIDH, Informe No. 69/08, Petición 681-00. Admisibilidad. Guillermo Patricio Lynn. Argentina. 16 de octubre de 2008, párr. 48.</w:t>
      </w:r>
    </w:p>
  </w:footnote>
  <w:footnote w:id="10">
    <w:p w14:paraId="6609B602" w14:textId="77777777" w:rsidR="00410D20" w:rsidRPr="009D4E4F" w:rsidRDefault="00410D20" w:rsidP="009D4E4F">
      <w:pPr>
        <w:pStyle w:val="FootnoteText"/>
        <w:ind w:firstLine="720"/>
        <w:jc w:val="both"/>
        <w:rPr>
          <w:rFonts w:asciiTheme="majorHAnsi" w:hAnsiTheme="majorHAnsi"/>
          <w:sz w:val="16"/>
          <w:szCs w:val="16"/>
        </w:rPr>
      </w:pPr>
      <w:r w:rsidRPr="009D4E4F">
        <w:rPr>
          <w:rStyle w:val="FootnoteReference"/>
          <w:rFonts w:asciiTheme="majorHAnsi" w:hAnsiTheme="majorHAnsi"/>
          <w:sz w:val="16"/>
          <w:szCs w:val="16"/>
        </w:rPr>
        <w:footnoteRef/>
      </w:r>
      <w:r w:rsidRPr="009D4E4F">
        <w:rPr>
          <w:rFonts w:asciiTheme="majorHAnsi" w:hAnsiTheme="majorHAnsi"/>
          <w:sz w:val="16"/>
          <w:szCs w:val="16"/>
          <w:lang w:val="es-419"/>
        </w:rPr>
        <w:t xml:space="preserve"> Cf., </w:t>
      </w:r>
      <w:r w:rsidRPr="009D4E4F">
        <w:rPr>
          <w:rFonts w:asciiTheme="majorHAnsi" w:hAnsiTheme="majorHAnsi"/>
          <w:i/>
          <w:iCs/>
          <w:sz w:val="16"/>
          <w:szCs w:val="16"/>
          <w:lang w:val="es-419"/>
        </w:rPr>
        <w:t>v.g.</w:t>
      </w:r>
      <w:r w:rsidRPr="009D4E4F">
        <w:rPr>
          <w:rFonts w:asciiTheme="majorHAnsi" w:hAnsiTheme="majorHAnsi"/>
          <w:sz w:val="16"/>
          <w:szCs w:val="16"/>
          <w:lang w:val="es-419"/>
        </w:rPr>
        <w:t xml:space="preserve">, CIDH, Informe No. 64/14, Petición 806-06. Admisibilidad. </w:t>
      </w:r>
      <w:r w:rsidRPr="009D4E4F">
        <w:rPr>
          <w:rFonts w:asciiTheme="majorHAnsi" w:hAnsiTheme="majorHAnsi"/>
          <w:sz w:val="16"/>
          <w:szCs w:val="16"/>
          <w:lang w:val="es-US"/>
        </w:rPr>
        <w:t xml:space="preserve">Laureano Brizuela Wilde. México. </w:t>
      </w:r>
      <w:r w:rsidRPr="009D4E4F">
        <w:rPr>
          <w:rFonts w:asciiTheme="majorHAnsi" w:hAnsiTheme="majorHAnsi"/>
          <w:sz w:val="16"/>
          <w:szCs w:val="16"/>
        </w:rPr>
        <w:t xml:space="preserve">25 de </w:t>
      </w:r>
      <w:proofErr w:type="spellStart"/>
      <w:r w:rsidRPr="009D4E4F">
        <w:rPr>
          <w:rFonts w:asciiTheme="majorHAnsi" w:hAnsiTheme="majorHAnsi"/>
          <w:sz w:val="16"/>
          <w:szCs w:val="16"/>
        </w:rPr>
        <w:t>julio</w:t>
      </w:r>
      <w:proofErr w:type="spellEnd"/>
      <w:r w:rsidRPr="009D4E4F">
        <w:rPr>
          <w:rFonts w:asciiTheme="majorHAnsi" w:hAnsiTheme="majorHAnsi"/>
          <w:sz w:val="16"/>
          <w:szCs w:val="16"/>
        </w:rPr>
        <w:t xml:space="preserve"> de 2014, </w:t>
      </w:r>
      <w:proofErr w:type="spellStart"/>
      <w:r w:rsidRPr="009D4E4F">
        <w:rPr>
          <w:rFonts w:asciiTheme="majorHAnsi" w:hAnsiTheme="majorHAnsi"/>
          <w:sz w:val="16"/>
          <w:szCs w:val="16"/>
        </w:rPr>
        <w:t>párr</w:t>
      </w:r>
      <w:proofErr w:type="spellEnd"/>
      <w:r w:rsidRPr="009D4E4F">
        <w:rPr>
          <w:rFonts w:asciiTheme="majorHAnsi" w:hAnsiTheme="majorHAnsi"/>
          <w:sz w:val="16"/>
          <w:szCs w:val="16"/>
        </w:rPr>
        <w:t>.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53872F6E" w:rsidR="002C1641" w:rsidRDefault="002054F2" w:rsidP="002C1641">
    <w:pPr>
      <w:pStyle w:val="Header"/>
      <w:tabs>
        <w:tab w:val="clear" w:pos="4320"/>
        <w:tab w:val="clear" w:pos="8640"/>
      </w:tabs>
      <w:jc w:val="center"/>
      <w:rPr>
        <w:sz w:val="22"/>
        <w:szCs w:val="22"/>
      </w:rPr>
    </w:pPr>
    <w:r>
      <w:rPr>
        <w:noProof/>
        <w:sz w:val="22"/>
        <w:szCs w:val="22"/>
      </w:rPr>
      <w:drawing>
        <wp:inline distT="0" distB="0" distL="0" distR="0" wp14:anchorId="04336E93" wp14:editId="4425A830">
          <wp:extent cx="1972237" cy="104775"/>
          <wp:effectExtent l="0" t="0" r="9525" b="0"/>
          <wp:docPr id="9" name="Picture 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32A1081" w14:textId="77777777" w:rsidR="00040C3A" w:rsidRPr="00EC7D62" w:rsidRDefault="00B5523D"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7021CDB"/>
    <w:multiLevelType w:val="hybridMultilevel"/>
    <w:tmpl w:val="2BF265EC"/>
    <w:lvl w:ilvl="0" w:tplc="B57A7788">
      <w:start w:val="5"/>
      <w:numFmt w:val="upperRoman"/>
      <w:lvlText w:val="%1."/>
      <w:lvlJc w:val="left"/>
      <w:pPr>
        <w:ind w:left="2199"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42088560"/>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4"/>
  </w:num>
  <w:num w:numId="93">
    <w:abstractNumId w:val="65"/>
  </w:num>
  <w:num w:numId="94">
    <w:abstractNumId w:val="22"/>
  </w:num>
  <w:num w:numId="95">
    <w:abstractNumId w:val="43"/>
  </w:num>
  <w:num w:numId="96">
    <w:abstractNumId w:val="55"/>
  </w:num>
  <w:num w:numId="97">
    <w:abstractNumId w:val="53"/>
  </w:num>
  <w:num w:numId="98">
    <w:abstractNumId w:val="48"/>
  </w:num>
  <w:num w:numId="99">
    <w:abstractNumId w:val="38"/>
  </w:num>
  <w:num w:numId="100">
    <w:abstractNumId w:val="3"/>
  </w:num>
  <w:num w:numId="101">
    <w:abstractNumId w:val="27"/>
  </w:num>
  <w:num w:numId="102">
    <w:abstractNumId w:val="50"/>
  </w:num>
  <w:num w:numId="103">
    <w:abstractNumId w:val="6"/>
  </w:num>
  <w:num w:numId="104">
    <w:abstractNumId w:val="12"/>
  </w:num>
  <w:num w:numId="105">
    <w:abstractNumId w:val="45"/>
  </w:num>
  <w:num w:numId="106">
    <w:abstractNumId w:val="4"/>
  </w:num>
  <w:num w:numId="107">
    <w:abstractNumId w:val="63"/>
  </w:num>
  <w:num w:numId="108">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682"/>
    <w:rsid w:val="000070D7"/>
    <w:rsid w:val="000111A8"/>
    <w:rsid w:val="0001788C"/>
    <w:rsid w:val="00022CF5"/>
    <w:rsid w:val="00036A8A"/>
    <w:rsid w:val="00036AC6"/>
    <w:rsid w:val="00040C3A"/>
    <w:rsid w:val="00052192"/>
    <w:rsid w:val="00054A28"/>
    <w:rsid w:val="000639C0"/>
    <w:rsid w:val="000674F6"/>
    <w:rsid w:val="00070F3A"/>
    <w:rsid w:val="000716C5"/>
    <w:rsid w:val="00075E23"/>
    <w:rsid w:val="000771C3"/>
    <w:rsid w:val="00092F32"/>
    <w:rsid w:val="0009344A"/>
    <w:rsid w:val="000A350A"/>
    <w:rsid w:val="000A575F"/>
    <w:rsid w:val="000B2F51"/>
    <w:rsid w:val="000B3E1F"/>
    <w:rsid w:val="000C4365"/>
    <w:rsid w:val="000D10DB"/>
    <w:rsid w:val="000D19E1"/>
    <w:rsid w:val="000F5A08"/>
    <w:rsid w:val="00124116"/>
    <w:rsid w:val="00127111"/>
    <w:rsid w:val="0013104F"/>
    <w:rsid w:val="00137EBA"/>
    <w:rsid w:val="00145EDC"/>
    <w:rsid w:val="00146BA5"/>
    <w:rsid w:val="00153084"/>
    <w:rsid w:val="001630A9"/>
    <w:rsid w:val="00167A34"/>
    <w:rsid w:val="001714B4"/>
    <w:rsid w:val="0018037F"/>
    <w:rsid w:val="00190C86"/>
    <w:rsid w:val="001A5F27"/>
    <w:rsid w:val="001A65E4"/>
    <w:rsid w:val="001A7870"/>
    <w:rsid w:val="001B27CC"/>
    <w:rsid w:val="001C1B41"/>
    <w:rsid w:val="001E366B"/>
    <w:rsid w:val="001F1902"/>
    <w:rsid w:val="002054F2"/>
    <w:rsid w:val="00210E0E"/>
    <w:rsid w:val="00210F4B"/>
    <w:rsid w:val="00225114"/>
    <w:rsid w:val="00230163"/>
    <w:rsid w:val="0023351C"/>
    <w:rsid w:val="00247403"/>
    <w:rsid w:val="00247542"/>
    <w:rsid w:val="00257893"/>
    <w:rsid w:val="00266092"/>
    <w:rsid w:val="00266B61"/>
    <w:rsid w:val="0026712A"/>
    <w:rsid w:val="002704DB"/>
    <w:rsid w:val="002760CE"/>
    <w:rsid w:val="002A05B4"/>
    <w:rsid w:val="002B3E69"/>
    <w:rsid w:val="002B7A85"/>
    <w:rsid w:val="002C1641"/>
    <w:rsid w:val="002D7EA2"/>
    <w:rsid w:val="002E15DF"/>
    <w:rsid w:val="002E187C"/>
    <w:rsid w:val="002E6E57"/>
    <w:rsid w:val="002F35CF"/>
    <w:rsid w:val="00301075"/>
    <w:rsid w:val="00302733"/>
    <w:rsid w:val="00311A4F"/>
    <w:rsid w:val="00314078"/>
    <w:rsid w:val="00321AFD"/>
    <w:rsid w:val="00322450"/>
    <w:rsid w:val="003246B5"/>
    <w:rsid w:val="0033169F"/>
    <w:rsid w:val="003414AC"/>
    <w:rsid w:val="00346740"/>
    <w:rsid w:val="00350D21"/>
    <w:rsid w:val="00356185"/>
    <w:rsid w:val="00360380"/>
    <w:rsid w:val="003771A3"/>
    <w:rsid w:val="00384EBC"/>
    <w:rsid w:val="00386CF0"/>
    <w:rsid w:val="003A1626"/>
    <w:rsid w:val="003A4348"/>
    <w:rsid w:val="003C309B"/>
    <w:rsid w:val="003C32BC"/>
    <w:rsid w:val="003D102A"/>
    <w:rsid w:val="003E3E03"/>
    <w:rsid w:val="003F1BBF"/>
    <w:rsid w:val="00410D20"/>
    <w:rsid w:val="004162B1"/>
    <w:rsid w:val="004165C2"/>
    <w:rsid w:val="00450A4A"/>
    <w:rsid w:val="004666FB"/>
    <w:rsid w:val="00466D0B"/>
    <w:rsid w:val="00467B7E"/>
    <w:rsid w:val="0049419D"/>
    <w:rsid w:val="00497778"/>
    <w:rsid w:val="004B2762"/>
    <w:rsid w:val="004B7EB6"/>
    <w:rsid w:val="004C41DE"/>
    <w:rsid w:val="004C4B62"/>
    <w:rsid w:val="004D0405"/>
    <w:rsid w:val="004D6025"/>
    <w:rsid w:val="004D72BC"/>
    <w:rsid w:val="004E1F40"/>
    <w:rsid w:val="004F6B67"/>
    <w:rsid w:val="00501399"/>
    <w:rsid w:val="00507BC4"/>
    <w:rsid w:val="005128E4"/>
    <w:rsid w:val="00520468"/>
    <w:rsid w:val="00525560"/>
    <w:rsid w:val="005275CA"/>
    <w:rsid w:val="00532B0E"/>
    <w:rsid w:val="005357A6"/>
    <w:rsid w:val="00544C49"/>
    <w:rsid w:val="005621D4"/>
    <w:rsid w:val="00562886"/>
    <w:rsid w:val="0057402A"/>
    <w:rsid w:val="005771D0"/>
    <w:rsid w:val="005816E5"/>
    <w:rsid w:val="0059191A"/>
    <w:rsid w:val="005921FF"/>
    <w:rsid w:val="00592718"/>
    <w:rsid w:val="005A6D0E"/>
    <w:rsid w:val="005A7F38"/>
    <w:rsid w:val="005B222D"/>
    <w:rsid w:val="005B52B0"/>
    <w:rsid w:val="005B6806"/>
    <w:rsid w:val="005C00F9"/>
    <w:rsid w:val="005C4225"/>
    <w:rsid w:val="005D1C7C"/>
    <w:rsid w:val="005E6664"/>
    <w:rsid w:val="005F0F33"/>
    <w:rsid w:val="00600DEB"/>
    <w:rsid w:val="00613027"/>
    <w:rsid w:val="00627C9F"/>
    <w:rsid w:val="006311DA"/>
    <w:rsid w:val="006311E9"/>
    <w:rsid w:val="006318B2"/>
    <w:rsid w:val="00632354"/>
    <w:rsid w:val="00634139"/>
    <w:rsid w:val="00641B0C"/>
    <w:rsid w:val="00642810"/>
    <w:rsid w:val="00652333"/>
    <w:rsid w:val="00653EA6"/>
    <w:rsid w:val="0068009E"/>
    <w:rsid w:val="006828F6"/>
    <w:rsid w:val="00683EB2"/>
    <w:rsid w:val="006A17D2"/>
    <w:rsid w:val="006A5BAD"/>
    <w:rsid w:val="006A6E90"/>
    <w:rsid w:val="006A73E6"/>
    <w:rsid w:val="006B2D5C"/>
    <w:rsid w:val="006C4EB1"/>
    <w:rsid w:val="006D39BA"/>
    <w:rsid w:val="006D4707"/>
    <w:rsid w:val="006E0166"/>
    <w:rsid w:val="006E7B34"/>
    <w:rsid w:val="006F1022"/>
    <w:rsid w:val="006F2C88"/>
    <w:rsid w:val="006F3AE4"/>
    <w:rsid w:val="006F4458"/>
    <w:rsid w:val="00701B24"/>
    <w:rsid w:val="00702BD9"/>
    <w:rsid w:val="00706858"/>
    <w:rsid w:val="0071495F"/>
    <w:rsid w:val="00724B16"/>
    <w:rsid w:val="00736F30"/>
    <w:rsid w:val="0073798E"/>
    <w:rsid w:val="00745899"/>
    <w:rsid w:val="007502B2"/>
    <w:rsid w:val="00751977"/>
    <w:rsid w:val="007607C4"/>
    <w:rsid w:val="0076643F"/>
    <w:rsid w:val="00781653"/>
    <w:rsid w:val="00785403"/>
    <w:rsid w:val="00792CC2"/>
    <w:rsid w:val="00796B37"/>
    <w:rsid w:val="007972F0"/>
    <w:rsid w:val="007A2F70"/>
    <w:rsid w:val="007A4E36"/>
    <w:rsid w:val="007C3334"/>
    <w:rsid w:val="007C52BB"/>
    <w:rsid w:val="007C7A87"/>
    <w:rsid w:val="007D2048"/>
    <w:rsid w:val="007D2B98"/>
    <w:rsid w:val="007F4853"/>
    <w:rsid w:val="00803F1C"/>
    <w:rsid w:val="0080600E"/>
    <w:rsid w:val="00814711"/>
    <w:rsid w:val="008154B2"/>
    <w:rsid w:val="00817612"/>
    <w:rsid w:val="00837C45"/>
    <w:rsid w:val="00853419"/>
    <w:rsid w:val="0088579C"/>
    <w:rsid w:val="00897E12"/>
    <w:rsid w:val="008D43BA"/>
    <w:rsid w:val="008E3759"/>
    <w:rsid w:val="008E40F5"/>
    <w:rsid w:val="009041DC"/>
    <w:rsid w:val="009104B4"/>
    <w:rsid w:val="00911673"/>
    <w:rsid w:val="009228DA"/>
    <w:rsid w:val="00925FCD"/>
    <w:rsid w:val="0093441A"/>
    <w:rsid w:val="00946ACE"/>
    <w:rsid w:val="00954BF7"/>
    <w:rsid w:val="0096706E"/>
    <w:rsid w:val="00981FBA"/>
    <w:rsid w:val="00987313"/>
    <w:rsid w:val="0098783D"/>
    <w:rsid w:val="009A205B"/>
    <w:rsid w:val="009B381B"/>
    <w:rsid w:val="009B58F0"/>
    <w:rsid w:val="009D07F7"/>
    <w:rsid w:val="009D4E4F"/>
    <w:rsid w:val="009D7611"/>
    <w:rsid w:val="009E53DE"/>
    <w:rsid w:val="009E566A"/>
    <w:rsid w:val="009F6B2B"/>
    <w:rsid w:val="00A04245"/>
    <w:rsid w:val="00A12DBC"/>
    <w:rsid w:val="00A15CBE"/>
    <w:rsid w:val="00A33926"/>
    <w:rsid w:val="00A43458"/>
    <w:rsid w:val="00A47820"/>
    <w:rsid w:val="00A528D1"/>
    <w:rsid w:val="00A5614D"/>
    <w:rsid w:val="00A66BE5"/>
    <w:rsid w:val="00AB2BAC"/>
    <w:rsid w:val="00AD37C1"/>
    <w:rsid w:val="00AE043C"/>
    <w:rsid w:val="00AE66EC"/>
    <w:rsid w:val="00AE6F91"/>
    <w:rsid w:val="00AF5571"/>
    <w:rsid w:val="00B06BB7"/>
    <w:rsid w:val="00B167E9"/>
    <w:rsid w:val="00B179ED"/>
    <w:rsid w:val="00B314DB"/>
    <w:rsid w:val="00B31EBE"/>
    <w:rsid w:val="00B3718B"/>
    <w:rsid w:val="00B44B23"/>
    <w:rsid w:val="00B4632A"/>
    <w:rsid w:val="00B5523D"/>
    <w:rsid w:val="00B92E49"/>
    <w:rsid w:val="00B96953"/>
    <w:rsid w:val="00BA276C"/>
    <w:rsid w:val="00BB306F"/>
    <w:rsid w:val="00BD232B"/>
    <w:rsid w:val="00BD2E42"/>
    <w:rsid w:val="00BD4B89"/>
    <w:rsid w:val="00C21762"/>
    <w:rsid w:val="00C22333"/>
    <w:rsid w:val="00C24543"/>
    <w:rsid w:val="00C256A2"/>
    <w:rsid w:val="00C3492D"/>
    <w:rsid w:val="00C511E1"/>
    <w:rsid w:val="00C55560"/>
    <w:rsid w:val="00C66B72"/>
    <w:rsid w:val="00C84D0A"/>
    <w:rsid w:val="00C9567A"/>
    <w:rsid w:val="00CA6577"/>
    <w:rsid w:val="00CB2660"/>
    <w:rsid w:val="00CB3F86"/>
    <w:rsid w:val="00CC0214"/>
    <w:rsid w:val="00CC5E90"/>
    <w:rsid w:val="00CD046C"/>
    <w:rsid w:val="00CE5199"/>
    <w:rsid w:val="00CE66D5"/>
    <w:rsid w:val="00D34786"/>
    <w:rsid w:val="00D40A1E"/>
    <w:rsid w:val="00D533C0"/>
    <w:rsid w:val="00D712D3"/>
    <w:rsid w:val="00D71422"/>
    <w:rsid w:val="00D7145E"/>
    <w:rsid w:val="00D75084"/>
    <w:rsid w:val="00D7558D"/>
    <w:rsid w:val="00D81D92"/>
    <w:rsid w:val="00D86DFD"/>
    <w:rsid w:val="00D93446"/>
    <w:rsid w:val="00DA7B5F"/>
    <w:rsid w:val="00DB799D"/>
    <w:rsid w:val="00DF078B"/>
    <w:rsid w:val="00DF350D"/>
    <w:rsid w:val="00E227C1"/>
    <w:rsid w:val="00E43157"/>
    <w:rsid w:val="00E47F3D"/>
    <w:rsid w:val="00E533FF"/>
    <w:rsid w:val="00E66F7A"/>
    <w:rsid w:val="00E709B3"/>
    <w:rsid w:val="00E7588C"/>
    <w:rsid w:val="00E7797F"/>
    <w:rsid w:val="00E850B6"/>
    <w:rsid w:val="00E876C4"/>
    <w:rsid w:val="00E8789F"/>
    <w:rsid w:val="00E97B71"/>
    <w:rsid w:val="00EB454D"/>
    <w:rsid w:val="00EB786F"/>
    <w:rsid w:val="00ED0D1B"/>
    <w:rsid w:val="00EE0017"/>
    <w:rsid w:val="00EE3522"/>
    <w:rsid w:val="00EF619B"/>
    <w:rsid w:val="00F00B55"/>
    <w:rsid w:val="00F1380F"/>
    <w:rsid w:val="00F14F0E"/>
    <w:rsid w:val="00F15A3B"/>
    <w:rsid w:val="00F24C29"/>
    <w:rsid w:val="00F253CC"/>
    <w:rsid w:val="00F42B71"/>
    <w:rsid w:val="00F56BA5"/>
    <w:rsid w:val="00F621C3"/>
    <w:rsid w:val="00F644E6"/>
    <w:rsid w:val="00F64587"/>
    <w:rsid w:val="00F66BD0"/>
    <w:rsid w:val="00F816D6"/>
    <w:rsid w:val="00F84135"/>
    <w:rsid w:val="00F9653B"/>
    <w:rsid w:val="00FA527C"/>
    <w:rsid w:val="00FB62CF"/>
    <w:rsid w:val="00FC3EB4"/>
    <w:rsid w:val="00FC6C58"/>
    <w:rsid w:val="00FE6B45"/>
    <w:rsid w:val="00FF1E7D"/>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146BA5"/>
    <w:rPr>
      <w:sz w:val="16"/>
      <w:szCs w:val="16"/>
    </w:rPr>
  </w:style>
  <w:style w:type="paragraph" w:styleId="CommentText">
    <w:name w:val="annotation text"/>
    <w:basedOn w:val="Normal"/>
    <w:link w:val="CommentTextChar"/>
    <w:uiPriority w:val="99"/>
    <w:semiHidden/>
    <w:unhideWhenUsed/>
    <w:rsid w:val="00146BA5"/>
    <w:rPr>
      <w:sz w:val="20"/>
      <w:szCs w:val="20"/>
    </w:rPr>
  </w:style>
  <w:style w:type="character" w:customStyle="1" w:styleId="CommentTextChar">
    <w:name w:val="Comment Text Char"/>
    <w:basedOn w:val="DefaultParagraphFont"/>
    <w:link w:val="CommentText"/>
    <w:uiPriority w:val="99"/>
    <w:semiHidden/>
    <w:rsid w:val="00146BA5"/>
    <w:rPr>
      <w:lang w:val="en-US" w:eastAsia="en-US"/>
    </w:rPr>
  </w:style>
  <w:style w:type="paragraph" w:styleId="CommentSubject">
    <w:name w:val="annotation subject"/>
    <w:basedOn w:val="CommentText"/>
    <w:next w:val="CommentText"/>
    <w:link w:val="CommentSubjectChar"/>
    <w:uiPriority w:val="99"/>
    <w:semiHidden/>
    <w:unhideWhenUsed/>
    <w:rsid w:val="00146BA5"/>
    <w:rPr>
      <w:b/>
      <w:bCs/>
    </w:rPr>
  </w:style>
  <w:style w:type="character" w:customStyle="1" w:styleId="CommentSubjectChar">
    <w:name w:val="Comment Subject Char"/>
    <w:basedOn w:val="CommentTextChar"/>
    <w:link w:val="CommentSubject"/>
    <w:uiPriority w:val="99"/>
    <w:semiHidden/>
    <w:rsid w:val="00146BA5"/>
    <w:rPr>
      <w:b/>
      <w:bCs/>
      <w:lang w:val="en-US" w:eastAsia="en-US"/>
    </w:rPr>
  </w:style>
  <w:style w:type="paragraph" w:customStyle="1" w:styleId="TableParagraph">
    <w:name w:val="Table Paragraph"/>
    <w:basedOn w:val="Normal"/>
    <w:uiPriority w:val="1"/>
    <w:qFormat/>
    <w:rsid w:val="0063413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3" w:lineRule="exact"/>
      <w:ind w:left="105"/>
    </w:pPr>
    <w:rPr>
      <w:rFonts w:ascii="Cambria" w:eastAsia="Cambria" w:hAnsi="Cambria" w:cs="Cambria"/>
      <w:sz w:val="22"/>
      <w:szCs w:val="22"/>
      <w:bdr w:val="none" w:sz="0" w:space="0" w:color="auto"/>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5FFC-1B08-4364-9D4C-9D6E23EF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2814</Words>
  <Characters>14301</Characters>
  <Application>Microsoft Office Word</Application>
  <DocSecurity>0</DocSecurity>
  <Lines>297</Lines>
  <Paragraphs>79</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183/21</dc:title>
  <dc:creator/>
  <cp:lastModifiedBy/>
  <cp:revision>1</cp:revision>
  <dcterms:created xsi:type="dcterms:W3CDTF">2021-09-22T18:33:00Z</dcterms:created>
  <dcterms:modified xsi:type="dcterms:W3CDTF">2021-09-22T18:34:00Z</dcterms:modified>
</cp:coreProperties>
</file>