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9838" w14:textId="77777777" w:rsidR="00040C3A" w:rsidRPr="00A53E24" w:rsidRDefault="00D306D1" w:rsidP="00627C9F">
      <w:pPr>
        <w:jc w:val="both"/>
        <w:rPr>
          <w:rFonts w:asciiTheme="majorHAnsi" w:hAnsiTheme="majorHAnsi" w:cs="Univers"/>
          <w:b/>
          <w:bCs/>
          <w:sz w:val="22"/>
          <w:szCs w:val="22"/>
          <w:lang w:val="es-ES"/>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3CB13ECA" wp14:editId="76C294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871D9"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21D98972" wp14:editId="317A996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858A4" w14:textId="77777777" w:rsidR="00CB2660" w:rsidRDefault="00AE5488" w:rsidP="00AE5488">
                            <w:r>
                              <w:rPr>
                                <w:noProof/>
                              </w:rPr>
                              <w:drawing>
                                <wp:inline distT="0" distB="0" distL="0" distR="0" wp14:anchorId="6583018F" wp14:editId="6DDFC6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9897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124858A4" w14:textId="77777777" w:rsidR="00CB2660" w:rsidRDefault="00AE5488" w:rsidP="00AE5488">
                      <w:r>
                        <w:rPr>
                          <w:noProof/>
                        </w:rPr>
                        <w:drawing>
                          <wp:inline distT="0" distB="0" distL="0" distR="0" wp14:anchorId="6583018F" wp14:editId="6DDFC6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97A79EE" w14:textId="77777777" w:rsidR="00040C3A" w:rsidRPr="00A53E24" w:rsidRDefault="00040C3A" w:rsidP="00040C3A">
      <w:pPr>
        <w:tabs>
          <w:tab w:val="center" w:pos="5400"/>
        </w:tabs>
        <w:suppressAutoHyphens/>
        <w:jc w:val="both"/>
        <w:rPr>
          <w:rFonts w:asciiTheme="majorHAnsi" w:hAnsiTheme="majorHAnsi"/>
          <w:sz w:val="22"/>
          <w:szCs w:val="22"/>
          <w:lang w:val="es-ES"/>
        </w:rPr>
      </w:pPr>
    </w:p>
    <w:p w14:paraId="4AA47448" w14:textId="77777777" w:rsidR="00040C3A" w:rsidRPr="00A53E24" w:rsidRDefault="00040C3A" w:rsidP="00040C3A">
      <w:pPr>
        <w:tabs>
          <w:tab w:val="center" w:pos="5400"/>
        </w:tabs>
        <w:suppressAutoHyphens/>
        <w:jc w:val="both"/>
        <w:rPr>
          <w:rFonts w:asciiTheme="majorHAnsi" w:hAnsiTheme="majorHAnsi"/>
          <w:sz w:val="22"/>
          <w:szCs w:val="22"/>
          <w:lang w:val="es-ES"/>
        </w:rPr>
      </w:pPr>
    </w:p>
    <w:p w14:paraId="220DB950" w14:textId="77777777" w:rsidR="005128E4" w:rsidRPr="00A53E24" w:rsidRDefault="005128E4" w:rsidP="00040C3A">
      <w:pPr>
        <w:tabs>
          <w:tab w:val="center" w:pos="5400"/>
        </w:tabs>
        <w:suppressAutoHyphens/>
        <w:rPr>
          <w:rFonts w:asciiTheme="majorHAnsi" w:hAnsiTheme="majorHAnsi"/>
          <w:sz w:val="22"/>
          <w:szCs w:val="22"/>
          <w:lang w:val="es-ES"/>
        </w:rPr>
      </w:pPr>
    </w:p>
    <w:p w14:paraId="038AECA9" w14:textId="77777777" w:rsidR="005128E4" w:rsidRPr="00A53E24" w:rsidRDefault="005128E4" w:rsidP="00040C3A">
      <w:pPr>
        <w:tabs>
          <w:tab w:val="center" w:pos="5400"/>
        </w:tabs>
        <w:suppressAutoHyphens/>
        <w:rPr>
          <w:rFonts w:asciiTheme="majorHAnsi" w:hAnsiTheme="majorHAnsi"/>
          <w:sz w:val="22"/>
          <w:szCs w:val="22"/>
          <w:lang w:val="es-ES"/>
        </w:rPr>
      </w:pPr>
    </w:p>
    <w:p w14:paraId="03A5C486" w14:textId="77777777" w:rsidR="005128E4" w:rsidRPr="00A53E24" w:rsidRDefault="005128E4" w:rsidP="00040C3A">
      <w:pPr>
        <w:tabs>
          <w:tab w:val="center" w:pos="5400"/>
        </w:tabs>
        <w:suppressAutoHyphens/>
        <w:rPr>
          <w:rFonts w:asciiTheme="majorHAnsi" w:hAnsiTheme="majorHAnsi"/>
          <w:sz w:val="22"/>
          <w:szCs w:val="22"/>
          <w:lang w:val="es-ES"/>
        </w:rPr>
      </w:pPr>
    </w:p>
    <w:p w14:paraId="0970F3D8" w14:textId="77777777" w:rsidR="00040C3A" w:rsidRPr="00A53E24" w:rsidRDefault="00040C3A" w:rsidP="005128E4">
      <w:pPr>
        <w:tabs>
          <w:tab w:val="center" w:pos="5400"/>
        </w:tabs>
        <w:suppressAutoHyphens/>
        <w:jc w:val="center"/>
        <w:rPr>
          <w:rFonts w:asciiTheme="majorHAnsi" w:hAnsiTheme="majorHAnsi"/>
          <w:sz w:val="22"/>
          <w:szCs w:val="22"/>
          <w:lang w:val="es-ES"/>
        </w:rPr>
      </w:pPr>
    </w:p>
    <w:p w14:paraId="4D474A8F" w14:textId="77777777" w:rsidR="00040C3A" w:rsidRPr="00A53E24" w:rsidRDefault="00040C3A" w:rsidP="005128E4">
      <w:pPr>
        <w:tabs>
          <w:tab w:val="center" w:pos="5400"/>
        </w:tabs>
        <w:suppressAutoHyphens/>
        <w:jc w:val="center"/>
        <w:rPr>
          <w:rFonts w:asciiTheme="majorHAnsi" w:hAnsiTheme="majorHAnsi"/>
          <w:sz w:val="22"/>
          <w:szCs w:val="22"/>
          <w:lang w:val="es-ES"/>
        </w:rPr>
      </w:pPr>
    </w:p>
    <w:p w14:paraId="4304266B" w14:textId="77777777" w:rsidR="005B52B0" w:rsidRPr="00A53E24" w:rsidRDefault="005B52B0" w:rsidP="005128E4">
      <w:pPr>
        <w:tabs>
          <w:tab w:val="center" w:pos="5400"/>
        </w:tabs>
        <w:suppressAutoHyphens/>
        <w:jc w:val="center"/>
        <w:rPr>
          <w:rFonts w:asciiTheme="majorHAnsi" w:hAnsiTheme="majorHAnsi"/>
          <w:sz w:val="22"/>
          <w:szCs w:val="22"/>
          <w:lang w:val="es-ES"/>
        </w:rPr>
      </w:pPr>
    </w:p>
    <w:p w14:paraId="1142A1E1" w14:textId="77777777" w:rsidR="005B52B0" w:rsidRPr="00A53E24" w:rsidRDefault="005B52B0" w:rsidP="005128E4">
      <w:pPr>
        <w:tabs>
          <w:tab w:val="center" w:pos="5400"/>
        </w:tabs>
        <w:suppressAutoHyphens/>
        <w:jc w:val="center"/>
        <w:rPr>
          <w:rFonts w:asciiTheme="majorHAnsi" w:hAnsiTheme="majorHAnsi"/>
          <w:sz w:val="22"/>
          <w:szCs w:val="22"/>
          <w:lang w:val="es-ES"/>
        </w:rPr>
      </w:pPr>
    </w:p>
    <w:p w14:paraId="4448E165" w14:textId="77777777" w:rsidR="005B52B0" w:rsidRPr="00A53E24" w:rsidRDefault="005B52B0" w:rsidP="005128E4">
      <w:pPr>
        <w:tabs>
          <w:tab w:val="center" w:pos="5400"/>
        </w:tabs>
        <w:suppressAutoHyphens/>
        <w:jc w:val="center"/>
        <w:rPr>
          <w:rFonts w:asciiTheme="majorHAnsi" w:hAnsiTheme="majorHAnsi"/>
          <w:sz w:val="22"/>
          <w:szCs w:val="22"/>
          <w:lang w:val="es-ES"/>
        </w:rPr>
      </w:pPr>
    </w:p>
    <w:p w14:paraId="3AFBC36C"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6784D701"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6E393A38" w14:textId="77777777" w:rsidR="00040C3A" w:rsidRPr="00A53E24" w:rsidRDefault="003D3BC2" w:rsidP="00040C3A">
      <w:pPr>
        <w:tabs>
          <w:tab w:val="center" w:pos="5400"/>
        </w:tabs>
        <w:suppressAutoHyphens/>
        <w:jc w:val="center"/>
        <w:rPr>
          <w:rFonts w:asciiTheme="majorHAnsi" w:hAnsiTheme="majorHAnsi"/>
          <w:sz w:val="22"/>
          <w:szCs w:val="22"/>
          <w:lang w:val="es-ES"/>
        </w:rPr>
      </w:pPr>
      <w:r w:rsidRPr="00A53E24">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475CE195" wp14:editId="5146FC0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DC480" w14:textId="1445AC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0E75">
                              <w:rPr>
                                <w:rFonts w:asciiTheme="majorHAnsi" w:hAnsiTheme="majorHAnsi" w:cs="Arial"/>
                                <w:b/>
                                <w:bCs/>
                                <w:color w:val="0D0D0D" w:themeColor="text1" w:themeTint="F2"/>
                                <w:sz w:val="36"/>
                                <w:szCs w:val="22"/>
                                <w:lang w:val="es-ES_tradnl"/>
                              </w:rPr>
                              <w:t>437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C2C9F">
                              <w:rPr>
                                <w:rFonts w:asciiTheme="majorHAnsi" w:hAnsiTheme="majorHAnsi" w:cs="Arial"/>
                                <w:b/>
                                <w:bCs/>
                                <w:color w:val="0D0D0D" w:themeColor="text1" w:themeTint="F2"/>
                                <w:sz w:val="36"/>
                                <w:szCs w:val="22"/>
                                <w:lang w:val="es-ES_tradnl"/>
                              </w:rPr>
                              <w:t>1</w:t>
                            </w:r>
                          </w:p>
                          <w:p w14:paraId="46E85810" w14:textId="40FC359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32878">
                              <w:rPr>
                                <w:rFonts w:asciiTheme="majorHAnsi" w:hAnsiTheme="majorHAnsi" w:cs="Arial"/>
                                <w:b/>
                                <w:color w:val="0D0D0D" w:themeColor="text1" w:themeTint="F2"/>
                                <w:sz w:val="36"/>
                                <w:szCs w:val="22"/>
                                <w:lang w:val="es-ES_tradnl"/>
                              </w:rPr>
                              <w:t>273</w:t>
                            </w:r>
                            <w:r w:rsidR="00246D1F" w:rsidRPr="004E2649">
                              <w:rPr>
                                <w:rFonts w:asciiTheme="majorHAnsi" w:hAnsiTheme="majorHAnsi" w:cs="Arial"/>
                                <w:b/>
                                <w:color w:val="0D0D0D" w:themeColor="text1" w:themeTint="F2"/>
                                <w:sz w:val="36"/>
                                <w:szCs w:val="22"/>
                                <w:lang w:val="es-ES_tradnl"/>
                              </w:rPr>
                              <w:t>-</w:t>
                            </w:r>
                            <w:r w:rsidR="00332878">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5A873780" w14:textId="4206C83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1069139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2A21B637" w14:textId="15379ED2" w:rsidR="005B52B0" w:rsidRPr="0010736F" w:rsidRDefault="003328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GARCÍA MUÑOZ Y OTROS</w:t>
                            </w:r>
                          </w:p>
                          <w:bookmarkEnd w:id="0"/>
                          <w:p w14:paraId="533B404C" w14:textId="1F0B1929" w:rsidR="005B52B0" w:rsidRPr="00AE5488" w:rsidRDefault="00332878"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E19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F7DC480" w14:textId="1445AC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0E75">
                        <w:rPr>
                          <w:rFonts w:asciiTheme="majorHAnsi" w:hAnsiTheme="majorHAnsi" w:cs="Arial"/>
                          <w:b/>
                          <w:bCs/>
                          <w:color w:val="0D0D0D" w:themeColor="text1" w:themeTint="F2"/>
                          <w:sz w:val="36"/>
                          <w:szCs w:val="22"/>
                          <w:lang w:val="es-ES_tradnl"/>
                        </w:rPr>
                        <w:t>437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C2C9F">
                        <w:rPr>
                          <w:rFonts w:asciiTheme="majorHAnsi" w:hAnsiTheme="majorHAnsi" w:cs="Arial"/>
                          <w:b/>
                          <w:bCs/>
                          <w:color w:val="0D0D0D" w:themeColor="text1" w:themeTint="F2"/>
                          <w:sz w:val="36"/>
                          <w:szCs w:val="22"/>
                          <w:lang w:val="es-ES_tradnl"/>
                        </w:rPr>
                        <w:t>1</w:t>
                      </w:r>
                    </w:p>
                    <w:p w14:paraId="46E85810" w14:textId="40FC359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32878">
                        <w:rPr>
                          <w:rFonts w:asciiTheme="majorHAnsi" w:hAnsiTheme="majorHAnsi" w:cs="Arial"/>
                          <w:b/>
                          <w:color w:val="0D0D0D" w:themeColor="text1" w:themeTint="F2"/>
                          <w:sz w:val="36"/>
                          <w:szCs w:val="22"/>
                          <w:lang w:val="es-ES_tradnl"/>
                        </w:rPr>
                        <w:t>273</w:t>
                      </w:r>
                      <w:r w:rsidR="00246D1F" w:rsidRPr="004E2649">
                        <w:rPr>
                          <w:rFonts w:asciiTheme="majorHAnsi" w:hAnsiTheme="majorHAnsi" w:cs="Arial"/>
                          <w:b/>
                          <w:color w:val="0D0D0D" w:themeColor="text1" w:themeTint="F2"/>
                          <w:sz w:val="36"/>
                          <w:szCs w:val="22"/>
                          <w:lang w:val="es-ES_tradnl"/>
                        </w:rPr>
                        <w:t>-</w:t>
                      </w:r>
                      <w:r w:rsidR="00332878">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5A873780" w14:textId="4206C83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1069139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A21B637" w14:textId="15379ED2" w:rsidR="005B52B0" w:rsidRPr="0010736F" w:rsidRDefault="003328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GARCÍA MUÑOZ Y OTROS</w:t>
                      </w:r>
                    </w:p>
                    <w:bookmarkEnd w:id="1"/>
                    <w:p w14:paraId="533B404C" w14:textId="1F0B1929" w:rsidR="005B52B0" w:rsidRPr="00AE5488" w:rsidRDefault="00332878"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A53E24">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B406048" wp14:editId="5FBA70A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A73E" w14:textId="5000A4E7" w:rsidR="00627C9F" w:rsidRPr="004D53B4" w:rsidRDefault="00834D49" w:rsidP="007A5817">
                            <w:pPr>
                              <w:spacing w:line="276" w:lineRule="auto"/>
                              <w:jc w:val="right"/>
                              <w:rPr>
                                <w:rFonts w:asciiTheme="minorHAnsi" w:hAnsiTheme="minorHAnsi"/>
                                <w:color w:val="FFFFFF" w:themeColor="background1"/>
                                <w:sz w:val="22"/>
                                <w:lang w:val="es-419"/>
                              </w:rPr>
                            </w:pPr>
                            <w:r w:rsidRPr="004D53B4">
                              <w:rPr>
                                <w:rFonts w:asciiTheme="minorHAnsi" w:hAnsiTheme="minorHAnsi"/>
                                <w:color w:val="FFFFFF" w:themeColor="background1"/>
                                <w:sz w:val="22"/>
                                <w:lang w:val="es-419"/>
                              </w:rPr>
                              <w:t>OEA/Ser.L/V/II</w:t>
                            </w:r>
                          </w:p>
                          <w:p w14:paraId="7D94ED41" w14:textId="44D78D23" w:rsidR="00627C9F" w:rsidRPr="004D53B4" w:rsidRDefault="00627C9F" w:rsidP="007A5817">
                            <w:pPr>
                              <w:spacing w:line="276" w:lineRule="auto"/>
                              <w:jc w:val="right"/>
                              <w:rPr>
                                <w:rFonts w:asciiTheme="minorHAnsi" w:hAnsiTheme="minorHAnsi"/>
                                <w:color w:val="FFFFFF" w:themeColor="background1"/>
                                <w:sz w:val="22"/>
                                <w:lang w:val="es-419"/>
                              </w:rPr>
                            </w:pPr>
                            <w:r w:rsidRPr="004D53B4">
                              <w:rPr>
                                <w:rFonts w:asciiTheme="minorHAnsi" w:hAnsiTheme="minorHAnsi"/>
                                <w:color w:val="FFFFFF" w:themeColor="background1"/>
                                <w:sz w:val="22"/>
                                <w:lang w:val="es-419"/>
                              </w:rPr>
                              <w:t xml:space="preserve">Doc. </w:t>
                            </w:r>
                            <w:r w:rsidR="00360E75" w:rsidRPr="004D53B4">
                              <w:rPr>
                                <w:rFonts w:asciiTheme="minorHAnsi" w:hAnsiTheme="minorHAnsi"/>
                                <w:color w:val="FFFFFF" w:themeColor="background1"/>
                                <w:sz w:val="22"/>
                                <w:lang w:val="es-419"/>
                              </w:rPr>
                              <w:t>449</w:t>
                            </w:r>
                          </w:p>
                          <w:p w14:paraId="555EE0DB" w14:textId="248290B9" w:rsidR="00627C9F" w:rsidRPr="00C25ADB" w:rsidRDefault="00360E7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B5FA9">
                              <w:rPr>
                                <w:rFonts w:asciiTheme="minorHAnsi" w:hAnsiTheme="minorHAnsi"/>
                                <w:color w:val="FFFFFF" w:themeColor="background1"/>
                                <w:sz w:val="22"/>
                                <w:lang w:val="es-PA"/>
                              </w:rPr>
                              <w:t>1</w:t>
                            </w:r>
                          </w:p>
                          <w:p w14:paraId="33E5105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604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7D8A73E" w14:textId="5000A4E7" w:rsidR="00627C9F" w:rsidRPr="004D53B4" w:rsidRDefault="00834D49" w:rsidP="007A5817">
                      <w:pPr>
                        <w:spacing w:line="276" w:lineRule="auto"/>
                        <w:jc w:val="right"/>
                        <w:rPr>
                          <w:rFonts w:asciiTheme="minorHAnsi" w:hAnsiTheme="minorHAnsi"/>
                          <w:color w:val="FFFFFF" w:themeColor="background1"/>
                          <w:sz w:val="22"/>
                          <w:lang w:val="es-419"/>
                        </w:rPr>
                      </w:pPr>
                      <w:r w:rsidRPr="004D53B4">
                        <w:rPr>
                          <w:rFonts w:asciiTheme="minorHAnsi" w:hAnsiTheme="minorHAnsi"/>
                          <w:color w:val="FFFFFF" w:themeColor="background1"/>
                          <w:sz w:val="22"/>
                          <w:lang w:val="es-419"/>
                        </w:rPr>
                        <w:t>OEA/Ser.L/V/II</w:t>
                      </w:r>
                    </w:p>
                    <w:p w14:paraId="7D94ED41" w14:textId="44D78D23" w:rsidR="00627C9F" w:rsidRPr="004D53B4" w:rsidRDefault="00627C9F" w:rsidP="007A5817">
                      <w:pPr>
                        <w:spacing w:line="276" w:lineRule="auto"/>
                        <w:jc w:val="right"/>
                        <w:rPr>
                          <w:rFonts w:asciiTheme="minorHAnsi" w:hAnsiTheme="minorHAnsi"/>
                          <w:color w:val="FFFFFF" w:themeColor="background1"/>
                          <w:sz w:val="22"/>
                          <w:lang w:val="es-419"/>
                        </w:rPr>
                      </w:pPr>
                      <w:r w:rsidRPr="004D53B4">
                        <w:rPr>
                          <w:rFonts w:asciiTheme="minorHAnsi" w:hAnsiTheme="minorHAnsi"/>
                          <w:color w:val="FFFFFF" w:themeColor="background1"/>
                          <w:sz w:val="22"/>
                          <w:lang w:val="es-419"/>
                        </w:rPr>
                        <w:t xml:space="preserve">Doc. </w:t>
                      </w:r>
                      <w:r w:rsidR="00360E75" w:rsidRPr="004D53B4">
                        <w:rPr>
                          <w:rFonts w:asciiTheme="minorHAnsi" w:hAnsiTheme="minorHAnsi"/>
                          <w:color w:val="FFFFFF" w:themeColor="background1"/>
                          <w:sz w:val="22"/>
                          <w:lang w:val="es-419"/>
                        </w:rPr>
                        <w:t>449</w:t>
                      </w:r>
                    </w:p>
                    <w:p w14:paraId="555EE0DB" w14:textId="248290B9" w:rsidR="00627C9F" w:rsidRPr="00C25ADB" w:rsidRDefault="00360E7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B5FA9">
                        <w:rPr>
                          <w:rFonts w:asciiTheme="minorHAnsi" w:hAnsiTheme="minorHAnsi"/>
                          <w:color w:val="FFFFFF" w:themeColor="background1"/>
                          <w:sz w:val="22"/>
                          <w:lang w:val="es-PA"/>
                        </w:rPr>
                        <w:t>1</w:t>
                      </w:r>
                    </w:p>
                    <w:p w14:paraId="33E5105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47B7606"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2F6B8B70"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4BD11790" w14:textId="77777777" w:rsidR="00040C3A" w:rsidRPr="00A53E24" w:rsidRDefault="00040C3A" w:rsidP="00040C3A">
      <w:pPr>
        <w:tabs>
          <w:tab w:val="center" w:pos="5400"/>
        </w:tabs>
        <w:suppressAutoHyphens/>
        <w:jc w:val="center"/>
        <w:rPr>
          <w:rFonts w:asciiTheme="majorHAnsi" w:hAnsiTheme="majorHAnsi" w:cs="Arial"/>
          <w:sz w:val="22"/>
          <w:szCs w:val="22"/>
          <w:lang w:val="es-ES"/>
        </w:rPr>
      </w:pPr>
    </w:p>
    <w:p w14:paraId="2F81BAEB"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1EEC876A"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7313B044"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555E1AD6"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16386095"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0BDDE9A2"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5B58937D"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701EFF9E"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70414F19"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14847848"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390721EC"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61AD2450"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4A56F923"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05A09906"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7D1B1E78"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46CD0A4"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2D8CDE8C"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04278D4"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612219EE"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7449B326"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4A6AA407"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782377AE"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03B357EF"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24119E9"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668BA7F4"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6B73135" w14:textId="77777777" w:rsidR="00A50FCF" w:rsidRPr="00A53E24" w:rsidRDefault="0090270B" w:rsidP="00040C3A">
      <w:pPr>
        <w:tabs>
          <w:tab w:val="center" w:pos="5400"/>
        </w:tabs>
        <w:suppressAutoHyphens/>
        <w:jc w:val="center"/>
        <w:rPr>
          <w:rFonts w:asciiTheme="majorHAnsi" w:hAnsiTheme="majorHAnsi"/>
          <w:sz w:val="18"/>
          <w:szCs w:val="22"/>
          <w:lang w:val="es-ES"/>
        </w:rPr>
      </w:pPr>
      <w:r w:rsidRPr="00A53E24">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0E8100AE" wp14:editId="0603BB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61ABF" w14:textId="0ED186B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135F8">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9135F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B5FA9">
                              <w:rPr>
                                <w:rFonts w:asciiTheme="majorHAnsi" w:hAnsiTheme="majorHAnsi"/>
                                <w:color w:val="0D0D0D" w:themeColor="text1" w:themeTint="F2"/>
                                <w:sz w:val="18"/>
                                <w:szCs w:val="22"/>
                                <w:lang w:val="es-ES"/>
                              </w:rPr>
                              <w:t>1</w:t>
                            </w:r>
                            <w:r w:rsidR="009135F8">
                              <w:rPr>
                                <w:rFonts w:asciiTheme="majorHAnsi" w:hAnsiTheme="majorHAnsi"/>
                                <w:color w:val="0D0D0D" w:themeColor="text1" w:themeTint="F2"/>
                                <w:sz w:val="18"/>
                                <w:szCs w:val="22"/>
                                <w:lang w:val="es-ES"/>
                              </w:rPr>
                              <w:t>.</w:t>
                            </w:r>
                          </w:p>
                          <w:p w14:paraId="514CD20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230D3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100A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B561ABF" w14:textId="0ED186B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135F8">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9135F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B5FA9">
                        <w:rPr>
                          <w:rFonts w:asciiTheme="majorHAnsi" w:hAnsiTheme="majorHAnsi"/>
                          <w:color w:val="0D0D0D" w:themeColor="text1" w:themeTint="F2"/>
                          <w:sz w:val="18"/>
                          <w:szCs w:val="22"/>
                          <w:lang w:val="es-ES"/>
                        </w:rPr>
                        <w:t>1</w:t>
                      </w:r>
                      <w:r w:rsidR="009135F8">
                        <w:rPr>
                          <w:rFonts w:asciiTheme="majorHAnsi" w:hAnsiTheme="majorHAnsi"/>
                          <w:color w:val="0D0D0D" w:themeColor="text1" w:themeTint="F2"/>
                          <w:sz w:val="18"/>
                          <w:szCs w:val="22"/>
                          <w:lang w:val="es-ES"/>
                        </w:rPr>
                        <w:t>.</w:t>
                      </w:r>
                    </w:p>
                    <w:p w14:paraId="514CD20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230D3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CE77182"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25FA44FF"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0D35AA08"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5EC89BA5"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5107DF42" w14:textId="77777777" w:rsidR="00A50FCF" w:rsidRPr="00A53E24" w:rsidRDefault="0090270B" w:rsidP="00040C3A">
      <w:pPr>
        <w:tabs>
          <w:tab w:val="center" w:pos="5400"/>
        </w:tabs>
        <w:suppressAutoHyphens/>
        <w:jc w:val="center"/>
        <w:rPr>
          <w:rFonts w:asciiTheme="majorHAnsi" w:hAnsiTheme="majorHAnsi"/>
          <w:sz w:val="18"/>
          <w:szCs w:val="22"/>
          <w:lang w:val="es-ES"/>
        </w:rPr>
      </w:pPr>
      <w:r w:rsidRPr="00A53E24">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58353344" wp14:editId="0BFC9DA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7DF9A" w14:textId="31198079" w:rsidR="00113F73" w:rsidRPr="007B05C4" w:rsidRDefault="00113F73" w:rsidP="00113F73">
                            <w:pPr>
                              <w:spacing w:line="276" w:lineRule="auto"/>
                              <w:rPr>
                                <w:rFonts w:asciiTheme="majorHAnsi" w:hAnsiTheme="majorHAnsi"/>
                                <w:color w:val="595959" w:themeColor="text1" w:themeTint="A6"/>
                                <w:sz w:val="18"/>
                                <w:szCs w:val="18"/>
                                <w:lang w:val="es-ES"/>
                              </w:rPr>
                            </w:pPr>
                            <w:r w:rsidRPr="009135F8">
                              <w:rPr>
                                <w:rFonts w:asciiTheme="majorHAnsi" w:hAnsiTheme="majorHAnsi"/>
                                <w:b/>
                                <w:color w:val="595959" w:themeColor="text1" w:themeTint="A6"/>
                                <w:sz w:val="18"/>
                                <w:szCs w:val="18"/>
                                <w:lang w:val="pt-BR"/>
                              </w:rPr>
                              <w:t>Citar como:</w:t>
                            </w:r>
                            <w:r w:rsidRPr="009135F8">
                              <w:rPr>
                                <w:rFonts w:asciiTheme="majorHAnsi" w:hAnsiTheme="majorHAnsi"/>
                                <w:color w:val="595959" w:themeColor="text1" w:themeTint="A6"/>
                                <w:sz w:val="18"/>
                                <w:szCs w:val="18"/>
                                <w:lang w:val="pt-BR"/>
                              </w:rPr>
                              <w:t xml:space="preserve"> CIDH, Informe No. </w:t>
                            </w:r>
                            <w:r w:rsidR="00E249DF" w:rsidRPr="009135F8">
                              <w:rPr>
                                <w:rFonts w:asciiTheme="majorHAnsi" w:hAnsiTheme="majorHAnsi"/>
                                <w:color w:val="595959" w:themeColor="text1" w:themeTint="A6"/>
                                <w:sz w:val="18"/>
                                <w:szCs w:val="18"/>
                                <w:lang w:val="pt-BR"/>
                              </w:rPr>
                              <w:t>437</w:t>
                            </w:r>
                            <w:r w:rsidR="009135F8" w:rsidRPr="009135F8">
                              <w:rPr>
                                <w:rFonts w:asciiTheme="majorHAnsi" w:hAnsiTheme="majorHAnsi"/>
                                <w:color w:val="595959" w:themeColor="text1" w:themeTint="A6"/>
                                <w:sz w:val="18"/>
                                <w:szCs w:val="18"/>
                                <w:lang w:val="pt-BR"/>
                              </w:rPr>
                              <w:t>/</w:t>
                            </w:r>
                            <w:r w:rsidR="00E249DF" w:rsidRPr="009135F8">
                              <w:rPr>
                                <w:rFonts w:asciiTheme="majorHAnsi" w:hAnsiTheme="majorHAnsi"/>
                                <w:color w:val="595959" w:themeColor="text1" w:themeTint="A6"/>
                                <w:sz w:val="18"/>
                                <w:szCs w:val="18"/>
                                <w:lang w:val="pt-BR"/>
                              </w:rPr>
                              <w:t>21</w:t>
                            </w:r>
                            <w:r w:rsidRPr="009135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249DF">
                              <w:rPr>
                                <w:rFonts w:asciiTheme="majorHAnsi" w:hAnsiTheme="majorHAnsi"/>
                                <w:color w:val="595959" w:themeColor="text1" w:themeTint="A6"/>
                                <w:sz w:val="18"/>
                                <w:szCs w:val="18"/>
                                <w:lang w:val="es-ES"/>
                              </w:rPr>
                              <w:t>273</w:t>
                            </w:r>
                            <w:r w:rsidR="000433C9">
                              <w:rPr>
                                <w:rFonts w:asciiTheme="majorHAnsi" w:hAnsiTheme="majorHAnsi"/>
                                <w:color w:val="595959" w:themeColor="text1" w:themeTint="A6"/>
                                <w:sz w:val="18"/>
                                <w:szCs w:val="18"/>
                                <w:lang w:val="es-ES"/>
                              </w:rPr>
                              <w:t>-</w:t>
                            </w:r>
                            <w:r w:rsidR="00E249D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91B68" w:rsidRPr="00691B68">
                              <w:rPr>
                                <w:rFonts w:asciiTheme="majorHAnsi" w:hAnsiTheme="majorHAnsi"/>
                                <w:color w:val="595959" w:themeColor="text1" w:themeTint="A6"/>
                                <w:sz w:val="18"/>
                                <w:szCs w:val="18"/>
                                <w:lang w:val="es-ES_tradnl"/>
                              </w:rPr>
                              <w:t xml:space="preserve">Luis Fernando García Muñoz y </w:t>
                            </w:r>
                            <w:r w:rsidR="0024198A">
                              <w:rPr>
                                <w:rFonts w:asciiTheme="majorHAnsi" w:hAnsiTheme="majorHAnsi"/>
                                <w:color w:val="595959" w:themeColor="text1" w:themeTint="A6"/>
                                <w:sz w:val="18"/>
                                <w:szCs w:val="18"/>
                                <w:lang w:val="es-ES_tradnl"/>
                              </w:rPr>
                              <w:t>otros</w:t>
                            </w:r>
                            <w:r w:rsidRPr="00890650">
                              <w:rPr>
                                <w:rFonts w:asciiTheme="majorHAnsi" w:hAnsiTheme="majorHAnsi"/>
                                <w:color w:val="595959" w:themeColor="text1" w:themeTint="A6"/>
                                <w:sz w:val="18"/>
                                <w:szCs w:val="18"/>
                                <w:lang w:val="es-ES_tradnl"/>
                              </w:rPr>
                              <w:t xml:space="preserve">. </w:t>
                            </w:r>
                            <w:r w:rsidR="00E249DF">
                              <w:rPr>
                                <w:rFonts w:asciiTheme="majorHAnsi" w:hAnsiTheme="majorHAnsi"/>
                                <w:color w:val="595959" w:themeColor="text1" w:themeTint="A6"/>
                                <w:sz w:val="18"/>
                                <w:szCs w:val="18"/>
                                <w:lang w:val="es-ES_tradnl"/>
                              </w:rPr>
                              <w:t>M</w:t>
                            </w:r>
                            <w:r w:rsidR="00E249DF" w:rsidRPr="00E249DF">
                              <w:rPr>
                                <w:rFonts w:asciiTheme="majorHAnsi" w:hAnsiTheme="majorHAnsi"/>
                                <w:color w:val="595959" w:themeColor="text1" w:themeTint="A6"/>
                                <w:sz w:val="18"/>
                                <w:szCs w:val="18"/>
                                <w:lang w:val="es-419"/>
                              </w:rPr>
                              <w:t>éxico</w:t>
                            </w:r>
                            <w:r w:rsidRPr="00890650">
                              <w:rPr>
                                <w:rFonts w:asciiTheme="majorHAnsi" w:hAnsiTheme="majorHAnsi"/>
                                <w:color w:val="595959" w:themeColor="text1" w:themeTint="A6"/>
                                <w:sz w:val="18"/>
                                <w:szCs w:val="18"/>
                                <w:lang w:val="es-ES_tradnl"/>
                              </w:rPr>
                              <w:t xml:space="preserve">. </w:t>
                            </w:r>
                            <w:r w:rsidR="00E249DF">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3344"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917DF9A" w14:textId="31198079" w:rsidR="00113F73" w:rsidRPr="007B05C4" w:rsidRDefault="00113F73" w:rsidP="00113F73">
                      <w:pPr>
                        <w:spacing w:line="276" w:lineRule="auto"/>
                        <w:rPr>
                          <w:rFonts w:asciiTheme="majorHAnsi" w:hAnsiTheme="majorHAnsi"/>
                          <w:color w:val="595959" w:themeColor="text1" w:themeTint="A6"/>
                          <w:sz w:val="18"/>
                          <w:szCs w:val="18"/>
                          <w:lang w:val="es-ES"/>
                        </w:rPr>
                      </w:pPr>
                      <w:r w:rsidRPr="009135F8">
                        <w:rPr>
                          <w:rFonts w:asciiTheme="majorHAnsi" w:hAnsiTheme="majorHAnsi"/>
                          <w:b/>
                          <w:color w:val="595959" w:themeColor="text1" w:themeTint="A6"/>
                          <w:sz w:val="18"/>
                          <w:szCs w:val="18"/>
                          <w:lang w:val="pt-BR"/>
                        </w:rPr>
                        <w:t>Citar como:</w:t>
                      </w:r>
                      <w:r w:rsidRPr="009135F8">
                        <w:rPr>
                          <w:rFonts w:asciiTheme="majorHAnsi" w:hAnsiTheme="majorHAnsi"/>
                          <w:color w:val="595959" w:themeColor="text1" w:themeTint="A6"/>
                          <w:sz w:val="18"/>
                          <w:szCs w:val="18"/>
                          <w:lang w:val="pt-BR"/>
                        </w:rPr>
                        <w:t xml:space="preserve"> CIDH, Informe No. </w:t>
                      </w:r>
                      <w:r w:rsidR="00E249DF" w:rsidRPr="009135F8">
                        <w:rPr>
                          <w:rFonts w:asciiTheme="majorHAnsi" w:hAnsiTheme="majorHAnsi"/>
                          <w:color w:val="595959" w:themeColor="text1" w:themeTint="A6"/>
                          <w:sz w:val="18"/>
                          <w:szCs w:val="18"/>
                          <w:lang w:val="pt-BR"/>
                        </w:rPr>
                        <w:t>437</w:t>
                      </w:r>
                      <w:r w:rsidR="009135F8" w:rsidRPr="009135F8">
                        <w:rPr>
                          <w:rFonts w:asciiTheme="majorHAnsi" w:hAnsiTheme="majorHAnsi"/>
                          <w:color w:val="595959" w:themeColor="text1" w:themeTint="A6"/>
                          <w:sz w:val="18"/>
                          <w:szCs w:val="18"/>
                          <w:lang w:val="pt-BR"/>
                        </w:rPr>
                        <w:t>/</w:t>
                      </w:r>
                      <w:r w:rsidR="00E249DF" w:rsidRPr="009135F8">
                        <w:rPr>
                          <w:rFonts w:asciiTheme="majorHAnsi" w:hAnsiTheme="majorHAnsi"/>
                          <w:color w:val="595959" w:themeColor="text1" w:themeTint="A6"/>
                          <w:sz w:val="18"/>
                          <w:szCs w:val="18"/>
                          <w:lang w:val="pt-BR"/>
                        </w:rPr>
                        <w:t>21</w:t>
                      </w:r>
                      <w:r w:rsidRPr="009135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249DF">
                        <w:rPr>
                          <w:rFonts w:asciiTheme="majorHAnsi" w:hAnsiTheme="majorHAnsi"/>
                          <w:color w:val="595959" w:themeColor="text1" w:themeTint="A6"/>
                          <w:sz w:val="18"/>
                          <w:szCs w:val="18"/>
                          <w:lang w:val="es-ES"/>
                        </w:rPr>
                        <w:t>273</w:t>
                      </w:r>
                      <w:r w:rsidR="000433C9">
                        <w:rPr>
                          <w:rFonts w:asciiTheme="majorHAnsi" w:hAnsiTheme="majorHAnsi"/>
                          <w:color w:val="595959" w:themeColor="text1" w:themeTint="A6"/>
                          <w:sz w:val="18"/>
                          <w:szCs w:val="18"/>
                          <w:lang w:val="es-ES"/>
                        </w:rPr>
                        <w:t>-</w:t>
                      </w:r>
                      <w:r w:rsidR="00E249D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91B68" w:rsidRPr="00691B68">
                        <w:rPr>
                          <w:rFonts w:asciiTheme="majorHAnsi" w:hAnsiTheme="majorHAnsi"/>
                          <w:color w:val="595959" w:themeColor="text1" w:themeTint="A6"/>
                          <w:sz w:val="18"/>
                          <w:szCs w:val="18"/>
                          <w:lang w:val="es-ES_tradnl"/>
                        </w:rPr>
                        <w:t xml:space="preserve">Luis Fernando García Muñoz y </w:t>
                      </w:r>
                      <w:r w:rsidR="0024198A">
                        <w:rPr>
                          <w:rFonts w:asciiTheme="majorHAnsi" w:hAnsiTheme="majorHAnsi"/>
                          <w:color w:val="595959" w:themeColor="text1" w:themeTint="A6"/>
                          <w:sz w:val="18"/>
                          <w:szCs w:val="18"/>
                          <w:lang w:val="es-ES_tradnl"/>
                        </w:rPr>
                        <w:t>otros</w:t>
                      </w:r>
                      <w:r w:rsidRPr="00890650">
                        <w:rPr>
                          <w:rFonts w:asciiTheme="majorHAnsi" w:hAnsiTheme="majorHAnsi"/>
                          <w:color w:val="595959" w:themeColor="text1" w:themeTint="A6"/>
                          <w:sz w:val="18"/>
                          <w:szCs w:val="18"/>
                          <w:lang w:val="es-ES_tradnl"/>
                        </w:rPr>
                        <w:t xml:space="preserve">. </w:t>
                      </w:r>
                      <w:r w:rsidR="00E249DF">
                        <w:rPr>
                          <w:rFonts w:asciiTheme="majorHAnsi" w:hAnsiTheme="majorHAnsi"/>
                          <w:color w:val="595959" w:themeColor="text1" w:themeTint="A6"/>
                          <w:sz w:val="18"/>
                          <w:szCs w:val="18"/>
                          <w:lang w:val="es-ES_tradnl"/>
                        </w:rPr>
                        <w:t>M</w:t>
                      </w:r>
                      <w:r w:rsidR="00E249DF" w:rsidRPr="00E249DF">
                        <w:rPr>
                          <w:rFonts w:asciiTheme="majorHAnsi" w:hAnsiTheme="majorHAnsi"/>
                          <w:color w:val="595959" w:themeColor="text1" w:themeTint="A6"/>
                          <w:sz w:val="18"/>
                          <w:szCs w:val="18"/>
                          <w:lang w:val="es-419"/>
                        </w:rPr>
                        <w:t>éxico</w:t>
                      </w:r>
                      <w:r w:rsidRPr="00890650">
                        <w:rPr>
                          <w:rFonts w:asciiTheme="majorHAnsi" w:hAnsiTheme="majorHAnsi"/>
                          <w:color w:val="595959" w:themeColor="text1" w:themeTint="A6"/>
                          <w:sz w:val="18"/>
                          <w:szCs w:val="18"/>
                          <w:lang w:val="es-ES_tradnl"/>
                        </w:rPr>
                        <w:t xml:space="preserve">. </w:t>
                      </w:r>
                      <w:r w:rsidR="00E249DF">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360CCA68"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23BDD30C" w14:textId="2E167265" w:rsidR="0090270B" w:rsidRPr="00A53E24" w:rsidRDefault="00D306D1" w:rsidP="005516A1">
      <w:pPr>
        <w:tabs>
          <w:tab w:val="center" w:pos="5400"/>
        </w:tabs>
        <w:suppressAutoHyphens/>
        <w:jc w:val="center"/>
        <w:rPr>
          <w:rFonts w:asciiTheme="majorHAnsi" w:hAnsiTheme="majorHAnsi"/>
          <w:b/>
          <w:sz w:val="20"/>
          <w:lang w:val="es-ES"/>
        </w:rPr>
      </w:pPr>
      <w:r w:rsidRPr="00A53E24">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73AC6C3C" wp14:editId="67A06D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3690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6C3C"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2443690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4562FFA" w14:textId="2E2F4CC2" w:rsidR="0070697F" w:rsidRPr="00A53E24" w:rsidRDefault="009135F8" w:rsidP="005516A1">
      <w:pPr>
        <w:tabs>
          <w:tab w:val="center" w:pos="5400"/>
        </w:tabs>
        <w:suppressAutoHyphens/>
        <w:jc w:val="center"/>
        <w:rPr>
          <w:rFonts w:asciiTheme="majorHAnsi" w:hAnsiTheme="majorHAnsi"/>
          <w:b/>
          <w:sz w:val="20"/>
          <w:lang w:val="es-ES"/>
        </w:rPr>
        <w:sectPr w:rsidR="0070697F" w:rsidRPr="00A53E24" w:rsidSect="00C054DF">
          <w:headerReference w:type="even" r:id="rId9"/>
          <w:headerReference w:type="default" r:id="rId10"/>
          <w:footerReference w:type="default" r:id="rId11"/>
          <w:headerReference w:type="first" r:id="rId12"/>
          <w:footerReference w:type="first" r:id="rId13"/>
          <w:type w:val="oddPage"/>
          <w:pgSz w:w="12240" w:h="15840"/>
          <w:pgMar w:top="1440" w:right="1440" w:bottom="1440" w:left="1440" w:header="720" w:footer="720" w:gutter="0"/>
          <w:pgNumType w:start="0"/>
          <w:cols w:space="720"/>
          <w:titlePg/>
          <w:docGrid w:linePitch="326"/>
        </w:sectPr>
      </w:pPr>
      <w:r w:rsidRPr="00A53E24">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7539FE37" wp14:editId="66DA2E8F">
                <wp:simplePos x="0" y="0"/>
                <wp:positionH relativeFrom="column">
                  <wp:posOffset>1329690</wp:posOffset>
                </wp:positionH>
                <wp:positionV relativeFrom="paragraph">
                  <wp:posOffset>573859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8123" w14:textId="77777777" w:rsidR="00D72DC6" w:rsidRPr="00D72DC6" w:rsidRDefault="00840B10" w:rsidP="00F02AD1">
                            <w:pPr>
                              <w:rPr>
                                <w:color w:val="FFFFFF" w:themeColor="background1"/>
                                <w14:textFill>
                                  <w14:noFill/>
                                </w14:textFill>
                              </w:rPr>
                            </w:pPr>
                            <w:r>
                              <w:rPr>
                                <w:noProof/>
                                <w:color w:val="FFFFFF" w:themeColor="background1"/>
                              </w:rPr>
                              <w:drawing>
                                <wp:inline distT="0" distB="0" distL="0" distR="0" wp14:anchorId="3CC3B160" wp14:editId="3A788CB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FE37" id="Text Box 9" o:spid="_x0000_s1032" type="#_x0000_t202" style="position:absolute;left:0;text-align:left;margin-left:104.7pt;margin-top:45.2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HoAcBXi&#10;AAAACgEAAA8AAAAAAAAAAAAAAAAA1AQAAGRycy9kb3ducmV2LnhtbFBLBQYAAAAABAAEAPMAAADj&#10;BQAAAAA=&#10;" fillcolor="white [3201]" stroked="f" strokeweight=".5pt">
                <v:textbox>
                  <w:txbxContent>
                    <w:p w14:paraId="33848123" w14:textId="77777777" w:rsidR="00D72DC6" w:rsidRPr="00D72DC6" w:rsidRDefault="00840B10" w:rsidP="00F02AD1">
                      <w:pPr>
                        <w:rPr>
                          <w:color w:val="FFFFFF" w:themeColor="background1"/>
                          <w14:textFill>
                            <w14:noFill/>
                          </w14:textFill>
                        </w:rPr>
                      </w:pPr>
                      <w:r>
                        <w:rPr>
                          <w:noProof/>
                          <w:color w:val="FFFFFF" w:themeColor="background1"/>
                        </w:rPr>
                        <w:drawing>
                          <wp:inline distT="0" distB="0" distL="0" distR="0" wp14:anchorId="3CC3B160" wp14:editId="3A788CB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53E24">
        <w:rPr>
          <w:rFonts w:asciiTheme="majorHAnsi" w:hAnsiTheme="majorHAnsi"/>
          <w:b/>
          <w:sz w:val="20"/>
          <w:lang w:val="es-ES"/>
        </w:rPr>
        <w:tab/>
      </w:r>
    </w:p>
    <w:p w14:paraId="397B61A3" w14:textId="77777777" w:rsidR="003239B8" w:rsidRPr="00A53E24" w:rsidRDefault="003239B8" w:rsidP="004A6A54">
      <w:pPr>
        <w:spacing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lastRenderedPageBreak/>
        <w:t>I.</w:t>
      </w:r>
      <w:r w:rsidRPr="00A53E2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838D5" w14:paraId="12B0C06E" w14:textId="77777777" w:rsidTr="004A6A54">
        <w:tc>
          <w:tcPr>
            <w:tcW w:w="3600" w:type="dxa"/>
            <w:tcBorders>
              <w:top w:val="single" w:sz="4" w:space="0" w:color="auto"/>
              <w:bottom w:val="single" w:sz="6" w:space="0" w:color="auto"/>
            </w:tcBorders>
            <w:shd w:val="clear" w:color="auto" w:fill="386294"/>
            <w:vAlign w:val="center"/>
          </w:tcPr>
          <w:p w14:paraId="4D5D7F8F" w14:textId="77777777" w:rsidR="003239B8" w:rsidRPr="00A53E24" w:rsidRDefault="003239B8" w:rsidP="00AE32A8">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Parte peticionaria:</w:t>
            </w:r>
          </w:p>
        </w:tc>
        <w:tc>
          <w:tcPr>
            <w:tcW w:w="5760" w:type="dxa"/>
            <w:vAlign w:val="center"/>
          </w:tcPr>
          <w:p w14:paraId="16F36685" w14:textId="144970AF" w:rsidR="003239B8" w:rsidRPr="000B5795" w:rsidRDefault="00332878" w:rsidP="00AE32A8">
            <w:pPr>
              <w:jc w:val="both"/>
              <w:rPr>
                <w:rFonts w:ascii="Cambria" w:hAnsi="Cambria"/>
                <w:bCs/>
                <w:sz w:val="20"/>
                <w:szCs w:val="20"/>
                <w:lang w:val="es-ES"/>
              </w:rPr>
            </w:pPr>
            <w:r w:rsidRPr="000B5795">
              <w:rPr>
                <w:rFonts w:ascii="Cambria" w:hAnsi="Cambria"/>
                <w:bCs/>
                <w:sz w:val="20"/>
                <w:szCs w:val="20"/>
                <w:lang w:val="es-ES"/>
              </w:rPr>
              <w:t>Luis Fernando García Muñoz</w:t>
            </w:r>
            <w:r w:rsidR="000E2218" w:rsidRPr="000B5795">
              <w:rPr>
                <w:rFonts w:ascii="Cambria" w:hAnsi="Cambria"/>
                <w:bCs/>
                <w:sz w:val="20"/>
                <w:szCs w:val="20"/>
                <w:lang w:val="es-ES"/>
              </w:rPr>
              <w:t xml:space="preserve">, Danya Odette Centeno García, </w:t>
            </w:r>
            <w:proofErr w:type="spellStart"/>
            <w:r w:rsidR="000E2218" w:rsidRPr="000B5795">
              <w:rPr>
                <w:rFonts w:ascii="Cambria" w:hAnsi="Cambria"/>
                <w:bCs/>
                <w:sz w:val="20"/>
                <w:szCs w:val="20"/>
                <w:lang w:val="es-ES"/>
              </w:rPr>
              <w:t>Agneris</w:t>
            </w:r>
            <w:proofErr w:type="spellEnd"/>
            <w:r w:rsidR="000E2218" w:rsidRPr="000B5795">
              <w:rPr>
                <w:rFonts w:ascii="Cambria" w:hAnsi="Cambria"/>
                <w:bCs/>
                <w:sz w:val="20"/>
                <w:szCs w:val="20"/>
                <w:lang w:val="es-ES"/>
              </w:rPr>
              <w:t xml:space="preserve"> Sampieri Ortega, Vladimir </w:t>
            </w:r>
            <w:proofErr w:type="spellStart"/>
            <w:r w:rsidR="000E2218" w:rsidRPr="000B5795">
              <w:rPr>
                <w:rFonts w:ascii="Cambria" w:hAnsi="Cambria"/>
                <w:bCs/>
                <w:sz w:val="20"/>
                <w:szCs w:val="20"/>
                <w:lang w:val="es-ES"/>
              </w:rPr>
              <w:t>Alexei</w:t>
            </w:r>
            <w:proofErr w:type="spellEnd"/>
            <w:r w:rsidR="000E2218" w:rsidRPr="000B5795">
              <w:rPr>
                <w:rFonts w:ascii="Cambria" w:hAnsi="Cambria"/>
                <w:bCs/>
                <w:sz w:val="20"/>
                <w:szCs w:val="20"/>
                <w:lang w:val="es-ES"/>
              </w:rPr>
              <w:t xml:space="preserve"> </w:t>
            </w:r>
            <w:proofErr w:type="spellStart"/>
            <w:r w:rsidR="000E2218" w:rsidRPr="000B5795">
              <w:rPr>
                <w:rFonts w:ascii="Cambria" w:hAnsi="Cambria"/>
                <w:bCs/>
                <w:sz w:val="20"/>
                <w:szCs w:val="20"/>
                <w:lang w:val="es-ES"/>
              </w:rPr>
              <w:t>Chorny</w:t>
            </w:r>
            <w:proofErr w:type="spellEnd"/>
            <w:r w:rsidR="000E2218" w:rsidRPr="000B5795">
              <w:rPr>
                <w:rFonts w:ascii="Cambria" w:hAnsi="Cambria"/>
                <w:bCs/>
                <w:sz w:val="20"/>
                <w:szCs w:val="20"/>
                <w:lang w:val="es-ES"/>
              </w:rPr>
              <w:t xml:space="preserve"> Elizalde y Carlos Alberto Brito Ocampo</w:t>
            </w:r>
          </w:p>
        </w:tc>
      </w:tr>
      <w:tr w:rsidR="003239B8" w:rsidRPr="00F838D5" w14:paraId="0175CF95" w14:textId="77777777" w:rsidTr="004A6A54">
        <w:tc>
          <w:tcPr>
            <w:tcW w:w="3600" w:type="dxa"/>
            <w:tcBorders>
              <w:top w:val="single" w:sz="6" w:space="0" w:color="auto"/>
              <w:bottom w:val="single" w:sz="6" w:space="0" w:color="auto"/>
            </w:tcBorders>
            <w:shd w:val="clear" w:color="auto" w:fill="386294"/>
            <w:vAlign w:val="center"/>
          </w:tcPr>
          <w:p w14:paraId="21D2F3B6" w14:textId="77777777" w:rsidR="003239B8" w:rsidRPr="00A53E24" w:rsidRDefault="00203E28" w:rsidP="00AE32A8">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53E24">
                  <w:rPr>
                    <w:rFonts w:ascii="Cambria" w:hAnsi="Cambria"/>
                    <w:b/>
                    <w:bCs/>
                    <w:color w:val="FFFFFF" w:themeColor="background1"/>
                    <w:sz w:val="20"/>
                    <w:szCs w:val="20"/>
                    <w:lang w:val="es-ES"/>
                  </w:rPr>
                  <w:t>Presunta víctima</w:t>
                </w:r>
              </w:sdtContent>
            </w:sdt>
            <w:r w:rsidR="003239B8" w:rsidRPr="00A53E24">
              <w:rPr>
                <w:rFonts w:ascii="Cambria" w:hAnsi="Cambria"/>
                <w:b/>
                <w:bCs/>
                <w:color w:val="FFFFFF" w:themeColor="background1"/>
                <w:sz w:val="20"/>
                <w:szCs w:val="20"/>
                <w:lang w:val="es-ES"/>
              </w:rPr>
              <w:t>:</w:t>
            </w:r>
          </w:p>
        </w:tc>
        <w:tc>
          <w:tcPr>
            <w:tcW w:w="5760" w:type="dxa"/>
            <w:vAlign w:val="center"/>
          </w:tcPr>
          <w:p w14:paraId="34DC45FD" w14:textId="39D0DB68" w:rsidR="003239B8" w:rsidRPr="00A53E24" w:rsidRDefault="00332878" w:rsidP="00AE32A8">
            <w:pPr>
              <w:jc w:val="both"/>
              <w:rPr>
                <w:rFonts w:ascii="Cambria" w:hAnsi="Cambria"/>
                <w:bCs/>
                <w:sz w:val="20"/>
                <w:szCs w:val="20"/>
                <w:lang w:val="es-ES"/>
              </w:rPr>
            </w:pPr>
            <w:r>
              <w:rPr>
                <w:rFonts w:ascii="Cambria" w:hAnsi="Cambria"/>
                <w:bCs/>
                <w:sz w:val="20"/>
                <w:szCs w:val="20"/>
                <w:lang w:val="pt-BR"/>
              </w:rPr>
              <w:t>Luis Fernando García Muñoz y Bosque David Iglesias Guzmán</w:t>
            </w:r>
          </w:p>
        </w:tc>
      </w:tr>
      <w:tr w:rsidR="003239B8" w:rsidRPr="00A53E24" w14:paraId="625ED0DC" w14:textId="77777777" w:rsidTr="004A6A54">
        <w:tc>
          <w:tcPr>
            <w:tcW w:w="3600" w:type="dxa"/>
            <w:tcBorders>
              <w:top w:val="single" w:sz="6" w:space="0" w:color="auto"/>
              <w:bottom w:val="single" w:sz="6" w:space="0" w:color="auto"/>
            </w:tcBorders>
            <w:shd w:val="clear" w:color="auto" w:fill="386294"/>
            <w:vAlign w:val="center"/>
          </w:tcPr>
          <w:p w14:paraId="1FA94459" w14:textId="77777777" w:rsidR="003239B8" w:rsidRPr="00A53E24" w:rsidRDefault="003239B8" w:rsidP="00AE32A8">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Estado denunciado:</w:t>
            </w:r>
          </w:p>
        </w:tc>
        <w:tc>
          <w:tcPr>
            <w:tcW w:w="5760" w:type="dxa"/>
            <w:vAlign w:val="center"/>
          </w:tcPr>
          <w:p w14:paraId="3BAFCD2B" w14:textId="29DF6BA4" w:rsidR="003239B8" w:rsidRPr="00A53E24" w:rsidRDefault="00332878" w:rsidP="00AE32A8">
            <w:pPr>
              <w:jc w:val="both"/>
              <w:rPr>
                <w:rFonts w:ascii="Cambria" w:hAnsi="Cambria"/>
                <w:bCs/>
                <w:sz w:val="20"/>
                <w:szCs w:val="20"/>
                <w:lang w:val="es-ES"/>
              </w:rPr>
            </w:pPr>
            <w:r>
              <w:rPr>
                <w:rFonts w:ascii="Cambria" w:hAnsi="Cambria"/>
                <w:bCs/>
                <w:sz w:val="20"/>
                <w:szCs w:val="20"/>
                <w:lang w:val="es-ES"/>
              </w:rPr>
              <w:t>México</w:t>
            </w:r>
            <w:r w:rsidR="00B462B2">
              <w:rPr>
                <w:rStyle w:val="FootnoteReference"/>
                <w:rFonts w:ascii="Cambria" w:hAnsi="Cambria"/>
                <w:bCs/>
                <w:sz w:val="20"/>
                <w:szCs w:val="20"/>
                <w:lang w:val="es-ES"/>
              </w:rPr>
              <w:footnoteReference w:id="2"/>
            </w:r>
          </w:p>
        </w:tc>
      </w:tr>
      <w:tr w:rsidR="007F22EE" w:rsidRPr="00F838D5" w14:paraId="59BE5068" w14:textId="77777777" w:rsidTr="004A6A54">
        <w:tc>
          <w:tcPr>
            <w:tcW w:w="3600" w:type="dxa"/>
            <w:tcBorders>
              <w:top w:val="single" w:sz="6" w:space="0" w:color="auto"/>
              <w:bottom w:val="single" w:sz="6" w:space="0" w:color="auto"/>
            </w:tcBorders>
            <w:shd w:val="clear" w:color="auto" w:fill="386294"/>
            <w:vAlign w:val="center"/>
          </w:tcPr>
          <w:p w14:paraId="6A7F6F2C"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Derechos invocados:</w:t>
            </w:r>
          </w:p>
        </w:tc>
        <w:tc>
          <w:tcPr>
            <w:tcW w:w="5760" w:type="dxa"/>
            <w:vAlign w:val="center"/>
          </w:tcPr>
          <w:p w14:paraId="35D8D05D" w14:textId="2C404482" w:rsidR="007F22EE" w:rsidRPr="00A53E24" w:rsidRDefault="00332878" w:rsidP="007F22EE">
            <w:pPr>
              <w:jc w:val="both"/>
              <w:rPr>
                <w:rFonts w:ascii="Cambria" w:hAnsi="Cambria"/>
                <w:bCs/>
                <w:sz w:val="20"/>
                <w:szCs w:val="20"/>
                <w:lang w:val="es-ES"/>
              </w:rPr>
            </w:pPr>
            <w:r>
              <w:rPr>
                <w:rFonts w:ascii="Cambria" w:hAnsi="Cambria"/>
                <w:bCs/>
                <w:sz w:val="20"/>
                <w:szCs w:val="20"/>
                <w:lang w:val="es-ES"/>
              </w:rPr>
              <w:t>Artículos 8 (Garantías judiciales), 9 (Principio de legalidad), 11 (Derecho a la vida privada),</w:t>
            </w:r>
            <w:r w:rsidR="007F22EE" w:rsidRPr="00A53E24">
              <w:rPr>
                <w:rFonts w:ascii="Cambria" w:hAnsi="Cambria"/>
                <w:bCs/>
                <w:sz w:val="20"/>
                <w:szCs w:val="20"/>
                <w:lang w:val="es-ES"/>
              </w:rPr>
              <w:t xml:space="preserve"> 13 (Libertad de Expresión) y 25 (Protección Judicial) de la Convención Americana sobre Derechos Humanos</w:t>
            </w:r>
            <w:r w:rsidR="007F22EE" w:rsidRPr="00A53E24">
              <w:rPr>
                <w:rStyle w:val="FootnoteReference"/>
                <w:rFonts w:ascii="Cambria" w:hAnsi="Cambria"/>
                <w:bCs/>
                <w:sz w:val="20"/>
                <w:szCs w:val="20"/>
                <w:lang w:val="es-ES"/>
              </w:rPr>
              <w:footnoteReference w:id="3"/>
            </w:r>
            <w:r w:rsidR="007F22EE" w:rsidRPr="00A53E24">
              <w:rPr>
                <w:rFonts w:ascii="Cambria" w:hAnsi="Cambria"/>
                <w:bCs/>
                <w:sz w:val="20"/>
                <w:szCs w:val="20"/>
                <w:lang w:val="es-ES"/>
              </w:rPr>
              <w:t xml:space="preserve">, </w:t>
            </w:r>
            <w:r w:rsidR="00E93C9B" w:rsidRPr="00A53E24">
              <w:rPr>
                <w:rFonts w:ascii="Cambria" w:hAnsi="Cambria"/>
                <w:bCs/>
                <w:sz w:val="20"/>
                <w:szCs w:val="20"/>
                <w:lang w:val="es-ES"/>
              </w:rPr>
              <w:t>en relación con sus artículos 1.1 (obligación de respetar los derechos) y 2 (deber de adoptar disposiciones de derecho interno)</w:t>
            </w:r>
          </w:p>
        </w:tc>
      </w:tr>
    </w:tbl>
    <w:p w14:paraId="751F90B3" w14:textId="77777777" w:rsidR="003239B8" w:rsidRPr="00A53E24" w:rsidRDefault="003239B8" w:rsidP="003239B8">
      <w:pPr>
        <w:spacing w:before="240"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t>II.</w:t>
      </w:r>
      <w:r w:rsidRPr="00A53E24">
        <w:rPr>
          <w:rFonts w:asciiTheme="majorHAnsi" w:hAnsiTheme="majorHAnsi"/>
          <w:b/>
          <w:bCs/>
          <w:sz w:val="20"/>
          <w:szCs w:val="20"/>
          <w:lang w:val="es-ES"/>
        </w:rPr>
        <w:tab/>
        <w:t>TRÁMITE ANTE LA CIDH</w:t>
      </w:r>
      <w:r w:rsidR="008E3BFE" w:rsidRPr="00A53E2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53E24" w14:paraId="4F891FAD" w14:textId="77777777" w:rsidTr="004A6A54">
        <w:tc>
          <w:tcPr>
            <w:tcW w:w="3600" w:type="dxa"/>
            <w:tcBorders>
              <w:top w:val="single" w:sz="6" w:space="0" w:color="auto"/>
              <w:bottom w:val="single" w:sz="6" w:space="0" w:color="auto"/>
            </w:tcBorders>
            <w:shd w:val="clear" w:color="auto" w:fill="386294"/>
            <w:vAlign w:val="center"/>
          </w:tcPr>
          <w:p w14:paraId="56FF2AF2" w14:textId="77777777" w:rsidR="004C2312" w:rsidRPr="00A53E24" w:rsidRDefault="004A6A54" w:rsidP="004A6A54">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P</w:t>
            </w:r>
            <w:r w:rsidR="004C2312" w:rsidRPr="00A53E24">
              <w:rPr>
                <w:rFonts w:ascii="Cambria" w:hAnsi="Cambria"/>
                <w:b/>
                <w:bCs/>
                <w:color w:val="FFFFFF" w:themeColor="background1"/>
                <w:sz w:val="20"/>
                <w:szCs w:val="20"/>
                <w:lang w:val="es-ES"/>
              </w:rPr>
              <w:t>resentación de la petición:</w:t>
            </w:r>
          </w:p>
        </w:tc>
        <w:tc>
          <w:tcPr>
            <w:tcW w:w="5760" w:type="dxa"/>
            <w:vAlign w:val="center"/>
          </w:tcPr>
          <w:p w14:paraId="161F72F0" w14:textId="7A6BB55D" w:rsidR="004C2312" w:rsidRPr="00A53E24" w:rsidRDefault="00332878" w:rsidP="00AE32A8">
            <w:pPr>
              <w:jc w:val="both"/>
              <w:rPr>
                <w:rFonts w:ascii="Cambria" w:hAnsi="Cambria"/>
                <w:bCs/>
                <w:sz w:val="20"/>
                <w:szCs w:val="20"/>
                <w:lang w:val="es-ES"/>
              </w:rPr>
            </w:pPr>
            <w:r>
              <w:rPr>
                <w:rFonts w:ascii="Cambria" w:hAnsi="Cambria"/>
                <w:bCs/>
                <w:sz w:val="20"/>
                <w:szCs w:val="20"/>
                <w:lang w:val="es-ES"/>
              </w:rPr>
              <w:t>8 de enero de 2017</w:t>
            </w:r>
          </w:p>
        </w:tc>
      </w:tr>
      <w:tr w:rsidR="004C2312" w:rsidRPr="00A53E24" w14:paraId="323C838E" w14:textId="77777777" w:rsidTr="004A6A54">
        <w:tc>
          <w:tcPr>
            <w:tcW w:w="3600" w:type="dxa"/>
            <w:tcBorders>
              <w:top w:val="single" w:sz="6" w:space="0" w:color="auto"/>
              <w:bottom w:val="single" w:sz="6" w:space="0" w:color="auto"/>
            </w:tcBorders>
            <w:shd w:val="clear" w:color="auto" w:fill="386294"/>
            <w:vAlign w:val="center"/>
          </w:tcPr>
          <w:p w14:paraId="5F2A3EBA" w14:textId="77777777" w:rsidR="004C2312" w:rsidRPr="00A53E24" w:rsidRDefault="004A6A54" w:rsidP="004A6A54">
            <w:pPr>
              <w:jc w:val="center"/>
              <w:rPr>
                <w:rFonts w:ascii="Cambria" w:hAnsi="Cambria"/>
                <w:b/>
                <w:bCs/>
                <w:color w:val="FFFFFF" w:themeColor="background1"/>
                <w:sz w:val="20"/>
                <w:szCs w:val="20"/>
                <w:lang w:val="es-ES"/>
              </w:rPr>
            </w:pPr>
            <w:r w:rsidRPr="00A53E24">
              <w:rPr>
                <w:rFonts w:ascii="Cambria" w:hAnsi="Cambria"/>
                <w:b/>
                <w:color w:val="FFFFFF" w:themeColor="background1"/>
                <w:sz w:val="20"/>
                <w:szCs w:val="20"/>
                <w:lang w:val="es-ES"/>
              </w:rPr>
              <w:t>N</w:t>
            </w:r>
            <w:r w:rsidR="004C2312" w:rsidRPr="00A53E24">
              <w:rPr>
                <w:rFonts w:ascii="Cambria" w:hAnsi="Cambria"/>
                <w:b/>
                <w:color w:val="FFFFFF" w:themeColor="background1"/>
                <w:sz w:val="20"/>
                <w:szCs w:val="20"/>
                <w:lang w:val="es-ES"/>
              </w:rPr>
              <w:t>otificación de la petición al Estado:</w:t>
            </w:r>
          </w:p>
        </w:tc>
        <w:tc>
          <w:tcPr>
            <w:tcW w:w="5760" w:type="dxa"/>
            <w:vAlign w:val="center"/>
          </w:tcPr>
          <w:p w14:paraId="72B559A2" w14:textId="4459BA22" w:rsidR="004C2312" w:rsidRPr="00A53E24" w:rsidRDefault="00332878" w:rsidP="00AE32A8">
            <w:pPr>
              <w:jc w:val="both"/>
              <w:rPr>
                <w:rFonts w:ascii="Cambria" w:hAnsi="Cambria"/>
                <w:bCs/>
                <w:sz w:val="20"/>
                <w:szCs w:val="20"/>
                <w:lang w:val="es-ES"/>
              </w:rPr>
            </w:pPr>
            <w:r>
              <w:rPr>
                <w:rFonts w:ascii="Cambria" w:hAnsi="Cambria"/>
                <w:bCs/>
                <w:sz w:val="20"/>
                <w:szCs w:val="20"/>
                <w:lang w:val="es-ES"/>
              </w:rPr>
              <w:t>10 de julio de 2020</w:t>
            </w:r>
          </w:p>
        </w:tc>
      </w:tr>
      <w:tr w:rsidR="004C2312" w:rsidRPr="00A53E24" w14:paraId="3C56C592" w14:textId="77777777" w:rsidTr="004A6A54">
        <w:tc>
          <w:tcPr>
            <w:tcW w:w="3600" w:type="dxa"/>
            <w:tcBorders>
              <w:top w:val="single" w:sz="6" w:space="0" w:color="auto"/>
              <w:bottom w:val="single" w:sz="6" w:space="0" w:color="auto"/>
            </w:tcBorders>
            <w:shd w:val="clear" w:color="auto" w:fill="386294"/>
            <w:vAlign w:val="center"/>
          </w:tcPr>
          <w:p w14:paraId="568FA10C" w14:textId="77777777" w:rsidR="004C2312" w:rsidRPr="00A53E24" w:rsidRDefault="004A6A54" w:rsidP="004A6A54">
            <w:pPr>
              <w:jc w:val="center"/>
              <w:rPr>
                <w:rFonts w:ascii="Cambria" w:hAnsi="Cambria"/>
                <w:b/>
                <w:bCs/>
                <w:color w:val="FFFFFF" w:themeColor="background1"/>
                <w:sz w:val="20"/>
                <w:szCs w:val="20"/>
                <w:lang w:val="es-ES"/>
              </w:rPr>
            </w:pPr>
            <w:r w:rsidRPr="00A53E24">
              <w:rPr>
                <w:rFonts w:ascii="Cambria" w:hAnsi="Cambria"/>
                <w:b/>
                <w:color w:val="FFFFFF" w:themeColor="background1"/>
                <w:sz w:val="20"/>
                <w:szCs w:val="20"/>
                <w:lang w:val="es-ES"/>
              </w:rPr>
              <w:t>P</w:t>
            </w:r>
            <w:r w:rsidR="004C2312" w:rsidRPr="00A53E24">
              <w:rPr>
                <w:rFonts w:ascii="Cambria" w:hAnsi="Cambria"/>
                <w:b/>
                <w:color w:val="FFFFFF" w:themeColor="background1"/>
                <w:sz w:val="20"/>
                <w:szCs w:val="20"/>
                <w:lang w:val="es-ES"/>
              </w:rPr>
              <w:t>rimera respuesta del Estado:</w:t>
            </w:r>
          </w:p>
        </w:tc>
        <w:tc>
          <w:tcPr>
            <w:tcW w:w="5760" w:type="dxa"/>
            <w:vAlign w:val="center"/>
          </w:tcPr>
          <w:p w14:paraId="5F22279E" w14:textId="05BAD643" w:rsidR="004C2312" w:rsidRPr="00A53E24" w:rsidRDefault="00332878" w:rsidP="00AE32A8">
            <w:pPr>
              <w:jc w:val="both"/>
              <w:rPr>
                <w:rFonts w:ascii="Cambria" w:hAnsi="Cambria"/>
                <w:bCs/>
                <w:sz w:val="20"/>
                <w:szCs w:val="20"/>
                <w:lang w:val="es-ES"/>
              </w:rPr>
            </w:pPr>
            <w:r>
              <w:rPr>
                <w:rFonts w:ascii="Cambria" w:hAnsi="Cambria"/>
                <w:bCs/>
                <w:sz w:val="20"/>
                <w:szCs w:val="20"/>
                <w:lang w:val="es-ES"/>
              </w:rPr>
              <w:t>13 de agosto de 2021</w:t>
            </w:r>
          </w:p>
        </w:tc>
      </w:tr>
      <w:tr w:rsidR="00C101F2" w:rsidRPr="00FC1C2A" w14:paraId="1C8DDA2B" w14:textId="77777777" w:rsidTr="004A6A54">
        <w:tc>
          <w:tcPr>
            <w:tcW w:w="3600" w:type="dxa"/>
            <w:tcBorders>
              <w:top w:val="single" w:sz="6" w:space="0" w:color="auto"/>
              <w:bottom w:val="single" w:sz="6" w:space="0" w:color="auto"/>
            </w:tcBorders>
            <w:shd w:val="clear" w:color="auto" w:fill="386294"/>
            <w:vAlign w:val="center"/>
          </w:tcPr>
          <w:p w14:paraId="222E65AB" w14:textId="5AFBDB05" w:rsidR="00C101F2" w:rsidRPr="00A53E24" w:rsidRDefault="00FC1C2A"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68FF1321" w14:textId="1C6D9499" w:rsidR="00C101F2" w:rsidRDefault="00FC1C2A" w:rsidP="00AE32A8">
            <w:pPr>
              <w:jc w:val="both"/>
              <w:rPr>
                <w:rFonts w:ascii="Cambria" w:hAnsi="Cambria"/>
                <w:bCs/>
                <w:sz w:val="20"/>
                <w:szCs w:val="20"/>
                <w:lang w:val="es-ES"/>
              </w:rPr>
            </w:pPr>
            <w:r>
              <w:rPr>
                <w:rFonts w:ascii="Cambria" w:hAnsi="Cambria"/>
                <w:bCs/>
                <w:sz w:val="20"/>
                <w:szCs w:val="20"/>
                <w:lang w:val="es-ES"/>
              </w:rPr>
              <w:t>17 de noviembre de 2021</w:t>
            </w:r>
          </w:p>
        </w:tc>
      </w:tr>
    </w:tbl>
    <w:p w14:paraId="6A53A026" w14:textId="17CFF970" w:rsidR="003239B8" w:rsidRPr="00A53E24" w:rsidRDefault="003239B8" w:rsidP="003239B8">
      <w:pPr>
        <w:spacing w:before="240"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t xml:space="preserve">III. </w:t>
      </w:r>
      <w:r w:rsidRPr="00A53E24">
        <w:rPr>
          <w:rFonts w:asciiTheme="majorHAnsi" w:hAnsiTheme="majorHAnsi"/>
          <w:b/>
          <w:bCs/>
          <w:sz w:val="20"/>
          <w:szCs w:val="20"/>
          <w:lang w:val="es-ES"/>
        </w:rPr>
        <w:tab/>
        <w:t>COMPETENCIA</w:t>
      </w:r>
      <w:r w:rsidR="00EE00E9" w:rsidRPr="00A53E2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53E24" w14:paraId="2A8116AA" w14:textId="77777777" w:rsidTr="004A6A54">
        <w:trPr>
          <w:cantSplit/>
        </w:trPr>
        <w:tc>
          <w:tcPr>
            <w:tcW w:w="3600" w:type="dxa"/>
            <w:tcBorders>
              <w:top w:val="single" w:sz="4" w:space="0" w:color="auto"/>
              <w:bottom w:val="single" w:sz="6" w:space="0" w:color="auto"/>
            </w:tcBorders>
            <w:shd w:val="clear" w:color="auto" w:fill="386294"/>
            <w:vAlign w:val="center"/>
          </w:tcPr>
          <w:p w14:paraId="2533D1DC" w14:textId="77777777" w:rsidR="003239B8" w:rsidRPr="00A53E24" w:rsidRDefault="003239B8" w:rsidP="00AE32A8">
            <w:pPr>
              <w:jc w:val="center"/>
              <w:rPr>
                <w:rFonts w:ascii="Cambria" w:hAnsi="Cambria"/>
                <w:b/>
                <w:bCs/>
                <w:i/>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Ratione</w:t>
            </w:r>
            <w:proofErr w:type="spellEnd"/>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personae</w:t>
            </w:r>
            <w:proofErr w:type="spellEnd"/>
            <w:r w:rsidRPr="00A53E24">
              <w:rPr>
                <w:rFonts w:ascii="Cambria" w:hAnsi="Cambria"/>
                <w:b/>
                <w:bCs/>
                <w:i/>
                <w:color w:val="FFFFFF" w:themeColor="background1"/>
                <w:sz w:val="20"/>
                <w:szCs w:val="20"/>
                <w:lang w:val="es-ES"/>
              </w:rPr>
              <w:t>:</w:t>
            </w:r>
          </w:p>
        </w:tc>
        <w:tc>
          <w:tcPr>
            <w:tcW w:w="5760" w:type="dxa"/>
            <w:vAlign w:val="center"/>
          </w:tcPr>
          <w:p w14:paraId="5006A8A8" w14:textId="557728FD" w:rsidR="003239B8" w:rsidRPr="00A53E24" w:rsidRDefault="007F22EE" w:rsidP="00AE32A8">
            <w:pPr>
              <w:rPr>
                <w:rFonts w:ascii="Cambria" w:hAnsi="Cambria"/>
                <w:bCs/>
                <w:sz w:val="20"/>
                <w:szCs w:val="20"/>
                <w:lang w:val="es-ES"/>
              </w:rPr>
            </w:pPr>
            <w:r w:rsidRPr="00A53E24">
              <w:rPr>
                <w:rFonts w:ascii="Cambria" w:hAnsi="Cambria"/>
                <w:bCs/>
                <w:sz w:val="20"/>
                <w:szCs w:val="20"/>
                <w:lang w:val="es-ES"/>
              </w:rPr>
              <w:t>Sí</w:t>
            </w:r>
          </w:p>
        </w:tc>
      </w:tr>
      <w:tr w:rsidR="003239B8" w:rsidRPr="00A53E24" w14:paraId="0B1E530C" w14:textId="77777777" w:rsidTr="004A6A54">
        <w:trPr>
          <w:cantSplit/>
        </w:trPr>
        <w:tc>
          <w:tcPr>
            <w:tcW w:w="3600" w:type="dxa"/>
            <w:tcBorders>
              <w:top w:val="single" w:sz="6" w:space="0" w:color="auto"/>
              <w:bottom w:val="single" w:sz="6" w:space="0" w:color="auto"/>
            </w:tcBorders>
            <w:shd w:val="clear" w:color="auto" w:fill="386294"/>
            <w:vAlign w:val="center"/>
          </w:tcPr>
          <w:p w14:paraId="354F453C" w14:textId="77777777" w:rsidR="003239B8" w:rsidRPr="00A53E24" w:rsidRDefault="003239B8" w:rsidP="00AE32A8">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Ratione</w:t>
            </w:r>
            <w:proofErr w:type="spellEnd"/>
            <w:r w:rsidRPr="00A53E24">
              <w:rPr>
                <w:rFonts w:ascii="Cambria" w:hAnsi="Cambria"/>
                <w:b/>
                <w:bCs/>
                <w:i/>
                <w:color w:val="FFFFFF" w:themeColor="background1"/>
                <w:sz w:val="20"/>
                <w:szCs w:val="20"/>
                <w:lang w:val="es-ES"/>
              </w:rPr>
              <w:t xml:space="preserve"> loci</w:t>
            </w:r>
            <w:r w:rsidRPr="00A53E24">
              <w:rPr>
                <w:rFonts w:ascii="Cambria" w:hAnsi="Cambria"/>
                <w:b/>
                <w:bCs/>
                <w:color w:val="FFFFFF" w:themeColor="background1"/>
                <w:sz w:val="20"/>
                <w:szCs w:val="20"/>
                <w:lang w:val="es-ES"/>
              </w:rPr>
              <w:t>:</w:t>
            </w:r>
          </w:p>
        </w:tc>
        <w:tc>
          <w:tcPr>
            <w:tcW w:w="5760" w:type="dxa"/>
            <w:vAlign w:val="center"/>
          </w:tcPr>
          <w:p w14:paraId="3D1FE198" w14:textId="1D91C6A6" w:rsidR="003239B8" w:rsidRPr="00A53E24" w:rsidRDefault="007F22EE" w:rsidP="00AE32A8">
            <w:pPr>
              <w:rPr>
                <w:rFonts w:ascii="Cambria" w:hAnsi="Cambria"/>
                <w:bCs/>
                <w:sz w:val="20"/>
                <w:szCs w:val="20"/>
                <w:lang w:val="es-ES"/>
              </w:rPr>
            </w:pPr>
            <w:r w:rsidRPr="00A53E24">
              <w:rPr>
                <w:rFonts w:ascii="Cambria" w:hAnsi="Cambria"/>
                <w:bCs/>
                <w:sz w:val="20"/>
                <w:szCs w:val="20"/>
                <w:lang w:val="es-ES"/>
              </w:rPr>
              <w:t>Sí</w:t>
            </w:r>
          </w:p>
        </w:tc>
      </w:tr>
      <w:tr w:rsidR="003239B8" w:rsidRPr="00A53E24" w14:paraId="1CCBBC17" w14:textId="77777777" w:rsidTr="004A6A54">
        <w:trPr>
          <w:cantSplit/>
        </w:trPr>
        <w:tc>
          <w:tcPr>
            <w:tcW w:w="3600" w:type="dxa"/>
            <w:tcBorders>
              <w:top w:val="single" w:sz="6" w:space="0" w:color="auto"/>
              <w:bottom w:val="single" w:sz="6" w:space="0" w:color="auto"/>
            </w:tcBorders>
            <w:shd w:val="clear" w:color="auto" w:fill="386294"/>
            <w:vAlign w:val="center"/>
          </w:tcPr>
          <w:p w14:paraId="2564AA22" w14:textId="77777777" w:rsidR="003239B8" w:rsidRPr="00A53E24" w:rsidRDefault="003239B8" w:rsidP="00AE32A8">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Ratione</w:t>
            </w:r>
            <w:proofErr w:type="spellEnd"/>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temporis</w:t>
            </w:r>
            <w:proofErr w:type="spellEnd"/>
            <w:r w:rsidRPr="00A53E24">
              <w:rPr>
                <w:rFonts w:ascii="Cambria" w:hAnsi="Cambria"/>
                <w:b/>
                <w:bCs/>
                <w:color w:val="FFFFFF" w:themeColor="background1"/>
                <w:sz w:val="20"/>
                <w:szCs w:val="20"/>
                <w:lang w:val="es-ES"/>
              </w:rPr>
              <w:t>:</w:t>
            </w:r>
          </w:p>
        </w:tc>
        <w:tc>
          <w:tcPr>
            <w:tcW w:w="5760" w:type="dxa"/>
            <w:vAlign w:val="center"/>
          </w:tcPr>
          <w:p w14:paraId="21DFABBA" w14:textId="0CBC653F" w:rsidR="003239B8" w:rsidRPr="00A53E24" w:rsidRDefault="007F22EE" w:rsidP="00AE32A8">
            <w:pPr>
              <w:rPr>
                <w:rFonts w:ascii="Cambria" w:hAnsi="Cambria"/>
                <w:bCs/>
                <w:sz w:val="20"/>
                <w:szCs w:val="20"/>
                <w:lang w:val="es-ES"/>
              </w:rPr>
            </w:pPr>
            <w:r w:rsidRPr="00A53E24">
              <w:rPr>
                <w:rFonts w:ascii="Cambria" w:hAnsi="Cambria"/>
                <w:bCs/>
                <w:sz w:val="20"/>
                <w:szCs w:val="20"/>
                <w:lang w:val="es-ES"/>
              </w:rPr>
              <w:t>Sí</w:t>
            </w:r>
          </w:p>
        </w:tc>
      </w:tr>
      <w:tr w:rsidR="003239B8" w:rsidRPr="00F838D5" w14:paraId="13171102" w14:textId="77777777" w:rsidTr="004A6A54">
        <w:trPr>
          <w:cantSplit/>
        </w:trPr>
        <w:tc>
          <w:tcPr>
            <w:tcW w:w="3600" w:type="dxa"/>
            <w:tcBorders>
              <w:top w:val="single" w:sz="6" w:space="0" w:color="auto"/>
              <w:bottom w:val="single" w:sz="6" w:space="0" w:color="auto"/>
            </w:tcBorders>
            <w:shd w:val="clear" w:color="auto" w:fill="386294"/>
            <w:vAlign w:val="center"/>
          </w:tcPr>
          <w:p w14:paraId="4EFB76B3" w14:textId="77777777" w:rsidR="003239B8" w:rsidRPr="00A53E24" w:rsidRDefault="003239B8" w:rsidP="00AE32A8">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Ratione</w:t>
            </w:r>
            <w:proofErr w:type="spellEnd"/>
            <w:r w:rsidRPr="00A53E24">
              <w:rPr>
                <w:rFonts w:ascii="Cambria" w:hAnsi="Cambria"/>
                <w:b/>
                <w:bCs/>
                <w:i/>
                <w:color w:val="FFFFFF" w:themeColor="background1"/>
                <w:sz w:val="20"/>
                <w:szCs w:val="20"/>
                <w:lang w:val="es-ES"/>
              </w:rPr>
              <w:t xml:space="preserve"> </w:t>
            </w:r>
            <w:proofErr w:type="spellStart"/>
            <w:r w:rsidRPr="00A53E24">
              <w:rPr>
                <w:rFonts w:ascii="Cambria" w:hAnsi="Cambria"/>
                <w:b/>
                <w:bCs/>
                <w:i/>
                <w:color w:val="FFFFFF" w:themeColor="background1"/>
                <w:sz w:val="20"/>
                <w:szCs w:val="20"/>
                <w:lang w:val="es-ES"/>
              </w:rPr>
              <w:t>materia</w:t>
            </w:r>
            <w:r w:rsidR="00EE00E9" w:rsidRPr="00A53E24">
              <w:rPr>
                <w:rFonts w:ascii="Cambria" w:hAnsi="Cambria"/>
                <w:b/>
                <w:bCs/>
                <w:i/>
                <w:color w:val="FFFFFF" w:themeColor="background1"/>
                <w:sz w:val="20"/>
                <w:szCs w:val="20"/>
                <w:lang w:val="es-ES"/>
              </w:rPr>
              <w:t>e</w:t>
            </w:r>
            <w:proofErr w:type="spellEnd"/>
            <w:r w:rsidRPr="00A53E24">
              <w:rPr>
                <w:rFonts w:ascii="Cambria" w:hAnsi="Cambria"/>
                <w:b/>
                <w:bCs/>
                <w:color w:val="FFFFFF" w:themeColor="background1"/>
                <w:sz w:val="20"/>
                <w:szCs w:val="20"/>
                <w:lang w:val="es-ES"/>
              </w:rPr>
              <w:t>:</w:t>
            </w:r>
          </w:p>
        </w:tc>
        <w:tc>
          <w:tcPr>
            <w:tcW w:w="5760" w:type="dxa"/>
            <w:vAlign w:val="center"/>
          </w:tcPr>
          <w:p w14:paraId="2005A1A6" w14:textId="2031DDF9" w:rsidR="003239B8" w:rsidRPr="00A53E24" w:rsidRDefault="007F22EE" w:rsidP="00AE32A8">
            <w:pPr>
              <w:jc w:val="both"/>
              <w:rPr>
                <w:rFonts w:ascii="Cambria" w:hAnsi="Cambria"/>
                <w:bCs/>
                <w:sz w:val="20"/>
                <w:szCs w:val="20"/>
                <w:lang w:val="es-ES"/>
              </w:rPr>
            </w:pPr>
            <w:r w:rsidRPr="00A53E24">
              <w:rPr>
                <w:rFonts w:ascii="Cambria" w:hAnsi="Cambria"/>
                <w:bCs/>
                <w:sz w:val="20"/>
                <w:szCs w:val="20"/>
                <w:lang w:val="es-ES"/>
              </w:rPr>
              <w:t xml:space="preserve">Sí, Convención Americana </w:t>
            </w:r>
            <w:r w:rsidR="00332878" w:rsidRPr="00105DCD">
              <w:rPr>
                <w:rFonts w:ascii="Cambria" w:hAnsi="Cambria"/>
                <w:bCs/>
                <w:sz w:val="20"/>
                <w:szCs w:val="20"/>
                <w:lang w:val="es-AR"/>
              </w:rPr>
              <w:t>(depósito de instrumento realizado el 24 de marzo de 1981)</w:t>
            </w:r>
          </w:p>
        </w:tc>
      </w:tr>
    </w:tbl>
    <w:p w14:paraId="76F439F0" w14:textId="14E8333C" w:rsidR="003239B8" w:rsidRPr="00A53E24" w:rsidRDefault="003239B8" w:rsidP="003239B8">
      <w:pPr>
        <w:spacing w:before="240"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t xml:space="preserve">IV. </w:t>
      </w:r>
      <w:r w:rsidRPr="00A53E24">
        <w:rPr>
          <w:rFonts w:asciiTheme="majorHAnsi" w:hAnsiTheme="majorHAnsi"/>
          <w:b/>
          <w:bCs/>
          <w:sz w:val="20"/>
          <w:szCs w:val="20"/>
          <w:lang w:val="es-ES"/>
        </w:rPr>
        <w:tab/>
      </w:r>
      <w:r w:rsidR="00EE00E9" w:rsidRPr="00A53E24">
        <w:rPr>
          <w:rFonts w:asciiTheme="majorHAnsi" w:hAnsiTheme="majorHAnsi"/>
          <w:b/>
          <w:bCs/>
          <w:sz w:val="20"/>
          <w:szCs w:val="20"/>
          <w:lang w:val="es-ES"/>
        </w:rPr>
        <w:t>DUPLICACIÓN</w:t>
      </w:r>
      <w:r w:rsidR="00EE00E9" w:rsidRPr="00A53E24">
        <w:rPr>
          <w:rFonts w:asciiTheme="majorHAnsi" w:hAnsiTheme="majorHAnsi"/>
          <w:b/>
          <w:bCs/>
          <w:color w:val="FFFFFF" w:themeColor="background1"/>
          <w:sz w:val="20"/>
          <w:szCs w:val="20"/>
          <w:lang w:val="es-ES"/>
        </w:rPr>
        <w:t xml:space="preserve"> </w:t>
      </w:r>
      <w:r w:rsidR="00EE00E9" w:rsidRPr="00A53E24">
        <w:rPr>
          <w:rFonts w:asciiTheme="majorHAnsi" w:hAnsiTheme="majorHAnsi"/>
          <w:b/>
          <w:bCs/>
          <w:sz w:val="20"/>
          <w:szCs w:val="20"/>
          <w:lang w:val="es-ES"/>
        </w:rPr>
        <w:t>DE PROCEDIMIENTOS Y COSA JUZGADA</w:t>
      </w:r>
      <w:r w:rsidR="00EE00E9" w:rsidRPr="00A53E24">
        <w:rPr>
          <w:rFonts w:asciiTheme="majorHAnsi" w:hAnsiTheme="majorHAnsi"/>
          <w:b/>
          <w:bCs/>
          <w:i/>
          <w:sz w:val="20"/>
          <w:szCs w:val="20"/>
          <w:lang w:val="es-ES"/>
        </w:rPr>
        <w:t xml:space="preserve"> </w:t>
      </w:r>
      <w:r w:rsidR="009E09D1" w:rsidRPr="00A53E24">
        <w:rPr>
          <w:rFonts w:asciiTheme="majorHAnsi" w:hAnsiTheme="majorHAnsi"/>
          <w:b/>
          <w:bCs/>
          <w:sz w:val="20"/>
          <w:szCs w:val="20"/>
          <w:lang w:val="es-ES"/>
        </w:rPr>
        <w:t>INTERNACIONAL, CARACTERIZACIÓN</w:t>
      </w:r>
      <w:r w:rsidRPr="00A53E24">
        <w:rPr>
          <w:rFonts w:asciiTheme="majorHAnsi" w:hAnsiTheme="majorHAnsi"/>
          <w:b/>
          <w:bCs/>
          <w:sz w:val="20"/>
          <w:szCs w:val="20"/>
          <w:lang w:val="es-ES"/>
        </w:rPr>
        <w:t xml:space="preserve">, </w:t>
      </w:r>
      <w:r w:rsidRPr="00A53E2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53E24" w14:paraId="4ECC0016" w14:textId="77777777" w:rsidTr="004A6A54">
        <w:trPr>
          <w:cantSplit/>
        </w:trPr>
        <w:tc>
          <w:tcPr>
            <w:tcW w:w="3600" w:type="dxa"/>
            <w:tcBorders>
              <w:top w:val="single" w:sz="4" w:space="0" w:color="auto"/>
              <w:bottom w:val="single" w:sz="6" w:space="0" w:color="auto"/>
            </w:tcBorders>
            <w:shd w:val="clear" w:color="auto" w:fill="386294"/>
            <w:vAlign w:val="center"/>
          </w:tcPr>
          <w:p w14:paraId="125F9F95" w14:textId="77777777" w:rsidR="00EE00E9" w:rsidRPr="00A53E24" w:rsidRDefault="00EE00E9" w:rsidP="00AE32A8">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Duplicación de procedimientos y cosa juzgada internacional:</w:t>
            </w:r>
          </w:p>
        </w:tc>
        <w:tc>
          <w:tcPr>
            <w:tcW w:w="5760" w:type="dxa"/>
            <w:vAlign w:val="center"/>
          </w:tcPr>
          <w:p w14:paraId="7979C01D" w14:textId="2F4A47D1" w:rsidR="00EE00E9" w:rsidRPr="00A53E24" w:rsidRDefault="007F22EE" w:rsidP="00AE32A8">
            <w:pPr>
              <w:jc w:val="both"/>
              <w:rPr>
                <w:rFonts w:ascii="Cambria" w:hAnsi="Cambria"/>
                <w:bCs/>
                <w:sz w:val="20"/>
                <w:szCs w:val="20"/>
                <w:lang w:val="es-ES"/>
              </w:rPr>
            </w:pPr>
            <w:r w:rsidRPr="00A53E24">
              <w:rPr>
                <w:rFonts w:ascii="Cambria" w:hAnsi="Cambria"/>
                <w:bCs/>
                <w:sz w:val="20"/>
                <w:szCs w:val="20"/>
                <w:lang w:val="es-ES"/>
              </w:rPr>
              <w:t>No</w:t>
            </w:r>
          </w:p>
        </w:tc>
      </w:tr>
      <w:tr w:rsidR="007F22EE" w:rsidRPr="00F838D5" w14:paraId="32BE205E" w14:textId="77777777" w:rsidTr="004A6A54">
        <w:trPr>
          <w:cantSplit/>
        </w:trPr>
        <w:tc>
          <w:tcPr>
            <w:tcW w:w="3600" w:type="dxa"/>
            <w:tcBorders>
              <w:top w:val="single" w:sz="4" w:space="0" w:color="auto"/>
              <w:bottom w:val="single" w:sz="6" w:space="0" w:color="auto"/>
            </w:tcBorders>
            <w:shd w:val="clear" w:color="auto" w:fill="386294"/>
            <w:vAlign w:val="center"/>
          </w:tcPr>
          <w:p w14:paraId="032C2709" w14:textId="77777777" w:rsidR="007F22EE" w:rsidRPr="00A53E24" w:rsidRDefault="007F22EE" w:rsidP="007F22EE">
            <w:pPr>
              <w:jc w:val="center"/>
              <w:rPr>
                <w:rFonts w:ascii="Cambria" w:hAnsi="Cambria"/>
                <w:b/>
                <w:bCs/>
                <w:i/>
                <w:color w:val="FFFFFF" w:themeColor="background1"/>
                <w:sz w:val="20"/>
                <w:szCs w:val="20"/>
                <w:lang w:val="es-ES"/>
              </w:rPr>
            </w:pPr>
            <w:r w:rsidRPr="00A53E24">
              <w:rPr>
                <w:rFonts w:ascii="Cambria" w:hAnsi="Cambria"/>
                <w:b/>
                <w:bCs/>
                <w:color w:val="FFFFFF" w:themeColor="background1"/>
                <w:sz w:val="20"/>
                <w:szCs w:val="20"/>
                <w:lang w:val="es-ES"/>
              </w:rPr>
              <w:t>Derechos declarados admisibles</w:t>
            </w:r>
            <w:r w:rsidRPr="00A53E24">
              <w:rPr>
                <w:rFonts w:ascii="Cambria" w:hAnsi="Cambria"/>
                <w:b/>
                <w:bCs/>
                <w:i/>
                <w:color w:val="FFFFFF" w:themeColor="background1"/>
                <w:sz w:val="20"/>
                <w:szCs w:val="20"/>
                <w:lang w:val="es-ES"/>
              </w:rPr>
              <w:t>:</w:t>
            </w:r>
          </w:p>
        </w:tc>
        <w:tc>
          <w:tcPr>
            <w:tcW w:w="5760" w:type="dxa"/>
            <w:vAlign w:val="center"/>
          </w:tcPr>
          <w:p w14:paraId="4FE22BFB" w14:textId="2BAEF3FB" w:rsidR="007F22EE" w:rsidRPr="00A53E24" w:rsidRDefault="006B43B7" w:rsidP="007F22EE">
            <w:pPr>
              <w:jc w:val="both"/>
              <w:rPr>
                <w:rFonts w:ascii="Cambria" w:hAnsi="Cambria"/>
                <w:bCs/>
                <w:sz w:val="20"/>
                <w:szCs w:val="20"/>
                <w:lang w:val="es-ES"/>
              </w:rPr>
            </w:pPr>
            <w:r>
              <w:rPr>
                <w:rFonts w:ascii="Cambria" w:hAnsi="Cambria"/>
                <w:bCs/>
                <w:sz w:val="20"/>
                <w:szCs w:val="20"/>
                <w:lang w:val="es-ES"/>
              </w:rPr>
              <w:t>Artículos 8 (Garantías judiciales), 9 (Principio de legalidad), 11 (Derecho a la vida privada),</w:t>
            </w:r>
            <w:r w:rsidRPr="00A53E24">
              <w:rPr>
                <w:rFonts w:ascii="Cambria" w:hAnsi="Cambria"/>
                <w:bCs/>
                <w:sz w:val="20"/>
                <w:szCs w:val="20"/>
                <w:lang w:val="es-ES"/>
              </w:rPr>
              <w:t xml:space="preserve"> 13 (Libertad de Expresión) y 25 (Protección Judicial) de la Convención Americana sobre Derechos Humanos, en relación con sus artículos 1.1 (obligación de respetar los derechos) y 2 (deber de adoptar disposiciones de derecho interno)</w:t>
            </w:r>
          </w:p>
        </w:tc>
      </w:tr>
      <w:tr w:rsidR="007F22EE" w:rsidRPr="00A53E24" w14:paraId="499E9222" w14:textId="77777777" w:rsidTr="004A6A54">
        <w:trPr>
          <w:cantSplit/>
        </w:trPr>
        <w:tc>
          <w:tcPr>
            <w:tcW w:w="3600" w:type="dxa"/>
            <w:tcBorders>
              <w:top w:val="single" w:sz="6" w:space="0" w:color="auto"/>
              <w:bottom w:val="single" w:sz="6" w:space="0" w:color="auto"/>
            </w:tcBorders>
            <w:shd w:val="clear" w:color="auto" w:fill="386294"/>
            <w:vAlign w:val="center"/>
          </w:tcPr>
          <w:p w14:paraId="42EC7B02"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0537D2CC" w14:textId="70100F3F" w:rsidR="007F22EE" w:rsidRPr="00A53E24" w:rsidRDefault="007F22EE" w:rsidP="007F22EE">
            <w:pPr>
              <w:rPr>
                <w:rFonts w:ascii="Cambria" w:hAnsi="Cambria"/>
                <w:bCs/>
                <w:sz w:val="20"/>
                <w:szCs w:val="20"/>
                <w:lang w:val="es-ES"/>
              </w:rPr>
            </w:pPr>
            <w:r w:rsidRPr="00A53E24">
              <w:rPr>
                <w:rFonts w:ascii="Cambria" w:hAnsi="Cambria"/>
                <w:bCs/>
                <w:sz w:val="20"/>
                <w:szCs w:val="20"/>
                <w:lang w:val="es-ES"/>
              </w:rPr>
              <w:t xml:space="preserve">Sí, </w:t>
            </w:r>
            <w:r w:rsidR="006B43B7">
              <w:rPr>
                <w:rFonts w:ascii="Cambria" w:hAnsi="Cambria"/>
                <w:bCs/>
                <w:sz w:val="20"/>
                <w:szCs w:val="20"/>
                <w:lang w:val="es-ES"/>
              </w:rPr>
              <w:t>6 de julio de 2016</w:t>
            </w:r>
            <w:r w:rsidRPr="00A53E24">
              <w:rPr>
                <w:rFonts w:ascii="Cambria" w:hAnsi="Cambria"/>
                <w:bCs/>
                <w:sz w:val="20"/>
                <w:szCs w:val="20"/>
                <w:lang w:val="es-ES"/>
              </w:rPr>
              <w:t xml:space="preserve"> </w:t>
            </w:r>
          </w:p>
        </w:tc>
      </w:tr>
      <w:tr w:rsidR="007F22EE" w:rsidRPr="00A53E24" w14:paraId="7737E06C" w14:textId="77777777" w:rsidTr="004A6A54">
        <w:trPr>
          <w:cantSplit/>
        </w:trPr>
        <w:tc>
          <w:tcPr>
            <w:tcW w:w="3600" w:type="dxa"/>
            <w:tcBorders>
              <w:top w:val="single" w:sz="6" w:space="0" w:color="auto"/>
              <w:bottom w:val="single" w:sz="6" w:space="0" w:color="auto"/>
            </w:tcBorders>
            <w:shd w:val="clear" w:color="auto" w:fill="386294"/>
            <w:vAlign w:val="center"/>
          </w:tcPr>
          <w:p w14:paraId="6358FAC4"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Presentación dentro de plazo:</w:t>
            </w:r>
          </w:p>
        </w:tc>
        <w:tc>
          <w:tcPr>
            <w:tcW w:w="5760" w:type="dxa"/>
            <w:vAlign w:val="center"/>
          </w:tcPr>
          <w:p w14:paraId="679917ED" w14:textId="5150C068" w:rsidR="007F22EE" w:rsidRPr="00A53E24" w:rsidRDefault="007F22EE" w:rsidP="007F22EE">
            <w:pPr>
              <w:rPr>
                <w:rFonts w:ascii="Cambria" w:hAnsi="Cambria"/>
                <w:bCs/>
                <w:sz w:val="20"/>
                <w:szCs w:val="20"/>
                <w:lang w:val="es-ES"/>
              </w:rPr>
            </w:pPr>
            <w:r w:rsidRPr="009C6FDC">
              <w:rPr>
                <w:rFonts w:ascii="Cambria" w:hAnsi="Cambria"/>
                <w:bCs/>
                <w:sz w:val="20"/>
                <w:szCs w:val="20"/>
                <w:lang w:val="es-ES"/>
              </w:rPr>
              <w:t xml:space="preserve">Sí, </w:t>
            </w:r>
            <w:r w:rsidR="009C6FDC" w:rsidRPr="009C6FDC">
              <w:rPr>
                <w:rFonts w:ascii="Cambria" w:hAnsi="Cambria"/>
                <w:bCs/>
                <w:sz w:val="20"/>
                <w:szCs w:val="20"/>
                <w:lang w:val="es-ES"/>
              </w:rPr>
              <w:t>5</w:t>
            </w:r>
            <w:r w:rsidR="006B43B7" w:rsidRPr="009C6FDC">
              <w:rPr>
                <w:rFonts w:ascii="Cambria" w:hAnsi="Cambria"/>
                <w:bCs/>
                <w:sz w:val="20"/>
                <w:szCs w:val="20"/>
                <w:lang w:val="es-ES"/>
              </w:rPr>
              <w:t xml:space="preserve"> de enero de 2017</w:t>
            </w:r>
          </w:p>
        </w:tc>
      </w:tr>
    </w:tbl>
    <w:p w14:paraId="35A97CB5" w14:textId="77777777" w:rsidR="003239B8" w:rsidRPr="00A53E24" w:rsidRDefault="00223A29" w:rsidP="003239B8">
      <w:pPr>
        <w:spacing w:before="240" w:after="240"/>
        <w:ind w:firstLine="720"/>
        <w:jc w:val="both"/>
        <w:rPr>
          <w:rFonts w:asciiTheme="majorHAnsi" w:hAnsiTheme="majorHAnsi"/>
          <w:b/>
          <w:sz w:val="20"/>
          <w:szCs w:val="20"/>
          <w:lang w:val="es-ES"/>
        </w:rPr>
      </w:pPr>
      <w:r w:rsidRPr="00A53E24">
        <w:rPr>
          <w:rFonts w:asciiTheme="majorHAnsi" w:hAnsiTheme="majorHAnsi"/>
          <w:b/>
          <w:sz w:val="20"/>
          <w:szCs w:val="20"/>
          <w:lang w:val="es-ES"/>
        </w:rPr>
        <w:t xml:space="preserve">V. </w:t>
      </w:r>
      <w:r w:rsidRPr="00A53E24">
        <w:rPr>
          <w:rFonts w:asciiTheme="majorHAnsi" w:hAnsiTheme="majorHAnsi"/>
          <w:b/>
          <w:sz w:val="20"/>
          <w:szCs w:val="20"/>
          <w:lang w:val="es-ES"/>
        </w:rPr>
        <w:tab/>
      </w:r>
      <w:r w:rsidR="003239B8" w:rsidRPr="00A53E24">
        <w:rPr>
          <w:rFonts w:asciiTheme="majorHAnsi" w:hAnsiTheme="majorHAnsi"/>
          <w:b/>
          <w:sz w:val="20"/>
          <w:szCs w:val="20"/>
          <w:lang w:val="es-ES"/>
        </w:rPr>
        <w:t xml:space="preserve">HECHOS ALEGADOS </w:t>
      </w:r>
    </w:p>
    <w:p w14:paraId="68135A10"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Los </w:t>
      </w:r>
      <w:bookmarkStart w:id="2" w:name="_Hlk96007370"/>
      <w:r w:rsidRPr="0078405C">
        <w:rPr>
          <w:rFonts w:asciiTheme="majorHAnsi" w:hAnsiTheme="majorHAnsi"/>
          <w:sz w:val="20"/>
          <w:szCs w:val="20"/>
          <w:lang w:val="es-ES"/>
        </w:rPr>
        <w:t xml:space="preserve">señores </w:t>
      </w:r>
      <w:r w:rsidRPr="0078405C">
        <w:rPr>
          <w:rFonts w:asciiTheme="majorHAnsi" w:hAnsiTheme="majorHAnsi"/>
          <w:bCs/>
          <w:sz w:val="20"/>
          <w:szCs w:val="20"/>
          <w:lang w:val="es-ES"/>
        </w:rPr>
        <w:t>Luis Fernando García Muñoz</w:t>
      </w:r>
      <w:r w:rsidRPr="0078405C">
        <w:rPr>
          <w:rFonts w:asciiTheme="majorHAnsi" w:hAnsiTheme="majorHAnsi"/>
          <w:sz w:val="20"/>
          <w:szCs w:val="20"/>
          <w:lang w:val="es-ES"/>
        </w:rPr>
        <w:t xml:space="preserve"> y </w:t>
      </w:r>
      <w:r w:rsidRPr="0078405C">
        <w:rPr>
          <w:rFonts w:asciiTheme="majorHAnsi" w:hAnsiTheme="majorHAnsi"/>
          <w:bCs/>
          <w:sz w:val="20"/>
          <w:szCs w:val="20"/>
          <w:lang w:val="es-ES"/>
        </w:rPr>
        <w:t>Bosque David Iglesias Guzmán, usuarios del servicio de telefonía móvil y ciudadanos mexicanos,</w:t>
      </w:r>
      <w:r w:rsidRPr="0078405C">
        <w:rPr>
          <w:rFonts w:asciiTheme="majorHAnsi" w:hAnsiTheme="majorHAnsi"/>
          <w:sz w:val="20"/>
          <w:szCs w:val="20"/>
          <w:lang w:val="es-ES"/>
        </w:rPr>
        <w:t xml:space="preserve"> acuden a la CIDH alegando la responsabilidad internacional </w:t>
      </w:r>
      <w:r w:rsidRPr="0078405C">
        <w:rPr>
          <w:rFonts w:asciiTheme="majorHAnsi" w:hAnsiTheme="majorHAnsi"/>
          <w:sz w:val="20"/>
          <w:szCs w:val="20"/>
          <w:lang w:val="es-ES"/>
        </w:rPr>
        <w:lastRenderedPageBreak/>
        <w:t xml:space="preserve">del Estado mexicano por el dictado de </w:t>
      </w:r>
      <w:r>
        <w:rPr>
          <w:rFonts w:asciiTheme="majorHAnsi" w:hAnsiTheme="majorHAnsi"/>
          <w:sz w:val="20"/>
          <w:szCs w:val="20"/>
          <w:lang w:val="es-ES"/>
        </w:rPr>
        <w:t xml:space="preserve">ciertas disposiciones de </w:t>
      </w:r>
      <w:r w:rsidRPr="0078405C">
        <w:rPr>
          <w:rFonts w:asciiTheme="majorHAnsi" w:hAnsiTheme="majorHAnsi"/>
          <w:sz w:val="20"/>
          <w:szCs w:val="20"/>
          <w:lang w:val="es-ES"/>
        </w:rPr>
        <w:t>una norma de telecomunicaciones, que establece</w:t>
      </w:r>
      <w:r>
        <w:rPr>
          <w:rFonts w:asciiTheme="majorHAnsi" w:hAnsiTheme="majorHAnsi"/>
          <w:sz w:val="20"/>
          <w:szCs w:val="20"/>
          <w:lang w:val="es-ES"/>
        </w:rPr>
        <w:t>n</w:t>
      </w:r>
      <w:r w:rsidRPr="0078405C">
        <w:rPr>
          <w:rFonts w:asciiTheme="majorHAnsi" w:hAnsiTheme="majorHAnsi"/>
          <w:sz w:val="20"/>
          <w:szCs w:val="20"/>
          <w:lang w:val="es-ES"/>
        </w:rPr>
        <w:t xml:space="preserve"> medidas de vigilancia encubierta que repercuten en el derecho a la vida privada de los usuarios de telecomunicaciones.</w:t>
      </w:r>
    </w:p>
    <w:bookmarkEnd w:id="2"/>
    <w:p w14:paraId="4972F745"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La parte peticionaria explica que el 24 de marzo de 2014 el entonces presidente presentó ante el Senado de la República una iniciativa con proyecto de decreto para expedir la Ley Federal de Telecomunicaciones y Radiodifusión y la Ley del Sistema Público de Radiodifusión de México, reformando, adicionando y derogando diversas disposiciones en materia de telecomunicaciones y radiodifusión. Este proyecto fue discutido y aprobado por el Pleno de la Cámara de Senadores el 4 de julio de 2014. El 8 de julio de 2014 la Cámara de Diputados aprobó la Ley Federal de Telecomunicaciones y Radiodifusión (en adelante, “LFTR”), que fue promulgada y publicada el 14 de julio de 2014.</w:t>
      </w:r>
    </w:p>
    <w:p w14:paraId="5A84FBA4" w14:textId="77777777" w:rsidR="000C3668" w:rsidRPr="001651C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Los peticionarios afirman que las disposiciones </w:t>
      </w:r>
      <w:r>
        <w:rPr>
          <w:rFonts w:asciiTheme="majorHAnsi" w:hAnsiTheme="majorHAnsi"/>
          <w:sz w:val="20"/>
          <w:szCs w:val="20"/>
          <w:lang w:val="es-ES"/>
        </w:rPr>
        <w:t>contenidas en los</w:t>
      </w:r>
      <w:r w:rsidRPr="0078405C">
        <w:rPr>
          <w:rFonts w:asciiTheme="majorHAnsi" w:hAnsiTheme="majorHAnsi"/>
          <w:sz w:val="20"/>
          <w:szCs w:val="20"/>
          <w:lang w:val="es-ES"/>
        </w:rPr>
        <w:t xml:space="preserve"> artículos 189 y 190, fracciones I, II, y III</w:t>
      </w:r>
      <w:r>
        <w:rPr>
          <w:rFonts w:asciiTheme="majorHAnsi" w:hAnsiTheme="majorHAnsi"/>
          <w:sz w:val="20"/>
          <w:szCs w:val="20"/>
          <w:lang w:val="es-ES"/>
        </w:rPr>
        <w:t>,</w:t>
      </w:r>
      <w:r w:rsidRPr="0078405C">
        <w:rPr>
          <w:rFonts w:asciiTheme="majorHAnsi" w:hAnsiTheme="majorHAnsi"/>
          <w:sz w:val="20"/>
          <w:szCs w:val="20"/>
          <w:lang w:val="es-ES"/>
        </w:rPr>
        <w:t xml:space="preserve"> utilizan un lenguaje vago, impreciso y poco claro respecto de los casos y condiciones en los que estas medidas pueden ser utilizadas y en general no se contemplan salvaguardas suficientes para inhibir los riesgos de abuso.</w:t>
      </w:r>
    </w:p>
    <w:p w14:paraId="3AB699CC"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En particular, detallan que el artículo 189 establece obligaciones genéricas de colaboración con las autoridades a las empresas que prestan servicios de telecomunicaciones y a proveedores de servicios, aplicaciones y contenidos. En esta línea, el artículo 190, fracción I, obliga a las empresas de telecomunicaciones a colaborar con las autoridades en la localización geográfica, en tiempo real, de los equipos de comunicación móvil.  Por su parte, el artículo 190, fracción II, obliga a las empresas de telecomunicaciones a conservar “un registro y control de comunicaciones” por 24 meses, que incluye una lista amplia de datos de comunicaciones respecto de todos los usuarios, tales como números de origen y destino, datos de identificación de los dispositivos, fecha, hora y duración de las comunicaciones y la localización geográfica de los comunicantes.  Por último, el artículo 190, fracción III, obliga a las empresas de telecomunicaciones a entregar los datos conservados a las autoridades que así lo requieran. </w:t>
      </w:r>
    </w:p>
    <w:p w14:paraId="0A36EB13"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A raíz de la publicación de la LFTR, las presuntas víctimas interpusieron el 23 de septiembre de 2014 una demanda de amparo indirecto, alegando que las medidas de vigilancia contempladas en los artículos 189 y 190 de la ley violaban sus derechos a la vida privada, al debido proceso, a la libertad de expresión y a un recurso efectivo. En particular, señalaron que la conservación automática masiva e indiscriminada de sus metadatos de comunicaciones constituía una injerencia arbitraria en su derecho a la vida privada, en tanto resultaba innecesaria y desproporcionada. Además, indicaron que las normas que contemplan la entrega de datos de comunicaciones, el monitoreo en tiempo real de su localización geográfica y otras formas de colaboración no resultan claras, precisas y detalladas respecto de los casos, circunstancias y procedimientos en los que puede invadirse su esfera privada. Asimismo, cuestionaron que no se establece textualmente el requisito de autorización judicial previa ni otras salvaguardas contra el abuso.</w:t>
      </w:r>
    </w:p>
    <w:p w14:paraId="77E4E1B6"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El 16 de febrero de 2015 el Juzgado Segundo de Distrito en Materia Administrativa, Especializado en Competencia Económica, Radiodifusión y Telecomunicaciones, con residencia en el Distrito Federal y jurisdicción en toda la República, negó el amparo, desestimando los argumentos de los peticionarios. Sin embargo, el Tribunal consideró que las preguntas víctimas tenían interés jurídico en el caso, tomando en cuenta su condición de usuarios de telecomunicaciones. Para así decidir, tomó en cuenta “la secrecía con la que operan los requerimientos referidos en los artículos 189 y 190, fracciones I, II y III, de la ley en cita” y determinó que “dichos dispositivos puedan ser controvertidos, en su calidad de normas de carácter autoaplicativas, con el único requisito de que se acredite verazmente la calidad de usuario de telecomunicaciones que le asiste al gobernado de que se trate". </w:t>
      </w:r>
    </w:p>
    <w:p w14:paraId="22B3EA98"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La parte peticionaria informa que el 4 de marzo de 2015 las presuntas víctimas interpusieron un recurso de revisión, que fue turnado al Primer Tribunal Colegiado en Materia Administrativa, Especializado en Competencia Económica, Radiodifusión y Telecomunicaciones, con residencia en el Distrito Federal y jurisdicción en toda la República. El Tribunal determinó, mediante resolución del 9 de julio de 2015, declarar su incompetencia para resolver el tema de constitucionalidad respecto de las dos presuntas víctimas y remitió los autos a la Suprema Corte de Justicia de la Nación.</w:t>
      </w:r>
    </w:p>
    <w:p w14:paraId="6B3B9D36"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lastRenderedPageBreak/>
        <w:t>El 4 de marzo de 2016, la Segunda Sala de la Suprema Corte de Justicia de la Nación resolvió el recurso de revisión, confirmando la sentencia recurrida y negando el amparo solicitado. Ello fue notificado a las presuntas víctimas el 6 de julio de 2016. La Suprema Corte estableció que los artículos 189 y 190, fracciones I, II, y III, no eran contrarios a los derechos humanos a la legalidad y seguridad jurídica ya que hacen remisión a otras leyes o lineamientos, ni a los derechos de protección de datos personales e inviolabilidad de las comunicaciones dado que no contienen permisión alguna para que las autoridades interfieran en las comunicaciones privadas de las personas o en los datos de tráfico de comunicaciones. Finalmente</w:t>
      </w:r>
      <w:r>
        <w:rPr>
          <w:rFonts w:asciiTheme="majorHAnsi" w:hAnsiTheme="majorHAnsi"/>
          <w:sz w:val="20"/>
          <w:szCs w:val="20"/>
          <w:lang w:val="es-ES"/>
        </w:rPr>
        <w:t>,</w:t>
      </w:r>
      <w:r w:rsidRPr="0078405C">
        <w:rPr>
          <w:rFonts w:asciiTheme="majorHAnsi" w:hAnsiTheme="majorHAnsi"/>
          <w:sz w:val="20"/>
          <w:szCs w:val="20"/>
          <w:lang w:val="es-ES"/>
        </w:rPr>
        <w:t xml:space="preserve"> la Suprema Corte interpretó ciertas disposiciones de la norma, definiendo qué autoridades podían solicitar información a las empresas de telecomunicaciones, y afirmando que la medida de localización geográfica solo puede ser solicitada cuando se presuma que existe un peligro para la vida o integridad de las personas.</w:t>
      </w:r>
    </w:p>
    <w:p w14:paraId="690B1235"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Por su parte, el Estado alega que las medidas contenidas en los artículos 189 y 190, fracciones I, II y III de la LFTR, no son contrarias a los derechos humanos contenidos en la Convención Americana. Sobre el particular, resalta que el actuar de las autoridades se encuentra debidamente limitado y acotado, ya que las solicitudes de colaboración deben formularse por escrito, estar debidamente fundadas y motivadas, así́ como deben ser emitidas por autoridades competentes.  Respecto de la localización geográfica, afirma que ésta se limita a la ubicación del lugar del que proviene una llamada realizada a través de un equipo móvil asociado a una línea y no comprende la intervención de comunicaciones ni el registro de llamadas.  Asimismo, afirma que se trata de una restricción admisible al derecho a la vida privada, puesto que persigue un fin legítimo -el desarrollo de una investigación y persecución eficaz de las conductas ilícitas-, para el cual esta medida es idónea, a la vez que resulta necesaria y proporcional, </w:t>
      </w:r>
      <w:proofErr w:type="gramStart"/>
      <w:r w:rsidRPr="0078405C">
        <w:rPr>
          <w:rFonts w:asciiTheme="majorHAnsi" w:hAnsiTheme="majorHAnsi"/>
          <w:sz w:val="20"/>
          <w:szCs w:val="20"/>
          <w:lang w:val="es-ES"/>
        </w:rPr>
        <w:t>en razón del</w:t>
      </w:r>
      <w:proofErr w:type="gramEnd"/>
      <w:r w:rsidRPr="0078405C">
        <w:rPr>
          <w:rFonts w:asciiTheme="majorHAnsi" w:hAnsiTheme="majorHAnsi"/>
          <w:sz w:val="20"/>
          <w:szCs w:val="20"/>
          <w:lang w:val="es-ES"/>
        </w:rPr>
        <w:t xml:space="preserve"> fin perseguido -proteger la vida e integridad de las personas-. Por último, sostiene que el mero registro y conservación de información relacionada con el proceso comunicativo de los usuarios no constituye una intromisión ilícita a la privacidad o intimidad de las personas, ya que la obtención de tal información es connatural al </w:t>
      </w:r>
      <w:proofErr w:type="spellStart"/>
      <w:r w:rsidRPr="0078405C">
        <w:rPr>
          <w:rFonts w:asciiTheme="majorHAnsi" w:hAnsiTheme="majorHAnsi"/>
          <w:sz w:val="20"/>
          <w:szCs w:val="20"/>
          <w:lang w:val="es-ES"/>
        </w:rPr>
        <w:t>trafico</w:t>
      </w:r>
      <w:proofErr w:type="spellEnd"/>
      <w:r w:rsidRPr="0078405C">
        <w:rPr>
          <w:rFonts w:asciiTheme="majorHAnsi" w:hAnsiTheme="majorHAnsi"/>
          <w:sz w:val="20"/>
          <w:szCs w:val="20"/>
          <w:lang w:val="es-ES"/>
        </w:rPr>
        <w:t xml:space="preserve"> de datos de las comunicaciones. </w:t>
      </w:r>
    </w:p>
    <w:p w14:paraId="68C6632D"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Por otra parte, el Estado informa que el 2 de diciembre de 2015 el Pleno del Instituto Federal de Telecomunicaciones expidió los “Lineamientos de Colaboración en Materia de Seguridad y Justicia”, cuyo objetivo es establecer las disposiciones técnicas y administrativas necesarias para proveer la observancia de las obligaciones contenidas en el título octavo de la LFTR, sobre la colaboración con la justicia. El Estado señala que se llevaron a cabo reuniones de trabajo con diversas autoridades de seguridad y procuración de justicia tales como la Procuraduría General de la República, la Policía Federal y la Coordinación Nacional Antisecuestro. Indica que el 16 de febrero de 2016, Luis Fernando García Muñoz, uno de los peticionaros, promovió un juicio de amparo indirecto en contra del mencionado Acuerdo ante el Juzgado Segundo de Distrito en Materia Administrativa, Especializado en Competencia Económica, Radiodifusión y Telecomunicaciones, que fue declarado improcedente el 18 de abril de 2016, dado que no se acreditó contar con un interés jurídico para combatir el Acuerdo.</w:t>
      </w:r>
    </w:p>
    <w:p w14:paraId="1DD7B314" w14:textId="77777777" w:rsidR="000C3668" w:rsidRPr="0078405C" w:rsidRDefault="000C3668" w:rsidP="000C366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Por último, el Estado sostiene que la petición no cumple con los requerimientos de la competencia </w:t>
      </w:r>
      <w:proofErr w:type="spellStart"/>
      <w:r w:rsidRPr="0078405C">
        <w:rPr>
          <w:rFonts w:asciiTheme="majorHAnsi" w:hAnsiTheme="majorHAnsi"/>
          <w:i/>
          <w:iCs/>
          <w:sz w:val="20"/>
          <w:szCs w:val="20"/>
          <w:lang w:val="es-ES"/>
        </w:rPr>
        <w:t>ratione</w:t>
      </w:r>
      <w:proofErr w:type="spellEnd"/>
      <w:r w:rsidRPr="0078405C">
        <w:rPr>
          <w:rFonts w:asciiTheme="majorHAnsi" w:hAnsiTheme="majorHAnsi"/>
          <w:i/>
          <w:iCs/>
          <w:sz w:val="20"/>
          <w:szCs w:val="20"/>
          <w:lang w:val="es-ES"/>
        </w:rPr>
        <w:t xml:space="preserve"> </w:t>
      </w:r>
      <w:proofErr w:type="spellStart"/>
      <w:r w:rsidRPr="0078405C">
        <w:rPr>
          <w:rFonts w:asciiTheme="majorHAnsi" w:hAnsiTheme="majorHAnsi"/>
          <w:i/>
          <w:iCs/>
          <w:sz w:val="20"/>
          <w:szCs w:val="20"/>
          <w:lang w:val="es-ES"/>
        </w:rPr>
        <w:t>personae</w:t>
      </w:r>
      <w:proofErr w:type="spellEnd"/>
      <w:r w:rsidRPr="0078405C">
        <w:rPr>
          <w:rFonts w:asciiTheme="majorHAnsi" w:hAnsiTheme="majorHAnsi"/>
          <w:sz w:val="20"/>
          <w:szCs w:val="20"/>
          <w:lang w:val="es-ES"/>
        </w:rPr>
        <w:t xml:space="preserve"> establecidos por la CIDH, dado que los peticionarios no han referido en momento alguno que los artículos 189 y 190 de la LFTR de hayan aplicado en su detrimento, es decir, no han identificado un solo acto de aplicación en su perjuicio.  Asimismo, alega que la petición es inadmisible debido a que la misma ha sido presentado en forma extemporánea ya que el plazo de 6 meses fue excedido al menos por 11 días. En este sentido, detalla que la sentencia dictada por la SCJN fue notificada el 6 de julio de 2016 y la petición fue presentada el 17 de enero de 2017.</w:t>
      </w:r>
    </w:p>
    <w:p w14:paraId="39E9D463" w14:textId="733AAEC4" w:rsidR="003E39B0" w:rsidRPr="0078405C" w:rsidRDefault="003E39B0" w:rsidP="003E39B0">
      <w:pPr>
        <w:spacing w:before="240" w:after="240"/>
        <w:ind w:firstLine="720"/>
        <w:jc w:val="both"/>
        <w:rPr>
          <w:rFonts w:asciiTheme="majorHAnsi" w:hAnsiTheme="majorHAnsi"/>
          <w:sz w:val="20"/>
          <w:szCs w:val="20"/>
          <w:lang w:val="es-ES"/>
        </w:rPr>
      </w:pPr>
      <w:r w:rsidRPr="0078405C">
        <w:rPr>
          <w:rFonts w:asciiTheme="majorHAnsi" w:eastAsia="Cambria" w:hAnsiTheme="majorHAnsi" w:cs="Cambria"/>
          <w:b/>
          <w:bCs/>
          <w:color w:val="000000"/>
          <w:sz w:val="20"/>
          <w:szCs w:val="20"/>
          <w:u w:color="000000"/>
          <w:lang w:val="es-ES" w:eastAsia="es-ES"/>
        </w:rPr>
        <w:t>VI.</w:t>
      </w:r>
      <w:r w:rsidRPr="0078405C">
        <w:rPr>
          <w:rFonts w:asciiTheme="majorHAnsi" w:eastAsia="Cambria" w:hAnsiTheme="majorHAnsi" w:cs="Cambria"/>
          <w:b/>
          <w:bCs/>
          <w:color w:val="000000"/>
          <w:sz w:val="20"/>
          <w:szCs w:val="20"/>
          <w:u w:color="000000"/>
          <w:lang w:val="es-ES" w:eastAsia="es-ES"/>
        </w:rPr>
        <w:tab/>
      </w:r>
      <w:r w:rsidRPr="0078405C">
        <w:rPr>
          <w:rFonts w:asciiTheme="majorHAnsi" w:hAnsiTheme="majorHAnsi"/>
          <w:b/>
          <w:bCs/>
          <w:sz w:val="20"/>
          <w:szCs w:val="20"/>
          <w:lang w:val="es-ES"/>
        </w:rPr>
        <w:t xml:space="preserve">ANÁLISIS DE </w:t>
      </w:r>
      <w:r w:rsidRPr="0078405C">
        <w:rPr>
          <w:rFonts w:asciiTheme="majorHAnsi" w:hAnsiTheme="majorHAnsi"/>
          <w:b/>
          <w:sz w:val="20"/>
          <w:szCs w:val="20"/>
          <w:lang w:val="es-ES"/>
        </w:rPr>
        <w:t>AGOTAMIENTO DE LOS RECURSOS INTERNOS Y PLAZO DE PRESENTACIÓN</w:t>
      </w:r>
      <w:r w:rsidRPr="0078405C">
        <w:rPr>
          <w:rFonts w:asciiTheme="majorHAnsi" w:eastAsia="Cambria" w:hAnsiTheme="majorHAnsi" w:cs="Cambria"/>
          <w:b/>
          <w:bCs/>
          <w:color w:val="000000"/>
          <w:sz w:val="20"/>
          <w:szCs w:val="20"/>
          <w:u w:color="000000"/>
          <w:lang w:val="es-ES" w:eastAsia="es-ES"/>
        </w:rPr>
        <w:t xml:space="preserve"> </w:t>
      </w:r>
    </w:p>
    <w:p w14:paraId="2A828E7F" w14:textId="77777777" w:rsidR="00DF476A" w:rsidRPr="001A5096" w:rsidRDefault="00DF476A" w:rsidP="00DF476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A5096">
        <w:rPr>
          <w:rFonts w:asciiTheme="majorHAnsi" w:hAnsiTheme="majorHAnsi"/>
          <w:sz w:val="20"/>
          <w:szCs w:val="20"/>
          <w:lang w:val="es-ES"/>
        </w:rPr>
        <w:t xml:space="preserve">La parte peticionaria plantea que ha habido un agotamiento de los recursos internos dado que las presuntas víctimas interpusieron y agotaron los recursos de la jurisdicción interna susceptibles de remediar las violaciones alegadas. Señala que el 23 de septiembre de 2014 interpusieron una demanda de amparo indirecto, que fue negada por el Juzgado Segundo de Distrito en Materia Administrativa, Especializado en Competencia Económica, Radiodifusión y Telecomunicaciones el 16 de febrero de 2015. Indica que, ante dicha resolución, presentaron un recurso de revisión, que fue resuelto por el Primer Tribunal Colegiado en Materia Administrativa, Especializado en Competencia Económica, Radiodifusión y Telecomunicaciones, declarando su incompetencia y remitiendo los autos a la Suprema Corte de Justicia de la Nación. Finalmente, afirma que la </w:t>
      </w:r>
      <w:r w:rsidRPr="001A5096">
        <w:rPr>
          <w:rFonts w:asciiTheme="majorHAnsi" w:hAnsiTheme="majorHAnsi"/>
          <w:sz w:val="20"/>
          <w:szCs w:val="20"/>
          <w:lang w:val="es-ES"/>
        </w:rPr>
        <w:lastRenderedPageBreak/>
        <w:t>Segunda Sala Suprema Corte de Justicia de la Nación emitió sentencia el 4 de mayo de 2016, notificada el 6 de julio de 2016, confirmando la sentencia apelada.</w:t>
      </w:r>
      <w:r>
        <w:rPr>
          <w:rFonts w:asciiTheme="majorHAnsi" w:hAnsiTheme="majorHAnsi"/>
          <w:sz w:val="20"/>
          <w:szCs w:val="20"/>
          <w:lang w:val="es-ES"/>
        </w:rPr>
        <w:t xml:space="preserve"> El Estado, por su parte, no controvierte estos hechos. Sin embargo,</w:t>
      </w:r>
      <w:r w:rsidRPr="001A5096">
        <w:rPr>
          <w:rFonts w:asciiTheme="majorHAnsi" w:hAnsiTheme="majorHAnsi"/>
          <w:sz w:val="20"/>
          <w:szCs w:val="20"/>
          <w:lang w:val="es-ES"/>
        </w:rPr>
        <w:t xml:space="preserve"> señala que la petición es inadmisible debido a que la misma ha sido presentado en forma extemporánea</w:t>
      </w:r>
      <w:r>
        <w:rPr>
          <w:rFonts w:asciiTheme="majorHAnsi" w:hAnsiTheme="majorHAnsi"/>
          <w:sz w:val="20"/>
          <w:szCs w:val="20"/>
          <w:lang w:val="es-ES"/>
        </w:rPr>
        <w:t>.</w:t>
      </w:r>
    </w:p>
    <w:p w14:paraId="6DA1698D" w14:textId="77777777" w:rsidR="00DF476A" w:rsidRDefault="00DF476A" w:rsidP="00DF476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A5096">
        <w:rPr>
          <w:rFonts w:asciiTheme="majorHAnsi" w:hAnsiTheme="majorHAnsi"/>
          <w:sz w:val="20"/>
          <w:szCs w:val="20"/>
          <w:lang w:val="es-ES"/>
        </w:rPr>
        <w:t>Por tanto, la Comisión entiende que los recursos internos se encuentran agotados con la decisión de la Suprema Corte de Justicia de la Nación, que resuelve la negativa del amparo, la cual fue notificada el 6 de julio de 2016</w:t>
      </w:r>
      <w:r w:rsidRPr="0078405C">
        <w:rPr>
          <w:rFonts w:asciiTheme="majorHAnsi" w:hAnsiTheme="majorHAnsi"/>
          <w:sz w:val="20"/>
          <w:szCs w:val="20"/>
          <w:lang w:val="es-ES"/>
        </w:rPr>
        <w:t>.</w:t>
      </w:r>
      <w:r>
        <w:rPr>
          <w:rFonts w:asciiTheme="majorHAnsi" w:hAnsiTheme="majorHAnsi"/>
          <w:sz w:val="20"/>
          <w:szCs w:val="20"/>
          <w:lang w:val="es-ES"/>
        </w:rPr>
        <w:t xml:space="preserve"> Asimismo, la CIDH verificó que la petición fue presentada por correo electrónico el 5 de enero de 2017, por lo que cumple con el requisito de presentación en el plazo establecido en los artículos 46.1.b de la Convención Americana y 32.1 del Reglamento de la CIDH.</w:t>
      </w:r>
    </w:p>
    <w:p w14:paraId="509B154F" w14:textId="77777777" w:rsidR="003239B8" w:rsidRPr="0078405C" w:rsidRDefault="003239B8" w:rsidP="003239B8">
      <w:pPr>
        <w:pStyle w:val="ListParagraph"/>
        <w:spacing w:before="240" w:after="240"/>
        <w:jc w:val="both"/>
        <w:rPr>
          <w:rFonts w:asciiTheme="majorHAnsi" w:hAnsiTheme="majorHAnsi"/>
          <w:b/>
          <w:sz w:val="20"/>
          <w:szCs w:val="20"/>
          <w:lang w:val="es-ES"/>
        </w:rPr>
      </w:pPr>
      <w:r w:rsidRPr="0078405C">
        <w:rPr>
          <w:rFonts w:asciiTheme="majorHAnsi" w:hAnsiTheme="majorHAnsi"/>
          <w:b/>
          <w:bCs/>
          <w:sz w:val="20"/>
          <w:szCs w:val="20"/>
          <w:lang w:val="es-ES"/>
        </w:rPr>
        <w:t>VII.</w:t>
      </w:r>
      <w:r w:rsidRPr="0078405C">
        <w:rPr>
          <w:rFonts w:asciiTheme="majorHAnsi" w:hAnsiTheme="majorHAnsi"/>
          <w:b/>
          <w:bCs/>
          <w:sz w:val="20"/>
          <w:szCs w:val="20"/>
          <w:lang w:val="es-ES"/>
        </w:rPr>
        <w:tab/>
      </w:r>
      <w:r w:rsidR="004A6A54" w:rsidRPr="0078405C">
        <w:rPr>
          <w:rFonts w:asciiTheme="majorHAnsi" w:hAnsiTheme="majorHAnsi"/>
          <w:b/>
          <w:bCs/>
          <w:sz w:val="20"/>
          <w:szCs w:val="20"/>
          <w:lang w:val="es-ES"/>
        </w:rPr>
        <w:t xml:space="preserve">ANÁLISIS DE </w:t>
      </w:r>
      <w:r w:rsidR="00C21FEF" w:rsidRPr="0078405C">
        <w:rPr>
          <w:rFonts w:asciiTheme="majorHAnsi" w:hAnsiTheme="majorHAnsi"/>
          <w:b/>
          <w:bCs/>
          <w:sz w:val="20"/>
          <w:szCs w:val="20"/>
          <w:lang w:val="es-ES"/>
        </w:rPr>
        <w:t>CARACTERIZACIÓN DE LOS HECHOS ALEGADOS</w:t>
      </w:r>
    </w:p>
    <w:p w14:paraId="4D3FED3A" w14:textId="77777777" w:rsidR="007F0C5E" w:rsidRPr="0078405C" w:rsidRDefault="007F0C5E" w:rsidP="007F0C5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La Comisión observa que la presente petición incluye alegaciones respecto a la afectación del derecho a la vida privada de usuarios de telecomunicaciones ante el dictado de una norma que contempla el acceso a metadatos de comunicaciones conservados en forma masiva e indiscriminada por las empresas que prestan servicios de telecomunicaciones, el monitoreo de la localización geográfica de equipos de comunicación en tiempo real, y otras formas de colaboración entre empresas y autoridades que no son definidas de manera explícita en la ley. Alegan una falta de certeza jurídica en torno a los casos, circunstancias y procedimientos a través de los cuales se pueden llevar a cabo las medidas de vigilancia, así como una ausencia de salvaguardas adecuadas y suficientes para inhibir el abuso de dichas medidas. Por su parte, el Estado considera que las medidas en discusión cumplen con estándares de idoneidad, necesidad y proporcionalidad, en función del fin legítimo que persigue el Estado mexicano, y sostiene que su mera existencia no implica un perjuicio a los derechos humanos de los peticionarios.</w:t>
      </w:r>
    </w:p>
    <w:p w14:paraId="287C9F0A" w14:textId="77777777" w:rsidR="007F0C5E" w:rsidRPr="0078405C" w:rsidRDefault="007F0C5E" w:rsidP="007F0C5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8 (Garantías judiciales), 9 (Principio de legalidad), 11 (Derecho a la vida privada), 13 (Libertad de Expresión) y 25 (Protección Judicial) de la Convención Americana sobre Derechos Humanos , en relación con sus artículos 1.1 (obligación de respetar los derechos) y 2 (deber de adoptar disposiciones de derecho interno).</w:t>
      </w:r>
    </w:p>
    <w:p w14:paraId="4FEE1BB9" w14:textId="77777777" w:rsidR="007F0C5E" w:rsidRPr="0078405C" w:rsidRDefault="007F0C5E" w:rsidP="007F0C5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 xml:space="preserve">Por último, la Comisión observa que el Estado plantea la falta de competencia </w:t>
      </w:r>
      <w:proofErr w:type="spellStart"/>
      <w:r w:rsidRPr="0078405C">
        <w:rPr>
          <w:rFonts w:asciiTheme="majorHAnsi" w:hAnsiTheme="majorHAnsi"/>
          <w:i/>
          <w:iCs/>
          <w:sz w:val="20"/>
          <w:szCs w:val="20"/>
          <w:lang w:val="es-ES"/>
        </w:rPr>
        <w:t>ratione</w:t>
      </w:r>
      <w:proofErr w:type="spellEnd"/>
      <w:r w:rsidRPr="0078405C">
        <w:rPr>
          <w:rFonts w:asciiTheme="majorHAnsi" w:hAnsiTheme="majorHAnsi"/>
          <w:i/>
          <w:iCs/>
          <w:sz w:val="20"/>
          <w:szCs w:val="20"/>
          <w:lang w:val="es-ES"/>
        </w:rPr>
        <w:t xml:space="preserve"> </w:t>
      </w:r>
      <w:proofErr w:type="spellStart"/>
      <w:r w:rsidRPr="0078405C">
        <w:rPr>
          <w:rFonts w:asciiTheme="majorHAnsi" w:hAnsiTheme="majorHAnsi"/>
          <w:i/>
          <w:iCs/>
          <w:sz w:val="20"/>
          <w:szCs w:val="20"/>
          <w:lang w:val="es-ES"/>
        </w:rPr>
        <w:t>personae</w:t>
      </w:r>
      <w:proofErr w:type="spellEnd"/>
      <w:r w:rsidRPr="0078405C">
        <w:rPr>
          <w:rFonts w:asciiTheme="majorHAnsi" w:hAnsiTheme="majorHAnsi"/>
          <w:sz w:val="20"/>
          <w:szCs w:val="20"/>
          <w:lang w:val="es-ES"/>
        </w:rPr>
        <w:t xml:space="preserve">, dado que los peticionarios no han referido en momento alguno que los artículos 189 y 190 de la LFTR de hayan aplicado en su detrimento, es decir, no han identificado un solo acto de aplicación en su perjuicio. Sobre este punto, la Comisión observa que esta cuestión ya fue debatida a nivel interno, donde los peticionarios plantearon que, dada la naturaleza secreta de las medidas de vigilancia encubierta contempladas en las disposiciones impugnadas,  resultaría irrazonable exigir un acto de aplicación concreto de dichas medidas para reclamar su inconstitucionalidad, pues, dada la imposibilidad de conocer si se ha sido sujeto de aplicación de las medidas de vigilancia, se haría imposible asimismo el acceso a un recurso efectivo para remediar las violaciones cometidas en el abuso de dicha medida. Asimismo, respecto del artículo 190 fracción II </w:t>
      </w:r>
      <w:proofErr w:type="spellStart"/>
      <w:r w:rsidRPr="0078405C">
        <w:rPr>
          <w:rFonts w:asciiTheme="majorHAnsi" w:hAnsiTheme="majorHAnsi"/>
          <w:sz w:val="20"/>
          <w:szCs w:val="20"/>
          <w:lang w:val="es-ES"/>
        </w:rPr>
        <w:t>de l</w:t>
      </w:r>
      <w:proofErr w:type="spellEnd"/>
      <w:r w:rsidRPr="0078405C">
        <w:rPr>
          <w:rFonts w:asciiTheme="majorHAnsi" w:hAnsiTheme="majorHAnsi"/>
          <w:sz w:val="20"/>
          <w:szCs w:val="20"/>
          <w:lang w:val="es-ES"/>
        </w:rPr>
        <w:t xml:space="preserve"> LFTR, alegaron que la sola entrada en vigor de la norma afectación a su esfera jurídica era clara ya que dicha disposición obliga, desde su entrada en vigor a las concesionarias de telecomunicaciones y, en su caso, las autorizadas, a conservar un registro de datos sobre las comunicaciones, lo cual afecta directamente sus derechos a la vida privada y a la inviolabilidad de las comunicaciones. </w:t>
      </w:r>
    </w:p>
    <w:p w14:paraId="7CAA60EB" w14:textId="77777777" w:rsidR="007F0C5E" w:rsidRPr="0078405C" w:rsidRDefault="007F0C5E" w:rsidP="007F0C5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405C">
        <w:rPr>
          <w:rFonts w:asciiTheme="majorHAnsi" w:hAnsiTheme="majorHAnsi"/>
          <w:sz w:val="20"/>
          <w:szCs w:val="20"/>
          <w:lang w:val="es-ES"/>
        </w:rPr>
        <w:t>Sobre el particular, el Juzgado Segundo de Distrito en Materia Administrativa, Especializado en Competencia Económica, Radiodifusión y Telecomunicaciones que resolvió el amparo en primera instancia entendió que resultaba procedente que, “ante la secrecía con la que operan los requerimientos referidos en los artículos 189 y 190, fracciones I, II y III, de la ley en cita, dichos dispositivos puedan ser controvertidos, en su calidad de normas de carácter autoaplicativas, con el único requisito de que se acredite verazmente la calidad de usuario de telecomunicaciones que le asiste al gobernado de que se trate, lo que sí acontece en el caso concreto con la parte quejosa”.</w:t>
      </w:r>
    </w:p>
    <w:p w14:paraId="2F5519F9" w14:textId="77777777" w:rsidR="007F0C5E" w:rsidRPr="0078405C" w:rsidRDefault="007F0C5E" w:rsidP="007F0C5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985F4A">
        <w:rPr>
          <w:rFonts w:asciiTheme="majorHAnsi" w:hAnsiTheme="majorHAnsi"/>
          <w:sz w:val="20"/>
          <w:szCs w:val="20"/>
          <w:lang w:val="es-ES"/>
        </w:rPr>
        <w:lastRenderedPageBreak/>
        <w:t>P</w:t>
      </w:r>
      <w:r w:rsidRPr="0078405C">
        <w:rPr>
          <w:rFonts w:asciiTheme="majorHAnsi" w:hAnsiTheme="majorHAnsi"/>
          <w:sz w:val="20"/>
          <w:szCs w:val="20"/>
          <w:lang w:val="es-ES"/>
        </w:rPr>
        <w:t>or tanto, a</w:t>
      </w:r>
      <w:r w:rsidRPr="00985F4A">
        <w:rPr>
          <w:rFonts w:asciiTheme="majorHAnsi" w:hAnsiTheme="majorHAnsi"/>
          <w:sz w:val="20"/>
          <w:szCs w:val="20"/>
          <w:lang w:val="es-ES"/>
        </w:rPr>
        <w:t xml:space="preserve"> los efectos de la admisibilidad, la Comisión considera que las disposiciones legislativas impugnadas constitucionalmente en el presente caso tienen un efecto directo en los derechos de las presuntas víctimas</w:t>
      </w:r>
      <w:r w:rsidRPr="0078405C">
        <w:rPr>
          <w:rFonts w:asciiTheme="majorHAnsi" w:hAnsiTheme="majorHAnsi"/>
          <w:sz w:val="20"/>
          <w:szCs w:val="20"/>
          <w:lang w:val="es-ES"/>
        </w:rPr>
        <w:t>.</w:t>
      </w:r>
    </w:p>
    <w:p w14:paraId="4978E9CB" w14:textId="36948F5F" w:rsidR="003239B8" w:rsidRPr="0078405C" w:rsidRDefault="003239B8" w:rsidP="003239B8">
      <w:pPr>
        <w:pStyle w:val="ListParagraph"/>
        <w:spacing w:before="240" w:after="240"/>
        <w:jc w:val="both"/>
        <w:rPr>
          <w:rFonts w:asciiTheme="majorHAnsi" w:hAnsiTheme="majorHAnsi"/>
          <w:b/>
          <w:bCs/>
          <w:sz w:val="20"/>
          <w:szCs w:val="20"/>
          <w:lang w:val="es-ES"/>
        </w:rPr>
      </w:pPr>
      <w:r w:rsidRPr="0078405C">
        <w:rPr>
          <w:rFonts w:asciiTheme="majorHAnsi" w:hAnsiTheme="majorHAnsi"/>
          <w:b/>
          <w:bCs/>
          <w:sz w:val="20"/>
          <w:szCs w:val="20"/>
          <w:lang w:val="es-ES"/>
        </w:rPr>
        <w:t xml:space="preserve">VIII. </w:t>
      </w:r>
      <w:r w:rsidRPr="0078405C">
        <w:rPr>
          <w:rFonts w:asciiTheme="majorHAnsi" w:hAnsiTheme="majorHAnsi"/>
          <w:b/>
          <w:bCs/>
          <w:sz w:val="20"/>
          <w:szCs w:val="20"/>
          <w:lang w:val="es-ES"/>
        </w:rPr>
        <w:tab/>
        <w:t>DECISIÓN</w:t>
      </w:r>
    </w:p>
    <w:p w14:paraId="761C04C9" w14:textId="3261F1A6" w:rsidR="00343876" w:rsidRPr="0078405C" w:rsidRDefault="00343876" w:rsidP="003438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8405C">
        <w:rPr>
          <w:rFonts w:asciiTheme="majorHAnsi" w:hAnsiTheme="majorHAnsi"/>
          <w:sz w:val="20"/>
          <w:szCs w:val="20"/>
          <w:lang w:val="es-ES"/>
        </w:rPr>
        <w:t xml:space="preserve">Declarar admisible la presente petición en relación con los artículos 8, 9, 11, 13 y 25 de la Convención Americana, en </w:t>
      </w:r>
      <w:r w:rsidR="002D7998">
        <w:rPr>
          <w:rFonts w:asciiTheme="majorHAnsi" w:hAnsiTheme="majorHAnsi"/>
          <w:sz w:val="20"/>
          <w:szCs w:val="20"/>
          <w:lang w:val="es-ES"/>
        </w:rPr>
        <w:t>concordancia</w:t>
      </w:r>
      <w:r w:rsidRPr="0078405C">
        <w:rPr>
          <w:rFonts w:asciiTheme="majorHAnsi" w:hAnsiTheme="majorHAnsi"/>
          <w:sz w:val="20"/>
          <w:szCs w:val="20"/>
          <w:lang w:val="es-ES"/>
        </w:rPr>
        <w:t xml:space="preserve"> con sus artículos 1.1 y 2</w:t>
      </w:r>
      <w:r w:rsidR="004F128A">
        <w:rPr>
          <w:rFonts w:asciiTheme="majorHAnsi" w:hAnsiTheme="majorHAnsi"/>
          <w:sz w:val="20"/>
          <w:szCs w:val="20"/>
          <w:lang w:val="es-ES"/>
        </w:rPr>
        <w:t>,</w:t>
      </w:r>
      <w:r w:rsidRPr="0078405C">
        <w:rPr>
          <w:rFonts w:asciiTheme="majorHAnsi" w:hAnsiTheme="majorHAnsi"/>
          <w:sz w:val="20"/>
          <w:szCs w:val="20"/>
          <w:lang w:val="es-ES"/>
        </w:rPr>
        <w:t xml:space="preserve"> y</w:t>
      </w:r>
      <w:r w:rsidR="004F128A">
        <w:rPr>
          <w:rFonts w:asciiTheme="majorHAnsi" w:hAnsiTheme="majorHAnsi"/>
          <w:sz w:val="20"/>
          <w:szCs w:val="20"/>
          <w:lang w:val="es-ES"/>
        </w:rPr>
        <w:t>;</w:t>
      </w:r>
    </w:p>
    <w:p w14:paraId="2BF07A46" w14:textId="77777777" w:rsidR="00343876" w:rsidRPr="0078405C" w:rsidRDefault="00343876" w:rsidP="003438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8405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A5BBEBD" w14:textId="2163E09E" w:rsidR="00722C9F" w:rsidRPr="00F838D5" w:rsidRDefault="00290243" w:rsidP="002D7998">
      <w:pPr>
        <w:ind w:firstLine="720"/>
        <w:jc w:val="both"/>
        <w:rPr>
          <w:rFonts w:asciiTheme="majorHAnsi" w:hAnsiTheme="majorHAnsi" w:cs="Arial"/>
          <w:noProof/>
          <w:spacing w:val="-2"/>
          <w:sz w:val="20"/>
          <w:szCs w:val="20"/>
          <w:lang w:val="es-CL"/>
        </w:rPr>
      </w:pPr>
      <w:bookmarkStart w:id="3" w:name="_Hlk89320357"/>
      <w:r w:rsidRPr="00F838D5">
        <w:rPr>
          <w:rFonts w:asciiTheme="majorHAnsi" w:hAnsiTheme="majorHAnsi" w:cs="Arial"/>
          <w:noProof/>
          <w:spacing w:val="-2"/>
          <w:sz w:val="20"/>
          <w:szCs w:val="20"/>
          <w:lang w:val="es-CL"/>
        </w:rPr>
        <w:t>Aprobado por la Comisión Interamericana de Derechos Humanos  a los 19 días del mes de diciembre de 2021.  (Firmado): Antonia Urrejola, Presidenta; Julissa Mantilla Falcón, Primera Vicepresidenta; Esmeralda E. Arosemena Bernal de Troitiño y Stuardo Ralón Orellana, Miembros de la Comisión.</w:t>
      </w:r>
      <w:r w:rsidRPr="00F838D5">
        <w:rPr>
          <w:rFonts w:asciiTheme="majorHAnsi" w:hAnsiTheme="majorHAnsi" w:cs="Arial"/>
          <w:noProof/>
          <w:sz w:val="20"/>
          <w:szCs w:val="20"/>
          <w:lang w:val="es-CL"/>
        </w:rPr>
        <w:t xml:space="preserve"> </w:t>
      </w:r>
      <w:bookmarkEnd w:id="3"/>
    </w:p>
    <w:p w14:paraId="7404FACD" w14:textId="7E168A26" w:rsidR="006B0F8D" w:rsidRDefault="006B0F8D">
      <w:pPr>
        <w:jc w:val="both"/>
        <w:rPr>
          <w:rFonts w:asciiTheme="majorHAnsi" w:hAnsiTheme="majorHAnsi"/>
          <w:sz w:val="20"/>
          <w:szCs w:val="20"/>
          <w:lang w:val="es-ES_tradnl"/>
        </w:rPr>
      </w:pPr>
    </w:p>
    <w:p w14:paraId="41BEC16D" w14:textId="4E0F428C" w:rsidR="006B0F8D" w:rsidRDefault="006B0F8D">
      <w:pPr>
        <w:jc w:val="both"/>
        <w:rPr>
          <w:rFonts w:asciiTheme="majorHAnsi" w:hAnsiTheme="majorHAnsi"/>
          <w:sz w:val="20"/>
          <w:szCs w:val="20"/>
          <w:lang w:val="es-ES_tradnl"/>
        </w:rPr>
      </w:pPr>
    </w:p>
    <w:p w14:paraId="1C587184" w14:textId="443F19D8" w:rsidR="003D0B91" w:rsidRPr="00910312" w:rsidRDefault="003D0B91" w:rsidP="005E666C">
      <w:pPr>
        <w:jc w:val="both"/>
        <w:rPr>
          <w:rFonts w:ascii="Cambria" w:hAnsi="Cambria" w:cs="Calibri"/>
          <w:sz w:val="20"/>
          <w:szCs w:val="20"/>
          <w:lang w:val="es-CO"/>
        </w:rPr>
      </w:pPr>
    </w:p>
    <w:sectPr w:rsidR="003D0B91" w:rsidRPr="00910312" w:rsidSect="00934A2C">
      <w:headerReference w:type="first" r:id="rId1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2CCA" w14:textId="77777777" w:rsidR="00203E28" w:rsidRDefault="00203E28">
      <w:r>
        <w:separator/>
      </w:r>
    </w:p>
  </w:endnote>
  <w:endnote w:type="continuationSeparator" w:id="0">
    <w:p w14:paraId="6FFBEF33" w14:textId="77777777" w:rsidR="00203E28" w:rsidRDefault="00203E28">
      <w:r>
        <w:continuationSeparator/>
      </w:r>
    </w:p>
  </w:endnote>
  <w:endnote w:type="continuationNotice" w:id="1">
    <w:p w14:paraId="3DC9838C" w14:textId="77777777" w:rsidR="00203E28" w:rsidRDefault="00203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30B0F69" w14:textId="3D574FD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6B33">
          <w:rPr>
            <w:noProof/>
            <w:sz w:val="16"/>
            <w:szCs w:val="22"/>
          </w:rPr>
          <w:t>5</w:t>
        </w:r>
        <w:r w:rsidRPr="00934A2C">
          <w:rPr>
            <w:noProof/>
            <w:sz w:val="16"/>
            <w:szCs w:val="22"/>
          </w:rPr>
          <w:fldChar w:fldCharType="end"/>
        </w:r>
      </w:p>
    </w:sdtContent>
  </w:sdt>
  <w:p w14:paraId="6A5B23A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E7D0" w14:textId="77777777" w:rsidR="0070697F" w:rsidRPr="00934A2C" w:rsidRDefault="0070697F">
    <w:pPr>
      <w:pStyle w:val="Footer"/>
      <w:jc w:val="center"/>
      <w:rPr>
        <w:sz w:val="16"/>
        <w:szCs w:val="22"/>
      </w:rPr>
    </w:pPr>
  </w:p>
  <w:p w14:paraId="56CCD0B5"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0045" w14:textId="77777777" w:rsidR="00203E28" w:rsidRPr="000F35ED" w:rsidRDefault="00203E2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86CCFE" w14:textId="77777777" w:rsidR="00203E28" w:rsidRPr="000F35ED" w:rsidRDefault="00203E28" w:rsidP="000F35ED">
      <w:pPr>
        <w:rPr>
          <w:rFonts w:asciiTheme="majorHAnsi" w:hAnsiTheme="majorHAnsi"/>
          <w:sz w:val="16"/>
          <w:szCs w:val="16"/>
        </w:rPr>
      </w:pPr>
      <w:r w:rsidRPr="000F35ED">
        <w:rPr>
          <w:rFonts w:asciiTheme="majorHAnsi" w:hAnsiTheme="majorHAnsi"/>
          <w:sz w:val="16"/>
          <w:szCs w:val="16"/>
        </w:rPr>
        <w:separator/>
      </w:r>
    </w:p>
    <w:p w14:paraId="39730FEE" w14:textId="77777777" w:rsidR="00203E28" w:rsidRPr="000F35ED" w:rsidRDefault="00203E2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B52F251" w14:textId="77777777" w:rsidR="00203E28" w:rsidRPr="000F35ED" w:rsidRDefault="00203E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314DC3" w14:textId="1AD428BC" w:rsidR="00B462B2" w:rsidRPr="00B462B2" w:rsidRDefault="002C13D2" w:rsidP="004D53B4">
      <w:pPr>
        <w:pStyle w:val="FootnoteText"/>
        <w:jc w:val="both"/>
        <w:rPr>
          <w:lang w:val="es-ES"/>
        </w:rPr>
      </w:pPr>
      <w:r>
        <w:rPr>
          <w:lang w:val="es-ES"/>
        </w:rPr>
        <w:tab/>
      </w:r>
      <w:r w:rsidR="00B462B2">
        <w:rPr>
          <w:rStyle w:val="FootnoteReference"/>
        </w:rPr>
        <w:footnoteRef/>
      </w:r>
      <w:r w:rsidR="00B462B2" w:rsidRPr="00B462B2">
        <w:rPr>
          <w:lang w:val="es-ES"/>
        </w:rPr>
        <w:t xml:space="preserve"> </w:t>
      </w:r>
      <w:r w:rsidR="00B462B2" w:rsidRPr="00105DCD">
        <w:rPr>
          <w:rFonts w:ascii="Cambria" w:hAnsi="Cambria"/>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3">
    <w:p w14:paraId="2A88039E" w14:textId="77777777" w:rsidR="007F22EE" w:rsidRPr="0012608B" w:rsidRDefault="007F22EE" w:rsidP="004D53B4">
      <w:pPr>
        <w:pStyle w:val="FootnoteText"/>
        <w:ind w:firstLine="720"/>
        <w:jc w:val="both"/>
        <w:rPr>
          <w:rFonts w:ascii="Cambria" w:hAnsi="Cambria"/>
          <w:sz w:val="16"/>
          <w:szCs w:val="16"/>
          <w:lang w:val="es-AR"/>
        </w:rPr>
      </w:pPr>
      <w:r w:rsidRPr="0012608B">
        <w:rPr>
          <w:rStyle w:val="FootnoteReference"/>
          <w:rFonts w:ascii="Cambria" w:hAnsi="Cambria"/>
          <w:sz w:val="16"/>
          <w:szCs w:val="16"/>
        </w:rPr>
        <w:footnoteRef/>
      </w:r>
      <w:r w:rsidRPr="0012608B">
        <w:rPr>
          <w:rFonts w:ascii="Cambria" w:hAnsi="Cambria"/>
          <w:sz w:val="16"/>
          <w:szCs w:val="16"/>
          <w:lang w:val="es-AR"/>
        </w:rPr>
        <w:t xml:space="preserve"> En adelante, “CADH” o “Convención Americana”.</w:t>
      </w:r>
    </w:p>
  </w:footnote>
  <w:footnote w:id="4">
    <w:p w14:paraId="41B50017" w14:textId="77777777" w:rsidR="008E3BFE" w:rsidRPr="00306F33" w:rsidRDefault="008E3BFE" w:rsidP="004D53B4">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F6F5" w14:textId="77777777" w:rsidR="00040C3A" w:rsidRDefault="00040C3A" w:rsidP="00AE32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9A3FD9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08E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9CADFD8" wp14:editId="66FA26C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EBB5DC3" w14:textId="77777777" w:rsidR="00040C3A" w:rsidRPr="00EC7D62" w:rsidRDefault="00203E28" w:rsidP="00A50FCF">
    <w:pPr>
      <w:pStyle w:val="Header"/>
      <w:tabs>
        <w:tab w:val="clear" w:pos="4320"/>
        <w:tab w:val="clear" w:pos="8640"/>
      </w:tabs>
      <w:jc w:val="center"/>
      <w:rPr>
        <w:sz w:val="22"/>
        <w:szCs w:val="22"/>
      </w:rPr>
    </w:pPr>
    <w:r>
      <w:rPr>
        <w:noProof/>
        <w:sz w:val="22"/>
        <w:szCs w:val="22"/>
        <w:bdr w:val="nil"/>
      </w:rPr>
      <w:pict w14:anchorId="25AE7ACF">
        <v:rect id="_x0000_i1025" style="width:468pt;height:.0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510538" w14:paraId="2A7DFA0A" w14:textId="77777777" w:rsidTr="36510538">
      <w:tc>
        <w:tcPr>
          <w:tcW w:w="3120" w:type="dxa"/>
        </w:tcPr>
        <w:p w14:paraId="54D6D9E2" w14:textId="5B51C64C" w:rsidR="36510538" w:rsidRDefault="36510538" w:rsidP="36510538">
          <w:pPr>
            <w:ind w:left="-115"/>
          </w:pPr>
        </w:p>
      </w:tc>
      <w:tc>
        <w:tcPr>
          <w:tcW w:w="3120" w:type="dxa"/>
        </w:tcPr>
        <w:p w14:paraId="4A5DF9D9" w14:textId="75261686" w:rsidR="36510538" w:rsidRDefault="36510538" w:rsidP="36510538">
          <w:pPr>
            <w:jc w:val="center"/>
          </w:pPr>
        </w:p>
      </w:tc>
      <w:tc>
        <w:tcPr>
          <w:tcW w:w="3120" w:type="dxa"/>
        </w:tcPr>
        <w:p w14:paraId="73B9D10D" w14:textId="3659E18C" w:rsidR="36510538" w:rsidRDefault="36510538" w:rsidP="36510538">
          <w:pPr>
            <w:ind w:right="-115"/>
            <w:jc w:val="right"/>
          </w:pPr>
        </w:p>
      </w:tc>
    </w:tr>
  </w:tbl>
  <w:p w14:paraId="3AE9A75E" w14:textId="5C1C3589" w:rsidR="36510538" w:rsidRDefault="365105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510538" w14:paraId="7ED2C88B" w14:textId="77777777" w:rsidTr="36510538">
      <w:tc>
        <w:tcPr>
          <w:tcW w:w="3120" w:type="dxa"/>
        </w:tcPr>
        <w:p w14:paraId="41A5FFB1" w14:textId="3186081E" w:rsidR="36510538" w:rsidRDefault="36510538" w:rsidP="36510538">
          <w:pPr>
            <w:ind w:left="-115"/>
          </w:pPr>
        </w:p>
      </w:tc>
      <w:tc>
        <w:tcPr>
          <w:tcW w:w="3120" w:type="dxa"/>
        </w:tcPr>
        <w:p w14:paraId="29299D04" w14:textId="407285E0" w:rsidR="36510538" w:rsidRDefault="36510538" w:rsidP="36510538">
          <w:pPr>
            <w:jc w:val="center"/>
          </w:pPr>
        </w:p>
      </w:tc>
      <w:tc>
        <w:tcPr>
          <w:tcW w:w="3120" w:type="dxa"/>
        </w:tcPr>
        <w:p w14:paraId="3B1D03F9" w14:textId="3C119000" w:rsidR="36510538" w:rsidRDefault="36510538" w:rsidP="36510538">
          <w:pPr>
            <w:ind w:right="-115"/>
            <w:jc w:val="right"/>
          </w:pPr>
        </w:p>
      </w:tc>
    </w:tr>
  </w:tbl>
  <w:p w14:paraId="3D6D8147" w14:textId="46D036B3" w:rsidR="36510538" w:rsidRDefault="365105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1400E7"/>
    <w:multiLevelType w:val="hybridMultilevel"/>
    <w:tmpl w:val="134CC55C"/>
    <w:lvl w:ilvl="0" w:tplc="5A42E992">
      <w:start w:val="5"/>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4F5C10"/>
    <w:multiLevelType w:val="hybridMultilevel"/>
    <w:tmpl w:val="5108F56A"/>
    <w:lvl w:ilvl="0" w:tplc="10E8E492">
      <w:start w:val="5"/>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C97AC5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B9233E"/>
    <w:multiLevelType w:val="hybridMultilevel"/>
    <w:tmpl w:val="D67AC31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64725A"/>
    <w:multiLevelType w:val="hybridMultilevel"/>
    <w:tmpl w:val="193A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D85264A"/>
    <w:multiLevelType w:val="hybridMultilevel"/>
    <w:tmpl w:val="48E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0"/>
  </w:num>
  <w:num w:numId="5">
    <w:abstractNumId w:val="52"/>
  </w:num>
  <w:num w:numId="6">
    <w:abstractNumId w:val="28"/>
  </w:num>
  <w:num w:numId="7">
    <w:abstractNumId w:val="6"/>
  </w:num>
  <w:num w:numId="8">
    <w:abstractNumId w:val="16"/>
  </w:num>
  <w:num w:numId="9">
    <w:abstractNumId w:val="47"/>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6"/>
  </w:num>
  <w:num w:numId="31">
    <w:abstractNumId w:val="29"/>
  </w:num>
  <w:num w:numId="32">
    <w:abstractNumId w:val="30"/>
  </w:num>
  <w:num w:numId="33">
    <w:abstractNumId w:val="32"/>
  </w:num>
  <w:num w:numId="34">
    <w:abstractNumId w:val="33"/>
  </w:num>
  <w:num w:numId="35">
    <w:abstractNumId w:val="34"/>
  </w:num>
  <w:num w:numId="36">
    <w:abstractNumId w:val="36"/>
  </w:num>
  <w:num w:numId="37">
    <w:abstractNumId w:val="38"/>
  </w:num>
  <w:num w:numId="38">
    <w:abstractNumId w:val="39"/>
  </w:num>
  <w:num w:numId="39">
    <w:abstractNumId w:val="44"/>
  </w:num>
  <w:num w:numId="40">
    <w:abstractNumId w:val="45"/>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19"/>
  </w:num>
  <w:num w:numId="52">
    <w:abstractNumId w:val="46"/>
  </w:num>
  <w:num w:numId="53">
    <w:abstractNumId w:val="55"/>
  </w:num>
  <w:num w:numId="54">
    <w:abstractNumId w:val="50"/>
  </w:num>
  <w:num w:numId="55">
    <w:abstractNumId w:val="48"/>
  </w:num>
  <w:num w:numId="56">
    <w:abstractNumId w:val="27"/>
  </w:num>
  <w:num w:numId="57">
    <w:abstractNumId w:val="24"/>
  </w:num>
  <w:num w:numId="58">
    <w:abstractNumId w:val="40"/>
  </w:num>
  <w:num w:numId="59">
    <w:abstractNumId w:val="35"/>
  </w:num>
  <w:num w:numId="60">
    <w:abstractNumId w:val="37"/>
  </w:num>
  <w:num w:numId="61">
    <w:abstractNumId w:val="37"/>
    <w:lvlOverride w:ilvl="0">
      <w:startOverride w:val="1"/>
    </w:lvlOverride>
  </w:num>
  <w:num w:numId="62">
    <w:abstractNumId w:val="5"/>
  </w:num>
  <w:num w:numId="63">
    <w:abstractNumId w:val="25"/>
  </w:num>
  <w:num w:numId="64">
    <w:abstractNumId w:val="43"/>
  </w:num>
  <w:num w:numId="65">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83F"/>
    <w:rsid w:val="00000CAB"/>
    <w:rsid w:val="00000CDA"/>
    <w:rsid w:val="00006E1F"/>
    <w:rsid w:val="000070D7"/>
    <w:rsid w:val="0001706F"/>
    <w:rsid w:val="0001788C"/>
    <w:rsid w:val="00030B27"/>
    <w:rsid w:val="000337EF"/>
    <w:rsid w:val="00033942"/>
    <w:rsid w:val="00040C3A"/>
    <w:rsid w:val="000419AD"/>
    <w:rsid w:val="00042C0F"/>
    <w:rsid w:val="000433C9"/>
    <w:rsid w:val="000453FE"/>
    <w:rsid w:val="00053350"/>
    <w:rsid w:val="000576EE"/>
    <w:rsid w:val="00065A09"/>
    <w:rsid w:val="00071174"/>
    <w:rsid w:val="000716C5"/>
    <w:rsid w:val="00075E23"/>
    <w:rsid w:val="000829E3"/>
    <w:rsid w:val="0009344A"/>
    <w:rsid w:val="000963D4"/>
    <w:rsid w:val="000A2A8F"/>
    <w:rsid w:val="000A392E"/>
    <w:rsid w:val="000A39C8"/>
    <w:rsid w:val="000A575F"/>
    <w:rsid w:val="000B5017"/>
    <w:rsid w:val="000B5795"/>
    <w:rsid w:val="000B5FA9"/>
    <w:rsid w:val="000C3668"/>
    <w:rsid w:val="000D05CB"/>
    <w:rsid w:val="000D10DB"/>
    <w:rsid w:val="000D3682"/>
    <w:rsid w:val="000D5578"/>
    <w:rsid w:val="000E2218"/>
    <w:rsid w:val="000E5EB5"/>
    <w:rsid w:val="000F35ED"/>
    <w:rsid w:val="000F5372"/>
    <w:rsid w:val="00107131"/>
    <w:rsid w:val="0010736F"/>
    <w:rsid w:val="00113F73"/>
    <w:rsid w:val="00121CC2"/>
    <w:rsid w:val="0012253E"/>
    <w:rsid w:val="00123C05"/>
    <w:rsid w:val="00127D45"/>
    <w:rsid w:val="00131425"/>
    <w:rsid w:val="00133EE5"/>
    <w:rsid w:val="001349AB"/>
    <w:rsid w:val="00134E8B"/>
    <w:rsid w:val="00146FF9"/>
    <w:rsid w:val="001538FC"/>
    <w:rsid w:val="001651CC"/>
    <w:rsid w:val="00167A34"/>
    <w:rsid w:val="001714EC"/>
    <w:rsid w:val="001748E9"/>
    <w:rsid w:val="00175852"/>
    <w:rsid w:val="00182C9E"/>
    <w:rsid w:val="00190804"/>
    <w:rsid w:val="001946C0"/>
    <w:rsid w:val="001A5096"/>
    <w:rsid w:val="001A520D"/>
    <w:rsid w:val="001A604C"/>
    <w:rsid w:val="001A7870"/>
    <w:rsid w:val="001B1430"/>
    <w:rsid w:val="001B3A00"/>
    <w:rsid w:val="001C1B41"/>
    <w:rsid w:val="001C1B82"/>
    <w:rsid w:val="001C2C9F"/>
    <w:rsid w:val="001C45CA"/>
    <w:rsid w:val="001C4E51"/>
    <w:rsid w:val="001D65EF"/>
    <w:rsid w:val="001D7814"/>
    <w:rsid w:val="001E49E7"/>
    <w:rsid w:val="001F50AA"/>
    <w:rsid w:val="001F7201"/>
    <w:rsid w:val="00203E28"/>
    <w:rsid w:val="00214E0D"/>
    <w:rsid w:val="00221653"/>
    <w:rsid w:val="00223A29"/>
    <w:rsid w:val="002250A3"/>
    <w:rsid w:val="00235217"/>
    <w:rsid w:val="0024198A"/>
    <w:rsid w:val="00246D1F"/>
    <w:rsid w:val="00247403"/>
    <w:rsid w:val="00247542"/>
    <w:rsid w:val="002523C5"/>
    <w:rsid w:val="00256962"/>
    <w:rsid w:val="0026031B"/>
    <w:rsid w:val="00266B61"/>
    <w:rsid w:val="0026712A"/>
    <w:rsid w:val="002704DB"/>
    <w:rsid w:val="002722D2"/>
    <w:rsid w:val="00272F56"/>
    <w:rsid w:val="00283594"/>
    <w:rsid w:val="002853FE"/>
    <w:rsid w:val="00290243"/>
    <w:rsid w:val="002A0AAE"/>
    <w:rsid w:val="002A5820"/>
    <w:rsid w:val="002A75E5"/>
    <w:rsid w:val="002C13D2"/>
    <w:rsid w:val="002C7135"/>
    <w:rsid w:val="002C7BBE"/>
    <w:rsid w:val="002D2B26"/>
    <w:rsid w:val="002D3824"/>
    <w:rsid w:val="002D65A0"/>
    <w:rsid w:val="002D7998"/>
    <w:rsid w:val="002D7EA2"/>
    <w:rsid w:val="002E187C"/>
    <w:rsid w:val="002F34D6"/>
    <w:rsid w:val="00302733"/>
    <w:rsid w:val="00305835"/>
    <w:rsid w:val="00306F33"/>
    <w:rsid w:val="00314078"/>
    <w:rsid w:val="003140E0"/>
    <w:rsid w:val="0031535D"/>
    <w:rsid w:val="00323794"/>
    <w:rsid w:val="003239B8"/>
    <w:rsid w:val="0033169F"/>
    <w:rsid w:val="00332878"/>
    <w:rsid w:val="00334E48"/>
    <w:rsid w:val="00343876"/>
    <w:rsid w:val="00344977"/>
    <w:rsid w:val="00346C95"/>
    <w:rsid w:val="00351EA1"/>
    <w:rsid w:val="00356185"/>
    <w:rsid w:val="00360380"/>
    <w:rsid w:val="00360E75"/>
    <w:rsid w:val="00372D84"/>
    <w:rsid w:val="0037519E"/>
    <w:rsid w:val="00386BD2"/>
    <w:rsid w:val="00386CF0"/>
    <w:rsid w:val="003900F6"/>
    <w:rsid w:val="00394049"/>
    <w:rsid w:val="00394A70"/>
    <w:rsid w:val="003B70FB"/>
    <w:rsid w:val="003C676B"/>
    <w:rsid w:val="003C71FD"/>
    <w:rsid w:val="003D0B91"/>
    <w:rsid w:val="003D3BC2"/>
    <w:rsid w:val="003D476C"/>
    <w:rsid w:val="003D6B33"/>
    <w:rsid w:val="003E2521"/>
    <w:rsid w:val="003E25D8"/>
    <w:rsid w:val="003E2A7F"/>
    <w:rsid w:val="003E39B0"/>
    <w:rsid w:val="003E6CA1"/>
    <w:rsid w:val="003F29FE"/>
    <w:rsid w:val="003F5154"/>
    <w:rsid w:val="00404295"/>
    <w:rsid w:val="00405F9C"/>
    <w:rsid w:val="004065A8"/>
    <w:rsid w:val="004165C2"/>
    <w:rsid w:val="00426A89"/>
    <w:rsid w:val="004375C6"/>
    <w:rsid w:val="00441ECB"/>
    <w:rsid w:val="00445193"/>
    <w:rsid w:val="00445BCE"/>
    <w:rsid w:val="00445E1B"/>
    <w:rsid w:val="004479AF"/>
    <w:rsid w:val="00462C1B"/>
    <w:rsid w:val="00463E96"/>
    <w:rsid w:val="00465780"/>
    <w:rsid w:val="00467B7E"/>
    <w:rsid w:val="00470A43"/>
    <w:rsid w:val="00473BB4"/>
    <w:rsid w:val="004746CD"/>
    <w:rsid w:val="004773BD"/>
    <w:rsid w:val="00477592"/>
    <w:rsid w:val="0048361E"/>
    <w:rsid w:val="00486316"/>
    <w:rsid w:val="00486F1C"/>
    <w:rsid w:val="0049419D"/>
    <w:rsid w:val="00497FD1"/>
    <w:rsid w:val="004A0FAF"/>
    <w:rsid w:val="004A6A54"/>
    <w:rsid w:val="004B20E0"/>
    <w:rsid w:val="004B421C"/>
    <w:rsid w:val="004C20D2"/>
    <w:rsid w:val="004C2312"/>
    <w:rsid w:val="004C496C"/>
    <w:rsid w:val="004C4B62"/>
    <w:rsid w:val="004C54C9"/>
    <w:rsid w:val="004C68C9"/>
    <w:rsid w:val="004D4ABA"/>
    <w:rsid w:val="004D4E01"/>
    <w:rsid w:val="004D53B4"/>
    <w:rsid w:val="004D6025"/>
    <w:rsid w:val="004E2649"/>
    <w:rsid w:val="004F128A"/>
    <w:rsid w:val="004F5A02"/>
    <w:rsid w:val="004F626F"/>
    <w:rsid w:val="00501399"/>
    <w:rsid w:val="005047ED"/>
    <w:rsid w:val="0050633D"/>
    <w:rsid w:val="00507BC4"/>
    <w:rsid w:val="005128E4"/>
    <w:rsid w:val="005133DB"/>
    <w:rsid w:val="00514504"/>
    <w:rsid w:val="005203BC"/>
    <w:rsid w:val="00521E1F"/>
    <w:rsid w:val="00525560"/>
    <w:rsid w:val="0053263D"/>
    <w:rsid w:val="00543F19"/>
    <w:rsid w:val="00544C49"/>
    <w:rsid w:val="00547D98"/>
    <w:rsid w:val="005516A1"/>
    <w:rsid w:val="005559EF"/>
    <w:rsid w:val="00563557"/>
    <w:rsid w:val="0057402A"/>
    <w:rsid w:val="005771D0"/>
    <w:rsid w:val="00585000"/>
    <w:rsid w:val="0059191A"/>
    <w:rsid w:val="005921FF"/>
    <w:rsid w:val="005A0022"/>
    <w:rsid w:val="005A24ED"/>
    <w:rsid w:val="005A6D0E"/>
    <w:rsid w:val="005B2812"/>
    <w:rsid w:val="005B52B0"/>
    <w:rsid w:val="005B6806"/>
    <w:rsid w:val="005C4225"/>
    <w:rsid w:val="005C4624"/>
    <w:rsid w:val="005D5CE8"/>
    <w:rsid w:val="005E05AA"/>
    <w:rsid w:val="005E666C"/>
    <w:rsid w:val="005F0DAD"/>
    <w:rsid w:val="005F0F33"/>
    <w:rsid w:val="005F3782"/>
    <w:rsid w:val="00600DEB"/>
    <w:rsid w:val="006028A2"/>
    <w:rsid w:val="00612C26"/>
    <w:rsid w:val="00613375"/>
    <w:rsid w:val="0062587B"/>
    <w:rsid w:val="00627C9F"/>
    <w:rsid w:val="006311E9"/>
    <w:rsid w:val="00632354"/>
    <w:rsid w:val="00635421"/>
    <w:rsid w:val="00642810"/>
    <w:rsid w:val="0065139C"/>
    <w:rsid w:val="00651B9D"/>
    <w:rsid w:val="00652333"/>
    <w:rsid w:val="00652620"/>
    <w:rsid w:val="0068009E"/>
    <w:rsid w:val="00684E92"/>
    <w:rsid w:val="00691B68"/>
    <w:rsid w:val="00692219"/>
    <w:rsid w:val="00695B4C"/>
    <w:rsid w:val="006A17D2"/>
    <w:rsid w:val="006A522D"/>
    <w:rsid w:val="006A6827"/>
    <w:rsid w:val="006A73E6"/>
    <w:rsid w:val="006A796E"/>
    <w:rsid w:val="006B0F8D"/>
    <w:rsid w:val="006B143C"/>
    <w:rsid w:val="006B2D5C"/>
    <w:rsid w:val="006B35CF"/>
    <w:rsid w:val="006B43B7"/>
    <w:rsid w:val="006C0467"/>
    <w:rsid w:val="006C0ECF"/>
    <w:rsid w:val="006C4EB1"/>
    <w:rsid w:val="006C795E"/>
    <w:rsid w:val="006D00AC"/>
    <w:rsid w:val="006D2783"/>
    <w:rsid w:val="006E0166"/>
    <w:rsid w:val="006E2FFB"/>
    <w:rsid w:val="006E7B34"/>
    <w:rsid w:val="007003D1"/>
    <w:rsid w:val="0070697F"/>
    <w:rsid w:val="007103C4"/>
    <w:rsid w:val="0072199C"/>
    <w:rsid w:val="00722C9F"/>
    <w:rsid w:val="007253B8"/>
    <w:rsid w:val="00726DB2"/>
    <w:rsid w:val="0073741F"/>
    <w:rsid w:val="0074079A"/>
    <w:rsid w:val="0076643F"/>
    <w:rsid w:val="00777F63"/>
    <w:rsid w:val="0078405C"/>
    <w:rsid w:val="007A5817"/>
    <w:rsid w:val="007B05C4"/>
    <w:rsid w:val="007B5F3F"/>
    <w:rsid w:val="007B60E9"/>
    <w:rsid w:val="007B6CC3"/>
    <w:rsid w:val="007B76D3"/>
    <w:rsid w:val="007C3334"/>
    <w:rsid w:val="007D2B98"/>
    <w:rsid w:val="007D4646"/>
    <w:rsid w:val="007D7642"/>
    <w:rsid w:val="007E21BC"/>
    <w:rsid w:val="007E7C82"/>
    <w:rsid w:val="007F0C5E"/>
    <w:rsid w:val="007F1D33"/>
    <w:rsid w:val="007F22EE"/>
    <w:rsid w:val="007F2AA1"/>
    <w:rsid w:val="007F588D"/>
    <w:rsid w:val="00803F1C"/>
    <w:rsid w:val="00804E86"/>
    <w:rsid w:val="0080600E"/>
    <w:rsid w:val="0080664C"/>
    <w:rsid w:val="00811088"/>
    <w:rsid w:val="00812928"/>
    <w:rsid w:val="00814688"/>
    <w:rsid w:val="00816365"/>
    <w:rsid w:val="00817612"/>
    <w:rsid w:val="00833016"/>
    <w:rsid w:val="008338A4"/>
    <w:rsid w:val="00834D49"/>
    <w:rsid w:val="00837C45"/>
    <w:rsid w:val="00840B10"/>
    <w:rsid w:val="00844730"/>
    <w:rsid w:val="008457C2"/>
    <w:rsid w:val="00855AF3"/>
    <w:rsid w:val="00856EC6"/>
    <w:rsid w:val="00857A82"/>
    <w:rsid w:val="00873836"/>
    <w:rsid w:val="008838FD"/>
    <w:rsid w:val="00884C1E"/>
    <w:rsid w:val="00885737"/>
    <w:rsid w:val="00890650"/>
    <w:rsid w:val="008919AE"/>
    <w:rsid w:val="008944DC"/>
    <w:rsid w:val="00897E12"/>
    <w:rsid w:val="008A7E0F"/>
    <w:rsid w:val="008B12F5"/>
    <w:rsid w:val="008B5ABF"/>
    <w:rsid w:val="008C3A74"/>
    <w:rsid w:val="008C5E2D"/>
    <w:rsid w:val="008D2CF5"/>
    <w:rsid w:val="008D761E"/>
    <w:rsid w:val="008D768D"/>
    <w:rsid w:val="008E3759"/>
    <w:rsid w:val="008E3BFE"/>
    <w:rsid w:val="008E738D"/>
    <w:rsid w:val="008F1912"/>
    <w:rsid w:val="00900807"/>
    <w:rsid w:val="00900E74"/>
    <w:rsid w:val="0090270B"/>
    <w:rsid w:val="00902D62"/>
    <w:rsid w:val="00903E7C"/>
    <w:rsid w:val="009041DC"/>
    <w:rsid w:val="00910312"/>
    <w:rsid w:val="009135F8"/>
    <w:rsid w:val="00917B5A"/>
    <w:rsid w:val="00920A58"/>
    <w:rsid w:val="00920A8C"/>
    <w:rsid w:val="00924C86"/>
    <w:rsid w:val="00934A2C"/>
    <w:rsid w:val="0094263A"/>
    <w:rsid w:val="00952171"/>
    <w:rsid w:val="0096706E"/>
    <w:rsid w:val="00967317"/>
    <w:rsid w:val="00970582"/>
    <w:rsid w:val="00971443"/>
    <w:rsid w:val="00973375"/>
    <w:rsid w:val="00974491"/>
    <w:rsid w:val="00975C4E"/>
    <w:rsid w:val="00981FBA"/>
    <w:rsid w:val="00991AC5"/>
    <w:rsid w:val="0099737A"/>
    <w:rsid w:val="00997BC5"/>
    <w:rsid w:val="009A4F41"/>
    <w:rsid w:val="009B381B"/>
    <w:rsid w:val="009C6FDC"/>
    <w:rsid w:val="009D1753"/>
    <w:rsid w:val="009D65FB"/>
    <w:rsid w:val="009D7611"/>
    <w:rsid w:val="009E09D1"/>
    <w:rsid w:val="009E0B61"/>
    <w:rsid w:val="009E3E9C"/>
    <w:rsid w:val="009E53DE"/>
    <w:rsid w:val="009F4F3D"/>
    <w:rsid w:val="009F7698"/>
    <w:rsid w:val="00A038A4"/>
    <w:rsid w:val="00A04BD2"/>
    <w:rsid w:val="00A070EB"/>
    <w:rsid w:val="00A11212"/>
    <w:rsid w:val="00A11E44"/>
    <w:rsid w:val="00A20BF5"/>
    <w:rsid w:val="00A30100"/>
    <w:rsid w:val="00A328B3"/>
    <w:rsid w:val="00A35B7B"/>
    <w:rsid w:val="00A50FCF"/>
    <w:rsid w:val="00A528D1"/>
    <w:rsid w:val="00A52FA6"/>
    <w:rsid w:val="00A53E24"/>
    <w:rsid w:val="00A55258"/>
    <w:rsid w:val="00A610CD"/>
    <w:rsid w:val="00A64F06"/>
    <w:rsid w:val="00A666A1"/>
    <w:rsid w:val="00A71617"/>
    <w:rsid w:val="00A758AA"/>
    <w:rsid w:val="00A75EB9"/>
    <w:rsid w:val="00A860AB"/>
    <w:rsid w:val="00A8687B"/>
    <w:rsid w:val="00A9176E"/>
    <w:rsid w:val="00A9382A"/>
    <w:rsid w:val="00A95A0A"/>
    <w:rsid w:val="00AA09A2"/>
    <w:rsid w:val="00AA7996"/>
    <w:rsid w:val="00AC19CB"/>
    <w:rsid w:val="00AC254F"/>
    <w:rsid w:val="00AC7A76"/>
    <w:rsid w:val="00AD0369"/>
    <w:rsid w:val="00AD1D2F"/>
    <w:rsid w:val="00AD6A08"/>
    <w:rsid w:val="00AE32A8"/>
    <w:rsid w:val="00AE48BD"/>
    <w:rsid w:val="00AE5488"/>
    <w:rsid w:val="00AE6F91"/>
    <w:rsid w:val="00AE71B2"/>
    <w:rsid w:val="00AF54B3"/>
    <w:rsid w:val="00AF5571"/>
    <w:rsid w:val="00B051E0"/>
    <w:rsid w:val="00B07341"/>
    <w:rsid w:val="00B10BA5"/>
    <w:rsid w:val="00B13803"/>
    <w:rsid w:val="00B161F5"/>
    <w:rsid w:val="00B22897"/>
    <w:rsid w:val="00B30539"/>
    <w:rsid w:val="00B314DB"/>
    <w:rsid w:val="00B32726"/>
    <w:rsid w:val="00B35062"/>
    <w:rsid w:val="00B361F2"/>
    <w:rsid w:val="00B3718B"/>
    <w:rsid w:val="00B3745F"/>
    <w:rsid w:val="00B4190B"/>
    <w:rsid w:val="00B42FE1"/>
    <w:rsid w:val="00B462B2"/>
    <w:rsid w:val="00B4632A"/>
    <w:rsid w:val="00B530F1"/>
    <w:rsid w:val="00B70B64"/>
    <w:rsid w:val="00B7137C"/>
    <w:rsid w:val="00B9239A"/>
    <w:rsid w:val="00B92B3A"/>
    <w:rsid w:val="00B93D7F"/>
    <w:rsid w:val="00B97DAE"/>
    <w:rsid w:val="00BA276C"/>
    <w:rsid w:val="00BB019D"/>
    <w:rsid w:val="00BB306F"/>
    <w:rsid w:val="00BC3E2F"/>
    <w:rsid w:val="00BC6683"/>
    <w:rsid w:val="00BC6853"/>
    <w:rsid w:val="00BD0FF5"/>
    <w:rsid w:val="00BD4B89"/>
    <w:rsid w:val="00BD5922"/>
    <w:rsid w:val="00BD7DDA"/>
    <w:rsid w:val="00BE7EF1"/>
    <w:rsid w:val="00BF02CB"/>
    <w:rsid w:val="00BF6FD8"/>
    <w:rsid w:val="00C01CA6"/>
    <w:rsid w:val="00C03680"/>
    <w:rsid w:val="00C054DF"/>
    <w:rsid w:val="00C101F2"/>
    <w:rsid w:val="00C105F5"/>
    <w:rsid w:val="00C10C19"/>
    <w:rsid w:val="00C21762"/>
    <w:rsid w:val="00C21FEF"/>
    <w:rsid w:val="00C2366F"/>
    <w:rsid w:val="00C23BA4"/>
    <w:rsid w:val="00C24543"/>
    <w:rsid w:val="00C256A2"/>
    <w:rsid w:val="00C25ADB"/>
    <w:rsid w:val="00C34EF3"/>
    <w:rsid w:val="00C365EA"/>
    <w:rsid w:val="00C40D76"/>
    <w:rsid w:val="00C51515"/>
    <w:rsid w:val="00C51F7E"/>
    <w:rsid w:val="00C5660B"/>
    <w:rsid w:val="00C60AB0"/>
    <w:rsid w:val="00C632DC"/>
    <w:rsid w:val="00C65B4D"/>
    <w:rsid w:val="00C6656F"/>
    <w:rsid w:val="00C66B72"/>
    <w:rsid w:val="00C717DB"/>
    <w:rsid w:val="00C8354B"/>
    <w:rsid w:val="00C87AC4"/>
    <w:rsid w:val="00C954F7"/>
    <w:rsid w:val="00C9567A"/>
    <w:rsid w:val="00CA245B"/>
    <w:rsid w:val="00CA29FA"/>
    <w:rsid w:val="00CA5F3A"/>
    <w:rsid w:val="00CB212D"/>
    <w:rsid w:val="00CB2660"/>
    <w:rsid w:val="00CC5E90"/>
    <w:rsid w:val="00CD046C"/>
    <w:rsid w:val="00CE064F"/>
    <w:rsid w:val="00CE076C"/>
    <w:rsid w:val="00CE3269"/>
    <w:rsid w:val="00CE3986"/>
    <w:rsid w:val="00CE5199"/>
    <w:rsid w:val="00CE66D5"/>
    <w:rsid w:val="00CF16C4"/>
    <w:rsid w:val="00CF637A"/>
    <w:rsid w:val="00D01017"/>
    <w:rsid w:val="00D059DE"/>
    <w:rsid w:val="00D05ABD"/>
    <w:rsid w:val="00D13FCE"/>
    <w:rsid w:val="00D153CC"/>
    <w:rsid w:val="00D27E0F"/>
    <w:rsid w:val="00D306D1"/>
    <w:rsid w:val="00D30800"/>
    <w:rsid w:val="00D34786"/>
    <w:rsid w:val="00D37BFC"/>
    <w:rsid w:val="00D41E60"/>
    <w:rsid w:val="00D47A8E"/>
    <w:rsid w:val="00D52D14"/>
    <w:rsid w:val="00D53131"/>
    <w:rsid w:val="00D54EFF"/>
    <w:rsid w:val="00D5523E"/>
    <w:rsid w:val="00D56E8D"/>
    <w:rsid w:val="00D6153C"/>
    <w:rsid w:val="00D654AC"/>
    <w:rsid w:val="00D70156"/>
    <w:rsid w:val="00D712D3"/>
    <w:rsid w:val="00D71422"/>
    <w:rsid w:val="00D72DC6"/>
    <w:rsid w:val="00D7558D"/>
    <w:rsid w:val="00D76BE0"/>
    <w:rsid w:val="00D81D92"/>
    <w:rsid w:val="00D876F9"/>
    <w:rsid w:val="00D904A2"/>
    <w:rsid w:val="00D90BB7"/>
    <w:rsid w:val="00D97276"/>
    <w:rsid w:val="00DA13E4"/>
    <w:rsid w:val="00DA15E8"/>
    <w:rsid w:val="00DA36E3"/>
    <w:rsid w:val="00DA7B5F"/>
    <w:rsid w:val="00DC11E7"/>
    <w:rsid w:val="00DC24E3"/>
    <w:rsid w:val="00DC5140"/>
    <w:rsid w:val="00DC7023"/>
    <w:rsid w:val="00DC769A"/>
    <w:rsid w:val="00DD3D86"/>
    <w:rsid w:val="00DD4AD2"/>
    <w:rsid w:val="00DE2862"/>
    <w:rsid w:val="00DF1EC4"/>
    <w:rsid w:val="00DF476A"/>
    <w:rsid w:val="00E0340B"/>
    <w:rsid w:val="00E04A90"/>
    <w:rsid w:val="00E050F4"/>
    <w:rsid w:val="00E0551F"/>
    <w:rsid w:val="00E14920"/>
    <w:rsid w:val="00E2113D"/>
    <w:rsid w:val="00E219C7"/>
    <w:rsid w:val="00E249DF"/>
    <w:rsid w:val="00E26C3D"/>
    <w:rsid w:val="00E35263"/>
    <w:rsid w:val="00E4118C"/>
    <w:rsid w:val="00E43157"/>
    <w:rsid w:val="00E461CE"/>
    <w:rsid w:val="00E54418"/>
    <w:rsid w:val="00E573E4"/>
    <w:rsid w:val="00E6272A"/>
    <w:rsid w:val="00E64C3D"/>
    <w:rsid w:val="00E652F4"/>
    <w:rsid w:val="00E659DD"/>
    <w:rsid w:val="00E67421"/>
    <w:rsid w:val="00E720CA"/>
    <w:rsid w:val="00E84EB5"/>
    <w:rsid w:val="00E85662"/>
    <w:rsid w:val="00E87654"/>
    <w:rsid w:val="00E8789F"/>
    <w:rsid w:val="00E93C9B"/>
    <w:rsid w:val="00E97B71"/>
    <w:rsid w:val="00EA03F2"/>
    <w:rsid w:val="00EA1CAF"/>
    <w:rsid w:val="00EA3D34"/>
    <w:rsid w:val="00EB395F"/>
    <w:rsid w:val="00EB454D"/>
    <w:rsid w:val="00EC3BB6"/>
    <w:rsid w:val="00EC5788"/>
    <w:rsid w:val="00ED0705"/>
    <w:rsid w:val="00ED4577"/>
    <w:rsid w:val="00ED549D"/>
    <w:rsid w:val="00ED5E10"/>
    <w:rsid w:val="00ED76BE"/>
    <w:rsid w:val="00ED7A25"/>
    <w:rsid w:val="00EE00E9"/>
    <w:rsid w:val="00EE04D4"/>
    <w:rsid w:val="00EF078A"/>
    <w:rsid w:val="00EF1AAA"/>
    <w:rsid w:val="00EF2F47"/>
    <w:rsid w:val="00EF619B"/>
    <w:rsid w:val="00EF7B81"/>
    <w:rsid w:val="00F00B55"/>
    <w:rsid w:val="00F0150C"/>
    <w:rsid w:val="00F0203C"/>
    <w:rsid w:val="00F02AD1"/>
    <w:rsid w:val="00F12995"/>
    <w:rsid w:val="00F17230"/>
    <w:rsid w:val="00F253CC"/>
    <w:rsid w:val="00F37106"/>
    <w:rsid w:val="00F44B35"/>
    <w:rsid w:val="00F44E25"/>
    <w:rsid w:val="00F519CF"/>
    <w:rsid w:val="00F56BA5"/>
    <w:rsid w:val="00F60E22"/>
    <w:rsid w:val="00F641A9"/>
    <w:rsid w:val="00F67006"/>
    <w:rsid w:val="00F724A0"/>
    <w:rsid w:val="00F7285D"/>
    <w:rsid w:val="00F81395"/>
    <w:rsid w:val="00F81BB8"/>
    <w:rsid w:val="00F838D5"/>
    <w:rsid w:val="00F90C64"/>
    <w:rsid w:val="00F917D1"/>
    <w:rsid w:val="00F92A97"/>
    <w:rsid w:val="00F9653B"/>
    <w:rsid w:val="00FA1898"/>
    <w:rsid w:val="00FA2163"/>
    <w:rsid w:val="00FB055B"/>
    <w:rsid w:val="00FB62CF"/>
    <w:rsid w:val="00FB63A1"/>
    <w:rsid w:val="00FB71CB"/>
    <w:rsid w:val="00FC1C2A"/>
    <w:rsid w:val="00FD1EE6"/>
    <w:rsid w:val="00FD39CB"/>
    <w:rsid w:val="00FD3C3B"/>
    <w:rsid w:val="00FD4A5D"/>
    <w:rsid w:val="00FE07DD"/>
    <w:rsid w:val="00FE599B"/>
    <w:rsid w:val="00FE5E33"/>
    <w:rsid w:val="00FE6B45"/>
    <w:rsid w:val="00FF55F3"/>
    <w:rsid w:val="00FF5851"/>
    <w:rsid w:val="00FF60FD"/>
    <w:rsid w:val="00FF78FC"/>
    <w:rsid w:val="00FF7B79"/>
    <w:rsid w:val="365105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E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D781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D7814"/>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2F4"/>
    <w:rPr>
      <w:sz w:val="16"/>
      <w:szCs w:val="16"/>
    </w:rPr>
  </w:style>
  <w:style w:type="paragraph" w:styleId="CommentText">
    <w:name w:val="annotation text"/>
    <w:basedOn w:val="Normal"/>
    <w:link w:val="CommentTextChar"/>
    <w:uiPriority w:val="99"/>
    <w:semiHidden/>
    <w:unhideWhenUsed/>
    <w:rsid w:val="00E652F4"/>
    <w:rPr>
      <w:sz w:val="20"/>
      <w:szCs w:val="20"/>
    </w:rPr>
  </w:style>
  <w:style w:type="character" w:customStyle="1" w:styleId="CommentTextChar">
    <w:name w:val="Comment Text Char"/>
    <w:basedOn w:val="DefaultParagraphFont"/>
    <w:link w:val="CommentText"/>
    <w:uiPriority w:val="99"/>
    <w:semiHidden/>
    <w:rsid w:val="00E652F4"/>
    <w:rPr>
      <w:lang w:val="en-US" w:eastAsia="en-US"/>
    </w:rPr>
  </w:style>
  <w:style w:type="paragraph" w:styleId="CommentSubject">
    <w:name w:val="annotation subject"/>
    <w:basedOn w:val="CommentText"/>
    <w:next w:val="CommentText"/>
    <w:link w:val="CommentSubjectChar"/>
    <w:uiPriority w:val="99"/>
    <w:semiHidden/>
    <w:unhideWhenUsed/>
    <w:rsid w:val="00E652F4"/>
    <w:rPr>
      <w:b/>
      <w:bCs/>
    </w:rPr>
  </w:style>
  <w:style w:type="character" w:customStyle="1" w:styleId="CommentSubjectChar">
    <w:name w:val="Comment Subject Char"/>
    <w:basedOn w:val="CommentTextChar"/>
    <w:link w:val="CommentSubject"/>
    <w:uiPriority w:val="99"/>
    <w:semiHidden/>
    <w:rsid w:val="00E652F4"/>
    <w:rPr>
      <w:b/>
      <w:bCs/>
      <w:lang w:val="en-US" w:eastAsia="en-US"/>
    </w:rPr>
  </w:style>
  <w:style w:type="character" w:customStyle="1" w:styleId="Heading5Char">
    <w:name w:val="Heading 5 Char"/>
    <w:basedOn w:val="DefaultParagraphFont"/>
    <w:link w:val="Heading5"/>
    <w:uiPriority w:val="9"/>
    <w:rsid w:val="001D7814"/>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D7814"/>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3D47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FB71CB"/>
    <w:rPr>
      <w:color w:val="605E5C"/>
      <w:shd w:val="clear" w:color="auto" w:fill="E1DFDD"/>
    </w:rPr>
  </w:style>
  <w:style w:type="paragraph" w:styleId="NormalWeb">
    <w:name w:val="Normal (Web)"/>
    <w:basedOn w:val="Normal"/>
    <w:uiPriority w:val="99"/>
    <w:unhideWhenUsed/>
    <w:rsid w:val="00394A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568">
      <w:bodyDiv w:val="1"/>
      <w:marLeft w:val="0"/>
      <w:marRight w:val="0"/>
      <w:marTop w:val="0"/>
      <w:marBottom w:val="0"/>
      <w:divBdr>
        <w:top w:val="none" w:sz="0" w:space="0" w:color="auto"/>
        <w:left w:val="none" w:sz="0" w:space="0" w:color="auto"/>
        <w:bottom w:val="none" w:sz="0" w:space="0" w:color="auto"/>
        <w:right w:val="none" w:sz="0" w:space="0" w:color="auto"/>
      </w:divBdr>
    </w:div>
    <w:div w:id="95029432">
      <w:bodyDiv w:val="1"/>
      <w:marLeft w:val="0"/>
      <w:marRight w:val="0"/>
      <w:marTop w:val="0"/>
      <w:marBottom w:val="0"/>
      <w:divBdr>
        <w:top w:val="none" w:sz="0" w:space="0" w:color="auto"/>
        <w:left w:val="none" w:sz="0" w:space="0" w:color="auto"/>
        <w:bottom w:val="none" w:sz="0" w:space="0" w:color="auto"/>
        <w:right w:val="none" w:sz="0" w:space="0" w:color="auto"/>
      </w:divBdr>
    </w:div>
    <w:div w:id="97526599">
      <w:bodyDiv w:val="1"/>
      <w:marLeft w:val="0"/>
      <w:marRight w:val="0"/>
      <w:marTop w:val="0"/>
      <w:marBottom w:val="0"/>
      <w:divBdr>
        <w:top w:val="none" w:sz="0" w:space="0" w:color="auto"/>
        <w:left w:val="none" w:sz="0" w:space="0" w:color="auto"/>
        <w:bottom w:val="none" w:sz="0" w:space="0" w:color="auto"/>
        <w:right w:val="none" w:sz="0" w:space="0" w:color="auto"/>
      </w:divBdr>
    </w:div>
    <w:div w:id="156119863">
      <w:bodyDiv w:val="1"/>
      <w:marLeft w:val="0"/>
      <w:marRight w:val="0"/>
      <w:marTop w:val="0"/>
      <w:marBottom w:val="0"/>
      <w:divBdr>
        <w:top w:val="none" w:sz="0" w:space="0" w:color="auto"/>
        <w:left w:val="none" w:sz="0" w:space="0" w:color="auto"/>
        <w:bottom w:val="none" w:sz="0" w:space="0" w:color="auto"/>
        <w:right w:val="none" w:sz="0" w:space="0" w:color="auto"/>
      </w:divBdr>
    </w:div>
    <w:div w:id="187452283">
      <w:bodyDiv w:val="1"/>
      <w:marLeft w:val="0"/>
      <w:marRight w:val="0"/>
      <w:marTop w:val="0"/>
      <w:marBottom w:val="0"/>
      <w:divBdr>
        <w:top w:val="none" w:sz="0" w:space="0" w:color="auto"/>
        <w:left w:val="none" w:sz="0" w:space="0" w:color="auto"/>
        <w:bottom w:val="none" w:sz="0" w:space="0" w:color="auto"/>
        <w:right w:val="none" w:sz="0" w:space="0" w:color="auto"/>
      </w:divBdr>
      <w:divsChild>
        <w:div w:id="1753895442">
          <w:marLeft w:val="0"/>
          <w:marRight w:val="0"/>
          <w:marTop w:val="0"/>
          <w:marBottom w:val="0"/>
          <w:divBdr>
            <w:top w:val="none" w:sz="0" w:space="0" w:color="auto"/>
            <w:left w:val="none" w:sz="0" w:space="0" w:color="auto"/>
            <w:bottom w:val="none" w:sz="0" w:space="0" w:color="auto"/>
            <w:right w:val="none" w:sz="0" w:space="0" w:color="auto"/>
          </w:divBdr>
          <w:divsChild>
            <w:div w:id="1171945206">
              <w:marLeft w:val="0"/>
              <w:marRight w:val="0"/>
              <w:marTop w:val="0"/>
              <w:marBottom w:val="0"/>
              <w:divBdr>
                <w:top w:val="none" w:sz="0" w:space="0" w:color="auto"/>
                <w:left w:val="none" w:sz="0" w:space="0" w:color="auto"/>
                <w:bottom w:val="none" w:sz="0" w:space="0" w:color="auto"/>
                <w:right w:val="none" w:sz="0" w:space="0" w:color="auto"/>
              </w:divBdr>
              <w:divsChild>
                <w:div w:id="1306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383">
      <w:bodyDiv w:val="1"/>
      <w:marLeft w:val="0"/>
      <w:marRight w:val="0"/>
      <w:marTop w:val="0"/>
      <w:marBottom w:val="0"/>
      <w:divBdr>
        <w:top w:val="none" w:sz="0" w:space="0" w:color="auto"/>
        <w:left w:val="none" w:sz="0" w:space="0" w:color="auto"/>
        <w:bottom w:val="none" w:sz="0" w:space="0" w:color="auto"/>
        <w:right w:val="none" w:sz="0" w:space="0" w:color="auto"/>
      </w:divBdr>
    </w:div>
    <w:div w:id="208956844">
      <w:bodyDiv w:val="1"/>
      <w:marLeft w:val="0"/>
      <w:marRight w:val="0"/>
      <w:marTop w:val="0"/>
      <w:marBottom w:val="0"/>
      <w:divBdr>
        <w:top w:val="none" w:sz="0" w:space="0" w:color="auto"/>
        <w:left w:val="none" w:sz="0" w:space="0" w:color="auto"/>
        <w:bottom w:val="none" w:sz="0" w:space="0" w:color="auto"/>
        <w:right w:val="none" w:sz="0" w:space="0" w:color="auto"/>
      </w:divBdr>
      <w:divsChild>
        <w:div w:id="1115517667">
          <w:marLeft w:val="0"/>
          <w:marRight w:val="0"/>
          <w:marTop w:val="0"/>
          <w:marBottom w:val="0"/>
          <w:divBdr>
            <w:top w:val="none" w:sz="0" w:space="0" w:color="auto"/>
            <w:left w:val="none" w:sz="0" w:space="0" w:color="auto"/>
            <w:bottom w:val="none" w:sz="0" w:space="0" w:color="auto"/>
            <w:right w:val="none" w:sz="0" w:space="0" w:color="auto"/>
          </w:divBdr>
          <w:divsChild>
            <w:div w:id="541091565">
              <w:marLeft w:val="0"/>
              <w:marRight w:val="0"/>
              <w:marTop w:val="0"/>
              <w:marBottom w:val="0"/>
              <w:divBdr>
                <w:top w:val="none" w:sz="0" w:space="0" w:color="auto"/>
                <w:left w:val="none" w:sz="0" w:space="0" w:color="auto"/>
                <w:bottom w:val="none" w:sz="0" w:space="0" w:color="auto"/>
                <w:right w:val="none" w:sz="0" w:space="0" w:color="auto"/>
              </w:divBdr>
              <w:divsChild>
                <w:div w:id="634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470">
      <w:bodyDiv w:val="1"/>
      <w:marLeft w:val="0"/>
      <w:marRight w:val="0"/>
      <w:marTop w:val="0"/>
      <w:marBottom w:val="0"/>
      <w:divBdr>
        <w:top w:val="none" w:sz="0" w:space="0" w:color="auto"/>
        <w:left w:val="none" w:sz="0" w:space="0" w:color="auto"/>
        <w:bottom w:val="none" w:sz="0" w:space="0" w:color="auto"/>
        <w:right w:val="none" w:sz="0" w:space="0" w:color="auto"/>
      </w:divBdr>
    </w:div>
    <w:div w:id="263851844">
      <w:bodyDiv w:val="1"/>
      <w:marLeft w:val="0"/>
      <w:marRight w:val="0"/>
      <w:marTop w:val="0"/>
      <w:marBottom w:val="0"/>
      <w:divBdr>
        <w:top w:val="none" w:sz="0" w:space="0" w:color="auto"/>
        <w:left w:val="none" w:sz="0" w:space="0" w:color="auto"/>
        <w:bottom w:val="none" w:sz="0" w:space="0" w:color="auto"/>
        <w:right w:val="none" w:sz="0" w:space="0" w:color="auto"/>
      </w:divBdr>
    </w:div>
    <w:div w:id="284584069">
      <w:bodyDiv w:val="1"/>
      <w:marLeft w:val="0"/>
      <w:marRight w:val="0"/>
      <w:marTop w:val="0"/>
      <w:marBottom w:val="0"/>
      <w:divBdr>
        <w:top w:val="none" w:sz="0" w:space="0" w:color="auto"/>
        <w:left w:val="none" w:sz="0" w:space="0" w:color="auto"/>
        <w:bottom w:val="none" w:sz="0" w:space="0" w:color="auto"/>
        <w:right w:val="none" w:sz="0" w:space="0" w:color="auto"/>
      </w:divBdr>
      <w:divsChild>
        <w:div w:id="1382442956">
          <w:marLeft w:val="0"/>
          <w:marRight w:val="0"/>
          <w:marTop w:val="0"/>
          <w:marBottom w:val="0"/>
          <w:divBdr>
            <w:top w:val="none" w:sz="0" w:space="0" w:color="auto"/>
            <w:left w:val="none" w:sz="0" w:space="0" w:color="auto"/>
            <w:bottom w:val="none" w:sz="0" w:space="0" w:color="auto"/>
            <w:right w:val="none" w:sz="0" w:space="0" w:color="auto"/>
          </w:divBdr>
          <w:divsChild>
            <w:div w:id="1139226416">
              <w:marLeft w:val="0"/>
              <w:marRight w:val="0"/>
              <w:marTop w:val="0"/>
              <w:marBottom w:val="0"/>
              <w:divBdr>
                <w:top w:val="none" w:sz="0" w:space="0" w:color="auto"/>
                <w:left w:val="none" w:sz="0" w:space="0" w:color="auto"/>
                <w:bottom w:val="none" w:sz="0" w:space="0" w:color="auto"/>
                <w:right w:val="none" w:sz="0" w:space="0" w:color="auto"/>
              </w:divBdr>
              <w:divsChild>
                <w:div w:id="20735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502">
      <w:bodyDiv w:val="1"/>
      <w:marLeft w:val="0"/>
      <w:marRight w:val="0"/>
      <w:marTop w:val="0"/>
      <w:marBottom w:val="0"/>
      <w:divBdr>
        <w:top w:val="none" w:sz="0" w:space="0" w:color="auto"/>
        <w:left w:val="none" w:sz="0" w:space="0" w:color="auto"/>
        <w:bottom w:val="none" w:sz="0" w:space="0" w:color="auto"/>
        <w:right w:val="none" w:sz="0" w:space="0" w:color="auto"/>
      </w:divBdr>
    </w:div>
    <w:div w:id="343047690">
      <w:bodyDiv w:val="1"/>
      <w:marLeft w:val="0"/>
      <w:marRight w:val="0"/>
      <w:marTop w:val="0"/>
      <w:marBottom w:val="0"/>
      <w:divBdr>
        <w:top w:val="none" w:sz="0" w:space="0" w:color="auto"/>
        <w:left w:val="none" w:sz="0" w:space="0" w:color="auto"/>
        <w:bottom w:val="none" w:sz="0" w:space="0" w:color="auto"/>
        <w:right w:val="none" w:sz="0" w:space="0" w:color="auto"/>
      </w:divBdr>
      <w:divsChild>
        <w:div w:id="921061864">
          <w:marLeft w:val="0"/>
          <w:marRight w:val="0"/>
          <w:marTop w:val="0"/>
          <w:marBottom w:val="0"/>
          <w:divBdr>
            <w:top w:val="none" w:sz="0" w:space="0" w:color="auto"/>
            <w:left w:val="none" w:sz="0" w:space="0" w:color="auto"/>
            <w:bottom w:val="none" w:sz="0" w:space="0" w:color="auto"/>
            <w:right w:val="none" w:sz="0" w:space="0" w:color="auto"/>
          </w:divBdr>
        </w:div>
        <w:div w:id="939220796">
          <w:marLeft w:val="0"/>
          <w:marRight w:val="0"/>
          <w:marTop w:val="0"/>
          <w:marBottom w:val="0"/>
          <w:divBdr>
            <w:top w:val="none" w:sz="0" w:space="0" w:color="auto"/>
            <w:left w:val="none" w:sz="0" w:space="0" w:color="auto"/>
            <w:bottom w:val="dashed" w:sz="6" w:space="2" w:color="888888"/>
            <w:right w:val="none" w:sz="0" w:space="0" w:color="auto"/>
          </w:divBdr>
        </w:div>
        <w:div w:id="1288318816">
          <w:marLeft w:val="-225"/>
          <w:marRight w:val="-225"/>
          <w:marTop w:val="0"/>
          <w:marBottom w:val="0"/>
          <w:divBdr>
            <w:top w:val="none" w:sz="0" w:space="0" w:color="auto"/>
            <w:left w:val="none" w:sz="0" w:space="0" w:color="auto"/>
            <w:bottom w:val="none" w:sz="0" w:space="0" w:color="auto"/>
            <w:right w:val="none" w:sz="0" w:space="0" w:color="auto"/>
          </w:divBdr>
          <w:divsChild>
            <w:div w:id="694230871">
              <w:marLeft w:val="0"/>
              <w:marRight w:val="0"/>
              <w:marTop w:val="0"/>
              <w:marBottom w:val="0"/>
              <w:divBdr>
                <w:top w:val="none" w:sz="0" w:space="0" w:color="auto"/>
                <w:left w:val="none" w:sz="0" w:space="0" w:color="auto"/>
                <w:bottom w:val="none" w:sz="0" w:space="0" w:color="auto"/>
                <w:right w:val="none" w:sz="0" w:space="0" w:color="auto"/>
              </w:divBdr>
              <w:divsChild>
                <w:div w:id="1675113120">
                  <w:marLeft w:val="0"/>
                  <w:marRight w:val="0"/>
                  <w:marTop w:val="0"/>
                  <w:marBottom w:val="150"/>
                  <w:divBdr>
                    <w:top w:val="none" w:sz="0" w:space="0" w:color="auto"/>
                    <w:left w:val="none" w:sz="0" w:space="0" w:color="auto"/>
                    <w:bottom w:val="none" w:sz="0" w:space="0" w:color="auto"/>
                    <w:right w:val="none" w:sz="0" w:space="0" w:color="auto"/>
                  </w:divBdr>
                </w:div>
              </w:divsChild>
            </w:div>
            <w:div w:id="2088336579">
              <w:marLeft w:val="0"/>
              <w:marRight w:val="0"/>
              <w:marTop w:val="0"/>
              <w:marBottom w:val="0"/>
              <w:divBdr>
                <w:top w:val="none" w:sz="0" w:space="0" w:color="auto"/>
                <w:left w:val="none" w:sz="0" w:space="0" w:color="auto"/>
                <w:bottom w:val="none" w:sz="0" w:space="0" w:color="auto"/>
                <w:right w:val="none" w:sz="0" w:space="0" w:color="auto"/>
              </w:divBdr>
              <w:divsChild>
                <w:div w:id="165559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75394775">
      <w:bodyDiv w:val="1"/>
      <w:marLeft w:val="0"/>
      <w:marRight w:val="0"/>
      <w:marTop w:val="0"/>
      <w:marBottom w:val="0"/>
      <w:divBdr>
        <w:top w:val="none" w:sz="0" w:space="0" w:color="auto"/>
        <w:left w:val="none" w:sz="0" w:space="0" w:color="auto"/>
        <w:bottom w:val="none" w:sz="0" w:space="0" w:color="auto"/>
        <w:right w:val="none" w:sz="0" w:space="0" w:color="auto"/>
      </w:divBdr>
    </w:div>
    <w:div w:id="397359154">
      <w:bodyDiv w:val="1"/>
      <w:marLeft w:val="0"/>
      <w:marRight w:val="0"/>
      <w:marTop w:val="0"/>
      <w:marBottom w:val="0"/>
      <w:divBdr>
        <w:top w:val="none" w:sz="0" w:space="0" w:color="auto"/>
        <w:left w:val="none" w:sz="0" w:space="0" w:color="auto"/>
        <w:bottom w:val="none" w:sz="0" w:space="0" w:color="auto"/>
        <w:right w:val="none" w:sz="0" w:space="0" w:color="auto"/>
      </w:divBdr>
    </w:div>
    <w:div w:id="473528122">
      <w:bodyDiv w:val="1"/>
      <w:marLeft w:val="0"/>
      <w:marRight w:val="0"/>
      <w:marTop w:val="0"/>
      <w:marBottom w:val="0"/>
      <w:divBdr>
        <w:top w:val="none" w:sz="0" w:space="0" w:color="auto"/>
        <w:left w:val="none" w:sz="0" w:space="0" w:color="auto"/>
        <w:bottom w:val="none" w:sz="0" w:space="0" w:color="auto"/>
        <w:right w:val="none" w:sz="0" w:space="0" w:color="auto"/>
      </w:divBdr>
      <w:divsChild>
        <w:div w:id="1622880317">
          <w:marLeft w:val="0"/>
          <w:marRight w:val="0"/>
          <w:marTop w:val="0"/>
          <w:marBottom w:val="0"/>
          <w:divBdr>
            <w:top w:val="none" w:sz="0" w:space="0" w:color="auto"/>
            <w:left w:val="none" w:sz="0" w:space="0" w:color="auto"/>
            <w:bottom w:val="none" w:sz="0" w:space="0" w:color="auto"/>
            <w:right w:val="none" w:sz="0" w:space="0" w:color="auto"/>
          </w:divBdr>
          <w:divsChild>
            <w:div w:id="1415013405">
              <w:marLeft w:val="0"/>
              <w:marRight w:val="0"/>
              <w:marTop w:val="0"/>
              <w:marBottom w:val="0"/>
              <w:divBdr>
                <w:top w:val="none" w:sz="0" w:space="0" w:color="auto"/>
                <w:left w:val="none" w:sz="0" w:space="0" w:color="auto"/>
                <w:bottom w:val="none" w:sz="0" w:space="0" w:color="auto"/>
                <w:right w:val="none" w:sz="0" w:space="0" w:color="auto"/>
              </w:divBdr>
              <w:divsChild>
                <w:div w:id="4619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3436">
      <w:bodyDiv w:val="1"/>
      <w:marLeft w:val="0"/>
      <w:marRight w:val="0"/>
      <w:marTop w:val="0"/>
      <w:marBottom w:val="0"/>
      <w:divBdr>
        <w:top w:val="none" w:sz="0" w:space="0" w:color="auto"/>
        <w:left w:val="none" w:sz="0" w:space="0" w:color="auto"/>
        <w:bottom w:val="none" w:sz="0" w:space="0" w:color="auto"/>
        <w:right w:val="none" w:sz="0" w:space="0" w:color="auto"/>
      </w:divBdr>
    </w:div>
    <w:div w:id="511338583">
      <w:bodyDiv w:val="1"/>
      <w:marLeft w:val="0"/>
      <w:marRight w:val="0"/>
      <w:marTop w:val="0"/>
      <w:marBottom w:val="0"/>
      <w:divBdr>
        <w:top w:val="none" w:sz="0" w:space="0" w:color="auto"/>
        <w:left w:val="none" w:sz="0" w:space="0" w:color="auto"/>
        <w:bottom w:val="none" w:sz="0" w:space="0" w:color="auto"/>
        <w:right w:val="none" w:sz="0" w:space="0" w:color="auto"/>
      </w:divBdr>
    </w:div>
    <w:div w:id="538668051">
      <w:bodyDiv w:val="1"/>
      <w:marLeft w:val="0"/>
      <w:marRight w:val="0"/>
      <w:marTop w:val="0"/>
      <w:marBottom w:val="0"/>
      <w:divBdr>
        <w:top w:val="none" w:sz="0" w:space="0" w:color="auto"/>
        <w:left w:val="none" w:sz="0" w:space="0" w:color="auto"/>
        <w:bottom w:val="none" w:sz="0" w:space="0" w:color="auto"/>
        <w:right w:val="none" w:sz="0" w:space="0" w:color="auto"/>
      </w:divBdr>
    </w:div>
    <w:div w:id="558707698">
      <w:bodyDiv w:val="1"/>
      <w:marLeft w:val="0"/>
      <w:marRight w:val="0"/>
      <w:marTop w:val="0"/>
      <w:marBottom w:val="0"/>
      <w:divBdr>
        <w:top w:val="none" w:sz="0" w:space="0" w:color="auto"/>
        <w:left w:val="none" w:sz="0" w:space="0" w:color="auto"/>
        <w:bottom w:val="none" w:sz="0" w:space="0" w:color="auto"/>
        <w:right w:val="none" w:sz="0" w:space="0" w:color="auto"/>
      </w:divBdr>
      <w:divsChild>
        <w:div w:id="2084906858">
          <w:marLeft w:val="0"/>
          <w:marRight w:val="0"/>
          <w:marTop w:val="0"/>
          <w:marBottom w:val="0"/>
          <w:divBdr>
            <w:top w:val="none" w:sz="0" w:space="0" w:color="auto"/>
            <w:left w:val="none" w:sz="0" w:space="0" w:color="auto"/>
            <w:bottom w:val="none" w:sz="0" w:space="0" w:color="auto"/>
            <w:right w:val="none" w:sz="0" w:space="0" w:color="auto"/>
          </w:divBdr>
          <w:divsChild>
            <w:div w:id="33777781">
              <w:marLeft w:val="0"/>
              <w:marRight w:val="0"/>
              <w:marTop w:val="0"/>
              <w:marBottom w:val="0"/>
              <w:divBdr>
                <w:top w:val="none" w:sz="0" w:space="0" w:color="auto"/>
                <w:left w:val="none" w:sz="0" w:space="0" w:color="auto"/>
                <w:bottom w:val="none" w:sz="0" w:space="0" w:color="auto"/>
                <w:right w:val="none" w:sz="0" w:space="0" w:color="auto"/>
              </w:divBdr>
              <w:divsChild>
                <w:div w:id="2012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3542">
      <w:bodyDiv w:val="1"/>
      <w:marLeft w:val="0"/>
      <w:marRight w:val="0"/>
      <w:marTop w:val="0"/>
      <w:marBottom w:val="0"/>
      <w:divBdr>
        <w:top w:val="none" w:sz="0" w:space="0" w:color="auto"/>
        <w:left w:val="none" w:sz="0" w:space="0" w:color="auto"/>
        <w:bottom w:val="none" w:sz="0" w:space="0" w:color="auto"/>
        <w:right w:val="none" w:sz="0" w:space="0" w:color="auto"/>
      </w:divBdr>
    </w:div>
    <w:div w:id="636105204">
      <w:bodyDiv w:val="1"/>
      <w:marLeft w:val="0"/>
      <w:marRight w:val="0"/>
      <w:marTop w:val="0"/>
      <w:marBottom w:val="0"/>
      <w:divBdr>
        <w:top w:val="none" w:sz="0" w:space="0" w:color="auto"/>
        <w:left w:val="none" w:sz="0" w:space="0" w:color="auto"/>
        <w:bottom w:val="none" w:sz="0" w:space="0" w:color="auto"/>
        <w:right w:val="none" w:sz="0" w:space="0" w:color="auto"/>
      </w:divBdr>
      <w:divsChild>
        <w:div w:id="1006250511">
          <w:marLeft w:val="0"/>
          <w:marRight w:val="0"/>
          <w:marTop w:val="0"/>
          <w:marBottom w:val="0"/>
          <w:divBdr>
            <w:top w:val="none" w:sz="0" w:space="0" w:color="auto"/>
            <w:left w:val="none" w:sz="0" w:space="0" w:color="auto"/>
            <w:bottom w:val="none" w:sz="0" w:space="0" w:color="auto"/>
            <w:right w:val="none" w:sz="0" w:space="0" w:color="auto"/>
          </w:divBdr>
          <w:divsChild>
            <w:div w:id="1232886585">
              <w:marLeft w:val="0"/>
              <w:marRight w:val="0"/>
              <w:marTop w:val="0"/>
              <w:marBottom w:val="0"/>
              <w:divBdr>
                <w:top w:val="none" w:sz="0" w:space="0" w:color="auto"/>
                <w:left w:val="none" w:sz="0" w:space="0" w:color="auto"/>
                <w:bottom w:val="none" w:sz="0" w:space="0" w:color="auto"/>
                <w:right w:val="none" w:sz="0" w:space="0" w:color="auto"/>
              </w:divBdr>
              <w:divsChild>
                <w:div w:id="9928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8351">
      <w:bodyDiv w:val="1"/>
      <w:marLeft w:val="0"/>
      <w:marRight w:val="0"/>
      <w:marTop w:val="0"/>
      <w:marBottom w:val="0"/>
      <w:divBdr>
        <w:top w:val="none" w:sz="0" w:space="0" w:color="auto"/>
        <w:left w:val="none" w:sz="0" w:space="0" w:color="auto"/>
        <w:bottom w:val="none" w:sz="0" w:space="0" w:color="auto"/>
        <w:right w:val="none" w:sz="0" w:space="0" w:color="auto"/>
      </w:divBdr>
      <w:divsChild>
        <w:div w:id="1105804303">
          <w:marLeft w:val="0"/>
          <w:marRight w:val="0"/>
          <w:marTop w:val="0"/>
          <w:marBottom w:val="0"/>
          <w:divBdr>
            <w:top w:val="none" w:sz="0" w:space="0" w:color="auto"/>
            <w:left w:val="none" w:sz="0" w:space="0" w:color="auto"/>
            <w:bottom w:val="none" w:sz="0" w:space="0" w:color="auto"/>
            <w:right w:val="none" w:sz="0" w:space="0" w:color="auto"/>
          </w:divBdr>
          <w:divsChild>
            <w:div w:id="1513840098">
              <w:marLeft w:val="0"/>
              <w:marRight w:val="0"/>
              <w:marTop w:val="0"/>
              <w:marBottom w:val="0"/>
              <w:divBdr>
                <w:top w:val="none" w:sz="0" w:space="0" w:color="auto"/>
                <w:left w:val="none" w:sz="0" w:space="0" w:color="auto"/>
                <w:bottom w:val="none" w:sz="0" w:space="0" w:color="auto"/>
                <w:right w:val="none" w:sz="0" w:space="0" w:color="auto"/>
              </w:divBdr>
              <w:divsChild>
                <w:div w:id="157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7889">
      <w:bodyDiv w:val="1"/>
      <w:marLeft w:val="0"/>
      <w:marRight w:val="0"/>
      <w:marTop w:val="0"/>
      <w:marBottom w:val="0"/>
      <w:divBdr>
        <w:top w:val="none" w:sz="0" w:space="0" w:color="auto"/>
        <w:left w:val="none" w:sz="0" w:space="0" w:color="auto"/>
        <w:bottom w:val="none" w:sz="0" w:space="0" w:color="auto"/>
        <w:right w:val="none" w:sz="0" w:space="0" w:color="auto"/>
      </w:divBdr>
    </w:div>
    <w:div w:id="771895610">
      <w:bodyDiv w:val="1"/>
      <w:marLeft w:val="0"/>
      <w:marRight w:val="0"/>
      <w:marTop w:val="0"/>
      <w:marBottom w:val="0"/>
      <w:divBdr>
        <w:top w:val="none" w:sz="0" w:space="0" w:color="auto"/>
        <w:left w:val="none" w:sz="0" w:space="0" w:color="auto"/>
        <w:bottom w:val="none" w:sz="0" w:space="0" w:color="auto"/>
        <w:right w:val="none" w:sz="0" w:space="0" w:color="auto"/>
      </w:divBdr>
      <w:divsChild>
        <w:div w:id="1238857120">
          <w:marLeft w:val="0"/>
          <w:marRight w:val="0"/>
          <w:marTop w:val="0"/>
          <w:marBottom w:val="0"/>
          <w:divBdr>
            <w:top w:val="none" w:sz="0" w:space="0" w:color="auto"/>
            <w:left w:val="none" w:sz="0" w:space="0" w:color="auto"/>
            <w:bottom w:val="none" w:sz="0" w:space="0" w:color="auto"/>
            <w:right w:val="none" w:sz="0" w:space="0" w:color="auto"/>
          </w:divBdr>
          <w:divsChild>
            <w:div w:id="326514817">
              <w:marLeft w:val="0"/>
              <w:marRight w:val="0"/>
              <w:marTop w:val="0"/>
              <w:marBottom w:val="0"/>
              <w:divBdr>
                <w:top w:val="none" w:sz="0" w:space="0" w:color="auto"/>
                <w:left w:val="none" w:sz="0" w:space="0" w:color="auto"/>
                <w:bottom w:val="none" w:sz="0" w:space="0" w:color="auto"/>
                <w:right w:val="none" w:sz="0" w:space="0" w:color="auto"/>
              </w:divBdr>
              <w:divsChild>
                <w:div w:id="19690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2059">
      <w:bodyDiv w:val="1"/>
      <w:marLeft w:val="0"/>
      <w:marRight w:val="0"/>
      <w:marTop w:val="0"/>
      <w:marBottom w:val="0"/>
      <w:divBdr>
        <w:top w:val="none" w:sz="0" w:space="0" w:color="auto"/>
        <w:left w:val="none" w:sz="0" w:space="0" w:color="auto"/>
        <w:bottom w:val="none" w:sz="0" w:space="0" w:color="auto"/>
        <w:right w:val="none" w:sz="0" w:space="0" w:color="auto"/>
      </w:divBdr>
    </w:div>
    <w:div w:id="815025073">
      <w:bodyDiv w:val="1"/>
      <w:marLeft w:val="0"/>
      <w:marRight w:val="0"/>
      <w:marTop w:val="0"/>
      <w:marBottom w:val="0"/>
      <w:divBdr>
        <w:top w:val="none" w:sz="0" w:space="0" w:color="auto"/>
        <w:left w:val="none" w:sz="0" w:space="0" w:color="auto"/>
        <w:bottom w:val="none" w:sz="0" w:space="0" w:color="auto"/>
        <w:right w:val="none" w:sz="0" w:space="0" w:color="auto"/>
      </w:divBdr>
    </w:div>
    <w:div w:id="935675634">
      <w:bodyDiv w:val="1"/>
      <w:marLeft w:val="0"/>
      <w:marRight w:val="0"/>
      <w:marTop w:val="0"/>
      <w:marBottom w:val="0"/>
      <w:divBdr>
        <w:top w:val="none" w:sz="0" w:space="0" w:color="auto"/>
        <w:left w:val="none" w:sz="0" w:space="0" w:color="auto"/>
        <w:bottom w:val="none" w:sz="0" w:space="0" w:color="auto"/>
        <w:right w:val="none" w:sz="0" w:space="0" w:color="auto"/>
      </w:divBdr>
      <w:divsChild>
        <w:div w:id="261183135">
          <w:marLeft w:val="0"/>
          <w:marRight w:val="0"/>
          <w:marTop w:val="0"/>
          <w:marBottom w:val="0"/>
          <w:divBdr>
            <w:top w:val="none" w:sz="0" w:space="0" w:color="auto"/>
            <w:left w:val="none" w:sz="0" w:space="0" w:color="auto"/>
            <w:bottom w:val="none" w:sz="0" w:space="0" w:color="auto"/>
            <w:right w:val="none" w:sz="0" w:space="0" w:color="auto"/>
          </w:divBdr>
          <w:divsChild>
            <w:div w:id="566495316">
              <w:marLeft w:val="0"/>
              <w:marRight w:val="0"/>
              <w:marTop w:val="0"/>
              <w:marBottom w:val="0"/>
              <w:divBdr>
                <w:top w:val="none" w:sz="0" w:space="0" w:color="auto"/>
                <w:left w:val="none" w:sz="0" w:space="0" w:color="auto"/>
                <w:bottom w:val="none" w:sz="0" w:space="0" w:color="auto"/>
                <w:right w:val="none" w:sz="0" w:space="0" w:color="auto"/>
              </w:divBdr>
              <w:divsChild>
                <w:div w:id="16359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415">
      <w:bodyDiv w:val="1"/>
      <w:marLeft w:val="0"/>
      <w:marRight w:val="0"/>
      <w:marTop w:val="0"/>
      <w:marBottom w:val="0"/>
      <w:divBdr>
        <w:top w:val="none" w:sz="0" w:space="0" w:color="auto"/>
        <w:left w:val="none" w:sz="0" w:space="0" w:color="auto"/>
        <w:bottom w:val="none" w:sz="0" w:space="0" w:color="auto"/>
        <w:right w:val="none" w:sz="0" w:space="0" w:color="auto"/>
      </w:divBdr>
      <w:divsChild>
        <w:div w:id="2050643885">
          <w:marLeft w:val="0"/>
          <w:marRight w:val="0"/>
          <w:marTop w:val="0"/>
          <w:marBottom w:val="0"/>
          <w:divBdr>
            <w:top w:val="none" w:sz="0" w:space="0" w:color="auto"/>
            <w:left w:val="none" w:sz="0" w:space="0" w:color="auto"/>
            <w:bottom w:val="none" w:sz="0" w:space="0" w:color="auto"/>
            <w:right w:val="none" w:sz="0" w:space="0" w:color="auto"/>
          </w:divBdr>
          <w:divsChild>
            <w:div w:id="635064953">
              <w:marLeft w:val="0"/>
              <w:marRight w:val="0"/>
              <w:marTop w:val="0"/>
              <w:marBottom w:val="0"/>
              <w:divBdr>
                <w:top w:val="none" w:sz="0" w:space="0" w:color="auto"/>
                <w:left w:val="none" w:sz="0" w:space="0" w:color="auto"/>
                <w:bottom w:val="none" w:sz="0" w:space="0" w:color="auto"/>
                <w:right w:val="none" w:sz="0" w:space="0" w:color="auto"/>
              </w:divBdr>
              <w:divsChild>
                <w:div w:id="1520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66">
      <w:bodyDiv w:val="1"/>
      <w:marLeft w:val="0"/>
      <w:marRight w:val="0"/>
      <w:marTop w:val="0"/>
      <w:marBottom w:val="0"/>
      <w:divBdr>
        <w:top w:val="none" w:sz="0" w:space="0" w:color="auto"/>
        <w:left w:val="none" w:sz="0" w:space="0" w:color="auto"/>
        <w:bottom w:val="none" w:sz="0" w:space="0" w:color="auto"/>
        <w:right w:val="none" w:sz="0" w:space="0" w:color="auto"/>
      </w:divBdr>
    </w:div>
    <w:div w:id="1154877898">
      <w:bodyDiv w:val="1"/>
      <w:marLeft w:val="0"/>
      <w:marRight w:val="0"/>
      <w:marTop w:val="0"/>
      <w:marBottom w:val="0"/>
      <w:divBdr>
        <w:top w:val="none" w:sz="0" w:space="0" w:color="auto"/>
        <w:left w:val="none" w:sz="0" w:space="0" w:color="auto"/>
        <w:bottom w:val="none" w:sz="0" w:space="0" w:color="auto"/>
        <w:right w:val="none" w:sz="0" w:space="0" w:color="auto"/>
      </w:divBdr>
      <w:divsChild>
        <w:div w:id="1072047168">
          <w:marLeft w:val="0"/>
          <w:marRight w:val="0"/>
          <w:marTop w:val="0"/>
          <w:marBottom w:val="0"/>
          <w:divBdr>
            <w:top w:val="none" w:sz="0" w:space="0" w:color="auto"/>
            <w:left w:val="none" w:sz="0" w:space="0" w:color="auto"/>
            <w:bottom w:val="none" w:sz="0" w:space="0" w:color="auto"/>
            <w:right w:val="none" w:sz="0" w:space="0" w:color="auto"/>
          </w:divBdr>
          <w:divsChild>
            <w:div w:id="922758879">
              <w:marLeft w:val="0"/>
              <w:marRight w:val="0"/>
              <w:marTop w:val="0"/>
              <w:marBottom w:val="0"/>
              <w:divBdr>
                <w:top w:val="none" w:sz="0" w:space="0" w:color="auto"/>
                <w:left w:val="none" w:sz="0" w:space="0" w:color="auto"/>
                <w:bottom w:val="none" w:sz="0" w:space="0" w:color="auto"/>
                <w:right w:val="none" w:sz="0" w:space="0" w:color="auto"/>
              </w:divBdr>
              <w:divsChild>
                <w:div w:id="11385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8946189">
      <w:bodyDiv w:val="1"/>
      <w:marLeft w:val="0"/>
      <w:marRight w:val="0"/>
      <w:marTop w:val="0"/>
      <w:marBottom w:val="0"/>
      <w:divBdr>
        <w:top w:val="none" w:sz="0" w:space="0" w:color="auto"/>
        <w:left w:val="none" w:sz="0" w:space="0" w:color="auto"/>
        <w:bottom w:val="none" w:sz="0" w:space="0" w:color="auto"/>
        <w:right w:val="none" w:sz="0" w:space="0" w:color="auto"/>
      </w:divBdr>
      <w:divsChild>
        <w:div w:id="1889412107">
          <w:marLeft w:val="0"/>
          <w:marRight w:val="0"/>
          <w:marTop w:val="0"/>
          <w:marBottom w:val="0"/>
          <w:divBdr>
            <w:top w:val="none" w:sz="0" w:space="0" w:color="auto"/>
            <w:left w:val="none" w:sz="0" w:space="0" w:color="auto"/>
            <w:bottom w:val="none" w:sz="0" w:space="0" w:color="auto"/>
            <w:right w:val="none" w:sz="0" w:space="0" w:color="auto"/>
          </w:divBdr>
          <w:divsChild>
            <w:div w:id="1298142059">
              <w:marLeft w:val="0"/>
              <w:marRight w:val="0"/>
              <w:marTop w:val="0"/>
              <w:marBottom w:val="0"/>
              <w:divBdr>
                <w:top w:val="none" w:sz="0" w:space="0" w:color="auto"/>
                <w:left w:val="none" w:sz="0" w:space="0" w:color="auto"/>
                <w:bottom w:val="none" w:sz="0" w:space="0" w:color="auto"/>
                <w:right w:val="none" w:sz="0" w:space="0" w:color="auto"/>
              </w:divBdr>
              <w:divsChild>
                <w:div w:id="4586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8">
      <w:bodyDiv w:val="1"/>
      <w:marLeft w:val="0"/>
      <w:marRight w:val="0"/>
      <w:marTop w:val="0"/>
      <w:marBottom w:val="0"/>
      <w:divBdr>
        <w:top w:val="none" w:sz="0" w:space="0" w:color="auto"/>
        <w:left w:val="none" w:sz="0" w:space="0" w:color="auto"/>
        <w:bottom w:val="none" w:sz="0" w:space="0" w:color="auto"/>
        <w:right w:val="none" w:sz="0" w:space="0" w:color="auto"/>
      </w:divBdr>
      <w:divsChild>
        <w:div w:id="902907017">
          <w:marLeft w:val="0"/>
          <w:marRight w:val="0"/>
          <w:marTop w:val="0"/>
          <w:marBottom w:val="0"/>
          <w:divBdr>
            <w:top w:val="none" w:sz="0" w:space="0" w:color="auto"/>
            <w:left w:val="none" w:sz="0" w:space="0" w:color="auto"/>
            <w:bottom w:val="none" w:sz="0" w:space="0" w:color="auto"/>
            <w:right w:val="none" w:sz="0" w:space="0" w:color="auto"/>
          </w:divBdr>
          <w:divsChild>
            <w:div w:id="180822296">
              <w:marLeft w:val="0"/>
              <w:marRight w:val="0"/>
              <w:marTop w:val="0"/>
              <w:marBottom w:val="0"/>
              <w:divBdr>
                <w:top w:val="none" w:sz="0" w:space="0" w:color="auto"/>
                <w:left w:val="none" w:sz="0" w:space="0" w:color="auto"/>
                <w:bottom w:val="none" w:sz="0" w:space="0" w:color="auto"/>
                <w:right w:val="none" w:sz="0" w:space="0" w:color="auto"/>
              </w:divBdr>
              <w:divsChild>
                <w:div w:id="13338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8578">
      <w:bodyDiv w:val="1"/>
      <w:marLeft w:val="0"/>
      <w:marRight w:val="0"/>
      <w:marTop w:val="0"/>
      <w:marBottom w:val="0"/>
      <w:divBdr>
        <w:top w:val="none" w:sz="0" w:space="0" w:color="auto"/>
        <w:left w:val="none" w:sz="0" w:space="0" w:color="auto"/>
        <w:bottom w:val="none" w:sz="0" w:space="0" w:color="auto"/>
        <w:right w:val="none" w:sz="0" w:space="0" w:color="auto"/>
      </w:divBdr>
    </w:div>
    <w:div w:id="1442995494">
      <w:bodyDiv w:val="1"/>
      <w:marLeft w:val="0"/>
      <w:marRight w:val="0"/>
      <w:marTop w:val="0"/>
      <w:marBottom w:val="0"/>
      <w:divBdr>
        <w:top w:val="none" w:sz="0" w:space="0" w:color="auto"/>
        <w:left w:val="none" w:sz="0" w:space="0" w:color="auto"/>
        <w:bottom w:val="none" w:sz="0" w:space="0" w:color="auto"/>
        <w:right w:val="none" w:sz="0" w:space="0" w:color="auto"/>
      </w:divBdr>
    </w:div>
    <w:div w:id="1482961022">
      <w:bodyDiv w:val="1"/>
      <w:marLeft w:val="0"/>
      <w:marRight w:val="0"/>
      <w:marTop w:val="0"/>
      <w:marBottom w:val="0"/>
      <w:divBdr>
        <w:top w:val="none" w:sz="0" w:space="0" w:color="auto"/>
        <w:left w:val="none" w:sz="0" w:space="0" w:color="auto"/>
        <w:bottom w:val="none" w:sz="0" w:space="0" w:color="auto"/>
        <w:right w:val="none" w:sz="0" w:space="0" w:color="auto"/>
      </w:divBdr>
      <w:divsChild>
        <w:div w:id="817259943">
          <w:marLeft w:val="0"/>
          <w:marRight w:val="0"/>
          <w:marTop w:val="0"/>
          <w:marBottom w:val="0"/>
          <w:divBdr>
            <w:top w:val="none" w:sz="0" w:space="0" w:color="auto"/>
            <w:left w:val="none" w:sz="0" w:space="0" w:color="auto"/>
            <w:bottom w:val="none" w:sz="0" w:space="0" w:color="auto"/>
            <w:right w:val="none" w:sz="0" w:space="0" w:color="auto"/>
          </w:divBdr>
          <w:divsChild>
            <w:div w:id="2140955072">
              <w:marLeft w:val="0"/>
              <w:marRight w:val="0"/>
              <w:marTop w:val="0"/>
              <w:marBottom w:val="0"/>
              <w:divBdr>
                <w:top w:val="none" w:sz="0" w:space="0" w:color="auto"/>
                <w:left w:val="none" w:sz="0" w:space="0" w:color="auto"/>
                <w:bottom w:val="none" w:sz="0" w:space="0" w:color="auto"/>
                <w:right w:val="none" w:sz="0" w:space="0" w:color="auto"/>
              </w:divBdr>
              <w:divsChild>
                <w:div w:id="135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954">
      <w:bodyDiv w:val="1"/>
      <w:marLeft w:val="0"/>
      <w:marRight w:val="0"/>
      <w:marTop w:val="0"/>
      <w:marBottom w:val="0"/>
      <w:divBdr>
        <w:top w:val="none" w:sz="0" w:space="0" w:color="auto"/>
        <w:left w:val="none" w:sz="0" w:space="0" w:color="auto"/>
        <w:bottom w:val="none" w:sz="0" w:space="0" w:color="auto"/>
        <w:right w:val="none" w:sz="0" w:space="0" w:color="auto"/>
      </w:divBdr>
    </w:div>
    <w:div w:id="1574777286">
      <w:bodyDiv w:val="1"/>
      <w:marLeft w:val="0"/>
      <w:marRight w:val="0"/>
      <w:marTop w:val="0"/>
      <w:marBottom w:val="0"/>
      <w:divBdr>
        <w:top w:val="none" w:sz="0" w:space="0" w:color="auto"/>
        <w:left w:val="none" w:sz="0" w:space="0" w:color="auto"/>
        <w:bottom w:val="none" w:sz="0" w:space="0" w:color="auto"/>
        <w:right w:val="none" w:sz="0" w:space="0" w:color="auto"/>
      </w:divBdr>
    </w:div>
    <w:div w:id="1585994763">
      <w:bodyDiv w:val="1"/>
      <w:marLeft w:val="0"/>
      <w:marRight w:val="0"/>
      <w:marTop w:val="0"/>
      <w:marBottom w:val="0"/>
      <w:divBdr>
        <w:top w:val="none" w:sz="0" w:space="0" w:color="auto"/>
        <w:left w:val="none" w:sz="0" w:space="0" w:color="auto"/>
        <w:bottom w:val="none" w:sz="0" w:space="0" w:color="auto"/>
        <w:right w:val="none" w:sz="0" w:space="0" w:color="auto"/>
      </w:divBdr>
    </w:div>
    <w:div w:id="1607083615">
      <w:bodyDiv w:val="1"/>
      <w:marLeft w:val="0"/>
      <w:marRight w:val="0"/>
      <w:marTop w:val="0"/>
      <w:marBottom w:val="0"/>
      <w:divBdr>
        <w:top w:val="none" w:sz="0" w:space="0" w:color="auto"/>
        <w:left w:val="none" w:sz="0" w:space="0" w:color="auto"/>
        <w:bottom w:val="none" w:sz="0" w:space="0" w:color="auto"/>
        <w:right w:val="none" w:sz="0" w:space="0" w:color="auto"/>
      </w:divBdr>
    </w:div>
    <w:div w:id="1639801735">
      <w:bodyDiv w:val="1"/>
      <w:marLeft w:val="0"/>
      <w:marRight w:val="0"/>
      <w:marTop w:val="0"/>
      <w:marBottom w:val="0"/>
      <w:divBdr>
        <w:top w:val="none" w:sz="0" w:space="0" w:color="auto"/>
        <w:left w:val="none" w:sz="0" w:space="0" w:color="auto"/>
        <w:bottom w:val="none" w:sz="0" w:space="0" w:color="auto"/>
        <w:right w:val="none" w:sz="0" w:space="0" w:color="auto"/>
      </w:divBdr>
    </w:div>
    <w:div w:id="1672491596">
      <w:bodyDiv w:val="1"/>
      <w:marLeft w:val="0"/>
      <w:marRight w:val="0"/>
      <w:marTop w:val="0"/>
      <w:marBottom w:val="0"/>
      <w:divBdr>
        <w:top w:val="none" w:sz="0" w:space="0" w:color="auto"/>
        <w:left w:val="none" w:sz="0" w:space="0" w:color="auto"/>
        <w:bottom w:val="none" w:sz="0" w:space="0" w:color="auto"/>
        <w:right w:val="none" w:sz="0" w:space="0" w:color="auto"/>
      </w:divBdr>
      <w:divsChild>
        <w:div w:id="1555963215">
          <w:marLeft w:val="0"/>
          <w:marRight w:val="0"/>
          <w:marTop w:val="0"/>
          <w:marBottom w:val="0"/>
          <w:divBdr>
            <w:top w:val="none" w:sz="0" w:space="0" w:color="auto"/>
            <w:left w:val="none" w:sz="0" w:space="0" w:color="auto"/>
            <w:bottom w:val="none" w:sz="0" w:space="0" w:color="auto"/>
            <w:right w:val="none" w:sz="0" w:space="0" w:color="auto"/>
          </w:divBdr>
          <w:divsChild>
            <w:div w:id="1483153763">
              <w:marLeft w:val="0"/>
              <w:marRight w:val="0"/>
              <w:marTop w:val="0"/>
              <w:marBottom w:val="0"/>
              <w:divBdr>
                <w:top w:val="none" w:sz="0" w:space="0" w:color="auto"/>
                <w:left w:val="none" w:sz="0" w:space="0" w:color="auto"/>
                <w:bottom w:val="none" w:sz="0" w:space="0" w:color="auto"/>
                <w:right w:val="none" w:sz="0" w:space="0" w:color="auto"/>
              </w:divBdr>
              <w:divsChild>
                <w:div w:id="3145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5357">
      <w:bodyDiv w:val="1"/>
      <w:marLeft w:val="0"/>
      <w:marRight w:val="0"/>
      <w:marTop w:val="0"/>
      <w:marBottom w:val="0"/>
      <w:divBdr>
        <w:top w:val="none" w:sz="0" w:space="0" w:color="auto"/>
        <w:left w:val="none" w:sz="0" w:space="0" w:color="auto"/>
        <w:bottom w:val="none" w:sz="0" w:space="0" w:color="auto"/>
        <w:right w:val="none" w:sz="0" w:space="0" w:color="auto"/>
      </w:divBdr>
    </w:div>
    <w:div w:id="1736662350">
      <w:bodyDiv w:val="1"/>
      <w:marLeft w:val="0"/>
      <w:marRight w:val="0"/>
      <w:marTop w:val="0"/>
      <w:marBottom w:val="0"/>
      <w:divBdr>
        <w:top w:val="none" w:sz="0" w:space="0" w:color="auto"/>
        <w:left w:val="none" w:sz="0" w:space="0" w:color="auto"/>
        <w:bottom w:val="none" w:sz="0" w:space="0" w:color="auto"/>
        <w:right w:val="none" w:sz="0" w:space="0" w:color="auto"/>
      </w:divBdr>
      <w:divsChild>
        <w:div w:id="1490749226">
          <w:marLeft w:val="0"/>
          <w:marRight w:val="0"/>
          <w:marTop w:val="0"/>
          <w:marBottom w:val="0"/>
          <w:divBdr>
            <w:top w:val="none" w:sz="0" w:space="0" w:color="auto"/>
            <w:left w:val="none" w:sz="0" w:space="0" w:color="auto"/>
            <w:bottom w:val="none" w:sz="0" w:space="0" w:color="auto"/>
            <w:right w:val="none" w:sz="0" w:space="0" w:color="auto"/>
          </w:divBdr>
          <w:divsChild>
            <w:div w:id="919870695">
              <w:marLeft w:val="0"/>
              <w:marRight w:val="0"/>
              <w:marTop w:val="0"/>
              <w:marBottom w:val="0"/>
              <w:divBdr>
                <w:top w:val="none" w:sz="0" w:space="0" w:color="auto"/>
                <w:left w:val="none" w:sz="0" w:space="0" w:color="auto"/>
                <w:bottom w:val="none" w:sz="0" w:space="0" w:color="auto"/>
                <w:right w:val="none" w:sz="0" w:space="0" w:color="auto"/>
              </w:divBdr>
              <w:divsChild>
                <w:div w:id="2280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9131">
      <w:bodyDiv w:val="1"/>
      <w:marLeft w:val="0"/>
      <w:marRight w:val="0"/>
      <w:marTop w:val="0"/>
      <w:marBottom w:val="0"/>
      <w:divBdr>
        <w:top w:val="none" w:sz="0" w:space="0" w:color="auto"/>
        <w:left w:val="none" w:sz="0" w:space="0" w:color="auto"/>
        <w:bottom w:val="none" w:sz="0" w:space="0" w:color="auto"/>
        <w:right w:val="none" w:sz="0" w:space="0" w:color="auto"/>
      </w:divBdr>
      <w:divsChild>
        <w:div w:id="1947154098">
          <w:marLeft w:val="0"/>
          <w:marRight w:val="0"/>
          <w:marTop w:val="0"/>
          <w:marBottom w:val="0"/>
          <w:divBdr>
            <w:top w:val="none" w:sz="0" w:space="0" w:color="auto"/>
            <w:left w:val="none" w:sz="0" w:space="0" w:color="auto"/>
            <w:bottom w:val="none" w:sz="0" w:space="0" w:color="auto"/>
            <w:right w:val="none" w:sz="0" w:space="0" w:color="auto"/>
          </w:divBdr>
          <w:divsChild>
            <w:div w:id="806359214">
              <w:marLeft w:val="0"/>
              <w:marRight w:val="0"/>
              <w:marTop w:val="0"/>
              <w:marBottom w:val="0"/>
              <w:divBdr>
                <w:top w:val="none" w:sz="0" w:space="0" w:color="auto"/>
                <w:left w:val="none" w:sz="0" w:space="0" w:color="auto"/>
                <w:bottom w:val="none" w:sz="0" w:space="0" w:color="auto"/>
                <w:right w:val="none" w:sz="0" w:space="0" w:color="auto"/>
              </w:divBdr>
              <w:divsChild>
                <w:div w:id="19694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924339905">
      <w:bodyDiv w:val="1"/>
      <w:marLeft w:val="0"/>
      <w:marRight w:val="0"/>
      <w:marTop w:val="0"/>
      <w:marBottom w:val="0"/>
      <w:divBdr>
        <w:top w:val="none" w:sz="0" w:space="0" w:color="auto"/>
        <w:left w:val="none" w:sz="0" w:space="0" w:color="auto"/>
        <w:bottom w:val="none" w:sz="0" w:space="0" w:color="auto"/>
        <w:right w:val="none" w:sz="0" w:space="0" w:color="auto"/>
      </w:divBdr>
    </w:div>
    <w:div w:id="2007319908">
      <w:bodyDiv w:val="1"/>
      <w:marLeft w:val="0"/>
      <w:marRight w:val="0"/>
      <w:marTop w:val="0"/>
      <w:marBottom w:val="0"/>
      <w:divBdr>
        <w:top w:val="none" w:sz="0" w:space="0" w:color="auto"/>
        <w:left w:val="none" w:sz="0" w:space="0" w:color="auto"/>
        <w:bottom w:val="none" w:sz="0" w:space="0" w:color="auto"/>
        <w:right w:val="none" w:sz="0" w:space="0" w:color="auto"/>
      </w:divBdr>
    </w:div>
    <w:div w:id="2023360834">
      <w:bodyDiv w:val="1"/>
      <w:marLeft w:val="0"/>
      <w:marRight w:val="0"/>
      <w:marTop w:val="0"/>
      <w:marBottom w:val="0"/>
      <w:divBdr>
        <w:top w:val="none" w:sz="0" w:space="0" w:color="auto"/>
        <w:left w:val="none" w:sz="0" w:space="0" w:color="auto"/>
        <w:bottom w:val="none" w:sz="0" w:space="0" w:color="auto"/>
        <w:right w:val="none" w:sz="0" w:space="0" w:color="auto"/>
      </w:divBdr>
    </w:div>
    <w:div w:id="2045590599">
      <w:bodyDiv w:val="1"/>
      <w:marLeft w:val="0"/>
      <w:marRight w:val="0"/>
      <w:marTop w:val="0"/>
      <w:marBottom w:val="0"/>
      <w:divBdr>
        <w:top w:val="none" w:sz="0" w:space="0" w:color="auto"/>
        <w:left w:val="none" w:sz="0" w:space="0" w:color="auto"/>
        <w:bottom w:val="none" w:sz="0" w:space="0" w:color="auto"/>
        <w:right w:val="none" w:sz="0" w:space="0" w:color="auto"/>
      </w:divBdr>
      <w:divsChild>
        <w:div w:id="1575972928">
          <w:marLeft w:val="0"/>
          <w:marRight w:val="0"/>
          <w:marTop w:val="0"/>
          <w:marBottom w:val="0"/>
          <w:divBdr>
            <w:top w:val="none" w:sz="0" w:space="0" w:color="auto"/>
            <w:left w:val="none" w:sz="0" w:space="0" w:color="auto"/>
            <w:bottom w:val="none" w:sz="0" w:space="0" w:color="auto"/>
            <w:right w:val="none" w:sz="0" w:space="0" w:color="auto"/>
          </w:divBdr>
          <w:divsChild>
            <w:div w:id="1917933707">
              <w:marLeft w:val="0"/>
              <w:marRight w:val="0"/>
              <w:marTop w:val="0"/>
              <w:marBottom w:val="0"/>
              <w:divBdr>
                <w:top w:val="none" w:sz="0" w:space="0" w:color="auto"/>
                <w:left w:val="none" w:sz="0" w:space="0" w:color="auto"/>
                <w:bottom w:val="none" w:sz="0" w:space="0" w:color="auto"/>
                <w:right w:val="none" w:sz="0" w:space="0" w:color="auto"/>
              </w:divBdr>
              <w:divsChild>
                <w:div w:id="9020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4E79"/>
    <w:rsid w:val="00200821"/>
    <w:rsid w:val="002443D5"/>
    <w:rsid w:val="0025245B"/>
    <w:rsid w:val="002A3923"/>
    <w:rsid w:val="0033038E"/>
    <w:rsid w:val="00394049"/>
    <w:rsid w:val="003B0C71"/>
    <w:rsid w:val="00467014"/>
    <w:rsid w:val="0049455E"/>
    <w:rsid w:val="004A44CE"/>
    <w:rsid w:val="004A67C2"/>
    <w:rsid w:val="004B5BBB"/>
    <w:rsid w:val="004B7BF1"/>
    <w:rsid w:val="004F2DF8"/>
    <w:rsid w:val="00517E2A"/>
    <w:rsid w:val="00574B78"/>
    <w:rsid w:val="00616047"/>
    <w:rsid w:val="00616264"/>
    <w:rsid w:val="00683CC3"/>
    <w:rsid w:val="006D726E"/>
    <w:rsid w:val="006D7C96"/>
    <w:rsid w:val="006F24A1"/>
    <w:rsid w:val="009A261B"/>
    <w:rsid w:val="00A018CF"/>
    <w:rsid w:val="00A11A85"/>
    <w:rsid w:val="00A24504"/>
    <w:rsid w:val="00AA2E17"/>
    <w:rsid w:val="00AC15A4"/>
    <w:rsid w:val="00B0336C"/>
    <w:rsid w:val="00B56E30"/>
    <w:rsid w:val="00B76CED"/>
    <w:rsid w:val="00C74B04"/>
    <w:rsid w:val="00CB66C7"/>
    <w:rsid w:val="00D241E9"/>
    <w:rsid w:val="00D7750D"/>
    <w:rsid w:val="00F00D2F"/>
    <w:rsid w:val="00F128DF"/>
    <w:rsid w:val="00FB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CB9A-E0F0-41D5-8496-5017F3CB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437/21</dc:title>
  <dc:subject/>
  <dc:creator/>
  <cp:keywords/>
  <cp:lastModifiedBy/>
  <cp:revision>1</cp:revision>
  <dcterms:created xsi:type="dcterms:W3CDTF">2022-03-02T16:57:00Z</dcterms:created>
  <dcterms:modified xsi:type="dcterms:W3CDTF">2022-03-02T16:57:00Z</dcterms:modified>
</cp:coreProperties>
</file>