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D50D50" w:rsidRDefault="00D306D1" w:rsidP="00627C9F">
      <w:pPr>
        <w:jc w:val="both"/>
        <w:rPr>
          <w:rFonts w:asciiTheme="majorHAnsi" w:hAnsiTheme="majorHAnsi" w:cs="Univers"/>
          <w:b/>
          <w:bCs/>
          <w:sz w:val="20"/>
          <w:szCs w:val="20"/>
          <w:lang w:val="es-ES"/>
        </w:rPr>
      </w:pPr>
      <w:r w:rsidRPr="00D50D50">
        <w:rPr>
          <w:rFonts w:asciiTheme="majorHAnsi" w:hAnsiTheme="majorHAnsi"/>
          <w:noProof/>
          <w:sz w:val="20"/>
          <w:szCs w:val="20"/>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1981700">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416BB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w:pict>
          </mc:Fallback>
        </mc:AlternateContent>
      </w:r>
      <w:r w:rsidR="003E6CA1" w:rsidRPr="00D50D50">
        <w:rPr>
          <w:rFonts w:asciiTheme="majorHAnsi" w:hAnsiTheme="majorHAnsi"/>
          <w:noProof/>
          <w:sz w:val="20"/>
          <w:szCs w:val="20"/>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6C2713" w:rsidRDefault="006C2713"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94D6A13">
              <v:shapetype id="_x0000_t202" coordsize="21600,21600" o:spt="202" path="m,l,21600r21600,l21600,xe" w14:anchorId="10F4F91A">
                <v:stroke joinstyle="miter"/>
                <v:path gradientshapeok="t" o:connecttype="rect"/>
              </v:shapetype>
              <v:shape id="Text Box 11"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v:textbox>
                  <w:txbxContent>
                    <w:p w:rsidR="006C2713" w:rsidP="00AE5488" w:rsidRDefault="006C2713" w14:paraId="3D8553D8" w14:textId="77777777">
                      <w:r>
                        <w:rPr>
                          <w:noProof/>
                        </w:rPr>
                        <w:drawing>
                          <wp:inline distT="0" distB="0" distL="0" distR="0" wp14:anchorId="67AF3EC8" wp14:editId="62425977">
                            <wp:extent cx="2647666" cy="509676"/>
                            <wp:effectExtent l="0" t="0" r="635" b="5080"/>
                            <wp:docPr id="1103718947"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t xml:space="preserve">                              </w:t>
                      </w:r>
                    </w:p>
                  </w:txbxContent>
                </v:textbox>
              </v:shape>
            </w:pict>
          </mc:Fallback>
        </mc:AlternateContent>
      </w:r>
    </w:p>
    <w:p w14:paraId="47386BAF" w14:textId="77777777" w:rsidR="00040C3A" w:rsidRPr="00D50D50" w:rsidRDefault="00040C3A" w:rsidP="00040C3A">
      <w:pPr>
        <w:tabs>
          <w:tab w:val="center" w:pos="5400"/>
        </w:tabs>
        <w:suppressAutoHyphens/>
        <w:jc w:val="both"/>
        <w:rPr>
          <w:rFonts w:asciiTheme="majorHAnsi" w:hAnsiTheme="majorHAnsi"/>
          <w:sz w:val="20"/>
          <w:szCs w:val="20"/>
          <w:lang w:val="es-ES"/>
        </w:rPr>
      </w:pPr>
    </w:p>
    <w:p w14:paraId="5A87E141" w14:textId="77777777" w:rsidR="00040C3A" w:rsidRPr="00D50D50" w:rsidRDefault="00040C3A" w:rsidP="00040C3A">
      <w:pPr>
        <w:tabs>
          <w:tab w:val="center" w:pos="5400"/>
        </w:tabs>
        <w:suppressAutoHyphens/>
        <w:jc w:val="both"/>
        <w:rPr>
          <w:rFonts w:asciiTheme="majorHAnsi" w:hAnsiTheme="majorHAnsi"/>
          <w:sz w:val="20"/>
          <w:szCs w:val="20"/>
          <w:lang w:val="es-ES"/>
        </w:rPr>
      </w:pPr>
    </w:p>
    <w:p w14:paraId="29D95BCC" w14:textId="77777777" w:rsidR="005128E4" w:rsidRPr="00D50D50" w:rsidRDefault="005128E4" w:rsidP="00040C3A">
      <w:pPr>
        <w:tabs>
          <w:tab w:val="center" w:pos="5400"/>
        </w:tabs>
        <w:suppressAutoHyphens/>
        <w:rPr>
          <w:rFonts w:asciiTheme="majorHAnsi" w:hAnsiTheme="majorHAnsi"/>
          <w:sz w:val="20"/>
          <w:szCs w:val="20"/>
          <w:lang w:val="es-ES"/>
        </w:rPr>
      </w:pPr>
    </w:p>
    <w:p w14:paraId="12A36B24" w14:textId="77777777" w:rsidR="005128E4" w:rsidRPr="00D50D50" w:rsidRDefault="005128E4" w:rsidP="00040C3A">
      <w:pPr>
        <w:tabs>
          <w:tab w:val="center" w:pos="5400"/>
        </w:tabs>
        <w:suppressAutoHyphens/>
        <w:rPr>
          <w:rFonts w:asciiTheme="majorHAnsi" w:hAnsiTheme="majorHAnsi"/>
          <w:sz w:val="20"/>
          <w:szCs w:val="20"/>
          <w:lang w:val="es-ES"/>
        </w:rPr>
      </w:pPr>
    </w:p>
    <w:p w14:paraId="2252093D" w14:textId="77777777" w:rsidR="005128E4" w:rsidRPr="00D50D50" w:rsidRDefault="005128E4" w:rsidP="00040C3A">
      <w:pPr>
        <w:tabs>
          <w:tab w:val="center" w:pos="5400"/>
        </w:tabs>
        <w:suppressAutoHyphens/>
        <w:rPr>
          <w:rFonts w:asciiTheme="majorHAnsi" w:hAnsiTheme="majorHAnsi"/>
          <w:sz w:val="20"/>
          <w:szCs w:val="20"/>
          <w:lang w:val="es-ES"/>
        </w:rPr>
      </w:pPr>
    </w:p>
    <w:p w14:paraId="403935BD" w14:textId="77777777" w:rsidR="00040C3A" w:rsidRPr="00D50D50" w:rsidRDefault="00040C3A" w:rsidP="005128E4">
      <w:pPr>
        <w:tabs>
          <w:tab w:val="center" w:pos="5400"/>
        </w:tabs>
        <w:suppressAutoHyphens/>
        <w:jc w:val="center"/>
        <w:rPr>
          <w:rFonts w:asciiTheme="majorHAnsi" w:hAnsiTheme="majorHAnsi"/>
          <w:sz w:val="20"/>
          <w:szCs w:val="20"/>
          <w:lang w:val="es-ES"/>
        </w:rPr>
      </w:pPr>
    </w:p>
    <w:p w14:paraId="6DCF5F8F" w14:textId="77777777" w:rsidR="00040C3A" w:rsidRPr="00D50D50" w:rsidRDefault="00040C3A" w:rsidP="005128E4">
      <w:pPr>
        <w:tabs>
          <w:tab w:val="center" w:pos="5400"/>
        </w:tabs>
        <w:suppressAutoHyphens/>
        <w:jc w:val="center"/>
        <w:rPr>
          <w:rFonts w:asciiTheme="majorHAnsi" w:hAnsiTheme="majorHAnsi"/>
          <w:sz w:val="20"/>
          <w:szCs w:val="20"/>
          <w:lang w:val="es-ES"/>
        </w:rPr>
      </w:pPr>
    </w:p>
    <w:p w14:paraId="4791F13A" w14:textId="77777777" w:rsidR="005B52B0" w:rsidRPr="00D50D50" w:rsidRDefault="005B52B0" w:rsidP="005128E4">
      <w:pPr>
        <w:tabs>
          <w:tab w:val="center" w:pos="5400"/>
        </w:tabs>
        <w:suppressAutoHyphens/>
        <w:jc w:val="center"/>
        <w:rPr>
          <w:rFonts w:asciiTheme="majorHAnsi" w:hAnsiTheme="majorHAnsi"/>
          <w:sz w:val="20"/>
          <w:szCs w:val="20"/>
          <w:lang w:val="es-ES"/>
        </w:rPr>
      </w:pPr>
    </w:p>
    <w:p w14:paraId="44E016B6" w14:textId="77777777" w:rsidR="005B52B0" w:rsidRPr="00D50D50" w:rsidRDefault="005B52B0" w:rsidP="005128E4">
      <w:pPr>
        <w:tabs>
          <w:tab w:val="center" w:pos="5400"/>
        </w:tabs>
        <w:suppressAutoHyphens/>
        <w:jc w:val="center"/>
        <w:rPr>
          <w:rFonts w:asciiTheme="majorHAnsi" w:hAnsiTheme="majorHAnsi"/>
          <w:sz w:val="20"/>
          <w:szCs w:val="20"/>
          <w:lang w:val="es-ES"/>
        </w:rPr>
      </w:pPr>
    </w:p>
    <w:p w14:paraId="63D41962" w14:textId="77777777" w:rsidR="005B52B0" w:rsidRPr="00D50D50" w:rsidRDefault="005B52B0" w:rsidP="005128E4">
      <w:pPr>
        <w:tabs>
          <w:tab w:val="center" w:pos="5400"/>
        </w:tabs>
        <w:suppressAutoHyphens/>
        <w:jc w:val="center"/>
        <w:rPr>
          <w:rFonts w:asciiTheme="majorHAnsi" w:hAnsiTheme="majorHAnsi"/>
          <w:sz w:val="20"/>
          <w:szCs w:val="20"/>
          <w:lang w:val="es-ES"/>
        </w:rPr>
      </w:pPr>
    </w:p>
    <w:p w14:paraId="5ADEB990" w14:textId="77777777" w:rsidR="00040C3A" w:rsidRPr="00D50D50" w:rsidRDefault="00040C3A" w:rsidP="00040C3A">
      <w:pPr>
        <w:tabs>
          <w:tab w:val="center" w:pos="5400"/>
        </w:tabs>
        <w:suppressAutoHyphens/>
        <w:jc w:val="center"/>
        <w:rPr>
          <w:rFonts w:asciiTheme="majorHAnsi" w:hAnsiTheme="majorHAnsi"/>
          <w:sz w:val="20"/>
          <w:szCs w:val="20"/>
          <w:lang w:val="es-ES"/>
        </w:rPr>
      </w:pPr>
    </w:p>
    <w:p w14:paraId="2D81B7E8" w14:textId="77777777" w:rsidR="00040C3A" w:rsidRPr="00D50D50" w:rsidRDefault="00040C3A" w:rsidP="00040C3A">
      <w:pPr>
        <w:tabs>
          <w:tab w:val="center" w:pos="5400"/>
        </w:tabs>
        <w:suppressAutoHyphens/>
        <w:jc w:val="center"/>
        <w:rPr>
          <w:rFonts w:asciiTheme="majorHAnsi" w:hAnsiTheme="majorHAnsi"/>
          <w:sz w:val="20"/>
          <w:szCs w:val="20"/>
          <w:lang w:val="es-ES"/>
        </w:rPr>
      </w:pPr>
    </w:p>
    <w:p w14:paraId="64791D04" w14:textId="77777777" w:rsidR="00040C3A" w:rsidRPr="00D50D50" w:rsidRDefault="003D3BC2" w:rsidP="00040C3A">
      <w:pPr>
        <w:tabs>
          <w:tab w:val="center" w:pos="5400"/>
        </w:tabs>
        <w:suppressAutoHyphens/>
        <w:jc w:val="center"/>
        <w:rPr>
          <w:rFonts w:asciiTheme="majorHAnsi" w:hAnsiTheme="majorHAnsi"/>
          <w:sz w:val="20"/>
          <w:szCs w:val="20"/>
          <w:lang w:val="es-ES"/>
        </w:rPr>
      </w:pPr>
      <w:r w:rsidRPr="00D50D50">
        <w:rPr>
          <w:rFonts w:asciiTheme="majorHAnsi" w:hAnsiTheme="majorHAnsi"/>
          <w:noProof/>
          <w:sz w:val="20"/>
          <w:szCs w:val="20"/>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E97EA99" w:rsidR="006C2713" w:rsidRPr="004E2649" w:rsidRDefault="006C271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508AD">
                              <w:rPr>
                                <w:rFonts w:asciiTheme="majorHAnsi" w:hAnsiTheme="majorHAnsi" w:cs="Arial"/>
                                <w:b/>
                                <w:bCs/>
                                <w:color w:val="0D0D0D" w:themeColor="text1" w:themeTint="F2"/>
                                <w:sz w:val="36"/>
                                <w:szCs w:val="22"/>
                                <w:lang w:val="es-ES_tradnl"/>
                              </w:rPr>
                              <w:t>214</w:t>
                            </w:r>
                            <w:r>
                              <w:rPr>
                                <w:rFonts w:asciiTheme="majorHAnsi" w:hAnsiTheme="majorHAnsi" w:cs="Arial"/>
                                <w:b/>
                                <w:bCs/>
                                <w:color w:val="0D0D0D" w:themeColor="text1" w:themeTint="F2"/>
                                <w:sz w:val="36"/>
                                <w:szCs w:val="22"/>
                                <w:lang w:val="es-ES_tradnl"/>
                              </w:rPr>
                              <w:t>/</w:t>
                            </w:r>
                            <w:r w:rsidR="00827B44">
                              <w:rPr>
                                <w:rFonts w:asciiTheme="majorHAnsi" w:hAnsiTheme="majorHAnsi" w:cs="Arial"/>
                                <w:b/>
                                <w:bCs/>
                                <w:color w:val="0D0D0D" w:themeColor="text1" w:themeTint="F2"/>
                                <w:sz w:val="36"/>
                                <w:szCs w:val="22"/>
                                <w:lang w:val="es-ES_tradnl"/>
                              </w:rPr>
                              <w:t>2</w:t>
                            </w:r>
                            <w:r w:rsidR="00C508AD">
                              <w:rPr>
                                <w:rFonts w:asciiTheme="majorHAnsi" w:hAnsiTheme="majorHAnsi" w:cs="Arial"/>
                                <w:b/>
                                <w:bCs/>
                                <w:color w:val="0D0D0D" w:themeColor="text1" w:themeTint="F2"/>
                                <w:sz w:val="36"/>
                                <w:szCs w:val="22"/>
                                <w:lang w:val="es-ES_tradnl"/>
                              </w:rPr>
                              <w:t>1</w:t>
                            </w:r>
                          </w:p>
                          <w:p w14:paraId="09C54AB3" w14:textId="53E1F5ED" w:rsidR="006C2713" w:rsidRDefault="006C271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559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p>
                          <w:p w14:paraId="70CF6833" w14:textId="0C3DD81C" w:rsidR="006C2713" w:rsidRPr="0010736F" w:rsidRDefault="006C271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FB7600">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5FDD6F0D" w14:textId="77777777" w:rsidR="006C2713" w:rsidRPr="0010736F" w:rsidRDefault="006C2713" w:rsidP="00997BC5">
                            <w:pPr>
                              <w:spacing w:line="276" w:lineRule="auto"/>
                              <w:rPr>
                                <w:rFonts w:asciiTheme="majorHAnsi" w:hAnsiTheme="majorHAnsi" w:cs="Arial"/>
                                <w:color w:val="0D0D0D" w:themeColor="text1" w:themeTint="F2"/>
                                <w:szCs w:val="22"/>
                                <w:lang w:val="es-ES_tradnl"/>
                              </w:rPr>
                            </w:pPr>
                            <w:bookmarkStart w:id="0" w:name="_ftnref1"/>
                          </w:p>
                          <w:p w14:paraId="4CFA2FBF" w14:textId="22E9BB25" w:rsidR="006C2713" w:rsidRPr="0010736F" w:rsidRDefault="006C271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ROBERTO CLAROS FLORES Y OTROS</w:t>
                            </w:r>
                          </w:p>
                          <w:bookmarkEnd w:id="0"/>
                          <w:p w14:paraId="35068D0D" w14:textId="64FDFFF6" w:rsidR="006C2713" w:rsidRPr="0010736F" w:rsidRDefault="006C271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575DFD52" w14:textId="77777777" w:rsidR="006C2713" w:rsidRPr="00AE5488" w:rsidRDefault="006C271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9156D24">
              <v:shape id="Text Box 5"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w14:anchorId="5980ED94">
                <v:textbox>
                  <w:txbxContent>
                    <w:p w:rsidRPr="004E2649" w:rsidR="006C2713" w:rsidP="00997BC5" w:rsidRDefault="006C2713" w14:paraId="3B5E3DED" w14:textId="5E97EA99">
                      <w:pPr>
                        <w:spacing w:line="276" w:lineRule="auto"/>
                        <w:rPr>
                          <w:rFonts w:cs="Arial" w:asciiTheme="majorHAnsi" w:hAnsiTheme="majorHAnsi"/>
                          <w:b/>
                          <w:bCs/>
                          <w:color w:val="0D0D0D" w:themeColor="text1" w:themeTint="F2"/>
                          <w:sz w:val="36"/>
                          <w:szCs w:val="22"/>
                          <w:lang w:val="es-ES_tradnl"/>
                        </w:rPr>
                      </w:pPr>
                      <w:r w:rsidRPr="004E2649">
                        <w:rPr>
                          <w:rFonts w:cs="Arial" w:asciiTheme="majorHAnsi" w:hAnsiTheme="majorHAnsi"/>
                          <w:b/>
                          <w:bCs/>
                          <w:color w:val="0D0D0D" w:themeColor="text1" w:themeTint="F2"/>
                          <w:sz w:val="36"/>
                          <w:szCs w:val="22"/>
                          <w:lang w:val="es-ES_tradnl"/>
                        </w:rPr>
                        <w:t xml:space="preserve">INFORME </w:t>
                      </w:r>
                      <w:r w:rsidRPr="00DC7023">
                        <w:rPr>
                          <w:rFonts w:cs="Arial" w:asciiTheme="majorHAnsi" w:hAnsiTheme="majorHAnsi"/>
                          <w:b/>
                          <w:bCs/>
                          <w:color w:val="0D0D0D" w:themeColor="text1" w:themeTint="F2"/>
                          <w:sz w:val="36"/>
                          <w:szCs w:val="40"/>
                          <w:lang w:val="es-ES_tradnl"/>
                        </w:rPr>
                        <w:t>No.</w:t>
                      </w:r>
                      <w:r>
                        <w:rPr>
                          <w:rFonts w:cs="Arial" w:asciiTheme="majorHAnsi" w:hAnsiTheme="majorHAnsi"/>
                          <w:b/>
                          <w:bCs/>
                          <w:color w:val="0D0D0D" w:themeColor="text1" w:themeTint="F2"/>
                          <w:sz w:val="36"/>
                          <w:szCs w:val="22"/>
                          <w:lang w:val="es-ES_tradnl"/>
                        </w:rPr>
                        <w:t xml:space="preserve"> </w:t>
                      </w:r>
                      <w:r w:rsidR="00C508AD">
                        <w:rPr>
                          <w:rFonts w:cs="Arial" w:asciiTheme="majorHAnsi" w:hAnsiTheme="majorHAnsi"/>
                          <w:b/>
                          <w:bCs/>
                          <w:color w:val="0D0D0D" w:themeColor="text1" w:themeTint="F2"/>
                          <w:sz w:val="36"/>
                          <w:szCs w:val="22"/>
                          <w:lang w:val="es-ES_tradnl"/>
                        </w:rPr>
                        <w:t>214</w:t>
                      </w:r>
                      <w:r>
                        <w:rPr>
                          <w:rFonts w:cs="Arial" w:asciiTheme="majorHAnsi" w:hAnsiTheme="majorHAnsi"/>
                          <w:b/>
                          <w:bCs/>
                          <w:color w:val="0D0D0D" w:themeColor="text1" w:themeTint="F2"/>
                          <w:sz w:val="36"/>
                          <w:szCs w:val="22"/>
                          <w:lang w:val="es-ES_tradnl"/>
                        </w:rPr>
                        <w:t>/</w:t>
                      </w:r>
                      <w:r w:rsidR="00827B44">
                        <w:rPr>
                          <w:rFonts w:cs="Arial" w:asciiTheme="majorHAnsi" w:hAnsiTheme="majorHAnsi"/>
                          <w:b/>
                          <w:bCs/>
                          <w:color w:val="0D0D0D" w:themeColor="text1" w:themeTint="F2"/>
                          <w:sz w:val="36"/>
                          <w:szCs w:val="22"/>
                          <w:lang w:val="es-ES_tradnl"/>
                        </w:rPr>
                        <w:t>2</w:t>
                      </w:r>
                      <w:r w:rsidR="00C508AD">
                        <w:rPr>
                          <w:rFonts w:cs="Arial" w:asciiTheme="majorHAnsi" w:hAnsiTheme="majorHAnsi"/>
                          <w:b/>
                          <w:bCs/>
                          <w:color w:val="0D0D0D" w:themeColor="text1" w:themeTint="F2"/>
                          <w:sz w:val="36"/>
                          <w:szCs w:val="22"/>
                          <w:lang w:val="es-ES_tradnl"/>
                        </w:rPr>
                        <w:t>1</w:t>
                      </w:r>
                    </w:p>
                    <w:p w:rsidR="006C2713" w:rsidP="00997BC5" w:rsidRDefault="006C2713" w14:paraId="70A716B0" w14:textId="53E1F5ED">
                      <w:pPr>
                        <w:spacing w:line="276" w:lineRule="auto"/>
                        <w:rPr>
                          <w:rFonts w:cs="Arial" w:asciiTheme="majorHAnsi" w:hAnsiTheme="majorHAnsi"/>
                          <w:b/>
                          <w:color w:val="0D0D0D" w:themeColor="text1" w:themeTint="F2"/>
                          <w:sz w:val="36"/>
                          <w:szCs w:val="22"/>
                          <w:lang w:val="es-ES_tradnl"/>
                        </w:rPr>
                      </w:pPr>
                      <w:r w:rsidRPr="004E2649">
                        <w:rPr>
                          <w:rFonts w:cs="Arial" w:asciiTheme="majorHAnsi" w:hAnsiTheme="majorHAnsi"/>
                          <w:b/>
                          <w:color w:val="0D0D0D" w:themeColor="text1" w:themeTint="F2"/>
                          <w:sz w:val="36"/>
                          <w:szCs w:val="22"/>
                          <w:lang w:val="es-ES_tradnl"/>
                        </w:rPr>
                        <w:t xml:space="preserve">PETICIÓN </w:t>
                      </w:r>
                      <w:r>
                        <w:rPr>
                          <w:rFonts w:cs="Arial" w:asciiTheme="majorHAnsi" w:hAnsiTheme="majorHAnsi"/>
                          <w:b/>
                          <w:color w:val="0D0D0D" w:themeColor="text1" w:themeTint="F2"/>
                          <w:sz w:val="36"/>
                          <w:szCs w:val="22"/>
                          <w:lang w:val="es-ES_tradnl"/>
                        </w:rPr>
                        <w:t>559</w:t>
                      </w:r>
                      <w:r w:rsidRPr="004E2649">
                        <w:rPr>
                          <w:rFonts w:cs="Arial" w:asciiTheme="majorHAnsi" w:hAnsiTheme="majorHAnsi"/>
                          <w:b/>
                          <w:color w:val="0D0D0D" w:themeColor="text1" w:themeTint="F2"/>
                          <w:sz w:val="36"/>
                          <w:szCs w:val="22"/>
                          <w:lang w:val="es-ES_tradnl"/>
                        </w:rPr>
                        <w:t>-</w:t>
                      </w:r>
                      <w:r>
                        <w:rPr>
                          <w:rFonts w:cs="Arial" w:asciiTheme="majorHAnsi" w:hAnsiTheme="majorHAnsi"/>
                          <w:b/>
                          <w:color w:val="0D0D0D" w:themeColor="text1" w:themeTint="F2"/>
                          <w:sz w:val="36"/>
                          <w:szCs w:val="22"/>
                          <w:lang w:val="es-ES_tradnl"/>
                        </w:rPr>
                        <w:t>12</w:t>
                      </w:r>
                    </w:p>
                    <w:p w:rsidRPr="0010736F" w:rsidR="006C2713" w:rsidP="00997BC5" w:rsidRDefault="006C2713" w14:paraId="2A3A54C0" w14:textId="0C3DD81C">
                      <w:pPr>
                        <w:spacing w:line="276" w:lineRule="auto"/>
                        <w:rPr>
                          <w:rFonts w:cs="Arial" w:asciiTheme="majorHAnsi" w:hAnsiTheme="majorHAnsi"/>
                          <w:color w:val="0D0D0D" w:themeColor="text1" w:themeTint="F2"/>
                          <w:szCs w:val="22"/>
                          <w:lang w:val="es-ES_tradnl"/>
                        </w:rPr>
                      </w:pPr>
                      <w:r w:rsidRPr="0010736F">
                        <w:rPr>
                          <w:rFonts w:cs="Arial" w:asciiTheme="majorHAnsi" w:hAnsiTheme="majorHAnsi"/>
                          <w:color w:val="0D0D0D" w:themeColor="text1" w:themeTint="F2"/>
                          <w:szCs w:val="22"/>
                          <w:lang w:val="es-ES_tradnl"/>
                        </w:rPr>
                        <w:t xml:space="preserve">INFORME DE </w:t>
                      </w:r>
                      <w:r w:rsidR="00FB7600">
                        <w:rPr>
                          <w:rFonts w:cs="Arial" w:asciiTheme="majorHAnsi" w:hAnsiTheme="majorHAnsi"/>
                          <w:color w:val="0D0D0D" w:themeColor="text1" w:themeTint="F2"/>
                          <w:szCs w:val="22"/>
                          <w:lang w:val="es-ES_tradnl"/>
                        </w:rPr>
                        <w:t>IN</w:t>
                      </w:r>
                      <w:r w:rsidRPr="0010736F">
                        <w:rPr>
                          <w:rFonts w:cs="Arial" w:asciiTheme="majorHAnsi" w:hAnsiTheme="majorHAnsi"/>
                          <w:color w:val="0D0D0D" w:themeColor="text1" w:themeTint="F2"/>
                          <w:szCs w:val="22"/>
                          <w:lang w:val="es-ES_tradnl"/>
                        </w:rPr>
                        <w:t>ADMISIBILIDAD</w:t>
                      </w:r>
                    </w:p>
                    <w:p w:rsidRPr="0010736F" w:rsidR="006C2713" w:rsidP="00997BC5" w:rsidRDefault="006C2713" w14:paraId="672A6659" w14:textId="77777777">
                      <w:pPr>
                        <w:spacing w:line="276" w:lineRule="auto"/>
                        <w:rPr>
                          <w:rFonts w:cs="Arial" w:asciiTheme="majorHAnsi" w:hAnsiTheme="majorHAnsi"/>
                          <w:color w:val="0D0D0D" w:themeColor="text1" w:themeTint="F2"/>
                          <w:szCs w:val="22"/>
                          <w:lang w:val="es-ES_tradnl"/>
                        </w:rPr>
                      </w:pPr>
                    </w:p>
                    <w:p w:rsidRPr="0010736F" w:rsidR="006C2713" w:rsidP="00997BC5" w:rsidRDefault="006C2713" w14:paraId="55AAE3F4" w14:textId="22E9BB25">
                      <w:pPr>
                        <w:spacing w:line="276" w:lineRule="auto"/>
                        <w:rPr>
                          <w:rFonts w:cs="Arial" w:asciiTheme="majorHAnsi" w:hAnsiTheme="majorHAnsi"/>
                          <w:color w:val="0D0D0D" w:themeColor="text1" w:themeTint="F2"/>
                          <w:szCs w:val="22"/>
                          <w:lang w:val="es-ES_tradnl"/>
                        </w:rPr>
                      </w:pPr>
                      <w:r>
                        <w:rPr>
                          <w:rFonts w:cs="Arial" w:asciiTheme="majorHAnsi" w:hAnsiTheme="majorHAnsi"/>
                          <w:color w:val="0D0D0D" w:themeColor="text1" w:themeTint="F2"/>
                          <w:szCs w:val="22"/>
                          <w:lang w:val="es-ES_tradnl"/>
                        </w:rPr>
                        <w:t>ROBERTO CLAROS FLORES Y OTROS</w:t>
                      </w:r>
                    </w:p>
                    <w:p w:rsidRPr="0010736F" w:rsidR="006C2713" w:rsidP="00997BC5" w:rsidRDefault="006C2713" w14:paraId="49866E21" w14:textId="64FDFFF6">
                      <w:pPr>
                        <w:spacing w:line="276" w:lineRule="auto"/>
                        <w:rPr>
                          <w:rFonts w:cs="Arial" w:asciiTheme="majorHAnsi" w:hAnsiTheme="majorHAnsi"/>
                          <w:color w:val="0D0D0D" w:themeColor="text1" w:themeTint="F2"/>
                          <w:szCs w:val="22"/>
                          <w:lang w:val="es-ES"/>
                        </w:rPr>
                      </w:pPr>
                      <w:r>
                        <w:rPr>
                          <w:rFonts w:cs="Arial" w:asciiTheme="majorHAnsi" w:hAnsiTheme="majorHAnsi"/>
                          <w:color w:val="0D0D0D" w:themeColor="text1" w:themeTint="F2"/>
                          <w:szCs w:val="22"/>
                          <w:lang w:val="es-ES_tradnl"/>
                        </w:rPr>
                        <w:t>BOLIVIA</w:t>
                      </w:r>
                    </w:p>
                    <w:p w:rsidRPr="00AE5488" w:rsidR="006C2713" w:rsidP="007A5817" w:rsidRDefault="006C2713" w14:paraId="0A37501D" w14:textId="77777777">
                      <w:pPr>
                        <w:rPr>
                          <w:color w:val="0D0D0D" w:themeColor="text1" w:themeTint="F2"/>
                          <w:lang w:val="es-ES_tradnl"/>
                        </w:rPr>
                      </w:pPr>
                    </w:p>
                  </w:txbxContent>
                </v:textbox>
              </v:shape>
            </w:pict>
          </mc:Fallback>
        </mc:AlternateContent>
      </w:r>
      <w:r w:rsidR="004E2649" w:rsidRPr="00D50D50">
        <w:rPr>
          <w:rFonts w:asciiTheme="majorHAnsi" w:hAnsiTheme="majorHAnsi"/>
          <w:noProof/>
          <w:sz w:val="20"/>
          <w:szCs w:val="20"/>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66107B8" w:rsidR="006C2713" w:rsidRPr="003F4EAE" w:rsidRDefault="006C2713" w:rsidP="007A5817">
                            <w:pPr>
                              <w:spacing w:line="276" w:lineRule="auto"/>
                              <w:jc w:val="right"/>
                              <w:rPr>
                                <w:rFonts w:asciiTheme="minorHAnsi" w:hAnsiTheme="minorHAnsi"/>
                                <w:color w:val="FFFFFF" w:themeColor="background1"/>
                                <w:sz w:val="22"/>
                                <w:lang w:val="es-419"/>
                              </w:rPr>
                            </w:pPr>
                            <w:r w:rsidRPr="003F4EAE">
                              <w:rPr>
                                <w:rFonts w:asciiTheme="minorHAnsi" w:hAnsiTheme="minorHAnsi"/>
                                <w:color w:val="FFFFFF" w:themeColor="background1"/>
                                <w:sz w:val="22"/>
                                <w:lang w:val="es-419"/>
                              </w:rPr>
                              <w:t>OEA/</w:t>
                            </w:r>
                            <w:proofErr w:type="spellStart"/>
                            <w:r w:rsidRPr="003F4EAE">
                              <w:rPr>
                                <w:rFonts w:asciiTheme="minorHAnsi" w:hAnsiTheme="minorHAnsi"/>
                                <w:color w:val="FFFFFF" w:themeColor="background1"/>
                                <w:sz w:val="22"/>
                                <w:lang w:val="es-419"/>
                              </w:rPr>
                              <w:t>Ser.L</w:t>
                            </w:r>
                            <w:proofErr w:type="spellEnd"/>
                            <w:r w:rsidRPr="003F4EAE">
                              <w:rPr>
                                <w:rFonts w:asciiTheme="minorHAnsi" w:hAnsiTheme="minorHAnsi"/>
                                <w:color w:val="FFFFFF" w:themeColor="background1"/>
                                <w:sz w:val="22"/>
                                <w:lang w:val="es-419"/>
                              </w:rPr>
                              <w:t>/V/II</w:t>
                            </w:r>
                          </w:p>
                          <w:p w14:paraId="6A41611B" w14:textId="65DE73EC" w:rsidR="006C2713" w:rsidRPr="003F4EAE" w:rsidRDefault="006C2713" w:rsidP="007A5817">
                            <w:pPr>
                              <w:spacing w:line="276" w:lineRule="auto"/>
                              <w:jc w:val="right"/>
                              <w:rPr>
                                <w:rFonts w:asciiTheme="minorHAnsi" w:hAnsiTheme="minorHAnsi"/>
                                <w:color w:val="FFFFFF" w:themeColor="background1"/>
                                <w:sz w:val="22"/>
                                <w:lang w:val="es-419"/>
                              </w:rPr>
                            </w:pPr>
                            <w:r w:rsidRPr="003F4EAE">
                              <w:rPr>
                                <w:rFonts w:asciiTheme="minorHAnsi" w:hAnsiTheme="minorHAnsi"/>
                                <w:color w:val="FFFFFF" w:themeColor="background1"/>
                                <w:sz w:val="22"/>
                                <w:lang w:val="es-419"/>
                              </w:rPr>
                              <w:t xml:space="preserve">Doc. </w:t>
                            </w:r>
                            <w:r w:rsidR="00C508AD" w:rsidRPr="003F4EAE">
                              <w:rPr>
                                <w:rFonts w:asciiTheme="minorHAnsi" w:hAnsiTheme="minorHAnsi"/>
                                <w:color w:val="FFFFFF" w:themeColor="background1"/>
                                <w:sz w:val="22"/>
                                <w:lang w:val="es-419"/>
                              </w:rPr>
                              <w:t>222</w:t>
                            </w:r>
                          </w:p>
                          <w:p w14:paraId="69373ED2" w14:textId="1349EC87" w:rsidR="006C2713" w:rsidRPr="001B4C00" w:rsidRDefault="00C508A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8 septiembre</w:t>
                            </w:r>
                            <w:r w:rsidR="006C2713" w:rsidRPr="001B4C00">
                              <w:rPr>
                                <w:rFonts w:asciiTheme="minorHAnsi" w:hAnsiTheme="minorHAnsi"/>
                                <w:color w:val="FFFFFF" w:themeColor="background1"/>
                                <w:sz w:val="22"/>
                                <w:lang w:val="es-ES"/>
                              </w:rPr>
                              <w:t xml:space="preserve"> 20</w:t>
                            </w:r>
                            <w:r w:rsidR="00827B44">
                              <w:rPr>
                                <w:rFonts w:asciiTheme="minorHAnsi" w:hAnsiTheme="minorHAnsi"/>
                                <w:color w:val="FFFFFF" w:themeColor="background1"/>
                                <w:sz w:val="22"/>
                                <w:lang w:val="es-ES"/>
                              </w:rPr>
                              <w:t>2</w:t>
                            </w:r>
                            <w:r>
                              <w:rPr>
                                <w:rFonts w:asciiTheme="minorHAnsi" w:hAnsiTheme="minorHAnsi"/>
                                <w:color w:val="FFFFFF" w:themeColor="background1"/>
                                <w:sz w:val="22"/>
                                <w:lang w:val="es-ES"/>
                              </w:rPr>
                              <w:t>1</w:t>
                            </w:r>
                          </w:p>
                          <w:p w14:paraId="0771DB5B" w14:textId="77777777" w:rsidR="006C2713" w:rsidRPr="001B4C00" w:rsidRDefault="006C2713"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D3637C1">
              <v:shape id="Text Box 8"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w14:anchorId="73BE5919">
                <v:textbox>
                  <w:txbxContent>
                    <w:p w:rsidRPr="003F4EAE" w:rsidR="006C2713" w:rsidP="007A5817" w:rsidRDefault="006C2713" w14:paraId="01BA6123" w14:textId="666107B8">
                      <w:pPr>
                        <w:spacing w:line="276" w:lineRule="auto"/>
                        <w:jc w:val="right"/>
                        <w:rPr>
                          <w:rFonts w:asciiTheme="minorHAnsi" w:hAnsiTheme="minorHAnsi"/>
                          <w:color w:val="FFFFFF" w:themeColor="background1"/>
                          <w:sz w:val="22"/>
                          <w:lang w:val="es-419"/>
                        </w:rPr>
                      </w:pPr>
                      <w:r w:rsidRPr="003F4EAE">
                        <w:rPr>
                          <w:rFonts w:asciiTheme="minorHAnsi" w:hAnsiTheme="minorHAnsi"/>
                          <w:color w:val="FFFFFF" w:themeColor="background1"/>
                          <w:sz w:val="22"/>
                          <w:lang w:val="es-419"/>
                        </w:rPr>
                        <w:t>OEA/</w:t>
                      </w:r>
                      <w:proofErr w:type="spellStart"/>
                      <w:r w:rsidRPr="003F4EAE">
                        <w:rPr>
                          <w:rFonts w:asciiTheme="minorHAnsi" w:hAnsiTheme="minorHAnsi"/>
                          <w:color w:val="FFFFFF" w:themeColor="background1"/>
                          <w:sz w:val="22"/>
                          <w:lang w:val="es-419"/>
                        </w:rPr>
                        <w:t>Ser.L</w:t>
                      </w:r>
                      <w:proofErr w:type="spellEnd"/>
                      <w:r w:rsidRPr="003F4EAE">
                        <w:rPr>
                          <w:rFonts w:asciiTheme="minorHAnsi" w:hAnsiTheme="minorHAnsi"/>
                          <w:color w:val="FFFFFF" w:themeColor="background1"/>
                          <w:sz w:val="22"/>
                          <w:lang w:val="es-419"/>
                        </w:rPr>
                        <w:t>/V/II</w:t>
                      </w:r>
                    </w:p>
                    <w:p w:rsidRPr="003F4EAE" w:rsidR="006C2713" w:rsidP="007A5817" w:rsidRDefault="006C2713" w14:paraId="3DF7385F" w14:textId="65DE73EC">
                      <w:pPr>
                        <w:spacing w:line="276" w:lineRule="auto"/>
                        <w:jc w:val="right"/>
                        <w:rPr>
                          <w:rFonts w:asciiTheme="minorHAnsi" w:hAnsiTheme="minorHAnsi"/>
                          <w:color w:val="FFFFFF" w:themeColor="background1"/>
                          <w:sz w:val="22"/>
                          <w:lang w:val="es-419"/>
                        </w:rPr>
                      </w:pPr>
                      <w:r w:rsidRPr="003F4EAE">
                        <w:rPr>
                          <w:rFonts w:asciiTheme="minorHAnsi" w:hAnsiTheme="minorHAnsi"/>
                          <w:color w:val="FFFFFF" w:themeColor="background1"/>
                          <w:sz w:val="22"/>
                          <w:lang w:val="es-419"/>
                        </w:rPr>
                        <w:t xml:space="preserve">Doc. </w:t>
                      </w:r>
                      <w:r w:rsidRPr="003F4EAE" w:rsidR="00C508AD">
                        <w:rPr>
                          <w:rFonts w:asciiTheme="minorHAnsi" w:hAnsiTheme="minorHAnsi"/>
                          <w:color w:val="FFFFFF" w:themeColor="background1"/>
                          <w:sz w:val="22"/>
                          <w:lang w:val="es-419"/>
                        </w:rPr>
                        <w:t>222</w:t>
                      </w:r>
                    </w:p>
                    <w:p w:rsidRPr="001B4C00" w:rsidR="006C2713" w:rsidP="007A5817" w:rsidRDefault="00C508AD" w14:paraId="05937693" w14:textId="1349EC8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8 septiembre</w:t>
                      </w:r>
                      <w:r w:rsidRPr="001B4C00" w:rsidR="006C2713">
                        <w:rPr>
                          <w:rFonts w:asciiTheme="minorHAnsi" w:hAnsiTheme="minorHAnsi"/>
                          <w:color w:val="FFFFFF" w:themeColor="background1"/>
                          <w:sz w:val="22"/>
                          <w:lang w:val="es-ES"/>
                        </w:rPr>
                        <w:t xml:space="preserve"> 20</w:t>
                      </w:r>
                      <w:r w:rsidR="00827B44">
                        <w:rPr>
                          <w:rFonts w:asciiTheme="minorHAnsi" w:hAnsiTheme="minorHAnsi"/>
                          <w:color w:val="FFFFFF" w:themeColor="background1"/>
                          <w:sz w:val="22"/>
                          <w:lang w:val="es-ES"/>
                        </w:rPr>
                        <w:t>2</w:t>
                      </w:r>
                      <w:r>
                        <w:rPr>
                          <w:rFonts w:asciiTheme="minorHAnsi" w:hAnsiTheme="minorHAnsi"/>
                          <w:color w:val="FFFFFF" w:themeColor="background1"/>
                          <w:sz w:val="22"/>
                          <w:lang w:val="es-ES"/>
                        </w:rPr>
                        <w:t>1</w:t>
                      </w:r>
                    </w:p>
                    <w:p w:rsidRPr="001B4C00" w:rsidR="006C2713" w:rsidP="007A5817" w:rsidRDefault="006C2713" w14:paraId="3A0E510E" w14:textId="7777777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D50D50" w:rsidRDefault="00040C3A" w:rsidP="00040C3A">
      <w:pPr>
        <w:tabs>
          <w:tab w:val="center" w:pos="5400"/>
        </w:tabs>
        <w:suppressAutoHyphens/>
        <w:jc w:val="center"/>
        <w:rPr>
          <w:rFonts w:asciiTheme="majorHAnsi" w:hAnsiTheme="majorHAnsi"/>
          <w:sz w:val="20"/>
          <w:szCs w:val="20"/>
          <w:lang w:val="es-ES"/>
        </w:rPr>
      </w:pPr>
    </w:p>
    <w:p w14:paraId="5FE3AB87" w14:textId="77777777" w:rsidR="00040C3A" w:rsidRPr="00D50D50" w:rsidRDefault="00040C3A" w:rsidP="00040C3A">
      <w:pPr>
        <w:tabs>
          <w:tab w:val="center" w:pos="5400"/>
        </w:tabs>
        <w:suppressAutoHyphens/>
        <w:jc w:val="center"/>
        <w:rPr>
          <w:rFonts w:asciiTheme="majorHAnsi" w:hAnsiTheme="majorHAnsi"/>
          <w:sz w:val="20"/>
          <w:szCs w:val="20"/>
          <w:lang w:val="es-ES"/>
        </w:rPr>
      </w:pPr>
    </w:p>
    <w:p w14:paraId="3C383BC0" w14:textId="77777777" w:rsidR="00040C3A" w:rsidRPr="00D50D50" w:rsidRDefault="00040C3A" w:rsidP="00040C3A">
      <w:pPr>
        <w:tabs>
          <w:tab w:val="center" w:pos="5400"/>
        </w:tabs>
        <w:suppressAutoHyphens/>
        <w:jc w:val="center"/>
        <w:rPr>
          <w:rFonts w:asciiTheme="majorHAnsi" w:hAnsiTheme="majorHAnsi" w:cs="Arial"/>
          <w:sz w:val="20"/>
          <w:szCs w:val="20"/>
          <w:lang w:val="es-ES"/>
        </w:rPr>
      </w:pPr>
    </w:p>
    <w:p w14:paraId="54590931" w14:textId="77777777" w:rsidR="00040C3A" w:rsidRPr="00D50D50" w:rsidRDefault="00040C3A" w:rsidP="00040C3A">
      <w:pPr>
        <w:tabs>
          <w:tab w:val="center" w:pos="5400"/>
        </w:tabs>
        <w:suppressAutoHyphens/>
        <w:jc w:val="center"/>
        <w:rPr>
          <w:rFonts w:asciiTheme="majorHAnsi" w:hAnsiTheme="majorHAnsi"/>
          <w:sz w:val="20"/>
          <w:szCs w:val="20"/>
          <w:lang w:val="es-ES"/>
        </w:rPr>
      </w:pPr>
    </w:p>
    <w:p w14:paraId="76C291D6" w14:textId="77777777" w:rsidR="00040C3A" w:rsidRPr="00D50D50" w:rsidRDefault="00040C3A" w:rsidP="00040C3A">
      <w:pPr>
        <w:tabs>
          <w:tab w:val="center" w:pos="5400"/>
        </w:tabs>
        <w:suppressAutoHyphens/>
        <w:jc w:val="center"/>
        <w:rPr>
          <w:rFonts w:asciiTheme="majorHAnsi" w:hAnsiTheme="majorHAnsi"/>
          <w:sz w:val="20"/>
          <w:szCs w:val="20"/>
          <w:lang w:val="es-ES"/>
        </w:rPr>
      </w:pPr>
    </w:p>
    <w:p w14:paraId="2161B44F" w14:textId="77777777" w:rsidR="00040C3A" w:rsidRPr="00D50D50" w:rsidRDefault="00040C3A" w:rsidP="00040C3A">
      <w:pPr>
        <w:tabs>
          <w:tab w:val="center" w:pos="5400"/>
        </w:tabs>
        <w:suppressAutoHyphens/>
        <w:jc w:val="center"/>
        <w:rPr>
          <w:rFonts w:asciiTheme="majorHAnsi" w:hAnsiTheme="majorHAnsi"/>
          <w:sz w:val="20"/>
          <w:szCs w:val="20"/>
          <w:lang w:val="es-ES"/>
        </w:rPr>
      </w:pPr>
    </w:p>
    <w:p w14:paraId="3C4EEE07" w14:textId="77777777" w:rsidR="00040C3A" w:rsidRPr="00D50D50" w:rsidRDefault="00040C3A" w:rsidP="00040C3A">
      <w:pPr>
        <w:tabs>
          <w:tab w:val="center" w:pos="5400"/>
        </w:tabs>
        <w:suppressAutoHyphens/>
        <w:jc w:val="center"/>
        <w:rPr>
          <w:rFonts w:asciiTheme="majorHAnsi" w:hAnsiTheme="majorHAnsi"/>
          <w:sz w:val="20"/>
          <w:szCs w:val="20"/>
          <w:lang w:val="es-ES"/>
        </w:rPr>
      </w:pPr>
    </w:p>
    <w:p w14:paraId="3B0E4647" w14:textId="77777777" w:rsidR="005128E4" w:rsidRPr="00D50D50" w:rsidRDefault="005128E4" w:rsidP="00040C3A">
      <w:pPr>
        <w:tabs>
          <w:tab w:val="center" w:pos="5400"/>
        </w:tabs>
        <w:suppressAutoHyphens/>
        <w:jc w:val="center"/>
        <w:rPr>
          <w:rFonts w:asciiTheme="majorHAnsi" w:hAnsiTheme="majorHAnsi"/>
          <w:sz w:val="20"/>
          <w:szCs w:val="20"/>
          <w:lang w:val="es-ES"/>
        </w:rPr>
      </w:pPr>
    </w:p>
    <w:p w14:paraId="2DAAF36D" w14:textId="77777777" w:rsidR="00040C3A" w:rsidRPr="00D50D50" w:rsidRDefault="00040C3A" w:rsidP="00040C3A">
      <w:pPr>
        <w:tabs>
          <w:tab w:val="center" w:pos="5400"/>
        </w:tabs>
        <w:suppressAutoHyphens/>
        <w:jc w:val="center"/>
        <w:rPr>
          <w:rFonts w:asciiTheme="majorHAnsi" w:hAnsiTheme="majorHAnsi"/>
          <w:sz w:val="20"/>
          <w:szCs w:val="20"/>
          <w:lang w:val="es-ES"/>
        </w:rPr>
      </w:pPr>
    </w:p>
    <w:p w14:paraId="12496A14" w14:textId="77777777" w:rsidR="005128E4" w:rsidRPr="00D50D50" w:rsidRDefault="005128E4" w:rsidP="00040C3A">
      <w:pPr>
        <w:tabs>
          <w:tab w:val="center" w:pos="5400"/>
        </w:tabs>
        <w:suppressAutoHyphens/>
        <w:jc w:val="center"/>
        <w:rPr>
          <w:rFonts w:asciiTheme="majorHAnsi" w:hAnsiTheme="majorHAnsi"/>
          <w:sz w:val="20"/>
          <w:szCs w:val="20"/>
          <w:lang w:val="es-ES"/>
        </w:rPr>
      </w:pPr>
    </w:p>
    <w:p w14:paraId="25772DB3" w14:textId="77777777" w:rsidR="005128E4" w:rsidRPr="00D50D50" w:rsidRDefault="005128E4" w:rsidP="00040C3A">
      <w:pPr>
        <w:tabs>
          <w:tab w:val="center" w:pos="5400"/>
        </w:tabs>
        <w:suppressAutoHyphens/>
        <w:jc w:val="center"/>
        <w:rPr>
          <w:rFonts w:asciiTheme="majorHAnsi" w:hAnsiTheme="majorHAnsi"/>
          <w:sz w:val="20"/>
          <w:szCs w:val="20"/>
          <w:lang w:val="es-ES"/>
        </w:rPr>
      </w:pPr>
    </w:p>
    <w:p w14:paraId="6820FADA" w14:textId="77777777" w:rsidR="005128E4" w:rsidRPr="00D50D50" w:rsidRDefault="005128E4" w:rsidP="00040C3A">
      <w:pPr>
        <w:tabs>
          <w:tab w:val="center" w:pos="5400"/>
        </w:tabs>
        <w:suppressAutoHyphens/>
        <w:jc w:val="center"/>
        <w:rPr>
          <w:rFonts w:asciiTheme="majorHAnsi" w:hAnsiTheme="majorHAnsi"/>
          <w:sz w:val="20"/>
          <w:szCs w:val="20"/>
          <w:lang w:val="es-ES"/>
        </w:rPr>
      </w:pPr>
    </w:p>
    <w:p w14:paraId="54445A55" w14:textId="77777777" w:rsidR="00040C3A" w:rsidRPr="00D50D50" w:rsidRDefault="00040C3A" w:rsidP="00040C3A">
      <w:pPr>
        <w:tabs>
          <w:tab w:val="center" w:pos="5400"/>
        </w:tabs>
        <w:suppressAutoHyphens/>
        <w:jc w:val="center"/>
        <w:rPr>
          <w:rFonts w:asciiTheme="majorHAnsi" w:hAnsiTheme="majorHAnsi"/>
          <w:sz w:val="20"/>
          <w:szCs w:val="20"/>
          <w:lang w:val="es-ES"/>
        </w:rPr>
      </w:pPr>
    </w:p>
    <w:p w14:paraId="5D4A4040" w14:textId="77777777" w:rsidR="00040C3A" w:rsidRPr="00D50D50" w:rsidRDefault="00040C3A" w:rsidP="00040C3A">
      <w:pPr>
        <w:tabs>
          <w:tab w:val="center" w:pos="5400"/>
        </w:tabs>
        <w:suppressAutoHyphens/>
        <w:jc w:val="center"/>
        <w:rPr>
          <w:rFonts w:asciiTheme="majorHAnsi" w:hAnsiTheme="majorHAnsi"/>
          <w:sz w:val="20"/>
          <w:szCs w:val="20"/>
          <w:lang w:val="es-ES"/>
        </w:rPr>
      </w:pPr>
    </w:p>
    <w:p w14:paraId="048FBB22" w14:textId="77777777" w:rsidR="00A50FCF" w:rsidRPr="00D50D50" w:rsidRDefault="00A50FCF" w:rsidP="00040C3A">
      <w:pPr>
        <w:tabs>
          <w:tab w:val="center" w:pos="5400"/>
        </w:tabs>
        <w:suppressAutoHyphens/>
        <w:jc w:val="center"/>
        <w:rPr>
          <w:rFonts w:asciiTheme="majorHAnsi" w:hAnsiTheme="majorHAnsi"/>
          <w:sz w:val="20"/>
          <w:szCs w:val="20"/>
          <w:lang w:val="es-ES"/>
        </w:rPr>
      </w:pPr>
    </w:p>
    <w:p w14:paraId="190ABFB3" w14:textId="77777777" w:rsidR="00A50FCF" w:rsidRPr="00D50D50" w:rsidRDefault="00A50FCF" w:rsidP="00040C3A">
      <w:pPr>
        <w:tabs>
          <w:tab w:val="center" w:pos="5400"/>
        </w:tabs>
        <w:suppressAutoHyphens/>
        <w:jc w:val="center"/>
        <w:rPr>
          <w:rFonts w:asciiTheme="majorHAnsi" w:hAnsiTheme="majorHAnsi"/>
          <w:sz w:val="20"/>
          <w:szCs w:val="20"/>
          <w:lang w:val="es-ES"/>
        </w:rPr>
      </w:pPr>
    </w:p>
    <w:p w14:paraId="4C690048" w14:textId="77777777" w:rsidR="00A50FCF" w:rsidRPr="00D50D50" w:rsidRDefault="00A50FCF" w:rsidP="00040C3A">
      <w:pPr>
        <w:tabs>
          <w:tab w:val="center" w:pos="5400"/>
        </w:tabs>
        <w:suppressAutoHyphens/>
        <w:jc w:val="center"/>
        <w:rPr>
          <w:rFonts w:asciiTheme="majorHAnsi" w:hAnsiTheme="majorHAnsi"/>
          <w:sz w:val="20"/>
          <w:szCs w:val="20"/>
          <w:lang w:val="es-ES"/>
        </w:rPr>
      </w:pPr>
    </w:p>
    <w:p w14:paraId="733CA438" w14:textId="77777777" w:rsidR="00A50FCF" w:rsidRPr="00D50D50" w:rsidRDefault="00A50FCF" w:rsidP="00040C3A">
      <w:pPr>
        <w:tabs>
          <w:tab w:val="center" w:pos="5400"/>
        </w:tabs>
        <w:suppressAutoHyphens/>
        <w:jc w:val="center"/>
        <w:rPr>
          <w:rFonts w:asciiTheme="majorHAnsi" w:hAnsiTheme="majorHAnsi"/>
          <w:sz w:val="20"/>
          <w:szCs w:val="20"/>
          <w:lang w:val="es-ES"/>
        </w:rPr>
      </w:pPr>
    </w:p>
    <w:p w14:paraId="7874DEEB" w14:textId="77777777" w:rsidR="00A50FCF" w:rsidRPr="00D50D50" w:rsidRDefault="00A50FCF" w:rsidP="00040C3A">
      <w:pPr>
        <w:tabs>
          <w:tab w:val="center" w:pos="5400"/>
        </w:tabs>
        <w:suppressAutoHyphens/>
        <w:jc w:val="center"/>
        <w:rPr>
          <w:rFonts w:asciiTheme="majorHAnsi" w:hAnsiTheme="majorHAnsi"/>
          <w:sz w:val="20"/>
          <w:szCs w:val="20"/>
          <w:lang w:val="es-ES"/>
        </w:rPr>
      </w:pPr>
    </w:p>
    <w:p w14:paraId="3698D0D6" w14:textId="77777777" w:rsidR="00A50FCF" w:rsidRPr="00D50D50" w:rsidRDefault="00A50FCF" w:rsidP="00040C3A">
      <w:pPr>
        <w:tabs>
          <w:tab w:val="center" w:pos="5400"/>
        </w:tabs>
        <w:suppressAutoHyphens/>
        <w:jc w:val="center"/>
        <w:rPr>
          <w:rFonts w:asciiTheme="majorHAnsi" w:hAnsiTheme="majorHAnsi"/>
          <w:sz w:val="20"/>
          <w:szCs w:val="20"/>
          <w:lang w:val="es-ES"/>
        </w:rPr>
      </w:pPr>
    </w:p>
    <w:p w14:paraId="1F907823" w14:textId="77777777" w:rsidR="00A50FCF" w:rsidRPr="00D50D50" w:rsidRDefault="00A50FCF" w:rsidP="00040C3A">
      <w:pPr>
        <w:tabs>
          <w:tab w:val="center" w:pos="5400"/>
        </w:tabs>
        <w:suppressAutoHyphens/>
        <w:jc w:val="center"/>
        <w:rPr>
          <w:rFonts w:asciiTheme="majorHAnsi" w:hAnsiTheme="majorHAnsi"/>
          <w:sz w:val="20"/>
          <w:szCs w:val="20"/>
          <w:lang w:val="es-ES"/>
        </w:rPr>
      </w:pPr>
    </w:p>
    <w:p w14:paraId="045D9AC1" w14:textId="77777777" w:rsidR="00A50FCF" w:rsidRPr="00D50D50" w:rsidRDefault="00A50FCF" w:rsidP="00040C3A">
      <w:pPr>
        <w:tabs>
          <w:tab w:val="center" w:pos="5400"/>
        </w:tabs>
        <w:suppressAutoHyphens/>
        <w:jc w:val="center"/>
        <w:rPr>
          <w:rFonts w:asciiTheme="majorHAnsi" w:hAnsiTheme="majorHAnsi"/>
          <w:sz w:val="20"/>
          <w:szCs w:val="20"/>
          <w:lang w:val="es-ES"/>
        </w:rPr>
      </w:pPr>
    </w:p>
    <w:p w14:paraId="16068EE5" w14:textId="77777777" w:rsidR="00A50FCF" w:rsidRPr="00D50D50" w:rsidRDefault="00A50FCF" w:rsidP="00040C3A">
      <w:pPr>
        <w:tabs>
          <w:tab w:val="center" w:pos="5400"/>
        </w:tabs>
        <w:suppressAutoHyphens/>
        <w:jc w:val="center"/>
        <w:rPr>
          <w:rFonts w:asciiTheme="majorHAnsi" w:hAnsiTheme="majorHAnsi"/>
          <w:sz w:val="20"/>
          <w:szCs w:val="20"/>
          <w:lang w:val="es-ES"/>
        </w:rPr>
      </w:pPr>
    </w:p>
    <w:p w14:paraId="14A4A430" w14:textId="77777777" w:rsidR="00A50FCF" w:rsidRPr="00D50D50" w:rsidRDefault="00A50FCF" w:rsidP="00040C3A">
      <w:pPr>
        <w:tabs>
          <w:tab w:val="center" w:pos="5400"/>
        </w:tabs>
        <w:suppressAutoHyphens/>
        <w:jc w:val="center"/>
        <w:rPr>
          <w:rFonts w:asciiTheme="majorHAnsi" w:hAnsiTheme="majorHAnsi"/>
          <w:sz w:val="20"/>
          <w:szCs w:val="20"/>
          <w:lang w:val="es-ES"/>
        </w:rPr>
      </w:pPr>
    </w:p>
    <w:p w14:paraId="0B3B735F" w14:textId="77777777" w:rsidR="00A50FCF" w:rsidRPr="00D50D50" w:rsidRDefault="00A50FCF" w:rsidP="00040C3A">
      <w:pPr>
        <w:tabs>
          <w:tab w:val="center" w:pos="5400"/>
        </w:tabs>
        <w:suppressAutoHyphens/>
        <w:jc w:val="center"/>
        <w:rPr>
          <w:rFonts w:asciiTheme="majorHAnsi" w:hAnsiTheme="majorHAnsi"/>
          <w:sz w:val="20"/>
          <w:szCs w:val="20"/>
          <w:lang w:val="es-ES"/>
        </w:rPr>
      </w:pPr>
    </w:p>
    <w:p w14:paraId="02C5C441" w14:textId="77777777" w:rsidR="00A50FCF" w:rsidRPr="00D50D50" w:rsidRDefault="00A50FCF" w:rsidP="00040C3A">
      <w:pPr>
        <w:tabs>
          <w:tab w:val="center" w:pos="5400"/>
        </w:tabs>
        <w:suppressAutoHyphens/>
        <w:jc w:val="center"/>
        <w:rPr>
          <w:rFonts w:asciiTheme="majorHAnsi" w:hAnsiTheme="majorHAnsi"/>
          <w:sz w:val="20"/>
          <w:szCs w:val="20"/>
          <w:lang w:val="es-ES"/>
        </w:rPr>
      </w:pPr>
    </w:p>
    <w:p w14:paraId="7806A2B0" w14:textId="77777777" w:rsidR="00A50FCF" w:rsidRPr="00D50D50" w:rsidRDefault="00A50FCF" w:rsidP="00040C3A">
      <w:pPr>
        <w:tabs>
          <w:tab w:val="center" w:pos="5400"/>
        </w:tabs>
        <w:suppressAutoHyphens/>
        <w:jc w:val="center"/>
        <w:rPr>
          <w:rFonts w:asciiTheme="majorHAnsi" w:hAnsiTheme="majorHAnsi"/>
          <w:sz w:val="20"/>
          <w:szCs w:val="20"/>
          <w:lang w:val="es-ES"/>
        </w:rPr>
      </w:pPr>
    </w:p>
    <w:p w14:paraId="319C392B" w14:textId="77777777" w:rsidR="00A50FCF" w:rsidRPr="00D50D50" w:rsidRDefault="00A50FCF" w:rsidP="00040C3A">
      <w:pPr>
        <w:tabs>
          <w:tab w:val="center" w:pos="5400"/>
        </w:tabs>
        <w:suppressAutoHyphens/>
        <w:jc w:val="center"/>
        <w:rPr>
          <w:rFonts w:asciiTheme="majorHAnsi" w:hAnsiTheme="majorHAnsi"/>
          <w:sz w:val="20"/>
          <w:szCs w:val="20"/>
          <w:lang w:val="es-ES"/>
        </w:rPr>
      </w:pPr>
    </w:p>
    <w:p w14:paraId="514A0182" w14:textId="77777777" w:rsidR="00A50FCF" w:rsidRPr="00D50D50" w:rsidRDefault="0090270B" w:rsidP="00040C3A">
      <w:pPr>
        <w:tabs>
          <w:tab w:val="center" w:pos="5400"/>
        </w:tabs>
        <w:suppressAutoHyphens/>
        <w:jc w:val="center"/>
        <w:rPr>
          <w:rFonts w:asciiTheme="majorHAnsi" w:hAnsiTheme="majorHAnsi"/>
          <w:sz w:val="20"/>
          <w:szCs w:val="20"/>
          <w:lang w:val="es-ES"/>
        </w:rPr>
      </w:pPr>
      <w:r w:rsidRPr="00D50D50">
        <w:rPr>
          <w:rFonts w:asciiTheme="majorHAnsi" w:hAnsiTheme="majorHAnsi"/>
          <w:noProof/>
          <w:sz w:val="20"/>
          <w:szCs w:val="20"/>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5AF189A" w:rsidR="006C2713" w:rsidRPr="00890650" w:rsidRDefault="006C271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508AD">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C508AD">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827B44">
                              <w:rPr>
                                <w:rFonts w:asciiTheme="majorHAnsi" w:hAnsiTheme="majorHAnsi"/>
                                <w:color w:val="0D0D0D" w:themeColor="text1" w:themeTint="F2"/>
                                <w:sz w:val="18"/>
                                <w:szCs w:val="22"/>
                                <w:lang w:val="es-ES"/>
                              </w:rPr>
                              <w:t>2</w:t>
                            </w:r>
                            <w:r w:rsidR="00C508AD">
                              <w:rPr>
                                <w:rFonts w:asciiTheme="majorHAnsi" w:hAnsiTheme="majorHAnsi"/>
                                <w:color w:val="0D0D0D" w:themeColor="text1" w:themeTint="F2"/>
                                <w:sz w:val="18"/>
                                <w:szCs w:val="22"/>
                                <w:lang w:val="es-ES"/>
                              </w:rPr>
                              <w:t>1</w:t>
                            </w:r>
                            <w:r w:rsidR="00145162">
                              <w:rPr>
                                <w:rFonts w:asciiTheme="majorHAnsi" w:hAnsiTheme="majorHAnsi"/>
                                <w:color w:val="0D0D0D" w:themeColor="text1" w:themeTint="F2"/>
                                <w:sz w:val="18"/>
                                <w:szCs w:val="22"/>
                                <w:lang w:val="es-ES"/>
                              </w:rPr>
                              <w:t>.</w:t>
                            </w:r>
                          </w:p>
                          <w:p w14:paraId="4BDF3581" w14:textId="77777777" w:rsidR="006C2713" w:rsidRPr="007A5817" w:rsidRDefault="006C2713"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6C2713" w:rsidRPr="00167A34" w:rsidRDefault="006C271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5AF189A" w:rsidR="006C2713" w:rsidRPr="00890650" w:rsidRDefault="006C271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508AD">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C508AD">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827B44">
                        <w:rPr>
                          <w:rFonts w:asciiTheme="majorHAnsi" w:hAnsiTheme="majorHAnsi"/>
                          <w:color w:val="0D0D0D" w:themeColor="text1" w:themeTint="F2"/>
                          <w:sz w:val="18"/>
                          <w:szCs w:val="22"/>
                          <w:lang w:val="es-ES"/>
                        </w:rPr>
                        <w:t>2</w:t>
                      </w:r>
                      <w:r w:rsidR="00C508AD">
                        <w:rPr>
                          <w:rFonts w:asciiTheme="majorHAnsi" w:hAnsiTheme="majorHAnsi"/>
                          <w:color w:val="0D0D0D" w:themeColor="text1" w:themeTint="F2"/>
                          <w:sz w:val="18"/>
                          <w:szCs w:val="22"/>
                          <w:lang w:val="es-ES"/>
                        </w:rPr>
                        <w:t>1</w:t>
                      </w:r>
                      <w:r w:rsidR="00145162">
                        <w:rPr>
                          <w:rFonts w:asciiTheme="majorHAnsi" w:hAnsiTheme="majorHAnsi"/>
                          <w:color w:val="0D0D0D" w:themeColor="text1" w:themeTint="F2"/>
                          <w:sz w:val="18"/>
                          <w:szCs w:val="22"/>
                          <w:lang w:val="es-ES"/>
                        </w:rPr>
                        <w:t>.</w:t>
                      </w:r>
                    </w:p>
                    <w:p w14:paraId="4BDF3581" w14:textId="77777777" w:rsidR="006C2713" w:rsidRPr="007A5817" w:rsidRDefault="006C2713"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6C2713" w:rsidRPr="00167A34" w:rsidRDefault="006C271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D50D50" w:rsidRDefault="00A50FCF" w:rsidP="00040C3A">
      <w:pPr>
        <w:tabs>
          <w:tab w:val="center" w:pos="5400"/>
        </w:tabs>
        <w:suppressAutoHyphens/>
        <w:jc w:val="center"/>
        <w:rPr>
          <w:rFonts w:asciiTheme="majorHAnsi" w:hAnsiTheme="majorHAnsi"/>
          <w:sz w:val="20"/>
          <w:szCs w:val="20"/>
          <w:lang w:val="es-ES"/>
        </w:rPr>
      </w:pPr>
    </w:p>
    <w:p w14:paraId="7929D1FD" w14:textId="77777777" w:rsidR="00A50FCF" w:rsidRPr="00D50D50" w:rsidRDefault="00A50FCF" w:rsidP="00040C3A">
      <w:pPr>
        <w:tabs>
          <w:tab w:val="center" w:pos="5400"/>
        </w:tabs>
        <w:suppressAutoHyphens/>
        <w:jc w:val="center"/>
        <w:rPr>
          <w:rFonts w:asciiTheme="majorHAnsi" w:hAnsiTheme="majorHAnsi"/>
          <w:sz w:val="20"/>
          <w:szCs w:val="20"/>
          <w:lang w:val="es-ES"/>
        </w:rPr>
      </w:pPr>
    </w:p>
    <w:p w14:paraId="5469D0BE" w14:textId="77777777" w:rsidR="00A50FCF" w:rsidRPr="00D50D50" w:rsidRDefault="00A50FCF" w:rsidP="00040C3A">
      <w:pPr>
        <w:tabs>
          <w:tab w:val="center" w:pos="5400"/>
        </w:tabs>
        <w:suppressAutoHyphens/>
        <w:jc w:val="center"/>
        <w:rPr>
          <w:rFonts w:asciiTheme="majorHAnsi" w:hAnsiTheme="majorHAnsi"/>
          <w:sz w:val="20"/>
          <w:szCs w:val="20"/>
          <w:lang w:val="es-ES"/>
        </w:rPr>
      </w:pPr>
    </w:p>
    <w:p w14:paraId="7A79F059" w14:textId="77777777" w:rsidR="00A50FCF" w:rsidRPr="00D50D50" w:rsidRDefault="00A50FCF" w:rsidP="00040C3A">
      <w:pPr>
        <w:tabs>
          <w:tab w:val="center" w:pos="5400"/>
        </w:tabs>
        <w:suppressAutoHyphens/>
        <w:jc w:val="center"/>
        <w:rPr>
          <w:rFonts w:asciiTheme="majorHAnsi" w:hAnsiTheme="majorHAnsi"/>
          <w:sz w:val="20"/>
          <w:szCs w:val="20"/>
          <w:lang w:val="es-ES"/>
        </w:rPr>
      </w:pPr>
    </w:p>
    <w:p w14:paraId="330672AE" w14:textId="77777777" w:rsidR="00A50FCF" w:rsidRPr="00D50D50" w:rsidRDefault="0090270B" w:rsidP="00040C3A">
      <w:pPr>
        <w:tabs>
          <w:tab w:val="center" w:pos="5400"/>
        </w:tabs>
        <w:suppressAutoHyphens/>
        <w:jc w:val="center"/>
        <w:rPr>
          <w:rFonts w:asciiTheme="majorHAnsi" w:hAnsiTheme="majorHAnsi"/>
          <w:sz w:val="20"/>
          <w:szCs w:val="20"/>
          <w:lang w:val="es-ES"/>
        </w:rPr>
      </w:pPr>
      <w:r w:rsidRPr="00D50D50">
        <w:rPr>
          <w:rFonts w:asciiTheme="majorHAnsi" w:hAnsiTheme="majorHAnsi"/>
          <w:noProof/>
          <w:sz w:val="20"/>
          <w:szCs w:val="20"/>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B9265" w14:textId="57E3ED3C" w:rsidR="00C508AD" w:rsidRPr="007B05C4" w:rsidRDefault="00C508AD" w:rsidP="00C508AD">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BA1947">
                              <w:rPr>
                                <w:rFonts w:asciiTheme="majorHAnsi" w:hAnsiTheme="majorHAnsi"/>
                                <w:color w:val="595959" w:themeColor="text1" w:themeTint="A6"/>
                                <w:sz w:val="18"/>
                                <w:szCs w:val="18"/>
                                <w:lang w:val="pt-BR"/>
                              </w:rPr>
                              <w:t>214/21.</w:t>
                            </w:r>
                            <w:r w:rsidR="00145162">
                              <w:rPr>
                                <w:rFonts w:asciiTheme="majorHAnsi" w:hAnsiTheme="majorHAnsi"/>
                                <w:color w:val="595959" w:themeColor="text1" w:themeTint="A6"/>
                                <w:sz w:val="18"/>
                                <w:szCs w:val="18"/>
                                <w:lang w:val="pt-BR"/>
                              </w:rPr>
                              <w:t xml:space="preserve"> Petición </w:t>
                            </w:r>
                            <w:r w:rsidR="00A91565">
                              <w:rPr>
                                <w:rFonts w:asciiTheme="majorHAnsi" w:hAnsiTheme="majorHAnsi"/>
                                <w:color w:val="595959" w:themeColor="text1" w:themeTint="A6"/>
                                <w:sz w:val="18"/>
                                <w:szCs w:val="18"/>
                                <w:lang w:val="pt-BR"/>
                              </w:rPr>
                              <w:t xml:space="preserve"> </w:t>
                            </w:r>
                            <w:r w:rsidR="00A91565" w:rsidRPr="00F85D1A">
                              <w:rPr>
                                <w:rFonts w:asciiTheme="majorHAnsi" w:hAnsiTheme="majorHAnsi"/>
                                <w:color w:val="595959" w:themeColor="text1" w:themeTint="A6"/>
                                <w:sz w:val="18"/>
                                <w:szCs w:val="18"/>
                                <w:lang w:val="es-419"/>
                              </w:rPr>
                              <w:t>P-559-12.</w:t>
                            </w:r>
                            <w:r w:rsidRPr="00F85D1A">
                              <w:rPr>
                                <w:rFonts w:asciiTheme="majorHAnsi" w:hAnsiTheme="majorHAnsi"/>
                                <w:color w:val="595959" w:themeColor="text1" w:themeTint="A6"/>
                                <w:sz w:val="18"/>
                                <w:szCs w:val="18"/>
                                <w:lang w:val="es-419"/>
                              </w:rPr>
                              <w:t xml:space="preserve"> </w:t>
                            </w:r>
                            <w:r w:rsidRPr="00890650">
                              <w:rPr>
                                <w:rFonts w:asciiTheme="majorHAnsi" w:hAnsiTheme="majorHAnsi"/>
                                <w:color w:val="595959" w:themeColor="text1" w:themeTint="A6"/>
                                <w:sz w:val="18"/>
                                <w:szCs w:val="18"/>
                                <w:lang w:val="es-ES_tradnl"/>
                              </w:rPr>
                              <w:t xml:space="preserve">Inadmisibilidad. </w:t>
                            </w:r>
                            <w:r>
                              <w:rPr>
                                <w:rFonts w:asciiTheme="majorHAnsi" w:hAnsiTheme="majorHAnsi"/>
                                <w:color w:val="595959" w:themeColor="text1" w:themeTint="A6"/>
                                <w:sz w:val="18"/>
                                <w:szCs w:val="18"/>
                                <w:lang w:val="es-ES_tradnl"/>
                              </w:rPr>
                              <w:t>Roberto Claros Flores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Bolivia.</w:t>
                            </w:r>
                            <w:r w:rsidR="00A91565">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8 de septiembre de 2021</w:t>
                            </w:r>
                            <w:r w:rsidRPr="007B05C4">
                              <w:rPr>
                                <w:rFonts w:asciiTheme="majorHAnsi" w:hAnsiTheme="majorHAnsi"/>
                                <w:color w:val="595959" w:themeColor="text1" w:themeTint="A6"/>
                                <w:sz w:val="18"/>
                                <w:szCs w:val="18"/>
                                <w:lang w:val="es-ES"/>
                              </w:rPr>
                              <w:t>.</w:t>
                            </w:r>
                          </w:p>
                          <w:p w14:paraId="0D1B22CF" w14:textId="48CD1A3E" w:rsidR="006C2713" w:rsidRPr="007B05C4" w:rsidRDefault="006C2713"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7DB9265" w14:textId="57E3ED3C" w:rsidR="00C508AD" w:rsidRPr="007B05C4" w:rsidRDefault="00C508AD" w:rsidP="00C508AD">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BA1947">
                        <w:rPr>
                          <w:rFonts w:asciiTheme="majorHAnsi" w:hAnsiTheme="majorHAnsi"/>
                          <w:color w:val="595959" w:themeColor="text1" w:themeTint="A6"/>
                          <w:sz w:val="18"/>
                          <w:szCs w:val="18"/>
                          <w:lang w:val="pt-BR"/>
                        </w:rPr>
                        <w:t>214/21.</w:t>
                      </w:r>
                      <w:r w:rsidR="00145162">
                        <w:rPr>
                          <w:rFonts w:asciiTheme="majorHAnsi" w:hAnsiTheme="majorHAnsi"/>
                          <w:color w:val="595959" w:themeColor="text1" w:themeTint="A6"/>
                          <w:sz w:val="18"/>
                          <w:szCs w:val="18"/>
                          <w:lang w:val="pt-BR"/>
                        </w:rPr>
                        <w:t xml:space="preserve"> Petición </w:t>
                      </w:r>
                      <w:r w:rsidR="00A91565">
                        <w:rPr>
                          <w:rFonts w:asciiTheme="majorHAnsi" w:hAnsiTheme="majorHAnsi"/>
                          <w:color w:val="595959" w:themeColor="text1" w:themeTint="A6"/>
                          <w:sz w:val="18"/>
                          <w:szCs w:val="18"/>
                          <w:lang w:val="pt-BR"/>
                        </w:rPr>
                        <w:t xml:space="preserve"> </w:t>
                      </w:r>
                      <w:r w:rsidR="00A91565" w:rsidRPr="00F85D1A">
                        <w:rPr>
                          <w:rFonts w:asciiTheme="majorHAnsi" w:hAnsiTheme="majorHAnsi"/>
                          <w:color w:val="595959" w:themeColor="text1" w:themeTint="A6"/>
                          <w:sz w:val="18"/>
                          <w:szCs w:val="18"/>
                          <w:lang w:val="es-419"/>
                        </w:rPr>
                        <w:t>P-559-12.</w:t>
                      </w:r>
                      <w:r w:rsidRPr="00F85D1A">
                        <w:rPr>
                          <w:rFonts w:asciiTheme="majorHAnsi" w:hAnsiTheme="majorHAnsi"/>
                          <w:color w:val="595959" w:themeColor="text1" w:themeTint="A6"/>
                          <w:sz w:val="18"/>
                          <w:szCs w:val="18"/>
                          <w:lang w:val="es-419"/>
                        </w:rPr>
                        <w:t xml:space="preserve"> </w:t>
                      </w:r>
                      <w:r w:rsidRPr="00890650">
                        <w:rPr>
                          <w:rFonts w:asciiTheme="majorHAnsi" w:hAnsiTheme="majorHAnsi"/>
                          <w:color w:val="595959" w:themeColor="text1" w:themeTint="A6"/>
                          <w:sz w:val="18"/>
                          <w:szCs w:val="18"/>
                          <w:lang w:val="es-ES_tradnl"/>
                        </w:rPr>
                        <w:t xml:space="preserve">Inadmisibilidad. </w:t>
                      </w:r>
                      <w:r>
                        <w:rPr>
                          <w:rFonts w:asciiTheme="majorHAnsi" w:hAnsiTheme="majorHAnsi"/>
                          <w:color w:val="595959" w:themeColor="text1" w:themeTint="A6"/>
                          <w:sz w:val="18"/>
                          <w:szCs w:val="18"/>
                          <w:lang w:val="es-ES_tradnl"/>
                        </w:rPr>
                        <w:t>Roberto Claros Flores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Bolivia.</w:t>
                      </w:r>
                      <w:r w:rsidR="00A91565">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8 de septiembre de 2021</w:t>
                      </w:r>
                      <w:r w:rsidRPr="007B05C4">
                        <w:rPr>
                          <w:rFonts w:asciiTheme="majorHAnsi" w:hAnsiTheme="majorHAnsi"/>
                          <w:color w:val="595959" w:themeColor="text1" w:themeTint="A6"/>
                          <w:sz w:val="18"/>
                          <w:szCs w:val="18"/>
                          <w:lang w:val="es-ES"/>
                        </w:rPr>
                        <w:t>.</w:t>
                      </w:r>
                    </w:p>
                    <w:p w14:paraId="0D1B22CF" w14:textId="48CD1A3E" w:rsidR="006C2713" w:rsidRPr="007B05C4" w:rsidRDefault="006C2713"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14:paraId="196A49DE" w14:textId="77777777" w:rsidR="00A50FCF" w:rsidRPr="00D50D50" w:rsidRDefault="00A50FCF" w:rsidP="00040C3A">
      <w:pPr>
        <w:tabs>
          <w:tab w:val="center" w:pos="5400"/>
        </w:tabs>
        <w:suppressAutoHyphens/>
        <w:jc w:val="center"/>
        <w:rPr>
          <w:rFonts w:asciiTheme="majorHAnsi" w:hAnsiTheme="majorHAnsi"/>
          <w:sz w:val="20"/>
          <w:szCs w:val="20"/>
          <w:lang w:val="es-ES"/>
        </w:rPr>
      </w:pPr>
    </w:p>
    <w:p w14:paraId="1DA07629" w14:textId="511E982D" w:rsidR="0090270B" w:rsidRPr="00D50D50" w:rsidRDefault="00D306D1" w:rsidP="005516A1">
      <w:pPr>
        <w:tabs>
          <w:tab w:val="center" w:pos="5400"/>
        </w:tabs>
        <w:suppressAutoHyphens/>
        <w:jc w:val="center"/>
        <w:rPr>
          <w:rFonts w:asciiTheme="majorHAnsi" w:hAnsiTheme="majorHAnsi"/>
          <w:b/>
          <w:sz w:val="20"/>
          <w:szCs w:val="20"/>
          <w:lang w:val="es-ES"/>
        </w:rPr>
      </w:pPr>
      <w:r w:rsidRPr="00D50D50">
        <w:rPr>
          <w:rFonts w:asciiTheme="majorHAnsi" w:hAnsiTheme="majorHAnsi"/>
          <w:noProof/>
          <w:sz w:val="20"/>
          <w:szCs w:val="20"/>
        </w:rPr>
        <mc:AlternateContent>
          <mc:Choice Requires="wps">
            <w:drawing>
              <wp:anchor distT="0" distB="0" distL="114300" distR="114300" simplePos="0" relativeHeight="251658247" behindDoc="0" locked="0" layoutInCell="1" allowOverlap="1" wp14:anchorId="02EDA5EE" wp14:editId="2FC6114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6C2713" w:rsidRPr="004B7EB6" w:rsidRDefault="006C271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FA98728">
              <v:shape id="Text Box 4"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w14:anchorId="02EDA5EE">
                <v:textbox>
                  <w:txbxContent>
                    <w:p w:rsidRPr="004B7EB6" w:rsidR="006C2713" w:rsidP="00D306D1" w:rsidRDefault="006C2713" w14:paraId="16B1486B" w14:textId="77777777">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DC0E11F" w:rsidR="0070697F" w:rsidRPr="00D50D50" w:rsidRDefault="00C508AD" w:rsidP="005516A1">
      <w:pPr>
        <w:tabs>
          <w:tab w:val="center" w:pos="5400"/>
        </w:tabs>
        <w:suppressAutoHyphens/>
        <w:jc w:val="center"/>
        <w:rPr>
          <w:rFonts w:asciiTheme="majorHAnsi" w:hAnsiTheme="majorHAnsi"/>
          <w:b/>
          <w:sz w:val="20"/>
          <w:szCs w:val="20"/>
          <w:lang w:val="es-ES"/>
        </w:rPr>
        <w:sectPr w:rsidR="0070697F" w:rsidRPr="00D50D50"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D50D50">
        <w:rPr>
          <w:rFonts w:asciiTheme="majorHAnsi" w:hAnsiTheme="majorHAnsi"/>
          <w:noProof/>
          <w:sz w:val="20"/>
          <w:szCs w:val="20"/>
        </w:rPr>
        <mc:AlternateContent>
          <mc:Choice Requires="wps">
            <w:drawing>
              <wp:anchor distT="0" distB="0" distL="114300" distR="114300" simplePos="0" relativeHeight="251658246" behindDoc="0" locked="0" layoutInCell="1" allowOverlap="1" wp14:anchorId="50472543" wp14:editId="41E79103">
                <wp:simplePos x="0" y="0"/>
                <wp:positionH relativeFrom="column">
                  <wp:posOffset>1327785</wp:posOffset>
                </wp:positionH>
                <wp:positionV relativeFrom="paragraph">
                  <wp:posOffset>526778</wp:posOffset>
                </wp:positionV>
                <wp:extent cx="4096385" cy="658585"/>
                <wp:effectExtent l="0" t="0" r="0" b="8255"/>
                <wp:wrapNone/>
                <wp:docPr id="9" name="Text Box 9"/>
                <wp:cNvGraphicFramePr/>
                <a:graphic xmlns:a="http://schemas.openxmlformats.org/drawingml/2006/main">
                  <a:graphicData uri="http://schemas.microsoft.com/office/word/2010/wordprocessingShape">
                    <wps:wsp>
                      <wps:cNvSpPr txBox="1"/>
                      <wps:spPr>
                        <a:xfrm>
                          <a:off x="0" y="0"/>
                          <a:ext cx="4096385" cy="658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6C2713" w:rsidRPr="00D72DC6" w:rsidRDefault="006C271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E7792F5">
              <v:shape id="Text Box 9" style="position:absolute;left:0;text-align:left;margin-left:104.55pt;margin-top:41.5pt;width:322.55pt;height:51.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" w14:anchorId="50472543">
                <v:textbox>
                  <w:txbxContent>
                    <w:p w:rsidRPr="00D72DC6" w:rsidR="006C2713" w:rsidP="00F02AD1" w:rsidRDefault="006C2713" w14:paraId="5A39BBE3" w14:textId="77777777">
                      <w:pPr>
                        <w:rPr>
                          <w:color w:val="FFFFFF" w:themeColor="background1"/>
                          <w14:textFill>
                            <w14:noFill/>
                          </w14:textFill>
                        </w:rPr>
                      </w:pPr>
                      <w:r w:rsidRPr="00D72DC6">
                        <w:rPr>
                          <w:noProof/>
                          <w:color w:val="FFFFFF" w:themeColor="background1"/>
                          <w14:textFill>
                            <w14:noFill/>
                          </w14:textFill>
                        </w:rPr>
                        <w:drawing>
                          <wp:inline distT="0" distB="0" distL="0" distR="0" wp14:anchorId="63D4F1F7" wp14:editId="72AC5E93">
                            <wp:extent cx="2036446" cy="523875"/>
                            <wp:effectExtent l="0" t="0" r="1905" b="9525"/>
                            <wp:docPr id="6669182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D50D50">
        <w:rPr>
          <w:rFonts w:asciiTheme="majorHAnsi" w:hAnsiTheme="majorHAnsi"/>
          <w:b/>
          <w:sz w:val="20"/>
          <w:szCs w:val="20"/>
          <w:lang w:val="es-ES"/>
        </w:rPr>
        <w:tab/>
      </w:r>
    </w:p>
    <w:p w14:paraId="376DDC8B" w14:textId="77777777" w:rsidR="003239B8" w:rsidRPr="00D50D50" w:rsidRDefault="003239B8" w:rsidP="007C402A">
      <w:pPr>
        <w:spacing w:after="120"/>
        <w:ind w:firstLine="720"/>
        <w:jc w:val="both"/>
        <w:rPr>
          <w:rFonts w:asciiTheme="majorHAnsi" w:hAnsiTheme="majorHAnsi"/>
          <w:b/>
          <w:bCs/>
          <w:sz w:val="20"/>
          <w:szCs w:val="20"/>
          <w:lang w:val="es-ES"/>
        </w:rPr>
      </w:pPr>
      <w:r w:rsidRPr="00D50D50">
        <w:rPr>
          <w:rFonts w:asciiTheme="majorHAnsi" w:hAnsiTheme="majorHAnsi"/>
          <w:b/>
          <w:bCs/>
          <w:sz w:val="20"/>
          <w:szCs w:val="20"/>
          <w:lang w:val="es-ES"/>
        </w:rPr>
        <w:lastRenderedPageBreak/>
        <w:t>I.</w:t>
      </w:r>
      <w:r w:rsidRPr="00D50D50">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D50D50"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D50D50" w:rsidRDefault="00D77503" w:rsidP="0099640F">
            <w:pPr>
              <w:jc w:val="center"/>
              <w:rPr>
                <w:rFonts w:asciiTheme="majorHAnsi" w:hAnsiTheme="majorHAnsi"/>
                <w:bCs/>
                <w:color w:val="FFFFFF" w:themeColor="background1"/>
                <w:sz w:val="20"/>
                <w:szCs w:val="20"/>
                <w:lang w:val="es-ES"/>
              </w:rPr>
            </w:pPr>
            <w:r w:rsidRPr="00D50D50">
              <w:rPr>
                <w:rFonts w:asciiTheme="majorHAnsi" w:hAnsiTheme="majorHAnsi"/>
                <w:bCs/>
                <w:color w:val="FFFFFF" w:themeColor="background1"/>
                <w:sz w:val="20"/>
                <w:szCs w:val="20"/>
                <w:lang w:val="es-ES"/>
              </w:rPr>
              <w:t>Parte peticionaria</w:t>
            </w:r>
          </w:p>
        </w:tc>
        <w:tc>
          <w:tcPr>
            <w:tcW w:w="6570" w:type="dxa"/>
            <w:vAlign w:val="center"/>
          </w:tcPr>
          <w:p w14:paraId="3C5315D8" w14:textId="6171082C" w:rsidR="003239B8" w:rsidRPr="00D50D50" w:rsidRDefault="005840AE" w:rsidP="005840AE">
            <w:pPr>
              <w:jc w:val="both"/>
              <w:rPr>
                <w:rFonts w:asciiTheme="majorHAnsi" w:hAnsiTheme="majorHAnsi"/>
                <w:bCs/>
                <w:sz w:val="20"/>
                <w:szCs w:val="20"/>
                <w:lang w:val="es-US"/>
              </w:rPr>
            </w:pPr>
            <w:r w:rsidRPr="00D50D50">
              <w:rPr>
                <w:rFonts w:asciiTheme="majorHAnsi" w:hAnsiTheme="majorHAnsi"/>
                <w:bCs/>
                <w:sz w:val="20"/>
                <w:szCs w:val="20"/>
                <w:lang w:val="es-US"/>
              </w:rPr>
              <w:t xml:space="preserve">Aparicio, Aro &amp; </w:t>
            </w:r>
            <w:proofErr w:type="spellStart"/>
            <w:r w:rsidRPr="00D50D50">
              <w:rPr>
                <w:rFonts w:asciiTheme="majorHAnsi" w:hAnsiTheme="majorHAnsi"/>
                <w:bCs/>
                <w:sz w:val="20"/>
                <w:szCs w:val="20"/>
                <w:lang w:val="es-US"/>
              </w:rPr>
              <w:t>Associates</w:t>
            </w:r>
            <w:proofErr w:type="spellEnd"/>
            <w:r w:rsidRPr="00D50D50">
              <w:rPr>
                <w:rFonts w:asciiTheme="majorHAnsi" w:hAnsiTheme="majorHAnsi"/>
                <w:bCs/>
                <w:sz w:val="20"/>
                <w:szCs w:val="20"/>
                <w:lang w:val="es-US"/>
              </w:rPr>
              <w:t xml:space="preserve"> LLC</w:t>
            </w:r>
          </w:p>
        </w:tc>
      </w:tr>
      <w:tr w:rsidR="003239B8" w:rsidRPr="00145162"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D50D50" w:rsidRDefault="002355A9" w:rsidP="0099640F">
            <w:pPr>
              <w:jc w:val="center"/>
              <w:rPr>
                <w:rFonts w:asciiTheme="majorHAnsi" w:hAnsiTheme="majorHAnsi"/>
                <w:bCs/>
                <w:color w:val="FFFFFF" w:themeColor="background1"/>
                <w:sz w:val="20"/>
                <w:szCs w:val="20"/>
                <w:lang w:val="es-ES"/>
              </w:rPr>
            </w:pPr>
            <w:r w:rsidRPr="00D50D50">
              <w:rPr>
                <w:rFonts w:asciiTheme="majorHAnsi" w:hAnsiTheme="majorHAnsi"/>
                <w:bCs/>
                <w:color w:val="FFFFFF" w:themeColor="background1"/>
                <w:sz w:val="20"/>
                <w:szCs w:val="20"/>
                <w:lang w:val="es-ES"/>
              </w:rPr>
              <w:t>Presunta víctima</w:t>
            </w:r>
          </w:p>
        </w:tc>
        <w:tc>
          <w:tcPr>
            <w:tcW w:w="6570" w:type="dxa"/>
            <w:vAlign w:val="center"/>
          </w:tcPr>
          <w:p w14:paraId="4AEBF59E" w14:textId="6C56F2B6" w:rsidR="003239B8" w:rsidRPr="00D50D50" w:rsidRDefault="005840AE" w:rsidP="005B6D22">
            <w:pPr>
              <w:jc w:val="both"/>
              <w:rPr>
                <w:rFonts w:asciiTheme="majorHAnsi" w:hAnsiTheme="majorHAnsi"/>
                <w:bCs/>
                <w:sz w:val="20"/>
                <w:szCs w:val="20"/>
                <w:lang w:val="es-US"/>
              </w:rPr>
            </w:pPr>
            <w:r w:rsidRPr="00D50D50">
              <w:rPr>
                <w:rFonts w:asciiTheme="majorHAnsi" w:hAnsiTheme="majorHAnsi"/>
                <w:bCs/>
                <w:sz w:val="20"/>
                <w:szCs w:val="20"/>
                <w:lang w:val="es-US"/>
              </w:rPr>
              <w:t>Roberto Claros Flores, Juan V</w:t>
            </w:r>
            <w:r w:rsidR="00186A95" w:rsidRPr="00D50D50">
              <w:rPr>
                <w:rFonts w:asciiTheme="majorHAnsi" w:hAnsiTheme="majorHAnsi"/>
                <w:bCs/>
                <w:sz w:val="20"/>
                <w:szCs w:val="20"/>
                <w:lang w:val="es-US"/>
              </w:rPr>
              <w:t>é</w:t>
            </w:r>
            <w:r w:rsidRPr="00D50D50">
              <w:rPr>
                <w:rFonts w:asciiTheme="majorHAnsi" w:hAnsiTheme="majorHAnsi"/>
                <w:bCs/>
                <w:sz w:val="20"/>
                <w:szCs w:val="20"/>
                <w:lang w:val="es-US"/>
              </w:rPr>
              <w:t>liz Herrera</w:t>
            </w:r>
            <w:r w:rsidR="00FB7600" w:rsidRPr="00D50D50">
              <w:rPr>
                <w:rFonts w:asciiTheme="majorHAnsi" w:hAnsiTheme="majorHAnsi"/>
                <w:bCs/>
                <w:sz w:val="20"/>
                <w:szCs w:val="20"/>
                <w:lang w:val="es-US"/>
              </w:rPr>
              <w:t xml:space="preserve"> y</w:t>
            </w:r>
            <w:r w:rsidRPr="00D50D50">
              <w:rPr>
                <w:rFonts w:asciiTheme="majorHAnsi" w:hAnsiTheme="majorHAnsi"/>
                <w:bCs/>
                <w:sz w:val="20"/>
                <w:szCs w:val="20"/>
                <w:lang w:val="es-US"/>
              </w:rPr>
              <w:t xml:space="preserve"> Gonzalo Alberto </w:t>
            </w:r>
            <w:proofErr w:type="spellStart"/>
            <w:r w:rsidRPr="00D50D50">
              <w:rPr>
                <w:rFonts w:asciiTheme="majorHAnsi" w:hAnsiTheme="majorHAnsi"/>
                <w:bCs/>
                <w:sz w:val="20"/>
                <w:szCs w:val="20"/>
                <w:lang w:val="es-US"/>
              </w:rPr>
              <w:t>Rocabado</w:t>
            </w:r>
            <w:proofErr w:type="spellEnd"/>
            <w:r w:rsidRPr="00D50D50">
              <w:rPr>
                <w:rStyle w:val="FootnoteReference"/>
                <w:rFonts w:asciiTheme="majorHAnsi" w:hAnsiTheme="majorHAnsi"/>
                <w:bCs/>
                <w:sz w:val="20"/>
                <w:szCs w:val="20"/>
                <w:lang w:val="es-US"/>
              </w:rPr>
              <w:footnoteReference w:id="2"/>
            </w:r>
          </w:p>
        </w:tc>
      </w:tr>
      <w:tr w:rsidR="003239B8" w:rsidRPr="00D50D50"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D50D50" w:rsidRDefault="00D77503" w:rsidP="0099640F">
            <w:pPr>
              <w:jc w:val="center"/>
              <w:rPr>
                <w:rFonts w:asciiTheme="majorHAnsi" w:hAnsiTheme="majorHAnsi"/>
                <w:bCs/>
                <w:color w:val="FFFFFF" w:themeColor="background1"/>
                <w:sz w:val="20"/>
                <w:szCs w:val="20"/>
                <w:lang w:val="es-ES"/>
              </w:rPr>
            </w:pPr>
            <w:r w:rsidRPr="00D50D50">
              <w:rPr>
                <w:rFonts w:asciiTheme="majorHAnsi" w:hAnsiTheme="majorHAnsi"/>
                <w:bCs/>
                <w:color w:val="FFFFFF" w:themeColor="background1"/>
                <w:sz w:val="20"/>
                <w:szCs w:val="20"/>
                <w:lang w:val="es-ES"/>
              </w:rPr>
              <w:t>Estado denunciado</w:t>
            </w:r>
          </w:p>
        </w:tc>
        <w:tc>
          <w:tcPr>
            <w:tcW w:w="6570" w:type="dxa"/>
            <w:vAlign w:val="center"/>
          </w:tcPr>
          <w:p w14:paraId="274C8A50" w14:textId="1E319973" w:rsidR="003239B8" w:rsidRPr="00D50D50" w:rsidRDefault="0003606A" w:rsidP="0003606A">
            <w:pPr>
              <w:jc w:val="both"/>
              <w:rPr>
                <w:rFonts w:asciiTheme="majorHAnsi" w:hAnsiTheme="majorHAnsi"/>
                <w:bCs/>
                <w:sz w:val="20"/>
                <w:szCs w:val="20"/>
                <w:lang w:val="es-ES"/>
              </w:rPr>
            </w:pPr>
            <w:r w:rsidRPr="00D50D50">
              <w:rPr>
                <w:rFonts w:asciiTheme="majorHAnsi" w:hAnsiTheme="majorHAnsi"/>
                <w:bCs/>
                <w:sz w:val="20"/>
                <w:szCs w:val="20"/>
                <w:lang w:val="es-ES"/>
              </w:rPr>
              <w:t>Bolivia</w:t>
            </w:r>
          </w:p>
        </w:tc>
      </w:tr>
      <w:tr w:rsidR="00223A29" w:rsidRPr="00145162"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D50D50" w:rsidRDefault="001B3A00" w:rsidP="00E4118C">
            <w:pPr>
              <w:jc w:val="center"/>
              <w:rPr>
                <w:rFonts w:asciiTheme="majorHAnsi" w:hAnsiTheme="majorHAnsi"/>
                <w:bCs/>
                <w:color w:val="FFFFFF" w:themeColor="background1"/>
                <w:sz w:val="20"/>
                <w:szCs w:val="20"/>
                <w:lang w:val="es-ES"/>
              </w:rPr>
            </w:pPr>
            <w:r w:rsidRPr="00D50D50">
              <w:rPr>
                <w:rFonts w:asciiTheme="majorHAnsi" w:hAnsiTheme="majorHAnsi"/>
                <w:bCs/>
                <w:color w:val="FFFFFF" w:themeColor="background1"/>
                <w:sz w:val="20"/>
                <w:szCs w:val="20"/>
                <w:lang w:val="es-ES"/>
              </w:rPr>
              <w:t xml:space="preserve">Derechos </w:t>
            </w:r>
            <w:r w:rsidR="00E4118C" w:rsidRPr="00D50D50">
              <w:rPr>
                <w:rFonts w:asciiTheme="majorHAnsi" w:hAnsiTheme="majorHAnsi"/>
                <w:bCs/>
                <w:color w:val="FFFFFF" w:themeColor="background1"/>
                <w:sz w:val="20"/>
                <w:szCs w:val="20"/>
                <w:lang w:val="es-ES"/>
              </w:rPr>
              <w:t>invocados</w:t>
            </w:r>
          </w:p>
        </w:tc>
        <w:tc>
          <w:tcPr>
            <w:tcW w:w="6570" w:type="dxa"/>
            <w:vAlign w:val="center"/>
          </w:tcPr>
          <w:p w14:paraId="6DEE1EEB" w14:textId="4C8BA6EA" w:rsidR="00223A29" w:rsidRPr="00D50D50" w:rsidRDefault="00BF514A" w:rsidP="00F04884">
            <w:pPr>
              <w:jc w:val="both"/>
              <w:rPr>
                <w:rFonts w:asciiTheme="majorHAnsi" w:hAnsiTheme="majorHAnsi"/>
                <w:bCs/>
                <w:sz w:val="20"/>
                <w:szCs w:val="20"/>
                <w:lang w:val="es-ES"/>
              </w:rPr>
            </w:pPr>
            <w:r w:rsidRPr="00D50D50">
              <w:rPr>
                <w:rFonts w:asciiTheme="majorHAnsi" w:hAnsiTheme="majorHAnsi"/>
                <w:bCs/>
                <w:sz w:val="20"/>
                <w:szCs w:val="20"/>
                <w:lang w:val="es-ES"/>
              </w:rPr>
              <w:t xml:space="preserve">Artículos </w:t>
            </w:r>
            <w:r w:rsidR="00F04884" w:rsidRPr="00D50D50">
              <w:rPr>
                <w:rFonts w:asciiTheme="majorHAnsi" w:hAnsiTheme="majorHAnsi"/>
                <w:bCs/>
                <w:sz w:val="20"/>
                <w:szCs w:val="20"/>
                <w:lang w:val="es-ES"/>
              </w:rPr>
              <w:t xml:space="preserve">5 (integridad personal), 7 (libertad personal), </w:t>
            </w:r>
            <w:r w:rsidR="006E7DE2" w:rsidRPr="00D50D50">
              <w:rPr>
                <w:rFonts w:asciiTheme="majorHAnsi" w:hAnsiTheme="majorHAnsi"/>
                <w:bCs/>
                <w:sz w:val="20"/>
                <w:szCs w:val="20"/>
                <w:lang w:val="es-ES"/>
              </w:rPr>
              <w:t>8 (garantías judiciales), 25 (</w:t>
            </w:r>
            <w:r w:rsidR="00FF0714" w:rsidRPr="00D50D50">
              <w:rPr>
                <w:rFonts w:asciiTheme="majorHAnsi" w:hAnsiTheme="majorHAnsi"/>
                <w:bCs/>
                <w:sz w:val="20"/>
                <w:szCs w:val="20"/>
                <w:lang w:val="es-ES"/>
              </w:rPr>
              <w:t>protección judicial</w:t>
            </w:r>
            <w:r w:rsidR="006E7DE2" w:rsidRPr="00D50D50">
              <w:rPr>
                <w:rFonts w:asciiTheme="majorHAnsi" w:hAnsiTheme="majorHAnsi"/>
                <w:bCs/>
                <w:sz w:val="20"/>
                <w:szCs w:val="20"/>
                <w:lang w:val="es-ES"/>
              </w:rPr>
              <w:t xml:space="preserve">), </w:t>
            </w:r>
            <w:r w:rsidR="00C001EB" w:rsidRPr="00D50D50">
              <w:rPr>
                <w:rFonts w:asciiTheme="majorHAnsi" w:hAnsiTheme="majorHAnsi"/>
                <w:bCs/>
                <w:sz w:val="20"/>
                <w:szCs w:val="20"/>
                <w:lang w:val="es-ES"/>
              </w:rPr>
              <w:t xml:space="preserve">en concordancia con </w:t>
            </w:r>
            <w:r w:rsidR="00FB7600" w:rsidRPr="00D50D50">
              <w:rPr>
                <w:rFonts w:asciiTheme="majorHAnsi" w:hAnsiTheme="majorHAnsi"/>
                <w:bCs/>
                <w:sz w:val="20"/>
                <w:szCs w:val="20"/>
                <w:lang w:val="es-ES"/>
              </w:rPr>
              <w:t>los</w:t>
            </w:r>
            <w:r w:rsidR="00C001EB" w:rsidRPr="00D50D50">
              <w:rPr>
                <w:rFonts w:asciiTheme="majorHAnsi" w:hAnsiTheme="majorHAnsi"/>
                <w:bCs/>
                <w:sz w:val="20"/>
                <w:szCs w:val="20"/>
                <w:lang w:val="es-ES"/>
              </w:rPr>
              <w:t xml:space="preserve"> artículo</w:t>
            </w:r>
            <w:r w:rsidR="00FB7600" w:rsidRPr="00D50D50">
              <w:rPr>
                <w:rFonts w:asciiTheme="majorHAnsi" w:hAnsiTheme="majorHAnsi"/>
                <w:bCs/>
                <w:sz w:val="20"/>
                <w:szCs w:val="20"/>
                <w:lang w:val="es-ES"/>
              </w:rPr>
              <w:t>s</w:t>
            </w:r>
            <w:r w:rsidR="00C001EB" w:rsidRPr="00D50D50">
              <w:rPr>
                <w:rFonts w:asciiTheme="majorHAnsi" w:hAnsiTheme="majorHAnsi"/>
                <w:bCs/>
                <w:sz w:val="20"/>
                <w:szCs w:val="20"/>
                <w:lang w:val="es-ES"/>
              </w:rPr>
              <w:t xml:space="preserve"> 1.1 y 2 </w:t>
            </w:r>
            <w:r w:rsidRPr="00D50D50">
              <w:rPr>
                <w:rFonts w:asciiTheme="majorHAnsi" w:hAnsiTheme="majorHAnsi"/>
                <w:bCs/>
                <w:sz w:val="20"/>
                <w:szCs w:val="20"/>
                <w:lang w:val="es-ES"/>
              </w:rPr>
              <w:t xml:space="preserve">de la Convención </w:t>
            </w:r>
            <w:r w:rsidR="00F04884" w:rsidRPr="00D50D50">
              <w:rPr>
                <w:rFonts w:asciiTheme="majorHAnsi" w:hAnsiTheme="majorHAnsi"/>
                <w:bCs/>
                <w:sz w:val="20"/>
                <w:szCs w:val="20"/>
                <w:lang w:val="es-ES"/>
              </w:rPr>
              <w:t>Americana sobre Derechos Humanos</w:t>
            </w:r>
            <w:r w:rsidRPr="00D50D50">
              <w:rPr>
                <w:rStyle w:val="FootnoteReference"/>
                <w:rFonts w:asciiTheme="majorHAnsi" w:hAnsiTheme="majorHAnsi"/>
                <w:bCs/>
                <w:sz w:val="20"/>
                <w:szCs w:val="20"/>
                <w:lang w:val="es-ES"/>
              </w:rPr>
              <w:footnoteReference w:id="3"/>
            </w:r>
          </w:p>
        </w:tc>
      </w:tr>
    </w:tbl>
    <w:p w14:paraId="20263696" w14:textId="77777777" w:rsidR="003239B8" w:rsidRPr="00D50D50" w:rsidRDefault="003239B8" w:rsidP="007C402A">
      <w:pPr>
        <w:spacing w:before="120" w:after="120"/>
        <w:ind w:firstLine="720"/>
        <w:jc w:val="both"/>
        <w:rPr>
          <w:rFonts w:asciiTheme="majorHAnsi" w:hAnsiTheme="majorHAnsi"/>
          <w:b/>
          <w:bCs/>
          <w:sz w:val="20"/>
          <w:szCs w:val="20"/>
          <w:lang w:val="es-ES"/>
        </w:rPr>
      </w:pPr>
      <w:r w:rsidRPr="00D50D50">
        <w:rPr>
          <w:rFonts w:asciiTheme="majorHAnsi" w:hAnsiTheme="majorHAnsi"/>
          <w:b/>
          <w:bCs/>
          <w:sz w:val="20"/>
          <w:szCs w:val="20"/>
          <w:lang w:val="es-ES"/>
        </w:rPr>
        <w:t>II.</w:t>
      </w:r>
      <w:r w:rsidRPr="00D50D50">
        <w:rPr>
          <w:rFonts w:asciiTheme="majorHAnsi" w:hAnsiTheme="majorHAnsi"/>
          <w:b/>
          <w:bCs/>
          <w:sz w:val="20"/>
          <w:szCs w:val="20"/>
          <w:lang w:val="es-ES"/>
        </w:rPr>
        <w:tab/>
        <w:t>TRÁMITE ANTE LA CIDH</w:t>
      </w:r>
      <w:r w:rsidR="008E3BFE" w:rsidRPr="00D50D50">
        <w:rPr>
          <w:rStyle w:val="FootnoteReference"/>
          <w:rFonts w:asciiTheme="majorHAnsi" w:hAnsiTheme="majorHAnsi"/>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D50D50"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D50D50" w:rsidRDefault="000C1C69" w:rsidP="004A6A54">
            <w:pPr>
              <w:jc w:val="center"/>
              <w:rPr>
                <w:rFonts w:asciiTheme="majorHAnsi" w:hAnsiTheme="majorHAnsi"/>
                <w:bCs/>
                <w:color w:val="FFFFFF" w:themeColor="background1"/>
                <w:sz w:val="20"/>
                <w:szCs w:val="20"/>
                <w:lang w:val="es-ES"/>
              </w:rPr>
            </w:pPr>
            <w:r w:rsidRPr="00D50D50">
              <w:rPr>
                <w:rFonts w:asciiTheme="majorHAnsi" w:hAnsiTheme="majorHAnsi"/>
                <w:bCs/>
                <w:color w:val="FFFFFF" w:themeColor="background1"/>
                <w:sz w:val="20"/>
                <w:szCs w:val="20"/>
                <w:lang w:val="es-ES"/>
              </w:rPr>
              <w:t>Recepción</w:t>
            </w:r>
            <w:r w:rsidR="00D77503" w:rsidRPr="00D50D50">
              <w:rPr>
                <w:rFonts w:asciiTheme="majorHAnsi" w:hAnsiTheme="majorHAnsi"/>
                <w:bCs/>
                <w:color w:val="FFFFFF" w:themeColor="background1"/>
                <w:sz w:val="20"/>
                <w:szCs w:val="20"/>
                <w:lang w:val="es-ES"/>
              </w:rPr>
              <w:t xml:space="preserve"> de la petición</w:t>
            </w:r>
          </w:p>
        </w:tc>
        <w:tc>
          <w:tcPr>
            <w:tcW w:w="6570" w:type="dxa"/>
            <w:vAlign w:val="center"/>
          </w:tcPr>
          <w:p w14:paraId="6E579153" w14:textId="5536742D" w:rsidR="004C2312" w:rsidRPr="00D50D50" w:rsidRDefault="00B5603D" w:rsidP="0099640F">
            <w:pPr>
              <w:jc w:val="both"/>
              <w:rPr>
                <w:rFonts w:asciiTheme="majorHAnsi" w:hAnsiTheme="majorHAnsi"/>
                <w:bCs/>
                <w:sz w:val="20"/>
                <w:szCs w:val="20"/>
                <w:lang w:val="es-ES"/>
              </w:rPr>
            </w:pPr>
            <w:r w:rsidRPr="00D50D50">
              <w:rPr>
                <w:rFonts w:asciiTheme="majorHAnsi" w:hAnsiTheme="majorHAnsi"/>
                <w:bCs/>
                <w:sz w:val="20"/>
                <w:szCs w:val="20"/>
                <w:lang w:val="es-ES"/>
              </w:rPr>
              <w:t>4 de abril de 2012</w:t>
            </w:r>
          </w:p>
        </w:tc>
      </w:tr>
      <w:tr w:rsidR="006E772A" w:rsidRPr="00D50D50"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D50D50" w:rsidRDefault="006E772A" w:rsidP="004A6A54">
            <w:pPr>
              <w:jc w:val="center"/>
              <w:rPr>
                <w:rFonts w:asciiTheme="majorHAnsi" w:hAnsiTheme="majorHAnsi"/>
                <w:bCs/>
                <w:color w:val="FFFFFF" w:themeColor="background1"/>
                <w:sz w:val="20"/>
                <w:szCs w:val="20"/>
                <w:lang w:val="es-ES"/>
              </w:rPr>
            </w:pPr>
            <w:r w:rsidRPr="00D50D50">
              <w:rPr>
                <w:rFonts w:asciiTheme="majorHAnsi" w:hAnsiTheme="majorHAnsi"/>
                <w:bCs/>
                <w:color w:val="FFFFFF" w:themeColor="background1"/>
                <w:sz w:val="20"/>
                <w:szCs w:val="20"/>
                <w:lang w:val="es-ES"/>
              </w:rPr>
              <w:t xml:space="preserve">Información adicional </w:t>
            </w:r>
            <w:r w:rsidR="002355A9" w:rsidRPr="00D50D50">
              <w:rPr>
                <w:rFonts w:asciiTheme="majorHAnsi" w:hAnsiTheme="majorHAnsi"/>
                <w:bCs/>
                <w:color w:val="FFFFFF" w:themeColor="background1"/>
                <w:sz w:val="20"/>
                <w:szCs w:val="20"/>
                <w:lang w:val="es-ES"/>
              </w:rPr>
              <w:t>recibida en la etapa de estudio</w:t>
            </w:r>
          </w:p>
        </w:tc>
        <w:tc>
          <w:tcPr>
            <w:tcW w:w="6570" w:type="dxa"/>
            <w:vAlign w:val="center"/>
          </w:tcPr>
          <w:p w14:paraId="796669C8" w14:textId="37F35801" w:rsidR="006E772A" w:rsidRPr="00D50D50" w:rsidRDefault="00225816" w:rsidP="0099640F">
            <w:pPr>
              <w:jc w:val="both"/>
              <w:rPr>
                <w:rFonts w:asciiTheme="majorHAnsi" w:hAnsiTheme="majorHAnsi"/>
                <w:bCs/>
                <w:sz w:val="20"/>
                <w:szCs w:val="20"/>
                <w:lang w:val="es-ES"/>
              </w:rPr>
            </w:pPr>
            <w:r w:rsidRPr="00D50D50">
              <w:rPr>
                <w:rFonts w:asciiTheme="majorHAnsi" w:hAnsiTheme="majorHAnsi"/>
                <w:bCs/>
                <w:sz w:val="20"/>
                <w:szCs w:val="20"/>
                <w:lang w:val="es-ES"/>
              </w:rPr>
              <w:t>7 de enero de 2014</w:t>
            </w:r>
          </w:p>
        </w:tc>
      </w:tr>
      <w:tr w:rsidR="004C2312" w:rsidRPr="00D50D50"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D50D50" w:rsidRDefault="004A6A54" w:rsidP="000C1C69">
            <w:pPr>
              <w:jc w:val="center"/>
              <w:rPr>
                <w:rFonts w:asciiTheme="majorHAnsi" w:hAnsiTheme="majorHAnsi"/>
                <w:bCs/>
                <w:color w:val="FFFFFF" w:themeColor="background1"/>
                <w:sz w:val="20"/>
                <w:szCs w:val="20"/>
                <w:lang w:val="es-ES"/>
              </w:rPr>
            </w:pPr>
            <w:r w:rsidRPr="00D50D50">
              <w:rPr>
                <w:rFonts w:asciiTheme="majorHAnsi" w:hAnsiTheme="majorHAnsi"/>
                <w:color w:val="FFFFFF" w:themeColor="background1"/>
                <w:sz w:val="20"/>
                <w:szCs w:val="20"/>
                <w:lang w:val="es-ES"/>
              </w:rPr>
              <w:t>N</w:t>
            </w:r>
            <w:r w:rsidR="004C2312" w:rsidRPr="00D50D50">
              <w:rPr>
                <w:rFonts w:asciiTheme="majorHAnsi" w:hAnsiTheme="majorHAnsi"/>
                <w:color w:val="FFFFFF" w:themeColor="background1"/>
                <w:sz w:val="20"/>
                <w:szCs w:val="20"/>
                <w:lang w:val="es-ES"/>
              </w:rPr>
              <w:t>otificación de la petición</w:t>
            </w:r>
          </w:p>
        </w:tc>
        <w:tc>
          <w:tcPr>
            <w:tcW w:w="6570" w:type="dxa"/>
            <w:vAlign w:val="center"/>
          </w:tcPr>
          <w:p w14:paraId="1519DA6A" w14:textId="545324FD" w:rsidR="004C2312" w:rsidRPr="00D50D50" w:rsidRDefault="00225816" w:rsidP="0099640F">
            <w:pPr>
              <w:jc w:val="both"/>
              <w:rPr>
                <w:rFonts w:asciiTheme="majorHAnsi" w:hAnsiTheme="majorHAnsi"/>
                <w:bCs/>
                <w:sz w:val="20"/>
                <w:szCs w:val="20"/>
                <w:lang w:val="es-ES"/>
              </w:rPr>
            </w:pPr>
            <w:r w:rsidRPr="00D50D50">
              <w:rPr>
                <w:rFonts w:asciiTheme="majorHAnsi" w:hAnsiTheme="majorHAnsi"/>
                <w:bCs/>
                <w:sz w:val="20"/>
                <w:szCs w:val="20"/>
                <w:lang w:val="es-ES"/>
              </w:rPr>
              <w:t>17 de enero de 2016</w:t>
            </w:r>
          </w:p>
        </w:tc>
      </w:tr>
      <w:tr w:rsidR="00F06354" w:rsidRPr="00D50D50"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D50D50" w:rsidRDefault="00D77503" w:rsidP="00F06354">
            <w:pPr>
              <w:jc w:val="center"/>
              <w:rPr>
                <w:rFonts w:asciiTheme="majorHAnsi" w:hAnsiTheme="majorHAnsi"/>
                <w:bCs/>
                <w:color w:val="FFFFFF" w:themeColor="background1"/>
                <w:sz w:val="20"/>
                <w:szCs w:val="20"/>
                <w:lang w:val="es-ES"/>
              </w:rPr>
            </w:pPr>
            <w:r w:rsidRPr="00D50D50">
              <w:rPr>
                <w:rFonts w:asciiTheme="majorHAnsi" w:hAnsiTheme="majorHAnsi"/>
                <w:color w:val="FFFFFF" w:themeColor="background1"/>
                <w:sz w:val="20"/>
                <w:szCs w:val="20"/>
                <w:lang w:val="es-ES"/>
              </w:rPr>
              <w:t>Primera respuesta del Estado</w:t>
            </w:r>
          </w:p>
        </w:tc>
        <w:tc>
          <w:tcPr>
            <w:tcW w:w="6570" w:type="dxa"/>
            <w:vAlign w:val="center"/>
          </w:tcPr>
          <w:p w14:paraId="1972B99E" w14:textId="503FA9F6" w:rsidR="00F06354" w:rsidRPr="00D50D50" w:rsidRDefault="00334282" w:rsidP="00F06354">
            <w:pPr>
              <w:jc w:val="both"/>
              <w:rPr>
                <w:rFonts w:asciiTheme="majorHAnsi" w:hAnsiTheme="majorHAnsi"/>
                <w:bCs/>
                <w:sz w:val="20"/>
                <w:szCs w:val="20"/>
                <w:lang w:val="es-ES"/>
              </w:rPr>
            </w:pPr>
            <w:r w:rsidRPr="00D50D50">
              <w:rPr>
                <w:rFonts w:asciiTheme="majorHAnsi" w:hAnsiTheme="majorHAnsi"/>
                <w:bCs/>
                <w:sz w:val="20"/>
                <w:szCs w:val="20"/>
                <w:lang w:val="es-ES"/>
              </w:rPr>
              <w:t>27 de marzo de 2016</w:t>
            </w:r>
          </w:p>
        </w:tc>
      </w:tr>
      <w:tr w:rsidR="00F06354" w:rsidRPr="00145162"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D50D50" w:rsidRDefault="00F06354" w:rsidP="00F06354">
            <w:pPr>
              <w:jc w:val="center"/>
              <w:rPr>
                <w:rFonts w:asciiTheme="majorHAnsi" w:hAnsiTheme="majorHAnsi"/>
                <w:bCs/>
                <w:color w:val="FFFFFF" w:themeColor="background1"/>
                <w:sz w:val="20"/>
                <w:szCs w:val="20"/>
                <w:lang w:val="es-ES"/>
              </w:rPr>
            </w:pPr>
            <w:r w:rsidRPr="00D50D50">
              <w:rPr>
                <w:rFonts w:asciiTheme="majorHAnsi" w:hAnsiTheme="majorHAnsi"/>
                <w:bCs/>
                <w:color w:val="FFFFFF" w:themeColor="background1"/>
                <w:sz w:val="20"/>
                <w:szCs w:val="20"/>
                <w:lang w:val="es-ES"/>
              </w:rPr>
              <w:t>Observaciones adicionales de</w:t>
            </w:r>
            <w:r w:rsidR="00D77503" w:rsidRPr="00D50D50">
              <w:rPr>
                <w:rFonts w:asciiTheme="majorHAnsi" w:hAnsiTheme="majorHAnsi"/>
                <w:bCs/>
                <w:color w:val="FFFFFF" w:themeColor="background1"/>
                <w:sz w:val="20"/>
                <w:szCs w:val="20"/>
                <w:lang w:val="es-ES"/>
              </w:rPr>
              <w:t xml:space="preserve"> la parte peticionaria</w:t>
            </w:r>
          </w:p>
        </w:tc>
        <w:tc>
          <w:tcPr>
            <w:tcW w:w="6570" w:type="dxa"/>
            <w:vAlign w:val="center"/>
          </w:tcPr>
          <w:p w14:paraId="41D8B862" w14:textId="07A20FC3" w:rsidR="00F06354" w:rsidRPr="00D50D50" w:rsidRDefault="00334282" w:rsidP="00D77503">
            <w:pPr>
              <w:jc w:val="both"/>
              <w:rPr>
                <w:rFonts w:asciiTheme="majorHAnsi" w:hAnsiTheme="majorHAnsi"/>
                <w:bCs/>
                <w:sz w:val="20"/>
                <w:szCs w:val="20"/>
                <w:lang w:val="es-ES"/>
              </w:rPr>
            </w:pPr>
            <w:r w:rsidRPr="00D50D50">
              <w:rPr>
                <w:rFonts w:asciiTheme="majorHAnsi" w:hAnsiTheme="majorHAnsi"/>
                <w:bCs/>
                <w:sz w:val="20"/>
                <w:szCs w:val="20"/>
                <w:lang w:val="es-ES"/>
              </w:rPr>
              <w:t>18 de agosto de 2017</w:t>
            </w:r>
            <w:r w:rsidR="00EC1F8D" w:rsidRPr="00D50D50">
              <w:rPr>
                <w:rFonts w:asciiTheme="majorHAnsi" w:hAnsiTheme="majorHAnsi"/>
                <w:bCs/>
                <w:sz w:val="20"/>
                <w:szCs w:val="20"/>
                <w:lang w:val="es-ES"/>
              </w:rPr>
              <w:t xml:space="preserve"> y 7 de enero de 2019</w:t>
            </w:r>
          </w:p>
        </w:tc>
      </w:tr>
      <w:tr w:rsidR="00F06354" w:rsidRPr="00145162"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D50D50" w:rsidRDefault="00F06354" w:rsidP="00F06354">
            <w:pPr>
              <w:jc w:val="center"/>
              <w:rPr>
                <w:rFonts w:asciiTheme="majorHAnsi" w:hAnsiTheme="majorHAnsi"/>
                <w:bCs/>
                <w:color w:val="FFFFFF" w:themeColor="background1"/>
                <w:sz w:val="20"/>
                <w:szCs w:val="20"/>
                <w:lang w:val="es-ES"/>
              </w:rPr>
            </w:pPr>
            <w:r w:rsidRPr="00D50D50">
              <w:rPr>
                <w:rFonts w:asciiTheme="majorHAnsi" w:hAnsiTheme="majorHAnsi"/>
                <w:bCs/>
                <w:color w:val="FFFFFF" w:themeColor="background1"/>
                <w:sz w:val="20"/>
                <w:szCs w:val="20"/>
                <w:lang w:val="es-ES"/>
              </w:rPr>
              <w:t>Obser</w:t>
            </w:r>
            <w:r w:rsidR="00D77503" w:rsidRPr="00D50D50">
              <w:rPr>
                <w:rFonts w:asciiTheme="majorHAnsi" w:hAnsiTheme="majorHAnsi"/>
                <w:bCs/>
                <w:color w:val="FFFFFF" w:themeColor="background1"/>
                <w:sz w:val="20"/>
                <w:szCs w:val="20"/>
                <w:lang w:val="es-ES"/>
              </w:rPr>
              <w:t>vaciones adicionales del Estado</w:t>
            </w:r>
          </w:p>
        </w:tc>
        <w:tc>
          <w:tcPr>
            <w:tcW w:w="6570" w:type="dxa"/>
            <w:vAlign w:val="center"/>
          </w:tcPr>
          <w:p w14:paraId="3CE49AFE" w14:textId="0E450D9F" w:rsidR="00F06354" w:rsidRPr="00D50D50" w:rsidRDefault="00EC1F8D" w:rsidP="00F06354">
            <w:pPr>
              <w:jc w:val="both"/>
              <w:rPr>
                <w:rFonts w:asciiTheme="majorHAnsi" w:hAnsiTheme="majorHAnsi"/>
                <w:bCs/>
                <w:sz w:val="20"/>
                <w:szCs w:val="20"/>
                <w:lang w:val="es-ES"/>
              </w:rPr>
            </w:pPr>
            <w:r w:rsidRPr="00D50D50">
              <w:rPr>
                <w:rFonts w:asciiTheme="majorHAnsi" w:hAnsiTheme="majorHAnsi"/>
                <w:bCs/>
                <w:sz w:val="20"/>
                <w:szCs w:val="20"/>
                <w:lang w:val="es-ES"/>
              </w:rPr>
              <w:t>27 de marzo de 2017 y</w:t>
            </w:r>
            <w:r w:rsidR="00E902FB" w:rsidRPr="00D50D50">
              <w:rPr>
                <w:rFonts w:asciiTheme="majorHAnsi" w:hAnsiTheme="majorHAnsi"/>
                <w:bCs/>
                <w:sz w:val="20"/>
                <w:szCs w:val="20"/>
                <w:lang w:val="es-ES"/>
              </w:rPr>
              <w:t xml:space="preserve"> 23 de mayo de 2018</w:t>
            </w:r>
          </w:p>
        </w:tc>
      </w:tr>
    </w:tbl>
    <w:p w14:paraId="21DAA666" w14:textId="5065046E" w:rsidR="003239B8" w:rsidRPr="00D50D50" w:rsidRDefault="003239B8" w:rsidP="007C402A">
      <w:pPr>
        <w:spacing w:before="120" w:after="120"/>
        <w:ind w:firstLine="720"/>
        <w:jc w:val="both"/>
        <w:rPr>
          <w:rFonts w:asciiTheme="majorHAnsi" w:hAnsiTheme="majorHAnsi"/>
          <w:b/>
          <w:bCs/>
          <w:sz w:val="20"/>
          <w:szCs w:val="20"/>
          <w:lang w:val="es-ES"/>
        </w:rPr>
      </w:pPr>
      <w:r w:rsidRPr="00D50D50">
        <w:rPr>
          <w:rFonts w:asciiTheme="majorHAnsi" w:hAnsiTheme="majorHAnsi"/>
          <w:b/>
          <w:bCs/>
          <w:sz w:val="20"/>
          <w:szCs w:val="20"/>
          <w:lang w:val="es-ES"/>
        </w:rPr>
        <w:t xml:space="preserve">III. </w:t>
      </w:r>
      <w:r w:rsidRPr="00D50D50">
        <w:rPr>
          <w:rFonts w:asciiTheme="majorHAnsi" w:hAnsiTheme="majorHAnsi"/>
          <w:b/>
          <w:bCs/>
          <w:sz w:val="20"/>
          <w:szCs w:val="20"/>
          <w:lang w:val="es-ES"/>
        </w:rPr>
        <w:tab/>
        <w:t>COMPETENCIA</w:t>
      </w:r>
      <w:r w:rsidR="00EE00E9" w:rsidRPr="00D50D50">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D50D50"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D50D50" w:rsidRDefault="00D77503" w:rsidP="0099640F">
            <w:pPr>
              <w:jc w:val="center"/>
              <w:rPr>
                <w:rFonts w:asciiTheme="majorHAnsi" w:hAnsiTheme="majorHAnsi"/>
                <w:bCs/>
                <w:i/>
                <w:color w:val="FFFFFF" w:themeColor="background1"/>
                <w:sz w:val="20"/>
                <w:szCs w:val="20"/>
                <w:lang w:val="es-ES"/>
              </w:rPr>
            </w:pPr>
            <w:proofErr w:type="spellStart"/>
            <w:r w:rsidRPr="00D50D50">
              <w:rPr>
                <w:rFonts w:asciiTheme="majorHAnsi" w:hAnsiTheme="majorHAnsi"/>
                <w:bCs/>
                <w:i/>
                <w:color w:val="FFFFFF" w:themeColor="background1"/>
                <w:sz w:val="20"/>
                <w:szCs w:val="20"/>
                <w:lang w:val="es-ES"/>
              </w:rPr>
              <w:t>Ratione</w:t>
            </w:r>
            <w:proofErr w:type="spellEnd"/>
            <w:r w:rsidRPr="00D50D50">
              <w:rPr>
                <w:rFonts w:asciiTheme="majorHAnsi" w:hAnsiTheme="majorHAnsi"/>
                <w:bCs/>
                <w:i/>
                <w:color w:val="FFFFFF" w:themeColor="background1"/>
                <w:sz w:val="20"/>
                <w:szCs w:val="20"/>
                <w:lang w:val="es-ES"/>
              </w:rPr>
              <w:t xml:space="preserve"> </w:t>
            </w:r>
            <w:proofErr w:type="spellStart"/>
            <w:r w:rsidRPr="00D50D50">
              <w:rPr>
                <w:rFonts w:asciiTheme="majorHAnsi" w:hAnsiTheme="majorHAnsi"/>
                <w:bCs/>
                <w:i/>
                <w:color w:val="FFFFFF" w:themeColor="background1"/>
                <w:sz w:val="20"/>
                <w:szCs w:val="20"/>
                <w:lang w:val="es-ES"/>
              </w:rPr>
              <w:t>personae</w:t>
            </w:r>
            <w:proofErr w:type="spellEnd"/>
          </w:p>
        </w:tc>
        <w:tc>
          <w:tcPr>
            <w:tcW w:w="6570" w:type="dxa"/>
            <w:vAlign w:val="center"/>
          </w:tcPr>
          <w:p w14:paraId="7707F3E9" w14:textId="45539469" w:rsidR="003239B8" w:rsidRPr="00D50D50" w:rsidRDefault="00AB44F4" w:rsidP="0099640F">
            <w:pPr>
              <w:rPr>
                <w:rFonts w:asciiTheme="majorHAnsi" w:hAnsiTheme="majorHAnsi"/>
                <w:bCs/>
                <w:sz w:val="20"/>
                <w:szCs w:val="20"/>
                <w:lang w:val="es-ES"/>
              </w:rPr>
            </w:pPr>
            <w:r w:rsidRPr="00D50D50">
              <w:rPr>
                <w:rFonts w:asciiTheme="majorHAnsi" w:hAnsiTheme="majorHAnsi"/>
                <w:bCs/>
                <w:sz w:val="20"/>
                <w:szCs w:val="20"/>
                <w:lang w:val="es-ES"/>
              </w:rPr>
              <w:t>Si</w:t>
            </w:r>
          </w:p>
        </w:tc>
      </w:tr>
      <w:tr w:rsidR="003239B8" w:rsidRPr="00D50D50"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D50D50" w:rsidRDefault="003239B8" w:rsidP="00D77503">
            <w:pPr>
              <w:jc w:val="center"/>
              <w:rPr>
                <w:rFonts w:asciiTheme="majorHAnsi" w:hAnsiTheme="majorHAnsi"/>
                <w:bCs/>
                <w:color w:val="FFFFFF" w:themeColor="background1"/>
                <w:sz w:val="20"/>
                <w:szCs w:val="20"/>
                <w:lang w:val="es-ES"/>
              </w:rPr>
            </w:pPr>
            <w:proofErr w:type="spellStart"/>
            <w:r w:rsidRPr="00D50D50">
              <w:rPr>
                <w:rFonts w:asciiTheme="majorHAnsi" w:hAnsiTheme="majorHAnsi"/>
                <w:bCs/>
                <w:i/>
                <w:color w:val="FFFFFF" w:themeColor="background1"/>
                <w:sz w:val="20"/>
                <w:szCs w:val="20"/>
                <w:lang w:val="es-ES"/>
              </w:rPr>
              <w:t>Ratione</w:t>
            </w:r>
            <w:proofErr w:type="spellEnd"/>
            <w:r w:rsidRPr="00D50D50">
              <w:rPr>
                <w:rFonts w:asciiTheme="majorHAnsi" w:hAnsiTheme="majorHAnsi"/>
                <w:bCs/>
                <w:i/>
                <w:color w:val="FFFFFF" w:themeColor="background1"/>
                <w:sz w:val="20"/>
                <w:szCs w:val="20"/>
                <w:lang w:val="es-ES"/>
              </w:rPr>
              <w:t xml:space="preserve"> loci</w:t>
            </w:r>
          </w:p>
        </w:tc>
        <w:tc>
          <w:tcPr>
            <w:tcW w:w="6570" w:type="dxa"/>
            <w:vAlign w:val="center"/>
          </w:tcPr>
          <w:p w14:paraId="12C931CB" w14:textId="4195EA38" w:rsidR="003239B8" w:rsidRPr="00D50D50" w:rsidRDefault="00AB44F4" w:rsidP="0099640F">
            <w:pPr>
              <w:rPr>
                <w:rFonts w:asciiTheme="majorHAnsi" w:hAnsiTheme="majorHAnsi"/>
                <w:bCs/>
                <w:sz w:val="20"/>
                <w:szCs w:val="20"/>
                <w:lang w:val="es-ES"/>
              </w:rPr>
            </w:pPr>
            <w:r w:rsidRPr="00D50D50">
              <w:rPr>
                <w:rFonts w:asciiTheme="majorHAnsi" w:hAnsiTheme="majorHAnsi"/>
                <w:bCs/>
                <w:sz w:val="20"/>
                <w:szCs w:val="20"/>
                <w:lang w:val="es-ES"/>
              </w:rPr>
              <w:t>Si</w:t>
            </w:r>
          </w:p>
        </w:tc>
      </w:tr>
      <w:tr w:rsidR="003239B8" w:rsidRPr="00D50D50"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D50D50" w:rsidRDefault="003239B8" w:rsidP="0099640F">
            <w:pPr>
              <w:jc w:val="center"/>
              <w:rPr>
                <w:rFonts w:asciiTheme="majorHAnsi" w:hAnsiTheme="majorHAnsi"/>
                <w:bCs/>
                <w:color w:val="FFFFFF" w:themeColor="background1"/>
                <w:sz w:val="20"/>
                <w:szCs w:val="20"/>
                <w:lang w:val="es-ES"/>
              </w:rPr>
            </w:pPr>
            <w:proofErr w:type="spellStart"/>
            <w:r w:rsidRPr="00D50D50">
              <w:rPr>
                <w:rFonts w:asciiTheme="majorHAnsi" w:hAnsiTheme="majorHAnsi"/>
                <w:bCs/>
                <w:i/>
                <w:color w:val="FFFFFF" w:themeColor="background1"/>
                <w:sz w:val="20"/>
                <w:szCs w:val="20"/>
                <w:lang w:val="es-ES"/>
              </w:rPr>
              <w:t>Ratione</w:t>
            </w:r>
            <w:proofErr w:type="spellEnd"/>
            <w:r w:rsidRPr="00D50D50">
              <w:rPr>
                <w:rFonts w:asciiTheme="majorHAnsi" w:hAnsiTheme="majorHAnsi"/>
                <w:bCs/>
                <w:i/>
                <w:color w:val="FFFFFF" w:themeColor="background1"/>
                <w:sz w:val="20"/>
                <w:szCs w:val="20"/>
                <w:lang w:val="es-ES"/>
              </w:rPr>
              <w:t xml:space="preserve"> </w:t>
            </w:r>
            <w:proofErr w:type="spellStart"/>
            <w:r w:rsidRPr="00D50D50">
              <w:rPr>
                <w:rFonts w:asciiTheme="majorHAnsi" w:hAnsiTheme="majorHAnsi"/>
                <w:bCs/>
                <w:i/>
                <w:color w:val="FFFFFF" w:themeColor="background1"/>
                <w:sz w:val="20"/>
                <w:szCs w:val="20"/>
                <w:lang w:val="es-ES"/>
              </w:rPr>
              <w:t>temporis</w:t>
            </w:r>
            <w:proofErr w:type="spellEnd"/>
          </w:p>
        </w:tc>
        <w:tc>
          <w:tcPr>
            <w:tcW w:w="6570" w:type="dxa"/>
            <w:vAlign w:val="center"/>
          </w:tcPr>
          <w:p w14:paraId="6F8B059B" w14:textId="5B64DD85" w:rsidR="003239B8" w:rsidRPr="00D50D50" w:rsidRDefault="00AB44F4" w:rsidP="0099640F">
            <w:pPr>
              <w:rPr>
                <w:rFonts w:asciiTheme="majorHAnsi" w:hAnsiTheme="majorHAnsi"/>
                <w:bCs/>
                <w:sz w:val="20"/>
                <w:szCs w:val="20"/>
                <w:lang w:val="es-ES"/>
              </w:rPr>
            </w:pPr>
            <w:r w:rsidRPr="00D50D50">
              <w:rPr>
                <w:rFonts w:asciiTheme="majorHAnsi" w:hAnsiTheme="majorHAnsi"/>
                <w:bCs/>
                <w:sz w:val="20"/>
                <w:szCs w:val="20"/>
                <w:lang w:val="es-ES"/>
              </w:rPr>
              <w:t>Si</w:t>
            </w:r>
          </w:p>
        </w:tc>
      </w:tr>
      <w:tr w:rsidR="003239B8" w:rsidRPr="00145162"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D50D50" w:rsidRDefault="003239B8" w:rsidP="0099640F">
            <w:pPr>
              <w:jc w:val="center"/>
              <w:rPr>
                <w:rFonts w:asciiTheme="majorHAnsi" w:hAnsiTheme="majorHAnsi"/>
                <w:bCs/>
                <w:color w:val="FFFFFF" w:themeColor="background1"/>
                <w:sz w:val="20"/>
                <w:szCs w:val="20"/>
                <w:lang w:val="es-ES"/>
              </w:rPr>
            </w:pPr>
            <w:proofErr w:type="spellStart"/>
            <w:r w:rsidRPr="00D50D50">
              <w:rPr>
                <w:rFonts w:asciiTheme="majorHAnsi" w:hAnsiTheme="majorHAnsi"/>
                <w:bCs/>
                <w:i/>
                <w:color w:val="FFFFFF" w:themeColor="background1"/>
                <w:sz w:val="20"/>
                <w:szCs w:val="20"/>
                <w:lang w:val="es-ES"/>
              </w:rPr>
              <w:t>Ratione</w:t>
            </w:r>
            <w:proofErr w:type="spellEnd"/>
            <w:r w:rsidRPr="00D50D50">
              <w:rPr>
                <w:rFonts w:asciiTheme="majorHAnsi" w:hAnsiTheme="majorHAnsi"/>
                <w:bCs/>
                <w:i/>
                <w:color w:val="FFFFFF" w:themeColor="background1"/>
                <w:sz w:val="20"/>
                <w:szCs w:val="20"/>
                <w:lang w:val="es-ES"/>
              </w:rPr>
              <w:t xml:space="preserve"> </w:t>
            </w:r>
            <w:proofErr w:type="spellStart"/>
            <w:r w:rsidRPr="00D50D50">
              <w:rPr>
                <w:rFonts w:asciiTheme="majorHAnsi" w:hAnsiTheme="majorHAnsi"/>
                <w:bCs/>
                <w:i/>
                <w:color w:val="FFFFFF" w:themeColor="background1"/>
                <w:sz w:val="20"/>
                <w:szCs w:val="20"/>
                <w:lang w:val="es-ES"/>
              </w:rPr>
              <w:t>materia</w:t>
            </w:r>
            <w:r w:rsidR="00EE00E9" w:rsidRPr="00D50D50">
              <w:rPr>
                <w:rFonts w:asciiTheme="majorHAnsi" w:hAnsiTheme="majorHAnsi"/>
                <w:bCs/>
                <w:i/>
                <w:color w:val="FFFFFF" w:themeColor="background1"/>
                <w:sz w:val="20"/>
                <w:szCs w:val="20"/>
                <w:lang w:val="es-ES"/>
              </w:rPr>
              <w:t>e</w:t>
            </w:r>
            <w:proofErr w:type="spellEnd"/>
          </w:p>
        </w:tc>
        <w:tc>
          <w:tcPr>
            <w:tcW w:w="6570" w:type="dxa"/>
            <w:vAlign w:val="center"/>
          </w:tcPr>
          <w:p w14:paraId="0C122F44" w14:textId="26A141B4" w:rsidR="003239B8" w:rsidRPr="00D50D50" w:rsidRDefault="00AB44F4" w:rsidP="0099640F">
            <w:pPr>
              <w:jc w:val="both"/>
              <w:rPr>
                <w:rFonts w:asciiTheme="majorHAnsi" w:hAnsiTheme="majorHAnsi"/>
                <w:bCs/>
                <w:sz w:val="20"/>
                <w:szCs w:val="20"/>
                <w:lang w:val="es-ES"/>
              </w:rPr>
            </w:pPr>
            <w:r w:rsidRPr="00D50D50">
              <w:rPr>
                <w:rFonts w:asciiTheme="majorHAnsi" w:hAnsiTheme="majorHAnsi"/>
                <w:bCs/>
                <w:sz w:val="20"/>
                <w:szCs w:val="20"/>
                <w:lang w:val="es-ES"/>
              </w:rPr>
              <w:t xml:space="preserve">Si, Convención Americana </w:t>
            </w:r>
            <w:r w:rsidR="00FB7600" w:rsidRPr="00D50D50">
              <w:rPr>
                <w:rFonts w:asciiTheme="majorHAnsi" w:hAnsiTheme="majorHAnsi"/>
                <w:bCs/>
                <w:sz w:val="20"/>
                <w:szCs w:val="20"/>
                <w:lang w:val="es-ES"/>
              </w:rPr>
              <w:t>(depósito</w:t>
            </w:r>
            <w:r w:rsidRPr="00D50D50">
              <w:rPr>
                <w:rFonts w:asciiTheme="majorHAnsi" w:hAnsiTheme="majorHAnsi"/>
                <w:bCs/>
                <w:sz w:val="20"/>
                <w:szCs w:val="20"/>
                <w:lang w:val="es-ES"/>
              </w:rPr>
              <w:t xml:space="preserve"> de instrumento de ratificación el 19 de julio de 1979)</w:t>
            </w:r>
          </w:p>
        </w:tc>
      </w:tr>
    </w:tbl>
    <w:p w14:paraId="4E92C444" w14:textId="6E17C419" w:rsidR="003239B8" w:rsidRPr="00D50D50" w:rsidRDefault="003239B8" w:rsidP="007C402A">
      <w:pPr>
        <w:spacing w:before="120" w:after="120"/>
        <w:ind w:firstLine="720"/>
        <w:jc w:val="both"/>
        <w:rPr>
          <w:rFonts w:asciiTheme="majorHAnsi" w:hAnsiTheme="majorHAnsi"/>
          <w:b/>
          <w:bCs/>
          <w:sz w:val="20"/>
          <w:szCs w:val="20"/>
          <w:lang w:val="es-ES"/>
        </w:rPr>
      </w:pPr>
      <w:r w:rsidRPr="00D50D50">
        <w:rPr>
          <w:rFonts w:asciiTheme="majorHAnsi" w:hAnsiTheme="majorHAnsi"/>
          <w:b/>
          <w:bCs/>
          <w:sz w:val="20"/>
          <w:szCs w:val="20"/>
          <w:lang w:val="es-ES"/>
        </w:rPr>
        <w:t xml:space="preserve">IV. </w:t>
      </w:r>
      <w:r w:rsidRPr="00D50D50">
        <w:rPr>
          <w:rFonts w:asciiTheme="majorHAnsi" w:hAnsiTheme="majorHAnsi"/>
          <w:b/>
          <w:bCs/>
          <w:sz w:val="20"/>
          <w:szCs w:val="20"/>
          <w:lang w:val="es-ES"/>
        </w:rPr>
        <w:tab/>
      </w:r>
      <w:r w:rsidR="00EE00E9" w:rsidRPr="00D50D50">
        <w:rPr>
          <w:rFonts w:asciiTheme="majorHAnsi" w:hAnsiTheme="majorHAnsi"/>
          <w:b/>
          <w:bCs/>
          <w:sz w:val="20"/>
          <w:szCs w:val="20"/>
          <w:lang w:val="es-ES"/>
        </w:rPr>
        <w:t>DUPLICACIÓN</w:t>
      </w:r>
      <w:r w:rsidR="00EE00E9" w:rsidRPr="00D50D50">
        <w:rPr>
          <w:rFonts w:asciiTheme="majorHAnsi" w:hAnsiTheme="majorHAnsi"/>
          <w:b/>
          <w:bCs/>
          <w:color w:val="FFFFFF" w:themeColor="background1"/>
          <w:sz w:val="20"/>
          <w:szCs w:val="20"/>
          <w:lang w:val="es-ES"/>
        </w:rPr>
        <w:t xml:space="preserve"> </w:t>
      </w:r>
      <w:r w:rsidR="00EE00E9" w:rsidRPr="00D50D50">
        <w:rPr>
          <w:rFonts w:asciiTheme="majorHAnsi" w:hAnsiTheme="majorHAnsi"/>
          <w:b/>
          <w:bCs/>
          <w:sz w:val="20"/>
          <w:szCs w:val="20"/>
          <w:lang w:val="es-ES"/>
        </w:rPr>
        <w:t>DE PROCEDIMIENTOS Y COSA JUZGADA</w:t>
      </w:r>
      <w:r w:rsidR="00EE00E9" w:rsidRPr="00D50D50">
        <w:rPr>
          <w:rFonts w:asciiTheme="majorHAnsi" w:hAnsiTheme="majorHAnsi"/>
          <w:b/>
          <w:bCs/>
          <w:i/>
          <w:sz w:val="20"/>
          <w:szCs w:val="20"/>
          <w:lang w:val="es-ES"/>
        </w:rPr>
        <w:t xml:space="preserve"> </w:t>
      </w:r>
      <w:r w:rsidR="002360D2" w:rsidRPr="00D50D50">
        <w:rPr>
          <w:rFonts w:asciiTheme="majorHAnsi" w:hAnsiTheme="majorHAnsi"/>
          <w:b/>
          <w:bCs/>
          <w:sz w:val="20"/>
          <w:szCs w:val="20"/>
          <w:lang w:val="es-ES"/>
        </w:rPr>
        <w:t>INTERNACIONAL, CARACTERIZACIÓN</w:t>
      </w:r>
      <w:r w:rsidRPr="00D50D50">
        <w:rPr>
          <w:rFonts w:asciiTheme="majorHAnsi" w:hAnsiTheme="majorHAnsi"/>
          <w:b/>
          <w:bCs/>
          <w:sz w:val="20"/>
          <w:szCs w:val="20"/>
          <w:lang w:val="es-ES"/>
        </w:rPr>
        <w:t xml:space="preserve">, </w:t>
      </w:r>
      <w:r w:rsidRPr="00D50D50">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6"/>
        <w:gridCol w:w="6476"/>
      </w:tblGrid>
      <w:tr w:rsidR="00EE00E9" w:rsidRPr="00D50D50"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D50D50" w:rsidRDefault="00EE00E9" w:rsidP="00954B82">
            <w:pPr>
              <w:jc w:val="center"/>
              <w:rPr>
                <w:rFonts w:asciiTheme="majorHAnsi" w:hAnsiTheme="majorHAnsi"/>
                <w:bCs/>
                <w:color w:val="FFFFFF" w:themeColor="background1"/>
                <w:sz w:val="20"/>
                <w:szCs w:val="20"/>
                <w:lang w:val="es-ES"/>
              </w:rPr>
            </w:pPr>
            <w:r w:rsidRPr="00D50D50">
              <w:rPr>
                <w:rFonts w:asciiTheme="majorHAnsi" w:hAnsiTheme="majorHAnsi"/>
                <w:bCs/>
                <w:color w:val="FFFFFF" w:themeColor="background1"/>
                <w:sz w:val="20"/>
                <w:szCs w:val="20"/>
                <w:lang w:val="es-ES"/>
              </w:rPr>
              <w:t xml:space="preserve">Duplicación </w:t>
            </w:r>
            <w:r w:rsidR="00D77503" w:rsidRPr="00D50D50">
              <w:rPr>
                <w:rFonts w:asciiTheme="majorHAnsi" w:hAnsiTheme="majorHAnsi"/>
                <w:bCs/>
                <w:color w:val="FFFFFF" w:themeColor="background1"/>
                <w:sz w:val="20"/>
                <w:szCs w:val="20"/>
                <w:lang w:val="es-ES"/>
              </w:rPr>
              <w:t>y cosa juzgada internacional</w:t>
            </w:r>
          </w:p>
        </w:tc>
        <w:tc>
          <w:tcPr>
            <w:tcW w:w="6570" w:type="dxa"/>
            <w:vAlign w:val="center"/>
          </w:tcPr>
          <w:p w14:paraId="240941E6" w14:textId="557A3F44" w:rsidR="00EE00E9" w:rsidRPr="00D50D50" w:rsidRDefault="00AB44F4" w:rsidP="0099640F">
            <w:pPr>
              <w:jc w:val="both"/>
              <w:rPr>
                <w:rFonts w:asciiTheme="majorHAnsi" w:hAnsiTheme="majorHAnsi"/>
                <w:bCs/>
                <w:sz w:val="20"/>
                <w:szCs w:val="20"/>
                <w:lang w:val="es-ES"/>
              </w:rPr>
            </w:pPr>
            <w:r w:rsidRPr="00D50D50">
              <w:rPr>
                <w:rFonts w:asciiTheme="majorHAnsi" w:hAnsiTheme="majorHAnsi"/>
                <w:bCs/>
                <w:sz w:val="20"/>
                <w:szCs w:val="20"/>
                <w:lang w:val="es-ES"/>
              </w:rPr>
              <w:t>No</w:t>
            </w:r>
          </w:p>
        </w:tc>
      </w:tr>
      <w:tr w:rsidR="003239B8" w:rsidRPr="00D50D50"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D50D50" w:rsidRDefault="003239B8" w:rsidP="00954B82">
            <w:pPr>
              <w:jc w:val="center"/>
              <w:rPr>
                <w:rFonts w:asciiTheme="majorHAnsi" w:hAnsiTheme="majorHAnsi"/>
                <w:bCs/>
                <w:i/>
                <w:color w:val="FFFFFF" w:themeColor="background1"/>
                <w:sz w:val="20"/>
                <w:szCs w:val="20"/>
                <w:lang w:val="es-ES"/>
              </w:rPr>
            </w:pPr>
            <w:r w:rsidRPr="00D50D50">
              <w:rPr>
                <w:rFonts w:asciiTheme="majorHAnsi" w:hAnsiTheme="majorHAnsi"/>
                <w:bCs/>
                <w:color w:val="FFFFFF" w:themeColor="background1"/>
                <w:sz w:val="20"/>
                <w:szCs w:val="20"/>
                <w:lang w:val="es-ES"/>
              </w:rPr>
              <w:t>Derechos admi</w:t>
            </w:r>
            <w:r w:rsidR="00954B82" w:rsidRPr="00D50D50">
              <w:rPr>
                <w:rFonts w:asciiTheme="majorHAnsi" w:hAnsiTheme="majorHAnsi"/>
                <w:bCs/>
                <w:color w:val="FFFFFF" w:themeColor="background1"/>
                <w:sz w:val="20"/>
                <w:szCs w:val="20"/>
                <w:lang w:val="es-ES"/>
              </w:rPr>
              <w:t>tidos</w:t>
            </w:r>
          </w:p>
        </w:tc>
        <w:tc>
          <w:tcPr>
            <w:tcW w:w="6570" w:type="dxa"/>
            <w:vAlign w:val="center"/>
          </w:tcPr>
          <w:p w14:paraId="6310C8F7" w14:textId="02BFA8F9" w:rsidR="003239B8" w:rsidRPr="00D50D50" w:rsidRDefault="00A934FA">
            <w:pPr>
              <w:jc w:val="both"/>
              <w:rPr>
                <w:rFonts w:asciiTheme="majorHAnsi" w:hAnsiTheme="majorHAnsi"/>
                <w:bCs/>
                <w:sz w:val="20"/>
                <w:szCs w:val="20"/>
                <w:lang w:val="es-ES"/>
              </w:rPr>
            </w:pPr>
            <w:r w:rsidRPr="00D50D50">
              <w:rPr>
                <w:rFonts w:asciiTheme="majorHAnsi" w:hAnsiTheme="majorHAnsi"/>
                <w:bCs/>
                <w:sz w:val="20"/>
                <w:szCs w:val="20"/>
                <w:lang w:val="es-ES"/>
              </w:rPr>
              <w:t>Ninguno</w:t>
            </w:r>
          </w:p>
        </w:tc>
      </w:tr>
      <w:tr w:rsidR="003239B8" w:rsidRPr="00145162"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D50D50" w:rsidRDefault="003239B8" w:rsidP="006775AB">
            <w:pPr>
              <w:jc w:val="center"/>
              <w:rPr>
                <w:rFonts w:asciiTheme="majorHAnsi" w:hAnsiTheme="majorHAnsi"/>
                <w:bCs/>
                <w:color w:val="FFFFFF" w:themeColor="background1"/>
                <w:sz w:val="20"/>
                <w:szCs w:val="20"/>
                <w:lang w:val="es-ES"/>
              </w:rPr>
            </w:pPr>
            <w:r w:rsidRPr="00D50D50">
              <w:rPr>
                <w:rFonts w:asciiTheme="majorHAnsi" w:hAnsiTheme="majorHAnsi"/>
                <w:bCs/>
                <w:color w:val="FFFFFF" w:themeColor="background1"/>
                <w:sz w:val="20"/>
                <w:szCs w:val="20"/>
                <w:lang w:val="es-ES"/>
              </w:rPr>
              <w:t>Agotamiento de</w:t>
            </w:r>
            <w:r w:rsidR="0069402E" w:rsidRPr="00D50D50">
              <w:rPr>
                <w:rFonts w:asciiTheme="majorHAnsi" w:hAnsiTheme="majorHAnsi"/>
                <w:bCs/>
                <w:color w:val="FFFFFF" w:themeColor="background1"/>
                <w:sz w:val="20"/>
                <w:szCs w:val="20"/>
                <w:lang w:val="es-ES"/>
              </w:rPr>
              <w:t xml:space="preserve"> </w:t>
            </w:r>
            <w:r w:rsidRPr="00D50D50">
              <w:rPr>
                <w:rFonts w:asciiTheme="majorHAnsi" w:hAnsiTheme="majorHAnsi"/>
                <w:bCs/>
                <w:color w:val="FFFFFF" w:themeColor="background1"/>
                <w:sz w:val="20"/>
                <w:szCs w:val="20"/>
                <w:lang w:val="es-ES"/>
              </w:rPr>
              <w:t xml:space="preserve">recursos </w:t>
            </w:r>
            <w:r w:rsidR="00D77503" w:rsidRPr="00D50D50">
              <w:rPr>
                <w:rFonts w:asciiTheme="majorHAnsi" w:hAnsiTheme="majorHAnsi"/>
                <w:bCs/>
                <w:color w:val="FFFFFF" w:themeColor="background1"/>
                <w:sz w:val="20"/>
                <w:szCs w:val="20"/>
                <w:lang w:val="es-ES"/>
              </w:rPr>
              <w:t>o procedencia de una excepción</w:t>
            </w:r>
          </w:p>
        </w:tc>
        <w:tc>
          <w:tcPr>
            <w:tcW w:w="6570" w:type="dxa"/>
            <w:vAlign w:val="center"/>
          </w:tcPr>
          <w:p w14:paraId="69C53E8A" w14:textId="6F37663D" w:rsidR="003239B8" w:rsidRPr="00D50D50" w:rsidRDefault="00AB44F4" w:rsidP="00BB3FBD">
            <w:pPr>
              <w:rPr>
                <w:rFonts w:asciiTheme="majorHAnsi" w:hAnsiTheme="majorHAnsi"/>
                <w:bCs/>
                <w:sz w:val="20"/>
                <w:szCs w:val="20"/>
                <w:lang w:val="es-ES"/>
              </w:rPr>
            </w:pPr>
            <w:r w:rsidRPr="00D50D50">
              <w:rPr>
                <w:rFonts w:asciiTheme="majorHAnsi" w:hAnsiTheme="majorHAnsi"/>
                <w:bCs/>
                <w:sz w:val="20"/>
                <w:szCs w:val="20"/>
                <w:lang w:val="es-ES"/>
              </w:rPr>
              <w:t>Si, en los términos de la sección IV</w:t>
            </w:r>
          </w:p>
        </w:tc>
      </w:tr>
      <w:tr w:rsidR="003239B8" w:rsidRPr="00145162"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D50D50" w:rsidRDefault="00D77503" w:rsidP="0099640F">
            <w:pPr>
              <w:jc w:val="center"/>
              <w:rPr>
                <w:rFonts w:asciiTheme="majorHAnsi" w:hAnsiTheme="majorHAnsi"/>
                <w:bCs/>
                <w:color w:val="FFFFFF" w:themeColor="background1"/>
                <w:sz w:val="20"/>
                <w:szCs w:val="20"/>
                <w:lang w:val="es-ES"/>
              </w:rPr>
            </w:pPr>
            <w:r w:rsidRPr="00D50D50">
              <w:rPr>
                <w:rFonts w:asciiTheme="majorHAnsi" w:hAnsiTheme="majorHAnsi"/>
                <w:bCs/>
                <w:color w:val="FFFFFF" w:themeColor="background1"/>
                <w:sz w:val="20"/>
                <w:szCs w:val="20"/>
                <w:lang w:val="es-ES"/>
              </w:rPr>
              <w:t>Presentación dentro de plazo</w:t>
            </w:r>
          </w:p>
        </w:tc>
        <w:tc>
          <w:tcPr>
            <w:tcW w:w="6570" w:type="dxa"/>
            <w:vAlign w:val="center"/>
          </w:tcPr>
          <w:p w14:paraId="4A2A4569" w14:textId="419BB2C3" w:rsidR="003239B8" w:rsidRPr="00D50D50" w:rsidRDefault="00AB44F4" w:rsidP="0099640F">
            <w:pPr>
              <w:rPr>
                <w:rFonts w:asciiTheme="majorHAnsi" w:hAnsiTheme="majorHAnsi"/>
                <w:bCs/>
                <w:sz w:val="20"/>
                <w:szCs w:val="20"/>
                <w:lang w:val="es-ES"/>
              </w:rPr>
            </w:pPr>
            <w:r w:rsidRPr="00D50D50">
              <w:rPr>
                <w:rFonts w:asciiTheme="majorHAnsi" w:hAnsiTheme="majorHAnsi"/>
                <w:bCs/>
                <w:sz w:val="20"/>
                <w:szCs w:val="20"/>
                <w:lang w:val="es-ES"/>
              </w:rPr>
              <w:t>Si, en los términos de la sección IV</w:t>
            </w:r>
          </w:p>
        </w:tc>
      </w:tr>
    </w:tbl>
    <w:p w14:paraId="17F77147" w14:textId="77777777" w:rsidR="00FB7600" w:rsidRPr="00D50D50" w:rsidRDefault="00FB7600" w:rsidP="00FB7600">
      <w:pPr>
        <w:ind w:firstLine="720"/>
        <w:jc w:val="both"/>
        <w:rPr>
          <w:rFonts w:asciiTheme="majorHAnsi" w:hAnsiTheme="majorHAnsi"/>
          <w:b/>
          <w:sz w:val="20"/>
          <w:szCs w:val="20"/>
          <w:lang w:val="es-ES"/>
        </w:rPr>
      </w:pPr>
    </w:p>
    <w:p w14:paraId="18E6423B" w14:textId="2A97ADE8" w:rsidR="003239B8" w:rsidRPr="00D50D50" w:rsidRDefault="00223A29" w:rsidP="00FB7600">
      <w:pPr>
        <w:ind w:firstLine="720"/>
        <w:jc w:val="both"/>
        <w:rPr>
          <w:rFonts w:asciiTheme="majorHAnsi" w:hAnsiTheme="majorHAnsi"/>
          <w:b/>
          <w:sz w:val="20"/>
          <w:szCs w:val="20"/>
          <w:lang w:val="es-ES"/>
        </w:rPr>
      </w:pPr>
      <w:r w:rsidRPr="00D50D50">
        <w:rPr>
          <w:rFonts w:asciiTheme="majorHAnsi" w:hAnsiTheme="majorHAnsi"/>
          <w:b/>
          <w:sz w:val="20"/>
          <w:szCs w:val="20"/>
          <w:lang w:val="es-ES"/>
        </w:rPr>
        <w:t xml:space="preserve">V. </w:t>
      </w:r>
      <w:r w:rsidRPr="00D50D50">
        <w:rPr>
          <w:rFonts w:asciiTheme="majorHAnsi" w:hAnsiTheme="majorHAnsi"/>
          <w:b/>
          <w:sz w:val="20"/>
          <w:szCs w:val="20"/>
          <w:lang w:val="es-ES"/>
        </w:rPr>
        <w:tab/>
      </w:r>
      <w:r w:rsidR="0034224A" w:rsidRPr="00D50D50">
        <w:rPr>
          <w:rFonts w:asciiTheme="majorHAnsi" w:hAnsiTheme="majorHAnsi"/>
          <w:b/>
          <w:sz w:val="20"/>
          <w:szCs w:val="20"/>
          <w:lang w:val="es-ES"/>
        </w:rPr>
        <w:t>RESUMEN DE LOS HECHOS ALEGADOS</w:t>
      </w:r>
    </w:p>
    <w:p w14:paraId="3BBFB3BE" w14:textId="77777777" w:rsidR="00FB7600" w:rsidRPr="00D50D50" w:rsidRDefault="00FB7600" w:rsidP="00FB760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4C508B5" w14:textId="31EFA8E6" w:rsidR="00352303" w:rsidRPr="00D50D50" w:rsidRDefault="00B73F50" w:rsidP="00FB76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L</w:t>
      </w:r>
      <w:r w:rsidR="00CB4E73" w:rsidRPr="00D50D50">
        <w:rPr>
          <w:rFonts w:asciiTheme="majorHAnsi" w:hAnsiTheme="majorHAnsi"/>
          <w:sz w:val="20"/>
          <w:szCs w:val="20"/>
          <w:lang w:val="es-ES"/>
        </w:rPr>
        <w:t xml:space="preserve">a </w:t>
      </w:r>
      <w:r w:rsidR="00FB7600" w:rsidRPr="00D50D50">
        <w:rPr>
          <w:rFonts w:asciiTheme="majorHAnsi" w:hAnsiTheme="majorHAnsi"/>
          <w:sz w:val="20"/>
          <w:szCs w:val="20"/>
          <w:lang w:val="es-ES"/>
        </w:rPr>
        <w:t xml:space="preserve">parte peticionaria denuncia </w:t>
      </w:r>
      <w:r w:rsidR="00CB4E73" w:rsidRPr="00D50D50">
        <w:rPr>
          <w:rFonts w:asciiTheme="majorHAnsi" w:hAnsiTheme="majorHAnsi"/>
          <w:sz w:val="20"/>
          <w:szCs w:val="20"/>
          <w:lang w:val="es-ES"/>
        </w:rPr>
        <w:t xml:space="preserve">violaciones </w:t>
      </w:r>
      <w:r w:rsidR="00FB7600" w:rsidRPr="00D50D50">
        <w:rPr>
          <w:rFonts w:asciiTheme="majorHAnsi" w:hAnsiTheme="majorHAnsi"/>
          <w:sz w:val="20"/>
          <w:szCs w:val="20"/>
          <w:lang w:val="es-ES"/>
        </w:rPr>
        <w:t>de</w:t>
      </w:r>
      <w:r w:rsidR="00CB4E73" w:rsidRPr="00D50D50">
        <w:rPr>
          <w:rFonts w:asciiTheme="majorHAnsi" w:hAnsiTheme="majorHAnsi"/>
          <w:sz w:val="20"/>
          <w:szCs w:val="20"/>
          <w:lang w:val="es-ES"/>
        </w:rPr>
        <w:t xml:space="preserve"> los derechos de</w:t>
      </w:r>
      <w:r w:rsidRPr="00D50D50">
        <w:rPr>
          <w:rFonts w:asciiTheme="majorHAnsi" w:hAnsiTheme="majorHAnsi"/>
          <w:sz w:val="20"/>
          <w:szCs w:val="20"/>
          <w:lang w:val="es-ES"/>
        </w:rPr>
        <w:t xml:space="preserve"> </w:t>
      </w:r>
      <w:r w:rsidR="0053061B" w:rsidRPr="00D50D50">
        <w:rPr>
          <w:rFonts w:asciiTheme="majorHAnsi" w:hAnsiTheme="majorHAnsi"/>
          <w:sz w:val="20"/>
          <w:szCs w:val="20"/>
          <w:lang w:val="es-ES"/>
        </w:rPr>
        <w:t xml:space="preserve">los Generales </w:t>
      </w:r>
      <w:r w:rsidRPr="00D50D50">
        <w:rPr>
          <w:rFonts w:asciiTheme="majorHAnsi" w:hAnsiTheme="majorHAnsi"/>
          <w:sz w:val="20"/>
          <w:szCs w:val="20"/>
          <w:lang w:val="es-ES"/>
        </w:rPr>
        <w:t>Roberto Claros F</w:t>
      </w:r>
      <w:r w:rsidR="005E1F65" w:rsidRPr="00D50D50">
        <w:rPr>
          <w:rFonts w:asciiTheme="majorHAnsi" w:hAnsiTheme="majorHAnsi"/>
          <w:sz w:val="20"/>
          <w:szCs w:val="20"/>
          <w:lang w:val="es-ES"/>
        </w:rPr>
        <w:t>lores, Juan V</w:t>
      </w:r>
      <w:r w:rsidR="00FB7600" w:rsidRPr="00D50D50">
        <w:rPr>
          <w:rFonts w:asciiTheme="majorHAnsi" w:hAnsiTheme="majorHAnsi"/>
          <w:sz w:val="20"/>
          <w:szCs w:val="20"/>
          <w:lang w:val="es-ES"/>
        </w:rPr>
        <w:t>é</w:t>
      </w:r>
      <w:r w:rsidR="005E1F65" w:rsidRPr="00D50D50">
        <w:rPr>
          <w:rFonts w:asciiTheme="majorHAnsi" w:hAnsiTheme="majorHAnsi"/>
          <w:sz w:val="20"/>
          <w:szCs w:val="20"/>
          <w:lang w:val="es-ES"/>
        </w:rPr>
        <w:t>liz Herrera</w:t>
      </w:r>
      <w:r w:rsidR="009B5519" w:rsidRPr="00D50D50">
        <w:rPr>
          <w:rFonts w:asciiTheme="majorHAnsi" w:hAnsiTheme="majorHAnsi"/>
          <w:sz w:val="20"/>
          <w:szCs w:val="20"/>
          <w:lang w:val="es-ES"/>
        </w:rPr>
        <w:t xml:space="preserve"> </w:t>
      </w:r>
      <w:r w:rsidR="005E1F65" w:rsidRPr="00D50D50">
        <w:rPr>
          <w:rFonts w:asciiTheme="majorHAnsi" w:hAnsiTheme="majorHAnsi"/>
          <w:sz w:val="20"/>
          <w:szCs w:val="20"/>
          <w:lang w:val="es-ES"/>
        </w:rPr>
        <w:t xml:space="preserve">y Gonzalo Alberto </w:t>
      </w:r>
      <w:proofErr w:type="spellStart"/>
      <w:r w:rsidR="005E1F65" w:rsidRPr="00D50D50">
        <w:rPr>
          <w:rFonts w:asciiTheme="majorHAnsi" w:hAnsiTheme="majorHAnsi"/>
          <w:sz w:val="20"/>
          <w:szCs w:val="20"/>
          <w:lang w:val="es-ES"/>
        </w:rPr>
        <w:t>Rocabado</w:t>
      </w:r>
      <w:proofErr w:type="spellEnd"/>
      <w:r w:rsidR="005E1F65" w:rsidRPr="00D50D50">
        <w:rPr>
          <w:rFonts w:asciiTheme="majorHAnsi" w:hAnsiTheme="majorHAnsi"/>
          <w:sz w:val="20"/>
          <w:szCs w:val="20"/>
          <w:lang w:val="es-ES"/>
        </w:rPr>
        <w:t xml:space="preserve"> Mercado (en adelante</w:t>
      </w:r>
      <w:r w:rsidR="00FB7600" w:rsidRPr="00D50D50">
        <w:rPr>
          <w:rFonts w:asciiTheme="majorHAnsi" w:hAnsiTheme="majorHAnsi"/>
          <w:sz w:val="20"/>
          <w:szCs w:val="20"/>
          <w:lang w:val="es-ES"/>
        </w:rPr>
        <w:t>, conjuntamente</w:t>
      </w:r>
      <w:r w:rsidR="00827B44" w:rsidRPr="00D50D50">
        <w:rPr>
          <w:rFonts w:asciiTheme="majorHAnsi" w:hAnsiTheme="majorHAnsi"/>
          <w:sz w:val="20"/>
          <w:szCs w:val="20"/>
          <w:lang w:val="es-ES"/>
        </w:rPr>
        <w:t xml:space="preserve"> “</w:t>
      </w:r>
      <w:r w:rsidR="00FB7600" w:rsidRPr="00D50D50">
        <w:rPr>
          <w:rFonts w:asciiTheme="majorHAnsi" w:hAnsiTheme="majorHAnsi"/>
          <w:sz w:val="20"/>
          <w:szCs w:val="20"/>
          <w:lang w:val="es-ES"/>
        </w:rPr>
        <w:t xml:space="preserve">las </w:t>
      </w:r>
      <w:r w:rsidR="00827B44" w:rsidRPr="00D50D50">
        <w:rPr>
          <w:rFonts w:asciiTheme="majorHAnsi" w:hAnsiTheme="majorHAnsi"/>
          <w:sz w:val="20"/>
          <w:szCs w:val="20"/>
          <w:lang w:val="es-ES"/>
        </w:rPr>
        <w:t>presunta</w:t>
      </w:r>
      <w:r w:rsidR="00FB7600" w:rsidRPr="00D50D50">
        <w:rPr>
          <w:rFonts w:asciiTheme="majorHAnsi" w:hAnsiTheme="majorHAnsi"/>
          <w:sz w:val="20"/>
          <w:szCs w:val="20"/>
          <w:lang w:val="es-ES"/>
        </w:rPr>
        <w:t>s</w:t>
      </w:r>
      <w:r w:rsidR="00827B44" w:rsidRPr="00D50D50">
        <w:rPr>
          <w:rFonts w:asciiTheme="majorHAnsi" w:hAnsiTheme="majorHAnsi"/>
          <w:sz w:val="20"/>
          <w:szCs w:val="20"/>
          <w:lang w:val="es-ES"/>
        </w:rPr>
        <w:t xml:space="preserve"> víctima</w:t>
      </w:r>
      <w:r w:rsidR="00FB7600" w:rsidRPr="00D50D50">
        <w:rPr>
          <w:rFonts w:asciiTheme="majorHAnsi" w:hAnsiTheme="majorHAnsi"/>
          <w:sz w:val="20"/>
          <w:szCs w:val="20"/>
          <w:lang w:val="es-ES"/>
        </w:rPr>
        <w:t>s</w:t>
      </w:r>
      <w:r w:rsidR="00827B44" w:rsidRPr="00D50D50">
        <w:rPr>
          <w:rFonts w:asciiTheme="majorHAnsi" w:hAnsiTheme="majorHAnsi"/>
          <w:sz w:val="20"/>
          <w:szCs w:val="20"/>
          <w:lang w:val="es-ES"/>
        </w:rPr>
        <w:t>”</w:t>
      </w:r>
      <w:r w:rsidR="005E1F65" w:rsidRPr="00D50D50">
        <w:rPr>
          <w:rFonts w:asciiTheme="majorHAnsi" w:hAnsiTheme="majorHAnsi"/>
          <w:sz w:val="20"/>
          <w:szCs w:val="20"/>
          <w:lang w:val="es-ES"/>
        </w:rPr>
        <w:t>)</w:t>
      </w:r>
      <w:r w:rsidR="00466C23" w:rsidRPr="00D50D50">
        <w:rPr>
          <w:rFonts w:asciiTheme="majorHAnsi" w:hAnsiTheme="majorHAnsi"/>
          <w:sz w:val="20"/>
          <w:szCs w:val="20"/>
          <w:lang w:val="es-ES"/>
        </w:rPr>
        <w:t xml:space="preserve">, </w:t>
      </w:r>
      <w:r w:rsidR="00CB4E73" w:rsidRPr="00D50D50">
        <w:rPr>
          <w:rFonts w:asciiTheme="majorHAnsi" w:hAnsiTheme="majorHAnsi"/>
          <w:sz w:val="20"/>
          <w:szCs w:val="20"/>
          <w:lang w:val="es-ES"/>
        </w:rPr>
        <w:t>qu</w:t>
      </w:r>
      <w:r w:rsidR="00FB7600" w:rsidRPr="00D50D50">
        <w:rPr>
          <w:rFonts w:asciiTheme="majorHAnsi" w:hAnsiTheme="majorHAnsi"/>
          <w:sz w:val="20"/>
          <w:szCs w:val="20"/>
          <w:lang w:val="es-ES"/>
        </w:rPr>
        <w:t>e</w:t>
      </w:r>
      <w:r w:rsidR="00CB4E73" w:rsidRPr="00D50D50">
        <w:rPr>
          <w:rFonts w:asciiTheme="majorHAnsi" w:hAnsiTheme="majorHAnsi"/>
          <w:sz w:val="20"/>
          <w:szCs w:val="20"/>
          <w:lang w:val="es-ES"/>
        </w:rPr>
        <w:t xml:space="preserve"> </w:t>
      </w:r>
      <w:r w:rsidR="00466C23" w:rsidRPr="00D50D50">
        <w:rPr>
          <w:rFonts w:asciiTheme="majorHAnsi" w:hAnsiTheme="majorHAnsi"/>
          <w:sz w:val="20"/>
          <w:szCs w:val="20"/>
          <w:lang w:val="es-ES"/>
        </w:rPr>
        <w:t xml:space="preserve">fueron judicializados y condenados por </w:t>
      </w:r>
      <w:r w:rsidR="00FB7600" w:rsidRPr="00D50D50">
        <w:rPr>
          <w:rFonts w:asciiTheme="majorHAnsi" w:hAnsiTheme="majorHAnsi"/>
          <w:sz w:val="20"/>
          <w:szCs w:val="20"/>
          <w:lang w:val="es-ES"/>
        </w:rPr>
        <w:t xml:space="preserve">la </w:t>
      </w:r>
      <w:r w:rsidR="00466C23" w:rsidRPr="00D50D50">
        <w:rPr>
          <w:rFonts w:asciiTheme="majorHAnsi" w:hAnsiTheme="majorHAnsi"/>
          <w:sz w:val="20"/>
          <w:szCs w:val="20"/>
          <w:lang w:val="es-ES"/>
        </w:rPr>
        <w:t xml:space="preserve">masacre </w:t>
      </w:r>
      <w:r w:rsidR="00FB7600" w:rsidRPr="00D50D50">
        <w:rPr>
          <w:rFonts w:asciiTheme="majorHAnsi" w:hAnsiTheme="majorHAnsi"/>
          <w:sz w:val="20"/>
          <w:szCs w:val="20"/>
          <w:lang w:val="es-ES"/>
        </w:rPr>
        <w:t xml:space="preserve">perpetrada </w:t>
      </w:r>
      <w:r w:rsidR="00593FE7" w:rsidRPr="00D50D50">
        <w:rPr>
          <w:rFonts w:asciiTheme="majorHAnsi" w:hAnsiTheme="majorHAnsi"/>
          <w:sz w:val="20"/>
          <w:szCs w:val="20"/>
          <w:lang w:val="es-ES"/>
        </w:rPr>
        <w:t xml:space="preserve">durante </w:t>
      </w:r>
      <w:r w:rsidR="00AD1187" w:rsidRPr="00D50D50">
        <w:rPr>
          <w:rFonts w:asciiTheme="majorHAnsi" w:hAnsiTheme="majorHAnsi"/>
          <w:sz w:val="20"/>
          <w:szCs w:val="20"/>
          <w:lang w:val="es-ES"/>
        </w:rPr>
        <w:t>septiembre y octubre de</w:t>
      </w:r>
      <w:r w:rsidR="00EC5D44" w:rsidRPr="00D50D50">
        <w:rPr>
          <w:rFonts w:asciiTheme="majorHAnsi" w:hAnsiTheme="majorHAnsi"/>
          <w:sz w:val="20"/>
          <w:szCs w:val="20"/>
          <w:lang w:val="es-ES"/>
        </w:rPr>
        <w:t xml:space="preserve"> </w:t>
      </w:r>
      <w:r w:rsidR="00593FE7" w:rsidRPr="00D50D50">
        <w:rPr>
          <w:rFonts w:asciiTheme="majorHAnsi" w:hAnsiTheme="majorHAnsi"/>
          <w:sz w:val="20"/>
          <w:szCs w:val="20"/>
          <w:lang w:val="es-ES"/>
        </w:rPr>
        <w:t>2003</w:t>
      </w:r>
      <w:r w:rsidR="006B37B7" w:rsidRPr="00D50D50">
        <w:rPr>
          <w:rFonts w:asciiTheme="majorHAnsi" w:hAnsiTheme="majorHAnsi"/>
          <w:sz w:val="20"/>
          <w:szCs w:val="20"/>
          <w:lang w:val="es-ES"/>
        </w:rPr>
        <w:t xml:space="preserve"> en Bolivia</w:t>
      </w:r>
      <w:r w:rsidR="00FF27F0" w:rsidRPr="00D50D50">
        <w:rPr>
          <w:rFonts w:asciiTheme="majorHAnsi" w:hAnsiTheme="majorHAnsi"/>
          <w:sz w:val="20"/>
          <w:szCs w:val="20"/>
          <w:lang w:val="es-ES"/>
        </w:rPr>
        <w:t xml:space="preserve"> conocida como “octubre negro” o “guerra del gas”</w:t>
      </w:r>
      <w:r w:rsidR="00466C23" w:rsidRPr="00D50D50">
        <w:rPr>
          <w:rFonts w:asciiTheme="majorHAnsi" w:hAnsiTheme="majorHAnsi"/>
          <w:sz w:val="20"/>
          <w:szCs w:val="20"/>
          <w:lang w:val="es-ES"/>
        </w:rPr>
        <w:t>.</w:t>
      </w:r>
      <w:r w:rsidR="006B37B7" w:rsidRPr="00D50D50">
        <w:rPr>
          <w:rFonts w:asciiTheme="majorHAnsi" w:hAnsiTheme="majorHAnsi"/>
          <w:sz w:val="20"/>
          <w:szCs w:val="20"/>
          <w:lang w:val="es-ES"/>
        </w:rPr>
        <w:t xml:space="preserve"> </w:t>
      </w:r>
      <w:r w:rsidR="00FB7600" w:rsidRPr="00D50D50">
        <w:rPr>
          <w:rFonts w:asciiTheme="majorHAnsi" w:hAnsiTheme="majorHAnsi"/>
          <w:sz w:val="20"/>
          <w:szCs w:val="20"/>
          <w:lang w:val="es-ES"/>
        </w:rPr>
        <w:t>A</w:t>
      </w:r>
      <w:r w:rsidR="00593FE7" w:rsidRPr="00D50D50">
        <w:rPr>
          <w:rFonts w:asciiTheme="majorHAnsi" w:hAnsiTheme="majorHAnsi"/>
          <w:sz w:val="20"/>
          <w:szCs w:val="20"/>
          <w:lang w:val="es-ES"/>
        </w:rPr>
        <w:t>leg</w:t>
      </w:r>
      <w:r w:rsidR="006B37B7" w:rsidRPr="00D50D50">
        <w:rPr>
          <w:rFonts w:asciiTheme="majorHAnsi" w:hAnsiTheme="majorHAnsi"/>
          <w:sz w:val="20"/>
          <w:szCs w:val="20"/>
          <w:lang w:val="es-ES"/>
        </w:rPr>
        <w:t>a</w:t>
      </w:r>
      <w:r w:rsidR="000E7753" w:rsidRPr="00D50D50">
        <w:rPr>
          <w:rFonts w:asciiTheme="majorHAnsi" w:hAnsiTheme="majorHAnsi"/>
          <w:sz w:val="20"/>
          <w:szCs w:val="20"/>
          <w:lang w:val="es-ES"/>
        </w:rPr>
        <w:t xml:space="preserve"> </w:t>
      </w:r>
      <w:r w:rsidR="00FB7600" w:rsidRPr="00D50D50">
        <w:rPr>
          <w:rFonts w:asciiTheme="majorHAnsi" w:hAnsiTheme="majorHAnsi"/>
          <w:sz w:val="20"/>
          <w:szCs w:val="20"/>
          <w:lang w:val="es-ES"/>
        </w:rPr>
        <w:t>que</w:t>
      </w:r>
      <w:r w:rsidR="000E7753" w:rsidRPr="00D50D50">
        <w:rPr>
          <w:rFonts w:asciiTheme="majorHAnsi" w:hAnsiTheme="majorHAnsi"/>
          <w:sz w:val="20"/>
          <w:szCs w:val="20"/>
          <w:lang w:val="es-ES"/>
        </w:rPr>
        <w:t xml:space="preserve"> </w:t>
      </w:r>
      <w:r w:rsidR="00FB7600" w:rsidRPr="00D50D50">
        <w:rPr>
          <w:rFonts w:asciiTheme="majorHAnsi" w:hAnsiTheme="majorHAnsi"/>
          <w:sz w:val="20"/>
          <w:szCs w:val="20"/>
          <w:lang w:val="es-ES"/>
        </w:rPr>
        <w:t xml:space="preserve">el Estado violó las garantías judiciales de </w:t>
      </w:r>
      <w:r w:rsidR="0054537D" w:rsidRPr="00D50D50">
        <w:rPr>
          <w:rFonts w:asciiTheme="majorHAnsi" w:hAnsiTheme="majorHAnsi"/>
          <w:sz w:val="20"/>
          <w:szCs w:val="20"/>
          <w:lang w:val="es-ES"/>
        </w:rPr>
        <w:t>las presuntas víctimas, qu</w:t>
      </w:r>
      <w:r w:rsidR="00FB7600" w:rsidRPr="00D50D50">
        <w:rPr>
          <w:rFonts w:asciiTheme="majorHAnsi" w:hAnsiTheme="majorHAnsi"/>
          <w:sz w:val="20"/>
          <w:szCs w:val="20"/>
          <w:lang w:val="es-ES"/>
        </w:rPr>
        <w:t>e</w:t>
      </w:r>
      <w:r w:rsidR="0054537D" w:rsidRPr="00D50D50">
        <w:rPr>
          <w:rFonts w:asciiTheme="majorHAnsi" w:hAnsiTheme="majorHAnsi"/>
          <w:sz w:val="20"/>
          <w:szCs w:val="20"/>
          <w:lang w:val="es-ES"/>
        </w:rPr>
        <w:t xml:space="preserve"> se desempañaban como </w:t>
      </w:r>
      <w:r w:rsidR="004C4610" w:rsidRPr="00D50D50">
        <w:rPr>
          <w:rFonts w:asciiTheme="majorHAnsi" w:hAnsiTheme="majorHAnsi"/>
          <w:sz w:val="20"/>
          <w:szCs w:val="20"/>
          <w:lang w:val="es-ES"/>
        </w:rPr>
        <w:t>comandantes</w:t>
      </w:r>
      <w:r w:rsidR="0054537D" w:rsidRPr="00D50D50">
        <w:rPr>
          <w:rFonts w:asciiTheme="majorHAnsi" w:hAnsiTheme="majorHAnsi"/>
          <w:sz w:val="20"/>
          <w:szCs w:val="20"/>
          <w:lang w:val="es-ES"/>
        </w:rPr>
        <w:t xml:space="preserve"> de las </w:t>
      </w:r>
      <w:r w:rsidR="0053061B" w:rsidRPr="00D50D50">
        <w:rPr>
          <w:rFonts w:asciiTheme="majorHAnsi" w:hAnsiTheme="majorHAnsi"/>
          <w:sz w:val="20"/>
          <w:szCs w:val="20"/>
          <w:lang w:val="es-ES"/>
        </w:rPr>
        <w:t>f</w:t>
      </w:r>
      <w:r w:rsidR="0054537D" w:rsidRPr="00D50D50">
        <w:rPr>
          <w:rFonts w:asciiTheme="majorHAnsi" w:hAnsiTheme="majorHAnsi"/>
          <w:sz w:val="20"/>
          <w:szCs w:val="20"/>
          <w:lang w:val="es-ES"/>
        </w:rPr>
        <w:t xml:space="preserve">uerzas de </w:t>
      </w:r>
      <w:r w:rsidR="0053061B" w:rsidRPr="00D50D50">
        <w:rPr>
          <w:rFonts w:asciiTheme="majorHAnsi" w:hAnsiTheme="majorHAnsi"/>
          <w:sz w:val="20"/>
          <w:szCs w:val="20"/>
          <w:lang w:val="es-ES"/>
        </w:rPr>
        <w:t>s</w:t>
      </w:r>
      <w:r w:rsidR="0054537D" w:rsidRPr="00D50D50">
        <w:rPr>
          <w:rFonts w:asciiTheme="majorHAnsi" w:hAnsiTheme="majorHAnsi"/>
          <w:sz w:val="20"/>
          <w:szCs w:val="20"/>
          <w:lang w:val="es-ES"/>
        </w:rPr>
        <w:t>eguridad de Bolivia durante los mencionados hechos</w:t>
      </w:r>
      <w:r w:rsidR="009036F6" w:rsidRPr="00D50D50">
        <w:rPr>
          <w:rFonts w:asciiTheme="majorHAnsi" w:hAnsiTheme="majorHAnsi"/>
          <w:sz w:val="20"/>
          <w:szCs w:val="20"/>
          <w:lang w:val="es-ES"/>
        </w:rPr>
        <w:t xml:space="preserve">; </w:t>
      </w:r>
      <w:r w:rsidR="0054537D" w:rsidRPr="00D50D50">
        <w:rPr>
          <w:rFonts w:asciiTheme="majorHAnsi" w:hAnsiTheme="majorHAnsi"/>
          <w:sz w:val="20"/>
          <w:szCs w:val="20"/>
          <w:lang w:val="es-ES"/>
        </w:rPr>
        <w:t xml:space="preserve">que hubo un </w:t>
      </w:r>
      <w:r w:rsidR="000E7753" w:rsidRPr="00D50D50">
        <w:rPr>
          <w:rFonts w:asciiTheme="majorHAnsi" w:hAnsiTheme="majorHAnsi"/>
          <w:sz w:val="20"/>
          <w:szCs w:val="20"/>
          <w:lang w:val="es-ES"/>
        </w:rPr>
        <w:t xml:space="preserve">tratamiento desigual </w:t>
      </w:r>
      <w:r w:rsidR="00FB7600" w:rsidRPr="00D50D50">
        <w:rPr>
          <w:rFonts w:asciiTheme="majorHAnsi" w:hAnsiTheme="majorHAnsi"/>
          <w:sz w:val="20"/>
          <w:szCs w:val="20"/>
          <w:lang w:val="es-ES"/>
        </w:rPr>
        <w:t xml:space="preserve">respecto </w:t>
      </w:r>
      <w:r w:rsidR="0054537D" w:rsidRPr="00D50D50">
        <w:rPr>
          <w:rFonts w:asciiTheme="majorHAnsi" w:hAnsiTheme="majorHAnsi"/>
          <w:sz w:val="20"/>
          <w:szCs w:val="20"/>
          <w:lang w:val="es-ES"/>
        </w:rPr>
        <w:t xml:space="preserve">al </w:t>
      </w:r>
      <w:r w:rsidR="009036F6" w:rsidRPr="00D50D50">
        <w:rPr>
          <w:rFonts w:asciiTheme="majorHAnsi" w:hAnsiTheme="majorHAnsi"/>
          <w:sz w:val="20"/>
          <w:szCs w:val="20"/>
          <w:lang w:val="es-ES"/>
        </w:rPr>
        <w:t xml:space="preserve">recibido por </w:t>
      </w:r>
      <w:r w:rsidR="000E7753" w:rsidRPr="00D50D50">
        <w:rPr>
          <w:rFonts w:asciiTheme="majorHAnsi" w:hAnsiTheme="majorHAnsi"/>
          <w:sz w:val="20"/>
          <w:szCs w:val="20"/>
          <w:lang w:val="es-ES"/>
        </w:rPr>
        <w:t>otros miembros del gobierno y algunos de sus opositores</w:t>
      </w:r>
      <w:r w:rsidR="009036F6" w:rsidRPr="00D50D50">
        <w:rPr>
          <w:rFonts w:asciiTheme="majorHAnsi" w:hAnsiTheme="majorHAnsi"/>
          <w:sz w:val="20"/>
          <w:szCs w:val="20"/>
          <w:lang w:val="es-ES"/>
        </w:rPr>
        <w:t>; y</w:t>
      </w:r>
      <w:r w:rsidR="000E7753" w:rsidRPr="00D50D50">
        <w:rPr>
          <w:rFonts w:asciiTheme="majorHAnsi" w:hAnsiTheme="majorHAnsi"/>
          <w:sz w:val="20"/>
          <w:szCs w:val="20"/>
          <w:lang w:val="es-ES"/>
        </w:rPr>
        <w:t xml:space="preserve"> que </w:t>
      </w:r>
      <w:r w:rsidR="009036F6" w:rsidRPr="00D50D50">
        <w:rPr>
          <w:rFonts w:asciiTheme="majorHAnsi" w:hAnsiTheme="majorHAnsi"/>
          <w:sz w:val="20"/>
          <w:szCs w:val="20"/>
          <w:lang w:val="es-ES"/>
        </w:rPr>
        <w:t>los tribunales que les condenaron carec</w:t>
      </w:r>
      <w:r w:rsidR="00767719" w:rsidRPr="00D50D50">
        <w:rPr>
          <w:rFonts w:asciiTheme="majorHAnsi" w:hAnsiTheme="majorHAnsi"/>
          <w:sz w:val="20"/>
          <w:szCs w:val="20"/>
          <w:lang w:val="es-ES"/>
        </w:rPr>
        <w:t>ían</w:t>
      </w:r>
      <w:r w:rsidR="009036F6" w:rsidRPr="00D50D50">
        <w:rPr>
          <w:rFonts w:asciiTheme="majorHAnsi" w:hAnsiTheme="majorHAnsi"/>
          <w:sz w:val="20"/>
          <w:szCs w:val="20"/>
          <w:lang w:val="es-ES"/>
        </w:rPr>
        <w:t xml:space="preserve"> de </w:t>
      </w:r>
      <w:r w:rsidR="000E7753" w:rsidRPr="00D50D50">
        <w:rPr>
          <w:rFonts w:asciiTheme="majorHAnsi" w:hAnsiTheme="majorHAnsi"/>
          <w:sz w:val="20"/>
          <w:szCs w:val="20"/>
          <w:lang w:val="es-ES"/>
        </w:rPr>
        <w:t>independencia judicial</w:t>
      </w:r>
      <w:r w:rsidR="0054537D" w:rsidRPr="00D50D50">
        <w:rPr>
          <w:rFonts w:asciiTheme="majorHAnsi" w:hAnsiTheme="majorHAnsi"/>
          <w:sz w:val="20"/>
          <w:szCs w:val="20"/>
          <w:lang w:val="es-ES"/>
        </w:rPr>
        <w:t xml:space="preserve">. </w:t>
      </w:r>
    </w:p>
    <w:p w14:paraId="16B6FDB9" w14:textId="736BB45F" w:rsidR="00D65706" w:rsidRPr="00D50D50" w:rsidRDefault="00352303" w:rsidP="00FF27F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br w:type="page"/>
      </w:r>
      <w:r w:rsidR="00637C01" w:rsidRPr="00D50D50">
        <w:rPr>
          <w:rFonts w:asciiTheme="majorHAnsi" w:hAnsiTheme="majorHAnsi"/>
          <w:sz w:val="20"/>
          <w:szCs w:val="20"/>
          <w:lang w:val="es-ES"/>
        </w:rPr>
        <w:lastRenderedPageBreak/>
        <w:t>E</w:t>
      </w:r>
      <w:r w:rsidR="0099640F" w:rsidRPr="00D50D50">
        <w:rPr>
          <w:rFonts w:asciiTheme="majorHAnsi" w:hAnsiTheme="majorHAnsi"/>
          <w:sz w:val="20"/>
          <w:szCs w:val="20"/>
          <w:lang w:val="es-ES"/>
        </w:rPr>
        <w:t xml:space="preserve">n julio de 2003 se acusó al </w:t>
      </w:r>
      <w:r w:rsidR="004C4610" w:rsidRPr="00D50D50">
        <w:rPr>
          <w:rFonts w:asciiTheme="majorHAnsi" w:hAnsiTheme="majorHAnsi"/>
          <w:sz w:val="20"/>
          <w:szCs w:val="20"/>
          <w:lang w:val="es-ES"/>
        </w:rPr>
        <w:t xml:space="preserve">entonces </w:t>
      </w:r>
      <w:r w:rsidR="0099640F" w:rsidRPr="00D50D50">
        <w:rPr>
          <w:rFonts w:asciiTheme="majorHAnsi" w:hAnsiTheme="majorHAnsi"/>
          <w:sz w:val="20"/>
          <w:szCs w:val="20"/>
          <w:lang w:val="es-ES"/>
        </w:rPr>
        <w:t>Presidente</w:t>
      </w:r>
      <w:r w:rsidR="00FB7600" w:rsidRPr="00D50D50">
        <w:rPr>
          <w:rFonts w:asciiTheme="majorHAnsi" w:hAnsiTheme="majorHAnsi"/>
          <w:sz w:val="20"/>
          <w:szCs w:val="20"/>
          <w:lang w:val="es-ES"/>
        </w:rPr>
        <w:t xml:space="preserve"> de Bolivia Gonzalo</w:t>
      </w:r>
      <w:r w:rsidR="0099640F" w:rsidRPr="00D50D50">
        <w:rPr>
          <w:rFonts w:asciiTheme="majorHAnsi" w:hAnsiTheme="majorHAnsi"/>
          <w:sz w:val="20"/>
          <w:szCs w:val="20"/>
          <w:lang w:val="es-ES"/>
        </w:rPr>
        <w:t xml:space="preserve"> </w:t>
      </w:r>
      <w:r w:rsidR="00757135" w:rsidRPr="00D50D50">
        <w:rPr>
          <w:rFonts w:asciiTheme="majorHAnsi" w:hAnsiTheme="majorHAnsi"/>
          <w:sz w:val="20"/>
          <w:szCs w:val="20"/>
          <w:lang w:val="es-ES"/>
        </w:rPr>
        <w:t>Sánchez</w:t>
      </w:r>
      <w:r w:rsidR="0099640F" w:rsidRPr="00D50D50">
        <w:rPr>
          <w:rFonts w:asciiTheme="majorHAnsi" w:hAnsiTheme="majorHAnsi"/>
          <w:sz w:val="20"/>
          <w:szCs w:val="20"/>
          <w:lang w:val="es-ES"/>
        </w:rPr>
        <w:t xml:space="preserve"> de Lozada de haber firmado un pacto secreto </w:t>
      </w:r>
      <w:r w:rsidR="00FF27F0" w:rsidRPr="00D50D50">
        <w:rPr>
          <w:rFonts w:asciiTheme="majorHAnsi" w:hAnsiTheme="majorHAnsi"/>
          <w:sz w:val="20"/>
          <w:szCs w:val="20"/>
          <w:lang w:val="es-ES"/>
        </w:rPr>
        <w:t xml:space="preserve">para la </w:t>
      </w:r>
      <w:r w:rsidR="0099640F" w:rsidRPr="00D50D50">
        <w:rPr>
          <w:rFonts w:asciiTheme="majorHAnsi" w:hAnsiTheme="majorHAnsi"/>
          <w:sz w:val="20"/>
          <w:szCs w:val="20"/>
          <w:lang w:val="es-ES"/>
        </w:rPr>
        <w:t>venta de gas a México y Estados Unidos a través de Chil</w:t>
      </w:r>
      <w:r w:rsidR="00530B62" w:rsidRPr="00D50D50">
        <w:rPr>
          <w:rFonts w:asciiTheme="majorHAnsi" w:hAnsiTheme="majorHAnsi"/>
          <w:sz w:val="20"/>
          <w:szCs w:val="20"/>
          <w:lang w:val="es-ES"/>
        </w:rPr>
        <w:t>e</w:t>
      </w:r>
      <w:r w:rsidR="00D84B70" w:rsidRPr="00D50D50">
        <w:rPr>
          <w:rFonts w:asciiTheme="majorHAnsi" w:hAnsiTheme="majorHAnsi"/>
          <w:sz w:val="20"/>
          <w:szCs w:val="20"/>
          <w:lang w:val="es-ES"/>
        </w:rPr>
        <w:t xml:space="preserve">, </w:t>
      </w:r>
      <w:r w:rsidRPr="00D50D50">
        <w:rPr>
          <w:rFonts w:asciiTheme="majorHAnsi" w:hAnsiTheme="majorHAnsi"/>
          <w:sz w:val="20"/>
          <w:szCs w:val="20"/>
          <w:lang w:val="es-ES"/>
        </w:rPr>
        <w:t xml:space="preserve">por lo que </w:t>
      </w:r>
      <w:r w:rsidR="00D84B70" w:rsidRPr="00D50D50">
        <w:rPr>
          <w:rFonts w:asciiTheme="majorHAnsi" w:hAnsiTheme="majorHAnsi"/>
          <w:sz w:val="20"/>
          <w:szCs w:val="20"/>
          <w:lang w:val="es-ES"/>
        </w:rPr>
        <w:t>sectores de la oposición convoca</w:t>
      </w:r>
      <w:r w:rsidR="0010161A" w:rsidRPr="00D50D50">
        <w:rPr>
          <w:rFonts w:asciiTheme="majorHAnsi" w:hAnsiTheme="majorHAnsi"/>
          <w:sz w:val="20"/>
          <w:szCs w:val="20"/>
          <w:lang w:val="es-ES"/>
        </w:rPr>
        <w:t>ro</w:t>
      </w:r>
      <w:r w:rsidR="00D84B70" w:rsidRPr="00D50D50">
        <w:rPr>
          <w:rFonts w:asciiTheme="majorHAnsi" w:hAnsiTheme="majorHAnsi"/>
          <w:sz w:val="20"/>
          <w:szCs w:val="20"/>
          <w:lang w:val="es-ES"/>
        </w:rPr>
        <w:t>n</w:t>
      </w:r>
      <w:r w:rsidR="00530B62" w:rsidRPr="00D50D50">
        <w:rPr>
          <w:rFonts w:asciiTheme="majorHAnsi" w:hAnsiTheme="majorHAnsi"/>
          <w:sz w:val="20"/>
          <w:szCs w:val="20"/>
          <w:lang w:val="es-ES"/>
        </w:rPr>
        <w:t xml:space="preserve"> a la población civil a movilizarse contra el Gobierno</w:t>
      </w:r>
      <w:r w:rsidR="006B5D70" w:rsidRPr="00D50D50">
        <w:rPr>
          <w:rFonts w:asciiTheme="majorHAnsi" w:hAnsiTheme="majorHAnsi"/>
          <w:sz w:val="20"/>
          <w:szCs w:val="20"/>
          <w:lang w:val="es-ES"/>
        </w:rPr>
        <w:t>. El 9 de sept</w:t>
      </w:r>
      <w:r w:rsidR="0010161A" w:rsidRPr="00D50D50">
        <w:rPr>
          <w:rFonts w:asciiTheme="majorHAnsi" w:hAnsiTheme="majorHAnsi"/>
          <w:sz w:val="20"/>
          <w:szCs w:val="20"/>
          <w:lang w:val="es-ES"/>
        </w:rPr>
        <w:t xml:space="preserve">iembre de 2003 </w:t>
      </w:r>
      <w:r w:rsidR="006B5D70" w:rsidRPr="00D50D50">
        <w:rPr>
          <w:rFonts w:asciiTheme="majorHAnsi" w:hAnsiTheme="majorHAnsi"/>
          <w:sz w:val="20"/>
          <w:szCs w:val="20"/>
          <w:lang w:val="es-ES"/>
        </w:rPr>
        <w:t xml:space="preserve">se instaló una huelga de hambre </w:t>
      </w:r>
      <w:r w:rsidRPr="00D50D50">
        <w:rPr>
          <w:rFonts w:asciiTheme="majorHAnsi" w:hAnsiTheme="majorHAnsi"/>
          <w:sz w:val="20"/>
          <w:szCs w:val="20"/>
          <w:lang w:val="es-ES"/>
        </w:rPr>
        <w:t xml:space="preserve">en la ciudad de El Alto </w:t>
      </w:r>
      <w:r w:rsidR="006B5D70" w:rsidRPr="00D50D50">
        <w:rPr>
          <w:rFonts w:asciiTheme="majorHAnsi" w:hAnsiTheme="majorHAnsi"/>
          <w:sz w:val="20"/>
          <w:szCs w:val="20"/>
          <w:lang w:val="es-ES"/>
        </w:rPr>
        <w:t xml:space="preserve">liderada por la Confederación Sindical Única de Trabajadores </w:t>
      </w:r>
      <w:r w:rsidR="00D84B70" w:rsidRPr="00D50D50">
        <w:rPr>
          <w:rFonts w:asciiTheme="majorHAnsi" w:hAnsiTheme="majorHAnsi"/>
          <w:sz w:val="20"/>
          <w:szCs w:val="20"/>
          <w:lang w:val="es-ES"/>
        </w:rPr>
        <w:t>Campesinos de Bolivia (CSUTCB)</w:t>
      </w:r>
      <w:r w:rsidR="006B5D70" w:rsidRPr="00D50D50">
        <w:rPr>
          <w:rFonts w:asciiTheme="majorHAnsi" w:hAnsiTheme="majorHAnsi"/>
          <w:sz w:val="20"/>
          <w:szCs w:val="20"/>
          <w:lang w:val="es-ES"/>
        </w:rPr>
        <w:t>. El 14 de septiembre del mismo año, comunidades altiplánicas de varias regiones del país hicieron pública su intención de marchar a La P</w:t>
      </w:r>
      <w:r w:rsidR="00E950E4" w:rsidRPr="00D50D50">
        <w:rPr>
          <w:rFonts w:asciiTheme="majorHAnsi" w:hAnsiTheme="majorHAnsi"/>
          <w:sz w:val="20"/>
          <w:szCs w:val="20"/>
          <w:lang w:val="es-ES"/>
        </w:rPr>
        <w:t>az y su respaldo a la CSUTCB</w:t>
      </w:r>
      <w:r w:rsidR="0010161A" w:rsidRPr="00D50D50">
        <w:rPr>
          <w:rFonts w:asciiTheme="majorHAnsi" w:hAnsiTheme="majorHAnsi"/>
          <w:sz w:val="20"/>
          <w:szCs w:val="20"/>
          <w:lang w:val="es-ES"/>
        </w:rPr>
        <w:t xml:space="preserve">. </w:t>
      </w:r>
      <w:r w:rsidR="0018013D" w:rsidRPr="00D50D50">
        <w:rPr>
          <w:rFonts w:asciiTheme="majorHAnsi" w:hAnsiTheme="majorHAnsi"/>
          <w:sz w:val="20"/>
          <w:szCs w:val="20"/>
          <w:lang w:val="es-ES"/>
        </w:rPr>
        <w:t>A</w:t>
      </w:r>
      <w:r w:rsidR="003F115F" w:rsidRPr="00D50D50">
        <w:rPr>
          <w:rFonts w:asciiTheme="majorHAnsi" w:hAnsiTheme="majorHAnsi"/>
          <w:sz w:val="20"/>
          <w:szCs w:val="20"/>
          <w:lang w:val="es-ES"/>
        </w:rPr>
        <w:t xml:space="preserve">nte </w:t>
      </w:r>
      <w:r w:rsidRPr="00D50D50">
        <w:rPr>
          <w:rFonts w:asciiTheme="majorHAnsi" w:hAnsiTheme="majorHAnsi"/>
          <w:sz w:val="20"/>
          <w:szCs w:val="20"/>
          <w:lang w:val="es-ES"/>
        </w:rPr>
        <w:t>est</w:t>
      </w:r>
      <w:r w:rsidR="003F115F" w:rsidRPr="00D50D50">
        <w:rPr>
          <w:rFonts w:asciiTheme="majorHAnsi" w:hAnsiTheme="majorHAnsi"/>
          <w:sz w:val="20"/>
          <w:szCs w:val="20"/>
          <w:lang w:val="es-ES"/>
        </w:rPr>
        <w:t>a situación</w:t>
      </w:r>
      <w:r w:rsidR="00552D61" w:rsidRPr="00D50D50">
        <w:rPr>
          <w:rFonts w:asciiTheme="majorHAnsi" w:hAnsiTheme="majorHAnsi"/>
          <w:sz w:val="20"/>
          <w:szCs w:val="20"/>
          <w:lang w:val="es-ES"/>
        </w:rPr>
        <w:t>,</w:t>
      </w:r>
      <w:r w:rsidR="003F115F" w:rsidRPr="00D50D50">
        <w:rPr>
          <w:rFonts w:asciiTheme="majorHAnsi" w:hAnsiTheme="majorHAnsi"/>
          <w:sz w:val="20"/>
          <w:szCs w:val="20"/>
          <w:lang w:val="es-ES"/>
        </w:rPr>
        <w:t xml:space="preserve"> el </w:t>
      </w:r>
      <w:r w:rsidRPr="00D50D50">
        <w:rPr>
          <w:rFonts w:asciiTheme="majorHAnsi" w:hAnsiTheme="majorHAnsi"/>
          <w:sz w:val="20"/>
          <w:szCs w:val="20"/>
          <w:lang w:val="es-ES"/>
        </w:rPr>
        <w:t>entonces P</w:t>
      </w:r>
      <w:r w:rsidR="003F115F" w:rsidRPr="00D50D50">
        <w:rPr>
          <w:rFonts w:asciiTheme="majorHAnsi" w:hAnsiTheme="majorHAnsi"/>
          <w:sz w:val="20"/>
          <w:szCs w:val="20"/>
          <w:lang w:val="es-ES"/>
        </w:rPr>
        <w:t>residente</w:t>
      </w:r>
      <w:r w:rsidR="00890632" w:rsidRPr="00D50D50">
        <w:rPr>
          <w:rFonts w:asciiTheme="majorHAnsi" w:hAnsiTheme="majorHAnsi"/>
          <w:sz w:val="20"/>
          <w:szCs w:val="20"/>
          <w:lang w:val="es-ES"/>
        </w:rPr>
        <w:t xml:space="preserve"> </w:t>
      </w:r>
      <w:r w:rsidR="00CB4E73" w:rsidRPr="00D50D50">
        <w:rPr>
          <w:rFonts w:asciiTheme="majorHAnsi" w:hAnsiTheme="majorHAnsi"/>
          <w:sz w:val="20"/>
          <w:szCs w:val="20"/>
          <w:lang w:val="es-ES"/>
        </w:rPr>
        <w:t>autoriz</w:t>
      </w:r>
      <w:r w:rsidR="003F115F" w:rsidRPr="00D50D50">
        <w:rPr>
          <w:rFonts w:asciiTheme="majorHAnsi" w:hAnsiTheme="majorHAnsi"/>
          <w:sz w:val="20"/>
          <w:szCs w:val="20"/>
          <w:lang w:val="es-ES"/>
        </w:rPr>
        <w:t>ó</w:t>
      </w:r>
      <w:r w:rsidR="00890632" w:rsidRPr="00D50D50">
        <w:rPr>
          <w:rFonts w:asciiTheme="majorHAnsi" w:hAnsiTheme="majorHAnsi"/>
          <w:sz w:val="20"/>
          <w:szCs w:val="20"/>
          <w:lang w:val="es-ES"/>
        </w:rPr>
        <w:t xml:space="preserve"> una </w:t>
      </w:r>
      <w:r w:rsidR="00CB4E73" w:rsidRPr="00D50D50">
        <w:rPr>
          <w:rFonts w:asciiTheme="majorHAnsi" w:hAnsiTheme="majorHAnsi"/>
          <w:sz w:val="20"/>
          <w:szCs w:val="20"/>
          <w:lang w:val="es-ES"/>
        </w:rPr>
        <w:t xml:space="preserve">intervención </w:t>
      </w:r>
      <w:r w:rsidR="00890632" w:rsidRPr="00D50D50">
        <w:rPr>
          <w:rFonts w:asciiTheme="majorHAnsi" w:hAnsiTheme="majorHAnsi"/>
          <w:sz w:val="20"/>
          <w:szCs w:val="20"/>
          <w:lang w:val="es-ES"/>
        </w:rPr>
        <w:t>conjunta policial-militar</w:t>
      </w:r>
      <w:r w:rsidRPr="00D50D50">
        <w:rPr>
          <w:rFonts w:asciiTheme="majorHAnsi" w:hAnsiTheme="majorHAnsi"/>
          <w:sz w:val="20"/>
          <w:szCs w:val="20"/>
          <w:lang w:val="es-ES"/>
        </w:rPr>
        <w:t xml:space="preserve">, que </w:t>
      </w:r>
      <w:r w:rsidR="00FF27F0" w:rsidRPr="00D50D50">
        <w:rPr>
          <w:rFonts w:asciiTheme="majorHAnsi" w:hAnsiTheme="majorHAnsi"/>
          <w:sz w:val="20"/>
          <w:szCs w:val="20"/>
          <w:lang w:val="es-ES"/>
        </w:rPr>
        <w:t>deriv</w:t>
      </w:r>
      <w:r w:rsidRPr="00D50D50">
        <w:rPr>
          <w:rFonts w:asciiTheme="majorHAnsi" w:hAnsiTheme="majorHAnsi"/>
          <w:sz w:val="20"/>
          <w:szCs w:val="20"/>
          <w:lang w:val="es-ES"/>
        </w:rPr>
        <w:t xml:space="preserve">ó </w:t>
      </w:r>
      <w:r w:rsidR="00FF27F0" w:rsidRPr="00D50D50">
        <w:rPr>
          <w:rFonts w:asciiTheme="majorHAnsi" w:hAnsiTheme="majorHAnsi"/>
          <w:sz w:val="20"/>
          <w:szCs w:val="20"/>
          <w:lang w:val="es-ES"/>
        </w:rPr>
        <w:t xml:space="preserve">en </w:t>
      </w:r>
      <w:r w:rsidRPr="00D50D50">
        <w:rPr>
          <w:rFonts w:asciiTheme="majorHAnsi" w:hAnsiTheme="majorHAnsi"/>
          <w:sz w:val="20"/>
          <w:szCs w:val="20"/>
          <w:lang w:val="es-ES"/>
        </w:rPr>
        <w:t>una</w:t>
      </w:r>
      <w:r w:rsidR="00270540" w:rsidRPr="00D50D50">
        <w:rPr>
          <w:rFonts w:asciiTheme="majorHAnsi" w:hAnsiTheme="majorHAnsi"/>
          <w:sz w:val="20"/>
          <w:szCs w:val="20"/>
          <w:lang w:val="es-ES"/>
        </w:rPr>
        <w:t xml:space="preserve"> </w:t>
      </w:r>
      <w:r w:rsidR="00BE260B" w:rsidRPr="00D50D50">
        <w:rPr>
          <w:rFonts w:asciiTheme="majorHAnsi" w:hAnsiTheme="majorHAnsi"/>
          <w:sz w:val="20"/>
          <w:szCs w:val="20"/>
          <w:lang w:val="es-ES"/>
        </w:rPr>
        <w:t>confortación</w:t>
      </w:r>
      <w:r w:rsidR="00270540" w:rsidRPr="00D50D50">
        <w:rPr>
          <w:rFonts w:asciiTheme="majorHAnsi" w:hAnsiTheme="majorHAnsi"/>
          <w:sz w:val="20"/>
          <w:szCs w:val="20"/>
          <w:lang w:val="es-ES"/>
        </w:rPr>
        <w:t xml:space="preserve"> entre sectores de la sociedad civil y </w:t>
      </w:r>
      <w:r w:rsidRPr="00D50D50">
        <w:rPr>
          <w:rFonts w:asciiTheme="majorHAnsi" w:hAnsiTheme="majorHAnsi"/>
          <w:sz w:val="20"/>
          <w:szCs w:val="20"/>
          <w:lang w:val="es-ES"/>
        </w:rPr>
        <w:t>dichas</w:t>
      </w:r>
      <w:r w:rsidR="00270540" w:rsidRPr="00D50D50">
        <w:rPr>
          <w:rFonts w:asciiTheme="majorHAnsi" w:hAnsiTheme="majorHAnsi"/>
          <w:sz w:val="20"/>
          <w:szCs w:val="20"/>
          <w:lang w:val="es-ES"/>
        </w:rPr>
        <w:t xml:space="preserve"> fuerzas </w:t>
      </w:r>
      <w:r w:rsidRPr="00D50D50">
        <w:rPr>
          <w:rFonts w:asciiTheme="majorHAnsi" w:hAnsiTheme="majorHAnsi"/>
          <w:sz w:val="20"/>
          <w:szCs w:val="20"/>
          <w:lang w:val="es-ES"/>
        </w:rPr>
        <w:t xml:space="preserve">de seguridad </w:t>
      </w:r>
      <w:r w:rsidR="000B431C" w:rsidRPr="00D50D50">
        <w:rPr>
          <w:rFonts w:asciiTheme="majorHAnsi" w:hAnsiTheme="majorHAnsi"/>
          <w:sz w:val="20"/>
          <w:szCs w:val="20"/>
          <w:lang w:val="es-ES"/>
        </w:rPr>
        <w:t>en septiembre y octubre de 2003</w:t>
      </w:r>
      <w:r w:rsidR="004C4610" w:rsidRPr="00D50D50">
        <w:rPr>
          <w:rFonts w:asciiTheme="majorHAnsi" w:hAnsiTheme="majorHAnsi"/>
          <w:sz w:val="20"/>
          <w:szCs w:val="20"/>
          <w:lang w:val="es-ES"/>
        </w:rPr>
        <w:t>,</w:t>
      </w:r>
      <w:r w:rsidRPr="00D50D50">
        <w:rPr>
          <w:rFonts w:asciiTheme="majorHAnsi" w:hAnsiTheme="majorHAnsi"/>
          <w:sz w:val="20"/>
          <w:szCs w:val="20"/>
          <w:lang w:val="es-ES"/>
        </w:rPr>
        <w:t xml:space="preserve"> </w:t>
      </w:r>
      <w:r w:rsidR="00FF27F0" w:rsidRPr="00D50D50">
        <w:rPr>
          <w:rFonts w:asciiTheme="majorHAnsi" w:hAnsiTheme="majorHAnsi"/>
          <w:sz w:val="20"/>
          <w:szCs w:val="20"/>
          <w:lang w:val="es-ES"/>
        </w:rPr>
        <w:t xml:space="preserve">con saldo de </w:t>
      </w:r>
      <w:r w:rsidRPr="00D50D50">
        <w:rPr>
          <w:rFonts w:asciiTheme="majorHAnsi" w:hAnsiTheme="majorHAnsi"/>
          <w:sz w:val="20"/>
          <w:szCs w:val="20"/>
          <w:lang w:val="es-ES"/>
        </w:rPr>
        <w:t xml:space="preserve">varias personas muertas y </w:t>
      </w:r>
      <w:r w:rsidR="001B26BC" w:rsidRPr="00D50D50">
        <w:rPr>
          <w:rFonts w:asciiTheme="majorHAnsi" w:hAnsiTheme="majorHAnsi"/>
          <w:sz w:val="20"/>
          <w:szCs w:val="20"/>
          <w:lang w:val="es-ES"/>
        </w:rPr>
        <w:t>lesionadas</w:t>
      </w:r>
      <w:r w:rsidR="0083366D" w:rsidRPr="00D50D50">
        <w:rPr>
          <w:rFonts w:asciiTheme="majorHAnsi" w:hAnsiTheme="majorHAnsi"/>
          <w:sz w:val="20"/>
          <w:szCs w:val="20"/>
          <w:lang w:val="es-ES"/>
        </w:rPr>
        <w:t>.</w:t>
      </w:r>
      <w:r w:rsidR="00447EE2" w:rsidRPr="00D50D50">
        <w:rPr>
          <w:rFonts w:asciiTheme="majorHAnsi" w:hAnsiTheme="majorHAnsi"/>
          <w:sz w:val="20"/>
          <w:szCs w:val="20"/>
          <w:lang w:val="es-ES"/>
        </w:rPr>
        <w:t xml:space="preserve"> </w:t>
      </w:r>
      <w:r w:rsidRPr="00D50D50">
        <w:rPr>
          <w:rFonts w:asciiTheme="majorHAnsi" w:hAnsiTheme="majorHAnsi"/>
          <w:sz w:val="20"/>
          <w:szCs w:val="20"/>
          <w:lang w:val="es-ES"/>
        </w:rPr>
        <w:t>La parte peticionaria a</w:t>
      </w:r>
      <w:r w:rsidR="000B431C" w:rsidRPr="00D50D50">
        <w:rPr>
          <w:rFonts w:asciiTheme="majorHAnsi" w:hAnsiTheme="majorHAnsi"/>
          <w:sz w:val="20"/>
          <w:szCs w:val="20"/>
          <w:lang w:val="es-ES"/>
        </w:rPr>
        <w:t xml:space="preserve">duce que </w:t>
      </w:r>
      <w:r w:rsidRPr="00D50D50">
        <w:rPr>
          <w:rFonts w:asciiTheme="majorHAnsi" w:hAnsiTheme="majorHAnsi"/>
          <w:sz w:val="20"/>
          <w:szCs w:val="20"/>
          <w:lang w:val="es-ES"/>
        </w:rPr>
        <w:t xml:space="preserve">continuaron </w:t>
      </w:r>
      <w:r w:rsidR="004C4610" w:rsidRPr="00D50D50">
        <w:rPr>
          <w:rFonts w:asciiTheme="majorHAnsi" w:hAnsiTheme="majorHAnsi"/>
          <w:sz w:val="20"/>
          <w:szCs w:val="20"/>
          <w:lang w:val="es-ES"/>
        </w:rPr>
        <w:t xml:space="preserve">las </w:t>
      </w:r>
      <w:r w:rsidR="000B431C" w:rsidRPr="00D50D50">
        <w:rPr>
          <w:rFonts w:asciiTheme="majorHAnsi" w:hAnsiTheme="majorHAnsi"/>
          <w:sz w:val="20"/>
          <w:szCs w:val="20"/>
          <w:lang w:val="es-ES"/>
        </w:rPr>
        <w:t xml:space="preserve">protestas de diversos sectores de la población, y </w:t>
      </w:r>
      <w:r w:rsidRPr="00D50D50">
        <w:rPr>
          <w:rFonts w:asciiTheme="majorHAnsi" w:hAnsiTheme="majorHAnsi"/>
          <w:sz w:val="20"/>
          <w:szCs w:val="20"/>
          <w:lang w:val="es-ES"/>
        </w:rPr>
        <w:t xml:space="preserve">que </w:t>
      </w:r>
      <w:r w:rsidR="000B431C" w:rsidRPr="00D50D50">
        <w:rPr>
          <w:rFonts w:asciiTheme="majorHAnsi" w:hAnsiTheme="majorHAnsi"/>
          <w:sz w:val="20"/>
          <w:szCs w:val="20"/>
          <w:lang w:val="es-ES"/>
        </w:rPr>
        <w:t>en octubre los sectores sindicales y cocaleros iniciaron el sitio de la ciudad de La Paz</w:t>
      </w:r>
      <w:r w:rsidR="00FF27F0" w:rsidRPr="00D50D50">
        <w:rPr>
          <w:rFonts w:asciiTheme="majorHAnsi" w:hAnsiTheme="majorHAnsi"/>
          <w:sz w:val="20"/>
          <w:szCs w:val="20"/>
          <w:lang w:val="es-ES"/>
        </w:rPr>
        <w:t>;</w:t>
      </w:r>
      <w:r w:rsidR="000B431C" w:rsidRPr="00D50D50">
        <w:rPr>
          <w:rFonts w:asciiTheme="majorHAnsi" w:hAnsiTheme="majorHAnsi"/>
          <w:sz w:val="20"/>
          <w:szCs w:val="20"/>
          <w:lang w:val="es-ES"/>
        </w:rPr>
        <w:t xml:space="preserve"> </w:t>
      </w:r>
      <w:r w:rsidR="00FF27F0" w:rsidRPr="00D50D50">
        <w:rPr>
          <w:rFonts w:asciiTheme="majorHAnsi" w:hAnsiTheme="majorHAnsi"/>
          <w:sz w:val="20"/>
          <w:szCs w:val="20"/>
          <w:lang w:val="es-ES"/>
        </w:rPr>
        <w:t xml:space="preserve">y </w:t>
      </w:r>
      <w:r w:rsidRPr="00D50D50">
        <w:rPr>
          <w:rFonts w:asciiTheme="majorHAnsi" w:hAnsiTheme="majorHAnsi"/>
          <w:sz w:val="20"/>
          <w:szCs w:val="20"/>
          <w:lang w:val="es-ES"/>
        </w:rPr>
        <w:t>que bloquearon</w:t>
      </w:r>
      <w:r w:rsidR="000B431C" w:rsidRPr="00D50D50">
        <w:rPr>
          <w:rFonts w:asciiTheme="majorHAnsi" w:hAnsiTheme="majorHAnsi"/>
          <w:sz w:val="20"/>
          <w:szCs w:val="20"/>
          <w:lang w:val="es-ES"/>
        </w:rPr>
        <w:t xml:space="preserve"> los caminos de acceso a la ciudad</w:t>
      </w:r>
      <w:r w:rsidR="00FF27F0" w:rsidRPr="00D50D50">
        <w:rPr>
          <w:rFonts w:asciiTheme="majorHAnsi" w:hAnsiTheme="majorHAnsi"/>
          <w:sz w:val="20"/>
          <w:szCs w:val="20"/>
          <w:lang w:val="es-ES"/>
        </w:rPr>
        <w:t>,</w:t>
      </w:r>
      <w:r w:rsidR="000B431C" w:rsidRPr="00D50D50">
        <w:rPr>
          <w:rFonts w:asciiTheme="majorHAnsi" w:hAnsiTheme="majorHAnsi"/>
          <w:sz w:val="20"/>
          <w:szCs w:val="20"/>
          <w:lang w:val="es-ES"/>
        </w:rPr>
        <w:t xml:space="preserve"> y con ello el ingreso de medicamentos y carburantes. </w:t>
      </w:r>
      <w:r w:rsidR="00447EE2" w:rsidRPr="00D50D50">
        <w:rPr>
          <w:rFonts w:asciiTheme="majorHAnsi" w:hAnsiTheme="majorHAnsi"/>
          <w:sz w:val="20"/>
          <w:szCs w:val="20"/>
          <w:lang w:val="es-ES"/>
        </w:rPr>
        <w:t>Una vez</w:t>
      </w:r>
      <w:r w:rsidRPr="00D50D50">
        <w:rPr>
          <w:rFonts w:asciiTheme="majorHAnsi" w:hAnsiTheme="majorHAnsi"/>
          <w:sz w:val="20"/>
          <w:szCs w:val="20"/>
          <w:lang w:val="es-ES"/>
        </w:rPr>
        <w:t xml:space="preserve"> que terminaron</w:t>
      </w:r>
      <w:r w:rsidR="00447EE2" w:rsidRPr="00D50D50">
        <w:rPr>
          <w:rFonts w:asciiTheme="majorHAnsi" w:hAnsiTheme="majorHAnsi"/>
          <w:sz w:val="20"/>
          <w:szCs w:val="20"/>
          <w:lang w:val="es-ES"/>
        </w:rPr>
        <w:t xml:space="preserve"> las protesta</w:t>
      </w:r>
      <w:r w:rsidRPr="00D50D50">
        <w:rPr>
          <w:rFonts w:asciiTheme="majorHAnsi" w:hAnsiTheme="majorHAnsi"/>
          <w:sz w:val="20"/>
          <w:szCs w:val="20"/>
          <w:lang w:val="es-ES"/>
        </w:rPr>
        <w:t>s</w:t>
      </w:r>
      <w:r w:rsidR="00447EE2" w:rsidRPr="00D50D50">
        <w:rPr>
          <w:rFonts w:asciiTheme="majorHAnsi" w:hAnsiTheme="majorHAnsi"/>
          <w:sz w:val="20"/>
          <w:szCs w:val="20"/>
          <w:lang w:val="es-ES"/>
        </w:rPr>
        <w:t xml:space="preserve">, el Ministerio Público determinó que </w:t>
      </w:r>
      <w:r w:rsidRPr="00D50D50">
        <w:rPr>
          <w:rFonts w:asciiTheme="majorHAnsi" w:hAnsiTheme="majorHAnsi"/>
          <w:sz w:val="20"/>
          <w:szCs w:val="20"/>
          <w:lang w:val="es-ES"/>
        </w:rPr>
        <w:t xml:space="preserve">había 58 </w:t>
      </w:r>
      <w:r w:rsidR="00447EE2" w:rsidRPr="00D50D50">
        <w:rPr>
          <w:rFonts w:asciiTheme="majorHAnsi" w:hAnsiTheme="majorHAnsi"/>
          <w:sz w:val="20"/>
          <w:szCs w:val="20"/>
          <w:lang w:val="es-ES"/>
        </w:rPr>
        <w:t>personas fallecidas y 215 herid</w:t>
      </w:r>
      <w:r w:rsidRPr="00D50D50">
        <w:rPr>
          <w:rFonts w:asciiTheme="majorHAnsi" w:hAnsiTheme="majorHAnsi"/>
          <w:sz w:val="20"/>
          <w:szCs w:val="20"/>
          <w:lang w:val="es-ES"/>
        </w:rPr>
        <w:t>a</w:t>
      </w:r>
      <w:r w:rsidR="00447EE2" w:rsidRPr="00D50D50">
        <w:rPr>
          <w:rFonts w:asciiTheme="majorHAnsi" w:hAnsiTheme="majorHAnsi"/>
          <w:sz w:val="20"/>
          <w:szCs w:val="20"/>
          <w:lang w:val="es-ES"/>
        </w:rPr>
        <w:t>s.</w:t>
      </w:r>
      <w:r w:rsidR="000B431C" w:rsidRPr="00D50D50">
        <w:rPr>
          <w:rFonts w:asciiTheme="majorHAnsi" w:hAnsiTheme="majorHAnsi"/>
          <w:sz w:val="20"/>
          <w:szCs w:val="20"/>
          <w:lang w:val="es-ES"/>
        </w:rPr>
        <w:t xml:space="preserve"> </w:t>
      </w:r>
      <w:r w:rsidRPr="00D50D50">
        <w:rPr>
          <w:rFonts w:asciiTheme="majorHAnsi" w:hAnsiTheme="majorHAnsi"/>
          <w:sz w:val="20"/>
          <w:szCs w:val="20"/>
          <w:lang w:val="es-ES"/>
        </w:rPr>
        <w:t xml:space="preserve">Ante </w:t>
      </w:r>
      <w:r w:rsidR="00272E5D" w:rsidRPr="00D50D50">
        <w:rPr>
          <w:rFonts w:asciiTheme="majorHAnsi" w:hAnsiTheme="majorHAnsi"/>
          <w:sz w:val="20"/>
          <w:szCs w:val="20"/>
          <w:lang w:val="es-ES"/>
        </w:rPr>
        <w:t>tal situación</w:t>
      </w:r>
      <w:r w:rsidR="004C4610" w:rsidRPr="00D50D50">
        <w:rPr>
          <w:rFonts w:asciiTheme="majorHAnsi" w:hAnsiTheme="majorHAnsi"/>
          <w:sz w:val="20"/>
          <w:szCs w:val="20"/>
          <w:lang w:val="es-ES"/>
        </w:rPr>
        <w:t>,</w:t>
      </w:r>
      <w:r w:rsidR="00272E5D" w:rsidRPr="00D50D50">
        <w:rPr>
          <w:rFonts w:asciiTheme="majorHAnsi" w:hAnsiTheme="majorHAnsi"/>
          <w:sz w:val="20"/>
          <w:szCs w:val="20"/>
          <w:lang w:val="es-ES"/>
        </w:rPr>
        <w:t xml:space="preserve"> </w:t>
      </w:r>
      <w:r w:rsidR="000B431C" w:rsidRPr="00D50D50">
        <w:rPr>
          <w:rFonts w:asciiTheme="majorHAnsi" w:hAnsiTheme="majorHAnsi"/>
          <w:sz w:val="20"/>
          <w:szCs w:val="20"/>
          <w:lang w:val="es-ES"/>
        </w:rPr>
        <w:t xml:space="preserve">Gonzalo Sánchez de Lozada </w:t>
      </w:r>
      <w:r w:rsidR="00272E5D" w:rsidRPr="00D50D50">
        <w:rPr>
          <w:rFonts w:asciiTheme="majorHAnsi" w:hAnsiTheme="majorHAnsi"/>
          <w:sz w:val="20"/>
          <w:szCs w:val="20"/>
          <w:lang w:val="es-ES"/>
        </w:rPr>
        <w:t>renunci</w:t>
      </w:r>
      <w:r w:rsidR="000B431C" w:rsidRPr="00D50D50">
        <w:rPr>
          <w:rFonts w:asciiTheme="majorHAnsi" w:hAnsiTheme="majorHAnsi"/>
          <w:sz w:val="20"/>
          <w:szCs w:val="20"/>
          <w:lang w:val="es-ES"/>
        </w:rPr>
        <w:t>ó</w:t>
      </w:r>
      <w:r w:rsidR="00272E5D" w:rsidRPr="00D50D50">
        <w:rPr>
          <w:rFonts w:asciiTheme="majorHAnsi" w:hAnsiTheme="majorHAnsi"/>
          <w:sz w:val="20"/>
          <w:szCs w:val="20"/>
          <w:lang w:val="es-ES"/>
        </w:rPr>
        <w:t xml:space="preserve"> a la </w:t>
      </w:r>
      <w:r w:rsidRPr="00D50D50">
        <w:rPr>
          <w:rFonts w:asciiTheme="majorHAnsi" w:hAnsiTheme="majorHAnsi"/>
          <w:sz w:val="20"/>
          <w:szCs w:val="20"/>
          <w:lang w:val="es-ES"/>
        </w:rPr>
        <w:t>P</w:t>
      </w:r>
      <w:r w:rsidR="00272E5D" w:rsidRPr="00D50D50">
        <w:rPr>
          <w:rFonts w:asciiTheme="majorHAnsi" w:hAnsiTheme="majorHAnsi"/>
          <w:sz w:val="20"/>
          <w:szCs w:val="20"/>
          <w:lang w:val="es-ES"/>
        </w:rPr>
        <w:t>residencia</w:t>
      </w:r>
      <w:r w:rsidRPr="00D50D50">
        <w:rPr>
          <w:rFonts w:asciiTheme="majorHAnsi" w:hAnsiTheme="majorHAnsi"/>
          <w:sz w:val="20"/>
          <w:szCs w:val="20"/>
          <w:lang w:val="es-ES"/>
        </w:rPr>
        <w:t xml:space="preserve"> y </w:t>
      </w:r>
      <w:r w:rsidR="000B431C" w:rsidRPr="00D50D50">
        <w:rPr>
          <w:rFonts w:asciiTheme="majorHAnsi" w:hAnsiTheme="majorHAnsi"/>
          <w:sz w:val="20"/>
          <w:szCs w:val="20"/>
          <w:lang w:val="es-ES"/>
        </w:rPr>
        <w:t>emprend</w:t>
      </w:r>
      <w:r w:rsidR="00272E5D" w:rsidRPr="00D50D50">
        <w:rPr>
          <w:rFonts w:asciiTheme="majorHAnsi" w:hAnsiTheme="majorHAnsi"/>
          <w:sz w:val="20"/>
          <w:szCs w:val="20"/>
          <w:lang w:val="es-ES"/>
        </w:rPr>
        <w:t>i</w:t>
      </w:r>
      <w:r w:rsidRPr="00D50D50">
        <w:rPr>
          <w:rFonts w:asciiTheme="majorHAnsi" w:hAnsiTheme="majorHAnsi"/>
          <w:sz w:val="20"/>
          <w:szCs w:val="20"/>
          <w:lang w:val="es-ES"/>
        </w:rPr>
        <w:t>ó</w:t>
      </w:r>
      <w:r w:rsidR="000B431C" w:rsidRPr="00D50D50">
        <w:rPr>
          <w:rFonts w:asciiTheme="majorHAnsi" w:hAnsiTheme="majorHAnsi"/>
          <w:sz w:val="20"/>
          <w:szCs w:val="20"/>
          <w:lang w:val="es-ES"/>
        </w:rPr>
        <w:t xml:space="preserve"> viaje a Estados Unidos</w:t>
      </w:r>
      <w:r w:rsidRPr="00D50D50">
        <w:rPr>
          <w:rFonts w:asciiTheme="majorHAnsi" w:hAnsiTheme="majorHAnsi"/>
          <w:sz w:val="20"/>
          <w:szCs w:val="20"/>
          <w:lang w:val="es-ES"/>
        </w:rPr>
        <w:t>;</w:t>
      </w:r>
      <w:r w:rsidR="004C4610" w:rsidRPr="00D50D50">
        <w:rPr>
          <w:rFonts w:asciiTheme="majorHAnsi" w:hAnsiTheme="majorHAnsi"/>
          <w:sz w:val="20"/>
          <w:szCs w:val="20"/>
          <w:lang w:val="es-ES"/>
        </w:rPr>
        <w:t xml:space="preserve"> </w:t>
      </w:r>
      <w:r w:rsidRPr="00D50D50">
        <w:rPr>
          <w:rFonts w:asciiTheme="majorHAnsi" w:hAnsiTheme="majorHAnsi"/>
          <w:sz w:val="20"/>
          <w:szCs w:val="20"/>
          <w:lang w:val="es-ES"/>
        </w:rPr>
        <w:t>y</w:t>
      </w:r>
      <w:r w:rsidR="004C4610" w:rsidRPr="00D50D50">
        <w:rPr>
          <w:rFonts w:asciiTheme="majorHAnsi" w:hAnsiTheme="majorHAnsi"/>
          <w:sz w:val="20"/>
          <w:szCs w:val="20"/>
          <w:lang w:val="es-ES"/>
        </w:rPr>
        <w:t xml:space="preserve"> el </w:t>
      </w:r>
      <w:r w:rsidR="005D1597" w:rsidRPr="00D50D50">
        <w:rPr>
          <w:rFonts w:asciiTheme="majorHAnsi" w:hAnsiTheme="majorHAnsi"/>
          <w:sz w:val="20"/>
          <w:szCs w:val="20"/>
          <w:lang w:val="es-ES"/>
        </w:rPr>
        <w:t xml:space="preserve">Congreso </w:t>
      </w:r>
      <w:r w:rsidRPr="00D50D50">
        <w:rPr>
          <w:rFonts w:asciiTheme="majorHAnsi" w:hAnsiTheme="majorHAnsi"/>
          <w:sz w:val="20"/>
          <w:szCs w:val="20"/>
          <w:lang w:val="es-ES"/>
        </w:rPr>
        <w:t xml:space="preserve">decidió designar </w:t>
      </w:r>
      <w:r w:rsidR="001A61ED" w:rsidRPr="00D50D50">
        <w:rPr>
          <w:rFonts w:asciiTheme="majorHAnsi" w:hAnsiTheme="majorHAnsi"/>
          <w:sz w:val="20"/>
          <w:szCs w:val="20"/>
          <w:lang w:val="es-ES"/>
        </w:rPr>
        <w:t>a</w:t>
      </w:r>
      <w:r w:rsidR="005D1597" w:rsidRPr="00D50D50">
        <w:rPr>
          <w:rFonts w:asciiTheme="majorHAnsi" w:hAnsiTheme="majorHAnsi"/>
          <w:sz w:val="20"/>
          <w:szCs w:val="20"/>
          <w:lang w:val="es-ES"/>
        </w:rPr>
        <w:t xml:space="preserve"> Carlos Mesa Gisbert</w:t>
      </w:r>
      <w:r w:rsidRPr="00D50D50">
        <w:rPr>
          <w:rFonts w:asciiTheme="majorHAnsi" w:hAnsiTheme="majorHAnsi"/>
          <w:sz w:val="20"/>
          <w:szCs w:val="20"/>
          <w:lang w:val="es-ES"/>
        </w:rPr>
        <w:t xml:space="preserve"> como Presidente</w:t>
      </w:r>
      <w:r w:rsidR="005D1597" w:rsidRPr="00D50D50">
        <w:rPr>
          <w:rFonts w:asciiTheme="majorHAnsi" w:hAnsiTheme="majorHAnsi"/>
          <w:sz w:val="20"/>
          <w:szCs w:val="20"/>
          <w:lang w:val="es-ES"/>
        </w:rPr>
        <w:t xml:space="preserve">. </w:t>
      </w:r>
    </w:p>
    <w:p w14:paraId="59199128" w14:textId="77777777" w:rsidR="00352303" w:rsidRPr="00D50D50" w:rsidRDefault="00352303" w:rsidP="0035230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B59E91A" w14:textId="0C70B5A5" w:rsidR="00316B59" w:rsidRPr="00D50D50" w:rsidRDefault="004F25EF" w:rsidP="00FB76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E</w:t>
      </w:r>
      <w:r w:rsidR="005D1597" w:rsidRPr="00D50D50">
        <w:rPr>
          <w:rFonts w:asciiTheme="majorHAnsi" w:hAnsiTheme="majorHAnsi"/>
          <w:sz w:val="20"/>
          <w:szCs w:val="20"/>
          <w:lang w:val="es-ES"/>
        </w:rPr>
        <w:t xml:space="preserve">l 22 de octubre de 2003, Evo Morales </w:t>
      </w:r>
      <w:proofErr w:type="spellStart"/>
      <w:r w:rsidR="005D1597" w:rsidRPr="00D50D50">
        <w:rPr>
          <w:rFonts w:asciiTheme="majorHAnsi" w:hAnsiTheme="majorHAnsi"/>
          <w:sz w:val="20"/>
          <w:szCs w:val="20"/>
          <w:lang w:val="es-ES"/>
        </w:rPr>
        <w:t>Ayma</w:t>
      </w:r>
      <w:proofErr w:type="spellEnd"/>
      <w:r w:rsidR="005D1597" w:rsidRPr="00D50D50">
        <w:rPr>
          <w:rFonts w:asciiTheme="majorHAnsi" w:hAnsiTheme="majorHAnsi"/>
          <w:sz w:val="20"/>
          <w:szCs w:val="20"/>
          <w:lang w:val="es-ES"/>
        </w:rPr>
        <w:t xml:space="preserve"> </w:t>
      </w:r>
      <w:r w:rsidR="00352303" w:rsidRPr="00D50D50">
        <w:rPr>
          <w:rFonts w:asciiTheme="majorHAnsi" w:hAnsiTheme="majorHAnsi"/>
          <w:sz w:val="20"/>
          <w:szCs w:val="20"/>
          <w:lang w:val="es-ES"/>
        </w:rPr>
        <w:t xml:space="preserve">y </w:t>
      </w:r>
      <w:r w:rsidR="005D1597" w:rsidRPr="00D50D50">
        <w:rPr>
          <w:rFonts w:asciiTheme="majorHAnsi" w:hAnsiTheme="majorHAnsi"/>
          <w:sz w:val="20"/>
          <w:szCs w:val="20"/>
          <w:lang w:val="es-ES"/>
        </w:rPr>
        <w:t>un grupo de congresistas present</w:t>
      </w:r>
      <w:r w:rsidR="000A7A09" w:rsidRPr="00D50D50">
        <w:rPr>
          <w:rFonts w:asciiTheme="majorHAnsi" w:hAnsiTheme="majorHAnsi"/>
          <w:sz w:val="20"/>
          <w:szCs w:val="20"/>
          <w:lang w:val="es-ES"/>
        </w:rPr>
        <w:t>aron</w:t>
      </w:r>
      <w:r w:rsidR="005D1597" w:rsidRPr="00D50D50">
        <w:rPr>
          <w:rFonts w:asciiTheme="majorHAnsi" w:hAnsiTheme="majorHAnsi"/>
          <w:sz w:val="20"/>
          <w:szCs w:val="20"/>
          <w:lang w:val="es-ES"/>
        </w:rPr>
        <w:t xml:space="preserve"> una </w:t>
      </w:r>
      <w:r w:rsidR="000A7A09" w:rsidRPr="00D50D50">
        <w:rPr>
          <w:rFonts w:asciiTheme="majorHAnsi" w:hAnsiTheme="majorHAnsi"/>
          <w:sz w:val="20"/>
          <w:szCs w:val="20"/>
          <w:lang w:val="es-ES"/>
        </w:rPr>
        <w:t>querella</w:t>
      </w:r>
      <w:r w:rsidR="005D1597" w:rsidRPr="00D50D50">
        <w:rPr>
          <w:rFonts w:asciiTheme="majorHAnsi" w:hAnsiTheme="majorHAnsi"/>
          <w:sz w:val="20"/>
          <w:szCs w:val="20"/>
          <w:lang w:val="es-ES"/>
        </w:rPr>
        <w:t xml:space="preserve"> contra </w:t>
      </w:r>
      <w:r w:rsidR="00FF27F0" w:rsidRPr="00D50D50">
        <w:rPr>
          <w:rFonts w:asciiTheme="majorHAnsi" w:hAnsiTheme="majorHAnsi"/>
          <w:sz w:val="20"/>
          <w:szCs w:val="20"/>
          <w:lang w:val="es-ES"/>
        </w:rPr>
        <w:t xml:space="preserve">el </w:t>
      </w:r>
      <w:proofErr w:type="gramStart"/>
      <w:r w:rsidR="00FF27F0" w:rsidRPr="00D50D50">
        <w:rPr>
          <w:rFonts w:asciiTheme="majorHAnsi" w:hAnsiTheme="majorHAnsi"/>
          <w:sz w:val="20"/>
          <w:szCs w:val="20"/>
          <w:lang w:val="es-ES"/>
        </w:rPr>
        <w:t>ex Presidente</w:t>
      </w:r>
      <w:proofErr w:type="gramEnd"/>
      <w:r w:rsidR="00FF27F0" w:rsidRPr="00D50D50">
        <w:rPr>
          <w:rFonts w:asciiTheme="majorHAnsi" w:hAnsiTheme="majorHAnsi"/>
          <w:sz w:val="20"/>
          <w:szCs w:val="20"/>
          <w:lang w:val="es-ES"/>
        </w:rPr>
        <w:t xml:space="preserve"> </w:t>
      </w:r>
      <w:r w:rsidR="005D1597" w:rsidRPr="00D50D50">
        <w:rPr>
          <w:rFonts w:asciiTheme="majorHAnsi" w:hAnsiTheme="majorHAnsi"/>
          <w:sz w:val="20"/>
          <w:szCs w:val="20"/>
          <w:lang w:val="es-ES"/>
        </w:rPr>
        <w:t>Sánchez de Lozada</w:t>
      </w:r>
      <w:r w:rsidR="005A47E5" w:rsidRPr="00D50D50">
        <w:rPr>
          <w:rFonts w:asciiTheme="majorHAnsi" w:hAnsiTheme="majorHAnsi"/>
          <w:sz w:val="20"/>
          <w:szCs w:val="20"/>
          <w:lang w:val="es-ES"/>
        </w:rPr>
        <w:t xml:space="preserve">, </w:t>
      </w:r>
      <w:r w:rsidR="00352303" w:rsidRPr="00D50D50">
        <w:rPr>
          <w:rFonts w:asciiTheme="majorHAnsi" w:hAnsiTheme="majorHAnsi"/>
          <w:sz w:val="20"/>
          <w:szCs w:val="20"/>
          <w:lang w:val="es-ES"/>
        </w:rPr>
        <w:t xml:space="preserve">que </w:t>
      </w:r>
      <w:r w:rsidR="005A47E5" w:rsidRPr="00D50D50">
        <w:rPr>
          <w:rFonts w:asciiTheme="majorHAnsi" w:hAnsiTheme="majorHAnsi"/>
          <w:sz w:val="20"/>
          <w:szCs w:val="20"/>
          <w:lang w:val="es-ES"/>
        </w:rPr>
        <w:t>incluía una cláusula de extensión para t</w:t>
      </w:r>
      <w:r w:rsidR="0058190A" w:rsidRPr="00D50D50">
        <w:rPr>
          <w:rFonts w:asciiTheme="majorHAnsi" w:hAnsiTheme="majorHAnsi"/>
          <w:sz w:val="20"/>
          <w:szCs w:val="20"/>
          <w:lang w:val="es-ES"/>
        </w:rPr>
        <w:t>odas las autoridades</w:t>
      </w:r>
      <w:r w:rsidR="005A47E5" w:rsidRPr="00D50D50">
        <w:rPr>
          <w:rFonts w:asciiTheme="majorHAnsi" w:hAnsiTheme="majorHAnsi"/>
          <w:sz w:val="20"/>
          <w:szCs w:val="20"/>
          <w:lang w:val="es-ES"/>
        </w:rPr>
        <w:t>, coautores, c</w:t>
      </w:r>
      <w:r w:rsidRPr="00D50D50">
        <w:rPr>
          <w:rFonts w:asciiTheme="majorHAnsi" w:hAnsiTheme="majorHAnsi"/>
          <w:sz w:val="20"/>
          <w:szCs w:val="20"/>
          <w:lang w:val="es-ES"/>
        </w:rPr>
        <w:t>ómplices y</w:t>
      </w:r>
      <w:r w:rsidR="005A47E5" w:rsidRPr="00D50D50">
        <w:rPr>
          <w:rFonts w:asciiTheme="majorHAnsi" w:hAnsiTheme="majorHAnsi"/>
          <w:sz w:val="20"/>
          <w:szCs w:val="20"/>
          <w:lang w:val="es-ES"/>
        </w:rPr>
        <w:t xml:space="preserve"> encubridores de l</w:t>
      </w:r>
      <w:r w:rsidR="0058190A" w:rsidRPr="00D50D50">
        <w:rPr>
          <w:rFonts w:asciiTheme="majorHAnsi" w:hAnsiTheme="majorHAnsi"/>
          <w:sz w:val="20"/>
          <w:szCs w:val="20"/>
          <w:lang w:val="es-ES"/>
        </w:rPr>
        <w:t xml:space="preserve">os hechos </w:t>
      </w:r>
      <w:r w:rsidR="00FF27F0" w:rsidRPr="00D50D50">
        <w:rPr>
          <w:rFonts w:asciiTheme="majorHAnsi" w:hAnsiTheme="majorHAnsi"/>
          <w:sz w:val="20"/>
          <w:szCs w:val="20"/>
          <w:lang w:val="es-ES"/>
        </w:rPr>
        <w:t>referidos</w:t>
      </w:r>
      <w:r w:rsidRPr="00D50D50">
        <w:rPr>
          <w:rFonts w:asciiTheme="majorHAnsi" w:hAnsiTheme="majorHAnsi"/>
          <w:sz w:val="20"/>
          <w:szCs w:val="20"/>
          <w:lang w:val="es-ES"/>
        </w:rPr>
        <w:t xml:space="preserve">. La acusación </w:t>
      </w:r>
      <w:r w:rsidR="005A47E5" w:rsidRPr="00D50D50">
        <w:rPr>
          <w:rFonts w:asciiTheme="majorHAnsi" w:hAnsiTheme="majorHAnsi"/>
          <w:sz w:val="20"/>
          <w:szCs w:val="20"/>
          <w:lang w:val="es-ES"/>
        </w:rPr>
        <w:t xml:space="preserve">incluía delitos como asesinato, genocidio, violación de derechos y garantías judiciales, además de </w:t>
      </w:r>
      <w:r w:rsidR="00352303" w:rsidRPr="00D50D50">
        <w:rPr>
          <w:rFonts w:asciiTheme="majorHAnsi" w:hAnsiTheme="majorHAnsi"/>
          <w:sz w:val="20"/>
          <w:szCs w:val="20"/>
          <w:lang w:val="es-ES"/>
        </w:rPr>
        <w:t xml:space="preserve">la adopción de </w:t>
      </w:r>
      <w:r w:rsidR="005A47E5" w:rsidRPr="00D50D50">
        <w:rPr>
          <w:rFonts w:asciiTheme="majorHAnsi" w:hAnsiTheme="majorHAnsi"/>
          <w:sz w:val="20"/>
          <w:szCs w:val="20"/>
          <w:lang w:val="es-ES"/>
        </w:rPr>
        <w:t>resoluciones contrarias a la Constitución y a las leyes.</w:t>
      </w:r>
      <w:r w:rsidR="00316B59" w:rsidRPr="00D50D50">
        <w:rPr>
          <w:rFonts w:asciiTheme="majorHAnsi" w:hAnsiTheme="majorHAnsi"/>
          <w:sz w:val="20"/>
          <w:szCs w:val="20"/>
          <w:lang w:val="es-ES"/>
        </w:rPr>
        <w:t xml:space="preserve"> </w:t>
      </w:r>
      <w:r w:rsidR="00FF27F0" w:rsidRPr="00D50D50">
        <w:rPr>
          <w:rFonts w:asciiTheme="majorHAnsi" w:hAnsiTheme="majorHAnsi"/>
          <w:sz w:val="20"/>
          <w:szCs w:val="20"/>
          <w:lang w:val="es-ES"/>
        </w:rPr>
        <w:t>L</w:t>
      </w:r>
      <w:r w:rsidR="005D3FEC" w:rsidRPr="00D50D50">
        <w:rPr>
          <w:rFonts w:asciiTheme="majorHAnsi" w:hAnsiTheme="majorHAnsi"/>
          <w:sz w:val="20"/>
          <w:szCs w:val="20"/>
          <w:lang w:val="es-ES"/>
        </w:rPr>
        <w:t>os familiares de l</w:t>
      </w:r>
      <w:r w:rsidR="00FF27F0" w:rsidRPr="00D50D50">
        <w:rPr>
          <w:rFonts w:asciiTheme="majorHAnsi" w:hAnsiTheme="majorHAnsi"/>
          <w:sz w:val="20"/>
          <w:szCs w:val="20"/>
          <w:lang w:val="es-ES"/>
        </w:rPr>
        <w:t xml:space="preserve">as </w:t>
      </w:r>
      <w:r w:rsidR="00316B59" w:rsidRPr="00D50D50">
        <w:rPr>
          <w:rFonts w:asciiTheme="majorHAnsi" w:hAnsiTheme="majorHAnsi"/>
          <w:sz w:val="20"/>
          <w:szCs w:val="20"/>
          <w:lang w:val="es-ES"/>
        </w:rPr>
        <w:t xml:space="preserve">víctimas de las </w:t>
      </w:r>
      <w:r w:rsidR="000A7A09" w:rsidRPr="00D50D50">
        <w:rPr>
          <w:rFonts w:asciiTheme="majorHAnsi" w:hAnsiTheme="majorHAnsi"/>
          <w:sz w:val="20"/>
          <w:szCs w:val="20"/>
          <w:lang w:val="es-ES"/>
        </w:rPr>
        <w:t xml:space="preserve">referidas </w:t>
      </w:r>
      <w:r w:rsidR="00316B59" w:rsidRPr="00D50D50">
        <w:rPr>
          <w:rFonts w:asciiTheme="majorHAnsi" w:hAnsiTheme="majorHAnsi"/>
          <w:sz w:val="20"/>
          <w:szCs w:val="20"/>
          <w:lang w:val="es-ES"/>
        </w:rPr>
        <w:t xml:space="preserve">violaciones </w:t>
      </w:r>
      <w:r w:rsidR="000A7A09" w:rsidRPr="00D50D50">
        <w:rPr>
          <w:rFonts w:asciiTheme="majorHAnsi" w:hAnsiTheme="majorHAnsi"/>
          <w:sz w:val="20"/>
          <w:szCs w:val="20"/>
          <w:lang w:val="es-ES"/>
        </w:rPr>
        <w:t>de</w:t>
      </w:r>
      <w:r w:rsidR="00316B59" w:rsidRPr="00D50D50">
        <w:rPr>
          <w:rFonts w:asciiTheme="majorHAnsi" w:hAnsiTheme="majorHAnsi"/>
          <w:sz w:val="20"/>
          <w:szCs w:val="20"/>
          <w:lang w:val="es-ES"/>
        </w:rPr>
        <w:t xml:space="preserve"> derechos humanos</w:t>
      </w:r>
      <w:r w:rsidR="000A7A09" w:rsidRPr="00D50D50">
        <w:rPr>
          <w:rFonts w:asciiTheme="majorHAnsi" w:hAnsiTheme="majorHAnsi"/>
          <w:sz w:val="20"/>
          <w:szCs w:val="20"/>
          <w:lang w:val="es-ES"/>
        </w:rPr>
        <w:t xml:space="preserve"> </w:t>
      </w:r>
      <w:r w:rsidR="00316B59" w:rsidRPr="00D50D50">
        <w:rPr>
          <w:rFonts w:asciiTheme="majorHAnsi" w:hAnsiTheme="majorHAnsi"/>
          <w:sz w:val="20"/>
          <w:szCs w:val="20"/>
          <w:lang w:val="es-ES"/>
        </w:rPr>
        <w:t xml:space="preserve">formaron la </w:t>
      </w:r>
      <w:r w:rsidR="000A7A09" w:rsidRPr="00D50D50">
        <w:rPr>
          <w:rFonts w:asciiTheme="majorHAnsi" w:hAnsiTheme="majorHAnsi"/>
          <w:sz w:val="20"/>
          <w:szCs w:val="20"/>
          <w:lang w:val="es-ES"/>
        </w:rPr>
        <w:t xml:space="preserve">llamada </w:t>
      </w:r>
      <w:r w:rsidR="00316B59" w:rsidRPr="00D50D50">
        <w:rPr>
          <w:rFonts w:asciiTheme="majorHAnsi" w:hAnsiTheme="majorHAnsi"/>
          <w:sz w:val="20"/>
          <w:szCs w:val="20"/>
          <w:lang w:val="es-ES"/>
        </w:rPr>
        <w:t>Asociación de Familiares Caídos en Defensa del Gas</w:t>
      </w:r>
      <w:r w:rsidR="005D1597" w:rsidRPr="00D50D50">
        <w:rPr>
          <w:rFonts w:asciiTheme="majorHAnsi" w:hAnsiTheme="majorHAnsi"/>
          <w:sz w:val="20"/>
          <w:szCs w:val="20"/>
          <w:lang w:val="es-ES"/>
        </w:rPr>
        <w:t xml:space="preserve"> </w:t>
      </w:r>
      <w:r w:rsidR="00316B59" w:rsidRPr="00D50D50">
        <w:rPr>
          <w:rFonts w:asciiTheme="majorHAnsi" w:hAnsiTheme="majorHAnsi"/>
          <w:sz w:val="20"/>
          <w:szCs w:val="20"/>
          <w:lang w:val="es-ES"/>
        </w:rPr>
        <w:t>(ASOFACH)</w:t>
      </w:r>
      <w:r w:rsidR="000A7A09" w:rsidRPr="00D50D50">
        <w:rPr>
          <w:rFonts w:asciiTheme="majorHAnsi" w:hAnsiTheme="majorHAnsi"/>
          <w:sz w:val="20"/>
          <w:szCs w:val="20"/>
          <w:lang w:val="es-ES"/>
        </w:rPr>
        <w:t xml:space="preserve"> y se unieron a la querella</w:t>
      </w:r>
      <w:r w:rsidR="00316B59" w:rsidRPr="00D50D50">
        <w:rPr>
          <w:rFonts w:asciiTheme="majorHAnsi" w:hAnsiTheme="majorHAnsi"/>
          <w:sz w:val="20"/>
          <w:szCs w:val="20"/>
          <w:lang w:val="es-ES"/>
        </w:rPr>
        <w:t>.</w:t>
      </w:r>
    </w:p>
    <w:p w14:paraId="2885F450" w14:textId="77777777" w:rsidR="00352303" w:rsidRPr="00D50D50" w:rsidRDefault="00352303" w:rsidP="0035230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43542CF2" w14:textId="732CEEB1" w:rsidR="00A96286" w:rsidRPr="00D50D50" w:rsidRDefault="000E2364" w:rsidP="00FB76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L</w:t>
      </w:r>
      <w:r w:rsidR="00316B59" w:rsidRPr="00D50D50">
        <w:rPr>
          <w:rFonts w:asciiTheme="majorHAnsi" w:hAnsiTheme="majorHAnsi"/>
          <w:sz w:val="20"/>
          <w:szCs w:val="20"/>
          <w:lang w:val="es-ES"/>
        </w:rPr>
        <w:t xml:space="preserve">a Fiscalía General de la República realizó el estudio de la </w:t>
      </w:r>
      <w:r w:rsidR="000A7A09" w:rsidRPr="00D50D50">
        <w:rPr>
          <w:rFonts w:asciiTheme="majorHAnsi" w:hAnsiTheme="majorHAnsi"/>
          <w:sz w:val="20"/>
          <w:szCs w:val="20"/>
          <w:lang w:val="es-ES"/>
        </w:rPr>
        <w:t>denuncia</w:t>
      </w:r>
      <w:r w:rsidRPr="00D50D50">
        <w:rPr>
          <w:rFonts w:asciiTheme="majorHAnsi" w:hAnsiTheme="majorHAnsi"/>
          <w:sz w:val="20"/>
          <w:szCs w:val="20"/>
          <w:lang w:val="es-ES"/>
        </w:rPr>
        <w:t xml:space="preserve"> y </w:t>
      </w:r>
      <w:r w:rsidR="000A7A09" w:rsidRPr="00D50D50">
        <w:rPr>
          <w:rFonts w:asciiTheme="majorHAnsi" w:hAnsiTheme="majorHAnsi"/>
          <w:sz w:val="20"/>
          <w:szCs w:val="20"/>
          <w:lang w:val="es-ES"/>
        </w:rPr>
        <w:t xml:space="preserve">de </w:t>
      </w:r>
      <w:r w:rsidRPr="00D50D50">
        <w:rPr>
          <w:rFonts w:asciiTheme="majorHAnsi" w:hAnsiTheme="majorHAnsi"/>
          <w:sz w:val="20"/>
          <w:szCs w:val="20"/>
          <w:lang w:val="es-ES"/>
        </w:rPr>
        <w:t>la adopción del Decreto de Amnistía N</w:t>
      </w:r>
      <w:r w:rsidR="000A7A09" w:rsidRPr="00D50D50">
        <w:rPr>
          <w:rFonts w:asciiTheme="majorHAnsi" w:hAnsiTheme="majorHAnsi"/>
          <w:sz w:val="20"/>
          <w:szCs w:val="20"/>
          <w:lang w:val="es-ES"/>
        </w:rPr>
        <w:t>o</w:t>
      </w:r>
      <w:r w:rsidRPr="00D50D50">
        <w:rPr>
          <w:rFonts w:asciiTheme="majorHAnsi" w:hAnsiTheme="majorHAnsi"/>
          <w:sz w:val="20"/>
          <w:szCs w:val="20"/>
          <w:lang w:val="es-ES"/>
        </w:rPr>
        <w:t>. 27</w:t>
      </w:r>
      <w:r w:rsidR="000A7A09" w:rsidRPr="00D50D50">
        <w:rPr>
          <w:rFonts w:asciiTheme="majorHAnsi" w:hAnsiTheme="majorHAnsi"/>
          <w:sz w:val="20"/>
          <w:szCs w:val="20"/>
          <w:lang w:val="es-ES"/>
        </w:rPr>
        <w:t>.</w:t>
      </w:r>
      <w:r w:rsidRPr="00D50D50">
        <w:rPr>
          <w:rFonts w:asciiTheme="majorHAnsi" w:hAnsiTheme="majorHAnsi"/>
          <w:sz w:val="20"/>
          <w:szCs w:val="20"/>
          <w:lang w:val="es-ES"/>
        </w:rPr>
        <w:t xml:space="preserve">234 del 3 de octubre de 2003 </w:t>
      </w:r>
      <w:r w:rsidR="000A7A09" w:rsidRPr="00D50D50">
        <w:rPr>
          <w:rFonts w:asciiTheme="majorHAnsi" w:hAnsiTheme="majorHAnsi"/>
          <w:sz w:val="20"/>
          <w:szCs w:val="20"/>
          <w:lang w:val="es-ES"/>
        </w:rPr>
        <w:t xml:space="preserve">por el que se </w:t>
      </w:r>
      <w:r w:rsidR="005F7425" w:rsidRPr="00D50D50">
        <w:rPr>
          <w:rFonts w:asciiTheme="majorHAnsi" w:hAnsiTheme="majorHAnsi"/>
          <w:sz w:val="20"/>
          <w:szCs w:val="20"/>
          <w:lang w:val="es-ES"/>
        </w:rPr>
        <w:t>amnistiaba</w:t>
      </w:r>
      <w:r w:rsidR="00305A99" w:rsidRPr="00D50D50">
        <w:rPr>
          <w:rFonts w:asciiTheme="majorHAnsi" w:hAnsiTheme="majorHAnsi"/>
          <w:sz w:val="20"/>
          <w:szCs w:val="20"/>
          <w:lang w:val="es-ES"/>
        </w:rPr>
        <w:t xml:space="preserve"> a </w:t>
      </w:r>
      <w:r w:rsidR="000A7A09" w:rsidRPr="00D50D50">
        <w:rPr>
          <w:rFonts w:asciiTheme="majorHAnsi" w:hAnsiTheme="majorHAnsi"/>
          <w:sz w:val="20"/>
          <w:szCs w:val="20"/>
          <w:lang w:val="es-ES"/>
        </w:rPr>
        <w:t xml:space="preserve">las personas </w:t>
      </w:r>
      <w:r w:rsidR="005F7425" w:rsidRPr="00D50D50">
        <w:rPr>
          <w:rFonts w:asciiTheme="majorHAnsi" w:hAnsiTheme="majorHAnsi"/>
          <w:sz w:val="20"/>
          <w:szCs w:val="20"/>
          <w:lang w:val="es-ES"/>
        </w:rPr>
        <w:t>cuyas acciones se hubieran realizado entre el 5 de agosto y el 4 de noviembre de 2003, en el ámbito de la protesta social contra las políticas asumidas por el gobierno.</w:t>
      </w:r>
      <w:r w:rsidR="00B232DD" w:rsidRPr="00D50D50">
        <w:rPr>
          <w:rFonts w:asciiTheme="majorHAnsi" w:hAnsiTheme="majorHAnsi"/>
          <w:sz w:val="20"/>
          <w:szCs w:val="20"/>
          <w:lang w:val="es-ES"/>
        </w:rPr>
        <w:t xml:space="preserve"> </w:t>
      </w:r>
      <w:r w:rsidR="005D3FEC" w:rsidRPr="00D50D50">
        <w:rPr>
          <w:rFonts w:asciiTheme="majorHAnsi" w:hAnsiTheme="majorHAnsi"/>
          <w:sz w:val="20"/>
          <w:szCs w:val="20"/>
          <w:lang w:val="es-ES"/>
        </w:rPr>
        <w:t>E</w:t>
      </w:r>
      <w:r w:rsidRPr="00D50D50">
        <w:rPr>
          <w:rFonts w:asciiTheme="majorHAnsi" w:hAnsiTheme="majorHAnsi"/>
          <w:sz w:val="20"/>
          <w:szCs w:val="20"/>
          <w:lang w:val="es-ES"/>
        </w:rPr>
        <w:t>l comité de fiscales rechazó la acusación el 28 de julio de 2004</w:t>
      </w:r>
      <w:r w:rsidR="005D3FEC" w:rsidRPr="00D50D50">
        <w:rPr>
          <w:rFonts w:asciiTheme="majorHAnsi" w:hAnsiTheme="majorHAnsi"/>
          <w:sz w:val="20"/>
          <w:szCs w:val="20"/>
          <w:lang w:val="es-ES"/>
        </w:rPr>
        <w:t>, teniendo en cuenta especialmente la adopción del referido decreto de amnistía</w:t>
      </w:r>
      <w:r w:rsidR="0029628B" w:rsidRPr="00D50D50">
        <w:rPr>
          <w:rFonts w:asciiTheme="majorHAnsi" w:hAnsiTheme="majorHAnsi"/>
          <w:sz w:val="20"/>
          <w:szCs w:val="20"/>
          <w:lang w:val="es-ES"/>
        </w:rPr>
        <w:t xml:space="preserve">. </w:t>
      </w:r>
      <w:r w:rsidR="000A7A09" w:rsidRPr="00D50D50">
        <w:rPr>
          <w:rFonts w:asciiTheme="majorHAnsi" w:hAnsiTheme="majorHAnsi"/>
          <w:sz w:val="20"/>
          <w:szCs w:val="20"/>
          <w:lang w:val="es-ES"/>
        </w:rPr>
        <w:t>L</w:t>
      </w:r>
      <w:r w:rsidR="005D3FEC" w:rsidRPr="00D50D50">
        <w:rPr>
          <w:rFonts w:asciiTheme="majorHAnsi" w:hAnsiTheme="majorHAnsi"/>
          <w:sz w:val="20"/>
          <w:szCs w:val="20"/>
          <w:lang w:val="es-ES"/>
        </w:rPr>
        <w:t xml:space="preserve">a parte peticionaria </w:t>
      </w:r>
      <w:r w:rsidR="000A7A09" w:rsidRPr="00D50D50">
        <w:rPr>
          <w:rFonts w:asciiTheme="majorHAnsi" w:hAnsiTheme="majorHAnsi"/>
          <w:sz w:val="20"/>
          <w:szCs w:val="20"/>
          <w:lang w:val="es-ES"/>
        </w:rPr>
        <w:t xml:space="preserve">manifiesta </w:t>
      </w:r>
      <w:r w:rsidR="00272E5D" w:rsidRPr="00D50D50">
        <w:rPr>
          <w:rFonts w:asciiTheme="majorHAnsi" w:hAnsiTheme="majorHAnsi"/>
          <w:sz w:val="20"/>
          <w:szCs w:val="20"/>
          <w:lang w:val="es-ES"/>
        </w:rPr>
        <w:t>que</w:t>
      </w:r>
      <w:r w:rsidR="0029628B" w:rsidRPr="00D50D50">
        <w:rPr>
          <w:rFonts w:asciiTheme="majorHAnsi" w:hAnsiTheme="majorHAnsi"/>
          <w:sz w:val="20"/>
          <w:szCs w:val="20"/>
          <w:lang w:val="es-ES"/>
        </w:rPr>
        <w:t xml:space="preserve"> al día siguiente </w:t>
      </w:r>
      <w:r w:rsidR="00685944" w:rsidRPr="00D50D50">
        <w:rPr>
          <w:rFonts w:asciiTheme="majorHAnsi" w:hAnsiTheme="majorHAnsi"/>
          <w:sz w:val="20"/>
          <w:szCs w:val="20"/>
          <w:lang w:val="es-ES"/>
        </w:rPr>
        <w:t xml:space="preserve">el </w:t>
      </w:r>
      <w:r w:rsidR="000A7A09" w:rsidRPr="00D50D50">
        <w:rPr>
          <w:rFonts w:asciiTheme="majorHAnsi" w:hAnsiTheme="majorHAnsi"/>
          <w:sz w:val="20"/>
          <w:szCs w:val="20"/>
          <w:lang w:val="es-ES"/>
        </w:rPr>
        <w:t>Presidente Mesa</w:t>
      </w:r>
      <w:r w:rsidR="0029628B" w:rsidRPr="00D50D50">
        <w:rPr>
          <w:rFonts w:asciiTheme="majorHAnsi" w:hAnsiTheme="majorHAnsi"/>
          <w:sz w:val="20"/>
          <w:szCs w:val="20"/>
          <w:lang w:val="es-ES"/>
        </w:rPr>
        <w:t xml:space="preserve"> Gisbert destituy</w:t>
      </w:r>
      <w:r w:rsidR="003D45AE" w:rsidRPr="00D50D50">
        <w:rPr>
          <w:rFonts w:asciiTheme="majorHAnsi" w:hAnsiTheme="majorHAnsi"/>
          <w:sz w:val="20"/>
          <w:szCs w:val="20"/>
          <w:lang w:val="es-ES"/>
        </w:rPr>
        <w:t>ó a los fiscales encargados,</w:t>
      </w:r>
      <w:r w:rsidR="000A7A09" w:rsidRPr="00D50D50">
        <w:rPr>
          <w:rFonts w:asciiTheme="majorHAnsi" w:hAnsiTheme="majorHAnsi"/>
          <w:sz w:val="20"/>
          <w:szCs w:val="20"/>
          <w:lang w:val="es-ES"/>
        </w:rPr>
        <w:t xml:space="preserve"> y la</w:t>
      </w:r>
      <w:r w:rsidR="003D45AE" w:rsidRPr="00D50D50">
        <w:rPr>
          <w:rFonts w:asciiTheme="majorHAnsi" w:hAnsiTheme="majorHAnsi"/>
          <w:sz w:val="20"/>
          <w:szCs w:val="20"/>
          <w:lang w:val="es-ES"/>
        </w:rPr>
        <w:t xml:space="preserve"> </w:t>
      </w:r>
      <w:r w:rsidR="00992A2E" w:rsidRPr="00D50D50">
        <w:rPr>
          <w:rFonts w:asciiTheme="majorHAnsi" w:hAnsiTheme="majorHAnsi"/>
          <w:sz w:val="20"/>
          <w:szCs w:val="20"/>
          <w:lang w:val="es-ES"/>
        </w:rPr>
        <w:t>Asamblea</w:t>
      </w:r>
      <w:r w:rsidR="003D45AE" w:rsidRPr="00D50D50">
        <w:rPr>
          <w:rFonts w:asciiTheme="majorHAnsi" w:hAnsiTheme="majorHAnsi"/>
          <w:sz w:val="20"/>
          <w:szCs w:val="20"/>
          <w:lang w:val="es-ES"/>
        </w:rPr>
        <w:t xml:space="preserve"> Permanente de Derechos </w:t>
      </w:r>
      <w:r w:rsidR="00992A2E" w:rsidRPr="00D50D50">
        <w:rPr>
          <w:rFonts w:asciiTheme="majorHAnsi" w:hAnsiTheme="majorHAnsi"/>
          <w:sz w:val="20"/>
          <w:szCs w:val="20"/>
          <w:lang w:val="es-ES"/>
        </w:rPr>
        <w:t>Humanos</w:t>
      </w:r>
      <w:r w:rsidR="000A7A09" w:rsidRPr="00D50D50">
        <w:rPr>
          <w:rFonts w:asciiTheme="majorHAnsi" w:hAnsiTheme="majorHAnsi"/>
          <w:sz w:val="20"/>
          <w:szCs w:val="20"/>
          <w:lang w:val="es-ES"/>
        </w:rPr>
        <w:t xml:space="preserve"> apeló la decisión de inadmitir la acusación</w:t>
      </w:r>
      <w:r w:rsidR="00547F2D" w:rsidRPr="00D50D50">
        <w:rPr>
          <w:rFonts w:asciiTheme="majorHAnsi" w:hAnsiTheme="majorHAnsi"/>
          <w:sz w:val="20"/>
          <w:szCs w:val="20"/>
          <w:lang w:val="es-ES"/>
        </w:rPr>
        <w:t xml:space="preserve">. </w:t>
      </w:r>
      <w:r w:rsidR="00C33825" w:rsidRPr="00D50D50">
        <w:rPr>
          <w:rFonts w:asciiTheme="majorHAnsi" w:hAnsiTheme="majorHAnsi"/>
          <w:sz w:val="20"/>
          <w:szCs w:val="20"/>
          <w:lang w:val="es-ES"/>
        </w:rPr>
        <w:t>Posteriormente, e</w:t>
      </w:r>
      <w:r w:rsidR="00547F2D" w:rsidRPr="00D50D50">
        <w:rPr>
          <w:rFonts w:asciiTheme="majorHAnsi" w:hAnsiTheme="majorHAnsi"/>
          <w:sz w:val="20"/>
          <w:szCs w:val="20"/>
          <w:lang w:val="es-ES"/>
        </w:rPr>
        <w:t>l nuevo fiscal</w:t>
      </w:r>
      <w:r w:rsidR="000A7A09" w:rsidRPr="00D50D50">
        <w:rPr>
          <w:rFonts w:asciiTheme="majorHAnsi" w:hAnsiTheme="majorHAnsi"/>
          <w:sz w:val="20"/>
          <w:szCs w:val="20"/>
          <w:lang w:val="es-ES"/>
        </w:rPr>
        <w:t xml:space="preserve"> designado</w:t>
      </w:r>
      <w:r w:rsidR="00757135" w:rsidRPr="00D50D50">
        <w:rPr>
          <w:rFonts w:asciiTheme="majorHAnsi" w:hAnsiTheme="majorHAnsi"/>
          <w:sz w:val="20"/>
          <w:szCs w:val="20"/>
          <w:lang w:val="es-ES"/>
        </w:rPr>
        <w:t xml:space="preserve"> </w:t>
      </w:r>
      <w:r w:rsidR="00547F2D" w:rsidRPr="00D50D50">
        <w:rPr>
          <w:rFonts w:asciiTheme="majorHAnsi" w:hAnsiTheme="majorHAnsi"/>
          <w:sz w:val="20"/>
          <w:szCs w:val="20"/>
          <w:lang w:val="es-ES"/>
        </w:rPr>
        <w:t>admitió la</w:t>
      </w:r>
      <w:r w:rsidR="00757135" w:rsidRPr="00D50D50">
        <w:rPr>
          <w:rFonts w:asciiTheme="majorHAnsi" w:hAnsiTheme="majorHAnsi"/>
          <w:sz w:val="20"/>
          <w:szCs w:val="20"/>
          <w:lang w:val="es-ES"/>
        </w:rPr>
        <w:t xml:space="preserve"> apelación, </w:t>
      </w:r>
      <w:r w:rsidR="0070547D" w:rsidRPr="00D50D50">
        <w:rPr>
          <w:rFonts w:asciiTheme="majorHAnsi" w:hAnsiTheme="majorHAnsi"/>
          <w:sz w:val="20"/>
          <w:szCs w:val="20"/>
          <w:lang w:val="es-ES"/>
        </w:rPr>
        <w:t>dio</w:t>
      </w:r>
      <w:r w:rsidR="00757135" w:rsidRPr="00D50D50">
        <w:rPr>
          <w:rFonts w:asciiTheme="majorHAnsi" w:hAnsiTheme="majorHAnsi"/>
          <w:sz w:val="20"/>
          <w:szCs w:val="20"/>
          <w:lang w:val="es-ES"/>
        </w:rPr>
        <w:t xml:space="preserve"> curso a la investigación </w:t>
      </w:r>
      <w:r w:rsidR="00547F2D" w:rsidRPr="00D50D50">
        <w:rPr>
          <w:rFonts w:asciiTheme="majorHAnsi" w:hAnsiTheme="majorHAnsi"/>
          <w:sz w:val="20"/>
          <w:szCs w:val="20"/>
          <w:lang w:val="es-ES"/>
        </w:rPr>
        <w:t xml:space="preserve">y el 10 de septiembre de 2004 emitió </w:t>
      </w:r>
      <w:r w:rsidR="005D3FEC" w:rsidRPr="00D50D50">
        <w:rPr>
          <w:rFonts w:asciiTheme="majorHAnsi" w:hAnsiTheme="majorHAnsi"/>
          <w:sz w:val="20"/>
          <w:szCs w:val="20"/>
          <w:lang w:val="es-ES"/>
        </w:rPr>
        <w:t xml:space="preserve">una </w:t>
      </w:r>
      <w:r w:rsidR="00547F2D" w:rsidRPr="00D50D50">
        <w:rPr>
          <w:rFonts w:asciiTheme="majorHAnsi" w:hAnsiTheme="majorHAnsi"/>
          <w:sz w:val="20"/>
          <w:szCs w:val="20"/>
          <w:lang w:val="es-ES"/>
        </w:rPr>
        <w:t xml:space="preserve">resolución de imputación </w:t>
      </w:r>
      <w:r w:rsidR="0081722A" w:rsidRPr="00D50D50">
        <w:rPr>
          <w:rFonts w:asciiTheme="majorHAnsi" w:hAnsiTheme="majorHAnsi"/>
          <w:sz w:val="20"/>
          <w:szCs w:val="20"/>
          <w:lang w:val="es-ES"/>
        </w:rPr>
        <w:t xml:space="preserve">formal contra el </w:t>
      </w:r>
      <w:proofErr w:type="gramStart"/>
      <w:r w:rsidR="0081722A" w:rsidRPr="00D50D50">
        <w:rPr>
          <w:rFonts w:asciiTheme="majorHAnsi" w:hAnsiTheme="majorHAnsi"/>
          <w:sz w:val="20"/>
          <w:szCs w:val="20"/>
          <w:lang w:val="es-ES"/>
        </w:rPr>
        <w:t>ex Presidente</w:t>
      </w:r>
      <w:proofErr w:type="gramEnd"/>
      <w:r w:rsidR="0070547D" w:rsidRPr="00D50D50">
        <w:rPr>
          <w:rFonts w:asciiTheme="majorHAnsi" w:hAnsiTheme="majorHAnsi"/>
          <w:sz w:val="20"/>
          <w:szCs w:val="20"/>
          <w:lang w:val="es-US"/>
        </w:rPr>
        <w:t xml:space="preserve"> </w:t>
      </w:r>
      <w:r w:rsidR="0070547D" w:rsidRPr="00D50D50">
        <w:rPr>
          <w:rFonts w:asciiTheme="majorHAnsi" w:hAnsiTheme="majorHAnsi"/>
          <w:sz w:val="20"/>
          <w:szCs w:val="20"/>
          <w:lang w:val="es-ES"/>
        </w:rPr>
        <w:t>Sánchez de Lozada</w:t>
      </w:r>
      <w:r w:rsidR="0081722A" w:rsidRPr="00D50D50">
        <w:rPr>
          <w:rFonts w:asciiTheme="majorHAnsi" w:hAnsiTheme="majorHAnsi"/>
          <w:sz w:val="20"/>
          <w:szCs w:val="20"/>
          <w:lang w:val="es-ES"/>
        </w:rPr>
        <w:t xml:space="preserve">. </w:t>
      </w:r>
    </w:p>
    <w:p w14:paraId="3DF67E3E" w14:textId="77777777" w:rsidR="000A7A09" w:rsidRPr="00D50D50" w:rsidRDefault="000A7A09" w:rsidP="000A7A0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BE11092" w14:textId="3765C97B" w:rsidR="00177705" w:rsidRPr="00D50D50" w:rsidRDefault="0059353B" w:rsidP="00FB76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 xml:space="preserve">Sin embargo, la investigación de los hechos requería de la autorización del Congreso de Bolivia, lo que fue solicitado el 28 de septiembre de 2004 por la Corte Suprema de Justicia. </w:t>
      </w:r>
      <w:r w:rsidR="00A96286" w:rsidRPr="00D50D50">
        <w:rPr>
          <w:rFonts w:asciiTheme="majorHAnsi" w:hAnsiTheme="majorHAnsi"/>
          <w:sz w:val="20"/>
          <w:szCs w:val="20"/>
          <w:lang w:val="es-ES"/>
        </w:rPr>
        <w:t>El 14 de octubre de 2004 el Congreso Nacional autorizó el juicio de responsabilidad</w:t>
      </w:r>
      <w:r w:rsidR="00787CE1" w:rsidRPr="00D50D50">
        <w:rPr>
          <w:rFonts w:asciiTheme="majorHAnsi" w:hAnsiTheme="majorHAnsi"/>
          <w:sz w:val="20"/>
          <w:szCs w:val="20"/>
          <w:lang w:val="es-ES"/>
        </w:rPr>
        <w:t xml:space="preserve">, pero </w:t>
      </w:r>
      <w:r w:rsidRPr="00D50D50">
        <w:rPr>
          <w:rFonts w:asciiTheme="majorHAnsi" w:hAnsiTheme="majorHAnsi"/>
          <w:sz w:val="20"/>
          <w:szCs w:val="20"/>
          <w:lang w:val="es-ES"/>
        </w:rPr>
        <w:t xml:space="preserve">según la parte peticionaria </w:t>
      </w:r>
      <w:r w:rsidR="00787CE1" w:rsidRPr="00D50D50">
        <w:rPr>
          <w:rFonts w:asciiTheme="majorHAnsi" w:hAnsiTheme="majorHAnsi"/>
          <w:sz w:val="20"/>
          <w:szCs w:val="20"/>
          <w:lang w:val="es-ES"/>
        </w:rPr>
        <w:t xml:space="preserve">la votación fue ilegal, toda vez que no se </w:t>
      </w:r>
      <w:r w:rsidR="004D6A2C" w:rsidRPr="00D50D50">
        <w:rPr>
          <w:rFonts w:asciiTheme="majorHAnsi" w:hAnsiTheme="majorHAnsi"/>
          <w:sz w:val="20"/>
          <w:szCs w:val="20"/>
          <w:lang w:val="es-ES"/>
        </w:rPr>
        <w:t>alcanzaron</w:t>
      </w:r>
      <w:r w:rsidR="00787CE1" w:rsidRPr="00D50D50">
        <w:rPr>
          <w:rFonts w:asciiTheme="majorHAnsi" w:hAnsiTheme="majorHAnsi"/>
          <w:sz w:val="20"/>
          <w:szCs w:val="20"/>
          <w:lang w:val="es-ES"/>
        </w:rPr>
        <w:t xml:space="preserve"> los 2/3 de los votos en primera vuelta</w:t>
      </w:r>
      <w:r w:rsidRPr="00D50D50">
        <w:rPr>
          <w:rFonts w:asciiTheme="majorHAnsi" w:hAnsiTheme="majorHAnsi"/>
          <w:sz w:val="20"/>
          <w:szCs w:val="20"/>
          <w:lang w:val="es-ES"/>
        </w:rPr>
        <w:t>;</w:t>
      </w:r>
      <w:r w:rsidR="00787CE1" w:rsidRPr="00D50D50">
        <w:rPr>
          <w:rFonts w:asciiTheme="majorHAnsi" w:hAnsiTheme="majorHAnsi"/>
          <w:sz w:val="20"/>
          <w:szCs w:val="20"/>
          <w:lang w:val="es-ES"/>
        </w:rPr>
        <w:t xml:space="preserve"> y </w:t>
      </w:r>
      <w:r w:rsidRPr="00D50D50">
        <w:rPr>
          <w:rFonts w:asciiTheme="majorHAnsi" w:hAnsiTheme="majorHAnsi"/>
          <w:sz w:val="20"/>
          <w:szCs w:val="20"/>
          <w:lang w:val="es-ES"/>
        </w:rPr>
        <w:t xml:space="preserve">por lo tanto </w:t>
      </w:r>
      <w:r w:rsidR="00787CE1" w:rsidRPr="00D50D50">
        <w:rPr>
          <w:rFonts w:asciiTheme="majorHAnsi" w:hAnsiTheme="majorHAnsi"/>
          <w:sz w:val="20"/>
          <w:szCs w:val="20"/>
          <w:lang w:val="es-ES"/>
        </w:rPr>
        <w:t>se llevó a cabo una segunda vuelta de votación que no se encontraba prevista en la</w:t>
      </w:r>
      <w:r w:rsidRPr="00D50D50">
        <w:rPr>
          <w:rFonts w:asciiTheme="majorHAnsi" w:hAnsiTheme="majorHAnsi"/>
          <w:sz w:val="20"/>
          <w:szCs w:val="20"/>
          <w:lang w:val="es-ES"/>
        </w:rPr>
        <w:t xml:space="preserve"> normativa</w:t>
      </w:r>
      <w:r w:rsidR="004D6A2C" w:rsidRPr="00D50D50">
        <w:rPr>
          <w:rFonts w:asciiTheme="majorHAnsi" w:hAnsiTheme="majorHAnsi"/>
          <w:sz w:val="20"/>
          <w:szCs w:val="20"/>
          <w:lang w:val="es-ES"/>
        </w:rPr>
        <w:t xml:space="preserve"> del Congreso.</w:t>
      </w:r>
      <w:r w:rsidR="003D4F18" w:rsidRPr="00D50D50">
        <w:rPr>
          <w:rFonts w:asciiTheme="majorHAnsi" w:hAnsiTheme="majorHAnsi"/>
          <w:sz w:val="20"/>
          <w:szCs w:val="20"/>
          <w:lang w:val="es-ES"/>
        </w:rPr>
        <w:t xml:space="preserve"> </w:t>
      </w:r>
      <w:r w:rsidRPr="00D50D50">
        <w:rPr>
          <w:rFonts w:asciiTheme="majorHAnsi" w:hAnsiTheme="majorHAnsi"/>
          <w:sz w:val="20"/>
          <w:szCs w:val="20"/>
          <w:lang w:val="es-ES"/>
        </w:rPr>
        <w:t xml:space="preserve">La decisión </w:t>
      </w:r>
      <w:r w:rsidR="005D3FEC" w:rsidRPr="00D50D50">
        <w:rPr>
          <w:rFonts w:asciiTheme="majorHAnsi" w:hAnsiTheme="majorHAnsi"/>
          <w:sz w:val="20"/>
          <w:szCs w:val="20"/>
          <w:lang w:val="es-ES"/>
        </w:rPr>
        <w:t xml:space="preserve">abarcaba </w:t>
      </w:r>
      <w:r w:rsidRPr="00D50D50">
        <w:rPr>
          <w:rFonts w:asciiTheme="majorHAnsi" w:hAnsiTheme="majorHAnsi"/>
          <w:sz w:val="20"/>
          <w:szCs w:val="20"/>
          <w:lang w:val="es-ES"/>
        </w:rPr>
        <w:t>incluir</w:t>
      </w:r>
      <w:r w:rsidR="003D4F18" w:rsidRPr="00D50D50">
        <w:rPr>
          <w:rFonts w:asciiTheme="majorHAnsi" w:hAnsiTheme="majorHAnsi"/>
          <w:sz w:val="20"/>
          <w:szCs w:val="20"/>
          <w:lang w:val="es-ES"/>
        </w:rPr>
        <w:t xml:space="preserve"> </w:t>
      </w:r>
      <w:r w:rsidRPr="00D50D50">
        <w:rPr>
          <w:rFonts w:asciiTheme="majorHAnsi" w:hAnsiTheme="majorHAnsi"/>
          <w:sz w:val="20"/>
          <w:szCs w:val="20"/>
          <w:lang w:val="es-ES"/>
        </w:rPr>
        <w:t xml:space="preserve">a </w:t>
      </w:r>
      <w:r w:rsidR="003D4F18" w:rsidRPr="00D50D50">
        <w:rPr>
          <w:rFonts w:asciiTheme="majorHAnsi" w:hAnsiTheme="majorHAnsi"/>
          <w:sz w:val="20"/>
          <w:szCs w:val="20"/>
          <w:lang w:val="es-ES"/>
        </w:rPr>
        <w:t xml:space="preserve">todo el </w:t>
      </w:r>
      <w:r w:rsidRPr="00D50D50">
        <w:rPr>
          <w:rFonts w:asciiTheme="majorHAnsi" w:hAnsiTheme="majorHAnsi"/>
          <w:sz w:val="20"/>
          <w:szCs w:val="20"/>
          <w:lang w:val="es-ES"/>
        </w:rPr>
        <w:t xml:space="preserve">anterior </w:t>
      </w:r>
      <w:r w:rsidR="003D4F18" w:rsidRPr="00D50D50">
        <w:rPr>
          <w:rFonts w:asciiTheme="majorHAnsi" w:hAnsiTheme="majorHAnsi"/>
          <w:sz w:val="20"/>
          <w:szCs w:val="20"/>
          <w:lang w:val="es-ES"/>
        </w:rPr>
        <w:t xml:space="preserve">gabinete ministerial, incluyendo a </w:t>
      </w:r>
      <w:r w:rsidRPr="00D50D50">
        <w:rPr>
          <w:rFonts w:asciiTheme="majorHAnsi" w:hAnsiTheme="majorHAnsi"/>
          <w:sz w:val="20"/>
          <w:szCs w:val="20"/>
          <w:lang w:val="es-ES"/>
        </w:rPr>
        <w:t xml:space="preserve">personas </w:t>
      </w:r>
      <w:r w:rsidR="003D4F18" w:rsidRPr="00D50D50">
        <w:rPr>
          <w:rFonts w:asciiTheme="majorHAnsi" w:hAnsiTheme="majorHAnsi"/>
          <w:sz w:val="20"/>
          <w:szCs w:val="20"/>
          <w:lang w:val="es-ES"/>
        </w:rPr>
        <w:t xml:space="preserve">que tanto el fiscal como la Comisión del Congreso habían dejado fuera de la investigación desde sus inicios. </w:t>
      </w:r>
      <w:r w:rsidRPr="00D50D50">
        <w:rPr>
          <w:rFonts w:asciiTheme="majorHAnsi" w:hAnsiTheme="majorHAnsi"/>
          <w:sz w:val="20"/>
          <w:szCs w:val="20"/>
          <w:lang w:val="es-ES"/>
        </w:rPr>
        <w:t>La</w:t>
      </w:r>
      <w:r w:rsidR="00D32BC9" w:rsidRPr="00D50D50">
        <w:rPr>
          <w:rFonts w:asciiTheme="majorHAnsi" w:hAnsiTheme="majorHAnsi"/>
          <w:sz w:val="20"/>
          <w:szCs w:val="20"/>
          <w:lang w:val="es-ES"/>
        </w:rPr>
        <w:t xml:space="preserve"> parte peticionaria </w:t>
      </w:r>
      <w:r w:rsidRPr="00D50D50">
        <w:rPr>
          <w:rFonts w:asciiTheme="majorHAnsi" w:hAnsiTheme="majorHAnsi"/>
          <w:sz w:val="20"/>
          <w:szCs w:val="20"/>
          <w:lang w:val="es-ES"/>
        </w:rPr>
        <w:t xml:space="preserve">argumenta asimismo </w:t>
      </w:r>
      <w:r w:rsidR="00D32BC9" w:rsidRPr="00D50D50">
        <w:rPr>
          <w:rFonts w:asciiTheme="majorHAnsi" w:hAnsiTheme="majorHAnsi"/>
          <w:sz w:val="20"/>
          <w:szCs w:val="20"/>
          <w:lang w:val="es-ES"/>
        </w:rPr>
        <w:t xml:space="preserve">que el </w:t>
      </w:r>
      <w:r w:rsidRPr="00D50D50">
        <w:rPr>
          <w:rFonts w:asciiTheme="majorHAnsi" w:hAnsiTheme="majorHAnsi"/>
          <w:sz w:val="20"/>
          <w:szCs w:val="20"/>
          <w:lang w:val="es-ES"/>
        </w:rPr>
        <w:t xml:space="preserve">Congreso </w:t>
      </w:r>
      <w:r w:rsidR="00D32BC9" w:rsidRPr="00D50D50">
        <w:rPr>
          <w:rFonts w:asciiTheme="majorHAnsi" w:hAnsiTheme="majorHAnsi"/>
          <w:sz w:val="20"/>
          <w:szCs w:val="20"/>
          <w:lang w:val="es-ES"/>
        </w:rPr>
        <w:t xml:space="preserve">realizó </w:t>
      </w:r>
      <w:r w:rsidRPr="00D50D50">
        <w:rPr>
          <w:rFonts w:asciiTheme="majorHAnsi" w:hAnsiTheme="majorHAnsi"/>
          <w:sz w:val="20"/>
          <w:szCs w:val="20"/>
          <w:lang w:val="es-ES"/>
        </w:rPr>
        <w:t xml:space="preserve">dicha </w:t>
      </w:r>
      <w:r w:rsidR="00D32BC9" w:rsidRPr="00D50D50">
        <w:rPr>
          <w:rFonts w:asciiTheme="majorHAnsi" w:hAnsiTheme="majorHAnsi"/>
          <w:sz w:val="20"/>
          <w:szCs w:val="20"/>
          <w:lang w:val="es-ES"/>
        </w:rPr>
        <w:t xml:space="preserve">votación </w:t>
      </w:r>
      <w:r w:rsidRPr="00D50D50">
        <w:rPr>
          <w:rFonts w:asciiTheme="majorHAnsi" w:hAnsiTheme="majorHAnsi"/>
          <w:sz w:val="20"/>
          <w:szCs w:val="20"/>
          <w:lang w:val="es-ES"/>
        </w:rPr>
        <w:t xml:space="preserve">a pesar de que </w:t>
      </w:r>
      <w:r w:rsidR="00D32BC9" w:rsidRPr="00D50D50">
        <w:rPr>
          <w:rFonts w:asciiTheme="majorHAnsi" w:hAnsiTheme="majorHAnsi"/>
          <w:sz w:val="20"/>
          <w:szCs w:val="20"/>
          <w:lang w:val="es-ES"/>
        </w:rPr>
        <w:t xml:space="preserve">el Ministerio Público únicamente había admitido las denuncias penales contra los altos </w:t>
      </w:r>
      <w:r w:rsidR="005D3FEC" w:rsidRPr="00D50D50">
        <w:rPr>
          <w:rFonts w:asciiTheme="majorHAnsi" w:hAnsiTheme="majorHAnsi"/>
          <w:sz w:val="20"/>
          <w:szCs w:val="20"/>
          <w:lang w:val="es-ES"/>
        </w:rPr>
        <w:t xml:space="preserve">funcionarios </w:t>
      </w:r>
      <w:r w:rsidR="00D32BC9" w:rsidRPr="00D50D50">
        <w:rPr>
          <w:rFonts w:asciiTheme="majorHAnsi" w:hAnsiTheme="majorHAnsi"/>
          <w:sz w:val="20"/>
          <w:szCs w:val="20"/>
          <w:lang w:val="es-ES"/>
        </w:rPr>
        <w:t>del Estado</w:t>
      </w:r>
      <w:r w:rsidRPr="00D50D50">
        <w:rPr>
          <w:rFonts w:asciiTheme="majorHAnsi" w:hAnsiTheme="majorHAnsi"/>
          <w:sz w:val="20"/>
          <w:szCs w:val="20"/>
          <w:lang w:val="es-ES"/>
        </w:rPr>
        <w:t xml:space="preserve"> y </w:t>
      </w:r>
      <w:r w:rsidR="00D32BC9" w:rsidRPr="00D50D50">
        <w:rPr>
          <w:rFonts w:asciiTheme="majorHAnsi" w:hAnsiTheme="majorHAnsi"/>
          <w:sz w:val="20"/>
          <w:szCs w:val="20"/>
          <w:lang w:val="es-ES"/>
        </w:rPr>
        <w:t>exclu</w:t>
      </w:r>
      <w:r w:rsidRPr="00D50D50">
        <w:rPr>
          <w:rFonts w:asciiTheme="majorHAnsi" w:hAnsiTheme="majorHAnsi"/>
          <w:sz w:val="20"/>
          <w:szCs w:val="20"/>
          <w:lang w:val="es-ES"/>
        </w:rPr>
        <w:t>ido de</w:t>
      </w:r>
      <w:r w:rsidR="00177705" w:rsidRPr="00D50D50">
        <w:rPr>
          <w:rFonts w:asciiTheme="majorHAnsi" w:hAnsiTheme="majorHAnsi"/>
          <w:sz w:val="20"/>
          <w:szCs w:val="20"/>
          <w:lang w:val="es-ES"/>
        </w:rPr>
        <w:t xml:space="preserve"> eventual responsabilidad penal a dirigentes políticos y sindicales.</w:t>
      </w:r>
    </w:p>
    <w:p w14:paraId="6BB13A1F" w14:textId="77777777" w:rsidR="0059353B" w:rsidRPr="00D50D50" w:rsidRDefault="0059353B" w:rsidP="0059353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036C00A1" w14:textId="3B91FA28" w:rsidR="00D70157" w:rsidRPr="00D50D50" w:rsidRDefault="00177705" w:rsidP="00FB76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 xml:space="preserve">En </w:t>
      </w:r>
      <w:r w:rsidR="00186459" w:rsidRPr="00D50D50">
        <w:rPr>
          <w:rFonts w:asciiTheme="majorHAnsi" w:hAnsiTheme="majorHAnsi"/>
          <w:sz w:val="20"/>
          <w:szCs w:val="20"/>
          <w:lang w:val="es-ES"/>
        </w:rPr>
        <w:t>20</w:t>
      </w:r>
      <w:r w:rsidRPr="00D50D50">
        <w:rPr>
          <w:rFonts w:asciiTheme="majorHAnsi" w:hAnsiTheme="majorHAnsi"/>
          <w:sz w:val="20"/>
          <w:szCs w:val="20"/>
          <w:lang w:val="es-ES"/>
        </w:rPr>
        <w:t>0</w:t>
      </w:r>
      <w:r w:rsidR="00186459" w:rsidRPr="00D50D50">
        <w:rPr>
          <w:rFonts w:asciiTheme="majorHAnsi" w:hAnsiTheme="majorHAnsi"/>
          <w:sz w:val="20"/>
          <w:szCs w:val="20"/>
          <w:lang w:val="es-ES"/>
        </w:rPr>
        <w:t xml:space="preserve">5 </w:t>
      </w:r>
      <w:r w:rsidR="0059353B" w:rsidRPr="00D50D50">
        <w:rPr>
          <w:rFonts w:asciiTheme="majorHAnsi" w:hAnsiTheme="majorHAnsi"/>
          <w:sz w:val="20"/>
          <w:szCs w:val="20"/>
          <w:lang w:val="es-ES"/>
        </w:rPr>
        <w:t xml:space="preserve">se </w:t>
      </w:r>
      <w:r w:rsidR="00D67256" w:rsidRPr="00D50D50">
        <w:rPr>
          <w:rFonts w:asciiTheme="majorHAnsi" w:hAnsiTheme="majorHAnsi"/>
          <w:sz w:val="20"/>
          <w:szCs w:val="20"/>
          <w:lang w:val="es-ES"/>
        </w:rPr>
        <w:t>inici</w:t>
      </w:r>
      <w:r w:rsidR="0059353B" w:rsidRPr="00D50D50">
        <w:rPr>
          <w:rFonts w:asciiTheme="majorHAnsi" w:hAnsiTheme="majorHAnsi"/>
          <w:sz w:val="20"/>
          <w:szCs w:val="20"/>
          <w:lang w:val="es-ES"/>
        </w:rPr>
        <w:t>ó</w:t>
      </w:r>
      <w:r w:rsidR="00D67256" w:rsidRPr="00D50D50">
        <w:rPr>
          <w:rFonts w:asciiTheme="majorHAnsi" w:hAnsiTheme="majorHAnsi"/>
          <w:sz w:val="20"/>
          <w:szCs w:val="20"/>
          <w:lang w:val="es-ES"/>
        </w:rPr>
        <w:t xml:space="preserve"> la acción criminal contra </w:t>
      </w:r>
      <w:r w:rsidR="0059353B" w:rsidRPr="00D50D50">
        <w:rPr>
          <w:rFonts w:asciiTheme="majorHAnsi" w:hAnsiTheme="majorHAnsi"/>
          <w:sz w:val="20"/>
          <w:szCs w:val="20"/>
          <w:lang w:val="es-ES"/>
        </w:rPr>
        <w:t xml:space="preserve">el </w:t>
      </w:r>
      <w:proofErr w:type="gramStart"/>
      <w:r w:rsidR="0059353B" w:rsidRPr="00D50D50">
        <w:rPr>
          <w:rFonts w:asciiTheme="majorHAnsi" w:hAnsiTheme="majorHAnsi"/>
          <w:sz w:val="20"/>
          <w:szCs w:val="20"/>
          <w:lang w:val="es-ES"/>
        </w:rPr>
        <w:t>ex Presidente</w:t>
      </w:r>
      <w:proofErr w:type="gramEnd"/>
      <w:r w:rsidR="005D3FEC" w:rsidRPr="00D50D50">
        <w:rPr>
          <w:rFonts w:asciiTheme="majorHAnsi" w:hAnsiTheme="majorHAnsi"/>
          <w:sz w:val="20"/>
          <w:szCs w:val="20"/>
          <w:lang w:val="es-ES"/>
        </w:rPr>
        <w:t xml:space="preserve"> Sánchez de Lozada</w:t>
      </w:r>
      <w:r w:rsidR="00D67256" w:rsidRPr="00D50D50">
        <w:rPr>
          <w:rFonts w:asciiTheme="majorHAnsi" w:hAnsiTheme="majorHAnsi"/>
          <w:sz w:val="20"/>
          <w:szCs w:val="20"/>
          <w:lang w:val="es-ES"/>
        </w:rPr>
        <w:t xml:space="preserve">, su gabinete y </w:t>
      </w:r>
      <w:r w:rsidR="0059353B" w:rsidRPr="00D50D50">
        <w:rPr>
          <w:rFonts w:asciiTheme="majorHAnsi" w:hAnsiTheme="majorHAnsi"/>
          <w:sz w:val="20"/>
          <w:szCs w:val="20"/>
          <w:lang w:val="es-ES"/>
        </w:rPr>
        <w:t xml:space="preserve">varios </w:t>
      </w:r>
      <w:r w:rsidR="00D67256" w:rsidRPr="00D50D50">
        <w:rPr>
          <w:rFonts w:asciiTheme="majorHAnsi" w:hAnsiTheme="majorHAnsi"/>
          <w:sz w:val="20"/>
          <w:szCs w:val="20"/>
          <w:lang w:val="es-ES"/>
        </w:rPr>
        <w:t>militares</w:t>
      </w:r>
      <w:r w:rsidR="002650C1" w:rsidRPr="00D50D50">
        <w:rPr>
          <w:rFonts w:asciiTheme="majorHAnsi" w:hAnsiTheme="majorHAnsi"/>
          <w:sz w:val="20"/>
          <w:szCs w:val="20"/>
          <w:lang w:val="es-ES"/>
        </w:rPr>
        <w:t xml:space="preserve">. La parte </w:t>
      </w:r>
      <w:r w:rsidR="00DA4A75" w:rsidRPr="00D50D50">
        <w:rPr>
          <w:rFonts w:asciiTheme="majorHAnsi" w:hAnsiTheme="majorHAnsi"/>
          <w:sz w:val="20"/>
          <w:szCs w:val="20"/>
          <w:lang w:val="es-ES"/>
        </w:rPr>
        <w:t>peticionari</w:t>
      </w:r>
      <w:r w:rsidR="002650C1" w:rsidRPr="00D50D50">
        <w:rPr>
          <w:rFonts w:asciiTheme="majorHAnsi" w:hAnsiTheme="majorHAnsi"/>
          <w:sz w:val="20"/>
          <w:szCs w:val="20"/>
          <w:lang w:val="es-ES"/>
        </w:rPr>
        <w:t>a</w:t>
      </w:r>
      <w:r w:rsidR="00DA4A75" w:rsidRPr="00D50D50">
        <w:rPr>
          <w:rFonts w:asciiTheme="majorHAnsi" w:hAnsiTheme="majorHAnsi"/>
          <w:sz w:val="20"/>
          <w:szCs w:val="20"/>
          <w:lang w:val="es-ES"/>
        </w:rPr>
        <w:t xml:space="preserve"> </w:t>
      </w:r>
      <w:r w:rsidR="002650C1" w:rsidRPr="00D50D50">
        <w:rPr>
          <w:rFonts w:asciiTheme="majorHAnsi" w:hAnsiTheme="majorHAnsi"/>
          <w:sz w:val="20"/>
          <w:szCs w:val="20"/>
          <w:lang w:val="es-ES"/>
        </w:rPr>
        <w:t xml:space="preserve">alega que </w:t>
      </w:r>
      <w:r w:rsidR="00DA4A75" w:rsidRPr="00D50D50">
        <w:rPr>
          <w:rFonts w:asciiTheme="majorHAnsi" w:hAnsiTheme="majorHAnsi"/>
          <w:sz w:val="20"/>
          <w:szCs w:val="20"/>
          <w:lang w:val="es-ES"/>
        </w:rPr>
        <w:t>la acusación de 7 de octubre de 2005 carecía de una argumentación técnica que tuviera como base la c</w:t>
      </w:r>
      <w:r w:rsidR="00146542" w:rsidRPr="00D50D50">
        <w:rPr>
          <w:rFonts w:asciiTheme="majorHAnsi" w:hAnsiTheme="majorHAnsi"/>
          <w:sz w:val="20"/>
          <w:szCs w:val="20"/>
          <w:lang w:val="es-ES"/>
        </w:rPr>
        <w:t xml:space="preserve">omisión de algún </w:t>
      </w:r>
      <w:r w:rsidR="002650C1" w:rsidRPr="00D50D50">
        <w:rPr>
          <w:rFonts w:asciiTheme="majorHAnsi" w:hAnsiTheme="majorHAnsi"/>
          <w:sz w:val="20"/>
          <w:szCs w:val="20"/>
          <w:lang w:val="es-ES"/>
        </w:rPr>
        <w:t xml:space="preserve">hecho </w:t>
      </w:r>
      <w:r w:rsidR="00DA4A75" w:rsidRPr="00D50D50">
        <w:rPr>
          <w:rFonts w:asciiTheme="majorHAnsi" w:hAnsiTheme="majorHAnsi"/>
          <w:sz w:val="20"/>
          <w:szCs w:val="20"/>
          <w:lang w:val="es-ES"/>
        </w:rPr>
        <w:t>penal</w:t>
      </w:r>
      <w:r w:rsidR="002650C1" w:rsidRPr="00D50D50">
        <w:rPr>
          <w:rFonts w:asciiTheme="majorHAnsi" w:hAnsiTheme="majorHAnsi"/>
          <w:sz w:val="20"/>
          <w:szCs w:val="20"/>
          <w:lang w:val="es-ES"/>
        </w:rPr>
        <w:t>mente tipificado</w:t>
      </w:r>
      <w:r w:rsidR="00DA4A75" w:rsidRPr="00D50D50">
        <w:rPr>
          <w:rFonts w:asciiTheme="majorHAnsi" w:hAnsiTheme="majorHAnsi"/>
          <w:sz w:val="20"/>
          <w:szCs w:val="20"/>
          <w:lang w:val="es-ES"/>
        </w:rPr>
        <w:t xml:space="preserve">. Las personas acusadas fueron </w:t>
      </w:r>
      <w:r w:rsidR="005D3FEC" w:rsidRPr="00D50D50">
        <w:rPr>
          <w:rFonts w:asciiTheme="majorHAnsi" w:hAnsiTheme="majorHAnsi"/>
          <w:sz w:val="20"/>
          <w:szCs w:val="20"/>
          <w:lang w:val="es-ES"/>
        </w:rPr>
        <w:t>incluidas</w:t>
      </w:r>
      <w:r w:rsidR="00DA4A75" w:rsidRPr="00D50D50">
        <w:rPr>
          <w:rFonts w:asciiTheme="majorHAnsi" w:hAnsiTheme="majorHAnsi"/>
          <w:sz w:val="20"/>
          <w:szCs w:val="20"/>
          <w:lang w:val="es-ES"/>
        </w:rPr>
        <w:t xml:space="preserve"> </w:t>
      </w:r>
      <w:r w:rsidR="009A0048" w:rsidRPr="00D50D50">
        <w:rPr>
          <w:rFonts w:asciiTheme="majorHAnsi" w:hAnsiTheme="majorHAnsi"/>
          <w:sz w:val="20"/>
          <w:szCs w:val="20"/>
          <w:lang w:val="es-ES"/>
        </w:rPr>
        <w:t xml:space="preserve">en una lista contenida en </w:t>
      </w:r>
      <w:r w:rsidR="002650C1" w:rsidRPr="00D50D50">
        <w:rPr>
          <w:rFonts w:asciiTheme="majorHAnsi" w:hAnsiTheme="majorHAnsi"/>
          <w:sz w:val="20"/>
          <w:szCs w:val="20"/>
          <w:lang w:val="es-ES"/>
        </w:rPr>
        <w:t xml:space="preserve">la </w:t>
      </w:r>
      <w:r w:rsidR="009A0048" w:rsidRPr="00D50D50">
        <w:rPr>
          <w:rFonts w:asciiTheme="majorHAnsi" w:hAnsiTheme="majorHAnsi"/>
          <w:sz w:val="20"/>
          <w:szCs w:val="20"/>
          <w:lang w:val="es-ES"/>
        </w:rPr>
        <w:t>querella</w:t>
      </w:r>
      <w:r w:rsidR="00DE4EF1" w:rsidRPr="00D50D50">
        <w:rPr>
          <w:rFonts w:asciiTheme="majorHAnsi" w:hAnsiTheme="majorHAnsi"/>
          <w:sz w:val="20"/>
          <w:szCs w:val="20"/>
          <w:lang w:val="es-ES"/>
        </w:rPr>
        <w:t xml:space="preserve"> penal de juicio de responsabilidad</w:t>
      </w:r>
      <w:r w:rsidR="009A0048" w:rsidRPr="00D50D50">
        <w:rPr>
          <w:rFonts w:asciiTheme="majorHAnsi" w:hAnsiTheme="majorHAnsi"/>
          <w:sz w:val="20"/>
          <w:szCs w:val="20"/>
          <w:lang w:val="es-ES"/>
        </w:rPr>
        <w:t xml:space="preserve"> de la misma fecha, que básicamente se dirigía contra cuatro de los cinco generales que fueron </w:t>
      </w:r>
      <w:r w:rsidR="00D608FE" w:rsidRPr="00D50D50">
        <w:rPr>
          <w:rFonts w:asciiTheme="majorHAnsi" w:hAnsiTheme="majorHAnsi"/>
          <w:sz w:val="20"/>
          <w:szCs w:val="20"/>
          <w:lang w:val="es-ES"/>
        </w:rPr>
        <w:t>condenados por la sentencia de</w:t>
      </w:r>
      <w:r w:rsidR="009A0048" w:rsidRPr="00D50D50">
        <w:rPr>
          <w:rFonts w:asciiTheme="majorHAnsi" w:hAnsiTheme="majorHAnsi"/>
          <w:sz w:val="20"/>
          <w:szCs w:val="20"/>
          <w:lang w:val="es-ES"/>
        </w:rPr>
        <w:t xml:space="preserve"> 4 de octubre de 20</w:t>
      </w:r>
      <w:r w:rsidR="00665062" w:rsidRPr="00D50D50">
        <w:rPr>
          <w:rFonts w:asciiTheme="majorHAnsi" w:hAnsiTheme="majorHAnsi"/>
          <w:sz w:val="20"/>
          <w:szCs w:val="20"/>
          <w:lang w:val="es-ES"/>
        </w:rPr>
        <w:t>1</w:t>
      </w:r>
      <w:r w:rsidR="009A0048" w:rsidRPr="00D50D50">
        <w:rPr>
          <w:rFonts w:asciiTheme="majorHAnsi" w:hAnsiTheme="majorHAnsi"/>
          <w:sz w:val="20"/>
          <w:szCs w:val="20"/>
          <w:lang w:val="es-ES"/>
        </w:rPr>
        <w:t xml:space="preserve">1. </w:t>
      </w:r>
      <w:r w:rsidR="002650C1" w:rsidRPr="00D50D50">
        <w:rPr>
          <w:rFonts w:asciiTheme="majorHAnsi" w:hAnsiTheme="majorHAnsi"/>
          <w:sz w:val="20"/>
          <w:szCs w:val="20"/>
          <w:lang w:val="es-ES"/>
        </w:rPr>
        <w:t>La parte peticionaria a</w:t>
      </w:r>
      <w:r w:rsidR="009A0048" w:rsidRPr="00D50D50">
        <w:rPr>
          <w:rFonts w:asciiTheme="majorHAnsi" w:hAnsiTheme="majorHAnsi"/>
          <w:sz w:val="20"/>
          <w:szCs w:val="20"/>
          <w:lang w:val="es-ES"/>
        </w:rPr>
        <w:t>rgumenta que en dicha querella no se incluyó a</w:t>
      </w:r>
      <w:r w:rsidR="0068419D" w:rsidRPr="00D50D50">
        <w:rPr>
          <w:rFonts w:asciiTheme="majorHAnsi" w:hAnsiTheme="majorHAnsi"/>
          <w:sz w:val="20"/>
          <w:szCs w:val="20"/>
          <w:lang w:val="es-ES"/>
        </w:rPr>
        <w:t>l General</w:t>
      </w:r>
      <w:r w:rsidR="009A0048" w:rsidRPr="00D50D50">
        <w:rPr>
          <w:rFonts w:asciiTheme="majorHAnsi" w:hAnsiTheme="majorHAnsi"/>
          <w:sz w:val="20"/>
          <w:szCs w:val="20"/>
          <w:lang w:val="es-ES"/>
        </w:rPr>
        <w:t xml:space="preserve"> Gonzalo Alberto </w:t>
      </w:r>
      <w:proofErr w:type="spellStart"/>
      <w:r w:rsidR="009A0048" w:rsidRPr="00D50D50">
        <w:rPr>
          <w:rFonts w:asciiTheme="majorHAnsi" w:hAnsiTheme="majorHAnsi"/>
          <w:sz w:val="20"/>
          <w:szCs w:val="20"/>
          <w:lang w:val="es-ES"/>
        </w:rPr>
        <w:t>Rocabado</w:t>
      </w:r>
      <w:proofErr w:type="spellEnd"/>
      <w:r w:rsidR="009A0048" w:rsidRPr="00D50D50">
        <w:rPr>
          <w:rFonts w:asciiTheme="majorHAnsi" w:hAnsiTheme="majorHAnsi"/>
          <w:sz w:val="20"/>
          <w:szCs w:val="20"/>
          <w:lang w:val="es-ES"/>
        </w:rPr>
        <w:t xml:space="preserve"> Mercado, a quien solo se le imputaron delitos un año después a través de la Resolución N</w:t>
      </w:r>
      <w:r w:rsidR="002650C1" w:rsidRPr="00D50D50">
        <w:rPr>
          <w:rFonts w:asciiTheme="majorHAnsi" w:hAnsiTheme="majorHAnsi"/>
          <w:sz w:val="20"/>
          <w:szCs w:val="20"/>
          <w:lang w:val="es-ES"/>
        </w:rPr>
        <w:t>o</w:t>
      </w:r>
      <w:r w:rsidR="009A0048" w:rsidRPr="00D50D50">
        <w:rPr>
          <w:rFonts w:asciiTheme="majorHAnsi" w:hAnsiTheme="majorHAnsi"/>
          <w:sz w:val="20"/>
          <w:szCs w:val="20"/>
          <w:lang w:val="es-ES"/>
        </w:rPr>
        <w:t xml:space="preserve">. 113 de septiembre de 2006. </w:t>
      </w:r>
      <w:r w:rsidR="002650C1" w:rsidRPr="00D50D50">
        <w:rPr>
          <w:rFonts w:asciiTheme="majorHAnsi" w:hAnsiTheme="majorHAnsi"/>
          <w:sz w:val="20"/>
          <w:szCs w:val="20"/>
          <w:lang w:val="es-ES"/>
        </w:rPr>
        <w:t>E</w:t>
      </w:r>
      <w:r w:rsidR="009A0048" w:rsidRPr="00D50D50">
        <w:rPr>
          <w:rFonts w:asciiTheme="majorHAnsi" w:hAnsiTheme="majorHAnsi"/>
          <w:sz w:val="20"/>
          <w:szCs w:val="20"/>
          <w:lang w:val="es-ES"/>
        </w:rPr>
        <w:t xml:space="preserve">l Ministerio Público argumentó que la inclusión del </w:t>
      </w:r>
      <w:r w:rsidR="0068419D" w:rsidRPr="00D50D50">
        <w:rPr>
          <w:rFonts w:asciiTheme="majorHAnsi" w:hAnsiTheme="majorHAnsi"/>
          <w:sz w:val="20"/>
          <w:szCs w:val="20"/>
          <w:lang w:val="es-ES"/>
        </w:rPr>
        <w:t xml:space="preserve">General </w:t>
      </w:r>
      <w:proofErr w:type="spellStart"/>
      <w:r w:rsidR="00665062" w:rsidRPr="00D50D50">
        <w:rPr>
          <w:rFonts w:asciiTheme="majorHAnsi" w:hAnsiTheme="majorHAnsi"/>
          <w:sz w:val="20"/>
          <w:szCs w:val="20"/>
          <w:lang w:val="es-ES"/>
        </w:rPr>
        <w:t>Rocabado</w:t>
      </w:r>
      <w:proofErr w:type="spellEnd"/>
      <w:r w:rsidR="00665062" w:rsidRPr="00D50D50">
        <w:rPr>
          <w:rFonts w:asciiTheme="majorHAnsi" w:hAnsiTheme="majorHAnsi"/>
          <w:sz w:val="20"/>
          <w:szCs w:val="20"/>
          <w:lang w:val="es-ES"/>
        </w:rPr>
        <w:t xml:space="preserve"> Mercado obedecía</w:t>
      </w:r>
      <w:r w:rsidR="009A0048" w:rsidRPr="00D50D50">
        <w:rPr>
          <w:rFonts w:asciiTheme="majorHAnsi" w:hAnsiTheme="majorHAnsi"/>
          <w:sz w:val="20"/>
          <w:szCs w:val="20"/>
          <w:lang w:val="es-ES"/>
        </w:rPr>
        <w:t xml:space="preserve"> a que fue quien reemplazo a</w:t>
      </w:r>
      <w:r w:rsidR="0068419D" w:rsidRPr="00D50D50">
        <w:rPr>
          <w:rFonts w:asciiTheme="majorHAnsi" w:hAnsiTheme="majorHAnsi"/>
          <w:sz w:val="20"/>
          <w:szCs w:val="20"/>
          <w:lang w:val="es-ES"/>
        </w:rPr>
        <w:t>l General</w:t>
      </w:r>
      <w:r w:rsidR="009A0048" w:rsidRPr="00D50D50">
        <w:rPr>
          <w:rFonts w:asciiTheme="majorHAnsi" w:hAnsiTheme="majorHAnsi"/>
          <w:sz w:val="20"/>
          <w:szCs w:val="20"/>
          <w:lang w:val="es-ES"/>
        </w:rPr>
        <w:t xml:space="preserve"> Claros Flores </w:t>
      </w:r>
      <w:r w:rsidR="00FB7856" w:rsidRPr="00D50D50">
        <w:rPr>
          <w:rFonts w:asciiTheme="majorHAnsi" w:hAnsiTheme="majorHAnsi"/>
          <w:sz w:val="20"/>
          <w:szCs w:val="20"/>
          <w:lang w:val="es-ES"/>
        </w:rPr>
        <w:t xml:space="preserve">entre el 20 y 26 de septiembre de 2003, cuando </w:t>
      </w:r>
      <w:r w:rsidR="005D3FEC" w:rsidRPr="00D50D50">
        <w:rPr>
          <w:rFonts w:asciiTheme="majorHAnsi" w:hAnsiTheme="majorHAnsi"/>
          <w:sz w:val="20"/>
          <w:szCs w:val="20"/>
          <w:lang w:val="es-ES"/>
        </w:rPr>
        <w:t>este</w:t>
      </w:r>
      <w:r w:rsidR="002650C1" w:rsidRPr="00D50D50">
        <w:rPr>
          <w:rFonts w:asciiTheme="majorHAnsi" w:hAnsiTheme="majorHAnsi"/>
          <w:sz w:val="20"/>
          <w:szCs w:val="20"/>
          <w:lang w:val="es-ES"/>
        </w:rPr>
        <w:t xml:space="preserve"> </w:t>
      </w:r>
      <w:r w:rsidR="00FB7856" w:rsidRPr="00D50D50">
        <w:rPr>
          <w:rFonts w:asciiTheme="majorHAnsi" w:hAnsiTheme="majorHAnsi"/>
          <w:sz w:val="20"/>
          <w:szCs w:val="20"/>
          <w:lang w:val="es-ES"/>
        </w:rPr>
        <w:t>se encontraba fuera de Bolivia.</w:t>
      </w:r>
      <w:r w:rsidR="00DE4EF1" w:rsidRPr="00D50D50">
        <w:rPr>
          <w:rFonts w:asciiTheme="majorHAnsi" w:hAnsiTheme="majorHAnsi"/>
          <w:sz w:val="20"/>
          <w:szCs w:val="20"/>
          <w:lang w:val="es-ES"/>
        </w:rPr>
        <w:t xml:space="preserve"> Los delitos por los que se acus</w:t>
      </w:r>
      <w:r w:rsidR="002650C1" w:rsidRPr="00D50D50">
        <w:rPr>
          <w:rFonts w:asciiTheme="majorHAnsi" w:hAnsiTheme="majorHAnsi"/>
          <w:sz w:val="20"/>
          <w:szCs w:val="20"/>
          <w:lang w:val="es-ES"/>
        </w:rPr>
        <w:t>ó</w:t>
      </w:r>
      <w:r w:rsidR="00DE4EF1" w:rsidRPr="00D50D50">
        <w:rPr>
          <w:rFonts w:asciiTheme="majorHAnsi" w:hAnsiTheme="majorHAnsi"/>
          <w:sz w:val="20"/>
          <w:szCs w:val="20"/>
          <w:lang w:val="es-ES"/>
        </w:rPr>
        <w:t xml:space="preserve"> a todas las personas mencionadas incluían homicidio, asesinato, lesiones gravísimas, lesiones graves y leves, lesión seguida de muerte y privación de la </w:t>
      </w:r>
      <w:r w:rsidR="00DE4EF1" w:rsidRPr="00D50D50">
        <w:rPr>
          <w:rFonts w:asciiTheme="majorHAnsi" w:hAnsiTheme="majorHAnsi"/>
          <w:sz w:val="20"/>
          <w:szCs w:val="20"/>
          <w:lang w:val="es-ES"/>
        </w:rPr>
        <w:lastRenderedPageBreak/>
        <w:t>libertad</w:t>
      </w:r>
      <w:r w:rsidR="002650C1" w:rsidRPr="00D50D50">
        <w:rPr>
          <w:rFonts w:asciiTheme="majorHAnsi" w:hAnsiTheme="majorHAnsi"/>
          <w:sz w:val="20"/>
          <w:szCs w:val="20"/>
          <w:lang w:val="es-ES"/>
        </w:rPr>
        <w:t>,</w:t>
      </w:r>
      <w:r w:rsidR="00DE4EF1" w:rsidRPr="00D50D50">
        <w:rPr>
          <w:rFonts w:asciiTheme="majorHAnsi" w:hAnsiTheme="majorHAnsi"/>
          <w:sz w:val="20"/>
          <w:szCs w:val="20"/>
          <w:lang w:val="es-ES"/>
        </w:rPr>
        <w:t xml:space="preserve"> contenidas en el Código Penal boliviano. </w:t>
      </w:r>
      <w:r w:rsidR="002650C1" w:rsidRPr="00D50D50">
        <w:rPr>
          <w:rFonts w:asciiTheme="majorHAnsi" w:hAnsiTheme="majorHAnsi"/>
          <w:sz w:val="20"/>
          <w:szCs w:val="20"/>
          <w:lang w:val="es-ES"/>
        </w:rPr>
        <w:t>L</w:t>
      </w:r>
      <w:r w:rsidR="00DE4EF1" w:rsidRPr="00D50D50">
        <w:rPr>
          <w:rFonts w:asciiTheme="majorHAnsi" w:hAnsiTheme="majorHAnsi"/>
          <w:sz w:val="20"/>
          <w:szCs w:val="20"/>
          <w:lang w:val="es-ES"/>
        </w:rPr>
        <w:t xml:space="preserve">a parte peticionaria </w:t>
      </w:r>
      <w:r w:rsidR="002650C1" w:rsidRPr="00D50D50">
        <w:rPr>
          <w:rFonts w:asciiTheme="majorHAnsi" w:hAnsiTheme="majorHAnsi"/>
          <w:sz w:val="20"/>
          <w:szCs w:val="20"/>
          <w:lang w:val="es-ES"/>
        </w:rPr>
        <w:t xml:space="preserve">asegura </w:t>
      </w:r>
      <w:r w:rsidR="00DE4EF1" w:rsidRPr="00D50D50">
        <w:rPr>
          <w:rFonts w:asciiTheme="majorHAnsi" w:hAnsiTheme="majorHAnsi"/>
          <w:sz w:val="20"/>
          <w:szCs w:val="20"/>
          <w:lang w:val="es-ES"/>
        </w:rPr>
        <w:t xml:space="preserve">que la acusación no identificaba </w:t>
      </w:r>
      <w:r w:rsidR="002650C1" w:rsidRPr="00D50D50">
        <w:rPr>
          <w:rFonts w:asciiTheme="majorHAnsi" w:hAnsiTheme="majorHAnsi"/>
          <w:sz w:val="20"/>
          <w:szCs w:val="20"/>
          <w:lang w:val="es-ES"/>
        </w:rPr>
        <w:t xml:space="preserve">el grado de responsabilidad de </w:t>
      </w:r>
      <w:r w:rsidR="00DE4EF1" w:rsidRPr="00D50D50">
        <w:rPr>
          <w:rFonts w:asciiTheme="majorHAnsi" w:hAnsiTheme="majorHAnsi"/>
          <w:sz w:val="20"/>
          <w:szCs w:val="20"/>
          <w:lang w:val="es-ES"/>
        </w:rPr>
        <w:t xml:space="preserve">cada una de las personas imputadas </w:t>
      </w:r>
      <w:r w:rsidR="002650C1" w:rsidRPr="00D50D50">
        <w:rPr>
          <w:rFonts w:asciiTheme="majorHAnsi" w:hAnsiTheme="majorHAnsi"/>
          <w:sz w:val="20"/>
          <w:szCs w:val="20"/>
          <w:lang w:val="es-ES"/>
        </w:rPr>
        <w:t xml:space="preserve">en </w:t>
      </w:r>
      <w:r w:rsidR="00DE4EF1" w:rsidRPr="00D50D50">
        <w:rPr>
          <w:rFonts w:asciiTheme="majorHAnsi" w:hAnsiTheme="majorHAnsi"/>
          <w:sz w:val="20"/>
          <w:szCs w:val="20"/>
          <w:lang w:val="es-ES"/>
        </w:rPr>
        <w:t xml:space="preserve">los delitos de </w:t>
      </w:r>
      <w:r w:rsidR="002650C1" w:rsidRPr="00D50D50">
        <w:rPr>
          <w:rFonts w:asciiTheme="majorHAnsi" w:hAnsiTheme="majorHAnsi"/>
          <w:sz w:val="20"/>
          <w:szCs w:val="20"/>
          <w:lang w:val="es-ES"/>
        </w:rPr>
        <w:t xml:space="preserve">los que eran </w:t>
      </w:r>
      <w:r w:rsidR="00DE4EF1" w:rsidRPr="00D50D50">
        <w:rPr>
          <w:rFonts w:asciiTheme="majorHAnsi" w:hAnsiTheme="majorHAnsi"/>
          <w:sz w:val="20"/>
          <w:szCs w:val="20"/>
          <w:lang w:val="es-ES"/>
        </w:rPr>
        <w:t>acusa</w:t>
      </w:r>
      <w:r w:rsidR="002650C1" w:rsidRPr="00D50D50">
        <w:rPr>
          <w:rFonts w:asciiTheme="majorHAnsi" w:hAnsiTheme="majorHAnsi"/>
          <w:sz w:val="20"/>
          <w:szCs w:val="20"/>
          <w:lang w:val="es-ES"/>
        </w:rPr>
        <w:t>dos</w:t>
      </w:r>
      <w:r w:rsidR="00DE4EF1" w:rsidRPr="00D50D50">
        <w:rPr>
          <w:rFonts w:asciiTheme="majorHAnsi" w:hAnsiTheme="majorHAnsi"/>
          <w:sz w:val="20"/>
          <w:szCs w:val="20"/>
          <w:lang w:val="es-ES"/>
        </w:rPr>
        <w:t>.</w:t>
      </w:r>
    </w:p>
    <w:p w14:paraId="57E1A041" w14:textId="77777777" w:rsidR="002650C1" w:rsidRPr="00D50D50" w:rsidRDefault="002650C1" w:rsidP="005D3FE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0CD6A2A9" w14:textId="05CEE4CB" w:rsidR="0092215E" w:rsidRPr="00D50D50" w:rsidRDefault="00613972" w:rsidP="00FB76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 xml:space="preserve">La parte peticionaria argumenta </w:t>
      </w:r>
      <w:r w:rsidR="002650C1" w:rsidRPr="00D50D50">
        <w:rPr>
          <w:rFonts w:asciiTheme="majorHAnsi" w:hAnsiTheme="majorHAnsi"/>
          <w:sz w:val="20"/>
          <w:szCs w:val="20"/>
          <w:lang w:val="es-ES"/>
        </w:rPr>
        <w:t xml:space="preserve">asimismo </w:t>
      </w:r>
      <w:r w:rsidRPr="00D50D50">
        <w:rPr>
          <w:rFonts w:asciiTheme="majorHAnsi" w:hAnsiTheme="majorHAnsi"/>
          <w:sz w:val="20"/>
          <w:szCs w:val="20"/>
          <w:lang w:val="es-ES"/>
        </w:rPr>
        <w:t xml:space="preserve">que en el proceso penal contra las presuntas víctimas </w:t>
      </w:r>
      <w:r w:rsidR="002650C1" w:rsidRPr="00D50D50">
        <w:rPr>
          <w:rFonts w:asciiTheme="majorHAnsi" w:hAnsiTheme="majorHAnsi"/>
          <w:sz w:val="20"/>
          <w:szCs w:val="20"/>
          <w:lang w:val="es-ES"/>
        </w:rPr>
        <w:t xml:space="preserve">hubo </w:t>
      </w:r>
      <w:r w:rsidRPr="00D50D50">
        <w:rPr>
          <w:rFonts w:asciiTheme="majorHAnsi" w:hAnsiTheme="majorHAnsi"/>
          <w:sz w:val="20"/>
          <w:szCs w:val="20"/>
          <w:lang w:val="es-ES"/>
        </w:rPr>
        <w:t xml:space="preserve">falta de imparcialidad de los jueces </w:t>
      </w:r>
      <w:r w:rsidR="002650C1" w:rsidRPr="00D50D50">
        <w:rPr>
          <w:rFonts w:asciiTheme="majorHAnsi" w:hAnsiTheme="majorHAnsi"/>
          <w:sz w:val="20"/>
          <w:szCs w:val="20"/>
          <w:lang w:val="es-ES"/>
        </w:rPr>
        <w:t>intervinientes</w:t>
      </w:r>
      <w:r w:rsidRPr="00D50D50">
        <w:rPr>
          <w:rFonts w:asciiTheme="majorHAnsi" w:hAnsiTheme="majorHAnsi"/>
          <w:sz w:val="20"/>
          <w:szCs w:val="20"/>
          <w:lang w:val="es-ES"/>
        </w:rPr>
        <w:t xml:space="preserve">, </w:t>
      </w:r>
      <w:r w:rsidR="002650C1" w:rsidRPr="00D50D50">
        <w:rPr>
          <w:rFonts w:asciiTheme="majorHAnsi" w:hAnsiTheme="majorHAnsi"/>
          <w:sz w:val="20"/>
          <w:szCs w:val="20"/>
          <w:lang w:val="es-ES"/>
        </w:rPr>
        <w:t>por lo que</w:t>
      </w:r>
      <w:r w:rsidRPr="00D50D50">
        <w:rPr>
          <w:rFonts w:asciiTheme="majorHAnsi" w:hAnsiTheme="majorHAnsi"/>
          <w:sz w:val="20"/>
          <w:szCs w:val="20"/>
          <w:lang w:val="es-ES"/>
        </w:rPr>
        <w:t xml:space="preserve"> e</w:t>
      </w:r>
      <w:r w:rsidR="0003526D" w:rsidRPr="00D50D50">
        <w:rPr>
          <w:rFonts w:asciiTheme="majorHAnsi" w:hAnsiTheme="majorHAnsi"/>
          <w:sz w:val="20"/>
          <w:szCs w:val="20"/>
          <w:lang w:val="es-ES"/>
        </w:rPr>
        <w:t>n e</w:t>
      </w:r>
      <w:r w:rsidR="00D70157" w:rsidRPr="00D50D50">
        <w:rPr>
          <w:rFonts w:asciiTheme="majorHAnsi" w:hAnsiTheme="majorHAnsi"/>
          <w:sz w:val="20"/>
          <w:szCs w:val="20"/>
          <w:lang w:val="es-ES"/>
        </w:rPr>
        <w:t>nero de 2007 el abogado del ex</w:t>
      </w:r>
      <w:r w:rsidR="00281F7A" w:rsidRPr="00D50D50">
        <w:rPr>
          <w:rFonts w:asciiTheme="majorHAnsi" w:hAnsiTheme="majorHAnsi"/>
          <w:sz w:val="20"/>
          <w:szCs w:val="20"/>
          <w:lang w:val="es-ES"/>
        </w:rPr>
        <w:t>m</w:t>
      </w:r>
      <w:r w:rsidR="00D70157" w:rsidRPr="00D50D50">
        <w:rPr>
          <w:rFonts w:asciiTheme="majorHAnsi" w:hAnsiTheme="majorHAnsi"/>
          <w:sz w:val="20"/>
          <w:szCs w:val="20"/>
          <w:lang w:val="es-ES"/>
        </w:rPr>
        <w:t xml:space="preserve">inistro Álvaro René Rojas Revuelta presentó una solicitud de recusación de </w:t>
      </w:r>
      <w:r w:rsidR="002650C1" w:rsidRPr="00D50D50">
        <w:rPr>
          <w:rFonts w:asciiTheme="majorHAnsi" w:hAnsiTheme="majorHAnsi"/>
          <w:sz w:val="20"/>
          <w:szCs w:val="20"/>
          <w:lang w:val="es-ES"/>
        </w:rPr>
        <w:t xml:space="preserve">dos </w:t>
      </w:r>
      <w:r w:rsidR="00D70157" w:rsidRPr="00D50D50">
        <w:rPr>
          <w:rFonts w:asciiTheme="majorHAnsi" w:hAnsiTheme="majorHAnsi"/>
          <w:sz w:val="20"/>
          <w:szCs w:val="20"/>
          <w:lang w:val="es-ES"/>
        </w:rPr>
        <w:t xml:space="preserve">jueces </w:t>
      </w:r>
      <w:r w:rsidR="002650C1" w:rsidRPr="00D50D50">
        <w:rPr>
          <w:rFonts w:asciiTheme="majorHAnsi" w:hAnsiTheme="majorHAnsi"/>
          <w:sz w:val="20"/>
          <w:szCs w:val="20"/>
          <w:lang w:val="es-ES"/>
        </w:rPr>
        <w:t>que</w:t>
      </w:r>
      <w:r w:rsidR="00D70157" w:rsidRPr="00D50D50">
        <w:rPr>
          <w:rFonts w:asciiTheme="majorHAnsi" w:hAnsiTheme="majorHAnsi"/>
          <w:sz w:val="20"/>
          <w:szCs w:val="20"/>
          <w:lang w:val="es-ES"/>
        </w:rPr>
        <w:t xml:space="preserve"> hab</w:t>
      </w:r>
      <w:r w:rsidR="002650C1" w:rsidRPr="00D50D50">
        <w:rPr>
          <w:rFonts w:asciiTheme="majorHAnsi" w:hAnsiTheme="majorHAnsi"/>
          <w:sz w:val="20"/>
          <w:szCs w:val="20"/>
          <w:lang w:val="es-ES"/>
        </w:rPr>
        <w:t>r</w:t>
      </w:r>
      <w:r w:rsidR="00D70157" w:rsidRPr="00D50D50">
        <w:rPr>
          <w:rFonts w:asciiTheme="majorHAnsi" w:hAnsiTheme="majorHAnsi"/>
          <w:sz w:val="20"/>
          <w:szCs w:val="20"/>
          <w:lang w:val="es-ES"/>
        </w:rPr>
        <w:t xml:space="preserve">ían sido nombrados </w:t>
      </w:r>
      <w:r w:rsidR="002650C1" w:rsidRPr="00D50D50">
        <w:rPr>
          <w:rFonts w:asciiTheme="majorHAnsi" w:hAnsiTheme="majorHAnsi"/>
          <w:sz w:val="20"/>
          <w:szCs w:val="20"/>
          <w:lang w:val="es-ES"/>
        </w:rPr>
        <w:t>mediante un d</w:t>
      </w:r>
      <w:r w:rsidR="00D70157" w:rsidRPr="00D50D50">
        <w:rPr>
          <w:rFonts w:asciiTheme="majorHAnsi" w:hAnsiTheme="majorHAnsi"/>
          <w:sz w:val="20"/>
          <w:szCs w:val="20"/>
          <w:lang w:val="es-ES"/>
        </w:rPr>
        <w:t xml:space="preserve">ecreto </w:t>
      </w:r>
      <w:r w:rsidR="002650C1" w:rsidRPr="00D50D50">
        <w:rPr>
          <w:rFonts w:asciiTheme="majorHAnsi" w:hAnsiTheme="majorHAnsi"/>
          <w:sz w:val="20"/>
          <w:szCs w:val="20"/>
          <w:lang w:val="es-ES"/>
        </w:rPr>
        <w:t>del entonces Presidente</w:t>
      </w:r>
      <w:r w:rsidR="00D70157" w:rsidRPr="00D50D50">
        <w:rPr>
          <w:rFonts w:asciiTheme="majorHAnsi" w:hAnsiTheme="majorHAnsi"/>
          <w:sz w:val="20"/>
          <w:szCs w:val="20"/>
          <w:lang w:val="es-ES"/>
        </w:rPr>
        <w:t xml:space="preserve"> Evo Morales</w:t>
      </w:r>
      <w:r w:rsidR="005D3FEC" w:rsidRPr="00D50D50">
        <w:rPr>
          <w:rFonts w:asciiTheme="majorHAnsi" w:hAnsiTheme="majorHAnsi"/>
          <w:sz w:val="20"/>
          <w:szCs w:val="20"/>
          <w:lang w:val="es-ES"/>
        </w:rPr>
        <w:t xml:space="preserve"> </w:t>
      </w:r>
      <w:proofErr w:type="spellStart"/>
      <w:r w:rsidR="005D3FEC" w:rsidRPr="00D50D50">
        <w:rPr>
          <w:rFonts w:asciiTheme="majorHAnsi" w:hAnsiTheme="majorHAnsi"/>
          <w:sz w:val="20"/>
          <w:szCs w:val="20"/>
          <w:lang w:val="es-ES"/>
        </w:rPr>
        <w:t>Ayma</w:t>
      </w:r>
      <w:proofErr w:type="spellEnd"/>
      <w:r w:rsidR="00D70157" w:rsidRPr="00D50D50">
        <w:rPr>
          <w:rFonts w:asciiTheme="majorHAnsi" w:hAnsiTheme="majorHAnsi"/>
          <w:sz w:val="20"/>
          <w:szCs w:val="20"/>
          <w:lang w:val="es-ES"/>
        </w:rPr>
        <w:t xml:space="preserve">. </w:t>
      </w:r>
      <w:r w:rsidR="007A6A23" w:rsidRPr="00D50D50">
        <w:rPr>
          <w:rFonts w:asciiTheme="majorHAnsi" w:hAnsiTheme="majorHAnsi"/>
          <w:sz w:val="20"/>
          <w:szCs w:val="20"/>
          <w:lang w:val="es-ES"/>
        </w:rPr>
        <w:t>D</w:t>
      </w:r>
      <w:r w:rsidR="00510A90" w:rsidRPr="00D50D50">
        <w:rPr>
          <w:rFonts w:asciiTheme="majorHAnsi" w:hAnsiTheme="majorHAnsi"/>
          <w:sz w:val="20"/>
          <w:szCs w:val="20"/>
          <w:lang w:val="es-ES"/>
        </w:rPr>
        <w:t xml:space="preserve">icha recusación fue rechazada por los </w:t>
      </w:r>
      <w:r w:rsidR="002650C1" w:rsidRPr="00D50D50">
        <w:rPr>
          <w:rFonts w:asciiTheme="majorHAnsi" w:hAnsiTheme="majorHAnsi"/>
          <w:sz w:val="20"/>
          <w:szCs w:val="20"/>
          <w:lang w:val="es-ES"/>
        </w:rPr>
        <w:t xml:space="preserve">propios </w:t>
      </w:r>
      <w:r w:rsidR="00E07A59" w:rsidRPr="00D50D50">
        <w:rPr>
          <w:rFonts w:asciiTheme="majorHAnsi" w:hAnsiTheme="majorHAnsi"/>
          <w:sz w:val="20"/>
          <w:szCs w:val="20"/>
          <w:lang w:val="es-ES"/>
        </w:rPr>
        <w:t xml:space="preserve">jueces </w:t>
      </w:r>
      <w:r w:rsidR="002650C1" w:rsidRPr="00D50D50">
        <w:rPr>
          <w:rFonts w:asciiTheme="majorHAnsi" w:hAnsiTheme="majorHAnsi"/>
          <w:sz w:val="20"/>
          <w:szCs w:val="20"/>
          <w:lang w:val="es-ES"/>
        </w:rPr>
        <w:t xml:space="preserve">cuestionados </w:t>
      </w:r>
      <w:r w:rsidR="00510A90" w:rsidRPr="00D50D50">
        <w:rPr>
          <w:rFonts w:asciiTheme="majorHAnsi" w:hAnsiTheme="majorHAnsi"/>
          <w:sz w:val="20"/>
          <w:szCs w:val="20"/>
          <w:lang w:val="es-ES"/>
        </w:rPr>
        <w:t xml:space="preserve">bajo el argumento de que no </w:t>
      </w:r>
      <w:r w:rsidR="002650C1" w:rsidRPr="00D50D50">
        <w:rPr>
          <w:rFonts w:asciiTheme="majorHAnsi" w:hAnsiTheme="majorHAnsi"/>
          <w:sz w:val="20"/>
          <w:szCs w:val="20"/>
          <w:lang w:val="es-ES"/>
        </w:rPr>
        <w:t xml:space="preserve">se había </w:t>
      </w:r>
      <w:r w:rsidR="00510A90" w:rsidRPr="00D50D50">
        <w:rPr>
          <w:rFonts w:asciiTheme="majorHAnsi" w:hAnsiTheme="majorHAnsi"/>
          <w:sz w:val="20"/>
          <w:szCs w:val="20"/>
          <w:lang w:val="es-ES"/>
        </w:rPr>
        <w:t>demostra</w:t>
      </w:r>
      <w:r w:rsidR="002650C1" w:rsidRPr="00D50D50">
        <w:rPr>
          <w:rFonts w:asciiTheme="majorHAnsi" w:hAnsiTheme="majorHAnsi"/>
          <w:sz w:val="20"/>
          <w:szCs w:val="20"/>
          <w:lang w:val="es-ES"/>
        </w:rPr>
        <w:t>do</w:t>
      </w:r>
      <w:r w:rsidR="00510A90" w:rsidRPr="00D50D50">
        <w:rPr>
          <w:rFonts w:asciiTheme="majorHAnsi" w:hAnsiTheme="majorHAnsi"/>
          <w:sz w:val="20"/>
          <w:szCs w:val="20"/>
          <w:lang w:val="es-ES"/>
        </w:rPr>
        <w:t xml:space="preserve"> </w:t>
      </w:r>
      <w:r w:rsidR="002650C1" w:rsidRPr="00D50D50">
        <w:rPr>
          <w:rFonts w:asciiTheme="majorHAnsi" w:hAnsiTheme="majorHAnsi"/>
          <w:sz w:val="20"/>
          <w:szCs w:val="20"/>
          <w:lang w:val="es-ES"/>
        </w:rPr>
        <w:t xml:space="preserve">de manera </w:t>
      </w:r>
      <w:r w:rsidR="00510A90" w:rsidRPr="00D50D50">
        <w:rPr>
          <w:rFonts w:asciiTheme="majorHAnsi" w:hAnsiTheme="majorHAnsi"/>
          <w:sz w:val="20"/>
          <w:szCs w:val="20"/>
          <w:lang w:val="es-ES"/>
        </w:rPr>
        <w:t>suficient</w:t>
      </w:r>
      <w:r w:rsidR="00E07A59" w:rsidRPr="00D50D50">
        <w:rPr>
          <w:rFonts w:asciiTheme="majorHAnsi" w:hAnsiTheme="majorHAnsi"/>
          <w:sz w:val="20"/>
          <w:szCs w:val="20"/>
          <w:lang w:val="es-ES"/>
        </w:rPr>
        <w:t xml:space="preserve">e </w:t>
      </w:r>
      <w:r w:rsidR="002650C1" w:rsidRPr="00D50D50">
        <w:rPr>
          <w:rFonts w:asciiTheme="majorHAnsi" w:hAnsiTheme="majorHAnsi"/>
          <w:sz w:val="20"/>
          <w:szCs w:val="20"/>
          <w:lang w:val="es-ES"/>
        </w:rPr>
        <w:t xml:space="preserve">la supuesta </w:t>
      </w:r>
      <w:r w:rsidR="00510A90" w:rsidRPr="00D50D50">
        <w:rPr>
          <w:rFonts w:asciiTheme="majorHAnsi" w:hAnsiTheme="majorHAnsi"/>
          <w:sz w:val="20"/>
          <w:szCs w:val="20"/>
          <w:lang w:val="es-ES"/>
        </w:rPr>
        <w:t>rela</w:t>
      </w:r>
      <w:r w:rsidR="00E07A59" w:rsidRPr="00D50D50">
        <w:rPr>
          <w:rFonts w:asciiTheme="majorHAnsi" w:hAnsiTheme="majorHAnsi"/>
          <w:sz w:val="20"/>
          <w:szCs w:val="20"/>
          <w:lang w:val="es-ES"/>
        </w:rPr>
        <w:t xml:space="preserve">ción de amistad entre </w:t>
      </w:r>
      <w:r w:rsidR="002650C1" w:rsidRPr="00D50D50">
        <w:rPr>
          <w:rFonts w:asciiTheme="majorHAnsi" w:hAnsiTheme="majorHAnsi"/>
          <w:sz w:val="20"/>
          <w:szCs w:val="20"/>
          <w:lang w:val="es-ES"/>
        </w:rPr>
        <w:t xml:space="preserve">ellos </w:t>
      </w:r>
      <w:r w:rsidR="00510A90" w:rsidRPr="00D50D50">
        <w:rPr>
          <w:rFonts w:asciiTheme="majorHAnsi" w:hAnsiTheme="majorHAnsi"/>
          <w:sz w:val="20"/>
          <w:szCs w:val="20"/>
          <w:lang w:val="es-ES"/>
        </w:rPr>
        <w:t xml:space="preserve">y </w:t>
      </w:r>
      <w:r w:rsidR="002650C1" w:rsidRPr="00D50D50">
        <w:rPr>
          <w:rFonts w:asciiTheme="majorHAnsi" w:hAnsiTheme="majorHAnsi"/>
          <w:sz w:val="20"/>
          <w:szCs w:val="20"/>
          <w:lang w:val="es-ES"/>
        </w:rPr>
        <w:t>el Presidente</w:t>
      </w:r>
      <w:r w:rsidR="00510A90" w:rsidRPr="00D50D50">
        <w:rPr>
          <w:rFonts w:asciiTheme="majorHAnsi" w:hAnsiTheme="majorHAnsi"/>
          <w:sz w:val="20"/>
          <w:szCs w:val="20"/>
          <w:lang w:val="es-ES"/>
        </w:rPr>
        <w:t xml:space="preserve"> Morales</w:t>
      </w:r>
      <w:r w:rsidR="0093237A" w:rsidRPr="00D50D50">
        <w:rPr>
          <w:rFonts w:asciiTheme="majorHAnsi" w:hAnsiTheme="majorHAnsi"/>
          <w:sz w:val="20"/>
          <w:szCs w:val="20"/>
          <w:lang w:val="es-ES"/>
        </w:rPr>
        <w:t xml:space="preserve">. </w:t>
      </w:r>
      <w:r w:rsidR="002650C1" w:rsidRPr="00D50D50">
        <w:rPr>
          <w:rFonts w:asciiTheme="majorHAnsi" w:hAnsiTheme="majorHAnsi"/>
          <w:sz w:val="20"/>
          <w:szCs w:val="20"/>
          <w:lang w:val="es-ES"/>
        </w:rPr>
        <w:t>El</w:t>
      </w:r>
      <w:r w:rsidR="0093237A" w:rsidRPr="00D50D50">
        <w:rPr>
          <w:rFonts w:asciiTheme="majorHAnsi" w:hAnsiTheme="majorHAnsi"/>
          <w:sz w:val="20"/>
          <w:szCs w:val="20"/>
          <w:lang w:val="es-ES"/>
        </w:rPr>
        <w:t xml:space="preserve"> 16 de Julio de 2007</w:t>
      </w:r>
      <w:r w:rsidR="00D70157" w:rsidRPr="00D50D50">
        <w:rPr>
          <w:rFonts w:asciiTheme="majorHAnsi" w:hAnsiTheme="majorHAnsi"/>
          <w:sz w:val="20"/>
          <w:szCs w:val="20"/>
          <w:lang w:val="es-ES"/>
        </w:rPr>
        <w:t xml:space="preserve"> </w:t>
      </w:r>
      <w:r w:rsidR="0093237A" w:rsidRPr="00D50D50">
        <w:rPr>
          <w:rFonts w:asciiTheme="majorHAnsi" w:hAnsiTheme="majorHAnsi"/>
          <w:sz w:val="20"/>
          <w:szCs w:val="20"/>
          <w:lang w:val="es-ES"/>
        </w:rPr>
        <w:t xml:space="preserve">el General </w:t>
      </w:r>
      <w:r w:rsidR="0068419D" w:rsidRPr="00D50D50">
        <w:rPr>
          <w:rFonts w:asciiTheme="majorHAnsi" w:hAnsiTheme="majorHAnsi"/>
          <w:sz w:val="20"/>
          <w:szCs w:val="20"/>
          <w:lang w:val="es-ES"/>
        </w:rPr>
        <w:t>Véliz</w:t>
      </w:r>
      <w:r w:rsidR="0093237A" w:rsidRPr="00D50D50">
        <w:rPr>
          <w:rFonts w:asciiTheme="majorHAnsi" w:hAnsiTheme="majorHAnsi"/>
          <w:sz w:val="20"/>
          <w:szCs w:val="20"/>
          <w:lang w:val="es-ES"/>
        </w:rPr>
        <w:t xml:space="preserve"> Herrera presentó un recurso indirecto </w:t>
      </w:r>
      <w:r w:rsidR="002650C1" w:rsidRPr="00D50D50">
        <w:rPr>
          <w:rFonts w:asciiTheme="majorHAnsi" w:hAnsiTheme="majorHAnsi"/>
          <w:sz w:val="20"/>
          <w:szCs w:val="20"/>
          <w:lang w:val="es-ES"/>
        </w:rPr>
        <w:t xml:space="preserve">de inconstitucionalidad </w:t>
      </w:r>
      <w:r w:rsidR="005C79FB" w:rsidRPr="00D50D50">
        <w:rPr>
          <w:rFonts w:asciiTheme="majorHAnsi" w:hAnsiTheme="majorHAnsi"/>
          <w:sz w:val="20"/>
          <w:szCs w:val="20"/>
          <w:lang w:val="es-ES"/>
        </w:rPr>
        <w:t xml:space="preserve">ante el Tribunal de </w:t>
      </w:r>
      <w:r w:rsidR="002650C1" w:rsidRPr="00D50D50">
        <w:rPr>
          <w:rFonts w:asciiTheme="majorHAnsi" w:hAnsiTheme="majorHAnsi"/>
          <w:sz w:val="20"/>
          <w:szCs w:val="20"/>
          <w:lang w:val="es-ES"/>
        </w:rPr>
        <w:t>J</w:t>
      </w:r>
      <w:r w:rsidR="005C79FB" w:rsidRPr="00D50D50">
        <w:rPr>
          <w:rFonts w:asciiTheme="majorHAnsi" w:hAnsiTheme="majorHAnsi"/>
          <w:sz w:val="20"/>
          <w:szCs w:val="20"/>
          <w:lang w:val="es-ES"/>
        </w:rPr>
        <w:t>uicio de R</w:t>
      </w:r>
      <w:r w:rsidR="0093237A" w:rsidRPr="00D50D50">
        <w:rPr>
          <w:rFonts w:asciiTheme="majorHAnsi" w:hAnsiTheme="majorHAnsi"/>
          <w:sz w:val="20"/>
          <w:szCs w:val="20"/>
          <w:lang w:val="es-ES"/>
        </w:rPr>
        <w:t xml:space="preserve">esponsabilidad </w:t>
      </w:r>
      <w:r w:rsidR="00186A95" w:rsidRPr="00D50D50">
        <w:rPr>
          <w:rFonts w:asciiTheme="majorHAnsi" w:hAnsiTheme="majorHAnsi"/>
          <w:sz w:val="20"/>
          <w:szCs w:val="20"/>
          <w:lang w:val="es-ES"/>
        </w:rPr>
        <w:t xml:space="preserve">respecto al </w:t>
      </w:r>
      <w:r w:rsidR="002650C1" w:rsidRPr="00D50D50">
        <w:rPr>
          <w:rFonts w:asciiTheme="majorHAnsi" w:hAnsiTheme="majorHAnsi"/>
          <w:sz w:val="20"/>
          <w:szCs w:val="20"/>
          <w:lang w:val="es-ES"/>
        </w:rPr>
        <w:t xml:space="preserve">artículo </w:t>
      </w:r>
      <w:r w:rsidR="0093237A" w:rsidRPr="00D50D50">
        <w:rPr>
          <w:rFonts w:asciiTheme="majorHAnsi" w:hAnsiTheme="majorHAnsi"/>
          <w:sz w:val="20"/>
          <w:szCs w:val="20"/>
          <w:lang w:val="es-ES"/>
        </w:rPr>
        <w:t xml:space="preserve">313 del Código de Procedimiento Penal que se refería de forma general a </w:t>
      </w:r>
      <w:r w:rsidR="0002054E" w:rsidRPr="00D50D50">
        <w:rPr>
          <w:rFonts w:asciiTheme="majorHAnsi" w:hAnsiTheme="majorHAnsi"/>
          <w:sz w:val="20"/>
          <w:szCs w:val="20"/>
          <w:lang w:val="es-ES"/>
        </w:rPr>
        <w:t xml:space="preserve">“otras </w:t>
      </w:r>
      <w:r w:rsidR="007E20CC" w:rsidRPr="00D50D50">
        <w:rPr>
          <w:rFonts w:asciiTheme="majorHAnsi" w:hAnsiTheme="majorHAnsi"/>
          <w:sz w:val="20"/>
          <w:szCs w:val="20"/>
          <w:lang w:val="es-ES"/>
        </w:rPr>
        <w:t>excepciones” sin especificar</w:t>
      </w:r>
      <w:r w:rsidR="002650C1" w:rsidRPr="00D50D50">
        <w:rPr>
          <w:rFonts w:asciiTheme="majorHAnsi" w:hAnsiTheme="majorHAnsi"/>
          <w:sz w:val="20"/>
          <w:szCs w:val="20"/>
          <w:lang w:val="es-ES"/>
        </w:rPr>
        <w:t>las</w:t>
      </w:r>
      <w:r w:rsidR="00186A95" w:rsidRPr="00D50D50">
        <w:rPr>
          <w:rFonts w:asciiTheme="majorHAnsi" w:hAnsiTheme="majorHAnsi"/>
          <w:sz w:val="20"/>
          <w:szCs w:val="20"/>
          <w:lang w:val="es-ES"/>
        </w:rPr>
        <w:t>.</w:t>
      </w:r>
      <w:r w:rsidR="0092215E" w:rsidRPr="00D50D50">
        <w:rPr>
          <w:rFonts w:asciiTheme="majorHAnsi" w:hAnsiTheme="majorHAnsi"/>
          <w:sz w:val="20"/>
          <w:szCs w:val="20"/>
          <w:lang w:val="es-ES"/>
        </w:rPr>
        <w:t xml:space="preserve"> </w:t>
      </w:r>
      <w:r w:rsidR="00186A95" w:rsidRPr="00D50D50">
        <w:rPr>
          <w:rFonts w:asciiTheme="majorHAnsi" w:hAnsiTheme="majorHAnsi"/>
          <w:sz w:val="20"/>
          <w:szCs w:val="20"/>
          <w:lang w:val="es-ES"/>
        </w:rPr>
        <w:t xml:space="preserve">El argumento era que dicha amplitud dejaba al recurrente en </w:t>
      </w:r>
      <w:r w:rsidR="0092215E" w:rsidRPr="00D50D50">
        <w:rPr>
          <w:rFonts w:asciiTheme="majorHAnsi" w:hAnsiTheme="majorHAnsi"/>
          <w:sz w:val="20"/>
          <w:szCs w:val="20"/>
          <w:lang w:val="es-ES"/>
        </w:rPr>
        <w:t xml:space="preserve">situación de indefensión en el procedimiento penal instaurado; </w:t>
      </w:r>
      <w:r w:rsidR="00665062" w:rsidRPr="00D50D50">
        <w:rPr>
          <w:rFonts w:asciiTheme="majorHAnsi" w:hAnsiTheme="majorHAnsi"/>
          <w:sz w:val="20"/>
          <w:szCs w:val="20"/>
          <w:lang w:val="es-ES"/>
        </w:rPr>
        <w:t>dicho recurso también fue rechazado</w:t>
      </w:r>
      <w:r w:rsidR="0092215E" w:rsidRPr="00D50D50">
        <w:rPr>
          <w:rFonts w:asciiTheme="majorHAnsi" w:hAnsiTheme="majorHAnsi"/>
          <w:sz w:val="20"/>
          <w:szCs w:val="20"/>
          <w:lang w:val="es-ES"/>
        </w:rPr>
        <w:t>.</w:t>
      </w:r>
    </w:p>
    <w:p w14:paraId="7AD377A9" w14:textId="77777777" w:rsidR="002650C1" w:rsidRPr="00D50D50" w:rsidRDefault="002650C1" w:rsidP="002650C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E7F4C5B" w14:textId="4BF8EE0A" w:rsidR="002E2A44" w:rsidRPr="00D50D50" w:rsidRDefault="0092215E" w:rsidP="00FB76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 xml:space="preserve">En </w:t>
      </w:r>
      <w:r w:rsidR="00186A95" w:rsidRPr="00D50D50">
        <w:rPr>
          <w:rFonts w:asciiTheme="majorHAnsi" w:hAnsiTheme="majorHAnsi"/>
          <w:sz w:val="20"/>
          <w:szCs w:val="20"/>
          <w:lang w:val="es-ES"/>
        </w:rPr>
        <w:t>a</w:t>
      </w:r>
      <w:r w:rsidRPr="00D50D50">
        <w:rPr>
          <w:rFonts w:asciiTheme="majorHAnsi" w:hAnsiTheme="majorHAnsi"/>
          <w:sz w:val="20"/>
          <w:szCs w:val="20"/>
          <w:lang w:val="es-ES"/>
        </w:rPr>
        <w:t xml:space="preserve">gosto de 2007 los abogados de </w:t>
      </w:r>
      <w:r w:rsidR="00186A95" w:rsidRPr="00D50D50">
        <w:rPr>
          <w:rFonts w:asciiTheme="majorHAnsi" w:hAnsiTheme="majorHAnsi"/>
          <w:sz w:val="20"/>
          <w:szCs w:val="20"/>
          <w:lang w:val="es-ES"/>
        </w:rPr>
        <w:t xml:space="preserve">dos de </w:t>
      </w:r>
      <w:r w:rsidRPr="00D50D50">
        <w:rPr>
          <w:rFonts w:asciiTheme="majorHAnsi" w:hAnsiTheme="majorHAnsi"/>
          <w:sz w:val="20"/>
          <w:szCs w:val="20"/>
          <w:lang w:val="es-ES"/>
        </w:rPr>
        <w:t xml:space="preserve">los imputados radicaron una solicitud de extinción de la acción penal, </w:t>
      </w:r>
      <w:r w:rsidR="00535430" w:rsidRPr="00D50D50">
        <w:rPr>
          <w:rFonts w:asciiTheme="majorHAnsi" w:hAnsiTheme="majorHAnsi"/>
          <w:sz w:val="20"/>
          <w:szCs w:val="20"/>
          <w:lang w:val="es-ES"/>
        </w:rPr>
        <w:t>ya que</w:t>
      </w:r>
      <w:r w:rsidRPr="00D50D50">
        <w:rPr>
          <w:rFonts w:asciiTheme="majorHAnsi" w:hAnsiTheme="majorHAnsi"/>
          <w:sz w:val="20"/>
          <w:szCs w:val="20"/>
          <w:lang w:val="es-ES"/>
        </w:rPr>
        <w:t xml:space="preserve"> </w:t>
      </w:r>
      <w:r w:rsidR="00AE0B06" w:rsidRPr="00D50D50">
        <w:rPr>
          <w:rFonts w:asciiTheme="majorHAnsi" w:hAnsiTheme="majorHAnsi"/>
          <w:sz w:val="20"/>
          <w:szCs w:val="20"/>
          <w:lang w:val="es-ES"/>
        </w:rPr>
        <w:t xml:space="preserve">la prescripción </w:t>
      </w:r>
      <w:r w:rsidR="00186A95" w:rsidRPr="00D50D50">
        <w:rPr>
          <w:rFonts w:asciiTheme="majorHAnsi" w:hAnsiTheme="majorHAnsi"/>
          <w:sz w:val="20"/>
          <w:szCs w:val="20"/>
          <w:lang w:val="es-ES"/>
        </w:rPr>
        <w:t xml:space="preserve">operaba </w:t>
      </w:r>
      <w:r w:rsidRPr="00D50D50">
        <w:rPr>
          <w:rFonts w:asciiTheme="majorHAnsi" w:hAnsiTheme="majorHAnsi"/>
          <w:sz w:val="20"/>
          <w:szCs w:val="20"/>
          <w:lang w:val="es-ES"/>
        </w:rPr>
        <w:t>después de tres</w:t>
      </w:r>
      <w:r w:rsidR="00274893" w:rsidRPr="00D50D50">
        <w:rPr>
          <w:rFonts w:asciiTheme="majorHAnsi" w:hAnsiTheme="majorHAnsi"/>
          <w:sz w:val="20"/>
          <w:szCs w:val="20"/>
          <w:lang w:val="es-ES"/>
        </w:rPr>
        <w:t xml:space="preserve"> años</w:t>
      </w:r>
      <w:r w:rsidR="00186A95" w:rsidRPr="00D50D50">
        <w:rPr>
          <w:rFonts w:asciiTheme="majorHAnsi" w:hAnsiTheme="majorHAnsi"/>
          <w:sz w:val="20"/>
          <w:szCs w:val="20"/>
          <w:lang w:val="es-ES"/>
        </w:rPr>
        <w:t>. El t</w:t>
      </w:r>
      <w:r w:rsidR="00274893" w:rsidRPr="00D50D50">
        <w:rPr>
          <w:rFonts w:asciiTheme="majorHAnsi" w:hAnsiTheme="majorHAnsi"/>
          <w:sz w:val="20"/>
          <w:szCs w:val="20"/>
          <w:lang w:val="es-ES"/>
        </w:rPr>
        <w:t>ribunal</w:t>
      </w:r>
      <w:r w:rsidRPr="00D50D50">
        <w:rPr>
          <w:rFonts w:asciiTheme="majorHAnsi" w:hAnsiTheme="majorHAnsi"/>
          <w:sz w:val="20"/>
          <w:szCs w:val="20"/>
          <w:lang w:val="es-ES"/>
        </w:rPr>
        <w:t xml:space="preserve"> rechazó la totalidad de la solicitud de exti</w:t>
      </w:r>
      <w:r w:rsidR="005C79FB" w:rsidRPr="00D50D50">
        <w:rPr>
          <w:rFonts w:asciiTheme="majorHAnsi" w:hAnsiTheme="majorHAnsi"/>
          <w:sz w:val="20"/>
          <w:szCs w:val="20"/>
          <w:lang w:val="es-ES"/>
        </w:rPr>
        <w:t xml:space="preserve">nción de la acción penal </w:t>
      </w:r>
      <w:r w:rsidR="00186A95" w:rsidRPr="00D50D50">
        <w:rPr>
          <w:rFonts w:asciiTheme="majorHAnsi" w:hAnsiTheme="majorHAnsi"/>
          <w:sz w:val="20"/>
          <w:szCs w:val="20"/>
          <w:lang w:val="es-ES"/>
        </w:rPr>
        <w:t xml:space="preserve">con base </w:t>
      </w:r>
      <w:r w:rsidR="005C79FB" w:rsidRPr="00D50D50">
        <w:rPr>
          <w:rFonts w:asciiTheme="majorHAnsi" w:hAnsiTheme="majorHAnsi"/>
          <w:sz w:val="20"/>
          <w:szCs w:val="20"/>
          <w:lang w:val="es-ES"/>
        </w:rPr>
        <w:t xml:space="preserve">en </w:t>
      </w:r>
      <w:r w:rsidR="00186A95" w:rsidRPr="00D50D50">
        <w:rPr>
          <w:rFonts w:asciiTheme="majorHAnsi" w:hAnsiTheme="majorHAnsi"/>
          <w:sz w:val="20"/>
          <w:szCs w:val="20"/>
          <w:lang w:val="es-ES"/>
        </w:rPr>
        <w:t>su</w:t>
      </w:r>
      <w:r w:rsidRPr="00D50D50">
        <w:rPr>
          <w:rFonts w:asciiTheme="majorHAnsi" w:hAnsiTheme="majorHAnsi"/>
          <w:sz w:val="20"/>
          <w:szCs w:val="20"/>
          <w:lang w:val="es-ES"/>
        </w:rPr>
        <w:t xml:space="preserve"> complejidad </w:t>
      </w:r>
      <w:r w:rsidR="00A94869" w:rsidRPr="00D50D50">
        <w:rPr>
          <w:rFonts w:asciiTheme="majorHAnsi" w:hAnsiTheme="majorHAnsi"/>
          <w:sz w:val="20"/>
          <w:szCs w:val="20"/>
          <w:lang w:val="es-ES"/>
        </w:rPr>
        <w:t xml:space="preserve">y </w:t>
      </w:r>
      <w:r w:rsidR="00B57757" w:rsidRPr="00D50D50">
        <w:rPr>
          <w:rFonts w:asciiTheme="majorHAnsi" w:hAnsiTheme="majorHAnsi"/>
          <w:sz w:val="20"/>
          <w:szCs w:val="20"/>
          <w:lang w:val="es-ES"/>
        </w:rPr>
        <w:t xml:space="preserve">la </w:t>
      </w:r>
      <w:r w:rsidR="00186A95" w:rsidRPr="00D50D50">
        <w:rPr>
          <w:rFonts w:asciiTheme="majorHAnsi" w:hAnsiTheme="majorHAnsi"/>
          <w:sz w:val="20"/>
          <w:szCs w:val="20"/>
          <w:lang w:val="es-ES"/>
        </w:rPr>
        <w:t xml:space="preserve">definición de los </w:t>
      </w:r>
      <w:r w:rsidR="00A94869" w:rsidRPr="00D50D50">
        <w:rPr>
          <w:rFonts w:asciiTheme="majorHAnsi" w:hAnsiTheme="majorHAnsi"/>
          <w:sz w:val="20"/>
          <w:szCs w:val="20"/>
          <w:lang w:val="es-ES"/>
        </w:rPr>
        <w:t xml:space="preserve">actos </w:t>
      </w:r>
      <w:r w:rsidR="00186A95" w:rsidRPr="00D50D50">
        <w:rPr>
          <w:rFonts w:asciiTheme="majorHAnsi" w:hAnsiTheme="majorHAnsi"/>
          <w:sz w:val="20"/>
          <w:szCs w:val="20"/>
          <w:lang w:val="es-ES"/>
        </w:rPr>
        <w:t>como</w:t>
      </w:r>
      <w:r w:rsidR="00AE0B06" w:rsidRPr="00D50D50">
        <w:rPr>
          <w:rFonts w:asciiTheme="majorHAnsi" w:hAnsiTheme="majorHAnsi"/>
          <w:sz w:val="20"/>
          <w:szCs w:val="20"/>
          <w:lang w:val="es-ES"/>
        </w:rPr>
        <w:t xml:space="preserve"> delitos considerados</w:t>
      </w:r>
      <w:r w:rsidR="003828C9" w:rsidRPr="00D50D50">
        <w:rPr>
          <w:rFonts w:asciiTheme="majorHAnsi" w:hAnsiTheme="majorHAnsi"/>
          <w:sz w:val="20"/>
          <w:szCs w:val="20"/>
          <w:lang w:val="es-ES"/>
        </w:rPr>
        <w:t xml:space="preserve"> de lesa humanidad, </w:t>
      </w:r>
      <w:r w:rsidR="00186A95" w:rsidRPr="00D50D50">
        <w:rPr>
          <w:rFonts w:asciiTheme="majorHAnsi" w:hAnsiTheme="majorHAnsi"/>
          <w:sz w:val="20"/>
          <w:szCs w:val="20"/>
          <w:lang w:val="es-ES"/>
        </w:rPr>
        <w:t>y en consecuencia imprescriptibles</w:t>
      </w:r>
      <w:r w:rsidR="003828C9" w:rsidRPr="00D50D50">
        <w:rPr>
          <w:rFonts w:asciiTheme="majorHAnsi" w:hAnsiTheme="majorHAnsi"/>
          <w:sz w:val="20"/>
          <w:szCs w:val="20"/>
          <w:lang w:val="es-ES"/>
        </w:rPr>
        <w:t>.</w:t>
      </w:r>
      <w:r w:rsidR="00C87D94" w:rsidRPr="00D50D50">
        <w:rPr>
          <w:rFonts w:asciiTheme="majorHAnsi" w:hAnsiTheme="majorHAnsi"/>
          <w:sz w:val="20"/>
          <w:szCs w:val="20"/>
          <w:lang w:val="es-ES"/>
        </w:rPr>
        <w:t xml:space="preserve"> El 16 de octubre de 2007, el Fiscal General de la Rep</w:t>
      </w:r>
      <w:r w:rsidR="00274893" w:rsidRPr="00D50D50">
        <w:rPr>
          <w:rFonts w:asciiTheme="majorHAnsi" w:hAnsiTheme="majorHAnsi"/>
          <w:sz w:val="20"/>
          <w:szCs w:val="20"/>
          <w:lang w:val="es-ES"/>
        </w:rPr>
        <w:t>ú</w:t>
      </w:r>
      <w:r w:rsidR="00C87D94" w:rsidRPr="00D50D50">
        <w:rPr>
          <w:rFonts w:asciiTheme="majorHAnsi" w:hAnsiTheme="majorHAnsi"/>
          <w:sz w:val="20"/>
          <w:szCs w:val="20"/>
          <w:lang w:val="es-ES"/>
        </w:rPr>
        <w:t>blica retomó la acusación y resumió los resultados</w:t>
      </w:r>
      <w:r w:rsidR="00B57757" w:rsidRPr="00D50D50">
        <w:rPr>
          <w:rFonts w:asciiTheme="majorHAnsi" w:hAnsiTheme="majorHAnsi"/>
          <w:sz w:val="20"/>
          <w:szCs w:val="20"/>
          <w:lang w:val="es-ES"/>
        </w:rPr>
        <w:t xml:space="preserve"> de la investigación preliminar; mediante dicho acto se </w:t>
      </w:r>
      <w:r w:rsidR="00C87D94" w:rsidRPr="00D50D50">
        <w:rPr>
          <w:rFonts w:asciiTheme="majorHAnsi" w:hAnsiTheme="majorHAnsi"/>
          <w:sz w:val="20"/>
          <w:szCs w:val="20"/>
          <w:lang w:val="es-ES"/>
        </w:rPr>
        <w:t>reiteró la supuesta responsabilidad penal de los imputados por el crimen</w:t>
      </w:r>
      <w:r w:rsidR="00B57757" w:rsidRPr="00D50D50">
        <w:rPr>
          <w:rFonts w:asciiTheme="majorHAnsi" w:hAnsiTheme="majorHAnsi"/>
          <w:sz w:val="20"/>
          <w:szCs w:val="20"/>
          <w:lang w:val="es-ES"/>
        </w:rPr>
        <w:t xml:space="preserve"> de genocidio bajo la modalidad</w:t>
      </w:r>
      <w:r w:rsidR="00C87D94" w:rsidRPr="00D50D50">
        <w:rPr>
          <w:rFonts w:asciiTheme="majorHAnsi" w:hAnsiTheme="majorHAnsi"/>
          <w:sz w:val="20"/>
          <w:szCs w:val="20"/>
          <w:lang w:val="es-ES"/>
        </w:rPr>
        <w:t xml:space="preserve"> de “masacre sangrienta”</w:t>
      </w:r>
      <w:r w:rsidR="009566EA" w:rsidRPr="00D50D50">
        <w:rPr>
          <w:rFonts w:asciiTheme="majorHAnsi" w:hAnsiTheme="majorHAnsi"/>
          <w:sz w:val="20"/>
          <w:szCs w:val="20"/>
          <w:lang w:val="es-ES"/>
        </w:rPr>
        <w:t xml:space="preserve">. </w:t>
      </w:r>
      <w:r w:rsidR="0092786A" w:rsidRPr="00D50D50">
        <w:rPr>
          <w:rFonts w:asciiTheme="majorHAnsi" w:hAnsiTheme="majorHAnsi"/>
          <w:sz w:val="20"/>
          <w:szCs w:val="20"/>
          <w:lang w:val="es-ES"/>
        </w:rPr>
        <w:t>El 30 de noviembre de 2010</w:t>
      </w:r>
      <w:r w:rsidR="00B57757" w:rsidRPr="00D50D50">
        <w:rPr>
          <w:rFonts w:asciiTheme="majorHAnsi" w:hAnsiTheme="majorHAnsi"/>
          <w:sz w:val="20"/>
          <w:szCs w:val="20"/>
          <w:lang w:val="es-ES"/>
        </w:rPr>
        <w:t>,</w:t>
      </w:r>
      <w:r w:rsidR="0092786A" w:rsidRPr="00D50D50">
        <w:rPr>
          <w:rFonts w:asciiTheme="majorHAnsi" w:hAnsiTheme="majorHAnsi"/>
          <w:sz w:val="20"/>
          <w:szCs w:val="20"/>
          <w:lang w:val="es-ES"/>
        </w:rPr>
        <w:t xml:space="preserve"> </w:t>
      </w:r>
      <w:r w:rsidR="00186A95" w:rsidRPr="00D50D50">
        <w:rPr>
          <w:rFonts w:asciiTheme="majorHAnsi" w:hAnsiTheme="majorHAnsi"/>
          <w:sz w:val="20"/>
          <w:szCs w:val="20"/>
          <w:lang w:val="es-ES"/>
        </w:rPr>
        <w:t>un alto oficial declaró</w:t>
      </w:r>
      <w:r w:rsidR="0092786A" w:rsidRPr="00D50D50">
        <w:rPr>
          <w:rFonts w:asciiTheme="majorHAnsi" w:hAnsiTheme="majorHAnsi"/>
          <w:sz w:val="20"/>
          <w:szCs w:val="20"/>
          <w:lang w:val="es-ES"/>
        </w:rPr>
        <w:t xml:space="preserve"> </w:t>
      </w:r>
      <w:r w:rsidR="00186A95" w:rsidRPr="00D50D50">
        <w:rPr>
          <w:rFonts w:asciiTheme="majorHAnsi" w:hAnsiTheme="majorHAnsi"/>
          <w:sz w:val="20"/>
          <w:szCs w:val="20"/>
          <w:lang w:val="es-ES"/>
        </w:rPr>
        <w:t>a</w:t>
      </w:r>
      <w:r w:rsidR="00EE11B9" w:rsidRPr="00D50D50">
        <w:rPr>
          <w:rFonts w:asciiTheme="majorHAnsi" w:hAnsiTheme="majorHAnsi"/>
          <w:sz w:val="20"/>
          <w:szCs w:val="20"/>
          <w:lang w:val="es-ES"/>
        </w:rPr>
        <w:t>nte el Tribunal de Juicio de Responsabilidad de la Corte Suprema de Justicia</w:t>
      </w:r>
      <w:r w:rsidR="00186A95" w:rsidRPr="00D50D50">
        <w:rPr>
          <w:rFonts w:asciiTheme="majorHAnsi" w:hAnsiTheme="majorHAnsi"/>
          <w:sz w:val="20"/>
          <w:szCs w:val="20"/>
          <w:lang w:val="es-ES"/>
        </w:rPr>
        <w:t xml:space="preserve"> como testigo de descargo del señor </w:t>
      </w:r>
      <w:r w:rsidR="0068419D" w:rsidRPr="00D50D50">
        <w:rPr>
          <w:rFonts w:asciiTheme="majorHAnsi" w:hAnsiTheme="majorHAnsi"/>
          <w:sz w:val="20"/>
          <w:szCs w:val="20"/>
          <w:lang w:val="es-ES"/>
        </w:rPr>
        <w:t>Véliz</w:t>
      </w:r>
      <w:r w:rsidR="00186A95" w:rsidRPr="00D50D50">
        <w:rPr>
          <w:rFonts w:asciiTheme="majorHAnsi" w:hAnsiTheme="majorHAnsi"/>
          <w:sz w:val="20"/>
          <w:szCs w:val="20"/>
          <w:lang w:val="es-ES"/>
        </w:rPr>
        <w:t xml:space="preserve"> Herrera, y relató</w:t>
      </w:r>
      <w:r w:rsidR="00EE11B9" w:rsidRPr="00D50D50">
        <w:rPr>
          <w:rFonts w:asciiTheme="majorHAnsi" w:hAnsiTheme="majorHAnsi"/>
          <w:sz w:val="20"/>
          <w:szCs w:val="20"/>
          <w:lang w:val="es-ES"/>
        </w:rPr>
        <w:t xml:space="preserve"> </w:t>
      </w:r>
      <w:r w:rsidR="00E00DFD" w:rsidRPr="00D50D50">
        <w:rPr>
          <w:rFonts w:asciiTheme="majorHAnsi" w:hAnsiTheme="majorHAnsi"/>
          <w:sz w:val="20"/>
          <w:szCs w:val="20"/>
          <w:lang w:val="es-ES"/>
        </w:rPr>
        <w:t xml:space="preserve">que este había </w:t>
      </w:r>
      <w:r w:rsidR="00EE11B9" w:rsidRPr="00D50D50">
        <w:rPr>
          <w:rFonts w:asciiTheme="majorHAnsi" w:hAnsiTheme="majorHAnsi"/>
          <w:sz w:val="20"/>
          <w:szCs w:val="20"/>
          <w:lang w:val="es-ES"/>
        </w:rPr>
        <w:t>participa</w:t>
      </w:r>
      <w:r w:rsidR="00E00DFD" w:rsidRPr="00D50D50">
        <w:rPr>
          <w:rFonts w:asciiTheme="majorHAnsi" w:hAnsiTheme="majorHAnsi"/>
          <w:sz w:val="20"/>
          <w:szCs w:val="20"/>
          <w:lang w:val="es-ES"/>
        </w:rPr>
        <w:t>do</w:t>
      </w:r>
      <w:r w:rsidR="00EE11B9" w:rsidRPr="00D50D50">
        <w:rPr>
          <w:rFonts w:asciiTheme="majorHAnsi" w:hAnsiTheme="majorHAnsi"/>
          <w:sz w:val="20"/>
          <w:szCs w:val="20"/>
          <w:lang w:val="es-ES"/>
        </w:rPr>
        <w:t xml:space="preserve"> en el rescate de los turistas que se encontraban en la localidad de </w:t>
      </w:r>
      <w:r w:rsidR="005115E2" w:rsidRPr="00D50D50">
        <w:rPr>
          <w:rFonts w:asciiTheme="majorHAnsi" w:hAnsiTheme="majorHAnsi"/>
          <w:sz w:val="20"/>
          <w:szCs w:val="20"/>
          <w:lang w:val="es-ES"/>
        </w:rPr>
        <w:t>S</w:t>
      </w:r>
      <w:r w:rsidR="00EE11B9" w:rsidRPr="00D50D50">
        <w:rPr>
          <w:rFonts w:asciiTheme="majorHAnsi" w:hAnsiTheme="majorHAnsi"/>
          <w:sz w:val="20"/>
          <w:szCs w:val="20"/>
          <w:lang w:val="es-ES"/>
        </w:rPr>
        <w:t>orata</w:t>
      </w:r>
      <w:r w:rsidR="00186A95" w:rsidRPr="00D50D50">
        <w:rPr>
          <w:rFonts w:asciiTheme="majorHAnsi" w:hAnsiTheme="majorHAnsi"/>
          <w:sz w:val="20"/>
          <w:szCs w:val="20"/>
          <w:lang w:val="es-ES"/>
        </w:rPr>
        <w:t>. Sin embargo</w:t>
      </w:r>
      <w:r w:rsidR="005115E2" w:rsidRPr="00D50D50">
        <w:rPr>
          <w:rFonts w:asciiTheme="majorHAnsi" w:hAnsiTheme="majorHAnsi"/>
          <w:sz w:val="20"/>
          <w:szCs w:val="20"/>
          <w:lang w:val="es-ES"/>
        </w:rPr>
        <w:t xml:space="preserve">, </w:t>
      </w:r>
      <w:r w:rsidR="00FE6D08" w:rsidRPr="00D50D50">
        <w:rPr>
          <w:rFonts w:asciiTheme="majorHAnsi" w:hAnsiTheme="majorHAnsi"/>
          <w:sz w:val="20"/>
          <w:szCs w:val="20"/>
          <w:lang w:val="es-ES"/>
        </w:rPr>
        <w:t>en</w:t>
      </w:r>
      <w:r w:rsidR="005115E2" w:rsidRPr="00D50D50">
        <w:rPr>
          <w:rFonts w:asciiTheme="majorHAnsi" w:hAnsiTheme="majorHAnsi"/>
          <w:sz w:val="20"/>
          <w:szCs w:val="20"/>
          <w:lang w:val="es-ES"/>
        </w:rPr>
        <w:t xml:space="preserve"> </w:t>
      </w:r>
      <w:r w:rsidR="00186A95" w:rsidRPr="00D50D50">
        <w:rPr>
          <w:rFonts w:asciiTheme="majorHAnsi" w:hAnsiTheme="majorHAnsi"/>
          <w:sz w:val="20"/>
          <w:szCs w:val="20"/>
          <w:lang w:val="es-ES"/>
        </w:rPr>
        <w:t xml:space="preserve">su </w:t>
      </w:r>
      <w:r w:rsidR="005115E2" w:rsidRPr="00D50D50">
        <w:rPr>
          <w:rFonts w:asciiTheme="majorHAnsi" w:hAnsiTheme="majorHAnsi"/>
          <w:sz w:val="20"/>
          <w:szCs w:val="20"/>
          <w:lang w:val="es-ES"/>
        </w:rPr>
        <w:t xml:space="preserve">declaración ampliatoria </w:t>
      </w:r>
      <w:r w:rsidR="005D3FEC" w:rsidRPr="00D50D50">
        <w:rPr>
          <w:rFonts w:asciiTheme="majorHAnsi" w:hAnsiTheme="majorHAnsi"/>
          <w:sz w:val="20"/>
          <w:szCs w:val="20"/>
          <w:lang w:val="es-ES"/>
        </w:rPr>
        <w:t>d</w:t>
      </w:r>
      <w:r w:rsidR="005115E2" w:rsidRPr="00D50D50">
        <w:rPr>
          <w:rFonts w:asciiTheme="majorHAnsi" w:hAnsiTheme="majorHAnsi"/>
          <w:sz w:val="20"/>
          <w:szCs w:val="20"/>
          <w:lang w:val="es-ES"/>
        </w:rPr>
        <w:t xml:space="preserve">e 9 de febrero de 2011, el mencionado </w:t>
      </w:r>
      <w:r w:rsidR="00186A95" w:rsidRPr="00D50D50">
        <w:rPr>
          <w:rFonts w:asciiTheme="majorHAnsi" w:hAnsiTheme="majorHAnsi"/>
          <w:sz w:val="20"/>
          <w:szCs w:val="20"/>
          <w:lang w:val="es-ES"/>
        </w:rPr>
        <w:t xml:space="preserve">oficial </w:t>
      </w:r>
      <w:r w:rsidR="005115E2" w:rsidRPr="00D50D50">
        <w:rPr>
          <w:rFonts w:asciiTheme="majorHAnsi" w:hAnsiTheme="majorHAnsi"/>
          <w:sz w:val="20"/>
          <w:szCs w:val="20"/>
          <w:lang w:val="es-ES"/>
        </w:rPr>
        <w:t xml:space="preserve">desmintió la anterior declaración y afirmó que </w:t>
      </w:r>
      <w:r w:rsidR="00E00DFD" w:rsidRPr="00D50D50">
        <w:rPr>
          <w:rFonts w:asciiTheme="majorHAnsi" w:hAnsiTheme="majorHAnsi"/>
          <w:sz w:val="20"/>
          <w:szCs w:val="20"/>
          <w:lang w:val="es-ES"/>
        </w:rPr>
        <w:t xml:space="preserve">tanto </w:t>
      </w:r>
      <w:r w:rsidR="005115E2" w:rsidRPr="00D50D50">
        <w:rPr>
          <w:rFonts w:asciiTheme="majorHAnsi" w:hAnsiTheme="majorHAnsi"/>
          <w:sz w:val="20"/>
          <w:szCs w:val="20"/>
          <w:lang w:val="es-ES"/>
        </w:rPr>
        <w:t xml:space="preserve">el Ministro de Defensa </w:t>
      </w:r>
      <w:r w:rsidR="00E00DFD" w:rsidRPr="00D50D50">
        <w:rPr>
          <w:rFonts w:asciiTheme="majorHAnsi" w:hAnsiTheme="majorHAnsi"/>
          <w:sz w:val="20"/>
          <w:szCs w:val="20"/>
          <w:lang w:val="es-ES"/>
        </w:rPr>
        <w:t xml:space="preserve">como </w:t>
      </w:r>
      <w:r w:rsidR="005115E2" w:rsidRPr="00D50D50">
        <w:rPr>
          <w:rFonts w:asciiTheme="majorHAnsi" w:hAnsiTheme="majorHAnsi"/>
          <w:sz w:val="20"/>
          <w:szCs w:val="20"/>
          <w:lang w:val="es-ES"/>
        </w:rPr>
        <w:t xml:space="preserve">el General </w:t>
      </w:r>
      <w:r w:rsidR="0068419D" w:rsidRPr="00D50D50">
        <w:rPr>
          <w:rFonts w:asciiTheme="majorHAnsi" w:hAnsiTheme="majorHAnsi"/>
          <w:sz w:val="20"/>
          <w:szCs w:val="20"/>
          <w:lang w:val="es-ES"/>
        </w:rPr>
        <w:t>Véliz</w:t>
      </w:r>
      <w:r w:rsidR="005115E2" w:rsidRPr="00D50D50">
        <w:rPr>
          <w:rFonts w:asciiTheme="majorHAnsi" w:hAnsiTheme="majorHAnsi"/>
          <w:sz w:val="20"/>
          <w:szCs w:val="20"/>
          <w:lang w:val="es-ES"/>
        </w:rPr>
        <w:t xml:space="preserve"> Herrera</w:t>
      </w:r>
      <w:r w:rsidR="00186A95" w:rsidRPr="00D50D50">
        <w:rPr>
          <w:rFonts w:asciiTheme="majorHAnsi" w:hAnsiTheme="majorHAnsi"/>
          <w:sz w:val="20"/>
          <w:szCs w:val="20"/>
          <w:lang w:val="es-ES"/>
        </w:rPr>
        <w:t xml:space="preserve"> </w:t>
      </w:r>
      <w:r w:rsidR="005115E2" w:rsidRPr="00D50D50">
        <w:rPr>
          <w:rFonts w:asciiTheme="majorHAnsi" w:hAnsiTheme="majorHAnsi"/>
          <w:sz w:val="20"/>
          <w:szCs w:val="20"/>
          <w:lang w:val="es-ES"/>
        </w:rPr>
        <w:t>se</w:t>
      </w:r>
      <w:r w:rsidR="00FE6D08" w:rsidRPr="00D50D50">
        <w:rPr>
          <w:rFonts w:asciiTheme="majorHAnsi" w:hAnsiTheme="majorHAnsi"/>
          <w:sz w:val="20"/>
          <w:szCs w:val="20"/>
          <w:lang w:val="es-ES"/>
        </w:rPr>
        <w:t xml:space="preserve"> </w:t>
      </w:r>
      <w:r w:rsidR="005115E2" w:rsidRPr="00D50D50">
        <w:rPr>
          <w:rFonts w:asciiTheme="majorHAnsi" w:hAnsiTheme="majorHAnsi"/>
          <w:sz w:val="20"/>
          <w:szCs w:val="20"/>
          <w:lang w:val="es-ES"/>
        </w:rPr>
        <w:t xml:space="preserve">encontraban en el </w:t>
      </w:r>
      <w:r w:rsidR="00E00DFD" w:rsidRPr="00D50D50">
        <w:rPr>
          <w:rFonts w:asciiTheme="majorHAnsi" w:hAnsiTheme="majorHAnsi"/>
          <w:sz w:val="20"/>
          <w:szCs w:val="20"/>
          <w:lang w:val="es-ES"/>
        </w:rPr>
        <w:t>R</w:t>
      </w:r>
      <w:r w:rsidR="005115E2" w:rsidRPr="00D50D50">
        <w:rPr>
          <w:rFonts w:asciiTheme="majorHAnsi" w:hAnsiTheme="majorHAnsi"/>
          <w:sz w:val="20"/>
          <w:szCs w:val="20"/>
          <w:lang w:val="es-ES"/>
        </w:rPr>
        <w:t xml:space="preserve">egimiento Ayacucho de </w:t>
      </w:r>
      <w:r w:rsidR="00E00DFD" w:rsidRPr="00D50D50">
        <w:rPr>
          <w:rFonts w:asciiTheme="majorHAnsi" w:hAnsiTheme="majorHAnsi"/>
          <w:sz w:val="20"/>
          <w:szCs w:val="20"/>
          <w:lang w:val="es-ES"/>
        </w:rPr>
        <w:t>Achacachi</w:t>
      </w:r>
      <w:r w:rsidR="005115E2" w:rsidRPr="00D50D50">
        <w:rPr>
          <w:rFonts w:asciiTheme="majorHAnsi" w:hAnsiTheme="majorHAnsi"/>
          <w:sz w:val="20"/>
          <w:szCs w:val="20"/>
          <w:lang w:val="es-ES"/>
        </w:rPr>
        <w:t xml:space="preserve"> </w:t>
      </w:r>
      <w:r w:rsidR="00E00DFD" w:rsidRPr="00D50D50">
        <w:rPr>
          <w:rFonts w:asciiTheme="majorHAnsi" w:hAnsiTheme="majorHAnsi"/>
          <w:sz w:val="20"/>
          <w:szCs w:val="20"/>
          <w:lang w:val="es-ES"/>
        </w:rPr>
        <w:t xml:space="preserve">desde donde </w:t>
      </w:r>
      <w:r w:rsidR="005115E2" w:rsidRPr="00D50D50">
        <w:rPr>
          <w:rFonts w:asciiTheme="majorHAnsi" w:hAnsiTheme="majorHAnsi"/>
          <w:sz w:val="20"/>
          <w:szCs w:val="20"/>
          <w:lang w:val="es-ES"/>
        </w:rPr>
        <w:t>coordina</w:t>
      </w:r>
      <w:r w:rsidR="00E00DFD" w:rsidRPr="00D50D50">
        <w:rPr>
          <w:rFonts w:asciiTheme="majorHAnsi" w:hAnsiTheme="majorHAnsi"/>
          <w:sz w:val="20"/>
          <w:szCs w:val="20"/>
          <w:lang w:val="es-ES"/>
        </w:rPr>
        <w:t>ron</w:t>
      </w:r>
      <w:r w:rsidR="005115E2" w:rsidRPr="00D50D50">
        <w:rPr>
          <w:rFonts w:asciiTheme="majorHAnsi" w:hAnsiTheme="majorHAnsi"/>
          <w:sz w:val="20"/>
          <w:szCs w:val="20"/>
          <w:lang w:val="es-ES"/>
        </w:rPr>
        <w:t xml:space="preserve"> la operación de rescate</w:t>
      </w:r>
      <w:r w:rsidR="00E00DFD" w:rsidRPr="00D50D50">
        <w:rPr>
          <w:rFonts w:asciiTheme="majorHAnsi" w:hAnsiTheme="majorHAnsi"/>
          <w:sz w:val="20"/>
          <w:szCs w:val="20"/>
          <w:lang w:val="es-ES"/>
        </w:rPr>
        <w:t xml:space="preserve">; asimismo, confesó </w:t>
      </w:r>
      <w:r w:rsidR="00FE6D08" w:rsidRPr="00D50D50">
        <w:rPr>
          <w:rFonts w:asciiTheme="majorHAnsi" w:hAnsiTheme="majorHAnsi"/>
          <w:sz w:val="20"/>
          <w:szCs w:val="20"/>
          <w:lang w:val="es-ES"/>
        </w:rPr>
        <w:t xml:space="preserve">que </w:t>
      </w:r>
      <w:proofErr w:type="spellStart"/>
      <w:r w:rsidR="00FE6D08" w:rsidRPr="00D50D50">
        <w:rPr>
          <w:rFonts w:asciiTheme="majorHAnsi" w:hAnsiTheme="majorHAnsi"/>
          <w:sz w:val="20"/>
          <w:szCs w:val="20"/>
          <w:lang w:val="es-ES"/>
        </w:rPr>
        <w:t>que</w:t>
      </w:r>
      <w:proofErr w:type="spellEnd"/>
      <w:r w:rsidR="00FE6D08" w:rsidRPr="00D50D50">
        <w:rPr>
          <w:rFonts w:asciiTheme="majorHAnsi" w:hAnsiTheme="majorHAnsi"/>
          <w:sz w:val="20"/>
          <w:szCs w:val="20"/>
          <w:lang w:val="es-ES"/>
        </w:rPr>
        <w:t xml:space="preserve"> había brindado </w:t>
      </w:r>
      <w:r w:rsidR="00E00DFD" w:rsidRPr="00D50D50">
        <w:rPr>
          <w:rFonts w:asciiTheme="majorHAnsi" w:hAnsiTheme="majorHAnsi"/>
          <w:sz w:val="20"/>
          <w:szCs w:val="20"/>
          <w:lang w:val="es-ES"/>
        </w:rPr>
        <w:t xml:space="preserve">el primer testimonio </w:t>
      </w:r>
      <w:r w:rsidR="00FE6D08" w:rsidRPr="00D50D50">
        <w:rPr>
          <w:rFonts w:asciiTheme="majorHAnsi" w:hAnsiTheme="majorHAnsi"/>
          <w:sz w:val="20"/>
          <w:szCs w:val="20"/>
          <w:lang w:val="es-ES"/>
        </w:rPr>
        <w:t>por instrucción de</w:t>
      </w:r>
      <w:r w:rsidR="00281F7A" w:rsidRPr="00D50D50">
        <w:rPr>
          <w:rFonts w:asciiTheme="majorHAnsi" w:hAnsiTheme="majorHAnsi"/>
          <w:sz w:val="20"/>
          <w:szCs w:val="20"/>
          <w:lang w:val="es-ES"/>
        </w:rPr>
        <w:t>l</w:t>
      </w:r>
      <w:r w:rsidR="00FE6D08" w:rsidRPr="00D50D50">
        <w:rPr>
          <w:rFonts w:asciiTheme="majorHAnsi" w:hAnsiTheme="majorHAnsi"/>
          <w:sz w:val="20"/>
          <w:szCs w:val="20"/>
          <w:lang w:val="es-ES"/>
        </w:rPr>
        <w:t xml:space="preserve"> General </w:t>
      </w:r>
      <w:r w:rsidR="00B57757" w:rsidRPr="00D50D50">
        <w:rPr>
          <w:rFonts w:asciiTheme="majorHAnsi" w:hAnsiTheme="majorHAnsi"/>
          <w:sz w:val="20"/>
          <w:szCs w:val="20"/>
          <w:lang w:val="es-ES"/>
        </w:rPr>
        <w:t>Vél</w:t>
      </w:r>
      <w:r w:rsidR="00E00DFD" w:rsidRPr="00D50D50">
        <w:rPr>
          <w:rFonts w:asciiTheme="majorHAnsi" w:hAnsiTheme="majorHAnsi"/>
          <w:sz w:val="20"/>
          <w:szCs w:val="20"/>
          <w:lang w:val="es-ES"/>
        </w:rPr>
        <w:t>i</w:t>
      </w:r>
      <w:r w:rsidR="00B57757" w:rsidRPr="00D50D50">
        <w:rPr>
          <w:rFonts w:asciiTheme="majorHAnsi" w:hAnsiTheme="majorHAnsi"/>
          <w:sz w:val="20"/>
          <w:szCs w:val="20"/>
          <w:lang w:val="es-ES"/>
        </w:rPr>
        <w:t>z</w:t>
      </w:r>
      <w:r w:rsidR="00FE6D08" w:rsidRPr="00D50D50">
        <w:rPr>
          <w:rFonts w:asciiTheme="majorHAnsi" w:hAnsiTheme="majorHAnsi"/>
          <w:sz w:val="20"/>
          <w:szCs w:val="20"/>
          <w:lang w:val="es-ES"/>
        </w:rPr>
        <w:t xml:space="preserve"> Herrera</w:t>
      </w:r>
      <w:r w:rsidR="005115E2" w:rsidRPr="00D50D50">
        <w:rPr>
          <w:rFonts w:asciiTheme="majorHAnsi" w:hAnsiTheme="majorHAnsi"/>
          <w:sz w:val="20"/>
          <w:szCs w:val="20"/>
          <w:lang w:val="es-ES"/>
        </w:rPr>
        <w:t>.</w:t>
      </w:r>
      <w:r w:rsidR="0093237A" w:rsidRPr="00D50D50">
        <w:rPr>
          <w:rFonts w:asciiTheme="majorHAnsi" w:hAnsiTheme="majorHAnsi"/>
          <w:sz w:val="20"/>
          <w:szCs w:val="20"/>
          <w:lang w:val="es-ES"/>
        </w:rPr>
        <w:t xml:space="preserve"> </w:t>
      </w:r>
      <w:r w:rsidR="00E00DFD" w:rsidRPr="00D50D50">
        <w:rPr>
          <w:rFonts w:asciiTheme="majorHAnsi" w:hAnsiTheme="majorHAnsi"/>
          <w:sz w:val="20"/>
          <w:szCs w:val="20"/>
          <w:lang w:val="es-ES"/>
        </w:rPr>
        <w:t xml:space="preserve">En consecuencia, dicho testigo fue condenado </w:t>
      </w:r>
      <w:r w:rsidR="00B57757" w:rsidRPr="00D50D50">
        <w:rPr>
          <w:rFonts w:asciiTheme="majorHAnsi" w:hAnsiTheme="majorHAnsi"/>
          <w:sz w:val="20"/>
          <w:szCs w:val="20"/>
          <w:lang w:val="es-ES"/>
        </w:rPr>
        <w:t xml:space="preserve">a un año de prisión y </w:t>
      </w:r>
      <w:r w:rsidR="00E00DFD" w:rsidRPr="00D50D50">
        <w:rPr>
          <w:rFonts w:asciiTheme="majorHAnsi" w:hAnsiTheme="majorHAnsi"/>
          <w:sz w:val="20"/>
          <w:szCs w:val="20"/>
          <w:lang w:val="es-ES"/>
        </w:rPr>
        <w:t xml:space="preserve">luego recibió </w:t>
      </w:r>
      <w:r w:rsidR="00FE6D08" w:rsidRPr="00D50D50">
        <w:rPr>
          <w:rFonts w:asciiTheme="majorHAnsi" w:hAnsiTheme="majorHAnsi"/>
          <w:sz w:val="20"/>
          <w:szCs w:val="20"/>
          <w:lang w:val="es-ES"/>
        </w:rPr>
        <w:t>per</w:t>
      </w:r>
      <w:r w:rsidR="00B57757" w:rsidRPr="00D50D50">
        <w:rPr>
          <w:rFonts w:asciiTheme="majorHAnsi" w:hAnsiTheme="majorHAnsi"/>
          <w:sz w:val="20"/>
          <w:szCs w:val="20"/>
          <w:lang w:val="es-ES"/>
        </w:rPr>
        <w:t>dón judicial</w:t>
      </w:r>
      <w:r w:rsidR="002E2A44" w:rsidRPr="00D50D50">
        <w:rPr>
          <w:rFonts w:asciiTheme="majorHAnsi" w:hAnsiTheme="majorHAnsi"/>
          <w:sz w:val="20"/>
          <w:szCs w:val="20"/>
          <w:lang w:val="es-ES"/>
        </w:rPr>
        <w:t>.</w:t>
      </w:r>
    </w:p>
    <w:p w14:paraId="4337445B" w14:textId="77777777" w:rsidR="00186A95" w:rsidRPr="00D50D50" w:rsidRDefault="00186A95" w:rsidP="00186A9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5B539EF7" w14:textId="21F1744F" w:rsidR="0052154E" w:rsidRPr="00D50D50" w:rsidRDefault="005D3FEC" w:rsidP="00FB76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Dentro d</w:t>
      </w:r>
      <w:r w:rsidR="0074152C" w:rsidRPr="00D50D50">
        <w:rPr>
          <w:rFonts w:asciiTheme="majorHAnsi" w:hAnsiTheme="majorHAnsi"/>
          <w:sz w:val="20"/>
          <w:szCs w:val="20"/>
          <w:lang w:val="es-ES"/>
        </w:rPr>
        <w:t>el juicio oral</w:t>
      </w:r>
      <w:r w:rsidR="00E00DFD" w:rsidRPr="00D50D50">
        <w:rPr>
          <w:rFonts w:asciiTheme="majorHAnsi" w:hAnsiTheme="majorHAnsi"/>
          <w:sz w:val="20"/>
          <w:szCs w:val="20"/>
          <w:lang w:val="es-ES"/>
        </w:rPr>
        <w:t>,</w:t>
      </w:r>
      <w:r w:rsidR="00B130DB" w:rsidRPr="00D50D50">
        <w:rPr>
          <w:rFonts w:asciiTheme="majorHAnsi" w:hAnsiTheme="majorHAnsi"/>
          <w:sz w:val="20"/>
          <w:szCs w:val="20"/>
          <w:lang w:val="es-ES"/>
        </w:rPr>
        <w:t xml:space="preserve"> el 18 de febrero de 2009 </w:t>
      </w:r>
      <w:r w:rsidR="00AE2A3A" w:rsidRPr="00D50D50">
        <w:rPr>
          <w:rFonts w:asciiTheme="majorHAnsi" w:hAnsiTheme="majorHAnsi"/>
          <w:sz w:val="20"/>
          <w:szCs w:val="20"/>
          <w:lang w:val="es-ES"/>
        </w:rPr>
        <w:t xml:space="preserve">los querellantes presentaron una excepción de incompetencia </w:t>
      </w:r>
      <w:r w:rsidR="00B130DB" w:rsidRPr="00D50D50">
        <w:rPr>
          <w:rFonts w:asciiTheme="majorHAnsi" w:hAnsiTheme="majorHAnsi"/>
          <w:sz w:val="20"/>
          <w:szCs w:val="20"/>
          <w:lang w:val="es-ES"/>
        </w:rPr>
        <w:t xml:space="preserve">ante el Ministerio Público </w:t>
      </w:r>
      <w:r w:rsidR="00E00DFD" w:rsidRPr="00D50D50">
        <w:rPr>
          <w:rFonts w:asciiTheme="majorHAnsi" w:hAnsiTheme="majorHAnsi"/>
          <w:sz w:val="20"/>
          <w:szCs w:val="20"/>
          <w:lang w:val="es-ES"/>
        </w:rPr>
        <w:t xml:space="preserve">a efectos de </w:t>
      </w:r>
      <w:r w:rsidR="00B130DB" w:rsidRPr="00D50D50">
        <w:rPr>
          <w:rFonts w:asciiTheme="majorHAnsi" w:hAnsiTheme="majorHAnsi"/>
          <w:sz w:val="20"/>
          <w:szCs w:val="20"/>
          <w:lang w:val="es-ES"/>
        </w:rPr>
        <w:t>adecua</w:t>
      </w:r>
      <w:r w:rsidR="00E00DFD" w:rsidRPr="00D50D50">
        <w:rPr>
          <w:rFonts w:asciiTheme="majorHAnsi" w:hAnsiTheme="majorHAnsi"/>
          <w:sz w:val="20"/>
          <w:szCs w:val="20"/>
          <w:lang w:val="es-ES"/>
        </w:rPr>
        <w:t>r</w:t>
      </w:r>
      <w:r w:rsidR="00B130DB" w:rsidRPr="00D50D50">
        <w:rPr>
          <w:rFonts w:asciiTheme="majorHAnsi" w:hAnsiTheme="majorHAnsi"/>
          <w:sz w:val="20"/>
          <w:szCs w:val="20"/>
          <w:lang w:val="es-ES"/>
        </w:rPr>
        <w:t xml:space="preserve"> el juicio de </w:t>
      </w:r>
      <w:r w:rsidR="00E00DFD" w:rsidRPr="00D50D50">
        <w:rPr>
          <w:rFonts w:asciiTheme="majorHAnsi" w:hAnsiTheme="majorHAnsi"/>
          <w:sz w:val="20"/>
          <w:szCs w:val="20"/>
          <w:lang w:val="es-ES"/>
        </w:rPr>
        <w:t>r</w:t>
      </w:r>
      <w:r w:rsidR="00B130DB" w:rsidRPr="00D50D50">
        <w:rPr>
          <w:rFonts w:asciiTheme="majorHAnsi" w:hAnsiTheme="majorHAnsi"/>
          <w:sz w:val="20"/>
          <w:szCs w:val="20"/>
          <w:lang w:val="es-ES"/>
        </w:rPr>
        <w:t xml:space="preserve">esponsabilidades </w:t>
      </w:r>
      <w:r w:rsidR="00E00DFD" w:rsidRPr="00D50D50">
        <w:rPr>
          <w:rFonts w:asciiTheme="majorHAnsi" w:hAnsiTheme="majorHAnsi"/>
          <w:sz w:val="20"/>
          <w:szCs w:val="20"/>
          <w:lang w:val="es-ES"/>
        </w:rPr>
        <w:t xml:space="preserve">y mantenerlo </w:t>
      </w:r>
      <w:r w:rsidR="00B130DB" w:rsidRPr="00D50D50">
        <w:rPr>
          <w:rFonts w:asciiTheme="majorHAnsi" w:hAnsiTheme="majorHAnsi"/>
          <w:sz w:val="20"/>
          <w:szCs w:val="20"/>
          <w:lang w:val="es-ES"/>
        </w:rPr>
        <w:t xml:space="preserve">solo respecto del </w:t>
      </w:r>
      <w:proofErr w:type="gramStart"/>
      <w:r w:rsidR="00E00DFD" w:rsidRPr="00D50D50">
        <w:rPr>
          <w:rFonts w:asciiTheme="majorHAnsi" w:hAnsiTheme="majorHAnsi"/>
          <w:sz w:val="20"/>
          <w:szCs w:val="20"/>
          <w:lang w:val="es-ES"/>
        </w:rPr>
        <w:t>e</w:t>
      </w:r>
      <w:r w:rsidR="00B130DB" w:rsidRPr="00D50D50">
        <w:rPr>
          <w:rFonts w:asciiTheme="majorHAnsi" w:hAnsiTheme="majorHAnsi"/>
          <w:sz w:val="20"/>
          <w:szCs w:val="20"/>
          <w:lang w:val="es-ES"/>
        </w:rPr>
        <w:t>x</w:t>
      </w:r>
      <w:r w:rsidR="00E00DFD" w:rsidRPr="00D50D50">
        <w:rPr>
          <w:rFonts w:asciiTheme="majorHAnsi" w:hAnsiTheme="majorHAnsi"/>
          <w:sz w:val="20"/>
          <w:szCs w:val="20"/>
          <w:lang w:val="es-ES"/>
        </w:rPr>
        <w:t xml:space="preserve"> Pre</w:t>
      </w:r>
      <w:r w:rsidR="00B130DB" w:rsidRPr="00D50D50">
        <w:rPr>
          <w:rFonts w:asciiTheme="majorHAnsi" w:hAnsiTheme="majorHAnsi"/>
          <w:sz w:val="20"/>
          <w:szCs w:val="20"/>
          <w:lang w:val="es-ES"/>
        </w:rPr>
        <w:t>sidente</w:t>
      </w:r>
      <w:proofErr w:type="gramEnd"/>
      <w:r w:rsidR="00B130DB" w:rsidRPr="00D50D50">
        <w:rPr>
          <w:rFonts w:asciiTheme="majorHAnsi" w:hAnsiTheme="majorHAnsi"/>
          <w:sz w:val="20"/>
          <w:szCs w:val="20"/>
          <w:lang w:val="es-ES"/>
        </w:rPr>
        <w:t xml:space="preserve"> Sánchez de Lozada</w:t>
      </w:r>
      <w:r w:rsidR="00E00DFD" w:rsidRPr="00D50D50">
        <w:rPr>
          <w:rFonts w:asciiTheme="majorHAnsi" w:hAnsiTheme="majorHAnsi"/>
          <w:sz w:val="20"/>
          <w:szCs w:val="20"/>
          <w:lang w:val="es-ES"/>
        </w:rPr>
        <w:t xml:space="preserve">; </w:t>
      </w:r>
      <w:r w:rsidR="00B130DB" w:rsidRPr="00D50D50">
        <w:rPr>
          <w:rFonts w:asciiTheme="majorHAnsi" w:hAnsiTheme="majorHAnsi"/>
          <w:sz w:val="20"/>
          <w:szCs w:val="20"/>
          <w:lang w:val="es-ES"/>
        </w:rPr>
        <w:t xml:space="preserve">y </w:t>
      </w:r>
      <w:r w:rsidR="00E00DFD" w:rsidRPr="00D50D50">
        <w:rPr>
          <w:rFonts w:asciiTheme="majorHAnsi" w:hAnsiTheme="majorHAnsi"/>
          <w:sz w:val="20"/>
          <w:szCs w:val="20"/>
          <w:lang w:val="es-ES"/>
        </w:rPr>
        <w:t xml:space="preserve">para </w:t>
      </w:r>
      <w:r w:rsidR="00B130DB" w:rsidRPr="00D50D50">
        <w:rPr>
          <w:rFonts w:asciiTheme="majorHAnsi" w:hAnsiTheme="majorHAnsi"/>
          <w:sz w:val="20"/>
          <w:szCs w:val="20"/>
          <w:lang w:val="es-ES"/>
        </w:rPr>
        <w:t xml:space="preserve">que los </w:t>
      </w:r>
      <w:r w:rsidR="00281F7A" w:rsidRPr="00D50D50">
        <w:rPr>
          <w:rFonts w:asciiTheme="majorHAnsi" w:hAnsiTheme="majorHAnsi"/>
          <w:sz w:val="20"/>
          <w:szCs w:val="20"/>
          <w:lang w:val="es-ES"/>
        </w:rPr>
        <w:t>e</w:t>
      </w:r>
      <w:r w:rsidR="00B130DB" w:rsidRPr="00D50D50">
        <w:rPr>
          <w:rFonts w:asciiTheme="majorHAnsi" w:hAnsiTheme="majorHAnsi"/>
          <w:sz w:val="20"/>
          <w:szCs w:val="20"/>
          <w:lang w:val="es-ES"/>
        </w:rPr>
        <w:t>x</w:t>
      </w:r>
      <w:r w:rsidRPr="00D50D50">
        <w:rPr>
          <w:rFonts w:asciiTheme="majorHAnsi" w:hAnsiTheme="majorHAnsi"/>
          <w:sz w:val="20"/>
          <w:szCs w:val="20"/>
          <w:lang w:val="es-ES"/>
        </w:rPr>
        <w:t xml:space="preserve"> </w:t>
      </w:r>
      <w:r w:rsidR="00A46094" w:rsidRPr="00D50D50">
        <w:rPr>
          <w:rFonts w:asciiTheme="majorHAnsi" w:hAnsiTheme="majorHAnsi"/>
          <w:sz w:val="20"/>
          <w:szCs w:val="20"/>
          <w:lang w:val="es-ES"/>
        </w:rPr>
        <w:t>m</w:t>
      </w:r>
      <w:r w:rsidR="00B130DB" w:rsidRPr="00D50D50">
        <w:rPr>
          <w:rFonts w:asciiTheme="majorHAnsi" w:hAnsiTheme="majorHAnsi"/>
          <w:sz w:val="20"/>
          <w:szCs w:val="20"/>
          <w:lang w:val="es-ES"/>
        </w:rPr>
        <w:t>inistros y demás autoridades</w:t>
      </w:r>
      <w:r w:rsidR="00E00DFD" w:rsidRPr="00D50D50">
        <w:rPr>
          <w:rFonts w:asciiTheme="majorHAnsi" w:hAnsiTheme="majorHAnsi"/>
          <w:sz w:val="20"/>
          <w:szCs w:val="20"/>
          <w:lang w:val="es-ES"/>
        </w:rPr>
        <w:t xml:space="preserve"> fueran sometidas a juicio ordinario por </w:t>
      </w:r>
      <w:r w:rsidR="00B130DB" w:rsidRPr="00D50D50">
        <w:rPr>
          <w:rFonts w:asciiTheme="majorHAnsi" w:hAnsiTheme="majorHAnsi"/>
          <w:sz w:val="20"/>
          <w:szCs w:val="20"/>
          <w:lang w:val="es-ES"/>
        </w:rPr>
        <w:t xml:space="preserve">un </w:t>
      </w:r>
      <w:r w:rsidR="00E00DFD" w:rsidRPr="00D50D50">
        <w:rPr>
          <w:rFonts w:asciiTheme="majorHAnsi" w:hAnsiTheme="majorHAnsi"/>
          <w:sz w:val="20"/>
          <w:szCs w:val="20"/>
          <w:lang w:val="es-ES"/>
        </w:rPr>
        <w:t>t</w:t>
      </w:r>
      <w:r w:rsidR="00B130DB" w:rsidRPr="00D50D50">
        <w:rPr>
          <w:rFonts w:asciiTheme="majorHAnsi" w:hAnsiTheme="majorHAnsi"/>
          <w:sz w:val="20"/>
          <w:szCs w:val="20"/>
          <w:lang w:val="es-ES"/>
        </w:rPr>
        <w:t xml:space="preserve">ribunal de </w:t>
      </w:r>
      <w:r w:rsidR="00E00DFD" w:rsidRPr="00D50D50">
        <w:rPr>
          <w:rFonts w:asciiTheme="majorHAnsi" w:hAnsiTheme="majorHAnsi"/>
          <w:sz w:val="20"/>
          <w:szCs w:val="20"/>
          <w:lang w:val="es-ES"/>
        </w:rPr>
        <w:t>s</w:t>
      </w:r>
      <w:r w:rsidR="00B130DB" w:rsidRPr="00D50D50">
        <w:rPr>
          <w:rFonts w:asciiTheme="majorHAnsi" w:hAnsiTheme="majorHAnsi"/>
          <w:sz w:val="20"/>
          <w:szCs w:val="20"/>
          <w:lang w:val="es-ES"/>
        </w:rPr>
        <w:t>entencia de la ci</w:t>
      </w:r>
      <w:r w:rsidR="00E00DFD" w:rsidRPr="00D50D50">
        <w:rPr>
          <w:rFonts w:asciiTheme="majorHAnsi" w:hAnsiTheme="majorHAnsi"/>
          <w:sz w:val="20"/>
          <w:szCs w:val="20"/>
          <w:lang w:val="es-ES"/>
        </w:rPr>
        <w:t>u</w:t>
      </w:r>
      <w:r w:rsidR="00B130DB" w:rsidRPr="00D50D50">
        <w:rPr>
          <w:rFonts w:asciiTheme="majorHAnsi" w:hAnsiTheme="majorHAnsi"/>
          <w:sz w:val="20"/>
          <w:szCs w:val="20"/>
          <w:lang w:val="es-ES"/>
        </w:rPr>
        <w:t xml:space="preserve">dad de </w:t>
      </w:r>
      <w:r w:rsidR="00E00DFD" w:rsidRPr="00D50D50">
        <w:rPr>
          <w:rFonts w:asciiTheme="majorHAnsi" w:hAnsiTheme="majorHAnsi"/>
          <w:sz w:val="20"/>
          <w:szCs w:val="20"/>
          <w:lang w:val="es-ES"/>
        </w:rPr>
        <w:t>El</w:t>
      </w:r>
      <w:r w:rsidR="00B130DB" w:rsidRPr="00D50D50">
        <w:rPr>
          <w:rFonts w:asciiTheme="majorHAnsi" w:hAnsiTheme="majorHAnsi"/>
          <w:sz w:val="20"/>
          <w:szCs w:val="20"/>
          <w:lang w:val="es-ES"/>
        </w:rPr>
        <w:t xml:space="preserve"> Alto. </w:t>
      </w:r>
      <w:r w:rsidR="00E00DFD" w:rsidRPr="00D50D50">
        <w:rPr>
          <w:rFonts w:asciiTheme="majorHAnsi" w:hAnsiTheme="majorHAnsi"/>
          <w:sz w:val="20"/>
          <w:szCs w:val="20"/>
          <w:lang w:val="es-ES"/>
        </w:rPr>
        <w:t>Debido a que</w:t>
      </w:r>
      <w:r w:rsidR="00FB76C3" w:rsidRPr="00D50D50">
        <w:rPr>
          <w:rFonts w:asciiTheme="majorHAnsi" w:hAnsiTheme="majorHAnsi"/>
          <w:sz w:val="20"/>
          <w:szCs w:val="20"/>
          <w:lang w:val="es-ES"/>
        </w:rPr>
        <w:t xml:space="preserve"> el </w:t>
      </w:r>
      <w:r w:rsidR="00E00DFD" w:rsidRPr="00D50D50">
        <w:rPr>
          <w:rFonts w:asciiTheme="majorHAnsi" w:hAnsiTheme="majorHAnsi"/>
          <w:sz w:val="20"/>
          <w:szCs w:val="20"/>
          <w:lang w:val="es-ES"/>
        </w:rPr>
        <w:t xml:space="preserve">proceso </w:t>
      </w:r>
      <w:r w:rsidR="00FB76C3" w:rsidRPr="00D50D50">
        <w:rPr>
          <w:rFonts w:asciiTheme="majorHAnsi" w:hAnsiTheme="majorHAnsi"/>
          <w:sz w:val="20"/>
          <w:szCs w:val="20"/>
          <w:lang w:val="es-ES"/>
        </w:rPr>
        <w:t xml:space="preserve">al que estaban sometidas las </w:t>
      </w:r>
      <w:r w:rsidR="00E00DFD" w:rsidRPr="00D50D50">
        <w:rPr>
          <w:rFonts w:asciiTheme="majorHAnsi" w:hAnsiTheme="majorHAnsi"/>
          <w:sz w:val="20"/>
          <w:szCs w:val="20"/>
          <w:lang w:val="es-ES"/>
        </w:rPr>
        <w:t xml:space="preserve">presuntas </w:t>
      </w:r>
      <w:r w:rsidR="00FB76C3" w:rsidRPr="00D50D50">
        <w:rPr>
          <w:rFonts w:asciiTheme="majorHAnsi" w:hAnsiTheme="majorHAnsi"/>
          <w:sz w:val="20"/>
          <w:szCs w:val="20"/>
          <w:lang w:val="es-ES"/>
        </w:rPr>
        <w:t xml:space="preserve">víctimas se dirigía contra </w:t>
      </w:r>
      <w:r w:rsidR="00E00DFD" w:rsidRPr="00D50D50">
        <w:rPr>
          <w:rFonts w:asciiTheme="majorHAnsi" w:hAnsiTheme="majorHAnsi"/>
          <w:sz w:val="20"/>
          <w:szCs w:val="20"/>
          <w:lang w:val="es-ES"/>
        </w:rPr>
        <w:t xml:space="preserve">ex </w:t>
      </w:r>
      <w:r w:rsidR="00FB76C3" w:rsidRPr="00D50D50">
        <w:rPr>
          <w:rFonts w:asciiTheme="majorHAnsi" w:hAnsiTheme="majorHAnsi"/>
          <w:sz w:val="20"/>
          <w:szCs w:val="20"/>
          <w:lang w:val="es-ES"/>
        </w:rPr>
        <w:t xml:space="preserve">ministros de gobierno, </w:t>
      </w:r>
      <w:r w:rsidR="00E00DFD" w:rsidRPr="00D50D50">
        <w:rPr>
          <w:rFonts w:asciiTheme="majorHAnsi" w:hAnsiTheme="majorHAnsi"/>
          <w:sz w:val="20"/>
          <w:szCs w:val="20"/>
          <w:lang w:val="es-ES"/>
        </w:rPr>
        <w:t xml:space="preserve">sus representantes </w:t>
      </w:r>
      <w:r w:rsidR="00FB76C3" w:rsidRPr="00D50D50">
        <w:rPr>
          <w:rFonts w:asciiTheme="majorHAnsi" w:hAnsiTheme="majorHAnsi"/>
          <w:sz w:val="20"/>
          <w:szCs w:val="20"/>
          <w:lang w:val="es-ES"/>
        </w:rPr>
        <w:t xml:space="preserve">impugnaron la jurisdicción del juicio de responsabilidad mediante una </w:t>
      </w:r>
      <w:r w:rsidR="00AE2A3A" w:rsidRPr="00D50D50">
        <w:rPr>
          <w:rFonts w:asciiTheme="majorHAnsi" w:hAnsiTheme="majorHAnsi"/>
          <w:sz w:val="20"/>
          <w:szCs w:val="20"/>
          <w:lang w:val="es-ES"/>
        </w:rPr>
        <w:t>solicitud de adecuación procesal</w:t>
      </w:r>
      <w:r w:rsidR="00FB76C3" w:rsidRPr="00D50D50">
        <w:rPr>
          <w:rFonts w:asciiTheme="majorHAnsi" w:hAnsiTheme="majorHAnsi"/>
          <w:sz w:val="20"/>
          <w:szCs w:val="20"/>
          <w:lang w:val="es-ES"/>
        </w:rPr>
        <w:t xml:space="preserve">. </w:t>
      </w:r>
      <w:r w:rsidR="00E00DFD" w:rsidRPr="00D50D50">
        <w:rPr>
          <w:rFonts w:asciiTheme="majorHAnsi" w:hAnsiTheme="majorHAnsi"/>
          <w:sz w:val="20"/>
          <w:szCs w:val="20"/>
          <w:lang w:val="es-ES"/>
        </w:rPr>
        <w:t>Sin embargo</w:t>
      </w:r>
      <w:r w:rsidR="00FB76C3" w:rsidRPr="00D50D50">
        <w:rPr>
          <w:rFonts w:asciiTheme="majorHAnsi" w:hAnsiTheme="majorHAnsi"/>
          <w:sz w:val="20"/>
          <w:szCs w:val="20"/>
          <w:lang w:val="es-ES"/>
        </w:rPr>
        <w:t xml:space="preserve">, tanto la </w:t>
      </w:r>
      <w:r w:rsidR="00AE2A3A" w:rsidRPr="00D50D50">
        <w:rPr>
          <w:rFonts w:asciiTheme="majorHAnsi" w:hAnsiTheme="majorHAnsi"/>
          <w:sz w:val="20"/>
          <w:szCs w:val="20"/>
          <w:lang w:val="es-ES"/>
        </w:rPr>
        <w:t xml:space="preserve">excepción de incompetencia </w:t>
      </w:r>
      <w:r w:rsidR="00FB76C3" w:rsidRPr="00D50D50">
        <w:rPr>
          <w:rFonts w:asciiTheme="majorHAnsi" w:hAnsiTheme="majorHAnsi"/>
          <w:sz w:val="20"/>
          <w:szCs w:val="20"/>
          <w:lang w:val="es-ES"/>
        </w:rPr>
        <w:t xml:space="preserve">como la solicitud de adecuación procesal de la jurisdicción del Tribunal de Juicio de Responsabilidad fueron rechazadas; el </w:t>
      </w:r>
      <w:r w:rsidR="00E00DFD" w:rsidRPr="00D50D50">
        <w:rPr>
          <w:rFonts w:asciiTheme="majorHAnsi" w:hAnsiTheme="majorHAnsi"/>
          <w:sz w:val="20"/>
          <w:szCs w:val="20"/>
          <w:lang w:val="es-ES"/>
        </w:rPr>
        <w:t>t</w:t>
      </w:r>
      <w:r w:rsidR="00FB76C3" w:rsidRPr="00D50D50">
        <w:rPr>
          <w:rFonts w:asciiTheme="majorHAnsi" w:hAnsiTheme="majorHAnsi"/>
          <w:sz w:val="20"/>
          <w:szCs w:val="20"/>
          <w:lang w:val="es-ES"/>
        </w:rPr>
        <w:t xml:space="preserve">ribunal </w:t>
      </w:r>
      <w:r w:rsidR="00E00DFD" w:rsidRPr="00D50D50">
        <w:rPr>
          <w:rFonts w:asciiTheme="majorHAnsi" w:hAnsiTheme="majorHAnsi"/>
          <w:sz w:val="20"/>
          <w:szCs w:val="20"/>
          <w:lang w:val="es-ES"/>
        </w:rPr>
        <w:t xml:space="preserve">ratificó </w:t>
      </w:r>
      <w:r w:rsidR="00FB76C3" w:rsidRPr="00D50D50">
        <w:rPr>
          <w:rFonts w:asciiTheme="majorHAnsi" w:hAnsiTheme="majorHAnsi"/>
          <w:sz w:val="20"/>
          <w:szCs w:val="20"/>
          <w:lang w:val="es-ES"/>
        </w:rPr>
        <w:t>en ambos casos su competencia para el juicio y confirm</w:t>
      </w:r>
      <w:r w:rsidR="00E00DFD" w:rsidRPr="00D50D50">
        <w:rPr>
          <w:rFonts w:asciiTheme="majorHAnsi" w:hAnsiTheme="majorHAnsi"/>
          <w:sz w:val="20"/>
          <w:szCs w:val="20"/>
          <w:lang w:val="es-ES"/>
        </w:rPr>
        <w:t>ó</w:t>
      </w:r>
      <w:r w:rsidR="00FB76C3" w:rsidRPr="00D50D50">
        <w:rPr>
          <w:rFonts w:asciiTheme="majorHAnsi" w:hAnsiTheme="majorHAnsi"/>
          <w:sz w:val="20"/>
          <w:szCs w:val="20"/>
          <w:lang w:val="es-ES"/>
        </w:rPr>
        <w:t xml:space="preserve"> la </w:t>
      </w:r>
      <w:r w:rsidR="0052154E" w:rsidRPr="00D50D50">
        <w:rPr>
          <w:rFonts w:asciiTheme="majorHAnsi" w:hAnsiTheme="majorHAnsi"/>
          <w:sz w:val="20"/>
          <w:szCs w:val="20"/>
          <w:lang w:val="es-ES"/>
        </w:rPr>
        <w:t>obligatoriedad</w:t>
      </w:r>
      <w:r w:rsidR="00FB76C3" w:rsidRPr="00D50D50">
        <w:rPr>
          <w:rFonts w:asciiTheme="majorHAnsi" w:hAnsiTheme="majorHAnsi"/>
          <w:sz w:val="20"/>
          <w:szCs w:val="20"/>
          <w:lang w:val="es-ES"/>
        </w:rPr>
        <w:t xml:space="preserve"> del procedimiento penal en </w:t>
      </w:r>
      <w:r w:rsidR="0052154E" w:rsidRPr="00D50D50">
        <w:rPr>
          <w:rFonts w:asciiTheme="majorHAnsi" w:hAnsiTheme="majorHAnsi"/>
          <w:sz w:val="20"/>
          <w:szCs w:val="20"/>
          <w:lang w:val="es-ES"/>
        </w:rPr>
        <w:t>cuestión.</w:t>
      </w:r>
    </w:p>
    <w:p w14:paraId="3113E1A2" w14:textId="77777777" w:rsidR="00186A95" w:rsidRPr="00D50D50" w:rsidRDefault="00186A95" w:rsidP="00186A9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58E9DB39" w14:textId="7F808401" w:rsidR="0074152C" w:rsidRPr="00D50D50" w:rsidRDefault="00515AD4" w:rsidP="00FB76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La parte peticionaria m</w:t>
      </w:r>
      <w:r w:rsidR="00914B6D" w:rsidRPr="00D50D50">
        <w:rPr>
          <w:rFonts w:asciiTheme="majorHAnsi" w:hAnsiTheme="majorHAnsi"/>
          <w:sz w:val="20"/>
          <w:szCs w:val="20"/>
          <w:lang w:val="es-ES"/>
        </w:rPr>
        <w:t xml:space="preserve">anifiesta que el juicio penal contra </w:t>
      </w:r>
      <w:r w:rsidRPr="00D50D50">
        <w:rPr>
          <w:rFonts w:asciiTheme="majorHAnsi" w:hAnsiTheme="majorHAnsi"/>
          <w:sz w:val="20"/>
          <w:szCs w:val="20"/>
          <w:lang w:val="es-ES"/>
        </w:rPr>
        <w:t xml:space="preserve">las presuntas víctimas </w:t>
      </w:r>
      <w:r w:rsidR="00D14641" w:rsidRPr="00D50D50">
        <w:rPr>
          <w:rFonts w:asciiTheme="majorHAnsi" w:hAnsiTheme="majorHAnsi"/>
          <w:sz w:val="20"/>
          <w:szCs w:val="20"/>
          <w:lang w:val="es-ES"/>
        </w:rPr>
        <w:t xml:space="preserve">fue llevado a cabo de acuerdo con la Ley de Juicio de Responsabilidades de 13 de marzo de 2003, </w:t>
      </w:r>
      <w:r w:rsidR="00CC30CB" w:rsidRPr="00D50D50">
        <w:rPr>
          <w:rFonts w:asciiTheme="majorHAnsi" w:hAnsiTheme="majorHAnsi"/>
          <w:sz w:val="20"/>
          <w:szCs w:val="20"/>
          <w:lang w:val="es-ES"/>
        </w:rPr>
        <w:t>que</w:t>
      </w:r>
      <w:r w:rsidR="00D14641" w:rsidRPr="00D50D50">
        <w:rPr>
          <w:rFonts w:asciiTheme="majorHAnsi" w:hAnsiTheme="majorHAnsi"/>
          <w:sz w:val="20"/>
          <w:szCs w:val="20"/>
          <w:lang w:val="es-ES"/>
        </w:rPr>
        <w:t xml:space="preserve"> </w:t>
      </w:r>
      <w:r w:rsidR="00CC30CB" w:rsidRPr="00D50D50">
        <w:rPr>
          <w:rFonts w:asciiTheme="majorHAnsi" w:hAnsiTheme="majorHAnsi"/>
          <w:sz w:val="20"/>
          <w:szCs w:val="20"/>
          <w:lang w:val="es-ES"/>
        </w:rPr>
        <w:t xml:space="preserve">otorga competencia </w:t>
      </w:r>
      <w:r w:rsidR="00D14641" w:rsidRPr="00D50D50">
        <w:rPr>
          <w:rFonts w:asciiTheme="majorHAnsi" w:hAnsiTheme="majorHAnsi"/>
          <w:sz w:val="20"/>
          <w:szCs w:val="20"/>
          <w:lang w:val="es-ES"/>
        </w:rPr>
        <w:t>a la Corte Suprema de Justicia.</w:t>
      </w:r>
      <w:r w:rsidR="00A10A0C" w:rsidRPr="00D50D50">
        <w:rPr>
          <w:rFonts w:asciiTheme="majorHAnsi" w:hAnsiTheme="majorHAnsi"/>
          <w:sz w:val="20"/>
          <w:szCs w:val="20"/>
          <w:lang w:val="es-ES"/>
        </w:rPr>
        <w:t xml:space="preserve"> Además</w:t>
      </w:r>
      <w:r w:rsidR="00AE2A3A" w:rsidRPr="00D50D50">
        <w:rPr>
          <w:rFonts w:asciiTheme="majorHAnsi" w:hAnsiTheme="majorHAnsi"/>
          <w:sz w:val="20"/>
          <w:szCs w:val="20"/>
          <w:lang w:val="es-ES"/>
        </w:rPr>
        <w:t xml:space="preserve">, argumenta </w:t>
      </w:r>
      <w:r w:rsidR="00CC30CB" w:rsidRPr="00D50D50">
        <w:rPr>
          <w:rFonts w:asciiTheme="majorHAnsi" w:hAnsiTheme="majorHAnsi"/>
          <w:sz w:val="20"/>
          <w:szCs w:val="20"/>
          <w:lang w:val="es-ES"/>
        </w:rPr>
        <w:t xml:space="preserve">que </w:t>
      </w:r>
      <w:r w:rsidR="00AE2A3A" w:rsidRPr="00D50D50">
        <w:rPr>
          <w:rFonts w:asciiTheme="majorHAnsi" w:hAnsiTheme="majorHAnsi"/>
          <w:sz w:val="20"/>
          <w:szCs w:val="20"/>
          <w:lang w:val="es-ES"/>
        </w:rPr>
        <w:t>las presuntas víctimas nunca renunciaron a ser</w:t>
      </w:r>
      <w:r w:rsidR="00A10A0C" w:rsidRPr="00D50D50">
        <w:rPr>
          <w:rFonts w:asciiTheme="majorHAnsi" w:hAnsiTheme="majorHAnsi"/>
          <w:sz w:val="20"/>
          <w:szCs w:val="20"/>
          <w:lang w:val="es-ES"/>
        </w:rPr>
        <w:t xml:space="preserve"> presentad</w:t>
      </w:r>
      <w:r w:rsidR="005D3FEC" w:rsidRPr="00D50D50">
        <w:rPr>
          <w:rFonts w:asciiTheme="majorHAnsi" w:hAnsiTheme="majorHAnsi"/>
          <w:sz w:val="20"/>
          <w:szCs w:val="20"/>
          <w:lang w:val="es-ES"/>
        </w:rPr>
        <w:t>a</w:t>
      </w:r>
      <w:r w:rsidR="00A10A0C" w:rsidRPr="00D50D50">
        <w:rPr>
          <w:rFonts w:asciiTheme="majorHAnsi" w:hAnsiTheme="majorHAnsi"/>
          <w:sz w:val="20"/>
          <w:szCs w:val="20"/>
          <w:lang w:val="es-ES"/>
        </w:rPr>
        <w:t>s ante dicho máximo tribunal</w:t>
      </w:r>
      <w:r w:rsidR="00D14641" w:rsidRPr="00D50D50">
        <w:rPr>
          <w:rFonts w:asciiTheme="majorHAnsi" w:hAnsiTheme="majorHAnsi"/>
          <w:sz w:val="20"/>
          <w:szCs w:val="20"/>
          <w:lang w:val="es-ES"/>
        </w:rPr>
        <w:t xml:space="preserve"> </w:t>
      </w:r>
      <w:r w:rsidR="00CC30CB" w:rsidRPr="00D50D50">
        <w:rPr>
          <w:rFonts w:asciiTheme="majorHAnsi" w:hAnsiTheme="majorHAnsi"/>
          <w:sz w:val="20"/>
          <w:szCs w:val="20"/>
          <w:lang w:val="es-ES"/>
        </w:rPr>
        <w:t xml:space="preserve">y </w:t>
      </w:r>
      <w:r w:rsidR="00D14641" w:rsidRPr="00D50D50">
        <w:rPr>
          <w:rFonts w:asciiTheme="majorHAnsi" w:hAnsiTheme="majorHAnsi"/>
          <w:sz w:val="20"/>
          <w:szCs w:val="20"/>
          <w:lang w:val="es-ES"/>
        </w:rPr>
        <w:t>aclara que fueron sometid</w:t>
      </w:r>
      <w:r w:rsidR="005D3FEC" w:rsidRPr="00D50D50">
        <w:rPr>
          <w:rFonts w:asciiTheme="majorHAnsi" w:hAnsiTheme="majorHAnsi"/>
          <w:sz w:val="20"/>
          <w:szCs w:val="20"/>
          <w:lang w:val="es-ES"/>
        </w:rPr>
        <w:t>a</w:t>
      </w:r>
      <w:r w:rsidR="00D14641" w:rsidRPr="00D50D50">
        <w:rPr>
          <w:rFonts w:asciiTheme="majorHAnsi" w:hAnsiTheme="majorHAnsi"/>
          <w:sz w:val="20"/>
          <w:szCs w:val="20"/>
          <w:lang w:val="es-ES"/>
        </w:rPr>
        <w:t>s al imperio de la ley</w:t>
      </w:r>
      <w:r w:rsidR="00CC30CB" w:rsidRPr="00D50D50">
        <w:rPr>
          <w:rFonts w:asciiTheme="majorHAnsi" w:hAnsiTheme="majorHAnsi"/>
          <w:sz w:val="20"/>
          <w:szCs w:val="20"/>
          <w:lang w:val="es-ES"/>
        </w:rPr>
        <w:t>, pero</w:t>
      </w:r>
      <w:r w:rsidR="00D14641" w:rsidRPr="00D50D50">
        <w:rPr>
          <w:rFonts w:asciiTheme="majorHAnsi" w:hAnsiTheme="majorHAnsi"/>
          <w:sz w:val="20"/>
          <w:szCs w:val="20"/>
          <w:lang w:val="es-ES"/>
        </w:rPr>
        <w:t xml:space="preserve"> </w:t>
      </w:r>
      <w:r w:rsidR="00CC30CB" w:rsidRPr="00D50D50">
        <w:rPr>
          <w:rFonts w:asciiTheme="majorHAnsi" w:hAnsiTheme="majorHAnsi"/>
          <w:sz w:val="20"/>
          <w:szCs w:val="20"/>
          <w:lang w:val="es-ES"/>
        </w:rPr>
        <w:t xml:space="preserve">que </w:t>
      </w:r>
      <w:r w:rsidR="00B8643F" w:rsidRPr="00D50D50">
        <w:rPr>
          <w:rFonts w:asciiTheme="majorHAnsi" w:hAnsiTheme="majorHAnsi"/>
          <w:sz w:val="20"/>
          <w:szCs w:val="20"/>
          <w:lang w:val="es-ES"/>
        </w:rPr>
        <w:t xml:space="preserve">ello </w:t>
      </w:r>
      <w:r w:rsidR="00D14641" w:rsidRPr="00D50D50">
        <w:rPr>
          <w:rFonts w:asciiTheme="majorHAnsi" w:hAnsiTheme="majorHAnsi"/>
          <w:sz w:val="20"/>
          <w:szCs w:val="20"/>
          <w:lang w:val="es-ES"/>
        </w:rPr>
        <w:t xml:space="preserve">no </w:t>
      </w:r>
      <w:r w:rsidR="00B8643F" w:rsidRPr="00D50D50">
        <w:rPr>
          <w:rFonts w:asciiTheme="majorHAnsi" w:hAnsiTheme="majorHAnsi"/>
          <w:sz w:val="20"/>
          <w:szCs w:val="20"/>
          <w:lang w:val="es-ES"/>
        </w:rPr>
        <w:t xml:space="preserve">implicaba su </w:t>
      </w:r>
      <w:r w:rsidR="00D14641" w:rsidRPr="00D50D50">
        <w:rPr>
          <w:rFonts w:asciiTheme="majorHAnsi" w:hAnsiTheme="majorHAnsi"/>
          <w:sz w:val="20"/>
          <w:szCs w:val="20"/>
          <w:lang w:val="es-ES"/>
        </w:rPr>
        <w:t xml:space="preserve">consentimiento. </w:t>
      </w:r>
    </w:p>
    <w:p w14:paraId="0EF182EA" w14:textId="77777777" w:rsidR="00186A95" w:rsidRPr="00D50D50" w:rsidRDefault="00186A95" w:rsidP="00186A9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06855BCA" w14:textId="2870B88C" w:rsidR="001706B3" w:rsidRPr="00D50D50" w:rsidRDefault="002E2A44" w:rsidP="00FB76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Aduce</w:t>
      </w:r>
      <w:r w:rsidR="00CC30CB" w:rsidRPr="00D50D50">
        <w:rPr>
          <w:rFonts w:asciiTheme="majorHAnsi" w:hAnsiTheme="majorHAnsi"/>
          <w:sz w:val="20"/>
          <w:szCs w:val="20"/>
          <w:lang w:val="es-ES"/>
        </w:rPr>
        <w:t xml:space="preserve"> asimismo </w:t>
      </w:r>
      <w:r w:rsidR="00B8643F" w:rsidRPr="00D50D50">
        <w:rPr>
          <w:rFonts w:asciiTheme="majorHAnsi" w:hAnsiTheme="majorHAnsi"/>
          <w:sz w:val="20"/>
          <w:szCs w:val="20"/>
          <w:lang w:val="es-ES"/>
        </w:rPr>
        <w:t>que,</w:t>
      </w:r>
      <w:r w:rsidRPr="00D50D50">
        <w:rPr>
          <w:rFonts w:asciiTheme="majorHAnsi" w:hAnsiTheme="majorHAnsi"/>
          <w:sz w:val="20"/>
          <w:szCs w:val="20"/>
          <w:lang w:val="es-ES"/>
        </w:rPr>
        <w:t xml:space="preserve"> durante la recepción de testimonios </w:t>
      </w:r>
      <w:r w:rsidR="00CC30CB" w:rsidRPr="00D50D50">
        <w:rPr>
          <w:rFonts w:asciiTheme="majorHAnsi" w:hAnsiTheme="majorHAnsi"/>
          <w:sz w:val="20"/>
          <w:szCs w:val="20"/>
          <w:lang w:val="es-ES"/>
        </w:rPr>
        <w:t>de</w:t>
      </w:r>
      <w:r w:rsidRPr="00D50D50">
        <w:rPr>
          <w:rFonts w:asciiTheme="majorHAnsi" w:hAnsiTheme="majorHAnsi"/>
          <w:sz w:val="20"/>
          <w:szCs w:val="20"/>
          <w:lang w:val="es-ES"/>
        </w:rPr>
        <w:t xml:space="preserve"> 2 de marzo </w:t>
      </w:r>
      <w:r w:rsidR="00B92F91" w:rsidRPr="00D50D50">
        <w:rPr>
          <w:rFonts w:asciiTheme="majorHAnsi" w:hAnsiTheme="majorHAnsi"/>
          <w:sz w:val="20"/>
          <w:szCs w:val="20"/>
          <w:lang w:val="es-ES"/>
        </w:rPr>
        <w:t xml:space="preserve">de 2011, sin previo aviso </w:t>
      </w:r>
      <w:r w:rsidR="00A10A0C" w:rsidRPr="00D50D50">
        <w:rPr>
          <w:rFonts w:asciiTheme="majorHAnsi" w:hAnsiTheme="majorHAnsi"/>
          <w:sz w:val="20"/>
          <w:szCs w:val="20"/>
          <w:lang w:val="es-ES"/>
        </w:rPr>
        <w:t>e</w:t>
      </w:r>
      <w:r w:rsidR="00B92F91" w:rsidRPr="00D50D50">
        <w:rPr>
          <w:rFonts w:asciiTheme="majorHAnsi" w:hAnsiTheme="majorHAnsi"/>
          <w:sz w:val="20"/>
          <w:szCs w:val="20"/>
          <w:lang w:val="es-ES"/>
        </w:rPr>
        <w:t xml:space="preserve">l </w:t>
      </w:r>
      <w:r w:rsidR="00CC30CB" w:rsidRPr="00D50D50">
        <w:rPr>
          <w:rFonts w:asciiTheme="majorHAnsi" w:hAnsiTheme="majorHAnsi"/>
          <w:sz w:val="20"/>
          <w:szCs w:val="20"/>
          <w:lang w:val="es-ES"/>
        </w:rPr>
        <w:t>t</w:t>
      </w:r>
      <w:r w:rsidR="00B92F91" w:rsidRPr="00D50D50">
        <w:rPr>
          <w:rFonts w:asciiTheme="majorHAnsi" w:hAnsiTheme="majorHAnsi"/>
          <w:sz w:val="20"/>
          <w:szCs w:val="20"/>
          <w:lang w:val="es-ES"/>
        </w:rPr>
        <w:t>ribunal d</w:t>
      </w:r>
      <w:r w:rsidR="00CC30CB" w:rsidRPr="00D50D50">
        <w:rPr>
          <w:rFonts w:asciiTheme="majorHAnsi" w:hAnsiTheme="majorHAnsi"/>
          <w:sz w:val="20"/>
          <w:szCs w:val="20"/>
          <w:lang w:val="es-ES"/>
        </w:rPr>
        <w:t>ict</w:t>
      </w:r>
      <w:r w:rsidR="00B92F91" w:rsidRPr="00D50D50">
        <w:rPr>
          <w:rFonts w:asciiTheme="majorHAnsi" w:hAnsiTheme="majorHAnsi"/>
          <w:sz w:val="20"/>
          <w:szCs w:val="20"/>
          <w:lang w:val="es-ES"/>
        </w:rPr>
        <w:t>ó</w:t>
      </w:r>
      <w:r w:rsidRPr="00D50D50">
        <w:rPr>
          <w:rFonts w:asciiTheme="majorHAnsi" w:hAnsiTheme="majorHAnsi"/>
          <w:sz w:val="20"/>
          <w:szCs w:val="20"/>
          <w:lang w:val="es-ES"/>
        </w:rPr>
        <w:t xml:space="preserve"> </w:t>
      </w:r>
      <w:r w:rsidR="00CC30CB" w:rsidRPr="00D50D50">
        <w:rPr>
          <w:rFonts w:asciiTheme="majorHAnsi" w:hAnsiTheme="majorHAnsi"/>
          <w:sz w:val="20"/>
          <w:szCs w:val="20"/>
          <w:lang w:val="es-ES"/>
        </w:rPr>
        <w:t xml:space="preserve">la </w:t>
      </w:r>
      <w:r w:rsidR="00B92F91" w:rsidRPr="00D50D50">
        <w:rPr>
          <w:rFonts w:asciiTheme="majorHAnsi" w:hAnsiTheme="majorHAnsi"/>
          <w:sz w:val="20"/>
          <w:szCs w:val="20"/>
          <w:lang w:val="es-ES"/>
        </w:rPr>
        <w:t xml:space="preserve">prisión preventiva </w:t>
      </w:r>
      <w:r w:rsidR="00CC30CB" w:rsidRPr="00D50D50">
        <w:rPr>
          <w:rFonts w:asciiTheme="majorHAnsi" w:hAnsiTheme="majorHAnsi"/>
          <w:sz w:val="20"/>
          <w:szCs w:val="20"/>
          <w:lang w:val="es-ES"/>
        </w:rPr>
        <w:t xml:space="preserve">del General </w:t>
      </w:r>
      <w:r w:rsidR="0068419D" w:rsidRPr="00D50D50">
        <w:rPr>
          <w:rFonts w:asciiTheme="majorHAnsi" w:hAnsiTheme="majorHAnsi"/>
          <w:sz w:val="20"/>
          <w:szCs w:val="20"/>
          <w:lang w:val="es-ES"/>
        </w:rPr>
        <w:t>Véliz</w:t>
      </w:r>
      <w:r w:rsidR="00CC30CB" w:rsidRPr="00D50D50">
        <w:rPr>
          <w:rFonts w:asciiTheme="majorHAnsi" w:hAnsiTheme="majorHAnsi"/>
          <w:sz w:val="20"/>
          <w:szCs w:val="20"/>
          <w:lang w:val="es-ES"/>
        </w:rPr>
        <w:t xml:space="preserve"> Herrera </w:t>
      </w:r>
      <w:r w:rsidR="00B92F91" w:rsidRPr="00D50D50">
        <w:rPr>
          <w:rFonts w:asciiTheme="majorHAnsi" w:hAnsiTheme="majorHAnsi"/>
          <w:sz w:val="20"/>
          <w:szCs w:val="20"/>
          <w:lang w:val="es-ES"/>
        </w:rPr>
        <w:t xml:space="preserve">y </w:t>
      </w:r>
      <w:r w:rsidR="00CC30CB" w:rsidRPr="00D50D50">
        <w:rPr>
          <w:rFonts w:asciiTheme="majorHAnsi" w:hAnsiTheme="majorHAnsi"/>
          <w:sz w:val="20"/>
          <w:szCs w:val="20"/>
          <w:lang w:val="es-ES"/>
        </w:rPr>
        <w:t xml:space="preserve">le dio </w:t>
      </w:r>
      <w:r w:rsidR="00504327" w:rsidRPr="00D50D50">
        <w:rPr>
          <w:rFonts w:asciiTheme="majorHAnsi" w:hAnsiTheme="majorHAnsi"/>
          <w:sz w:val="20"/>
          <w:szCs w:val="20"/>
          <w:lang w:val="es-ES"/>
        </w:rPr>
        <w:t>sólo</w:t>
      </w:r>
      <w:r w:rsidRPr="00D50D50">
        <w:rPr>
          <w:rFonts w:asciiTheme="majorHAnsi" w:hAnsiTheme="majorHAnsi"/>
          <w:sz w:val="20"/>
          <w:szCs w:val="20"/>
          <w:lang w:val="es-ES"/>
        </w:rPr>
        <w:t xml:space="preserve"> 20 minutos para </w:t>
      </w:r>
      <w:r w:rsidR="00CC30CB" w:rsidRPr="00D50D50">
        <w:rPr>
          <w:rFonts w:asciiTheme="majorHAnsi" w:hAnsiTheme="majorHAnsi"/>
          <w:sz w:val="20"/>
          <w:szCs w:val="20"/>
          <w:lang w:val="es-ES"/>
        </w:rPr>
        <w:t xml:space="preserve">que </w:t>
      </w:r>
      <w:r w:rsidRPr="00D50D50">
        <w:rPr>
          <w:rFonts w:asciiTheme="majorHAnsi" w:hAnsiTheme="majorHAnsi"/>
          <w:sz w:val="20"/>
          <w:szCs w:val="20"/>
          <w:lang w:val="es-ES"/>
        </w:rPr>
        <w:t>preparar</w:t>
      </w:r>
      <w:r w:rsidR="00CC30CB" w:rsidRPr="00D50D50">
        <w:rPr>
          <w:rFonts w:asciiTheme="majorHAnsi" w:hAnsiTheme="majorHAnsi"/>
          <w:sz w:val="20"/>
          <w:szCs w:val="20"/>
          <w:lang w:val="es-ES"/>
        </w:rPr>
        <w:t>a</w:t>
      </w:r>
      <w:r w:rsidRPr="00D50D50">
        <w:rPr>
          <w:rFonts w:asciiTheme="majorHAnsi" w:hAnsiTheme="majorHAnsi"/>
          <w:sz w:val="20"/>
          <w:szCs w:val="20"/>
          <w:lang w:val="es-ES"/>
        </w:rPr>
        <w:t xml:space="preserve"> su defensa.</w:t>
      </w:r>
      <w:r w:rsidR="00A404A6" w:rsidRPr="00D50D50">
        <w:rPr>
          <w:rFonts w:asciiTheme="majorHAnsi" w:hAnsiTheme="majorHAnsi"/>
          <w:sz w:val="20"/>
          <w:szCs w:val="20"/>
          <w:lang w:val="es-ES"/>
        </w:rPr>
        <w:t xml:space="preserve"> E</w:t>
      </w:r>
      <w:r w:rsidR="00CC30CB" w:rsidRPr="00D50D50">
        <w:rPr>
          <w:rFonts w:asciiTheme="majorHAnsi" w:hAnsiTheme="majorHAnsi"/>
          <w:sz w:val="20"/>
          <w:szCs w:val="20"/>
          <w:lang w:val="es-ES"/>
        </w:rPr>
        <w:t>ste</w:t>
      </w:r>
      <w:r w:rsidR="00A404A6" w:rsidRPr="00D50D50">
        <w:rPr>
          <w:rFonts w:asciiTheme="majorHAnsi" w:hAnsiTheme="majorHAnsi"/>
          <w:sz w:val="20"/>
          <w:szCs w:val="20"/>
          <w:lang w:val="es-ES"/>
        </w:rPr>
        <w:t xml:space="preserve"> presentó una </w:t>
      </w:r>
      <w:r w:rsidR="00F52FCD" w:rsidRPr="00D50D50">
        <w:rPr>
          <w:rFonts w:asciiTheme="majorHAnsi" w:hAnsiTheme="majorHAnsi"/>
          <w:sz w:val="20"/>
          <w:szCs w:val="20"/>
          <w:lang w:val="es-ES"/>
        </w:rPr>
        <w:t>querella</w:t>
      </w:r>
      <w:r w:rsidR="00A404A6" w:rsidRPr="00D50D50">
        <w:rPr>
          <w:rFonts w:asciiTheme="majorHAnsi" w:hAnsiTheme="majorHAnsi"/>
          <w:sz w:val="20"/>
          <w:szCs w:val="20"/>
          <w:lang w:val="es-ES"/>
        </w:rPr>
        <w:t xml:space="preserve"> contra </w:t>
      </w:r>
      <w:r w:rsidR="00CC30CB" w:rsidRPr="00D50D50">
        <w:rPr>
          <w:rFonts w:asciiTheme="majorHAnsi" w:hAnsiTheme="majorHAnsi"/>
          <w:sz w:val="20"/>
          <w:szCs w:val="20"/>
          <w:lang w:val="es-ES"/>
        </w:rPr>
        <w:t xml:space="preserve">el </w:t>
      </w:r>
      <w:r w:rsidR="00B8643F" w:rsidRPr="00D50D50">
        <w:rPr>
          <w:rFonts w:asciiTheme="majorHAnsi" w:hAnsiTheme="majorHAnsi"/>
          <w:sz w:val="20"/>
          <w:szCs w:val="20"/>
          <w:lang w:val="es-ES"/>
        </w:rPr>
        <w:t xml:space="preserve">antes mencionado </w:t>
      </w:r>
      <w:r w:rsidR="00CC30CB" w:rsidRPr="00D50D50">
        <w:rPr>
          <w:rFonts w:asciiTheme="majorHAnsi" w:hAnsiTheme="majorHAnsi"/>
          <w:sz w:val="20"/>
          <w:szCs w:val="20"/>
          <w:lang w:val="es-ES"/>
        </w:rPr>
        <w:t xml:space="preserve">testigo militar </w:t>
      </w:r>
      <w:r w:rsidR="00A404A6" w:rsidRPr="00D50D50">
        <w:rPr>
          <w:rFonts w:asciiTheme="majorHAnsi" w:hAnsiTheme="majorHAnsi"/>
          <w:sz w:val="20"/>
          <w:szCs w:val="20"/>
          <w:lang w:val="es-ES"/>
        </w:rPr>
        <w:t>por falso testimonio y simulación de delito</w:t>
      </w:r>
      <w:r w:rsidR="00CC30CB" w:rsidRPr="00D50D50">
        <w:rPr>
          <w:rFonts w:asciiTheme="majorHAnsi" w:hAnsiTheme="majorHAnsi"/>
          <w:sz w:val="20"/>
          <w:szCs w:val="20"/>
          <w:lang w:val="es-ES"/>
        </w:rPr>
        <w:t xml:space="preserve">; a la fecha </w:t>
      </w:r>
      <w:r w:rsidR="00656DB9" w:rsidRPr="00D50D50">
        <w:rPr>
          <w:rFonts w:asciiTheme="majorHAnsi" w:hAnsiTheme="majorHAnsi"/>
          <w:sz w:val="20"/>
          <w:szCs w:val="20"/>
          <w:lang w:val="es-ES"/>
        </w:rPr>
        <w:t xml:space="preserve">de presentación de </w:t>
      </w:r>
      <w:r w:rsidR="00CC30CB" w:rsidRPr="00D50D50">
        <w:rPr>
          <w:rFonts w:asciiTheme="majorHAnsi" w:hAnsiTheme="majorHAnsi"/>
          <w:sz w:val="20"/>
          <w:szCs w:val="20"/>
          <w:lang w:val="es-ES"/>
        </w:rPr>
        <w:t>l</w:t>
      </w:r>
      <w:r w:rsidR="00656DB9" w:rsidRPr="00D50D50">
        <w:rPr>
          <w:rFonts w:asciiTheme="majorHAnsi" w:hAnsiTheme="majorHAnsi"/>
          <w:sz w:val="20"/>
          <w:szCs w:val="20"/>
          <w:lang w:val="es-ES"/>
        </w:rPr>
        <w:t xml:space="preserve">a petición a la CIDH, </w:t>
      </w:r>
      <w:r w:rsidR="00CC30CB" w:rsidRPr="00D50D50">
        <w:rPr>
          <w:rFonts w:asciiTheme="majorHAnsi" w:hAnsiTheme="majorHAnsi"/>
          <w:sz w:val="20"/>
          <w:szCs w:val="20"/>
          <w:lang w:val="es-ES"/>
        </w:rPr>
        <w:t xml:space="preserve">dicha acción </w:t>
      </w:r>
      <w:r w:rsidR="00656DB9" w:rsidRPr="00D50D50">
        <w:rPr>
          <w:rFonts w:asciiTheme="majorHAnsi" w:hAnsiTheme="majorHAnsi"/>
          <w:sz w:val="20"/>
          <w:szCs w:val="20"/>
          <w:lang w:val="es-ES"/>
        </w:rPr>
        <w:t xml:space="preserve">se encontraba aún pendiente de aceptación </w:t>
      </w:r>
      <w:r w:rsidR="00CC30CB" w:rsidRPr="00D50D50">
        <w:rPr>
          <w:rFonts w:asciiTheme="majorHAnsi" w:hAnsiTheme="majorHAnsi"/>
          <w:sz w:val="20"/>
          <w:szCs w:val="20"/>
          <w:lang w:val="es-ES"/>
        </w:rPr>
        <w:t xml:space="preserve">por </w:t>
      </w:r>
      <w:r w:rsidR="00656DB9" w:rsidRPr="00D50D50">
        <w:rPr>
          <w:rFonts w:asciiTheme="majorHAnsi" w:hAnsiTheme="majorHAnsi"/>
          <w:sz w:val="20"/>
          <w:szCs w:val="20"/>
          <w:lang w:val="es-ES"/>
        </w:rPr>
        <w:t>el tribunal. La defensa</w:t>
      </w:r>
      <w:r w:rsidR="00B92F91" w:rsidRPr="00D50D50">
        <w:rPr>
          <w:rFonts w:asciiTheme="majorHAnsi" w:hAnsiTheme="majorHAnsi"/>
          <w:sz w:val="20"/>
          <w:szCs w:val="20"/>
          <w:lang w:val="es-ES"/>
        </w:rPr>
        <w:t xml:space="preserve"> de la</w:t>
      </w:r>
      <w:r w:rsidR="00AE2A3A" w:rsidRPr="00D50D50">
        <w:rPr>
          <w:rFonts w:asciiTheme="majorHAnsi" w:hAnsiTheme="majorHAnsi"/>
          <w:sz w:val="20"/>
          <w:szCs w:val="20"/>
          <w:lang w:val="es-ES"/>
        </w:rPr>
        <w:t>s</w:t>
      </w:r>
      <w:r w:rsidR="00B92F91" w:rsidRPr="00D50D50">
        <w:rPr>
          <w:rFonts w:asciiTheme="majorHAnsi" w:hAnsiTheme="majorHAnsi"/>
          <w:sz w:val="20"/>
          <w:szCs w:val="20"/>
          <w:lang w:val="es-ES"/>
        </w:rPr>
        <w:t xml:space="preserve"> presunta</w:t>
      </w:r>
      <w:r w:rsidR="00AE2A3A" w:rsidRPr="00D50D50">
        <w:rPr>
          <w:rFonts w:asciiTheme="majorHAnsi" w:hAnsiTheme="majorHAnsi"/>
          <w:sz w:val="20"/>
          <w:szCs w:val="20"/>
          <w:lang w:val="es-ES"/>
        </w:rPr>
        <w:t>s</w:t>
      </w:r>
      <w:r w:rsidR="00B92F91" w:rsidRPr="00D50D50">
        <w:rPr>
          <w:rFonts w:asciiTheme="majorHAnsi" w:hAnsiTheme="majorHAnsi"/>
          <w:sz w:val="20"/>
          <w:szCs w:val="20"/>
          <w:lang w:val="es-ES"/>
        </w:rPr>
        <w:t xml:space="preserve"> víctima</w:t>
      </w:r>
      <w:r w:rsidR="00AE2A3A" w:rsidRPr="00D50D50">
        <w:rPr>
          <w:rFonts w:asciiTheme="majorHAnsi" w:hAnsiTheme="majorHAnsi"/>
          <w:sz w:val="20"/>
          <w:szCs w:val="20"/>
          <w:lang w:val="es-ES"/>
        </w:rPr>
        <w:t>s</w:t>
      </w:r>
      <w:r w:rsidR="00B92F91" w:rsidRPr="00D50D50">
        <w:rPr>
          <w:rFonts w:asciiTheme="majorHAnsi" w:hAnsiTheme="majorHAnsi"/>
          <w:sz w:val="20"/>
          <w:szCs w:val="20"/>
          <w:lang w:val="es-ES"/>
        </w:rPr>
        <w:t xml:space="preserve"> presentó </w:t>
      </w:r>
      <w:r w:rsidR="00656DB9" w:rsidRPr="00D50D50">
        <w:rPr>
          <w:rFonts w:asciiTheme="majorHAnsi" w:hAnsiTheme="majorHAnsi"/>
          <w:sz w:val="20"/>
          <w:szCs w:val="20"/>
          <w:lang w:val="es-ES"/>
        </w:rPr>
        <w:t xml:space="preserve">una solicitud de habeas corpus, </w:t>
      </w:r>
      <w:r w:rsidR="00CC30CB" w:rsidRPr="00D50D50">
        <w:rPr>
          <w:rFonts w:asciiTheme="majorHAnsi" w:hAnsiTheme="majorHAnsi"/>
          <w:sz w:val="20"/>
          <w:szCs w:val="20"/>
          <w:lang w:val="es-ES"/>
        </w:rPr>
        <w:t>que</w:t>
      </w:r>
      <w:r w:rsidR="00656DB9" w:rsidRPr="00D50D50">
        <w:rPr>
          <w:rFonts w:asciiTheme="majorHAnsi" w:hAnsiTheme="majorHAnsi"/>
          <w:sz w:val="20"/>
          <w:szCs w:val="20"/>
          <w:lang w:val="es-ES"/>
        </w:rPr>
        <w:t xml:space="preserve"> fue rechazada</w:t>
      </w:r>
      <w:r w:rsidR="00CC30CB" w:rsidRPr="00D50D50">
        <w:rPr>
          <w:rFonts w:asciiTheme="majorHAnsi" w:hAnsiTheme="majorHAnsi"/>
          <w:sz w:val="20"/>
          <w:szCs w:val="20"/>
          <w:lang w:val="es-ES"/>
        </w:rPr>
        <w:t>;</w:t>
      </w:r>
      <w:r w:rsidR="00656DB9" w:rsidRPr="00D50D50">
        <w:rPr>
          <w:rFonts w:asciiTheme="majorHAnsi" w:hAnsiTheme="majorHAnsi"/>
          <w:sz w:val="20"/>
          <w:szCs w:val="20"/>
          <w:lang w:val="es-ES"/>
        </w:rPr>
        <w:t xml:space="preserve"> luego se presentó una solicitud de cesación de la detención preventiva el 30 de marzo de 2011,</w:t>
      </w:r>
      <w:r w:rsidR="00CC30CB" w:rsidRPr="00D50D50">
        <w:rPr>
          <w:rFonts w:asciiTheme="majorHAnsi" w:hAnsiTheme="majorHAnsi"/>
          <w:sz w:val="20"/>
          <w:szCs w:val="20"/>
          <w:lang w:val="es-ES"/>
        </w:rPr>
        <w:t xml:space="preserve"> que</w:t>
      </w:r>
      <w:r w:rsidR="00656DB9" w:rsidRPr="00D50D50">
        <w:rPr>
          <w:rFonts w:asciiTheme="majorHAnsi" w:hAnsiTheme="majorHAnsi"/>
          <w:sz w:val="20"/>
          <w:szCs w:val="20"/>
          <w:lang w:val="es-ES"/>
        </w:rPr>
        <w:t xml:space="preserve"> fue </w:t>
      </w:r>
      <w:r w:rsidR="00CC30CB" w:rsidRPr="00D50D50">
        <w:rPr>
          <w:rFonts w:asciiTheme="majorHAnsi" w:hAnsiTheme="majorHAnsi"/>
          <w:sz w:val="20"/>
          <w:szCs w:val="20"/>
          <w:lang w:val="es-ES"/>
        </w:rPr>
        <w:t xml:space="preserve">igualmente </w:t>
      </w:r>
      <w:r w:rsidR="00656DB9" w:rsidRPr="00D50D50">
        <w:rPr>
          <w:rFonts w:asciiTheme="majorHAnsi" w:hAnsiTheme="majorHAnsi"/>
          <w:sz w:val="20"/>
          <w:szCs w:val="20"/>
          <w:lang w:val="es-ES"/>
        </w:rPr>
        <w:t>rechazada el 4 de abril de 2011.</w:t>
      </w:r>
      <w:r w:rsidRPr="00D50D50">
        <w:rPr>
          <w:rFonts w:asciiTheme="majorHAnsi" w:hAnsiTheme="majorHAnsi"/>
          <w:sz w:val="20"/>
          <w:szCs w:val="20"/>
          <w:lang w:val="es-ES"/>
        </w:rPr>
        <w:t xml:space="preserve"> </w:t>
      </w:r>
    </w:p>
    <w:p w14:paraId="53A1E4AA" w14:textId="005526C8" w:rsidR="005D3FEC" w:rsidRPr="00D50D50" w:rsidRDefault="005D3FEC">
      <w:pPr>
        <w:rPr>
          <w:rFonts w:asciiTheme="majorHAnsi" w:hAnsiTheme="majorHAnsi"/>
          <w:sz w:val="20"/>
          <w:szCs w:val="20"/>
          <w:lang w:val="es-ES"/>
        </w:rPr>
      </w:pPr>
      <w:r w:rsidRPr="00D50D50">
        <w:rPr>
          <w:rFonts w:asciiTheme="majorHAnsi" w:hAnsiTheme="majorHAnsi"/>
          <w:sz w:val="20"/>
          <w:szCs w:val="20"/>
          <w:lang w:val="es-ES"/>
        </w:rPr>
        <w:br w:type="page"/>
      </w:r>
    </w:p>
    <w:p w14:paraId="62FCE03D" w14:textId="2D7C3BB5" w:rsidR="00AE4A8A" w:rsidRPr="00D50D50" w:rsidRDefault="00B8643F" w:rsidP="00186A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lastRenderedPageBreak/>
        <w:t>En la</w:t>
      </w:r>
      <w:r w:rsidR="001706B3" w:rsidRPr="00D50D50">
        <w:rPr>
          <w:rFonts w:asciiTheme="majorHAnsi" w:hAnsiTheme="majorHAnsi"/>
          <w:sz w:val="20"/>
          <w:szCs w:val="20"/>
          <w:lang w:val="es-ES"/>
        </w:rPr>
        <w:t xml:space="preserve"> sentencia publicada el 4 de octubre de</w:t>
      </w:r>
      <w:r w:rsidR="00274893" w:rsidRPr="00D50D50">
        <w:rPr>
          <w:rFonts w:asciiTheme="majorHAnsi" w:hAnsiTheme="majorHAnsi"/>
          <w:sz w:val="20"/>
          <w:szCs w:val="20"/>
          <w:lang w:val="es-ES"/>
        </w:rPr>
        <w:t>l mismo año</w:t>
      </w:r>
      <w:r w:rsidR="00344D53" w:rsidRPr="00D50D50">
        <w:rPr>
          <w:rFonts w:asciiTheme="majorHAnsi" w:hAnsiTheme="majorHAnsi"/>
          <w:sz w:val="20"/>
          <w:szCs w:val="20"/>
          <w:lang w:val="es-ES"/>
        </w:rPr>
        <w:t xml:space="preserve"> se declaró </w:t>
      </w:r>
      <w:r w:rsidR="00F61AEF" w:rsidRPr="00D50D50">
        <w:rPr>
          <w:rFonts w:asciiTheme="majorHAnsi" w:hAnsiTheme="majorHAnsi"/>
          <w:sz w:val="20"/>
          <w:szCs w:val="20"/>
          <w:lang w:val="es-ES"/>
        </w:rPr>
        <w:t>a</w:t>
      </w:r>
      <w:r w:rsidR="0068419D" w:rsidRPr="00D50D50">
        <w:rPr>
          <w:rFonts w:asciiTheme="majorHAnsi" w:hAnsiTheme="majorHAnsi"/>
          <w:sz w:val="20"/>
          <w:szCs w:val="20"/>
          <w:lang w:val="es-ES"/>
        </w:rPr>
        <w:t xml:space="preserve"> los Generales</w:t>
      </w:r>
      <w:r w:rsidR="001706B3" w:rsidRPr="00D50D50">
        <w:rPr>
          <w:rFonts w:asciiTheme="majorHAnsi" w:hAnsiTheme="majorHAnsi"/>
          <w:sz w:val="20"/>
          <w:szCs w:val="20"/>
          <w:lang w:val="es-ES"/>
        </w:rPr>
        <w:t xml:space="preserve"> Claros Flores y </w:t>
      </w:r>
      <w:r w:rsidR="0068419D" w:rsidRPr="00D50D50">
        <w:rPr>
          <w:rFonts w:asciiTheme="majorHAnsi" w:hAnsiTheme="majorHAnsi"/>
          <w:sz w:val="20"/>
          <w:szCs w:val="20"/>
          <w:lang w:val="es-ES"/>
        </w:rPr>
        <w:t>Véliz</w:t>
      </w:r>
      <w:r w:rsidR="001706B3" w:rsidRPr="00D50D50">
        <w:rPr>
          <w:rFonts w:asciiTheme="majorHAnsi" w:hAnsiTheme="majorHAnsi"/>
          <w:sz w:val="20"/>
          <w:szCs w:val="20"/>
          <w:lang w:val="es-ES"/>
        </w:rPr>
        <w:t xml:space="preserve"> Herrera</w:t>
      </w:r>
      <w:r w:rsidR="00F61AEF" w:rsidRPr="00D50D50">
        <w:rPr>
          <w:rFonts w:asciiTheme="majorHAnsi" w:hAnsiTheme="majorHAnsi"/>
          <w:sz w:val="20"/>
          <w:szCs w:val="20"/>
          <w:lang w:val="es-ES"/>
        </w:rPr>
        <w:t xml:space="preserve"> como</w:t>
      </w:r>
      <w:r w:rsidR="001706B3" w:rsidRPr="00D50D50">
        <w:rPr>
          <w:rFonts w:asciiTheme="majorHAnsi" w:hAnsiTheme="majorHAnsi"/>
          <w:sz w:val="20"/>
          <w:szCs w:val="20"/>
          <w:lang w:val="es-ES"/>
        </w:rPr>
        <w:t xml:space="preserve"> autores mediatos del delito de genocidio bajo la modalidad </w:t>
      </w:r>
      <w:r w:rsidR="00344D53" w:rsidRPr="00D50D50">
        <w:rPr>
          <w:rFonts w:asciiTheme="majorHAnsi" w:hAnsiTheme="majorHAnsi"/>
          <w:sz w:val="20"/>
          <w:szCs w:val="20"/>
          <w:lang w:val="es-ES"/>
        </w:rPr>
        <w:t>de masacre sangrienta</w:t>
      </w:r>
      <w:r w:rsidRPr="00D50D50">
        <w:rPr>
          <w:rFonts w:asciiTheme="majorHAnsi" w:hAnsiTheme="majorHAnsi"/>
          <w:sz w:val="20"/>
          <w:szCs w:val="20"/>
          <w:lang w:val="es-ES"/>
        </w:rPr>
        <w:t>, por el que</w:t>
      </w:r>
      <w:r w:rsidR="00344D53" w:rsidRPr="00D50D50">
        <w:rPr>
          <w:rFonts w:asciiTheme="majorHAnsi" w:hAnsiTheme="majorHAnsi"/>
          <w:sz w:val="20"/>
          <w:szCs w:val="20"/>
          <w:lang w:val="es-ES"/>
        </w:rPr>
        <w:t xml:space="preserve"> fueron condenados a 15 años y 6 meses de prisión. </w:t>
      </w:r>
      <w:r w:rsidR="0068419D" w:rsidRPr="00D50D50">
        <w:rPr>
          <w:rFonts w:asciiTheme="majorHAnsi" w:hAnsiTheme="majorHAnsi"/>
          <w:sz w:val="20"/>
          <w:szCs w:val="20"/>
          <w:lang w:val="es-ES"/>
        </w:rPr>
        <w:t>El General</w:t>
      </w:r>
      <w:r w:rsidR="00344D53" w:rsidRPr="00D50D50">
        <w:rPr>
          <w:rFonts w:asciiTheme="majorHAnsi" w:hAnsiTheme="majorHAnsi"/>
          <w:sz w:val="20"/>
          <w:szCs w:val="20"/>
          <w:lang w:val="es-ES"/>
        </w:rPr>
        <w:t xml:space="preserve"> </w:t>
      </w:r>
      <w:proofErr w:type="spellStart"/>
      <w:r w:rsidR="00344D53" w:rsidRPr="00D50D50">
        <w:rPr>
          <w:rFonts w:asciiTheme="majorHAnsi" w:hAnsiTheme="majorHAnsi"/>
          <w:sz w:val="20"/>
          <w:szCs w:val="20"/>
          <w:lang w:val="es-ES"/>
        </w:rPr>
        <w:t>Rocabado</w:t>
      </w:r>
      <w:proofErr w:type="spellEnd"/>
      <w:r w:rsidR="00344D53" w:rsidRPr="00D50D50">
        <w:rPr>
          <w:rFonts w:asciiTheme="majorHAnsi" w:hAnsiTheme="majorHAnsi"/>
          <w:sz w:val="20"/>
          <w:szCs w:val="20"/>
          <w:lang w:val="es-ES"/>
        </w:rPr>
        <w:t xml:space="preserve"> Mercado</w:t>
      </w:r>
      <w:r w:rsidRPr="00D50D50">
        <w:rPr>
          <w:rFonts w:asciiTheme="majorHAnsi" w:hAnsiTheme="majorHAnsi"/>
          <w:sz w:val="20"/>
          <w:szCs w:val="20"/>
          <w:lang w:val="es-ES"/>
        </w:rPr>
        <w:t xml:space="preserve"> fue hallado </w:t>
      </w:r>
      <w:r w:rsidR="00763C56" w:rsidRPr="00D50D50">
        <w:rPr>
          <w:rFonts w:asciiTheme="majorHAnsi" w:hAnsiTheme="majorHAnsi"/>
          <w:sz w:val="20"/>
          <w:szCs w:val="20"/>
          <w:lang w:val="es-ES"/>
        </w:rPr>
        <w:t>autor medi</w:t>
      </w:r>
      <w:r w:rsidR="00261BBC" w:rsidRPr="00D50D50">
        <w:rPr>
          <w:rFonts w:asciiTheme="majorHAnsi" w:hAnsiTheme="majorHAnsi"/>
          <w:sz w:val="20"/>
          <w:szCs w:val="20"/>
          <w:lang w:val="es-ES"/>
        </w:rPr>
        <w:t>a</w:t>
      </w:r>
      <w:r w:rsidR="00763C56" w:rsidRPr="00D50D50">
        <w:rPr>
          <w:rFonts w:asciiTheme="majorHAnsi" w:hAnsiTheme="majorHAnsi"/>
          <w:sz w:val="20"/>
          <w:szCs w:val="20"/>
          <w:lang w:val="es-ES"/>
        </w:rPr>
        <w:t>to de genocidio bajo la modalidad de masacre sangrienta y condenado a 10 años de prisión.</w:t>
      </w:r>
      <w:r w:rsidR="00FF2E01" w:rsidRPr="00D50D50">
        <w:rPr>
          <w:rFonts w:asciiTheme="majorHAnsi" w:hAnsiTheme="majorHAnsi"/>
          <w:sz w:val="20"/>
          <w:szCs w:val="20"/>
          <w:lang w:val="es-ES"/>
        </w:rPr>
        <w:t xml:space="preserve"> </w:t>
      </w:r>
      <w:r w:rsidRPr="00D50D50">
        <w:rPr>
          <w:rFonts w:asciiTheme="majorHAnsi" w:hAnsiTheme="majorHAnsi"/>
          <w:sz w:val="20"/>
          <w:szCs w:val="20"/>
          <w:lang w:val="es-ES"/>
        </w:rPr>
        <w:t>La parte peticionaria a</w:t>
      </w:r>
      <w:r w:rsidR="00FF2E01" w:rsidRPr="00D50D50">
        <w:rPr>
          <w:rFonts w:asciiTheme="majorHAnsi" w:hAnsiTheme="majorHAnsi"/>
          <w:sz w:val="20"/>
          <w:szCs w:val="20"/>
          <w:lang w:val="es-ES"/>
        </w:rPr>
        <w:t xml:space="preserve">rgumenta que la misma sentencia indicaba que no </w:t>
      </w:r>
      <w:r w:rsidRPr="00D50D50">
        <w:rPr>
          <w:rFonts w:asciiTheme="majorHAnsi" w:hAnsiTheme="majorHAnsi"/>
          <w:sz w:val="20"/>
          <w:szCs w:val="20"/>
          <w:lang w:val="es-ES"/>
        </w:rPr>
        <w:t>hab</w:t>
      </w:r>
      <w:r w:rsidR="00FF2E01" w:rsidRPr="00D50D50">
        <w:rPr>
          <w:rFonts w:asciiTheme="majorHAnsi" w:hAnsiTheme="majorHAnsi"/>
          <w:sz w:val="20"/>
          <w:szCs w:val="20"/>
          <w:lang w:val="es-ES"/>
        </w:rPr>
        <w:t>ía recurso</w:t>
      </w:r>
      <w:r w:rsidR="00344D53" w:rsidRPr="00D50D50">
        <w:rPr>
          <w:rFonts w:asciiTheme="majorHAnsi" w:hAnsiTheme="majorHAnsi"/>
          <w:sz w:val="20"/>
          <w:szCs w:val="20"/>
          <w:lang w:val="es-ES"/>
        </w:rPr>
        <w:t xml:space="preserve"> judicial disponible</w:t>
      </w:r>
      <w:r w:rsidRPr="00D50D50">
        <w:rPr>
          <w:rFonts w:asciiTheme="majorHAnsi" w:hAnsiTheme="majorHAnsi"/>
          <w:sz w:val="20"/>
          <w:szCs w:val="20"/>
          <w:lang w:val="es-ES"/>
        </w:rPr>
        <w:t>, a pesar de lo cual la representación de las presuntas víctimas</w:t>
      </w:r>
      <w:r w:rsidR="00FF2E01" w:rsidRPr="00D50D50">
        <w:rPr>
          <w:rFonts w:asciiTheme="majorHAnsi" w:hAnsiTheme="majorHAnsi"/>
          <w:sz w:val="20"/>
          <w:szCs w:val="20"/>
          <w:lang w:val="es-ES"/>
        </w:rPr>
        <w:t xml:space="preserve"> </w:t>
      </w:r>
      <w:r w:rsidRPr="00D50D50">
        <w:rPr>
          <w:rFonts w:asciiTheme="majorHAnsi" w:hAnsiTheme="majorHAnsi"/>
          <w:sz w:val="20"/>
          <w:szCs w:val="20"/>
          <w:lang w:val="es-ES"/>
        </w:rPr>
        <w:t xml:space="preserve">decidió </w:t>
      </w:r>
      <w:r w:rsidR="00FF2E01" w:rsidRPr="00D50D50">
        <w:rPr>
          <w:rFonts w:asciiTheme="majorHAnsi" w:hAnsiTheme="majorHAnsi"/>
          <w:sz w:val="20"/>
          <w:szCs w:val="20"/>
          <w:lang w:val="es-ES"/>
        </w:rPr>
        <w:t>presentar recursos de nulidad y de amparo constitucional.</w:t>
      </w:r>
    </w:p>
    <w:p w14:paraId="569A5235" w14:textId="77777777" w:rsidR="00186A95" w:rsidRPr="00D50D50" w:rsidRDefault="00186A95" w:rsidP="00186A9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61EB5C5B" w14:textId="5028DFC6" w:rsidR="00796FCB" w:rsidRPr="00D50D50" w:rsidRDefault="00B8643F" w:rsidP="00B864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 xml:space="preserve">Luego del </w:t>
      </w:r>
      <w:r w:rsidR="004B11DC" w:rsidRPr="00D50D50">
        <w:rPr>
          <w:rFonts w:asciiTheme="majorHAnsi" w:hAnsiTheme="majorHAnsi"/>
          <w:sz w:val="20"/>
          <w:szCs w:val="20"/>
          <w:lang w:val="es-ES"/>
        </w:rPr>
        <w:t>Decreto Supremo N</w:t>
      </w:r>
      <w:r w:rsidRPr="00D50D50">
        <w:rPr>
          <w:rFonts w:asciiTheme="majorHAnsi" w:hAnsiTheme="majorHAnsi"/>
          <w:sz w:val="20"/>
          <w:szCs w:val="20"/>
          <w:lang w:val="es-ES"/>
        </w:rPr>
        <w:t>o</w:t>
      </w:r>
      <w:r w:rsidR="004B11DC" w:rsidRPr="00D50D50">
        <w:rPr>
          <w:rFonts w:asciiTheme="majorHAnsi" w:hAnsiTheme="majorHAnsi"/>
          <w:sz w:val="20"/>
          <w:szCs w:val="20"/>
          <w:lang w:val="es-ES"/>
        </w:rPr>
        <w:t>. 27</w:t>
      </w:r>
      <w:r w:rsidRPr="00D50D50">
        <w:rPr>
          <w:rFonts w:asciiTheme="majorHAnsi" w:hAnsiTheme="majorHAnsi"/>
          <w:sz w:val="20"/>
          <w:szCs w:val="20"/>
          <w:lang w:val="es-ES"/>
        </w:rPr>
        <w:t>.</w:t>
      </w:r>
      <w:r w:rsidR="004B11DC" w:rsidRPr="00D50D50">
        <w:rPr>
          <w:rFonts w:asciiTheme="majorHAnsi" w:hAnsiTheme="majorHAnsi"/>
          <w:sz w:val="20"/>
          <w:szCs w:val="20"/>
          <w:lang w:val="es-ES"/>
        </w:rPr>
        <w:t xml:space="preserve">234 de 31 de octubre de 2003 </w:t>
      </w:r>
      <w:r w:rsidRPr="00D50D50">
        <w:rPr>
          <w:rFonts w:asciiTheme="majorHAnsi" w:hAnsiTheme="majorHAnsi"/>
          <w:sz w:val="20"/>
          <w:szCs w:val="20"/>
          <w:lang w:val="es-ES"/>
        </w:rPr>
        <w:t>de</w:t>
      </w:r>
      <w:r w:rsidR="004B11DC" w:rsidRPr="00D50D50">
        <w:rPr>
          <w:rFonts w:asciiTheme="majorHAnsi" w:hAnsiTheme="majorHAnsi"/>
          <w:sz w:val="20"/>
          <w:szCs w:val="20"/>
          <w:lang w:val="es-ES"/>
        </w:rPr>
        <w:t xml:space="preserve"> amnistía general</w:t>
      </w:r>
      <w:r w:rsidR="00796FCB" w:rsidRPr="00D50D50">
        <w:rPr>
          <w:rFonts w:asciiTheme="majorHAnsi" w:hAnsiTheme="majorHAnsi"/>
          <w:sz w:val="20"/>
          <w:szCs w:val="20"/>
          <w:lang w:val="es-ES"/>
        </w:rPr>
        <w:t xml:space="preserve">, </w:t>
      </w:r>
      <w:r w:rsidRPr="00D50D50">
        <w:rPr>
          <w:rFonts w:asciiTheme="majorHAnsi" w:hAnsiTheme="majorHAnsi"/>
          <w:sz w:val="20"/>
          <w:szCs w:val="20"/>
          <w:lang w:val="es-ES"/>
        </w:rPr>
        <w:t xml:space="preserve">se emitió </w:t>
      </w:r>
      <w:r w:rsidR="004B11DC" w:rsidRPr="00D50D50">
        <w:rPr>
          <w:rFonts w:asciiTheme="majorHAnsi" w:hAnsiTheme="majorHAnsi"/>
          <w:sz w:val="20"/>
          <w:szCs w:val="20"/>
          <w:lang w:val="es-ES"/>
        </w:rPr>
        <w:t>el Decreto Supremo N</w:t>
      </w:r>
      <w:r w:rsidRPr="00D50D50">
        <w:rPr>
          <w:rFonts w:asciiTheme="majorHAnsi" w:hAnsiTheme="majorHAnsi"/>
          <w:sz w:val="20"/>
          <w:szCs w:val="20"/>
          <w:lang w:val="es-ES"/>
        </w:rPr>
        <w:t>o</w:t>
      </w:r>
      <w:r w:rsidR="004B11DC" w:rsidRPr="00D50D50">
        <w:rPr>
          <w:rFonts w:asciiTheme="majorHAnsi" w:hAnsiTheme="majorHAnsi"/>
          <w:sz w:val="20"/>
          <w:szCs w:val="20"/>
          <w:lang w:val="es-ES"/>
        </w:rPr>
        <w:t>. 27</w:t>
      </w:r>
      <w:r w:rsidRPr="00D50D50">
        <w:rPr>
          <w:rFonts w:asciiTheme="majorHAnsi" w:hAnsiTheme="majorHAnsi"/>
          <w:sz w:val="20"/>
          <w:szCs w:val="20"/>
          <w:lang w:val="es-ES"/>
        </w:rPr>
        <w:t>.</w:t>
      </w:r>
      <w:r w:rsidR="004B11DC" w:rsidRPr="00D50D50">
        <w:rPr>
          <w:rFonts w:asciiTheme="majorHAnsi" w:hAnsiTheme="majorHAnsi"/>
          <w:sz w:val="20"/>
          <w:szCs w:val="20"/>
          <w:lang w:val="es-ES"/>
        </w:rPr>
        <w:t xml:space="preserve">237 de 4 de noviembre de 2003 </w:t>
      </w:r>
      <w:r w:rsidRPr="00D50D50">
        <w:rPr>
          <w:rFonts w:asciiTheme="majorHAnsi" w:hAnsiTheme="majorHAnsi"/>
          <w:sz w:val="20"/>
          <w:szCs w:val="20"/>
          <w:lang w:val="es-ES"/>
        </w:rPr>
        <w:t>que</w:t>
      </w:r>
      <w:r w:rsidR="004B11DC" w:rsidRPr="00D50D50">
        <w:rPr>
          <w:rFonts w:asciiTheme="majorHAnsi" w:hAnsiTheme="majorHAnsi"/>
          <w:sz w:val="20"/>
          <w:szCs w:val="20"/>
          <w:lang w:val="es-ES"/>
        </w:rPr>
        <w:t xml:space="preserve"> limitaba </w:t>
      </w:r>
      <w:r w:rsidRPr="00D50D50">
        <w:rPr>
          <w:rFonts w:asciiTheme="majorHAnsi" w:hAnsiTheme="majorHAnsi"/>
          <w:sz w:val="20"/>
          <w:szCs w:val="20"/>
          <w:lang w:val="es-ES"/>
        </w:rPr>
        <w:t>dich</w:t>
      </w:r>
      <w:r w:rsidR="004B11DC" w:rsidRPr="00D50D50">
        <w:rPr>
          <w:rFonts w:asciiTheme="majorHAnsi" w:hAnsiTheme="majorHAnsi"/>
          <w:sz w:val="20"/>
          <w:szCs w:val="20"/>
          <w:lang w:val="es-ES"/>
        </w:rPr>
        <w:t xml:space="preserve">a amnistía </w:t>
      </w:r>
      <w:r w:rsidR="003D31A6" w:rsidRPr="00D50D50">
        <w:rPr>
          <w:rFonts w:asciiTheme="majorHAnsi" w:hAnsiTheme="majorHAnsi"/>
          <w:sz w:val="20"/>
          <w:szCs w:val="20"/>
          <w:lang w:val="es-ES"/>
        </w:rPr>
        <w:t>a los ciudadanos que participaron en las protestas</w:t>
      </w:r>
      <w:r w:rsidRPr="00D50D50">
        <w:rPr>
          <w:rFonts w:asciiTheme="majorHAnsi" w:hAnsiTheme="majorHAnsi"/>
          <w:sz w:val="20"/>
          <w:szCs w:val="20"/>
          <w:lang w:val="es-ES"/>
        </w:rPr>
        <w:t>.</w:t>
      </w:r>
      <w:r w:rsidR="003D31A6" w:rsidRPr="00D50D50">
        <w:rPr>
          <w:rFonts w:asciiTheme="majorHAnsi" w:hAnsiTheme="majorHAnsi"/>
          <w:sz w:val="20"/>
          <w:szCs w:val="20"/>
          <w:lang w:val="es-ES"/>
        </w:rPr>
        <w:t xml:space="preserve"> </w:t>
      </w:r>
      <w:r w:rsidRPr="00D50D50">
        <w:rPr>
          <w:rFonts w:asciiTheme="majorHAnsi" w:hAnsiTheme="majorHAnsi"/>
          <w:sz w:val="20"/>
          <w:szCs w:val="20"/>
          <w:lang w:val="es-ES"/>
        </w:rPr>
        <w:t xml:space="preserve">La parte peticionaria </w:t>
      </w:r>
      <w:r w:rsidR="003623B2" w:rsidRPr="00D50D50">
        <w:rPr>
          <w:rFonts w:asciiTheme="majorHAnsi" w:hAnsiTheme="majorHAnsi"/>
          <w:sz w:val="20"/>
          <w:szCs w:val="20"/>
          <w:lang w:val="es-ES"/>
        </w:rPr>
        <w:t>destaca</w:t>
      </w:r>
      <w:r w:rsidRPr="00D50D50">
        <w:rPr>
          <w:rFonts w:asciiTheme="majorHAnsi" w:hAnsiTheme="majorHAnsi"/>
          <w:sz w:val="20"/>
          <w:szCs w:val="20"/>
          <w:lang w:val="es-ES"/>
        </w:rPr>
        <w:t xml:space="preserve"> que el Estado </w:t>
      </w:r>
      <w:r w:rsidR="00830602" w:rsidRPr="00D50D50">
        <w:rPr>
          <w:rFonts w:asciiTheme="majorHAnsi" w:hAnsiTheme="majorHAnsi"/>
          <w:sz w:val="20"/>
          <w:szCs w:val="20"/>
          <w:lang w:val="es-ES"/>
        </w:rPr>
        <w:t>boliviano só</w:t>
      </w:r>
      <w:r w:rsidR="003D31A6" w:rsidRPr="00D50D50">
        <w:rPr>
          <w:rFonts w:asciiTheme="majorHAnsi" w:hAnsiTheme="majorHAnsi"/>
          <w:sz w:val="20"/>
          <w:szCs w:val="20"/>
          <w:lang w:val="es-ES"/>
        </w:rPr>
        <w:t xml:space="preserve">lo </w:t>
      </w:r>
      <w:r w:rsidR="003623B2" w:rsidRPr="00D50D50">
        <w:rPr>
          <w:rFonts w:asciiTheme="majorHAnsi" w:hAnsiTheme="majorHAnsi"/>
          <w:sz w:val="20"/>
          <w:szCs w:val="20"/>
          <w:lang w:val="es-ES"/>
        </w:rPr>
        <w:t>imput</w:t>
      </w:r>
      <w:r w:rsidR="00830602" w:rsidRPr="00D50D50">
        <w:rPr>
          <w:rFonts w:asciiTheme="majorHAnsi" w:hAnsiTheme="majorHAnsi"/>
          <w:sz w:val="20"/>
          <w:szCs w:val="20"/>
          <w:lang w:val="es-ES"/>
        </w:rPr>
        <w:t>ó</w:t>
      </w:r>
      <w:r w:rsidR="00C2665A" w:rsidRPr="00D50D50">
        <w:rPr>
          <w:rFonts w:asciiTheme="majorHAnsi" w:hAnsiTheme="majorHAnsi"/>
          <w:sz w:val="20"/>
          <w:szCs w:val="20"/>
          <w:lang w:val="es-ES"/>
        </w:rPr>
        <w:t xml:space="preserve"> responsabilidad a los funcionarios del </w:t>
      </w:r>
      <w:r w:rsidRPr="00D50D50">
        <w:rPr>
          <w:rFonts w:asciiTheme="majorHAnsi" w:hAnsiTheme="majorHAnsi"/>
          <w:sz w:val="20"/>
          <w:szCs w:val="20"/>
          <w:lang w:val="es-ES"/>
        </w:rPr>
        <w:t>E</w:t>
      </w:r>
      <w:r w:rsidR="00A11C45" w:rsidRPr="00D50D50">
        <w:rPr>
          <w:rFonts w:asciiTheme="majorHAnsi" w:hAnsiTheme="majorHAnsi"/>
          <w:sz w:val="20"/>
          <w:szCs w:val="20"/>
          <w:lang w:val="es-ES"/>
        </w:rPr>
        <w:t>jército</w:t>
      </w:r>
      <w:r w:rsidRPr="00D50D50">
        <w:rPr>
          <w:rFonts w:asciiTheme="majorHAnsi" w:hAnsiTheme="majorHAnsi"/>
          <w:sz w:val="20"/>
          <w:szCs w:val="20"/>
          <w:lang w:val="es-ES"/>
        </w:rPr>
        <w:t xml:space="preserve"> y que</w:t>
      </w:r>
      <w:r w:rsidR="00830602" w:rsidRPr="00D50D50">
        <w:rPr>
          <w:rFonts w:asciiTheme="majorHAnsi" w:hAnsiTheme="majorHAnsi"/>
          <w:sz w:val="20"/>
          <w:szCs w:val="20"/>
          <w:lang w:val="es-ES"/>
        </w:rPr>
        <w:t xml:space="preserve"> no fueron investigad</w:t>
      </w:r>
      <w:r w:rsidRPr="00D50D50">
        <w:rPr>
          <w:rFonts w:asciiTheme="majorHAnsi" w:hAnsiTheme="majorHAnsi"/>
          <w:sz w:val="20"/>
          <w:szCs w:val="20"/>
          <w:lang w:val="es-ES"/>
        </w:rPr>
        <w:t xml:space="preserve">as las personas </w:t>
      </w:r>
      <w:r w:rsidR="00830602" w:rsidRPr="00D50D50">
        <w:rPr>
          <w:rFonts w:asciiTheme="majorHAnsi" w:hAnsiTheme="majorHAnsi"/>
          <w:sz w:val="20"/>
          <w:szCs w:val="20"/>
          <w:lang w:val="es-ES"/>
        </w:rPr>
        <w:t xml:space="preserve">que en enero de 2003 crearon el Estado Mayor del Pueblo con el </w:t>
      </w:r>
      <w:r w:rsidR="003623B2" w:rsidRPr="00D50D50">
        <w:rPr>
          <w:rFonts w:asciiTheme="majorHAnsi" w:hAnsiTheme="majorHAnsi"/>
          <w:sz w:val="20"/>
          <w:szCs w:val="20"/>
          <w:lang w:val="es-ES"/>
        </w:rPr>
        <w:t>que</w:t>
      </w:r>
      <w:r w:rsidR="00830602" w:rsidRPr="00D50D50">
        <w:rPr>
          <w:rFonts w:asciiTheme="majorHAnsi" w:hAnsiTheme="majorHAnsi"/>
          <w:sz w:val="20"/>
          <w:szCs w:val="20"/>
          <w:lang w:val="es-ES"/>
        </w:rPr>
        <w:t xml:space="preserve"> “se hizo pública la movilización y manifestación del bloqueo en todo el territorio nacional”</w:t>
      </w:r>
      <w:r w:rsidR="00830602" w:rsidRPr="00D50D50">
        <w:rPr>
          <w:rStyle w:val="FootnoteReference"/>
          <w:rFonts w:asciiTheme="majorHAnsi" w:hAnsiTheme="majorHAnsi"/>
          <w:sz w:val="20"/>
          <w:szCs w:val="20"/>
          <w:lang w:val="es-ES"/>
        </w:rPr>
        <w:footnoteReference w:id="5"/>
      </w:r>
      <w:r w:rsidR="00153441" w:rsidRPr="00D50D50">
        <w:rPr>
          <w:rFonts w:asciiTheme="majorHAnsi" w:hAnsiTheme="majorHAnsi"/>
          <w:sz w:val="20"/>
          <w:szCs w:val="20"/>
          <w:lang w:val="es-ES"/>
        </w:rPr>
        <w:t xml:space="preserve">. Adicionalmente, aduce </w:t>
      </w:r>
      <w:r w:rsidR="003623B2" w:rsidRPr="00D50D50">
        <w:rPr>
          <w:rFonts w:asciiTheme="majorHAnsi" w:hAnsiTheme="majorHAnsi"/>
          <w:sz w:val="20"/>
          <w:szCs w:val="20"/>
          <w:lang w:val="es-ES"/>
        </w:rPr>
        <w:t xml:space="preserve">que </w:t>
      </w:r>
      <w:r w:rsidR="00153441" w:rsidRPr="00D50D50">
        <w:rPr>
          <w:rFonts w:asciiTheme="majorHAnsi" w:hAnsiTheme="majorHAnsi"/>
          <w:sz w:val="20"/>
          <w:szCs w:val="20"/>
          <w:lang w:val="es-ES"/>
        </w:rPr>
        <w:t>las pres</w:t>
      </w:r>
      <w:r w:rsidR="00A11C45" w:rsidRPr="00D50D50">
        <w:rPr>
          <w:rFonts w:asciiTheme="majorHAnsi" w:hAnsiTheme="majorHAnsi"/>
          <w:sz w:val="20"/>
          <w:szCs w:val="20"/>
          <w:lang w:val="es-ES"/>
        </w:rPr>
        <w:t xml:space="preserve">untas víctimas </w:t>
      </w:r>
      <w:r w:rsidR="003623B2" w:rsidRPr="00D50D50">
        <w:rPr>
          <w:rFonts w:asciiTheme="majorHAnsi" w:hAnsiTheme="majorHAnsi"/>
          <w:sz w:val="20"/>
          <w:szCs w:val="20"/>
          <w:lang w:val="es-ES"/>
        </w:rPr>
        <w:t xml:space="preserve">fueron </w:t>
      </w:r>
      <w:r w:rsidR="00153441" w:rsidRPr="00D50D50">
        <w:rPr>
          <w:rFonts w:asciiTheme="majorHAnsi" w:hAnsiTheme="majorHAnsi"/>
          <w:sz w:val="20"/>
          <w:szCs w:val="20"/>
          <w:lang w:val="es-ES"/>
        </w:rPr>
        <w:t>condenad</w:t>
      </w:r>
      <w:r w:rsidR="003623B2" w:rsidRPr="00D50D50">
        <w:rPr>
          <w:rFonts w:asciiTheme="majorHAnsi" w:hAnsiTheme="majorHAnsi"/>
          <w:sz w:val="20"/>
          <w:szCs w:val="20"/>
          <w:lang w:val="es-ES"/>
        </w:rPr>
        <w:t>a</w:t>
      </w:r>
      <w:r w:rsidR="00153441" w:rsidRPr="00D50D50">
        <w:rPr>
          <w:rFonts w:asciiTheme="majorHAnsi" w:hAnsiTheme="majorHAnsi"/>
          <w:sz w:val="20"/>
          <w:szCs w:val="20"/>
          <w:lang w:val="es-ES"/>
        </w:rPr>
        <w:t>s por “masacre sangrienta” como una modalidad de genocidio, lo cual resultaría contradictorio con la amnistía parcial a favor de los instigadores del conflicto social.</w:t>
      </w:r>
    </w:p>
    <w:p w14:paraId="71DED5E1" w14:textId="77777777" w:rsidR="00186A95" w:rsidRPr="00D50D50" w:rsidRDefault="00186A95" w:rsidP="00186A9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BCC8501" w14:textId="11BD78AB" w:rsidR="00756088" w:rsidRPr="00D50D50" w:rsidRDefault="003623B2" w:rsidP="00FB76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La parte peticionaria alega</w:t>
      </w:r>
      <w:r w:rsidR="00E52D2D" w:rsidRPr="00D50D50">
        <w:rPr>
          <w:rFonts w:asciiTheme="majorHAnsi" w:hAnsiTheme="majorHAnsi"/>
          <w:sz w:val="20"/>
          <w:szCs w:val="20"/>
          <w:lang w:val="es-ES"/>
        </w:rPr>
        <w:t xml:space="preserve"> que </w:t>
      </w:r>
      <w:r w:rsidR="00557AE4" w:rsidRPr="00D50D50">
        <w:rPr>
          <w:rFonts w:asciiTheme="majorHAnsi" w:hAnsiTheme="majorHAnsi"/>
          <w:sz w:val="20"/>
          <w:szCs w:val="20"/>
          <w:lang w:val="es-ES"/>
        </w:rPr>
        <w:t>la Convención Americana exige que la privación de libertad se desarrolle en concordancia con el principio de legalidad</w:t>
      </w:r>
      <w:r w:rsidR="00EF0340" w:rsidRPr="00D50D50">
        <w:rPr>
          <w:rFonts w:asciiTheme="majorHAnsi" w:hAnsiTheme="majorHAnsi"/>
          <w:sz w:val="20"/>
          <w:szCs w:val="20"/>
          <w:lang w:val="es-ES"/>
        </w:rPr>
        <w:t>,</w:t>
      </w:r>
      <w:r w:rsidR="0088349B" w:rsidRPr="00D50D50">
        <w:rPr>
          <w:rFonts w:asciiTheme="majorHAnsi" w:hAnsiTheme="majorHAnsi"/>
          <w:sz w:val="20"/>
          <w:szCs w:val="20"/>
          <w:lang w:val="es-ES"/>
        </w:rPr>
        <w:t xml:space="preserve"> </w:t>
      </w:r>
      <w:r w:rsidRPr="00D50D50">
        <w:rPr>
          <w:rFonts w:asciiTheme="majorHAnsi" w:hAnsiTheme="majorHAnsi"/>
          <w:sz w:val="20"/>
          <w:szCs w:val="20"/>
          <w:lang w:val="es-ES"/>
        </w:rPr>
        <w:t xml:space="preserve">que </w:t>
      </w:r>
      <w:r w:rsidR="00FA6854" w:rsidRPr="00D50D50">
        <w:rPr>
          <w:rFonts w:asciiTheme="majorHAnsi" w:hAnsiTheme="majorHAnsi"/>
          <w:sz w:val="20"/>
          <w:szCs w:val="20"/>
          <w:lang w:val="es-ES"/>
        </w:rPr>
        <w:t xml:space="preserve">instituye que las detenciones no pueden llevarse a cabo de manera arbitraria. </w:t>
      </w:r>
      <w:r w:rsidRPr="00D50D50">
        <w:rPr>
          <w:rFonts w:asciiTheme="majorHAnsi" w:hAnsiTheme="majorHAnsi"/>
          <w:sz w:val="20"/>
          <w:szCs w:val="20"/>
          <w:lang w:val="es-ES"/>
        </w:rPr>
        <w:t>Considera que</w:t>
      </w:r>
      <w:r w:rsidR="00FA6854" w:rsidRPr="00D50D50">
        <w:rPr>
          <w:rFonts w:asciiTheme="majorHAnsi" w:hAnsiTheme="majorHAnsi"/>
          <w:sz w:val="20"/>
          <w:szCs w:val="20"/>
          <w:lang w:val="es-ES"/>
        </w:rPr>
        <w:t xml:space="preserve"> el Tribunal de Juicio de Responsabilidades </w:t>
      </w:r>
      <w:r w:rsidRPr="00D50D50">
        <w:rPr>
          <w:rFonts w:asciiTheme="majorHAnsi" w:hAnsiTheme="majorHAnsi"/>
          <w:sz w:val="20"/>
          <w:szCs w:val="20"/>
          <w:lang w:val="es-ES"/>
        </w:rPr>
        <w:t>violentó el derecho a la libertad personal del</w:t>
      </w:r>
      <w:r w:rsidR="0068419D" w:rsidRPr="00D50D50">
        <w:rPr>
          <w:rFonts w:asciiTheme="majorHAnsi" w:hAnsiTheme="majorHAnsi"/>
          <w:sz w:val="20"/>
          <w:szCs w:val="20"/>
          <w:lang w:val="es-ES"/>
        </w:rPr>
        <w:t xml:space="preserve"> General</w:t>
      </w:r>
      <w:r w:rsidRPr="00D50D50">
        <w:rPr>
          <w:rFonts w:asciiTheme="majorHAnsi" w:hAnsiTheme="majorHAnsi"/>
          <w:sz w:val="20"/>
          <w:szCs w:val="20"/>
          <w:lang w:val="es-ES"/>
        </w:rPr>
        <w:t xml:space="preserve"> </w:t>
      </w:r>
      <w:r w:rsidR="0068419D" w:rsidRPr="00D50D50">
        <w:rPr>
          <w:rFonts w:asciiTheme="majorHAnsi" w:hAnsiTheme="majorHAnsi"/>
          <w:sz w:val="20"/>
          <w:szCs w:val="20"/>
          <w:lang w:val="es-ES"/>
        </w:rPr>
        <w:t>Véliz</w:t>
      </w:r>
      <w:r w:rsidRPr="00D50D50">
        <w:rPr>
          <w:rFonts w:asciiTheme="majorHAnsi" w:hAnsiTheme="majorHAnsi"/>
          <w:sz w:val="20"/>
          <w:szCs w:val="20"/>
          <w:lang w:val="es-ES"/>
        </w:rPr>
        <w:t xml:space="preserve"> Herrera al dictar su prisión preventiva </w:t>
      </w:r>
      <w:r w:rsidR="00FA6854" w:rsidRPr="00D50D50">
        <w:rPr>
          <w:rFonts w:asciiTheme="majorHAnsi" w:hAnsiTheme="majorHAnsi"/>
          <w:sz w:val="20"/>
          <w:szCs w:val="20"/>
          <w:lang w:val="es-ES"/>
        </w:rPr>
        <w:t>sin previa notificación y sin permitir</w:t>
      </w:r>
      <w:r w:rsidRPr="00D50D50">
        <w:rPr>
          <w:rFonts w:asciiTheme="majorHAnsi" w:hAnsiTheme="majorHAnsi"/>
          <w:sz w:val="20"/>
          <w:szCs w:val="20"/>
          <w:lang w:val="es-ES"/>
        </w:rPr>
        <w:t>le</w:t>
      </w:r>
      <w:r w:rsidR="00FA6854" w:rsidRPr="00D50D50">
        <w:rPr>
          <w:rFonts w:asciiTheme="majorHAnsi" w:hAnsiTheme="majorHAnsi"/>
          <w:sz w:val="20"/>
          <w:szCs w:val="20"/>
          <w:lang w:val="es-ES"/>
        </w:rPr>
        <w:t xml:space="preserve"> </w:t>
      </w:r>
      <w:r w:rsidRPr="00D50D50">
        <w:rPr>
          <w:rFonts w:asciiTheme="majorHAnsi" w:hAnsiTheme="majorHAnsi"/>
          <w:sz w:val="20"/>
          <w:szCs w:val="20"/>
          <w:lang w:val="es-ES"/>
        </w:rPr>
        <w:t xml:space="preserve">ejercer </w:t>
      </w:r>
      <w:r w:rsidR="00F26150" w:rsidRPr="00D50D50">
        <w:rPr>
          <w:rFonts w:asciiTheme="majorHAnsi" w:hAnsiTheme="majorHAnsi"/>
          <w:sz w:val="20"/>
          <w:szCs w:val="20"/>
          <w:lang w:val="es-ES"/>
        </w:rPr>
        <w:t>su d</w:t>
      </w:r>
      <w:r w:rsidR="0088349B" w:rsidRPr="00D50D50">
        <w:rPr>
          <w:rFonts w:asciiTheme="majorHAnsi" w:hAnsiTheme="majorHAnsi"/>
          <w:sz w:val="20"/>
          <w:szCs w:val="20"/>
          <w:lang w:val="es-ES"/>
        </w:rPr>
        <w:t xml:space="preserve">erecho a la </w:t>
      </w:r>
      <w:r w:rsidRPr="00D50D50">
        <w:rPr>
          <w:rFonts w:asciiTheme="majorHAnsi" w:hAnsiTheme="majorHAnsi"/>
          <w:sz w:val="20"/>
          <w:szCs w:val="20"/>
          <w:lang w:val="es-ES"/>
        </w:rPr>
        <w:t>defensa.</w:t>
      </w:r>
      <w:r w:rsidR="00F26150" w:rsidRPr="00D50D50">
        <w:rPr>
          <w:rFonts w:asciiTheme="majorHAnsi" w:hAnsiTheme="majorHAnsi"/>
          <w:sz w:val="20"/>
          <w:szCs w:val="20"/>
          <w:lang w:val="es-ES"/>
        </w:rPr>
        <w:t xml:space="preserve"> </w:t>
      </w:r>
      <w:r w:rsidRPr="00D50D50">
        <w:rPr>
          <w:rFonts w:asciiTheme="majorHAnsi" w:hAnsiTheme="majorHAnsi"/>
          <w:sz w:val="20"/>
          <w:szCs w:val="20"/>
          <w:lang w:val="es-ES"/>
        </w:rPr>
        <w:t>La parte</w:t>
      </w:r>
      <w:r w:rsidR="00756088" w:rsidRPr="00D50D50">
        <w:rPr>
          <w:rFonts w:asciiTheme="majorHAnsi" w:hAnsiTheme="majorHAnsi"/>
          <w:sz w:val="20"/>
          <w:szCs w:val="20"/>
          <w:lang w:val="es-ES"/>
        </w:rPr>
        <w:t xml:space="preserve"> peticionari</w:t>
      </w:r>
      <w:r w:rsidRPr="00D50D50">
        <w:rPr>
          <w:rFonts w:asciiTheme="majorHAnsi" w:hAnsiTheme="majorHAnsi"/>
          <w:sz w:val="20"/>
          <w:szCs w:val="20"/>
          <w:lang w:val="es-ES"/>
        </w:rPr>
        <w:t>a</w:t>
      </w:r>
      <w:r w:rsidR="00756088" w:rsidRPr="00D50D50">
        <w:rPr>
          <w:rFonts w:asciiTheme="majorHAnsi" w:hAnsiTheme="majorHAnsi"/>
          <w:sz w:val="20"/>
          <w:szCs w:val="20"/>
          <w:lang w:val="es-ES"/>
        </w:rPr>
        <w:t xml:space="preserve"> </w:t>
      </w:r>
      <w:r w:rsidRPr="00D50D50">
        <w:rPr>
          <w:rFonts w:asciiTheme="majorHAnsi" w:hAnsiTheme="majorHAnsi"/>
          <w:sz w:val="20"/>
          <w:szCs w:val="20"/>
          <w:lang w:val="es-ES"/>
        </w:rPr>
        <w:t xml:space="preserve">argumenta </w:t>
      </w:r>
      <w:r w:rsidR="00756088" w:rsidRPr="00D50D50">
        <w:rPr>
          <w:rFonts w:asciiTheme="majorHAnsi" w:hAnsiTheme="majorHAnsi"/>
          <w:sz w:val="20"/>
          <w:szCs w:val="20"/>
          <w:lang w:val="es-ES"/>
        </w:rPr>
        <w:t xml:space="preserve">que </w:t>
      </w:r>
      <w:r w:rsidRPr="00D50D50">
        <w:rPr>
          <w:rFonts w:asciiTheme="majorHAnsi" w:hAnsiTheme="majorHAnsi"/>
          <w:sz w:val="20"/>
          <w:szCs w:val="20"/>
          <w:lang w:val="es-ES"/>
        </w:rPr>
        <w:t>dicho</w:t>
      </w:r>
      <w:r w:rsidR="0088349B" w:rsidRPr="00D50D50">
        <w:rPr>
          <w:rFonts w:asciiTheme="majorHAnsi" w:hAnsiTheme="majorHAnsi"/>
          <w:sz w:val="20"/>
          <w:szCs w:val="20"/>
          <w:lang w:val="es-ES"/>
        </w:rPr>
        <w:t xml:space="preserve"> </w:t>
      </w:r>
      <w:r w:rsidRPr="00D50D50">
        <w:rPr>
          <w:rFonts w:asciiTheme="majorHAnsi" w:hAnsiTheme="majorHAnsi"/>
          <w:sz w:val="20"/>
          <w:szCs w:val="20"/>
          <w:lang w:val="es-ES"/>
        </w:rPr>
        <w:t>t</w:t>
      </w:r>
      <w:r w:rsidR="00756088" w:rsidRPr="00D50D50">
        <w:rPr>
          <w:rFonts w:asciiTheme="majorHAnsi" w:hAnsiTheme="majorHAnsi"/>
          <w:sz w:val="20"/>
          <w:szCs w:val="20"/>
          <w:lang w:val="es-ES"/>
        </w:rPr>
        <w:t xml:space="preserve">ribunal </w:t>
      </w:r>
      <w:r w:rsidR="0088349B" w:rsidRPr="00D50D50">
        <w:rPr>
          <w:rFonts w:asciiTheme="majorHAnsi" w:hAnsiTheme="majorHAnsi"/>
          <w:sz w:val="20"/>
          <w:szCs w:val="20"/>
          <w:lang w:val="es-ES"/>
        </w:rPr>
        <w:t xml:space="preserve">era </w:t>
      </w:r>
      <w:r w:rsidR="00756088" w:rsidRPr="00D50D50">
        <w:rPr>
          <w:rFonts w:asciiTheme="majorHAnsi" w:hAnsiTheme="majorHAnsi"/>
          <w:sz w:val="20"/>
          <w:szCs w:val="20"/>
          <w:lang w:val="es-ES"/>
        </w:rPr>
        <w:t>un órgano de ejecución</w:t>
      </w:r>
      <w:r w:rsidR="00EF0340" w:rsidRPr="00D50D50">
        <w:rPr>
          <w:rFonts w:asciiTheme="majorHAnsi" w:hAnsiTheme="majorHAnsi"/>
          <w:sz w:val="20"/>
          <w:szCs w:val="20"/>
          <w:lang w:val="es-ES"/>
        </w:rPr>
        <w:t>,</w:t>
      </w:r>
      <w:r w:rsidR="00756088" w:rsidRPr="00D50D50">
        <w:rPr>
          <w:rFonts w:asciiTheme="majorHAnsi" w:hAnsiTheme="majorHAnsi"/>
          <w:sz w:val="20"/>
          <w:szCs w:val="20"/>
          <w:lang w:val="es-ES"/>
        </w:rPr>
        <w:t xml:space="preserve"> por lo </w:t>
      </w:r>
      <w:r w:rsidRPr="00D50D50">
        <w:rPr>
          <w:rFonts w:asciiTheme="majorHAnsi" w:hAnsiTheme="majorHAnsi"/>
          <w:sz w:val="20"/>
          <w:szCs w:val="20"/>
          <w:lang w:val="es-ES"/>
        </w:rPr>
        <w:t xml:space="preserve">que sus </w:t>
      </w:r>
      <w:r w:rsidR="00756088" w:rsidRPr="00D50D50">
        <w:rPr>
          <w:rFonts w:asciiTheme="majorHAnsi" w:hAnsiTheme="majorHAnsi"/>
          <w:sz w:val="20"/>
          <w:szCs w:val="20"/>
          <w:lang w:val="es-ES"/>
        </w:rPr>
        <w:t xml:space="preserve">decisiones no </w:t>
      </w:r>
      <w:r w:rsidRPr="00D50D50">
        <w:rPr>
          <w:rFonts w:asciiTheme="majorHAnsi" w:hAnsiTheme="majorHAnsi"/>
          <w:sz w:val="20"/>
          <w:szCs w:val="20"/>
          <w:lang w:val="es-ES"/>
        </w:rPr>
        <w:t xml:space="preserve">podían </w:t>
      </w:r>
      <w:r w:rsidR="00756088" w:rsidRPr="00D50D50">
        <w:rPr>
          <w:rFonts w:asciiTheme="majorHAnsi" w:hAnsiTheme="majorHAnsi"/>
          <w:sz w:val="20"/>
          <w:szCs w:val="20"/>
          <w:lang w:val="es-ES"/>
        </w:rPr>
        <w:t>recurri</w:t>
      </w:r>
      <w:r w:rsidRPr="00D50D50">
        <w:rPr>
          <w:rFonts w:asciiTheme="majorHAnsi" w:hAnsiTheme="majorHAnsi"/>
          <w:sz w:val="20"/>
          <w:szCs w:val="20"/>
          <w:lang w:val="es-ES"/>
        </w:rPr>
        <w:t>rse</w:t>
      </w:r>
      <w:r w:rsidR="00756088" w:rsidRPr="00D50D50">
        <w:rPr>
          <w:rFonts w:asciiTheme="majorHAnsi" w:hAnsiTheme="majorHAnsi"/>
          <w:sz w:val="20"/>
          <w:szCs w:val="20"/>
          <w:lang w:val="es-ES"/>
        </w:rPr>
        <w:t xml:space="preserve"> ante una instancia judicial independiente. </w:t>
      </w:r>
      <w:r w:rsidRPr="00D50D50">
        <w:rPr>
          <w:rFonts w:asciiTheme="majorHAnsi" w:hAnsiTheme="majorHAnsi"/>
          <w:sz w:val="20"/>
          <w:szCs w:val="20"/>
          <w:lang w:val="es-ES"/>
        </w:rPr>
        <w:t xml:space="preserve">Agrega que el </w:t>
      </w:r>
      <w:r w:rsidR="0068419D" w:rsidRPr="00D50D50">
        <w:rPr>
          <w:rFonts w:asciiTheme="majorHAnsi" w:hAnsiTheme="majorHAnsi"/>
          <w:sz w:val="20"/>
          <w:szCs w:val="20"/>
          <w:lang w:val="es-ES"/>
        </w:rPr>
        <w:t>General</w:t>
      </w:r>
      <w:r w:rsidRPr="00D50D50">
        <w:rPr>
          <w:rFonts w:asciiTheme="majorHAnsi" w:hAnsiTheme="majorHAnsi"/>
          <w:sz w:val="20"/>
          <w:szCs w:val="20"/>
          <w:lang w:val="es-ES"/>
        </w:rPr>
        <w:t xml:space="preserve"> </w:t>
      </w:r>
      <w:r w:rsidR="0068419D" w:rsidRPr="00D50D50">
        <w:rPr>
          <w:rFonts w:asciiTheme="majorHAnsi" w:hAnsiTheme="majorHAnsi"/>
          <w:sz w:val="20"/>
          <w:szCs w:val="20"/>
          <w:lang w:val="es-ES"/>
        </w:rPr>
        <w:t>Véliz</w:t>
      </w:r>
      <w:r w:rsidR="00756088" w:rsidRPr="00D50D50">
        <w:rPr>
          <w:rFonts w:asciiTheme="majorHAnsi" w:hAnsiTheme="majorHAnsi"/>
          <w:sz w:val="20"/>
          <w:szCs w:val="20"/>
          <w:lang w:val="es-ES"/>
        </w:rPr>
        <w:t xml:space="preserve"> Herrera</w:t>
      </w:r>
      <w:r w:rsidRPr="00D50D50">
        <w:rPr>
          <w:rFonts w:asciiTheme="majorHAnsi" w:hAnsiTheme="majorHAnsi"/>
          <w:sz w:val="20"/>
          <w:szCs w:val="20"/>
          <w:lang w:val="es-ES"/>
        </w:rPr>
        <w:t xml:space="preserve"> fue privado de libertad </w:t>
      </w:r>
      <w:r w:rsidR="00756088" w:rsidRPr="00D50D50">
        <w:rPr>
          <w:rFonts w:asciiTheme="majorHAnsi" w:hAnsiTheme="majorHAnsi"/>
          <w:sz w:val="20"/>
          <w:szCs w:val="20"/>
          <w:lang w:val="es-ES"/>
        </w:rPr>
        <w:t xml:space="preserve">en un establecimiento penitenciario y carcelario ocupado por internos que ya habían sido condenados </w:t>
      </w:r>
      <w:r w:rsidRPr="00D50D50">
        <w:rPr>
          <w:rFonts w:asciiTheme="majorHAnsi" w:hAnsiTheme="majorHAnsi"/>
          <w:sz w:val="20"/>
          <w:szCs w:val="20"/>
          <w:lang w:val="es-ES"/>
        </w:rPr>
        <w:t xml:space="preserve">con </w:t>
      </w:r>
      <w:r w:rsidR="00756088" w:rsidRPr="00D50D50">
        <w:rPr>
          <w:rFonts w:asciiTheme="majorHAnsi" w:hAnsiTheme="majorHAnsi"/>
          <w:sz w:val="20"/>
          <w:szCs w:val="20"/>
          <w:lang w:val="es-ES"/>
        </w:rPr>
        <w:t>sen</w:t>
      </w:r>
      <w:r w:rsidR="0088349B" w:rsidRPr="00D50D50">
        <w:rPr>
          <w:rFonts w:asciiTheme="majorHAnsi" w:hAnsiTheme="majorHAnsi"/>
          <w:sz w:val="20"/>
          <w:szCs w:val="20"/>
          <w:lang w:val="es-ES"/>
        </w:rPr>
        <w:t>tencia</w:t>
      </w:r>
      <w:r w:rsidRPr="00D50D50">
        <w:rPr>
          <w:rFonts w:asciiTheme="majorHAnsi" w:hAnsiTheme="majorHAnsi"/>
          <w:sz w:val="20"/>
          <w:szCs w:val="20"/>
          <w:lang w:val="es-ES"/>
        </w:rPr>
        <w:t>s</w:t>
      </w:r>
      <w:r w:rsidR="0088349B" w:rsidRPr="00D50D50">
        <w:rPr>
          <w:rFonts w:asciiTheme="majorHAnsi" w:hAnsiTheme="majorHAnsi"/>
          <w:sz w:val="20"/>
          <w:szCs w:val="20"/>
          <w:lang w:val="es-ES"/>
        </w:rPr>
        <w:t xml:space="preserve"> firme</w:t>
      </w:r>
      <w:r w:rsidRPr="00D50D50">
        <w:rPr>
          <w:rFonts w:asciiTheme="majorHAnsi" w:hAnsiTheme="majorHAnsi"/>
          <w:sz w:val="20"/>
          <w:szCs w:val="20"/>
          <w:lang w:val="es-ES"/>
        </w:rPr>
        <w:t>s</w:t>
      </w:r>
      <w:r w:rsidR="00831919" w:rsidRPr="00D50D50">
        <w:rPr>
          <w:rFonts w:asciiTheme="majorHAnsi" w:hAnsiTheme="majorHAnsi"/>
          <w:sz w:val="20"/>
          <w:szCs w:val="20"/>
          <w:lang w:val="es-ES"/>
        </w:rPr>
        <w:t>.</w:t>
      </w:r>
    </w:p>
    <w:p w14:paraId="3F7E5366" w14:textId="77777777" w:rsidR="00186A95" w:rsidRPr="00D50D50" w:rsidRDefault="00186A95" w:rsidP="00186A9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14088A94" w14:textId="020783E0" w:rsidR="00831919" w:rsidRPr="00D50D50" w:rsidRDefault="003623B2" w:rsidP="00FB76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E</w:t>
      </w:r>
      <w:r w:rsidR="00861727" w:rsidRPr="00D50D50">
        <w:rPr>
          <w:rFonts w:asciiTheme="majorHAnsi" w:hAnsiTheme="majorHAnsi"/>
          <w:sz w:val="20"/>
          <w:szCs w:val="20"/>
          <w:lang w:val="es-ES"/>
        </w:rPr>
        <w:t xml:space="preserve">l Código de </w:t>
      </w:r>
      <w:r w:rsidR="00BB2089" w:rsidRPr="00D50D50">
        <w:rPr>
          <w:rFonts w:asciiTheme="majorHAnsi" w:hAnsiTheme="majorHAnsi"/>
          <w:sz w:val="20"/>
          <w:szCs w:val="20"/>
          <w:lang w:val="es-ES"/>
        </w:rPr>
        <w:t xml:space="preserve">Procedimiento Penal </w:t>
      </w:r>
      <w:r w:rsidRPr="00D50D50">
        <w:rPr>
          <w:rFonts w:asciiTheme="majorHAnsi" w:hAnsiTheme="majorHAnsi"/>
          <w:sz w:val="20"/>
          <w:szCs w:val="20"/>
          <w:lang w:val="es-ES"/>
        </w:rPr>
        <w:t>promulgado el 25 de marzo de 1999</w:t>
      </w:r>
      <w:r w:rsidR="00BB2089" w:rsidRPr="00D50D50">
        <w:rPr>
          <w:rFonts w:asciiTheme="majorHAnsi" w:hAnsiTheme="majorHAnsi"/>
          <w:sz w:val="20"/>
          <w:szCs w:val="20"/>
          <w:lang w:val="es-ES"/>
        </w:rPr>
        <w:t xml:space="preserve"> </w:t>
      </w:r>
      <w:r w:rsidRPr="00D50D50">
        <w:rPr>
          <w:rFonts w:asciiTheme="majorHAnsi" w:hAnsiTheme="majorHAnsi"/>
          <w:sz w:val="20"/>
          <w:szCs w:val="20"/>
          <w:lang w:val="es-ES"/>
        </w:rPr>
        <w:t xml:space="preserve">estipula </w:t>
      </w:r>
      <w:r w:rsidR="00BB2089" w:rsidRPr="00D50D50">
        <w:rPr>
          <w:rFonts w:asciiTheme="majorHAnsi" w:hAnsiTheme="majorHAnsi"/>
          <w:sz w:val="20"/>
          <w:szCs w:val="20"/>
          <w:lang w:val="es-ES"/>
        </w:rPr>
        <w:t>la garantía del plazo razonable para los procesos penales a través de la figura jurídica de la extinción de la acción penal</w:t>
      </w:r>
      <w:r w:rsidR="002D0EEF" w:rsidRPr="00D50D50">
        <w:rPr>
          <w:rStyle w:val="FootnoteReference"/>
          <w:rFonts w:asciiTheme="majorHAnsi" w:hAnsiTheme="majorHAnsi"/>
          <w:sz w:val="20"/>
          <w:szCs w:val="20"/>
          <w:lang w:val="es-ES"/>
        </w:rPr>
        <w:footnoteReference w:id="6"/>
      </w:r>
      <w:r w:rsidR="00BB2089" w:rsidRPr="00D50D50">
        <w:rPr>
          <w:rFonts w:asciiTheme="majorHAnsi" w:hAnsiTheme="majorHAnsi"/>
          <w:sz w:val="20"/>
          <w:szCs w:val="20"/>
          <w:lang w:val="es-ES"/>
        </w:rPr>
        <w:t xml:space="preserve">. </w:t>
      </w:r>
      <w:r w:rsidRPr="00D50D50">
        <w:rPr>
          <w:rFonts w:asciiTheme="majorHAnsi" w:hAnsiTheme="majorHAnsi"/>
          <w:sz w:val="20"/>
          <w:szCs w:val="20"/>
          <w:lang w:val="es-ES"/>
        </w:rPr>
        <w:t>La parte peticionaria</w:t>
      </w:r>
      <w:r w:rsidR="002D0EEF" w:rsidRPr="00D50D50">
        <w:rPr>
          <w:rFonts w:asciiTheme="majorHAnsi" w:hAnsiTheme="majorHAnsi"/>
          <w:sz w:val="20"/>
          <w:szCs w:val="20"/>
          <w:lang w:val="es-ES"/>
        </w:rPr>
        <w:t xml:space="preserve"> </w:t>
      </w:r>
      <w:r w:rsidRPr="00D50D50">
        <w:rPr>
          <w:rFonts w:asciiTheme="majorHAnsi" w:hAnsiTheme="majorHAnsi"/>
          <w:sz w:val="20"/>
          <w:szCs w:val="20"/>
          <w:lang w:val="es-ES"/>
        </w:rPr>
        <w:t xml:space="preserve">señala </w:t>
      </w:r>
      <w:r w:rsidR="002D0EEF" w:rsidRPr="00D50D50">
        <w:rPr>
          <w:rFonts w:asciiTheme="majorHAnsi" w:hAnsiTheme="majorHAnsi"/>
          <w:sz w:val="20"/>
          <w:szCs w:val="20"/>
          <w:lang w:val="es-ES"/>
        </w:rPr>
        <w:t xml:space="preserve">que </w:t>
      </w:r>
      <w:r w:rsidR="002F4C7A" w:rsidRPr="00D50D50">
        <w:rPr>
          <w:rFonts w:asciiTheme="majorHAnsi" w:hAnsiTheme="majorHAnsi"/>
          <w:sz w:val="20"/>
          <w:szCs w:val="20"/>
          <w:lang w:val="es-ES"/>
        </w:rPr>
        <w:t xml:space="preserve">los hechos ocurrieron en 2003, </w:t>
      </w:r>
      <w:r w:rsidR="006E3C14" w:rsidRPr="00D50D50">
        <w:rPr>
          <w:rFonts w:asciiTheme="majorHAnsi" w:hAnsiTheme="majorHAnsi"/>
          <w:sz w:val="20"/>
          <w:szCs w:val="20"/>
          <w:lang w:val="es-ES"/>
        </w:rPr>
        <w:t xml:space="preserve">pero no </w:t>
      </w:r>
      <w:r w:rsidR="00F61AEF" w:rsidRPr="00D50D50">
        <w:rPr>
          <w:rFonts w:asciiTheme="majorHAnsi" w:hAnsiTheme="majorHAnsi"/>
          <w:sz w:val="20"/>
          <w:szCs w:val="20"/>
          <w:lang w:val="es-ES"/>
        </w:rPr>
        <w:t xml:space="preserve">fue </w:t>
      </w:r>
      <w:r w:rsidR="006E3C14" w:rsidRPr="00D50D50">
        <w:rPr>
          <w:rFonts w:asciiTheme="majorHAnsi" w:hAnsiTheme="majorHAnsi"/>
          <w:sz w:val="20"/>
          <w:szCs w:val="20"/>
          <w:lang w:val="es-ES"/>
        </w:rPr>
        <w:t xml:space="preserve">sino </w:t>
      </w:r>
      <w:r w:rsidR="002F4C7A" w:rsidRPr="00D50D50">
        <w:rPr>
          <w:rFonts w:asciiTheme="majorHAnsi" w:hAnsiTheme="majorHAnsi"/>
          <w:sz w:val="20"/>
          <w:szCs w:val="20"/>
          <w:lang w:val="es-ES"/>
        </w:rPr>
        <w:t xml:space="preserve">hasta 2007 </w:t>
      </w:r>
      <w:r w:rsidR="006E3C14" w:rsidRPr="00D50D50">
        <w:rPr>
          <w:rFonts w:asciiTheme="majorHAnsi" w:hAnsiTheme="majorHAnsi"/>
          <w:sz w:val="20"/>
          <w:szCs w:val="20"/>
          <w:lang w:val="es-ES"/>
        </w:rPr>
        <w:t>que</w:t>
      </w:r>
      <w:r w:rsidR="00F61AEF" w:rsidRPr="00D50D50">
        <w:rPr>
          <w:rFonts w:asciiTheme="majorHAnsi" w:hAnsiTheme="majorHAnsi"/>
          <w:sz w:val="20"/>
          <w:szCs w:val="20"/>
          <w:lang w:val="es-ES"/>
        </w:rPr>
        <w:t xml:space="preserve"> se realizó </w:t>
      </w:r>
      <w:r w:rsidR="002F4C7A" w:rsidRPr="00D50D50">
        <w:rPr>
          <w:rFonts w:asciiTheme="majorHAnsi" w:hAnsiTheme="majorHAnsi"/>
          <w:sz w:val="20"/>
          <w:szCs w:val="20"/>
          <w:lang w:val="es-ES"/>
        </w:rPr>
        <w:t>la imputa</w:t>
      </w:r>
      <w:r w:rsidR="00DC40A6" w:rsidRPr="00D50D50">
        <w:rPr>
          <w:rFonts w:asciiTheme="majorHAnsi" w:hAnsiTheme="majorHAnsi"/>
          <w:sz w:val="20"/>
          <w:szCs w:val="20"/>
          <w:lang w:val="es-ES"/>
        </w:rPr>
        <w:t>ción</w:t>
      </w:r>
      <w:r w:rsidR="00F61AEF" w:rsidRPr="00D50D50">
        <w:rPr>
          <w:rFonts w:asciiTheme="majorHAnsi" w:hAnsiTheme="majorHAnsi"/>
          <w:sz w:val="20"/>
          <w:szCs w:val="20"/>
          <w:lang w:val="es-ES"/>
        </w:rPr>
        <w:t xml:space="preserve">, </w:t>
      </w:r>
      <w:r w:rsidR="006E3C14" w:rsidRPr="00D50D50">
        <w:rPr>
          <w:rFonts w:asciiTheme="majorHAnsi" w:hAnsiTheme="majorHAnsi"/>
          <w:sz w:val="20"/>
          <w:szCs w:val="20"/>
          <w:lang w:val="es-ES"/>
        </w:rPr>
        <w:t xml:space="preserve">en contravención del </w:t>
      </w:r>
      <w:r w:rsidR="002F4C7A" w:rsidRPr="00D50D50">
        <w:rPr>
          <w:rFonts w:asciiTheme="majorHAnsi" w:hAnsiTheme="majorHAnsi"/>
          <w:sz w:val="20"/>
          <w:szCs w:val="20"/>
          <w:lang w:val="es-ES"/>
        </w:rPr>
        <w:t>plazo razonable</w:t>
      </w:r>
      <w:r w:rsidR="00D72E4C" w:rsidRPr="00D50D50">
        <w:rPr>
          <w:rFonts w:asciiTheme="majorHAnsi" w:hAnsiTheme="majorHAnsi"/>
          <w:sz w:val="20"/>
          <w:szCs w:val="20"/>
          <w:lang w:val="es-ES"/>
        </w:rPr>
        <w:t xml:space="preserve"> establecido por </w:t>
      </w:r>
      <w:r w:rsidR="006E3C14" w:rsidRPr="00D50D50">
        <w:rPr>
          <w:rFonts w:asciiTheme="majorHAnsi" w:hAnsiTheme="majorHAnsi"/>
          <w:sz w:val="20"/>
          <w:szCs w:val="20"/>
          <w:lang w:val="es-ES"/>
        </w:rPr>
        <w:t xml:space="preserve">el referido </w:t>
      </w:r>
      <w:r w:rsidR="0068419D" w:rsidRPr="00D50D50">
        <w:rPr>
          <w:rFonts w:asciiTheme="majorHAnsi" w:hAnsiTheme="majorHAnsi"/>
          <w:sz w:val="20"/>
          <w:szCs w:val="20"/>
          <w:lang w:val="es-ES"/>
        </w:rPr>
        <w:t>c</w:t>
      </w:r>
      <w:r w:rsidR="006E3C14" w:rsidRPr="00D50D50">
        <w:rPr>
          <w:rFonts w:asciiTheme="majorHAnsi" w:hAnsiTheme="majorHAnsi"/>
          <w:sz w:val="20"/>
          <w:szCs w:val="20"/>
          <w:lang w:val="es-ES"/>
        </w:rPr>
        <w:t>ódigo</w:t>
      </w:r>
      <w:r w:rsidR="008A6BA5" w:rsidRPr="00D50D50">
        <w:rPr>
          <w:rFonts w:asciiTheme="majorHAnsi" w:hAnsiTheme="majorHAnsi"/>
          <w:sz w:val="20"/>
          <w:szCs w:val="20"/>
          <w:lang w:val="es-ES"/>
        </w:rPr>
        <w:t xml:space="preserve">. </w:t>
      </w:r>
      <w:r w:rsidR="006E3C14" w:rsidRPr="00D50D50">
        <w:rPr>
          <w:rFonts w:asciiTheme="majorHAnsi" w:hAnsiTheme="majorHAnsi"/>
          <w:sz w:val="20"/>
          <w:szCs w:val="20"/>
          <w:lang w:val="es-ES"/>
        </w:rPr>
        <w:t>Alega que</w:t>
      </w:r>
      <w:r w:rsidR="00420105" w:rsidRPr="00D50D50">
        <w:rPr>
          <w:rFonts w:asciiTheme="majorHAnsi" w:hAnsiTheme="majorHAnsi"/>
          <w:sz w:val="20"/>
          <w:szCs w:val="20"/>
          <w:lang w:val="es-ES"/>
        </w:rPr>
        <w:t xml:space="preserve"> los hechos ocurridos durante las manifestaciones de septiembre y octubre de 2003 no pueden calificarse </w:t>
      </w:r>
      <w:r w:rsidR="00420105" w:rsidRPr="00D50D50">
        <w:rPr>
          <w:rFonts w:asciiTheme="majorHAnsi" w:hAnsiTheme="majorHAnsi"/>
          <w:i/>
          <w:sz w:val="20"/>
          <w:szCs w:val="20"/>
          <w:lang w:val="es-ES"/>
        </w:rPr>
        <w:t xml:space="preserve">prima facie </w:t>
      </w:r>
      <w:r w:rsidR="00420105" w:rsidRPr="00D50D50">
        <w:rPr>
          <w:rFonts w:asciiTheme="majorHAnsi" w:hAnsiTheme="majorHAnsi"/>
          <w:sz w:val="20"/>
          <w:szCs w:val="20"/>
          <w:lang w:val="es-ES"/>
        </w:rPr>
        <w:t xml:space="preserve">como delitos de lesa humanidad puesto que </w:t>
      </w:r>
      <w:r w:rsidR="006E3C14" w:rsidRPr="00D50D50">
        <w:rPr>
          <w:rFonts w:asciiTheme="majorHAnsi" w:hAnsiTheme="majorHAnsi"/>
          <w:sz w:val="20"/>
          <w:szCs w:val="20"/>
          <w:lang w:val="es-ES"/>
        </w:rPr>
        <w:t xml:space="preserve">no </w:t>
      </w:r>
      <w:r w:rsidR="00420105" w:rsidRPr="00D50D50">
        <w:rPr>
          <w:rFonts w:asciiTheme="majorHAnsi" w:hAnsiTheme="majorHAnsi"/>
          <w:sz w:val="20"/>
          <w:szCs w:val="20"/>
          <w:lang w:val="es-ES"/>
        </w:rPr>
        <w:t>se presenta</w:t>
      </w:r>
      <w:r w:rsidR="006E3C14" w:rsidRPr="00D50D50">
        <w:rPr>
          <w:rFonts w:asciiTheme="majorHAnsi" w:hAnsiTheme="majorHAnsi"/>
          <w:sz w:val="20"/>
          <w:szCs w:val="20"/>
          <w:lang w:val="es-ES"/>
        </w:rPr>
        <w:t>n</w:t>
      </w:r>
      <w:r w:rsidR="00420105" w:rsidRPr="00D50D50">
        <w:rPr>
          <w:rFonts w:asciiTheme="majorHAnsi" w:hAnsiTheme="majorHAnsi"/>
          <w:sz w:val="20"/>
          <w:szCs w:val="20"/>
          <w:lang w:val="es-ES"/>
        </w:rPr>
        <w:t xml:space="preserve"> a</w:t>
      </w:r>
      <w:r w:rsidR="00D72E4C" w:rsidRPr="00D50D50">
        <w:rPr>
          <w:rFonts w:asciiTheme="majorHAnsi" w:hAnsiTheme="majorHAnsi"/>
          <w:sz w:val="20"/>
          <w:szCs w:val="20"/>
          <w:lang w:val="es-ES"/>
        </w:rPr>
        <w:t xml:space="preserve">lgunos elementos de </w:t>
      </w:r>
      <w:r w:rsidR="00420105" w:rsidRPr="00D50D50">
        <w:rPr>
          <w:rFonts w:asciiTheme="majorHAnsi" w:hAnsiTheme="majorHAnsi"/>
          <w:sz w:val="20"/>
          <w:szCs w:val="20"/>
          <w:lang w:val="es-ES"/>
        </w:rPr>
        <w:t>categorizaci</w:t>
      </w:r>
      <w:r w:rsidR="00A60740" w:rsidRPr="00D50D50">
        <w:rPr>
          <w:rFonts w:asciiTheme="majorHAnsi" w:hAnsiTheme="majorHAnsi"/>
          <w:sz w:val="20"/>
          <w:szCs w:val="20"/>
          <w:lang w:val="es-ES"/>
        </w:rPr>
        <w:t>ón</w:t>
      </w:r>
      <w:r w:rsidR="00D72E4C" w:rsidRPr="00D50D50">
        <w:rPr>
          <w:rFonts w:asciiTheme="majorHAnsi" w:hAnsiTheme="majorHAnsi"/>
          <w:sz w:val="20"/>
          <w:szCs w:val="20"/>
          <w:lang w:val="es-ES"/>
        </w:rPr>
        <w:t>,</w:t>
      </w:r>
      <w:r w:rsidR="00A60740" w:rsidRPr="00D50D50">
        <w:rPr>
          <w:rFonts w:asciiTheme="majorHAnsi" w:hAnsiTheme="majorHAnsi"/>
          <w:sz w:val="20"/>
          <w:szCs w:val="20"/>
          <w:lang w:val="es-ES"/>
        </w:rPr>
        <w:t xml:space="preserve"> </w:t>
      </w:r>
      <w:r w:rsidR="006E3C14" w:rsidRPr="00D50D50">
        <w:rPr>
          <w:rFonts w:asciiTheme="majorHAnsi" w:hAnsiTheme="majorHAnsi"/>
          <w:sz w:val="20"/>
          <w:szCs w:val="20"/>
          <w:lang w:val="es-ES"/>
        </w:rPr>
        <w:t xml:space="preserve">tales </w:t>
      </w:r>
      <w:r w:rsidR="00A60740" w:rsidRPr="00D50D50">
        <w:rPr>
          <w:rFonts w:asciiTheme="majorHAnsi" w:hAnsiTheme="majorHAnsi"/>
          <w:sz w:val="20"/>
          <w:szCs w:val="20"/>
          <w:lang w:val="es-ES"/>
        </w:rPr>
        <w:t>como</w:t>
      </w:r>
      <w:r w:rsidR="00420105" w:rsidRPr="00D50D50">
        <w:rPr>
          <w:rFonts w:asciiTheme="majorHAnsi" w:hAnsiTheme="majorHAnsi"/>
          <w:sz w:val="20"/>
          <w:szCs w:val="20"/>
          <w:lang w:val="es-ES"/>
        </w:rPr>
        <w:t xml:space="preserve"> el carácter masivo de las muertes, una política de Estado de eliminar a la población, y el carácter de poblaci</w:t>
      </w:r>
      <w:r w:rsidR="000014FA" w:rsidRPr="00D50D50">
        <w:rPr>
          <w:rFonts w:asciiTheme="majorHAnsi" w:hAnsiTheme="majorHAnsi"/>
          <w:sz w:val="20"/>
          <w:szCs w:val="20"/>
          <w:lang w:val="es-ES"/>
        </w:rPr>
        <w:t>ón civil.</w:t>
      </w:r>
      <w:r w:rsidR="00A60740" w:rsidRPr="00D50D50">
        <w:rPr>
          <w:rFonts w:asciiTheme="majorHAnsi" w:hAnsiTheme="majorHAnsi"/>
          <w:sz w:val="20"/>
          <w:szCs w:val="20"/>
          <w:lang w:val="es-ES"/>
        </w:rPr>
        <w:t xml:space="preserve"> </w:t>
      </w:r>
      <w:r w:rsidR="006E3C14" w:rsidRPr="00D50D50">
        <w:rPr>
          <w:rFonts w:asciiTheme="majorHAnsi" w:hAnsiTheme="majorHAnsi"/>
          <w:sz w:val="20"/>
          <w:szCs w:val="20"/>
          <w:lang w:val="es-ES"/>
        </w:rPr>
        <w:t>Por tal motivo considera que</w:t>
      </w:r>
      <w:r w:rsidR="00A60740" w:rsidRPr="00D50D50">
        <w:rPr>
          <w:rFonts w:asciiTheme="majorHAnsi" w:hAnsiTheme="majorHAnsi"/>
          <w:sz w:val="20"/>
          <w:szCs w:val="20"/>
          <w:lang w:val="es-ES"/>
        </w:rPr>
        <w:t xml:space="preserve"> la Fiscalía cometió un grave error </w:t>
      </w:r>
      <w:r w:rsidR="004E7D45" w:rsidRPr="00D50D50">
        <w:rPr>
          <w:rFonts w:asciiTheme="majorHAnsi" w:hAnsiTheme="majorHAnsi"/>
          <w:sz w:val="20"/>
          <w:szCs w:val="20"/>
          <w:lang w:val="es-ES"/>
        </w:rPr>
        <w:t xml:space="preserve">al caracterizar </w:t>
      </w:r>
      <w:r w:rsidR="00A60740" w:rsidRPr="00D50D50">
        <w:rPr>
          <w:rFonts w:asciiTheme="majorHAnsi" w:hAnsiTheme="majorHAnsi"/>
          <w:sz w:val="20"/>
          <w:szCs w:val="20"/>
          <w:lang w:val="es-ES"/>
        </w:rPr>
        <w:t>los hechos</w:t>
      </w:r>
      <w:r w:rsidR="004E7D45" w:rsidRPr="00D50D50">
        <w:rPr>
          <w:rFonts w:asciiTheme="majorHAnsi" w:hAnsiTheme="majorHAnsi"/>
          <w:sz w:val="20"/>
          <w:szCs w:val="20"/>
          <w:lang w:val="es-ES"/>
        </w:rPr>
        <w:t xml:space="preserve"> como delitos de lesa humanidad, con el fin</w:t>
      </w:r>
      <w:r w:rsidR="00A60740" w:rsidRPr="00D50D50">
        <w:rPr>
          <w:rFonts w:asciiTheme="majorHAnsi" w:hAnsiTheme="majorHAnsi"/>
          <w:sz w:val="20"/>
          <w:szCs w:val="20"/>
          <w:lang w:val="es-ES"/>
        </w:rPr>
        <w:t xml:space="preserve"> de </w:t>
      </w:r>
      <w:r w:rsidR="00561280" w:rsidRPr="00D50D50">
        <w:rPr>
          <w:rFonts w:asciiTheme="majorHAnsi" w:hAnsiTheme="majorHAnsi"/>
          <w:sz w:val="20"/>
          <w:szCs w:val="20"/>
          <w:lang w:val="es-ES"/>
        </w:rPr>
        <w:t>excluir el uso del plazo razonable.</w:t>
      </w:r>
      <w:r w:rsidR="003137EF" w:rsidRPr="00D50D50">
        <w:rPr>
          <w:rFonts w:asciiTheme="majorHAnsi" w:hAnsiTheme="majorHAnsi"/>
          <w:sz w:val="20"/>
          <w:szCs w:val="20"/>
          <w:lang w:val="es-ES"/>
        </w:rPr>
        <w:t xml:space="preserve"> </w:t>
      </w:r>
      <w:r w:rsidR="006E3C14" w:rsidRPr="00D50D50">
        <w:rPr>
          <w:rFonts w:asciiTheme="majorHAnsi" w:hAnsiTheme="majorHAnsi"/>
          <w:sz w:val="20"/>
          <w:szCs w:val="20"/>
          <w:lang w:val="es-ES"/>
        </w:rPr>
        <w:t>La parte</w:t>
      </w:r>
      <w:r w:rsidR="00C058E6" w:rsidRPr="00D50D50">
        <w:rPr>
          <w:rFonts w:asciiTheme="majorHAnsi" w:hAnsiTheme="majorHAnsi"/>
          <w:sz w:val="20"/>
          <w:szCs w:val="20"/>
          <w:lang w:val="es-ES"/>
        </w:rPr>
        <w:t xml:space="preserve"> peticionari</w:t>
      </w:r>
      <w:r w:rsidR="006E3C14" w:rsidRPr="00D50D50">
        <w:rPr>
          <w:rFonts w:asciiTheme="majorHAnsi" w:hAnsiTheme="majorHAnsi"/>
          <w:sz w:val="20"/>
          <w:szCs w:val="20"/>
          <w:lang w:val="es-ES"/>
        </w:rPr>
        <w:t>a</w:t>
      </w:r>
      <w:r w:rsidR="00C058E6" w:rsidRPr="00D50D50">
        <w:rPr>
          <w:rFonts w:asciiTheme="majorHAnsi" w:hAnsiTheme="majorHAnsi"/>
          <w:sz w:val="20"/>
          <w:szCs w:val="20"/>
          <w:lang w:val="es-ES"/>
        </w:rPr>
        <w:t xml:space="preserve"> </w:t>
      </w:r>
      <w:r w:rsidR="006E3C14" w:rsidRPr="00D50D50">
        <w:rPr>
          <w:rFonts w:asciiTheme="majorHAnsi" w:hAnsiTheme="majorHAnsi"/>
          <w:sz w:val="20"/>
          <w:szCs w:val="20"/>
          <w:lang w:val="es-ES"/>
        </w:rPr>
        <w:t xml:space="preserve">afirma </w:t>
      </w:r>
      <w:r w:rsidR="00C058E6" w:rsidRPr="00D50D50">
        <w:rPr>
          <w:rFonts w:asciiTheme="majorHAnsi" w:hAnsiTheme="majorHAnsi"/>
          <w:sz w:val="20"/>
          <w:szCs w:val="20"/>
          <w:lang w:val="es-ES"/>
        </w:rPr>
        <w:t xml:space="preserve">que el Estado debió brindar </w:t>
      </w:r>
      <w:r w:rsidR="006E3C14" w:rsidRPr="00D50D50">
        <w:rPr>
          <w:rFonts w:asciiTheme="majorHAnsi" w:hAnsiTheme="majorHAnsi"/>
          <w:sz w:val="20"/>
          <w:szCs w:val="20"/>
          <w:lang w:val="es-ES"/>
        </w:rPr>
        <w:t xml:space="preserve">a las presuntas víctimas </w:t>
      </w:r>
      <w:r w:rsidR="00C058E6" w:rsidRPr="00D50D50">
        <w:rPr>
          <w:rFonts w:asciiTheme="majorHAnsi" w:hAnsiTheme="majorHAnsi"/>
          <w:sz w:val="20"/>
          <w:szCs w:val="20"/>
          <w:lang w:val="es-ES"/>
        </w:rPr>
        <w:t>la posibilidad de recurrir el fallo condenatorio antes que la sentenci</w:t>
      </w:r>
      <w:r w:rsidR="00322181" w:rsidRPr="00D50D50">
        <w:rPr>
          <w:rFonts w:asciiTheme="majorHAnsi" w:hAnsiTheme="majorHAnsi"/>
          <w:sz w:val="20"/>
          <w:szCs w:val="20"/>
          <w:lang w:val="es-ES"/>
        </w:rPr>
        <w:t>a se constituy</w:t>
      </w:r>
      <w:r w:rsidR="006E3C14" w:rsidRPr="00D50D50">
        <w:rPr>
          <w:rFonts w:asciiTheme="majorHAnsi" w:hAnsiTheme="majorHAnsi"/>
          <w:sz w:val="20"/>
          <w:szCs w:val="20"/>
          <w:lang w:val="es-ES"/>
        </w:rPr>
        <w:t>er</w:t>
      </w:r>
      <w:r w:rsidR="00322181" w:rsidRPr="00D50D50">
        <w:rPr>
          <w:rFonts w:asciiTheme="majorHAnsi" w:hAnsiTheme="majorHAnsi"/>
          <w:sz w:val="20"/>
          <w:szCs w:val="20"/>
          <w:lang w:val="es-ES"/>
        </w:rPr>
        <w:t>a en cosa juzgada</w:t>
      </w:r>
      <w:r w:rsidR="000C3B82" w:rsidRPr="00D50D50">
        <w:rPr>
          <w:rFonts w:asciiTheme="majorHAnsi" w:hAnsiTheme="majorHAnsi"/>
          <w:sz w:val="20"/>
          <w:szCs w:val="20"/>
          <w:lang w:val="es-ES"/>
        </w:rPr>
        <w:t>.</w:t>
      </w:r>
    </w:p>
    <w:p w14:paraId="2DE0B13C" w14:textId="77777777" w:rsidR="00186A95" w:rsidRPr="00D50D50" w:rsidRDefault="00186A95" w:rsidP="00186A9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6209E366" w14:textId="31EE827A" w:rsidR="001474F6" w:rsidRPr="00D50D50" w:rsidRDefault="00162DDE" w:rsidP="00FB76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Por su parte, el Estado manifiesta que</w:t>
      </w:r>
      <w:r w:rsidR="00EA0F32" w:rsidRPr="00D50D50">
        <w:rPr>
          <w:rFonts w:asciiTheme="majorHAnsi" w:hAnsiTheme="majorHAnsi"/>
          <w:sz w:val="20"/>
          <w:szCs w:val="20"/>
          <w:lang w:val="es-ES"/>
        </w:rPr>
        <w:t xml:space="preserve"> </w:t>
      </w:r>
      <w:r w:rsidR="00D80DE5" w:rsidRPr="00D50D50">
        <w:rPr>
          <w:rFonts w:asciiTheme="majorHAnsi" w:hAnsiTheme="majorHAnsi"/>
          <w:sz w:val="20"/>
          <w:szCs w:val="20"/>
          <w:lang w:val="es-ES"/>
        </w:rPr>
        <w:t xml:space="preserve">la petición es inadmisible ya que </w:t>
      </w:r>
      <w:r w:rsidR="006E3C14" w:rsidRPr="00D50D50">
        <w:rPr>
          <w:rFonts w:asciiTheme="majorHAnsi" w:hAnsiTheme="majorHAnsi"/>
          <w:sz w:val="20"/>
          <w:szCs w:val="20"/>
          <w:lang w:val="es-ES"/>
        </w:rPr>
        <w:t xml:space="preserve">su revisión por la </w:t>
      </w:r>
      <w:r w:rsidR="0063042C" w:rsidRPr="00D50D50">
        <w:rPr>
          <w:rFonts w:asciiTheme="majorHAnsi" w:hAnsiTheme="majorHAnsi"/>
          <w:sz w:val="20"/>
          <w:szCs w:val="20"/>
          <w:lang w:val="es-ES"/>
        </w:rPr>
        <w:t xml:space="preserve">Comisión </w:t>
      </w:r>
      <w:r w:rsidR="006E3C14" w:rsidRPr="00D50D50">
        <w:rPr>
          <w:rFonts w:asciiTheme="majorHAnsi" w:hAnsiTheme="majorHAnsi"/>
          <w:sz w:val="20"/>
          <w:szCs w:val="20"/>
          <w:lang w:val="es-ES"/>
        </w:rPr>
        <w:t>Interamericana implicaría actuar como</w:t>
      </w:r>
      <w:r w:rsidR="0063042C" w:rsidRPr="00D50D50">
        <w:rPr>
          <w:rFonts w:asciiTheme="majorHAnsi" w:hAnsiTheme="majorHAnsi"/>
          <w:sz w:val="20"/>
          <w:szCs w:val="20"/>
          <w:lang w:val="es-ES"/>
        </w:rPr>
        <w:t xml:space="preserve"> un tribunal de alzada </w:t>
      </w:r>
      <w:r w:rsidR="006E3C14" w:rsidRPr="00D50D50">
        <w:rPr>
          <w:rFonts w:asciiTheme="majorHAnsi" w:hAnsiTheme="majorHAnsi"/>
          <w:sz w:val="20"/>
          <w:szCs w:val="20"/>
          <w:lang w:val="es-ES"/>
        </w:rPr>
        <w:t xml:space="preserve">para </w:t>
      </w:r>
      <w:r w:rsidR="0063042C" w:rsidRPr="00D50D50">
        <w:rPr>
          <w:rFonts w:asciiTheme="majorHAnsi" w:hAnsiTheme="majorHAnsi"/>
          <w:sz w:val="20"/>
          <w:szCs w:val="20"/>
          <w:lang w:val="es-ES"/>
        </w:rPr>
        <w:t xml:space="preserve">analizar supuestos errores de derecho o de hecho cometidos por los tribunales bolivianos. </w:t>
      </w:r>
      <w:r w:rsidR="001474F6" w:rsidRPr="00D50D50">
        <w:rPr>
          <w:rFonts w:asciiTheme="majorHAnsi" w:hAnsiTheme="majorHAnsi"/>
          <w:sz w:val="20"/>
          <w:szCs w:val="20"/>
          <w:lang w:val="es-ES"/>
        </w:rPr>
        <w:t>Asegura el Estado que la pretensión principal de l</w:t>
      </w:r>
      <w:r w:rsidR="006E3C14" w:rsidRPr="00D50D50">
        <w:rPr>
          <w:rFonts w:asciiTheme="majorHAnsi" w:hAnsiTheme="majorHAnsi"/>
          <w:sz w:val="20"/>
          <w:szCs w:val="20"/>
          <w:lang w:val="es-ES"/>
        </w:rPr>
        <w:t xml:space="preserve">a parte </w:t>
      </w:r>
      <w:r w:rsidR="001474F6" w:rsidRPr="00D50D50">
        <w:rPr>
          <w:rFonts w:asciiTheme="majorHAnsi" w:hAnsiTheme="majorHAnsi"/>
          <w:sz w:val="20"/>
          <w:szCs w:val="20"/>
          <w:lang w:val="es-ES"/>
        </w:rPr>
        <w:t>peticionari</w:t>
      </w:r>
      <w:r w:rsidR="006E3C14" w:rsidRPr="00D50D50">
        <w:rPr>
          <w:rFonts w:asciiTheme="majorHAnsi" w:hAnsiTheme="majorHAnsi"/>
          <w:sz w:val="20"/>
          <w:szCs w:val="20"/>
          <w:lang w:val="es-ES"/>
        </w:rPr>
        <w:t>a</w:t>
      </w:r>
      <w:r w:rsidR="001474F6" w:rsidRPr="00D50D50">
        <w:rPr>
          <w:rFonts w:asciiTheme="majorHAnsi" w:hAnsiTheme="majorHAnsi"/>
          <w:sz w:val="20"/>
          <w:szCs w:val="20"/>
          <w:lang w:val="es-ES"/>
        </w:rPr>
        <w:t xml:space="preserve"> es u</w:t>
      </w:r>
      <w:r w:rsidR="006E3C14" w:rsidRPr="00D50D50">
        <w:rPr>
          <w:rFonts w:asciiTheme="majorHAnsi" w:hAnsiTheme="majorHAnsi"/>
          <w:sz w:val="20"/>
          <w:szCs w:val="20"/>
          <w:lang w:val="es-ES"/>
        </w:rPr>
        <w:t>tilizar</w:t>
      </w:r>
      <w:r w:rsidR="001474F6" w:rsidRPr="00D50D50">
        <w:rPr>
          <w:rFonts w:asciiTheme="majorHAnsi" w:hAnsiTheme="majorHAnsi"/>
          <w:sz w:val="20"/>
          <w:szCs w:val="20"/>
          <w:lang w:val="es-ES"/>
        </w:rPr>
        <w:t xml:space="preserve"> discrecionalmente el sistema interamericano como una instancia de revisión o de apelación de actos procesal</w:t>
      </w:r>
      <w:r w:rsidR="006E3C14" w:rsidRPr="00D50D50">
        <w:rPr>
          <w:rFonts w:asciiTheme="majorHAnsi" w:hAnsiTheme="majorHAnsi"/>
          <w:sz w:val="20"/>
          <w:szCs w:val="20"/>
          <w:lang w:val="es-ES"/>
        </w:rPr>
        <w:t>es</w:t>
      </w:r>
      <w:r w:rsidR="001474F6" w:rsidRPr="00D50D50">
        <w:rPr>
          <w:rFonts w:asciiTheme="majorHAnsi" w:hAnsiTheme="majorHAnsi"/>
          <w:sz w:val="20"/>
          <w:szCs w:val="20"/>
          <w:lang w:val="es-ES"/>
        </w:rPr>
        <w:t xml:space="preserve"> </w:t>
      </w:r>
      <w:r w:rsidR="006E3C14" w:rsidRPr="00D50D50">
        <w:rPr>
          <w:rFonts w:asciiTheme="majorHAnsi" w:hAnsiTheme="majorHAnsi"/>
          <w:sz w:val="20"/>
          <w:szCs w:val="20"/>
          <w:lang w:val="es-ES"/>
        </w:rPr>
        <w:t xml:space="preserve">adoptados por </w:t>
      </w:r>
      <w:r w:rsidR="001474F6" w:rsidRPr="00D50D50">
        <w:rPr>
          <w:rFonts w:asciiTheme="majorHAnsi" w:hAnsiTheme="majorHAnsi"/>
          <w:sz w:val="20"/>
          <w:szCs w:val="20"/>
          <w:lang w:val="es-ES"/>
        </w:rPr>
        <w:t>instancias nacionales. Adicionalmente, asevera que</w:t>
      </w:r>
      <w:r w:rsidR="006E3C14" w:rsidRPr="00D50D50">
        <w:rPr>
          <w:rFonts w:asciiTheme="majorHAnsi" w:hAnsiTheme="majorHAnsi"/>
          <w:sz w:val="20"/>
          <w:szCs w:val="20"/>
          <w:lang w:val="es-ES"/>
        </w:rPr>
        <w:t xml:space="preserve"> no hay</w:t>
      </w:r>
      <w:r w:rsidR="001474F6" w:rsidRPr="00D50D50">
        <w:rPr>
          <w:rFonts w:asciiTheme="majorHAnsi" w:hAnsiTheme="majorHAnsi"/>
          <w:sz w:val="20"/>
          <w:szCs w:val="20"/>
          <w:lang w:val="es-ES"/>
        </w:rPr>
        <w:t xml:space="preserve"> caracterización de </w:t>
      </w:r>
      <w:r w:rsidR="006E3C14" w:rsidRPr="00D50D50">
        <w:rPr>
          <w:rFonts w:asciiTheme="majorHAnsi" w:hAnsiTheme="majorHAnsi"/>
          <w:sz w:val="20"/>
          <w:szCs w:val="20"/>
          <w:lang w:val="es-ES"/>
        </w:rPr>
        <w:t xml:space="preserve">posibles </w:t>
      </w:r>
      <w:r w:rsidR="001474F6" w:rsidRPr="00D50D50">
        <w:rPr>
          <w:rFonts w:asciiTheme="majorHAnsi" w:hAnsiTheme="majorHAnsi"/>
          <w:sz w:val="20"/>
          <w:szCs w:val="20"/>
          <w:lang w:val="es-ES"/>
        </w:rPr>
        <w:t>hechos v</w:t>
      </w:r>
      <w:r w:rsidR="006E3C14" w:rsidRPr="00D50D50">
        <w:rPr>
          <w:rFonts w:asciiTheme="majorHAnsi" w:hAnsiTheme="majorHAnsi"/>
          <w:sz w:val="20"/>
          <w:szCs w:val="20"/>
          <w:lang w:val="es-ES"/>
        </w:rPr>
        <w:t xml:space="preserve">iolatorios </w:t>
      </w:r>
      <w:r w:rsidR="001474F6" w:rsidRPr="00D50D50">
        <w:rPr>
          <w:rFonts w:asciiTheme="majorHAnsi" w:hAnsiTheme="majorHAnsi"/>
          <w:sz w:val="20"/>
          <w:szCs w:val="20"/>
          <w:lang w:val="es-ES"/>
        </w:rPr>
        <w:t>de derechos humanos</w:t>
      </w:r>
      <w:r w:rsidR="00767457" w:rsidRPr="00D50D50">
        <w:rPr>
          <w:rFonts w:asciiTheme="majorHAnsi" w:hAnsiTheme="majorHAnsi"/>
          <w:sz w:val="20"/>
          <w:szCs w:val="20"/>
          <w:lang w:val="es-ES"/>
        </w:rPr>
        <w:t>.</w:t>
      </w:r>
    </w:p>
    <w:p w14:paraId="2270486E" w14:textId="77777777" w:rsidR="00186A95" w:rsidRPr="00D50D50" w:rsidRDefault="00186A95" w:rsidP="00186A9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167BD0F6" w14:textId="440BE990" w:rsidR="00722EC2" w:rsidRPr="00D50D50" w:rsidRDefault="00064D62" w:rsidP="00FB76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 xml:space="preserve">El Estado </w:t>
      </w:r>
      <w:r w:rsidR="006E3C14" w:rsidRPr="00D50D50">
        <w:rPr>
          <w:rFonts w:asciiTheme="majorHAnsi" w:hAnsiTheme="majorHAnsi"/>
          <w:sz w:val="20"/>
          <w:szCs w:val="20"/>
          <w:lang w:val="es-ES"/>
        </w:rPr>
        <w:t xml:space="preserve">sostiene </w:t>
      </w:r>
      <w:r w:rsidRPr="00D50D50">
        <w:rPr>
          <w:rFonts w:asciiTheme="majorHAnsi" w:hAnsiTheme="majorHAnsi"/>
          <w:sz w:val="20"/>
          <w:szCs w:val="20"/>
          <w:lang w:val="es-ES"/>
        </w:rPr>
        <w:t xml:space="preserve">que </w:t>
      </w:r>
      <w:r w:rsidR="00162DDE" w:rsidRPr="00D50D50">
        <w:rPr>
          <w:rFonts w:asciiTheme="majorHAnsi" w:hAnsiTheme="majorHAnsi"/>
          <w:sz w:val="20"/>
          <w:szCs w:val="20"/>
          <w:lang w:val="es-ES"/>
        </w:rPr>
        <w:t xml:space="preserve">los hechos ocurridos durante el </w:t>
      </w:r>
      <w:r w:rsidR="006E3C14" w:rsidRPr="00D50D50">
        <w:rPr>
          <w:rFonts w:asciiTheme="majorHAnsi" w:hAnsiTheme="majorHAnsi"/>
          <w:sz w:val="20"/>
          <w:szCs w:val="20"/>
          <w:lang w:val="es-ES"/>
        </w:rPr>
        <w:t>llamado</w:t>
      </w:r>
      <w:r w:rsidR="00162DDE" w:rsidRPr="00D50D50">
        <w:rPr>
          <w:rFonts w:asciiTheme="majorHAnsi" w:hAnsiTheme="majorHAnsi"/>
          <w:sz w:val="20"/>
          <w:szCs w:val="20"/>
          <w:lang w:val="es-ES"/>
        </w:rPr>
        <w:t xml:space="preserve"> “</w:t>
      </w:r>
      <w:r w:rsidR="006E3C14" w:rsidRPr="00D50D50">
        <w:rPr>
          <w:rFonts w:asciiTheme="majorHAnsi" w:hAnsiTheme="majorHAnsi"/>
          <w:sz w:val="20"/>
          <w:szCs w:val="20"/>
          <w:lang w:val="es-ES"/>
        </w:rPr>
        <w:t>o</w:t>
      </w:r>
      <w:r w:rsidR="00162DDE" w:rsidRPr="00D50D50">
        <w:rPr>
          <w:rFonts w:asciiTheme="majorHAnsi" w:hAnsiTheme="majorHAnsi"/>
          <w:sz w:val="20"/>
          <w:szCs w:val="20"/>
          <w:lang w:val="es-ES"/>
        </w:rPr>
        <w:t xml:space="preserve">ctubre </w:t>
      </w:r>
      <w:r w:rsidR="006E3C14" w:rsidRPr="00D50D50">
        <w:rPr>
          <w:rFonts w:asciiTheme="majorHAnsi" w:hAnsiTheme="majorHAnsi"/>
          <w:sz w:val="20"/>
          <w:szCs w:val="20"/>
          <w:lang w:val="es-ES"/>
        </w:rPr>
        <w:t>n</w:t>
      </w:r>
      <w:r w:rsidR="00162DDE" w:rsidRPr="00D50D50">
        <w:rPr>
          <w:rFonts w:asciiTheme="majorHAnsi" w:hAnsiTheme="majorHAnsi"/>
          <w:sz w:val="20"/>
          <w:szCs w:val="20"/>
          <w:lang w:val="es-ES"/>
        </w:rPr>
        <w:t>egro” se produjeron bajo un poder público</w:t>
      </w:r>
      <w:r w:rsidR="006E3C14" w:rsidRPr="00D50D50">
        <w:rPr>
          <w:rFonts w:asciiTheme="majorHAnsi" w:hAnsiTheme="majorHAnsi"/>
          <w:sz w:val="20"/>
          <w:szCs w:val="20"/>
          <w:lang w:val="es-ES"/>
        </w:rPr>
        <w:t xml:space="preserve"> que</w:t>
      </w:r>
      <w:r w:rsidR="00162DDE" w:rsidRPr="00D50D50">
        <w:rPr>
          <w:rFonts w:asciiTheme="majorHAnsi" w:hAnsiTheme="majorHAnsi"/>
          <w:sz w:val="20"/>
          <w:szCs w:val="20"/>
          <w:lang w:val="es-ES"/>
        </w:rPr>
        <w:t xml:space="preserve"> se extralimitó en las restricciones </w:t>
      </w:r>
      <w:r w:rsidR="006E3C14" w:rsidRPr="00D50D50">
        <w:rPr>
          <w:rFonts w:asciiTheme="majorHAnsi" w:hAnsiTheme="majorHAnsi"/>
          <w:sz w:val="20"/>
          <w:szCs w:val="20"/>
          <w:lang w:val="es-ES"/>
        </w:rPr>
        <w:t xml:space="preserve">permitidas </w:t>
      </w:r>
      <w:r w:rsidR="00162DDE" w:rsidRPr="00D50D50">
        <w:rPr>
          <w:rFonts w:asciiTheme="majorHAnsi" w:hAnsiTheme="majorHAnsi"/>
          <w:sz w:val="20"/>
          <w:szCs w:val="20"/>
          <w:lang w:val="es-ES"/>
        </w:rPr>
        <w:t>a los derechos protegidos por la Convención Americana en situaciones de conflictos sociales</w:t>
      </w:r>
      <w:r w:rsidR="006E3C14" w:rsidRPr="00D50D50">
        <w:rPr>
          <w:rFonts w:asciiTheme="majorHAnsi" w:hAnsiTheme="majorHAnsi"/>
          <w:sz w:val="20"/>
          <w:szCs w:val="20"/>
          <w:lang w:val="es-ES"/>
        </w:rPr>
        <w:t>.</w:t>
      </w:r>
      <w:r w:rsidR="0085673C" w:rsidRPr="00D50D50">
        <w:rPr>
          <w:rFonts w:asciiTheme="majorHAnsi" w:hAnsiTheme="majorHAnsi"/>
          <w:sz w:val="20"/>
          <w:szCs w:val="20"/>
          <w:lang w:val="es-ES"/>
        </w:rPr>
        <w:t xml:space="preserve"> </w:t>
      </w:r>
      <w:r w:rsidR="006E3C14" w:rsidRPr="00D50D50">
        <w:rPr>
          <w:rFonts w:asciiTheme="majorHAnsi" w:hAnsiTheme="majorHAnsi"/>
          <w:sz w:val="20"/>
          <w:szCs w:val="20"/>
          <w:lang w:val="es-ES"/>
        </w:rPr>
        <w:t xml:space="preserve">Considera que lo anterior produjo una </w:t>
      </w:r>
      <w:r w:rsidR="00162DDE" w:rsidRPr="00D50D50">
        <w:rPr>
          <w:rFonts w:asciiTheme="majorHAnsi" w:hAnsiTheme="majorHAnsi"/>
          <w:sz w:val="20"/>
          <w:szCs w:val="20"/>
          <w:lang w:val="es-ES"/>
        </w:rPr>
        <w:t>grave afectación de los derechos humanos de la población civil</w:t>
      </w:r>
      <w:r w:rsidR="00D80DE5" w:rsidRPr="00D50D50">
        <w:rPr>
          <w:rFonts w:asciiTheme="majorHAnsi" w:hAnsiTheme="majorHAnsi"/>
          <w:sz w:val="20"/>
          <w:szCs w:val="20"/>
          <w:lang w:val="es-ES"/>
        </w:rPr>
        <w:t>, considerad</w:t>
      </w:r>
      <w:r w:rsidRPr="00D50D50">
        <w:rPr>
          <w:rFonts w:asciiTheme="majorHAnsi" w:hAnsiTheme="majorHAnsi"/>
          <w:sz w:val="20"/>
          <w:szCs w:val="20"/>
          <w:lang w:val="es-ES"/>
        </w:rPr>
        <w:t>a</w:t>
      </w:r>
      <w:r w:rsidR="00D80DE5" w:rsidRPr="00D50D50">
        <w:rPr>
          <w:rFonts w:asciiTheme="majorHAnsi" w:hAnsiTheme="majorHAnsi"/>
          <w:sz w:val="20"/>
          <w:szCs w:val="20"/>
          <w:lang w:val="es-ES"/>
        </w:rPr>
        <w:t xml:space="preserve">s </w:t>
      </w:r>
      <w:r w:rsidRPr="00D50D50">
        <w:rPr>
          <w:rFonts w:asciiTheme="majorHAnsi" w:hAnsiTheme="majorHAnsi"/>
          <w:sz w:val="20"/>
          <w:szCs w:val="20"/>
          <w:lang w:val="es-ES"/>
        </w:rPr>
        <w:t xml:space="preserve">como de </w:t>
      </w:r>
      <w:r w:rsidR="00D80DE5" w:rsidRPr="00D50D50">
        <w:rPr>
          <w:rFonts w:asciiTheme="majorHAnsi" w:hAnsiTheme="majorHAnsi"/>
          <w:sz w:val="20"/>
          <w:szCs w:val="20"/>
          <w:lang w:val="es-ES"/>
        </w:rPr>
        <w:t>delitos de lesa humanidad</w:t>
      </w:r>
      <w:r w:rsidR="00162DDE" w:rsidRPr="00D50D50">
        <w:rPr>
          <w:rFonts w:asciiTheme="majorHAnsi" w:hAnsiTheme="majorHAnsi"/>
          <w:sz w:val="20"/>
          <w:szCs w:val="20"/>
          <w:lang w:val="es-ES"/>
        </w:rPr>
        <w:t>,</w:t>
      </w:r>
      <w:r w:rsidR="00D80DE5" w:rsidRPr="00D50D50">
        <w:rPr>
          <w:rFonts w:asciiTheme="majorHAnsi" w:hAnsiTheme="majorHAnsi"/>
          <w:sz w:val="20"/>
          <w:szCs w:val="20"/>
          <w:lang w:val="es-ES"/>
        </w:rPr>
        <w:t xml:space="preserve"> por los </w:t>
      </w:r>
      <w:r w:rsidR="006E3C14" w:rsidRPr="00D50D50">
        <w:rPr>
          <w:rFonts w:asciiTheme="majorHAnsi" w:hAnsiTheme="majorHAnsi"/>
          <w:sz w:val="20"/>
          <w:szCs w:val="20"/>
          <w:lang w:val="es-ES"/>
        </w:rPr>
        <w:t>que</w:t>
      </w:r>
      <w:r w:rsidR="00D80DE5" w:rsidRPr="00D50D50">
        <w:rPr>
          <w:rFonts w:asciiTheme="majorHAnsi" w:hAnsiTheme="majorHAnsi"/>
          <w:sz w:val="20"/>
          <w:szCs w:val="20"/>
          <w:lang w:val="es-ES"/>
        </w:rPr>
        <w:t xml:space="preserve"> se</w:t>
      </w:r>
      <w:r w:rsidR="0085673C" w:rsidRPr="00D50D50">
        <w:rPr>
          <w:rFonts w:asciiTheme="majorHAnsi" w:hAnsiTheme="majorHAnsi"/>
          <w:sz w:val="20"/>
          <w:szCs w:val="20"/>
          <w:lang w:val="es-ES"/>
        </w:rPr>
        <w:t xml:space="preserve"> </w:t>
      </w:r>
      <w:r w:rsidR="006E3C14" w:rsidRPr="00D50D50">
        <w:rPr>
          <w:rFonts w:asciiTheme="majorHAnsi" w:hAnsiTheme="majorHAnsi"/>
          <w:sz w:val="20"/>
          <w:szCs w:val="20"/>
          <w:lang w:val="es-ES"/>
        </w:rPr>
        <w:t xml:space="preserve">abrió </w:t>
      </w:r>
      <w:r w:rsidR="00162DDE" w:rsidRPr="00D50D50">
        <w:rPr>
          <w:rFonts w:asciiTheme="majorHAnsi" w:hAnsiTheme="majorHAnsi"/>
          <w:sz w:val="20"/>
          <w:szCs w:val="20"/>
          <w:lang w:val="es-ES"/>
        </w:rPr>
        <w:t xml:space="preserve">una investigación penal. </w:t>
      </w:r>
      <w:r w:rsidRPr="00D50D50">
        <w:rPr>
          <w:rFonts w:asciiTheme="majorHAnsi" w:hAnsiTheme="majorHAnsi"/>
          <w:sz w:val="20"/>
          <w:szCs w:val="20"/>
          <w:lang w:val="es-ES"/>
        </w:rPr>
        <w:t xml:space="preserve">Además, </w:t>
      </w:r>
      <w:r w:rsidR="006E3C14" w:rsidRPr="00D50D50">
        <w:rPr>
          <w:rFonts w:asciiTheme="majorHAnsi" w:hAnsiTheme="majorHAnsi"/>
          <w:sz w:val="20"/>
          <w:szCs w:val="20"/>
          <w:lang w:val="es-ES"/>
        </w:rPr>
        <w:t xml:space="preserve">destaca que </w:t>
      </w:r>
      <w:r w:rsidRPr="00D50D50">
        <w:rPr>
          <w:rFonts w:asciiTheme="majorHAnsi" w:hAnsiTheme="majorHAnsi"/>
          <w:sz w:val="20"/>
          <w:szCs w:val="20"/>
          <w:lang w:val="es-ES"/>
        </w:rPr>
        <w:t>l</w:t>
      </w:r>
      <w:r w:rsidR="00D80DE5" w:rsidRPr="00D50D50">
        <w:rPr>
          <w:rFonts w:asciiTheme="majorHAnsi" w:hAnsiTheme="majorHAnsi"/>
          <w:sz w:val="20"/>
          <w:szCs w:val="20"/>
          <w:lang w:val="es-ES"/>
        </w:rPr>
        <w:t>as presunta</w:t>
      </w:r>
      <w:r w:rsidR="00F52FCD" w:rsidRPr="00D50D50">
        <w:rPr>
          <w:rFonts w:asciiTheme="majorHAnsi" w:hAnsiTheme="majorHAnsi"/>
          <w:sz w:val="20"/>
          <w:szCs w:val="20"/>
          <w:lang w:val="es-ES"/>
        </w:rPr>
        <w:t>s</w:t>
      </w:r>
      <w:r w:rsidR="00D80DE5" w:rsidRPr="00D50D50">
        <w:rPr>
          <w:rFonts w:asciiTheme="majorHAnsi" w:hAnsiTheme="majorHAnsi"/>
          <w:sz w:val="20"/>
          <w:szCs w:val="20"/>
          <w:lang w:val="es-ES"/>
        </w:rPr>
        <w:t xml:space="preserve"> víctimas </w:t>
      </w:r>
      <w:r w:rsidR="00BE76B1" w:rsidRPr="00D50D50">
        <w:rPr>
          <w:rFonts w:asciiTheme="majorHAnsi" w:hAnsiTheme="majorHAnsi"/>
          <w:sz w:val="20"/>
          <w:szCs w:val="20"/>
          <w:lang w:val="es-ES"/>
        </w:rPr>
        <w:t xml:space="preserve">formaban parte del Alto Mando Militar </w:t>
      </w:r>
      <w:r w:rsidR="006E3C14" w:rsidRPr="00D50D50">
        <w:rPr>
          <w:rFonts w:asciiTheme="majorHAnsi" w:hAnsiTheme="majorHAnsi"/>
          <w:sz w:val="20"/>
          <w:szCs w:val="20"/>
          <w:lang w:val="es-ES"/>
        </w:rPr>
        <w:t xml:space="preserve">que comandaba las </w:t>
      </w:r>
      <w:r w:rsidR="009B5519" w:rsidRPr="00D50D50">
        <w:rPr>
          <w:rFonts w:asciiTheme="majorHAnsi" w:hAnsiTheme="majorHAnsi"/>
          <w:sz w:val="20"/>
          <w:szCs w:val="20"/>
          <w:lang w:val="es-ES"/>
        </w:rPr>
        <w:t xml:space="preserve">fuerzas </w:t>
      </w:r>
      <w:r w:rsidR="00BE76B1" w:rsidRPr="00D50D50">
        <w:rPr>
          <w:rFonts w:asciiTheme="majorHAnsi" w:hAnsiTheme="majorHAnsi"/>
          <w:sz w:val="20"/>
          <w:szCs w:val="20"/>
          <w:lang w:val="es-ES"/>
        </w:rPr>
        <w:t>que actuaron contra de la población boliviana</w:t>
      </w:r>
      <w:r w:rsidR="006E3C14" w:rsidRPr="00D50D50">
        <w:rPr>
          <w:rFonts w:asciiTheme="majorHAnsi" w:hAnsiTheme="majorHAnsi"/>
          <w:sz w:val="20"/>
          <w:szCs w:val="20"/>
          <w:lang w:val="es-ES"/>
        </w:rPr>
        <w:t xml:space="preserve"> y </w:t>
      </w:r>
      <w:r w:rsidR="00BE76B1" w:rsidRPr="00D50D50">
        <w:rPr>
          <w:rFonts w:asciiTheme="majorHAnsi" w:hAnsiTheme="majorHAnsi"/>
          <w:sz w:val="20"/>
          <w:szCs w:val="20"/>
          <w:lang w:val="es-ES"/>
        </w:rPr>
        <w:t>dej</w:t>
      </w:r>
      <w:r w:rsidR="0085673C" w:rsidRPr="00D50D50">
        <w:rPr>
          <w:rFonts w:asciiTheme="majorHAnsi" w:hAnsiTheme="majorHAnsi"/>
          <w:sz w:val="20"/>
          <w:szCs w:val="20"/>
          <w:lang w:val="es-ES"/>
        </w:rPr>
        <w:t>a</w:t>
      </w:r>
      <w:r w:rsidR="006E3C14" w:rsidRPr="00D50D50">
        <w:rPr>
          <w:rFonts w:asciiTheme="majorHAnsi" w:hAnsiTheme="majorHAnsi"/>
          <w:sz w:val="20"/>
          <w:szCs w:val="20"/>
          <w:lang w:val="es-ES"/>
        </w:rPr>
        <w:t>ron</w:t>
      </w:r>
      <w:r w:rsidR="00BE76B1" w:rsidRPr="00D50D50">
        <w:rPr>
          <w:rFonts w:asciiTheme="majorHAnsi" w:hAnsiTheme="majorHAnsi"/>
          <w:sz w:val="20"/>
          <w:szCs w:val="20"/>
          <w:lang w:val="es-ES"/>
        </w:rPr>
        <w:t xml:space="preserve"> un saldo de 63 fallecidos y 432 heridos.</w:t>
      </w:r>
      <w:r w:rsidR="00BF5C07" w:rsidRPr="00D50D50">
        <w:rPr>
          <w:rFonts w:asciiTheme="majorHAnsi" w:hAnsiTheme="majorHAnsi"/>
          <w:sz w:val="20"/>
          <w:szCs w:val="20"/>
          <w:lang w:val="es-ES"/>
        </w:rPr>
        <w:t xml:space="preserve"> </w:t>
      </w:r>
      <w:r w:rsidR="00A76641" w:rsidRPr="00D50D50">
        <w:rPr>
          <w:rFonts w:asciiTheme="majorHAnsi" w:hAnsiTheme="majorHAnsi"/>
          <w:sz w:val="20"/>
          <w:szCs w:val="20"/>
          <w:lang w:val="es-ES"/>
        </w:rPr>
        <w:t xml:space="preserve">El </w:t>
      </w:r>
      <w:r w:rsidR="00BF5C07" w:rsidRPr="00D50D50">
        <w:rPr>
          <w:rFonts w:asciiTheme="majorHAnsi" w:hAnsiTheme="majorHAnsi"/>
          <w:sz w:val="20"/>
          <w:szCs w:val="20"/>
          <w:lang w:val="es-ES"/>
        </w:rPr>
        <w:t xml:space="preserve">Estado </w:t>
      </w:r>
      <w:r w:rsidR="00A76641" w:rsidRPr="00D50D50">
        <w:rPr>
          <w:rFonts w:asciiTheme="majorHAnsi" w:hAnsiTheme="majorHAnsi"/>
          <w:sz w:val="20"/>
          <w:szCs w:val="20"/>
          <w:lang w:val="es-ES"/>
        </w:rPr>
        <w:t xml:space="preserve">manifiesta </w:t>
      </w:r>
      <w:r w:rsidR="00BF5C07" w:rsidRPr="00D50D50">
        <w:rPr>
          <w:rFonts w:asciiTheme="majorHAnsi" w:hAnsiTheme="majorHAnsi"/>
          <w:sz w:val="20"/>
          <w:szCs w:val="20"/>
          <w:lang w:val="es-ES"/>
        </w:rPr>
        <w:t xml:space="preserve">que el </w:t>
      </w:r>
      <w:proofErr w:type="gramStart"/>
      <w:r w:rsidR="00A76641" w:rsidRPr="00D50D50">
        <w:rPr>
          <w:rFonts w:asciiTheme="majorHAnsi" w:hAnsiTheme="majorHAnsi"/>
          <w:sz w:val="20"/>
          <w:szCs w:val="20"/>
          <w:lang w:val="es-ES"/>
        </w:rPr>
        <w:t>e</w:t>
      </w:r>
      <w:r w:rsidR="002F67BA" w:rsidRPr="00D50D50">
        <w:rPr>
          <w:rFonts w:asciiTheme="majorHAnsi" w:hAnsiTheme="majorHAnsi"/>
          <w:sz w:val="20"/>
          <w:szCs w:val="20"/>
          <w:lang w:val="es-ES"/>
        </w:rPr>
        <w:t>x</w:t>
      </w:r>
      <w:r w:rsidR="00A76641" w:rsidRPr="00D50D50">
        <w:rPr>
          <w:rFonts w:asciiTheme="majorHAnsi" w:hAnsiTheme="majorHAnsi"/>
          <w:sz w:val="20"/>
          <w:szCs w:val="20"/>
          <w:lang w:val="es-ES"/>
        </w:rPr>
        <w:t xml:space="preserve"> P</w:t>
      </w:r>
      <w:r w:rsidR="002F67BA" w:rsidRPr="00D50D50">
        <w:rPr>
          <w:rFonts w:asciiTheme="majorHAnsi" w:hAnsiTheme="majorHAnsi"/>
          <w:sz w:val="20"/>
          <w:szCs w:val="20"/>
          <w:lang w:val="es-ES"/>
        </w:rPr>
        <w:t>residente</w:t>
      </w:r>
      <w:proofErr w:type="gramEnd"/>
      <w:r w:rsidR="00BF5C07" w:rsidRPr="00D50D50">
        <w:rPr>
          <w:rFonts w:asciiTheme="majorHAnsi" w:hAnsiTheme="majorHAnsi"/>
          <w:sz w:val="20"/>
          <w:szCs w:val="20"/>
          <w:lang w:val="es-ES"/>
        </w:rPr>
        <w:t xml:space="preserve"> Sánchez de Lozada no </w:t>
      </w:r>
      <w:r w:rsidR="00A76641" w:rsidRPr="00D50D50">
        <w:rPr>
          <w:rFonts w:asciiTheme="majorHAnsi" w:hAnsiTheme="majorHAnsi"/>
          <w:sz w:val="20"/>
          <w:szCs w:val="20"/>
          <w:lang w:val="es-ES"/>
        </w:rPr>
        <w:t xml:space="preserve">logró </w:t>
      </w:r>
      <w:r w:rsidR="00BF5C07" w:rsidRPr="00D50D50">
        <w:rPr>
          <w:rFonts w:asciiTheme="majorHAnsi" w:hAnsiTheme="majorHAnsi"/>
          <w:sz w:val="20"/>
          <w:szCs w:val="20"/>
          <w:lang w:val="es-ES"/>
        </w:rPr>
        <w:t xml:space="preserve">llegar a un </w:t>
      </w:r>
      <w:r w:rsidR="00BF5C07" w:rsidRPr="00D50D50">
        <w:rPr>
          <w:rFonts w:asciiTheme="majorHAnsi" w:hAnsiTheme="majorHAnsi"/>
          <w:sz w:val="20"/>
          <w:szCs w:val="20"/>
          <w:lang w:val="es-ES"/>
        </w:rPr>
        <w:lastRenderedPageBreak/>
        <w:t xml:space="preserve">acuerdo con los líderes de las protestas, </w:t>
      </w:r>
      <w:r w:rsidR="00A76641" w:rsidRPr="00D50D50">
        <w:rPr>
          <w:rFonts w:asciiTheme="majorHAnsi" w:hAnsiTheme="majorHAnsi"/>
          <w:sz w:val="20"/>
          <w:szCs w:val="20"/>
          <w:lang w:val="es-ES"/>
        </w:rPr>
        <w:t xml:space="preserve">por lo que </w:t>
      </w:r>
      <w:r w:rsidR="00BF5C07" w:rsidRPr="00D50D50">
        <w:rPr>
          <w:rFonts w:asciiTheme="majorHAnsi" w:hAnsiTheme="majorHAnsi"/>
          <w:sz w:val="20"/>
          <w:szCs w:val="20"/>
          <w:lang w:val="es-ES"/>
        </w:rPr>
        <w:t xml:space="preserve">el 20 de </w:t>
      </w:r>
      <w:r w:rsidR="002F67BA" w:rsidRPr="00D50D50">
        <w:rPr>
          <w:rFonts w:asciiTheme="majorHAnsi" w:hAnsiTheme="majorHAnsi"/>
          <w:sz w:val="20"/>
          <w:szCs w:val="20"/>
          <w:lang w:val="es-ES"/>
        </w:rPr>
        <w:t>septiembre</w:t>
      </w:r>
      <w:r w:rsidR="00BF5C07" w:rsidRPr="00D50D50">
        <w:rPr>
          <w:rFonts w:asciiTheme="majorHAnsi" w:hAnsiTheme="majorHAnsi"/>
          <w:sz w:val="20"/>
          <w:szCs w:val="20"/>
          <w:lang w:val="es-ES"/>
        </w:rPr>
        <w:t xml:space="preserve"> de 2003</w:t>
      </w:r>
      <w:r w:rsidR="00A76641" w:rsidRPr="00D50D50">
        <w:rPr>
          <w:rFonts w:asciiTheme="majorHAnsi" w:hAnsiTheme="majorHAnsi"/>
          <w:sz w:val="20"/>
          <w:szCs w:val="20"/>
          <w:lang w:val="es-ES"/>
        </w:rPr>
        <w:t xml:space="preserve"> emitió </w:t>
      </w:r>
      <w:r w:rsidR="00BF5C07" w:rsidRPr="00D50D50">
        <w:rPr>
          <w:rFonts w:asciiTheme="majorHAnsi" w:hAnsiTheme="majorHAnsi"/>
          <w:sz w:val="20"/>
          <w:szCs w:val="20"/>
          <w:lang w:val="es-ES"/>
        </w:rPr>
        <w:t xml:space="preserve">una </w:t>
      </w:r>
      <w:r w:rsidR="00A76641" w:rsidRPr="00D50D50">
        <w:rPr>
          <w:rFonts w:asciiTheme="majorHAnsi" w:hAnsiTheme="majorHAnsi"/>
          <w:sz w:val="20"/>
          <w:szCs w:val="20"/>
          <w:lang w:val="es-ES"/>
        </w:rPr>
        <w:t>orden p</w:t>
      </w:r>
      <w:r w:rsidR="00BF5C07" w:rsidRPr="00D50D50">
        <w:rPr>
          <w:rFonts w:asciiTheme="majorHAnsi" w:hAnsiTheme="majorHAnsi"/>
          <w:sz w:val="20"/>
          <w:szCs w:val="20"/>
          <w:lang w:val="es-ES"/>
        </w:rPr>
        <w:t xml:space="preserve">residencial </w:t>
      </w:r>
      <w:r w:rsidR="00A76641" w:rsidRPr="00D50D50">
        <w:rPr>
          <w:rFonts w:asciiTheme="majorHAnsi" w:hAnsiTheme="majorHAnsi"/>
          <w:sz w:val="20"/>
          <w:szCs w:val="20"/>
          <w:lang w:val="es-ES"/>
        </w:rPr>
        <w:t xml:space="preserve">para que se realizaran operaciones de defensa dentro del territorio, que </w:t>
      </w:r>
      <w:r w:rsidR="00BF5C07" w:rsidRPr="00D50D50">
        <w:rPr>
          <w:rFonts w:asciiTheme="majorHAnsi" w:hAnsiTheme="majorHAnsi"/>
          <w:sz w:val="20"/>
          <w:szCs w:val="20"/>
          <w:lang w:val="es-ES"/>
        </w:rPr>
        <w:t xml:space="preserve">el </w:t>
      </w:r>
      <w:r w:rsidR="00A76641" w:rsidRPr="00D50D50">
        <w:rPr>
          <w:rFonts w:asciiTheme="majorHAnsi" w:hAnsiTheme="majorHAnsi"/>
          <w:sz w:val="20"/>
          <w:szCs w:val="20"/>
          <w:lang w:val="es-ES"/>
        </w:rPr>
        <w:t xml:space="preserve">señor </w:t>
      </w:r>
      <w:proofErr w:type="spellStart"/>
      <w:r w:rsidR="00BF5C07" w:rsidRPr="00D50D50">
        <w:rPr>
          <w:rFonts w:asciiTheme="majorHAnsi" w:hAnsiTheme="majorHAnsi"/>
          <w:sz w:val="20"/>
          <w:szCs w:val="20"/>
          <w:lang w:val="es-ES"/>
        </w:rPr>
        <w:t>Rocabado</w:t>
      </w:r>
      <w:proofErr w:type="spellEnd"/>
      <w:r w:rsidR="00BF5C07" w:rsidRPr="00D50D50">
        <w:rPr>
          <w:rFonts w:asciiTheme="majorHAnsi" w:hAnsiTheme="majorHAnsi"/>
          <w:sz w:val="20"/>
          <w:szCs w:val="20"/>
          <w:lang w:val="es-ES"/>
        </w:rPr>
        <w:t xml:space="preserve"> Mercado </w:t>
      </w:r>
      <w:r w:rsidR="00A76641" w:rsidRPr="00D50D50">
        <w:rPr>
          <w:rFonts w:asciiTheme="majorHAnsi" w:hAnsiTheme="majorHAnsi"/>
          <w:sz w:val="20"/>
          <w:szCs w:val="20"/>
          <w:lang w:val="es-ES"/>
        </w:rPr>
        <w:t xml:space="preserve">transmitió a </w:t>
      </w:r>
      <w:r w:rsidR="00BF5C07" w:rsidRPr="00D50D50">
        <w:rPr>
          <w:rFonts w:asciiTheme="majorHAnsi" w:hAnsiTheme="majorHAnsi"/>
          <w:sz w:val="20"/>
          <w:szCs w:val="20"/>
          <w:lang w:val="es-ES"/>
        </w:rPr>
        <w:t>las Fuerzas Armadas</w:t>
      </w:r>
      <w:r w:rsidR="00A76641" w:rsidRPr="00D50D50">
        <w:rPr>
          <w:rFonts w:asciiTheme="majorHAnsi" w:hAnsiTheme="majorHAnsi"/>
          <w:sz w:val="20"/>
          <w:szCs w:val="20"/>
          <w:lang w:val="es-ES"/>
        </w:rPr>
        <w:t xml:space="preserve"> mediante </w:t>
      </w:r>
      <w:r w:rsidR="00BF5C07" w:rsidRPr="00D50D50">
        <w:rPr>
          <w:rFonts w:asciiTheme="majorHAnsi" w:hAnsiTheme="majorHAnsi"/>
          <w:sz w:val="20"/>
          <w:szCs w:val="20"/>
          <w:lang w:val="es-ES"/>
        </w:rPr>
        <w:t>la Directiva General N</w:t>
      </w:r>
      <w:r w:rsidR="00A76641" w:rsidRPr="00D50D50">
        <w:rPr>
          <w:rFonts w:asciiTheme="majorHAnsi" w:hAnsiTheme="majorHAnsi"/>
          <w:sz w:val="20"/>
          <w:szCs w:val="20"/>
          <w:lang w:val="es-ES"/>
        </w:rPr>
        <w:t>o</w:t>
      </w:r>
      <w:r w:rsidR="00BF5C07" w:rsidRPr="00D50D50">
        <w:rPr>
          <w:rFonts w:asciiTheme="majorHAnsi" w:hAnsiTheme="majorHAnsi"/>
          <w:sz w:val="20"/>
          <w:szCs w:val="20"/>
          <w:lang w:val="es-ES"/>
        </w:rPr>
        <w:t>. 27/03.</w:t>
      </w:r>
    </w:p>
    <w:p w14:paraId="73A896D6" w14:textId="77777777" w:rsidR="00186A95" w:rsidRPr="00D50D50" w:rsidRDefault="00186A95" w:rsidP="006E3C1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4F873046" w14:textId="70B4469B" w:rsidR="00162DDE" w:rsidRPr="00D50D50" w:rsidRDefault="00A76641" w:rsidP="00FB76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El</w:t>
      </w:r>
      <w:r w:rsidR="00DC40A6" w:rsidRPr="00D50D50">
        <w:rPr>
          <w:rFonts w:asciiTheme="majorHAnsi" w:hAnsiTheme="majorHAnsi"/>
          <w:sz w:val="20"/>
          <w:szCs w:val="20"/>
          <w:lang w:val="es-ES"/>
        </w:rPr>
        <w:t xml:space="preserve"> </w:t>
      </w:r>
      <w:r w:rsidR="00722EC2" w:rsidRPr="00D50D50">
        <w:rPr>
          <w:rFonts w:asciiTheme="majorHAnsi" w:hAnsiTheme="majorHAnsi"/>
          <w:sz w:val="20"/>
          <w:szCs w:val="20"/>
          <w:lang w:val="es-ES"/>
        </w:rPr>
        <w:t>12 de octub</w:t>
      </w:r>
      <w:r w:rsidR="00DC40A6" w:rsidRPr="00D50D50">
        <w:rPr>
          <w:rFonts w:asciiTheme="majorHAnsi" w:hAnsiTheme="majorHAnsi"/>
          <w:sz w:val="20"/>
          <w:szCs w:val="20"/>
          <w:lang w:val="es-ES"/>
        </w:rPr>
        <w:t xml:space="preserve">re de 2003 el </w:t>
      </w:r>
      <w:proofErr w:type="gramStart"/>
      <w:r w:rsidRPr="00D50D50">
        <w:rPr>
          <w:rFonts w:asciiTheme="majorHAnsi" w:hAnsiTheme="majorHAnsi"/>
          <w:sz w:val="20"/>
          <w:szCs w:val="20"/>
          <w:lang w:val="es-ES"/>
        </w:rPr>
        <w:t>ex P</w:t>
      </w:r>
      <w:r w:rsidR="002F67BA" w:rsidRPr="00D50D50">
        <w:rPr>
          <w:rFonts w:asciiTheme="majorHAnsi" w:hAnsiTheme="majorHAnsi"/>
          <w:sz w:val="20"/>
          <w:szCs w:val="20"/>
          <w:lang w:val="es-ES"/>
        </w:rPr>
        <w:t>residente</w:t>
      </w:r>
      <w:proofErr w:type="gramEnd"/>
      <w:r w:rsidR="00722EC2" w:rsidRPr="00D50D50">
        <w:rPr>
          <w:rFonts w:asciiTheme="majorHAnsi" w:hAnsiTheme="majorHAnsi"/>
          <w:sz w:val="20"/>
          <w:szCs w:val="20"/>
          <w:lang w:val="es-ES"/>
        </w:rPr>
        <w:t xml:space="preserve"> </w:t>
      </w:r>
      <w:r w:rsidRPr="00D50D50">
        <w:rPr>
          <w:rFonts w:asciiTheme="majorHAnsi" w:hAnsiTheme="majorHAnsi"/>
          <w:sz w:val="20"/>
          <w:szCs w:val="20"/>
          <w:lang w:val="es-ES"/>
        </w:rPr>
        <w:t xml:space="preserve">Sánchez de Lozada </w:t>
      </w:r>
      <w:r w:rsidR="00722EC2" w:rsidRPr="00D50D50">
        <w:rPr>
          <w:rFonts w:asciiTheme="majorHAnsi" w:hAnsiTheme="majorHAnsi"/>
          <w:sz w:val="20"/>
          <w:szCs w:val="20"/>
          <w:lang w:val="es-ES"/>
        </w:rPr>
        <w:t xml:space="preserve">emitió </w:t>
      </w:r>
      <w:r w:rsidR="00DC40A6" w:rsidRPr="00D50D50">
        <w:rPr>
          <w:rFonts w:asciiTheme="majorHAnsi" w:hAnsiTheme="majorHAnsi"/>
          <w:sz w:val="20"/>
          <w:szCs w:val="20"/>
          <w:lang w:val="es-ES"/>
        </w:rPr>
        <w:t xml:space="preserve">otra </w:t>
      </w:r>
      <w:r w:rsidRPr="00D50D50">
        <w:rPr>
          <w:rFonts w:asciiTheme="majorHAnsi" w:hAnsiTheme="majorHAnsi"/>
          <w:sz w:val="20"/>
          <w:szCs w:val="20"/>
          <w:lang w:val="es-ES"/>
        </w:rPr>
        <w:t>orden p</w:t>
      </w:r>
      <w:r w:rsidR="00722EC2" w:rsidRPr="00D50D50">
        <w:rPr>
          <w:rFonts w:asciiTheme="majorHAnsi" w:hAnsiTheme="majorHAnsi"/>
          <w:sz w:val="20"/>
          <w:szCs w:val="20"/>
          <w:lang w:val="es-ES"/>
        </w:rPr>
        <w:t>r</w:t>
      </w:r>
      <w:r w:rsidR="00DC40A6" w:rsidRPr="00D50D50">
        <w:rPr>
          <w:rFonts w:asciiTheme="majorHAnsi" w:hAnsiTheme="majorHAnsi"/>
          <w:sz w:val="20"/>
          <w:szCs w:val="20"/>
          <w:lang w:val="es-ES"/>
        </w:rPr>
        <w:t xml:space="preserve">esidencial, </w:t>
      </w:r>
      <w:r w:rsidR="0068419D" w:rsidRPr="00D50D50">
        <w:rPr>
          <w:rFonts w:asciiTheme="majorHAnsi" w:hAnsiTheme="majorHAnsi"/>
          <w:sz w:val="20"/>
          <w:szCs w:val="20"/>
          <w:lang w:val="es-ES"/>
        </w:rPr>
        <w:t xml:space="preserve">por la </w:t>
      </w:r>
      <w:r w:rsidR="00DC40A6" w:rsidRPr="00D50D50">
        <w:rPr>
          <w:rFonts w:asciiTheme="majorHAnsi" w:hAnsiTheme="majorHAnsi"/>
          <w:sz w:val="20"/>
          <w:szCs w:val="20"/>
          <w:lang w:val="es-ES"/>
        </w:rPr>
        <w:t>que</w:t>
      </w:r>
      <w:r w:rsidR="00722EC2" w:rsidRPr="00D50D50">
        <w:rPr>
          <w:rFonts w:asciiTheme="majorHAnsi" w:hAnsiTheme="majorHAnsi"/>
          <w:sz w:val="20"/>
          <w:szCs w:val="20"/>
          <w:lang w:val="es-ES"/>
        </w:rPr>
        <w:t xml:space="preserve"> </w:t>
      </w:r>
      <w:r w:rsidR="0068419D" w:rsidRPr="00D50D50">
        <w:rPr>
          <w:rFonts w:asciiTheme="majorHAnsi" w:hAnsiTheme="majorHAnsi"/>
          <w:sz w:val="20"/>
          <w:szCs w:val="20"/>
          <w:lang w:val="es-ES"/>
        </w:rPr>
        <w:t xml:space="preserve">se </w:t>
      </w:r>
      <w:r w:rsidRPr="00D50D50">
        <w:rPr>
          <w:rFonts w:asciiTheme="majorHAnsi" w:hAnsiTheme="majorHAnsi"/>
          <w:sz w:val="20"/>
          <w:szCs w:val="20"/>
          <w:lang w:val="es-ES"/>
        </w:rPr>
        <w:t xml:space="preserve">autorizaba </w:t>
      </w:r>
      <w:r w:rsidR="0068419D" w:rsidRPr="00D50D50">
        <w:rPr>
          <w:rFonts w:asciiTheme="majorHAnsi" w:hAnsiTheme="majorHAnsi"/>
          <w:sz w:val="20"/>
          <w:szCs w:val="20"/>
          <w:lang w:val="es-ES"/>
        </w:rPr>
        <w:t xml:space="preserve">la realización de </w:t>
      </w:r>
      <w:r w:rsidRPr="00D50D50">
        <w:rPr>
          <w:rFonts w:asciiTheme="majorHAnsi" w:hAnsiTheme="majorHAnsi"/>
          <w:sz w:val="20"/>
          <w:szCs w:val="20"/>
          <w:lang w:val="es-ES"/>
        </w:rPr>
        <w:t xml:space="preserve">operaciones de defensa interna del territorio en la ciudad de El Alto y en el Altiplano, mediante la utilización de tanques y tanquetas de guerra para asegurar el traslado de combustible. El Estado señala que esta orden </w:t>
      </w:r>
      <w:r w:rsidR="00722EC2" w:rsidRPr="00D50D50">
        <w:rPr>
          <w:rFonts w:asciiTheme="majorHAnsi" w:hAnsiTheme="majorHAnsi"/>
          <w:sz w:val="20"/>
          <w:szCs w:val="20"/>
          <w:lang w:val="es-ES"/>
        </w:rPr>
        <w:t xml:space="preserve">fue transmitida </w:t>
      </w:r>
      <w:r w:rsidRPr="00D50D50">
        <w:rPr>
          <w:rFonts w:asciiTheme="majorHAnsi" w:hAnsiTheme="majorHAnsi"/>
          <w:sz w:val="20"/>
          <w:szCs w:val="20"/>
          <w:lang w:val="es-ES"/>
        </w:rPr>
        <w:t xml:space="preserve">a las tres fuerzas militares </w:t>
      </w:r>
      <w:r w:rsidR="001E2F43" w:rsidRPr="00D50D50">
        <w:rPr>
          <w:rFonts w:asciiTheme="majorHAnsi" w:hAnsiTheme="majorHAnsi"/>
          <w:sz w:val="20"/>
          <w:szCs w:val="20"/>
          <w:lang w:val="es-ES"/>
        </w:rPr>
        <w:t>mediante la Directiva General N</w:t>
      </w:r>
      <w:r w:rsidRPr="00D50D50">
        <w:rPr>
          <w:rFonts w:asciiTheme="majorHAnsi" w:hAnsiTheme="majorHAnsi"/>
          <w:sz w:val="20"/>
          <w:szCs w:val="20"/>
          <w:lang w:val="es-ES"/>
        </w:rPr>
        <w:t>o</w:t>
      </w:r>
      <w:r w:rsidR="001E2F43" w:rsidRPr="00D50D50">
        <w:rPr>
          <w:rFonts w:asciiTheme="majorHAnsi" w:hAnsiTheme="majorHAnsi"/>
          <w:sz w:val="20"/>
          <w:szCs w:val="20"/>
          <w:lang w:val="es-ES"/>
        </w:rPr>
        <w:t xml:space="preserve">. 34/03 </w:t>
      </w:r>
      <w:r w:rsidR="0068419D" w:rsidRPr="00D50D50">
        <w:rPr>
          <w:rFonts w:asciiTheme="majorHAnsi" w:hAnsiTheme="majorHAnsi"/>
          <w:sz w:val="20"/>
          <w:szCs w:val="20"/>
          <w:lang w:val="es-ES"/>
        </w:rPr>
        <w:t>d</w:t>
      </w:r>
      <w:r w:rsidR="00722EC2" w:rsidRPr="00D50D50">
        <w:rPr>
          <w:rFonts w:asciiTheme="majorHAnsi" w:hAnsiTheme="majorHAnsi"/>
          <w:sz w:val="20"/>
          <w:szCs w:val="20"/>
          <w:lang w:val="es-ES"/>
        </w:rPr>
        <w:t xml:space="preserve">el </w:t>
      </w:r>
      <w:proofErr w:type="gramStart"/>
      <w:r w:rsidR="00722EC2" w:rsidRPr="00D50D50">
        <w:rPr>
          <w:rFonts w:asciiTheme="majorHAnsi" w:hAnsiTheme="majorHAnsi"/>
          <w:sz w:val="20"/>
          <w:szCs w:val="20"/>
          <w:lang w:val="es-ES"/>
        </w:rPr>
        <w:t>ex Comandante</w:t>
      </w:r>
      <w:proofErr w:type="gramEnd"/>
      <w:r w:rsidR="00722EC2" w:rsidRPr="00D50D50">
        <w:rPr>
          <w:rFonts w:asciiTheme="majorHAnsi" w:hAnsiTheme="majorHAnsi"/>
          <w:sz w:val="20"/>
          <w:szCs w:val="20"/>
          <w:lang w:val="es-ES"/>
        </w:rPr>
        <w:t xml:space="preserve"> en Je</w:t>
      </w:r>
      <w:r w:rsidR="00DC40A6" w:rsidRPr="00D50D50">
        <w:rPr>
          <w:rFonts w:asciiTheme="majorHAnsi" w:hAnsiTheme="majorHAnsi"/>
          <w:sz w:val="20"/>
          <w:szCs w:val="20"/>
          <w:lang w:val="es-ES"/>
        </w:rPr>
        <w:t>fe de la</w:t>
      </w:r>
      <w:r w:rsidRPr="00D50D50">
        <w:rPr>
          <w:rFonts w:asciiTheme="majorHAnsi" w:hAnsiTheme="majorHAnsi"/>
          <w:sz w:val="20"/>
          <w:szCs w:val="20"/>
          <w:lang w:val="es-ES"/>
        </w:rPr>
        <w:t>s</w:t>
      </w:r>
      <w:r w:rsidR="00DC40A6" w:rsidRPr="00D50D50">
        <w:rPr>
          <w:rFonts w:asciiTheme="majorHAnsi" w:hAnsiTheme="majorHAnsi"/>
          <w:sz w:val="20"/>
          <w:szCs w:val="20"/>
          <w:lang w:val="es-ES"/>
        </w:rPr>
        <w:t xml:space="preserve"> Fuerza</w:t>
      </w:r>
      <w:r w:rsidRPr="00D50D50">
        <w:rPr>
          <w:rFonts w:asciiTheme="majorHAnsi" w:hAnsiTheme="majorHAnsi"/>
          <w:sz w:val="20"/>
          <w:szCs w:val="20"/>
          <w:lang w:val="es-ES"/>
        </w:rPr>
        <w:t>s</w:t>
      </w:r>
      <w:r w:rsidR="00DC40A6" w:rsidRPr="00D50D50">
        <w:rPr>
          <w:rFonts w:asciiTheme="majorHAnsi" w:hAnsiTheme="majorHAnsi"/>
          <w:sz w:val="20"/>
          <w:szCs w:val="20"/>
          <w:lang w:val="es-ES"/>
        </w:rPr>
        <w:t xml:space="preserve"> Armadas</w:t>
      </w:r>
      <w:r w:rsidRPr="00D50D50">
        <w:rPr>
          <w:rFonts w:asciiTheme="majorHAnsi" w:hAnsiTheme="majorHAnsi"/>
          <w:sz w:val="20"/>
          <w:szCs w:val="20"/>
          <w:lang w:val="es-ES"/>
        </w:rPr>
        <w:t>, General</w:t>
      </w:r>
      <w:r w:rsidR="00722EC2" w:rsidRPr="00D50D50">
        <w:rPr>
          <w:rFonts w:asciiTheme="majorHAnsi" w:hAnsiTheme="majorHAnsi"/>
          <w:sz w:val="20"/>
          <w:szCs w:val="20"/>
          <w:lang w:val="es-ES"/>
        </w:rPr>
        <w:t xml:space="preserve"> Claros Flores</w:t>
      </w:r>
      <w:r w:rsidR="001E2F43" w:rsidRPr="00D50D50">
        <w:rPr>
          <w:rFonts w:asciiTheme="majorHAnsi" w:hAnsiTheme="majorHAnsi"/>
          <w:sz w:val="20"/>
          <w:szCs w:val="20"/>
          <w:lang w:val="es-ES"/>
        </w:rPr>
        <w:t xml:space="preserve">. </w:t>
      </w:r>
      <w:r w:rsidR="00F176A3" w:rsidRPr="00D50D50">
        <w:rPr>
          <w:rFonts w:asciiTheme="majorHAnsi" w:hAnsiTheme="majorHAnsi"/>
          <w:sz w:val="20"/>
          <w:szCs w:val="20"/>
          <w:lang w:val="es-ES"/>
        </w:rPr>
        <w:t xml:space="preserve">El </w:t>
      </w:r>
      <w:r w:rsidR="0068419D" w:rsidRPr="00D50D50">
        <w:rPr>
          <w:rFonts w:asciiTheme="majorHAnsi" w:hAnsiTheme="majorHAnsi"/>
          <w:sz w:val="20"/>
          <w:szCs w:val="20"/>
          <w:lang w:val="es-ES"/>
        </w:rPr>
        <w:t xml:space="preserve">Comandante del Ejército </w:t>
      </w:r>
      <w:r w:rsidR="00F176A3" w:rsidRPr="00D50D50">
        <w:rPr>
          <w:rFonts w:asciiTheme="majorHAnsi" w:hAnsiTheme="majorHAnsi"/>
          <w:sz w:val="20"/>
          <w:szCs w:val="20"/>
          <w:lang w:val="es-ES"/>
        </w:rPr>
        <w:t xml:space="preserve">General </w:t>
      </w:r>
      <w:r w:rsidR="0068419D" w:rsidRPr="00D50D50">
        <w:rPr>
          <w:rFonts w:asciiTheme="majorHAnsi" w:hAnsiTheme="majorHAnsi"/>
          <w:sz w:val="20"/>
          <w:szCs w:val="20"/>
          <w:lang w:val="es-ES"/>
        </w:rPr>
        <w:t>Véliz</w:t>
      </w:r>
      <w:r w:rsidR="00F176A3" w:rsidRPr="00D50D50">
        <w:rPr>
          <w:rFonts w:asciiTheme="majorHAnsi" w:hAnsiTheme="majorHAnsi"/>
          <w:sz w:val="20"/>
          <w:szCs w:val="20"/>
          <w:lang w:val="es-ES"/>
        </w:rPr>
        <w:t xml:space="preserve"> Herrera instruyó a los </w:t>
      </w:r>
      <w:r w:rsidR="0068419D" w:rsidRPr="00D50D50">
        <w:rPr>
          <w:rFonts w:asciiTheme="majorHAnsi" w:hAnsiTheme="majorHAnsi"/>
          <w:sz w:val="20"/>
          <w:szCs w:val="20"/>
          <w:lang w:val="es-ES"/>
        </w:rPr>
        <w:t xml:space="preserve">integrantes </w:t>
      </w:r>
      <w:r w:rsidR="00F176A3" w:rsidRPr="00D50D50">
        <w:rPr>
          <w:rFonts w:asciiTheme="majorHAnsi" w:hAnsiTheme="majorHAnsi"/>
          <w:sz w:val="20"/>
          <w:szCs w:val="20"/>
          <w:lang w:val="es-ES"/>
        </w:rPr>
        <w:t xml:space="preserve">de la Fuerza de Tarea Conjunta </w:t>
      </w:r>
      <w:r w:rsidR="0068419D" w:rsidRPr="00D50D50">
        <w:rPr>
          <w:rFonts w:asciiTheme="majorHAnsi" w:hAnsiTheme="majorHAnsi"/>
          <w:sz w:val="20"/>
          <w:szCs w:val="20"/>
          <w:lang w:val="es-ES"/>
        </w:rPr>
        <w:t xml:space="preserve">que </w:t>
      </w:r>
      <w:r w:rsidR="00F176A3" w:rsidRPr="00D50D50">
        <w:rPr>
          <w:rFonts w:asciiTheme="majorHAnsi" w:hAnsiTheme="majorHAnsi"/>
          <w:sz w:val="20"/>
          <w:szCs w:val="20"/>
          <w:lang w:val="es-ES"/>
        </w:rPr>
        <w:t>cubri</w:t>
      </w:r>
      <w:r w:rsidR="0068419D" w:rsidRPr="00D50D50">
        <w:rPr>
          <w:rFonts w:asciiTheme="majorHAnsi" w:hAnsiTheme="majorHAnsi"/>
          <w:sz w:val="20"/>
          <w:szCs w:val="20"/>
          <w:lang w:val="es-ES"/>
        </w:rPr>
        <w:t>e</w:t>
      </w:r>
      <w:r w:rsidR="00F176A3" w:rsidRPr="00D50D50">
        <w:rPr>
          <w:rFonts w:asciiTheme="majorHAnsi" w:hAnsiTheme="majorHAnsi"/>
          <w:sz w:val="20"/>
          <w:szCs w:val="20"/>
          <w:lang w:val="es-ES"/>
        </w:rPr>
        <w:t>r</w:t>
      </w:r>
      <w:r w:rsidR="0068419D" w:rsidRPr="00D50D50">
        <w:rPr>
          <w:rFonts w:asciiTheme="majorHAnsi" w:hAnsiTheme="majorHAnsi"/>
          <w:sz w:val="20"/>
          <w:szCs w:val="20"/>
          <w:lang w:val="es-ES"/>
        </w:rPr>
        <w:t>an</w:t>
      </w:r>
      <w:r w:rsidR="00F176A3" w:rsidRPr="00D50D50">
        <w:rPr>
          <w:rFonts w:asciiTheme="majorHAnsi" w:hAnsiTheme="majorHAnsi"/>
          <w:sz w:val="20"/>
          <w:szCs w:val="20"/>
          <w:lang w:val="es-ES"/>
        </w:rPr>
        <w:t xml:space="preserve"> el sector sur de la ciudad de La Paz para evitar el </w:t>
      </w:r>
      <w:r w:rsidR="00333384" w:rsidRPr="00D50D50">
        <w:rPr>
          <w:rFonts w:asciiTheme="majorHAnsi" w:hAnsiTheme="majorHAnsi"/>
          <w:sz w:val="20"/>
          <w:szCs w:val="20"/>
          <w:lang w:val="es-ES"/>
        </w:rPr>
        <w:t>ingreso de marchistas campesinos.</w:t>
      </w:r>
      <w:r w:rsidR="00043781" w:rsidRPr="00D50D50">
        <w:rPr>
          <w:rFonts w:asciiTheme="majorHAnsi" w:hAnsiTheme="majorHAnsi"/>
          <w:sz w:val="20"/>
          <w:szCs w:val="20"/>
          <w:lang w:val="es-ES"/>
        </w:rPr>
        <w:t xml:space="preserve"> De la misma manera, el </w:t>
      </w:r>
      <w:proofErr w:type="gramStart"/>
      <w:r w:rsidR="00043781" w:rsidRPr="00D50D50">
        <w:rPr>
          <w:rFonts w:asciiTheme="majorHAnsi" w:hAnsiTheme="majorHAnsi"/>
          <w:sz w:val="20"/>
          <w:szCs w:val="20"/>
          <w:lang w:val="es-ES"/>
        </w:rPr>
        <w:t>ex Comandante</w:t>
      </w:r>
      <w:proofErr w:type="gramEnd"/>
      <w:r w:rsidR="00043781" w:rsidRPr="00D50D50">
        <w:rPr>
          <w:rFonts w:asciiTheme="majorHAnsi" w:hAnsiTheme="majorHAnsi"/>
          <w:sz w:val="20"/>
          <w:szCs w:val="20"/>
          <w:lang w:val="es-ES"/>
        </w:rPr>
        <w:t xml:space="preserve"> en Jefe de las Fuerzas Armadas General Claros Flores manifestó públicamente que haría uso de los medios militares que fuesen necesarios para garantizar la seguridad de la población civil.</w:t>
      </w:r>
      <w:r w:rsidR="0068419D" w:rsidRPr="00D50D50">
        <w:rPr>
          <w:rFonts w:asciiTheme="majorHAnsi" w:hAnsiTheme="majorHAnsi"/>
          <w:sz w:val="20"/>
          <w:szCs w:val="20"/>
          <w:lang w:val="es-ES"/>
        </w:rPr>
        <w:t xml:space="preserve"> El Estado señala que estas operaciones resultaron en una gran cantidad de muertos y heridos.</w:t>
      </w:r>
    </w:p>
    <w:p w14:paraId="591B60B7" w14:textId="77777777" w:rsidR="00186A95" w:rsidRPr="00D50D50" w:rsidRDefault="00186A95" w:rsidP="007560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62E8BD38" w14:textId="6AA37AD3" w:rsidR="00EE5E03" w:rsidRPr="00D50D50" w:rsidRDefault="00EE5E03" w:rsidP="00FB76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Respecto al inicio</w:t>
      </w:r>
      <w:r w:rsidR="00DC40A6" w:rsidRPr="00D50D50">
        <w:rPr>
          <w:rFonts w:asciiTheme="majorHAnsi" w:hAnsiTheme="majorHAnsi"/>
          <w:sz w:val="20"/>
          <w:szCs w:val="20"/>
          <w:lang w:val="es-ES"/>
        </w:rPr>
        <w:t xml:space="preserve"> de las investigaciones penales</w:t>
      </w:r>
      <w:r w:rsidR="0085673C" w:rsidRPr="00D50D50">
        <w:rPr>
          <w:rFonts w:asciiTheme="majorHAnsi" w:hAnsiTheme="majorHAnsi"/>
          <w:sz w:val="20"/>
          <w:szCs w:val="20"/>
          <w:lang w:val="es-ES"/>
        </w:rPr>
        <w:t>,</w:t>
      </w:r>
      <w:r w:rsidR="007357D8" w:rsidRPr="00D50D50">
        <w:rPr>
          <w:rFonts w:asciiTheme="majorHAnsi" w:hAnsiTheme="majorHAnsi"/>
          <w:sz w:val="20"/>
          <w:szCs w:val="20"/>
          <w:lang w:val="es-ES"/>
        </w:rPr>
        <w:t xml:space="preserve"> el Estado </w:t>
      </w:r>
      <w:r w:rsidR="00DC40A6" w:rsidRPr="00D50D50">
        <w:rPr>
          <w:rFonts w:asciiTheme="majorHAnsi" w:hAnsiTheme="majorHAnsi"/>
          <w:sz w:val="20"/>
          <w:szCs w:val="20"/>
          <w:lang w:val="es-ES"/>
        </w:rPr>
        <w:t xml:space="preserve">aduce </w:t>
      </w:r>
      <w:r w:rsidR="007357D8" w:rsidRPr="00D50D50">
        <w:rPr>
          <w:rFonts w:asciiTheme="majorHAnsi" w:hAnsiTheme="majorHAnsi"/>
          <w:sz w:val="20"/>
          <w:szCs w:val="20"/>
          <w:lang w:val="es-ES"/>
        </w:rPr>
        <w:t xml:space="preserve">que </w:t>
      </w:r>
      <w:r w:rsidR="0075608E" w:rsidRPr="00D50D50">
        <w:rPr>
          <w:rFonts w:asciiTheme="majorHAnsi" w:hAnsiTheme="majorHAnsi"/>
          <w:sz w:val="20"/>
          <w:szCs w:val="20"/>
          <w:lang w:val="es-ES"/>
        </w:rPr>
        <w:t xml:space="preserve">el 10 de abril de 2006, </w:t>
      </w:r>
      <w:r w:rsidR="007357D8" w:rsidRPr="00D50D50">
        <w:rPr>
          <w:rFonts w:asciiTheme="majorHAnsi" w:hAnsiTheme="majorHAnsi"/>
          <w:sz w:val="20"/>
          <w:szCs w:val="20"/>
          <w:lang w:val="es-ES"/>
        </w:rPr>
        <w:t xml:space="preserve">una vez </w:t>
      </w:r>
      <w:r w:rsidR="0075608E" w:rsidRPr="00D50D50">
        <w:rPr>
          <w:rFonts w:asciiTheme="majorHAnsi" w:hAnsiTheme="majorHAnsi"/>
          <w:sz w:val="20"/>
          <w:szCs w:val="20"/>
          <w:lang w:val="es-ES"/>
        </w:rPr>
        <w:t xml:space="preserve">que se </w:t>
      </w:r>
      <w:r w:rsidRPr="00D50D50">
        <w:rPr>
          <w:rFonts w:asciiTheme="majorHAnsi" w:hAnsiTheme="majorHAnsi"/>
          <w:sz w:val="20"/>
          <w:szCs w:val="20"/>
          <w:lang w:val="es-ES"/>
        </w:rPr>
        <w:t>obt</w:t>
      </w:r>
      <w:r w:rsidR="0075608E" w:rsidRPr="00D50D50">
        <w:rPr>
          <w:rFonts w:asciiTheme="majorHAnsi" w:hAnsiTheme="majorHAnsi"/>
          <w:sz w:val="20"/>
          <w:szCs w:val="20"/>
          <w:lang w:val="es-ES"/>
        </w:rPr>
        <w:t xml:space="preserve">uvieron </w:t>
      </w:r>
      <w:r w:rsidRPr="00D50D50">
        <w:rPr>
          <w:rFonts w:asciiTheme="majorHAnsi" w:hAnsiTheme="majorHAnsi"/>
          <w:sz w:val="20"/>
          <w:szCs w:val="20"/>
          <w:lang w:val="es-ES"/>
        </w:rPr>
        <w:t>mayores elementos de convicción</w:t>
      </w:r>
      <w:r w:rsidR="0085673C" w:rsidRPr="00D50D50">
        <w:rPr>
          <w:rFonts w:asciiTheme="majorHAnsi" w:hAnsiTheme="majorHAnsi"/>
          <w:sz w:val="20"/>
          <w:szCs w:val="20"/>
          <w:lang w:val="es-ES"/>
        </w:rPr>
        <w:t>,</w:t>
      </w:r>
      <w:r w:rsidR="007357D8" w:rsidRPr="00D50D50">
        <w:rPr>
          <w:rFonts w:asciiTheme="majorHAnsi" w:hAnsiTheme="majorHAnsi"/>
          <w:sz w:val="20"/>
          <w:szCs w:val="20"/>
          <w:lang w:val="es-ES"/>
        </w:rPr>
        <w:t xml:space="preserve"> </w:t>
      </w:r>
      <w:r w:rsidRPr="00D50D50">
        <w:rPr>
          <w:rFonts w:asciiTheme="majorHAnsi" w:hAnsiTheme="majorHAnsi"/>
          <w:sz w:val="20"/>
          <w:szCs w:val="20"/>
          <w:lang w:val="es-ES"/>
        </w:rPr>
        <w:t>se imputaron cargos a l</w:t>
      </w:r>
      <w:r w:rsidR="00504327" w:rsidRPr="00D50D50">
        <w:rPr>
          <w:rFonts w:asciiTheme="majorHAnsi" w:hAnsiTheme="majorHAnsi"/>
          <w:sz w:val="20"/>
          <w:szCs w:val="20"/>
          <w:lang w:val="es-ES"/>
        </w:rPr>
        <w:t xml:space="preserve">as presuntas </w:t>
      </w:r>
      <w:r w:rsidR="002F67BA" w:rsidRPr="00D50D50">
        <w:rPr>
          <w:rFonts w:asciiTheme="majorHAnsi" w:hAnsiTheme="majorHAnsi"/>
          <w:sz w:val="20"/>
          <w:szCs w:val="20"/>
          <w:lang w:val="es-ES"/>
        </w:rPr>
        <w:t>víctimas</w:t>
      </w:r>
      <w:r w:rsidR="0075608E" w:rsidRPr="00D50D50">
        <w:rPr>
          <w:rFonts w:asciiTheme="majorHAnsi" w:hAnsiTheme="majorHAnsi"/>
          <w:sz w:val="20"/>
          <w:szCs w:val="20"/>
          <w:lang w:val="es-ES"/>
        </w:rPr>
        <w:t xml:space="preserve"> mediante el correspondiente r</w:t>
      </w:r>
      <w:r w:rsidR="007357D8" w:rsidRPr="00D50D50">
        <w:rPr>
          <w:rFonts w:asciiTheme="majorHAnsi" w:hAnsiTheme="majorHAnsi"/>
          <w:sz w:val="20"/>
          <w:szCs w:val="20"/>
          <w:lang w:val="es-ES"/>
        </w:rPr>
        <w:t xml:space="preserve">equerimiento </w:t>
      </w:r>
      <w:r w:rsidR="0075608E" w:rsidRPr="00D50D50">
        <w:rPr>
          <w:rFonts w:asciiTheme="majorHAnsi" w:hAnsiTheme="majorHAnsi"/>
          <w:sz w:val="20"/>
          <w:szCs w:val="20"/>
          <w:lang w:val="es-ES"/>
        </w:rPr>
        <w:t>a</w:t>
      </w:r>
      <w:r w:rsidR="007357D8" w:rsidRPr="00D50D50">
        <w:rPr>
          <w:rFonts w:asciiTheme="majorHAnsi" w:hAnsiTheme="majorHAnsi"/>
          <w:sz w:val="20"/>
          <w:szCs w:val="20"/>
          <w:lang w:val="es-ES"/>
        </w:rPr>
        <w:t>cu</w:t>
      </w:r>
      <w:r w:rsidR="008B4E41" w:rsidRPr="00D50D50">
        <w:rPr>
          <w:rFonts w:asciiTheme="majorHAnsi" w:hAnsiTheme="majorHAnsi"/>
          <w:sz w:val="20"/>
          <w:szCs w:val="20"/>
          <w:lang w:val="es-ES"/>
        </w:rPr>
        <w:t>satorio</w:t>
      </w:r>
      <w:r w:rsidR="007357D8" w:rsidRPr="00D50D50">
        <w:rPr>
          <w:rFonts w:asciiTheme="majorHAnsi" w:hAnsiTheme="majorHAnsi"/>
          <w:sz w:val="20"/>
          <w:szCs w:val="20"/>
          <w:lang w:val="es-ES"/>
        </w:rPr>
        <w:t>.</w:t>
      </w:r>
      <w:r w:rsidR="008B4E41" w:rsidRPr="00D50D50">
        <w:rPr>
          <w:rFonts w:asciiTheme="majorHAnsi" w:hAnsiTheme="majorHAnsi"/>
          <w:sz w:val="20"/>
          <w:szCs w:val="20"/>
          <w:lang w:val="es-ES"/>
        </w:rPr>
        <w:t xml:space="preserve"> E</w:t>
      </w:r>
      <w:r w:rsidR="0075608E" w:rsidRPr="00D50D50">
        <w:rPr>
          <w:rFonts w:asciiTheme="majorHAnsi" w:hAnsiTheme="majorHAnsi"/>
          <w:sz w:val="20"/>
          <w:szCs w:val="20"/>
          <w:lang w:val="es-ES"/>
        </w:rPr>
        <w:t>l</w:t>
      </w:r>
      <w:r w:rsidR="008B4E41" w:rsidRPr="00D50D50">
        <w:rPr>
          <w:rFonts w:asciiTheme="majorHAnsi" w:hAnsiTheme="majorHAnsi"/>
          <w:sz w:val="20"/>
          <w:szCs w:val="20"/>
          <w:lang w:val="es-ES"/>
        </w:rPr>
        <w:t xml:space="preserve"> 17 de </w:t>
      </w:r>
      <w:r w:rsidR="0075608E" w:rsidRPr="00D50D50">
        <w:rPr>
          <w:rFonts w:asciiTheme="majorHAnsi" w:hAnsiTheme="majorHAnsi"/>
          <w:sz w:val="20"/>
          <w:szCs w:val="20"/>
          <w:lang w:val="es-ES"/>
        </w:rPr>
        <w:t>o</w:t>
      </w:r>
      <w:r w:rsidR="008B4E41" w:rsidRPr="00D50D50">
        <w:rPr>
          <w:rFonts w:asciiTheme="majorHAnsi" w:hAnsiTheme="majorHAnsi"/>
          <w:sz w:val="20"/>
          <w:szCs w:val="20"/>
          <w:lang w:val="es-ES"/>
        </w:rPr>
        <w:t xml:space="preserve">ctubre de 2007 la Fiscalía General de la República </w:t>
      </w:r>
      <w:r w:rsidR="0075608E" w:rsidRPr="00D50D50">
        <w:rPr>
          <w:rFonts w:asciiTheme="majorHAnsi" w:hAnsiTheme="majorHAnsi"/>
          <w:sz w:val="20"/>
          <w:szCs w:val="20"/>
          <w:lang w:val="es-ES"/>
        </w:rPr>
        <w:t xml:space="preserve">acusó formalmente a las presuntas víctimas </w:t>
      </w:r>
      <w:r w:rsidR="008B4E41" w:rsidRPr="00D50D50">
        <w:rPr>
          <w:rFonts w:asciiTheme="majorHAnsi" w:hAnsiTheme="majorHAnsi"/>
          <w:sz w:val="20"/>
          <w:szCs w:val="20"/>
          <w:lang w:val="es-ES"/>
        </w:rPr>
        <w:t xml:space="preserve">por los delitos de </w:t>
      </w:r>
      <w:r w:rsidR="0075608E" w:rsidRPr="00D50D50">
        <w:rPr>
          <w:rFonts w:asciiTheme="majorHAnsi" w:hAnsiTheme="majorHAnsi"/>
          <w:sz w:val="20"/>
          <w:szCs w:val="20"/>
          <w:lang w:val="es-ES"/>
        </w:rPr>
        <w:t>g</w:t>
      </w:r>
      <w:r w:rsidR="008B4E41" w:rsidRPr="00D50D50">
        <w:rPr>
          <w:rFonts w:asciiTheme="majorHAnsi" w:hAnsiTheme="majorHAnsi"/>
          <w:sz w:val="20"/>
          <w:szCs w:val="20"/>
          <w:lang w:val="es-ES"/>
        </w:rPr>
        <w:t xml:space="preserve">enocidio en </w:t>
      </w:r>
      <w:r w:rsidR="0075608E" w:rsidRPr="00D50D50">
        <w:rPr>
          <w:rFonts w:asciiTheme="majorHAnsi" w:hAnsiTheme="majorHAnsi"/>
          <w:sz w:val="20"/>
          <w:szCs w:val="20"/>
          <w:lang w:val="es-ES"/>
        </w:rPr>
        <w:t>m</w:t>
      </w:r>
      <w:r w:rsidR="008B4E41" w:rsidRPr="00D50D50">
        <w:rPr>
          <w:rFonts w:asciiTheme="majorHAnsi" w:hAnsiTheme="majorHAnsi"/>
          <w:sz w:val="20"/>
          <w:szCs w:val="20"/>
          <w:lang w:val="es-ES"/>
        </w:rPr>
        <w:t>odalida</w:t>
      </w:r>
      <w:r w:rsidR="00DC40A6" w:rsidRPr="00D50D50">
        <w:rPr>
          <w:rFonts w:asciiTheme="majorHAnsi" w:hAnsiTheme="majorHAnsi"/>
          <w:sz w:val="20"/>
          <w:szCs w:val="20"/>
          <w:lang w:val="es-ES"/>
        </w:rPr>
        <w:t xml:space="preserve">d </w:t>
      </w:r>
      <w:r w:rsidR="0075608E" w:rsidRPr="00D50D50">
        <w:rPr>
          <w:rFonts w:asciiTheme="majorHAnsi" w:hAnsiTheme="majorHAnsi"/>
          <w:sz w:val="20"/>
          <w:szCs w:val="20"/>
          <w:lang w:val="es-ES"/>
        </w:rPr>
        <w:t>de m</w:t>
      </w:r>
      <w:r w:rsidR="00DC40A6" w:rsidRPr="00D50D50">
        <w:rPr>
          <w:rFonts w:asciiTheme="majorHAnsi" w:hAnsiTheme="majorHAnsi"/>
          <w:sz w:val="20"/>
          <w:szCs w:val="20"/>
          <w:lang w:val="es-ES"/>
        </w:rPr>
        <w:t xml:space="preserve">asacre </w:t>
      </w:r>
      <w:r w:rsidR="0075608E" w:rsidRPr="00D50D50">
        <w:rPr>
          <w:rFonts w:asciiTheme="majorHAnsi" w:hAnsiTheme="majorHAnsi"/>
          <w:sz w:val="20"/>
          <w:szCs w:val="20"/>
          <w:lang w:val="es-ES"/>
        </w:rPr>
        <w:t>s</w:t>
      </w:r>
      <w:r w:rsidR="00DC40A6" w:rsidRPr="00D50D50">
        <w:rPr>
          <w:rFonts w:asciiTheme="majorHAnsi" w:hAnsiTheme="majorHAnsi"/>
          <w:sz w:val="20"/>
          <w:szCs w:val="20"/>
          <w:lang w:val="es-ES"/>
        </w:rPr>
        <w:t>angrienta</w:t>
      </w:r>
      <w:r w:rsidR="0075608E" w:rsidRPr="00D50D50">
        <w:rPr>
          <w:rFonts w:asciiTheme="majorHAnsi" w:hAnsiTheme="majorHAnsi"/>
          <w:sz w:val="20"/>
          <w:szCs w:val="20"/>
          <w:lang w:val="es-ES"/>
        </w:rPr>
        <w:t>.</w:t>
      </w:r>
      <w:r w:rsidR="00DC40A6" w:rsidRPr="00D50D50">
        <w:rPr>
          <w:rFonts w:asciiTheme="majorHAnsi" w:hAnsiTheme="majorHAnsi"/>
          <w:sz w:val="20"/>
          <w:szCs w:val="20"/>
          <w:lang w:val="es-ES"/>
        </w:rPr>
        <w:t xml:space="preserve"> </w:t>
      </w:r>
      <w:r w:rsidR="0075608E" w:rsidRPr="00D50D50">
        <w:rPr>
          <w:rFonts w:asciiTheme="majorHAnsi" w:hAnsiTheme="majorHAnsi"/>
          <w:sz w:val="20"/>
          <w:szCs w:val="20"/>
          <w:lang w:val="es-ES"/>
        </w:rPr>
        <w:t>El</w:t>
      </w:r>
      <w:r w:rsidR="00683ADD" w:rsidRPr="00D50D50">
        <w:rPr>
          <w:rFonts w:asciiTheme="majorHAnsi" w:hAnsiTheme="majorHAnsi"/>
          <w:sz w:val="20"/>
          <w:szCs w:val="20"/>
          <w:lang w:val="es-ES"/>
        </w:rPr>
        <w:t xml:space="preserve"> 19 de f</w:t>
      </w:r>
      <w:r w:rsidR="008B4E41" w:rsidRPr="00D50D50">
        <w:rPr>
          <w:rFonts w:asciiTheme="majorHAnsi" w:hAnsiTheme="majorHAnsi"/>
          <w:sz w:val="20"/>
          <w:szCs w:val="20"/>
          <w:lang w:val="es-ES"/>
        </w:rPr>
        <w:t>ebrero de 2009 los representantes de las v</w:t>
      </w:r>
      <w:r w:rsidR="008D18E9" w:rsidRPr="00D50D50">
        <w:rPr>
          <w:rFonts w:asciiTheme="majorHAnsi" w:hAnsiTheme="majorHAnsi"/>
          <w:sz w:val="20"/>
          <w:szCs w:val="20"/>
          <w:lang w:val="es-ES"/>
        </w:rPr>
        <w:t>í</w:t>
      </w:r>
      <w:r w:rsidR="008B4E41" w:rsidRPr="00D50D50">
        <w:rPr>
          <w:rFonts w:asciiTheme="majorHAnsi" w:hAnsiTheme="majorHAnsi"/>
          <w:sz w:val="20"/>
          <w:szCs w:val="20"/>
          <w:lang w:val="es-ES"/>
        </w:rPr>
        <w:t xml:space="preserve">ctimas del </w:t>
      </w:r>
      <w:r w:rsidR="00DC40A6" w:rsidRPr="00D50D50">
        <w:rPr>
          <w:rFonts w:asciiTheme="majorHAnsi" w:hAnsiTheme="majorHAnsi"/>
          <w:sz w:val="20"/>
          <w:szCs w:val="20"/>
          <w:lang w:val="es-ES"/>
        </w:rPr>
        <w:t>“</w:t>
      </w:r>
      <w:r w:rsidR="0075608E" w:rsidRPr="00D50D50">
        <w:rPr>
          <w:rFonts w:asciiTheme="majorHAnsi" w:hAnsiTheme="majorHAnsi"/>
          <w:sz w:val="20"/>
          <w:szCs w:val="20"/>
          <w:lang w:val="es-ES"/>
        </w:rPr>
        <w:t>o</w:t>
      </w:r>
      <w:r w:rsidR="008B4E41" w:rsidRPr="00D50D50">
        <w:rPr>
          <w:rFonts w:asciiTheme="majorHAnsi" w:hAnsiTheme="majorHAnsi"/>
          <w:sz w:val="20"/>
          <w:szCs w:val="20"/>
          <w:lang w:val="es-ES"/>
        </w:rPr>
        <w:t xml:space="preserve">ctubre </w:t>
      </w:r>
      <w:r w:rsidR="0075608E" w:rsidRPr="00D50D50">
        <w:rPr>
          <w:rFonts w:asciiTheme="majorHAnsi" w:hAnsiTheme="majorHAnsi"/>
          <w:sz w:val="20"/>
          <w:szCs w:val="20"/>
          <w:lang w:val="es-ES"/>
        </w:rPr>
        <w:t>n</w:t>
      </w:r>
      <w:r w:rsidR="008B4E41" w:rsidRPr="00D50D50">
        <w:rPr>
          <w:rFonts w:asciiTheme="majorHAnsi" w:hAnsiTheme="majorHAnsi"/>
          <w:sz w:val="20"/>
          <w:szCs w:val="20"/>
          <w:lang w:val="es-ES"/>
        </w:rPr>
        <w:t>egro</w:t>
      </w:r>
      <w:r w:rsidR="00DC40A6" w:rsidRPr="00D50D50">
        <w:rPr>
          <w:rFonts w:asciiTheme="majorHAnsi" w:hAnsiTheme="majorHAnsi"/>
          <w:sz w:val="20"/>
          <w:szCs w:val="20"/>
          <w:lang w:val="es-ES"/>
        </w:rPr>
        <w:t>”</w:t>
      </w:r>
      <w:r w:rsidR="008B4E41" w:rsidRPr="00D50D50">
        <w:rPr>
          <w:rFonts w:asciiTheme="majorHAnsi" w:hAnsiTheme="majorHAnsi"/>
          <w:sz w:val="20"/>
          <w:szCs w:val="20"/>
          <w:lang w:val="es-ES"/>
        </w:rPr>
        <w:t xml:space="preserve"> solicitaron que el </w:t>
      </w:r>
      <w:r w:rsidR="0075608E" w:rsidRPr="00D50D50">
        <w:rPr>
          <w:rFonts w:asciiTheme="majorHAnsi" w:hAnsiTheme="majorHAnsi"/>
          <w:sz w:val="20"/>
          <w:szCs w:val="20"/>
          <w:lang w:val="es-ES"/>
        </w:rPr>
        <w:t>j</w:t>
      </w:r>
      <w:r w:rsidR="008B4E41" w:rsidRPr="00D50D50">
        <w:rPr>
          <w:rFonts w:asciiTheme="majorHAnsi" w:hAnsiTheme="majorHAnsi"/>
          <w:sz w:val="20"/>
          <w:szCs w:val="20"/>
          <w:lang w:val="es-ES"/>
        </w:rPr>
        <w:t xml:space="preserve">uicio de </w:t>
      </w:r>
      <w:r w:rsidR="0075608E" w:rsidRPr="00D50D50">
        <w:rPr>
          <w:rFonts w:asciiTheme="majorHAnsi" w:hAnsiTheme="majorHAnsi"/>
          <w:sz w:val="20"/>
          <w:szCs w:val="20"/>
          <w:lang w:val="es-ES"/>
        </w:rPr>
        <w:t>r</w:t>
      </w:r>
      <w:r w:rsidR="008B4E41" w:rsidRPr="00D50D50">
        <w:rPr>
          <w:rFonts w:asciiTheme="majorHAnsi" w:hAnsiTheme="majorHAnsi"/>
          <w:sz w:val="20"/>
          <w:szCs w:val="20"/>
          <w:lang w:val="es-ES"/>
        </w:rPr>
        <w:t xml:space="preserve">esponsabilidad se dividiera </w:t>
      </w:r>
      <w:r w:rsidR="0075608E" w:rsidRPr="00D50D50">
        <w:rPr>
          <w:rFonts w:asciiTheme="majorHAnsi" w:hAnsiTheme="majorHAnsi"/>
          <w:sz w:val="20"/>
          <w:szCs w:val="20"/>
          <w:lang w:val="es-ES"/>
        </w:rPr>
        <w:t xml:space="preserve">a fin de </w:t>
      </w:r>
      <w:r w:rsidR="008B4E41" w:rsidRPr="00D50D50">
        <w:rPr>
          <w:rFonts w:asciiTheme="majorHAnsi" w:hAnsiTheme="majorHAnsi"/>
          <w:sz w:val="20"/>
          <w:szCs w:val="20"/>
          <w:lang w:val="es-ES"/>
        </w:rPr>
        <w:t>manten</w:t>
      </w:r>
      <w:r w:rsidR="0075608E" w:rsidRPr="00D50D50">
        <w:rPr>
          <w:rFonts w:asciiTheme="majorHAnsi" w:hAnsiTheme="majorHAnsi"/>
          <w:sz w:val="20"/>
          <w:szCs w:val="20"/>
          <w:lang w:val="es-ES"/>
        </w:rPr>
        <w:t xml:space="preserve">erlo </w:t>
      </w:r>
      <w:r w:rsidR="008B4E41" w:rsidRPr="00D50D50">
        <w:rPr>
          <w:rFonts w:asciiTheme="majorHAnsi" w:hAnsiTheme="majorHAnsi"/>
          <w:sz w:val="20"/>
          <w:szCs w:val="20"/>
          <w:lang w:val="es-ES"/>
        </w:rPr>
        <w:t xml:space="preserve">sólo </w:t>
      </w:r>
      <w:r w:rsidR="0075608E" w:rsidRPr="00D50D50">
        <w:rPr>
          <w:rFonts w:asciiTheme="majorHAnsi" w:hAnsiTheme="majorHAnsi"/>
          <w:sz w:val="20"/>
          <w:szCs w:val="20"/>
          <w:lang w:val="es-ES"/>
        </w:rPr>
        <w:t xml:space="preserve">respecto </w:t>
      </w:r>
      <w:r w:rsidR="008B4E41" w:rsidRPr="00D50D50">
        <w:rPr>
          <w:rFonts w:asciiTheme="majorHAnsi" w:hAnsiTheme="majorHAnsi"/>
          <w:sz w:val="20"/>
          <w:szCs w:val="20"/>
          <w:lang w:val="es-ES"/>
        </w:rPr>
        <w:t xml:space="preserve">al </w:t>
      </w:r>
      <w:proofErr w:type="gramStart"/>
      <w:r w:rsidR="008B4E41" w:rsidRPr="00D50D50">
        <w:rPr>
          <w:rFonts w:asciiTheme="majorHAnsi" w:hAnsiTheme="majorHAnsi"/>
          <w:sz w:val="20"/>
          <w:szCs w:val="20"/>
          <w:lang w:val="es-ES"/>
        </w:rPr>
        <w:t>ex</w:t>
      </w:r>
      <w:r w:rsidR="0075608E" w:rsidRPr="00D50D50">
        <w:rPr>
          <w:rFonts w:asciiTheme="majorHAnsi" w:hAnsiTheme="majorHAnsi"/>
          <w:sz w:val="20"/>
          <w:szCs w:val="20"/>
          <w:lang w:val="es-ES"/>
        </w:rPr>
        <w:t xml:space="preserve"> P</w:t>
      </w:r>
      <w:r w:rsidR="008B4E41" w:rsidRPr="00D50D50">
        <w:rPr>
          <w:rFonts w:asciiTheme="majorHAnsi" w:hAnsiTheme="majorHAnsi"/>
          <w:sz w:val="20"/>
          <w:szCs w:val="20"/>
          <w:lang w:val="es-ES"/>
        </w:rPr>
        <w:t>residente</w:t>
      </w:r>
      <w:proofErr w:type="gramEnd"/>
      <w:r w:rsidR="008B4E41" w:rsidRPr="00D50D50">
        <w:rPr>
          <w:rFonts w:asciiTheme="majorHAnsi" w:hAnsiTheme="majorHAnsi"/>
          <w:sz w:val="20"/>
          <w:szCs w:val="20"/>
          <w:lang w:val="es-ES"/>
        </w:rPr>
        <w:t xml:space="preserve"> Sánchez de Lozada</w:t>
      </w:r>
      <w:r w:rsidR="0075608E" w:rsidRPr="00D50D50">
        <w:rPr>
          <w:rFonts w:asciiTheme="majorHAnsi" w:hAnsiTheme="majorHAnsi"/>
          <w:sz w:val="20"/>
          <w:szCs w:val="20"/>
          <w:lang w:val="es-ES"/>
        </w:rPr>
        <w:t>;</w:t>
      </w:r>
      <w:r w:rsidR="008B4E41" w:rsidRPr="00D50D50">
        <w:rPr>
          <w:rFonts w:asciiTheme="majorHAnsi" w:hAnsiTheme="majorHAnsi"/>
          <w:sz w:val="20"/>
          <w:szCs w:val="20"/>
          <w:lang w:val="es-ES"/>
        </w:rPr>
        <w:t xml:space="preserve"> y que todo lo que estuviese relacionado con los Ministros de Estado y demás autoridades fuese remitido a la justicia ordinaria. </w:t>
      </w:r>
      <w:r w:rsidR="00D107D9" w:rsidRPr="00D50D50">
        <w:rPr>
          <w:rFonts w:asciiTheme="majorHAnsi" w:hAnsiTheme="majorHAnsi"/>
          <w:sz w:val="20"/>
          <w:szCs w:val="20"/>
          <w:lang w:val="es-ES"/>
        </w:rPr>
        <w:t>Apunta el Estado que</w:t>
      </w:r>
      <w:r w:rsidR="0075608E" w:rsidRPr="00D50D50">
        <w:rPr>
          <w:rFonts w:asciiTheme="majorHAnsi" w:hAnsiTheme="majorHAnsi"/>
          <w:sz w:val="20"/>
          <w:szCs w:val="20"/>
          <w:lang w:val="es-ES"/>
        </w:rPr>
        <w:t xml:space="preserve"> los Generales</w:t>
      </w:r>
      <w:r w:rsidR="00D107D9" w:rsidRPr="00D50D50">
        <w:rPr>
          <w:rFonts w:asciiTheme="majorHAnsi" w:hAnsiTheme="majorHAnsi"/>
          <w:sz w:val="20"/>
          <w:szCs w:val="20"/>
          <w:lang w:val="es-ES"/>
        </w:rPr>
        <w:t xml:space="preserve"> </w:t>
      </w:r>
      <w:r w:rsidR="0068419D" w:rsidRPr="00D50D50">
        <w:rPr>
          <w:rFonts w:asciiTheme="majorHAnsi" w:hAnsiTheme="majorHAnsi"/>
          <w:sz w:val="20"/>
          <w:szCs w:val="20"/>
          <w:lang w:val="es-ES"/>
        </w:rPr>
        <w:t>Véliz</w:t>
      </w:r>
      <w:r w:rsidR="00D107D9" w:rsidRPr="00D50D50">
        <w:rPr>
          <w:rFonts w:asciiTheme="majorHAnsi" w:hAnsiTheme="majorHAnsi"/>
          <w:sz w:val="20"/>
          <w:szCs w:val="20"/>
          <w:lang w:val="es-ES"/>
        </w:rPr>
        <w:t xml:space="preserve"> Herrera </w:t>
      </w:r>
      <w:r w:rsidR="0075608E" w:rsidRPr="00D50D50">
        <w:rPr>
          <w:rFonts w:asciiTheme="majorHAnsi" w:hAnsiTheme="majorHAnsi"/>
          <w:sz w:val="20"/>
          <w:szCs w:val="20"/>
          <w:lang w:val="es-ES"/>
        </w:rPr>
        <w:t xml:space="preserve">y </w:t>
      </w:r>
      <w:r w:rsidR="00D107D9" w:rsidRPr="00D50D50">
        <w:rPr>
          <w:rFonts w:asciiTheme="majorHAnsi" w:hAnsiTheme="majorHAnsi"/>
          <w:sz w:val="20"/>
          <w:szCs w:val="20"/>
          <w:lang w:val="es-ES"/>
        </w:rPr>
        <w:t>Claros Flores solicitaron el rechazo de la división de juzgamiento.</w:t>
      </w:r>
      <w:r w:rsidR="00716FAE" w:rsidRPr="00D50D50">
        <w:rPr>
          <w:rFonts w:asciiTheme="majorHAnsi" w:hAnsiTheme="majorHAnsi"/>
          <w:sz w:val="20"/>
          <w:szCs w:val="20"/>
          <w:lang w:val="es-ES"/>
        </w:rPr>
        <w:t xml:space="preserve"> La Corte Suprema de Justicia rechaz</w:t>
      </w:r>
      <w:r w:rsidR="004D7836" w:rsidRPr="00D50D50">
        <w:rPr>
          <w:rFonts w:asciiTheme="majorHAnsi" w:hAnsiTheme="majorHAnsi"/>
          <w:sz w:val="20"/>
          <w:szCs w:val="20"/>
          <w:lang w:val="es-ES"/>
        </w:rPr>
        <w:t>ó dicha solicitud de</w:t>
      </w:r>
      <w:r w:rsidR="00716FAE" w:rsidRPr="00D50D50">
        <w:rPr>
          <w:rFonts w:asciiTheme="majorHAnsi" w:hAnsiTheme="majorHAnsi"/>
          <w:sz w:val="20"/>
          <w:szCs w:val="20"/>
          <w:lang w:val="es-ES"/>
        </w:rPr>
        <w:t xml:space="preserve"> </w:t>
      </w:r>
      <w:r w:rsidR="0075608E" w:rsidRPr="00D50D50">
        <w:rPr>
          <w:rFonts w:asciiTheme="majorHAnsi" w:hAnsiTheme="majorHAnsi"/>
          <w:sz w:val="20"/>
          <w:szCs w:val="20"/>
          <w:lang w:val="es-ES"/>
        </w:rPr>
        <w:t>a</w:t>
      </w:r>
      <w:r w:rsidR="00CD5180" w:rsidRPr="00D50D50">
        <w:rPr>
          <w:rFonts w:asciiTheme="majorHAnsi" w:hAnsiTheme="majorHAnsi"/>
          <w:sz w:val="20"/>
          <w:szCs w:val="20"/>
          <w:lang w:val="es-ES"/>
        </w:rPr>
        <w:t>decuación</w:t>
      </w:r>
      <w:r w:rsidR="00716FAE" w:rsidRPr="00D50D50">
        <w:rPr>
          <w:rFonts w:asciiTheme="majorHAnsi" w:hAnsiTheme="majorHAnsi"/>
          <w:sz w:val="20"/>
          <w:szCs w:val="20"/>
          <w:lang w:val="es-ES"/>
        </w:rPr>
        <w:t xml:space="preserve"> </w:t>
      </w:r>
      <w:r w:rsidR="0075608E" w:rsidRPr="00D50D50">
        <w:rPr>
          <w:rFonts w:asciiTheme="majorHAnsi" w:hAnsiTheme="majorHAnsi"/>
          <w:sz w:val="20"/>
          <w:szCs w:val="20"/>
          <w:lang w:val="es-ES"/>
        </w:rPr>
        <w:t>p</w:t>
      </w:r>
      <w:r w:rsidR="00716FAE" w:rsidRPr="00D50D50">
        <w:rPr>
          <w:rFonts w:asciiTheme="majorHAnsi" w:hAnsiTheme="majorHAnsi"/>
          <w:sz w:val="20"/>
          <w:szCs w:val="20"/>
          <w:lang w:val="es-ES"/>
        </w:rPr>
        <w:t xml:space="preserve">rocesal y </w:t>
      </w:r>
      <w:r w:rsidR="00CD5180" w:rsidRPr="00D50D50">
        <w:rPr>
          <w:rFonts w:asciiTheme="majorHAnsi" w:hAnsiTheme="majorHAnsi"/>
          <w:sz w:val="20"/>
          <w:szCs w:val="20"/>
          <w:lang w:val="es-ES"/>
        </w:rPr>
        <w:t>determinó</w:t>
      </w:r>
      <w:r w:rsidR="00716FAE" w:rsidRPr="00D50D50">
        <w:rPr>
          <w:rFonts w:asciiTheme="majorHAnsi" w:hAnsiTheme="majorHAnsi"/>
          <w:sz w:val="20"/>
          <w:szCs w:val="20"/>
          <w:lang w:val="es-ES"/>
        </w:rPr>
        <w:t xml:space="preserve"> continuar con el trámite </w:t>
      </w:r>
      <w:r w:rsidR="00CD5180" w:rsidRPr="00D50D50">
        <w:rPr>
          <w:rFonts w:asciiTheme="majorHAnsi" w:hAnsiTheme="majorHAnsi"/>
          <w:sz w:val="20"/>
          <w:szCs w:val="20"/>
          <w:lang w:val="es-ES"/>
        </w:rPr>
        <w:t>de la causa.</w:t>
      </w:r>
      <w:r w:rsidR="00FA1FEE" w:rsidRPr="00D50D50">
        <w:rPr>
          <w:rFonts w:asciiTheme="majorHAnsi" w:hAnsiTheme="majorHAnsi"/>
          <w:sz w:val="20"/>
          <w:szCs w:val="20"/>
          <w:lang w:val="es-ES"/>
        </w:rPr>
        <w:t xml:space="preserve"> </w:t>
      </w:r>
    </w:p>
    <w:p w14:paraId="405A3F81" w14:textId="77777777" w:rsidR="00186A95" w:rsidRPr="00D50D50" w:rsidRDefault="00186A95" w:rsidP="00186A9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35BB7DD0" w14:textId="6EAEB0C5" w:rsidR="00FA1FEE" w:rsidRPr="00D50D50" w:rsidRDefault="00FA1FEE" w:rsidP="00FB76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 xml:space="preserve">En </w:t>
      </w:r>
      <w:r w:rsidR="00D130AA" w:rsidRPr="00D50D50">
        <w:rPr>
          <w:rFonts w:asciiTheme="majorHAnsi" w:hAnsiTheme="majorHAnsi"/>
          <w:sz w:val="20"/>
          <w:szCs w:val="20"/>
          <w:lang w:val="es-ES"/>
        </w:rPr>
        <w:t>cuanto a</w:t>
      </w:r>
      <w:r w:rsidR="008D18E9" w:rsidRPr="00D50D50">
        <w:rPr>
          <w:rFonts w:asciiTheme="majorHAnsi" w:hAnsiTheme="majorHAnsi"/>
          <w:sz w:val="20"/>
          <w:szCs w:val="20"/>
          <w:lang w:val="es-ES"/>
        </w:rPr>
        <w:t xml:space="preserve"> la presunta desigualdad procesal, restricción en el acceso a la justicia y</w:t>
      </w:r>
      <w:r w:rsidRPr="00D50D50">
        <w:rPr>
          <w:rFonts w:asciiTheme="majorHAnsi" w:hAnsiTheme="majorHAnsi"/>
          <w:sz w:val="20"/>
          <w:szCs w:val="20"/>
          <w:lang w:val="es-ES"/>
        </w:rPr>
        <w:t xml:space="preserve"> </w:t>
      </w:r>
      <w:r w:rsidR="008D18E9" w:rsidRPr="00D50D50">
        <w:rPr>
          <w:rFonts w:asciiTheme="majorHAnsi" w:hAnsiTheme="majorHAnsi"/>
          <w:sz w:val="20"/>
          <w:szCs w:val="20"/>
          <w:lang w:val="es-ES"/>
        </w:rPr>
        <w:t xml:space="preserve">el derecho de </w:t>
      </w:r>
      <w:r w:rsidR="00D130AA" w:rsidRPr="00D50D50">
        <w:rPr>
          <w:rFonts w:asciiTheme="majorHAnsi" w:hAnsiTheme="majorHAnsi"/>
          <w:sz w:val="20"/>
          <w:szCs w:val="20"/>
          <w:lang w:val="es-ES"/>
        </w:rPr>
        <w:t xml:space="preserve">protección judicial de </w:t>
      </w:r>
      <w:r w:rsidR="008D18E9" w:rsidRPr="00D50D50">
        <w:rPr>
          <w:rFonts w:asciiTheme="majorHAnsi" w:hAnsiTheme="majorHAnsi"/>
          <w:sz w:val="20"/>
          <w:szCs w:val="20"/>
          <w:lang w:val="es-ES"/>
        </w:rPr>
        <w:t xml:space="preserve">las presuntas víctimas, el Estado asevera que durante el </w:t>
      </w:r>
      <w:r w:rsidR="0075608E" w:rsidRPr="00D50D50">
        <w:rPr>
          <w:rFonts w:asciiTheme="majorHAnsi" w:hAnsiTheme="majorHAnsi"/>
          <w:sz w:val="20"/>
          <w:szCs w:val="20"/>
          <w:lang w:val="es-ES"/>
        </w:rPr>
        <w:t>j</w:t>
      </w:r>
      <w:r w:rsidRPr="00D50D50">
        <w:rPr>
          <w:rFonts w:asciiTheme="majorHAnsi" w:hAnsiTheme="majorHAnsi"/>
          <w:sz w:val="20"/>
          <w:szCs w:val="20"/>
          <w:lang w:val="es-ES"/>
        </w:rPr>
        <w:t xml:space="preserve">uicio de </w:t>
      </w:r>
      <w:r w:rsidR="0075608E" w:rsidRPr="00D50D50">
        <w:rPr>
          <w:rFonts w:asciiTheme="majorHAnsi" w:hAnsiTheme="majorHAnsi"/>
          <w:sz w:val="20"/>
          <w:szCs w:val="20"/>
          <w:lang w:val="es-ES"/>
        </w:rPr>
        <w:t>r</w:t>
      </w:r>
      <w:r w:rsidRPr="00D50D50">
        <w:rPr>
          <w:rFonts w:asciiTheme="majorHAnsi" w:hAnsiTheme="majorHAnsi"/>
          <w:sz w:val="20"/>
          <w:szCs w:val="20"/>
          <w:lang w:val="es-ES"/>
        </w:rPr>
        <w:t>esponsabilidad</w:t>
      </w:r>
      <w:r w:rsidR="008D18E9" w:rsidRPr="00D50D50">
        <w:rPr>
          <w:rFonts w:asciiTheme="majorHAnsi" w:hAnsiTheme="majorHAnsi"/>
          <w:sz w:val="20"/>
          <w:szCs w:val="20"/>
          <w:lang w:val="es-ES"/>
        </w:rPr>
        <w:t xml:space="preserve"> </w:t>
      </w:r>
      <w:r w:rsidR="0075608E" w:rsidRPr="00D50D50">
        <w:rPr>
          <w:rFonts w:asciiTheme="majorHAnsi" w:hAnsiTheme="majorHAnsi"/>
          <w:sz w:val="20"/>
          <w:szCs w:val="20"/>
          <w:lang w:val="es-ES"/>
        </w:rPr>
        <w:t xml:space="preserve">aquellas </w:t>
      </w:r>
      <w:r w:rsidRPr="00D50D50">
        <w:rPr>
          <w:rFonts w:asciiTheme="majorHAnsi" w:hAnsiTheme="majorHAnsi"/>
          <w:sz w:val="20"/>
          <w:szCs w:val="20"/>
          <w:lang w:val="es-ES"/>
        </w:rPr>
        <w:t>nunca se encontraron en situación de d</w:t>
      </w:r>
      <w:r w:rsidR="008D18E9" w:rsidRPr="00D50D50">
        <w:rPr>
          <w:rFonts w:asciiTheme="majorHAnsi" w:hAnsiTheme="majorHAnsi"/>
          <w:sz w:val="20"/>
          <w:szCs w:val="20"/>
          <w:lang w:val="es-ES"/>
        </w:rPr>
        <w:t>esventaja</w:t>
      </w:r>
      <w:r w:rsidRPr="00D50D50">
        <w:rPr>
          <w:rFonts w:asciiTheme="majorHAnsi" w:hAnsiTheme="majorHAnsi"/>
          <w:sz w:val="20"/>
          <w:szCs w:val="20"/>
          <w:lang w:val="es-ES"/>
        </w:rPr>
        <w:t xml:space="preserve"> procesal</w:t>
      </w:r>
      <w:r w:rsidR="008D18E9" w:rsidRPr="00D50D50">
        <w:rPr>
          <w:rFonts w:asciiTheme="majorHAnsi" w:hAnsiTheme="majorHAnsi"/>
          <w:sz w:val="20"/>
          <w:szCs w:val="20"/>
          <w:lang w:val="es-ES"/>
        </w:rPr>
        <w:t xml:space="preserve"> o vulneración de derechos por parte de los operadores jurídicos. </w:t>
      </w:r>
      <w:r w:rsidR="0075608E" w:rsidRPr="00D50D50">
        <w:rPr>
          <w:rFonts w:asciiTheme="majorHAnsi" w:hAnsiTheme="majorHAnsi"/>
          <w:sz w:val="20"/>
          <w:szCs w:val="20"/>
          <w:lang w:val="es-ES"/>
        </w:rPr>
        <w:t xml:space="preserve">El Estado destaca </w:t>
      </w:r>
      <w:r w:rsidR="008D18E9" w:rsidRPr="00D50D50">
        <w:rPr>
          <w:rFonts w:asciiTheme="majorHAnsi" w:hAnsiTheme="majorHAnsi"/>
          <w:sz w:val="20"/>
          <w:szCs w:val="20"/>
          <w:lang w:val="es-ES"/>
        </w:rPr>
        <w:t>que</w:t>
      </w:r>
      <w:r w:rsidRPr="00D50D50">
        <w:rPr>
          <w:rFonts w:asciiTheme="majorHAnsi" w:hAnsiTheme="majorHAnsi"/>
          <w:sz w:val="20"/>
          <w:szCs w:val="20"/>
          <w:lang w:val="es-ES"/>
        </w:rPr>
        <w:t xml:space="preserve"> el </w:t>
      </w:r>
      <w:r w:rsidR="0075608E" w:rsidRPr="00D50D50">
        <w:rPr>
          <w:rFonts w:asciiTheme="majorHAnsi" w:hAnsiTheme="majorHAnsi"/>
          <w:sz w:val="20"/>
          <w:szCs w:val="20"/>
          <w:lang w:val="es-ES"/>
        </w:rPr>
        <w:t>General</w:t>
      </w:r>
      <w:r w:rsidRPr="00D50D50">
        <w:rPr>
          <w:rFonts w:asciiTheme="majorHAnsi" w:hAnsiTheme="majorHAnsi"/>
          <w:sz w:val="20"/>
          <w:szCs w:val="20"/>
          <w:lang w:val="es-ES"/>
        </w:rPr>
        <w:t xml:space="preserve"> Claros Flores </w:t>
      </w:r>
      <w:r w:rsidR="008D18E9" w:rsidRPr="00D50D50">
        <w:rPr>
          <w:rFonts w:asciiTheme="majorHAnsi" w:hAnsiTheme="majorHAnsi"/>
          <w:sz w:val="20"/>
          <w:szCs w:val="20"/>
          <w:lang w:val="es-ES"/>
        </w:rPr>
        <w:t>present</w:t>
      </w:r>
      <w:r w:rsidR="0075608E" w:rsidRPr="00D50D50">
        <w:rPr>
          <w:rFonts w:asciiTheme="majorHAnsi" w:hAnsiTheme="majorHAnsi"/>
          <w:sz w:val="20"/>
          <w:szCs w:val="20"/>
          <w:lang w:val="es-ES"/>
        </w:rPr>
        <w:t>ó</w:t>
      </w:r>
      <w:r w:rsidR="008D18E9" w:rsidRPr="00D50D50">
        <w:rPr>
          <w:rFonts w:asciiTheme="majorHAnsi" w:hAnsiTheme="majorHAnsi"/>
          <w:sz w:val="20"/>
          <w:szCs w:val="20"/>
          <w:lang w:val="es-ES"/>
        </w:rPr>
        <w:t xml:space="preserve"> </w:t>
      </w:r>
      <w:r w:rsidR="0075608E" w:rsidRPr="00D50D50">
        <w:rPr>
          <w:rFonts w:asciiTheme="majorHAnsi" w:hAnsiTheme="majorHAnsi"/>
          <w:sz w:val="20"/>
          <w:szCs w:val="20"/>
          <w:lang w:val="es-ES"/>
        </w:rPr>
        <w:t xml:space="preserve">un </w:t>
      </w:r>
      <w:r w:rsidRPr="00D50D50">
        <w:rPr>
          <w:rFonts w:asciiTheme="majorHAnsi" w:hAnsiTheme="majorHAnsi"/>
          <w:sz w:val="20"/>
          <w:szCs w:val="20"/>
          <w:lang w:val="es-ES"/>
        </w:rPr>
        <w:t>incidente de falta de acción</w:t>
      </w:r>
      <w:r w:rsidR="0085673C" w:rsidRPr="00D50D50">
        <w:rPr>
          <w:rFonts w:asciiTheme="majorHAnsi" w:hAnsiTheme="majorHAnsi"/>
          <w:sz w:val="20"/>
          <w:szCs w:val="20"/>
          <w:lang w:val="es-ES"/>
        </w:rPr>
        <w:t xml:space="preserve"> y</w:t>
      </w:r>
      <w:r w:rsidRPr="00D50D50">
        <w:rPr>
          <w:rFonts w:asciiTheme="majorHAnsi" w:hAnsiTheme="majorHAnsi"/>
          <w:sz w:val="20"/>
          <w:szCs w:val="20"/>
          <w:lang w:val="es-ES"/>
        </w:rPr>
        <w:t xml:space="preserve"> las excepciones de prejudicialidad y extinción de la acción penal por máxima duración del proceso;</w:t>
      </w:r>
      <w:r w:rsidR="00BA2A11" w:rsidRPr="00D50D50">
        <w:rPr>
          <w:rFonts w:asciiTheme="majorHAnsi" w:hAnsiTheme="majorHAnsi"/>
          <w:sz w:val="20"/>
          <w:szCs w:val="20"/>
          <w:lang w:val="es-ES"/>
        </w:rPr>
        <w:t xml:space="preserve"> </w:t>
      </w:r>
      <w:r w:rsidR="008D18E9" w:rsidRPr="00D50D50">
        <w:rPr>
          <w:rFonts w:asciiTheme="majorHAnsi" w:hAnsiTheme="majorHAnsi"/>
          <w:sz w:val="20"/>
          <w:szCs w:val="20"/>
          <w:lang w:val="es-ES"/>
        </w:rPr>
        <w:t xml:space="preserve">que </w:t>
      </w:r>
      <w:r w:rsidR="0075608E" w:rsidRPr="00D50D50">
        <w:rPr>
          <w:rFonts w:asciiTheme="majorHAnsi" w:hAnsiTheme="majorHAnsi"/>
          <w:sz w:val="20"/>
          <w:szCs w:val="20"/>
          <w:lang w:val="es-ES"/>
        </w:rPr>
        <w:t xml:space="preserve">el General </w:t>
      </w:r>
      <w:proofErr w:type="spellStart"/>
      <w:r w:rsidRPr="00D50D50">
        <w:rPr>
          <w:rFonts w:asciiTheme="majorHAnsi" w:hAnsiTheme="majorHAnsi"/>
          <w:sz w:val="20"/>
          <w:szCs w:val="20"/>
          <w:lang w:val="es-ES"/>
        </w:rPr>
        <w:t>Rocabado</w:t>
      </w:r>
      <w:proofErr w:type="spellEnd"/>
      <w:r w:rsidRPr="00D50D50">
        <w:rPr>
          <w:rFonts w:asciiTheme="majorHAnsi" w:hAnsiTheme="majorHAnsi"/>
          <w:sz w:val="20"/>
          <w:szCs w:val="20"/>
          <w:lang w:val="es-ES"/>
        </w:rPr>
        <w:t xml:space="preserve"> Mercado se </w:t>
      </w:r>
      <w:r w:rsidR="0075608E" w:rsidRPr="00D50D50">
        <w:rPr>
          <w:rFonts w:asciiTheme="majorHAnsi" w:hAnsiTheme="majorHAnsi"/>
          <w:sz w:val="20"/>
          <w:szCs w:val="20"/>
          <w:lang w:val="es-ES"/>
        </w:rPr>
        <w:t xml:space="preserve">adhirió </w:t>
      </w:r>
      <w:r w:rsidRPr="00D50D50">
        <w:rPr>
          <w:rFonts w:asciiTheme="majorHAnsi" w:hAnsiTheme="majorHAnsi"/>
          <w:sz w:val="20"/>
          <w:szCs w:val="20"/>
          <w:lang w:val="es-ES"/>
        </w:rPr>
        <w:t>a la excepción de falta de acció</w:t>
      </w:r>
      <w:r w:rsidR="00FD4654" w:rsidRPr="00D50D50">
        <w:rPr>
          <w:rFonts w:asciiTheme="majorHAnsi" w:hAnsiTheme="majorHAnsi"/>
          <w:sz w:val="20"/>
          <w:szCs w:val="20"/>
          <w:lang w:val="es-ES"/>
        </w:rPr>
        <w:t>n el 28 de julio</w:t>
      </w:r>
      <w:r w:rsidR="0075608E" w:rsidRPr="00D50D50">
        <w:rPr>
          <w:rFonts w:asciiTheme="majorHAnsi" w:hAnsiTheme="majorHAnsi"/>
          <w:sz w:val="20"/>
          <w:szCs w:val="20"/>
          <w:lang w:val="es-ES"/>
        </w:rPr>
        <w:t xml:space="preserve"> de 2009;</w:t>
      </w:r>
      <w:r w:rsidR="00FD4654" w:rsidRPr="00D50D50">
        <w:rPr>
          <w:rFonts w:asciiTheme="majorHAnsi" w:hAnsiTheme="majorHAnsi"/>
          <w:sz w:val="20"/>
          <w:szCs w:val="20"/>
          <w:lang w:val="es-ES"/>
        </w:rPr>
        <w:t xml:space="preserve"> y</w:t>
      </w:r>
      <w:r w:rsidR="00BA2A11" w:rsidRPr="00D50D50">
        <w:rPr>
          <w:rFonts w:asciiTheme="majorHAnsi" w:hAnsiTheme="majorHAnsi"/>
          <w:sz w:val="20"/>
          <w:szCs w:val="20"/>
          <w:lang w:val="es-ES"/>
        </w:rPr>
        <w:t xml:space="preserve"> que</w:t>
      </w:r>
      <w:r w:rsidR="00FD4654" w:rsidRPr="00D50D50">
        <w:rPr>
          <w:rFonts w:asciiTheme="majorHAnsi" w:hAnsiTheme="majorHAnsi"/>
          <w:sz w:val="20"/>
          <w:szCs w:val="20"/>
          <w:lang w:val="es-ES"/>
        </w:rPr>
        <w:t xml:space="preserve"> el 29 de julio de 2009 </w:t>
      </w:r>
      <w:r w:rsidR="0075608E" w:rsidRPr="00D50D50">
        <w:rPr>
          <w:rFonts w:asciiTheme="majorHAnsi" w:hAnsiTheme="majorHAnsi"/>
          <w:sz w:val="20"/>
          <w:szCs w:val="20"/>
          <w:lang w:val="es-ES"/>
        </w:rPr>
        <w:t xml:space="preserve">el General </w:t>
      </w:r>
      <w:r w:rsidR="0068419D" w:rsidRPr="00D50D50">
        <w:rPr>
          <w:rFonts w:asciiTheme="majorHAnsi" w:hAnsiTheme="majorHAnsi"/>
          <w:sz w:val="20"/>
          <w:szCs w:val="20"/>
          <w:lang w:val="es-ES"/>
        </w:rPr>
        <w:t>Véliz</w:t>
      </w:r>
      <w:r w:rsidRPr="00D50D50">
        <w:rPr>
          <w:rFonts w:asciiTheme="majorHAnsi" w:hAnsiTheme="majorHAnsi"/>
          <w:sz w:val="20"/>
          <w:szCs w:val="20"/>
          <w:lang w:val="es-ES"/>
        </w:rPr>
        <w:t xml:space="preserve"> Herrera</w:t>
      </w:r>
      <w:r w:rsidR="00EC2C83" w:rsidRPr="00D50D50">
        <w:rPr>
          <w:rFonts w:asciiTheme="majorHAnsi" w:hAnsiTheme="majorHAnsi"/>
          <w:sz w:val="20"/>
          <w:szCs w:val="20"/>
          <w:lang w:val="es-ES"/>
        </w:rPr>
        <w:t xml:space="preserve"> present</w:t>
      </w:r>
      <w:r w:rsidR="0075608E" w:rsidRPr="00D50D50">
        <w:rPr>
          <w:rFonts w:asciiTheme="majorHAnsi" w:hAnsiTheme="majorHAnsi"/>
          <w:sz w:val="20"/>
          <w:szCs w:val="20"/>
          <w:lang w:val="es-ES"/>
        </w:rPr>
        <w:t xml:space="preserve">ó un </w:t>
      </w:r>
      <w:r w:rsidR="00EC2C83" w:rsidRPr="00D50D50">
        <w:rPr>
          <w:rFonts w:asciiTheme="majorHAnsi" w:hAnsiTheme="majorHAnsi"/>
          <w:sz w:val="20"/>
          <w:szCs w:val="20"/>
          <w:lang w:val="es-ES"/>
        </w:rPr>
        <w:t xml:space="preserve">incidente de actividad procesal defectuosa y </w:t>
      </w:r>
      <w:r w:rsidR="00FD4654" w:rsidRPr="00D50D50">
        <w:rPr>
          <w:rFonts w:asciiTheme="majorHAnsi" w:hAnsiTheme="majorHAnsi"/>
          <w:sz w:val="20"/>
          <w:szCs w:val="20"/>
          <w:lang w:val="es-ES"/>
        </w:rPr>
        <w:t>excepciones de falta de acción</w:t>
      </w:r>
      <w:r w:rsidR="0075608E" w:rsidRPr="00D50D50">
        <w:rPr>
          <w:rFonts w:asciiTheme="majorHAnsi" w:hAnsiTheme="majorHAnsi"/>
          <w:sz w:val="20"/>
          <w:szCs w:val="20"/>
          <w:lang w:val="es-ES"/>
        </w:rPr>
        <w:t>,</w:t>
      </w:r>
      <w:r w:rsidR="00BA2A11" w:rsidRPr="00D50D50">
        <w:rPr>
          <w:rFonts w:asciiTheme="majorHAnsi" w:hAnsiTheme="majorHAnsi"/>
          <w:sz w:val="20"/>
          <w:szCs w:val="20"/>
          <w:lang w:val="es-ES"/>
        </w:rPr>
        <w:t xml:space="preserve"> </w:t>
      </w:r>
      <w:r w:rsidR="0075608E" w:rsidRPr="00D50D50">
        <w:rPr>
          <w:rFonts w:asciiTheme="majorHAnsi" w:hAnsiTheme="majorHAnsi"/>
          <w:sz w:val="20"/>
          <w:szCs w:val="20"/>
          <w:lang w:val="es-ES"/>
        </w:rPr>
        <w:t xml:space="preserve">todo ello como prueba </w:t>
      </w:r>
      <w:r w:rsidR="00BA2A11" w:rsidRPr="00D50D50">
        <w:rPr>
          <w:rFonts w:asciiTheme="majorHAnsi" w:hAnsiTheme="majorHAnsi"/>
          <w:sz w:val="20"/>
          <w:szCs w:val="20"/>
          <w:lang w:val="es-ES"/>
        </w:rPr>
        <w:t xml:space="preserve">que </w:t>
      </w:r>
      <w:r w:rsidR="0075608E" w:rsidRPr="00D50D50">
        <w:rPr>
          <w:rFonts w:asciiTheme="majorHAnsi" w:hAnsiTheme="majorHAnsi"/>
          <w:sz w:val="20"/>
          <w:szCs w:val="20"/>
          <w:lang w:val="es-ES"/>
        </w:rPr>
        <w:t xml:space="preserve">las presuntas víctimas </w:t>
      </w:r>
      <w:r w:rsidR="00BA2A11" w:rsidRPr="00D50D50">
        <w:rPr>
          <w:rFonts w:asciiTheme="majorHAnsi" w:hAnsiTheme="majorHAnsi"/>
          <w:sz w:val="20"/>
          <w:szCs w:val="20"/>
          <w:lang w:val="es-ES"/>
        </w:rPr>
        <w:t xml:space="preserve">efectivamente tuvieron acceso a la justicia y a los recursos </w:t>
      </w:r>
      <w:r w:rsidR="0075608E" w:rsidRPr="00D50D50">
        <w:rPr>
          <w:rFonts w:asciiTheme="majorHAnsi" w:hAnsiTheme="majorHAnsi"/>
          <w:sz w:val="20"/>
          <w:szCs w:val="20"/>
          <w:lang w:val="es-ES"/>
        </w:rPr>
        <w:t xml:space="preserve">legales en el ámbito </w:t>
      </w:r>
      <w:r w:rsidR="00BA2A11" w:rsidRPr="00D50D50">
        <w:rPr>
          <w:rFonts w:asciiTheme="majorHAnsi" w:hAnsiTheme="majorHAnsi"/>
          <w:sz w:val="20"/>
          <w:szCs w:val="20"/>
          <w:lang w:val="es-ES"/>
        </w:rPr>
        <w:t>interno.</w:t>
      </w:r>
      <w:r w:rsidR="00A436ED" w:rsidRPr="00D50D50">
        <w:rPr>
          <w:rFonts w:asciiTheme="majorHAnsi" w:hAnsiTheme="majorHAnsi"/>
          <w:sz w:val="20"/>
          <w:szCs w:val="20"/>
          <w:lang w:val="es-ES"/>
        </w:rPr>
        <w:t xml:space="preserve"> </w:t>
      </w:r>
      <w:r w:rsidR="0075608E" w:rsidRPr="00D50D50">
        <w:rPr>
          <w:rFonts w:asciiTheme="majorHAnsi" w:hAnsiTheme="majorHAnsi"/>
          <w:sz w:val="20"/>
          <w:szCs w:val="20"/>
          <w:lang w:val="es-ES"/>
        </w:rPr>
        <w:t>El</w:t>
      </w:r>
      <w:r w:rsidR="00A436ED" w:rsidRPr="00D50D50">
        <w:rPr>
          <w:rFonts w:asciiTheme="majorHAnsi" w:hAnsiTheme="majorHAnsi"/>
          <w:sz w:val="20"/>
          <w:szCs w:val="20"/>
          <w:lang w:val="es-ES"/>
        </w:rPr>
        <w:t xml:space="preserve"> 14 de </w:t>
      </w:r>
      <w:r w:rsidR="002F67BA" w:rsidRPr="00D50D50">
        <w:rPr>
          <w:rFonts w:asciiTheme="majorHAnsi" w:hAnsiTheme="majorHAnsi"/>
          <w:sz w:val="20"/>
          <w:szCs w:val="20"/>
          <w:lang w:val="es-ES"/>
        </w:rPr>
        <w:t>agosto</w:t>
      </w:r>
      <w:r w:rsidR="00A436ED" w:rsidRPr="00D50D50">
        <w:rPr>
          <w:rFonts w:asciiTheme="majorHAnsi" w:hAnsiTheme="majorHAnsi"/>
          <w:sz w:val="20"/>
          <w:szCs w:val="20"/>
          <w:lang w:val="es-ES"/>
        </w:rPr>
        <w:t xml:space="preserve"> de 2009 se </w:t>
      </w:r>
      <w:r w:rsidR="0075608E" w:rsidRPr="00D50D50">
        <w:rPr>
          <w:rFonts w:asciiTheme="majorHAnsi" w:hAnsiTheme="majorHAnsi"/>
          <w:sz w:val="20"/>
          <w:szCs w:val="20"/>
          <w:lang w:val="es-ES"/>
        </w:rPr>
        <w:t>rechazaron como no probadas las excepciones interpuestas</w:t>
      </w:r>
      <w:r w:rsidR="00673DEA" w:rsidRPr="00D50D50">
        <w:rPr>
          <w:rFonts w:asciiTheme="majorHAnsi" w:hAnsiTheme="majorHAnsi"/>
          <w:sz w:val="20"/>
          <w:szCs w:val="20"/>
          <w:lang w:val="es-ES"/>
        </w:rPr>
        <w:t xml:space="preserve">. </w:t>
      </w:r>
      <w:r w:rsidR="0075608E" w:rsidRPr="00D50D50">
        <w:rPr>
          <w:rFonts w:asciiTheme="majorHAnsi" w:hAnsiTheme="majorHAnsi"/>
          <w:sz w:val="20"/>
          <w:szCs w:val="20"/>
          <w:lang w:val="es-ES"/>
        </w:rPr>
        <w:t>El</w:t>
      </w:r>
      <w:r w:rsidR="00673DEA" w:rsidRPr="00D50D50">
        <w:rPr>
          <w:rFonts w:asciiTheme="majorHAnsi" w:hAnsiTheme="majorHAnsi"/>
          <w:sz w:val="20"/>
          <w:szCs w:val="20"/>
          <w:lang w:val="es-ES"/>
        </w:rPr>
        <w:t xml:space="preserve"> 2 de marzo de 2011, en </w:t>
      </w:r>
      <w:r w:rsidR="0075608E" w:rsidRPr="00D50D50">
        <w:rPr>
          <w:rFonts w:asciiTheme="majorHAnsi" w:hAnsiTheme="majorHAnsi"/>
          <w:sz w:val="20"/>
          <w:szCs w:val="20"/>
          <w:lang w:val="es-ES"/>
        </w:rPr>
        <w:t xml:space="preserve">la </w:t>
      </w:r>
      <w:r w:rsidR="00673DEA" w:rsidRPr="00D50D50">
        <w:rPr>
          <w:rFonts w:asciiTheme="majorHAnsi" w:hAnsiTheme="majorHAnsi"/>
          <w:sz w:val="20"/>
          <w:szCs w:val="20"/>
          <w:lang w:val="es-ES"/>
        </w:rPr>
        <w:t>audiencia de</w:t>
      </w:r>
      <w:r w:rsidR="0075608E" w:rsidRPr="00D50D50">
        <w:rPr>
          <w:rFonts w:asciiTheme="majorHAnsi" w:hAnsiTheme="majorHAnsi"/>
          <w:sz w:val="20"/>
          <w:szCs w:val="20"/>
          <w:lang w:val="es-ES"/>
        </w:rPr>
        <w:t>l</w:t>
      </w:r>
      <w:r w:rsidR="00673DEA" w:rsidRPr="00D50D50">
        <w:rPr>
          <w:rFonts w:asciiTheme="majorHAnsi" w:hAnsiTheme="majorHAnsi"/>
          <w:sz w:val="20"/>
          <w:szCs w:val="20"/>
          <w:lang w:val="es-ES"/>
        </w:rPr>
        <w:t xml:space="preserve"> </w:t>
      </w:r>
      <w:r w:rsidR="0075608E" w:rsidRPr="00D50D50">
        <w:rPr>
          <w:rFonts w:asciiTheme="majorHAnsi" w:hAnsiTheme="majorHAnsi"/>
          <w:sz w:val="20"/>
          <w:szCs w:val="20"/>
          <w:lang w:val="es-ES"/>
        </w:rPr>
        <w:t>j</w:t>
      </w:r>
      <w:r w:rsidR="00673DEA" w:rsidRPr="00D50D50">
        <w:rPr>
          <w:rFonts w:asciiTheme="majorHAnsi" w:hAnsiTheme="majorHAnsi"/>
          <w:sz w:val="20"/>
          <w:szCs w:val="20"/>
          <w:lang w:val="es-ES"/>
        </w:rPr>
        <w:t xml:space="preserve">uicio de </w:t>
      </w:r>
      <w:r w:rsidR="0075608E" w:rsidRPr="00D50D50">
        <w:rPr>
          <w:rFonts w:asciiTheme="majorHAnsi" w:hAnsiTheme="majorHAnsi"/>
          <w:sz w:val="20"/>
          <w:szCs w:val="20"/>
          <w:lang w:val="es-ES"/>
        </w:rPr>
        <w:t>r</w:t>
      </w:r>
      <w:r w:rsidR="00673DEA" w:rsidRPr="00D50D50">
        <w:rPr>
          <w:rFonts w:asciiTheme="majorHAnsi" w:hAnsiTheme="majorHAnsi"/>
          <w:sz w:val="20"/>
          <w:szCs w:val="20"/>
          <w:lang w:val="es-ES"/>
        </w:rPr>
        <w:t xml:space="preserve">esponsabilidades se dispuso la detención preventiva del </w:t>
      </w:r>
      <w:r w:rsidR="0075608E" w:rsidRPr="00D50D50">
        <w:rPr>
          <w:rFonts w:asciiTheme="majorHAnsi" w:hAnsiTheme="majorHAnsi"/>
          <w:sz w:val="20"/>
          <w:szCs w:val="20"/>
          <w:lang w:val="es-ES"/>
        </w:rPr>
        <w:t>General</w:t>
      </w:r>
      <w:r w:rsidR="00673DEA" w:rsidRPr="00D50D50">
        <w:rPr>
          <w:rFonts w:asciiTheme="majorHAnsi" w:hAnsiTheme="majorHAnsi"/>
          <w:sz w:val="20"/>
          <w:szCs w:val="20"/>
          <w:lang w:val="es-ES"/>
        </w:rPr>
        <w:t xml:space="preserve"> </w:t>
      </w:r>
      <w:r w:rsidR="0068419D" w:rsidRPr="00D50D50">
        <w:rPr>
          <w:rFonts w:asciiTheme="majorHAnsi" w:hAnsiTheme="majorHAnsi"/>
          <w:sz w:val="20"/>
          <w:szCs w:val="20"/>
          <w:lang w:val="es-ES"/>
        </w:rPr>
        <w:t>Véliz</w:t>
      </w:r>
      <w:r w:rsidR="00673DEA" w:rsidRPr="00D50D50">
        <w:rPr>
          <w:rFonts w:asciiTheme="majorHAnsi" w:hAnsiTheme="majorHAnsi"/>
          <w:sz w:val="20"/>
          <w:szCs w:val="20"/>
          <w:lang w:val="es-ES"/>
        </w:rPr>
        <w:t xml:space="preserve"> Herrera y</w:t>
      </w:r>
      <w:r w:rsidR="0085673C" w:rsidRPr="00D50D50">
        <w:rPr>
          <w:rFonts w:asciiTheme="majorHAnsi" w:hAnsiTheme="majorHAnsi"/>
          <w:sz w:val="20"/>
          <w:szCs w:val="20"/>
          <w:lang w:val="es-ES"/>
        </w:rPr>
        <w:t xml:space="preserve"> la revocatoria de</w:t>
      </w:r>
      <w:r w:rsidR="00673DEA" w:rsidRPr="00D50D50">
        <w:rPr>
          <w:rFonts w:asciiTheme="majorHAnsi" w:hAnsiTheme="majorHAnsi"/>
          <w:sz w:val="20"/>
          <w:szCs w:val="20"/>
          <w:lang w:val="es-ES"/>
        </w:rPr>
        <w:t xml:space="preserve"> las medidas sustitutivas a la </w:t>
      </w:r>
      <w:r w:rsidR="0075608E" w:rsidRPr="00D50D50">
        <w:rPr>
          <w:rFonts w:asciiTheme="majorHAnsi" w:hAnsiTheme="majorHAnsi"/>
          <w:sz w:val="20"/>
          <w:szCs w:val="20"/>
          <w:lang w:val="es-ES"/>
        </w:rPr>
        <w:t>privación de libertad</w:t>
      </w:r>
      <w:r w:rsidR="00673DEA" w:rsidRPr="00D50D50">
        <w:rPr>
          <w:rFonts w:asciiTheme="majorHAnsi" w:hAnsiTheme="majorHAnsi"/>
          <w:sz w:val="20"/>
          <w:szCs w:val="20"/>
          <w:lang w:val="es-ES"/>
        </w:rPr>
        <w:t>, toda vez que</w:t>
      </w:r>
      <w:r w:rsidR="00364B96" w:rsidRPr="00D50D50">
        <w:rPr>
          <w:rFonts w:asciiTheme="majorHAnsi" w:hAnsiTheme="majorHAnsi"/>
          <w:sz w:val="20"/>
          <w:szCs w:val="20"/>
          <w:lang w:val="es-ES"/>
        </w:rPr>
        <w:t xml:space="preserve"> el Ministerio Público </w:t>
      </w:r>
      <w:r w:rsidR="0075608E" w:rsidRPr="00D50D50">
        <w:rPr>
          <w:rFonts w:asciiTheme="majorHAnsi" w:hAnsiTheme="majorHAnsi"/>
          <w:sz w:val="20"/>
          <w:szCs w:val="20"/>
          <w:lang w:val="es-ES"/>
        </w:rPr>
        <w:t xml:space="preserve">consideró que había </w:t>
      </w:r>
      <w:r w:rsidR="00364B96" w:rsidRPr="00D50D50">
        <w:rPr>
          <w:rFonts w:asciiTheme="majorHAnsi" w:hAnsiTheme="majorHAnsi"/>
          <w:sz w:val="20"/>
          <w:szCs w:val="20"/>
          <w:lang w:val="es-ES"/>
        </w:rPr>
        <w:t>peligro de obstac</w:t>
      </w:r>
      <w:r w:rsidR="00FD4654" w:rsidRPr="00D50D50">
        <w:rPr>
          <w:rFonts w:asciiTheme="majorHAnsi" w:hAnsiTheme="majorHAnsi"/>
          <w:sz w:val="20"/>
          <w:szCs w:val="20"/>
          <w:lang w:val="es-ES"/>
        </w:rPr>
        <w:t xml:space="preserve">ulización del proceso. Como consecuencia de </w:t>
      </w:r>
      <w:r w:rsidR="00D130AA" w:rsidRPr="00D50D50">
        <w:rPr>
          <w:rFonts w:asciiTheme="majorHAnsi" w:hAnsiTheme="majorHAnsi"/>
          <w:sz w:val="20"/>
          <w:szCs w:val="20"/>
          <w:lang w:val="es-ES"/>
        </w:rPr>
        <w:t>dicha</w:t>
      </w:r>
      <w:r w:rsidR="00364B96" w:rsidRPr="00D50D50">
        <w:rPr>
          <w:rFonts w:asciiTheme="majorHAnsi" w:hAnsiTheme="majorHAnsi"/>
          <w:sz w:val="20"/>
          <w:szCs w:val="20"/>
          <w:lang w:val="es-ES"/>
        </w:rPr>
        <w:t xml:space="preserve"> decisión, el </w:t>
      </w:r>
      <w:r w:rsidR="00D130AA" w:rsidRPr="00D50D50">
        <w:rPr>
          <w:rFonts w:asciiTheme="majorHAnsi" w:hAnsiTheme="majorHAnsi"/>
          <w:sz w:val="20"/>
          <w:szCs w:val="20"/>
          <w:lang w:val="es-ES"/>
        </w:rPr>
        <w:t xml:space="preserve">General </w:t>
      </w:r>
      <w:r w:rsidR="0068419D" w:rsidRPr="00D50D50">
        <w:rPr>
          <w:rFonts w:asciiTheme="majorHAnsi" w:hAnsiTheme="majorHAnsi"/>
          <w:sz w:val="20"/>
          <w:szCs w:val="20"/>
          <w:lang w:val="es-ES"/>
        </w:rPr>
        <w:t>Véliz</w:t>
      </w:r>
      <w:r w:rsidR="00364B96" w:rsidRPr="00D50D50">
        <w:rPr>
          <w:rFonts w:asciiTheme="majorHAnsi" w:hAnsiTheme="majorHAnsi"/>
          <w:sz w:val="20"/>
          <w:szCs w:val="20"/>
          <w:lang w:val="es-ES"/>
        </w:rPr>
        <w:t xml:space="preserve"> Herrera </w:t>
      </w:r>
      <w:r w:rsidR="002F20D4" w:rsidRPr="00D50D50">
        <w:rPr>
          <w:rFonts w:asciiTheme="majorHAnsi" w:hAnsiTheme="majorHAnsi"/>
          <w:sz w:val="20"/>
          <w:szCs w:val="20"/>
          <w:lang w:val="es-ES"/>
        </w:rPr>
        <w:t xml:space="preserve">presentó el 18 de marzo de 2011 </w:t>
      </w:r>
      <w:r w:rsidR="00FD4654" w:rsidRPr="00D50D50">
        <w:rPr>
          <w:rFonts w:asciiTheme="majorHAnsi" w:hAnsiTheme="majorHAnsi"/>
          <w:sz w:val="20"/>
          <w:szCs w:val="20"/>
          <w:lang w:val="es-ES"/>
        </w:rPr>
        <w:t>una acción de l</w:t>
      </w:r>
      <w:r w:rsidR="002F20D4" w:rsidRPr="00D50D50">
        <w:rPr>
          <w:rFonts w:asciiTheme="majorHAnsi" w:hAnsiTheme="majorHAnsi"/>
          <w:sz w:val="20"/>
          <w:szCs w:val="20"/>
          <w:lang w:val="es-ES"/>
        </w:rPr>
        <w:t>ibertad, que fue denegada</w:t>
      </w:r>
      <w:r w:rsidR="00D130AA" w:rsidRPr="00D50D50">
        <w:rPr>
          <w:rFonts w:asciiTheme="majorHAnsi" w:hAnsiTheme="majorHAnsi"/>
          <w:sz w:val="20"/>
          <w:szCs w:val="20"/>
          <w:lang w:val="es-ES"/>
        </w:rPr>
        <w:t xml:space="preserve"> por </w:t>
      </w:r>
      <w:r w:rsidR="002F20D4" w:rsidRPr="00D50D50">
        <w:rPr>
          <w:rFonts w:asciiTheme="majorHAnsi" w:hAnsiTheme="majorHAnsi"/>
          <w:sz w:val="20"/>
          <w:szCs w:val="20"/>
          <w:lang w:val="es-ES"/>
        </w:rPr>
        <w:t>considera</w:t>
      </w:r>
      <w:r w:rsidR="00D130AA" w:rsidRPr="00D50D50">
        <w:rPr>
          <w:rFonts w:asciiTheme="majorHAnsi" w:hAnsiTheme="majorHAnsi"/>
          <w:sz w:val="20"/>
          <w:szCs w:val="20"/>
          <w:lang w:val="es-ES"/>
        </w:rPr>
        <w:t>r</w:t>
      </w:r>
      <w:r w:rsidR="002F20D4" w:rsidRPr="00D50D50">
        <w:rPr>
          <w:rFonts w:asciiTheme="majorHAnsi" w:hAnsiTheme="majorHAnsi"/>
          <w:sz w:val="20"/>
          <w:szCs w:val="20"/>
          <w:lang w:val="es-ES"/>
        </w:rPr>
        <w:t xml:space="preserve"> los órganos judiciales</w:t>
      </w:r>
      <w:r w:rsidR="00D130AA" w:rsidRPr="00D50D50">
        <w:rPr>
          <w:rFonts w:asciiTheme="majorHAnsi" w:hAnsiTheme="majorHAnsi"/>
          <w:sz w:val="20"/>
          <w:szCs w:val="20"/>
          <w:lang w:val="es-ES"/>
        </w:rPr>
        <w:t xml:space="preserve"> que no se determinó </w:t>
      </w:r>
      <w:r w:rsidR="002F20D4" w:rsidRPr="00D50D50">
        <w:rPr>
          <w:rFonts w:asciiTheme="majorHAnsi" w:hAnsiTheme="majorHAnsi"/>
          <w:sz w:val="20"/>
          <w:szCs w:val="20"/>
          <w:lang w:val="es-ES"/>
        </w:rPr>
        <w:t>vulneración</w:t>
      </w:r>
      <w:r w:rsidR="00D130AA" w:rsidRPr="00D50D50">
        <w:rPr>
          <w:rFonts w:asciiTheme="majorHAnsi" w:hAnsiTheme="majorHAnsi"/>
          <w:sz w:val="20"/>
          <w:szCs w:val="20"/>
          <w:lang w:val="es-ES"/>
        </w:rPr>
        <w:t xml:space="preserve"> alguna</w:t>
      </w:r>
      <w:r w:rsidR="002F20D4" w:rsidRPr="00D50D50">
        <w:rPr>
          <w:rFonts w:asciiTheme="majorHAnsi" w:hAnsiTheme="majorHAnsi"/>
          <w:sz w:val="20"/>
          <w:szCs w:val="20"/>
          <w:lang w:val="es-ES"/>
        </w:rPr>
        <w:t>.</w:t>
      </w:r>
    </w:p>
    <w:p w14:paraId="636A2AD0" w14:textId="77777777" w:rsidR="00186A95" w:rsidRPr="00D50D50" w:rsidRDefault="00186A95" w:rsidP="00186A9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D04A11F" w14:textId="19D91A47" w:rsidR="00487DC5" w:rsidRPr="00D50D50" w:rsidRDefault="002F20D4" w:rsidP="00FB76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 xml:space="preserve">El 4 de octubre de 2011 se dio lectura a la sentencia condenatoria del </w:t>
      </w:r>
      <w:r w:rsidR="00D130AA" w:rsidRPr="00D50D50">
        <w:rPr>
          <w:rFonts w:asciiTheme="majorHAnsi" w:hAnsiTheme="majorHAnsi"/>
          <w:sz w:val="20"/>
          <w:szCs w:val="20"/>
          <w:lang w:val="es-ES"/>
        </w:rPr>
        <w:t>j</w:t>
      </w:r>
      <w:r w:rsidRPr="00D50D50">
        <w:rPr>
          <w:rFonts w:asciiTheme="majorHAnsi" w:hAnsiTheme="majorHAnsi"/>
          <w:sz w:val="20"/>
          <w:szCs w:val="20"/>
          <w:lang w:val="es-ES"/>
        </w:rPr>
        <w:t xml:space="preserve">uicio de </w:t>
      </w:r>
      <w:r w:rsidR="00D130AA" w:rsidRPr="00D50D50">
        <w:rPr>
          <w:rFonts w:asciiTheme="majorHAnsi" w:hAnsiTheme="majorHAnsi"/>
          <w:sz w:val="20"/>
          <w:szCs w:val="20"/>
          <w:lang w:val="es-ES"/>
        </w:rPr>
        <w:t>r</w:t>
      </w:r>
      <w:r w:rsidRPr="00D50D50">
        <w:rPr>
          <w:rFonts w:asciiTheme="majorHAnsi" w:hAnsiTheme="majorHAnsi"/>
          <w:sz w:val="20"/>
          <w:szCs w:val="20"/>
          <w:lang w:val="es-ES"/>
        </w:rPr>
        <w:t>esponsabilidad</w:t>
      </w:r>
      <w:r w:rsidR="00D130AA" w:rsidRPr="00D50D50">
        <w:rPr>
          <w:rFonts w:asciiTheme="majorHAnsi" w:hAnsiTheme="majorHAnsi"/>
          <w:sz w:val="20"/>
          <w:szCs w:val="20"/>
          <w:lang w:val="es-ES"/>
        </w:rPr>
        <w:t xml:space="preserve"> en la que se declaró a los Generales</w:t>
      </w:r>
      <w:r w:rsidRPr="00D50D50">
        <w:rPr>
          <w:rFonts w:asciiTheme="majorHAnsi" w:hAnsiTheme="majorHAnsi"/>
          <w:sz w:val="20"/>
          <w:szCs w:val="20"/>
          <w:lang w:val="es-ES"/>
        </w:rPr>
        <w:t xml:space="preserve"> Claro F</w:t>
      </w:r>
      <w:r w:rsidR="00E25704" w:rsidRPr="00D50D50">
        <w:rPr>
          <w:rFonts w:asciiTheme="majorHAnsi" w:hAnsiTheme="majorHAnsi"/>
          <w:sz w:val="20"/>
          <w:szCs w:val="20"/>
          <w:lang w:val="es-ES"/>
        </w:rPr>
        <w:t xml:space="preserve">lores, </w:t>
      </w:r>
      <w:r w:rsidR="0068419D" w:rsidRPr="00D50D50">
        <w:rPr>
          <w:rFonts w:asciiTheme="majorHAnsi" w:hAnsiTheme="majorHAnsi"/>
          <w:sz w:val="20"/>
          <w:szCs w:val="20"/>
          <w:lang w:val="es-ES"/>
        </w:rPr>
        <w:t>Véliz</w:t>
      </w:r>
      <w:r w:rsidRPr="00D50D50">
        <w:rPr>
          <w:rFonts w:asciiTheme="majorHAnsi" w:hAnsiTheme="majorHAnsi"/>
          <w:sz w:val="20"/>
          <w:szCs w:val="20"/>
          <w:lang w:val="es-ES"/>
        </w:rPr>
        <w:t xml:space="preserve"> Herrera</w:t>
      </w:r>
      <w:r w:rsidR="00E25704" w:rsidRPr="00D50D50">
        <w:rPr>
          <w:rFonts w:asciiTheme="majorHAnsi" w:hAnsiTheme="majorHAnsi"/>
          <w:sz w:val="20"/>
          <w:szCs w:val="20"/>
          <w:lang w:val="es-ES"/>
        </w:rPr>
        <w:t xml:space="preserve"> y </w:t>
      </w:r>
      <w:proofErr w:type="spellStart"/>
      <w:r w:rsidR="00E25704" w:rsidRPr="00D50D50">
        <w:rPr>
          <w:rFonts w:asciiTheme="majorHAnsi" w:hAnsiTheme="majorHAnsi"/>
          <w:sz w:val="20"/>
          <w:szCs w:val="20"/>
          <w:lang w:val="es-ES"/>
        </w:rPr>
        <w:t>Rocabado</w:t>
      </w:r>
      <w:proofErr w:type="spellEnd"/>
      <w:r w:rsidR="00E25704" w:rsidRPr="00D50D50">
        <w:rPr>
          <w:rFonts w:asciiTheme="majorHAnsi" w:hAnsiTheme="majorHAnsi"/>
          <w:sz w:val="20"/>
          <w:szCs w:val="20"/>
          <w:lang w:val="es-ES"/>
        </w:rPr>
        <w:t xml:space="preserve"> Mercado</w:t>
      </w:r>
      <w:r w:rsidRPr="00D50D50">
        <w:rPr>
          <w:rFonts w:asciiTheme="majorHAnsi" w:hAnsiTheme="majorHAnsi"/>
          <w:sz w:val="20"/>
          <w:szCs w:val="20"/>
          <w:lang w:val="es-ES"/>
        </w:rPr>
        <w:t xml:space="preserve"> </w:t>
      </w:r>
      <w:r w:rsidR="00D130AA" w:rsidRPr="00D50D50">
        <w:rPr>
          <w:rFonts w:asciiTheme="majorHAnsi" w:hAnsiTheme="majorHAnsi"/>
          <w:sz w:val="20"/>
          <w:szCs w:val="20"/>
          <w:lang w:val="es-ES"/>
        </w:rPr>
        <w:t xml:space="preserve">como </w:t>
      </w:r>
      <w:r w:rsidRPr="00D50D50">
        <w:rPr>
          <w:rFonts w:asciiTheme="majorHAnsi" w:hAnsiTheme="majorHAnsi"/>
          <w:sz w:val="20"/>
          <w:szCs w:val="20"/>
          <w:lang w:val="es-ES"/>
        </w:rPr>
        <w:t>autores m</w:t>
      </w:r>
      <w:r w:rsidR="009510A1" w:rsidRPr="00D50D50">
        <w:rPr>
          <w:rFonts w:asciiTheme="majorHAnsi" w:hAnsiTheme="majorHAnsi"/>
          <w:sz w:val="20"/>
          <w:szCs w:val="20"/>
          <w:lang w:val="es-ES"/>
        </w:rPr>
        <w:t xml:space="preserve">ediatos del delito de genocidio. El Estado argumenta que </w:t>
      </w:r>
      <w:r w:rsidR="00D130AA" w:rsidRPr="00D50D50">
        <w:rPr>
          <w:rFonts w:asciiTheme="majorHAnsi" w:hAnsiTheme="majorHAnsi"/>
          <w:sz w:val="20"/>
          <w:szCs w:val="20"/>
          <w:lang w:val="es-ES"/>
        </w:rPr>
        <w:t xml:space="preserve">todos ellos eran </w:t>
      </w:r>
      <w:r w:rsidR="009510A1" w:rsidRPr="00D50D50">
        <w:rPr>
          <w:rFonts w:asciiTheme="majorHAnsi" w:hAnsiTheme="majorHAnsi"/>
          <w:sz w:val="20"/>
          <w:szCs w:val="20"/>
          <w:lang w:val="es-ES"/>
        </w:rPr>
        <w:t xml:space="preserve">miembros del </w:t>
      </w:r>
      <w:r w:rsidR="00EE7777" w:rsidRPr="00D50D50">
        <w:rPr>
          <w:rFonts w:asciiTheme="majorHAnsi" w:hAnsiTheme="majorHAnsi"/>
          <w:sz w:val="20"/>
          <w:szCs w:val="20"/>
          <w:lang w:val="es-ES"/>
        </w:rPr>
        <w:t>a</w:t>
      </w:r>
      <w:r w:rsidR="009510A1" w:rsidRPr="00D50D50">
        <w:rPr>
          <w:rFonts w:asciiTheme="majorHAnsi" w:hAnsiTheme="majorHAnsi"/>
          <w:sz w:val="20"/>
          <w:szCs w:val="20"/>
          <w:lang w:val="es-ES"/>
        </w:rPr>
        <w:t xml:space="preserve">lto </w:t>
      </w:r>
      <w:r w:rsidR="00EE7777" w:rsidRPr="00D50D50">
        <w:rPr>
          <w:rFonts w:asciiTheme="majorHAnsi" w:hAnsiTheme="majorHAnsi"/>
          <w:sz w:val="20"/>
          <w:szCs w:val="20"/>
          <w:lang w:val="es-ES"/>
        </w:rPr>
        <w:t>m</w:t>
      </w:r>
      <w:r w:rsidR="009510A1" w:rsidRPr="00D50D50">
        <w:rPr>
          <w:rFonts w:asciiTheme="majorHAnsi" w:hAnsiTheme="majorHAnsi"/>
          <w:sz w:val="20"/>
          <w:szCs w:val="20"/>
          <w:lang w:val="es-ES"/>
        </w:rPr>
        <w:t xml:space="preserve">ando </w:t>
      </w:r>
      <w:r w:rsidR="00EE7777" w:rsidRPr="00D50D50">
        <w:rPr>
          <w:rFonts w:asciiTheme="majorHAnsi" w:hAnsiTheme="majorHAnsi"/>
          <w:sz w:val="20"/>
          <w:szCs w:val="20"/>
          <w:lang w:val="es-ES"/>
        </w:rPr>
        <w:t>m</w:t>
      </w:r>
      <w:r w:rsidR="009510A1" w:rsidRPr="00D50D50">
        <w:rPr>
          <w:rFonts w:asciiTheme="majorHAnsi" w:hAnsiTheme="majorHAnsi"/>
          <w:sz w:val="20"/>
          <w:szCs w:val="20"/>
          <w:lang w:val="es-ES"/>
        </w:rPr>
        <w:t>ilitar</w:t>
      </w:r>
      <w:r w:rsidR="00D130AA" w:rsidRPr="00D50D50">
        <w:rPr>
          <w:rFonts w:asciiTheme="majorHAnsi" w:hAnsiTheme="majorHAnsi"/>
          <w:sz w:val="20"/>
          <w:szCs w:val="20"/>
          <w:lang w:val="es-ES"/>
        </w:rPr>
        <w:t xml:space="preserve"> que</w:t>
      </w:r>
      <w:r w:rsidR="009510A1" w:rsidRPr="00D50D50">
        <w:rPr>
          <w:rFonts w:asciiTheme="majorHAnsi" w:hAnsiTheme="majorHAnsi"/>
          <w:sz w:val="20"/>
          <w:szCs w:val="20"/>
          <w:lang w:val="es-ES"/>
        </w:rPr>
        <w:t xml:space="preserve"> ordena</w:t>
      </w:r>
      <w:r w:rsidR="00D130AA" w:rsidRPr="00D50D50">
        <w:rPr>
          <w:rFonts w:asciiTheme="majorHAnsi" w:hAnsiTheme="majorHAnsi"/>
          <w:sz w:val="20"/>
          <w:szCs w:val="20"/>
          <w:lang w:val="es-ES"/>
        </w:rPr>
        <w:t>ron</w:t>
      </w:r>
      <w:r w:rsidR="009510A1" w:rsidRPr="00D50D50">
        <w:rPr>
          <w:rFonts w:asciiTheme="majorHAnsi" w:hAnsiTheme="majorHAnsi"/>
          <w:sz w:val="20"/>
          <w:szCs w:val="20"/>
          <w:lang w:val="es-ES"/>
        </w:rPr>
        <w:t xml:space="preserve"> la intervención de sus tropas mediante decisiones supervisadas por ellos, medidas que resultaron desproporcionales frente a los actos cometidos por los manifestantes. </w:t>
      </w:r>
      <w:r w:rsidR="009E0D8F" w:rsidRPr="00D50D50">
        <w:rPr>
          <w:rFonts w:asciiTheme="majorHAnsi" w:hAnsiTheme="majorHAnsi"/>
          <w:sz w:val="20"/>
          <w:szCs w:val="20"/>
          <w:lang w:val="es-ES"/>
        </w:rPr>
        <w:t xml:space="preserve">Adicionalmente, argumenta que durante las </w:t>
      </w:r>
      <w:r w:rsidR="00D130AA" w:rsidRPr="00D50D50">
        <w:rPr>
          <w:rFonts w:asciiTheme="majorHAnsi" w:hAnsiTheme="majorHAnsi"/>
          <w:sz w:val="20"/>
          <w:szCs w:val="20"/>
          <w:lang w:val="es-ES"/>
        </w:rPr>
        <w:t>a</w:t>
      </w:r>
      <w:r w:rsidR="009E0D8F" w:rsidRPr="00D50D50">
        <w:rPr>
          <w:rFonts w:asciiTheme="majorHAnsi" w:hAnsiTheme="majorHAnsi"/>
          <w:sz w:val="20"/>
          <w:szCs w:val="20"/>
          <w:lang w:val="es-ES"/>
        </w:rPr>
        <w:t>udiencias de</w:t>
      </w:r>
      <w:r w:rsidR="00D130AA" w:rsidRPr="00D50D50">
        <w:rPr>
          <w:rFonts w:asciiTheme="majorHAnsi" w:hAnsiTheme="majorHAnsi"/>
          <w:sz w:val="20"/>
          <w:szCs w:val="20"/>
          <w:lang w:val="es-ES"/>
        </w:rPr>
        <w:t>l</w:t>
      </w:r>
      <w:r w:rsidR="009E0D8F" w:rsidRPr="00D50D50">
        <w:rPr>
          <w:rFonts w:asciiTheme="majorHAnsi" w:hAnsiTheme="majorHAnsi"/>
          <w:sz w:val="20"/>
          <w:szCs w:val="20"/>
          <w:lang w:val="es-ES"/>
        </w:rPr>
        <w:t xml:space="preserve"> </w:t>
      </w:r>
      <w:r w:rsidR="00D130AA" w:rsidRPr="00D50D50">
        <w:rPr>
          <w:rFonts w:asciiTheme="majorHAnsi" w:hAnsiTheme="majorHAnsi"/>
          <w:sz w:val="20"/>
          <w:szCs w:val="20"/>
          <w:lang w:val="es-ES"/>
        </w:rPr>
        <w:t>j</w:t>
      </w:r>
      <w:r w:rsidR="009E0D8F" w:rsidRPr="00D50D50">
        <w:rPr>
          <w:rFonts w:asciiTheme="majorHAnsi" w:hAnsiTheme="majorHAnsi"/>
          <w:sz w:val="20"/>
          <w:szCs w:val="20"/>
          <w:lang w:val="es-ES"/>
        </w:rPr>
        <w:t xml:space="preserve">uicio de </w:t>
      </w:r>
      <w:r w:rsidR="00D130AA" w:rsidRPr="00D50D50">
        <w:rPr>
          <w:rFonts w:asciiTheme="majorHAnsi" w:hAnsiTheme="majorHAnsi"/>
          <w:sz w:val="20"/>
          <w:szCs w:val="20"/>
          <w:lang w:val="es-ES"/>
        </w:rPr>
        <w:t>r</w:t>
      </w:r>
      <w:r w:rsidR="009E0D8F" w:rsidRPr="00D50D50">
        <w:rPr>
          <w:rFonts w:asciiTheme="majorHAnsi" w:hAnsiTheme="majorHAnsi"/>
          <w:sz w:val="20"/>
          <w:szCs w:val="20"/>
          <w:lang w:val="es-ES"/>
        </w:rPr>
        <w:t xml:space="preserve">esponsabilidad </w:t>
      </w:r>
      <w:r w:rsidR="00D130AA" w:rsidRPr="00D50D50">
        <w:rPr>
          <w:rFonts w:asciiTheme="majorHAnsi" w:hAnsiTheme="majorHAnsi"/>
          <w:sz w:val="20"/>
          <w:szCs w:val="20"/>
          <w:lang w:val="es-ES"/>
        </w:rPr>
        <w:t xml:space="preserve">de julio de 2009 las presuntas víctimas pudieron </w:t>
      </w:r>
      <w:r w:rsidR="00C7467C" w:rsidRPr="00D50D50">
        <w:rPr>
          <w:rFonts w:asciiTheme="majorHAnsi" w:hAnsiTheme="majorHAnsi"/>
          <w:sz w:val="20"/>
          <w:szCs w:val="20"/>
          <w:lang w:val="es-ES"/>
        </w:rPr>
        <w:t>interponer la</w:t>
      </w:r>
      <w:r w:rsidR="00D130AA" w:rsidRPr="00D50D50">
        <w:rPr>
          <w:rFonts w:asciiTheme="majorHAnsi" w:hAnsiTheme="majorHAnsi"/>
          <w:sz w:val="20"/>
          <w:szCs w:val="20"/>
          <w:lang w:val="es-ES"/>
        </w:rPr>
        <w:t>s</w:t>
      </w:r>
      <w:r w:rsidR="00C7467C" w:rsidRPr="00D50D50">
        <w:rPr>
          <w:rFonts w:asciiTheme="majorHAnsi" w:hAnsiTheme="majorHAnsi"/>
          <w:sz w:val="20"/>
          <w:szCs w:val="20"/>
          <w:lang w:val="es-ES"/>
        </w:rPr>
        <w:t xml:space="preserve"> </w:t>
      </w:r>
      <w:r w:rsidR="00D130AA" w:rsidRPr="00D50D50">
        <w:rPr>
          <w:rFonts w:asciiTheme="majorHAnsi" w:hAnsiTheme="majorHAnsi"/>
          <w:sz w:val="20"/>
          <w:szCs w:val="20"/>
          <w:lang w:val="es-ES"/>
        </w:rPr>
        <w:t>e</w:t>
      </w:r>
      <w:r w:rsidR="00C7467C" w:rsidRPr="00D50D50">
        <w:rPr>
          <w:rFonts w:asciiTheme="majorHAnsi" w:hAnsiTheme="majorHAnsi"/>
          <w:sz w:val="20"/>
          <w:szCs w:val="20"/>
          <w:lang w:val="es-ES"/>
        </w:rPr>
        <w:t xml:space="preserve">xcepciones de </w:t>
      </w:r>
      <w:r w:rsidR="00D130AA" w:rsidRPr="00D50D50">
        <w:rPr>
          <w:rFonts w:asciiTheme="majorHAnsi" w:hAnsiTheme="majorHAnsi"/>
          <w:sz w:val="20"/>
          <w:szCs w:val="20"/>
          <w:lang w:val="es-ES"/>
        </w:rPr>
        <w:t>e</w:t>
      </w:r>
      <w:r w:rsidR="00C7467C" w:rsidRPr="00D50D50">
        <w:rPr>
          <w:rFonts w:asciiTheme="majorHAnsi" w:hAnsiTheme="majorHAnsi"/>
          <w:sz w:val="20"/>
          <w:szCs w:val="20"/>
          <w:lang w:val="es-ES"/>
        </w:rPr>
        <w:t xml:space="preserve">xtinción de la </w:t>
      </w:r>
      <w:r w:rsidR="00D130AA" w:rsidRPr="00D50D50">
        <w:rPr>
          <w:rFonts w:asciiTheme="majorHAnsi" w:hAnsiTheme="majorHAnsi"/>
          <w:sz w:val="20"/>
          <w:szCs w:val="20"/>
          <w:lang w:val="es-ES"/>
        </w:rPr>
        <w:t>a</w:t>
      </w:r>
      <w:r w:rsidR="00C7467C" w:rsidRPr="00D50D50">
        <w:rPr>
          <w:rFonts w:asciiTheme="majorHAnsi" w:hAnsiTheme="majorHAnsi"/>
          <w:sz w:val="20"/>
          <w:szCs w:val="20"/>
          <w:lang w:val="es-ES"/>
        </w:rPr>
        <w:t>cción por máxima duración del proceso</w:t>
      </w:r>
      <w:r w:rsidR="00D130AA" w:rsidRPr="00D50D50">
        <w:rPr>
          <w:rFonts w:asciiTheme="majorHAnsi" w:hAnsiTheme="majorHAnsi"/>
          <w:sz w:val="20"/>
          <w:szCs w:val="20"/>
          <w:lang w:val="es-ES"/>
        </w:rPr>
        <w:t xml:space="preserve">. Las excepciones fueron rechazadas como </w:t>
      </w:r>
      <w:r w:rsidR="00E43FEF" w:rsidRPr="00D50D50">
        <w:rPr>
          <w:rFonts w:asciiTheme="majorHAnsi" w:hAnsiTheme="majorHAnsi"/>
          <w:sz w:val="20"/>
          <w:szCs w:val="20"/>
          <w:lang w:val="es-ES"/>
        </w:rPr>
        <w:t>improbada</w:t>
      </w:r>
      <w:r w:rsidR="00D130AA" w:rsidRPr="00D50D50">
        <w:rPr>
          <w:rFonts w:asciiTheme="majorHAnsi" w:hAnsiTheme="majorHAnsi"/>
          <w:sz w:val="20"/>
          <w:szCs w:val="20"/>
          <w:lang w:val="es-ES"/>
        </w:rPr>
        <w:t>s</w:t>
      </w:r>
      <w:r w:rsidR="00E43FEF" w:rsidRPr="00D50D50">
        <w:rPr>
          <w:rFonts w:asciiTheme="majorHAnsi" w:hAnsiTheme="majorHAnsi"/>
          <w:sz w:val="20"/>
          <w:szCs w:val="20"/>
          <w:lang w:val="es-ES"/>
        </w:rPr>
        <w:t xml:space="preserve"> </w:t>
      </w:r>
      <w:r w:rsidR="00C7467C" w:rsidRPr="00D50D50">
        <w:rPr>
          <w:rFonts w:asciiTheme="majorHAnsi" w:hAnsiTheme="majorHAnsi"/>
          <w:sz w:val="20"/>
          <w:szCs w:val="20"/>
          <w:lang w:val="es-ES"/>
        </w:rPr>
        <w:t>el</w:t>
      </w:r>
      <w:r w:rsidR="00E946E4" w:rsidRPr="00D50D50">
        <w:rPr>
          <w:rFonts w:asciiTheme="majorHAnsi" w:hAnsiTheme="majorHAnsi"/>
          <w:sz w:val="20"/>
          <w:szCs w:val="20"/>
          <w:lang w:val="es-ES"/>
        </w:rPr>
        <w:t xml:space="preserve"> 14 de </w:t>
      </w:r>
      <w:r w:rsidR="00D130AA" w:rsidRPr="00D50D50">
        <w:rPr>
          <w:rFonts w:asciiTheme="majorHAnsi" w:hAnsiTheme="majorHAnsi"/>
          <w:sz w:val="20"/>
          <w:szCs w:val="20"/>
          <w:lang w:val="es-ES"/>
        </w:rPr>
        <w:t>a</w:t>
      </w:r>
      <w:r w:rsidR="00E946E4" w:rsidRPr="00D50D50">
        <w:rPr>
          <w:rFonts w:asciiTheme="majorHAnsi" w:hAnsiTheme="majorHAnsi"/>
          <w:sz w:val="20"/>
          <w:szCs w:val="20"/>
          <w:lang w:val="es-ES"/>
        </w:rPr>
        <w:t>gosto de 2009</w:t>
      </w:r>
      <w:r w:rsidR="00E43FEF" w:rsidRPr="00D50D50">
        <w:rPr>
          <w:rFonts w:asciiTheme="majorHAnsi" w:hAnsiTheme="majorHAnsi"/>
          <w:sz w:val="20"/>
          <w:szCs w:val="20"/>
          <w:lang w:val="es-ES"/>
        </w:rPr>
        <w:t>,</w:t>
      </w:r>
      <w:r w:rsidR="00D130AA" w:rsidRPr="00D50D50">
        <w:rPr>
          <w:rFonts w:asciiTheme="majorHAnsi" w:hAnsiTheme="majorHAnsi"/>
          <w:sz w:val="20"/>
          <w:szCs w:val="20"/>
          <w:lang w:val="es-ES"/>
        </w:rPr>
        <w:t xml:space="preserve"> por considerar</w:t>
      </w:r>
      <w:r w:rsidR="00C7467C" w:rsidRPr="00D50D50">
        <w:rPr>
          <w:rFonts w:asciiTheme="majorHAnsi" w:hAnsiTheme="majorHAnsi"/>
          <w:sz w:val="20"/>
          <w:szCs w:val="20"/>
          <w:lang w:val="es-ES"/>
        </w:rPr>
        <w:t xml:space="preserve"> </w:t>
      </w:r>
      <w:r w:rsidR="00E946E4" w:rsidRPr="00D50D50">
        <w:rPr>
          <w:rFonts w:asciiTheme="majorHAnsi" w:hAnsiTheme="majorHAnsi"/>
          <w:sz w:val="20"/>
          <w:szCs w:val="20"/>
          <w:lang w:val="es-ES"/>
        </w:rPr>
        <w:t xml:space="preserve">que </w:t>
      </w:r>
      <w:r w:rsidR="00C7467C" w:rsidRPr="00D50D50">
        <w:rPr>
          <w:rFonts w:asciiTheme="majorHAnsi" w:hAnsiTheme="majorHAnsi"/>
          <w:sz w:val="20"/>
          <w:szCs w:val="20"/>
          <w:lang w:val="es-ES"/>
        </w:rPr>
        <w:t xml:space="preserve">las dilaciones en la fase de investigación eran atribuibles a </w:t>
      </w:r>
      <w:r w:rsidR="00D130AA" w:rsidRPr="00D50D50">
        <w:rPr>
          <w:rFonts w:asciiTheme="majorHAnsi" w:hAnsiTheme="majorHAnsi"/>
          <w:sz w:val="20"/>
          <w:szCs w:val="20"/>
          <w:lang w:val="es-ES"/>
        </w:rPr>
        <w:t xml:space="preserve">las propias presuntas víctimas, </w:t>
      </w:r>
      <w:r w:rsidR="00E946E4" w:rsidRPr="00D50D50">
        <w:rPr>
          <w:rFonts w:asciiTheme="majorHAnsi" w:hAnsiTheme="majorHAnsi"/>
          <w:sz w:val="20"/>
          <w:szCs w:val="20"/>
          <w:lang w:val="es-ES"/>
        </w:rPr>
        <w:t>que argumentaron estar obligad</w:t>
      </w:r>
      <w:r w:rsidR="00D130AA" w:rsidRPr="00D50D50">
        <w:rPr>
          <w:rFonts w:asciiTheme="majorHAnsi" w:hAnsiTheme="majorHAnsi"/>
          <w:sz w:val="20"/>
          <w:szCs w:val="20"/>
          <w:lang w:val="es-ES"/>
        </w:rPr>
        <w:t>a</w:t>
      </w:r>
      <w:r w:rsidR="00E946E4" w:rsidRPr="00D50D50">
        <w:rPr>
          <w:rFonts w:asciiTheme="majorHAnsi" w:hAnsiTheme="majorHAnsi"/>
          <w:sz w:val="20"/>
          <w:szCs w:val="20"/>
          <w:lang w:val="es-ES"/>
        </w:rPr>
        <w:t xml:space="preserve">s a </w:t>
      </w:r>
      <w:r w:rsidR="00AC4523" w:rsidRPr="00D50D50">
        <w:rPr>
          <w:rFonts w:asciiTheme="majorHAnsi" w:hAnsiTheme="majorHAnsi"/>
          <w:sz w:val="20"/>
          <w:szCs w:val="20"/>
          <w:lang w:val="es-ES"/>
        </w:rPr>
        <w:t>guardar el secreto militar</w:t>
      </w:r>
      <w:r w:rsidR="00296286" w:rsidRPr="00D50D50">
        <w:rPr>
          <w:rFonts w:asciiTheme="majorHAnsi" w:hAnsiTheme="majorHAnsi"/>
          <w:sz w:val="20"/>
          <w:szCs w:val="20"/>
          <w:lang w:val="es-ES"/>
        </w:rPr>
        <w:t xml:space="preserve">. </w:t>
      </w:r>
      <w:r w:rsidR="00EE7777" w:rsidRPr="00D50D50">
        <w:rPr>
          <w:rFonts w:asciiTheme="majorHAnsi" w:hAnsiTheme="majorHAnsi"/>
          <w:sz w:val="20"/>
          <w:szCs w:val="20"/>
          <w:lang w:val="es-ES"/>
        </w:rPr>
        <w:t>Además</w:t>
      </w:r>
      <w:r w:rsidR="00296286" w:rsidRPr="00D50D50">
        <w:rPr>
          <w:rFonts w:asciiTheme="majorHAnsi" w:hAnsiTheme="majorHAnsi"/>
          <w:sz w:val="20"/>
          <w:szCs w:val="20"/>
          <w:lang w:val="es-ES"/>
        </w:rPr>
        <w:t xml:space="preserve">, </w:t>
      </w:r>
      <w:r w:rsidR="00EE7777" w:rsidRPr="00D50D50">
        <w:rPr>
          <w:rFonts w:asciiTheme="majorHAnsi" w:hAnsiTheme="majorHAnsi"/>
          <w:sz w:val="20"/>
          <w:szCs w:val="20"/>
          <w:lang w:val="es-ES"/>
        </w:rPr>
        <w:t xml:space="preserve">el Estado </w:t>
      </w:r>
      <w:r w:rsidR="00D130AA" w:rsidRPr="00D50D50">
        <w:rPr>
          <w:rFonts w:asciiTheme="majorHAnsi" w:hAnsiTheme="majorHAnsi"/>
          <w:sz w:val="20"/>
          <w:szCs w:val="20"/>
          <w:lang w:val="es-ES"/>
        </w:rPr>
        <w:t xml:space="preserve">alega </w:t>
      </w:r>
      <w:r w:rsidR="00EE7777" w:rsidRPr="00D50D50">
        <w:rPr>
          <w:rFonts w:asciiTheme="majorHAnsi" w:hAnsiTheme="majorHAnsi"/>
          <w:sz w:val="20"/>
          <w:szCs w:val="20"/>
          <w:lang w:val="es-ES"/>
        </w:rPr>
        <w:t xml:space="preserve">que la lentitud en la resolución del caso obedece a diversos factores como </w:t>
      </w:r>
      <w:r w:rsidR="00296286" w:rsidRPr="00D50D50">
        <w:rPr>
          <w:rFonts w:asciiTheme="majorHAnsi" w:hAnsiTheme="majorHAnsi"/>
          <w:sz w:val="20"/>
          <w:szCs w:val="20"/>
          <w:lang w:val="es-ES"/>
        </w:rPr>
        <w:t>la complejidad del asunto, la cantidad de delitos, las actividades investigativas, la pluralidad de víctimas y el número de inculpados</w:t>
      </w:r>
      <w:r w:rsidR="003610AB" w:rsidRPr="00D50D50">
        <w:rPr>
          <w:rFonts w:asciiTheme="majorHAnsi" w:hAnsiTheme="majorHAnsi"/>
          <w:sz w:val="20"/>
          <w:szCs w:val="20"/>
          <w:lang w:val="es-ES"/>
        </w:rPr>
        <w:t>.</w:t>
      </w:r>
    </w:p>
    <w:p w14:paraId="4B73C6B7" w14:textId="77777777" w:rsidR="00186A95" w:rsidRPr="00D50D50" w:rsidRDefault="00186A95" w:rsidP="00D130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897FDFC" w14:textId="01A03D9D" w:rsidR="001908E0" w:rsidRPr="00D50D50" w:rsidRDefault="00D130AA" w:rsidP="00FB76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lastRenderedPageBreak/>
        <w:t xml:space="preserve">En cuanto a los alegatos sobre la </w:t>
      </w:r>
      <w:r w:rsidR="003610AB" w:rsidRPr="00D50D50">
        <w:rPr>
          <w:rFonts w:asciiTheme="majorHAnsi" w:hAnsiTheme="majorHAnsi"/>
          <w:sz w:val="20"/>
          <w:szCs w:val="20"/>
          <w:lang w:val="es-ES"/>
        </w:rPr>
        <w:t>competencia de</w:t>
      </w:r>
      <w:r w:rsidR="00F52FCD" w:rsidRPr="00D50D50">
        <w:rPr>
          <w:rFonts w:asciiTheme="majorHAnsi" w:hAnsiTheme="majorHAnsi"/>
          <w:sz w:val="20"/>
          <w:szCs w:val="20"/>
          <w:lang w:val="es-ES"/>
        </w:rPr>
        <w:t xml:space="preserve"> la Corte Suprema de Justicia para conocer sobre los juicios de responsabilidad, y la </w:t>
      </w:r>
      <w:r w:rsidRPr="00D50D50">
        <w:rPr>
          <w:rFonts w:asciiTheme="majorHAnsi" w:hAnsiTheme="majorHAnsi"/>
          <w:sz w:val="20"/>
          <w:szCs w:val="20"/>
          <w:lang w:val="es-ES"/>
        </w:rPr>
        <w:t xml:space="preserve">falta de </w:t>
      </w:r>
      <w:r w:rsidR="00F52FCD" w:rsidRPr="00D50D50">
        <w:rPr>
          <w:rFonts w:asciiTheme="majorHAnsi" w:hAnsiTheme="majorHAnsi"/>
          <w:sz w:val="20"/>
          <w:szCs w:val="20"/>
          <w:lang w:val="es-ES"/>
        </w:rPr>
        <w:t xml:space="preserve">imparcialidad de </w:t>
      </w:r>
      <w:r w:rsidRPr="00D50D50">
        <w:rPr>
          <w:rFonts w:asciiTheme="majorHAnsi" w:hAnsiTheme="majorHAnsi"/>
          <w:sz w:val="20"/>
          <w:szCs w:val="20"/>
          <w:lang w:val="es-ES"/>
        </w:rPr>
        <w:t xml:space="preserve">sus integrantes para establecer </w:t>
      </w:r>
      <w:r w:rsidR="00440B85" w:rsidRPr="00D50D50">
        <w:rPr>
          <w:rFonts w:asciiTheme="majorHAnsi" w:hAnsiTheme="majorHAnsi"/>
          <w:sz w:val="20"/>
          <w:szCs w:val="20"/>
          <w:lang w:val="es-ES"/>
        </w:rPr>
        <w:t>la culpabilidad de las presuntas víctimas</w:t>
      </w:r>
      <w:r w:rsidR="00F52FCD" w:rsidRPr="00D50D50">
        <w:rPr>
          <w:rFonts w:asciiTheme="majorHAnsi" w:hAnsiTheme="majorHAnsi"/>
          <w:sz w:val="20"/>
          <w:szCs w:val="20"/>
          <w:lang w:val="es-ES"/>
        </w:rPr>
        <w:t xml:space="preserve">, el Estado </w:t>
      </w:r>
      <w:r w:rsidRPr="00D50D50">
        <w:rPr>
          <w:rFonts w:asciiTheme="majorHAnsi" w:hAnsiTheme="majorHAnsi"/>
          <w:sz w:val="20"/>
          <w:szCs w:val="20"/>
          <w:lang w:val="es-ES"/>
        </w:rPr>
        <w:t xml:space="preserve">manifiesta </w:t>
      </w:r>
      <w:r w:rsidR="00F52FCD" w:rsidRPr="00D50D50">
        <w:rPr>
          <w:rFonts w:asciiTheme="majorHAnsi" w:hAnsiTheme="majorHAnsi"/>
          <w:sz w:val="20"/>
          <w:szCs w:val="20"/>
          <w:lang w:val="es-ES"/>
        </w:rPr>
        <w:t>que dicha</w:t>
      </w:r>
      <w:r w:rsidRPr="00D50D50">
        <w:rPr>
          <w:rFonts w:asciiTheme="majorHAnsi" w:hAnsiTheme="majorHAnsi"/>
          <w:sz w:val="20"/>
          <w:szCs w:val="20"/>
          <w:lang w:val="es-ES"/>
        </w:rPr>
        <w:t>s</w:t>
      </w:r>
      <w:r w:rsidR="00F52FCD" w:rsidRPr="00D50D50">
        <w:rPr>
          <w:rFonts w:asciiTheme="majorHAnsi" w:hAnsiTheme="majorHAnsi"/>
          <w:sz w:val="20"/>
          <w:szCs w:val="20"/>
          <w:lang w:val="es-ES"/>
        </w:rPr>
        <w:t xml:space="preserve"> atribuci</w:t>
      </w:r>
      <w:r w:rsidRPr="00D50D50">
        <w:rPr>
          <w:rFonts w:asciiTheme="majorHAnsi" w:hAnsiTheme="majorHAnsi"/>
          <w:sz w:val="20"/>
          <w:szCs w:val="20"/>
          <w:lang w:val="es-ES"/>
        </w:rPr>
        <w:t>ones</w:t>
      </w:r>
      <w:r w:rsidR="00F52FCD" w:rsidRPr="00D50D50">
        <w:rPr>
          <w:rFonts w:asciiTheme="majorHAnsi" w:hAnsiTheme="majorHAnsi"/>
          <w:sz w:val="20"/>
          <w:szCs w:val="20"/>
          <w:lang w:val="es-ES"/>
        </w:rPr>
        <w:t xml:space="preserve"> </w:t>
      </w:r>
      <w:r w:rsidR="001908E0" w:rsidRPr="00D50D50">
        <w:rPr>
          <w:rFonts w:asciiTheme="majorHAnsi" w:hAnsiTheme="majorHAnsi"/>
          <w:sz w:val="20"/>
          <w:szCs w:val="20"/>
          <w:lang w:val="es-ES"/>
        </w:rPr>
        <w:t>emana</w:t>
      </w:r>
      <w:r w:rsidRPr="00D50D50">
        <w:rPr>
          <w:rFonts w:asciiTheme="majorHAnsi" w:hAnsiTheme="majorHAnsi"/>
          <w:sz w:val="20"/>
          <w:szCs w:val="20"/>
          <w:lang w:val="es-ES"/>
        </w:rPr>
        <w:t>n</w:t>
      </w:r>
      <w:r w:rsidR="001908E0" w:rsidRPr="00D50D50">
        <w:rPr>
          <w:rFonts w:asciiTheme="majorHAnsi" w:hAnsiTheme="majorHAnsi"/>
          <w:sz w:val="20"/>
          <w:szCs w:val="20"/>
          <w:lang w:val="es-ES"/>
        </w:rPr>
        <w:t xml:space="preserve"> de </w:t>
      </w:r>
      <w:r w:rsidR="002F67BA" w:rsidRPr="00D50D50">
        <w:rPr>
          <w:rFonts w:asciiTheme="majorHAnsi" w:hAnsiTheme="majorHAnsi"/>
          <w:sz w:val="20"/>
          <w:szCs w:val="20"/>
          <w:lang w:val="es-ES"/>
        </w:rPr>
        <w:t>las leyes</w:t>
      </w:r>
      <w:r w:rsidR="00F52FCD" w:rsidRPr="00D50D50">
        <w:rPr>
          <w:rFonts w:asciiTheme="majorHAnsi" w:hAnsiTheme="majorHAnsi"/>
          <w:sz w:val="20"/>
          <w:szCs w:val="20"/>
          <w:lang w:val="es-ES"/>
        </w:rPr>
        <w:t xml:space="preserve"> nacionales y que no fue una decisión que obedeció a motivos particulares</w:t>
      </w:r>
      <w:r w:rsidR="001908E0" w:rsidRPr="00D50D50">
        <w:rPr>
          <w:rFonts w:asciiTheme="majorHAnsi" w:hAnsiTheme="majorHAnsi"/>
          <w:sz w:val="20"/>
          <w:szCs w:val="20"/>
          <w:lang w:val="es-ES"/>
        </w:rPr>
        <w:t>.</w:t>
      </w:r>
      <w:r w:rsidR="00F52FCD" w:rsidRPr="00D50D50">
        <w:rPr>
          <w:rFonts w:asciiTheme="majorHAnsi" w:hAnsiTheme="majorHAnsi"/>
          <w:sz w:val="20"/>
          <w:szCs w:val="20"/>
          <w:lang w:val="es-ES"/>
        </w:rPr>
        <w:t xml:space="preserve"> </w:t>
      </w:r>
      <w:r w:rsidRPr="00D50D50">
        <w:rPr>
          <w:rFonts w:asciiTheme="majorHAnsi" w:hAnsiTheme="majorHAnsi"/>
          <w:sz w:val="20"/>
          <w:szCs w:val="20"/>
          <w:lang w:val="es-ES"/>
        </w:rPr>
        <w:t>Señala en tal sentido que</w:t>
      </w:r>
      <w:r w:rsidR="001908E0" w:rsidRPr="00D50D50">
        <w:rPr>
          <w:rFonts w:asciiTheme="majorHAnsi" w:hAnsiTheme="majorHAnsi"/>
          <w:sz w:val="20"/>
          <w:szCs w:val="20"/>
          <w:lang w:val="es-ES"/>
        </w:rPr>
        <w:t xml:space="preserve"> la Constitución atribuy</w:t>
      </w:r>
      <w:r w:rsidRPr="00D50D50">
        <w:rPr>
          <w:rFonts w:asciiTheme="majorHAnsi" w:hAnsiTheme="majorHAnsi"/>
          <w:sz w:val="20"/>
          <w:szCs w:val="20"/>
          <w:lang w:val="es-ES"/>
        </w:rPr>
        <w:t>e</w:t>
      </w:r>
      <w:r w:rsidR="001908E0" w:rsidRPr="00D50D50">
        <w:rPr>
          <w:rFonts w:asciiTheme="majorHAnsi" w:hAnsiTheme="majorHAnsi"/>
          <w:sz w:val="20"/>
          <w:szCs w:val="20"/>
          <w:lang w:val="es-ES"/>
        </w:rPr>
        <w:t xml:space="preserve"> a la Sala Plena de la Corte Suprema de Ju</w:t>
      </w:r>
      <w:r w:rsidR="00D12BCD" w:rsidRPr="00D50D50">
        <w:rPr>
          <w:rFonts w:asciiTheme="majorHAnsi" w:hAnsiTheme="majorHAnsi"/>
          <w:sz w:val="20"/>
          <w:szCs w:val="20"/>
          <w:lang w:val="es-ES"/>
        </w:rPr>
        <w:t xml:space="preserve">sticia el conocimiento y resolución de juicios </w:t>
      </w:r>
      <w:r w:rsidRPr="00D50D50">
        <w:rPr>
          <w:rFonts w:asciiTheme="majorHAnsi" w:hAnsiTheme="majorHAnsi"/>
          <w:sz w:val="20"/>
          <w:szCs w:val="20"/>
          <w:lang w:val="es-ES"/>
        </w:rPr>
        <w:t xml:space="preserve">de </w:t>
      </w:r>
      <w:r w:rsidR="00D12BCD" w:rsidRPr="00D50D50">
        <w:rPr>
          <w:rFonts w:asciiTheme="majorHAnsi" w:hAnsiTheme="majorHAnsi"/>
          <w:sz w:val="20"/>
          <w:szCs w:val="20"/>
          <w:lang w:val="es-ES"/>
        </w:rPr>
        <w:t xml:space="preserve">responsabilidad, </w:t>
      </w:r>
      <w:r w:rsidRPr="00D50D50">
        <w:rPr>
          <w:rFonts w:asciiTheme="majorHAnsi" w:hAnsiTheme="majorHAnsi"/>
          <w:sz w:val="20"/>
          <w:szCs w:val="20"/>
          <w:lang w:val="es-ES"/>
        </w:rPr>
        <w:t>y</w:t>
      </w:r>
      <w:r w:rsidR="0094494C" w:rsidRPr="00D50D50">
        <w:rPr>
          <w:rFonts w:asciiTheme="majorHAnsi" w:hAnsiTheme="majorHAnsi"/>
          <w:sz w:val="20"/>
          <w:szCs w:val="20"/>
          <w:lang w:val="es-ES"/>
        </w:rPr>
        <w:t xml:space="preserve"> </w:t>
      </w:r>
      <w:r w:rsidRPr="00D50D50">
        <w:rPr>
          <w:rFonts w:asciiTheme="majorHAnsi" w:hAnsiTheme="majorHAnsi"/>
          <w:sz w:val="20"/>
          <w:szCs w:val="20"/>
          <w:lang w:val="es-ES"/>
        </w:rPr>
        <w:t xml:space="preserve">que </w:t>
      </w:r>
      <w:r w:rsidR="00500E05" w:rsidRPr="00D50D50">
        <w:rPr>
          <w:rFonts w:asciiTheme="majorHAnsi" w:hAnsiTheme="majorHAnsi"/>
          <w:sz w:val="20"/>
          <w:szCs w:val="20"/>
          <w:lang w:val="es-ES"/>
        </w:rPr>
        <w:t>la competencia de las autoridades judiciales</w:t>
      </w:r>
      <w:r w:rsidRPr="00D50D50">
        <w:rPr>
          <w:rFonts w:asciiTheme="majorHAnsi" w:hAnsiTheme="majorHAnsi"/>
          <w:sz w:val="20"/>
          <w:szCs w:val="20"/>
          <w:lang w:val="es-ES"/>
        </w:rPr>
        <w:t xml:space="preserve"> fue creada por la Ley 2.445</w:t>
      </w:r>
      <w:r w:rsidR="00500E05" w:rsidRPr="00D50D50">
        <w:rPr>
          <w:rFonts w:asciiTheme="majorHAnsi" w:hAnsiTheme="majorHAnsi"/>
          <w:sz w:val="20"/>
          <w:szCs w:val="20"/>
          <w:lang w:val="es-ES"/>
        </w:rPr>
        <w:t xml:space="preserve">. </w:t>
      </w:r>
      <w:r w:rsidRPr="00D50D50">
        <w:rPr>
          <w:rFonts w:asciiTheme="majorHAnsi" w:hAnsiTheme="majorHAnsi"/>
          <w:sz w:val="20"/>
          <w:szCs w:val="20"/>
          <w:lang w:val="es-ES"/>
        </w:rPr>
        <w:t>Alega que</w:t>
      </w:r>
      <w:r w:rsidR="00500E05" w:rsidRPr="00D50D50">
        <w:rPr>
          <w:rFonts w:asciiTheme="majorHAnsi" w:hAnsiTheme="majorHAnsi"/>
          <w:sz w:val="20"/>
          <w:szCs w:val="20"/>
          <w:lang w:val="es-ES"/>
        </w:rPr>
        <w:t xml:space="preserve"> la imparcialidad procesal es una presunción y sólo puede desvirtuarse cuando </w:t>
      </w:r>
      <w:r w:rsidRPr="00D50D50">
        <w:rPr>
          <w:rFonts w:asciiTheme="majorHAnsi" w:hAnsiTheme="majorHAnsi"/>
          <w:sz w:val="20"/>
          <w:szCs w:val="20"/>
          <w:lang w:val="es-ES"/>
        </w:rPr>
        <w:t xml:space="preserve">hubiera </w:t>
      </w:r>
      <w:r w:rsidR="00500E05" w:rsidRPr="00D50D50">
        <w:rPr>
          <w:rFonts w:asciiTheme="majorHAnsi" w:hAnsiTheme="majorHAnsi"/>
          <w:sz w:val="20"/>
          <w:szCs w:val="20"/>
          <w:lang w:val="es-ES"/>
        </w:rPr>
        <w:t xml:space="preserve">prueba manifiesta del </w:t>
      </w:r>
      <w:r w:rsidR="0094494C" w:rsidRPr="00D50D50">
        <w:rPr>
          <w:rFonts w:asciiTheme="majorHAnsi" w:hAnsiTheme="majorHAnsi"/>
          <w:sz w:val="20"/>
          <w:szCs w:val="20"/>
          <w:lang w:val="es-ES"/>
        </w:rPr>
        <w:t>supuesto</w:t>
      </w:r>
      <w:r w:rsidR="00500E05" w:rsidRPr="00D50D50">
        <w:rPr>
          <w:rFonts w:asciiTheme="majorHAnsi" w:hAnsiTheme="majorHAnsi"/>
          <w:sz w:val="20"/>
          <w:szCs w:val="20"/>
          <w:lang w:val="es-ES"/>
        </w:rPr>
        <w:t xml:space="preserve"> beneficio ilegal o ileg</w:t>
      </w:r>
      <w:r w:rsidRPr="00D50D50">
        <w:rPr>
          <w:rFonts w:asciiTheme="majorHAnsi" w:hAnsiTheme="majorHAnsi"/>
          <w:sz w:val="20"/>
          <w:szCs w:val="20"/>
          <w:lang w:val="es-ES"/>
        </w:rPr>
        <w:t>í</w:t>
      </w:r>
      <w:r w:rsidR="00500E05" w:rsidRPr="00D50D50">
        <w:rPr>
          <w:rFonts w:asciiTheme="majorHAnsi" w:hAnsiTheme="majorHAnsi"/>
          <w:sz w:val="20"/>
          <w:szCs w:val="20"/>
          <w:lang w:val="es-ES"/>
        </w:rPr>
        <w:t xml:space="preserve">timo que el juez </w:t>
      </w:r>
      <w:r w:rsidRPr="00D50D50">
        <w:rPr>
          <w:rFonts w:asciiTheme="majorHAnsi" w:hAnsiTheme="majorHAnsi"/>
          <w:sz w:val="20"/>
          <w:szCs w:val="20"/>
          <w:lang w:val="es-ES"/>
        </w:rPr>
        <w:t xml:space="preserve">otorga </w:t>
      </w:r>
      <w:r w:rsidR="00500E05" w:rsidRPr="00D50D50">
        <w:rPr>
          <w:rFonts w:asciiTheme="majorHAnsi" w:hAnsiTheme="majorHAnsi"/>
          <w:sz w:val="20"/>
          <w:szCs w:val="20"/>
          <w:lang w:val="es-ES"/>
        </w:rPr>
        <w:t xml:space="preserve">a </w:t>
      </w:r>
      <w:r w:rsidRPr="00D50D50">
        <w:rPr>
          <w:rFonts w:asciiTheme="majorHAnsi" w:hAnsiTheme="majorHAnsi"/>
          <w:sz w:val="20"/>
          <w:szCs w:val="20"/>
          <w:lang w:val="es-ES"/>
        </w:rPr>
        <w:t>alg</w:t>
      </w:r>
      <w:r w:rsidR="00500E05" w:rsidRPr="00D50D50">
        <w:rPr>
          <w:rFonts w:asciiTheme="majorHAnsi" w:hAnsiTheme="majorHAnsi"/>
          <w:sz w:val="20"/>
          <w:szCs w:val="20"/>
          <w:lang w:val="es-ES"/>
        </w:rPr>
        <w:t>una de las partes.</w:t>
      </w:r>
      <w:r w:rsidR="0094494C" w:rsidRPr="00D50D50">
        <w:rPr>
          <w:rFonts w:asciiTheme="majorHAnsi" w:hAnsiTheme="majorHAnsi"/>
          <w:sz w:val="20"/>
          <w:szCs w:val="20"/>
          <w:lang w:val="es-ES"/>
        </w:rPr>
        <w:t xml:space="preserve"> </w:t>
      </w:r>
      <w:r w:rsidRPr="00D50D50">
        <w:rPr>
          <w:rFonts w:asciiTheme="majorHAnsi" w:hAnsiTheme="majorHAnsi"/>
          <w:sz w:val="20"/>
          <w:szCs w:val="20"/>
          <w:lang w:val="es-ES"/>
        </w:rPr>
        <w:t xml:space="preserve">Respecto </w:t>
      </w:r>
      <w:r w:rsidR="0095543D" w:rsidRPr="00D50D50">
        <w:rPr>
          <w:rFonts w:asciiTheme="majorHAnsi" w:hAnsiTheme="majorHAnsi"/>
          <w:sz w:val="20"/>
          <w:szCs w:val="20"/>
          <w:lang w:val="es-ES"/>
        </w:rPr>
        <w:t>a la supuesta violación del derecho a la información de l</w:t>
      </w:r>
      <w:r w:rsidRPr="00D50D50">
        <w:rPr>
          <w:rFonts w:asciiTheme="majorHAnsi" w:hAnsiTheme="majorHAnsi"/>
          <w:sz w:val="20"/>
          <w:szCs w:val="20"/>
          <w:lang w:val="es-ES"/>
        </w:rPr>
        <w:t>as presuntas víctimas</w:t>
      </w:r>
      <w:r w:rsidR="003D1AC0" w:rsidRPr="00D50D50">
        <w:rPr>
          <w:rFonts w:asciiTheme="majorHAnsi" w:hAnsiTheme="majorHAnsi"/>
          <w:sz w:val="20"/>
          <w:szCs w:val="20"/>
          <w:lang w:val="es-ES"/>
        </w:rPr>
        <w:t>,</w:t>
      </w:r>
      <w:r w:rsidR="0095543D" w:rsidRPr="00D50D50">
        <w:rPr>
          <w:rFonts w:asciiTheme="majorHAnsi" w:hAnsiTheme="majorHAnsi"/>
          <w:sz w:val="20"/>
          <w:szCs w:val="20"/>
          <w:lang w:val="es-ES"/>
        </w:rPr>
        <w:t xml:space="preserve"> el Estado </w:t>
      </w:r>
      <w:r w:rsidR="00152569" w:rsidRPr="00D50D50">
        <w:rPr>
          <w:rFonts w:asciiTheme="majorHAnsi" w:hAnsiTheme="majorHAnsi"/>
          <w:sz w:val="20"/>
          <w:szCs w:val="20"/>
          <w:lang w:val="es-ES"/>
        </w:rPr>
        <w:t xml:space="preserve">indica </w:t>
      </w:r>
      <w:r w:rsidR="003D1AC0" w:rsidRPr="00D50D50">
        <w:rPr>
          <w:rFonts w:asciiTheme="majorHAnsi" w:hAnsiTheme="majorHAnsi"/>
          <w:sz w:val="20"/>
          <w:szCs w:val="20"/>
          <w:lang w:val="es-ES"/>
        </w:rPr>
        <w:t>q</w:t>
      </w:r>
      <w:r w:rsidR="0095543D" w:rsidRPr="00D50D50">
        <w:rPr>
          <w:rFonts w:asciiTheme="majorHAnsi" w:hAnsiTheme="majorHAnsi"/>
          <w:sz w:val="20"/>
          <w:szCs w:val="20"/>
          <w:lang w:val="es-ES"/>
        </w:rPr>
        <w:t xml:space="preserve">ue </w:t>
      </w:r>
      <w:r w:rsidR="00152569" w:rsidRPr="00D50D50">
        <w:rPr>
          <w:rFonts w:asciiTheme="majorHAnsi" w:hAnsiTheme="majorHAnsi"/>
          <w:sz w:val="20"/>
          <w:szCs w:val="20"/>
          <w:lang w:val="es-ES"/>
        </w:rPr>
        <w:t xml:space="preserve">sus declaraciones se recibieron en fechas </w:t>
      </w:r>
      <w:r w:rsidR="004F3520" w:rsidRPr="00D50D50">
        <w:rPr>
          <w:rFonts w:asciiTheme="majorHAnsi" w:hAnsiTheme="majorHAnsi"/>
          <w:sz w:val="20"/>
          <w:szCs w:val="20"/>
          <w:lang w:val="es-ES"/>
        </w:rPr>
        <w:t>31 de enero</w:t>
      </w:r>
      <w:r w:rsidR="00152569" w:rsidRPr="00D50D50">
        <w:rPr>
          <w:rFonts w:asciiTheme="majorHAnsi" w:hAnsiTheme="majorHAnsi"/>
          <w:sz w:val="20"/>
          <w:szCs w:val="20"/>
          <w:lang w:val="es-ES"/>
        </w:rPr>
        <w:t>,</w:t>
      </w:r>
      <w:r w:rsidR="004F3520" w:rsidRPr="00D50D50">
        <w:rPr>
          <w:rFonts w:asciiTheme="majorHAnsi" w:hAnsiTheme="majorHAnsi"/>
          <w:sz w:val="20"/>
          <w:szCs w:val="20"/>
          <w:lang w:val="es-ES"/>
        </w:rPr>
        <w:t xml:space="preserve"> </w:t>
      </w:r>
      <w:r w:rsidR="00943996" w:rsidRPr="00D50D50">
        <w:rPr>
          <w:rFonts w:asciiTheme="majorHAnsi" w:hAnsiTheme="majorHAnsi"/>
          <w:sz w:val="20"/>
          <w:szCs w:val="20"/>
          <w:lang w:val="es-ES"/>
        </w:rPr>
        <w:t>2</w:t>
      </w:r>
      <w:r w:rsidR="0094494C" w:rsidRPr="00D50D50">
        <w:rPr>
          <w:rFonts w:asciiTheme="majorHAnsi" w:hAnsiTheme="majorHAnsi"/>
          <w:sz w:val="20"/>
          <w:szCs w:val="20"/>
          <w:lang w:val="es-ES"/>
        </w:rPr>
        <w:t xml:space="preserve"> y 4 de marzo de 2006</w:t>
      </w:r>
      <w:r w:rsidR="004F3520" w:rsidRPr="00D50D50">
        <w:rPr>
          <w:rFonts w:asciiTheme="majorHAnsi" w:hAnsiTheme="majorHAnsi"/>
          <w:sz w:val="20"/>
          <w:szCs w:val="20"/>
          <w:lang w:val="es-ES"/>
        </w:rPr>
        <w:t xml:space="preserve"> </w:t>
      </w:r>
      <w:r w:rsidR="00152569" w:rsidRPr="00D50D50">
        <w:rPr>
          <w:rFonts w:asciiTheme="majorHAnsi" w:hAnsiTheme="majorHAnsi"/>
          <w:sz w:val="20"/>
          <w:szCs w:val="20"/>
          <w:lang w:val="es-ES"/>
        </w:rPr>
        <w:t>respectivamente; y que</w:t>
      </w:r>
      <w:r w:rsidR="00943996" w:rsidRPr="00D50D50">
        <w:rPr>
          <w:rFonts w:asciiTheme="majorHAnsi" w:hAnsiTheme="majorHAnsi"/>
          <w:sz w:val="20"/>
          <w:szCs w:val="20"/>
          <w:lang w:val="es-ES"/>
        </w:rPr>
        <w:t xml:space="preserve"> </w:t>
      </w:r>
      <w:r w:rsidR="00C71201" w:rsidRPr="00D50D50">
        <w:rPr>
          <w:rFonts w:asciiTheme="majorHAnsi" w:hAnsiTheme="majorHAnsi"/>
          <w:sz w:val="20"/>
          <w:szCs w:val="20"/>
          <w:lang w:val="es-ES"/>
        </w:rPr>
        <w:t xml:space="preserve">el 17 de octubre de 2007 </w:t>
      </w:r>
      <w:r w:rsidR="00943996" w:rsidRPr="00D50D50">
        <w:rPr>
          <w:rFonts w:asciiTheme="majorHAnsi" w:hAnsiTheme="majorHAnsi"/>
          <w:sz w:val="20"/>
          <w:szCs w:val="20"/>
          <w:lang w:val="es-ES"/>
        </w:rPr>
        <w:t xml:space="preserve">el Fiscal General de la República </w:t>
      </w:r>
      <w:r w:rsidR="00C71201" w:rsidRPr="00D50D50">
        <w:rPr>
          <w:rFonts w:asciiTheme="majorHAnsi" w:hAnsiTheme="majorHAnsi"/>
          <w:sz w:val="20"/>
          <w:szCs w:val="20"/>
          <w:lang w:val="es-ES"/>
        </w:rPr>
        <w:t>presentó la acusaci</w:t>
      </w:r>
      <w:r w:rsidR="00943996" w:rsidRPr="00D50D50">
        <w:rPr>
          <w:rFonts w:asciiTheme="majorHAnsi" w:hAnsiTheme="majorHAnsi"/>
          <w:sz w:val="20"/>
          <w:szCs w:val="20"/>
          <w:lang w:val="es-ES"/>
        </w:rPr>
        <w:t>ón</w:t>
      </w:r>
      <w:r w:rsidR="00C71201" w:rsidRPr="00D50D50">
        <w:rPr>
          <w:rFonts w:asciiTheme="majorHAnsi" w:hAnsiTheme="majorHAnsi"/>
          <w:sz w:val="20"/>
          <w:szCs w:val="20"/>
          <w:lang w:val="es-ES"/>
        </w:rPr>
        <w:t xml:space="preserve"> en </w:t>
      </w:r>
      <w:r w:rsidR="00152569" w:rsidRPr="00D50D50">
        <w:rPr>
          <w:rFonts w:asciiTheme="majorHAnsi" w:hAnsiTheme="majorHAnsi"/>
          <w:sz w:val="20"/>
          <w:szCs w:val="20"/>
          <w:lang w:val="es-ES"/>
        </w:rPr>
        <w:t xml:space="preserve">su </w:t>
      </w:r>
      <w:r w:rsidR="00C71201" w:rsidRPr="00D50D50">
        <w:rPr>
          <w:rFonts w:asciiTheme="majorHAnsi" w:hAnsiTheme="majorHAnsi"/>
          <w:sz w:val="20"/>
          <w:szCs w:val="20"/>
          <w:lang w:val="es-ES"/>
        </w:rPr>
        <w:t>contra</w:t>
      </w:r>
      <w:r w:rsidR="00152569" w:rsidRPr="00D50D50">
        <w:rPr>
          <w:rFonts w:asciiTheme="majorHAnsi" w:hAnsiTheme="majorHAnsi"/>
          <w:sz w:val="20"/>
          <w:szCs w:val="20"/>
          <w:lang w:val="es-ES"/>
        </w:rPr>
        <w:t>.</w:t>
      </w:r>
      <w:r w:rsidR="00943996" w:rsidRPr="00D50D50">
        <w:rPr>
          <w:rFonts w:asciiTheme="majorHAnsi" w:hAnsiTheme="majorHAnsi"/>
          <w:sz w:val="20"/>
          <w:szCs w:val="20"/>
          <w:lang w:val="es-ES"/>
        </w:rPr>
        <w:t xml:space="preserve"> </w:t>
      </w:r>
      <w:r w:rsidR="00152569" w:rsidRPr="00D50D50">
        <w:rPr>
          <w:rFonts w:asciiTheme="majorHAnsi" w:hAnsiTheme="majorHAnsi"/>
          <w:sz w:val="20"/>
          <w:szCs w:val="20"/>
          <w:lang w:val="es-ES"/>
        </w:rPr>
        <w:t>E</w:t>
      </w:r>
      <w:r w:rsidR="00943996" w:rsidRPr="00D50D50">
        <w:rPr>
          <w:rFonts w:asciiTheme="majorHAnsi" w:hAnsiTheme="majorHAnsi"/>
          <w:sz w:val="20"/>
          <w:szCs w:val="20"/>
          <w:lang w:val="es-ES"/>
        </w:rPr>
        <w:t xml:space="preserve">l Estado asegura que </w:t>
      </w:r>
      <w:r w:rsidR="00152569" w:rsidRPr="00D50D50">
        <w:rPr>
          <w:rFonts w:asciiTheme="majorHAnsi" w:hAnsiTheme="majorHAnsi"/>
          <w:sz w:val="20"/>
          <w:szCs w:val="20"/>
          <w:lang w:val="es-ES"/>
        </w:rPr>
        <w:t xml:space="preserve">lo anterior demuestra que </w:t>
      </w:r>
      <w:r w:rsidR="0094494C" w:rsidRPr="00D50D50">
        <w:rPr>
          <w:rFonts w:asciiTheme="majorHAnsi" w:hAnsiTheme="majorHAnsi"/>
          <w:sz w:val="20"/>
          <w:szCs w:val="20"/>
          <w:lang w:val="es-ES"/>
        </w:rPr>
        <w:t>desde el inicio de las investigaciones l</w:t>
      </w:r>
      <w:r w:rsidR="00152569" w:rsidRPr="00D50D50">
        <w:rPr>
          <w:rFonts w:asciiTheme="majorHAnsi" w:hAnsiTheme="majorHAnsi"/>
          <w:sz w:val="20"/>
          <w:szCs w:val="20"/>
          <w:lang w:val="es-ES"/>
        </w:rPr>
        <w:t xml:space="preserve">as presuntas víctimas </w:t>
      </w:r>
      <w:r w:rsidR="0094494C" w:rsidRPr="00D50D50">
        <w:rPr>
          <w:rFonts w:asciiTheme="majorHAnsi" w:hAnsiTheme="majorHAnsi"/>
          <w:sz w:val="20"/>
          <w:szCs w:val="20"/>
          <w:lang w:val="es-ES"/>
        </w:rPr>
        <w:t>tuvieron conocimiento del proceso judicial en su contra.</w:t>
      </w:r>
    </w:p>
    <w:p w14:paraId="63E28315" w14:textId="77777777" w:rsidR="00186A95" w:rsidRPr="00D50D50" w:rsidRDefault="00186A95" w:rsidP="00186A9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FE6F5AE" w14:textId="02C281D7" w:rsidR="004C616A" w:rsidRPr="00D50D50" w:rsidRDefault="004C616A" w:rsidP="00FB760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D50D50">
        <w:rPr>
          <w:rFonts w:asciiTheme="majorHAnsi" w:hAnsiTheme="majorHAnsi"/>
          <w:b/>
          <w:bCs/>
          <w:sz w:val="20"/>
          <w:szCs w:val="20"/>
          <w:lang w:val="es-ES"/>
        </w:rPr>
        <w:t xml:space="preserve">VI. </w:t>
      </w:r>
      <w:r w:rsidRPr="00D50D50">
        <w:rPr>
          <w:rFonts w:asciiTheme="majorHAnsi" w:hAnsiTheme="majorHAnsi"/>
          <w:b/>
          <w:bCs/>
          <w:sz w:val="20"/>
          <w:szCs w:val="20"/>
          <w:lang w:val="es-ES"/>
        </w:rPr>
        <w:tab/>
        <w:t>AGOTAMIENTO DE LOS RECURSOS INTERNOS Y PLAZO DE PRESENTACIÓN</w:t>
      </w:r>
    </w:p>
    <w:p w14:paraId="34528B86" w14:textId="77777777" w:rsidR="00186A95" w:rsidRPr="00D50D50" w:rsidRDefault="00186A95" w:rsidP="00C942C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B6612E8" w14:textId="59D3EEFD" w:rsidR="00634DF0" w:rsidRPr="00D50D50" w:rsidRDefault="000251A4" w:rsidP="00FB76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Sin bien l</w:t>
      </w:r>
      <w:r w:rsidR="00B438B2" w:rsidRPr="00D50D50">
        <w:rPr>
          <w:rFonts w:asciiTheme="majorHAnsi" w:hAnsiTheme="majorHAnsi"/>
          <w:sz w:val="20"/>
          <w:szCs w:val="20"/>
          <w:lang w:val="es-ES"/>
        </w:rPr>
        <w:t>as presuntas víctimas</w:t>
      </w:r>
      <w:r w:rsidR="004631D9" w:rsidRPr="00D50D50">
        <w:rPr>
          <w:rFonts w:asciiTheme="majorHAnsi" w:hAnsiTheme="majorHAnsi"/>
          <w:sz w:val="20"/>
          <w:szCs w:val="20"/>
          <w:lang w:val="es-ES"/>
        </w:rPr>
        <w:t xml:space="preserve"> manifiestan que</w:t>
      </w:r>
      <w:r w:rsidR="00FA41E5" w:rsidRPr="00D50D50">
        <w:rPr>
          <w:rFonts w:asciiTheme="majorHAnsi" w:hAnsiTheme="majorHAnsi"/>
          <w:sz w:val="20"/>
          <w:szCs w:val="20"/>
          <w:lang w:val="es-ES"/>
        </w:rPr>
        <w:t xml:space="preserve"> </w:t>
      </w:r>
      <w:r w:rsidR="003A09EE" w:rsidRPr="00D50D50">
        <w:rPr>
          <w:rFonts w:asciiTheme="majorHAnsi" w:hAnsiTheme="majorHAnsi"/>
          <w:sz w:val="20"/>
          <w:szCs w:val="20"/>
          <w:lang w:val="es-ES"/>
        </w:rPr>
        <w:t xml:space="preserve">no </w:t>
      </w:r>
      <w:r w:rsidR="00152569" w:rsidRPr="00D50D50">
        <w:rPr>
          <w:rFonts w:asciiTheme="majorHAnsi" w:hAnsiTheme="majorHAnsi"/>
          <w:sz w:val="20"/>
          <w:szCs w:val="20"/>
          <w:lang w:val="es-ES"/>
        </w:rPr>
        <w:t xml:space="preserve">había </w:t>
      </w:r>
      <w:r w:rsidR="00FA41E5" w:rsidRPr="00D50D50">
        <w:rPr>
          <w:rFonts w:asciiTheme="majorHAnsi" w:hAnsiTheme="majorHAnsi"/>
          <w:sz w:val="20"/>
          <w:szCs w:val="20"/>
          <w:lang w:val="es-ES"/>
        </w:rPr>
        <w:t xml:space="preserve">recursos judiciales </w:t>
      </w:r>
      <w:r w:rsidR="00152569" w:rsidRPr="00D50D50">
        <w:rPr>
          <w:rFonts w:asciiTheme="majorHAnsi" w:hAnsiTheme="majorHAnsi"/>
          <w:sz w:val="20"/>
          <w:szCs w:val="20"/>
          <w:lang w:val="es-ES"/>
        </w:rPr>
        <w:t xml:space="preserve">para </w:t>
      </w:r>
      <w:r w:rsidR="00FA41E5" w:rsidRPr="00D50D50">
        <w:rPr>
          <w:rFonts w:asciiTheme="majorHAnsi" w:hAnsiTheme="majorHAnsi"/>
          <w:sz w:val="20"/>
          <w:szCs w:val="20"/>
          <w:lang w:val="es-ES"/>
        </w:rPr>
        <w:t>revisar la sentencia d</w:t>
      </w:r>
      <w:r w:rsidR="00152569" w:rsidRPr="00D50D50">
        <w:rPr>
          <w:rFonts w:asciiTheme="majorHAnsi" w:hAnsiTheme="majorHAnsi"/>
          <w:sz w:val="20"/>
          <w:szCs w:val="20"/>
          <w:lang w:val="es-ES"/>
        </w:rPr>
        <w:t>e</w:t>
      </w:r>
      <w:r w:rsidR="001F6333" w:rsidRPr="00D50D50">
        <w:rPr>
          <w:rFonts w:asciiTheme="majorHAnsi" w:hAnsiTheme="majorHAnsi"/>
          <w:sz w:val="20"/>
          <w:szCs w:val="20"/>
          <w:lang w:val="es-ES"/>
        </w:rPr>
        <w:t xml:space="preserve"> 4 de octubre de 2011 </w:t>
      </w:r>
      <w:r w:rsidR="00152569" w:rsidRPr="00D50D50">
        <w:rPr>
          <w:rFonts w:asciiTheme="majorHAnsi" w:hAnsiTheme="majorHAnsi"/>
          <w:sz w:val="20"/>
          <w:szCs w:val="20"/>
          <w:lang w:val="es-ES"/>
        </w:rPr>
        <w:t>d</w:t>
      </w:r>
      <w:r w:rsidR="00FA41E5" w:rsidRPr="00D50D50">
        <w:rPr>
          <w:rFonts w:asciiTheme="majorHAnsi" w:hAnsiTheme="majorHAnsi"/>
          <w:sz w:val="20"/>
          <w:szCs w:val="20"/>
          <w:lang w:val="es-ES"/>
        </w:rPr>
        <w:t>el Tribunal de Juicio de Responsabilidad,</w:t>
      </w:r>
      <w:r w:rsidR="00B438B2" w:rsidRPr="00D50D50">
        <w:rPr>
          <w:rFonts w:asciiTheme="majorHAnsi" w:hAnsiTheme="majorHAnsi"/>
          <w:sz w:val="20"/>
          <w:szCs w:val="20"/>
          <w:lang w:val="es-ES"/>
        </w:rPr>
        <w:t xml:space="preserve"> </w:t>
      </w:r>
      <w:r>
        <w:rPr>
          <w:rFonts w:asciiTheme="majorHAnsi" w:hAnsiTheme="majorHAnsi"/>
          <w:sz w:val="20"/>
          <w:szCs w:val="20"/>
          <w:lang w:val="es-ES"/>
        </w:rPr>
        <w:t xml:space="preserve">el General Véliz Herrera </w:t>
      </w:r>
      <w:r w:rsidR="00152569" w:rsidRPr="00D50D50">
        <w:rPr>
          <w:rFonts w:asciiTheme="majorHAnsi" w:hAnsiTheme="majorHAnsi"/>
          <w:sz w:val="20"/>
          <w:szCs w:val="20"/>
          <w:lang w:val="es-ES"/>
        </w:rPr>
        <w:t>present</w:t>
      </w:r>
      <w:r>
        <w:rPr>
          <w:rFonts w:asciiTheme="majorHAnsi" w:hAnsiTheme="majorHAnsi"/>
          <w:sz w:val="20"/>
          <w:szCs w:val="20"/>
          <w:lang w:val="es-ES"/>
        </w:rPr>
        <w:t>ó</w:t>
      </w:r>
      <w:r w:rsidR="00FA41E5" w:rsidRPr="00D50D50">
        <w:rPr>
          <w:rFonts w:asciiTheme="majorHAnsi" w:hAnsiTheme="majorHAnsi"/>
          <w:sz w:val="20"/>
          <w:szCs w:val="20"/>
          <w:lang w:val="es-ES"/>
        </w:rPr>
        <w:t xml:space="preserve"> </w:t>
      </w:r>
      <w:r w:rsidR="00523E5C" w:rsidRPr="00D50D50">
        <w:rPr>
          <w:rFonts w:asciiTheme="majorHAnsi" w:hAnsiTheme="majorHAnsi"/>
          <w:sz w:val="20"/>
          <w:szCs w:val="20"/>
          <w:lang w:val="es-ES"/>
        </w:rPr>
        <w:t xml:space="preserve">un </w:t>
      </w:r>
      <w:r w:rsidR="00FA41E5" w:rsidRPr="00D50D50">
        <w:rPr>
          <w:rFonts w:asciiTheme="majorHAnsi" w:hAnsiTheme="majorHAnsi"/>
          <w:sz w:val="20"/>
          <w:szCs w:val="20"/>
          <w:lang w:val="es-ES"/>
        </w:rPr>
        <w:t xml:space="preserve">recurso de amparo </w:t>
      </w:r>
      <w:r>
        <w:rPr>
          <w:rFonts w:asciiTheme="majorHAnsi" w:hAnsiTheme="majorHAnsi"/>
          <w:sz w:val="20"/>
          <w:szCs w:val="20"/>
          <w:lang w:val="es-ES"/>
        </w:rPr>
        <w:t xml:space="preserve">constitucional </w:t>
      </w:r>
      <w:r w:rsidR="00D50D50" w:rsidRPr="00D50D50">
        <w:rPr>
          <w:rFonts w:asciiTheme="majorHAnsi" w:hAnsiTheme="majorHAnsi"/>
          <w:sz w:val="20"/>
          <w:szCs w:val="20"/>
          <w:lang w:val="es-ES"/>
        </w:rPr>
        <w:t xml:space="preserve">con el que </w:t>
      </w:r>
      <w:r w:rsidR="00E91249" w:rsidRPr="00D50D50">
        <w:rPr>
          <w:rFonts w:asciiTheme="majorHAnsi" w:hAnsiTheme="majorHAnsi"/>
          <w:sz w:val="20"/>
          <w:szCs w:val="20"/>
          <w:lang w:val="es-ES"/>
        </w:rPr>
        <w:t>cuestion</w:t>
      </w:r>
      <w:r>
        <w:rPr>
          <w:rFonts w:asciiTheme="majorHAnsi" w:hAnsiTheme="majorHAnsi"/>
          <w:sz w:val="20"/>
          <w:szCs w:val="20"/>
          <w:lang w:val="es-ES"/>
        </w:rPr>
        <w:t>ó</w:t>
      </w:r>
      <w:r w:rsidR="00E91249" w:rsidRPr="00D50D50">
        <w:rPr>
          <w:rFonts w:asciiTheme="majorHAnsi" w:hAnsiTheme="majorHAnsi"/>
          <w:sz w:val="20"/>
          <w:szCs w:val="20"/>
          <w:lang w:val="es-ES"/>
        </w:rPr>
        <w:t xml:space="preserve"> </w:t>
      </w:r>
      <w:r>
        <w:rPr>
          <w:rFonts w:asciiTheme="majorHAnsi" w:hAnsiTheme="majorHAnsi"/>
          <w:sz w:val="20"/>
          <w:szCs w:val="20"/>
          <w:lang w:val="es-ES"/>
        </w:rPr>
        <w:t xml:space="preserve">las </w:t>
      </w:r>
      <w:r w:rsidR="00E91249" w:rsidRPr="00D50D50">
        <w:rPr>
          <w:rFonts w:asciiTheme="majorHAnsi" w:hAnsiTheme="majorHAnsi"/>
          <w:sz w:val="20"/>
          <w:szCs w:val="20"/>
          <w:lang w:val="es-ES"/>
        </w:rPr>
        <w:t>deficiencias procesales</w:t>
      </w:r>
      <w:r w:rsidR="00D50D50" w:rsidRPr="00D50D50">
        <w:rPr>
          <w:rFonts w:asciiTheme="majorHAnsi" w:hAnsiTheme="majorHAnsi"/>
          <w:sz w:val="20"/>
          <w:szCs w:val="20"/>
          <w:lang w:val="es-ES"/>
        </w:rPr>
        <w:t xml:space="preserve"> y de fondo en el juicio que condujo a dicha sentencia</w:t>
      </w:r>
      <w:r w:rsidR="003A09EE" w:rsidRPr="00D50D50">
        <w:rPr>
          <w:rFonts w:asciiTheme="majorHAnsi" w:hAnsiTheme="majorHAnsi"/>
          <w:sz w:val="20"/>
          <w:szCs w:val="20"/>
          <w:lang w:val="es-ES"/>
        </w:rPr>
        <w:t>.</w:t>
      </w:r>
      <w:r w:rsidR="00E91249" w:rsidRPr="00D50D50">
        <w:rPr>
          <w:rFonts w:asciiTheme="majorHAnsi" w:hAnsiTheme="majorHAnsi"/>
          <w:sz w:val="20"/>
          <w:szCs w:val="20"/>
          <w:lang w:val="es-ES"/>
        </w:rPr>
        <w:t xml:space="preserve"> </w:t>
      </w:r>
      <w:r w:rsidR="00634DF0" w:rsidRPr="00D50D50">
        <w:rPr>
          <w:rFonts w:asciiTheme="majorHAnsi" w:hAnsiTheme="majorHAnsi"/>
          <w:sz w:val="20"/>
          <w:szCs w:val="20"/>
          <w:lang w:val="es-ES"/>
        </w:rPr>
        <w:t xml:space="preserve">Por otra parte, el Estado se centra </w:t>
      </w:r>
      <w:r>
        <w:rPr>
          <w:rFonts w:asciiTheme="majorHAnsi" w:hAnsiTheme="majorHAnsi"/>
          <w:sz w:val="20"/>
          <w:szCs w:val="20"/>
          <w:lang w:val="es-ES"/>
        </w:rPr>
        <w:t>sus</w:t>
      </w:r>
      <w:r w:rsidRPr="00D50D50">
        <w:rPr>
          <w:rFonts w:asciiTheme="majorHAnsi" w:hAnsiTheme="majorHAnsi"/>
          <w:sz w:val="20"/>
          <w:szCs w:val="20"/>
          <w:lang w:val="es-ES"/>
        </w:rPr>
        <w:t xml:space="preserve"> argumentos </w:t>
      </w:r>
      <w:r w:rsidR="00634DF0" w:rsidRPr="00D50D50">
        <w:rPr>
          <w:rFonts w:asciiTheme="majorHAnsi" w:hAnsiTheme="majorHAnsi"/>
          <w:sz w:val="20"/>
          <w:szCs w:val="20"/>
          <w:lang w:val="es-ES"/>
        </w:rPr>
        <w:t>en la falta de caracterización de posibles violaciones de los derechos reconocidos por la Convención Americana, pero no hace mención alguna al agotamiento de recursos internos ni al plazo de presentación de la petición.</w:t>
      </w:r>
    </w:p>
    <w:p w14:paraId="7B11A9FB" w14:textId="77777777" w:rsidR="00634DF0" w:rsidRPr="00D50D50" w:rsidRDefault="00634DF0" w:rsidP="00634D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486B1405" w14:textId="472ACA44" w:rsidR="008F1BAC" w:rsidRPr="00D50D50" w:rsidRDefault="00634DF0" w:rsidP="00FB76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La CIDH observa que el</w:t>
      </w:r>
      <w:r w:rsidR="00E91249" w:rsidRPr="00D50D50">
        <w:rPr>
          <w:rFonts w:asciiTheme="majorHAnsi" w:hAnsiTheme="majorHAnsi"/>
          <w:sz w:val="20"/>
          <w:szCs w:val="20"/>
          <w:lang w:val="es-ES"/>
        </w:rPr>
        <w:t xml:space="preserve"> recurso </w:t>
      </w:r>
      <w:r w:rsidRPr="00D50D50">
        <w:rPr>
          <w:rFonts w:asciiTheme="majorHAnsi" w:hAnsiTheme="majorHAnsi"/>
          <w:sz w:val="20"/>
          <w:szCs w:val="20"/>
          <w:lang w:val="es-ES"/>
        </w:rPr>
        <w:t xml:space="preserve">de amparo planteado por la representación de </w:t>
      </w:r>
      <w:r w:rsidR="000251A4">
        <w:rPr>
          <w:rFonts w:asciiTheme="majorHAnsi" w:hAnsiTheme="majorHAnsi"/>
          <w:sz w:val="20"/>
          <w:szCs w:val="20"/>
          <w:lang w:val="es-ES"/>
        </w:rPr>
        <w:t xml:space="preserve">una de </w:t>
      </w:r>
      <w:r w:rsidRPr="00D50D50">
        <w:rPr>
          <w:rFonts w:asciiTheme="majorHAnsi" w:hAnsiTheme="majorHAnsi"/>
          <w:sz w:val="20"/>
          <w:szCs w:val="20"/>
          <w:lang w:val="es-ES"/>
        </w:rPr>
        <w:t xml:space="preserve">las presuntas víctimas </w:t>
      </w:r>
      <w:r w:rsidR="00E91249" w:rsidRPr="00D50D50">
        <w:rPr>
          <w:rFonts w:asciiTheme="majorHAnsi" w:hAnsiTheme="majorHAnsi"/>
          <w:sz w:val="20"/>
          <w:szCs w:val="20"/>
          <w:lang w:val="es-ES"/>
        </w:rPr>
        <w:t xml:space="preserve">fue </w:t>
      </w:r>
      <w:r w:rsidRPr="00D50D50">
        <w:rPr>
          <w:rFonts w:asciiTheme="majorHAnsi" w:hAnsiTheme="majorHAnsi"/>
          <w:sz w:val="20"/>
          <w:szCs w:val="20"/>
          <w:lang w:val="es-ES"/>
        </w:rPr>
        <w:t xml:space="preserve">decidido en definitiva </w:t>
      </w:r>
      <w:r w:rsidR="00D50D50">
        <w:rPr>
          <w:rFonts w:asciiTheme="majorHAnsi" w:hAnsiTheme="majorHAnsi"/>
          <w:sz w:val="20"/>
          <w:szCs w:val="20"/>
          <w:lang w:val="es-ES"/>
        </w:rPr>
        <w:t>por la sentencia d</w:t>
      </w:r>
      <w:r w:rsidR="00E91249" w:rsidRPr="00D50D50">
        <w:rPr>
          <w:rFonts w:asciiTheme="majorHAnsi" w:hAnsiTheme="majorHAnsi"/>
          <w:sz w:val="20"/>
          <w:szCs w:val="20"/>
          <w:lang w:val="es-ES"/>
        </w:rPr>
        <w:t xml:space="preserve">e 21 de mayo de 2013 </w:t>
      </w:r>
      <w:r w:rsidR="00D50D50">
        <w:rPr>
          <w:rFonts w:asciiTheme="majorHAnsi" w:hAnsiTheme="majorHAnsi"/>
          <w:sz w:val="20"/>
          <w:szCs w:val="20"/>
          <w:lang w:val="es-ES"/>
        </w:rPr>
        <w:t>d</w:t>
      </w:r>
      <w:r w:rsidRPr="00D50D50">
        <w:rPr>
          <w:rFonts w:asciiTheme="majorHAnsi" w:hAnsiTheme="majorHAnsi"/>
          <w:sz w:val="20"/>
          <w:szCs w:val="20"/>
          <w:lang w:val="es-ES"/>
        </w:rPr>
        <w:t xml:space="preserve">el Tribunal Constitucional </w:t>
      </w:r>
      <w:r w:rsidR="00D50D50" w:rsidRPr="00D50D50">
        <w:rPr>
          <w:rFonts w:asciiTheme="majorHAnsi" w:hAnsiTheme="majorHAnsi"/>
          <w:sz w:val="20"/>
          <w:szCs w:val="20"/>
          <w:lang w:val="es-ES"/>
        </w:rPr>
        <w:t xml:space="preserve">Plurinacional </w:t>
      </w:r>
      <w:r w:rsidRPr="00D50D50">
        <w:rPr>
          <w:rFonts w:asciiTheme="majorHAnsi" w:hAnsiTheme="majorHAnsi"/>
          <w:sz w:val="20"/>
          <w:szCs w:val="20"/>
          <w:lang w:val="es-ES"/>
        </w:rPr>
        <w:t>de Bolivia</w:t>
      </w:r>
      <w:r w:rsidR="000D6DBB" w:rsidRPr="00D50D50">
        <w:rPr>
          <w:rStyle w:val="FootnoteReference"/>
          <w:rFonts w:asciiTheme="majorHAnsi" w:hAnsiTheme="majorHAnsi"/>
          <w:sz w:val="20"/>
          <w:szCs w:val="20"/>
          <w:lang w:val="es-ES"/>
        </w:rPr>
        <w:footnoteReference w:id="7"/>
      </w:r>
      <w:r w:rsidR="00D50D50" w:rsidRPr="00D50D50">
        <w:rPr>
          <w:rFonts w:asciiTheme="majorHAnsi" w:hAnsiTheme="majorHAnsi"/>
          <w:sz w:val="20"/>
          <w:szCs w:val="20"/>
          <w:lang w:val="es-ES"/>
        </w:rPr>
        <w:t xml:space="preserve">. </w:t>
      </w:r>
      <w:r w:rsidR="00D50D50">
        <w:rPr>
          <w:rFonts w:asciiTheme="majorHAnsi" w:hAnsiTheme="majorHAnsi"/>
          <w:sz w:val="20"/>
          <w:szCs w:val="20"/>
          <w:lang w:val="es-ES"/>
        </w:rPr>
        <w:t>Dicha</w:t>
      </w:r>
      <w:r w:rsidR="00D50D50" w:rsidRPr="00D50D50">
        <w:rPr>
          <w:rFonts w:asciiTheme="majorHAnsi" w:hAnsiTheme="majorHAnsi"/>
          <w:sz w:val="20"/>
          <w:szCs w:val="20"/>
          <w:lang w:val="es-ES"/>
        </w:rPr>
        <w:t xml:space="preserve"> sentencia denegó la tutela solicitada y confirmó la Resolución 113/2013 de 28 de marzo de 2013 de la Sala Social y Administrativa del Tribunal Departamental de Justicia de Chuquisaca.</w:t>
      </w:r>
    </w:p>
    <w:p w14:paraId="15044B8B" w14:textId="77777777" w:rsidR="00186A95" w:rsidRPr="00D50D50" w:rsidRDefault="00186A95" w:rsidP="00C942C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6980FF8B" w14:textId="4F4E8019" w:rsidR="00246273" w:rsidRPr="00D50D50" w:rsidRDefault="007E41E3" w:rsidP="00F85D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 xml:space="preserve">Por lo </w:t>
      </w:r>
      <w:r w:rsidR="00152569" w:rsidRPr="00D50D50">
        <w:rPr>
          <w:rFonts w:asciiTheme="majorHAnsi" w:hAnsiTheme="majorHAnsi"/>
          <w:sz w:val="20"/>
          <w:szCs w:val="20"/>
          <w:lang w:val="es-ES"/>
        </w:rPr>
        <w:t>tanto</w:t>
      </w:r>
      <w:r w:rsidRPr="00D50D50">
        <w:rPr>
          <w:rFonts w:asciiTheme="majorHAnsi" w:hAnsiTheme="majorHAnsi"/>
          <w:sz w:val="20"/>
          <w:szCs w:val="20"/>
          <w:lang w:val="es-ES"/>
        </w:rPr>
        <w:t xml:space="preserve">, </w:t>
      </w:r>
      <w:r w:rsidR="00152569" w:rsidRPr="00D50D50">
        <w:rPr>
          <w:rFonts w:asciiTheme="majorHAnsi" w:hAnsiTheme="majorHAnsi"/>
          <w:sz w:val="20"/>
          <w:szCs w:val="20"/>
          <w:lang w:val="es-ES"/>
        </w:rPr>
        <w:t xml:space="preserve">la </w:t>
      </w:r>
      <w:r w:rsidRPr="00D50D50">
        <w:rPr>
          <w:rFonts w:asciiTheme="majorHAnsi" w:hAnsiTheme="majorHAnsi"/>
          <w:sz w:val="20"/>
          <w:szCs w:val="20"/>
          <w:lang w:val="es-ES"/>
        </w:rPr>
        <w:t xml:space="preserve">Comisión </w:t>
      </w:r>
      <w:r w:rsidR="00152569" w:rsidRPr="00D50D50">
        <w:rPr>
          <w:rFonts w:asciiTheme="majorHAnsi" w:hAnsiTheme="majorHAnsi"/>
          <w:sz w:val="20"/>
          <w:szCs w:val="20"/>
          <w:lang w:val="es-ES"/>
        </w:rPr>
        <w:t xml:space="preserve">Interamericana </w:t>
      </w:r>
      <w:r w:rsidR="00120ADB" w:rsidRPr="00D50D50">
        <w:rPr>
          <w:rFonts w:asciiTheme="majorHAnsi" w:hAnsiTheme="majorHAnsi"/>
          <w:sz w:val="20"/>
          <w:szCs w:val="20"/>
          <w:lang w:val="es-ES"/>
        </w:rPr>
        <w:t>determina</w:t>
      </w:r>
      <w:r w:rsidR="00AB002A" w:rsidRPr="00D50D50">
        <w:rPr>
          <w:rFonts w:asciiTheme="majorHAnsi" w:hAnsiTheme="majorHAnsi"/>
          <w:sz w:val="20"/>
          <w:szCs w:val="20"/>
          <w:lang w:val="es-ES"/>
        </w:rPr>
        <w:t xml:space="preserve"> </w:t>
      </w:r>
      <w:r w:rsidR="00152569" w:rsidRPr="00D50D50">
        <w:rPr>
          <w:rFonts w:asciiTheme="majorHAnsi" w:hAnsiTheme="majorHAnsi"/>
          <w:sz w:val="20"/>
          <w:szCs w:val="20"/>
          <w:lang w:val="es-ES"/>
        </w:rPr>
        <w:t xml:space="preserve">que </w:t>
      </w:r>
      <w:r w:rsidR="00D50D50" w:rsidRPr="00D50D50">
        <w:rPr>
          <w:rFonts w:asciiTheme="majorHAnsi" w:hAnsiTheme="majorHAnsi"/>
          <w:sz w:val="20"/>
          <w:szCs w:val="20"/>
          <w:lang w:val="es-ES"/>
        </w:rPr>
        <w:t xml:space="preserve">se agotó la jurisdicción interna </w:t>
      </w:r>
      <w:r w:rsidR="00D50D50">
        <w:rPr>
          <w:rFonts w:asciiTheme="majorHAnsi" w:hAnsiTheme="majorHAnsi"/>
          <w:sz w:val="20"/>
          <w:szCs w:val="20"/>
          <w:lang w:val="es-ES"/>
        </w:rPr>
        <w:t xml:space="preserve">respecto al presente asunto </w:t>
      </w:r>
      <w:r w:rsidR="00D50D50" w:rsidRPr="00D50D50">
        <w:rPr>
          <w:rFonts w:asciiTheme="majorHAnsi" w:hAnsiTheme="majorHAnsi"/>
          <w:sz w:val="20"/>
          <w:szCs w:val="20"/>
          <w:lang w:val="es-ES"/>
        </w:rPr>
        <w:t xml:space="preserve">con </w:t>
      </w:r>
      <w:r w:rsidR="00AB002A" w:rsidRPr="00D50D50">
        <w:rPr>
          <w:rFonts w:asciiTheme="majorHAnsi" w:hAnsiTheme="majorHAnsi"/>
          <w:sz w:val="20"/>
          <w:szCs w:val="20"/>
          <w:lang w:val="es-ES"/>
        </w:rPr>
        <w:t xml:space="preserve">la </w:t>
      </w:r>
      <w:r w:rsidR="00D50D50">
        <w:rPr>
          <w:rFonts w:asciiTheme="majorHAnsi" w:hAnsiTheme="majorHAnsi"/>
          <w:sz w:val="20"/>
          <w:szCs w:val="20"/>
          <w:lang w:val="es-ES"/>
        </w:rPr>
        <w:t xml:space="preserve">mencionada </w:t>
      </w:r>
      <w:r w:rsidR="00AB002A" w:rsidRPr="00D50D50">
        <w:rPr>
          <w:rFonts w:asciiTheme="majorHAnsi" w:hAnsiTheme="majorHAnsi"/>
          <w:sz w:val="20"/>
          <w:szCs w:val="20"/>
          <w:lang w:val="es-ES"/>
        </w:rPr>
        <w:t xml:space="preserve">sentencia de </w:t>
      </w:r>
      <w:r w:rsidR="00E91249" w:rsidRPr="00D50D50">
        <w:rPr>
          <w:rFonts w:asciiTheme="majorHAnsi" w:hAnsiTheme="majorHAnsi"/>
          <w:sz w:val="20"/>
          <w:szCs w:val="20"/>
          <w:lang w:val="es-ES"/>
        </w:rPr>
        <w:t>21 de mayo de 2013,</w:t>
      </w:r>
      <w:r w:rsidR="008F1BAC" w:rsidRPr="00D50D50">
        <w:rPr>
          <w:rFonts w:asciiTheme="majorHAnsi" w:hAnsiTheme="majorHAnsi" w:cs="Calibri"/>
          <w:sz w:val="20"/>
          <w:szCs w:val="20"/>
          <w:lang w:val="es-ES"/>
        </w:rPr>
        <w:t xml:space="preserve"> </w:t>
      </w:r>
      <w:r w:rsidR="00193371" w:rsidRPr="00D50D50">
        <w:rPr>
          <w:rFonts w:asciiTheme="majorHAnsi" w:hAnsiTheme="majorHAnsi" w:cs="Calibri"/>
          <w:sz w:val="20"/>
          <w:szCs w:val="20"/>
          <w:lang w:val="es-ES"/>
        </w:rPr>
        <w:t xml:space="preserve">y da por cumplido el requisito del </w:t>
      </w:r>
      <w:r w:rsidR="00120ADB" w:rsidRPr="00D50D50">
        <w:rPr>
          <w:rFonts w:asciiTheme="majorHAnsi" w:hAnsiTheme="majorHAnsi" w:cs="Calibri"/>
          <w:sz w:val="20"/>
          <w:szCs w:val="20"/>
          <w:lang w:val="es-ES"/>
        </w:rPr>
        <w:t>artículo 46.</w:t>
      </w:r>
      <w:r w:rsidR="00193371" w:rsidRPr="00D50D50">
        <w:rPr>
          <w:rFonts w:asciiTheme="majorHAnsi" w:hAnsiTheme="majorHAnsi" w:cs="Calibri"/>
          <w:sz w:val="20"/>
          <w:szCs w:val="20"/>
          <w:lang w:val="es-ES"/>
        </w:rPr>
        <w:t>1</w:t>
      </w:r>
      <w:r w:rsidR="00120ADB" w:rsidRPr="00D50D50">
        <w:rPr>
          <w:rFonts w:asciiTheme="majorHAnsi" w:hAnsiTheme="majorHAnsi" w:cs="Calibri"/>
          <w:sz w:val="20"/>
          <w:szCs w:val="20"/>
          <w:lang w:val="es-ES"/>
        </w:rPr>
        <w:t>(a) de la Convención Americana</w:t>
      </w:r>
      <w:r w:rsidR="008F1BAC" w:rsidRPr="00D50D50">
        <w:rPr>
          <w:rFonts w:asciiTheme="majorHAnsi" w:hAnsiTheme="majorHAnsi" w:cs="Calibri"/>
          <w:sz w:val="20"/>
          <w:szCs w:val="20"/>
          <w:lang w:val="es-ES"/>
        </w:rPr>
        <w:t>.</w:t>
      </w:r>
      <w:r w:rsidR="00246273" w:rsidRPr="00D50D50">
        <w:rPr>
          <w:rFonts w:asciiTheme="majorHAnsi" w:hAnsiTheme="majorHAnsi"/>
          <w:sz w:val="20"/>
          <w:szCs w:val="20"/>
          <w:lang w:val="es-ES"/>
        </w:rPr>
        <w:t xml:space="preserve"> </w:t>
      </w:r>
      <w:r w:rsidR="00246273" w:rsidRPr="00D50D50">
        <w:rPr>
          <w:rFonts w:asciiTheme="majorHAnsi" w:hAnsiTheme="majorHAnsi" w:cs="Calibri"/>
          <w:sz w:val="20"/>
          <w:szCs w:val="20"/>
          <w:lang w:val="es-ES"/>
        </w:rPr>
        <w:t xml:space="preserve">En </w:t>
      </w:r>
      <w:r w:rsidR="00246273" w:rsidRPr="00D50D50">
        <w:rPr>
          <w:rFonts w:asciiTheme="majorHAnsi" w:hAnsiTheme="majorHAnsi"/>
          <w:sz w:val="20"/>
          <w:szCs w:val="20"/>
          <w:lang w:val="es-ES"/>
        </w:rPr>
        <w:t>cuanto al plazo de presentación, la petición fue recibida el 8 de junio de 2009</w:t>
      </w:r>
      <w:r w:rsidR="00193371" w:rsidRPr="00D50D50">
        <w:rPr>
          <w:rFonts w:asciiTheme="majorHAnsi" w:hAnsiTheme="majorHAnsi"/>
          <w:sz w:val="20"/>
          <w:szCs w:val="20"/>
          <w:lang w:val="es-ES"/>
        </w:rPr>
        <w:t xml:space="preserve">, antes de agotarse los recursos internos; </w:t>
      </w:r>
      <w:r w:rsidR="005927B7" w:rsidRPr="00D50D50">
        <w:rPr>
          <w:rFonts w:asciiTheme="majorHAnsi" w:hAnsiTheme="majorHAnsi"/>
          <w:sz w:val="20"/>
          <w:szCs w:val="20"/>
          <w:lang w:val="es-ES"/>
        </w:rPr>
        <w:t xml:space="preserve">en el contexto del asunto bajo consideración, y la falta de oposición de este requisito por el Estado, </w:t>
      </w:r>
      <w:r w:rsidR="00193371" w:rsidRPr="00D50D50">
        <w:rPr>
          <w:rFonts w:asciiTheme="majorHAnsi" w:hAnsiTheme="majorHAnsi"/>
          <w:sz w:val="20"/>
          <w:szCs w:val="20"/>
          <w:lang w:val="es-ES"/>
        </w:rPr>
        <w:t>la</w:t>
      </w:r>
      <w:r w:rsidR="00246273" w:rsidRPr="00D50D50">
        <w:rPr>
          <w:rFonts w:asciiTheme="majorHAnsi" w:hAnsiTheme="majorHAnsi"/>
          <w:sz w:val="20"/>
          <w:szCs w:val="20"/>
          <w:lang w:val="es-ES"/>
        </w:rPr>
        <w:t xml:space="preserve"> C</w:t>
      </w:r>
      <w:r w:rsidR="00120ADB" w:rsidRPr="00D50D50">
        <w:rPr>
          <w:rFonts w:asciiTheme="majorHAnsi" w:hAnsiTheme="majorHAnsi"/>
          <w:sz w:val="20"/>
          <w:szCs w:val="20"/>
          <w:lang w:val="es-ES"/>
        </w:rPr>
        <w:t>IDH</w:t>
      </w:r>
      <w:r w:rsidR="00246273" w:rsidRPr="00D50D50">
        <w:rPr>
          <w:rFonts w:asciiTheme="majorHAnsi" w:hAnsiTheme="majorHAnsi"/>
          <w:sz w:val="20"/>
          <w:szCs w:val="20"/>
          <w:lang w:val="es-ES"/>
        </w:rPr>
        <w:t xml:space="preserve"> </w:t>
      </w:r>
      <w:r w:rsidR="00193371" w:rsidRPr="00D50D50">
        <w:rPr>
          <w:rFonts w:asciiTheme="majorHAnsi" w:hAnsiTheme="majorHAnsi"/>
          <w:sz w:val="20"/>
          <w:szCs w:val="20"/>
          <w:lang w:val="es-ES"/>
        </w:rPr>
        <w:t>considera que fue presentada dentro de un plazo razonable</w:t>
      </w:r>
      <w:r w:rsidR="00E55F5C">
        <w:rPr>
          <w:rFonts w:asciiTheme="majorHAnsi" w:hAnsiTheme="majorHAnsi"/>
          <w:sz w:val="20"/>
          <w:szCs w:val="20"/>
          <w:lang w:val="es-ES"/>
        </w:rPr>
        <w:t xml:space="preserve"> en los términos del artículo 32.2 de su Reglamento</w:t>
      </w:r>
      <w:r w:rsidR="00615D36" w:rsidRPr="00D50D50">
        <w:rPr>
          <w:rFonts w:asciiTheme="majorHAnsi" w:hAnsiTheme="majorHAnsi"/>
          <w:sz w:val="20"/>
          <w:szCs w:val="20"/>
          <w:lang w:val="es-ES"/>
        </w:rPr>
        <w:t>.</w:t>
      </w:r>
    </w:p>
    <w:p w14:paraId="1019DC4A" w14:textId="77777777" w:rsidR="00186A95" w:rsidRPr="00D50D50" w:rsidRDefault="00186A95" w:rsidP="00120AD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090A929" w14:textId="115AB145" w:rsidR="00F04591" w:rsidRPr="00D50D50" w:rsidRDefault="00F04591" w:rsidP="00FB7600">
      <w:pPr>
        <w:pStyle w:val="ListParagraph"/>
        <w:jc w:val="both"/>
        <w:rPr>
          <w:rFonts w:asciiTheme="majorHAnsi" w:hAnsiTheme="majorHAnsi"/>
          <w:b/>
          <w:bCs/>
          <w:color w:val="auto"/>
          <w:sz w:val="20"/>
          <w:szCs w:val="20"/>
          <w:lang w:val="es-ES"/>
        </w:rPr>
      </w:pPr>
      <w:r w:rsidRPr="00D50D50">
        <w:rPr>
          <w:rFonts w:asciiTheme="majorHAnsi" w:hAnsiTheme="majorHAnsi"/>
          <w:b/>
          <w:bCs/>
          <w:color w:val="auto"/>
          <w:sz w:val="20"/>
          <w:szCs w:val="20"/>
          <w:lang w:val="es-ES"/>
        </w:rPr>
        <w:t>V</w:t>
      </w:r>
      <w:r w:rsidR="000E2789" w:rsidRPr="00D50D50">
        <w:rPr>
          <w:rFonts w:asciiTheme="majorHAnsi" w:hAnsiTheme="majorHAnsi"/>
          <w:b/>
          <w:bCs/>
          <w:color w:val="auto"/>
          <w:sz w:val="20"/>
          <w:szCs w:val="20"/>
          <w:lang w:val="es-ES"/>
        </w:rPr>
        <w:t>I</w:t>
      </w:r>
      <w:r w:rsidRPr="00D50D50">
        <w:rPr>
          <w:rFonts w:asciiTheme="majorHAnsi" w:hAnsiTheme="majorHAnsi"/>
          <w:b/>
          <w:bCs/>
          <w:color w:val="auto"/>
          <w:sz w:val="20"/>
          <w:szCs w:val="20"/>
          <w:lang w:val="es-ES"/>
        </w:rPr>
        <w:t xml:space="preserve">I. </w:t>
      </w:r>
      <w:r w:rsidRPr="00D50D50">
        <w:rPr>
          <w:rFonts w:asciiTheme="majorHAnsi" w:hAnsiTheme="majorHAnsi"/>
          <w:b/>
          <w:bCs/>
          <w:color w:val="auto"/>
          <w:sz w:val="20"/>
          <w:szCs w:val="20"/>
          <w:lang w:val="es-ES"/>
        </w:rPr>
        <w:tab/>
        <w:t>CARACTERIZACIÓN</w:t>
      </w:r>
    </w:p>
    <w:p w14:paraId="5AF33367" w14:textId="77777777" w:rsidR="00186A95" w:rsidRPr="00D50D50" w:rsidRDefault="00186A95" w:rsidP="00C942C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254336D" w14:textId="287BBFFC" w:rsidR="006012F0" w:rsidRPr="00D50D50" w:rsidRDefault="0054537D" w:rsidP="00FB76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La</w:t>
      </w:r>
      <w:r w:rsidR="00120ADB" w:rsidRPr="00D50D50">
        <w:rPr>
          <w:rFonts w:asciiTheme="majorHAnsi" w:hAnsiTheme="majorHAnsi"/>
          <w:sz w:val="20"/>
          <w:szCs w:val="20"/>
          <w:lang w:val="es-ES"/>
        </w:rPr>
        <w:t xml:space="preserve"> parte</w:t>
      </w:r>
      <w:r w:rsidRPr="00D50D50">
        <w:rPr>
          <w:rFonts w:asciiTheme="majorHAnsi" w:hAnsiTheme="majorHAnsi"/>
          <w:sz w:val="20"/>
          <w:szCs w:val="20"/>
          <w:lang w:val="es-ES"/>
        </w:rPr>
        <w:t xml:space="preserve"> petici</w:t>
      </w:r>
      <w:r w:rsidR="00120ADB" w:rsidRPr="00D50D50">
        <w:rPr>
          <w:rFonts w:asciiTheme="majorHAnsi" w:hAnsiTheme="majorHAnsi"/>
          <w:sz w:val="20"/>
          <w:szCs w:val="20"/>
          <w:lang w:val="es-ES"/>
        </w:rPr>
        <w:t>onaria</w:t>
      </w:r>
      <w:r w:rsidRPr="00D50D50">
        <w:rPr>
          <w:rFonts w:asciiTheme="majorHAnsi" w:hAnsiTheme="majorHAnsi"/>
          <w:sz w:val="20"/>
          <w:szCs w:val="20"/>
          <w:lang w:val="es-ES"/>
        </w:rPr>
        <w:t xml:space="preserve"> alega</w:t>
      </w:r>
      <w:r w:rsidR="006012F0" w:rsidRPr="00D50D50">
        <w:rPr>
          <w:rFonts w:asciiTheme="majorHAnsi" w:hAnsiTheme="majorHAnsi"/>
          <w:sz w:val="20"/>
          <w:szCs w:val="20"/>
          <w:lang w:val="es-ES"/>
        </w:rPr>
        <w:t xml:space="preserve"> </w:t>
      </w:r>
      <w:r w:rsidR="00120ADB" w:rsidRPr="00D50D50">
        <w:rPr>
          <w:rFonts w:asciiTheme="majorHAnsi" w:hAnsiTheme="majorHAnsi"/>
          <w:sz w:val="20"/>
          <w:szCs w:val="20"/>
          <w:lang w:val="es-ES"/>
        </w:rPr>
        <w:t xml:space="preserve">que se han violado las garantías judiciales </w:t>
      </w:r>
      <w:r w:rsidR="00462D7B" w:rsidRPr="00D50D50">
        <w:rPr>
          <w:rFonts w:asciiTheme="majorHAnsi" w:hAnsiTheme="majorHAnsi"/>
          <w:sz w:val="20"/>
          <w:szCs w:val="20"/>
          <w:lang w:val="es-ES"/>
        </w:rPr>
        <w:t xml:space="preserve">durante el proceso penal </w:t>
      </w:r>
      <w:r w:rsidR="006012F0" w:rsidRPr="00D50D50">
        <w:rPr>
          <w:rFonts w:asciiTheme="majorHAnsi" w:hAnsiTheme="majorHAnsi"/>
          <w:sz w:val="20"/>
          <w:szCs w:val="20"/>
          <w:lang w:val="es-ES"/>
        </w:rPr>
        <w:t>contra las presuntas víctimas</w:t>
      </w:r>
      <w:r w:rsidR="00120ADB" w:rsidRPr="00D50D50">
        <w:rPr>
          <w:rFonts w:asciiTheme="majorHAnsi" w:hAnsiTheme="majorHAnsi"/>
          <w:sz w:val="20"/>
          <w:szCs w:val="20"/>
          <w:lang w:val="es-ES"/>
        </w:rPr>
        <w:t>;</w:t>
      </w:r>
      <w:r w:rsidR="006012F0" w:rsidRPr="00D50D50">
        <w:rPr>
          <w:rFonts w:asciiTheme="majorHAnsi" w:hAnsiTheme="majorHAnsi"/>
          <w:sz w:val="20"/>
          <w:szCs w:val="20"/>
          <w:lang w:val="es-ES"/>
        </w:rPr>
        <w:t xml:space="preserve"> </w:t>
      </w:r>
      <w:r w:rsidR="00120ADB" w:rsidRPr="00D50D50">
        <w:rPr>
          <w:rFonts w:asciiTheme="majorHAnsi" w:hAnsiTheme="majorHAnsi"/>
          <w:sz w:val="20"/>
          <w:szCs w:val="20"/>
          <w:lang w:val="es-ES"/>
        </w:rPr>
        <w:t xml:space="preserve">que estas sufrieron un </w:t>
      </w:r>
      <w:r w:rsidR="006012F0" w:rsidRPr="00D50D50">
        <w:rPr>
          <w:rFonts w:asciiTheme="majorHAnsi" w:hAnsiTheme="majorHAnsi"/>
          <w:sz w:val="20"/>
          <w:szCs w:val="20"/>
          <w:lang w:val="es-ES"/>
        </w:rPr>
        <w:t xml:space="preserve">tratamiento </w:t>
      </w:r>
      <w:r w:rsidR="004F463E" w:rsidRPr="00D50D50">
        <w:rPr>
          <w:rFonts w:asciiTheme="majorHAnsi" w:hAnsiTheme="majorHAnsi"/>
          <w:sz w:val="20"/>
          <w:szCs w:val="20"/>
          <w:lang w:val="es-ES"/>
        </w:rPr>
        <w:t>distinto</w:t>
      </w:r>
      <w:r w:rsidR="006012F0" w:rsidRPr="00D50D50">
        <w:rPr>
          <w:rFonts w:asciiTheme="majorHAnsi" w:hAnsiTheme="majorHAnsi"/>
          <w:sz w:val="20"/>
          <w:szCs w:val="20"/>
          <w:lang w:val="es-ES"/>
        </w:rPr>
        <w:t xml:space="preserve"> </w:t>
      </w:r>
      <w:r w:rsidR="00120ADB" w:rsidRPr="00D50D50">
        <w:rPr>
          <w:rFonts w:asciiTheme="majorHAnsi" w:hAnsiTheme="majorHAnsi"/>
          <w:sz w:val="20"/>
          <w:szCs w:val="20"/>
          <w:lang w:val="es-ES"/>
        </w:rPr>
        <w:t>respecto a</w:t>
      </w:r>
      <w:r w:rsidR="006012F0" w:rsidRPr="00D50D50">
        <w:rPr>
          <w:rFonts w:asciiTheme="majorHAnsi" w:hAnsiTheme="majorHAnsi"/>
          <w:sz w:val="20"/>
          <w:szCs w:val="20"/>
          <w:lang w:val="es-ES"/>
        </w:rPr>
        <w:t xml:space="preserve"> otros funcionarios y </w:t>
      </w:r>
      <w:r w:rsidR="00462D7B" w:rsidRPr="00D50D50">
        <w:rPr>
          <w:rFonts w:asciiTheme="majorHAnsi" w:hAnsiTheme="majorHAnsi"/>
          <w:sz w:val="20"/>
          <w:szCs w:val="20"/>
          <w:lang w:val="es-ES"/>
        </w:rPr>
        <w:t>particulares que participaron de</w:t>
      </w:r>
      <w:r w:rsidR="006012F0" w:rsidRPr="00D50D50">
        <w:rPr>
          <w:rFonts w:asciiTheme="majorHAnsi" w:hAnsiTheme="majorHAnsi"/>
          <w:sz w:val="20"/>
          <w:szCs w:val="20"/>
          <w:lang w:val="es-ES"/>
        </w:rPr>
        <w:t xml:space="preserve"> los mismos hechos</w:t>
      </w:r>
      <w:r w:rsidR="00120ADB" w:rsidRPr="00D50D50">
        <w:rPr>
          <w:rFonts w:asciiTheme="majorHAnsi" w:hAnsiTheme="majorHAnsi"/>
          <w:sz w:val="20"/>
          <w:szCs w:val="20"/>
          <w:lang w:val="es-ES"/>
        </w:rPr>
        <w:t>;</w:t>
      </w:r>
      <w:r w:rsidR="006012F0" w:rsidRPr="00D50D50">
        <w:rPr>
          <w:rFonts w:asciiTheme="majorHAnsi" w:hAnsiTheme="majorHAnsi"/>
          <w:sz w:val="20"/>
          <w:szCs w:val="20"/>
          <w:lang w:val="es-ES"/>
        </w:rPr>
        <w:t xml:space="preserve"> </w:t>
      </w:r>
      <w:r w:rsidR="00120ADB" w:rsidRPr="00D50D50">
        <w:rPr>
          <w:rFonts w:asciiTheme="majorHAnsi" w:hAnsiTheme="majorHAnsi"/>
          <w:sz w:val="20"/>
          <w:szCs w:val="20"/>
          <w:lang w:val="es-ES"/>
        </w:rPr>
        <w:t xml:space="preserve">que </w:t>
      </w:r>
      <w:r w:rsidRPr="00D50D50">
        <w:rPr>
          <w:rFonts w:asciiTheme="majorHAnsi" w:hAnsiTheme="majorHAnsi"/>
          <w:sz w:val="20"/>
          <w:szCs w:val="20"/>
          <w:lang w:val="es-ES"/>
        </w:rPr>
        <w:t>los administradores de justicia</w:t>
      </w:r>
      <w:r w:rsidR="00120ADB" w:rsidRPr="00D50D50">
        <w:rPr>
          <w:rFonts w:asciiTheme="majorHAnsi" w:hAnsiTheme="majorHAnsi"/>
          <w:sz w:val="20"/>
          <w:szCs w:val="20"/>
          <w:lang w:val="es-ES"/>
        </w:rPr>
        <w:t xml:space="preserve"> carecían de independencia; y que las presuntas víctimas sufrieron una </w:t>
      </w:r>
      <w:r w:rsidRPr="00D50D50">
        <w:rPr>
          <w:rFonts w:asciiTheme="majorHAnsi" w:hAnsiTheme="majorHAnsi"/>
          <w:sz w:val="20"/>
          <w:szCs w:val="20"/>
          <w:lang w:val="es-ES"/>
        </w:rPr>
        <w:t xml:space="preserve">indebida privación de libertad. </w:t>
      </w:r>
    </w:p>
    <w:p w14:paraId="2B4E7452" w14:textId="77777777" w:rsidR="00186A95" w:rsidRPr="00D50D50" w:rsidRDefault="00186A95" w:rsidP="00186A9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highlight w:val="yellow"/>
          <w:lang w:val="es-ES"/>
        </w:rPr>
      </w:pPr>
    </w:p>
    <w:p w14:paraId="28F0FF50" w14:textId="4055D01E" w:rsidR="00186A95" w:rsidRPr="00D50D50" w:rsidRDefault="00120ADB" w:rsidP="00F85D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 xml:space="preserve">En lo que hace </w:t>
      </w:r>
      <w:r w:rsidR="00765718" w:rsidRPr="00D50D50">
        <w:rPr>
          <w:rFonts w:asciiTheme="majorHAnsi" w:hAnsiTheme="majorHAnsi"/>
          <w:sz w:val="20"/>
          <w:szCs w:val="20"/>
          <w:lang w:val="es-ES"/>
        </w:rPr>
        <w:t>al presunto</w:t>
      </w:r>
      <w:r w:rsidR="006C2713" w:rsidRPr="00D50D50">
        <w:rPr>
          <w:rFonts w:asciiTheme="majorHAnsi" w:hAnsiTheme="majorHAnsi"/>
          <w:sz w:val="20"/>
          <w:szCs w:val="20"/>
          <w:lang w:val="es-ES"/>
        </w:rPr>
        <w:t xml:space="preserve"> </w:t>
      </w:r>
      <w:r w:rsidR="00090DE7" w:rsidRPr="00D50D50">
        <w:rPr>
          <w:rFonts w:asciiTheme="majorHAnsi" w:hAnsiTheme="majorHAnsi"/>
          <w:sz w:val="20"/>
          <w:szCs w:val="20"/>
          <w:lang w:val="es-ES"/>
        </w:rPr>
        <w:t>tratamiento desigual</w:t>
      </w:r>
      <w:r w:rsidR="00C03919" w:rsidRPr="00D50D50">
        <w:rPr>
          <w:rFonts w:asciiTheme="majorHAnsi" w:hAnsiTheme="majorHAnsi"/>
          <w:sz w:val="20"/>
          <w:szCs w:val="20"/>
          <w:lang w:val="es-ES"/>
        </w:rPr>
        <w:t>,</w:t>
      </w:r>
      <w:r w:rsidR="00090DE7" w:rsidRPr="00D50D50">
        <w:rPr>
          <w:rFonts w:asciiTheme="majorHAnsi" w:hAnsiTheme="majorHAnsi"/>
          <w:sz w:val="20"/>
          <w:szCs w:val="20"/>
          <w:lang w:val="es-ES"/>
        </w:rPr>
        <w:t xml:space="preserve"> </w:t>
      </w:r>
      <w:r w:rsidRPr="00D50D50">
        <w:rPr>
          <w:rFonts w:asciiTheme="majorHAnsi" w:hAnsiTheme="majorHAnsi"/>
          <w:sz w:val="20"/>
          <w:szCs w:val="20"/>
          <w:lang w:val="es-ES"/>
        </w:rPr>
        <w:t xml:space="preserve">la </w:t>
      </w:r>
      <w:r w:rsidR="00E30E3F" w:rsidRPr="00D50D50">
        <w:rPr>
          <w:rFonts w:asciiTheme="majorHAnsi" w:hAnsiTheme="majorHAnsi"/>
          <w:sz w:val="20"/>
          <w:szCs w:val="20"/>
          <w:lang w:val="es-ES"/>
        </w:rPr>
        <w:t>C</w:t>
      </w:r>
      <w:r w:rsidRPr="00D50D50">
        <w:rPr>
          <w:rFonts w:asciiTheme="majorHAnsi" w:hAnsiTheme="majorHAnsi"/>
          <w:sz w:val="20"/>
          <w:szCs w:val="20"/>
          <w:lang w:val="es-ES"/>
        </w:rPr>
        <w:t xml:space="preserve">IDH se ha pronunciado </w:t>
      </w:r>
      <w:r w:rsidR="00E30E3F" w:rsidRPr="00D50D50">
        <w:rPr>
          <w:rFonts w:asciiTheme="majorHAnsi" w:hAnsiTheme="majorHAnsi"/>
          <w:sz w:val="20"/>
          <w:szCs w:val="20"/>
          <w:lang w:val="es-ES"/>
        </w:rPr>
        <w:t xml:space="preserve">acerca de la falta de uniformidad de los juicios de responsabilidad </w:t>
      </w:r>
      <w:r w:rsidRPr="00D50D50">
        <w:rPr>
          <w:rFonts w:asciiTheme="majorHAnsi" w:hAnsiTheme="majorHAnsi"/>
          <w:sz w:val="20"/>
          <w:szCs w:val="20"/>
          <w:lang w:val="es-ES"/>
        </w:rPr>
        <w:t xml:space="preserve">y </w:t>
      </w:r>
      <w:r w:rsidR="00E30E3F" w:rsidRPr="00D50D50">
        <w:rPr>
          <w:rFonts w:asciiTheme="majorHAnsi" w:hAnsiTheme="majorHAnsi"/>
          <w:sz w:val="20"/>
          <w:szCs w:val="20"/>
          <w:lang w:val="es-ES"/>
        </w:rPr>
        <w:t>reconoci</w:t>
      </w:r>
      <w:r w:rsidRPr="00D50D50">
        <w:rPr>
          <w:rFonts w:asciiTheme="majorHAnsi" w:hAnsiTheme="majorHAnsi"/>
          <w:sz w:val="20"/>
          <w:szCs w:val="20"/>
          <w:lang w:val="es-ES"/>
        </w:rPr>
        <w:t>do</w:t>
      </w:r>
      <w:r w:rsidR="00E30E3F" w:rsidRPr="00D50D50">
        <w:rPr>
          <w:rFonts w:asciiTheme="majorHAnsi" w:hAnsiTheme="majorHAnsi"/>
          <w:sz w:val="20"/>
          <w:szCs w:val="20"/>
          <w:lang w:val="es-ES"/>
        </w:rPr>
        <w:t xml:space="preserve"> que aun en medio de las dificultades jur</w:t>
      </w:r>
      <w:r w:rsidR="00895B9D" w:rsidRPr="00D50D50">
        <w:rPr>
          <w:rFonts w:asciiTheme="majorHAnsi" w:hAnsiTheme="majorHAnsi"/>
          <w:sz w:val="20"/>
          <w:szCs w:val="20"/>
          <w:lang w:val="es-ES"/>
        </w:rPr>
        <w:t xml:space="preserve">ídicas </w:t>
      </w:r>
      <w:r w:rsidR="00E30E3F" w:rsidRPr="00D50D50">
        <w:rPr>
          <w:rFonts w:asciiTheme="majorHAnsi" w:hAnsiTheme="majorHAnsi"/>
          <w:sz w:val="20"/>
          <w:szCs w:val="20"/>
          <w:lang w:val="es-ES"/>
        </w:rPr>
        <w:t>que</w:t>
      </w:r>
      <w:r w:rsidR="00895B9D" w:rsidRPr="00D50D50">
        <w:rPr>
          <w:rFonts w:asciiTheme="majorHAnsi" w:hAnsiTheme="majorHAnsi"/>
          <w:sz w:val="20"/>
          <w:szCs w:val="20"/>
          <w:lang w:val="es-ES"/>
        </w:rPr>
        <w:t xml:space="preserve"> ha</w:t>
      </w:r>
      <w:r w:rsidR="00E30E3F" w:rsidRPr="00D50D50">
        <w:rPr>
          <w:rFonts w:asciiTheme="majorHAnsi" w:hAnsiTheme="majorHAnsi"/>
          <w:sz w:val="20"/>
          <w:szCs w:val="20"/>
          <w:lang w:val="es-ES"/>
        </w:rPr>
        <w:t xml:space="preserve"> ten</w:t>
      </w:r>
      <w:r w:rsidR="00895B9D" w:rsidRPr="00D50D50">
        <w:rPr>
          <w:rFonts w:asciiTheme="majorHAnsi" w:hAnsiTheme="majorHAnsi"/>
          <w:sz w:val="20"/>
          <w:szCs w:val="20"/>
          <w:lang w:val="es-ES"/>
        </w:rPr>
        <w:t>ido</w:t>
      </w:r>
      <w:r w:rsidR="00E30E3F" w:rsidRPr="00D50D50">
        <w:rPr>
          <w:rFonts w:asciiTheme="majorHAnsi" w:hAnsiTheme="majorHAnsi"/>
          <w:sz w:val="20"/>
          <w:szCs w:val="20"/>
          <w:lang w:val="es-ES"/>
        </w:rPr>
        <w:t xml:space="preserve"> el Es</w:t>
      </w:r>
      <w:r w:rsidR="00895B9D" w:rsidRPr="00D50D50">
        <w:rPr>
          <w:rFonts w:asciiTheme="majorHAnsi" w:hAnsiTheme="majorHAnsi"/>
          <w:sz w:val="20"/>
          <w:szCs w:val="20"/>
          <w:lang w:val="es-ES"/>
        </w:rPr>
        <w:t xml:space="preserve">tado boliviano, </w:t>
      </w:r>
      <w:r w:rsidRPr="00D50D50">
        <w:rPr>
          <w:rFonts w:asciiTheme="majorHAnsi" w:hAnsiTheme="majorHAnsi"/>
          <w:sz w:val="20"/>
          <w:szCs w:val="20"/>
          <w:lang w:val="es-ES"/>
        </w:rPr>
        <w:t>subsiste su deber de</w:t>
      </w:r>
      <w:r w:rsidR="00E30E3F" w:rsidRPr="00D50D50">
        <w:rPr>
          <w:rFonts w:asciiTheme="majorHAnsi" w:hAnsiTheme="majorHAnsi"/>
          <w:sz w:val="20"/>
          <w:szCs w:val="20"/>
          <w:lang w:val="es-ES"/>
        </w:rPr>
        <w:t xml:space="preserve"> </w:t>
      </w:r>
      <w:r w:rsidR="00765718" w:rsidRPr="00D50D50">
        <w:rPr>
          <w:rFonts w:asciiTheme="majorHAnsi" w:hAnsiTheme="majorHAnsi"/>
          <w:sz w:val="20"/>
          <w:szCs w:val="20"/>
          <w:lang w:val="es-ES"/>
        </w:rPr>
        <w:t>rea</w:t>
      </w:r>
      <w:r w:rsidR="00E30E3F" w:rsidRPr="00D50D50">
        <w:rPr>
          <w:rFonts w:asciiTheme="majorHAnsi" w:hAnsiTheme="majorHAnsi"/>
          <w:sz w:val="20"/>
          <w:szCs w:val="20"/>
          <w:lang w:val="es-ES"/>
        </w:rPr>
        <w:t xml:space="preserve">lizar las </w:t>
      </w:r>
      <w:r w:rsidR="00895B9D" w:rsidRPr="00D50D50">
        <w:rPr>
          <w:rFonts w:asciiTheme="majorHAnsi" w:hAnsiTheme="majorHAnsi"/>
          <w:sz w:val="20"/>
          <w:szCs w:val="20"/>
          <w:lang w:val="es-ES"/>
        </w:rPr>
        <w:t>i</w:t>
      </w:r>
      <w:r w:rsidR="00E30E3F" w:rsidRPr="00D50D50">
        <w:rPr>
          <w:rFonts w:asciiTheme="majorHAnsi" w:hAnsiTheme="majorHAnsi"/>
          <w:sz w:val="20"/>
          <w:szCs w:val="20"/>
          <w:lang w:val="es-ES"/>
        </w:rPr>
        <w:t xml:space="preserve">nvestigaciones contra </w:t>
      </w:r>
      <w:r w:rsidRPr="00D50D50">
        <w:rPr>
          <w:rFonts w:asciiTheme="majorHAnsi" w:hAnsiTheme="majorHAnsi"/>
          <w:sz w:val="20"/>
          <w:szCs w:val="20"/>
          <w:lang w:val="es-ES"/>
        </w:rPr>
        <w:t xml:space="preserve">las personas </w:t>
      </w:r>
      <w:r w:rsidR="00E30E3F" w:rsidRPr="00D50D50">
        <w:rPr>
          <w:rFonts w:asciiTheme="majorHAnsi" w:hAnsiTheme="majorHAnsi"/>
          <w:sz w:val="20"/>
          <w:szCs w:val="20"/>
          <w:lang w:val="es-ES"/>
        </w:rPr>
        <w:t xml:space="preserve">que participaron </w:t>
      </w:r>
      <w:r w:rsidRPr="00D50D50">
        <w:rPr>
          <w:rFonts w:asciiTheme="majorHAnsi" w:hAnsiTheme="majorHAnsi"/>
          <w:sz w:val="20"/>
          <w:szCs w:val="20"/>
          <w:lang w:val="es-ES"/>
        </w:rPr>
        <w:t>d</w:t>
      </w:r>
      <w:r w:rsidR="00E30E3F" w:rsidRPr="00D50D50">
        <w:rPr>
          <w:rFonts w:asciiTheme="majorHAnsi" w:hAnsiTheme="majorHAnsi"/>
          <w:sz w:val="20"/>
          <w:szCs w:val="20"/>
          <w:lang w:val="es-ES"/>
        </w:rPr>
        <w:t xml:space="preserve">e los eventos del </w:t>
      </w:r>
      <w:r w:rsidRPr="00D50D50">
        <w:rPr>
          <w:rFonts w:asciiTheme="majorHAnsi" w:hAnsiTheme="majorHAnsi"/>
          <w:sz w:val="20"/>
          <w:szCs w:val="20"/>
          <w:lang w:val="es-ES"/>
        </w:rPr>
        <w:t xml:space="preserve">llamado </w:t>
      </w:r>
      <w:r w:rsidR="00895B9D" w:rsidRPr="00D50D50">
        <w:rPr>
          <w:rFonts w:asciiTheme="majorHAnsi" w:hAnsiTheme="majorHAnsi"/>
          <w:sz w:val="20"/>
          <w:szCs w:val="20"/>
          <w:lang w:val="es-ES"/>
        </w:rPr>
        <w:t>“</w:t>
      </w:r>
      <w:r w:rsidR="00E30E3F" w:rsidRPr="00D50D50">
        <w:rPr>
          <w:rFonts w:asciiTheme="majorHAnsi" w:hAnsiTheme="majorHAnsi"/>
          <w:sz w:val="20"/>
          <w:szCs w:val="20"/>
          <w:lang w:val="es-ES"/>
        </w:rPr>
        <w:t>octubre negro”</w:t>
      </w:r>
      <w:r w:rsidR="00C03919" w:rsidRPr="00D50D50">
        <w:rPr>
          <w:rStyle w:val="FootnoteReference"/>
          <w:rFonts w:asciiTheme="majorHAnsi" w:hAnsiTheme="majorHAnsi"/>
          <w:sz w:val="20"/>
          <w:szCs w:val="20"/>
          <w:lang w:val="es-ES"/>
        </w:rPr>
        <w:footnoteReference w:id="8"/>
      </w:r>
      <w:r w:rsidR="00D447E2" w:rsidRPr="00D50D50">
        <w:rPr>
          <w:rFonts w:asciiTheme="majorHAnsi" w:hAnsiTheme="majorHAnsi"/>
          <w:sz w:val="20"/>
          <w:szCs w:val="20"/>
          <w:lang w:val="es-ES"/>
        </w:rPr>
        <w:t xml:space="preserve">. </w:t>
      </w:r>
      <w:r w:rsidR="00D447E2" w:rsidRPr="00D50D50">
        <w:rPr>
          <w:rFonts w:asciiTheme="majorHAnsi" w:hAnsiTheme="majorHAnsi" w:cs="Calibri"/>
          <w:sz w:val="20"/>
          <w:szCs w:val="20"/>
          <w:lang w:val="es-ES_tradnl"/>
        </w:rPr>
        <w:t xml:space="preserve">La obligación </w:t>
      </w:r>
      <w:r w:rsidRPr="00D50D50">
        <w:rPr>
          <w:rFonts w:asciiTheme="majorHAnsi" w:hAnsiTheme="majorHAnsi" w:cs="Calibri"/>
          <w:sz w:val="20"/>
          <w:szCs w:val="20"/>
          <w:lang w:val="es-ES_tradnl"/>
        </w:rPr>
        <w:t>de</w:t>
      </w:r>
      <w:r w:rsidR="00D447E2" w:rsidRPr="00D50D50">
        <w:rPr>
          <w:rFonts w:asciiTheme="majorHAnsi" w:hAnsiTheme="majorHAnsi" w:cs="Calibri"/>
          <w:sz w:val="20"/>
          <w:szCs w:val="20"/>
          <w:lang w:val="es-ES_tradnl"/>
        </w:rPr>
        <w:t xml:space="preserve">l Estado de prevenir, investigar y sancionar las violaciones a los derechos humanos hace que </w:t>
      </w:r>
      <w:r w:rsidR="005927B7" w:rsidRPr="00D50D50">
        <w:rPr>
          <w:rFonts w:asciiTheme="majorHAnsi" w:hAnsiTheme="majorHAnsi" w:cs="Calibri"/>
          <w:sz w:val="20"/>
          <w:szCs w:val="20"/>
          <w:lang w:val="es-ES_tradnl"/>
        </w:rPr>
        <w:t xml:space="preserve">le </w:t>
      </w:r>
      <w:r w:rsidRPr="00D50D50">
        <w:rPr>
          <w:rFonts w:asciiTheme="majorHAnsi" w:hAnsiTheme="majorHAnsi" w:cs="Calibri"/>
          <w:sz w:val="20"/>
          <w:szCs w:val="20"/>
          <w:lang w:val="es-ES_tradnl"/>
        </w:rPr>
        <w:t xml:space="preserve">resulte </w:t>
      </w:r>
      <w:r w:rsidR="00D447E2" w:rsidRPr="00D50D50">
        <w:rPr>
          <w:rFonts w:asciiTheme="majorHAnsi" w:hAnsiTheme="majorHAnsi" w:cs="Calibri"/>
          <w:sz w:val="20"/>
          <w:szCs w:val="20"/>
          <w:lang w:val="es-ES_tradnl"/>
        </w:rPr>
        <w:t xml:space="preserve">imputable toda violación </w:t>
      </w:r>
      <w:r w:rsidRPr="00D50D50">
        <w:rPr>
          <w:rFonts w:asciiTheme="majorHAnsi" w:hAnsiTheme="majorHAnsi" w:cs="Calibri"/>
          <w:sz w:val="20"/>
          <w:szCs w:val="20"/>
          <w:lang w:val="es-ES_tradnl"/>
        </w:rPr>
        <w:t>de</w:t>
      </w:r>
      <w:r w:rsidR="00D447E2" w:rsidRPr="00D50D50">
        <w:rPr>
          <w:rFonts w:asciiTheme="majorHAnsi" w:hAnsiTheme="majorHAnsi" w:cs="Calibri"/>
          <w:sz w:val="20"/>
          <w:szCs w:val="20"/>
          <w:lang w:val="es-ES_tradnl"/>
        </w:rPr>
        <w:t xml:space="preserve"> los derechos reconocidos por la Convención </w:t>
      </w:r>
      <w:r w:rsidR="005927B7" w:rsidRPr="00D50D50">
        <w:rPr>
          <w:rFonts w:asciiTheme="majorHAnsi" w:hAnsiTheme="majorHAnsi" w:cs="Calibri"/>
          <w:sz w:val="20"/>
          <w:szCs w:val="20"/>
          <w:lang w:val="es-ES_tradnl"/>
        </w:rPr>
        <w:t>A</w:t>
      </w:r>
      <w:r w:rsidRPr="00D50D50">
        <w:rPr>
          <w:rFonts w:asciiTheme="majorHAnsi" w:hAnsiTheme="majorHAnsi" w:cs="Calibri"/>
          <w:sz w:val="20"/>
          <w:szCs w:val="20"/>
          <w:lang w:val="es-ES_tradnl"/>
        </w:rPr>
        <w:t xml:space="preserve">mericana cometida </w:t>
      </w:r>
      <w:r w:rsidR="00D447E2" w:rsidRPr="00D50D50">
        <w:rPr>
          <w:rFonts w:asciiTheme="majorHAnsi" w:hAnsiTheme="majorHAnsi" w:cs="Calibri"/>
          <w:sz w:val="20"/>
          <w:szCs w:val="20"/>
          <w:lang w:val="es-ES_tradnl"/>
        </w:rPr>
        <w:t xml:space="preserve">por </w:t>
      </w:r>
      <w:r w:rsidRPr="00D50D50">
        <w:rPr>
          <w:rFonts w:asciiTheme="majorHAnsi" w:hAnsiTheme="majorHAnsi" w:cs="Calibri"/>
          <w:sz w:val="20"/>
          <w:szCs w:val="20"/>
          <w:lang w:val="es-ES_tradnl"/>
        </w:rPr>
        <w:t xml:space="preserve">funcionarios </w:t>
      </w:r>
      <w:r w:rsidR="00D447E2" w:rsidRPr="00D50D50">
        <w:rPr>
          <w:rFonts w:asciiTheme="majorHAnsi" w:hAnsiTheme="majorHAnsi" w:cs="Calibri"/>
          <w:sz w:val="20"/>
          <w:szCs w:val="20"/>
          <w:lang w:val="es-ES_tradnl"/>
        </w:rPr>
        <w:t xml:space="preserve">o personas que actúan prevalidas de los poderes que ostentan por su carácter oficial. </w:t>
      </w:r>
    </w:p>
    <w:p w14:paraId="141A554F" w14:textId="77777777" w:rsidR="00120ADB" w:rsidRPr="00D50D50" w:rsidRDefault="00120ADB" w:rsidP="00120AD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455D4978" w14:textId="4D367034" w:rsidR="00186A95" w:rsidRDefault="00FA2F2C" w:rsidP="00F85D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 xml:space="preserve">Respecto a </w:t>
      </w:r>
      <w:r w:rsidR="000251A4">
        <w:rPr>
          <w:rFonts w:asciiTheme="majorHAnsi" w:hAnsiTheme="majorHAnsi"/>
          <w:sz w:val="20"/>
          <w:szCs w:val="20"/>
          <w:lang w:val="es-ES"/>
        </w:rPr>
        <w:t xml:space="preserve">los alegatos de </w:t>
      </w:r>
      <w:r w:rsidR="000251A4" w:rsidRPr="00D50D50">
        <w:rPr>
          <w:rFonts w:asciiTheme="majorHAnsi" w:hAnsiTheme="majorHAnsi"/>
          <w:sz w:val="20"/>
          <w:szCs w:val="20"/>
          <w:lang w:val="es-ES"/>
        </w:rPr>
        <w:t>violación</w:t>
      </w:r>
      <w:r w:rsidR="005927B7" w:rsidRPr="00D50D50">
        <w:rPr>
          <w:rFonts w:asciiTheme="majorHAnsi" w:hAnsiTheme="majorHAnsi"/>
          <w:sz w:val="20"/>
          <w:szCs w:val="20"/>
          <w:lang w:val="es-ES"/>
        </w:rPr>
        <w:t xml:space="preserve"> de</w:t>
      </w:r>
      <w:r w:rsidR="00D50D50">
        <w:rPr>
          <w:rFonts w:asciiTheme="majorHAnsi" w:hAnsiTheme="majorHAnsi"/>
          <w:sz w:val="20"/>
          <w:szCs w:val="20"/>
          <w:lang w:val="es-ES"/>
        </w:rPr>
        <w:t xml:space="preserve"> </w:t>
      </w:r>
      <w:r w:rsidR="005927B7" w:rsidRPr="00D50D50">
        <w:rPr>
          <w:rFonts w:asciiTheme="majorHAnsi" w:hAnsiTheme="majorHAnsi"/>
          <w:sz w:val="20"/>
          <w:szCs w:val="20"/>
          <w:lang w:val="es-ES"/>
        </w:rPr>
        <w:t>l</w:t>
      </w:r>
      <w:r w:rsidR="00D50D50">
        <w:rPr>
          <w:rFonts w:asciiTheme="majorHAnsi" w:hAnsiTheme="majorHAnsi"/>
          <w:sz w:val="20"/>
          <w:szCs w:val="20"/>
          <w:lang w:val="es-ES"/>
        </w:rPr>
        <w:t>os</w:t>
      </w:r>
      <w:r w:rsidR="005927B7" w:rsidRPr="00D50D50">
        <w:rPr>
          <w:rFonts w:asciiTheme="majorHAnsi" w:hAnsiTheme="majorHAnsi"/>
          <w:sz w:val="20"/>
          <w:szCs w:val="20"/>
          <w:lang w:val="es-ES"/>
        </w:rPr>
        <w:t xml:space="preserve"> derecho</w:t>
      </w:r>
      <w:r w:rsidR="00D50D50">
        <w:rPr>
          <w:rFonts w:asciiTheme="majorHAnsi" w:hAnsiTheme="majorHAnsi"/>
          <w:sz w:val="20"/>
          <w:szCs w:val="20"/>
          <w:lang w:val="es-ES"/>
        </w:rPr>
        <w:t>s</w:t>
      </w:r>
      <w:r w:rsidR="005927B7" w:rsidRPr="00D50D50">
        <w:rPr>
          <w:rFonts w:asciiTheme="majorHAnsi" w:hAnsiTheme="majorHAnsi"/>
          <w:sz w:val="20"/>
          <w:szCs w:val="20"/>
          <w:lang w:val="es-ES"/>
        </w:rPr>
        <w:t xml:space="preserve"> a las garantías judiciales</w:t>
      </w:r>
      <w:r w:rsidR="00D50D50">
        <w:rPr>
          <w:rFonts w:asciiTheme="majorHAnsi" w:hAnsiTheme="majorHAnsi"/>
          <w:sz w:val="20"/>
          <w:szCs w:val="20"/>
          <w:lang w:val="es-ES"/>
        </w:rPr>
        <w:t xml:space="preserve"> y a la protección judicial</w:t>
      </w:r>
      <w:r w:rsidR="005927B7" w:rsidRPr="00D50D50">
        <w:rPr>
          <w:rFonts w:asciiTheme="majorHAnsi" w:hAnsiTheme="majorHAnsi"/>
          <w:sz w:val="20"/>
          <w:szCs w:val="20"/>
          <w:lang w:val="es-ES"/>
        </w:rPr>
        <w:t xml:space="preserve">, </w:t>
      </w:r>
      <w:r w:rsidR="00120ADB" w:rsidRPr="00D50D50">
        <w:rPr>
          <w:rFonts w:asciiTheme="majorHAnsi" w:hAnsiTheme="majorHAnsi"/>
          <w:sz w:val="20"/>
          <w:szCs w:val="20"/>
          <w:lang w:val="es-ES"/>
        </w:rPr>
        <w:t xml:space="preserve">la CIDH </w:t>
      </w:r>
      <w:r w:rsidR="005927B7" w:rsidRPr="00D50D50">
        <w:rPr>
          <w:rFonts w:asciiTheme="majorHAnsi" w:hAnsiTheme="majorHAnsi"/>
          <w:sz w:val="20"/>
          <w:szCs w:val="20"/>
          <w:lang w:val="es-ES"/>
        </w:rPr>
        <w:t xml:space="preserve">observa que las presuntas víctimas tuvieron la oportunidad de proponer testigos y aportar </w:t>
      </w:r>
      <w:r w:rsidR="005927B7" w:rsidRPr="00D50D50">
        <w:rPr>
          <w:rFonts w:asciiTheme="majorHAnsi" w:hAnsiTheme="majorHAnsi"/>
          <w:sz w:val="20"/>
          <w:szCs w:val="20"/>
          <w:lang w:val="es-ES"/>
        </w:rPr>
        <w:lastRenderedPageBreak/>
        <w:t>pruebas documentales dentro del proceso en su contra. Asimismo, el proceso fue sustanciado conforme a un procedimiento y tribunales establecidos con anterioridad por la legislación boliviana</w:t>
      </w:r>
      <w:r w:rsidRPr="00D50D50">
        <w:rPr>
          <w:rFonts w:asciiTheme="majorHAnsi" w:hAnsiTheme="majorHAnsi"/>
          <w:sz w:val="20"/>
          <w:szCs w:val="20"/>
          <w:lang w:val="es-ES"/>
        </w:rPr>
        <w:t xml:space="preserve">, </w:t>
      </w:r>
      <w:r w:rsidR="005927B7" w:rsidRPr="00D50D50">
        <w:rPr>
          <w:rFonts w:asciiTheme="majorHAnsi" w:hAnsiTheme="majorHAnsi"/>
          <w:sz w:val="20"/>
          <w:szCs w:val="20"/>
          <w:lang w:val="es-ES"/>
        </w:rPr>
        <w:t>a fin de</w:t>
      </w:r>
      <w:r w:rsidRPr="00D50D50">
        <w:rPr>
          <w:rFonts w:asciiTheme="majorHAnsi" w:hAnsiTheme="majorHAnsi"/>
          <w:sz w:val="20"/>
          <w:szCs w:val="20"/>
          <w:lang w:val="es-ES"/>
        </w:rPr>
        <w:t xml:space="preserve"> identificar y sancionar los distintos grados de responsabilidad de los funcionarios de los diversos cuerpos de seguridad bolivianos que hicieron uso desproporciona</w:t>
      </w:r>
      <w:r w:rsidR="005927B7" w:rsidRPr="00D50D50">
        <w:rPr>
          <w:rFonts w:asciiTheme="majorHAnsi" w:hAnsiTheme="majorHAnsi"/>
          <w:sz w:val="20"/>
          <w:szCs w:val="20"/>
          <w:lang w:val="es-ES"/>
        </w:rPr>
        <w:t>do</w:t>
      </w:r>
      <w:r w:rsidRPr="00D50D50">
        <w:rPr>
          <w:rFonts w:asciiTheme="majorHAnsi" w:hAnsiTheme="majorHAnsi"/>
          <w:sz w:val="20"/>
          <w:szCs w:val="20"/>
          <w:lang w:val="es-ES"/>
        </w:rPr>
        <w:t xml:space="preserve"> de la fuerza</w:t>
      </w:r>
      <w:r w:rsidR="00120ADB" w:rsidRPr="00D50D50">
        <w:rPr>
          <w:rFonts w:asciiTheme="majorHAnsi" w:hAnsiTheme="majorHAnsi"/>
          <w:sz w:val="20"/>
          <w:szCs w:val="20"/>
          <w:lang w:val="es-ES"/>
        </w:rPr>
        <w:t xml:space="preserve"> en</w:t>
      </w:r>
      <w:r w:rsidRPr="00D50D50">
        <w:rPr>
          <w:rFonts w:asciiTheme="majorHAnsi" w:hAnsiTheme="majorHAnsi"/>
          <w:sz w:val="20"/>
          <w:szCs w:val="20"/>
          <w:lang w:val="es-ES"/>
        </w:rPr>
        <w:t xml:space="preserve"> </w:t>
      </w:r>
      <w:r w:rsidR="00120ADB" w:rsidRPr="00D50D50">
        <w:rPr>
          <w:rFonts w:asciiTheme="majorHAnsi" w:hAnsiTheme="majorHAnsi"/>
          <w:sz w:val="20"/>
          <w:szCs w:val="20"/>
          <w:lang w:val="es-ES"/>
        </w:rPr>
        <w:t>violación de</w:t>
      </w:r>
      <w:r w:rsidRPr="00D50D50">
        <w:rPr>
          <w:rFonts w:asciiTheme="majorHAnsi" w:hAnsiTheme="majorHAnsi"/>
          <w:sz w:val="20"/>
          <w:szCs w:val="20"/>
          <w:lang w:val="es-ES"/>
        </w:rPr>
        <w:t xml:space="preserve"> múltiples derechos humanos de la población civil.</w:t>
      </w:r>
    </w:p>
    <w:p w14:paraId="3238F444" w14:textId="77777777" w:rsidR="00D50D50" w:rsidRDefault="00D50D50" w:rsidP="00D50D50">
      <w:pPr>
        <w:pStyle w:val="ListParagraph"/>
        <w:rPr>
          <w:rFonts w:asciiTheme="majorHAnsi" w:hAnsiTheme="majorHAnsi"/>
          <w:sz w:val="20"/>
          <w:szCs w:val="20"/>
          <w:lang w:val="es-ES"/>
        </w:rPr>
      </w:pPr>
    </w:p>
    <w:p w14:paraId="608B7155" w14:textId="77777777" w:rsidR="000251A4" w:rsidRDefault="00D50D50" w:rsidP="00DB08A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 xml:space="preserve">La Comisión Interamericana observa igualmente que las presuntas víctimas tuvieron acceso a un recurso constitucional que fue decidido en definitiva por la máxima autoridad en dicha materia prevista en el ordenamiento boliviano. La documentación disponible indica que tanto el Tribunal Departamental de Justicia de Chuquisaca </w:t>
      </w:r>
      <w:r w:rsidR="00DB08A7">
        <w:rPr>
          <w:rFonts w:asciiTheme="majorHAnsi" w:hAnsiTheme="majorHAnsi"/>
          <w:sz w:val="20"/>
          <w:szCs w:val="20"/>
          <w:lang w:val="es-ES"/>
        </w:rPr>
        <w:t>como e</w:t>
      </w:r>
      <w:r w:rsidRPr="00D50D50">
        <w:rPr>
          <w:rFonts w:asciiTheme="majorHAnsi" w:hAnsiTheme="majorHAnsi"/>
          <w:sz w:val="20"/>
          <w:szCs w:val="20"/>
          <w:lang w:val="es-ES"/>
        </w:rPr>
        <w:t>l Tribunal Constitucional</w:t>
      </w:r>
      <w:r w:rsidR="00DB08A7">
        <w:rPr>
          <w:rFonts w:asciiTheme="majorHAnsi" w:hAnsiTheme="majorHAnsi"/>
          <w:sz w:val="20"/>
          <w:szCs w:val="20"/>
          <w:lang w:val="es-ES"/>
        </w:rPr>
        <w:t xml:space="preserve"> analizaron los reclamos de las presuntas víctimas y se pronunciaron de manera oportuna</w:t>
      </w:r>
      <w:r w:rsidR="000251A4" w:rsidRPr="00D50D50">
        <w:rPr>
          <w:rStyle w:val="FootnoteReference"/>
          <w:rFonts w:asciiTheme="majorHAnsi" w:hAnsiTheme="majorHAnsi"/>
          <w:sz w:val="20"/>
          <w:szCs w:val="20"/>
          <w:lang w:val="es-ES"/>
        </w:rPr>
        <w:footnoteReference w:id="9"/>
      </w:r>
      <w:r w:rsidR="000251A4" w:rsidRPr="00D50D50">
        <w:rPr>
          <w:rFonts w:asciiTheme="majorHAnsi" w:hAnsiTheme="majorHAnsi"/>
          <w:sz w:val="20"/>
          <w:szCs w:val="20"/>
          <w:lang w:val="es-ES"/>
        </w:rPr>
        <w:t>.</w:t>
      </w:r>
      <w:r w:rsidR="00DB08A7">
        <w:rPr>
          <w:rFonts w:asciiTheme="majorHAnsi" w:hAnsiTheme="majorHAnsi"/>
          <w:sz w:val="20"/>
          <w:szCs w:val="20"/>
          <w:lang w:val="es-ES"/>
        </w:rPr>
        <w:t xml:space="preserve"> </w:t>
      </w:r>
    </w:p>
    <w:p w14:paraId="6087A511" w14:textId="77777777" w:rsidR="000251A4" w:rsidRDefault="000251A4" w:rsidP="000251A4">
      <w:pPr>
        <w:pStyle w:val="ListParagraph"/>
        <w:rPr>
          <w:rFonts w:asciiTheme="majorHAnsi" w:hAnsiTheme="majorHAnsi"/>
          <w:sz w:val="20"/>
          <w:szCs w:val="20"/>
          <w:lang w:val="es-ES"/>
        </w:rPr>
      </w:pPr>
    </w:p>
    <w:p w14:paraId="2FF14DC1" w14:textId="60644C0F" w:rsidR="00120ADB" w:rsidRPr="00DB08A7" w:rsidRDefault="00DB08A7" w:rsidP="00DB08A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 xml:space="preserve">Si bien el resultado </w:t>
      </w:r>
      <w:r w:rsidR="000251A4">
        <w:rPr>
          <w:rFonts w:asciiTheme="majorHAnsi" w:hAnsiTheme="majorHAnsi"/>
          <w:sz w:val="20"/>
          <w:szCs w:val="20"/>
          <w:lang w:val="es-ES"/>
        </w:rPr>
        <w:t xml:space="preserve">final </w:t>
      </w:r>
      <w:r>
        <w:rPr>
          <w:rFonts w:asciiTheme="majorHAnsi" w:hAnsiTheme="majorHAnsi"/>
          <w:sz w:val="20"/>
          <w:szCs w:val="20"/>
          <w:lang w:val="es-ES"/>
        </w:rPr>
        <w:t xml:space="preserve">fue adverso a </w:t>
      </w:r>
      <w:r w:rsidR="000251A4">
        <w:rPr>
          <w:rFonts w:asciiTheme="majorHAnsi" w:hAnsiTheme="majorHAnsi"/>
          <w:sz w:val="20"/>
          <w:szCs w:val="20"/>
          <w:lang w:val="es-ES"/>
        </w:rPr>
        <w:t>las presuntas víctimas</w:t>
      </w:r>
      <w:r>
        <w:rPr>
          <w:rFonts w:asciiTheme="majorHAnsi" w:hAnsiTheme="majorHAnsi"/>
          <w:sz w:val="20"/>
          <w:szCs w:val="20"/>
          <w:lang w:val="es-ES"/>
        </w:rPr>
        <w:t xml:space="preserve">, la CIDH no </w:t>
      </w:r>
      <w:proofErr w:type="spellStart"/>
      <w:r>
        <w:rPr>
          <w:rFonts w:asciiTheme="majorHAnsi" w:hAnsiTheme="majorHAnsi"/>
          <w:sz w:val="20"/>
          <w:szCs w:val="20"/>
          <w:lang w:val="es-ES"/>
        </w:rPr>
        <w:t>halla</w:t>
      </w:r>
      <w:proofErr w:type="spellEnd"/>
      <w:r>
        <w:rPr>
          <w:rFonts w:asciiTheme="majorHAnsi" w:hAnsiTheme="majorHAnsi"/>
          <w:sz w:val="20"/>
          <w:szCs w:val="20"/>
          <w:lang w:val="es-ES"/>
        </w:rPr>
        <w:t xml:space="preserve"> elementos </w:t>
      </w:r>
      <w:r w:rsidR="00120ADB" w:rsidRPr="00DB08A7">
        <w:rPr>
          <w:rFonts w:asciiTheme="majorHAnsi" w:hAnsiTheme="majorHAnsi"/>
          <w:sz w:val="20"/>
          <w:szCs w:val="20"/>
          <w:lang w:val="es-ES"/>
        </w:rPr>
        <w:t xml:space="preserve">de juicio que permitan identificar </w:t>
      </w:r>
      <w:r w:rsidR="00120ADB" w:rsidRPr="00DB08A7">
        <w:rPr>
          <w:rFonts w:asciiTheme="majorHAnsi" w:hAnsiTheme="majorHAnsi"/>
          <w:i/>
          <w:sz w:val="20"/>
          <w:szCs w:val="20"/>
          <w:lang w:val="es-ES"/>
        </w:rPr>
        <w:t xml:space="preserve">prima facie </w:t>
      </w:r>
      <w:r w:rsidR="00120ADB" w:rsidRPr="00DB08A7">
        <w:rPr>
          <w:rFonts w:asciiTheme="majorHAnsi" w:hAnsiTheme="majorHAnsi"/>
          <w:sz w:val="20"/>
          <w:szCs w:val="20"/>
          <w:lang w:val="es-ES"/>
        </w:rPr>
        <w:t xml:space="preserve">la violación de los </w:t>
      </w:r>
      <w:r w:rsidR="0001338D" w:rsidRPr="000251A4">
        <w:rPr>
          <w:rFonts w:asciiTheme="majorHAnsi" w:hAnsiTheme="majorHAnsi"/>
          <w:sz w:val="20"/>
          <w:szCs w:val="20"/>
          <w:lang w:val="es-ES"/>
        </w:rPr>
        <w:t xml:space="preserve">derechos garantizados en los </w:t>
      </w:r>
      <w:r w:rsidR="00120ADB" w:rsidRPr="000251A4">
        <w:rPr>
          <w:rFonts w:asciiTheme="majorHAnsi" w:hAnsiTheme="majorHAnsi"/>
          <w:sz w:val="20"/>
          <w:szCs w:val="20"/>
          <w:lang w:val="es-ES"/>
        </w:rPr>
        <w:t xml:space="preserve">artículos </w:t>
      </w:r>
      <w:r w:rsidRPr="000251A4">
        <w:rPr>
          <w:rFonts w:asciiTheme="majorHAnsi" w:hAnsiTheme="majorHAnsi"/>
          <w:sz w:val="20"/>
          <w:szCs w:val="20"/>
          <w:lang w:val="es-ES"/>
        </w:rPr>
        <w:t xml:space="preserve">8 (garantías judiciales) y 25 (protección judicial) de la Convención Americana; lo mismo es cierto de los alegatos referidos a los derechos protegidos en los artículos </w:t>
      </w:r>
      <w:r w:rsidR="00120ADB" w:rsidRPr="000251A4">
        <w:rPr>
          <w:rFonts w:asciiTheme="majorHAnsi" w:hAnsiTheme="majorHAnsi"/>
          <w:sz w:val="20"/>
          <w:szCs w:val="20"/>
          <w:lang w:val="es-ES"/>
        </w:rPr>
        <w:t>5 (integridad personal)</w:t>
      </w:r>
      <w:r w:rsidR="0001338D" w:rsidRPr="000251A4">
        <w:rPr>
          <w:rFonts w:asciiTheme="majorHAnsi" w:hAnsiTheme="majorHAnsi"/>
          <w:sz w:val="20"/>
          <w:szCs w:val="20"/>
          <w:lang w:val="es-ES"/>
        </w:rPr>
        <w:t xml:space="preserve"> y</w:t>
      </w:r>
      <w:r w:rsidR="00120ADB" w:rsidRPr="000251A4">
        <w:rPr>
          <w:rFonts w:asciiTheme="majorHAnsi" w:hAnsiTheme="majorHAnsi"/>
          <w:sz w:val="20"/>
          <w:szCs w:val="20"/>
          <w:lang w:val="es-ES"/>
        </w:rPr>
        <w:t xml:space="preserve"> 7 (libertad personal)</w:t>
      </w:r>
      <w:r w:rsidRPr="000251A4">
        <w:rPr>
          <w:rFonts w:asciiTheme="majorHAnsi" w:hAnsiTheme="majorHAnsi"/>
          <w:sz w:val="20"/>
          <w:szCs w:val="20"/>
          <w:lang w:val="es-ES"/>
        </w:rPr>
        <w:t xml:space="preserve"> de dicho tratado</w:t>
      </w:r>
      <w:r w:rsidR="00120ADB" w:rsidRPr="000251A4">
        <w:rPr>
          <w:rFonts w:asciiTheme="majorHAnsi" w:hAnsiTheme="majorHAnsi"/>
          <w:sz w:val="20"/>
          <w:szCs w:val="20"/>
          <w:lang w:val="es-ES"/>
        </w:rPr>
        <w:t>.</w:t>
      </w:r>
      <w:r w:rsidRPr="000251A4">
        <w:rPr>
          <w:rFonts w:asciiTheme="majorHAnsi" w:hAnsiTheme="majorHAnsi"/>
          <w:sz w:val="20"/>
          <w:szCs w:val="20"/>
          <w:lang w:val="es-ES"/>
        </w:rPr>
        <w:t xml:space="preserve"> En consecuencia, la Comisión Interamericana concluye que la presente petición no expone </w:t>
      </w:r>
      <w:r w:rsidRPr="000251A4">
        <w:rPr>
          <w:rFonts w:asciiTheme="majorHAnsi" w:hAnsiTheme="majorHAnsi" w:cs="Tahoma"/>
          <w:color w:val="000000"/>
          <w:sz w:val="20"/>
          <w:szCs w:val="20"/>
          <w:lang w:val="es-ES"/>
        </w:rPr>
        <w:t xml:space="preserve">hechos que caractericen una </w:t>
      </w:r>
      <w:r w:rsidR="000251A4">
        <w:rPr>
          <w:rFonts w:asciiTheme="majorHAnsi" w:hAnsiTheme="majorHAnsi" w:cs="Tahoma"/>
          <w:color w:val="000000"/>
          <w:sz w:val="20"/>
          <w:szCs w:val="20"/>
          <w:lang w:val="es-ES"/>
        </w:rPr>
        <w:t xml:space="preserve">posible </w:t>
      </w:r>
      <w:r w:rsidRPr="000251A4">
        <w:rPr>
          <w:rFonts w:asciiTheme="majorHAnsi" w:hAnsiTheme="majorHAnsi" w:cs="Tahoma"/>
          <w:color w:val="000000"/>
          <w:sz w:val="20"/>
          <w:szCs w:val="20"/>
          <w:lang w:val="es-ES"/>
        </w:rPr>
        <w:t xml:space="preserve">violación de los derechos garantizados por </w:t>
      </w:r>
      <w:r w:rsidR="000251A4">
        <w:rPr>
          <w:rFonts w:asciiTheme="majorHAnsi" w:hAnsiTheme="majorHAnsi" w:cs="Tahoma"/>
          <w:color w:val="000000"/>
          <w:sz w:val="20"/>
          <w:szCs w:val="20"/>
          <w:lang w:val="es-ES"/>
        </w:rPr>
        <w:t>l</w:t>
      </w:r>
      <w:r w:rsidRPr="000251A4">
        <w:rPr>
          <w:rFonts w:asciiTheme="majorHAnsi" w:hAnsiTheme="majorHAnsi" w:cs="Tahoma"/>
          <w:color w:val="000000"/>
          <w:sz w:val="20"/>
          <w:szCs w:val="20"/>
          <w:lang w:val="es-ES"/>
        </w:rPr>
        <w:t xml:space="preserve">a Convención Americana en los términos de su </w:t>
      </w:r>
      <w:r w:rsidRPr="000251A4">
        <w:rPr>
          <w:rFonts w:asciiTheme="majorHAnsi" w:hAnsiTheme="majorHAnsi"/>
          <w:sz w:val="20"/>
          <w:szCs w:val="20"/>
          <w:lang w:val="es-ES"/>
        </w:rPr>
        <w:t>artículo 47(b).</w:t>
      </w:r>
      <w:r w:rsidRPr="00DB08A7">
        <w:rPr>
          <w:rFonts w:ascii="Tahoma" w:hAnsi="Tahoma" w:cs="Tahoma"/>
          <w:color w:val="000000"/>
          <w:sz w:val="18"/>
          <w:szCs w:val="18"/>
          <w:lang w:val="es-ES"/>
        </w:rPr>
        <w:t xml:space="preserve"> </w:t>
      </w:r>
    </w:p>
    <w:p w14:paraId="09837134" w14:textId="77777777" w:rsidR="00120ADB" w:rsidRPr="00D50D50" w:rsidRDefault="00120ADB" w:rsidP="00C16E2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5740A207" w14:textId="618193C1" w:rsidR="00120ADB" w:rsidRPr="00D50D50" w:rsidRDefault="00120ADB" w:rsidP="00120AD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D50D50">
        <w:rPr>
          <w:rFonts w:asciiTheme="majorHAnsi" w:hAnsiTheme="majorHAnsi"/>
          <w:b/>
          <w:bCs/>
          <w:sz w:val="20"/>
          <w:szCs w:val="20"/>
          <w:lang w:val="es-ES"/>
        </w:rPr>
        <w:t xml:space="preserve">VIII. </w:t>
      </w:r>
      <w:r w:rsidRPr="00D50D50">
        <w:rPr>
          <w:rFonts w:asciiTheme="majorHAnsi" w:hAnsiTheme="majorHAnsi"/>
          <w:b/>
          <w:bCs/>
          <w:sz w:val="20"/>
          <w:szCs w:val="20"/>
          <w:lang w:val="es-ES"/>
        </w:rPr>
        <w:tab/>
        <w:t>DECISIÓN</w:t>
      </w:r>
      <w:r w:rsidR="00876B79">
        <w:rPr>
          <w:rStyle w:val="FootnoteReference"/>
          <w:rFonts w:asciiTheme="majorHAnsi" w:hAnsiTheme="majorHAnsi"/>
          <w:b/>
          <w:bCs/>
          <w:sz w:val="20"/>
          <w:szCs w:val="20"/>
          <w:lang w:val="es-ES"/>
        </w:rPr>
        <w:footnoteReference w:id="10"/>
      </w:r>
    </w:p>
    <w:p w14:paraId="4C65F7E4" w14:textId="77777777" w:rsidR="00120ADB" w:rsidRPr="00D50D50" w:rsidRDefault="00120ADB" w:rsidP="00C942C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1A84F4A9" w14:textId="7EE019D7" w:rsidR="00120ADB" w:rsidRPr="00D50D50" w:rsidRDefault="00120ADB" w:rsidP="00120AD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Declarar inadmisible la presente petición en relación con los artículos 5</w:t>
      </w:r>
      <w:r w:rsidR="00D50D50">
        <w:rPr>
          <w:rFonts w:asciiTheme="majorHAnsi" w:hAnsiTheme="majorHAnsi"/>
          <w:sz w:val="20"/>
          <w:szCs w:val="20"/>
          <w:lang w:val="es-ES"/>
        </w:rPr>
        <w:t>,</w:t>
      </w:r>
      <w:r w:rsidR="002A64F1" w:rsidRPr="00D50D50">
        <w:rPr>
          <w:rFonts w:asciiTheme="majorHAnsi" w:hAnsiTheme="majorHAnsi"/>
          <w:sz w:val="20"/>
          <w:szCs w:val="20"/>
          <w:lang w:val="es-ES"/>
        </w:rPr>
        <w:t xml:space="preserve"> </w:t>
      </w:r>
      <w:r w:rsidRPr="00D50D50">
        <w:rPr>
          <w:rFonts w:asciiTheme="majorHAnsi" w:hAnsiTheme="majorHAnsi"/>
          <w:sz w:val="20"/>
          <w:szCs w:val="20"/>
          <w:lang w:val="es-ES"/>
        </w:rPr>
        <w:t>7</w:t>
      </w:r>
      <w:r w:rsidR="00D50D50">
        <w:rPr>
          <w:rFonts w:asciiTheme="majorHAnsi" w:hAnsiTheme="majorHAnsi"/>
          <w:sz w:val="20"/>
          <w:szCs w:val="20"/>
          <w:lang w:val="es-ES"/>
        </w:rPr>
        <w:t>, 8 y 25</w:t>
      </w:r>
      <w:r w:rsidRPr="00D50D50">
        <w:rPr>
          <w:rFonts w:asciiTheme="majorHAnsi" w:hAnsiTheme="majorHAnsi"/>
          <w:sz w:val="20"/>
          <w:szCs w:val="20"/>
          <w:lang w:val="es-ES"/>
        </w:rPr>
        <w:t xml:space="preserve"> </w:t>
      </w:r>
      <w:r w:rsidR="00D50D50" w:rsidRPr="00D50D50">
        <w:rPr>
          <w:rFonts w:asciiTheme="majorHAnsi" w:hAnsiTheme="majorHAnsi"/>
          <w:bCs/>
          <w:sz w:val="20"/>
          <w:szCs w:val="20"/>
          <w:lang w:val="es-ES"/>
        </w:rPr>
        <w:t>de la Convención Americana</w:t>
      </w:r>
      <w:r w:rsidR="00C942C0" w:rsidRPr="00D50D50">
        <w:rPr>
          <w:rFonts w:asciiTheme="majorHAnsi" w:hAnsiTheme="majorHAnsi"/>
          <w:sz w:val="20"/>
          <w:szCs w:val="20"/>
          <w:lang w:val="es-ES"/>
        </w:rPr>
        <w:t>.</w:t>
      </w:r>
    </w:p>
    <w:p w14:paraId="57F18361" w14:textId="77777777" w:rsidR="00120ADB" w:rsidRPr="00D50D50" w:rsidRDefault="00120ADB" w:rsidP="00C942C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4157390F" w14:textId="4DCF17D3" w:rsidR="00D93A90" w:rsidRDefault="00120ADB" w:rsidP="00120AD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0D50">
        <w:rPr>
          <w:rFonts w:asciiTheme="majorHAnsi" w:hAnsiTheme="majorHAnsi"/>
          <w:sz w:val="20"/>
          <w:szCs w:val="20"/>
          <w:lang w:val="es-ES"/>
        </w:rPr>
        <w:t>Notificar a las partes la presente decisión; publicar esta decisión e incluirla en su Informe Anual a la Asamblea General de la Organización de los Estados Americanos.</w:t>
      </w:r>
    </w:p>
    <w:p w14:paraId="49B6F2D6" w14:textId="053236BD" w:rsidR="00D50D50" w:rsidRDefault="00D50D50" w:rsidP="00D50D5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47FDFA87" w14:textId="77777777" w:rsidR="00F85D1A" w:rsidRPr="00F85D1A" w:rsidRDefault="00F85D1A" w:rsidP="00F85D1A">
      <w:pPr>
        <w:pStyle w:val="paragraph"/>
        <w:spacing w:before="0" w:beforeAutospacing="0" w:after="0" w:afterAutospacing="0"/>
        <w:ind w:firstLine="720"/>
        <w:jc w:val="both"/>
        <w:textAlignment w:val="baseline"/>
        <w:rPr>
          <w:rFonts w:ascii="Segoe UI" w:hAnsi="Segoe UI" w:cs="Segoe UI"/>
          <w:sz w:val="18"/>
          <w:szCs w:val="18"/>
          <w:lang w:val="es-419"/>
        </w:rPr>
      </w:pPr>
      <w:r>
        <w:rPr>
          <w:rStyle w:val="normaltextrun"/>
          <w:rFonts w:ascii="Cambria" w:hAnsi="Cambria" w:cs="Segoe UI"/>
          <w:sz w:val="20"/>
          <w:szCs w:val="20"/>
          <w:lang w:val="es-CL"/>
        </w:rPr>
        <w:t xml:space="preserve">Aprobado por la Comisión Interamericana de Derechos </w:t>
      </w:r>
      <w:proofErr w:type="gramStart"/>
      <w:r>
        <w:rPr>
          <w:rStyle w:val="normaltextrun"/>
          <w:rFonts w:ascii="Cambria" w:hAnsi="Cambria" w:cs="Segoe UI"/>
          <w:sz w:val="20"/>
          <w:szCs w:val="20"/>
          <w:lang w:val="es-CL"/>
        </w:rPr>
        <w:t>Humanos  a</w:t>
      </w:r>
      <w:proofErr w:type="gramEnd"/>
      <w:r>
        <w:rPr>
          <w:rStyle w:val="normaltextrun"/>
          <w:rFonts w:ascii="Cambria" w:hAnsi="Cambria" w:cs="Segoe UI"/>
          <w:sz w:val="20"/>
          <w:szCs w:val="20"/>
          <w:lang w:val="es-CL"/>
        </w:rPr>
        <w:t xml:space="preserve"> los 8 días del mes de septiembre de 2021. (Firmado): Antonia Urrejola, Presidenta; </w:t>
      </w:r>
      <w:proofErr w:type="spellStart"/>
      <w:r>
        <w:rPr>
          <w:rStyle w:val="normaltextrun"/>
          <w:rFonts w:ascii="Cambria" w:hAnsi="Cambria" w:cs="Segoe UI"/>
          <w:sz w:val="20"/>
          <w:szCs w:val="20"/>
          <w:lang w:val="es-CL"/>
        </w:rPr>
        <w:t>Flávia</w:t>
      </w:r>
      <w:proofErr w:type="spellEnd"/>
      <w:r>
        <w:rPr>
          <w:rStyle w:val="normaltextrun"/>
          <w:rFonts w:ascii="Cambria" w:hAnsi="Cambria" w:cs="Segoe UI"/>
          <w:sz w:val="20"/>
          <w:szCs w:val="20"/>
          <w:lang w:val="es-CL"/>
        </w:rPr>
        <w:t xml:space="preserve"> </w:t>
      </w:r>
      <w:proofErr w:type="spellStart"/>
      <w:r>
        <w:rPr>
          <w:rStyle w:val="normaltextrun"/>
          <w:rFonts w:ascii="Cambria" w:hAnsi="Cambria" w:cs="Segoe UI"/>
          <w:sz w:val="20"/>
          <w:szCs w:val="20"/>
          <w:lang w:val="es-CL"/>
        </w:rPr>
        <w:t>Piovesan</w:t>
      </w:r>
      <w:proofErr w:type="spellEnd"/>
      <w:r>
        <w:rPr>
          <w:rStyle w:val="normaltextrun"/>
          <w:rFonts w:ascii="Cambria" w:hAnsi="Cambria" w:cs="Segoe UI"/>
          <w:sz w:val="20"/>
          <w:szCs w:val="20"/>
          <w:lang w:val="es-CL"/>
        </w:rPr>
        <w:t xml:space="preserve">, Segunda Vicepresidenta; Esmeralda E. Arosemena Bernal de </w:t>
      </w:r>
      <w:proofErr w:type="spellStart"/>
      <w:r>
        <w:rPr>
          <w:rStyle w:val="normaltextrun"/>
          <w:rFonts w:ascii="Cambria" w:hAnsi="Cambria" w:cs="Segoe UI"/>
          <w:sz w:val="20"/>
          <w:szCs w:val="20"/>
          <w:lang w:val="es-CL"/>
        </w:rPr>
        <w:t>Troitiño</w:t>
      </w:r>
      <w:proofErr w:type="spellEnd"/>
      <w:r>
        <w:rPr>
          <w:rStyle w:val="normaltextrun"/>
          <w:rFonts w:ascii="Cambria" w:hAnsi="Cambria" w:cs="Segoe UI"/>
          <w:sz w:val="20"/>
          <w:szCs w:val="20"/>
          <w:lang w:val="es-CL"/>
        </w:rPr>
        <w:t xml:space="preserve">, Joel </w:t>
      </w:r>
      <w:proofErr w:type="gramStart"/>
      <w:r>
        <w:rPr>
          <w:rStyle w:val="normaltextrun"/>
          <w:rFonts w:ascii="Cambria" w:hAnsi="Cambria" w:cs="Segoe UI"/>
          <w:sz w:val="20"/>
          <w:szCs w:val="20"/>
          <w:lang w:val="es-CL"/>
        </w:rPr>
        <w:t>Hernández  y</w:t>
      </w:r>
      <w:proofErr w:type="gramEnd"/>
      <w:r>
        <w:rPr>
          <w:rStyle w:val="normaltextrun"/>
          <w:rFonts w:ascii="Cambria" w:hAnsi="Cambria" w:cs="Segoe UI"/>
          <w:sz w:val="20"/>
          <w:szCs w:val="20"/>
          <w:lang w:val="es-CL"/>
        </w:rPr>
        <w:t xml:space="preserve"> Stuardo </w:t>
      </w:r>
      <w:proofErr w:type="spellStart"/>
      <w:r>
        <w:rPr>
          <w:rStyle w:val="normaltextrun"/>
          <w:rFonts w:ascii="Cambria" w:hAnsi="Cambria" w:cs="Segoe UI"/>
          <w:sz w:val="20"/>
          <w:szCs w:val="20"/>
          <w:lang w:val="es-CL"/>
        </w:rPr>
        <w:t>Ralón</w:t>
      </w:r>
      <w:proofErr w:type="spellEnd"/>
      <w:r>
        <w:rPr>
          <w:rStyle w:val="normaltextrun"/>
          <w:rFonts w:ascii="Cambria" w:hAnsi="Cambria" w:cs="Segoe UI"/>
          <w:sz w:val="20"/>
          <w:szCs w:val="20"/>
          <w:lang w:val="es-CL"/>
        </w:rPr>
        <w:t xml:space="preserve"> Orellana, Miembros de la Comisión. </w:t>
      </w:r>
      <w:r w:rsidRPr="00F85D1A">
        <w:rPr>
          <w:rStyle w:val="eop"/>
          <w:rFonts w:ascii="Cambria" w:hAnsi="Cambria" w:cs="Segoe UI"/>
          <w:sz w:val="20"/>
          <w:szCs w:val="20"/>
          <w:lang w:val="es-419"/>
        </w:rPr>
        <w:t> </w:t>
      </w:r>
    </w:p>
    <w:p w14:paraId="7580D6B2" w14:textId="77777777" w:rsidR="00F85D1A" w:rsidRPr="00F85D1A" w:rsidRDefault="00F85D1A" w:rsidP="00F85D1A">
      <w:pPr>
        <w:pStyle w:val="paragraph"/>
        <w:spacing w:before="0" w:beforeAutospacing="0" w:after="0" w:afterAutospacing="0"/>
        <w:ind w:firstLine="720"/>
        <w:jc w:val="both"/>
        <w:textAlignment w:val="baseline"/>
        <w:rPr>
          <w:rFonts w:ascii="Segoe UI" w:hAnsi="Segoe UI" w:cs="Segoe UI"/>
          <w:sz w:val="18"/>
          <w:szCs w:val="18"/>
          <w:lang w:val="es-419"/>
        </w:rPr>
      </w:pPr>
      <w:r w:rsidRPr="00F85D1A">
        <w:rPr>
          <w:rStyle w:val="eop"/>
          <w:rFonts w:ascii="Cambria" w:hAnsi="Cambria" w:cs="Segoe UI"/>
          <w:sz w:val="20"/>
          <w:szCs w:val="20"/>
          <w:lang w:val="es-419"/>
        </w:rPr>
        <w:t> </w:t>
      </w:r>
    </w:p>
    <w:p w14:paraId="0F4CEA03" w14:textId="77777777" w:rsidR="00F85D1A" w:rsidRDefault="00F85D1A" w:rsidP="00F85D1A">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5F619EEC" w14:textId="77777777" w:rsidR="00F85D1A" w:rsidRDefault="00F85D1A" w:rsidP="00145162">
      <w:pPr>
        <w:pStyle w:val="paragraph"/>
        <w:spacing w:before="0" w:beforeAutospacing="0" w:after="0" w:afterAutospacing="0"/>
        <w:jc w:val="both"/>
        <w:textAlignment w:val="baseline"/>
        <w:rPr>
          <w:rStyle w:val="normaltextrun"/>
          <w:rFonts w:ascii="Cambria" w:hAnsi="Cambria" w:cs="Segoe UI"/>
          <w:sz w:val="20"/>
          <w:szCs w:val="20"/>
          <w:lang w:val="es-CL"/>
        </w:rPr>
      </w:pPr>
    </w:p>
    <w:sectPr w:rsidR="00F85D1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F9A64" w14:textId="77777777" w:rsidR="005502A6" w:rsidRDefault="005502A6">
      <w:r>
        <w:separator/>
      </w:r>
    </w:p>
  </w:endnote>
  <w:endnote w:type="continuationSeparator" w:id="0">
    <w:p w14:paraId="606DFE1F" w14:textId="77777777" w:rsidR="005502A6" w:rsidRDefault="005502A6">
      <w:r>
        <w:continuationSeparator/>
      </w:r>
    </w:p>
  </w:endnote>
  <w:endnote w:type="continuationNotice" w:id="1">
    <w:p w14:paraId="77CED51A" w14:textId="77777777" w:rsidR="005502A6" w:rsidRDefault="00550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65E7EC8" w:rsidR="006C2713" w:rsidRPr="00934A2C" w:rsidRDefault="006C271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B3AB8">
          <w:rPr>
            <w:noProof/>
            <w:sz w:val="16"/>
            <w:szCs w:val="22"/>
          </w:rPr>
          <w:t>8</w:t>
        </w:r>
        <w:r w:rsidRPr="00934A2C">
          <w:rPr>
            <w:noProof/>
            <w:sz w:val="16"/>
            <w:szCs w:val="22"/>
          </w:rPr>
          <w:fldChar w:fldCharType="end"/>
        </w:r>
      </w:p>
    </w:sdtContent>
  </w:sdt>
  <w:p w14:paraId="68530E6A" w14:textId="77777777" w:rsidR="006C2713" w:rsidRDefault="006C2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6C2713" w:rsidRPr="00934A2C" w:rsidRDefault="006C2713">
    <w:pPr>
      <w:pStyle w:val="Footer"/>
      <w:jc w:val="center"/>
      <w:rPr>
        <w:sz w:val="16"/>
        <w:szCs w:val="22"/>
      </w:rPr>
    </w:pPr>
  </w:p>
  <w:p w14:paraId="49059CE3" w14:textId="77777777" w:rsidR="006C2713" w:rsidRDefault="006C2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EE34F" w14:textId="77777777" w:rsidR="005502A6" w:rsidRPr="000F35ED" w:rsidRDefault="005502A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26A49A1" w14:textId="77777777" w:rsidR="005502A6" w:rsidRPr="000F35ED" w:rsidRDefault="005502A6" w:rsidP="000F35ED">
      <w:pPr>
        <w:rPr>
          <w:rFonts w:asciiTheme="majorHAnsi" w:hAnsiTheme="majorHAnsi"/>
          <w:sz w:val="16"/>
          <w:szCs w:val="16"/>
        </w:rPr>
      </w:pPr>
      <w:r w:rsidRPr="000F35ED">
        <w:rPr>
          <w:rFonts w:asciiTheme="majorHAnsi" w:hAnsiTheme="majorHAnsi"/>
          <w:sz w:val="16"/>
          <w:szCs w:val="16"/>
        </w:rPr>
        <w:separator/>
      </w:r>
    </w:p>
    <w:p w14:paraId="42974C14" w14:textId="77777777" w:rsidR="005502A6" w:rsidRPr="000F35ED" w:rsidRDefault="005502A6"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751B39D" w14:textId="77777777" w:rsidR="005502A6" w:rsidRPr="000F35ED" w:rsidRDefault="005502A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0E8D133" w14:textId="20768F0C" w:rsidR="006C2713" w:rsidRPr="00D50D50" w:rsidRDefault="006C2713" w:rsidP="00C508AD">
      <w:pPr>
        <w:pStyle w:val="FootnoteText"/>
        <w:ind w:firstLine="720"/>
        <w:jc w:val="both"/>
        <w:rPr>
          <w:rFonts w:asciiTheme="majorHAnsi" w:hAnsiTheme="majorHAnsi"/>
          <w:sz w:val="16"/>
          <w:szCs w:val="16"/>
          <w:lang w:val="es-US"/>
        </w:rPr>
      </w:pPr>
      <w:r w:rsidRPr="00D50D50">
        <w:rPr>
          <w:rStyle w:val="FootnoteReference"/>
          <w:rFonts w:asciiTheme="majorHAnsi" w:hAnsiTheme="majorHAnsi"/>
          <w:sz w:val="16"/>
          <w:szCs w:val="16"/>
        </w:rPr>
        <w:footnoteRef/>
      </w:r>
      <w:r w:rsidRPr="00D50D50">
        <w:rPr>
          <w:rFonts w:asciiTheme="majorHAnsi" w:hAnsiTheme="majorHAnsi"/>
          <w:sz w:val="16"/>
          <w:szCs w:val="16"/>
          <w:lang w:val="es-US"/>
        </w:rPr>
        <w:t xml:space="preserve"> </w:t>
      </w:r>
      <w:r w:rsidR="00FB7600" w:rsidRPr="00D50D50">
        <w:rPr>
          <w:rFonts w:asciiTheme="majorHAnsi" w:hAnsiTheme="majorHAnsi"/>
          <w:sz w:val="16"/>
          <w:szCs w:val="16"/>
          <w:lang w:val="es-US"/>
        </w:rPr>
        <w:t xml:space="preserve">El </w:t>
      </w:r>
      <w:r w:rsidRPr="00D50D50">
        <w:rPr>
          <w:rFonts w:asciiTheme="majorHAnsi" w:hAnsiTheme="majorHAnsi"/>
          <w:sz w:val="16"/>
          <w:szCs w:val="16"/>
          <w:lang w:val="es-US"/>
        </w:rPr>
        <w:t>1</w:t>
      </w:r>
      <w:r w:rsidR="00FB7600" w:rsidRPr="00D50D50">
        <w:rPr>
          <w:rFonts w:asciiTheme="majorHAnsi" w:hAnsiTheme="majorHAnsi"/>
          <w:sz w:val="16"/>
          <w:szCs w:val="16"/>
          <w:lang w:val="es-US"/>
        </w:rPr>
        <w:t xml:space="preserve">º </w:t>
      </w:r>
      <w:r w:rsidRPr="00D50D50">
        <w:rPr>
          <w:rFonts w:asciiTheme="majorHAnsi" w:hAnsiTheme="majorHAnsi"/>
          <w:sz w:val="16"/>
          <w:szCs w:val="16"/>
          <w:lang w:val="es-US"/>
        </w:rPr>
        <w:t xml:space="preserve">de julo de 2014 los peticionarios José Quiroga Mendoza y Luis Alberto Aranda Granados manifestaron su intención de no formar parte de la </w:t>
      </w:r>
      <w:r w:rsidR="00352303" w:rsidRPr="00D50D50">
        <w:rPr>
          <w:rFonts w:asciiTheme="majorHAnsi" w:hAnsiTheme="majorHAnsi"/>
          <w:sz w:val="16"/>
          <w:szCs w:val="16"/>
          <w:lang w:val="es-US"/>
        </w:rPr>
        <w:t xml:space="preserve">presente </w:t>
      </w:r>
      <w:r w:rsidRPr="00D50D50">
        <w:rPr>
          <w:rFonts w:asciiTheme="majorHAnsi" w:hAnsiTheme="majorHAnsi"/>
          <w:sz w:val="16"/>
          <w:szCs w:val="16"/>
          <w:lang w:val="es-US"/>
        </w:rPr>
        <w:t xml:space="preserve">petición </w:t>
      </w:r>
      <w:r w:rsidR="00352303" w:rsidRPr="00D50D50">
        <w:rPr>
          <w:rFonts w:asciiTheme="majorHAnsi" w:hAnsiTheme="majorHAnsi"/>
          <w:sz w:val="16"/>
          <w:szCs w:val="16"/>
          <w:lang w:val="es-US"/>
        </w:rPr>
        <w:t>ya que habían decidido</w:t>
      </w:r>
      <w:r w:rsidRPr="00D50D50">
        <w:rPr>
          <w:rFonts w:asciiTheme="majorHAnsi" w:hAnsiTheme="majorHAnsi"/>
          <w:sz w:val="16"/>
          <w:szCs w:val="16"/>
          <w:lang w:val="es-US"/>
        </w:rPr>
        <w:t xml:space="preserve"> </w:t>
      </w:r>
      <w:r w:rsidR="00352303" w:rsidRPr="00D50D50">
        <w:rPr>
          <w:rFonts w:asciiTheme="majorHAnsi" w:hAnsiTheme="majorHAnsi"/>
          <w:sz w:val="16"/>
          <w:szCs w:val="16"/>
          <w:lang w:val="es-US"/>
        </w:rPr>
        <w:t>presentar otra</w:t>
      </w:r>
      <w:r w:rsidRPr="00D50D50">
        <w:rPr>
          <w:rFonts w:asciiTheme="majorHAnsi" w:hAnsiTheme="majorHAnsi"/>
          <w:sz w:val="16"/>
          <w:szCs w:val="16"/>
          <w:lang w:val="es-US"/>
        </w:rPr>
        <w:t xml:space="preserve"> petición independiente ante el Comité de Derecho</w:t>
      </w:r>
      <w:r w:rsidR="00E55F5C">
        <w:rPr>
          <w:rFonts w:asciiTheme="majorHAnsi" w:hAnsiTheme="majorHAnsi"/>
          <w:sz w:val="16"/>
          <w:szCs w:val="16"/>
          <w:lang w:val="es-US"/>
        </w:rPr>
        <w:t>s</w:t>
      </w:r>
      <w:r w:rsidRPr="00D50D50">
        <w:rPr>
          <w:rFonts w:asciiTheme="majorHAnsi" w:hAnsiTheme="majorHAnsi"/>
          <w:sz w:val="16"/>
          <w:szCs w:val="16"/>
          <w:lang w:val="es-US"/>
        </w:rPr>
        <w:t xml:space="preserve"> Humanos de Naciones Unidas. La petición presenta</w:t>
      </w:r>
      <w:r w:rsidR="00352303" w:rsidRPr="00D50D50">
        <w:rPr>
          <w:rFonts w:asciiTheme="majorHAnsi" w:hAnsiTheme="majorHAnsi"/>
          <w:sz w:val="16"/>
          <w:szCs w:val="16"/>
          <w:lang w:val="es-US"/>
        </w:rPr>
        <w:t>da</w:t>
      </w:r>
      <w:r w:rsidR="00251F9A" w:rsidRPr="00D50D50">
        <w:rPr>
          <w:rFonts w:asciiTheme="majorHAnsi" w:hAnsiTheme="majorHAnsi"/>
          <w:sz w:val="16"/>
          <w:szCs w:val="16"/>
          <w:lang w:val="es-US"/>
        </w:rPr>
        <w:t xml:space="preserve"> ante el Comité de Derechos Humanos de Naciones Unidas</w:t>
      </w:r>
      <w:r w:rsidRPr="00D50D50">
        <w:rPr>
          <w:rFonts w:asciiTheme="majorHAnsi" w:hAnsiTheme="majorHAnsi"/>
          <w:sz w:val="16"/>
          <w:szCs w:val="16"/>
          <w:lang w:val="es-US"/>
        </w:rPr>
        <w:t xml:space="preserve"> fue rechazada el 2 de junio de 2015.</w:t>
      </w:r>
    </w:p>
  </w:footnote>
  <w:footnote w:id="3">
    <w:p w14:paraId="215EEB52" w14:textId="5E574CC1" w:rsidR="006C2713" w:rsidRPr="00D50D50" w:rsidRDefault="006C2713" w:rsidP="00C508AD">
      <w:pPr>
        <w:pStyle w:val="FootnoteText"/>
        <w:ind w:firstLine="720"/>
        <w:jc w:val="both"/>
        <w:rPr>
          <w:rFonts w:asciiTheme="majorHAnsi" w:hAnsiTheme="majorHAnsi"/>
          <w:sz w:val="16"/>
          <w:szCs w:val="16"/>
          <w:lang w:val="es-ES"/>
        </w:rPr>
      </w:pPr>
      <w:r w:rsidRPr="00D50D50">
        <w:rPr>
          <w:rStyle w:val="FootnoteReference"/>
          <w:rFonts w:asciiTheme="majorHAnsi" w:hAnsiTheme="majorHAnsi"/>
          <w:sz w:val="16"/>
          <w:szCs w:val="16"/>
        </w:rPr>
        <w:footnoteRef/>
      </w:r>
      <w:r w:rsidRPr="00D50D50">
        <w:rPr>
          <w:rFonts w:asciiTheme="majorHAnsi" w:hAnsiTheme="majorHAnsi"/>
          <w:sz w:val="16"/>
          <w:szCs w:val="16"/>
          <w:lang w:val="es-ES"/>
        </w:rPr>
        <w:t xml:space="preserve"> En adelante “la Convención Americana”.</w:t>
      </w:r>
    </w:p>
  </w:footnote>
  <w:footnote w:id="4">
    <w:p w14:paraId="79F07139" w14:textId="77777777" w:rsidR="006C2713" w:rsidRPr="00D50D50" w:rsidRDefault="006C2713" w:rsidP="00C508AD">
      <w:pPr>
        <w:pStyle w:val="FootnoteText"/>
        <w:ind w:firstLine="720"/>
        <w:jc w:val="both"/>
        <w:rPr>
          <w:rFonts w:asciiTheme="majorHAnsi" w:hAnsiTheme="majorHAnsi"/>
          <w:sz w:val="16"/>
          <w:szCs w:val="16"/>
          <w:lang w:val="es-ES"/>
        </w:rPr>
      </w:pPr>
      <w:r w:rsidRPr="00D50D50">
        <w:rPr>
          <w:rStyle w:val="FootnoteReference"/>
          <w:rFonts w:asciiTheme="majorHAnsi" w:hAnsiTheme="majorHAnsi"/>
          <w:sz w:val="16"/>
          <w:szCs w:val="16"/>
        </w:rPr>
        <w:footnoteRef/>
      </w:r>
      <w:r w:rsidRPr="00D50D50">
        <w:rPr>
          <w:rFonts w:asciiTheme="majorHAnsi" w:hAnsiTheme="majorHAnsi"/>
          <w:sz w:val="16"/>
          <w:szCs w:val="16"/>
          <w:lang w:val="es-ES"/>
        </w:rPr>
        <w:t xml:space="preserve"> Las observaciones de cada parte fueron debidamente trasladadas a la parte contraria.</w:t>
      </w:r>
    </w:p>
  </w:footnote>
  <w:footnote w:id="5">
    <w:p w14:paraId="1AE5C069" w14:textId="799D040B" w:rsidR="006C2713" w:rsidRPr="00D50D50" w:rsidRDefault="006C2713" w:rsidP="00C508AD">
      <w:pPr>
        <w:pStyle w:val="FootnoteText"/>
        <w:ind w:firstLine="720"/>
        <w:jc w:val="both"/>
        <w:rPr>
          <w:rFonts w:asciiTheme="majorHAnsi" w:hAnsiTheme="majorHAnsi"/>
          <w:sz w:val="16"/>
          <w:szCs w:val="16"/>
          <w:lang w:val="es-US"/>
        </w:rPr>
      </w:pPr>
      <w:r w:rsidRPr="00D50D50">
        <w:rPr>
          <w:rStyle w:val="FootnoteReference"/>
          <w:rFonts w:asciiTheme="majorHAnsi" w:hAnsiTheme="majorHAnsi"/>
          <w:sz w:val="16"/>
          <w:szCs w:val="16"/>
        </w:rPr>
        <w:footnoteRef/>
      </w:r>
      <w:r w:rsidRPr="00D50D50">
        <w:rPr>
          <w:rFonts w:asciiTheme="majorHAnsi" w:hAnsiTheme="majorHAnsi"/>
          <w:sz w:val="16"/>
          <w:szCs w:val="16"/>
          <w:lang w:val="es-US"/>
        </w:rPr>
        <w:t xml:space="preserve"> </w:t>
      </w:r>
      <w:r w:rsidR="00B8643F" w:rsidRPr="00D50D50">
        <w:rPr>
          <w:rFonts w:asciiTheme="majorHAnsi" w:hAnsiTheme="majorHAnsi"/>
          <w:sz w:val="16"/>
          <w:szCs w:val="16"/>
          <w:lang w:val="es-US"/>
        </w:rPr>
        <w:t>Ver</w:t>
      </w:r>
      <w:r w:rsidRPr="00D50D50">
        <w:rPr>
          <w:rFonts w:asciiTheme="majorHAnsi" w:hAnsiTheme="majorHAnsi"/>
          <w:sz w:val="16"/>
          <w:szCs w:val="16"/>
          <w:lang w:val="es-US"/>
        </w:rPr>
        <w:t xml:space="preserve"> </w:t>
      </w:r>
      <w:hyperlink r:id="rId1" w:history="1">
        <w:r w:rsidRPr="00D50D50">
          <w:rPr>
            <w:rStyle w:val="Hyperlink"/>
            <w:rFonts w:asciiTheme="majorHAnsi" w:hAnsiTheme="majorHAnsi"/>
            <w:color w:val="0000FF"/>
            <w:sz w:val="16"/>
            <w:szCs w:val="16"/>
            <w:lang w:val="es-US"/>
          </w:rPr>
          <w:t>Manifiesto del Estado Ma</w:t>
        </w:r>
        <w:r w:rsidR="00B8643F" w:rsidRPr="00D50D50">
          <w:rPr>
            <w:rStyle w:val="Hyperlink"/>
            <w:rFonts w:asciiTheme="majorHAnsi" w:hAnsiTheme="majorHAnsi"/>
            <w:color w:val="0000FF"/>
            <w:sz w:val="16"/>
            <w:szCs w:val="16"/>
            <w:lang w:val="es-US"/>
          </w:rPr>
          <w:t>y</w:t>
        </w:r>
        <w:r w:rsidRPr="00D50D50">
          <w:rPr>
            <w:rStyle w:val="Hyperlink"/>
            <w:rFonts w:asciiTheme="majorHAnsi" w:hAnsiTheme="majorHAnsi"/>
            <w:color w:val="0000FF"/>
            <w:sz w:val="16"/>
            <w:szCs w:val="16"/>
            <w:lang w:val="es-US"/>
          </w:rPr>
          <w:t>or del Pueblo Boliviano</w:t>
        </w:r>
      </w:hyperlink>
      <w:r w:rsidRPr="00D50D50">
        <w:rPr>
          <w:rFonts w:asciiTheme="majorHAnsi" w:hAnsiTheme="majorHAnsi"/>
          <w:sz w:val="16"/>
          <w:szCs w:val="16"/>
          <w:lang w:val="es-US"/>
        </w:rPr>
        <w:t>, Central Obrera Departamental, Cochabamba, Bolivia, enero de 2003.</w:t>
      </w:r>
    </w:p>
  </w:footnote>
  <w:footnote w:id="6">
    <w:p w14:paraId="023FB3DF" w14:textId="2CA30A60" w:rsidR="006C2713" w:rsidRPr="00D50D50" w:rsidRDefault="006C2713" w:rsidP="00C508AD">
      <w:pPr>
        <w:pStyle w:val="FootnoteText"/>
        <w:ind w:firstLine="720"/>
        <w:jc w:val="both"/>
        <w:rPr>
          <w:rFonts w:asciiTheme="majorHAnsi" w:hAnsiTheme="majorHAnsi"/>
          <w:sz w:val="16"/>
          <w:szCs w:val="16"/>
          <w:lang w:val="es-US"/>
        </w:rPr>
      </w:pPr>
      <w:r w:rsidRPr="00D50D50">
        <w:rPr>
          <w:rStyle w:val="FootnoteReference"/>
          <w:rFonts w:asciiTheme="majorHAnsi" w:hAnsiTheme="majorHAnsi"/>
          <w:sz w:val="16"/>
          <w:szCs w:val="16"/>
        </w:rPr>
        <w:footnoteRef/>
      </w:r>
      <w:r w:rsidR="003623B2" w:rsidRPr="00D50D50">
        <w:rPr>
          <w:rFonts w:asciiTheme="majorHAnsi" w:hAnsiTheme="majorHAnsi"/>
          <w:sz w:val="16"/>
          <w:szCs w:val="16"/>
          <w:lang w:val="es-US"/>
        </w:rPr>
        <w:t xml:space="preserve"> CIDH,</w:t>
      </w:r>
      <w:r w:rsidRPr="00D50D50">
        <w:rPr>
          <w:rFonts w:asciiTheme="majorHAnsi" w:hAnsiTheme="majorHAnsi"/>
          <w:sz w:val="16"/>
          <w:szCs w:val="16"/>
          <w:lang w:val="es-US"/>
        </w:rPr>
        <w:t xml:space="preserve"> </w:t>
      </w:r>
      <w:hyperlink r:id="rId2" w:history="1">
        <w:r w:rsidRPr="00D50D50">
          <w:rPr>
            <w:rStyle w:val="Hyperlink"/>
            <w:rFonts w:asciiTheme="majorHAnsi" w:hAnsiTheme="majorHAnsi"/>
            <w:color w:val="0000FF"/>
            <w:sz w:val="16"/>
            <w:szCs w:val="16"/>
            <w:lang w:val="es-US"/>
          </w:rPr>
          <w:t>Acceso a la justicia e inclusión social: el camino hacia el fortalecimiento de la democracia en Bolivia</w:t>
        </w:r>
      </w:hyperlink>
      <w:r w:rsidRPr="00D50D50">
        <w:rPr>
          <w:rFonts w:asciiTheme="majorHAnsi" w:hAnsiTheme="majorHAnsi"/>
          <w:sz w:val="16"/>
          <w:szCs w:val="16"/>
          <w:lang w:val="es-US"/>
        </w:rPr>
        <w:t xml:space="preserve">, OEA Doc. OEA/Ser. L/V/ II. Doc.34, de 28 de junio de 2007, </w:t>
      </w:r>
      <w:proofErr w:type="spellStart"/>
      <w:r w:rsidRPr="00D50D50">
        <w:rPr>
          <w:rFonts w:asciiTheme="majorHAnsi" w:hAnsiTheme="majorHAnsi"/>
          <w:sz w:val="16"/>
          <w:szCs w:val="16"/>
          <w:lang w:val="es-US"/>
        </w:rPr>
        <w:t>párrs</w:t>
      </w:r>
      <w:proofErr w:type="spellEnd"/>
      <w:r w:rsidRPr="00D50D50">
        <w:rPr>
          <w:rFonts w:asciiTheme="majorHAnsi" w:hAnsiTheme="majorHAnsi"/>
          <w:sz w:val="16"/>
          <w:szCs w:val="16"/>
          <w:lang w:val="es-US"/>
        </w:rPr>
        <w:t>. 107-108</w:t>
      </w:r>
      <w:r w:rsidR="003623B2" w:rsidRPr="00D50D50">
        <w:rPr>
          <w:rFonts w:asciiTheme="majorHAnsi" w:hAnsiTheme="majorHAnsi"/>
          <w:sz w:val="16"/>
          <w:szCs w:val="16"/>
          <w:lang w:val="es-US"/>
        </w:rPr>
        <w:t>.</w:t>
      </w:r>
    </w:p>
  </w:footnote>
  <w:footnote w:id="7">
    <w:p w14:paraId="6BCFBE8A" w14:textId="7F526DF7" w:rsidR="000D6DBB" w:rsidRPr="00D50D50" w:rsidRDefault="000D6DBB" w:rsidP="00C508AD">
      <w:pPr>
        <w:ind w:firstLine="720"/>
        <w:jc w:val="both"/>
        <w:rPr>
          <w:rFonts w:asciiTheme="majorHAnsi" w:hAnsiTheme="majorHAnsi"/>
          <w:sz w:val="16"/>
          <w:szCs w:val="16"/>
          <w:lang w:val="es-ES"/>
        </w:rPr>
      </w:pPr>
      <w:r w:rsidRPr="00D50D50">
        <w:rPr>
          <w:rStyle w:val="FootnoteReference"/>
          <w:rFonts w:asciiTheme="majorHAnsi" w:hAnsiTheme="majorHAnsi"/>
          <w:sz w:val="16"/>
          <w:szCs w:val="16"/>
        </w:rPr>
        <w:footnoteRef/>
      </w:r>
      <w:r w:rsidRPr="00D50D50">
        <w:rPr>
          <w:rFonts w:asciiTheme="majorHAnsi" w:hAnsiTheme="majorHAnsi"/>
          <w:sz w:val="16"/>
          <w:szCs w:val="16"/>
          <w:lang w:val="es-ES"/>
        </w:rPr>
        <w:t xml:space="preserve"> </w:t>
      </w:r>
      <w:r w:rsidR="00D50D50" w:rsidRPr="00D50D50">
        <w:rPr>
          <w:rFonts w:asciiTheme="majorHAnsi" w:hAnsiTheme="majorHAnsi"/>
          <w:sz w:val="16"/>
          <w:szCs w:val="16"/>
          <w:lang w:val="es-ES"/>
        </w:rPr>
        <w:t xml:space="preserve">Tribunal Constitucional Plurinacional de Bolivia, </w:t>
      </w:r>
      <w:hyperlink r:id="rId3" w:history="1">
        <w:r w:rsidR="000251A4" w:rsidRPr="00D50D50">
          <w:rPr>
            <w:rStyle w:val="Hyperlink"/>
            <w:rFonts w:asciiTheme="majorHAnsi" w:hAnsiTheme="majorHAnsi"/>
            <w:color w:val="0000FF"/>
            <w:sz w:val="16"/>
            <w:szCs w:val="16"/>
            <w:lang w:val="es-ES"/>
          </w:rPr>
          <w:t xml:space="preserve">Sentencia </w:t>
        </w:r>
        <w:r w:rsidR="000251A4" w:rsidRPr="00D50D50">
          <w:rPr>
            <w:rStyle w:val="Hyperlink"/>
            <w:rFonts w:asciiTheme="majorHAnsi" w:hAnsiTheme="majorHAnsi"/>
            <w:color w:val="0000FF"/>
            <w:sz w:val="16"/>
            <w:szCs w:val="16"/>
            <w:lang w:val="es-PY"/>
          </w:rPr>
          <w:t>0573</w:t>
        </w:r>
        <w:r w:rsidR="00D50D50" w:rsidRPr="00D50D50">
          <w:rPr>
            <w:rStyle w:val="Hyperlink"/>
            <w:rFonts w:asciiTheme="majorHAnsi" w:hAnsiTheme="majorHAnsi"/>
            <w:color w:val="0000FF"/>
            <w:sz w:val="16"/>
            <w:szCs w:val="16"/>
            <w:lang w:val="es-ES"/>
          </w:rPr>
          <w:t>/2013 de 21 de mayo de 2013</w:t>
        </w:r>
      </w:hyperlink>
      <w:r w:rsidRPr="00D50D50">
        <w:rPr>
          <w:rFonts w:asciiTheme="majorHAnsi" w:hAnsiTheme="majorHAnsi"/>
          <w:sz w:val="16"/>
          <w:szCs w:val="16"/>
          <w:lang w:val="es-ES"/>
        </w:rPr>
        <w:t>.</w:t>
      </w:r>
    </w:p>
  </w:footnote>
  <w:footnote w:id="8">
    <w:p w14:paraId="445C5DDC" w14:textId="1D7A6225" w:rsidR="00C03919" w:rsidRPr="00D50D50" w:rsidRDefault="00C03919" w:rsidP="00C508AD">
      <w:pPr>
        <w:pStyle w:val="FootnoteText"/>
        <w:ind w:firstLine="720"/>
        <w:jc w:val="both"/>
        <w:rPr>
          <w:rFonts w:asciiTheme="majorHAnsi" w:hAnsiTheme="majorHAnsi"/>
          <w:sz w:val="16"/>
          <w:szCs w:val="16"/>
          <w:lang w:val="es-US"/>
        </w:rPr>
      </w:pPr>
      <w:r w:rsidRPr="00D50D50">
        <w:rPr>
          <w:rStyle w:val="FootnoteReference"/>
          <w:rFonts w:asciiTheme="majorHAnsi" w:hAnsiTheme="majorHAnsi"/>
          <w:sz w:val="16"/>
          <w:szCs w:val="16"/>
        </w:rPr>
        <w:footnoteRef/>
      </w:r>
      <w:r w:rsidRPr="00D50D50">
        <w:rPr>
          <w:rFonts w:asciiTheme="majorHAnsi" w:hAnsiTheme="majorHAnsi"/>
          <w:sz w:val="16"/>
          <w:szCs w:val="16"/>
          <w:lang w:val="es-US"/>
        </w:rPr>
        <w:t xml:space="preserve"> CIDH, </w:t>
      </w:r>
      <w:r w:rsidRPr="00D50D50">
        <w:rPr>
          <w:rStyle w:val="Hyperlink"/>
          <w:rFonts w:asciiTheme="majorHAnsi" w:hAnsiTheme="majorHAnsi"/>
          <w:color w:val="0000FF"/>
          <w:sz w:val="16"/>
          <w:szCs w:val="16"/>
          <w:lang w:val="es-ES"/>
        </w:rPr>
        <w:t xml:space="preserve">Informe sobre </w:t>
      </w:r>
      <w:r w:rsidR="00C942C0" w:rsidRPr="00D50D50">
        <w:rPr>
          <w:rStyle w:val="Hyperlink"/>
          <w:rFonts w:asciiTheme="majorHAnsi" w:hAnsiTheme="majorHAnsi"/>
          <w:color w:val="0000FF"/>
          <w:sz w:val="16"/>
          <w:szCs w:val="16"/>
          <w:lang w:val="es-ES"/>
        </w:rPr>
        <w:t>a</w:t>
      </w:r>
      <w:r w:rsidRPr="00D50D50">
        <w:rPr>
          <w:rStyle w:val="Hyperlink"/>
          <w:rFonts w:asciiTheme="majorHAnsi" w:hAnsiTheme="majorHAnsi"/>
          <w:color w:val="0000FF"/>
          <w:sz w:val="16"/>
          <w:szCs w:val="16"/>
          <w:lang w:val="es-ES"/>
        </w:rPr>
        <w:t xml:space="preserve">cceso a la </w:t>
      </w:r>
      <w:r w:rsidR="00C942C0" w:rsidRPr="00D50D50">
        <w:rPr>
          <w:rStyle w:val="Hyperlink"/>
          <w:rFonts w:asciiTheme="majorHAnsi" w:hAnsiTheme="majorHAnsi"/>
          <w:color w:val="0000FF"/>
          <w:sz w:val="16"/>
          <w:szCs w:val="16"/>
          <w:lang w:val="es-ES"/>
        </w:rPr>
        <w:t>j</w:t>
      </w:r>
      <w:r w:rsidRPr="00D50D50">
        <w:rPr>
          <w:rStyle w:val="Hyperlink"/>
          <w:rFonts w:asciiTheme="majorHAnsi" w:hAnsiTheme="majorHAnsi"/>
          <w:color w:val="0000FF"/>
          <w:sz w:val="16"/>
          <w:szCs w:val="16"/>
          <w:lang w:val="es-ES"/>
        </w:rPr>
        <w:t xml:space="preserve">usticia e </w:t>
      </w:r>
      <w:r w:rsidR="00C942C0" w:rsidRPr="00D50D50">
        <w:rPr>
          <w:rStyle w:val="Hyperlink"/>
          <w:rFonts w:asciiTheme="majorHAnsi" w:hAnsiTheme="majorHAnsi"/>
          <w:color w:val="0000FF"/>
          <w:sz w:val="16"/>
          <w:szCs w:val="16"/>
          <w:lang w:val="es-ES"/>
        </w:rPr>
        <w:t>i</w:t>
      </w:r>
      <w:r w:rsidRPr="00D50D50">
        <w:rPr>
          <w:rStyle w:val="Hyperlink"/>
          <w:rFonts w:asciiTheme="majorHAnsi" w:hAnsiTheme="majorHAnsi"/>
          <w:color w:val="0000FF"/>
          <w:sz w:val="16"/>
          <w:szCs w:val="16"/>
          <w:lang w:val="es-ES"/>
        </w:rPr>
        <w:t xml:space="preserve">nclusión </w:t>
      </w:r>
      <w:r w:rsidR="00C942C0" w:rsidRPr="00D50D50">
        <w:rPr>
          <w:rStyle w:val="Hyperlink"/>
          <w:rFonts w:asciiTheme="majorHAnsi" w:hAnsiTheme="majorHAnsi"/>
          <w:color w:val="0000FF"/>
          <w:sz w:val="16"/>
          <w:szCs w:val="16"/>
          <w:lang w:val="es-ES"/>
        </w:rPr>
        <w:t>s</w:t>
      </w:r>
      <w:r w:rsidRPr="00D50D50">
        <w:rPr>
          <w:rStyle w:val="Hyperlink"/>
          <w:rFonts w:asciiTheme="majorHAnsi" w:hAnsiTheme="majorHAnsi"/>
          <w:color w:val="0000FF"/>
          <w:sz w:val="16"/>
          <w:szCs w:val="16"/>
          <w:lang w:val="es-ES"/>
        </w:rPr>
        <w:t xml:space="preserve">ocial: </w:t>
      </w:r>
      <w:r w:rsidR="00C942C0" w:rsidRPr="00D50D50">
        <w:rPr>
          <w:rStyle w:val="Hyperlink"/>
          <w:rFonts w:asciiTheme="majorHAnsi" w:hAnsiTheme="majorHAnsi"/>
          <w:color w:val="0000FF"/>
          <w:sz w:val="16"/>
          <w:szCs w:val="16"/>
          <w:lang w:val="es-ES"/>
        </w:rPr>
        <w:t>e</w:t>
      </w:r>
      <w:r w:rsidRPr="00D50D50">
        <w:rPr>
          <w:rStyle w:val="Hyperlink"/>
          <w:rFonts w:asciiTheme="majorHAnsi" w:hAnsiTheme="majorHAnsi"/>
          <w:color w:val="0000FF"/>
          <w:sz w:val="16"/>
          <w:szCs w:val="16"/>
          <w:lang w:val="es-ES"/>
        </w:rPr>
        <w:t xml:space="preserve">l </w:t>
      </w:r>
      <w:r w:rsidR="00C942C0" w:rsidRPr="00D50D50">
        <w:rPr>
          <w:rStyle w:val="Hyperlink"/>
          <w:rFonts w:asciiTheme="majorHAnsi" w:hAnsiTheme="majorHAnsi"/>
          <w:color w:val="0000FF"/>
          <w:sz w:val="16"/>
          <w:szCs w:val="16"/>
          <w:lang w:val="es-ES"/>
        </w:rPr>
        <w:t>c</w:t>
      </w:r>
      <w:r w:rsidRPr="00D50D50">
        <w:rPr>
          <w:rStyle w:val="Hyperlink"/>
          <w:rFonts w:asciiTheme="majorHAnsi" w:hAnsiTheme="majorHAnsi"/>
          <w:color w:val="0000FF"/>
          <w:sz w:val="16"/>
          <w:szCs w:val="16"/>
          <w:lang w:val="es-ES"/>
        </w:rPr>
        <w:t xml:space="preserve">amino hacia el </w:t>
      </w:r>
      <w:r w:rsidR="00C942C0" w:rsidRPr="00D50D50">
        <w:rPr>
          <w:rStyle w:val="Hyperlink"/>
          <w:rFonts w:asciiTheme="majorHAnsi" w:hAnsiTheme="majorHAnsi"/>
          <w:color w:val="0000FF"/>
          <w:sz w:val="16"/>
          <w:szCs w:val="16"/>
          <w:lang w:val="es-ES"/>
        </w:rPr>
        <w:t>f</w:t>
      </w:r>
      <w:r w:rsidRPr="00D50D50">
        <w:rPr>
          <w:rStyle w:val="Hyperlink"/>
          <w:rFonts w:asciiTheme="majorHAnsi" w:hAnsiTheme="majorHAnsi"/>
          <w:color w:val="0000FF"/>
          <w:sz w:val="16"/>
          <w:szCs w:val="16"/>
          <w:lang w:val="es-ES"/>
        </w:rPr>
        <w:t xml:space="preserve">ortalecimiento de la </w:t>
      </w:r>
      <w:r w:rsidR="00C942C0" w:rsidRPr="00D50D50">
        <w:rPr>
          <w:rStyle w:val="Hyperlink"/>
          <w:rFonts w:asciiTheme="majorHAnsi" w:hAnsiTheme="majorHAnsi"/>
          <w:color w:val="0000FF"/>
          <w:sz w:val="16"/>
          <w:szCs w:val="16"/>
          <w:lang w:val="es-ES"/>
        </w:rPr>
        <w:t>d</w:t>
      </w:r>
      <w:r w:rsidRPr="00D50D50">
        <w:rPr>
          <w:rStyle w:val="Hyperlink"/>
          <w:rFonts w:asciiTheme="majorHAnsi" w:hAnsiTheme="majorHAnsi"/>
          <w:color w:val="0000FF"/>
          <w:sz w:val="16"/>
          <w:szCs w:val="16"/>
          <w:lang w:val="es-ES"/>
        </w:rPr>
        <w:t>emocracia en Bolivia</w:t>
      </w:r>
      <w:r w:rsidRPr="00D50D50">
        <w:rPr>
          <w:rFonts w:asciiTheme="majorHAnsi" w:hAnsiTheme="majorHAnsi"/>
          <w:sz w:val="16"/>
          <w:szCs w:val="16"/>
          <w:lang w:val="es-US"/>
        </w:rPr>
        <w:t>. 2007, párr. 171.</w:t>
      </w:r>
    </w:p>
  </w:footnote>
  <w:footnote w:id="9">
    <w:p w14:paraId="2946E3D4" w14:textId="7AAEFEA3" w:rsidR="000251A4" w:rsidRDefault="000251A4" w:rsidP="00C508AD">
      <w:pPr>
        <w:ind w:firstLine="720"/>
        <w:jc w:val="both"/>
        <w:rPr>
          <w:rFonts w:asciiTheme="majorHAnsi" w:hAnsiTheme="majorHAnsi"/>
          <w:sz w:val="16"/>
          <w:szCs w:val="16"/>
          <w:lang w:val="es-ES"/>
        </w:rPr>
      </w:pPr>
      <w:r w:rsidRPr="00D50D50">
        <w:rPr>
          <w:rStyle w:val="FootnoteReference"/>
          <w:rFonts w:asciiTheme="majorHAnsi" w:hAnsiTheme="majorHAnsi"/>
          <w:sz w:val="16"/>
          <w:szCs w:val="16"/>
        </w:rPr>
        <w:footnoteRef/>
      </w:r>
      <w:r>
        <w:rPr>
          <w:rFonts w:asciiTheme="majorHAnsi" w:hAnsiTheme="majorHAnsi"/>
          <w:sz w:val="16"/>
          <w:szCs w:val="16"/>
          <w:lang w:val="es-ES"/>
        </w:rPr>
        <w:t xml:space="preserve"> Entre las consideraciones del </w:t>
      </w:r>
      <w:r w:rsidRPr="00D50D50">
        <w:rPr>
          <w:rFonts w:asciiTheme="majorHAnsi" w:hAnsiTheme="majorHAnsi"/>
          <w:sz w:val="16"/>
          <w:szCs w:val="16"/>
          <w:lang w:val="es-ES"/>
        </w:rPr>
        <w:t>Tribunal Constitucional Plurinacional de Bolivia</w:t>
      </w:r>
      <w:r>
        <w:rPr>
          <w:rFonts w:asciiTheme="majorHAnsi" w:hAnsiTheme="majorHAnsi"/>
          <w:sz w:val="16"/>
          <w:szCs w:val="16"/>
          <w:lang w:val="es-ES"/>
        </w:rPr>
        <w:t xml:space="preserve"> expuestas en su</w:t>
      </w:r>
      <w:r w:rsidRPr="00D50D50">
        <w:rPr>
          <w:rFonts w:asciiTheme="majorHAnsi" w:hAnsiTheme="majorHAnsi"/>
          <w:color w:val="0000FF"/>
          <w:sz w:val="16"/>
          <w:szCs w:val="16"/>
          <w:lang w:val="es-ES"/>
        </w:rPr>
        <w:t xml:space="preserve"> </w:t>
      </w:r>
      <w:hyperlink r:id="rId4" w:history="1">
        <w:proofErr w:type="gramStart"/>
        <w:r w:rsidRPr="00D50D50">
          <w:rPr>
            <w:rStyle w:val="Hyperlink"/>
            <w:rFonts w:asciiTheme="majorHAnsi" w:hAnsiTheme="majorHAnsi"/>
            <w:color w:val="0000FF"/>
            <w:sz w:val="16"/>
            <w:szCs w:val="16"/>
            <w:lang w:val="es-ES"/>
          </w:rPr>
          <w:t xml:space="preserve">Sentencia </w:t>
        </w:r>
        <w:r w:rsidRPr="00D50D50">
          <w:rPr>
            <w:rStyle w:val="Hyperlink"/>
            <w:rFonts w:asciiTheme="majorHAnsi" w:hAnsiTheme="majorHAnsi"/>
            <w:color w:val="0000FF"/>
            <w:sz w:val="16"/>
            <w:szCs w:val="16"/>
            <w:lang w:val="es-PY"/>
          </w:rPr>
          <w:t xml:space="preserve"> </w:t>
        </w:r>
        <w:r w:rsidRPr="00D50D50">
          <w:rPr>
            <w:rStyle w:val="Hyperlink"/>
            <w:rFonts w:asciiTheme="majorHAnsi" w:hAnsiTheme="majorHAnsi"/>
            <w:color w:val="0000FF"/>
            <w:sz w:val="16"/>
            <w:szCs w:val="16"/>
            <w:lang w:val="es-ES"/>
          </w:rPr>
          <w:t>0573</w:t>
        </w:r>
        <w:proofErr w:type="gramEnd"/>
        <w:r w:rsidRPr="00D50D50">
          <w:rPr>
            <w:rStyle w:val="Hyperlink"/>
            <w:rFonts w:asciiTheme="majorHAnsi" w:hAnsiTheme="majorHAnsi"/>
            <w:color w:val="0000FF"/>
            <w:sz w:val="16"/>
            <w:szCs w:val="16"/>
            <w:lang w:val="es-ES"/>
          </w:rPr>
          <w:t>/2013 de 21 de mayo de 2013</w:t>
        </w:r>
      </w:hyperlink>
      <w:r>
        <w:rPr>
          <w:rFonts w:asciiTheme="majorHAnsi" w:hAnsiTheme="majorHAnsi"/>
          <w:color w:val="0000FF"/>
          <w:sz w:val="16"/>
          <w:szCs w:val="16"/>
          <w:lang w:val="es-ES"/>
        </w:rPr>
        <w:t xml:space="preserve"> </w:t>
      </w:r>
      <w:r w:rsidRPr="000251A4">
        <w:rPr>
          <w:rFonts w:asciiTheme="majorHAnsi" w:hAnsiTheme="majorHAnsi"/>
          <w:sz w:val="16"/>
          <w:szCs w:val="16"/>
          <w:lang w:val="es-ES"/>
        </w:rPr>
        <w:t xml:space="preserve">se incluyen las siguientes: </w:t>
      </w:r>
    </w:p>
    <w:p w14:paraId="266BAAE1" w14:textId="77777777" w:rsidR="00C508AD" w:rsidRPr="000251A4" w:rsidRDefault="00C508AD" w:rsidP="00C508AD">
      <w:pPr>
        <w:ind w:firstLine="720"/>
        <w:jc w:val="both"/>
        <w:rPr>
          <w:rFonts w:asciiTheme="majorHAnsi" w:hAnsiTheme="majorHAnsi"/>
          <w:sz w:val="16"/>
          <w:szCs w:val="16"/>
          <w:lang w:val="es-PY"/>
        </w:rPr>
      </w:pPr>
    </w:p>
    <w:p w14:paraId="1F9EFC02" w14:textId="77777777" w:rsidR="000251A4" w:rsidRPr="00D50D50" w:rsidRDefault="000251A4" w:rsidP="00C508AD">
      <w:pPr>
        <w:pStyle w:val="FootnoteText"/>
        <w:ind w:left="720" w:right="720"/>
        <w:jc w:val="both"/>
        <w:rPr>
          <w:rFonts w:asciiTheme="majorHAnsi" w:hAnsiTheme="majorHAnsi"/>
          <w:sz w:val="16"/>
          <w:szCs w:val="16"/>
          <w:lang w:val="es-ES"/>
        </w:rPr>
      </w:pPr>
      <w:r w:rsidRPr="00D50D50">
        <w:rPr>
          <w:rFonts w:asciiTheme="majorHAnsi" w:hAnsiTheme="majorHAnsi"/>
          <w:sz w:val="16"/>
          <w:szCs w:val="16"/>
          <w:lang w:val="es-ES"/>
        </w:rPr>
        <w:t xml:space="preserve">Ahora bien, conforme se evidencia por Auto Supremo de 10 de octubre de 2011, el Tribunal de Juicio de Responsabilidades, declaró no haber lugar a la explicación, complementación y enmienda solicitada. </w:t>
      </w:r>
    </w:p>
    <w:p w14:paraId="0DFE3E32" w14:textId="77777777" w:rsidR="00C508AD" w:rsidRDefault="00C508AD" w:rsidP="00C508AD">
      <w:pPr>
        <w:pStyle w:val="FootnoteText"/>
        <w:ind w:left="720" w:right="720"/>
        <w:jc w:val="both"/>
        <w:rPr>
          <w:rFonts w:asciiTheme="majorHAnsi" w:hAnsiTheme="majorHAnsi"/>
          <w:sz w:val="16"/>
          <w:szCs w:val="16"/>
          <w:lang w:val="es-ES"/>
        </w:rPr>
      </w:pPr>
    </w:p>
    <w:p w14:paraId="313690D9" w14:textId="15EF0778" w:rsidR="000251A4" w:rsidRDefault="000251A4" w:rsidP="00C508AD">
      <w:pPr>
        <w:pStyle w:val="FootnoteText"/>
        <w:ind w:left="720" w:right="720"/>
        <w:jc w:val="both"/>
        <w:rPr>
          <w:rFonts w:asciiTheme="majorHAnsi" w:hAnsiTheme="majorHAnsi"/>
          <w:sz w:val="16"/>
          <w:szCs w:val="16"/>
          <w:lang w:val="es-ES"/>
        </w:rPr>
      </w:pPr>
      <w:r w:rsidRPr="00D50D50">
        <w:rPr>
          <w:rFonts w:asciiTheme="majorHAnsi" w:hAnsiTheme="majorHAnsi"/>
          <w:sz w:val="16"/>
          <w:szCs w:val="16"/>
          <w:lang w:val="es-ES"/>
        </w:rPr>
        <w:t xml:space="preserve">En este sentido, del análisis de dicha Resolución, se evidencia que efectivamente la motivación es concisa, sin embargo, que más se puede explicar si a decir de las autoridades demandadas, “…no existen expresiones oscuras, omisiones o errores que deban ser explicadas, complementadas o enmendadas, pues se ha fundamentado con abundancia y con sustento en la prueba pertinente las conclusiones y atribuciones de responsabilidad que sustentan su parte resolutiva”. </w:t>
      </w:r>
    </w:p>
    <w:p w14:paraId="5C572338" w14:textId="77777777" w:rsidR="00C508AD" w:rsidRPr="00D50D50" w:rsidRDefault="00C508AD" w:rsidP="00C508AD">
      <w:pPr>
        <w:pStyle w:val="FootnoteText"/>
        <w:ind w:left="720" w:right="720"/>
        <w:jc w:val="both"/>
        <w:rPr>
          <w:rFonts w:asciiTheme="majorHAnsi" w:hAnsiTheme="majorHAnsi"/>
          <w:sz w:val="16"/>
          <w:szCs w:val="16"/>
          <w:lang w:val="es-ES"/>
        </w:rPr>
      </w:pPr>
    </w:p>
    <w:p w14:paraId="155FB08C" w14:textId="77777777" w:rsidR="000251A4" w:rsidRDefault="000251A4" w:rsidP="00C508AD">
      <w:pPr>
        <w:pStyle w:val="FootnoteText"/>
        <w:ind w:left="720" w:right="720"/>
        <w:jc w:val="both"/>
        <w:rPr>
          <w:rFonts w:asciiTheme="majorHAnsi" w:hAnsiTheme="majorHAnsi"/>
          <w:sz w:val="16"/>
          <w:szCs w:val="16"/>
          <w:lang w:val="es-ES"/>
        </w:rPr>
      </w:pPr>
      <w:r w:rsidRPr="00D50D50">
        <w:rPr>
          <w:rFonts w:asciiTheme="majorHAnsi" w:hAnsiTheme="majorHAnsi"/>
          <w:sz w:val="16"/>
          <w:szCs w:val="16"/>
          <w:lang w:val="es-ES"/>
        </w:rPr>
        <w:t>Consiguientemente, se constata que las autoridades demandadas, respondieron efectivamente al ahora accionante, quienes consideraron que al no existir nada que explicar, complementar y enmendar, no dieron lugar a lo solicitado por el accionante; en este sentido, si bien éste tuvo una respuesta negativa a sus intereses, el tenor es claro y suficiente, otorgándose la certeza sobre él porque no se dio lugar al petitorio. Por lo que no se constata vulneración al debido proceso, correspondiendo en consecuencia denegar la tutela.</w:t>
      </w:r>
    </w:p>
    <w:p w14:paraId="641B64D7" w14:textId="77777777" w:rsidR="007610C1" w:rsidRPr="00D50D50" w:rsidRDefault="007610C1" w:rsidP="00C508AD">
      <w:pPr>
        <w:pStyle w:val="FootnoteText"/>
        <w:ind w:left="720" w:right="720"/>
        <w:jc w:val="both"/>
        <w:rPr>
          <w:rFonts w:asciiTheme="majorHAnsi" w:hAnsiTheme="majorHAnsi"/>
          <w:sz w:val="16"/>
          <w:szCs w:val="16"/>
          <w:lang w:val="es-ES"/>
        </w:rPr>
      </w:pPr>
    </w:p>
  </w:footnote>
  <w:footnote w:id="10">
    <w:p w14:paraId="430E2F33" w14:textId="726C1E73" w:rsidR="00876B79" w:rsidRPr="002D0E90" w:rsidRDefault="00876B79" w:rsidP="002D0E90">
      <w:pPr>
        <w:ind w:firstLine="720"/>
        <w:jc w:val="both"/>
        <w:rPr>
          <w:lang w:val="es-419"/>
        </w:rPr>
      </w:pPr>
      <w:r w:rsidRPr="007610C1">
        <w:rPr>
          <w:rStyle w:val="FootnoteReference"/>
          <w:sz w:val="16"/>
          <w:szCs w:val="16"/>
        </w:rPr>
        <w:footnoteRef/>
      </w:r>
      <w:r w:rsidR="002D0E90" w:rsidRPr="007610C1">
        <w:rPr>
          <w:rStyle w:val="FootnoteReference"/>
          <w:lang w:val="es-419"/>
        </w:rPr>
        <w:t xml:space="preserve"> </w:t>
      </w:r>
      <w:r w:rsidR="002D0E90" w:rsidRPr="002D0E90">
        <w:rPr>
          <w:rFonts w:asciiTheme="majorHAnsi" w:hAnsiTheme="majorHAnsi"/>
          <w:sz w:val="16"/>
          <w:szCs w:val="16"/>
          <w:lang w:val="es-ES"/>
        </w:rPr>
        <w:t xml:space="preserve">En fecha </w:t>
      </w:r>
      <w:r w:rsidR="00F53136">
        <w:rPr>
          <w:rFonts w:asciiTheme="majorHAnsi" w:hAnsiTheme="majorHAnsi"/>
          <w:sz w:val="16"/>
          <w:szCs w:val="16"/>
          <w:lang w:val="es-ES"/>
        </w:rPr>
        <w:t>30</w:t>
      </w:r>
      <w:r w:rsidR="002D0E90" w:rsidRPr="002D0E90">
        <w:rPr>
          <w:rFonts w:asciiTheme="majorHAnsi" w:hAnsiTheme="majorHAnsi"/>
          <w:sz w:val="16"/>
          <w:szCs w:val="16"/>
          <w:lang w:val="es-ES"/>
        </w:rPr>
        <w:t xml:space="preserve"> de </w:t>
      </w:r>
      <w:r w:rsidR="00F53136">
        <w:rPr>
          <w:rFonts w:asciiTheme="majorHAnsi" w:hAnsiTheme="majorHAnsi"/>
          <w:sz w:val="16"/>
          <w:szCs w:val="16"/>
          <w:lang w:val="es-ES"/>
        </w:rPr>
        <w:t>noviembre</w:t>
      </w:r>
      <w:r w:rsidR="002D0E90" w:rsidRPr="002D0E90">
        <w:rPr>
          <w:rFonts w:asciiTheme="majorHAnsi" w:hAnsiTheme="majorHAnsi"/>
          <w:sz w:val="16"/>
          <w:szCs w:val="16"/>
          <w:lang w:val="es-ES"/>
        </w:rPr>
        <w:t xml:space="preserve"> de </w:t>
      </w:r>
      <w:r w:rsidR="00F53136">
        <w:rPr>
          <w:rFonts w:asciiTheme="majorHAnsi" w:hAnsiTheme="majorHAnsi"/>
          <w:sz w:val="16"/>
          <w:szCs w:val="16"/>
          <w:lang w:val="es-ES"/>
        </w:rPr>
        <w:t>2021</w:t>
      </w:r>
      <w:r w:rsidR="002D0E90" w:rsidRPr="002D0E90">
        <w:rPr>
          <w:rFonts w:asciiTheme="majorHAnsi" w:hAnsiTheme="majorHAnsi"/>
          <w:sz w:val="16"/>
          <w:szCs w:val="16"/>
          <w:lang w:val="es-ES"/>
        </w:rPr>
        <w:t>, la Secretaría Ejecutiva de la CIDH rectifica el error involuntario advertido en el presente informe, eliminando la expresión “continuar con el análisis del fondo de la cuestión”, en los términos que ahora constan en el mismo, conforme a la decisión adoptada por la Comisión en su momento.</w:t>
      </w:r>
      <w:r w:rsidRPr="002D0E90">
        <w:rPr>
          <w:lang w:val="es-4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6C2713" w:rsidRDefault="006C2713" w:rsidP="0099640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6C2713" w:rsidRDefault="006C2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6C2713" w:rsidRDefault="006C2713"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6C2713" w:rsidRPr="00EC7D62" w:rsidRDefault="005502A6" w:rsidP="00A50FCF">
    <w:pPr>
      <w:pStyle w:val="Header"/>
      <w:tabs>
        <w:tab w:val="clear" w:pos="4320"/>
        <w:tab w:val="clear" w:pos="8640"/>
      </w:tabs>
      <w:jc w:val="center"/>
      <w:rPr>
        <w:sz w:val="22"/>
        <w:szCs w:val="22"/>
      </w:rPr>
    </w:pPr>
    <w:r>
      <w:rPr>
        <w:noProof/>
        <w:sz w:val="22"/>
        <w:szCs w:val="22"/>
        <w:bdr w:val="nil"/>
      </w:rPr>
      <w:pict w14:anchorId="476C03CF">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14FA"/>
    <w:rsid w:val="000065D0"/>
    <w:rsid w:val="00006A5F"/>
    <w:rsid w:val="00006B74"/>
    <w:rsid w:val="00006E1F"/>
    <w:rsid w:val="000070D7"/>
    <w:rsid w:val="000104F5"/>
    <w:rsid w:val="0001338D"/>
    <w:rsid w:val="00015701"/>
    <w:rsid w:val="00016C8C"/>
    <w:rsid w:val="0001788C"/>
    <w:rsid w:val="0002054E"/>
    <w:rsid w:val="00021748"/>
    <w:rsid w:val="0002186F"/>
    <w:rsid w:val="000251A4"/>
    <w:rsid w:val="00031EEA"/>
    <w:rsid w:val="000337EF"/>
    <w:rsid w:val="0003526D"/>
    <w:rsid w:val="00035A50"/>
    <w:rsid w:val="0003606A"/>
    <w:rsid w:val="0003735B"/>
    <w:rsid w:val="00040C3A"/>
    <w:rsid w:val="000419AD"/>
    <w:rsid w:val="00041FE5"/>
    <w:rsid w:val="00043781"/>
    <w:rsid w:val="00047639"/>
    <w:rsid w:val="00050FA5"/>
    <w:rsid w:val="000528A7"/>
    <w:rsid w:val="00064D62"/>
    <w:rsid w:val="000679E2"/>
    <w:rsid w:val="0007146D"/>
    <w:rsid w:val="000716C5"/>
    <w:rsid w:val="00074A73"/>
    <w:rsid w:val="00075E23"/>
    <w:rsid w:val="0009006E"/>
    <w:rsid w:val="00090DE7"/>
    <w:rsid w:val="0009344A"/>
    <w:rsid w:val="000A19F8"/>
    <w:rsid w:val="000A20A0"/>
    <w:rsid w:val="000A3254"/>
    <w:rsid w:val="000A392E"/>
    <w:rsid w:val="000A575F"/>
    <w:rsid w:val="000A63D0"/>
    <w:rsid w:val="000A7A09"/>
    <w:rsid w:val="000A7C66"/>
    <w:rsid w:val="000B0579"/>
    <w:rsid w:val="000B152F"/>
    <w:rsid w:val="000B431C"/>
    <w:rsid w:val="000C1C69"/>
    <w:rsid w:val="000C3A31"/>
    <w:rsid w:val="000C3B82"/>
    <w:rsid w:val="000D10DB"/>
    <w:rsid w:val="000D2E54"/>
    <w:rsid w:val="000D6DBB"/>
    <w:rsid w:val="000E2364"/>
    <w:rsid w:val="000E2789"/>
    <w:rsid w:val="000E5EB5"/>
    <w:rsid w:val="000E7753"/>
    <w:rsid w:val="000F35ED"/>
    <w:rsid w:val="000F475B"/>
    <w:rsid w:val="0010161A"/>
    <w:rsid w:val="00103196"/>
    <w:rsid w:val="001035C1"/>
    <w:rsid w:val="00107131"/>
    <w:rsid w:val="0010736F"/>
    <w:rsid w:val="001073A3"/>
    <w:rsid w:val="00111A8A"/>
    <w:rsid w:val="00113F73"/>
    <w:rsid w:val="00116CD0"/>
    <w:rsid w:val="00120ADB"/>
    <w:rsid w:val="00121CC2"/>
    <w:rsid w:val="00121F90"/>
    <w:rsid w:val="00122CFC"/>
    <w:rsid w:val="001261A7"/>
    <w:rsid w:val="00131D8B"/>
    <w:rsid w:val="00133EE5"/>
    <w:rsid w:val="00136E3D"/>
    <w:rsid w:val="00141835"/>
    <w:rsid w:val="00143D9F"/>
    <w:rsid w:val="00143EFE"/>
    <w:rsid w:val="00144518"/>
    <w:rsid w:val="00145162"/>
    <w:rsid w:val="00146542"/>
    <w:rsid w:val="001474F6"/>
    <w:rsid w:val="001479C0"/>
    <w:rsid w:val="00152569"/>
    <w:rsid w:val="0015330B"/>
    <w:rsid w:val="00153441"/>
    <w:rsid w:val="00162DDE"/>
    <w:rsid w:val="00164769"/>
    <w:rsid w:val="00167A34"/>
    <w:rsid w:val="001706B3"/>
    <w:rsid w:val="00176BB3"/>
    <w:rsid w:val="00177705"/>
    <w:rsid w:val="00177EEF"/>
    <w:rsid w:val="0018013D"/>
    <w:rsid w:val="00180DF1"/>
    <w:rsid w:val="0018544F"/>
    <w:rsid w:val="00186459"/>
    <w:rsid w:val="00186A95"/>
    <w:rsid w:val="001908E0"/>
    <w:rsid w:val="00193371"/>
    <w:rsid w:val="0019649C"/>
    <w:rsid w:val="00197382"/>
    <w:rsid w:val="001A0E8E"/>
    <w:rsid w:val="001A61ED"/>
    <w:rsid w:val="001A7870"/>
    <w:rsid w:val="001B26BC"/>
    <w:rsid w:val="001B3A00"/>
    <w:rsid w:val="001B3B09"/>
    <w:rsid w:val="001B4C00"/>
    <w:rsid w:val="001C1B41"/>
    <w:rsid w:val="001C49A5"/>
    <w:rsid w:val="001D4908"/>
    <w:rsid w:val="001D65EF"/>
    <w:rsid w:val="001E2F43"/>
    <w:rsid w:val="001E49E7"/>
    <w:rsid w:val="001E7F40"/>
    <w:rsid w:val="001F09E3"/>
    <w:rsid w:val="001F271B"/>
    <w:rsid w:val="001F6333"/>
    <w:rsid w:val="001F7201"/>
    <w:rsid w:val="0020044B"/>
    <w:rsid w:val="00200676"/>
    <w:rsid w:val="00204931"/>
    <w:rsid w:val="00217E53"/>
    <w:rsid w:val="00223A29"/>
    <w:rsid w:val="002250A3"/>
    <w:rsid w:val="00225816"/>
    <w:rsid w:val="00231294"/>
    <w:rsid w:val="00235217"/>
    <w:rsid w:val="002355A9"/>
    <w:rsid w:val="002360D2"/>
    <w:rsid w:val="00242395"/>
    <w:rsid w:val="00243E8F"/>
    <w:rsid w:val="00246273"/>
    <w:rsid w:val="00246D1F"/>
    <w:rsid w:val="00247403"/>
    <w:rsid w:val="00247542"/>
    <w:rsid w:val="00251F9A"/>
    <w:rsid w:val="002528DC"/>
    <w:rsid w:val="002548B9"/>
    <w:rsid w:val="002602D3"/>
    <w:rsid w:val="00260A02"/>
    <w:rsid w:val="00261BBC"/>
    <w:rsid w:val="0026205C"/>
    <w:rsid w:val="0026351D"/>
    <w:rsid w:val="00263673"/>
    <w:rsid w:val="002650C1"/>
    <w:rsid w:val="00266B61"/>
    <w:rsid w:val="0026712A"/>
    <w:rsid w:val="00267352"/>
    <w:rsid w:val="002679AC"/>
    <w:rsid w:val="002704DB"/>
    <w:rsid w:val="00270540"/>
    <w:rsid w:val="00272E5D"/>
    <w:rsid w:val="00274893"/>
    <w:rsid w:val="00277BDA"/>
    <w:rsid w:val="00281D1C"/>
    <w:rsid w:val="00281F7A"/>
    <w:rsid w:val="002826B4"/>
    <w:rsid w:val="00286958"/>
    <w:rsid w:val="0029575A"/>
    <w:rsid w:val="00296286"/>
    <w:rsid w:val="0029628B"/>
    <w:rsid w:val="002A0AAE"/>
    <w:rsid w:val="002A5820"/>
    <w:rsid w:val="002A64F1"/>
    <w:rsid w:val="002C3350"/>
    <w:rsid w:val="002D0E90"/>
    <w:rsid w:val="002D0EEF"/>
    <w:rsid w:val="002D2B26"/>
    <w:rsid w:val="002D7EA2"/>
    <w:rsid w:val="002E187C"/>
    <w:rsid w:val="002E2788"/>
    <w:rsid w:val="002E2A44"/>
    <w:rsid w:val="002E445A"/>
    <w:rsid w:val="002E7512"/>
    <w:rsid w:val="002E7971"/>
    <w:rsid w:val="002F0709"/>
    <w:rsid w:val="002F0853"/>
    <w:rsid w:val="002F20D4"/>
    <w:rsid w:val="002F24FA"/>
    <w:rsid w:val="002F3724"/>
    <w:rsid w:val="002F4C7A"/>
    <w:rsid w:val="002F67BA"/>
    <w:rsid w:val="00302733"/>
    <w:rsid w:val="00302A1F"/>
    <w:rsid w:val="003047A4"/>
    <w:rsid w:val="00305A99"/>
    <w:rsid w:val="003121D5"/>
    <w:rsid w:val="003137EF"/>
    <w:rsid w:val="00314078"/>
    <w:rsid w:val="0031535D"/>
    <w:rsid w:val="00316B59"/>
    <w:rsid w:val="00321543"/>
    <w:rsid w:val="00322181"/>
    <w:rsid w:val="003239B8"/>
    <w:rsid w:val="003247FF"/>
    <w:rsid w:val="003260A3"/>
    <w:rsid w:val="00330074"/>
    <w:rsid w:val="0033169F"/>
    <w:rsid w:val="00333384"/>
    <w:rsid w:val="00334282"/>
    <w:rsid w:val="00334298"/>
    <w:rsid w:val="0034224A"/>
    <w:rsid w:val="003427DB"/>
    <w:rsid w:val="00343438"/>
    <w:rsid w:val="00344977"/>
    <w:rsid w:val="00344D53"/>
    <w:rsid w:val="00346C95"/>
    <w:rsid w:val="00351155"/>
    <w:rsid w:val="00352303"/>
    <w:rsid w:val="00352AE6"/>
    <w:rsid w:val="00356185"/>
    <w:rsid w:val="00360380"/>
    <w:rsid w:val="003610AB"/>
    <w:rsid w:val="003623B2"/>
    <w:rsid w:val="00364B96"/>
    <w:rsid w:val="00371AFD"/>
    <w:rsid w:val="0037519E"/>
    <w:rsid w:val="003828C9"/>
    <w:rsid w:val="00386C6C"/>
    <w:rsid w:val="00386CF0"/>
    <w:rsid w:val="00391557"/>
    <w:rsid w:val="003942EC"/>
    <w:rsid w:val="0039566B"/>
    <w:rsid w:val="003A09EE"/>
    <w:rsid w:val="003A1F43"/>
    <w:rsid w:val="003A6337"/>
    <w:rsid w:val="003B4FF6"/>
    <w:rsid w:val="003B70FB"/>
    <w:rsid w:val="003C0F1F"/>
    <w:rsid w:val="003C5C7C"/>
    <w:rsid w:val="003C6112"/>
    <w:rsid w:val="003C676B"/>
    <w:rsid w:val="003D0A55"/>
    <w:rsid w:val="003D1AC0"/>
    <w:rsid w:val="003D2073"/>
    <w:rsid w:val="003D31A6"/>
    <w:rsid w:val="003D3BC2"/>
    <w:rsid w:val="003D45AE"/>
    <w:rsid w:val="003D4F18"/>
    <w:rsid w:val="003E182D"/>
    <w:rsid w:val="003E1973"/>
    <w:rsid w:val="003E614F"/>
    <w:rsid w:val="003E6CA1"/>
    <w:rsid w:val="003F0EF9"/>
    <w:rsid w:val="003F115F"/>
    <w:rsid w:val="003F4EAE"/>
    <w:rsid w:val="003F669D"/>
    <w:rsid w:val="004058C1"/>
    <w:rsid w:val="004065A8"/>
    <w:rsid w:val="004153F5"/>
    <w:rsid w:val="004165C2"/>
    <w:rsid w:val="00420105"/>
    <w:rsid w:val="00420CF2"/>
    <w:rsid w:val="00421959"/>
    <w:rsid w:val="00427302"/>
    <w:rsid w:val="00427A36"/>
    <w:rsid w:val="004304AD"/>
    <w:rsid w:val="00434415"/>
    <w:rsid w:val="00436479"/>
    <w:rsid w:val="004401A5"/>
    <w:rsid w:val="00440B85"/>
    <w:rsid w:val="00441ECB"/>
    <w:rsid w:val="004426D5"/>
    <w:rsid w:val="00445193"/>
    <w:rsid w:val="00447CCF"/>
    <w:rsid w:val="00447EE2"/>
    <w:rsid w:val="00451F26"/>
    <w:rsid w:val="004552D6"/>
    <w:rsid w:val="004565BA"/>
    <w:rsid w:val="00462C1B"/>
    <w:rsid w:val="00462D7B"/>
    <w:rsid w:val="004631D9"/>
    <w:rsid w:val="0046428F"/>
    <w:rsid w:val="00466C23"/>
    <w:rsid w:val="00467B7E"/>
    <w:rsid w:val="0047080D"/>
    <w:rsid w:val="00471270"/>
    <w:rsid w:val="00473BB4"/>
    <w:rsid w:val="00476211"/>
    <w:rsid w:val="00477592"/>
    <w:rsid w:val="00485BF7"/>
    <w:rsid w:val="00486F1C"/>
    <w:rsid w:val="0048767E"/>
    <w:rsid w:val="00487DC5"/>
    <w:rsid w:val="00490B51"/>
    <w:rsid w:val="0049419D"/>
    <w:rsid w:val="004A59CC"/>
    <w:rsid w:val="004A6A54"/>
    <w:rsid w:val="004B11DC"/>
    <w:rsid w:val="004B450F"/>
    <w:rsid w:val="004B5305"/>
    <w:rsid w:val="004C10E4"/>
    <w:rsid w:val="004C20D2"/>
    <w:rsid w:val="004C2312"/>
    <w:rsid w:val="004C409B"/>
    <w:rsid w:val="004C4610"/>
    <w:rsid w:val="004C4B62"/>
    <w:rsid w:val="004C54C9"/>
    <w:rsid w:val="004C616A"/>
    <w:rsid w:val="004D3999"/>
    <w:rsid w:val="004D3FBC"/>
    <w:rsid w:val="004D4ABA"/>
    <w:rsid w:val="004D6025"/>
    <w:rsid w:val="004D6A2C"/>
    <w:rsid w:val="004D7836"/>
    <w:rsid w:val="004E057E"/>
    <w:rsid w:val="004E19B1"/>
    <w:rsid w:val="004E2649"/>
    <w:rsid w:val="004E7D45"/>
    <w:rsid w:val="004F25EF"/>
    <w:rsid w:val="004F2AEA"/>
    <w:rsid w:val="004F3520"/>
    <w:rsid w:val="004F463E"/>
    <w:rsid w:val="00500E05"/>
    <w:rsid w:val="00501399"/>
    <w:rsid w:val="00501652"/>
    <w:rsid w:val="00504327"/>
    <w:rsid w:val="0050633D"/>
    <w:rsid w:val="00507BC4"/>
    <w:rsid w:val="0051075B"/>
    <w:rsid w:val="00510A90"/>
    <w:rsid w:val="00510E33"/>
    <w:rsid w:val="005115E2"/>
    <w:rsid w:val="005128E4"/>
    <w:rsid w:val="005133DB"/>
    <w:rsid w:val="00515182"/>
    <w:rsid w:val="00515AD4"/>
    <w:rsid w:val="0052154E"/>
    <w:rsid w:val="00523E5C"/>
    <w:rsid w:val="00525560"/>
    <w:rsid w:val="0053061B"/>
    <w:rsid w:val="00530B62"/>
    <w:rsid w:val="00535430"/>
    <w:rsid w:val="005415E6"/>
    <w:rsid w:val="00544216"/>
    <w:rsid w:val="00544C49"/>
    <w:rsid w:val="0054537D"/>
    <w:rsid w:val="00547F2D"/>
    <w:rsid w:val="005502A6"/>
    <w:rsid w:val="005516A1"/>
    <w:rsid w:val="00551C4C"/>
    <w:rsid w:val="00552D61"/>
    <w:rsid w:val="00557AE4"/>
    <w:rsid w:val="00561280"/>
    <w:rsid w:val="00563557"/>
    <w:rsid w:val="00563E91"/>
    <w:rsid w:val="0057402A"/>
    <w:rsid w:val="00574CB7"/>
    <w:rsid w:val="005755C5"/>
    <w:rsid w:val="005771D0"/>
    <w:rsid w:val="0058190A"/>
    <w:rsid w:val="005840AE"/>
    <w:rsid w:val="0059191A"/>
    <w:rsid w:val="005921FF"/>
    <w:rsid w:val="005927B7"/>
    <w:rsid w:val="0059353B"/>
    <w:rsid w:val="00593FE7"/>
    <w:rsid w:val="00594707"/>
    <w:rsid w:val="00594FE8"/>
    <w:rsid w:val="005A1F39"/>
    <w:rsid w:val="005A206F"/>
    <w:rsid w:val="005A24ED"/>
    <w:rsid w:val="005A27BB"/>
    <w:rsid w:val="005A47E5"/>
    <w:rsid w:val="005A6D0E"/>
    <w:rsid w:val="005B37CC"/>
    <w:rsid w:val="005B52B0"/>
    <w:rsid w:val="005B586E"/>
    <w:rsid w:val="005B6806"/>
    <w:rsid w:val="005B6D22"/>
    <w:rsid w:val="005B7938"/>
    <w:rsid w:val="005C261A"/>
    <w:rsid w:val="005C4225"/>
    <w:rsid w:val="005C7989"/>
    <w:rsid w:val="005C79FB"/>
    <w:rsid w:val="005D1597"/>
    <w:rsid w:val="005D3FEC"/>
    <w:rsid w:val="005D66AD"/>
    <w:rsid w:val="005D7C14"/>
    <w:rsid w:val="005E0B65"/>
    <w:rsid w:val="005E11B2"/>
    <w:rsid w:val="005E1F65"/>
    <w:rsid w:val="005E3292"/>
    <w:rsid w:val="005E5CE1"/>
    <w:rsid w:val="005F0DAD"/>
    <w:rsid w:val="005F0F33"/>
    <w:rsid w:val="005F7425"/>
    <w:rsid w:val="00600999"/>
    <w:rsid w:val="00600DEB"/>
    <w:rsid w:val="006012F0"/>
    <w:rsid w:val="00601DA4"/>
    <w:rsid w:val="00604E09"/>
    <w:rsid w:val="006068B7"/>
    <w:rsid w:val="00613972"/>
    <w:rsid w:val="00615D36"/>
    <w:rsid w:val="006272F9"/>
    <w:rsid w:val="006277DE"/>
    <w:rsid w:val="00627C9F"/>
    <w:rsid w:val="00627EB4"/>
    <w:rsid w:val="0063042C"/>
    <w:rsid w:val="006311E9"/>
    <w:rsid w:val="00632354"/>
    <w:rsid w:val="00634DF0"/>
    <w:rsid w:val="00637C01"/>
    <w:rsid w:val="00642810"/>
    <w:rsid w:val="00642CC6"/>
    <w:rsid w:val="00647756"/>
    <w:rsid w:val="006503F7"/>
    <w:rsid w:val="006509DA"/>
    <w:rsid w:val="00652128"/>
    <w:rsid w:val="00652333"/>
    <w:rsid w:val="00656771"/>
    <w:rsid w:val="00656DB9"/>
    <w:rsid w:val="00665062"/>
    <w:rsid w:val="00673DEA"/>
    <w:rsid w:val="006775AB"/>
    <w:rsid w:val="0068009E"/>
    <w:rsid w:val="006819E9"/>
    <w:rsid w:val="00682BDA"/>
    <w:rsid w:val="00683ADD"/>
    <w:rsid w:val="0068419D"/>
    <w:rsid w:val="00685944"/>
    <w:rsid w:val="00686471"/>
    <w:rsid w:val="00686A3C"/>
    <w:rsid w:val="0068794B"/>
    <w:rsid w:val="006905FC"/>
    <w:rsid w:val="00691BBE"/>
    <w:rsid w:val="00692219"/>
    <w:rsid w:val="0069402E"/>
    <w:rsid w:val="00695BA1"/>
    <w:rsid w:val="00695CDB"/>
    <w:rsid w:val="006A17D2"/>
    <w:rsid w:val="006A30D2"/>
    <w:rsid w:val="006A4B36"/>
    <w:rsid w:val="006A73E6"/>
    <w:rsid w:val="006B2D5C"/>
    <w:rsid w:val="006B2EE8"/>
    <w:rsid w:val="006B37B7"/>
    <w:rsid w:val="006B5D70"/>
    <w:rsid w:val="006C2713"/>
    <w:rsid w:val="006C45D8"/>
    <w:rsid w:val="006C4EB1"/>
    <w:rsid w:val="006D4960"/>
    <w:rsid w:val="006E0166"/>
    <w:rsid w:val="006E2750"/>
    <w:rsid w:val="006E3C14"/>
    <w:rsid w:val="006E772A"/>
    <w:rsid w:val="006E7B34"/>
    <w:rsid w:val="006E7DE2"/>
    <w:rsid w:val="006F2B98"/>
    <w:rsid w:val="006F4E47"/>
    <w:rsid w:val="00701E2C"/>
    <w:rsid w:val="007030B9"/>
    <w:rsid w:val="0070547D"/>
    <w:rsid w:val="0070697F"/>
    <w:rsid w:val="00706990"/>
    <w:rsid w:val="007103E0"/>
    <w:rsid w:val="007106DD"/>
    <w:rsid w:val="00716FAE"/>
    <w:rsid w:val="0072199C"/>
    <w:rsid w:val="00722C9F"/>
    <w:rsid w:val="00722EC2"/>
    <w:rsid w:val="007253B8"/>
    <w:rsid w:val="00727B0E"/>
    <w:rsid w:val="007357D8"/>
    <w:rsid w:val="0073598C"/>
    <w:rsid w:val="0073741F"/>
    <w:rsid w:val="0074152C"/>
    <w:rsid w:val="007524AE"/>
    <w:rsid w:val="00754836"/>
    <w:rsid w:val="00756088"/>
    <w:rsid w:val="0075608E"/>
    <w:rsid w:val="00757135"/>
    <w:rsid w:val="007610C1"/>
    <w:rsid w:val="00763C56"/>
    <w:rsid w:val="00765718"/>
    <w:rsid w:val="0076643F"/>
    <w:rsid w:val="00767457"/>
    <w:rsid w:val="00767719"/>
    <w:rsid w:val="00777F63"/>
    <w:rsid w:val="00781DB4"/>
    <w:rsid w:val="007852B5"/>
    <w:rsid w:val="00787CE1"/>
    <w:rsid w:val="00795312"/>
    <w:rsid w:val="00796A37"/>
    <w:rsid w:val="00796FCB"/>
    <w:rsid w:val="007A5817"/>
    <w:rsid w:val="007A6A23"/>
    <w:rsid w:val="007A7D8D"/>
    <w:rsid w:val="007B05C4"/>
    <w:rsid w:val="007B60E9"/>
    <w:rsid w:val="007B6CC3"/>
    <w:rsid w:val="007C18B9"/>
    <w:rsid w:val="007C3334"/>
    <w:rsid w:val="007C402A"/>
    <w:rsid w:val="007C6A5A"/>
    <w:rsid w:val="007D1453"/>
    <w:rsid w:val="007D2B98"/>
    <w:rsid w:val="007D41BA"/>
    <w:rsid w:val="007D76B1"/>
    <w:rsid w:val="007D7C02"/>
    <w:rsid w:val="007E20CC"/>
    <w:rsid w:val="007E21BC"/>
    <w:rsid w:val="007E41E3"/>
    <w:rsid w:val="007E424F"/>
    <w:rsid w:val="007E58FE"/>
    <w:rsid w:val="007E7C82"/>
    <w:rsid w:val="007E7CB7"/>
    <w:rsid w:val="007F588D"/>
    <w:rsid w:val="007F7FFC"/>
    <w:rsid w:val="00802748"/>
    <w:rsid w:val="00803F1C"/>
    <w:rsid w:val="0080600E"/>
    <w:rsid w:val="0081358B"/>
    <w:rsid w:val="0081722A"/>
    <w:rsid w:val="00817612"/>
    <w:rsid w:val="00817F5B"/>
    <w:rsid w:val="00822C45"/>
    <w:rsid w:val="00822F4D"/>
    <w:rsid w:val="00827B44"/>
    <w:rsid w:val="00830602"/>
    <w:rsid w:val="00831919"/>
    <w:rsid w:val="0083366D"/>
    <w:rsid w:val="008338A4"/>
    <w:rsid w:val="00833B30"/>
    <w:rsid w:val="00834D49"/>
    <w:rsid w:val="008369FA"/>
    <w:rsid w:val="00837C45"/>
    <w:rsid w:val="008411F0"/>
    <w:rsid w:val="00841E95"/>
    <w:rsid w:val="00842771"/>
    <w:rsid w:val="008439BC"/>
    <w:rsid w:val="00844730"/>
    <w:rsid w:val="008457C2"/>
    <w:rsid w:val="00846EA6"/>
    <w:rsid w:val="00850352"/>
    <w:rsid w:val="0085049A"/>
    <w:rsid w:val="00853D76"/>
    <w:rsid w:val="0085673C"/>
    <w:rsid w:val="00857A82"/>
    <w:rsid w:val="00861727"/>
    <w:rsid w:val="00866B35"/>
    <w:rsid w:val="00871526"/>
    <w:rsid w:val="00873836"/>
    <w:rsid w:val="00875668"/>
    <w:rsid w:val="00876B79"/>
    <w:rsid w:val="0088349B"/>
    <w:rsid w:val="00885737"/>
    <w:rsid w:val="00890632"/>
    <w:rsid w:val="00890650"/>
    <w:rsid w:val="00891241"/>
    <w:rsid w:val="00892D47"/>
    <w:rsid w:val="00893334"/>
    <w:rsid w:val="00895B9D"/>
    <w:rsid w:val="00897E12"/>
    <w:rsid w:val="008A0F81"/>
    <w:rsid w:val="008A310C"/>
    <w:rsid w:val="008A6BA5"/>
    <w:rsid w:val="008A7E0F"/>
    <w:rsid w:val="008B12F5"/>
    <w:rsid w:val="008B2165"/>
    <w:rsid w:val="008B4E41"/>
    <w:rsid w:val="008B5932"/>
    <w:rsid w:val="008C42B1"/>
    <w:rsid w:val="008C4A3D"/>
    <w:rsid w:val="008C5751"/>
    <w:rsid w:val="008D18E9"/>
    <w:rsid w:val="008D63FD"/>
    <w:rsid w:val="008D768D"/>
    <w:rsid w:val="008E0FD8"/>
    <w:rsid w:val="008E328A"/>
    <w:rsid w:val="008E3759"/>
    <w:rsid w:val="008E3BFE"/>
    <w:rsid w:val="008E7900"/>
    <w:rsid w:val="008F1912"/>
    <w:rsid w:val="008F1BAC"/>
    <w:rsid w:val="0090270B"/>
    <w:rsid w:val="0090305A"/>
    <w:rsid w:val="009036F6"/>
    <w:rsid w:val="009041DC"/>
    <w:rsid w:val="00914B6D"/>
    <w:rsid w:val="00916B62"/>
    <w:rsid w:val="00917B5A"/>
    <w:rsid w:val="00920A58"/>
    <w:rsid w:val="00920A8C"/>
    <w:rsid w:val="0092215E"/>
    <w:rsid w:val="0092786A"/>
    <w:rsid w:val="0093237A"/>
    <w:rsid w:val="00934A2C"/>
    <w:rsid w:val="00935F06"/>
    <w:rsid w:val="00937B3A"/>
    <w:rsid w:val="00941D15"/>
    <w:rsid w:val="00943996"/>
    <w:rsid w:val="0094494C"/>
    <w:rsid w:val="009510A1"/>
    <w:rsid w:val="009511E0"/>
    <w:rsid w:val="00954B82"/>
    <w:rsid w:val="00954EA0"/>
    <w:rsid w:val="0095543D"/>
    <w:rsid w:val="009555B3"/>
    <w:rsid w:val="009566EA"/>
    <w:rsid w:val="00957000"/>
    <w:rsid w:val="00962436"/>
    <w:rsid w:val="00963843"/>
    <w:rsid w:val="0096706E"/>
    <w:rsid w:val="00971AF4"/>
    <w:rsid w:val="00974491"/>
    <w:rsid w:val="00975C4E"/>
    <w:rsid w:val="0098150B"/>
    <w:rsid w:val="00981FBA"/>
    <w:rsid w:val="009872E7"/>
    <w:rsid w:val="00992A2E"/>
    <w:rsid w:val="00995899"/>
    <w:rsid w:val="0099640F"/>
    <w:rsid w:val="00997BC5"/>
    <w:rsid w:val="009A0048"/>
    <w:rsid w:val="009A4F41"/>
    <w:rsid w:val="009A537D"/>
    <w:rsid w:val="009B1FBA"/>
    <w:rsid w:val="009B381B"/>
    <w:rsid w:val="009B5519"/>
    <w:rsid w:val="009B5B3D"/>
    <w:rsid w:val="009C08C2"/>
    <w:rsid w:val="009C0D9B"/>
    <w:rsid w:val="009C2FC5"/>
    <w:rsid w:val="009C58F5"/>
    <w:rsid w:val="009D1753"/>
    <w:rsid w:val="009D51D5"/>
    <w:rsid w:val="009D6502"/>
    <w:rsid w:val="009D7611"/>
    <w:rsid w:val="009D78A5"/>
    <w:rsid w:val="009E08DD"/>
    <w:rsid w:val="009E0B61"/>
    <w:rsid w:val="009E0D8F"/>
    <w:rsid w:val="009E43E4"/>
    <w:rsid w:val="009E47F1"/>
    <w:rsid w:val="009E4B97"/>
    <w:rsid w:val="009E53DE"/>
    <w:rsid w:val="009E5DCB"/>
    <w:rsid w:val="009E7C00"/>
    <w:rsid w:val="009F50ED"/>
    <w:rsid w:val="009F685E"/>
    <w:rsid w:val="00A02AF3"/>
    <w:rsid w:val="00A0691C"/>
    <w:rsid w:val="00A10994"/>
    <w:rsid w:val="00A10A0C"/>
    <w:rsid w:val="00A11C45"/>
    <w:rsid w:val="00A11E44"/>
    <w:rsid w:val="00A1225C"/>
    <w:rsid w:val="00A154C8"/>
    <w:rsid w:val="00A174AA"/>
    <w:rsid w:val="00A175E4"/>
    <w:rsid w:val="00A22397"/>
    <w:rsid w:val="00A23714"/>
    <w:rsid w:val="00A32313"/>
    <w:rsid w:val="00A328B3"/>
    <w:rsid w:val="00A404A6"/>
    <w:rsid w:val="00A436ED"/>
    <w:rsid w:val="00A46094"/>
    <w:rsid w:val="00A50FCF"/>
    <w:rsid w:val="00A528D1"/>
    <w:rsid w:val="00A60740"/>
    <w:rsid w:val="00A610CD"/>
    <w:rsid w:val="00A625E0"/>
    <w:rsid w:val="00A62E3E"/>
    <w:rsid w:val="00A74947"/>
    <w:rsid w:val="00A758AA"/>
    <w:rsid w:val="00A76641"/>
    <w:rsid w:val="00A855FD"/>
    <w:rsid w:val="00A91565"/>
    <w:rsid w:val="00A92093"/>
    <w:rsid w:val="00A934FA"/>
    <w:rsid w:val="00A94869"/>
    <w:rsid w:val="00A960B4"/>
    <w:rsid w:val="00A96286"/>
    <w:rsid w:val="00AA02FB"/>
    <w:rsid w:val="00AA09A2"/>
    <w:rsid w:val="00AA7996"/>
    <w:rsid w:val="00AB002A"/>
    <w:rsid w:val="00AB44F4"/>
    <w:rsid w:val="00AC0DB6"/>
    <w:rsid w:val="00AC19CB"/>
    <w:rsid w:val="00AC4523"/>
    <w:rsid w:val="00AD1187"/>
    <w:rsid w:val="00AD1886"/>
    <w:rsid w:val="00AD1C97"/>
    <w:rsid w:val="00AD1FEA"/>
    <w:rsid w:val="00AD24BF"/>
    <w:rsid w:val="00AE0B06"/>
    <w:rsid w:val="00AE2A3A"/>
    <w:rsid w:val="00AE4A8A"/>
    <w:rsid w:val="00AE524D"/>
    <w:rsid w:val="00AE5488"/>
    <w:rsid w:val="00AE5841"/>
    <w:rsid w:val="00AE6F91"/>
    <w:rsid w:val="00AF5571"/>
    <w:rsid w:val="00B06B4E"/>
    <w:rsid w:val="00B07341"/>
    <w:rsid w:val="00B11B09"/>
    <w:rsid w:val="00B12001"/>
    <w:rsid w:val="00B130DB"/>
    <w:rsid w:val="00B202B5"/>
    <w:rsid w:val="00B2245F"/>
    <w:rsid w:val="00B232DD"/>
    <w:rsid w:val="00B30539"/>
    <w:rsid w:val="00B314DB"/>
    <w:rsid w:val="00B3396D"/>
    <w:rsid w:val="00B361F2"/>
    <w:rsid w:val="00B3718B"/>
    <w:rsid w:val="00B42171"/>
    <w:rsid w:val="00B438B2"/>
    <w:rsid w:val="00B441DC"/>
    <w:rsid w:val="00B4632A"/>
    <w:rsid w:val="00B5067D"/>
    <w:rsid w:val="00B522F6"/>
    <w:rsid w:val="00B52F0A"/>
    <w:rsid w:val="00B530F1"/>
    <w:rsid w:val="00B5423A"/>
    <w:rsid w:val="00B5603D"/>
    <w:rsid w:val="00B57297"/>
    <w:rsid w:val="00B57757"/>
    <w:rsid w:val="00B63C03"/>
    <w:rsid w:val="00B736AF"/>
    <w:rsid w:val="00B73F50"/>
    <w:rsid w:val="00B742BE"/>
    <w:rsid w:val="00B754E7"/>
    <w:rsid w:val="00B80821"/>
    <w:rsid w:val="00B8643F"/>
    <w:rsid w:val="00B87359"/>
    <w:rsid w:val="00B9193A"/>
    <w:rsid w:val="00B92F91"/>
    <w:rsid w:val="00B97946"/>
    <w:rsid w:val="00BA0C71"/>
    <w:rsid w:val="00BA276C"/>
    <w:rsid w:val="00BA2A11"/>
    <w:rsid w:val="00BA5544"/>
    <w:rsid w:val="00BB2089"/>
    <w:rsid w:val="00BB306F"/>
    <w:rsid w:val="00BB3FBD"/>
    <w:rsid w:val="00BC6CD0"/>
    <w:rsid w:val="00BD0326"/>
    <w:rsid w:val="00BD0B05"/>
    <w:rsid w:val="00BD26CF"/>
    <w:rsid w:val="00BD4632"/>
    <w:rsid w:val="00BD4B89"/>
    <w:rsid w:val="00BD5922"/>
    <w:rsid w:val="00BD76D9"/>
    <w:rsid w:val="00BE260B"/>
    <w:rsid w:val="00BE76B1"/>
    <w:rsid w:val="00BF02CB"/>
    <w:rsid w:val="00BF514A"/>
    <w:rsid w:val="00BF5C07"/>
    <w:rsid w:val="00BF6FD8"/>
    <w:rsid w:val="00BF775D"/>
    <w:rsid w:val="00C001EB"/>
    <w:rsid w:val="00C03680"/>
    <w:rsid w:val="00C03919"/>
    <w:rsid w:val="00C054DF"/>
    <w:rsid w:val="00C058E6"/>
    <w:rsid w:val="00C10AFC"/>
    <w:rsid w:val="00C118B7"/>
    <w:rsid w:val="00C16E2C"/>
    <w:rsid w:val="00C16F37"/>
    <w:rsid w:val="00C17EC8"/>
    <w:rsid w:val="00C203B3"/>
    <w:rsid w:val="00C21562"/>
    <w:rsid w:val="00C21762"/>
    <w:rsid w:val="00C21FEF"/>
    <w:rsid w:val="00C22518"/>
    <w:rsid w:val="00C24543"/>
    <w:rsid w:val="00C256A2"/>
    <w:rsid w:val="00C2665A"/>
    <w:rsid w:val="00C33825"/>
    <w:rsid w:val="00C35A26"/>
    <w:rsid w:val="00C42C29"/>
    <w:rsid w:val="00C459EB"/>
    <w:rsid w:val="00C508AD"/>
    <w:rsid w:val="00C51206"/>
    <w:rsid w:val="00C51515"/>
    <w:rsid w:val="00C53910"/>
    <w:rsid w:val="00C5660B"/>
    <w:rsid w:val="00C56854"/>
    <w:rsid w:val="00C5788A"/>
    <w:rsid w:val="00C66B72"/>
    <w:rsid w:val="00C70C3F"/>
    <w:rsid w:val="00C70FB4"/>
    <w:rsid w:val="00C71201"/>
    <w:rsid w:val="00C7467C"/>
    <w:rsid w:val="00C86D1E"/>
    <w:rsid w:val="00C87AC4"/>
    <w:rsid w:val="00C87D94"/>
    <w:rsid w:val="00C90F42"/>
    <w:rsid w:val="00C93FC4"/>
    <w:rsid w:val="00C942C0"/>
    <w:rsid w:val="00C9567A"/>
    <w:rsid w:val="00C9595C"/>
    <w:rsid w:val="00C969A2"/>
    <w:rsid w:val="00CA48A3"/>
    <w:rsid w:val="00CB05DF"/>
    <w:rsid w:val="00CB212D"/>
    <w:rsid w:val="00CB2660"/>
    <w:rsid w:val="00CB3FA1"/>
    <w:rsid w:val="00CB4E73"/>
    <w:rsid w:val="00CC30CB"/>
    <w:rsid w:val="00CC5E90"/>
    <w:rsid w:val="00CD046C"/>
    <w:rsid w:val="00CD186A"/>
    <w:rsid w:val="00CD5180"/>
    <w:rsid w:val="00CE076C"/>
    <w:rsid w:val="00CE1CFC"/>
    <w:rsid w:val="00CE5199"/>
    <w:rsid w:val="00CE66D5"/>
    <w:rsid w:val="00CF637A"/>
    <w:rsid w:val="00D01EC9"/>
    <w:rsid w:val="00D059DE"/>
    <w:rsid w:val="00D05ABD"/>
    <w:rsid w:val="00D107D9"/>
    <w:rsid w:val="00D12BCD"/>
    <w:rsid w:val="00D130AA"/>
    <w:rsid w:val="00D13FCE"/>
    <w:rsid w:val="00D14641"/>
    <w:rsid w:val="00D17C13"/>
    <w:rsid w:val="00D17E8C"/>
    <w:rsid w:val="00D20681"/>
    <w:rsid w:val="00D219B4"/>
    <w:rsid w:val="00D306D1"/>
    <w:rsid w:val="00D30800"/>
    <w:rsid w:val="00D32BC9"/>
    <w:rsid w:val="00D34786"/>
    <w:rsid w:val="00D37BFC"/>
    <w:rsid w:val="00D42822"/>
    <w:rsid w:val="00D447E2"/>
    <w:rsid w:val="00D45245"/>
    <w:rsid w:val="00D47A8E"/>
    <w:rsid w:val="00D50D50"/>
    <w:rsid w:val="00D52D14"/>
    <w:rsid w:val="00D54615"/>
    <w:rsid w:val="00D55256"/>
    <w:rsid w:val="00D56D93"/>
    <w:rsid w:val="00D608FE"/>
    <w:rsid w:val="00D62C1C"/>
    <w:rsid w:val="00D65706"/>
    <w:rsid w:val="00D67256"/>
    <w:rsid w:val="00D70157"/>
    <w:rsid w:val="00D712D3"/>
    <w:rsid w:val="00D71422"/>
    <w:rsid w:val="00D72DC6"/>
    <w:rsid w:val="00D72E4C"/>
    <w:rsid w:val="00D73F5E"/>
    <w:rsid w:val="00D7558D"/>
    <w:rsid w:val="00D77503"/>
    <w:rsid w:val="00D80343"/>
    <w:rsid w:val="00D80DE5"/>
    <w:rsid w:val="00D81D92"/>
    <w:rsid w:val="00D84B70"/>
    <w:rsid w:val="00D876F9"/>
    <w:rsid w:val="00D877B6"/>
    <w:rsid w:val="00D92CA9"/>
    <w:rsid w:val="00D93A90"/>
    <w:rsid w:val="00DA4A75"/>
    <w:rsid w:val="00DA717D"/>
    <w:rsid w:val="00DA7B5F"/>
    <w:rsid w:val="00DB08A7"/>
    <w:rsid w:val="00DC11E7"/>
    <w:rsid w:val="00DC40A6"/>
    <w:rsid w:val="00DC7023"/>
    <w:rsid w:val="00DC769A"/>
    <w:rsid w:val="00DD061E"/>
    <w:rsid w:val="00DD3D86"/>
    <w:rsid w:val="00DD431B"/>
    <w:rsid w:val="00DD6516"/>
    <w:rsid w:val="00DD6593"/>
    <w:rsid w:val="00DE0617"/>
    <w:rsid w:val="00DE12F0"/>
    <w:rsid w:val="00DE4EF1"/>
    <w:rsid w:val="00DF1EC4"/>
    <w:rsid w:val="00DF51E9"/>
    <w:rsid w:val="00DF6D8B"/>
    <w:rsid w:val="00DF7FB7"/>
    <w:rsid w:val="00E00DFD"/>
    <w:rsid w:val="00E01943"/>
    <w:rsid w:val="00E0340B"/>
    <w:rsid w:val="00E04A90"/>
    <w:rsid w:val="00E0551F"/>
    <w:rsid w:val="00E07A59"/>
    <w:rsid w:val="00E219C7"/>
    <w:rsid w:val="00E23146"/>
    <w:rsid w:val="00E241B2"/>
    <w:rsid w:val="00E25704"/>
    <w:rsid w:val="00E26CCA"/>
    <w:rsid w:val="00E27F56"/>
    <w:rsid w:val="00E30E3F"/>
    <w:rsid w:val="00E317C6"/>
    <w:rsid w:val="00E4118C"/>
    <w:rsid w:val="00E43157"/>
    <w:rsid w:val="00E43FEF"/>
    <w:rsid w:val="00E461CE"/>
    <w:rsid w:val="00E47A87"/>
    <w:rsid w:val="00E52D2D"/>
    <w:rsid w:val="00E55F5C"/>
    <w:rsid w:val="00E61DE9"/>
    <w:rsid w:val="00E6423F"/>
    <w:rsid w:val="00E64740"/>
    <w:rsid w:val="00E64FE2"/>
    <w:rsid w:val="00E720CA"/>
    <w:rsid w:val="00E7375D"/>
    <w:rsid w:val="00E8095E"/>
    <w:rsid w:val="00E823CF"/>
    <w:rsid w:val="00E84EB5"/>
    <w:rsid w:val="00E85112"/>
    <w:rsid w:val="00E85662"/>
    <w:rsid w:val="00E86DC6"/>
    <w:rsid w:val="00E8789F"/>
    <w:rsid w:val="00E902FB"/>
    <w:rsid w:val="00E91249"/>
    <w:rsid w:val="00E92747"/>
    <w:rsid w:val="00E946E4"/>
    <w:rsid w:val="00E950E4"/>
    <w:rsid w:val="00E97B71"/>
    <w:rsid w:val="00EA0F32"/>
    <w:rsid w:val="00EA1228"/>
    <w:rsid w:val="00EA3D34"/>
    <w:rsid w:val="00EA7ED9"/>
    <w:rsid w:val="00EB454D"/>
    <w:rsid w:val="00EB7B62"/>
    <w:rsid w:val="00EC1F8D"/>
    <w:rsid w:val="00EC26E9"/>
    <w:rsid w:val="00EC2C83"/>
    <w:rsid w:val="00EC5D33"/>
    <w:rsid w:val="00EC5D44"/>
    <w:rsid w:val="00EC72AB"/>
    <w:rsid w:val="00ED2F03"/>
    <w:rsid w:val="00ED549D"/>
    <w:rsid w:val="00ED76BE"/>
    <w:rsid w:val="00ED7F05"/>
    <w:rsid w:val="00EE00E9"/>
    <w:rsid w:val="00EE014D"/>
    <w:rsid w:val="00EE11B9"/>
    <w:rsid w:val="00EE5E03"/>
    <w:rsid w:val="00EE7777"/>
    <w:rsid w:val="00EF0340"/>
    <w:rsid w:val="00EF2883"/>
    <w:rsid w:val="00EF35AB"/>
    <w:rsid w:val="00EF3EF8"/>
    <w:rsid w:val="00EF4C44"/>
    <w:rsid w:val="00EF619B"/>
    <w:rsid w:val="00EF6ADA"/>
    <w:rsid w:val="00F00B55"/>
    <w:rsid w:val="00F02AD1"/>
    <w:rsid w:val="00F04591"/>
    <w:rsid w:val="00F04884"/>
    <w:rsid w:val="00F06354"/>
    <w:rsid w:val="00F176A3"/>
    <w:rsid w:val="00F253CC"/>
    <w:rsid w:val="00F26150"/>
    <w:rsid w:val="00F332EF"/>
    <w:rsid w:val="00F37106"/>
    <w:rsid w:val="00F45CBF"/>
    <w:rsid w:val="00F519CF"/>
    <w:rsid w:val="00F52FCD"/>
    <w:rsid w:val="00F53136"/>
    <w:rsid w:val="00F53168"/>
    <w:rsid w:val="00F56BA5"/>
    <w:rsid w:val="00F60E22"/>
    <w:rsid w:val="00F61AEF"/>
    <w:rsid w:val="00F63B39"/>
    <w:rsid w:val="00F6701F"/>
    <w:rsid w:val="00F676C5"/>
    <w:rsid w:val="00F729D8"/>
    <w:rsid w:val="00F76EBF"/>
    <w:rsid w:val="00F81395"/>
    <w:rsid w:val="00F81887"/>
    <w:rsid w:val="00F81BB8"/>
    <w:rsid w:val="00F85D1A"/>
    <w:rsid w:val="00F90365"/>
    <w:rsid w:val="00F917D1"/>
    <w:rsid w:val="00F9342C"/>
    <w:rsid w:val="00F95DD1"/>
    <w:rsid w:val="00F9653B"/>
    <w:rsid w:val="00FA1FEE"/>
    <w:rsid w:val="00FA2F2C"/>
    <w:rsid w:val="00FA41E5"/>
    <w:rsid w:val="00FA56EA"/>
    <w:rsid w:val="00FA6854"/>
    <w:rsid w:val="00FB3AB8"/>
    <w:rsid w:val="00FB62CF"/>
    <w:rsid w:val="00FB6953"/>
    <w:rsid w:val="00FB7600"/>
    <w:rsid w:val="00FB76C3"/>
    <w:rsid w:val="00FB7856"/>
    <w:rsid w:val="00FB7EEB"/>
    <w:rsid w:val="00FC0F1A"/>
    <w:rsid w:val="00FC0F4A"/>
    <w:rsid w:val="00FC3330"/>
    <w:rsid w:val="00FD1ACC"/>
    <w:rsid w:val="00FD253F"/>
    <w:rsid w:val="00FD3C3B"/>
    <w:rsid w:val="00FD4654"/>
    <w:rsid w:val="00FD7C69"/>
    <w:rsid w:val="00FE07DD"/>
    <w:rsid w:val="00FE6B45"/>
    <w:rsid w:val="00FE6D08"/>
    <w:rsid w:val="00FF0020"/>
    <w:rsid w:val="00FF0714"/>
    <w:rsid w:val="00FF16E1"/>
    <w:rsid w:val="00FF27F0"/>
    <w:rsid w:val="00FF2E0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B8643F"/>
    <w:rPr>
      <w:color w:val="605E5C"/>
      <w:shd w:val="clear" w:color="auto" w:fill="E1DFDD"/>
    </w:rPr>
  </w:style>
  <w:style w:type="character" w:styleId="FollowedHyperlink">
    <w:name w:val="FollowedHyperlink"/>
    <w:basedOn w:val="DefaultParagraphFont"/>
    <w:uiPriority w:val="99"/>
    <w:semiHidden/>
    <w:unhideWhenUsed/>
    <w:rsid w:val="00634DF0"/>
    <w:rPr>
      <w:color w:val="800080" w:themeColor="followedHyperlink"/>
      <w:u w:val="single"/>
    </w:rPr>
  </w:style>
  <w:style w:type="paragraph" w:customStyle="1" w:styleId="paragraph">
    <w:name w:val="paragraph"/>
    <w:basedOn w:val="Normal"/>
    <w:rsid w:val="00F85D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85D1A"/>
  </w:style>
  <w:style w:type="character" w:customStyle="1" w:styleId="eop">
    <w:name w:val="eop"/>
    <w:basedOn w:val="DefaultParagraphFont"/>
    <w:rsid w:val="00F85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687488116">
      <w:bodyDiv w:val="1"/>
      <w:marLeft w:val="0"/>
      <w:marRight w:val="0"/>
      <w:marTop w:val="0"/>
      <w:marBottom w:val="0"/>
      <w:divBdr>
        <w:top w:val="none" w:sz="0" w:space="0" w:color="auto"/>
        <w:left w:val="none" w:sz="0" w:space="0" w:color="auto"/>
        <w:bottom w:val="none" w:sz="0" w:space="0" w:color="auto"/>
        <w:right w:val="none" w:sz="0" w:space="0" w:color="auto"/>
      </w:divBdr>
      <w:divsChild>
        <w:div w:id="21711890">
          <w:marLeft w:val="0"/>
          <w:marRight w:val="0"/>
          <w:marTop w:val="0"/>
          <w:marBottom w:val="0"/>
          <w:divBdr>
            <w:top w:val="none" w:sz="0" w:space="0" w:color="auto"/>
            <w:left w:val="none" w:sz="0" w:space="0" w:color="auto"/>
            <w:bottom w:val="none" w:sz="0" w:space="0" w:color="auto"/>
            <w:right w:val="none" w:sz="0" w:space="0" w:color="auto"/>
          </w:divBdr>
        </w:div>
        <w:div w:id="56518446">
          <w:marLeft w:val="0"/>
          <w:marRight w:val="0"/>
          <w:marTop w:val="0"/>
          <w:marBottom w:val="0"/>
          <w:divBdr>
            <w:top w:val="none" w:sz="0" w:space="0" w:color="auto"/>
            <w:left w:val="none" w:sz="0" w:space="0" w:color="auto"/>
            <w:bottom w:val="none" w:sz="0" w:space="0" w:color="auto"/>
            <w:right w:val="none" w:sz="0" w:space="0" w:color="auto"/>
          </w:divBdr>
        </w:div>
        <w:div w:id="1253660761">
          <w:marLeft w:val="0"/>
          <w:marRight w:val="0"/>
          <w:marTop w:val="0"/>
          <w:marBottom w:val="0"/>
          <w:divBdr>
            <w:top w:val="none" w:sz="0" w:space="0" w:color="auto"/>
            <w:left w:val="none" w:sz="0" w:space="0" w:color="auto"/>
            <w:bottom w:val="none" w:sz="0" w:space="0" w:color="auto"/>
            <w:right w:val="none" w:sz="0" w:space="0" w:color="auto"/>
          </w:divBdr>
        </w:div>
        <w:div w:id="1886482022">
          <w:marLeft w:val="0"/>
          <w:marRight w:val="0"/>
          <w:marTop w:val="0"/>
          <w:marBottom w:val="0"/>
          <w:divBdr>
            <w:top w:val="none" w:sz="0" w:space="0" w:color="auto"/>
            <w:left w:val="none" w:sz="0" w:space="0" w:color="auto"/>
            <w:bottom w:val="none" w:sz="0" w:space="0" w:color="auto"/>
            <w:right w:val="none" w:sz="0" w:space="0" w:color="auto"/>
          </w:divBdr>
        </w:div>
        <w:div w:id="1917133045">
          <w:marLeft w:val="0"/>
          <w:marRight w:val="0"/>
          <w:marTop w:val="0"/>
          <w:marBottom w:val="0"/>
          <w:divBdr>
            <w:top w:val="none" w:sz="0" w:space="0" w:color="auto"/>
            <w:left w:val="none" w:sz="0" w:space="0" w:color="auto"/>
            <w:bottom w:val="none" w:sz="0" w:space="0" w:color="auto"/>
            <w:right w:val="none" w:sz="0" w:space="0" w:color="auto"/>
          </w:divBdr>
        </w:div>
        <w:div w:id="1938173722">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889025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jurisprudencia.tcpbolivia.bo/Fichas/ObtieneResolucion?idFicha=13878" TargetMode="External"/><Relationship Id="rId2" Type="http://schemas.openxmlformats.org/officeDocument/2006/relationships/hyperlink" Target="http://www.cidh.org/countryrep/bolivia2007sp/bolivia07indice.sp.htm" TargetMode="External"/><Relationship Id="rId1" Type="http://schemas.openxmlformats.org/officeDocument/2006/relationships/hyperlink" Target="https://www.nadir.org/nadir/initiativ/agp/free/imf/bolivia/txt/2003/0122manifiesto.htm" TargetMode="External"/><Relationship Id="rId4" Type="http://schemas.openxmlformats.org/officeDocument/2006/relationships/hyperlink" Target="https://jurisprudencia.tcpbolivia.bo/Fichas/ObtieneResolucion?idFicha=1387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7FA68-CE34-4ABD-8119-C03F1B8E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4607</Words>
  <Characters>23823</Characters>
  <Application>Microsoft Office Word</Application>
  <DocSecurity>0</DocSecurity>
  <Lines>529</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214/21</dc:title>
  <dc:subject/>
  <dc:creator/>
  <cp:keywords/>
  <cp:lastModifiedBy/>
  <cp:revision>1</cp:revision>
  <dcterms:created xsi:type="dcterms:W3CDTF">2022-03-07T20:57:00Z</dcterms:created>
  <dcterms:modified xsi:type="dcterms:W3CDTF">2022-03-07T20:57:00Z</dcterms:modified>
</cp:coreProperties>
</file>