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B3B0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80640F" w:rsidRDefault="0080640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80640F" w:rsidRDefault="0080640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4556A7A" w:rsidR="0080640F" w:rsidRPr="004E2649" w:rsidRDefault="0080640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C27AF">
                              <w:rPr>
                                <w:rFonts w:asciiTheme="majorHAnsi" w:hAnsiTheme="majorHAnsi" w:cs="Arial"/>
                                <w:b/>
                                <w:bCs/>
                                <w:color w:val="0D0D0D" w:themeColor="text1" w:themeTint="F2"/>
                                <w:sz w:val="36"/>
                                <w:szCs w:val="22"/>
                                <w:lang w:val="es-ES_tradnl"/>
                              </w:rPr>
                              <w:t>340</w:t>
                            </w:r>
                            <w:r>
                              <w:rPr>
                                <w:rFonts w:asciiTheme="majorHAnsi" w:hAnsiTheme="majorHAnsi" w:cs="Arial"/>
                                <w:b/>
                                <w:bCs/>
                                <w:color w:val="0D0D0D" w:themeColor="text1" w:themeTint="F2"/>
                                <w:sz w:val="36"/>
                                <w:szCs w:val="22"/>
                                <w:lang w:val="es-ES_tradnl"/>
                              </w:rPr>
                              <w:t>/</w:t>
                            </w:r>
                            <w:r w:rsidR="00EA7460">
                              <w:rPr>
                                <w:rFonts w:asciiTheme="majorHAnsi" w:hAnsiTheme="majorHAnsi" w:cs="Arial"/>
                                <w:b/>
                                <w:bCs/>
                                <w:color w:val="0D0D0D" w:themeColor="text1" w:themeTint="F2"/>
                                <w:sz w:val="36"/>
                                <w:szCs w:val="22"/>
                                <w:lang w:val="es-ES_tradnl"/>
                              </w:rPr>
                              <w:t>21</w:t>
                            </w:r>
                          </w:p>
                          <w:p w14:paraId="09C54AB3" w14:textId="531FC567" w:rsidR="0080640F" w:rsidRDefault="0080640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15EE">
                              <w:rPr>
                                <w:rFonts w:asciiTheme="majorHAnsi" w:hAnsiTheme="majorHAnsi" w:cs="Arial"/>
                                <w:b/>
                                <w:color w:val="0D0D0D" w:themeColor="text1" w:themeTint="F2"/>
                                <w:sz w:val="36"/>
                                <w:szCs w:val="22"/>
                                <w:lang w:val="es-ES_tradnl"/>
                              </w:rPr>
                              <w:t>1694</w:t>
                            </w:r>
                            <w:r w:rsidRPr="004E2649">
                              <w:rPr>
                                <w:rFonts w:asciiTheme="majorHAnsi" w:hAnsiTheme="majorHAnsi" w:cs="Arial"/>
                                <w:b/>
                                <w:color w:val="0D0D0D" w:themeColor="text1" w:themeTint="F2"/>
                                <w:sz w:val="36"/>
                                <w:szCs w:val="22"/>
                                <w:lang w:val="es-ES_tradnl"/>
                              </w:rPr>
                              <w:t>-</w:t>
                            </w:r>
                            <w:r w:rsidR="007515EE">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70CF6833" w14:textId="75BDAB3F" w:rsidR="0080640F" w:rsidRPr="00C61730" w:rsidRDefault="0080640F" w:rsidP="00997BC5">
                            <w:pPr>
                              <w:spacing w:line="276" w:lineRule="auto"/>
                              <w:rPr>
                                <w:rFonts w:asciiTheme="majorHAnsi" w:hAnsiTheme="majorHAnsi" w:cs="Arial"/>
                                <w:color w:val="000000" w:themeColor="text1"/>
                                <w:szCs w:val="22"/>
                                <w:lang w:val="es-ES_tradnl"/>
                              </w:rPr>
                            </w:pPr>
                            <w:r w:rsidRPr="00C61730">
                              <w:rPr>
                                <w:rFonts w:asciiTheme="majorHAnsi" w:hAnsiTheme="majorHAnsi" w:cs="Arial"/>
                                <w:color w:val="000000" w:themeColor="text1"/>
                                <w:szCs w:val="22"/>
                                <w:lang w:val="es-ES_tradnl"/>
                              </w:rPr>
                              <w:t>INFORME DE INADMISIBILIDAD</w:t>
                            </w:r>
                          </w:p>
                          <w:p w14:paraId="5FDD6F0D" w14:textId="77777777" w:rsidR="0080640F" w:rsidRPr="0010736F" w:rsidRDefault="0080640F"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8A8C1BD" w:rsidR="0080640F" w:rsidRPr="0010736F" w:rsidRDefault="007515E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ORESTES VALENTÍN PADOVAN</w:t>
                            </w:r>
                          </w:p>
                          <w:bookmarkEnd w:id="0"/>
                          <w:p w14:paraId="35068D0D" w14:textId="1DF36BCF" w:rsidR="0080640F" w:rsidRPr="0010736F" w:rsidRDefault="007515E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80640F" w:rsidRPr="00AE5488" w:rsidRDefault="0080640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4556A7A" w:rsidR="0080640F" w:rsidRPr="004E2649" w:rsidRDefault="0080640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C27AF">
                        <w:rPr>
                          <w:rFonts w:asciiTheme="majorHAnsi" w:hAnsiTheme="majorHAnsi" w:cs="Arial"/>
                          <w:b/>
                          <w:bCs/>
                          <w:color w:val="0D0D0D" w:themeColor="text1" w:themeTint="F2"/>
                          <w:sz w:val="36"/>
                          <w:szCs w:val="22"/>
                          <w:lang w:val="es-ES_tradnl"/>
                        </w:rPr>
                        <w:t>340</w:t>
                      </w:r>
                      <w:r>
                        <w:rPr>
                          <w:rFonts w:asciiTheme="majorHAnsi" w:hAnsiTheme="majorHAnsi" w:cs="Arial"/>
                          <w:b/>
                          <w:bCs/>
                          <w:color w:val="0D0D0D" w:themeColor="text1" w:themeTint="F2"/>
                          <w:sz w:val="36"/>
                          <w:szCs w:val="22"/>
                          <w:lang w:val="es-ES_tradnl"/>
                        </w:rPr>
                        <w:t>/</w:t>
                      </w:r>
                      <w:r w:rsidR="00EA7460">
                        <w:rPr>
                          <w:rFonts w:asciiTheme="majorHAnsi" w:hAnsiTheme="majorHAnsi" w:cs="Arial"/>
                          <w:b/>
                          <w:bCs/>
                          <w:color w:val="0D0D0D" w:themeColor="text1" w:themeTint="F2"/>
                          <w:sz w:val="36"/>
                          <w:szCs w:val="22"/>
                          <w:lang w:val="es-ES_tradnl"/>
                        </w:rPr>
                        <w:t>21</w:t>
                      </w:r>
                    </w:p>
                    <w:p w14:paraId="09C54AB3" w14:textId="531FC567" w:rsidR="0080640F" w:rsidRDefault="0080640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15EE">
                        <w:rPr>
                          <w:rFonts w:asciiTheme="majorHAnsi" w:hAnsiTheme="majorHAnsi" w:cs="Arial"/>
                          <w:b/>
                          <w:color w:val="0D0D0D" w:themeColor="text1" w:themeTint="F2"/>
                          <w:sz w:val="36"/>
                          <w:szCs w:val="22"/>
                          <w:lang w:val="es-ES_tradnl"/>
                        </w:rPr>
                        <w:t>1694</w:t>
                      </w:r>
                      <w:r w:rsidRPr="004E2649">
                        <w:rPr>
                          <w:rFonts w:asciiTheme="majorHAnsi" w:hAnsiTheme="majorHAnsi" w:cs="Arial"/>
                          <w:b/>
                          <w:color w:val="0D0D0D" w:themeColor="text1" w:themeTint="F2"/>
                          <w:sz w:val="36"/>
                          <w:szCs w:val="22"/>
                          <w:lang w:val="es-ES_tradnl"/>
                        </w:rPr>
                        <w:t>-</w:t>
                      </w:r>
                      <w:r w:rsidR="007515EE">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70CF6833" w14:textId="75BDAB3F" w:rsidR="0080640F" w:rsidRPr="00C61730" w:rsidRDefault="0080640F" w:rsidP="00997BC5">
                      <w:pPr>
                        <w:spacing w:line="276" w:lineRule="auto"/>
                        <w:rPr>
                          <w:rFonts w:asciiTheme="majorHAnsi" w:hAnsiTheme="majorHAnsi" w:cs="Arial"/>
                          <w:color w:val="000000" w:themeColor="text1"/>
                          <w:szCs w:val="22"/>
                          <w:lang w:val="es-ES_tradnl"/>
                        </w:rPr>
                      </w:pPr>
                      <w:r w:rsidRPr="00C61730">
                        <w:rPr>
                          <w:rFonts w:asciiTheme="majorHAnsi" w:hAnsiTheme="majorHAnsi" w:cs="Arial"/>
                          <w:color w:val="000000" w:themeColor="text1"/>
                          <w:szCs w:val="22"/>
                          <w:lang w:val="es-ES_tradnl"/>
                        </w:rPr>
                        <w:t>INFORME DE INADMISIBILIDAD</w:t>
                      </w:r>
                    </w:p>
                    <w:p w14:paraId="5FDD6F0D" w14:textId="77777777" w:rsidR="0080640F" w:rsidRPr="0010736F" w:rsidRDefault="0080640F"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8A8C1BD" w:rsidR="0080640F" w:rsidRPr="0010736F" w:rsidRDefault="007515E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ORESTES VALENTÍN PADOVAN</w:t>
                      </w:r>
                    </w:p>
                    <w:bookmarkEnd w:id="1"/>
                    <w:p w14:paraId="35068D0D" w14:textId="1DF36BCF" w:rsidR="0080640F" w:rsidRPr="0010736F" w:rsidRDefault="007515E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80640F" w:rsidRPr="00AE5488" w:rsidRDefault="0080640F"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2B4B410" w:rsidR="0080640F" w:rsidRPr="000B4800" w:rsidRDefault="0080640F" w:rsidP="007A5817">
                            <w:pPr>
                              <w:spacing w:line="276" w:lineRule="auto"/>
                              <w:jc w:val="right"/>
                              <w:rPr>
                                <w:rFonts w:asciiTheme="minorHAnsi" w:hAnsiTheme="minorHAnsi"/>
                                <w:color w:val="FFFFFF" w:themeColor="background1"/>
                                <w:sz w:val="22"/>
                                <w:lang w:val="es-419"/>
                              </w:rPr>
                            </w:pPr>
                            <w:r w:rsidRPr="000B4800">
                              <w:rPr>
                                <w:rFonts w:asciiTheme="minorHAnsi" w:hAnsiTheme="minorHAnsi"/>
                                <w:color w:val="FFFFFF" w:themeColor="background1"/>
                                <w:sz w:val="22"/>
                                <w:lang w:val="es-419"/>
                              </w:rPr>
                              <w:t>OEA/</w:t>
                            </w:r>
                            <w:proofErr w:type="spellStart"/>
                            <w:r w:rsidRPr="000B4800">
                              <w:rPr>
                                <w:rFonts w:asciiTheme="minorHAnsi" w:hAnsiTheme="minorHAnsi"/>
                                <w:color w:val="FFFFFF" w:themeColor="background1"/>
                                <w:sz w:val="22"/>
                                <w:lang w:val="es-419"/>
                              </w:rPr>
                              <w:t>Ser.L</w:t>
                            </w:r>
                            <w:proofErr w:type="spellEnd"/>
                            <w:r w:rsidRPr="000B4800">
                              <w:rPr>
                                <w:rFonts w:asciiTheme="minorHAnsi" w:hAnsiTheme="minorHAnsi"/>
                                <w:color w:val="FFFFFF" w:themeColor="background1"/>
                                <w:sz w:val="22"/>
                                <w:lang w:val="es-419"/>
                              </w:rPr>
                              <w:t>/V/II</w:t>
                            </w:r>
                          </w:p>
                          <w:p w14:paraId="6A41611B" w14:textId="7B100B11" w:rsidR="0080640F" w:rsidRPr="000B4800" w:rsidRDefault="0080640F" w:rsidP="007A5817">
                            <w:pPr>
                              <w:spacing w:line="276" w:lineRule="auto"/>
                              <w:jc w:val="right"/>
                              <w:rPr>
                                <w:rFonts w:asciiTheme="minorHAnsi" w:hAnsiTheme="minorHAnsi"/>
                                <w:color w:val="FFFFFF" w:themeColor="background1"/>
                                <w:sz w:val="22"/>
                                <w:lang w:val="es-419"/>
                              </w:rPr>
                            </w:pPr>
                            <w:r w:rsidRPr="000B4800">
                              <w:rPr>
                                <w:rFonts w:asciiTheme="minorHAnsi" w:hAnsiTheme="minorHAnsi"/>
                                <w:color w:val="FFFFFF" w:themeColor="background1"/>
                                <w:sz w:val="22"/>
                                <w:lang w:val="es-419"/>
                              </w:rPr>
                              <w:t xml:space="preserve">Doc. </w:t>
                            </w:r>
                            <w:r w:rsidR="004C27AF" w:rsidRPr="000B4800">
                              <w:rPr>
                                <w:rFonts w:asciiTheme="minorHAnsi" w:hAnsiTheme="minorHAnsi"/>
                                <w:color w:val="FFFFFF" w:themeColor="background1"/>
                                <w:sz w:val="22"/>
                                <w:lang w:val="es-419"/>
                              </w:rPr>
                              <w:t>350</w:t>
                            </w:r>
                          </w:p>
                          <w:p w14:paraId="69373ED2" w14:textId="1C147098" w:rsidR="0080640F" w:rsidRPr="001B4C00" w:rsidRDefault="004C27A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22 noviembre</w:t>
                            </w:r>
                            <w:r w:rsidR="0080640F" w:rsidRPr="001B4C00">
                              <w:rPr>
                                <w:rFonts w:asciiTheme="minorHAnsi" w:hAnsiTheme="minorHAnsi"/>
                                <w:color w:val="FFFFFF" w:themeColor="background1"/>
                                <w:sz w:val="22"/>
                                <w:lang w:val="es-ES"/>
                              </w:rPr>
                              <w:t xml:space="preserve"> 20</w:t>
                            </w:r>
                            <w:r w:rsidR="00EB4C7F">
                              <w:rPr>
                                <w:rFonts w:asciiTheme="minorHAnsi" w:hAnsiTheme="minorHAnsi"/>
                                <w:color w:val="FFFFFF" w:themeColor="background1"/>
                                <w:sz w:val="22"/>
                                <w:lang w:val="es-ES"/>
                              </w:rPr>
                              <w:t>2</w:t>
                            </w:r>
                            <w:r w:rsidR="00EA7460">
                              <w:rPr>
                                <w:rFonts w:asciiTheme="minorHAnsi" w:hAnsiTheme="minorHAnsi"/>
                                <w:color w:val="FFFFFF" w:themeColor="background1"/>
                                <w:sz w:val="22"/>
                                <w:lang w:val="es-ES"/>
                              </w:rPr>
                              <w:t>1</w:t>
                            </w:r>
                          </w:p>
                          <w:p w14:paraId="0771DB5B" w14:textId="77777777" w:rsidR="0080640F" w:rsidRPr="001B4C00" w:rsidRDefault="0080640F"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2B4B410" w:rsidR="0080640F" w:rsidRPr="000B4800" w:rsidRDefault="0080640F" w:rsidP="007A5817">
                      <w:pPr>
                        <w:spacing w:line="276" w:lineRule="auto"/>
                        <w:jc w:val="right"/>
                        <w:rPr>
                          <w:rFonts w:asciiTheme="minorHAnsi" w:hAnsiTheme="minorHAnsi"/>
                          <w:color w:val="FFFFFF" w:themeColor="background1"/>
                          <w:sz w:val="22"/>
                          <w:lang w:val="es-419"/>
                        </w:rPr>
                      </w:pPr>
                      <w:r w:rsidRPr="000B4800">
                        <w:rPr>
                          <w:rFonts w:asciiTheme="minorHAnsi" w:hAnsiTheme="minorHAnsi"/>
                          <w:color w:val="FFFFFF" w:themeColor="background1"/>
                          <w:sz w:val="22"/>
                          <w:lang w:val="es-419"/>
                        </w:rPr>
                        <w:t>OEA/Ser.L/V/II</w:t>
                      </w:r>
                    </w:p>
                    <w:p w14:paraId="6A41611B" w14:textId="7B100B11" w:rsidR="0080640F" w:rsidRPr="000B4800" w:rsidRDefault="0080640F" w:rsidP="007A5817">
                      <w:pPr>
                        <w:spacing w:line="276" w:lineRule="auto"/>
                        <w:jc w:val="right"/>
                        <w:rPr>
                          <w:rFonts w:asciiTheme="minorHAnsi" w:hAnsiTheme="minorHAnsi"/>
                          <w:color w:val="FFFFFF" w:themeColor="background1"/>
                          <w:sz w:val="22"/>
                          <w:lang w:val="es-419"/>
                        </w:rPr>
                      </w:pPr>
                      <w:r w:rsidRPr="000B4800">
                        <w:rPr>
                          <w:rFonts w:asciiTheme="minorHAnsi" w:hAnsiTheme="minorHAnsi"/>
                          <w:color w:val="FFFFFF" w:themeColor="background1"/>
                          <w:sz w:val="22"/>
                          <w:lang w:val="es-419"/>
                        </w:rPr>
                        <w:t xml:space="preserve">Doc. </w:t>
                      </w:r>
                      <w:r w:rsidR="004C27AF" w:rsidRPr="000B4800">
                        <w:rPr>
                          <w:rFonts w:asciiTheme="minorHAnsi" w:hAnsiTheme="minorHAnsi"/>
                          <w:color w:val="FFFFFF" w:themeColor="background1"/>
                          <w:sz w:val="22"/>
                          <w:lang w:val="es-419"/>
                        </w:rPr>
                        <w:t>350</w:t>
                      </w:r>
                    </w:p>
                    <w:p w14:paraId="69373ED2" w14:textId="1C147098" w:rsidR="0080640F" w:rsidRPr="001B4C00" w:rsidRDefault="004C27A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22 noviembre</w:t>
                      </w:r>
                      <w:r w:rsidR="0080640F" w:rsidRPr="001B4C00">
                        <w:rPr>
                          <w:rFonts w:asciiTheme="minorHAnsi" w:hAnsiTheme="minorHAnsi"/>
                          <w:color w:val="FFFFFF" w:themeColor="background1"/>
                          <w:sz w:val="22"/>
                          <w:lang w:val="es-ES"/>
                        </w:rPr>
                        <w:t xml:space="preserve"> 20</w:t>
                      </w:r>
                      <w:r w:rsidR="00EB4C7F">
                        <w:rPr>
                          <w:rFonts w:asciiTheme="minorHAnsi" w:hAnsiTheme="minorHAnsi"/>
                          <w:color w:val="FFFFFF" w:themeColor="background1"/>
                          <w:sz w:val="22"/>
                          <w:lang w:val="es-ES"/>
                        </w:rPr>
                        <w:t>2</w:t>
                      </w:r>
                      <w:r w:rsidR="00EA7460">
                        <w:rPr>
                          <w:rFonts w:asciiTheme="minorHAnsi" w:hAnsiTheme="minorHAnsi"/>
                          <w:color w:val="FFFFFF" w:themeColor="background1"/>
                          <w:sz w:val="22"/>
                          <w:lang w:val="es-ES"/>
                        </w:rPr>
                        <w:t>1</w:t>
                      </w:r>
                    </w:p>
                    <w:p w14:paraId="0771DB5B" w14:textId="77777777" w:rsidR="0080640F" w:rsidRPr="001B4C00" w:rsidRDefault="0080640F"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B51DE89" w:rsidR="0080640F" w:rsidRPr="00890650" w:rsidRDefault="0080640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C27AF">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4C27AF">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B4C7F">
                              <w:rPr>
                                <w:rFonts w:asciiTheme="majorHAnsi" w:hAnsiTheme="majorHAnsi"/>
                                <w:color w:val="0D0D0D" w:themeColor="text1" w:themeTint="F2"/>
                                <w:sz w:val="18"/>
                                <w:szCs w:val="22"/>
                                <w:lang w:val="es-ES"/>
                              </w:rPr>
                              <w:t>2</w:t>
                            </w:r>
                            <w:r w:rsidR="004C27AF">
                              <w:rPr>
                                <w:rFonts w:asciiTheme="majorHAnsi" w:hAnsiTheme="majorHAnsi"/>
                                <w:color w:val="0D0D0D" w:themeColor="text1" w:themeTint="F2"/>
                                <w:sz w:val="18"/>
                                <w:szCs w:val="22"/>
                                <w:lang w:val="es-ES"/>
                              </w:rPr>
                              <w:t>1</w:t>
                            </w:r>
                            <w:r w:rsidR="00EB7AE8">
                              <w:rPr>
                                <w:rFonts w:asciiTheme="majorHAnsi" w:hAnsiTheme="majorHAnsi"/>
                                <w:color w:val="0D0D0D" w:themeColor="text1" w:themeTint="F2"/>
                                <w:sz w:val="18"/>
                                <w:szCs w:val="22"/>
                                <w:lang w:val="es-ES"/>
                              </w:rPr>
                              <w:t>.</w:t>
                            </w:r>
                          </w:p>
                          <w:p w14:paraId="4BDF3581" w14:textId="77777777" w:rsidR="0080640F" w:rsidRPr="007A5817" w:rsidRDefault="0080640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0640F" w:rsidRPr="00167A34" w:rsidRDefault="0080640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B51DE89" w:rsidR="0080640F" w:rsidRPr="00890650" w:rsidRDefault="0080640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C27AF">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4C27AF">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B4C7F">
                        <w:rPr>
                          <w:rFonts w:asciiTheme="majorHAnsi" w:hAnsiTheme="majorHAnsi"/>
                          <w:color w:val="0D0D0D" w:themeColor="text1" w:themeTint="F2"/>
                          <w:sz w:val="18"/>
                          <w:szCs w:val="22"/>
                          <w:lang w:val="es-ES"/>
                        </w:rPr>
                        <w:t>2</w:t>
                      </w:r>
                      <w:r w:rsidR="004C27AF">
                        <w:rPr>
                          <w:rFonts w:asciiTheme="majorHAnsi" w:hAnsiTheme="majorHAnsi"/>
                          <w:color w:val="0D0D0D" w:themeColor="text1" w:themeTint="F2"/>
                          <w:sz w:val="18"/>
                          <w:szCs w:val="22"/>
                          <w:lang w:val="es-ES"/>
                        </w:rPr>
                        <w:t>1</w:t>
                      </w:r>
                      <w:r w:rsidR="00EB7AE8">
                        <w:rPr>
                          <w:rFonts w:asciiTheme="majorHAnsi" w:hAnsiTheme="majorHAnsi"/>
                          <w:color w:val="0D0D0D" w:themeColor="text1" w:themeTint="F2"/>
                          <w:sz w:val="18"/>
                          <w:szCs w:val="22"/>
                          <w:lang w:val="es-ES"/>
                        </w:rPr>
                        <w:t>.</w:t>
                      </w:r>
                    </w:p>
                    <w:p w14:paraId="4BDF3581" w14:textId="77777777" w:rsidR="0080640F" w:rsidRPr="007A5817" w:rsidRDefault="0080640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0640F" w:rsidRPr="00167A34" w:rsidRDefault="0080640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967A275" w:rsidR="0080640F" w:rsidRPr="007B05C4" w:rsidRDefault="0080640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C27AF" w:rsidRPr="004C27AF">
                              <w:rPr>
                                <w:rFonts w:asciiTheme="majorHAnsi" w:hAnsiTheme="majorHAnsi"/>
                                <w:color w:val="595959" w:themeColor="text1" w:themeTint="A6"/>
                                <w:sz w:val="18"/>
                                <w:szCs w:val="18"/>
                                <w:lang w:val="pt-BR"/>
                              </w:rPr>
                              <w:t>340</w:t>
                            </w:r>
                            <w:r w:rsidRPr="004C27AF">
                              <w:rPr>
                                <w:rFonts w:asciiTheme="majorHAnsi" w:hAnsiTheme="majorHAnsi"/>
                                <w:color w:val="595959" w:themeColor="text1" w:themeTint="A6"/>
                                <w:sz w:val="18"/>
                                <w:szCs w:val="18"/>
                                <w:lang w:val="pt-BR"/>
                              </w:rPr>
                              <w:t>/</w:t>
                            </w:r>
                            <w:r w:rsidR="004C27AF" w:rsidRPr="004C27AF">
                              <w:rPr>
                                <w:rFonts w:asciiTheme="majorHAnsi" w:hAnsiTheme="majorHAnsi"/>
                                <w:color w:val="595959" w:themeColor="text1" w:themeTint="A6"/>
                                <w:sz w:val="18"/>
                                <w:szCs w:val="18"/>
                                <w:lang w:val="pt-BR"/>
                              </w:rPr>
                              <w:t>21</w:t>
                            </w:r>
                            <w:r w:rsidRPr="004C27AF">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4C27AF">
                              <w:rPr>
                                <w:rFonts w:asciiTheme="majorHAnsi" w:hAnsiTheme="majorHAnsi"/>
                                <w:color w:val="595959" w:themeColor="text1" w:themeTint="A6"/>
                                <w:sz w:val="18"/>
                                <w:szCs w:val="18"/>
                                <w:lang w:val="es-ES_tradnl"/>
                              </w:rPr>
                              <w:t>Orestes</w:t>
                            </w:r>
                            <w:r w:rsidR="00EB7AE8">
                              <w:rPr>
                                <w:rFonts w:asciiTheme="majorHAnsi" w:hAnsiTheme="majorHAnsi"/>
                                <w:color w:val="595959" w:themeColor="text1" w:themeTint="A6"/>
                                <w:sz w:val="18"/>
                                <w:szCs w:val="18"/>
                                <w:lang w:val="es-ES_tradnl"/>
                              </w:rPr>
                              <w:t xml:space="preserve"> </w:t>
                            </w:r>
                            <w:proofErr w:type="spellStart"/>
                            <w:r w:rsidR="004C27AF">
                              <w:rPr>
                                <w:rFonts w:asciiTheme="majorHAnsi" w:hAnsiTheme="majorHAnsi"/>
                                <w:color w:val="595959" w:themeColor="text1" w:themeTint="A6"/>
                                <w:sz w:val="18"/>
                                <w:szCs w:val="18"/>
                                <w:lang w:val="es-ES_tradnl"/>
                              </w:rPr>
                              <w:t>Valent</w:t>
                            </w:r>
                            <w:r w:rsidR="004C27AF" w:rsidRPr="004C27AF">
                              <w:rPr>
                                <w:rFonts w:asciiTheme="majorHAnsi" w:hAnsiTheme="majorHAnsi"/>
                                <w:color w:val="595959" w:themeColor="text1" w:themeTint="A6"/>
                                <w:sz w:val="18"/>
                                <w:szCs w:val="18"/>
                                <w:lang w:val="es-419"/>
                              </w:rPr>
                              <w:t>ín</w:t>
                            </w:r>
                            <w:proofErr w:type="spellEnd"/>
                            <w:r w:rsidR="004C27AF" w:rsidRPr="004C27AF">
                              <w:rPr>
                                <w:rFonts w:asciiTheme="majorHAnsi" w:hAnsiTheme="majorHAnsi"/>
                                <w:color w:val="595959" w:themeColor="text1" w:themeTint="A6"/>
                                <w:sz w:val="18"/>
                                <w:szCs w:val="18"/>
                                <w:lang w:val="es-419"/>
                              </w:rPr>
                              <w:t xml:space="preserve"> </w:t>
                            </w:r>
                            <w:proofErr w:type="spellStart"/>
                            <w:r w:rsidR="004C27AF" w:rsidRPr="004C27AF">
                              <w:rPr>
                                <w:rFonts w:asciiTheme="majorHAnsi" w:hAnsiTheme="majorHAnsi"/>
                                <w:color w:val="595959" w:themeColor="text1" w:themeTint="A6"/>
                                <w:sz w:val="18"/>
                                <w:szCs w:val="18"/>
                                <w:lang w:val="es-419"/>
                              </w:rPr>
                              <w:t>Padovan</w:t>
                            </w:r>
                            <w:proofErr w:type="spellEnd"/>
                            <w:r w:rsidRPr="00890650">
                              <w:rPr>
                                <w:rFonts w:asciiTheme="majorHAnsi" w:hAnsiTheme="majorHAnsi"/>
                                <w:color w:val="595959" w:themeColor="text1" w:themeTint="A6"/>
                                <w:sz w:val="18"/>
                                <w:szCs w:val="18"/>
                                <w:lang w:val="es-ES_tradnl"/>
                              </w:rPr>
                              <w:t xml:space="preserve">. </w:t>
                            </w:r>
                            <w:r w:rsidR="004C27AF">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4C27AF">
                              <w:rPr>
                                <w:rFonts w:asciiTheme="majorHAnsi" w:hAnsiTheme="majorHAnsi"/>
                                <w:color w:val="595959" w:themeColor="text1" w:themeTint="A6"/>
                                <w:sz w:val="18"/>
                                <w:szCs w:val="18"/>
                                <w:lang w:val="es-ES"/>
                              </w:rPr>
                              <w:t>22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6967A275" w:rsidR="0080640F" w:rsidRPr="007B05C4" w:rsidRDefault="0080640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C27AF" w:rsidRPr="004C27AF">
                        <w:rPr>
                          <w:rFonts w:asciiTheme="majorHAnsi" w:hAnsiTheme="majorHAnsi"/>
                          <w:color w:val="595959" w:themeColor="text1" w:themeTint="A6"/>
                          <w:sz w:val="18"/>
                          <w:szCs w:val="18"/>
                          <w:lang w:val="pt-BR"/>
                        </w:rPr>
                        <w:t>340</w:t>
                      </w:r>
                      <w:r w:rsidRPr="004C27AF">
                        <w:rPr>
                          <w:rFonts w:asciiTheme="majorHAnsi" w:hAnsiTheme="majorHAnsi"/>
                          <w:color w:val="595959" w:themeColor="text1" w:themeTint="A6"/>
                          <w:sz w:val="18"/>
                          <w:szCs w:val="18"/>
                          <w:lang w:val="pt-BR"/>
                        </w:rPr>
                        <w:t>/</w:t>
                      </w:r>
                      <w:r w:rsidR="004C27AF" w:rsidRPr="004C27AF">
                        <w:rPr>
                          <w:rFonts w:asciiTheme="majorHAnsi" w:hAnsiTheme="majorHAnsi"/>
                          <w:color w:val="595959" w:themeColor="text1" w:themeTint="A6"/>
                          <w:sz w:val="18"/>
                          <w:szCs w:val="18"/>
                          <w:lang w:val="pt-BR"/>
                        </w:rPr>
                        <w:t>21</w:t>
                      </w:r>
                      <w:r w:rsidRPr="004C27AF">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4C27AF">
                        <w:rPr>
                          <w:rFonts w:asciiTheme="majorHAnsi" w:hAnsiTheme="majorHAnsi"/>
                          <w:color w:val="595959" w:themeColor="text1" w:themeTint="A6"/>
                          <w:sz w:val="18"/>
                          <w:szCs w:val="18"/>
                          <w:lang w:val="es-ES_tradnl"/>
                        </w:rPr>
                        <w:t>Orestes</w:t>
                      </w:r>
                      <w:r w:rsidR="00EB7AE8">
                        <w:rPr>
                          <w:rFonts w:asciiTheme="majorHAnsi" w:hAnsiTheme="majorHAnsi"/>
                          <w:color w:val="595959" w:themeColor="text1" w:themeTint="A6"/>
                          <w:sz w:val="18"/>
                          <w:szCs w:val="18"/>
                          <w:lang w:val="es-ES_tradnl"/>
                        </w:rPr>
                        <w:t xml:space="preserve"> </w:t>
                      </w:r>
                      <w:proofErr w:type="spellStart"/>
                      <w:r w:rsidR="004C27AF">
                        <w:rPr>
                          <w:rFonts w:asciiTheme="majorHAnsi" w:hAnsiTheme="majorHAnsi"/>
                          <w:color w:val="595959" w:themeColor="text1" w:themeTint="A6"/>
                          <w:sz w:val="18"/>
                          <w:szCs w:val="18"/>
                          <w:lang w:val="es-ES_tradnl"/>
                        </w:rPr>
                        <w:t>Valent</w:t>
                      </w:r>
                      <w:r w:rsidR="004C27AF" w:rsidRPr="004C27AF">
                        <w:rPr>
                          <w:rFonts w:asciiTheme="majorHAnsi" w:hAnsiTheme="majorHAnsi"/>
                          <w:color w:val="595959" w:themeColor="text1" w:themeTint="A6"/>
                          <w:sz w:val="18"/>
                          <w:szCs w:val="18"/>
                          <w:lang w:val="es-419"/>
                        </w:rPr>
                        <w:t>ín</w:t>
                      </w:r>
                      <w:proofErr w:type="spellEnd"/>
                      <w:r w:rsidR="004C27AF" w:rsidRPr="004C27AF">
                        <w:rPr>
                          <w:rFonts w:asciiTheme="majorHAnsi" w:hAnsiTheme="majorHAnsi"/>
                          <w:color w:val="595959" w:themeColor="text1" w:themeTint="A6"/>
                          <w:sz w:val="18"/>
                          <w:szCs w:val="18"/>
                          <w:lang w:val="es-419"/>
                        </w:rPr>
                        <w:t xml:space="preserve"> </w:t>
                      </w:r>
                      <w:proofErr w:type="spellStart"/>
                      <w:r w:rsidR="004C27AF" w:rsidRPr="004C27AF">
                        <w:rPr>
                          <w:rFonts w:asciiTheme="majorHAnsi" w:hAnsiTheme="majorHAnsi"/>
                          <w:color w:val="595959" w:themeColor="text1" w:themeTint="A6"/>
                          <w:sz w:val="18"/>
                          <w:szCs w:val="18"/>
                          <w:lang w:val="es-419"/>
                        </w:rPr>
                        <w:t>Padovan</w:t>
                      </w:r>
                      <w:proofErr w:type="spellEnd"/>
                      <w:r w:rsidRPr="00890650">
                        <w:rPr>
                          <w:rFonts w:asciiTheme="majorHAnsi" w:hAnsiTheme="majorHAnsi"/>
                          <w:color w:val="595959" w:themeColor="text1" w:themeTint="A6"/>
                          <w:sz w:val="18"/>
                          <w:szCs w:val="18"/>
                          <w:lang w:val="es-ES_tradnl"/>
                        </w:rPr>
                        <w:t xml:space="preserve">. </w:t>
                      </w:r>
                      <w:r w:rsidR="004C27AF">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4C27AF">
                        <w:rPr>
                          <w:rFonts w:asciiTheme="majorHAnsi" w:hAnsiTheme="majorHAnsi"/>
                          <w:color w:val="595959" w:themeColor="text1" w:themeTint="A6"/>
                          <w:sz w:val="18"/>
                          <w:szCs w:val="18"/>
                          <w:lang w:val="es-ES"/>
                        </w:rPr>
                        <w:t>22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29DF44C3"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6BAB890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80640F" w:rsidRPr="004B7EB6" w:rsidRDefault="0080640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80640F" w:rsidRPr="004B7EB6" w:rsidRDefault="0080640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55DAF39" w:rsidR="0070697F" w:rsidRPr="00006B74" w:rsidRDefault="004C27AF" w:rsidP="005516A1">
      <w:pPr>
        <w:tabs>
          <w:tab w:val="center" w:pos="5400"/>
        </w:tabs>
        <w:suppressAutoHyphens/>
        <w:jc w:val="center"/>
        <w:rPr>
          <w:rFonts w:asciiTheme="majorHAnsi" w:hAnsiTheme="majorHAnsi"/>
          <w:b/>
          <w:sz w:val="20"/>
          <w:lang w:val="es-ES"/>
        </w:rPr>
        <w:sectPr w:rsidR="0070697F" w:rsidRPr="00006B7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4E51FEE">
                <wp:simplePos x="0" y="0"/>
                <wp:positionH relativeFrom="column">
                  <wp:posOffset>1328057</wp:posOffset>
                </wp:positionH>
                <wp:positionV relativeFrom="paragraph">
                  <wp:posOffset>490220</wp:posOffset>
                </wp:positionV>
                <wp:extent cx="4096385" cy="631371"/>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313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80640F" w:rsidRPr="00D72DC6" w:rsidRDefault="0080640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42B4D05">
                                  <wp:extent cx="2036445"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59065" cy="5296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38.6pt;width:322.55pt;height:4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" fillcolor="white [3201]" stroked="f" strokeweight=".5pt">
                <v:textbox>
                  <w:txbxContent>
                    <w:p w14:paraId="2A1ECD3C" w14:textId="77777777" w:rsidR="0080640F" w:rsidRPr="00D72DC6" w:rsidRDefault="0080640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42B4D05">
                            <wp:extent cx="2036445"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59065" cy="529694"/>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752CB5" w:rsidRDefault="003239B8" w:rsidP="007C402A">
      <w:pPr>
        <w:spacing w:after="120"/>
        <w:ind w:firstLine="720"/>
        <w:jc w:val="both"/>
        <w:rPr>
          <w:rFonts w:asciiTheme="majorHAnsi" w:hAnsiTheme="majorHAnsi"/>
          <w:b/>
          <w:bCs/>
          <w:sz w:val="20"/>
          <w:szCs w:val="20"/>
          <w:lang w:val="es-ES"/>
        </w:rPr>
      </w:pPr>
      <w:r w:rsidRPr="00752CB5">
        <w:rPr>
          <w:rFonts w:asciiTheme="majorHAnsi" w:hAnsiTheme="majorHAnsi"/>
          <w:b/>
          <w:bCs/>
          <w:sz w:val="20"/>
          <w:szCs w:val="20"/>
          <w:lang w:val="es-ES"/>
        </w:rPr>
        <w:lastRenderedPageBreak/>
        <w:t>I.</w:t>
      </w:r>
      <w:r w:rsidRPr="00752CB5">
        <w:rPr>
          <w:rFonts w:asciiTheme="majorHAnsi" w:hAnsiTheme="majorHAnsi"/>
          <w:b/>
          <w:bCs/>
          <w:sz w:val="20"/>
          <w:szCs w:val="20"/>
          <w:lang w:val="es-ES"/>
        </w:rPr>
        <w:tab/>
        <w:t xml:space="preserve">DATOS DE LA PETICIÓN </w:t>
      </w:r>
    </w:p>
    <w:tbl>
      <w:tblPr>
        <w:tblStyle w:val="TableGrid"/>
        <w:tblW w:w="9337" w:type="dxa"/>
        <w:jc w:val="center"/>
        <w:tblBorders>
          <w:insideH w:val="single" w:sz="6" w:space="0" w:color="auto"/>
          <w:insideV w:val="single" w:sz="6" w:space="0" w:color="auto"/>
        </w:tblBorders>
        <w:tblLook w:val="04A0" w:firstRow="1" w:lastRow="0" w:firstColumn="1" w:lastColumn="0" w:noHBand="0" w:noVBand="1"/>
      </w:tblPr>
      <w:tblGrid>
        <w:gridCol w:w="3757"/>
        <w:gridCol w:w="5580"/>
      </w:tblGrid>
      <w:tr w:rsidR="003239B8" w:rsidRPr="00752CB5" w14:paraId="5A79D1F7" w14:textId="77777777" w:rsidTr="00752CB5">
        <w:trPr>
          <w:jc w:val="center"/>
        </w:trPr>
        <w:tc>
          <w:tcPr>
            <w:tcW w:w="3757" w:type="dxa"/>
            <w:tcBorders>
              <w:top w:val="single" w:sz="4" w:space="0" w:color="auto"/>
              <w:bottom w:val="single" w:sz="6" w:space="0" w:color="auto"/>
            </w:tcBorders>
            <w:shd w:val="clear" w:color="auto" w:fill="386294"/>
            <w:vAlign w:val="center"/>
          </w:tcPr>
          <w:p w14:paraId="0CB2A43B" w14:textId="6FB89BFC" w:rsidR="003239B8" w:rsidRPr="00752CB5" w:rsidRDefault="00D77503" w:rsidP="0080640F">
            <w:pPr>
              <w:jc w:val="center"/>
              <w:rPr>
                <w:rFonts w:asciiTheme="majorHAnsi" w:hAnsiTheme="majorHAnsi"/>
                <w:b/>
                <w:color w:val="FFFFFF" w:themeColor="background1"/>
                <w:sz w:val="20"/>
                <w:szCs w:val="20"/>
                <w:lang w:val="es-ES"/>
              </w:rPr>
            </w:pPr>
            <w:r w:rsidRPr="00752CB5">
              <w:rPr>
                <w:rFonts w:asciiTheme="majorHAnsi" w:hAnsiTheme="majorHAnsi"/>
                <w:b/>
                <w:color w:val="FFFFFF" w:themeColor="background1"/>
                <w:sz w:val="20"/>
                <w:szCs w:val="20"/>
                <w:lang w:val="es-ES"/>
              </w:rPr>
              <w:t>Parte peticionaria</w:t>
            </w:r>
          </w:p>
        </w:tc>
        <w:tc>
          <w:tcPr>
            <w:tcW w:w="5580" w:type="dxa"/>
            <w:vAlign w:val="center"/>
          </w:tcPr>
          <w:p w14:paraId="3C5315D8" w14:textId="24FBB522" w:rsidR="003239B8" w:rsidRPr="00752CB5" w:rsidRDefault="00E31388" w:rsidP="0080640F">
            <w:pPr>
              <w:jc w:val="both"/>
              <w:rPr>
                <w:rFonts w:asciiTheme="majorHAnsi" w:hAnsiTheme="majorHAnsi"/>
                <w:bCs/>
                <w:sz w:val="20"/>
                <w:szCs w:val="20"/>
                <w:lang w:val="es-ES"/>
              </w:rPr>
            </w:pPr>
            <w:r w:rsidRPr="00752CB5">
              <w:rPr>
                <w:rFonts w:asciiTheme="majorHAnsi" w:hAnsiTheme="majorHAnsi"/>
                <w:bCs/>
                <w:sz w:val="20"/>
                <w:szCs w:val="20"/>
                <w:lang w:val="es-ES"/>
              </w:rPr>
              <w:t>Susana Herrera Torres</w:t>
            </w:r>
          </w:p>
        </w:tc>
      </w:tr>
      <w:tr w:rsidR="003239B8" w:rsidRPr="00752CB5" w14:paraId="593A7E45" w14:textId="77777777" w:rsidTr="00752CB5">
        <w:trPr>
          <w:jc w:val="center"/>
        </w:trPr>
        <w:tc>
          <w:tcPr>
            <w:tcW w:w="3757" w:type="dxa"/>
            <w:tcBorders>
              <w:top w:val="single" w:sz="6" w:space="0" w:color="auto"/>
              <w:bottom w:val="single" w:sz="6" w:space="0" w:color="auto"/>
            </w:tcBorders>
            <w:shd w:val="clear" w:color="auto" w:fill="386294"/>
            <w:vAlign w:val="center"/>
          </w:tcPr>
          <w:p w14:paraId="0E78CA0C" w14:textId="6191E4A1" w:rsidR="003239B8" w:rsidRPr="00752CB5" w:rsidRDefault="002355A9" w:rsidP="0080640F">
            <w:pPr>
              <w:jc w:val="center"/>
              <w:rPr>
                <w:rFonts w:asciiTheme="majorHAnsi" w:hAnsiTheme="majorHAnsi"/>
                <w:b/>
                <w:color w:val="FFFFFF" w:themeColor="background1"/>
                <w:sz w:val="20"/>
                <w:szCs w:val="20"/>
                <w:lang w:val="es-ES"/>
              </w:rPr>
            </w:pPr>
            <w:r w:rsidRPr="00752CB5">
              <w:rPr>
                <w:rFonts w:asciiTheme="majorHAnsi" w:hAnsiTheme="majorHAnsi"/>
                <w:b/>
                <w:color w:val="FFFFFF" w:themeColor="background1"/>
                <w:sz w:val="20"/>
                <w:szCs w:val="20"/>
                <w:lang w:val="es-ES"/>
              </w:rPr>
              <w:t>Presunta víctima</w:t>
            </w:r>
          </w:p>
        </w:tc>
        <w:tc>
          <w:tcPr>
            <w:tcW w:w="5580" w:type="dxa"/>
            <w:vAlign w:val="center"/>
          </w:tcPr>
          <w:p w14:paraId="4AEBF59E" w14:textId="38544DBD" w:rsidR="003239B8" w:rsidRPr="00752CB5" w:rsidRDefault="00E31388" w:rsidP="005B6D22">
            <w:pPr>
              <w:jc w:val="both"/>
              <w:rPr>
                <w:rFonts w:asciiTheme="majorHAnsi" w:hAnsiTheme="majorHAnsi"/>
                <w:bCs/>
                <w:sz w:val="20"/>
                <w:szCs w:val="20"/>
                <w:lang w:val="es-ES"/>
              </w:rPr>
            </w:pPr>
            <w:r w:rsidRPr="00752CB5">
              <w:rPr>
                <w:rFonts w:asciiTheme="majorHAnsi" w:hAnsiTheme="majorHAnsi"/>
                <w:bCs/>
                <w:sz w:val="20"/>
                <w:szCs w:val="20"/>
                <w:lang w:val="es-ES"/>
              </w:rPr>
              <w:t xml:space="preserve">Oreste Valentín </w:t>
            </w:r>
            <w:proofErr w:type="spellStart"/>
            <w:r w:rsidRPr="00752CB5">
              <w:rPr>
                <w:rFonts w:asciiTheme="majorHAnsi" w:hAnsiTheme="majorHAnsi"/>
                <w:bCs/>
                <w:sz w:val="20"/>
                <w:szCs w:val="20"/>
                <w:lang w:val="es-ES"/>
              </w:rPr>
              <w:t>Padovan</w:t>
            </w:r>
            <w:proofErr w:type="spellEnd"/>
          </w:p>
        </w:tc>
      </w:tr>
      <w:tr w:rsidR="003239B8" w:rsidRPr="00752CB5" w14:paraId="3E62E1D3" w14:textId="77777777" w:rsidTr="00752CB5">
        <w:trPr>
          <w:jc w:val="center"/>
        </w:trPr>
        <w:tc>
          <w:tcPr>
            <w:tcW w:w="3757" w:type="dxa"/>
            <w:tcBorders>
              <w:top w:val="single" w:sz="6" w:space="0" w:color="auto"/>
              <w:bottom w:val="single" w:sz="6" w:space="0" w:color="auto"/>
            </w:tcBorders>
            <w:shd w:val="clear" w:color="auto" w:fill="386294"/>
            <w:vAlign w:val="center"/>
          </w:tcPr>
          <w:p w14:paraId="340B0F09" w14:textId="16C11299" w:rsidR="003239B8" w:rsidRPr="00752CB5" w:rsidRDefault="00D77503" w:rsidP="0080640F">
            <w:pPr>
              <w:jc w:val="center"/>
              <w:rPr>
                <w:rFonts w:asciiTheme="majorHAnsi" w:hAnsiTheme="majorHAnsi"/>
                <w:b/>
                <w:color w:val="FFFFFF" w:themeColor="background1"/>
                <w:sz w:val="20"/>
                <w:szCs w:val="20"/>
                <w:lang w:val="es-ES"/>
              </w:rPr>
            </w:pPr>
            <w:r w:rsidRPr="00752CB5">
              <w:rPr>
                <w:rFonts w:asciiTheme="majorHAnsi" w:hAnsiTheme="majorHAnsi"/>
                <w:b/>
                <w:color w:val="FFFFFF" w:themeColor="background1"/>
                <w:sz w:val="20"/>
                <w:szCs w:val="20"/>
                <w:lang w:val="es-ES"/>
              </w:rPr>
              <w:t>Estado denunciado</w:t>
            </w:r>
          </w:p>
        </w:tc>
        <w:tc>
          <w:tcPr>
            <w:tcW w:w="5580" w:type="dxa"/>
            <w:vAlign w:val="center"/>
          </w:tcPr>
          <w:p w14:paraId="274C8A50" w14:textId="4EB70C8D" w:rsidR="003239B8" w:rsidRPr="00752CB5" w:rsidRDefault="00E46695" w:rsidP="0080640F">
            <w:pPr>
              <w:jc w:val="both"/>
              <w:rPr>
                <w:rFonts w:asciiTheme="majorHAnsi" w:hAnsiTheme="majorHAnsi"/>
                <w:bCs/>
                <w:sz w:val="20"/>
                <w:szCs w:val="20"/>
                <w:lang w:val="es-ES"/>
              </w:rPr>
            </w:pPr>
            <w:r w:rsidRPr="00752CB5">
              <w:rPr>
                <w:rFonts w:asciiTheme="majorHAnsi" w:hAnsiTheme="majorHAnsi"/>
                <w:bCs/>
                <w:sz w:val="20"/>
                <w:szCs w:val="20"/>
                <w:lang w:val="es-ES"/>
              </w:rPr>
              <w:t>Argentina</w:t>
            </w:r>
          </w:p>
        </w:tc>
      </w:tr>
      <w:tr w:rsidR="00223A29" w:rsidRPr="00EB7AE8" w14:paraId="632511BC" w14:textId="77777777" w:rsidTr="00752CB5">
        <w:trPr>
          <w:jc w:val="center"/>
        </w:trPr>
        <w:tc>
          <w:tcPr>
            <w:tcW w:w="3757" w:type="dxa"/>
            <w:tcBorders>
              <w:top w:val="single" w:sz="6" w:space="0" w:color="auto"/>
              <w:bottom w:val="single" w:sz="6" w:space="0" w:color="auto"/>
            </w:tcBorders>
            <w:shd w:val="clear" w:color="auto" w:fill="386294"/>
            <w:vAlign w:val="center"/>
          </w:tcPr>
          <w:p w14:paraId="727E2F6B" w14:textId="1D86EADA" w:rsidR="00223A29" w:rsidRPr="00752CB5" w:rsidRDefault="001B3A00" w:rsidP="00E4118C">
            <w:pPr>
              <w:jc w:val="center"/>
              <w:rPr>
                <w:rFonts w:asciiTheme="majorHAnsi" w:hAnsiTheme="majorHAnsi"/>
                <w:b/>
                <w:color w:val="FFFFFF" w:themeColor="background1"/>
                <w:sz w:val="20"/>
                <w:szCs w:val="20"/>
                <w:lang w:val="es-ES"/>
              </w:rPr>
            </w:pPr>
            <w:r w:rsidRPr="00752CB5">
              <w:rPr>
                <w:rFonts w:asciiTheme="majorHAnsi" w:hAnsiTheme="majorHAnsi"/>
                <w:b/>
                <w:color w:val="FFFFFF" w:themeColor="background1"/>
                <w:sz w:val="20"/>
                <w:szCs w:val="20"/>
                <w:lang w:val="es-ES"/>
              </w:rPr>
              <w:t xml:space="preserve">Derechos </w:t>
            </w:r>
            <w:r w:rsidR="00E4118C" w:rsidRPr="00752CB5">
              <w:rPr>
                <w:rFonts w:asciiTheme="majorHAnsi" w:hAnsiTheme="majorHAnsi"/>
                <w:b/>
                <w:color w:val="FFFFFF" w:themeColor="background1"/>
                <w:sz w:val="20"/>
                <w:szCs w:val="20"/>
                <w:lang w:val="es-ES"/>
              </w:rPr>
              <w:t>invocados</w:t>
            </w:r>
          </w:p>
        </w:tc>
        <w:tc>
          <w:tcPr>
            <w:tcW w:w="5580" w:type="dxa"/>
            <w:vAlign w:val="center"/>
          </w:tcPr>
          <w:p w14:paraId="6DEE1EEB" w14:textId="516FD1F8" w:rsidR="00507A4A" w:rsidRPr="00752CB5" w:rsidRDefault="001D7BB1" w:rsidP="0034224A">
            <w:pPr>
              <w:jc w:val="both"/>
              <w:rPr>
                <w:rFonts w:asciiTheme="majorHAnsi" w:hAnsiTheme="majorHAnsi"/>
                <w:bCs/>
                <w:sz w:val="20"/>
                <w:szCs w:val="20"/>
                <w:lang w:val="es-ES"/>
              </w:rPr>
            </w:pPr>
            <w:r w:rsidRPr="00752CB5">
              <w:rPr>
                <w:rFonts w:asciiTheme="majorHAnsi" w:hAnsiTheme="majorHAnsi"/>
                <w:bCs/>
                <w:color w:val="000000" w:themeColor="text1"/>
                <w:sz w:val="20"/>
                <w:szCs w:val="20"/>
                <w:lang w:val="es-ES"/>
              </w:rPr>
              <w:t>Artículos 7 (libertad personal), 8 (garantías judiciales) y 25 (protección judicial) de la Convención Americana sobre Derechos Humanos</w:t>
            </w:r>
            <w:r w:rsidRPr="00752CB5">
              <w:rPr>
                <w:rStyle w:val="FootnoteReference"/>
                <w:rFonts w:asciiTheme="majorHAnsi" w:hAnsiTheme="majorHAnsi"/>
                <w:bCs/>
                <w:color w:val="000000" w:themeColor="text1"/>
                <w:sz w:val="20"/>
                <w:szCs w:val="20"/>
                <w:lang w:val="es-ES"/>
              </w:rPr>
              <w:footnoteReference w:id="2"/>
            </w:r>
          </w:p>
        </w:tc>
      </w:tr>
    </w:tbl>
    <w:p w14:paraId="20263696" w14:textId="77777777" w:rsidR="003239B8" w:rsidRPr="00752CB5" w:rsidRDefault="003239B8" w:rsidP="007C402A">
      <w:pPr>
        <w:spacing w:before="120" w:after="120"/>
        <w:ind w:firstLine="720"/>
        <w:jc w:val="both"/>
        <w:rPr>
          <w:rFonts w:asciiTheme="majorHAnsi" w:hAnsiTheme="majorHAnsi"/>
          <w:b/>
          <w:bCs/>
          <w:sz w:val="20"/>
          <w:szCs w:val="20"/>
          <w:lang w:val="es-ES"/>
        </w:rPr>
      </w:pPr>
      <w:r w:rsidRPr="00752CB5">
        <w:rPr>
          <w:rFonts w:asciiTheme="majorHAnsi" w:hAnsiTheme="majorHAnsi"/>
          <w:b/>
          <w:bCs/>
          <w:sz w:val="20"/>
          <w:szCs w:val="20"/>
          <w:lang w:val="es-ES"/>
        </w:rPr>
        <w:t>II.</w:t>
      </w:r>
      <w:r w:rsidRPr="00752CB5">
        <w:rPr>
          <w:rFonts w:asciiTheme="majorHAnsi" w:hAnsiTheme="majorHAnsi"/>
          <w:b/>
          <w:bCs/>
          <w:sz w:val="20"/>
          <w:szCs w:val="20"/>
          <w:lang w:val="es-ES"/>
        </w:rPr>
        <w:tab/>
        <w:t>TRÁMITE ANTE LA CIDH</w:t>
      </w:r>
      <w:r w:rsidR="008E3BFE" w:rsidRPr="00752CB5">
        <w:rPr>
          <w:rStyle w:val="FootnoteReference"/>
          <w:rFonts w:asciiTheme="majorHAnsi" w:hAnsiTheme="majorHAnsi"/>
          <w:b/>
          <w:sz w:val="20"/>
          <w:szCs w:val="20"/>
          <w:lang w:val="es-ES"/>
        </w:rPr>
        <w:footnoteReference w:id="3"/>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757"/>
        <w:gridCol w:w="5603"/>
      </w:tblGrid>
      <w:tr w:rsidR="004C2312" w:rsidRPr="00752CB5" w14:paraId="306EFCB0" w14:textId="77777777" w:rsidTr="00752CB5">
        <w:trPr>
          <w:jc w:val="center"/>
        </w:trPr>
        <w:tc>
          <w:tcPr>
            <w:tcW w:w="3757" w:type="dxa"/>
            <w:tcBorders>
              <w:top w:val="single" w:sz="6" w:space="0" w:color="auto"/>
              <w:bottom w:val="single" w:sz="6" w:space="0" w:color="auto"/>
            </w:tcBorders>
            <w:shd w:val="clear" w:color="auto" w:fill="386294"/>
            <w:vAlign w:val="center"/>
          </w:tcPr>
          <w:p w14:paraId="7508D16F" w14:textId="2A4C7FC3" w:rsidR="004C2312" w:rsidRPr="00752CB5" w:rsidRDefault="000C1C69" w:rsidP="004A6A54">
            <w:pPr>
              <w:jc w:val="center"/>
              <w:rPr>
                <w:rFonts w:asciiTheme="majorHAnsi" w:hAnsiTheme="majorHAnsi"/>
                <w:b/>
                <w:color w:val="FFFFFF" w:themeColor="background1"/>
                <w:sz w:val="20"/>
                <w:szCs w:val="20"/>
                <w:lang w:val="es-ES"/>
              </w:rPr>
            </w:pPr>
            <w:r w:rsidRPr="00752CB5">
              <w:rPr>
                <w:rFonts w:asciiTheme="majorHAnsi" w:hAnsiTheme="majorHAnsi"/>
                <w:b/>
                <w:color w:val="FFFFFF" w:themeColor="background1"/>
                <w:sz w:val="20"/>
                <w:szCs w:val="20"/>
                <w:lang w:val="es-ES"/>
              </w:rPr>
              <w:t>Recepción</w:t>
            </w:r>
            <w:r w:rsidR="00D77503" w:rsidRPr="00752CB5">
              <w:rPr>
                <w:rFonts w:asciiTheme="majorHAnsi" w:hAnsiTheme="majorHAnsi"/>
                <w:b/>
                <w:color w:val="FFFFFF" w:themeColor="background1"/>
                <w:sz w:val="20"/>
                <w:szCs w:val="20"/>
                <w:lang w:val="es-ES"/>
              </w:rPr>
              <w:t xml:space="preserve"> de la petición</w:t>
            </w:r>
          </w:p>
        </w:tc>
        <w:tc>
          <w:tcPr>
            <w:tcW w:w="5603" w:type="dxa"/>
            <w:vAlign w:val="center"/>
          </w:tcPr>
          <w:p w14:paraId="6E579153" w14:textId="456D38F5" w:rsidR="004C2312" w:rsidRPr="00752CB5" w:rsidRDefault="00447423" w:rsidP="0080640F">
            <w:pPr>
              <w:jc w:val="both"/>
              <w:rPr>
                <w:rFonts w:asciiTheme="majorHAnsi" w:hAnsiTheme="majorHAnsi"/>
                <w:bCs/>
                <w:color w:val="FF0000"/>
                <w:sz w:val="20"/>
                <w:szCs w:val="20"/>
                <w:lang w:val="es-ES"/>
              </w:rPr>
            </w:pPr>
            <w:r w:rsidRPr="00752CB5">
              <w:rPr>
                <w:rFonts w:asciiTheme="majorHAnsi" w:hAnsiTheme="majorHAnsi"/>
                <w:bCs/>
                <w:sz w:val="20"/>
                <w:szCs w:val="20"/>
                <w:lang w:val="es-ES"/>
              </w:rPr>
              <w:t>28 de agosto de 2012</w:t>
            </w:r>
          </w:p>
        </w:tc>
      </w:tr>
      <w:tr w:rsidR="006E772A" w:rsidRPr="00EB7AE8" w14:paraId="68F509DA" w14:textId="77777777" w:rsidTr="00752CB5">
        <w:trPr>
          <w:jc w:val="center"/>
        </w:trPr>
        <w:tc>
          <w:tcPr>
            <w:tcW w:w="3757" w:type="dxa"/>
            <w:tcBorders>
              <w:top w:val="single" w:sz="6" w:space="0" w:color="auto"/>
              <w:bottom w:val="single" w:sz="6" w:space="0" w:color="auto"/>
            </w:tcBorders>
            <w:shd w:val="clear" w:color="auto" w:fill="386294"/>
            <w:vAlign w:val="center"/>
          </w:tcPr>
          <w:p w14:paraId="62C9F91B" w14:textId="65F3AB1A" w:rsidR="006E772A" w:rsidRPr="00752CB5" w:rsidRDefault="006E772A" w:rsidP="004A6A54">
            <w:pPr>
              <w:jc w:val="center"/>
              <w:rPr>
                <w:rFonts w:asciiTheme="majorHAnsi" w:hAnsiTheme="majorHAnsi"/>
                <w:b/>
                <w:color w:val="FFFFFF" w:themeColor="background1"/>
                <w:sz w:val="20"/>
                <w:szCs w:val="20"/>
                <w:lang w:val="es-ES"/>
              </w:rPr>
            </w:pPr>
            <w:r w:rsidRPr="00752CB5">
              <w:rPr>
                <w:rFonts w:asciiTheme="majorHAnsi" w:hAnsiTheme="majorHAnsi"/>
                <w:b/>
                <w:color w:val="FFFFFF" w:themeColor="background1"/>
                <w:sz w:val="20"/>
                <w:szCs w:val="20"/>
                <w:lang w:val="es-ES"/>
              </w:rPr>
              <w:t xml:space="preserve">Información adicional </w:t>
            </w:r>
            <w:r w:rsidR="002355A9" w:rsidRPr="00752CB5">
              <w:rPr>
                <w:rFonts w:asciiTheme="majorHAnsi" w:hAnsiTheme="majorHAnsi"/>
                <w:b/>
                <w:color w:val="FFFFFF" w:themeColor="background1"/>
                <w:sz w:val="20"/>
                <w:szCs w:val="20"/>
                <w:lang w:val="es-ES"/>
              </w:rPr>
              <w:t>recibida en la etapa de estudio</w:t>
            </w:r>
          </w:p>
        </w:tc>
        <w:tc>
          <w:tcPr>
            <w:tcW w:w="5603" w:type="dxa"/>
            <w:vAlign w:val="center"/>
          </w:tcPr>
          <w:p w14:paraId="796669C8" w14:textId="6F3605BD" w:rsidR="006E772A" w:rsidRPr="00752CB5" w:rsidRDefault="00E31388" w:rsidP="0080640F">
            <w:pPr>
              <w:jc w:val="both"/>
              <w:rPr>
                <w:rFonts w:asciiTheme="majorHAnsi" w:hAnsiTheme="majorHAnsi"/>
                <w:bCs/>
                <w:color w:val="FF0000"/>
                <w:sz w:val="20"/>
                <w:szCs w:val="20"/>
                <w:lang w:val="es-ES"/>
              </w:rPr>
            </w:pPr>
            <w:r w:rsidRPr="00752CB5">
              <w:rPr>
                <w:rFonts w:asciiTheme="majorHAnsi" w:hAnsiTheme="majorHAnsi"/>
                <w:bCs/>
                <w:sz w:val="20"/>
                <w:szCs w:val="20"/>
                <w:lang w:val="es-ES"/>
              </w:rPr>
              <w:t>19 de febrero de 2014, 18 de noviembre de 2014</w:t>
            </w:r>
            <w:r w:rsidR="00752CB5">
              <w:rPr>
                <w:rFonts w:asciiTheme="majorHAnsi" w:hAnsiTheme="majorHAnsi"/>
                <w:bCs/>
                <w:sz w:val="20"/>
                <w:szCs w:val="20"/>
                <w:lang w:val="es-ES"/>
              </w:rPr>
              <w:t xml:space="preserve"> y</w:t>
            </w:r>
            <w:r w:rsidRPr="00752CB5">
              <w:rPr>
                <w:rFonts w:asciiTheme="majorHAnsi" w:hAnsiTheme="majorHAnsi"/>
                <w:bCs/>
                <w:sz w:val="20"/>
                <w:szCs w:val="20"/>
                <w:lang w:val="es-ES"/>
              </w:rPr>
              <w:t xml:space="preserve"> 21 de mayo de 2015</w:t>
            </w:r>
          </w:p>
        </w:tc>
      </w:tr>
      <w:tr w:rsidR="004C2312" w:rsidRPr="00752CB5" w14:paraId="1BDCD5C6" w14:textId="77777777" w:rsidTr="00752CB5">
        <w:trPr>
          <w:jc w:val="center"/>
        </w:trPr>
        <w:tc>
          <w:tcPr>
            <w:tcW w:w="3757" w:type="dxa"/>
            <w:tcBorders>
              <w:top w:val="single" w:sz="6" w:space="0" w:color="auto"/>
              <w:bottom w:val="single" w:sz="6" w:space="0" w:color="auto"/>
            </w:tcBorders>
            <w:shd w:val="clear" w:color="auto" w:fill="386294"/>
            <w:vAlign w:val="center"/>
          </w:tcPr>
          <w:p w14:paraId="7A18664F" w14:textId="53CE1B14" w:rsidR="004C2312" w:rsidRPr="00752CB5" w:rsidRDefault="004A6A54" w:rsidP="000C1C69">
            <w:pPr>
              <w:jc w:val="center"/>
              <w:rPr>
                <w:rFonts w:asciiTheme="majorHAnsi" w:hAnsiTheme="majorHAnsi"/>
                <w:b/>
                <w:color w:val="FFFFFF" w:themeColor="background1"/>
                <w:sz w:val="20"/>
                <w:szCs w:val="20"/>
                <w:lang w:val="es-ES"/>
              </w:rPr>
            </w:pPr>
            <w:r w:rsidRPr="00752CB5">
              <w:rPr>
                <w:rFonts w:asciiTheme="majorHAnsi" w:hAnsiTheme="majorHAnsi"/>
                <w:b/>
                <w:color w:val="FFFFFF" w:themeColor="background1"/>
                <w:sz w:val="20"/>
                <w:szCs w:val="20"/>
                <w:lang w:val="es-ES"/>
              </w:rPr>
              <w:t>N</w:t>
            </w:r>
            <w:r w:rsidR="004C2312" w:rsidRPr="00752CB5">
              <w:rPr>
                <w:rFonts w:asciiTheme="majorHAnsi" w:hAnsiTheme="majorHAnsi"/>
                <w:b/>
                <w:color w:val="FFFFFF" w:themeColor="background1"/>
                <w:sz w:val="20"/>
                <w:szCs w:val="20"/>
                <w:lang w:val="es-ES"/>
              </w:rPr>
              <w:t>otificación de la petición</w:t>
            </w:r>
          </w:p>
        </w:tc>
        <w:tc>
          <w:tcPr>
            <w:tcW w:w="5603" w:type="dxa"/>
            <w:vAlign w:val="center"/>
          </w:tcPr>
          <w:p w14:paraId="1519DA6A" w14:textId="345522B3" w:rsidR="004C2312" w:rsidRPr="00752CB5" w:rsidRDefault="00E31388" w:rsidP="0080640F">
            <w:pPr>
              <w:jc w:val="both"/>
              <w:rPr>
                <w:rFonts w:asciiTheme="majorHAnsi" w:hAnsiTheme="majorHAnsi"/>
                <w:bCs/>
                <w:sz w:val="20"/>
                <w:szCs w:val="20"/>
                <w:lang w:val="es-ES"/>
              </w:rPr>
            </w:pPr>
            <w:r w:rsidRPr="00752CB5">
              <w:rPr>
                <w:rFonts w:asciiTheme="majorHAnsi" w:hAnsiTheme="majorHAnsi"/>
                <w:bCs/>
                <w:sz w:val="20"/>
                <w:szCs w:val="20"/>
                <w:lang w:val="es-ES"/>
              </w:rPr>
              <w:t>24 de febrero de 2016</w:t>
            </w:r>
          </w:p>
        </w:tc>
      </w:tr>
      <w:tr w:rsidR="00F06354" w:rsidRPr="00752CB5" w14:paraId="6147A8D5" w14:textId="77777777" w:rsidTr="00752CB5">
        <w:trPr>
          <w:jc w:val="center"/>
        </w:trPr>
        <w:tc>
          <w:tcPr>
            <w:tcW w:w="3757" w:type="dxa"/>
            <w:tcBorders>
              <w:top w:val="single" w:sz="6" w:space="0" w:color="auto"/>
              <w:bottom w:val="single" w:sz="6" w:space="0" w:color="auto"/>
            </w:tcBorders>
            <w:shd w:val="clear" w:color="auto" w:fill="386294"/>
            <w:vAlign w:val="center"/>
          </w:tcPr>
          <w:p w14:paraId="0201C86D" w14:textId="678B514E" w:rsidR="00F06354" w:rsidRPr="00752CB5" w:rsidRDefault="00D77503" w:rsidP="00F06354">
            <w:pPr>
              <w:jc w:val="center"/>
              <w:rPr>
                <w:rFonts w:asciiTheme="majorHAnsi" w:hAnsiTheme="majorHAnsi"/>
                <w:b/>
                <w:color w:val="FFFFFF" w:themeColor="background1"/>
                <w:sz w:val="20"/>
                <w:szCs w:val="20"/>
                <w:lang w:val="es-ES"/>
              </w:rPr>
            </w:pPr>
            <w:r w:rsidRPr="00752CB5">
              <w:rPr>
                <w:rFonts w:asciiTheme="majorHAnsi" w:hAnsiTheme="majorHAnsi"/>
                <w:b/>
                <w:color w:val="FFFFFF" w:themeColor="background1"/>
                <w:sz w:val="20"/>
                <w:szCs w:val="20"/>
                <w:lang w:val="es-ES"/>
              </w:rPr>
              <w:t>Primera respuesta del Estado</w:t>
            </w:r>
          </w:p>
        </w:tc>
        <w:tc>
          <w:tcPr>
            <w:tcW w:w="5603" w:type="dxa"/>
            <w:vAlign w:val="center"/>
          </w:tcPr>
          <w:p w14:paraId="1972B99E" w14:textId="4120F3FC" w:rsidR="00F06354" w:rsidRPr="00752CB5" w:rsidRDefault="00E31388" w:rsidP="00F06354">
            <w:pPr>
              <w:jc w:val="both"/>
              <w:rPr>
                <w:rFonts w:asciiTheme="majorHAnsi" w:hAnsiTheme="majorHAnsi"/>
                <w:bCs/>
                <w:sz w:val="20"/>
                <w:szCs w:val="20"/>
                <w:lang w:val="es-ES"/>
              </w:rPr>
            </w:pPr>
            <w:r w:rsidRPr="00752CB5">
              <w:rPr>
                <w:rFonts w:asciiTheme="majorHAnsi" w:hAnsiTheme="majorHAnsi"/>
                <w:bCs/>
                <w:sz w:val="20"/>
                <w:szCs w:val="20"/>
                <w:lang w:val="es-ES"/>
              </w:rPr>
              <w:t>18 de abril de 2017</w:t>
            </w:r>
          </w:p>
        </w:tc>
      </w:tr>
      <w:tr w:rsidR="00F06354" w:rsidRPr="00EB7AE8" w14:paraId="322668B6" w14:textId="77777777" w:rsidTr="00752CB5">
        <w:trPr>
          <w:jc w:val="center"/>
        </w:trPr>
        <w:tc>
          <w:tcPr>
            <w:tcW w:w="3757" w:type="dxa"/>
            <w:tcBorders>
              <w:top w:val="single" w:sz="6" w:space="0" w:color="auto"/>
              <w:bottom w:val="single" w:sz="6" w:space="0" w:color="auto"/>
            </w:tcBorders>
            <w:shd w:val="clear" w:color="auto" w:fill="386294"/>
            <w:vAlign w:val="center"/>
          </w:tcPr>
          <w:p w14:paraId="1524DA55" w14:textId="2EFC7BC3" w:rsidR="00F06354" w:rsidRPr="00752CB5" w:rsidRDefault="00F06354" w:rsidP="00F06354">
            <w:pPr>
              <w:jc w:val="center"/>
              <w:rPr>
                <w:rFonts w:asciiTheme="majorHAnsi" w:hAnsiTheme="majorHAnsi"/>
                <w:b/>
                <w:color w:val="FFFFFF" w:themeColor="background1"/>
                <w:sz w:val="20"/>
                <w:szCs w:val="20"/>
                <w:lang w:val="es-ES"/>
              </w:rPr>
            </w:pPr>
            <w:r w:rsidRPr="00752CB5">
              <w:rPr>
                <w:rFonts w:asciiTheme="majorHAnsi" w:hAnsiTheme="majorHAnsi"/>
                <w:b/>
                <w:color w:val="FFFFFF" w:themeColor="background1"/>
                <w:sz w:val="20"/>
                <w:szCs w:val="20"/>
                <w:lang w:val="es-ES"/>
              </w:rPr>
              <w:t>Observaciones adicionales de</w:t>
            </w:r>
            <w:r w:rsidR="00D77503" w:rsidRPr="00752CB5">
              <w:rPr>
                <w:rFonts w:asciiTheme="majorHAnsi" w:hAnsiTheme="majorHAnsi"/>
                <w:b/>
                <w:color w:val="FFFFFF" w:themeColor="background1"/>
                <w:sz w:val="20"/>
                <w:szCs w:val="20"/>
                <w:lang w:val="es-ES"/>
              </w:rPr>
              <w:t xml:space="preserve"> la parte peticionaria</w:t>
            </w:r>
          </w:p>
        </w:tc>
        <w:tc>
          <w:tcPr>
            <w:tcW w:w="5603" w:type="dxa"/>
            <w:vAlign w:val="center"/>
          </w:tcPr>
          <w:p w14:paraId="41D8B862" w14:textId="3DA45119" w:rsidR="00F06354" w:rsidRPr="00752CB5" w:rsidRDefault="00CF3812" w:rsidP="00D77503">
            <w:pPr>
              <w:jc w:val="both"/>
              <w:rPr>
                <w:rFonts w:asciiTheme="majorHAnsi" w:hAnsiTheme="majorHAnsi"/>
                <w:bCs/>
                <w:color w:val="FF0000"/>
                <w:sz w:val="20"/>
                <w:szCs w:val="20"/>
                <w:lang w:val="es-ES"/>
              </w:rPr>
            </w:pPr>
            <w:r w:rsidRPr="00752CB5">
              <w:rPr>
                <w:rFonts w:asciiTheme="majorHAnsi" w:hAnsiTheme="majorHAnsi"/>
                <w:bCs/>
                <w:sz w:val="20"/>
                <w:szCs w:val="20"/>
                <w:lang w:val="es-ES"/>
              </w:rPr>
              <w:t>22 de mayo de 2017, 27 de junio de 2017 y 17 de julio de 2017</w:t>
            </w:r>
          </w:p>
        </w:tc>
      </w:tr>
      <w:tr w:rsidR="00F06354" w:rsidRPr="00752CB5" w14:paraId="291ACE7A" w14:textId="77777777" w:rsidTr="00752CB5">
        <w:trPr>
          <w:jc w:val="center"/>
        </w:trPr>
        <w:tc>
          <w:tcPr>
            <w:tcW w:w="3757" w:type="dxa"/>
            <w:tcBorders>
              <w:top w:val="single" w:sz="6" w:space="0" w:color="auto"/>
              <w:bottom w:val="single" w:sz="6" w:space="0" w:color="auto"/>
            </w:tcBorders>
            <w:shd w:val="clear" w:color="auto" w:fill="386294"/>
            <w:vAlign w:val="center"/>
          </w:tcPr>
          <w:p w14:paraId="068BD12F" w14:textId="44332F68" w:rsidR="00F06354" w:rsidRPr="00752CB5" w:rsidRDefault="00F06354" w:rsidP="00F06354">
            <w:pPr>
              <w:jc w:val="center"/>
              <w:rPr>
                <w:rFonts w:asciiTheme="majorHAnsi" w:hAnsiTheme="majorHAnsi"/>
                <w:b/>
                <w:color w:val="FFFFFF" w:themeColor="background1"/>
                <w:sz w:val="20"/>
                <w:szCs w:val="20"/>
                <w:lang w:val="es-ES"/>
              </w:rPr>
            </w:pPr>
            <w:r w:rsidRPr="00752CB5">
              <w:rPr>
                <w:rFonts w:asciiTheme="majorHAnsi" w:hAnsiTheme="majorHAnsi"/>
                <w:b/>
                <w:color w:val="FFFFFF" w:themeColor="background1"/>
                <w:sz w:val="20"/>
                <w:szCs w:val="20"/>
                <w:lang w:val="es-ES"/>
              </w:rPr>
              <w:t>Obser</w:t>
            </w:r>
            <w:r w:rsidR="00D77503" w:rsidRPr="00752CB5">
              <w:rPr>
                <w:rFonts w:asciiTheme="majorHAnsi" w:hAnsiTheme="majorHAnsi"/>
                <w:b/>
                <w:color w:val="FFFFFF" w:themeColor="background1"/>
                <w:sz w:val="20"/>
                <w:szCs w:val="20"/>
                <w:lang w:val="es-ES"/>
              </w:rPr>
              <w:t>vaciones adicionales del Estado</w:t>
            </w:r>
          </w:p>
        </w:tc>
        <w:tc>
          <w:tcPr>
            <w:tcW w:w="5603" w:type="dxa"/>
            <w:vAlign w:val="center"/>
          </w:tcPr>
          <w:p w14:paraId="3CE49AFE" w14:textId="63C7F9EE" w:rsidR="00F06354" w:rsidRPr="00752CB5" w:rsidRDefault="00CF3812" w:rsidP="00F06354">
            <w:pPr>
              <w:jc w:val="both"/>
              <w:rPr>
                <w:rFonts w:asciiTheme="majorHAnsi" w:hAnsiTheme="majorHAnsi"/>
                <w:bCs/>
                <w:color w:val="FF0000"/>
                <w:sz w:val="20"/>
                <w:szCs w:val="20"/>
                <w:lang w:val="es-ES"/>
              </w:rPr>
            </w:pPr>
            <w:r w:rsidRPr="00752CB5">
              <w:rPr>
                <w:rFonts w:asciiTheme="majorHAnsi" w:hAnsiTheme="majorHAnsi"/>
                <w:bCs/>
                <w:sz w:val="20"/>
                <w:szCs w:val="20"/>
                <w:lang w:val="es-ES"/>
              </w:rPr>
              <w:t>13 de septiembre de 2017</w:t>
            </w:r>
          </w:p>
        </w:tc>
      </w:tr>
    </w:tbl>
    <w:p w14:paraId="21DAA666" w14:textId="5065046E" w:rsidR="003239B8" w:rsidRPr="00752CB5" w:rsidRDefault="003239B8" w:rsidP="007C402A">
      <w:pPr>
        <w:spacing w:before="120" w:after="120"/>
        <w:ind w:firstLine="720"/>
        <w:jc w:val="both"/>
        <w:rPr>
          <w:rFonts w:asciiTheme="majorHAnsi" w:hAnsiTheme="majorHAnsi"/>
          <w:b/>
          <w:bCs/>
          <w:sz w:val="20"/>
          <w:szCs w:val="20"/>
          <w:lang w:val="es-ES"/>
        </w:rPr>
      </w:pPr>
      <w:r w:rsidRPr="00752CB5">
        <w:rPr>
          <w:rFonts w:asciiTheme="majorHAnsi" w:hAnsiTheme="majorHAnsi"/>
          <w:b/>
          <w:bCs/>
          <w:sz w:val="20"/>
          <w:szCs w:val="20"/>
          <w:lang w:val="es-ES"/>
        </w:rPr>
        <w:t xml:space="preserve">III. </w:t>
      </w:r>
      <w:r w:rsidRPr="00752CB5">
        <w:rPr>
          <w:rFonts w:asciiTheme="majorHAnsi" w:hAnsiTheme="majorHAnsi"/>
          <w:b/>
          <w:bCs/>
          <w:sz w:val="20"/>
          <w:szCs w:val="20"/>
          <w:lang w:val="es-ES"/>
        </w:rPr>
        <w:tab/>
        <w:t>COMPETENCIA</w:t>
      </w:r>
      <w:r w:rsidR="00EE00E9" w:rsidRPr="00752CB5">
        <w:rPr>
          <w:rFonts w:asciiTheme="majorHAnsi" w:hAnsiTheme="majorHAnsi"/>
          <w:b/>
          <w:bCs/>
          <w:sz w:val="20"/>
          <w:szCs w:val="20"/>
          <w:lang w:val="es-ES"/>
        </w:rPr>
        <w:t xml:space="preserve"> </w:t>
      </w:r>
    </w:p>
    <w:tbl>
      <w:tblPr>
        <w:tblStyle w:val="TableGrid"/>
        <w:tblW w:w="9337" w:type="dxa"/>
        <w:jc w:val="center"/>
        <w:tblBorders>
          <w:insideH w:val="single" w:sz="6" w:space="0" w:color="auto"/>
          <w:insideV w:val="single" w:sz="6" w:space="0" w:color="auto"/>
        </w:tblBorders>
        <w:tblLook w:val="04A0" w:firstRow="1" w:lastRow="0" w:firstColumn="1" w:lastColumn="0" w:noHBand="0" w:noVBand="1"/>
      </w:tblPr>
      <w:tblGrid>
        <w:gridCol w:w="3757"/>
        <w:gridCol w:w="5580"/>
      </w:tblGrid>
      <w:tr w:rsidR="003239B8" w:rsidRPr="00752CB5" w14:paraId="072532AD" w14:textId="77777777" w:rsidTr="00752CB5">
        <w:trPr>
          <w:cantSplit/>
          <w:jc w:val="center"/>
        </w:trPr>
        <w:tc>
          <w:tcPr>
            <w:tcW w:w="3757" w:type="dxa"/>
            <w:tcBorders>
              <w:top w:val="single" w:sz="4" w:space="0" w:color="auto"/>
              <w:bottom w:val="single" w:sz="6" w:space="0" w:color="auto"/>
            </w:tcBorders>
            <w:shd w:val="clear" w:color="auto" w:fill="386294"/>
            <w:vAlign w:val="center"/>
          </w:tcPr>
          <w:p w14:paraId="5C2E4B34" w14:textId="7281AAF8" w:rsidR="003239B8" w:rsidRPr="00752CB5" w:rsidRDefault="00D77503" w:rsidP="0080640F">
            <w:pPr>
              <w:jc w:val="center"/>
              <w:rPr>
                <w:rFonts w:asciiTheme="majorHAnsi" w:hAnsiTheme="majorHAnsi"/>
                <w:b/>
                <w:i/>
                <w:color w:val="FFFFFF" w:themeColor="background1"/>
                <w:sz w:val="20"/>
                <w:szCs w:val="20"/>
                <w:lang w:val="es-ES"/>
              </w:rPr>
            </w:pPr>
            <w:proofErr w:type="spellStart"/>
            <w:r w:rsidRPr="00752CB5">
              <w:rPr>
                <w:rFonts w:asciiTheme="majorHAnsi" w:hAnsiTheme="majorHAnsi"/>
                <w:b/>
                <w:i/>
                <w:color w:val="FFFFFF" w:themeColor="background1"/>
                <w:sz w:val="20"/>
                <w:szCs w:val="20"/>
                <w:lang w:val="es-ES"/>
              </w:rPr>
              <w:t>Ratione</w:t>
            </w:r>
            <w:proofErr w:type="spellEnd"/>
            <w:r w:rsidRPr="00752CB5">
              <w:rPr>
                <w:rFonts w:asciiTheme="majorHAnsi" w:hAnsiTheme="majorHAnsi"/>
                <w:b/>
                <w:i/>
                <w:color w:val="FFFFFF" w:themeColor="background1"/>
                <w:sz w:val="20"/>
                <w:szCs w:val="20"/>
                <w:lang w:val="es-ES"/>
              </w:rPr>
              <w:t xml:space="preserve"> </w:t>
            </w:r>
            <w:proofErr w:type="spellStart"/>
            <w:r w:rsidRPr="00752CB5">
              <w:rPr>
                <w:rFonts w:asciiTheme="majorHAnsi" w:hAnsiTheme="majorHAnsi"/>
                <w:b/>
                <w:i/>
                <w:color w:val="FFFFFF" w:themeColor="background1"/>
                <w:sz w:val="20"/>
                <w:szCs w:val="20"/>
                <w:lang w:val="es-ES"/>
              </w:rPr>
              <w:t>personae</w:t>
            </w:r>
            <w:proofErr w:type="spellEnd"/>
          </w:p>
        </w:tc>
        <w:tc>
          <w:tcPr>
            <w:tcW w:w="5580" w:type="dxa"/>
            <w:vAlign w:val="center"/>
          </w:tcPr>
          <w:p w14:paraId="7707F3E9" w14:textId="42AFB425" w:rsidR="003239B8" w:rsidRPr="00752CB5" w:rsidRDefault="00F2074B" w:rsidP="0080640F">
            <w:pPr>
              <w:rPr>
                <w:rFonts w:asciiTheme="majorHAnsi" w:hAnsiTheme="majorHAnsi"/>
                <w:bCs/>
                <w:sz w:val="20"/>
                <w:szCs w:val="20"/>
                <w:lang w:val="es-ES"/>
              </w:rPr>
            </w:pPr>
            <w:r w:rsidRPr="00752CB5">
              <w:rPr>
                <w:rFonts w:asciiTheme="majorHAnsi" w:hAnsiTheme="majorHAnsi"/>
                <w:bCs/>
                <w:sz w:val="20"/>
                <w:szCs w:val="20"/>
                <w:lang w:val="es-ES"/>
              </w:rPr>
              <w:t>Sí</w:t>
            </w:r>
          </w:p>
        </w:tc>
      </w:tr>
      <w:tr w:rsidR="003239B8" w:rsidRPr="00752CB5" w14:paraId="4B8802DA" w14:textId="77777777" w:rsidTr="00752CB5">
        <w:trPr>
          <w:cantSplit/>
          <w:jc w:val="center"/>
        </w:trPr>
        <w:tc>
          <w:tcPr>
            <w:tcW w:w="3757" w:type="dxa"/>
            <w:tcBorders>
              <w:top w:val="single" w:sz="6" w:space="0" w:color="auto"/>
              <w:bottom w:val="single" w:sz="6" w:space="0" w:color="auto"/>
            </w:tcBorders>
            <w:shd w:val="clear" w:color="auto" w:fill="386294"/>
            <w:vAlign w:val="center"/>
          </w:tcPr>
          <w:p w14:paraId="3915C23B" w14:textId="629F623D" w:rsidR="003239B8" w:rsidRPr="00752CB5" w:rsidRDefault="003239B8" w:rsidP="00D77503">
            <w:pPr>
              <w:jc w:val="center"/>
              <w:rPr>
                <w:rFonts w:asciiTheme="majorHAnsi" w:hAnsiTheme="majorHAnsi"/>
                <w:b/>
                <w:color w:val="FFFFFF" w:themeColor="background1"/>
                <w:sz w:val="20"/>
                <w:szCs w:val="20"/>
                <w:lang w:val="es-ES"/>
              </w:rPr>
            </w:pPr>
            <w:proofErr w:type="spellStart"/>
            <w:r w:rsidRPr="00752CB5">
              <w:rPr>
                <w:rFonts w:asciiTheme="majorHAnsi" w:hAnsiTheme="majorHAnsi"/>
                <w:b/>
                <w:i/>
                <w:color w:val="FFFFFF" w:themeColor="background1"/>
                <w:sz w:val="20"/>
                <w:szCs w:val="20"/>
                <w:lang w:val="es-ES"/>
              </w:rPr>
              <w:t>Ratione</w:t>
            </w:r>
            <w:proofErr w:type="spellEnd"/>
            <w:r w:rsidRPr="00752CB5">
              <w:rPr>
                <w:rFonts w:asciiTheme="majorHAnsi" w:hAnsiTheme="majorHAnsi"/>
                <w:b/>
                <w:i/>
                <w:color w:val="FFFFFF" w:themeColor="background1"/>
                <w:sz w:val="20"/>
                <w:szCs w:val="20"/>
                <w:lang w:val="es-ES"/>
              </w:rPr>
              <w:t xml:space="preserve"> loci</w:t>
            </w:r>
          </w:p>
        </w:tc>
        <w:tc>
          <w:tcPr>
            <w:tcW w:w="5580" w:type="dxa"/>
            <w:vAlign w:val="center"/>
          </w:tcPr>
          <w:p w14:paraId="12C931CB" w14:textId="7511D4FD" w:rsidR="003239B8" w:rsidRPr="00752CB5" w:rsidRDefault="00F2074B" w:rsidP="0080640F">
            <w:pPr>
              <w:rPr>
                <w:rFonts w:asciiTheme="majorHAnsi" w:hAnsiTheme="majorHAnsi"/>
                <w:bCs/>
                <w:sz w:val="20"/>
                <w:szCs w:val="20"/>
                <w:lang w:val="es-ES"/>
              </w:rPr>
            </w:pPr>
            <w:r w:rsidRPr="00752CB5">
              <w:rPr>
                <w:rFonts w:asciiTheme="majorHAnsi" w:hAnsiTheme="majorHAnsi"/>
                <w:bCs/>
                <w:sz w:val="20"/>
                <w:szCs w:val="20"/>
                <w:lang w:val="es-ES"/>
              </w:rPr>
              <w:t>Sí</w:t>
            </w:r>
          </w:p>
        </w:tc>
      </w:tr>
      <w:tr w:rsidR="003239B8" w:rsidRPr="00752CB5" w14:paraId="4362FDF3" w14:textId="77777777" w:rsidTr="00752CB5">
        <w:trPr>
          <w:cantSplit/>
          <w:jc w:val="center"/>
        </w:trPr>
        <w:tc>
          <w:tcPr>
            <w:tcW w:w="3757" w:type="dxa"/>
            <w:tcBorders>
              <w:top w:val="single" w:sz="6" w:space="0" w:color="auto"/>
              <w:bottom w:val="single" w:sz="6" w:space="0" w:color="auto"/>
            </w:tcBorders>
            <w:shd w:val="clear" w:color="auto" w:fill="386294"/>
            <w:vAlign w:val="center"/>
          </w:tcPr>
          <w:p w14:paraId="3BE23153" w14:textId="1788B5D3" w:rsidR="003239B8" w:rsidRPr="00752CB5" w:rsidRDefault="003239B8" w:rsidP="0080640F">
            <w:pPr>
              <w:jc w:val="center"/>
              <w:rPr>
                <w:rFonts w:asciiTheme="majorHAnsi" w:hAnsiTheme="majorHAnsi"/>
                <w:b/>
                <w:color w:val="FFFFFF" w:themeColor="background1"/>
                <w:sz w:val="20"/>
                <w:szCs w:val="20"/>
                <w:lang w:val="es-ES"/>
              </w:rPr>
            </w:pPr>
            <w:proofErr w:type="spellStart"/>
            <w:r w:rsidRPr="00752CB5">
              <w:rPr>
                <w:rFonts w:asciiTheme="majorHAnsi" w:hAnsiTheme="majorHAnsi"/>
                <w:b/>
                <w:i/>
                <w:color w:val="FFFFFF" w:themeColor="background1"/>
                <w:sz w:val="20"/>
                <w:szCs w:val="20"/>
                <w:lang w:val="es-ES"/>
              </w:rPr>
              <w:t>Ratione</w:t>
            </w:r>
            <w:proofErr w:type="spellEnd"/>
            <w:r w:rsidRPr="00752CB5">
              <w:rPr>
                <w:rFonts w:asciiTheme="majorHAnsi" w:hAnsiTheme="majorHAnsi"/>
                <w:b/>
                <w:i/>
                <w:color w:val="FFFFFF" w:themeColor="background1"/>
                <w:sz w:val="20"/>
                <w:szCs w:val="20"/>
                <w:lang w:val="es-ES"/>
              </w:rPr>
              <w:t xml:space="preserve"> </w:t>
            </w:r>
            <w:proofErr w:type="spellStart"/>
            <w:r w:rsidRPr="00752CB5">
              <w:rPr>
                <w:rFonts w:asciiTheme="majorHAnsi" w:hAnsiTheme="majorHAnsi"/>
                <w:b/>
                <w:i/>
                <w:color w:val="FFFFFF" w:themeColor="background1"/>
                <w:sz w:val="20"/>
                <w:szCs w:val="20"/>
                <w:lang w:val="es-ES"/>
              </w:rPr>
              <w:t>temporis</w:t>
            </w:r>
            <w:proofErr w:type="spellEnd"/>
          </w:p>
        </w:tc>
        <w:tc>
          <w:tcPr>
            <w:tcW w:w="5580" w:type="dxa"/>
            <w:vAlign w:val="center"/>
          </w:tcPr>
          <w:p w14:paraId="6F8B059B" w14:textId="475585E7" w:rsidR="003239B8" w:rsidRPr="00752CB5" w:rsidRDefault="00F2074B" w:rsidP="0080640F">
            <w:pPr>
              <w:rPr>
                <w:rFonts w:asciiTheme="majorHAnsi" w:hAnsiTheme="majorHAnsi"/>
                <w:bCs/>
                <w:sz w:val="20"/>
                <w:szCs w:val="20"/>
                <w:lang w:val="es-ES"/>
              </w:rPr>
            </w:pPr>
            <w:r w:rsidRPr="00752CB5">
              <w:rPr>
                <w:rFonts w:asciiTheme="majorHAnsi" w:hAnsiTheme="majorHAnsi"/>
                <w:bCs/>
                <w:sz w:val="20"/>
                <w:szCs w:val="20"/>
                <w:lang w:val="es-ES"/>
              </w:rPr>
              <w:t>Sí</w:t>
            </w:r>
          </w:p>
        </w:tc>
      </w:tr>
      <w:tr w:rsidR="003239B8" w:rsidRPr="00EB7AE8" w14:paraId="30ABEC3E" w14:textId="77777777" w:rsidTr="00752CB5">
        <w:trPr>
          <w:cantSplit/>
          <w:jc w:val="center"/>
        </w:trPr>
        <w:tc>
          <w:tcPr>
            <w:tcW w:w="3757" w:type="dxa"/>
            <w:tcBorders>
              <w:top w:val="single" w:sz="6" w:space="0" w:color="auto"/>
              <w:bottom w:val="single" w:sz="6" w:space="0" w:color="auto"/>
            </w:tcBorders>
            <w:shd w:val="clear" w:color="auto" w:fill="386294"/>
            <w:vAlign w:val="center"/>
          </w:tcPr>
          <w:p w14:paraId="47B529D2" w14:textId="72B41633" w:rsidR="003239B8" w:rsidRPr="00752CB5" w:rsidRDefault="003239B8" w:rsidP="0080640F">
            <w:pPr>
              <w:jc w:val="center"/>
              <w:rPr>
                <w:rFonts w:asciiTheme="majorHAnsi" w:hAnsiTheme="majorHAnsi"/>
                <w:b/>
                <w:color w:val="FFFFFF" w:themeColor="background1"/>
                <w:sz w:val="20"/>
                <w:szCs w:val="20"/>
                <w:lang w:val="es-ES"/>
              </w:rPr>
            </w:pPr>
            <w:proofErr w:type="spellStart"/>
            <w:r w:rsidRPr="00752CB5">
              <w:rPr>
                <w:rFonts w:asciiTheme="majorHAnsi" w:hAnsiTheme="majorHAnsi"/>
                <w:b/>
                <w:i/>
                <w:color w:val="FFFFFF" w:themeColor="background1"/>
                <w:sz w:val="20"/>
                <w:szCs w:val="20"/>
                <w:lang w:val="es-ES"/>
              </w:rPr>
              <w:t>Ratione</w:t>
            </w:r>
            <w:proofErr w:type="spellEnd"/>
            <w:r w:rsidRPr="00752CB5">
              <w:rPr>
                <w:rFonts w:asciiTheme="majorHAnsi" w:hAnsiTheme="majorHAnsi"/>
                <w:b/>
                <w:i/>
                <w:color w:val="FFFFFF" w:themeColor="background1"/>
                <w:sz w:val="20"/>
                <w:szCs w:val="20"/>
                <w:lang w:val="es-ES"/>
              </w:rPr>
              <w:t xml:space="preserve"> </w:t>
            </w:r>
            <w:proofErr w:type="spellStart"/>
            <w:r w:rsidRPr="00752CB5">
              <w:rPr>
                <w:rFonts w:asciiTheme="majorHAnsi" w:hAnsiTheme="majorHAnsi"/>
                <w:b/>
                <w:i/>
                <w:color w:val="FFFFFF" w:themeColor="background1"/>
                <w:sz w:val="20"/>
                <w:szCs w:val="20"/>
                <w:lang w:val="es-ES"/>
              </w:rPr>
              <w:t>materia</w:t>
            </w:r>
            <w:r w:rsidR="00EE00E9" w:rsidRPr="00752CB5">
              <w:rPr>
                <w:rFonts w:asciiTheme="majorHAnsi" w:hAnsiTheme="majorHAnsi"/>
                <w:b/>
                <w:i/>
                <w:color w:val="FFFFFF" w:themeColor="background1"/>
                <w:sz w:val="20"/>
                <w:szCs w:val="20"/>
                <w:lang w:val="es-ES"/>
              </w:rPr>
              <w:t>e</w:t>
            </w:r>
            <w:proofErr w:type="spellEnd"/>
          </w:p>
        </w:tc>
        <w:tc>
          <w:tcPr>
            <w:tcW w:w="5580" w:type="dxa"/>
            <w:vAlign w:val="center"/>
          </w:tcPr>
          <w:p w14:paraId="0C122F44" w14:textId="5AB7DE4E" w:rsidR="003239B8" w:rsidRPr="00752CB5" w:rsidRDefault="00F2074B" w:rsidP="0080640F">
            <w:pPr>
              <w:jc w:val="both"/>
              <w:rPr>
                <w:rFonts w:asciiTheme="majorHAnsi" w:hAnsiTheme="majorHAnsi"/>
                <w:bCs/>
                <w:sz w:val="20"/>
                <w:szCs w:val="20"/>
                <w:lang w:val="es-ES"/>
              </w:rPr>
            </w:pPr>
            <w:r w:rsidRPr="00752CB5">
              <w:rPr>
                <w:rFonts w:asciiTheme="majorHAnsi" w:hAnsiTheme="majorHAnsi"/>
                <w:bCs/>
                <w:sz w:val="20"/>
                <w:szCs w:val="20"/>
                <w:lang w:val="es-ES"/>
              </w:rPr>
              <w:t>Sí, Convención Americana (depósito de instrumento realizado el 5 de septiembre de 1984.</w:t>
            </w:r>
          </w:p>
        </w:tc>
      </w:tr>
    </w:tbl>
    <w:p w14:paraId="4E92C444" w14:textId="58204366" w:rsidR="003239B8" w:rsidRPr="00752CB5" w:rsidRDefault="003239B8" w:rsidP="007C402A">
      <w:pPr>
        <w:spacing w:before="120" w:after="120"/>
        <w:ind w:firstLine="720"/>
        <w:jc w:val="both"/>
        <w:rPr>
          <w:rFonts w:asciiTheme="majorHAnsi" w:hAnsiTheme="majorHAnsi"/>
          <w:b/>
          <w:bCs/>
          <w:sz w:val="20"/>
          <w:szCs w:val="20"/>
          <w:lang w:val="es-ES"/>
        </w:rPr>
      </w:pPr>
      <w:r w:rsidRPr="00752CB5">
        <w:rPr>
          <w:rFonts w:asciiTheme="majorHAnsi" w:hAnsiTheme="majorHAnsi"/>
          <w:b/>
          <w:bCs/>
          <w:sz w:val="20"/>
          <w:szCs w:val="20"/>
          <w:lang w:val="es-ES"/>
        </w:rPr>
        <w:t xml:space="preserve">IV. </w:t>
      </w:r>
      <w:r w:rsidRPr="00752CB5">
        <w:rPr>
          <w:rFonts w:asciiTheme="majorHAnsi" w:hAnsiTheme="majorHAnsi"/>
          <w:b/>
          <w:bCs/>
          <w:sz w:val="20"/>
          <w:szCs w:val="20"/>
          <w:lang w:val="es-ES"/>
        </w:rPr>
        <w:tab/>
      </w:r>
      <w:r w:rsidR="00EE00E9" w:rsidRPr="00752CB5">
        <w:rPr>
          <w:rFonts w:asciiTheme="majorHAnsi" w:hAnsiTheme="majorHAnsi"/>
          <w:b/>
          <w:bCs/>
          <w:sz w:val="20"/>
          <w:szCs w:val="20"/>
          <w:lang w:val="es-ES"/>
        </w:rPr>
        <w:t>DUPLICACIÓN</w:t>
      </w:r>
      <w:r w:rsidR="00EE00E9" w:rsidRPr="00752CB5">
        <w:rPr>
          <w:rFonts w:asciiTheme="majorHAnsi" w:hAnsiTheme="majorHAnsi"/>
          <w:b/>
          <w:bCs/>
          <w:color w:val="FFFFFF" w:themeColor="background1"/>
          <w:sz w:val="20"/>
          <w:szCs w:val="20"/>
          <w:lang w:val="es-ES"/>
        </w:rPr>
        <w:t xml:space="preserve"> </w:t>
      </w:r>
      <w:r w:rsidR="00EE00E9" w:rsidRPr="00752CB5">
        <w:rPr>
          <w:rFonts w:asciiTheme="majorHAnsi" w:hAnsiTheme="majorHAnsi"/>
          <w:b/>
          <w:bCs/>
          <w:sz w:val="20"/>
          <w:szCs w:val="20"/>
          <w:lang w:val="es-ES"/>
        </w:rPr>
        <w:t>DE PROCEDIMIENTOS Y COSA JUZGADA</w:t>
      </w:r>
      <w:r w:rsidR="00EE00E9" w:rsidRPr="00752CB5">
        <w:rPr>
          <w:rFonts w:asciiTheme="majorHAnsi" w:hAnsiTheme="majorHAnsi"/>
          <w:b/>
          <w:bCs/>
          <w:i/>
          <w:sz w:val="20"/>
          <w:szCs w:val="20"/>
          <w:lang w:val="es-ES"/>
        </w:rPr>
        <w:t xml:space="preserve"> </w:t>
      </w:r>
      <w:r w:rsidR="00EA7460" w:rsidRPr="00752CB5">
        <w:rPr>
          <w:rFonts w:asciiTheme="majorHAnsi" w:hAnsiTheme="majorHAnsi"/>
          <w:b/>
          <w:bCs/>
          <w:sz w:val="20"/>
          <w:szCs w:val="20"/>
          <w:lang w:val="es-ES"/>
        </w:rPr>
        <w:t>INTERNACIONAL, CARACTERIZACIÓN</w:t>
      </w:r>
      <w:r w:rsidRPr="00752CB5">
        <w:rPr>
          <w:rFonts w:asciiTheme="majorHAnsi" w:hAnsiTheme="majorHAnsi"/>
          <w:b/>
          <w:bCs/>
          <w:sz w:val="20"/>
          <w:szCs w:val="20"/>
          <w:lang w:val="es-ES"/>
        </w:rPr>
        <w:t xml:space="preserve">, </w:t>
      </w:r>
      <w:r w:rsidRPr="00752CB5">
        <w:rPr>
          <w:rFonts w:asciiTheme="majorHAnsi" w:hAnsiTheme="majorHAnsi"/>
          <w:b/>
          <w:sz w:val="20"/>
          <w:szCs w:val="20"/>
          <w:lang w:val="es-ES"/>
        </w:rPr>
        <w:t>AGOTAMIENTO DE LOS RECURSOS INTERNOS Y PLAZO DE PRESENTACIÓN</w:t>
      </w:r>
    </w:p>
    <w:tbl>
      <w:tblPr>
        <w:tblStyle w:val="TableGrid"/>
        <w:tblW w:w="9337" w:type="dxa"/>
        <w:jc w:val="center"/>
        <w:tblBorders>
          <w:insideH w:val="single" w:sz="6" w:space="0" w:color="auto"/>
          <w:insideV w:val="single" w:sz="6" w:space="0" w:color="auto"/>
        </w:tblBorders>
        <w:tblLook w:val="04A0" w:firstRow="1" w:lastRow="0" w:firstColumn="1" w:lastColumn="0" w:noHBand="0" w:noVBand="1"/>
      </w:tblPr>
      <w:tblGrid>
        <w:gridCol w:w="3757"/>
        <w:gridCol w:w="5580"/>
      </w:tblGrid>
      <w:tr w:rsidR="00EE00E9" w:rsidRPr="00752CB5" w14:paraId="1231C988" w14:textId="77777777" w:rsidTr="00752CB5">
        <w:trPr>
          <w:cantSplit/>
          <w:jc w:val="center"/>
        </w:trPr>
        <w:tc>
          <w:tcPr>
            <w:tcW w:w="3757" w:type="dxa"/>
            <w:tcBorders>
              <w:top w:val="single" w:sz="4" w:space="0" w:color="auto"/>
              <w:bottom w:val="single" w:sz="6" w:space="0" w:color="auto"/>
            </w:tcBorders>
            <w:shd w:val="clear" w:color="auto" w:fill="386294"/>
            <w:vAlign w:val="center"/>
          </w:tcPr>
          <w:p w14:paraId="6F8031F4" w14:textId="03D8D2D1" w:rsidR="00EE00E9" w:rsidRPr="00752CB5" w:rsidRDefault="00EE00E9" w:rsidP="00954B82">
            <w:pPr>
              <w:jc w:val="center"/>
              <w:rPr>
                <w:rFonts w:asciiTheme="majorHAnsi" w:hAnsiTheme="majorHAnsi"/>
                <w:b/>
                <w:color w:val="FFFFFF" w:themeColor="background1"/>
                <w:sz w:val="20"/>
                <w:szCs w:val="20"/>
                <w:lang w:val="es-ES"/>
              </w:rPr>
            </w:pPr>
            <w:r w:rsidRPr="00752CB5">
              <w:rPr>
                <w:rFonts w:asciiTheme="majorHAnsi" w:hAnsiTheme="majorHAnsi"/>
                <w:b/>
                <w:color w:val="FFFFFF" w:themeColor="background1"/>
                <w:sz w:val="20"/>
                <w:szCs w:val="20"/>
                <w:lang w:val="es-ES"/>
              </w:rPr>
              <w:t xml:space="preserve">Duplicación </w:t>
            </w:r>
            <w:r w:rsidR="00D77503" w:rsidRPr="00752CB5">
              <w:rPr>
                <w:rFonts w:asciiTheme="majorHAnsi" w:hAnsiTheme="majorHAnsi"/>
                <w:b/>
                <w:color w:val="FFFFFF" w:themeColor="background1"/>
                <w:sz w:val="20"/>
                <w:szCs w:val="20"/>
                <w:lang w:val="es-ES"/>
              </w:rPr>
              <w:t>y cosa juzgada internacional</w:t>
            </w:r>
          </w:p>
        </w:tc>
        <w:tc>
          <w:tcPr>
            <w:tcW w:w="5580" w:type="dxa"/>
            <w:vAlign w:val="center"/>
          </w:tcPr>
          <w:p w14:paraId="240941E6" w14:textId="381DFFE3" w:rsidR="00EE00E9" w:rsidRPr="00752CB5" w:rsidRDefault="0063749B" w:rsidP="0080640F">
            <w:pPr>
              <w:jc w:val="both"/>
              <w:rPr>
                <w:rFonts w:asciiTheme="majorHAnsi" w:hAnsiTheme="majorHAnsi"/>
                <w:bCs/>
                <w:sz w:val="20"/>
                <w:szCs w:val="20"/>
                <w:lang w:val="es-ES"/>
              </w:rPr>
            </w:pPr>
            <w:r w:rsidRPr="00752CB5">
              <w:rPr>
                <w:rFonts w:asciiTheme="majorHAnsi" w:hAnsiTheme="majorHAnsi"/>
                <w:bCs/>
                <w:sz w:val="20"/>
                <w:szCs w:val="20"/>
                <w:lang w:val="es-ES"/>
              </w:rPr>
              <w:t>No</w:t>
            </w:r>
          </w:p>
        </w:tc>
      </w:tr>
      <w:tr w:rsidR="003239B8" w:rsidRPr="00752CB5" w14:paraId="15FAA7D1" w14:textId="77777777" w:rsidTr="00752CB5">
        <w:trPr>
          <w:cantSplit/>
          <w:jc w:val="center"/>
        </w:trPr>
        <w:tc>
          <w:tcPr>
            <w:tcW w:w="3757" w:type="dxa"/>
            <w:tcBorders>
              <w:top w:val="single" w:sz="4" w:space="0" w:color="auto"/>
              <w:bottom w:val="single" w:sz="6" w:space="0" w:color="auto"/>
            </w:tcBorders>
            <w:shd w:val="clear" w:color="auto" w:fill="386294"/>
            <w:vAlign w:val="center"/>
          </w:tcPr>
          <w:p w14:paraId="1B0D29FF" w14:textId="4FE01870" w:rsidR="003239B8" w:rsidRPr="00752CB5" w:rsidRDefault="003239B8" w:rsidP="00954B82">
            <w:pPr>
              <w:jc w:val="center"/>
              <w:rPr>
                <w:rFonts w:asciiTheme="majorHAnsi" w:hAnsiTheme="majorHAnsi"/>
                <w:b/>
                <w:i/>
                <w:color w:val="FFFFFF" w:themeColor="background1"/>
                <w:sz w:val="20"/>
                <w:szCs w:val="20"/>
                <w:lang w:val="es-ES"/>
              </w:rPr>
            </w:pPr>
            <w:r w:rsidRPr="00752CB5">
              <w:rPr>
                <w:rFonts w:asciiTheme="majorHAnsi" w:hAnsiTheme="majorHAnsi"/>
                <w:b/>
                <w:color w:val="FFFFFF" w:themeColor="background1"/>
                <w:sz w:val="20"/>
                <w:szCs w:val="20"/>
                <w:lang w:val="es-ES"/>
              </w:rPr>
              <w:t>Derechos admi</w:t>
            </w:r>
            <w:r w:rsidR="00954B82" w:rsidRPr="00752CB5">
              <w:rPr>
                <w:rFonts w:asciiTheme="majorHAnsi" w:hAnsiTheme="majorHAnsi"/>
                <w:b/>
                <w:color w:val="FFFFFF" w:themeColor="background1"/>
                <w:sz w:val="20"/>
                <w:szCs w:val="20"/>
                <w:lang w:val="es-ES"/>
              </w:rPr>
              <w:t>tidos</w:t>
            </w:r>
          </w:p>
        </w:tc>
        <w:tc>
          <w:tcPr>
            <w:tcW w:w="5580" w:type="dxa"/>
            <w:vAlign w:val="center"/>
          </w:tcPr>
          <w:p w14:paraId="6310C8F7" w14:textId="4D3F31A2" w:rsidR="003239B8" w:rsidRPr="00752CB5" w:rsidRDefault="0063749B" w:rsidP="001479C0">
            <w:pPr>
              <w:jc w:val="both"/>
              <w:rPr>
                <w:rFonts w:asciiTheme="majorHAnsi" w:hAnsiTheme="majorHAnsi"/>
                <w:bCs/>
                <w:sz w:val="20"/>
                <w:szCs w:val="20"/>
                <w:lang w:val="es-ES"/>
              </w:rPr>
            </w:pPr>
            <w:r w:rsidRPr="00752CB5">
              <w:rPr>
                <w:rFonts w:asciiTheme="majorHAnsi" w:hAnsiTheme="majorHAnsi"/>
                <w:bCs/>
                <w:sz w:val="20"/>
                <w:szCs w:val="20"/>
                <w:lang w:val="es-ES"/>
              </w:rPr>
              <w:t>Ninguno</w:t>
            </w:r>
          </w:p>
        </w:tc>
      </w:tr>
      <w:tr w:rsidR="003239B8" w:rsidRPr="00EB7AE8" w14:paraId="4EFD141E" w14:textId="77777777" w:rsidTr="00752CB5">
        <w:trPr>
          <w:cantSplit/>
          <w:jc w:val="center"/>
        </w:trPr>
        <w:tc>
          <w:tcPr>
            <w:tcW w:w="3757" w:type="dxa"/>
            <w:tcBorders>
              <w:top w:val="single" w:sz="6" w:space="0" w:color="auto"/>
              <w:bottom w:val="single" w:sz="6" w:space="0" w:color="auto"/>
            </w:tcBorders>
            <w:shd w:val="clear" w:color="auto" w:fill="386294"/>
            <w:vAlign w:val="center"/>
          </w:tcPr>
          <w:p w14:paraId="4C04A89C" w14:textId="058482B9" w:rsidR="003239B8" w:rsidRPr="00752CB5" w:rsidRDefault="003239B8" w:rsidP="006775AB">
            <w:pPr>
              <w:jc w:val="center"/>
              <w:rPr>
                <w:rFonts w:asciiTheme="majorHAnsi" w:hAnsiTheme="majorHAnsi"/>
                <w:b/>
                <w:color w:val="FFFFFF" w:themeColor="background1"/>
                <w:sz w:val="20"/>
                <w:szCs w:val="20"/>
                <w:lang w:val="es-ES"/>
              </w:rPr>
            </w:pPr>
            <w:r w:rsidRPr="00752CB5">
              <w:rPr>
                <w:rFonts w:asciiTheme="majorHAnsi" w:hAnsiTheme="majorHAnsi"/>
                <w:b/>
                <w:color w:val="FFFFFF" w:themeColor="background1"/>
                <w:sz w:val="20"/>
                <w:szCs w:val="20"/>
                <w:lang w:val="es-ES"/>
              </w:rPr>
              <w:t>Agotamiento de</w:t>
            </w:r>
            <w:r w:rsidR="0069402E" w:rsidRPr="00752CB5">
              <w:rPr>
                <w:rFonts w:asciiTheme="majorHAnsi" w:hAnsiTheme="majorHAnsi"/>
                <w:b/>
                <w:color w:val="FFFFFF" w:themeColor="background1"/>
                <w:sz w:val="20"/>
                <w:szCs w:val="20"/>
                <w:lang w:val="es-ES"/>
              </w:rPr>
              <w:t xml:space="preserve"> </w:t>
            </w:r>
            <w:r w:rsidRPr="00752CB5">
              <w:rPr>
                <w:rFonts w:asciiTheme="majorHAnsi" w:hAnsiTheme="majorHAnsi"/>
                <w:b/>
                <w:color w:val="FFFFFF" w:themeColor="background1"/>
                <w:sz w:val="20"/>
                <w:szCs w:val="20"/>
                <w:lang w:val="es-ES"/>
              </w:rPr>
              <w:t xml:space="preserve">recursos </w:t>
            </w:r>
            <w:r w:rsidR="00D77503" w:rsidRPr="00752CB5">
              <w:rPr>
                <w:rFonts w:asciiTheme="majorHAnsi" w:hAnsiTheme="majorHAnsi"/>
                <w:b/>
                <w:color w:val="FFFFFF" w:themeColor="background1"/>
                <w:sz w:val="20"/>
                <w:szCs w:val="20"/>
                <w:lang w:val="es-ES"/>
              </w:rPr>
              <w:t>o procedencia de una excepción</w:t>
            </w:r>
          </w:p>
        </w:tc>
        <w:tc>
          <w:tcPr>
            <w:tcW w:w="5580" w:type="dxa"/>
            <w:vAlign w:val="center"/>
          </w:tcPr>
          <w:p w14:paraId="69C53E8A" w14:textId="71C227AB" w:rsidR="003239B8" w:rsidRPr="00752CB5" w:rsidRDefault="0063749B" w:rsidP="00BB3FBD">
            <w:pPr>
              <w:rPr>
                <w:rFonts w:asciiTheme="majorHAnsi" w:hAnsiTheme="majorHAnsi"/>
                <w:bCs/>
                <w:sz w:val="20"/>
                <w:szCs w:val="20"/>
                <w:lang w:val="es-ES"/>
              </w:rPr>
            </w:pPr>
            <w:r w:rsidRPr="00752CB5">
              <w:rPr>
                <w:rFonts w:asciiTheme="majorHAnsi" w:hAnsiTheme="majorHAnsi"/>
                <w:bCs/>
                <w:sz w:val="20"/>
                <w:szCs w:val="20"/>
                <w:lang w:val="es-ES"/>
              </w:rPr>
              <w:t>Sí, en términos de la sección VI</w:t>
            </w:r>
          </w:p>
        </w:tc>
      </w:tr>
      <w:tr w:rsidR="003239B8" w:rsidRPr="00EB7AE8" w14:paraId="52B5BA17" w14:textId="77777777" w:rsidTr="00752CB5">
        <w:trPr>
          <w:cantSplit/>
          <w:jc w:val="center"/>
        </w:trPr>
        <w:tc>
          <w:tcPr>
            <w:tcW w:w="3757" w:type="dxa"/>
            <w:tcBorders>
              <w:top w:val="single" w:sz="6" w:space="0" w:color="auto"/>
              <w:bottom w:val="single" w:sz="6" w:space="0" w:color="auto"/>
            </w:tcBorders>
            <w:shd w:val="clear" w:color="auto" w:fill="386294"/>
            <w:vAlign w:val="center"/>
          </w:tcPr>
          <w:p w14:paraId="5DF99086" w14:textId="392A0ECF" w:rsidR="003239B8" w:rsidRPr="00752CB5" w:rsidRDefault="00D77503" w:rsidP="0080640F">
            <w:pPr>
              <w:jc w:val="center"/>
              <w:rPr>
                <w:rFonts w:asciiTheme="majorHAnsi" w:hAnsiTheme="majorHAnsi"/>
                <w:b/>
                <w:color w:val="FFFFFF" w:themeColor="background1"/>
                <w:sz w:val="20"/>
                <w:szCs w:val="20"/>
                <w:lang w:val="es-ES"/>
              </w:rPr>
            </w:pPr>
            <w:r w:rsidRPr="00752CB5">
              <w:rPr>
                <w:rFonts w:asciiTheme="majorHAnsi" w:hAnsiTheme="majorHAnsi"/>
                <w:b/>
                <w:color w:val="FFFFFF" w:themeColor="background1"/>
                <w:sz w:val="20"/>
                <w:szCs w:val="20"/>
                <w:lang w:val="es-ES"/>
              </w:rPr>
              <w:t>Presentación dentro de plazo</w:t>
            </w:r>
          </w:p>
        </w:tc>
        <w:tc>
          <w:tcPr>
            <w:tcW w:w="5580" w:type="dxa"/>
            <w:vAlign w:val="center"/>
          </w:tcPr>
          <w:p w14:paraId="4A2A4569" w14:textId="53BC193D" w:rsidR="003239B8" w:rsidRPr="00752CB5" w:rsidRDefault="0063749B" w:rsidP="0080640F">
            <w:pPr>
              <w:rPr>
                <w:rFonts w:asciiTheme="majorHAnsi" w:hAnsiTheme="majorHAnsi"/>
                <w:bCs/>
                <w:sz w:val="20"/>
                <w:szCs w:val="20"/>
                <w:lang w:val="es-ES"/>
              </w:rPr>
            </w:pPr>
            <w:r w:rsidRPr="00752CB5">
              <w:rPr>
                <w:rFonts w:asciiTheme="majorHAnsi" w:hAnsiTheme="majorHAnsi"/>
                <w:bCs/>
                <w:sz w:val="20"/>
                <w:szCs w:val="20"/>
                <w:lang w:val="es-ES"/>
              </w:rPr>
              <w:t>Sí, en términos de la sección VI</w:t>
            </w:r>
          </w:p>
        </w:tc>
      </w:tr>
    </w:tbl>
    <w:p w14:paraId="18E6423B" w14:textId="5FDE25B0" w:rsidR="003239B8" w:rsidRPr="00752CB5" w:rsidRDefault="00223A29" w:rsidP="00647756">
      <w:pPr>
        <w:spacing w:before="120" w:after="120"/>
        <w:ind w:firstLine="720"/>
        <w:jc w:val="both"/>
        <w:rPr>
          <w:rFonts w:asciiTheme="majorHAnsi" w:hAnsiTheme="majorHAnsi"/>
          <w:b/>
          <w:sz w:val="20"/>
          <w:szCs w:val="20"/>
          <w:lang w:val="es-ES_tradnl"/>
        </w:rPr>
      </w:pPr>
      <w:r w:rsidRPr="00752CB5">
        <w:rPr>
          <w:rFonts w:asciiTheme="majorHAnsi" w:hAnsiTheme="majorHAnsi"/>
          <w:b/>
          <w:sz w:val="20"/>
          <w:szCs w:val="20"/>
          <w:lang w:val="es-ES_tradnl"/>
        </w:rPr>
        <w:t xml:space="preserve">V. </w:t>
      </w:r>
      <w:r w:rsidRPr="00752CB5">
        <w:rPr>
          <w:rFonts w:asciiTheme="majorHAnsi" w:hAnsiTheme="majorHAnsi"/>
          <w:b/>
          <w:sz w:val="20"/>
          <w:szCs w:val="20"/>
          <w:lang w:val="es-ES_tradnl"/>
        </w:rPr>
        <w:tab/>
      </w:r>
      <w:r w:rsidR="0034224A" w:rsidRPr="00752CB5">
        <w:rPr>
          <w:rFonts w:asciiTheme="majorHAnsi" w:hAnsiTheme="majorHAnsi"/>
          <w:b/>
          <w:sz w:val="20"/>
          <w:szCs w:val="20"/>
          <w:lang w:val="es-ES_tradnl"/>
        </w:rPr>
        <w:t>RESUMEN DE LOS HECHOS ALEGADOS</w:t>
      </w:r>
    </w:p>
    <w:p w14:paraId="46310EBB" w14:textId="1F273487" w:rsidR="00DE12F0" w:rsidRPr="00EA7460" w:rsidRDefault="00251D21" w:rsidP="00C86B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sidRPr="00EA7460">
        <w:rPr>
          <w:rFonts w:ascii="Cambria" w:hAnsi="Cambria"/>
          <w:sz w:val="20"/>
          <w:szCs w:val="20"/>
          <w:lang w:val="es-ES_tradnl"/>
        </w:rPr>
        <w:t xml:space="preserve">La parte peticionaria </w:t>
      </w:r>
      <w:r w:rsidR="00C86B3E" w:rsidRPr="00EA7460">
        <w:rPr>
          <w:rFonts w:ascii="Cambria" w:hAnsi="Cambria"/>
          <w:sz w:val="20"/>
          <w:szCs w:val="20"/>
          <w:lang w:val="es-ES_tradnl"/>
        </w:rPr>
        <w:t xml:space="preserve">afirma que </w:t>
      </w:r>
      <w:r w:rsidR="009900E7">
        <w:rPr>
          <w:rFonts w:ascii="Cambria" w:hAnsi="Cambria"/>
          <w:sz w:val="20"/>
          <w:szCs w:val="20"/>
          <w:lang w:val="es-ES_tradnl"/>
        </w:rPr>
        <w:t>la justicia argentina</w:t>
      </w:r>
      <w:r w:rsidR="00F50CD2">
        <w:rPr>
          <w:rFonts w:ascii="Cambria" w:hAnsi="Cambria"/>
          <w:sz w:val="20"/>
          <w:szCs w:val="20"/>
          <w:lang w:val="es-ES_tradnl"/>
        </w:rPr>
        <w:t xml:space="preserve"> condenó</w:t>
      </w:r>
      <w:r w:rsidR="00C86B3E" w:rsidRPr="00EA7460">
        <w:rPr>
          <w:rFonts w:ascii="Cambria" w:hAnsi="Cambria"/>
          <w:sz w:val="20"/>
          <w:szCs w:val="20"/>
          <w:lang w:val="es-ES_tradnl"/>
        </w:rPr>
        <w:t xml:space="preserve"> al señor </w:t>
      </w:r>
      <w:r w:rsidR="00EA7460" w:rsidRPr="00EA7460">
        <w:rPr>
          <w:rFonts w:ascii="Cambria" w:hAnsi="Cambria"/>
          <w:sz w:val="20"/>
          <w:szCs w:val="20"/>
          <w:lang w:val="es-ES_tradnl"/>
        </w:rPr>
        <w:t>Valentín</w:t>
      </w:r>
      <w:r w:rsidR="00C86B3E" w:rsidRPr="00EA7460">
        <w:rPr>
          <w:rFonts w:ascii="Cambria" w:hAnsi="Cambria"/>
          <w:sz w:val="20"/>
          <w:szCs w:val="20"/>
          <w:lang w:val="es-ES_tradnl"/>
        </w:rPr>
        <w:t xml:space="preserve"> </w:t>
      </w:r>
      <w:proofErr w:type="spellStart"/>
      <w:r w:rsidR="00C86B3E" w:rsidRPr="00EA7460">
        <w:rPr>
          <w:rFonts w:ascii="Cambria" w:hAnsi="Cambria"/>
          <w:sz w:val="20"/>
          <w:szCs w:val="20"/>
          <w:lang w:val="es-ES_tradnl"/>
        </w:rPr>
        <w:t>Padovan</w:t>
      </w:r>
      <w:proofErr w:type="spellEnd"/>
      <w:r w:rsidR="00C86B3E" w:rsidRPr="00EA7460">
        <w:rPr>
          <w:rFonts w:ascii="Cambria" w:hAnsi="Cambria"/>
          <w:sz w:val="20"/>
          <w:szCs w:val="20"/>
          <w:lang w:val="es-ES_tradnl"/>
        </w:rPr>
        <w:t xml:space="preserve"> por haber participado en actos de tortura y asesinatos </w:t>
      </w:r>
      <w:r w:rsidR="00F50CD2">
        <w:rPr>
          <w:rFonts w:ascii="Cambria" w:hAnsi="Cambria"/>
          <w:sz w:val="20"/>
          <w:szCs w:val="20"/>
          <w:lang w:val="es-ES_tradnl"/>
        </w:rPr>
        <w:t>durante</w:t>
      </w:r>
      <w:r w:rsidR="00C86B3E" w:rsidRPr="00EA7460">
        <w:rPr>
          <w:rFonts w:ascii="Cambria" w:hAnsi="Cambria"/>
          <w:sz w:val="20"/>
          <w:szCs w:val="20"/>
          <w:lang w:val="es-ES_tradnl"/>
        </w:rPr>
        <w:t xml:space="preserve"> la dictadura militar</w:t>
      </w:r>
      <w:r w:rsidR="007A24E9">
        <w:rPr>
          <w:rFonts w:ascii="Cambria" w:hAnsi="Cambria"/>
          <w:sz w:val="20"/>
          <w:szCs w:val="20"/>
          <w:lang w:val="es-ES_tradnl"/>
        </w:rPr>
        <w:t>. A</w:t>
      </w:r>
      <w:r w:rsidR="00C86B3E" w:rsidRPr="00EA7460">
        <w:rPr>
          <w:rFonts w:ascii="Cambria" w:hAnsi="Cambria"/>
          <w:sz w:val="20"/>
          <w:szCs w:val="20"/>
          <w:lang w:val="es-ES_tradnl"/>
        </w:rPr>
        <w:t>duce que el proceso penal en su contra no contó con las debidas garantías judiciales</w:t>
      </w:r>
      <w:r w:rsidR="00F50CD2">
        <w:rPr>
          <w:rFonts w:ascii="Cambria" w:hAnsi="Cambria"/>
          <w:sz w:val="20"/>
          <w:szCs w:val="20"/>
          <w:lang w:val="es-ES_tradnl"/>
        </w:rPr>
        <w:t>; que</w:t>
      </w:r>
      <w:r w:rsidR="00C86B3E" w:rsidRPr="00EA7460">
        <w:rPr>
          <w:rFonts w:ascii="Cambria" w:hAnsi="Cambria"/>
          <w:sz w:val="20"/>
          <w:szCs w:val="20"/>
          <w:lang w:val="es-ES_tradnl"/>
        </w:rPr>
        <w:t xml:space="preserve"> se le detuvo indebidamente</w:t>
      </w:r>
      <w:r w:rsidR="00F50CD2">
        <w:rPr>
          <w:rFonts w:ascii="Cambria" w:hAnsi="Cambria"/>
          <w:sz w:val="20"/>
          <w:szCs w:val="20"/>
          <w:lang w:val="es-ES_tradnl"/>
        </w:rPr>
        <w:t>;</w:t>
      </w:r>
      <w:r w:rsidR="00C86B3E" w:rsidRPr="00EA7460">
        <w:rPr>
          <w:rFonts w:ascii="Cambria" w:hAnsi="Cambria"/>
          <w:sz w:val="20"/>
          <w:szCs w:val="20"/>
          <w:lang w:val="es-ES_tradnl"/>
        </w:rPr>
        <w:t xml:space="preserve"> y </w:t>
      </w:r>
      <w:r w:rsidR="00F50CD2">
        <w:rPr>
          <w:rFonts w:ascii="Cambria" w:hAnsi="Cambria"/>
          <w:sz w:val="20"/>
          <w:szCs w:val="20"/>
          <w:lang w:val="es-ES_tradnl"/>
        </w:rPr>
        <w:t xml:space="preserve">que </w:t>
      </w:r>
      <w:r w:rsidR="00C86B3E" w:rsidRPr="00EA7460">
        <w:rPr>
          <w:rFonts w:ascii="Cambria" w:hAnsi="Cambria"/>
          <w:sz w:val="20"/>
          <w:szCs w:val="20"/>
          <w:lang w:val="es-ES_tradnl"/>
        </w:rPr>
        <w:t xml:space="preserve">hasta la fecha no se la ha otorgado el beneficio de libertad condicional. </w:t>
      </w:r>
    </w:p>
    <w:p w14:paraId="0F2C2D3D" w14:textId="4DBF250C" w:rsidR="00464F2D" w:rsidRDefault="000B52B2" w:rsidP="00F0191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Pr>
          <w:rFonts w:ascii="Cambria" w:hAnsi="Cambria"/>
          <w:sz w:val="20"/>
          <w:szCs w:val="20"/>
          <w:lang w:val="es-ES_tradnl"/>
        </w:rPr>
        <w:t>La peticionaria narra que</w:t>
      </w:r>
      <w:r w:rsidR="00C86B3E" w:rsidRPr="00EA7460">
        <w:rPr>
          <w:rFonts w:ascii="Cambria" w:hAnsi="Cambria"/>
          <w:sz w:val="20"/>
          <w:szCs w:val="20"/>
          <w:lang w:val="es-ES_tradnl"/>
        </w:rPr>
        <w:t xml:space="preserve"> </w:t>
      </w:r>
      <w:r w:rsidR="00D27D66" w:rsidRPr="00EA7460">
        <w:rPr>
          <w:rFonts w:ascii="Cambria" w:hAnsi="Cambria"/>
          <w:sz w:val="20"/>
          <w:szCs w:val="20"/>
          <w:lang w:val="es-ES_tradnl"/>
        </w:rPr>
        <w:t>el 22 de septiembre de 2003</w:t>
      </w:r>
      <w:r w:rsidR="00C86B3E" w:rsidRPr="00EA7460">
        <w:rPr>
          <w:rFonts w:ascii="Cambria" w:hAnsi="Cambria"/>
          <w:sz w:val="20"/>
          <w:szCs w:val="20"/>
          <w:lang w:val="es-ES_tradnl"/>
        </w:rPr>
        <w:t xml:space="preserve"> las autoridades nacionales detuvieron </w:t>
      </w:r>
      <w:r w:rsidR="0039523A">
        <w:rPr>
          <w:rFonts w:ascii="Cambria" w:hAnsi="Cambria"/>
          <w:sz w:val="20"/>
          <w:szCs w:val="20"/>
          <w:lang w:val="es-ES_tradnl"/>
        </w:rPr>
        <w:t xml:space="preserve">al Sr. </w:t>
      </w:r>
      <w:proofErr w:type="spellStart"/>
      <w:r w:rsidR="0039523A">
        <w:rPr>
          <w:rFonts w:ascii="Cambria" w:hAnsi="Cambria"/>
          <w:sz w:val="20"/>
          <w:szCs w:val="20"/>
          <w:lang w:val="es-ES_tradnl"/>
        </w:rPr>
        <w:t>Padovan</w:t>
      </w:r>
      <w:proofErr w:type="spellEnd"/>
      <w:r w:rsidR="0039523A">
        <w:rPr>
          <w:rFonts w:ascii="Cambria" w:hAnsi="Cambria"/>
          <w:sz w:val="20"/>
          <w:szCs w:val="20"/>
          <w:lang w:val="es-ES_tradnl"/>
        </w:rPr>
        <w:t xml:space="preserve">; y que, posteriormente, </w:t>
      </w:r>
      <w:r w:rsidR="00C86B3E" w:rsidRPr="00EA7460">
        <w:rPr>
          <w:rFonts w:ascii="Cambria" w:hAnsi="Cambria"/>
          <w:sz w:val="20"/>
          <w:szCs w:val="20"/>
          <w:lang w:val="es-ES_tradnl"/>
        </w:rPr>
        <w:t>el 4 de julio de 2007 la pusieron en libertad, debido a una orden de excarcelación proferida por la Sala III de la Cámara Nacional de Casación Penal</w:t>
      </w:r>
      <w:r w:rsidR="00251D21" w:rsidRPr="00EA7460">
        <w:rPr>
          <w:rFonts w:ascii="Cambria" w:hAnsi="Cambria"/>
          <w:sz w:val="20"/>
          <w:szCs w:val="20"/>
          <w:lang w:val="es-ES_tradnl"/>
        </w:rPr>
        <w:t xml:space="preserve">. </w:t>
      </w:r>
      <w:r w:rsidR="00C86B3E" w:rsidRPr="00EA7460">
        <w:rPr>
          <w:rFonts w:ascii="Cambria" w:hAnsi="Cambria"/>
          <w:sz w:val="20"/>
          <w:szCs w:val="20"/>
          <w:lang w:val="es-ES_tradnl"/>
        </w:rPr>
        <w:t>Pese a ello</w:t>
      </w:r>
      <w:r w:rsidR="00251D21" w:rsidRPr="00EA7460">
        <w:rPr>
          <w:rFonts w:ascii="Cambria" w:hAnsi="Cambria"/>
          <w:sz w:val="20"/>
          <w:szCs w:val="20"/>
          <w:lang w:val="es-ES_tradnl"/>
        </w:rPr>
        <w:t>,</w:t>
      </w:r>
      <w:r w:rsidR="00D27D66" w:rsidRPr="00EA7460">
        <w:rPr>
          <w:rFonts w:ascii="Cambria" w:hAnsi="Cambria"/>
          <w:sz w:val="20"/>
          <w:szCs w:val="20"/>
          <w:lang w:val="es-ES_tradnl"/>
        </w:rPr>
        <w:t xml:space="preserve"> </w:t>
      </w:r>
      <w:r w:rsidR="00C86B3E" w:rsidRPr="00EA7460">
        <w:rPr>
          <w:rFonts w:ascii="Cambria" w:hAnsi="Cambria"/>
          <w:sz w:val="20"/>
          <w:szCs w:val="20"/>
          <w:lang w:val="es-ES_tradnl"/>
        </w:rPr>
        <w:t xml:space="preserve">denuncia que </w:t>
      </w:r>
      <w:r w:rsidR="00D27D66" w:rsidRPr="00EA7460">
        <w:rPr>
          <w:rFonts w:ascii="Cambria" w:hAnsi="Cambria"/>
          <w:sz w:val="20"/>
          <w:szCs w:val="20"/>
          <w:lang w:val="es-ES_tradnl"/>
        </w:rPr>
        <w:t>el 22 de mayo de 2008 la presunta v</w:t>
      </w:r>
      <w:r w:rsidR="00AD4B70" w:rsidRPr="00EA7460">
        <w:rPr>
          <w:rFonts w:ascii="Cambria" w:hAnsi="Cambria"/>
          <w:sz w:val="20"/>
          <w:szCs w:val="20"/>
          <w:lang w:val="es-ES_tradnl"/>
        </w:rPr>
        <w:t>íctima fue</w:t>
      </w:r>
      <w:r w:rsidR="00D27D66" w:rsidRPr="00EA7460">
        <w:rPr>
          <w:rFonts w:ascii="Cambria" w:hAnsi="Cambria"/>
          <w:sz w:val="20"/>
          <w:szCs w:val="20"/>
          <w:lang w:val="es-ES_tradnl"/>
        </w:rPr>
        <w:t xml:space="preserve"> nuevamente</w:t>
      </w:r>
      <w:r w:rsidR="00251D21" w:rsidRPr="00EA7460">
        <w:rPr>
          <w:rFonts w:ascii="Cambria" w:hAnsi="Cambria"/>
          <w:sz w:val="20"/>
          <w:szCs w:val="20"/>
          <w:lang w:val="es-ES_tradnl"/>
        </w:rPr>
        <w:t xml:space="preserve"> privada de libertad</w:t>
      </w:r>
      <w:r w:rsidR="0039523A">
        <w:rPr>
          <w:rFonts w:ascii="Cambria" w:hAnsi="Cambria"/>
          <w:sz w:val="20"/>
          <w:szCs w:val="20"/>
          <w:lang w:val="es-ES_tradnl"/>
        </w:rPr>
        <w:t>;</w:t>
      </w:r>
      <w:r w:rsidR="00251D21" w:rsidRPr="00EA7460">
        <w:rPr>
          <w:rFonts w:ascii="Cambria" w:hAnsi="Cambria"/>
          <w:sz w:val="20"/>
          <w:szCs w:val="20"/>
          <w:lang w:val="es-ES_tradnl"/>
        </w:rPr>
        <w:t xml:space="preserve"> y, posteriormente, el Tribunal Oral Federal Criminal N. 1 de la ciudad de Córdoba (</w:t>
      </w:r>
      <w:r w:rsidR="002A53B4" w:rsidRPr="00EA7460">
        <w:rPr>
          <w:rFonts w:ascii="Cambria" w:hAnsi="Cambria"/>
          <w:sz w:val="20"/>
          <w:szCs w:val="20"/>
          <w:lang w:val="es-ES_tradnl"/>
        </w:rPr>
        <w:t xml:space="preserve">en adelante, </w:t>
      </w:r>
      <w:r w:rsidR="00251D21" w:rsidRPr="00EA7460">
        <w:rPr>
          <w:rFonts w:ascii="Cambria" w:hAnsi="Cambria"/>
          <w:sz w:val="20"/>
          <w:szCs w:val="20"/>
          <w:lang w:val="es-ES_tradnl"/>
        </w:rPr>
        <w:t>TOCF N.1) l</w:t>
      </w:r>
      <w:r w:rsidR="0039523A">
        <w:rPr>
          <w:rFonts w:ascii="Cambria" w:hAnsi="Cambria"/>
          <w:sz w:val="20"/>
          <w:szCs w:val="20"/>
          <w:lang w:val="es-ES_tradnl"/>
        </w:rPr>
        <w:t>o</w:t>
      </w:r>
      <w:r w:rsidR="00251D21" w:rsidRPr="00EA7460">
        <w:rPr>
          <w:rFonts w:ascii="Cambria" w:hAnsi="Cambria"/>
          <w:sz w:val="20"/>
          <w:szCs w:val="20"/>
          <w:lang w:val="es-ES_tradnl"/>
        </w:rPr>
        <w:t xml:space="preserve"> condenó a </w:t>
      </w:r>
      <w:r w:rsidR="004441CA">
        <w:rPr>
          <w:rFonts w:ascii="Cambria" w:hAnsi="Cambria"/>
          <w:sz w:val="20"/>
          <w:szCs w:val="20"/>
          <w:lang w:val="es-ES_tradnl"/>
        </w:rPr>
        <w:t>prisión</w:t>
      </w:r>
      <w:r w:rsidR="00251D21" w:rsidRPr="00EA7460">
        <w:rPr>
          <w:rFonts w:ascii="Cambria" w:hAnsi="Cambria"/>
          <w:sz w:val="20"/>
          <w:szCs w:val="20"/>
          <w:lang w:val="es-ES_tradnl"/>
        </w:rPr>
        <w:t xml:space="preserve"> perpetua, mediante sentencia N. 22/08.</w:t>
      </w:r>
      <w:r w:rsidR="00A9678F" w:rsidRPr="00EA7460">
        <w:rPr>
          <w:rFonts w:ascii="Cambria" w:hAnsi="Cambria"/>
          <w:sz w:val="20"/>
          <w:szCs w:val="20"/>
          <w:lang w:val="es-ES_tradnl"/>
        </w:rPr>
        <w:t xml:space="preserve"> </w:t>
      </w:r>
      <w:r w:rsidR="00F01916" w:rsidRPr="00F01916">
        <w:rPr>
          <w:rFonts w:ascii="Cambria" w:hAnsi="Cambria"/>
          <w:sz w:val="20"/>
          <w:szCs w:val="20"/>
          <w:lang w:val="es-ES_tradnl"/>
        </w:rPr>
        <w:t>A</w:t>
      </w:r>
      <w:r w:rsidR="00464F2D" w:rsidRPr="00F01916">
        <w:rPr>
          <w:rFonts w:ascii="Cambria" w:hAnsi="Cambria"/>
          <w:sz w:val="20"/>
          <w:szCs w:val="20"/>
          <w:lang w:val="es-ES_tradnl"/>
        </w:rPr>
        <w:t xml:space="preserve">lega que a pesar de que la Cámara Federal de Córdoba desprocesó </w:t>
      </w:r>
      <w:r w:rsidR="007377F5" w:rsidRPr="00F01916">
        <w:rPr>
          <w:rFonts w:ascii="Cambria" w:hAnsi="Cambria"/>
          <w:sz w:val="20"/>
          <w:szCs w:val="20"/>
          <w:lang w:val="es-ES_tradnl"/>
        </w:rPr>
        <w:t xml:space="preserve">al Sr. </w:t>
      </w:r>
      <w:proofErr w:type="spellStart"/>
      <w:r w:rsidR="007377F5" w:rsidRPr="00F01916">
        <w:rPr>
          <w:rFonts w:ascii="Cambria" w:hAnsi="Cambria"/>
          <w:sz w:val="20"/>
          <w:szCs w:val="20"/>
          <w:lang w:val="es-ES_tradnl"/>
        </w:rPr>
        <w:t>Padovan</w:t>
      </w:r>
      <w:proofErr w:type="spellEnd"/>
      <w:r w:rsidR="00464F2D" w:rsidRPr="00F01916">
        <w:rPr>
          <w:rFonts w:ascii="Cambria" w:hAnsi="Cambria"/>
          <w:sz w:val="20"/>
          <w:szCs w:val="20"/>
          <w:lang w:val="es-ES_tradnl"/>
        </w:rPr>
        <w:t xml:space="preserve"> en el marco de la causa “31-M-87” y sus acumuladas, el fallo condenatorio en su contra se </w:t>
      </w:r>
      <w:r w:rsidR="00EA7460" w:rsidRPr="00F01916">
        <w:rPr>
          <w:rFonts w:ascii="Cambria" w:hAnsi="Cambria"/>
          <w:sz w:val="20"/>
          <w:szCs w:val="20"/>
          <w:lang w:val="es-ES_tradnl"/>
        </w:rPr>
        <w:t>basó</w:t>
      </w:r>
      <w:r w:rsidR="00464F2D" w:rsidRPr="00F01916">
        <w:rPr>
          <w:rFonts w:ascii="Cambria" w:hAnsi="Cambria"/>
          <w:sz w:val="20"/>
          <w:szCs w:val="20"/>
          <w:lang w:val="es-ES_tradnl"/>
        </w:rPr>
        <w:t xml:space="preserve"> en los mismos hechos, lo cual evidenciaría la violación de sus derechos</w:t>
      </w:r>
      <w:r w:rsidR="00BE5E8C">
        <w:rPr>
          <w:rFonts w:ascii="Cambria" w:hAnsi="Cambria"/>
          <w:sz w:val="20"/>
          <w:szCs w:val="20"/>
          <w:lang w:val="es-ES_tradnl"/>
        </w:rPr>
        <w:t>.</w:t>
      </w:r>
    </w:p>
    <w:p w14:paraId="38FD1DA5" w14:textId="77777777" w:rsidR="00BE5E8C" w:rsidRPr="00F01916" w:rsidRDefault="00BE5E8C" w:rsidP="00BE5E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sz w:val="20"/>
          <w:szCs w:val="20"/>
          <w:lang w:val="es-ES_tradnl"/>
        </w:rPr>
      </w:pPr>
    </w:p>
    <w:p w14:paraId="31CE7309" w14:textId="68CBB3AE" w:rsidR="00A9678F" w:rsidRPr="00EA7460" w:rsidRDefault="00464F2D" w:rsidP="006A7A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sidRPr="00EA7460">
        <w:rPr>
          <w:rFonts w:ascii="Cambria" w:hAnsi="Cambria"/>
          <w:sz w:val="20"/>
          <w:szCs w:val="20"/>
          <w:lang w:val="es-ES_tradnl"/>
        </w:rPr>
        <w:lastRenderedPageBreak/>
        <w:t>I</w:t>
      </w:r>
      <w:r w:rsidR="00A9678F" w:rsidRPr="00EA7460">
        <w:rPr>
          <w:rFonts w:ascii="Cambria" w:hAnsi="Cambria"/>
          <w:sz w:val="20"/>
          <w:szCs w:val="20"/>
          <w:lang w:val="es-ES_tradnl"/>
        </w:rPr>
        <w:t>ndica que el</w:t>
      </w:r>
      <w:r w:rsidR="005513C7" w:rsidRPr="00EA7460">
        <w:rPr>
          <w:rFonts w:ascii="Cambria" w:hAnsi="Cambria"/>
          <w:sz w:val="20"/>
          <w:szCs w:val="20"/>
          <w:lang w:val="es-ES_tradnl"/>
        </w:rPr>
        <w:t xml:space="preserve"> </w:t>
      </w:r>
      <w:r w:rsidR="00A9678F" w:rsidRPr="00EA7460">
        <w:rPr>
          <w:rFonts w:ascii="Cambria" w:hAnsi="Cambria"/>
          <w:sz w:val="20"/>
          <w:szCs w:val="20"/>
          <w:lang w:val="es-ES_tradnl"/>
        </w:rPr>
        <w:t xml:space="preserve">señor </w:t>
      </w:r>
      <w:proofErr w:type="spellStart"/>
      <w:r w:rsidR="005513C7" w:rsidRPr="00EA7460">
        <w:rPr>
          <w:rFonts w:ascii="Cambria" w:hAnsi="Cambria"/>
          <w:sz w:val="20"/>
          <w:szCs w:val="20"/>
          <w:lang w:val="es-ES_tradnl"/>
        </w:rPr>
        <w:t>Padovan</w:t>
      </w:r>
      <w:proofErr w:type="spellEnd"/>
      <w:r w:rsidR="005513C7" w:rsidRPr="00EA7460">
        <w:rPr>
          <w:rFonts w:ascii="Cambria" w:hAnsi="Cambria"/>
          <w:sz w:val="20"/>
          <w:szCs w:val="20"/>
          <w:lang w:val="es-ES_tradnl"/>
        </w:rPr>
        <w:t xml:space="preserve"> </w:t>
      </w:r>
      <w:r w:rsidR="00871CE8" w:rsidRPr="00EA7460">
        <w:rPr>
          <w:rFonts w:ascii="Cambria" w:hAnsi="Cambria"/>
          <w:sz w:val="20"/>
          <w:szCs w:val="20"/>
          <w:lang w:val="es-ES_tradnl"/>
        </w:rPr>
        <w:t>interpuso recurso de queja</w:t>
      </w:r>
      <w:r w:rsidR="00A9678F" w:rsidRPr="00EA7460">
        <w:rPr>
          <w:rFonts w:ascii="Cambria" w:hAnsi="Cambria"/>
          <w:sz w:val="20"/>
          <w:szCs w:val="20"/>
          <w:lang w:val="es-ES_tradnl"/>
        </w:rPr>
        <w:t xml:space="preserve"> </w:t>
      </w:r>
      <w:r w:rsidRPr="00EA7460">
        <w:rPr>
          <w:rFonts w:ascii="Cambria" w:hAnsi="Cambria"/>
          <w:sz w:val="20"/>
          <w:szCs w:val="20"/>
          <w:lang w:val="es-ES_tradnl"/>
        </w:rPr>
        <w:t>contra tal decisión</w:t>
      </w:r>
      <w:r w:rsidR="00F4481F">
        <w:rPr>
          <w:rFonts w:ascii="Cambria" w:hAnsi="Cambria"/>
          <w:sz w:val="20"/>
          <w:szCs w:val="20"/>
          <w:lang w:val="es-ES_tradnl"/>
        </w:rPr>
        <w:t>;</w:t>
      </w:r>
      <w:r w:rsidRPr="00EA7460">
        <w:rPr>
          <w:rFonts w:ascii="Cambria" w:hAnsi="Cambria"/>
          <w:sz w:val="20"/>
          <w:szCs w:val="20"/>
          <w:lang w:val="es-ES_tradnl"/>
        </w:rPr>
        <w:t xml:space="preserve"> </w:t>
      </w:r>
      <w:r w:rsidR="00A9678F" w:rsidRPr="00EA7460">
        <w:rPr>
          <w:rFonts w:ascii="Cambria" w:hAnsi="Cambria"/>
          <w:sz w:val="20"/>
          <w:szCs w:val="20"/>
          <w:lang w:val="es-ES_tradnl"/>
        </w:rPr>
        <w:t>y</w:t>
      </w:r>
      <w:r w:rsidR="000E445D">
        <w:rPr>
          <w:rFonts w:ascii="Cambria" w:hAnsi="Cambria"/>
          <w:sz w:val="20"/>
          <w:szCs w:val="20"/>
          <w:lang w:val="es-ES_tradnl"/>
        </w:rPr>
        <w:t xml:space="preserve"> que</w:t>
      </w:r>
      <w:r w:rsidR="00871CE8" w:rsidRPr="00EA7460">
        <w:rPr>
          <w:rFonts w:ascii="Cambria" w:hAnsi="Cambria"/>
          <w:sz w:val="20"/>
          <w:szCs w:val="20"/>
          <w:lang w:val="es-ES_tradnl"/>
        </w:rPr>
        <w:t xml:space="preserve"> el 29 de agosto de 2008 </w:t>
      </w:r>
      <w:r w:rsidR="00A9678F" w:rsidRPr="00EA7460">
        <w:rPr>
          <w:rFonts w:ascii="Cambria" w:hAnsi="Cambria"/>
          <w:sz w:val="20"/>
          <w:szCs w:val="20"/>
          <w:lang w:val="es-ES_tradnl"/>
        </w:rPr>
        <w:t xml:space="preserve">presentó </w:t>
      </w:r>
      <w:r w:rsidR="00871CE8" w:rsidRPr="00EA7460">
        <w:rPr>
          <w:rFonts w:ascii="Cambria" w:hAnsi="Cambria"/>
          <w:sz w:val="20"/>
          <w:szCs w:val="20"/>
          <w:lang w:val="es-ES_tradnl"/>
        </w:rPr>
        <w:t>una denuncia penal</w:t>
      </w:r>
      <w:r w:rsidR="00A9678F" w:rsidRPr="00EA7460">
        <w:rPr>
          <w:rFonts w:ascii="Cambria" w:hAnsi="Cambria"/>
          <w:sz w:val="20"/>
          <w:szCs w:val="20"/>
          <w:lang w:val="es-ES_tradnl"/>
        </w:rPr>
        <w:t xml:space="preserve">, alegando el </w:t>
      </w:r>
      <w:r w:rsidR="006A7A1B" w:rsidRPr="00EA7460">
        <w:rPr>
          <w:rFonts w:ascii="Cambria" w:hAnsi="Cambria"/>
          <w:sz w:val="20"/>
          <w:szCs w:val="20"/>
          <w:lang w:val="es-ES_tradnl"/>
        </w:rPr>
        <w:t xml:space="preserve">uso </w:t>
      </w:r>
      <w:r w:rsidR="00A9678F" w:rsidRPr="00EA7460">
        <w:rPr>
          <w:rFonts w:ascii="Cambria" w:hAnsi="Cambria"/>
          <w:sz w:val="20"/>
          <w:szCs w:val="20"/>
          <w:lang w:val="es-ES_tradnl"/>
        </w:rPr>
        <w:t>de un</w:t>
      </w:r>
      <w:r w:rsidR="006A7A1B" w:rsidRPr="00EA7460">
        <w:rPr>
          <w:rFonts w:ascii="Cambria" w:hAnsi="Cambria"/>
          <w:sz w:val="20"/>
          <w:szCs w:val="20"/>
          <w:lang w:val="es-ES_tradnl"/>
        </w:rPr>
        <w:t xml:space="preserve"> documento de la falso en su contra</w:t>
      </w:r>
      <w:r w:rsidR="00A9678F" w:rsidRPr="00EA7460">
        <w:rPr>
          <w:rFonts w:ascii="Cambria" w:hAnsi="Cambria"/>
          <w:sz w:val="20"/>
          <w:szCs w:val="20"/>
          <w:lang w:val="es-ES_tradnl"/>
        </w:rPr>
        <w:t>, que presuntamente contenía los nombres de las personas que fueron fusiladas dentro del centro clandestino de detención “La Perla”</w:t>
      </w:r>
      <w:r w:rsidR="00F4481F">
        <w:rPr>
          <w:rFonts w:ascii="Cambria" w:hAnsi="Cambria"/>
          <w:sz w:val="20"/>
          <w:szCs w:val="20"/>
          <w:lang w:val="es-ES_tradnl"/>
        </w:rPr>
        <w:t>,</w:t>
      </w:r>
      <w:r w:rsidR="006A7A1B" w:rsidRPr="00EA7460">
        <w:rPr>
          <w:rFonts w:ascii="Cambria" w:hAnsi="Cambria"/>
          <w:sz w:val="20"/>
          <w:szCs w:val="20"/>
          <w:lang w:val="es-ES_tradnl"/>
        </w:rPr>
        <w:t xml:space="preserve"> que, posteriormente, fueron fusiladas. No obstante, arguye que las autoridades desestimaron sus demandas. </w:t>
      </w:r>
    </w:p>
    <w:p w14:paraId="3B1ADB2E" w14:textId="06B616BA" w:rsidR="00777C10" w:rsidRPr="00EA7460" w:rsidRDefault="006C52CF" w:rsidP="00777C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Pr>
          <w:rFonts w:ascii="Cambria" w:hAnsi="Cambria"/>
          <w:sz w:val="20"/>
          <w:szCs w:val="20"/>
          <w:lang w:val="es-ES_tradnl"/>
        </w:rPr>
        <w:t>E</w:t>
      </w:r>
      <w:r w:rsidR="005B67B4" w:rsidRPr="00EA7460">
        <w:rPr>
          <w:rFonts w:ascii="Cambria" w:hAnsi="Cambria"/>
          <w:sz w:val="20"/>
          <w:szCs w:val="20"/>
          <w:lang w:val="es-ES_tradnl"/>
        </w:rPr>
        <w:t>l</w:t>
      </w:r>
      <w:r w:rsidR="000679C0" w:rsidRPr="00EA7460">
        <w:rPr>
          <w:rFonts w:ascii="Cambria" w:hAnsi="Cambria"/>
          <w:sz w:val="20"/>
          <w:szCs w:val="20"/>
          <w:lang w:val="es-ES_tradnl"/>
        </w:rPr>
        <w:t xml:space="preserve"> 29 de septiembre de 2008 y </w:t>
      </w:r>
      <w:r w:rsidR="005B67B4" w:rsidRPr="00EA7460">
        <w:rPr>
          <w:rFonts w:ascii="Cambria" w:hAnsi="Cambria"/>
          <w:sz w:val="20"/>
          <w:szCs w:val="20"/>
          <w:lang w:val="es-ES_tradnl"/>
        </w:rPr>
        <w:t xml:space="preserve">el </w:t>
      </w:r>
      <w:r w:rsidR="000679C0" w:rsidRPr="00EA7460">
        <w:rPr>
          <w:rFonts w:ascii="Cambria" w:hAnsi="Cambria"/>
          <w:sz w:val="20"/>
          <w:szCs w:val="20"/>
          <w:lang w:val="es-ES_tradnl"/>
        </w:rPr>
        <w:t>5 de noviembre de 2008</w:t>
      </w:r>
      <w:r w:rsidR="00777C10" w:rsidRPr="00EA7460">
        <w:rPr>
          <w:rFonts w:ascii="Cambria" w:hAnsi="Cambria"/>
          <w:sz w:val="20"/>
          <w:szCs w:val="20"/>
          <w:lang w:val="es-ES_tradnl"/>
        </w:rPr>
        <w:t>,</w:t>
      </w:r>
      <w:r w:rsidR="000679C0" w:rsidRPr="00EA7460">
        <w:rPr>
          <w:rFonts w:ascii="Cambria" w:hAnsi="Cambria"/>
          <w:sz w:val="20"/>
          <w:szCs w:val="20"/>
          <w:lang w:val="es-ES_tradnl"/>
        </w:rPr>
        <w:t xml:space="preserve"> </w:t>
      </w:r>
      <w:r>
        <w:rPr>
          <w:rFonts w:ascii="Cambria" w:hAnsi="Cambria"/>
          <w:sz w:val="20"/>
          <w:szCs w:val="20"/>
          <w:lang w:val="es-ES_tradnl"/>
        </w:rPr>
        <w:t xml:space="preserve">el Sr. </w:t>
      </w:r>
      <w:proofErr w:type="spellStart"/>
      <w:r>
        <w:rPr>
          <w:rFonts w:ascii="Cambria" w:hAnsi="Cambria"/>
          <w:sz w:val="20"/>
          <w:szCs w:val="20"/>
          <w:lang w:val="es-ES_tradnl"/>
        </w:rPr>
        <w:t>Padovan</w:t>
      </w:r>
      <w:proofErr w:type="spellEnd"/>
      <w:r w:rsidRPr="00EA7460">
        <w:rPr>
          <w:rFonts w:ascii="Cambria" w:hAnsi="Cambria"/>
          <w:sz w:val="20"/>
          <w:szCs w:val="20"/>
          <w:lang w:val="es-ES_tradnl"/>
        </w:rPr>
        <w:t xml:space="preserve"> </w:t>
      </w:r>
      <w:r w:rsidR="000679C0" w:rsidRPr="00EA7460">
        <w:rPr>
          <w:rFonts w:ascii="Cambria" w:hAnsi="Cambria"/>
          <w:sz w:val="20"/>
          <w:szCs w:val="20"/>
          <w:lang w:val="es-ES_tradnl"/>
        </w:rPr>
        <w:t>presentó</w:t>
      </w:r>
      <w:r w:rsidR="005B67B4" w:rsidRPr="00EA7460">
        <w:rPr>
          <w:rFonts w:ascii="Cambria" w:hAnsi="Cambria"/>
          <w:sz w:val="20"/>
          <w:szCs w:val="20"/>
          <w:lang w:val="es-ES_tradnl"/>
        </w:rPr>
        <w:t xml:space="preserve"> </w:t>
      </w:r>
      <w:r w:rsidR="000679C0" w:rsidRPr="00EA7460">
        <w:rPr>
          <w:rFonts w:ascii="Cambria" w:hAnsi="Cambria"/>
          <w:sz w:val="20"/>
          <w:szCs w:val="20"/>
          <w:lang w:val="es-ES_tradnl"/>
        </w:rPr>
        <w:t>recurso</w:t>
      </w:r>
      <w:r w:rsidR="00777C10" w:rsidRPr="00EA7460">
        <w:rPr>
          <w:rFonts w:ascii="Cambria" w:hAnsi="Cambria"/>
          <w:sz w:val="20"/>
          <w:szCs w:val="20"/>
          <w:lang w:val="es-ES_tradnl"/>
        </w:rPr>
        <w:t>s</w:t>
      </w:r>
      <w:r w:rsidR="000679C0" w:rsidRPr="00EA7460">
        <w:rPr>
          <w:rFonts w:ascii="Cambria" w:hAnsi="Cambria"/>
          <w:sz w:val="20"/>
          <w:szCs w:val="20"/>
          <w:lang w:val="es-ES_tradnl"/>
        </w:rPr>
        <w:t xml:space="preserve"> de </w:t>
      </w:r>
      <w:r w:rsidR="00777C10" w:rsidRPr="00EA7460">
        <w:rPr>
          <w:rFonts w:ascii="Cambria" w:hAnsi="Cambria"/>
          <w:sz w:val="20"/>
          <w:szCs w:val="20"/>
          <w:lang w:val="es-ES_tradnl"/>
        </w:rPr>
        <w:t>há</w:t>
      </w:r>
      <w:r w:rsidR="000679C0" w:rsidRPr="00EA7460">
        <w:rPr>
          <w:rFonts w:ascii="Cambria" w:hAnsi="Cambria"/>
          <w:sz w:val="20"/>
          <w:szCs w:val="20"/>
          <w:lang w:val="es-ES_tradnl"/>
        </w:rPr>
        <w:t xml:space="preserve">beas </w:t>
      </w:r>
      <w:r w:rsidR="00777C10" w:rsidRPr="00EA7460">
        <w:rPr>
          <w:rFonts w:ascii="Cambria" w:hAnsi="Cambria"/>
          <w:sz w:val="20"/>
          <w:szCs w:val="20"/>
          <w:lang w:val="es-ES_tradnl"/>
        </w:rPr>
        <w:t>c</w:t>
      </w:r>
      <w:r w:rsidR="000679C0" w:rsidRPr="00EA7460">
        <w:rPr>
          <w:rFonts w:ascii="Cambria" w:hAnsi="Cambria"/>
          <w:sz w:val="20"/>
          <w:szCs w:val="20"/>
          <w:lang w:val="es-ES_tradnl"/>
        </w:rPr>
        <w:t>orpus</w:t>
      </w:r>
      <w:r w:rsidR="00464F2D" w:rsidRPr="00EA7460">
        <w:rPr>
          <w:rFonts w:ascii="Cambria" w:hAnsi="Cambria"/>
          <w:sz w:val="20"/>
          <w:szCs w:val="20"/>
          <w:lang w:val="es-ES_tradnl"/>
        </w:rPr>
        <w:t xml:space="preserve"> </w:t>
      </w:r>
      <w:r w:rsidR="00777C10" w:rsidRPr="00EA7460">
        <w:rPr>
          <w:rFonts w:ascii="Cambria" w:hAnsi="Cambria"/>
          <w:sz w:val="20"/>
          <w:szCs w:val="20"/>
          <w:lang w:val="es-ES_tradnl"/>
        </w:rPr>
        <w:t>contra su</w:t>
      </w:r>
      <w:r w:rsidR="000679C0" w:rsidRPr="00EA7460">
        <w:rPr>
          <w:rFonts w:ascii="Cambria" w:hAnsi="Cambria"/>
          <w:sz w:val="20"/>
          <w:szCs w:val="20"/>
          <w:lang w:val="es-ES_tradnl"/>
        </w:rPr>
        <w:t xml:space="preserve"> sentencia condenatoria</w:t>
      </w:r>
      <w:r w:rsidR="00464F2D" w:rsidRPr="00EA7460">
        <w:rPr>
          <w:rFonts w:ascii="Cambria" w:hAnsi="Cambria"/>
          <w:sz w:val="20"/>
          <w:szCs w:val="20"/>
          <w:lang w:val="es-ES_tradnl"/>
        </w:rPr>
        <w:t xml:space="preserve">, pero </w:t>
      </w:r>
      <w:r w:rsidR="00777C10" w:rsidRPr="00EA7460">
        <w:rPr>
          <w:rFonts w:ascii="Cambria" w:hAnsi="Cambria"/>
          <w:sz w:val="20"/>
          <w:szCs w:val="20"/>
          <w:lang w:val="es-ES_tradnl"/>
        </w:rPr>
        <w:t>los órganos de justicia</w:t>
      </w:r>
      <w:r w:rsidR="006A7A1B" w:rsidRPr="00EA7460">
        <w:rPr>
          <w:rFonts w:ascii="Cambria" w:hAnsi="Cambria"/>
          <w:sz w:val="20"/>
          <w:szCs w:val="20"/>
          <w:lang w:val="es-ES_tradnl"/>
        </w:rPr>
        <w:t xml:space="preserve"> los rechazaron</w:t>
      </w:r>
      <w:r w:rsidR="00777C10" w:rsidRPr="00EA7460">
        <w:rPr>
          <w:rFonts w:ascii="Cambria" w:hAnsi="Cambria"/>
          <w:sz w:val="20"/>
          <w:szCs w:val="20"/>
          <w:lang w:val="es-ES_tradnl"/>
        </w:rPr>
        <w:t xml:space="preserve">. </w:t>
      </w:r>
      <w:r>
        <w:rPr>
          <w:rFonts w:ascii="Cambria" w:hAnsi="Cambria"/>
          <w:sz w:val="20"/>
          <w:szCs w:val="20"/>
          <w:lang w:val="es-ES_tradnl"/>
        </w:rPr>
        <w:t>Aduce</w:t>
      </w:r>
      <w:r w:rsidR="00777C10" w:rsidRPr="00EA7460">
        <w:rPr>
          <w:rFonts w:ascii="Cambria" w:hAnsi="Cambria"/>
          <w:sz w:val="20"/>
          <w:szCs w:val="20"/>
          <w:lang w:val="es-ES_tradnl"/>
        </w:rPr>
        <w:t xml:space="preserve"> que ninguno de tales pedidos fue resuelto conforme a </w:t>
      </w:r>
      <w:r>
        <w:rPr>
          <w:rFonts w:ascii="Cambria" w:hAnsi="Cambria"/>
          <w:sz w:val="20"/>
          <w:szCs w:val="20"/>
          <w:lang w:val="es-ES_tradnl"/>
        </w:rPr>
        <w:t>d</w:t>
      </w:r>
      <w:r w:rsidR="00777C10" w:rsidRPr="00EA7460">
        <w:rPr>
          <w:rFonts w:ascii="Cambria" w:hAnsi="Cambria"/>
          <w:sz w:val="20"/>
          <w:szCs w:val="20"/>
          <w:lang w:val="es-ES_tradnl"/>
        </w:rPr>
        <w:t xml:space="preserve">erecho –no obstante, </w:t>
      </w:r>
      <w:r w:rsidR="00C86B3E" w:rsidRPr="00EA7460">
        <w:rPr>
          <w:rFonts w:ascii="Cambria" w:hAnsi="Cambria"/>
          <w:sz w:val="20"/>
          <w:szCs w:val="20"/>
          <w:lang w:val="es-ES_tradnl"/>
        </w:rPr>
        <w:t xml:space="preserve">no brinda más sustento para demostrar </w:t>
      </w:r>
      <w:r w:rsidR="00777C10" w:rsidRPr="00EA7460">
        <w:rPr>
          <w:rFonts w:ascii="Cambria" w:hAnsi="Cambria"/>
          <w:sz w:val="20"/>
          <w:szCs w:val="20"/>
          <w:lang w:val="es-ES_tradnl"/>
        </w:rPr>
        <w:t>tal afirmación</w:t>
      </w:r>
      <w:r w:rsidRPr="00EA7460">
        <w:rPr>
          <w:rFonts w:ascii="Cambria" w:hAnsi="Cambria"/>
          <w:sz w:val="20"/>
          <w:szCs w:val="20"/>
          <w:lang w:val="es-ES_tradnl"/>
        </w:rPr>
        <w:t>–</w:t>
      </w:r>
      <w:r w:rsidR="00777C10" w:rsidRPr="00EA7460">
        <w:rPr>
          <w:rFonts w:ascii="Cambria" w:hAnsi="Cambria"/>
          <w:sz w:val="20"/>
          <w:szCs w:val="20"/>
          <w:lang w:val="es-ES_tradnl"/>
        </w:rPr>
        <w:t xml:space="preserve">. </w:t>
      </w:r>
    </w:p>
    <w:p w14:paraId="111758B4" w14:textId="44E020EE" w:rsidR="008F6577" w:rsidRPr="00EA7460" w:rsidRDefault="00464F2D" w:rsidP="006A7A1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_tradnl"/>
        </w:rPr>
      </w:pPr>
      <w:r w:rsidRPr="00EA7460">
        <w:rPr>
          <w:sz w:val="20"/>
          <w:szCs w:val="20"/>
          <w:lang w:val="es-ES_tradnl"/>
        </w:rPr>
        <w:t>Agrega</w:t>
      </w:r>
      <w:r w:rsidR="00C86B3E" w:rsidRPr="00EA7460">
        <w:rPr>
          <w:sz w:val="20"/>
          <w:szCs w:val="20"/>
          <w:lang w:val="es-ES_tradnl"/>
        </w:rPr>
        <w:t xml:space="preserve"> que el señor </w:t>
      </w:r>
      <w:proofErr w:type="spellStart"/>
      <w:r w:rsidR="00C86B3E" w:rsidRPr="00EA7460">
        <w:rPr>
          <w:sz w:val="20"/>
          <w:szCs w:val="20"/>
          <w:lang w:val="es-ES_tradnl"/>
        </w:rPr>
        <w:t>Padovan</w:t>
      </w:r>
      <w:proofErr w:type="spellEnd"/>
      <w:r w:rsidR="00C86B3E" w:rsidRPr="00EA7460">
        <w:rPr>
          <w:sz w:val="20"/>
          <w:szCs w:val="20"/>
          <w:lang w:val="es-ES_tradnl"/>
        </w:rPr>
        <w:t xml:space="preserve"> cumplió con lo establecido en la ley 24.660 para obtener su libertad condicional</w:t>
      </w:r>
      <w:r w:rsidR="006A7A1B" w:rsidRPr="00EA7460">
        <w:rPr>
          <w:sz w:val="20"/>
          <w:szCs w:val="20"/>
          <w:lang w:val="es-ES_tradnl"/>
        </w:rPr>
        <w:t xml:space="preserve">, toda vez que había cumplido </w:t>
      </w:r>
      <w:r w:rsidR="006C52CF">
        <w:rPr>
          <w:sz w:val="20"/>
          <w:szCs w:val="20"/>
          <w:lang w:val="es-ES_tradnl"/>
        </w:rPr>
        <w:t>dos tercios</w:t>
      </w:r>
      <w:r w:rsidR="006A7A1B" w:rsidRPr="00EA7460">
        <w:rPr>
          <w:sz w:val="20"/>
          <w:szCs w:val="20"/>
          <w:lang w:val="es-ES_tradnl"/>
        </w:rPr>
        <w:t xml:space="preserve"> de su condena</w:t>
      </w:r>
      <w:r w:rsidR="006C52CF">
        <w:rPr>
          <w:sz w:val="20"/>
          <w:szCs w:val="20"/>
          <w:lang w:val="es-ES_tradnl"/>
        </w:rPr>
        <w:t>,</w:t>
      </w:r>
      <w:r w:rsidR="006A7A1B" w:rsidRPr="00EA7460">
        <w:rPr>
          <w:sz w:val="20"/>
          <w:szCs w:val="20"/>
          <w:lang w:val="es-ES_tradnl"/>
        </w:rPr>
        <w:t xml:space="preserve"> </w:t>
      </w:r>
      <w:r w:rsidR="006C52CF">
        <w:rPr>
          <w:sz w:val="20"/>
          <w:szCs w:val="20"/>
          <w:lang w:val="es-ES_tradnl"/>
        </w:rPr>
        <w:t>trece</w:t>
      </w:r>
      <w:r w:rsidR="006A7A1B" w:rsidRPr="00EA7460">
        <w:rPr>
          <w:sz w:val="20"/>
          <w:szCs w:val="20"/>
          <w:lang w:val="es-ES_tradnl"/>
        </w:rPr>
        <w:t xml:space="preserve"> años y cuatro meses de prisión. Sin embargo</w:t>
      </w:r>
      <w:r w:rsidR="00C86B3E" w:rsidRPr="00EA7460">
        <w:rPr>
          <w:sz w:val="20"/>
          <w:szCs w:val="20"/>
          <w:lang w:val="es-ES_tradnl"/>
        </w:rPr>
        <w:t>, sostiene que</w:t>
      </w:r>
      <w:r w:rsidR="006A7A1B" w:rsidRPr="00EA7460">
        <w:rPr>
          <w:sz w:val="20"/>
          <w:szCs w:val="20"/>
          <w:lang w:val="es-ES_tradnl"/>
        </w:rPr>
        <w:t xml:space="preserve"> </w:t>
      </w:r>
      <w:r w:rsidR="006C52CF">
        <w:rPr>
          <w:sz w:val="20"/>
          <w:szCs w:val="20"/>
          <w:lang w:val="es-ES_tradnl"/>
        </w:rPr>
        <w:t>a</w:t>
      </w:r>
      <w:r w:rsidR="006A7A1B" w:rsidRPr="00EA7460">
        <w:rPr>
          <w:sz w:val="20"/>
          <w:szCs w:val="20"/>
          <w:lang w:val="es-ES_tradnl"/>
        </w:rPr>
        <w:t xml:space="preserve"> la fecha </w:t>
      </w:r>
      <w:r w:rsidR="006C52CF">
        <w:rPr>
          <w:sz w:val="20"/>
          <w:szCs w:val="20"/>
          <w:lang w:val="es-ES_tradnl"/>
        </w:rPr>
        <w:t>este</w:t>
      </w:r>
      <w:r w:rsidR="00C86B3E" w:rsidRPr="00EA7460">
        <w:rPr>
          <w:sz w:val="20"/>
          <w:szCs w:val="20"/>
          <w:lang w:val="es-ES_tradnl"/>
        </w:rPr>
        <w:t xml:space="preserve"> permanece privado de su libertad</w:t>
      </w:r>
      <w:r w:rsidR="00320101" w:rsidRPr="00EA7460">
        <w:rPr>
          <w:sz w:val="20"/>
          <w:szCs w:val="20"/>
          <w:lang w:val="es-ES_tradnl"/>
        </w:rPr>
        <w:t>.</w:t>
      </w:r>
      <w:r w:rsidR="003F1291" w:rsidRPr="00EA7460">
        <w:rPr>
          <w:sz w:val="20"/>
          <w:szCs w:val="20"/>
          <w:lang w:val="es-ES_tradnl"/>
        </w:rPr>
        <w:t xml:space="preserve"> </w:t>
      </w:r>
      <w:r w:rsidR="00777C10" w:rsidRPr="00EA7460">
        <w:rPr>
          <w:sz w:val="20"/>
          <w:szCs w:val="20"/>
          <w:lang w:val="es-ES_tradnl"/>
        </w:rPr>
        <w:t>Finalmente</w:t>
      </w:r>
      <w:r w:rsidR="003F1291" w:rsidRPr="00EA7460">
        <w:rPr>
          <w:sz w:val="20"/>
          <w:szCs w:val="20"/>
          <w:lang w:val="es-ES_tradnl"/>
        </w:rPr>
        <w:t xml:space="preserve">, </w:t>
      </w:r>
      <w:r w:rsidR="006C52CF">
        <w:rPr>
          <w:sz w:val="20"/>
          <w:szCs w:val="20"/>
          <w:lang w:val="es-ES_tradnl"/>
        </w:rPr>
        <w:t>indica</w:t>
      </w:r>
      <w:r w:rsidR="003F1291" w:rsidRPr="00EA7460">
        <w:rPr>
          <w:sz w:val="20"/>
          <w:szCs w:val="20"/>
          <w:lang w:val="es-ES_tradnl"/>
        </w:rPr>
        <w:t xml:space="preserve"> que</w:t>
      </w:r>
      <w:r w:rsidR="006A7A1B" w:rsidRPr="00EA7460">
        <w:rPr>
          <w:sz w:val="20"/>
          <w:szCs w:val="20"/>
          <w:lang w:val="es-ES_tradnl"/>
        </w:rPr>
        <w:t xml:space="preserve"> </w:t>
      </w:r>
      <w:r w:rsidR="003F1291" w:rsidRPr="00EA7460">
        <w:rPr>
          <w:sz w:val="20"/>
          <w:szCs w:val="20"/>
          <w:lang w:val="es-ES_tradnl"/>
        </w:rPr>
        <w:t>desde noviembre de 2013</w:t>
      </w:r>
      <w:r w:rsidR="006A7A1B" w:rsidRPr="00EA7460">
        <w:rPr>
          <w:sz w:val="20"/>
          <w:szCs w:val="20"/>
          <w:lang w:val="es-ES_tradnl"/>
        </w:rPr>
        <w:t xml:space="preserve"> </w:t>
      </w:r>
      <w:r w:rsidR="003F1291" w:rsidRPr="00EA7460">
        <w:rPr>
          <w:sz w:val="20"/>
          <w:szCs w:val="20"/>
          <w:lang w:val="es-ES_tradnl"/>
        </w:rPr>
        <w:t xml:space="preserve">se le suspendió el goce de su haber jubilatorio, el cual percibía después de haber servido al Estado por más de </w:t>
      </w:r>
      <w:r w:rsidR="00966FCE">
        <w:rPr>
          <w:sz w:val="20"/>
          <w:szCs w:val="20"/>
          <w:lang w:val="es-ES_tradnl"/>
        </w:rPr>
        <w:t>treinta y dos</w:t>
      </w:r>
      <w:r w:rsidR="003F1291" w:rsidRPr="00EA7460">
        <w:rPr>
          <w:sz w:val="20"/>
          <w:szCs w:val="20"/>
          <w:lang w:val="es-ES_tradnl"/>
        </w:rPr>
        <w:t xml:space="preserve"> años</w:t>
      </w:r>
      <w:r w:rsidR="00966FCE">
        <w:rPr>
          <w:sz w:val="20"/>
          <w:szCs w:val="20"/>
          <w:lang w:val="es-ES_tradnl"/>
        </w:rPr>
        <w:t>,</w:t>
      </w:r>
      <w:r w:rsidR="003F1291" w:rsidRPr="00EA7460">
        <w:rPr>
          <w:sz w:val="20"/>
          <w:szCs w:val="20"/>
          <w:lang w:val="es-ES_tradnl"/>
        </w:rPr>
        <w:t xml:space="preserve"> </w:t>
      </w:r>
      <w:r w:rsidR="00C859B4" w:rsidRPr="00EA7460">
        <w:rPr>
          <w:sz w:val="20"/>
          <w:szCs w:val="20"/>
          <w:lang w:val="es-ES_tradnl"/>
        </w:rPr>
        <w:t>y haber realizado sus aportes jubilatorios hasta</w:t>
      </w:r>
      <w:r w:rsidR="00777C10" w:rsidRPr="00EA7460">
        <w:rPr>
          <w:sz w:val="20"/>
          <w:szCs w:val="20"/>
          <w:lang w:val="es-ES_tradnl"/>
        </w:rPr>
        <w:t xml:space="preserve"> </w:t>
      </w:r>
      <w:r w:rsidR="00C859B4" w:rsidRPr="00EA7460">
        <w:rPr>
          <w:sz w:val="20"/>
          <w:szCs w:val="20"/>
          <w:lang w:val="es-ES_tradnl"/>
        </w:rPr>
        <w:t>octubre de 2013</w:t>
      </w:r>
      <w:r w:rsidR="00777C10" w:rsidRPr="00EA7460">
        <w:rPr>
          <w:sz w:val="20"/>
          <w:szCs w:val="20"/>
          <w:lang w:val="es-ES_tradnl"/>
        </w:rPr>
        <w:t>, fecha en la que</w:t>
      </w:r>
      <w:r w:rsidR="00C859B4" w:rsidRPr="00EA7460">
        <w:rPr>
          <w:sz w:val="20"/>
          <w:szCs w:val="20"/>
          <w:lang w:val="es-ES_tradnl"/>
        </w:rPr>
        <w:t xml:space="preserve"> dejó de recibir su haber pensional.</w:t>
      </w:r>
      <w:r w:rsidR="003F1291" w:rsidRPr="00EA7460">
        <w:rPr>
          <w:sz w:val="20"/>
          <w:szCs w:val="20"/>
          <w:lang w:val="es-ES_tradnl"/>
        </w:rPr>
        <w:t xml:space="preserve"> </w:t>
      </w:r>
    </w:p>
    <w:p w14:paraId="5331F014" w14:textId="5ABA5B56" w:rsidR="00466398" w:rsidRPr="00EA7460" w:rsidRDefault="00466398" w:rsidP="00C142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sidRPr="00EA7460">
        <w:rPr>
          <w:rFonts w:ascii="Cambria" w:hAnsi="Cambria"/>
          <w:sz w:val="20"/>
          <w:szCs w:val="20"/>
          <w:lang w:val="es-ES_tradnl"/>
        </w:rPr>
        <w:t xml:space="preserve">Por su parte, el Estado argumenta que el </w:t>
      </w:r>
      <w:r w:rsidR="002A53B4" w:rsidRPr="00EA7460">
        <w:rPr>
          <w:rFonts w:ascii="Cambria" w:hAnsi="Cambria"/>
          <w:sz w:val="20"/>
          <w:szCs w:val="20"/>
          <w:lang w:val="es-ES_tradnl"/>
        </w:rPr>
        <w:t>señor Valentín</w:t>
      </w:r>
      <w:r w:rsidRPr="00EA7460">
        <w:rPr>
          <w:rFonts w:ascii="Cambria" w:hAnsi="Cambria"/>
          <w:sz w:val="20"/>
          <w:szCs w:val="20"/>
          <w:lang w:val="es-ES_tradnl"/>
        </w:rPr>
        <w:t xml:space="preserve"> </w:t>
      </w:r>
      <w:proofErr w:type="spellStart"/>
      <w:r w:rsidRPr="00EA7460">
        <w:rPr>
          <w:rFonts w:ascii="Cambria" w:hAnsi="Cambria"/>
          <w:sz w:val="20"/>
          <w:szCs w:val="20"/>
          <w:lang w:val="es-ES_tradnl"/>
        </w:rPr>
        <w:t>Padovan</w:t>
      </w:r>
      <w:proofErr w:type="spellEnd"/>
      <w:r w:rsidRPr="00EA7460">
        <w:rPr>
          <w:rFonts w:ascii="Cambria" w:hAnsi="Cambria"/>
          <w:sz w:val="20"/>
          <w:szCs w:val="20"/>
          <w:lang w:val="es-ES_tradnl"/>
        </w:rPr>
        <w:t xml:space="preserve"> </w:t>
      </w:r>
      <w:r w:rsidR="00C1421F" w:rsidRPr="00EA7460">
        <w:rPr>
          <w:rFonts w:ascii="Cambria" w:hAnsi="Cambria"/>
          <w:sz w:val="20"/>
          <w:szCs w:val="20"/>
          <w:lang w:val="es-ES_tradnl"/>
        </w:rPr>
        <w:t xml:space="preserve">se desempeñó como agente de inteligencia del </w:t>
      </w:r>
      <w:r w:rsidR="00966FCE">
        <w:rPr>
          <w:rFonts w:ascii="Cambria" w:hAnsi="Cambria"/>
          <w:sz w:val="20"/>
          <w:szCs w:val="20"/>
          <w:lang w:val="es-ES_tradnl"/>
        </w:rPr>
        <w:t>e</w:t>
      </w:r>
      <w:r w:rsidR="00EA7460" w:rsidRPr="00EA7460">
        <w:rPr>
          <w:rFonts w:ascii="Cambria" w:hAnsi="Cambria"/>
          <w:sz w:val="20"/>
          <w:szCs w:val="20"/>
          <w:lang w:val="es-ES_tradnl"/>
        </w:rPr>
        <w:t>jército</w:t>
      </w:r>
      <w:r w:rsidR="00C1421F" w:rsidRPr="00EA7460">
        <w:rPr>
          <w:rFonts w:ascii="Cambria" w:hAnsi="Cambria"/>
          <w:sz w:val="20"/>
          <w:szCs w:val="20"/>
          <w:lang w:val="es-ES_tradnl"/>
        </w:rPr>
        <w:t xml:space="preserve"> en el centro clandestino de detención conocido como “La Perla”</w:t>
      </w:r>
      <w:r w:rsidR="00966FCE">
        <w:rPr>
          <w:rFonts w:ascii="Cambria" w:hAnsi="Cambria"/>
          <w:sz w:val="20"/>
          <w:szCs w:val="20"/>
          <w:lang w:val="es-ES_tradnl"/>
        </w:rPr>
        <w:t>,</w:t>
      </w:r>
      <w:r w:rsidR="00C1421F" w:rsidRPr="00EA7460">
        <w:rPr>
          <w:rFonts w:ascii="Cambria" w:hAnsi="Cambria"/>
          <w:sz w:val="20"/>
          <w:szCs w:val="20"/>
          <w:lang w:val="es-ES_tradnl"/>
        </w:rPr>
        <w:t xml:space="preserve"> </w:t>
      </w:r>
      <w:r w:rsidR="00966FCE">
        <w:rPr>
          <w:rFonts w:ascii="Cambria" w:hAnsi="Cambria"/>
          <w:sz w:val="20"/>
          <w:szCs w:val="20"/>
          <w:lang w:val="es-ES_tradnl"/>
        </w:rPr>
        <w:t>por lo que</w:t>
      </w:r>
      <w:r w:rsidR="00C1421F" w:rsidRPr="00EA7460">
        <w:rPr>
          <w:rFonts w:ascii="Cambria" w:hAnsi="Cambria"/>
          <w:sz w:val="20"/>
          <w:szCs w:val="20"/>
          <w:lang w:val="es-ES_tradnl"/>
        </w:rPr>
        <w:t xml:space="preserve"> </w:t>
      </w:r>
      <w:r w:rsidRPr="00EA7460">
        <w:rPr>
          <w:rFonts w:ascii="Cambria" w:hAnsi="Cambria"/>
          <w:sz w:val="20"/>
          <w:szCs w:val="20"/>
          <w:lang w:val="es-ES_tradnl"/>
        </w:rPr>
        <w:t>fue juzgado por la comisión de crímenes de lesa humanidad</w:t>
      </w:r>
      <w:r w:rsidR="00C1421F" w:rsidRPr="00EA7460">
        <w:rPr>
          <w:rFonts w:ascii="Cambria" w:hAnsi="Cambria"/>
          <w:sz w:val="20"/>
          <w:szCs w:val="20"/>
          <w:lang w:val="es-ES_tradnl"/>
        </w:rPr>
        <w:t xml:space="preserve"> </w:t>
      </w:r>
      <w:r w:rsidR="002A53B4" w:rsidRPr="00EA7460">
        <w:rPr>
          <w:rFonts w:ascii="Cambria" w:hAnsi="Cambria"/>
          <w:sz w:val="20"/>
          <w:szCs w:val="20"/>
          <w:lang w:val="es-ES_tradnl"/>
        </w:rPr>
        <w:t xml:space="preserve">cometidos </w:t>
      </w:r>
      <w:r w:rsidRPr="00EA7460">
        <w:rPr>
          <w:rFonts w:ascii="Cambria" w:hAnsi="Cambria"/>
          <w:sz w:val="20"/>
          <w:szCs w:val="20"/>
          <w:lang w:val="es-ES_tradnl"/>
        </w:rPr>
        <w:t>durante la dictadura militar</w:t>
      </w:r>
      <w:r w:rsidR="00966FCE">
        <w:rPr>
          <w:rFonts w:ascii="Cambria" w:hAnsi="Cambria"/>
          <w:sz w:val="20"/>
          <w:szCs w:val="20"/>
          <w:lang w:val="es-ES_tradnl"/>
        </w:rPr>
        <w:t>. S</w:t>
      </w:r>
      <w:r w:rsidR="00C1421F" w:rsidRPr="00EA7460">
        <w:rPr>
          <w:rFonts w:ascii="Cambria" w:hAnsi="Cambria"/>
          <w:sz w:val="20"/>
          <w:szCs w:val="20"/>
          <w:lang w:val="es-ES_tradnl"/>
        </w:rPr>
        <w:t xml:space="preserve">e le atribuye haber participado </w:t>
      </w:r>
      <w:r w:rsidR="00966FCE">
        <w:rPr>
          <w:rFonts w:ascii="Cambria" w:hAnsi="Cambria"/>
          <w:sz w:val="20"/>
          <w:szCs w:val="20"/>
          <w:lang w:val="es-ES_tradnl"/>
        </w:rPr>
        <w:t>aprehensión y</w:t>
      </w:r>
      <w:r w:rsidR="00C1421F" w:rsidRPr="00EA7460">
        <w:rPr>
          <w:rFonts w:ascii="Cambria" w:hAnsi="Cambria"/>
          <w:sz w:val="20"/>
          <w:szCs w:val="20"/>
          <w:lang w:val="es-ES_tradnl"/>
        </w:rPr>
        <w:t xml:space="preserve"> ejecución de Horacio </w:t>
      </w:r>
      <w:proofErr w:type="spellStart"/>
      <w:r w:rsidR="00C1421F" w:rsidRPr="00EA7460">
        <w:rPr>
          <w:rFonts w:ascii="Cambria" w:hAnsi="Cambria"/>
          <w:sz w:val="20"/>
          <w:szCs w:val="20"/>
          <w:lang w:val="es-ES_tradnl"/>
        </w:rPr>
        <w:t>Brandalisis</w:t>
      </w:r>
      <w:proofErr w:type="spellEnd"/>
      <w:r w:rsidR="00C1421F" w:rsidRPr="00EA7460">
        <w:rPr>
          <w:rFonts w:ascii="Cambria" w:hAnsi="Cambria"/>
          <w:sz w:val="20"/>
          <w:szCs w:val="20"/>
          <w:lang w:val="es-ES_tradnl"/>
        </w:rPr>
        <w:t xml:space="preserve">, Carlos E. Lajas, Hilda Flora Palacios y Raúl Osvaldo Cardozo, quiénes eran </w:t>
      </w:r>
      <w:r w:rsidR="00922CEF" w:rsidRPr="00EA7460">
        <w:rPr>
          <w:rFonts w:ascii="Cambria" w:hAnsi="Cambria"/>
          <w:sz w:val="20"/>
          <w:szCs w:val="20"/>
          <w:lang w:val="es-ES_tradnl"/>
        </w:rPr>
        <w:t>militantes del Partido Revolucionario del Pueblo (PRT</w:t>
      </w:r>
      <w:r w:rsidR="00C1421F" w:rsidRPr="00EA7460">
        <w:rPr>
          <w:rFonts w:ascii="Cambria" w:hAnsi="Cambria"/>
          <w:sz w:val="20"/>
          <w:szCs w:val="20"/>
          <w:lang w:val="es-ES_tradnl"/>
        </w:rPr>
        <w:t>)</w:t>
      </w:r>
      <w:r w:rsidR="00966FCE">
        <w:rPr>
          <w:rFonts w:ascii="Cambria" w:hAnsi="Cambria"/>
          <w:sz w:val="20"/>
          <w:szCs w:val="20"/>
          <w:lang w:val="es-ES_tradnl"/>
        </w:rPr>
        <w:t>; cuyos cuerpos</w:t>
      </w:r>
      <w:r w:rsidR="002A53B4" w:rsidRPr="00EA7460">
        <w:rPr>
          <w:rFonts w:ascii="Cambria" w:hAnsi="Cambria"/>
          <w:sz w:val="20"/>
          <w:szCs w:val="20"/>
          <w:lang w:val="es-ES_tradnl"/>
        </w:rPr>
        <w:t xml:space="preserve"> </w:t>
      </w:r>
      <w:r w:rsidR="0021608C" w:rsidRPr="00EA7460">
        <w:rPr>
          <w:rFonts w:ascii="Cambria" w:hAnsi="Cambria"/>
          <w:sz w:val="20"/>
          <w:szCs w:val="20"/>
          <w:lang w:val="es-ES_tradnl"/>
        </w:rPr>
        <w:t xml:space="preserve">fueron </w:t>
      </w:r>
      <w:r w:rsidR="00966FCE">
        <w:rPr>
          <w:rFonts w:ascii="Cambria" w:hAnsi="Cambria"/>
          <w:sz w:val="20"/>
          <w:szCs w:val="20"/>
          <w:lang w:val="es-ES_tradnl"/>
        </w:rPr>
        <w:t>llevados</w:t>
      </w:r>
      <w:r w:rsidR="0021608C" w:rsidRPr="00EA7460">
        <w:rPr>
          <w:rFonts w:ascii="Cambria" w:hAnsi="Cambria"/>
          <w:sz w:val="20"/>
          <w:szCs w:val="20"/>
          <w:lang w:val="es-ES_tradnl"/>
        </w:rPr>
        <w:t xml:space="preserve"> a la mor</w:t>
      </w:r>
      <w:r w:rsidR="00C9081D" w:rsidRPr="00EA7460">
        <w:rPr>
          <w:rFonts w:ascii="Cambria" w:hAnsi="Cambria"/>
          <w:sz w:val="20"/>
          <w:szCs w:val="20"/>
          <w:lang w:val="es-ES_tradnl"/>
        </w:rPr>
        <w:t>gue judicial e inhumados en el Cementerio de San Vicente de la ciudad de Córdoba.</w:t>
      </w:r>
    </w:p>
    <w:p w14:paraId="5F4619D2" w14:textId="2CE8F9CB" w:rsidR="00CE09BB" w:rsidRPr="00EA7460" w:rsidRDefault="00466398"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sidRPr="00EA7460">
        <w:rPr>
          <w:rFonts w:ascii="Cambria" w:hAnsi="Cambria"/>
          <w:sz w:val="20"/>
          <w:szCs w:val="20"/>
          <w:lang w:val="es-ES_tradnl"/>
        </w:rPr>
        <w:t xml:space="preserve">Como consecuencia de </w:t>
      </w:r>
      <w:r w:rsidR="007738EE">
        <w:rPr>
          <w:rFonts w:ascii="Cambria" w:hAnsi="Cambria"/>
          <w:sz w:val="20"/>
          <w:szCs w:val="20"/>
          <w:lang w:val="es-ES_tradnl"/>
        </w:rPr>
        <w:t>estos</w:t>
      </w:r>
      <w:r w:rsidRPr="00EA7460">
        <w:rPr>
          <w:rFonts w:ascii="Cambria" w:hAnsi="Cambria"/>
          <w:sz w:val="20"/>
          <w:szCs w:val="20"/>
          <w:lang w:val="es-ES_tradnl"/>
        </w:rPr>
        <w:t xml:space="preserve"> delitos se </w:t>
      </w:r>
      <w:r w:rsidR="002A53B4" w:rsidRPr="00EA7460">
        <w:rPr>
          <w:rFonts w:ascii="Cambria" w:hAnsi="Cambria"/>
          <w:sz w:val="20"/>
          <w:szCs w:val="20"/>
          <w:lang w:val="es-ES_tradnl"/>
        </w:rPr>
        <w:t>inició</w:t>
      </w:r>
      <w:r w:rsidRPr="00EA7460">
        <w:rPr>
          <w:rFonts w:ascii="Cambria" w:hAnsi="Cambria"/>
          <w:sz w:val="20"/>
          <w:szCs w:val="20"/>
          <w:lang w:val="es-ES_tradnl"/>
        </w:rPr>
        <w:t xml:space="preserve"> una investigación </w:t>
      </w:r>
      <w:r w:rsidR="008E5456" w:rsidRPr="00EA7460">
        <w:rPr>
          <w:rFonts w:ascii="Cambria" w:hAnsi="Cambria"/>
          <w:sz w:val="20"/>
          <w:szCs w:val="20"/>
          <w:lang w:val="es-ES_tradnl"/>
        </w:rPr>
        <w:t>denominada como causa “Méndez” o “</w:t>
      </w:r>
      <w:proofErr w:type="spellStart"/>
      <w:r w:rsidR="008E5456" w:rsidRPr="00EA7460">
        <w:rPr>
          <w:rFonts w:ascii="Cambria" w:hAnsi="Cambria"/>
          <w:sz w:val="20"/>
          <w:szCs w:val="20"/>
          <w:lang w:val="es-ES_tradnl"/>
        </w:rPr>
        <w:t>Brandalisi</w:t>
      </w:r>
      <w:proofErr w:type="spellEnd"/>
      <w:r w:rsidR="008E5456" w:rsidRPr="00EA7460">
        <w:rPr>
          <w:rFonts w:ascii="Cambria" w:hAnsi="Cambria"/>
          <w:sz w:val="20"/>
          <w:szCs w:val="20"/>
          <w:lang w:val="es-ES_tradnl"/>
        </w:rPr>
        <w:t>”</w:t>
      </w:r>
      <w:r w:rsidR="004441CA">
        <w:rPr>
          <w:rFonts w:ascii="Cambria" w:hAnsi="Cambria"/>
          <w:sz w:val="20"/>
          <w:szCs w:val="20"/>
          <w:lang w:val="es-ES_tradnl"/>
        </w:rPr>
        <w:t>;</w:t>
      </w:r>
      <w:r w:rsidR="002A53B4" w:rsidRPr="00EA7460">
        <w:rPr>
          <w:rFonts w:ascii="Cambria" w:hAnsi="Cambria"/>
          <w:sz w:val="20"/>
          <w:szCs w:val="20"/>
          <w:lang w:val="es-ES_tradnl"/>
        </w:rPr>
        <w:t xml:space="preserve"> y el</w:t>
      </w:r>
      <w:r w:rsidR="008E5456" w:rsidRPr="00EA7460">
        <w:rPr>
          <w:rFonts w:ascii="Cambria" w:hAnsi="Cambria"/>
          <w:sz w:val="20"/>
          <w:szCs w:val="20"/>
          <w:lang w:val="es-ES_tradnl"/>
        </w:rPr>
        <w:t xml:space="preserve"> 24 de julio de 200</w:t>
      </w:r>
      <w:r w:rsidR="003033ED" w:rsidRPr="00EA7460">
        <w:rPr>
          <w:rFonts w:ascii="Cambria" w:hAnsi="Cambria"/>
          <w:sz w:val="20"/>
          <w:szCs w:val="20"/>
          <w:lang w:val="es-ES_tradnl"/>
        </w:rPr>
        <w:t>8 d</w:t>
      </w:r>
      <w:r w:rsidR="008E5456" w:rsidRPr="00EA7460">
        <w:rPr>
          <w:rFonts w:ascii="Cambria" w:hAnsi="Cambria"/>
          <w:sz w:val="20"/>
          <w:szCs w:val="20"/>
          <w:lang w:val="es-ES_tradnl"/>
        </w:rPr>
        <w:t xml:space="preserve">el </w:t>
      </w:r>
      <w:r w:rsidR="002A53B4" w:rsidRPr="00EA7460">
        <w:rPr>
          <w:rFonts w:ascii="Cambria" w:hAnsi="Cambria"/>
          <w:sz w:val="20"/>
          <w:szCs w:val="20"/>
          <w:lang w:val="es-ES_tradnl"/>
        </w:rPr>
        <w:t>TOCF N.1</w:t>
      </w:r>
      <w:r w:rsidR="006D58F3" w:rsidRPr="00EA7460">
        <w:rPr>
          <w:rFonts w:ascii="Cambria" w:hAnsi="Cambria"/>
          <w:sz w:val="20"/>
          <w:szCs w:val="20"/>
          <w:lang w:val="es-ES_tradnl"/>
        </w:rPr>
        <w:t xml:space="preserve"> </w:t>
      </w:r>
      <w:r w:rsidR="006A3DD6" w:rsidRPr="00EA7460">
        <w:rPr>
          <w:rFonts w:ascii="Cambria" w:hAnsi="Cambria"/>
          <w:sz w:val="20"/>
          <w:szCs w:val="20"/>
          <w:lang w:val="es-ES_tradnl"/>
        </w:rPr>
        <w:t>condenó a prisión perpetua e inhabitación absoluta</w:t>
      </w:r>
      <w:r w:rsidR="003033ED" w:rsidRPr="00EA7460">
        <w:rPr>
          <w:rFonts w:ascii="Cambria" w:hAnsi="Cambria"/>
          <w:sz w:val="20"/>
          <w:szCs w:val="20"/>
          <w:lang w:val="es-ES_tradnl"/>
        </w:rPr>
        <w:t xml:space="preserve"> al </w:t>
      </w:r>
      <w:r w:rsidR="002A53B4" w:rsidRPr="00EA7460">
        <w:rPr>
          <w:rFonts w:ascii="Cambria" w:hAnsi="Cambria"/>
          <w:sz w:val="20"/>
          <w:szCs w:val="20"/>
          <w:lang w:val="es-ES_tradnl"/>
        </w:rPr>
        <w:t xml:space="preserve">señor </w:t>
      </w:r>
      <w:proofErr w:type="spellStart"/>
      <w:r w:rsidR="00A75EF4" w:rsidRPr="00EA7460">
        <w:rPr>
          <w:rFonts w:ascii="Cambria" w:hAnsi="Cambria"/>
          <w:sz w:val="20"/>
          <w:szCs w:val="20"/>
          <w:lang w:val="es-ES_tradnl"/>
        </w:rPr>
        <w:t>Padovan</w:t>
      </w:r>
      <w:proofErr w:type="spellEnd"/>
      <w:r w:rsidR="00A75EF4" w:rsidRPr="00EA7460">
        <w:rPr>
          <w:rFonts w:ascii="Cambria" w:hAnsi="Cambria"/>
          <w:sz w:val="20"/>
          <w:szCs w:val="20"/>
          <w:lang w:val="es-ES_tradnl"/>
        </w:rPr>
        <w:t>. El Estado reconoce que la presunta víctima interpuso recurso de casación</w:t>
      </w:r>
      <w:r w:rsidR="00C1421F" w:rsidRPr="00EA7460">
        <w:rPr>
          <w:rFonts w:ascii="Cambria" w:hAnsi="Cambria"/>
          <w:sz w:val="20"/>
          <w:szCs w:val="20"/>
          <w:lang w:val="es-ES_tradnl"/>
        </w:rPr>
        <w:t xml:space="preserve"> contra tal decisión</w:t>
      </w:r>
      <w:r w:rsidR="00A75EF4" w:rsidRPr="00EA7460">
        <w:rPr>
          <w:rFonts w:ascii="Cambria" w:hAnsi="Cambria"/>
          <w:sz w:val="20"/>
          <w:szCs w:val="20"/>
          <w:lang w:val="es-ES_tradnl"/>
        </w:rPr>
        <w:t xml:space="preserve">, pero </w:t>
      </w:r>
      <w:r w:rsidR="00C1421F" w:rsidRPr="00EA7460">
        <w:rPr>
          <w:rFonts w:ascii="Cambria" w:hAnsi="Cambria"/>
          <w:sz w:val="20"/>
          <w:szCs w:val="20"/>
          <w:lang w:val="es-ES_tradnl"/>
        </w:rPr>
        <w:t xml:space="preserve">aduce que </w:t>
      </w:r>
      <w:r w:rsidR="00A75EF4" w:rsidRPr="00EA7460">
        <w:rPr>
          <w:rFonts w:ascii="Cambria" w:hAnsi="Cambria"/>
          <w:sz w:val="20"/>
          <w:szCs w:val="20"/>
          <w:lang w:val="es-ES_tradnl"/>
        </w:rPr>
        <w:t xml:space="preserve">el 25 de agosto de 2010 la Sala III de la Cámara Nacional de Casación Penal confirmó </w:t>
      </w:r>
      <w:r w:rsidR="002A53B4" w:rsidRPr="00EA7460">
        <w:rPr>
          <w:rFonts w:ascii="Cambria" w:hAnsi="Cambria"/>
          <w:sz w:val="20"/>
          <w:szCs w:val="20"/>
          <w:lang w:val="es-ES_tradnl"/>
        </w:rPr>
        <w:t xml:space="preserve">el fallo condenatorio. </w:t>
      </w:r>
      <w:r w:rsidR="00C1421F" w:rsidRPr="00EA7460">
        <w:rPr>
          <w:rFonts w:ascii="Cambria" w:hAnsi="Cambria"/>
          <w:sz w:val="20"/>
          <w:szCs w:val="20"/>
          <w:lang w:val="es-ES_tradnl"/>
        </w:rPr>
        <w:t>Ante ello, e</w:t>
      </w:r>
      <w:r w:rsidR="002A53B4" w:rsidRPr="00EA7460">
        <w:rPr>
          <w:rFonts w:ascii="Cambria" w:hAnsi="Cambria"/>
          <w:sz w:val="20"/>
          <w:szCs w:val="20"/>
          <w:lang w:val="es-ES_tradnl"/>
        </w:rPr>
        <w:t>l 14 de septiembre de 2011 la presunta víctima interpuso</w:t>
      </w:r>
      <w:r w:rsidR="00A75EF4" w:rsidRPr="00EA7460">
        <w:rPr>
          <w:rFonts w:ascii="Cambria" w:hAnsi="Cambria"/>
          <w:sz w:val="20"/>
          <w:szCs w:val="20"/>
          <w:lang w:val="es-ES_tradnl"/>
        </w:rPr>
        <w:t xml:space="preserve"> recurso extraordinario federal</w:t>
      </w:r>
      <w:r w:rsidR="007738EE">
        <w:rPr>
          <w:rFonts w:ascii="Cambria" w:hAnsi="Cambria"/>
          <w:sz w:val="20"/>
          <w:szCs w:val="20"/>
          <w:lang w:val="es-ES_tradnl"/>
        </w:rPr>
        <w:t>; que fue declarado inadmisible</w:t>
      </w:r>
      <w:r w:rsidR="006A7A1B" w:rsidRPr="00EA7460">
        <w:rPr>
          <w:rFonts w:ascii="Cambria" w:hAnsi="Cambria"/>
          <w:sz w:val="20"/>
          <w:szCs w:val="20"/>
          <w:lang w:val="es-ES_tradnl"/>
        </w:rPr>
        <w:t xml:space="preserve">, </w:t>
      </w:r>
      <w:r w:rsidR="002A53B4" w:rsidRPr="00EA7460">
        <w:rPr>
          <w:rFonts w:ascii="Cambria" w:hAnsi="Cambria"/>
          <w:sz w:val="20"/>
          <w:szCs w:val="20"/>
          <w:lang w:val="es-ES_tradnl"/>
        </w:rPr>
        <w:t>e</w:t>
      </w:r>
      <w:r w:rsidR="00A75EF4" w:rsidRPr="00EA7460">
        <w:rPr>
          <w:rFonts w:ascii="Cambria" w:hAnsi="Cambria"/>
          <w:sz w:val="20"/>
          <w:szCs w:val="20"/>
          <w:lang w:val="es-ES_tradnl"/>
        </w:rPr>
        <w:t>l 11 de septiembre de 2012</w:t>
      </w:r>
      <w:r w:rsidR="007738EE">
        <w:rPr>
          <w:rFonts w:ascii="Cambria" w:hAnsi="Cambria"/>
          <w:sz w:val="20"/>
          <w:szCs w:val="20"/>
          <w:lang w:val="es-ES_tradnl"/>
        </w:rPr>
        <w:t>, por</w:t>
      </w:r>
      <w:r w:rsidR="00A75EF4" w:rsidRPr="00EA7460">
        <w:rPr>
          <w:rFonts w:ascii="Cambria" w:hAnsi="Cambria"/>
          <w:sz w:val="20"/>
          <w:szCs w:val="20"/>
          <w:lang w:val="es-ES_tradnl"/>
        </w:rPr>
        <w:t xml:space="preserve"> la Corte Suprema de Justicia de la Nación </w:t>
      </w:r>
      <w:r w:rsidR="006643AE" w:rsidRPr="00EA7460">
        <w:rPr>
          <w:rFonts w:ascii="Cambria" w:hAnsi="Cambria"/>
          <w:sz w:val="20"/>
          <w:szCs w:val="20"/>
          <w:lang w:val="es-ES_tradnl"/>
        </w:rPr>
        <w:t>(en adelante, C.S.J.N</w:t>
      </w:r>
      <w:r w:rsidR="00042A97" w:rsidRPr="00EA7460">
        <w:rPr>
          <w:rFonts w:ascii="Cambria" w:hAnsi="Cambria"/>
          <w:sz w:val="20"/>
          <w:szCs w:val="20"/>
          <w:lang w:val="es-ES_tradnl"/>
        </w:rPr>
        <w:t>.</w:t>
      </w:r>
      <w:r w:rsidR="006643AE" w:rsidRPr="00EA7460">
        <w:rPr>
          <w:rFonts w:ascii="Cambria" w:hAnsi="Cambria"/>
          <w:sz w:val="20"/>
          <w:szCs w:val="20"/>
          <w:lang w:val="es-ES_tradnl"/>
        </w:rPr>
        <w:t>)</w:t>
      </w:r>
      <w:r w:rsidR="007738EE">
        <w:rPr>
          <w:rFonts w:ascii="Cambria" w:hAnsi="Cambria"/>
          <w:sz w:val="20"/>
          <w:szCs w:val="20"/>
          <w:lang w:val="es-ES_tradnl"/>
        </w:rPr>
        <w:t xml:space="preserve">, quedando firme la sentencia de </w:t>
      </w:r>
      <w:r w:rsidR="00A75EF4" w:rsidRPr="00EA7460">
        <w:rPr>
          <w:rFonts w:ascii="Cambria" w:hAnsi="Cambria"/>
          <w:sz w:val="20"/>
          <w:szCs w:val="20"/>
          <w:lang w:val="es-ES_tradnl"/>
        </w:rPr>
        <w:t>primera instancia del TOCF N. 1</w:t>
      </w:r>
      <w:r w:rsidR="00CE09BB" w:rsidRPr="00EA7460">
        <w:rPr>
          <w:rFonts w:ascii="Cambria" w:hAnsi="Cambria"/>
          <w:sz w:val="20"/>
          <w:szCs w:val="20"/>
          <w:lang w:val="es-ES_tradnl"/>
        </w:rPr>
        <w:t>.</w:t>
      </w:r>
    </w:p>
    <w:p w14:paraId="38E42574" w14:textId="1A60C0B5" w:rsidR="00F53D97" w:rsidRPr="00EA7460" w:rsidRDefault="00CE09BB" w:rsidP="00F53D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sidRPr="00EA7460">
        <w:rPr>
          <w:rFonts w:ascii="Cambria" w:hAnsi="Cambria"/>
          <w:sz w:val="20"/>
          <w:szCs w:val="20"/>
          <w:lang w:val="es-ES_tradnl"/>
        </w:rPr>
        <w:t xml:space="preserve">Frente a la </w:t>
      </w:r>
      <w:r w:rsidR="00202DBD">
        <w:rPr>
          <w:rFonts w:ascii="Cambria" w:hAnsi="Cambria"/>
          <w:sz w:val="20"/>
          <w:szCs w:val="20"/>
          <w:lang w:val="es-ES_tradnl"/>
        </w:rPr>
        <w:t>alegada</w:t>
      </w:r>
      <w:r w:rsidRPr="00EA7460">
        <w:rPr>
          <w:rFonts w:ascii="Cambria" w:hAnsi="Cambria"/>
          <w:sz w:val="20"/>
          <w:szCs w:val="20"/>
          <w:lang w:val="es-ES_tradnl"/>
        </w:rPr>
        <w:t xml:space="preserve"> vulneración </w:t>
      </w:r>
      <w:r w:rsidR="00395116" w:rsidRPr="00EA7460">
        <w:rPr>
          <w:rFonts w:ascii="Cambria" w:hAnsi="Cambria"/>
          <w:sz w:val="20"/>
          <w:szCs w:val="20"/>
          <w:lang w:val="es-ES_tradnl"/>
        </w:rPr>
        <w:t>a</w:t>
      </w:r>
      <w:r w:rsidRPr="00EA7460">
        <w:rPr>
          <w:rFonts w:ascii="Cambria" w:hAnsi="Cambria"/>
          <w:sz w:val="20"/>
          <w:szCs w:val="20"/>
          <w:lang w:val="es-ES_tradnl"/>
        </w:rPr>
        <w:t xml:space="preserve"> las garantías judiciales y al principio de irretroactividad de la ley, el Estado asegura que no existió falsedad alguna</w:t>
      </w:r>
      <w:r w:rsidR="00EC3393" w:rsidRPr="00EA7460">
        <w:rPr>
          <w:rFonts w:ascii="Cambria" w:hAnsi="Cambria"/>
          <w:sz w:val="20"/>
          <w:szCs w:val="20"/>
          <w:lang w:val="es-ES_tradnl"/>
        </w:rPr>
        <w:t xml:space="preserve"> en los documentos utilizados</w:t>
      </w:r>
      <w:r w:rsidRPr="00EA7460">
        <w:rPr>
          <w:rFonts w:ascii="Cambria" w:hAnsi="Cambria"/>
          <w:sz w:val="20"/>
          <w:szCs w:val="20"/>
          <w:lang w:val="es-ES_tradnl"/>
        </w:rPr>
        <w:t xml:space="preserve"> como elementos probatorios en contra </w:t>
      </w:r>
      <w:r w:rsidR="00B135BF">
        <w:rPr>
          <w:rFonts w:ascii="Cambria" w:hAnsi="Cambria"/>
          <w:sz w:val="20"/>
          <w:szCs w:val="20"/>
          <w:lang w:val="es-ES_tradnl"/>
        </w:rPr>
        <w:t xml:space="preserve">del Sr. </w:t>
      </w:r>
      <w:proofErr w:type="spellStart"/>
      <w:r w:rsidR="00B135BF">
        <w:rPr>
          <w:rFonts w:ascii="Cambria" w:hAnsi="Cambria"/>
          <w:sz w:val="20"/>
          <w:szCs w:val="20"/>
          <w:lang w:val="es-ES_tradnl"/>
        </w:rPr>
        <w:t>Padovan</w:t>
      </w:r>
      <w:proofErr w:type="spellEnd"/>
      <w:r w:rsidRPr="00EA7460">
        <w:rPr>
          <w:rFonts w:ascii="Cambria" w:hAnsi="Cambria"/>
          <w:sz w:val="20"/>
          <w:szCs w:val="20"/>
          <w:lang w:val="es-ES_tradnl"/>
        </w:rPr>
        <w:t xml:space="preserve">. </w:t>
      </w:r>
      <w:r w:rsidR="00EC3393" w:rsidRPr="00EA7460">
        <w:rPr>
          <w:rFonts w:ascii="Cambria" w:hAnsi="Cambria"/>
          <w:sz w:val="20"/>
          <w:szCs w:val="20"/>
          <w:lang w:val="es-ES_tradnl"/>
        </w:rPr>
        <w:t>E</w:t>
      </w:r>
      <w:r w:rsidR="008D1C68" w:rsidRPr="00EA7460">
        <w:rPr>
          <w:rFonts w:ascii="Cambria" w:hAnsi="Cambria"/>
          <w:sz w:val="20"/>
          <w:szCs w:val="20"/>
          <w:lang w:val="es-ES_tradnl"/>
        </w:rPr>
        <w:t>xpone</w:t>
      </w:r>
      <w:r w:rsidRPr="00EA7460">
        <w:rPr>
          <w:rFonts w:ascii="Cambria" w:hAnsi="Cambria"/>
          <w:sz w:val="20"/>
          <w:szCs w:val="20"/>
          <w:lang w:val="es-ES_tradnl"/>
        </w:rPr>
        <w:t xml:space="preserve"> que los alega</w:t>
      </w:r>
      <w:r w:rsidR="00AC7E3C" w:rsidRPr="00EA7460">
        <w:rPr>
          <w:rFonts w:ascii="Cambria" w:hAnsi="Cambria"/>
          <w:sz w:val="20"/>
          <w:szCs w:val="20"/>
          <w:lang w:val="es-ES_tradnl"/>
        </w:rPr>
        <w:t>t</w:t>
      </w:r>
      <w:r w:rsidRPr="00EA7460">
        <w:rPr>
          <w:rFonts w:ascii="Cambria" w:hAnsi="Cambria"/>
          <w:sz w:val="20"/>
          <w:szCs w:val="20"/>
          <w:lang w:val="es-ES_tradnl"/>
        </w:rPr>
        <w:t xml:space="preserve">os </w:t>
      </w:r>
      <w:r w:rsidR="00B135BF">
        <w:rPr>
          <w:rFonts w:ascii="Cambria" w:hAnsi="Cambria"/>
          <w:sz w:val="20"/>
          <w:szCs w:val="20"/>
          <w:lang w:val="es-ES_tradnl"/>
        </w:rPr>
        <w:t>que este planteó</w:t>
      </w:r>
      <w:r w:rsidRPr="00EA7460">
        <w:rPr>
          <w:rFonts w:ascii="Cambria" w:hAnsi="Cambria"/>
          <w:sz w:val="20"/>
          <w:szCs w:val="20"/>
          <w:lang w:val="es-ES_tradnl"/>
        </w:rPr>
        <w:t xml:space="preserve"> ante</w:t>
      </w:r>
      <w:r w:rsidR="00EC3393" w:rsidRPr="00EA7460">
        <w:rPr>
          <w:rFonts w:ascii="Cambria" w:hAnsi="Cambria"/>
          <w:sz w:val="20"/>
          <w:szCs w:val="20"/>
          <w:lang w:val="es-ES_tradnl"/>
        </w:rPr>
        <w:t xml:space="preserve"> las</w:t>
      </w:r>
      <w:r w:rsidRPr="00EA7460">
        <w:rPr>
          <w:rFonts w:ascii="Cambria" w:hAnsi="Cambria"/>
          <w:sz w:val="20"/>
          <w:szCs w:val="20"/>
          <w:lang w:val="es-ES_tradnl"/>
        </w:rPr>
        <w:t xml:space="preserve"> instancias judiciales fueron resueltos por </w:t>
      </w:r>
      <w:r w:rsidR="00EC3393" w:rsidRPr="00EA7460">
        <w:rPr>
          <w:rFonts w:ascii="Cambria" w:hAnsi="Cambria"/>
          <w:sz w:val="20"/>
          <w:szCs w:val="20"/>
          <w:lang w:val="es-ES_tradnl"/>
        </w:rPr>
        <w:t>los</w:t>
      </w:r>
      <w:r w:rsidRPr="00EA7460">
        <w:rPr>
          <w:rFonts w:ascii="Cambria" w:hAnsi="Cambria"/>
          <w:sz w:val="20"/>
          <w:szCs w:val="20"/>
          <w:lang w:val="es-ES_tradnl"/>
        </w:rPr>
        <w:t xml:space="preserve"> órgano</w:t>
      </w:r>
      <w:r w:rsidR="00EC3393" w:rsidRPr="00EA7460">
        <w:rPr>
          <w:rFonts w:ascii="Cambria" w:hAnsi="Cambria"/>
          <w:sz w:val="20"/>
          <w:szCs w:val="20"/>
          <w:lang w:val="es-ES_tradnl"/>
        </w:rPr>
        <w:t>s</w:t>
      </w:r>
      <w:r w:rsidRPr="00EA7460">
        <w:rPr>
          <w:rFonts w:ascii="Cambria" w:hAnsi="Cambria"/>
          <w:sz w:val="20"/>
          <w:szCs w:val="20"/>
          <w:lang w:val="es-ES_tradnl"/>
        </w:rPr>
        <w:t xml:space="preserve"> competente</w:t>
      </w:r>
      <w:r w:rsidR="00EC3393" w:rsidRPr="00EA7460">
        <w:rPr>
          <w:rFonts w:ascii="Cambria" w:hAnsi="Cambria"/>
          <w:sz w:val="20"/>
          <w:szCs w:val="20"/>
          <w:lang w:val="es-ES_tradnl"/>
        </w:rPr>
        <w:t>s</w:t>
      </w:r>
      <w:r w:rsidR="00B135BF">
        <w:rPr>
          <w:rFonts w:ascii="Cambria" w:hAnsi="Cambria"/>
          <w:sz w:val="20"/>
          <w:szCs w:val="20"/>
          <w:lang w:val="es-ES_tradnl"/>
        </w:rPr>
        <w:t>;</w:t>
      </w:r>
      <w:r w:rsidRPr="00EA7460">
        <w:rPr>
          <w:rFonts w:ascii="Cambria" w:hAnsi="Cambria"/>
          <w:sz w:val="20"/>
          <w:szCs w:val="20"/>
          <w:lang w:val="es-ES_tradnl"/>
        </w:rPr>
        <w:t xml:space="preserve"> y </w:t>
      </w:r>
      <w:r w:rsidR="00EA7460" w:rsidRPr="00EA7460">
        <w:rPr>
          <w:rFonts w:ascii="Cambria" w:hAnsi="Cambria"/>
          <w:sz w:val="20"/>
          <w:szCs w:val="20"/>
          <w:lang w:val="es-ES_tradnl"/>
        </w:rPr>
        <w:t>aun</w:t>
      </w:r>
      <w:r w:rsidRPr="00EA7460">
        <w:rPr>
          <w:rFonts w:ascii="Cambria" w:hAnsi="Cambria"/>
          <w:sz w:val="20"/>
          <w:szCs w:val="20"/>
          <w:lang w:val="es-ES_tradnl"/>
        </w:rPr>
        <w:t xml:space="preserve"> cuando las decisiones no </w:t>
      </w:r>
      <w:r w:rsidR="00EC3393" w:rsidRPr="00EA7460">
        <w:rPr>
          <w:rFonts w:ascii="Cambria" w:hAnsi="Cambria"/>
          <w:sz w:val="20"/>
          <w:szCs w:val="20"/>
          <w:lang w:val="es-ES_tradnl"/>
        </w:rPr>
        <w:t xml:space="preserve">le resultaron </w:t>
      </w:r>
      <w:r w:rsidRPr="00EA7460">
        <w:rPr>
          <w:rFonts w:ascii="Cambria" w:hAnsi="Cambria"/>
          <w:sz w:val="20"/>
          <w:szCs w:val="20"/>
          <w:lang w:val="es-ES_tradnl"/>
        </w:rPr>
        <w:t xml:space="preserve">favorables, ello no implica </w:t>
      </w:r>
      <w:r w:rsidR="00B41AED" w:rsidRPr="00EA7460">
        <w:rPr>
          <w:rFonts w:ascii="Cambria" w:hAnsi="Cambria"/>
          <w:sz w:val="20"/>
          <w:szCs w:val="20"/>
          <w:lang w:val="es-ES_tradnl"/>
        </w:rPr>
        <w:t>que haya existido</w:t>
      </w:r>
      <w:r w:rsidRPr="00EA7460">
        <w:rPr>
          <w:rFonts w:ascii="Cambria" w:hAnsi="Cambria"/>
          <w:sz w:val="20"/>
          <w:szCs w:val="20"/>
          <w:lang w:val="es-ES_tradnl"/>
        </w:rPr>
        <w:t xml:space="preserve"> vulneración </w:t>
      </w:r>
      <w:r w:rsidR="00B41AED" w:rsidRPr="00EA7460">
        <w:rPr>
          <w:rFonts w:ascii="Cambria" w:hAnsi="Cambria"/>
          <w:sz w:val="20"/>
          <w:szCs w:val="20"/>
          <w:lang w:val="es-ES_tradnl"/>
        </w:rPr>
        <w:t>a algún</w:t>
      </w:r>
      <w:r w:rsidR="00EC3393" w:rsidRPr="00EA7460">
        <w:rPr>
          <w:rFonts w:ascii="Cambria" w:hAnsi="Cambria"/>
          <w:sz w:val="20"/>
          <w:szCs w:val="20"/>
          <w:lang w:val="es-ES_tradnl"/>
        </w:rPr>
        <w:t xml:space="preserve"> derecho</w:t>
      </w:r>
      <w:r w:rsidR="00B8387C" w:rsidRPr="00EA7460">
        <w:rPr>
          <w:rFonts w:ascii="Cambria" w:hAnsi="Cambria"/>
          <w:sz w:val="20"/>
          <w:szCs w:val="20"/>
          <w:lang w:val="es-ES_tradnl"/>
        </w:rPr>
        <w:t xml:space="preserve">. </w:t>
      </w:r>
      <w:r w:rsidR="00B41AED" w:rsidRPr="00EA7460">
        <w:rPr>
          <w:rFonts w:ascii="Cambria" w:hAnsi="Cambria"/>
          <w:sz w:val="20"/>
          <w:szCs w:val="20"/>
          <w:lang w:val="es-ES_tradnl"/>
        </w:rPr>
        <w:t>A</w:t>
      </w:r>
      <w:r w:rsidR="008D1C68" w:rsidRPr="00EA7460">
        <w:rPr>
          <w:rFonts w:ascii="Cambria" w:hAnsi="Cambria"/>
          <w:sz w:val="20"/>
          <w:szCs w:val="20"/>
          <w:lang w:val="es-ES_tradnl"/>
        </w:rPr>
        <w:t>firma</w:t>
      </w:r>
      <w:r w:rsidR="00B8387C" w:rsidRPr="00EA7460">
        <w:rPr>
          <w:rFonts w:ascii="Cambria" w:hAnsi="Cambria"/>
          <w:sz w:val="20"/>
          <w:szCs w:val="20"/>
          <w:lang w:val="es-ES_tradnl"/>
        </w:rPr>
        <w:t xml:space="preserve"> </w:t>
      </w:r>
      <w:r w:rsidR="00C1421F" w:rsidRPr="00EA7460">
        <w:rPr>
          <w:rFonts w:ascii="Cambria" w:hAnsi="Cambria"/>
          <w:sz w:val="20"/>
          <w:szCs w:val="20"/>
          <w:lang w:val="es-ES_tradnl"/>
        </w:rPr>
        <w:t>que,</w:t>
      </w:r>
      <w:r w:rsidR="00B8387C" w:rsidRPr="00EA7460">
        <w:rPr>
          <w:rFonts w:ascii="Cambria" w:hAnsi="Cambria"/>
          <w:sz w:val="20"/>
          <w:szCs w:val="20"/>
          <w:lang w:val="es-ES_tradnl"/>
        </w:rPr>
        <w:t xml:space="preserve"> si bien la presunta víctima presentó una denuncia por</w:t>
      </w:r>
      <w:r w:rsidR="00B41AED" w:rsidRPr="00EA7460">
        <w:rPr>
          <w:rFonts w:ascii="Cambria" w:hAnsi="Cambria"/>
          <w:sz w:val="20"/>
          <w:szCs w:val="20"/>
          <w:lang w:val="es-ES_tradnl"/>
        </w:rPr>
        <w:t xml:space="preserve"> la</w:t>
      </w:r>
      <w:r w:rsidR="00B8387C" w:rsidRPr="00EA7460">
        <w:rPr>
          <w:rFonts w:ascii="Cambria" w:hAnsi="Cambria"/>
          <w:sz w:val="20"/>
          <w:szCs w:val="20"/>
          <w:lang w:val="es-ES_tradnl"/>
        </w:rPr>
        <w:t xml:space="preserve"> presunta falsedad ideológica</w:t>
      </w:r>
      <w:r w:rsidR="008A28E8" w:rsidRPr="00EA7460">
        <w:rPr>
          <w:rFonts w:ascii="Cambria" w:hAnsi="Cambria"/>
          <w:sz w:val="20"/>
          <w:szCs w:val="20"/>
          <w:lang w:val="es-ES_tradnl"/>
        </w:rPr>
        <w:t xml:space="preserve"> del lib</w:t>
      </w:r>
      <w:r w:rsidR="00AB23F1" w:rsidRPr="00EA7460">
        <w:rPr>
          <w:rFonts w:ascii="Cambria" w:hAnsi="Cambria"/>
          <w:sz w:val="20"/>
          <w:szCs w:val="20"/>
          <w:lang w:val="es-ES_tradnl"/>
        </w:rPr>
        <w:t>r</w:t>
      </w:r>
      <w:r w:rsidR="008A28E8" w:rsidRPr="00EA7460">
        <w:rPr>
          <w:rFonts w:ascii="Cambria" w:hAnsi="Cambria"/>
          <w:sz w:val="20"/>
          <w:szCs w:val="20"/>
          <w:lang w:val="es-ES_tradnl"/>
        </w:rPr>
        <w:t>o de morgue judicial, el juez a cargo del Juzgado Federal N. 2 de C</w:t>
      </w:r>
      <w:r w:rsidR="00AB23F1" w:rsidRPr="00EA7460">
        <w:rPr>
          <w:rFonts w:ascii="Cambria" w:hAnsi="Cambria"/>
          <w:sz w:val="20"/>
          <w:szCs w:val="20"/>
          <w:lang w:val="es-ES_tradnl"/>
        </w:rPr>
        <w:t>ó</w:t>
      </w:r>
      <w:r w:rsidR="008A28E8" w:rsidRPr="00EA7460">
        <w:rPr>
          <w:rFonts w:ascii="Cambria" w:hAnsi="Cambria"/>
          <w:sz w:val="20"/>
          <w:szCs w:val="20"/>
          <w:lang w:val="es-ES_tradnl"/>
        </w:rPr>
        <w:t xml:space="preserve">rdoba </w:t>
      </w:r>
      <w:r w:rsidR="00C1421F" w:rsidRPr="00EA7460">
        <w:rPr>
          <w:rFonts w:ascii="Cambria" w:hAnsi="Cambria"/>
          <w:sz w:val="20"/>
          <w:szCs w:val="20"/>
          <w:lang w:val="es-ES_tradnl"/>
        </w:rPr>
        <w:t>desestimó tal recurso</w:t>
      </w:r>
      <w:r w:rsidR="00B41AED" w:rsidRPr="00EA7460">
        <w:rPr>
          <w:rFonts w:ascii="Cambria" w:hAnsi="Cambria"/>
          <w:sz w:val="20"/>
          <w:szCs w:val="20"/>
          <w:lang w:val="es-ES_tradnl"/>
        </w:rPr>
        <w:t>,</w:t>
      </w:r>
      <w:r w:rsidR="008A28E8" w:rsidRPr="00EA7460">
        <w:rPr>
          <w:rFonts w:ascii="Cambria" w:hAnsi="Cambria"/>
          <w:sz w:val="20"/>
          <w:szCs w:val="20"/>
          <w:lang w:val="es-ES_tradnl"/>
        </w:rPr>
        <w:t xml:space="preserve"> luego de analizar los testimonios de todas las personas vinculadas a los hechos</w:t>
      </w:r>
      <w:r w:rsidR="00C1421F" w:rsidRPr="00EA7460">
        <w:rPr>
          <w:rFonts w:ascii="Cambria" w:hAnsi="Cambria"/>
          <w:sz w:val="20"/>
          <w:szCs w:val="20"/>
          <w:lang w:val="es-ES_tradnl"/>
        </w:rPr>
        <w:t xml:space="preserve">. </w:t>
      </w:r>
      <w:r w:rsidR="00F53D97" w:rsidRPr="00EA7460">
        <w:rPr>
          <w:rFonts w:ascii="Cambria" w:hAnsi="Cambria"/>
          <w:sz w:val="20"/>
          <w:szCs w:val="20"/>
          <w:lang w:val="es-ES_tradnl"/>
        </w:rPr>
        <w:t>Por lo anterior, argumenta que el juez determinó que dichos datos plasmados en el libro eran reales y hacían parte de la verdad histórica de país</w:t>
      </w:r>
      <w:r w:rsidR="00042A97" w:rsidRPr="00EA7460">
        <w:rPr>
          <w:rFonts w:ascii="Cambria" w:hAnsi="Cambria"/>
          <w:sz w:val="20"/>
          <w:szCs w:val="20"/>
          <w:lang w:val="es-ES_tradnl"/>
        </w:rPr>
        <w:t>.</w:t>
      </w:r>
    </w:p>
    <w:p w14:paraId="57C55FD0" w14:textId="1E6E64D8" w:rsidR="00C1421F" w:rsidRPr="00EA7460" w:rsidRDefault="00E30364" w:rsidP="00C142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Pr>
          <w:rFonts w:ascii="Cambria" w:hAnsi="Cambria"/>
          <w:sz w:val="20"/>
          <w:szCs w:val="20"/>
          <w:lang w:val="es-ES_tradnl"/>
        </w:rPr>
        <w:t>Alega</w:t>
      </w:r>
      <w:r w:rsidR="00184B5F" w:rsidRPr="00EA7460">
        <w:rPr>
          <w:rFonts w:ascii="Cambria" w:hAnsi="Cambria"/>
          <w:sz w:val="20"/>
          <w:szCs w:val="20"/>
          <w:lang w:val="es-ES_tradnl"/>
        </w:rPr>
        <w:t xml:space="preserve"> que</w:t>
      </w:r>
      <w:r w:rsidR="004442C9" w:rsidRPr="00EA7460">
        <w:rPr>
          <w:rFonts w:ascii="Cambria" w:hAnsi="Cambria"/>
          <w:sz w:val="20"/>
          <w:szCs w:val="20"/>
          <w:lang w:val="es-ES_tradnl"/>
        </w:rPr>
        <w:t>,</w:t>
      </w:r>
      <w:r w:rsidR="00184B5F" w:rsidRPr="00EA7460">
        <w:rPr>
          <w:rFonts w:ascii="Cambria" w:hAnsi="Cambria"/>
          <w:sz w:val="20"/>
          <w:szCs w:val="20"/>
          <w:lang w:val="es-ES_tradnl"/>
        </w:rPr>
        <w:t xml:space="preserve"> </w:t>
      </w:r>
      <w:r w:rsidR="00C1421F" w:rsidRPr="00EA7460">
        <w:rPr>
          <w:rFonts w:ascii="Cambria" w:hAnsi="Cambria"/>
          <w:sz w:val="20"/>
          <w:szCs w:val="20"/>
          <w:lang w:val="es-ES_tradnl"/>
        </w:rPr>
        <w:t xml:space="preserve">si bien el TOCF N. 1 condenó a la presunta víctima, pese a que previamente había sido desprocesado en una investigación penal previa, </w:t>
      </w:r>
      <w:r w:rsidR="00196BFA" w:rsidRPr="00EA7460">
        <w:rPr>
          <w:rFonts w:ascii="Cambria" w:hAnsi="Cambria"/>
          <w:sz w:val="20"/>
          <w:szCs w:val="20"/>
          <w:lang w:val="es-ES_tradnl"/>
        </w:rPr>
        <w:t xml:space="preserve">la </w:t>
      </w:r>
      <w:r w:rsidR="00042A97" w:rsidRPr="00EA7460">
        <w:rPr>
          <w:rFonts w:ascii="Cambria" w:hAnsi="Cambria"/>
          <w:sz w:val="20"/>
          <w:szCs w:val="20"/>
          <w:lang w:val="es-ES_tradnl"/>
        </w:rPr>
        <w:t>l</w:t>
      </w:r>
      <w:r w:rsidR="00196BFA" w:rsidRPr="00EA7460">
        <w:rPr>
          <w:rFonts w:ascii="Cambria" w:hAnsi="Cambria"/>
          <w:sz w:val="20"/>
          <w:szCs w:val="20"/>
          <w:lang w:val="es-ES_tradnl"/>
        </w:rPr>
        <w:t>ey 25.779</w:t>
      </w:r>
      <w:r w:rsidR="004442C9" w:rsidRPr="00EA7460">
        <w:rPr>
          <w:rFonts w:ascii="Cambria" w:hAnsi="Cambria"/>
          <w:sz w:val="20"/>
          <w:szCs w:val="20"/>
          <w:lang w:val="es-ES_tradnl"/>
        </w:rPr>
        <w:t xml:space="preserve"> posibilita</w:t>
      </w:r>
      <w:r w:rsidR="00196BFA" w:rsidRPr="00EA7460">
        <w:rPr>
          <w:rFonts w:ascii="Cambria" w:hAnsi="Cambria"/>
          <w:sz w:val="20"/>
          <w:szCs w:val="20"/>
          <w:lang w:val="es-ES_tradnl"/>
        </w:rPr>
        <w:t xml:space="preserve"> el reinicio d</w:t>
      </w:r>
      <w:r w:rsidR="00C9628B" w:rsidRPr="00EA7460">
        <w:rPr>
          <w:rFonts w:ascii="Cambria" w:hAnsi="Cambria"/>
          <w:sz w:val="20"/>
          <w:szCs w:val="20"/>
          <w:lang w:val="es-ES_tradnl"/>
        </w:rPr>
        <w:t>e</w:t>
      </w:r>
      <w:r w:rsidR="00196BFA" w:rsidRPr="00EA7460">
        <w:rPr>
          <w:rFonts w:ascii="Cambria" w:hAnsi="Cambria"/>
          <w:sz w:val="20"/>
          <w:szCs w:val="20"/>
          <w:lang w:val="es-ES_tradnl"/>
        </w:rPr>
        <w:t xml:space="preserve"> procesos judiciales tendientes a sancionar crímenes de lesa humanidad cometidos durante las dictaduras militares en Argentina</w:t>
      </w:r>
      <w:r w:rsidR="00C1421F" w:rsidRPr="00EA7460">
        <w:rPr>
          <w:rFonts w:ascii="Cambria" w:hAnsi="Cambria"/>
          <w:sz w:val="20"/>
          <w:szCs w:val="20"/>
          <w:lang w:val="es-ES_tradnl"/>
        </w:rPr>
        <w:t xml:space="preserve">. En consecuencia, a juicio del Estado, toda vez que el señor </w:t>
      </w:r>
      <w:proofErr w:type="spellStart"/>
      <w:r w:rsidR="00C1421F" w:rsidRPr="00EA7460">
        <w:rPr>
          <w:rFonts w:ascii="Cambria" w:hAnsi="Cambria"/>
          <w:sz w:val="20"/>
          <w:szCs w:val="20"/>
          <w:lang w:val="es-ES_tradnl"/>
        </w:rPr>
        <w:t>Padovan</w:t>
      </w:r>
      <w:proofErr w:type="spellEnd"/>
      <w:r w:rsidR="00C1421F" w:rsidRPr="00EA7460">
        <w:rPr>
          <w:rFonts w:ascii="Cambria" w:hAnsi="Cambria"/>
          <w:sz w:val="20"/>
          <w:szCs w:val="20"/>
          <w:lang w:val="es-ES_tradnl"/>
        </w:rPr>
        <w:t xml:space="preserve"> cometió tal tipo delito, no resulta posible que se vea beneficiado por ninguna figura penal que pueda consagrar la impunidad, ya que </w:t>
      </w:r>
      <w:r>
        <w:rPr>
          <w:rFonts w:ascii="Cambria" w:hAnsi="Cambria"/>
          <w:sz w:val="20"/>
          <w:szCs w:val="20"/>
          <w:lang w:val="es-ES_tradnl"/>
        </w:rPr>
        <w:t>esto</w:t>
      </w:r>
      <w:r w:rsidR="00C1421F" w:rsidRPr="00EA7460">
        <w:rPr>
          <w:rFonts w:ascii="Cambria" w:hAnsi="Cambria"/>
          <w:sz w:val="20"/>
          <w:szCs w:val="20"/>
          <w:lang w:val="es-ES_tradnl"/>
        </w:rPr>
        <w:t xml:space="preserve"> iría contra el derecho internacional de los derechos humanos.</w:t>
      </w:r>
    </w:p>
    <w:p w14:paraId="38FAF317" w14:textId="57778857" w:rsidR="002F043B" w:rsidRPr="00EA7460" w:rsidRDefault="004442C9" w:rsidP="00E51B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sidRPr="00EA7460">
        <w:rPr>
          <w:rFonts w:ascii="Cambria" w:hAnsi="Cambria"/>
          <w:sz w:val="20"/>
          <w:szCs w:val="20"/>
          <w:lang w:val="es-ES_tradnl"/>
        </w:rPr>
        <w:t>Respecto</w:t>
      </w:r>
      <w:r w:rsidR="008D597F" w:rsidRPr="00EA7460">
        <w:rPr>
          <w:rFonts w:ascii="Cambria" w:hAnsi="Cambria"/>
          <w:sz w:val="20"/>
          <w:szCs w:val="20"/>
          <w:lang w:val="es-ES_tradnl"/>
        </w:rPr>
        <w:t xml:space="preserve"> a la presunta violación del derecho de defensa, </w:t>
      </w:r>
      <w:r w:rsidR="00E51BC6" w:rsidRPr="00EA7460">
        <w:rPr>
          <w:rFonts w:ascii="Cambria" w:hAnsi="Cambria"/>
          <w:sz w:val="20"/>
          <w:szCs w:val="20"/>
          <w:lang w:val="es-ES_tradnl"/>
        </w:rPr>
        <w:t xml:space="preserve">afirma </w:t>
      </w:r>
      <w:r w:rsidR="00E30364">
        <w:rPr>
          <w:rFonts w:ascii="Cambria" w:hAnsi="Cambria"/>
          <w:sz w:val="20"/>
          <w:szCs w:val="20"/>
          <w:lang w:val="es-ES_tradnl"/>
        </w:rPr>
        <w:t xml:space="preserve">que </w:t>
      </w:r>
      <w:r w:rsidR="00E51BC6" w:rsidRPr="00EA7460">
        <w:rPr>
          <w:rFonts w:ascii="Cambria" w:hAnsi="Cambria"/>
          <w:sz w:val="20"/>
          <w:szCs w:val="20"/>
          <w:lang w:val="es-ES_tradnl"/>
        </w:rPr>
        <w:t xml:space="preserve">el señor </w:t>
      </w:r>
      <w:proofErr w:type="spellStart"/>
      <w:r w:rsidR="00E51BC6" w:rsidRPr="00EA7460">
        <w:rPr>
          <w:rFonts w:ascii="Cambria" w:hAnsi="Cambria"/>
          <w:sz w:val="20"/>
          <w:szCs w:val="20"/>
          <w:lang w:val="es-ES_tradnl"/>
        </w:rPr>
        <w:t>Padovan</w:t>
      </w:r>
      <w:proofErr w:type="spellEnd"/>
      <w:r w:rsidR="00E51BC6" w:rsidRPr="00EA7460">
        <w:rPr>
          <w:rFonts w:ascii="Cambria" w:hAnsi="Cambria"/>
          <w:sz w:val="20"/>
          <w:szCs w:val="20"/>
          <w:lang w:val="es-ES_tradnl"/>
        </w:rPr>
        <w:t xml:space="preserve"> contó con asistencia legal durante todo el proceso</w:t>
      </w:r>
      <w:r w:rsidR="00E30364">
        <w:rPr>
          <w:rFonts w:ascii="Cambria" w:hAnsi="Cambria"/>
          <w:sz w:val="20"/>
          <w:szCs w:val="20"/>
          <w:lang w:val="es-ES_tradnl"/>
        </w:rPr>
        <w:t>;</w:t>
      </w:r>
      <w:r w:rsidR="00E51BC6" w:rsidRPr="00EA7460">
        <w:rPr>
          <w:rFonts w:ascii="Cambria" w:hAnsi="Cambria"/>
          <w:sz w:val="20"/>
          <w:szCs w:val="20"/>
          <w:lang w:val="es-ES_tradnl"/>
        </w:rPr>
        <w:t xml:space="preserve"> </w:t>
      </w:r>
      <w:r w:rsidR="00933127" w:rsidRPr="00EA7460">
        <w:rPr>
          <w:rFonts w:ascii="Cambria" w:hAnsi="Cambria"/>
          <w:sz w:val="20"/>
          <w:szCs w:val="20"/>
          <w:lang w:val="es-ES_tradnl"/>
        </w:rPr>
        <w:t>y,</w:t>
      </w:r>
      <w:r w:rsidR="00E51BC6" w:rsidRPr="00EA7460">
        <w:rPr>
          <w:rFonts w:ascii="Cambria" w:hAnsi="Cambria"/>
          <w:sz w:val="20"/>
          <w:szCs w:val="20"/>
          <w:lang w:val="es-ES_tradnl"/>
        </w:rPr>
        <w:t xml:space="preserve"> además, </w:t>
      </w:r>
      <w:r w:rsidR="008D597F" w:rsidRPr="00EA7460">
        <w:rPr>
          <w:rFonts w:ascii="Cambria" w:hAnsi="Cambria"/>
          <w:sz w:val="20"/>
          <w:szCs w:val="20"/>
          <w:lang w:val="es-ES_tradnl"/>
        </w:rPr>
        <w:t>que la Cámara Federal de Apelaciones de Córdoba</w:t>
      </w:r>
      <w:r w:rsidRPr="00EA7460">
        <w:rPr>
          <w:rFonts w:ascii="Cambria" w:hAnsi="Cambria"/>
          <w:sz w:val="20"/>
          <w:szCs w:val="20"/>
          <w:lang w:val="es-ES_tradnl"/>
        </w:rPr>
        <w:t xml:space="preserve"> </w:t>
      </w:r>
      <w:r w:rsidR="008D597F" w:rsidRPr="00EA7460">
        <w:rPr>
          <w:rFonts w:ascii="Cambria" w:hAnsi="Cambria"/>
          <w:sz w:val="20"/>
          <w:szCs w:val="20"/>
          <w:lang w:val="es-ES_tradnl"/>
        </w:rPr>
        <w:t>dispus</w:t>
      </w:r>
      <w:r w:rsidRPr="00EA7460">
        <w:rPr>
          <w:rFonts w:ascii="Cambria" w:hAnsi="Cambria"/>
          <w:sz w:val="20"/>
          <w:szCs w:val="20"/>
          <w:lang w:val="es-ES_tradnl"/>
        </w:rPr>
        <w:t>o</w:t>
      </w:r>
      <w:r w:rsidR="008D597F" w:rsidRPr="00EA7460">
        <w:rPr>
          <w:rFonts w:ascii="Cambria" w:hAnsi="Cambria"/>
          <w:sz w:val="20"/>
          <w:szCs w:val="20"/>
          <w:lang w:val="es-ES_tradnl"/>
        </w:rPr>
        <w:t xml:space="preserve"> suspender la matricula federal</w:t>
      </w:r>
      <w:r w:rsidRPr="00EA7460">
        <w:rPr>
          <w:rFonts w:ascii="Cambria" w:hAnsi="Cambria"/>
          <w:sz w:val="20"/>
          <w:szCs w:val="20"/>
          <w:lang w:val="es-ES_tradnl"/>
        </w:rPr>
        <w:t xml:space="preserve"> </w:t>
      </w:r>
      <w:r w:rsidR="003E7ED4">
        <w:rPr>
          <w:rFonts w:ascii="Cambria" w:hAnsi="Cambria"/>
          <w:sz w:val="20"/>
          <w:szCs w:val="20"/>
          <w:lang w:val="es-ES_tradnl"/>
        </w:rPr>
        <w:t xml:space="preserve">de abogado </w:t>
      </w:r>
      <w:r w:rsidR="00042A97" w:rsidRPr="00EA7460">
        <w:rPr>
          <w:rFonts w:ascii="Cambria" w:hAnsi="Cambria"/>
          <w:sz w:val="20"/>
          <w:szCs w:val="20"/>
          <w:lang w:val="es-ES_tradnl"/>
        </w:rPr>
        <w:t>de</w:t>
      </w:r>
      <w:r w:rsidRPr="00EA7460">
        <w:rPr>
          <w:rFonts w:ascii="Cambria" w:hAnsi="Cambria"/>
          <w:sz w:val="20"/>
          <w:szCs w:val="20"/>
          <w:lang w:val="es-ES_tradnl"/>
        </w:rPr>
        <w:t xml:space="preserve"> la presunta víctima, al considerar que aplicaba la incompatibilidad </w:t>
      </w:r>
      <w:r w:rsidR="008D597F" w:rsidRPr="00EA7460">
        <w:rPr>
          <w:rFonts w:ascii="Cambria" w:hAnsi="Cambria"/>
          <w:sz w:val="20"/>
          <w:szCs w:val="20"/>
          <w:lang w:val="es-ES_tradnl"/>
        </w:rPr>
        <w:t>prevista</w:t>
      </w:r>
      <w:r w:rsidR="00C81002" w:rsidRPr="00EA7460">
        <w:rPr>
          <w:rFonts w:ascii="Cambria" w:hAnsi="Cambria"/>
          <w:sz w:val="20"/>
          <w:szCs w:val="20"/>
          <w:lang w:val="es-ES_tradnl"/>
        </w:rPr>
        <w:t xml:space="preserve"> por el artículo 19 inciso (b) de la </w:t>
      </w:r>
      <w:r w:rsidR="00042A97" w:rsidRPr="00EA7460">
        <w:rPr>
          <w:rFonts w:ascii="Cambria" w:hAnsi="Cambria"/>
          <w:sz w:val="20"/>
          <w:szCs w:val="20"/>
          <w:lang w:val="es-ES_tradnl"/>
        </w:rPr>
        <w:t>l</w:t>
      </w:r>
      <w:r w:rsidR="00C81002" w:rsidRPr="00EA7460">
        <w:rPr>
          <w:rFonts w:ascii="Cambria" w:hAnsi="Cambria"/>
          <w:sz w:val="20"/>
          <w:szCs w:val="20"/>
          <w:lang w:val="es-ES_tradnl"/>
        </w:rPr>
        <w:t>ey 22.192</w:t>
      </w:r>
      <w:r w:rsidRPr="00EA7460">
        <w:rPr>
          <w:rFonts w:ascii="Cambria" w:hAnsi="Cambria"/>
          <w:sz w:val="20"/>
          <w:szCs w:val="20"/>
          <w:lang w:val="es-ES_tradnl"/>
        </w:rPr>
        <w:t>, dado que había sido condenad</w:t>
      </w:r>
      <w:r w:rsidR="003A4645" w:rsidRPr="00EA7460">
        <w:rPr>
          <w:rFonts w:ascii="Cambria" w:hAnsi="Cambria"/>
          <w:sz w:val="20"/>
          <w:szCs w:val="20"/>
          <w:lang w:val="es-ES_tradnl"/>
        </w:rPr>
        <w:t>o</w:t>
      </w:r>
      <w:r w:rsidR="00C81002" w:rsidRPr="00EA7460">
        <w:rPr>
          <w:rFonts w:ascii="Cambria" w:hAnsi="Cambria"/>
          <w:sz w:val="20"/>
          <w:szCs w:val="20"/>
          <w:lang w:val="es-ES_tradnl"/>
        </w:rPr>
        <w:t xml:space="preserve"> por un delito que afectaba el decoro, la dignidad y probidad profesional.</w:t>
      </w:r>
      <w:r w:rsidR="001437CE" w:rsidRPr="00EA7460">
        <w:rPr>
          <w:rFonts w:ascii="Cambria" w:hAnsi="Cambria"/>
          <w:sz w:val="20"/>
          <w:szCs w:val="20"/>
          <w:lang w:val="es-ES_tradnl"/>
        </w:rPr>
        <w:t xml:space="preserve"> </w:t>
      </w:r>
    </w:p>
    <w:p w14:paraId="146373B8" w14:textId="72A986E9" w:rsidR="008D597F" w:rsidRPr="00EA7460" w:rsidRDefault="00A50D34" w:rsidP="002F04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sidRPr="00EA7460">
        <w:rPr>
          <w:rFonts w:ascii="Cambria" w:hAnsi="Cambria"/>
          <w:sz w:val="20"/>
          <w:szCs w:val="20"/>
          <w:lang w:val="es-ES_tradnl"/>
        </w:rPr>
        <w:t xml:space="preserve">Frente a la presunta vulneración del </w:t>
      </w:r>
      <w:r w:rsidR="00C81002" w:rsidRPr="00EA7460">
        <w:rPr>
          <w:rFonts w:ascii="Cambria" w:hAnsi="Cambria"/>
          <w:sz w:val="20"/>
          <w:szCs w:val="20"/>
          <w:lang w:val="es-ES_tradnl"/>
        </w:rPr>
        <w:t xml:space="preserve">derecho a la propiedad </w:t>
      </w:r>
      <w:r w:rsidR="009816BB" w:rsidRPr="00EA7460">
        <w:rPr>
          <w:rFonts w:ascii="Cambria" w:hAnsi="Cambria"/>
          <w:sz w:val="20"/>
          <w:szCs w:val="20"/>
          <w:lang w:val="es-ES_tradnl"/>
        </w:rPr>
        <w:t xml:space="preserve">privada, </w:t>
      </w:r>
      <w:r w:rsidR="00EC6E20" w:rsidRPr="00EA7460">
        <w:rPr>
          <w:rFonts w:ascii="Cambria" w:hAnsi="Cambria"/>
          <w:sz w:val="20"/>
          <w:szCs w:val="20"/>
          <w:lang w:val="es-ES_tradnl"/>
        </w:rPr>
        <w:t xml:space="preserve">alega que al momento </w:t>
      </w:r>
      <w:r w:rsidR="00042A97" w:rsidRPr="00EA7460">
        <w:rPr>
          <w:rFonts w:ascii="Cambria" w:hAnsi="Cambria"/>
          <w:sz w:val="20"/>
          <w:szCs w:val="20"/>
          <w:lang w:val="es-ES_tradnl"/>
        </w:rPr>
        <w:t xml:space="preserve">de </w:t>
      </w:r>
      <w:r w:rsidR="00EC6E20" w:rsidRPr="00EA7460">
        <w:rPr>
          <w:rFonts w:ascii="Cambria" w:hAnsi="Cambria"/>
          <w:sz w:val="20"/>
          <w:szCs w:val="20"/>
          <w:lang w:val="es-ES_tradnl"/>
        </w:rPr>
        <w:t>conce</w:t>
      </w:r>
      <w:r w:rsidR="00042A97" w:rsidRPr="00EA7460">
        <w:rPr>
          <w:rFonts w:ascii="Cambria" w:hAnsi="Cambria"/>
          <w:sz w:val="20"/>
          <w:szCs w:val="20"/>
          <w:lang w:val="es-ES_tradnl"/>
        </w:rPr>
        <w:t>der</w:t>
      </w:r>
      <w:r w:rsidR="00EC6E20" w:rsidRPr="00EA7460">
        <w:rPr>
          <w:rFonts w:ascii="Cambria" w:hAnsi="Cambria"/>
          <w:sz w:val="20"/>
          <w:szCs w:val="20"/>
          <w:lang w:val="es-ES_tradnl"/>
        </w:rPr>
        <w:t xml:space="preserve"> </w:t>
      </w:r>
      <w:r w:rsidR="00042A97" w:rsidRPr="00EA7460">
        <w:rPr>
          <w:rFonts w:ascii="Cambria" w:hAnsi="Cambria"/>
          <w:sz w:val="20"/>
          <w:szCs w:val="20"/>
          <w:lang w:val="es-ES_tradnl"/>
        </w:rPr>
        <w:t>la</w:t>
      </w:r>
      <w:r w:rsidR="00EC6E20" w:rsidRPr="00EA7460">
        <w:rPr>
          <w:rFonts w:ascii="Cambria" w:hAnsi="Cambria"/>
          <w:sz w:val="20"/>
          <w:szCs w:val="20"/>
          <w:lang w:val="es-ES_tradnl"/>
        </w:rPr>
        <w:t xml:space="preserve"> excarcelación</w:t>
      </w:r>
      <w:r w:rsidR="00C23057" w:rsidRPr="00EA7460">
        <w:rPr>
          <w:rFonts w:ascii="Cambria" w:hAnsi="Cambria"/>
          <w:sz w:val="20"/>
          <w:szCs w:val="20"/>
          <w:lang w:val="es-ES_tradnl"/>
        </w:rPr>
        <w:t xml:space="preserve"> </w:t>
      </w:r>
      <w:r w:rsidR="00042A97" w:rsidRPr="00EA7460">
        <w:rPr>
          <w:rFonts w:ascii="Cambria" w:hAnsi="Cambria"/>
          <w:sz w:val="20"/>
          <w:szCs w:val="20"/>
          <w:lang w:val="es-ES_tradnl"/>
        </w:rPr>
        <w:t xml:space="preserve">a </w:t>
      </w:r>
      <w:r w:rsidR="00C23057" w:rsidRPr="00EA7460">
        <w:rPr>
          <w:rFonts w:ascii="Cambria" w:hAnsi="Cambria"/>
          <w:sz w:val="20"/>
          <w:szCs w:val="20"/>
          <w:lang w:val="es-ES_tradnl"/>
        </w:rPr>
        <w:t>un imputado</w:t>
      </w:r>
      <w:r w:rsidR="00042A97" w:rsidRPr="00EA7460">
        <w:rPr>
          <w:rFonts w:ascii="Cambria" w:hAnsi="Cambria"/>
          <w:sz w:val="20"/>
          <w:szCs w:val="20"/>
          <w:lang w:val="es-ES_tradnl"/>
        </w:rPr>
        <w:t>,</w:t>
      </w:r>
      <w:r w:rsidR="00C23057" w:rsidRPr="00EA7460">
        <w:rPr>
          <w:rFonts w:ascii="Cambria" w:hAnsi="Cambria"/>
          <w:sz w:val="20"/>
          <w:szCs w:val="20"/>
          <w:lang w:val="es-ES_tradnl"/>
        </w:rPr>
        <w:t xml:space="preserve"> debe garantizarse </w:t>
      </w:r>
      <w:r w:rsidR="002F043B" w:rsidRPr="00EA7460">
        <w:rPr>
          <w:rFonts w:ascii="Cambria" w:hAnsi="Cambria"/>
          <w:sz w:val="20"/>
          <w:szCs w:val="20"/>
          <w:lang w:val="es-ES_tradnl"/>
        </w:rPr>
        <w:t>su</w:t>
      </w:r>
      <w:r w:rsidR="00EC6E20" w:rsidRPr="00EA7460">
        <w:rPr>
          <w:rFonts w:ascii="Cambria" w:hAnsi="Cambria"/>
          <w:sz w:val="20"/>
          <w:szCs w:val="20"/>
          <w:lang w:val="es-ES_tradnl"/>
        </w:rPr>
        <w:t xml:space="preserve"> presencia</w:t>
      </w:r>
      <w:r w:rsidR="002F043B" w:rsidRPr="00EA7460">
        <w:rPr>
          <w:rFonts w:ascii="Cambria" w:hAnsi="Cambria"/>
          <w:sz w:val="20"/>
          <w:szCs w:val="20"/>
          <w:lang w:val="es-ES_tradnl"/>
        </w:rPr>
        <w:t xml:space="preserve">, </w:t>
      </w:r>
      <w:r w:rsidR="00EC6E20" w:rsidRPr="00EA7460">
        <w:rPr>
          <w:rFonts w:ascii="Cambria" w:hAnsi="Cambria"/>
          <w:sz w:val="20"/>
          <w:szCs w:val="20"/>
          <w:lang w:val="es-ES_tradnl"/>
        </w:rPr>
        <w:t>en caso de una eventual sen</w:t>
      </w:r>
      <w:r w:rsidR="00C23057" w:rsidRPr="00EA7460">
        <w:rPr>
          <w:rFonts w:ascii="Cambria" w:hAnsi="Cambria"/>
          <w:sz w:val="20"/>
          <w:szCs w:val="20"/>
          <w:lang w:val="es-ES_tradnl"/>
        </w:rPr>
        <w:t>tencia condenatoria, a través del establecimiento de una</w:t>
      </w:r>
      <w:r w:rsidR="00EC6E20" w:rsidRPr="00EA7460">
        <w:rPr>
          <w:rFonts w:ascii="Cambria" w:hAnsi="Cambria"/>
          <w:sz w:val="20"/>
          <w:szCs w:val="20"/>
          <w:lang w:val="es-ES_tradnl"/>
        </w:rPr>
        <w:t xml:space="preserve"> caución monetaria</w:t>
      </w:r>
      <w:r w:rsidR="008945A0" w:rsidRPr="00EA7460">
        <w:rPr>
          <w:rFonts w:ascii="Cambria" w:hAnsi="Cambria"/>
          <w:sz w:val="20"/>
          <w:szCs w:val="20"/>
          <w:lang w:val="es-ES_tradnl"/>
        </w:rPr>
        <w:t xml:space="preserve">. </w:t>
      </w:r>
      <w:r w:rsidR="00E30364">
        <w:rPr>
          <w:rFonts w:ascii="Cambria" w:hAnsi="Cambria"/>
          <w:sz w:val="20"/>
          <w:szCs w:val="20"/>
          <w:lang w:val="es-ES_tradnl"/>
        </w:rPr>
        <w:t>Así,</w:t>
      </w:r>
      <w:r w:rsidR="00733E55" w:rsidRPr="00EA7460">
        <w:rPr>
          <w:rFonts w:ascii="Cambria" w:hAnsi="Cambria"/>
          <w:sz w:val="20"/>
          <w:szCs w:val="20"/>
          <w:lang w:val="es-ES_tradnl"/>
        </w:rPr>
        <w:t xml:space="preserve"> el</w:t>
      </w:r>
      <w:r w:rsidR="002F043B" w:rsidRPr="00EA7460">
        <w:rPr>
          <w:rFonts w:ascii="Cambria" w:hAnsi="Cambria"/>
          <w:sz w:val="20"/>
          <w:szCs w:val="20"/>
          <w:lang w:val="es-ES_tradnl"/>
        </w:rPr>
        <w:t xml:space="preserve"> 10 de junio de 2014 el</w:t>
      </w:r>
      <w:r w:rsidR="00733E55" w:rsidRPr="00EA7460">
        <w:rPr>
          <w:rFonts w:ascii="Cambria" w:hAnsi="Cambria"/>
          <w:sz w:val="20"/>
          <w:szCs w:val="20"/>
          <w:lang w:val="es-ES_tradnl"/>
        </w:rPr>
        <w:t xml:space="preserve"> monto </w:t>
      </w:r>
      <w:r w:rsidR="00733E55" w:rsidRPr="00EA7460">
        <w:rPr>
          <w:rFonts w:ascii="Cambria" w:hAnsi="Cambria"/>
          <w:sz w:val="20"/>
          <w:szCs w:val="20"/>
          <w:lang w:val="es-ES_tradnl"/>
        </w:rPr>
        <w:lastRenderedPageBreak/>
        <w:t xml:space="preserve">pagado por el </w:t>
      </w:r>
      <w:r w:rsidR="002F043B" w:rsidRPr="00EA7460">
        <w:rPr>
          <w:rFonts w:ascii="Cambria" w:hAnsi="Cambria"/>
          <w:sz w:val="20"/>
          <w:szCs w:val="20"/>
          <w:lang w:val="es-ES_tradnl"/>
        </w:rPr>
        <w:t xml:space="preserve">señor Valentín </w:t>
      </w:r>
      <w:proofErr w:type="spellStart"/>
      <w:r w:rsidR="00733E55" w:rsidRPr="00EA7460">
        <w:rPr>
          <w:rFonts w:ascii="Cambria" w:hAnsi="Cambria"/>
          <w:sz w:val="20"/>
          <w:szCs w:val="20"/>
          <w:lang w:val="es-ES_tradnl"/>
        </w:rPr>
        <w:t>Pado</w:t>
      </w:r>
      <w:r w:rsidR="00AE7529" w:rsidRPr="00EA7460">
        <w:rPr>
          <w:rFonts w:ascii="Cambria" w:hAnsi="Cambria"/>
          <w:sz w:val="20"/>
          <w:szCs w:val="20"/>
          <w:lang w:val="es-ES_tradnl"/>
        </w:rPr>
        <w:t>v</w:t>
      </w:r>
      <w:r w:rsidR="00BF0D56" w:rsidRPr="00EA7460">
        <w:rPr>
          <w:rFonts w:ascii="Cambria" w:hAnsi="Cambria"/>
          <w:sz w:val="20"/>
          <w:szCs w:val="20"/>
          <w:lang w:val="es-ES_tradnl"/>
        </w:rPr>
        <w:t>a</w:t>
      </w:r>
      <w:r w:rsidR="00733E55" w:rsidRPr="00EA7460">
        <w:rPr>
          <w:rFonts w:ascii="Cambria" w:hAnsi="Cambria"/>
          <w:sz w:val="20"/>
          <w:szCs w:val="20"/>
          <w:lang w:val="es-ES_tradnl"/>
        </w:rPr>
        <w:t>n</w:t>
      </w:r>
      <w:proofErr w:type="spellEnd"/>
      <w:r w:rsidR="00733E55" w:rsidRPr="00EA7460">
        <w:rPr>
          <w:rFonts w:ascii="Cambria" w:hAnsi="Cambria"/>
          <w:sz w:val="20"/>
          <w:szCs w:val="20"/>
          <w:lang w:val="es-ES_tradnl"/>
        </w:rPr>
        <w:t xml:space="preserve"> le fue restituido</w:t>
      </w:r>
      <w:r w:rsidR="002F043B" w:rsidRPr="00EA7460">
        <w:rPr>
          <w:rFonts w:ascii="Cambria" w:hAnsi="Cambria"/>
          <w:sz w:val="20"/>
          <w:szCs w:val="20"/>
          <w:lang w:val="es-ES_tradnl"/>
        </w:rPr>
        <w:t xml:space="preserve">, tras ser depositado </w:t>
      </w:r>
      <w:r w:rsidR="00733E55" w:rsidRPr="00EA7460">
        <w:rPr>
          <w:rFonts w:ascii="Cambria" w:hAnsi="Cambria"/>
          <w:sz w:val="20"/>
          <w:szCs w:val="20"/>
          <w:lang w:val="es-ES_tradnl"/>
        </w:rPr>
        <w:t>a</w:t>
      </w:r>
      <w:r w:rsidR="002F043B" w:rsidRPr="00EA7460">
        <w:rPr>
          <w:rFonts w:ascii="Cambria" w:hAnsi="Cambria"/>
          <w:sz w:val="20"/>
          <w:szCs w:val="20"/>
          <w:lang w:val="es-ES_tradnl"/>
        </w:rPr>
        <w:t xml:space="preserve"> su esposa</w:t>
      </w:r>
      <w:r w:rsidR="00EC6E20" w:rsidRPr="00EA7460">
        <w:rPr>
          <w:rFonts w:ascii="Cambria" w:hAnsi="Cambria"/>
          <w:sz w:val="20"/>
          <w:szCs w:val="20"/>
          <w:lang w:val="es-ES_tradnl"/>
        </w:rPr>
        <w:t>.</w:t>
      </w:r>
      <w:r w:rsidR="00F675F0" w:rsidRPr="00EA7460">
        <w:rPr>
          <w:rFonts w:ascii="Cambria" w:hAnsi="Cambria"/>
          <w:sz w:val="20"/>
          <w:szCs w:val="20"/>
          <w:lang w:val="es-ES_tradnl"/>
        </w:rPr>
        <w:t xml:space="preserve"> </w:t>
      </w:r>
      <w:r w:rsidR="002F043B" w:rsidRPr="00EA7460">
        <w:rPr>
          <w:rFonts w:ascii="Cambria" w:hAnsi="Cambria"/>
          <w:sz w:val="20"/>
          <w:szCs w:val="20"/>
          <w:lang w:val="es-ES_tradnl"/>
        </w:rPr>
        <w:t xml:space="preserve">Por otro lado, agrega que la suspensión del haber jubilatorio por retiro se realizó en aplicación del artículo 85 de la ley 19.101 (ley para personal militar), que dispone </w:t>
      </w:r>
      <w:r w:rsidR="009E52AC" w:rsidRPr="00EA7460">
        <w:rPr>
          <w:rFonts w:ascii="Cambria" w:hAnsi="Cambria"/>
          <w:sz w:val="20"/>
          <w:szCs w:val="20"/>
          <w:lang w:val="es-ES_tradnl"/>
        </w:rPr>
        <w:t xml:space="preserve">que el derecho a la pensión se pierde de forma irrevocable por recibir una condena de inhabilitación </w:t>
      </w:r>
      <w:r w:rsidR="00D232FF" w:rsidRPr="00EA7460">
        <w:rPr>
          <w:rFonts w:ascii="Cambria" w:hAnsi="Cambria"/>
          <w:sz w:val="20"/>
          <w:szCs w:val="20"/>
          <w:lang w:val="es-ES_tradnl"/>
        </w:rPr>
        <w:t>absoluta</w:t>
      </w:r>
      <w:r w:rsidR="002F043B" w:rsidRPr="00EA7460">
        <w:rPr>
          <w:rFonts w:ascii="Cambria" w:hAnsi="Cambria"/>
          <w:sz w:val="20"/>
          <w:szCs w:val="20"/>
          <w:lang w:val="es-ES_tradnl"/>
        </w:rPr>
        <w:t>.</w:t>
      </w:r>
      <w:r w:rsidR="00D232FF" w:rsidRPr="00EA7460">
        <w:rPr>
          <w:rFonts w:ascii="Cambria" w:hAnsi="Cambria"/>
          <w:sz w:val="20"/>
          <w:szCs w:val="20"/>
          <w:lang w:val="es-ES_tradnl"/>
        </w:rPr>
        <w:t xml:space="preserve"> </w:t>
      </w:r>
    </w:p>
    <w:p w14:paraId="219E14A9" w14:textId="09A8187C" w:rsidR="001437CE" w:rsidRPr="00EA7460" w:rsidRDefault="003A4645" w:rsidP="00BF0D5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sidRPr="00EA7460">
        <w:rPr>
          <w:rFonts w:ascii="Cambria" w:hAnsi="Cambria"/>
          <w:sz w:val="20"/>
          <w:szCs w:val="20"/>
          <w:lang w:val="es-ES_tradnl"/>
        </w:rPr>
        <w:t>F</w:t>
      </w:r>
      <w:r w:rsidR="00D232FF" w:rsidRPr="00EA7460">
        <w:rPr>
          <w:rFonts w:ascii="Cambria" w:hAnsi="Cambria"/>
          <w:sz w:val="20"/>
          <w:szCs w:val="20"/>
          <w:lang w:val="es-ES_tradnl"/>
        </w:rPr>
        <w:t xml:space="preserve">rente </w:t>
      </w:r>
      <w:r w:rsidR="002F043B" w:rsidRPr="00EA7460">
        <w:rPr>
          <w:rFonts w:ascii="Cambria" w:hAnsi="Cambria"/>
          <w:sz w:val="20"/>
          <w:szCs w:val="20"/>
          <w:lang w:val="es-ES_tradnl"/>
        </w:rPr>
        <w:t xml:space="preserve">a la alegada vulneración </w:t>
      </w:r>
      <w:r w:rsidR="00D232FF" w:rsidRPr="00EA7460">
        <w:rPr>
          <w:rFonts w:ascii="Cambria" w:hAnsi="Cambria"/>
          <w:sz w:val="20"/>
          <w:szCs w:val="20"/>
          <w:lang w:val="es-ES_tradnl"/>
        </w:rPr>
        <w:t>al derecho a la libertad personal</w:t>
      </w:r>
      <w:r w:rsidR="008945A0" w:rsidRPr="00EA7460">
        <w:rPr>
          <w:rFonts w:ascii="Cambria" w:hAnsi="Cambria"/>
          <w:sz w:val="20"/>
          <w:szCs w:val="20"/>
          <w:lang w:val="es-ES_tradnl"/>
        </w:rPr>
        <w:t xml:space="preserve">, </w:t>
      </w:r>
      <w:r w:rsidR="00BF0D56" w:rsidRPr="00EA7460">
        <w:rPr>
          <w:rFonts w:ascii="Cambria" w:hAnsi="Cambria"/>
          <w:sz w:val="20"/>
          <w:szCs w:val="20"/>
          <w:lang w:val="es-ES_tradnl"/>
        </w:rPr>
        <w:t xml:space="preserve">afirma que las autoridades dictaron una medida de prisión preventiva contra la presunta víctima, alegando que podía entorpecer el proceso penal en su contra de estar en libertad, dada </w:t>
      </w:r>
      <w:r w:rsidR="00042A97" w:rsidRPr="00EA7460">
        <w:rPr>
          <w:rFonts w:ascii="Cambria" w:hAnsi="Cambria"/>
          <w:sz w:val="20"/>
          <w:szCs w:val="20"/>
          <w:lang w:val="es-ES_tradnl"/>
        </w:rPr>
        <w:t xml:space="preserve">su </w:t>
      </w:r>
      <w:r w:rsidR="00BF0D56" w:rsidRPr="00EA7460">
        <w:rPr>
          <w:rFonts w:ascii="Cambria" w:hAnsi="Cambria"/>
          <w:sz w:val="20"/>
          <w:szCs w:val="20"/>
          <w:lang w:val="es-ES_tradnl"/>
        </w:rPr>
        <w:t xml:space="preserve">filiación a una estructura de poder que actuó con total desprecio por la ley. En razón a ello, el señor </w:t>
      </w:r>
      <w:proofErr w:type="spellStart"/>
      <w:r w:rsidR="00BF0D56" w:rsidRPr="00EA7460">
        <w:rPr>
          <w:rFonts w:ascii="Cambria" w:hAnsi="Cambria"/>
          <w:sz w:val="20"/>
          <w:szCs w:val="20"/>
          <w:lang w:val="es-ES_tradnl"/>
        </w:rPr>
        <w:t>Padovan</w:t>
      </w:r>
      <w:proofErr w:type="spellEnd"/>
      <w:r w:rsidR="00F658A8" w:rsidRPr="00EA7460">
        <w:rPr>
          <w:rFonts w:ascii="Cambria" w:hAnsi="Cambria"/>
          <w:sz w:val="20"/>
          <w:szCs w:val="20"/>
          <w:lang w:val="es-ES_tradnl"/>
        </w:rPr>
        <w:t xml:space="preserve"> permaneció detenido desde el 22 de septiembre de 2003 hasta el 4 de julio de 2007, fecha en la que se hizo posible el beneficio de excarcelación.</w:t>
      </w:r>
      <w:r w:rsidR="00CC3E7A" w:rsidRPr="00EA7460">
        <w:rPr>
          <w:rFonts w:ascii="Cambria" w:hAnsi="Cambria"/>
          <w:sz w:val="20"/>
          <w:szCs w:val="20"/>
          <w:lang w:val="es-ES_tradnl"/>
        </w:rPr>
        <w:t xml:space="preserve"> </w:t>
      </w:r>
      <w:r w:rsidR="00F658A8" w:rsidRPr="00EA7460">
        <w:rPr>
          <w:rFonts w:ascii="Cambria" w:hAnsi="Cambria"/>
          <w:sz w:val="20"/>
          <w:szCs w:val="20"/>
          <w:lang w:val="es-ES_tradnl"/>
        </w:rPr>
        <w:t>Con posterioridad, el TOCF N. 1 de Córdoba</w:t>
      </w:r>
      <w:r w:rsidR="002F043B" w:rsidRPr="00EA7460">
        <w:rPr>
          <w:rFonts w:ascii="Cambria" w:hAnsi="Cambria"/>
          <w:sz w:val="20"/>
          <w:szCs w:val="20"/>
          <w:lang w:val="es-ES_tradnl"/>
        </w:rPr>
        <w:t>,</w:t>
      </w:r>
      <w:r w:rsidR="00F658A8" w:rsidRPr="00EA7460">
        <w:rPr>
          <w:rFonts w:ascii="Cambria" w:hAnsi="Cambria"/>
          <w:sz w:val="20"/>
          <w:szCs w:val="20"/>
          <w:lang w:val="es-ES_tradnl"/>
        </w:rPr>
        <w:t xml:space="preserve"> mediante Auto N. 94 de 2008</w:t>
      </w:r>
      <w:r w:rsidR="002F043B" w:rsidRPr="00EA7460">
        <w:rPr>
          <w:rFonts w:ascii="Cambria" w:hAnsi="Cambria"/>
          <w:sz w:val="20"/>
          <w:szCs w:val="20"/>
          <w:lang w:val="es-ES_tradnl"/>
        </w:rPr>
        <w:t>,</w:t>
      </w:r>
      <w:r w:rsidR="00955425" w:rsidRPr="00EA7460">
        <w:rPr>
          <w:rFonts w:ascii="Cambria" w:hAnsi="Cambria"/>
          <w:sz w:val="20"/>
          <w:szCs w:val="20"/>
          <w:lang w:val="es-ES_tradnl"/>
        </w:rPr>
        <w:t xml:space="preserve"> dispuso revocar la excarcelación</w:t>
      </w:r>
      <w:r w:rsidR="00F3561A">
        <w:rPr>
          <w:rFonts w:ascii="Cambria" w:hAnsi="Cambria"/>
          <w:sz w:val="20"/>
          <w:szCs w:val="20"/>
          <w:lang w:val="es-ES_tradnl"/>
        </w:rPr>
        <w:t>;</w:t>
      </w:r>
      <w:r w:rsidR="00955425" w:rsidRPr="00EA7460">
        <w:rPr>
          <w:rFonts w:ascii="Cambria" w:hAnsi="Cambria"/>
          <w:sz w:val="20"/>
          <w:szCs w:val="20"/>
          <w:lang w:val="es-ES_tradnl"/>
        </w:rPr>
        <w:t xml:space="preserve"> </w:t>
      </w:r>
      <w:r w:rsidR="00BF0D56" w:rsidRPr="00EA7460">
        <w:rPr>
          <w:rFonts w:ascii="Cambria" w:hAnsi="Cambria"/>
          <w:sz w:val="20"/>
          <w:szCs w:val="20"/>
          <w:lang w:val="es-ES_tradnl"/>
        </w:rPr>
        <w:t xml:space="preserve">por lo que el 22 de mayo de 2008 se detuvo nuevamente al señor </w:t>
      </w:r>
      <w:proofErr w:type="spellStart"/>
      <w:r w:rsidR="00BF0D56" w:rsidRPr="00EA7460">
        <w:rPr>
          <w:rFonts w:ascii="Cambria" w:hAnsi="Cambria"/>
          <w:sz w:val="20"/>
          <w:szCs w:val="20"/>
          <w:lang w:val="es-ES_tradnl"/>
        </w:rPr>
        <w:t>Padovan</w:t>
      </w:r>
      <w:proofErr w:type="spellEnd"/>
      <w:r w:rsidR="00BF0D56" w:rsidRPr="00EA7460">
        <w:rPr>
          <w:rFonts w:ascii="Cambria" w:hAnsi="Cambria"/>
          <w:sz w:val="20"/>
          <w:szCs w:val="20"/>
          <w:lang w:val="es-ES_tradnl"/>
        </w:rPr>
        <w:t xml:space="preserve">, </w:t>
      </w:r>
      <w:r w:rsidR="00955425" w:rsidRPr="00EA7460">
        <w:rPr>
          <w:rFonts w:ascii="Cambria" w:hAnsi="Cambria"/>
          <w:sz w:val="20"/>
          <w:szCs w:val="20"/>
          <w:lang w:val="es-ES_tradnl"/>
        </w:rPr>
        <w:t xml:space="preserve">bajo la modalidad de prisión preventiva por </w:t>
      </w:r>
      <w:r w:rsidR="00F3561A">
        <w:rPr>
          <w:rFonts w:ascii="Cambria" w:hAnsi="Cambria"/>
          <w:sz w:val="20"/>
          <w:szCs w:val="20"/>
          <w:lang w:val="es-ES_tradnl"/>
        </w:rPr>
        <w:t>dos</w:t>
      </w:r>
      <w:r w:rsidR="00955425" w:rsidRPr="00EA7460">
        <w:rPr>
          <w:rFonts w:ascii="Cambria" w:hAnsi="Cambria"/>
          <w:sz w:val="20"/>
          <w:szCs w:val="20"/>
          <w:lang w:val="es-ES_tradnl"/>
        </w:rPr>
        <w:t xml:space="preserve"> meses y </w:t>
      </w:r>
      <w:r w:rsidR="00F3561A">
        <w:rPr>
          <w:rFonts w:ascii="Cambria" w:hAnsi="Cambria"/>
          <w:sz w:val="20"/>
          <w:szCs w:val="20"/>
          <w:lang w:val="es-ES_tradnl"/>
        </w:rPr>
        <w:t>dos</w:t>
      </w:r>
      <w:r w:rsidR="00955425" w:rsidRPr="00EA7460">
        <w:rPr>
          <w:rFonts w:ascii="Cambria" w:hAnsi="Cambria"/>
          <w:sz w:val="20"/>
          <w:szCs w:val="20"/>
          <w:lang w:val="es-ES_tradnl"/>
        </w:rPr>
        <w:t xml:space="preserve"> días</w:t>
      </w:r>
      <w:r w:rsidR="002F043B" w:rsidRPr="00EA7460">
        <w:rPr>
          <w:rFonts w:ascii="Cambria" w:hAnsi="Cambria"/>
          <w:sz w:val="20"/>
          <w:szCs w:val="20"/>
          <w:lang w:val="es-ES_tradnl"/>
        </w:rPr>
        <w:t>,</w:t>
      </w:r>
      <w:r w:rsidR="00955425" w:rsidRPr="00EA7460">
        <w:rPr>
          <w:rFonts w:ascii="Cambria" w:hAnsi="Cambria"/>
          <w:sz w:val="20"/>
          <w:szCs w:val="20"/>
          <w:lang w:val="es-ES_tradnl"/>
        </w:rPr>
        <w:t xml:space="preserve"> hasta que se dictó la sentencia condenatoria el 24 de julio de 2008. </w:t>
      </w:r>
      <w:r w:rsidRPr="00EA7460">
        <w:rPr>
          <w:rFonts w:ascii="Cambria" w:hAnsi="Cambria"/>
          <w:sz w:val="20"/>
          <w:szCs w:val="20"/>
          <w:lang w:val="es-ES_tradnl"/>
        </w:rPr>
        <w:t>En consecuencia, a</w:t>
      </w:r>
      <w:r w:rsidR="006643AE" w:rsidRPr="00EA7460">
        <w:rPr>
          <w:rFonts w:ascii="Cambria" w:hAnsi="Cambria"/>
          <w:sz w:val="20"/>
          <w:szCs w:val="20"/>
          <w:lang w:val="es-ES_tradnl"/>
        </w:rPr>
        <w:t xml:space="preserve">firma que hubo </w:t>
      </w:r>
      <w:r w:rsidR="002F043B" w:rsidRPr="00EA7460">
        <w:rPr>
          <w:rFonts w:ascii="Cambria" w:hAnsi="Cambria"/>
          <w:sz w:val="20"/>
          <w:szCs w:val="20"/>
          <w:lang w:val="es-ES_tradnl"/>
        </w:rPr>
        <w:t>un tiempo total</w:t>
      </w:r>
      <w:r w:rsidR="00955425" w:rsidRPr="00EA7460">
        <w:rPr>
          <w:rFonts w:ascii="Cambria" w:hAnsi="Cambria"/>
          <w:sz w:val="20"/>
          <w:szCs w:val="20"/>
          <w:lang w:val="es-ES_tradnl"/>
        </w:rPr>
        <w:t xml:space="preserve"> de prisión preventiva de </w:t>
      </w:r>
      <w:r w:rsidR="00F3561A">
        <w:rPr>
          <w:rFonts w:ascii="Cambria" w:hAnsi="Cambria"/>
          <w:sz w:val="20"/>
          <w:szCs w:val="20"/>
          <w:lang w:val="es-ES_tradnl"/>
        </w:rPr>
        <w:t>tres</w:t>
      </w:r>
      <w:r w:rsidR="00955425" w:rsidRPr="00EA7460">
        <w:rPr>
          <w:rFonts w:ascii="Cambria" w:hAnsi="Cambria"/>
          <w:sz w:val="20"/>
          <w:szCs w:val="20"/>
          <w:lang w:val="es-ES_tradnl"/>
        </w:rPr>
        <w:t xml:space="preserve"> años, </w:t>
      </w:r>
      <w:r w:rsidR="00F3561A">
        <w:rPr>
          <w:rFonts w:ascii="Cambria" w:hAnsi="Cambria"/>
          <w:sz w:val="20"/>
          <w:szCs w:val="20"/>
          <w:lang w:val="es-ES_tradnl"/>
        </w:rPr>
        <w:t>once</w:t>
      </w:r>
      <w:r w:rsidR="00955425" w:rsidRPr="00EA7460">
        <w:rPr>
          <w:rFonts w:ascii="Cambria" w:hAnsi="Cambria"/>
          <w:sz w:val="20"/>
          <w:szCs w:val="20"/>
          <w:lang w:val="es-ES_tradnl"/>
        </w:rPr>
        <w:t xml:space="preserve"> meses y </w:t>
      </w:r>
      <w:r w:rsidR="00F3561A">
        <w:rPr>
          <w:rFonts w:ascii="Cambria" w:hAnsi="Cambria"/>
          <w:sz w:val="20"/>
          <w:szCs w:val="20"/>
          <w:lang w:val="es-ES_tradnl"/>
        </w:rPr>
        <w:t>catorce</w:t>
      </w:r>
      <w:r w:rsidR="00955425" w:rsidRPr="00EA7460">
        <w:rPr>
          <w:rFonts w:ascii="Cambria" w:hAnsi="Cambria"/>
          <w:sz w:val="20"/>
          <w:szCs w:val="20"/>
          <w:lang w:val="es-ES_tradnl"/>
        </w:rPr>
        <w:t xml:space="preserve"> días</w:t>
      </w:r>
      <w:r w:rsidR="00B93BB5">
        <w:rPr>
          <w:rFonts w:ascii="Cambria" w:hAnsi="Cambria"/>
          <w:sz w:val="20"/>
          <w:szCs w:val="20"/>
          <w:lang w:val="es-ES_tradnl"/>
        </w:rPr>
        <w:t>;</w:t>
      </w:r>
      <w:r w:rsidR="002F043B" w:rsidRPr="00EA7460">
        <w:rPr>
          <w:rFonts w:ascii="Cambria" w:hAnsi="Cambria"/>
          <w:sz w:val="20"/>
          <w:szCs w:val="20"/>
          <w:lang w:val="es-ES_tradnl"/>
        </w:rPr>
        <w:t xml:space="preserve"> término que</w:t>
      </w:r>
      <w:r w:rsidR="00B93BB5">
        <w:rPr>
          <w:rFonts w:ascii="Cambria" w:hAnsi="Cambria"/>
          <w:sz w:val="20"/>
          <w:szCs w:val="20"/>
          <w:lang w:val="es-ES_tradnl"/>
        </w:rPr>
        <w:t>,</w:t>
      </w:r>
      <w:r w:rsidR="002F043B" w:rsidRPr="00EA7460">
        <w:rPr>
          <w:rFonts w:ascii="Cambria" w:hAnsi="Cambria"/>
          <w:sz w:val="20"/>
          <w:szCs w:val="20"/>
          <w:lang w:val="es-ES_tradnl"/>
        </w:rPr>
        <w:t xml:space="preserve"> a juicio del Estado, se encuentra dentro de los límites de la regulación interna. </w:t>
      </w:r>
      <w:r w:rsidR="006643AE" w:rsidRPr="00EA7460">
        <w:rPr>
          <w:rFonts w:ascii="Cambria" w:hAnsi="Cambria"/>
          <w:sz w:val="20"/>
          <w:szCs w:val="20"/>
          <w:lang w:val="es-ES_tradnl"/>
        </w:rPr>
        <w:t>Además, sostiene la C.S.J.N</w:t>
      </w:r>
      <w:r w:rsidR="00042A97" w:rsidRPr="00EA7460">
        <w:rPr>
          <w:rFonts w:ascii="Cambria" w:hAnsi="Cambria"/>
          <w:sz w:val="20"/>
          <w:szCs w:val="20"/>
          <w:lang w:val="es-ES_tradnl"/>
        </w:rPr>
        <w:t>.</w:t>
      </w:r>
      <w:r w:rsidR="006643AE" w:rsidRPr="00EA7460">
        <w:rPr>
          <w:rFonts w:ascii="Cambria" w:hAnsi="Cambria"/>
          <w:sz w:val="20"/>
          <w:szCs w:val="20"/>
          <w:lang w:val="es-ES_tradnl"/>
        </w:rPr>
        <w:t xml:space="preserve"> examinó tal situación y consideró</w:t>
      </w:r>
      <w:r w:rsidR="00B67F96" w:rsidRPr="00EA7460">
        <w:rPr>
          <w:rFonts w:ascii="Cambria" w:hAnsi="Cambria"/>
          <w:sz w:val="20"/>
          <w:szCs w:val="20"/>
          <w:lang w:val="es-ES_tradnl"/>
        </w:rPr>
        <w:t xml:space="preserve"> que </w:t>
      </w:r>
      <w:r w:rsidR="006643AE" w:rsidRPr="00EA7460">
        <w:rPr>
          <w:rFonts w:ascii="Cambria" w:hAnsi="Cambria"/>
          <w:sz w:val="20"/>
          <w:szCs w:val="20"/>
          <w:lang w:val="es-ES_tradnl"/>
        </w:rPr>
        <w:t>la reapertura de los juicios por crímenes de lesa humanidad conllevaba</w:t>
      </w:r>
      <w:r w:rsidR="00B67F96" w:rsidRPr="00EA7460">
        <w:rPr>
          <w:rFonts w:ascii="Cambria" w:hAnsi="Cambria"/>
          <w:sz w:val="20"/>
          <w:szCs w:val="20"/>
          <w:lang w:val="es-ES_tradnl"/>
        </w:rPr>
        <w:t xml:space="preserve"> una complejidad mucho mayor</w:t>
      </w:r>
      <w:r w:rsidR="006643AE" w:rsidRPr="00EA7460">
        <w:rPr>
          <w:rFonts w:ascii="Cambria" w:hAnsi="Cambria"/>
          <w:sz w:val="20"/>
          <w:szCs w:val="20"/>
          <w:lang w:val="es-ES_tradnl"/>
        </w:rPr>
        <w:t>, por lo que estaba justificad</w:t>
      </w:r>
      <w:r w:rsidRPr="00EA7460">
        <w:rPr>
          <w:rFonts w:ascii="Cambria" w:hAnsi="Cambria"/>
          <w:sz w:val="20"/>
          <w:szCs w:val="20"/>
          <w:lang w:val="es-ES_tradnl"/>
        </w:rPr>
        <w:t xml:space="preserve">a la ampliación del </w:t>
      </w:r>
      <w:r w:rsidR="006643AE" w:rsidRPr="00EA7460">
        <w:rPr>
          <w:rFonts w:ascii="Cambria" w:hAnsi="Cambria"/>
          <w:sz w:val="20"/>
          <w:szCs w:val="20"/>
          <w:lang w:val="es-ES_tradnl"/>
        </w:rPr>
        <w:t>plazo de la detención.</w:t>
      </w:r>
      <w:r w:rsidR="0004094F" w:rsidRPr="00EA7460">
        <w:rPr>
          <w:rFonts w:ascii="Cambria" w:hAnsi="Cambria"/>
          <w:sz w:val="20"/>
          <w:szCs w:val="20"/>
          <w:lang w:val="es-ES_tradnl"/>
        </w:rPr>
        <w:t xml:space="preserve"> </w:t>
      </w:r>
    </w:p>
    <w:p w14:paraId="2A70065A" w14:textId="39CCE599" w:rsidR="00D232FF" w:rsidRPr="00EA7460" w:rsidRDefault="003A4645" w:rsidP="001437C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sidRPr="00EA7460">
        <w:rPr>
          <w:rFonts w:ascii="Cambria" w:hAnsi="Cambria"/>
          <w:sz w:val="20"/>
          <w:szCs w:val="20"/>
          <w:lang w:val="es-ES_tradnl"/>
        </w:rPr>
        <w:t>En esa línea, a</w:t>
      </w:r>
      <w:r w:rsidR="00052A57" w:rsidRPr="00EA7460">
        <w:rPr>
          <w:rFonts w:ascii="Cambria" w:hAnsi="Cambria"/>
          <w:sz w:val="20"/>
          <w:szCs w:val="20"/>
          <w:lang w:val="es-ES_tradnl"/>
        </w:rPr>
        <w:t>segura que l</w:t>
      </w:r>
      <w:r w:rsidR="00B67F96" w:rsidRPr="00EA7460">
        <w:rPr>
          <w:rFonts w:ascii="Cambria" w:hAnsi="Cambria"/>
          <w:sz w:val="20"/>
          <w:szCs w:val="20"/>
          <w:lang w:val="es-ES_tradnl"/>
        </w:rPr>
        <w:t>a C.S.J.N. estableció unos criterios</w:t>
      </w:r>
      <w:r w:rsidRPr="00EA7460">
        <w:rPr>
          <w:rFonts w:ascii="Cambria" w:hAnsi="Cambria"/>
          <w:sz w:val="20"/>
          <w:szCs w:val="20"/>
          <w:lang w:val="es-ES_tradnl"/>
        </w:rPr>
        <w:t xml:space="preserve"> para</w:t>
      </w:r>
      <w:r w:rsidR="00B67F96" w:rsidRPr="00EA7460">
        <w:rPr>
          <w:rFonts w:ascii="Cambria" w:hAnsi="Cambria"/>
          <w:sz w:val="20"/>
          <w:szCs w:val="20"/>
          <w:lang w:val="es-ES_tradnl"/>
        </w:rPr>
        <w:t xml:space="preserve"> analizar la duración de la prisión preventiva, entre l</w:t>
      </w:r>
      <w:r w:rsidR="00B93BB5">
        <w:rPr>
          <w:rFonts w:ascii="Cambria" w:hAnsi="Cambria"/>
          <w:sz w:val="20"/>
          <w:szCs w:val="20"/>
          <w:lang w:val="es-ES_tradnl"/>
        </w:rPr>
        <w:t>o</w:t>
      </w:r>
      <w:r w:rsidR="00B67F96" w:rsidRPr="00EA7460">
        <w:rPr>
          <w:rFonts w:ascii="Cambria" w:hAnsi="Cambria"/>
          <w:sz w:val="20"/>
          <w:szCs w:val="20"/>
          <w:lang w:val="es-ES_tradnl"/>
        </w:rPr>
        <w:t>s que se encuentra: la complejidad de la causa</w:t>
      </w:r>
      <w:r w:rsidR="00B93BB5">
        <w:rPr>
          <w:rFonts w:ascii="Cambria" w:hAnsi="Cambria"/>
          <w:sz w:val="20"/>
          <w:szCs w:val="20"/>
          <w:lang w:val="es-ES_tradnl"/>
        </w:rPr>
        <w:t>;</w:t>
      </w:r>
      <w:r w:rsidR="00B67F96" w:rsidRPr="00EA7460">
        <w:rPr>
          <w:rFonts w:ascii="Cambria" w:hAnsi="Cambria"/>
          <w:sz w:val="20"/>
          <w:szCs w:val="20"/>
          <w:lang w:val="es-ES_tradnl"/>
        </w:rPr>
        <w:t xml:space="preserve"> la cantidad de víctimas e imputados</w:t>
      </w:r>
      <w:r w:rsidR="00B93BB5">
        <w:rPr>
          <w:rFonts w:ascii="Cambria" w:hAnsi="Cambria"/>
          <w:sz w:val="20"/>
          <w:szCs w:val="20"/>
          <w:lang w:val="es-ES_tradnl"/>
        </w:rPr>
        <w:t>; y</w:t>
      </w:r>
      <w:r w:rsidR="00B67F96" w:rsidRPr="00EA7460">
        <w:rPr>
          <w:rFonts w:ascii="Cambria" w:hAnsi="Cambria"/>
          <w:sz w:val="20"/>
          <w:szCs w:val="20"/>
          <w:lang w:val="es-ES_tradnl"/>
        </w:rPr>
        <w:t xml:space="preserve"> el riesgo procesal que habilitó el dictado de prisión preventiva.</w:t>
      </w:r>
      <w:r w:rsidR="00D13E4B" w:rsidRPr="00EA7460">
        <w:rPr>
          <w:rFonts w:ascii="Cambria" w:hAnsi="Cambria"/>
          <w:sz w:val="20"/>
          <w:szCs w:val="20"/>
          <w:lang w:val="es-ES_tradnl"/>
        </w:rPr>
        <w:t xml:space="preserve"> </w:t>
      </w:r>
      <w:r w:rsidR="00B93BB5">
        <w:rPr>
          <w:rFonts w:ascii="Cambria" w:hAnsi="Cambria"/>
          <w:sz w:val="20"/>
          <w:szCs w:val="20"/>
          <w:lang w:val="es-ES_tradnl"/>
        </w:rPr>
        <w:t>Estos elementos habrían estado</w:t>
      </w:r>
      <w:r w:rsidR="00951417" w:rsidRPr="00EA7460">
        <w:rPr>
          <w:rFonts w:ascii="Cambria" w:hAnsi="Cambria"/>
          <w:sz w:val="20"/>
          <w:szCs w:val="20"/>
          <w:lang w:val="es-ES_tradnl"/>
        </w:rPr>
        <w:t xml:space="preserve"> presentes</w:t>
      </w:r>
      <w:r w:rsidR="00D13E4B" w:rsidRPr="00EA7460">
        <w:rPr>
          <w:rFonts w:ascii="Cambria" w:hAnsi="Cambria"/>
          <w:sz w:val="20"/>
          <w:szCs w:val="20"/>
          <w:lang w:val="es-ES_tradnl"/>
        </w:rPr>
        <w:t xml:space="preserve"> en el </w:t>
      </w:r>
      <w:r w:rsidR="006643AE" w:rsidRPr="00EA7460">
        <w:rPr>
          <w:rFonts w:ascii="Cambria" w:hAnsi="Cambria"/>
          <w:sz w:val="20"/>
          <w:szCs w:val="20"/>
          <w:lang w:val="es-ES_tradnl"/>
        </w:rPr>
        <w:t>c</w:t>
      </w:r>
      <w:r w:rsidR="00D13E4B" w:rsidRPr="00EA7460">
        <w:rPr>
          <w:rFonts w:ascii="Cambria" w:hAnsi="Cambria"/>
          <w:sz w:val="20"/>
          <w:szCs w:val="20"/>
          <w:lang w:val="es-ES_tradnl"/>
        </w:rPr>
        <w:t xml:space="preserve">aso del </w:t>
      </w:r>
      <w:r w:rsidR="006643AE" w:rsidRPr="00EA7460">
        <w:rPr>
          <w:rFonts w:ascii="Cambria" w:hAnsi="Cambria"/>
          <w:sz w:val="20"/>
          <w:szCs w:val="20"/>
          <w:lang w:val="es-ES_tradnl"/>
        </w:rPr>
        <w:t xml:space="preserve">señor </w:t>
      </w:r>
      <w:proofErr w:type="spellStart"/>
      <w:r w:rsidR="00D13E4B" w:rsidRPr="00EA7460">
        <w:rPr>
          <w:rFonts w:ascii="Cambria" w:hAnsi="Cambria"/>
          <w:sz w:val="20"/>
          <w:szCs w:val="20"/>
          <w:lang w:val="es-ES_tradnl"/>
        </w:rPr>
        <w:t>Padovan</w:t>
      </w:r>
      <w:proofErr w:type="spellEnd"/>
      <w:r w:rsidR="006643AE" w:rsidRPr="00EA7460">
        <w:rPr>
          <w:rFonts w:ascii="Cambria" w:hAnsi="Cambria"/>
          <w:sz w:val="20"/>
          <w:szCs w:val="20"/>
          <w:lang w:val="es-ES_tradnl"/>
        </w:rPr>
        <w:t xml:space="preserve">. </w:t>
      </w:r>
      <w:r w:rsidRPr="00EA7460">
        <w:rPr>
          <w:rFonts w:ascii="Cambria" w:hAnsi="Cambria"/>
          <w:sz w:val="20"/>
          <w:szCs w:val="20"/>
          <w:lang w:val="es-ES_tradnl"/>
        </w:rPr>
        <w:t>Adicionalmente</w:t>
      </w:r>
      <w:r w:rsidR="006643AE" w:rsidRPr="00EA7460">
        <w:rPr>
          <w:rFonts w:ascii="Cambria" w:hAnsi="Cambria"/>
          <w:sz w:val="20"/>
          <w:szCs w:val="20"/>
          <w:lang w:val="es-ES_tradnl"/>
        </w:rPr>
        <w:t>, manifiesta</w:t>
      </w:r>
      <w:r w:rsidR="00951417" w:rsidRPr="00EA7460">
        <w:rPr>
          <w:rFonts w:ascii="Cambria" w:hAnsi="Cambria"/>
          <w:sz w:val="20"/>
          <w:szCs w:val="20"/>
          <w:lang w:val="es-ES_tradnl"/>
        </w:rPr>
        <w:t xml:space="preserve"> que esta fue la primera investigación por crímenes de lesa humanidad que se llevó a cabo en la Provincia de Córdoba por hechos perpetrados en uno de los centro</w:t>
      </w:r>
      <w:r w:rsidR="00922CEF" w:rsidRPr="00EA7460">
        <w:rPr>
          <w:rFonts w:ascii="Cambria" w:hAnsi="Cambria"/>
          <w:sz w:val="20"/>
          <w:szCs w:val="20"/>
          <w:lang w:val="es-ES_tradnl"/>
        </w:rPr>
        <w:t>s</w:t>
      </w:r>
      <w:r w:rsidR="00951417" w:rsidRPr="00EA7460">
        <w:rPr>
          <w:rFonts w:ascii="Cambria" w:hAnsi="Cambria"/>
          <w:sz w:val="20"/>
          <w:szCs w:val="20"/>
          <w:lang w:val="es-ES_tradnl"/>
        </w:rPr>
        <w:t xml:space="preserve"> clandestinos más grandes de Argentina, denominado “La Perla</w:t>
      </w:r>
      <w:r w:rsidR="006643AE" w:rsidRPr="00EA7460">
        <w:rPr>
          <w:rFonts w:ascii="Cambria" w:hAnsi="Cambria"/>
          <w:sz w:val="20"/>
          <w:szCs w:val="20"/>
          <w:lang w:val="es-ES_tradnl"/>
        </w:rPr>
        <w:t>”, por lo que, debido a</w:t>
      </w:r>
      <w:r w:rsidR="00951417" w:rsidRPr="00EA7460">
        <w:rPr>
          <w:rFonts w:ascii="Cambria" w:hAnsi="Cambria"/>
          <w:sz w:val="20"/>
          <w:szCs w:val="20"/>
          <w:lang w:val="es-ES_tradnl"/>
        </w:rPr>
        <w:t xml:space="preserve"> las características </w:t>
      </w:r>
      <w:r w:rsidR="006643AE" w:rsidRPr="00EA7460">
        <w:rPr>
          <w:rFonts w:ascii="Cambria" w:hAnsi="Cambria"/>
          <w:sz w:val="20"/>
          <w:szCs w:val="20"/>
          <w:lang w:val="es-ES_tradnl"/>
        </w:rPr>
        <w:t>del caso</w:t>
      </w:r>
      <w:r w:rsidR="00951417" w:rsidRPr="00EA7460">
        <w:rPr>
          <w:rFonts w:ascii="Cambria" w:hAnsi="Cambria"/>
          <w:sz w:val="20"/>
          <w:szCs w:val="20"/>
          <w:lang w:val="es-ES_tradnl"/>
        </w:rPr>
        <w:t>, no existió una excesiva duración de la prisión preventiva</w:t>
      </w:r>
      <w:r w:rsidR="00D97131" w:rsidRPr="00EA7460">
        <w:rPr>
          <w:rFonts w:ascii="Cambria" w:hAnsi="Cambria"/>
          <w:sz w:val="20"/>
          <w:szCs w:val="20"/>
          <w:lang w:val="es-ES_tradnl"/>
        </w:rPr>
        <w:t>.</w:t>
      </w:r>
      <w:r w:rsidR="00A95A9F" w:rsidRPr="00EA7460">
        <w:rPr>
          <w:rFonts w:ascii="Cambria" w:hAnsi="Cambria"/>
          <w:sz w:val="20"/>
          <w:szCs w:val="20"/>
          <w:lang w:val="es-ES_tradnl"/>
        </w:rPr>
        <w:t xml:space="preserve"> </w:t>
      </w:r>
      <w:r w:rsidR="006643AE" w:rsidRPr="00EA7460">
        <w:rPr>
          <w:rFonts w:ascii="Cambria" w:hAnsi="Cambria"/>
          <w:sz w:val="20"/>
          <w:szCs w:val="20"/>
          <w:lang w:val="es-ES_tradnl"/>
        </w:rPr>
        <w:t>Por todo lo expuesto</w:t>
      </w:r>
      <w:r w:rsidR="00A95A9F" w:rsidRPr="00EA7460">
        <w:rPr>
          <w:rFonts w:ascii="Cambria" w:hAnsi="Cambria"/>
          <w:sz w:val="20"/>
          <w:szCs w:val="20"/>
          <w:lang w:val="es-ES_tradnl"/>
        </w:rPr>
        <w:t>, el Estado asegura que la presente petición no expone hechos que impliquen violaciones a los derechos reconocidos en la Convención Americana</w:t>
      </w:r>
      <w:r w:rsidR="006643AE" w:rsidRPr="00EA7460">
        <w:rPr>
          <w:rFonts w:ascii="Cambria" w:hAnsi="Cambria"/>
          <w:sz w:val="20"/>
          <w:szCs w:val="20"/>
          <w:lang w:val="es-ES_tradnl"/>
        </w:rPr>
        <w:t xml:space="preserve"> y, por el contrario, lo </w:t>
      </w:r>
      <w:r w:rsidR="00B93BB5">
        <w:rPr>
          <w:rFonts w:ascii="Cambria" w:hAnsi="Cambria"/>
          <w:sz w:val="20"/>
          <w:szCs w:val="20"/>
          <w:lang w:val="es-ES_tradnl"/>
        </w:rPr>
        <w:t xml:space="preserve">que </w:t>
      </w:r>
      <w:r w:rsidR="006643AE" w:rsidRPr="00EA7460">
        <w:rPr>
          <w:rFonts w:ascii="Cambria" w:hAnsi="Cambria"/>
          <w:sz w:val="20"/>
          <w:szCs w:val="20"/>
          <w:lang w:val="es-ES_tradnl"/>
        </w:rPr>
        <w:t>pretende la parte peticionaria es que la CIDH funja como un tribunal de alzada</w:t>
      </w:r>
      <w:r w:rsidR="0037499A" w:rsidRPr="00EA7460">
        <w:rPr>
          <w:rFonts w:ascii="Cambria" w:hAnsi="Cambria"/>
          <w:sz w:val="20"/>
          <w:szCs w:val="20"/>
          <w:lang w:val="es-ES_tradnl"/>
        </w:rPr>
        <w:t xml:space="preserve"> o como una “cuarta instancia”</w:t>
      </w:r>
      <w:r w:rsidR="006643AE" w:rsidRPr="00EA7460">
        <w:rPr>
          <w:rFonts w:ascii="Cambria" w:hAnsi="Cambria"/>
          <w:sz w:val="20"/>
          <w:szCs w:val="20"/>
          <w:lang w:val="es-ES_tradnl"/>
        </w:rPr>
        <w:t xml:space="preserve">. </w:t>
      </w:r>
    </w:p>
    <w:p w14:paraId="3FE6F5AE" w14:textId="67A9E90F" w:rsidR="004C616A" w:rsidRPr="00EA7460" w:rsidRDefault="004C616A" w:rsidP="00647756">
      <w:pPr>
        <w:pStyle w:val="ListParagraph"/>
        <w:spacing w:before="120" w:after="120"/>
        <w:jc w:val="both"/>
        <w:rPr>
          <w:rFonts w:asciiTheme="majorHAnsi" w:hAnsiTheme="majorHAnsi"/>
          <w:b/>
          <w:bCs/>
          <w:sz w:val="20"/>
          <w:szCs w:val="20"/>
          <w:lang w:val="es-ES_tradnl"/>
        </w:rPr>
      </w:pPr>
      <w:r w:rsidRPr="00EA7460">
        <w:rPr>
          <w:rFonts w:asciiTheme="majorHAnsi" w:hAnsiTheme="majorHAnsi"/>
          <w:b/>
          <w:bCs/>
          <w:sz w:val="20"/>
          <w:szCs w:val="20"/>
          <w:lang w:val="es-ES_tradnl"/>
        </w:rPr>
        <w:t xml:space="preserve">VI. </w:t>
      </w:r>
      <w:r w:rsidRPr="00EA7460">
        <w:rPr>
          <w:rFonts w:asciiTheme="majorHAnsi" w:hAnsiTheme="majorHAnsi"/>
          <w:b/>
          <w:bCs/>
          <w:sz w:val="20"/>
          <w:szCs w:val="20"/>
          <w:lang w:val="es-ES_tradnl"/>
        </w:rPr>
        <w:tab/>
      </w:r>
      <w:r w:rsidR="00B823E2">
        <w:rPr>
          <w:rFonts w:asciiTheme="majorHAnsi" w:hAnsiTheme="majorHAnsi"/>
          <w:b/>
          <w:bCs/>
          <w:sz w:val="20"/>
          <w:szCs w:val="20"/>
          <w:lang w:val="es-ES_tradnl"/>
        </w:rPr>
        <w:t xml:space="preserve">ANALISIS DE </w:t>
      </w:r>
      <w:r w:rsidRPr="00EA7460">
        <w:rPr>
          <w:rFonts w:asciiTheme="majorHAnsi" w:hAnsiTheme="majorHAnsi"/>
          <w:b/>
          <w:bCs/>
          <w:sz w:val="20"/>
          <w:szCs w:val="20"/>
          <w:lang w:val="es-ES_tradnl"/>
        </w:rPr>
        <w:t>AGOTAMIENTO DE LOS RECURSOS INTERNOS Y PLAZO DE PRESENTACIÓN</w:t>
      </w:r>
    </w:p>
    <w:p w14:paraId="2B75A81B" w14:textId="5D244B7E" w:rsidR="00E84E60" w:rsidRPr="00EA7460" w:rsidRDefault="00AC269E" w:rsidP="005448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sidRPr="00EA7460">
        <w:rPr>
          <w:rFonts w:ascii="Cambria" w:hAnsi="Cambria"/>
          <w:sz w:val="20"/>
          <w:szCs w:val="20"/>
          <w:lang w:val="es-ES_tradnl"/>
        </w:rPr>
        <w:t xml:space="preserve">La </w:t>
      </w:r>
      <w:r w:rsidR="00E84E60" w:rsidRPr="00EA7460">
        <w:rPr>
          <w:rFonts w:ascii="Cambria" w:hAnsi="Cambria"/>
          <w:sz w:val="20"/>
          <w:szCs w:val="20"/>
          <w:lang w:val="es-ES_tradnl"/>
        </w:rPr>
        <w:t xml:space="preserve">Comisión observa que el 24 de julio de 2008 el TOCF N. 1 condenó a prisión perpetua e inhabitación absoluta perpetua al </w:t>
      </w:r>
      <w:r w:rsidR="006643AE" w:rsidRPr="00EA7460">
        <w:rPr>
          <w:rFonts w:ascii="Cambria" w:hAnsi="Cambria"/>
          <w:sz w:val="20"/>
          <w:szCs w:val="20"/>
          <w:lang w:val="es-ES_tradnl"/>
        </w:rPr>
        <w:t>señor Valentín</w:t>
      </w:r>
      <w:r w:rsidR="00E84E60" w:rsidRPr="00EA7460">
        <w:rPr>
          <w:rFonts w:ascii="Cambria" w:hAnsi="Cambria"/>
          <w:sz w:val="20"/>
          <w:szCs w:val="20"/>
          <w:lang w:val="es-ES_tradnl"/>
        </w:rPr>
        <w:t xml:space="preserve"> </w:t>
      </w:r>
      <w:proofErr w:type="spellStart"/>
      <w:r w:rsidR="00E84E60" w:rsidRPr="00EA7460">
        <w:rPr>
          <w:rFonts w:ascii="Cambria" w:hAnsi="Cambria"/>
          <w:sz w:val="20"/>
          <w:szCs w:val="20"/>
          <w:lang w:val="es-ES_tradnl"/>
        </w:rPr>
        <w:t>Padovan</w:t>
      </w:r>
      <w:proofErr w:type="spellEnd"/>
      <w:r w:rsidR="00E84E60" w:rsidRPr="00EA7460">
        <w:rPr>
          <w:rFonts w:ascii="Cambria" w:hAnsi="Cambria"/>
          <w:sz w:val="20"/>
          <w:szCs w:val="20"/>
          <w:lang w:val="es-ES_tradnl"/>
        </w:rPr>
        <w:t xml:space="preserve"> por la comisión de delitos de lesa humanidad.</w:t>
      </w:r>
      <w:r w:rsidR="00AB3A05" w:rsidRPr="00EA7460">
        <w:rPr>
          <w:rFonts w:ascii="Cambria" w:hAnsi="Cambria"/>
          <w:sz w:val="20"/>
          <w:szCs w:val="20"/>
          <w:lang w:val="es-ES_tradnl"/>
        </w:rPr>
        <w:t xml:space="preserve"> </w:t>
      </w:r>
      <w:r w:rsidR="00FE2FAA">
        <w:rPr>
          <w:rFonts w:ascii="Cambria" w:hAnsi="Cambria"/>
          <w:sz w:val="20"/>
          <w:szCs w:val="20"/>
          <w:lang w:val="es-ES_tradnl"/>
        </w:rPr>
        <w:t>L</w:t>
      </w:r>
      <w:r w:rsidR="00AB3A05" w:rsidRPr="00EA7460">
        <w:rPr>
          <w:rFonts w:ascii="Cambria" w:hAnsi="Cambria"/>
          <w:sz w:val="20"/>
          <w:szCs w:val="20"/>
          <w:lang w:val="es-ES_tradnl"/>
        </w:rPr>
        <w:t>a presunta víctima</w:t>
      </w:r>
      <w:r w:rsidR="00E84E60" w:rsidRPr="00EA7460">
        <w:rPr>
          <w:rFonts w:ascii="Cambria" w:hAnsi="Cambria"/>
          <w:sz w:val="20"/>
          <w:szCs w:val="20"/>
          <w:lang w:val="es-ES_tradnl"/>
        </w:rPr>
        <w:t xml:space="preserve"> interpuso recurso de casación</w:t>
      </w:r>
      <w:r w:rsidR="00FE2FAA">
        <w:rPr>
          <w:rFonts w:ascii="Cambria" w:hAnsi="Cambria"/>
          <w:sz w:val="20"/>
          <w:szCs w:val="20"/>
          <w:lang w:val="es-ES_tradnl"/>
        </w:rPr>
        <w:t>;</w:t>
      </w:r>
      <w:r w:rsidRPr="00EA7460">
        <w:rPr>
          <w:rFonts w:ascii="Cambria" w:hAnsi="Cambria"/>
          <w:sz w:val="20"/>
          <w:szCs w:val="20"/>
          <w:lang w:val="es-ES_tradnl"/>
        </w:rPr>
        <w:t xml:space="preserve"> y el </w:t>
      </w:r>
      <w:r w:rsidR="00E84E60" w:rsidRPr="00EA7460">
        <w:rPr>
          <w:rFonts w:ascii="Cambria" w:hAnsi="Cambria"/>
          <w:sz w:val="20"/>
          <w:szCs w:val="20"/>
          <w:lang w:val="es-ES_tradnl"/>
        </w:rPr>
        <w:t>25 de agosto de 2010</w:t>
      </w:r>
      <w:r w:rsidR="00AB3A05" w:rsidRPr="00EA7460">
        <w:rPr>
          <w:rFonts w:ascii="Cambria" w:hAnsi="Cambria"/>
          <w:sz w:val="20"/>
          <w:szCs w:val="20"/>
          <w:lang w:val="es-ES_tradnl"/>
        </w:rPr>
        <w:t xml:space="preserve"> la </w:t>
      </w:r>
      <w:r w:rsidR="00E84E60" w:rsidRPr="00EA7460">
        <w:rPr>
          <w:rFonts w:ascii="Cambria" w:hAnsi="Cambria"/>
          <w:sz w:val="20"/>
          <w:szCs w:val="20"/>
          <w:lang w:val="es-ES_tradnl"/>
        </w:rPr>
        <w:t xml:space="preserve">Sala III de la Cámara Nacional de Casación </w:t>
      </w:r>
      <w:r w:rsidR="00251D21" w:rsidRPr="00EA7460">
        <w:rPr>
          <w:rFonts w:ascii="Cambria" w:hAnsi="Cambria"/>
          <w:sz w:val="20"/>
          <w:szCs w:val="20"/>
          <w:lang w:val="es-ES_tradnl"/>
        </w:rPr>
        <w:t>Penal</w:t>
      </w:r>
      <w:r w:rsidR="00BC45A5" w:rsidRPr="00EA7460">
        <w:rPr>
          <w:rFonts w:ascii="Cambria" w:hAnsi="Cambria"/>
          <w:sz w:val="20"/>
          <w:szCs w:val="20"/>
          <w:lang w:val="es-ES_tradnl"/>
        </w:rPr>
        <w:t xml:space="preserve"> </w:t>
      </w:r>
      <w:r w:rsidR="00E84E60" w:rsidRPr="00EA7460">
        <w:rPr>
          <w:rFonts w:ascii="Cambria" w:hAnsi="Cambria"/>
          <w:sz w:val="20"/>
          <w:szCs w:val="20"/>
          <w:lang w:val="es-ES_tradnl"/>
        </w:rPr>
        <w:t xml:space="preserve">confirmó la sentencia de primera instancia. </w:t>
      </w:r>
      <w:r w:rsidR="00AB3A05" w:rsidRPr="00EA7460">
        <w:rPr>
          <w:rFonts w:ascii="Cambria" w:hAnsi="Cambria"/>
          <w:sz w:val="20"/>
          <w:szCs w:val="20"/>
          <w:lang w:val="es-ES_tradnl"/>
        </w:rPr>
        <w:t xml:space="preserve">Finalmente, </w:t>
      </w:r>
      <w:r w:rsidRPr="00EA7460">
        <w:rPr>
          <w:rFonts w:ascii="Cambria" w:hAnsi="Cambria"/>
          <w:sz w:val="20"/>
          <w:szCs w:val="20"/>
          <w:lang w:val="es-ES_tradnl"/>
        </w:rPr>
        <w:t xml:space="preserve">el 14 de septiembre de 2011 el señor Valentín </w:t>
      </w:r>
      <w:proofErr w:type="spellStart"/>
      <w:r w:rsidRPr="00EA7460">
        <w:rPr>
          <w:rFonts w:ascii="Cambria" w:hAnsi="Cambria"/>
          <w:sz w:val="20"/>
          <w:szCs w:val="20"/>
          <w:lang w:val="es-ES_tradnl"/>
        </w:rPr>
        <w:t>Padovan</w:t>
      </w:r>
      <w:proofErr w:type="spellEnd"/>
      <w:r w:rsidR="00E84E60" w:rsidRPr="00EA7460">
        <w:rPr>
          <w:rFonts w:ascii="Cambria" w:hAnsi="Cambria"/>
          <w:sz w:val="20"/>
          <w:szCs w:val="20"/>
          <w:lang w:val="es-ES_tradnl"/>
        </w:rPr>
        <w:t xml:space="preserve"> interpus</w:t>
      </w:r>
      <w:r w:rsidR="00AB3A05" w:rsidRPr="00EA7460">
        <w:rPr>
          <w:rFonts w:ascii="Cambria" w:hAnsi="Cambria"/>
          <w:sz w:val="20"/>
          <w:szCs w:val="20"/>
          <w:lang w:val="es-ES_tradnl"/>
        </w:rPr>
        <w:t>o</w:t>
      </w:r>
      <w:r w:rsidR="00E84E60" w:rsidRPr="00EA7460">
        <w:rPr>
          <w:rFonts w:ascii="Cambria" w:hAnsi="Cambria"/>
          <w:sz w:val="20"/>
          <w:szCs w:val="20"/>
          <w:lang w:val="es-ES_tradnl"/>
        </w:rPr>
        <w:t xml:space="preserve"> recurso extraordinario federal</w:t>
      </w:r>
      <w:r w:rsidR="00FE2FAA">
        <w:rPr>
          <w:rFonts w:ascii="Cambria" w:hAnsi="Cambria"/>
          <w:sz w:val="20"/>
          <w:szCs w:val="20"/>
          <w:lang w:val="es-ES_tradnl"/>
        </w:rPr>
        <w:t>;</w:t>
      </w:r>
      <w:r w:rsidR="00AB3A05" w:rsidRPr="00EA7460">
        <w:rPr>
          <w:rFonts w:ascii="Cambria" w:hAnsi="Cambria"/>
          <w:sz w:val="20"/>
          <w:szCs w:val="20"/>
          <w:lang w:val="es-ES_tradnl"/>
        </w:rPr>
        <w:t xml:space="preserve"> pero </w:t>
      </w:r>
      <w:r w:rsidRPr="00EA7460">
        <w:rPr>
          <w:rFonts w:ascii="Cambria" w:hAnsi="Cambria"/>
          <w:sz w:val="20"/>
          <w:szCs w:val="20"/>
          <w:lang w:val="es-ES_tradnl"/>
        </w:rPr>
        <w:t xml:space="preserve">el 11 de septiembre de 2012, </w:t>
      </w:r>
      <w:r w:rsidR="00AB3A05" w:rsidRPr="00EA7460">
        <w:rPr>
          <w:rFonts w:ascii="Cambria" w:hAnsi="Cambria"/>
          <w:sz w:val="20"/>
          <w:szCs w:val="20"/>
          <w:lang w:val="es-ES_tradnl"/>
        </w:rPr>
        <w:t xml:space="preserve">la </w:t>
      </w:r>
      <w:r w:rsidR="006643AE" w:rsidRPr="00EA7460">
        <w:rPr>
          <w:rFonts w:ascii="Cambria" w:hAnsi="Cambria"/>
          <w:sz w:val="20"/>
          <w:szCs w:val="20"/>
          <w:lang w:val="es-ES_tradnl"/>
        </w:rPr>
        <w:t>C.S.J.N</w:t>
      </w:r>
      <w:r w:rsidR="00042A97" w:rsidRPr="00EA7460">
        <w:rPr>
          <w:rFonts w:ascii="Cambria" w:hAnsi="Cambria"/>
          <w:sz w:val="20"/>
          <w:szCs w:val="20"/>
          <w:lang w:val="es-ES_tradnl"/>
        </w:rPr>
        <w:t>.</w:t>
      </w:r>
      <w:r w:rsidRPr="00EA7460">
        <w:rPr>
          <w:rFonts w:ascii="Cambria" w:hAnsi="Cambria"/>
          <w:sz w:val="20"/>
          <w:szCs w:val="20"/>
          <w:lang w:val="es-ES_tradnl"/>
        </w:rPr>
        <w:t xml:space="preserve"> </w:t>
      </w:r>
      <w:r w:rsidR="00E84E60" w:rsidRPr="00EA7460">
        <w:rPr>
          <w:rFonts w:ascii="Cambria" w:hAnsi="Cambria"/>
          <w:sz w:val="20"/>
          <w:szCs w:val="20"/>
          <w:lang w:val="es-ES_tradnl"/>
        </w:rPr>
        <w:t xml:space="preserve">declaró inadmisible el recurso, </w:t>
      </w:r>
      <w:r w:rsidR="00AB3A05" w:rsidRPr="00EA7460">
        <w:rPr>
          <w:rFonts w:ascii="Cambria" w:hAnsi="Cambria"/>
          <w:sz w:val="20"/>
          <w:szCs w:val="20"/>
          <w:lang w:val="es-ES_tradnl"/>
        </w:rPr>
        <w:t>dejando</w:t>
      </w:r>
      <w:r w:rsidR="00E84E60" w:rsidRPr="00EA7460">
        <w:rPr>
          <w:rFonts w:ascii="Cambria" w:hAnsi="Cambria"/>
          <w:sz w:val="20"/>
          <w:szCs w:val="20"/>
          <w:lang w:val="es-ES_tradnl"/>
        </w:rPr>
        <w:t xml:space="preserve"> en firme la sentencia de primera instancia del TOCF N. 1.</w:t>
      </w:r>
      <w:r w:rsidR="00C724DC" w:rsidRPr="00EA7460">
        <w:rPr>
          <w:rFonts w:ascii="Cambria" w:hAnsi="Cambria"/>
          <w:sz w:val="20"/>
          <w:szCs w:val="20"/>
          <w:lang w:val="es-ES_tradnl"/>
        </w:rPr>
        <w:t xml:space="preserve"> </w:t>
      </w:r>
      <w:r w:rsidRPr="00EA7460">
        <w:rPr>
          <w:rFonts w:ascii="Cambria" w:hAnsi="Cambria"/>
          <w:sz w:val="20"/>
          <w:szCs w:val="20"/>
          <w:lang w:val="es-ES_tradnl"/>
        </w:rPr>
        <w:t>En consecuencia, la Comisión considera que la presunta víctima agotó los recursos internos, por lo que se cumple el requisito establecido en el artículo 46.1.a</w:t>
      </w:r>
      <w:r w:rsidR="00FE2FAA">
        <w:rPr>
          <w:rFonts w:ascii="Cambria" w:hAnsi="Cambria"/>
          <w:sz w:val="20"/>
          <w:szCs w:val="20"/>
          <w:lang w:val="es-ES_tradnl"/>
        </w:rPr>
        <w:t>)</w:t>
      </w:r>
      <w:r w:rsidRPr="00EA7460">
        <w:rPr>
          <w:rFonts w:ascii="Cambria" w:hAnsi="Cambria"/>
          <w:sz w:val="20"/>
          <w:szCs w:val="20"/>
          <w:lang w:val="es-ES_tradnl"/>
        </w:rPr>
        <w:t xml:space="preserve"> de la Convención Americana. </w:t>
      </w:r>
      <w:r w:rsidR="00447423">
        <w:rPr>
          <w:rFonts w:ascii="Cambria" w:hAnsi="Cambria"/>
          <w:sz w:val="20"/>
          <w:szCs w:val="20"/>
          <w:lang w:val="es-ES_tradnl"/>
        </w:rPr>
        <w:t xml:space="preserve">Con respecto al plazo de presentación, si se considera que la presente petición fue presentada el </w:t>
      </w:r>
      <w:r w:rsidR="00447423" w:rsidRPr="00447423">
        <w:rPr>
          <w:rFonts w:ascii="Cambria" w:hAnsi="Cambria"/>
          <w:sz w:val="20"/>
          <w:szCs w:val="20"/>
          <w:lang w:val="es-ES_tradnl"/>
        </w:rPr>
        <w:t>28 de agosto de 2012</w:t>
      </w:r>
      <w:r w:rsidR="00447423">
        <w:rPr>
          <w:rFonts w:ascii="Cambria" w:hAnsi="Cambria"/>
          <w:sz w:val="20"/>
          <w:szCs w:val="20"/>
          <w:lang w:val="es-ES_tradnl"/>
        </w:rPr>
        <w:t>, se concluye que la misma cumple con el requisito de plazo de presentación establecido en el artículo 46.1.b) de la Convención Americana.</w:t>
      </w:r>
    </w:p>
    <w:p w14:paraId="7090A929" w14:textId="304F8265" w:rsidR="00F04591" w:rsidRPr="00EA7460" w:rsidRDefault="00F04591" w:rsidP="00647756">
      <w:pPr>
        <w:pStyle w:val="ListParagraph"/>
        <w:spacing w:before="120" w:after="120"/>
        <w:jc w:val="both"/>
        <w:rPr>
          <w:rFonts w:asciiTheme="majorHAnsi" w:hAnsiTheme="majorHAnsi"/>
          <w:b/>
          <w:bCs/>
          <w:sz w:val="20"/>
          <w:szCs w:val="20"/>
          <w:lang w:val="es-ES_tradnl"/>
        </w:rPr>
      </w:pPr>
      <w:r w:rsidRPr="00EA7460">
        <w:rPr>
          <w:rFonts w:asciiTheme="majorHAnsi" w:hAnsiTheme="majorHAnsi"/>
          <w:b/>
          <w:bCs/>
          <w:sz w:val="20"/>
          <w:szCs w:val="20"/>
          <w:lang w:val="es-ES_tradnl"/>
        </w:rPr>
        <w:t>V</w:t>
      </w:r>
      <w:r w:rsidR="000E2789" w:rsidRPr="00EA7460">
        <w:rPr>
          <w:rFonts w:asciiTheme="majorHAnsi" w:hAnsiTheme="majorHAnsi"/>
          <w:b/>
          <w:bCs/>
          <w:sz w:val="20"/>
          <w:szCs w:val="20"/>
          <w:lang w:val="es-ES_tradnl"/>
        </w:rPr>
        <w:t>I</w:t>
      </w:r>
      <w:r w:rsidRPr="00EA7460">
        <w:rPr>
          <w:rFonts w:asciiTheme="majorHAnsi" w:hAnsiTheme="majorHAnsi"/>
          <w:b/>
          <w:bCs/>
          <w:sz w:val="20"/>
          <w:szCs w:val="20"/>
          <w:lang w:val="es-ES_tradnl"/>
        </w:rPr>
        <w:t xml:space="preserve">I. </w:t>
      </w:r>
      <w:r w:rsidRPr="00EA7460">
        <w:rPr>
          <w:rFonts w:asciiTheme="majorHAnsi" w:hAnsiTheme="majorHAnsi"/>
          <w:b/>
          <w:bCs/>
          <w:sz w:val="20"/>
          <w:szCs w:val="20"/>
          <w:lang w:val="es-ES_tradnl"/>
        </w:rPr>
        <w:tab/>
      </w:r>
      <w:r w:rsidR="00B823E2">
        <w:rPr>
          <w:rFonts w:asciiTheme="majorHAnsi" w:hAnsiTheme="majorHAnsi"/>
          <w:b/>
          <w:bCs/>
          <w:sz w:val="20"/>
          <w:szCs w:val="20"/>
          <w:lang w:val="es-ES_tradnl"/>
        </w:rPr>
        <w:t xml:space="preserve">ANALISIS DE </w:t>
      </w:r>
      <w:r w:rsidRPr="00EA7460">
        <w:rPr>
          <w:rFonts w:asciiTheme="majorHAnsi" w:hAnsiTheme="majorHAnsi"/>
          <w:b/>
          <w:bCs/>
          <w:sz w:val="20"/>
          <w:szCs w:val="20"/>
          <w:lang w:val="es-ES_tradnl"/>
        </w:rPr>
        <w:t>CARACTERIZACIÓN</w:t>
      </w:r>
    </w:p>
    <w:p w14:paraId="5313B740" w14:textId="359666D5" w:rsidR="00913ADE" w:rsidRPr="00EA7460" w:rsidRDefault="00B823E2" w:rsidP="00FC79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Pr>
          <w:rFonts w:ascii="Cambria" w:hAnsi="Cambria"/>
          <w:sz w:val="20"/>
          <w:szCs w:val="20"/>
          <w:lang w:val="es-ES_tradnl"/>
        </w:rPr>
        <w:t>Con r</w:t>
      </w:r>
      <w:r w:rsidR="005A7427" w:rsidRPr="00EA7460">
        <w:rPr>
          <w:rFonts w:ascii="Cambria" w:hAnsi="Cambria"/>
          <w:sz w:val="20"/>
          <w:szCs w:val="20"/>
          <w:lang w:val="es-ES_tradnl"/>
        </w:rPr>
        <w:t xml:space="preserve">especto </w:t>
      </w:r>
      <w:r>
        <w:rPr>
          <w:rFonts w:ascii="Cambria" w:hAnsi="Cambria"/>
          <w:sz w:val="20"/>
          <w:szCs w:val="20"/>
          <w:lang w:val="es-ES_tradnl"/>
        </w:rPr>
        <w:t>a</w:t>
      </w:r>
      <w:r w:rsidR="005A7427" w:rsidRPr="00EA7460">
        <w:rPr>
          <w:rFonts w:ascii="Cambria" w:hAnsi="Cambria"/>
          <w:sz w:val="20"/>
          <w:szCs w:val="20"/>
          <w:lang w:val="es-ES_tradnl"/>
        </w:rPr>
        <w:t xml:space="preserve"> la investigación penal y la aplicación temporal de la ley, l</w:t>
      </w:r>
      <w:r w:rsidR="00E2497F" w:rsidRPr="00EA7460">
        <w:rPr>
          <w:rFonts w:ascii="Cambria" w:hAnsi="Cambria"/>
          <w:sz w:val="20"/>
          <w:szCs w:val="20"/>
          <w:lang w:val="es-ES_tradnl"/>
        </w:rPr>
        <w:t>a</w:t>
      </w:r>
      <w:r w:rsidR="00E2497F" w:rsidRPr="00EA7460">
        <w:rPr>
          <w:rFonts w:ascii="Cambria" w:hAnsi="Cambria"/>
          <w:spacing w:val="-6"/>
          <w:sz w:val="20"/>
          <w:szCs w:val="20"/>
          <w:lang w:val="es-ES_tradnl"/>
        </w:rPr>
        <w:t xml:space="preserve"> </w:t>
      </w:r>
      <w:r w:rsidR="00E2497F" w:rsidRPr="00EA7460">
        <w:rPr>
          <w:rFonts w:ascii="Cambria" w:hAnsi="Cambria"/>
          <w:sz w:val="20"/>
          <w:szCs w:val="20"/>
          <w:lang w:val="es-ES_tradnl"/>
        </w:rPr>
        <w:t>Corte</w:t>
      </w:r>
      <w:r w:rsidR="00E2497F" w:rsidRPr="00EA7460">
        <w:rPr>
          <w:rFonts w:ascii="Cambria" w:hAnsi="Cambria"/>
          <w:spacing w:val="-6"/>
          <w:sz w:val="20"/>
          <w:szCs w:val="20"/>
          <w:lang w:val="es-ES_tradnl"/>
        </w:rPr>
        <w:t xml:space="preserve"> </w:t>
      </w:r>
      <w:r w:rsidR="00E2497F" w:rsidRPr="00EA7460">
        <w:rPr>
          <w:rFonts w:ascii="Cambria" w:hAnsi="Cambria"/>
          <w:sz w:val="20"/>
          <w:szCs w:val="20"/>
          <w:lang w:val="es-ES_tradnl"/>
        </w:rPr>
        <w:t>I</w:t>
      </w:r>
      <w:r w:rsidR="00950E2E" w:rsidRPr="00EA7460">
        <w:rPr>
          <w:rFonts w:ascii="Cambria" w:hAnsi="Cambria"/>
          <w:sz w:val="20"/>
          <w:szCs w:val="20"/>
          <w:lang w:val="es-ES_tradnl"/>
        </w:rPr>
        <w:t xml:space="preserve">nteramericana </w:t>
      </w:r>
      <w:r w:rsidR="00E2497F" w:rsidRPr="00EA7460">
        <w:rPr>
          <w:rFonts w:ascii="Cambria" w:hAnsi="Cambria"/>
          <w:sz w:val="20"/>
          <w:szCs w:val="20"/>
          <w:lang w:val="es-ES_tradnl"/>
        </w:rPr>
        <w:t>determinó</w:t>
      </w:r>
      <w:r w:rsidR="00E2497F" w:rsidRPr="00EA7460">
        <w:rPr>
          <w:rFonts w:ascii="Cambria" w:hAnsi="Cambria"/>
          <w:spacing w:val="-6"/>
          <w:sz w:val="20"/>
          <w:szCs w:val="20"/>
          <w:lang w:val="es-ES_tradnl"/>
        </w:rPr>
        <w:t xml:space="preserve"> </w:t>
      </w:r>
      <w:r w:rsidR="00E2497F" w:rsidRPr="00EA7460">
        <w:rPr>
          <w:rFonts w:ascii="Cambria" w:hAnsi="Cambria"/>
          <w:sz w:val="20"/>
          <w:szCs w:val="20"/>
          <w:lang w:val="es-ES_tradnl"/>
        </w:rPr>
        <w:t>que</w:t>
      </w:r>
      <w:r w:rsidR="00270883" w:rsidRPr="00EA7460">
        <w:rPr>
          <w:rFonts w:ascii="Cambria" w:hAnsi="Cambria"/>
          <w:spacing w:val="-6"/>
          <w:sz w:val="20"/>
          <w:szCs w:val="20"/>
          <w:lang w:val="es-ES_tradnl"/>
        </w:rPr>
        <w:t xml:space="preserve"> </w:t>
      </w:r>
      <w:r w:rsidR="00E2497F" w:rsidRPr="00EA7460">
        <w:rPr>
          <w:rFonts w:ascii="Cambria" w:hAnsi="Cambria"/>
          <w:sz w:val="20"/>
          <w:szCs w:val="20"/>
          <w:lang w:val="es-ES_tradnl"/>
        </w:rPr>
        <w:t>los</w:t>
      </w:r>
      <w:r w:rsidR="00E2497F" w:rsidRPr="00EA7460">
        <w:rPr>
          <w:rFonts w:ascii="Cambria" w:hAnsi="Cambria"/>
          <w:spacing w:val="-6"/>
          <w:sz w:val="20"/>
          <w:szCs w:val="20"/>
          <w:lang w:val="es-ES_tradnl"/>
        </w:rPr>
        <w:t xml:space="preserve"> </w:t>
      </w:r>
      <w:r w:rsidR="00E2497F" w:rsidRPr="00EA7460">
        <w:rPr>
          <w:rFonts w:ascii="Cambria" w:hAnsi="Cambria"/>
          <w:sz w:val="20"/>
          <w:szCs w:val="20"/>
          <w:lang w:val="es-ES_tradnl"/>
        </w:rPr>
        <w:t>Estados no</w:t>
      </w:r>
      <w:r w:rsidR="00E2497F" w:rsidRPr="00EA7460">
        <w:rPr>
          <w:rFonts w:ascii="Cambria" w:hAnsi="Cambria"/>
          <w:spacing w:val="-6"/>
          <w:sz w:val="20"/>
          <w:szCs w:val="20"/>
          <w:lang w:val="es-ES_tradnl"/>
        </w:rPr>
        <w:t xml:space="preserve"> </w:t>
      </w:r>
      <w:r w:rsidR="00E2497F" w:rsidRPr="00EA7460">
        <w:rPr>
          <w:rFonts w:ascii="Cambria" w:hAnsi="Cambria"/>
          <w:sz w:val="20"/>
          <w:szCs w:val="20"/>
          <w:lang w:val="es-ES_tradnl"/>
        </w:rPr>
        <w:t>pueden</w:t>
      </w:r>
      <w:r w:rsidR="00E2497F" w:rsidRPr="00EA7460">
        <w:rPr>
          <w:rFonts w:ascii="Cambria" w:hAnsi="Cambria"/>
          <w:spacing w:val="-6"/>
          <w:sz w:val="20"/>
          <w:szCs w:val="20"/>
          <w:lang w:val="es-ES_tradnl"/>
        </w:rPr>
        <w:t xml:space="preserve"> </w:t>
      </w:r>
      <w:r w:rsidR="00E2497F" w:rsidRPr="00EA7460">
        <w:rPr>
          <w:rFonts w:ascii="Cambria" w:hAnsi="Cambria"/>
          <w:sz w:val="20"/>
          <w:szCs w:val="20"/>
          <w:lang w:val="es-ES_tradnl"/>
        </w:rPr>
        <w:t>sustraerse</w:t>
      </w:r>
      <w:r w:rsidR="00E2497F" w:rsidRPr="00EA7460">
        <w:rPr>
          <w:rFonts w:ascii="Cambria" w:hAnsi="Cambria"/>
          <w:spacing w:val="-5"/>
          <w:sz w:val="20"/>
          <w:szCs w:val="20"/>
          <w:lang w:val="es-ES_tradnl"/>
        </w:rPr>
        <w:t xml:space="preserve"> </w:t>
      </w:r>
      <w:r w:rsidR="00E2497F" w:rsidRPr="00EA7460">
        <w:rPr>
          <w:rFonts w:ascii="Cambria" w:hAnsi="Cambria"/>
          <w:sz w:val="20"/>
          <w:szCs w:val="20"/>
          <w:lang w:val="es-ES_tradnl"/>
        </w:rPr>
        <w:t>del</w:t>
      </w:r>
      <w:r w:rsidR="00E2497F" w:rsidRPr="00EA7460">
        <w:rPr>
          <w:rFonts w:ascii="Cambria" w:hAnsi="Cambria"/>
          <w:spacing w:val="-6"/>
          <w:sz w:val="20"/>
          <w:szCs w:val="20"/>
          <w:lang w:val="es-ES_tradnl"/>
        </w:rPr>
        <w:t xml:space="preserve"> </w:t>
      </w:r>
      <w:r w:rsidR="00E2497F" w:rsidRPr="00EA7460">
        <w:rPr>
          <w:rFonts w:ascii="Cambria" w:hAnsi="Cambria"/>
          <w:sz w:val="20"/>
          <w:szCs w:val="20"/>
          <w:lang w:val="es-ES_tradnl"/>
        </w:rPr>
        <w:t>deber</w:t>
      </w:r>
      <w:r w:rsidR="00E2497F" w:rsidRPr="00EA7460">
        <w:rPr>
          <w:rFonts w:ascii="Cambria" w:hAnsi="Cambria"/>
          <w:spacing w:val="-5"/>
          <w:sz w:val="20"/>
          <w:szCs w:val="20"/>
          <w:lang w:val="es-ES_tradnl"/>
        </w:rPr>
        <w:t xml:space="preserve"> </w:t>
      </w:r>
      <w:r w:rsidR="00E2497F" w:rsidRPr="00EA7460">
        <w:rPr>
          <w:rFonts w:ascii="Cambria" w:hAnsi="Cambria"/>
          <w:sz w:val="20"/>
          <w:szCs w:val="20"/>
          <w:lang w:val="es-ES_tradnl"/>
        </w:rPr>
        <w:t>de</w:t>
      </w:r>
      <w:r w:rsidR="00E2497F" w:rsidRPr="00EA7460">
        <w:rPr>
          <w:rFonts w:ascii="Cambria" w:hAnsi="Cambria"/>
          <w:spacing w:val="-6"/>
          <w:sz w:val="20"/>
          <w:szCs w:val="20"/>
          <w:lang w:val="es-ES_tradnl"/>
        </w:rPr>
        <w:t xml:space="preserve"> </w:t>
      </w:r>
      <w:r w:rsidR="00E2497F" w:rsidRPr="00EA7460">
        <w:rPr>
          <w:rFonts w:ascii="Cambria" w:hAnsi="Cambria"/>
          <w:sz w:val="20"/>
          <w:szCs w:val="20"/>
          <w:lang w:val="es-ES_tradnl"/>
        </w:rPr>
        <w:t>investigar,</w:t>
      </w:r>
      <w:r w:rsidR="00E2497F" w:rsidRPr="00EA7460">
        <w:rPr>
          <w:rFonts w:ascii="Cambria" w:hAnsi="Cambria"/>
          <w:spacing w:val="-6"/>
          <w:sz w:val="20"/>
          <w:szCs w:val="20"/>
          <w:lang w:val="es-ES_tradnl"/>
        </w:rPr>
        <w:t xml:space="preserve"> </w:t>
      </w:r>
      <w:r w:rsidR="00E2497F" w:rsidRPr="00EA7460">
        <w:rPr>
          <w:rFonts w:ascii="Cambria" w:hAnsi="Cambria"/>
          <w:sz w:val="20"/>
          <w:szCs w:val="20"/>
          <w:lang w:val="es-ES_tradnl"/>
        </w:rPr>
        <w:t>determinar</w:t>
      </w:r>
      <w:r w:rsidR="00E2497F" w:rsidRPr="00EA7460">
        <w:rPr>
          <w:rFonts w:ascii="Cambria" w:hAnsi="Cambria"/>
          <w:spacing w:val="-5"/>
          <w:sz w:val="20"/>
          <w:szCs w:val="20"/>
          <w:lang w:val="es-ES_tradnl"/>
        </w:rPr>
        <w:t xml:space="preserve"> </w:t>
      </w:r>
      <w:r w:rsidR="00E2497F" w:rsidRPr="00EA7460">
        <w:rPr>
          <w:rFonts w:ascii="Cambria" w:hAnsi="Cambria"/>
          <w:sz w:val="20"/>
          <w:szCs w:val="20"/>
          <w:lang w:val="es-ES_tradnl"/>
        </w:rPr>
        <w:t>y</w:t>
      </w:r>
      <w:r w:rsidR="00E2497F" w:rsidRPr="00EA7460">
        <w:rPr>
          <w:rFonts w:ascii="Cambria" w:hAnsi="Cambria"/>
          <w:spacing w:val="-6"/>
          <w:sz w:val="20"/>
          <w:szCs w:val="20"/>
          <w:lang w:val="es-ES_tradnl"/>
        </w:rPr>
        <w:t xml:space="preserve"> </w:t>
      </w:r>
      <w:r w:rsidR="00E2497F" w:rsidRPr="00EA7460">
        <w:rPr>
          <w:rFonts w:ascii="Cambria" w:hAnsi="Cambria"/>
          <w:sz w:val="20"/>
          <w:szCs w:val="20"/>
          <w:lang w:val="es-ES_tradnl"/>
        </w:rPr>
        <w:t>sancionar</w:t>
      </w:r>
      <w:r w:rsidR="00E2497F" w:rsidRPr="00EA7460">
        <w:rPr>
          <w:rFonts w:ascii="Cambria" w:hAnsi="Cambria"/>
          <w:spacing w:val="-5"/>
          <w:sz w:val="20"/>
          <w:szCs w:val="20"/>
          <w:lang w:val="es-ES_tradnl"/>
        </w:rPr>
        <w:t xml:space="preserve"> </w:t>
      </w:r>
      <w:r w:rsidR="00E2497F" w:rsidRPr="00EA7460">
        <w:rPr>
          <w:rFonts w:ascii="Cambria" w:hAnsi="Cambria"/>
          <w:sz w:val="20"/>
          <w:szCs w:val="20"/>
          <w:lang w:val="es-ES_tradnl"/>
        </w:rPr>
        <w:t>a</w:t>
      </w:r>
      <w:r w:rsidR="00E2497F" w:rsidRPr="00EA7460">
        <w:rPr>
          <w:rFonts w:ascii="Cambria" w:hAnsi="Cambria"/>
          <w:spacing w:val="-6"/>
          <w:sz w:val="20"/>
          <w:szCs w:val="20"/>
          <w:lang w:val="es-ES_tradnl"/>
        </w:rPr>
        <w:t xml:space="preserve"> </w:t>
      </w:r>
      <w:r w:rsidR="00E2497F" w:rsidRPr="00EA7460">
        <w:rPr>
          <w:rFonts w:ascii="Cambria" w:hAnsi="Cambria"/>
          <w:sz w:val="20"/>
          <w:szCs w:val="20"/>
          <w:lang w:val="es-ES_tradnl"/>
        </w:rPr>
        <w:t>los</w:t>
      </w:r>
      <w:r w:rsidR="00E2497F" w:rsidRPr="00EA7460">
        <w:rPr>
          <w:rFonts w:ascii="Cambria" w:hAnsi="Cambria"/>
          <w:spacing w:val="-5"/>
          <w:sz w:val="20"/>
          <w:szCs w:val="20"/>
          <w:lang w:val="es-ES_tradnl"/>
        </w:rPr>
        <w:t xml:space="preserve"> </w:t>
      </w:r>
      <w:r w:rsidR="00E2497F" w:rsidRPr="00EA7460">
        <w:rPr>
          <w:rFonts w:ascii="Cambria" w:hAnsi="Cambria"/>
          <w:sz w:val="20"/>
          <w:szCs w:val="20"/>
          <w:lang w:val="es-ES_tradnl"/>
        </w:rPr>
        <w:t>responsables</w:t>
      </w:r>
      <w:r w:rsidR="00E2497F" w:rsidRPr="00EA7460">
        <w:rPr>
          <w:rFonts w:ascii="Cambria" w:hAnsi="Cambria"/>
          <w:spacing w:val="-6"/>
          <w:sz w:val="20"/>
          <w:szCs w:val="20"/>
          <w:lang w:val="es-ES_tradnl"/>
        </w:rPr>
        <w:t xml:space="preserve"> </w:t>
      </w:r>
      <w:r w:rsidR="00E2497F" w:rsidRPr="00EA7460">
        <w:rPr>
          <w:rFonts w:ascii="Cambria" w:hAnsi="Cambria"/>
          <w:sz w:val="20"/>
          <w:szCs w:val="20"/>
          <w:lang w:val="es-ES_tradnl"/>
        </w:rPr>
        <w:t>de</w:t>
      </w:r>
      <w:r w:rsidR="00E2497F" w:rsidRPr="00EA7460">
        <w:rPr>
          <w:rFonts w:ascii="Cambria" w:hAnsi="Cambria"/>
          <w:spacing w:val="-6"/>
          <w:sz w:val="20"/>
          <w:szCs w:val="20"/>
          <w:lang w:val="es-ES_tradnl"/>
        </w:rPr>
        <w:t xml:space="preserve"> </w:t>
      </w:r>
      <w:r w:rsidR="00E2497F" w:rsidRPr="00EA7460">
        <w:rPr>
          <w:rFonts w:ascii="Cambria" w:hAnsi="Cambria"/>
          <w:sz w:val="20"/>
          <w:szCs w:val="20"/>
          <w:lang w:val="es-ES_tradnl"/>
        </w:rPr>
        <w:t>los</w:t>
      </w:r>
      <w:r w:rsidR="00E2497F" w:rsidRPr="00EA7460">
        <w:rPr>
          <w:rFonts w:ascii="Cambria" w:hAnsi="Cambria"/>
          <w:spacing w:val="-5"/>
          <w:sz w:val="20"/>
          <w:szCs w:val="20"/>
          <w:lang w:val="es-ES_tradnl"/>
        </w:rPr>
        <w:t xml:space="preserve"> </w:t>
      </w:r>
      <w:r w:rsidR="00E2497F" w:rsidRPr="00EA7460">
        <w:rPr>
          <w:rFonts w:ascii="Cambria" w:hAnsi="Cambria"/>
          <w:sz w:val="20"/>
          <w:szCs w:val="20"/>
          <w:lang w:val="es-ES_tradnl"/>
        </w:rPr>
        <w:t>crímenes de lesa humanidad aplicando leyes de amnistía u otro tipo de normativa interna</w:t>
      </w:r>
      <w:r w:rsidR="00913ADE" w:rsidRPr="00EA7460">
        <w:rPr>
          <w:rFonts w:ascii="Cambria" w:hAnsi="Cambria"/>
          <w:sz w:val="20"/>
          <w:szCs w:val="20"/>
          <w:lang w:val="es-ES_tradnl"/>
        </w:rPr>
        <w:t xml:space="preserve">. </w:t>
      </w:r>
      <w:r w:rsidR="00E2497F" w:rsidRPr="00EA7460">
        <w:rPr>
          <w:rFonts w:ascii="Cambria" w:hAnsi="Cambria"/>
          <w:sz w:val="20"/>
          <w:szCs w:val="20"/>
          <w:lang w:val="es-ES_tradnl"/>
        </w:rPr>
        <w:t>En consecuencia, los crímenes de lesa humanidad son delitos por los que no se puede conceder</w:t>
      </w:r>
      <w:r w:rsidR="00E2497F" w:rsidRPr="00EA7460">
        <w:rPr>
          <w:rFonts w:ascii="Cambria" w:hAnsi="Cambria"/>
          <w:spacing w:val="-4"/>
          <w:sz w:val="20"/>
          <w:szCs w:val="20"/>
          <w:lang w:val="es-ES_tradnl"/>
        </w:rPr>
        <w:t xml:space="preserve"> </w:t>
      </w:r>
      <w:r w:rsidR="00E2497F" w:rsidRPr="00EA7460">
        <w:rPr>
          <w:rFonts w:ascii="Cambria" w:hAnsi="Cambria"/>
          <w:sz w:val="20"/>
          <w:szCs w:val="20"/>
          <w:lang w:val="es-ES_tradnl"/>
        </w:rPr>
        <w:t>amnistía</w:t>
      </w:r>
      <w:r w:rsidR="003A5168" w:rsidRPr="00EA7460">
        <w:rPr>
          <w:rFonts w:ascii="Cambria" w:hAnsi="Cambria"/>
          <w:sz w:val="20"/>
          <w:szCs w:val="20"/>
          <w:lang w:val="es-ES_tradnl"/>
        </w:rPr>
        <w:t xml:space="preserve"> ni corresponde la aplicación de figuras jurídicas como </w:t>
      </w:r>
      <w:r w:rsidR="003A5168" w:rsidRPr="00EA7460">
        <w:rPr>
          <w:rFonts w:ascii="Cambria" w:hAnsi="Cambria"/>
          <w:i/>
          <w:iCs/>
          <w:sz w:val="20"/>
          <w:szCs w:val="20"/>
          <w:lang w:val="es-ES_tradnl"/>
        </w:rPr>
        <w:t xml:space="preserve">non bis in </w:t>
      </w:r>
      <w:proofErr w:type="spellStart"/>
      <w:r w:rsidR="003A5168" w:rsidRPr="00EA7460">
        <w:rPr>
          <w:rFonts w:ascii="Cambria" w:hAnsi="Cambria"/>
          <w:i/>
          <w:iCs/>
          <w:sz w:val="20"/>
          <w:szCs w:val="20"/>
          <w:lang w:val="es-ES_tradnl"/>
        </w:rPr>
        <w:t>idem</w:t>
      </w:r>
      <w:proofErr w:type="spellEnd"/>
      <w:r w:rsidR="00913ADE" w:rsidRPr="00EA7460">
        <w:rPr>
          <w:rStyle w:val="FootnoteReference"/>
          <w:rFonts w:ascii="Cambria" w:hAnsi="Cambria"/>
          <w:sz w:val="20"/>
          <w:szCs w:val="20"/>
          <w:lang w:val="es-ES_tradnl"/>
        </w:rPr>
        <w:footnoteReference w:id="4"/>
      </w:r>
      <w:r w:rsidR="00913ADE" w:rsidRPr="00EA7460">
        <w:rPr>
          <w:rFonts w:ascii="Cambria" w:hAnsi="Cambria"/>
          <w:sz w:val="20"/>
          <w:szCs w:val="20"/>
          <w:lang w:val="es-ES_tradnl"/>
        </w:rPr>
        <w:t xml:space="preserve">. </w:t>
      </w:r>
      <w:r w:rsidR="00950E2E" w:rsidRPr="00EA7460">
        <w:rPr>
          <w:rFonts w:ascii="Cambria" w:hAnsi="Cambria"/>
          <w:sz w:val="20"/>
          <w:szCs w:val="20"/>
          <w:lang w:val="es-ES_tradnl"/>
        </w:rPr>
        <w:t>En ese sentido</w:t>
      </w:r>
      <w:r w:rsidR="00FC79A7" w:rsidRPr="00EA7460">
        <w:rPr>
          <w:rFonts w:ascii="Cambria" w:hAnsi="Cambria"/>
          <w:sz w:val="20"/>
          <w:szCs w:val="20"/>
          <w:lang w:val="es-ES_tradnl"/>
        </w:rPr>
        <w:t>, se ha establecido</w:t>
      </w:r>
      <w:r w:rsidR="00913ADE" w:rsidRPr="00EA7460">
        <w:rPr>
          <w:rFonts w:ascii="Cambria" w:hAnsi="Cambria"/>
          <w:sz w:val="20"/>
          <w:szCs w:val="20"/>
          <w:lang w:val="es-ES_tradnl"/>
        </w:rPr>
        <w:t xml:space="preserve"> que</w:t>
      </w:r>
      <w:r w:rsidR="004374CA" w:rsidRPr="00EA7460">
        <w:rPr>
          <w:rFonts w:ascii="Cambria" w:hAnsi="Cambria"/>
          <w:sz w:val="20"/>
          <w:szCs w:val="20"/>
          <w:lang w:val="es-ES_tradnl"/>
        </w:rPr>
        <w:t xml:space="preserve"> en caso </w:t>
      </w:r>
      <w:r w:rsidR="00270883" w:rsidRPr="00EA7460">
        <w:rPr>
          <w:rFonts w:ascii="Cambria" w:hAnsi="Cambria"/>
          <w:sz w:val="20"/>
          <w:szCs w:val="20"/>
          <w:lang w:val="es-ES_tradnl"/>
        </w:rPr>
        <w:t>de</w:t>
      </w:r>
      <w:r w:rsidR="00913ADE" w:rsidRPr="00EA7460">
        <w:rPr>
          <w:rFonts w:ascii="Cambria" w:hAnsi="Cambria"/>
          <w:sz w:val="20"/>
          <w:szCs w:val="20"/>
          <w:lang w:val="es-ES_tradnl"/>
        </w:rPr>
        <w:t xml:space="preserve"> aparece</w:t>
      </w:r>
      <w:r w:rsidR="00270883" w:rsidRPr="00EA7460">
        <w:rPr>
          <w:rFonts w:ascii="Cambria" w:hAnsi="Cambria"/>
          <w:sz w:val="20"/>
          <w:szCs w:val="20"/>
          <w:lang w:val="es-ES_tradnl"/>
        </w:rPr>
        <w:t xml:space="preserve">r </w:t>
      </w:r>
      <w:r w:rsidR="00913ADE" w:rsidRPr="00EA7460">
        <w:rPr>
          <w:rFonts w:ascii="Cambria" w:hAnsi="Cambria"/>
          <w:sz w:val="20"/>
          <w:szCs w:val="20"/>
          <w:lang w:val="es-ES_tradnl"/>
        </w:rPr>
        <w:t>nuevos hechos o pruebas que puedan permitir la determinación de los responsables de violaciones a los derechos humanos, y más aún, de los responsables de crímenes de lesa humanidad, pueden ser reabiertas las investigaciones, incluso si existe una sentencia absolutoria en calidad de cosa juzgada</w:t>
      </w:r>
      <w:r w:rsidR="00270883" w:rsidRPr="00EA7460">
        <w:rPr>
          <w:rFonts w:ascii="Cambria" w:hAnsi="Cambria"/>
          <w:sz w:val="20"/>
          <w:szCs w:val="20"/>
          <w:lang w:val="es-ES_tradnl"/>
        </w:rPr>
        <w:t>.</w:t>
      </w:r>
    </w:p>
    <w:p w14:paraId="0260BE1A" w14:textId="0F0493D5" w:rsidR="00950E2E" w:rsidRPr="003A091F" w:rsidRDefault="008818CC" w:rsidP="003A09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eastAsia="Times New Roman" w:hAnsi="Cambria"/>
          <w:sz w:val="20"/>
          <w:szCs w:val="20"/>
          <w:bdr w:val="none" w:sz="0" w:space="0" w:color="auto"/>
          <w:lang w:val="es-ES_tradnl"/>
        </w:rPr>
      </w:pPr>
      <w:r w:rsidRPr="00EA7460">
        <w:rPr>
          <w:rFonts w:ascii="Cambria" w:hAnsi="Cambria"/>
          <w:sz w:val="20"/>
          <w:szCs w:val="20"/>
          <w:lang w:val="es-ES_tradnl"/>
        </w:rPr>
        <w:t>Frente a</w:t>
      </w:r>
      <w:r w:rsidR="0037499A" w:rsidRPr="00EA7460">
        <w:rPr>
          <w:rFonts w:ascii="Cambria" w:hAnsi="Cambria"/>
          <w:sz w:val="20"/>
          <w:szCs w:val="20"/>
          <w:lang w:val="es-ES_tradnl"/>
        </w:rPr>
        <w:t xml:space="preserve"> </w:t>
      </w:r>
      <w:r w:rsidRPr="00EA7460">
        <w:rPr>
          <w:rFonts w:ascii="Cambria" w:hAnsi="Cambria"/>
          <w:sz w:val="20"/>
          <w:szCs w:val="20"/>
          <w:lang w:val="es-ES_tradnl"/>
        </w:rPr>
        <w:t>l</w:t>
      </w:r>
      <w:r w:rsidR="0037499A" w:rsidRPr="00EA7460">
        <w:rPr>
          <w:rFonts w:ascii="Cambria" w:hAnsi="Cambria"/>
          <w:sz w:val="20"/>
          <w:szCs w:val="20"/>
          <w:lang w:val="es-ES_tradnl"/>
        </w:rPr>
        <w:t xml:space="preserve">a alegada afectación al derecho a la libertad personal, </w:t>
      </w:r>
      <w:r w:rsidR="0037499A" w:rsidRPr="00EA7460">
        <w:rPr>
          <w:rFonts w:ascii="Cambria" w:eastAsia="Times New Roman" w:hAnsi="Cambria"/>
          <w:sz w:val="20"/>
          <w:szCs w:val="20"/>
          <w:bdr w:val="none" w:sz="0" w:space="0" w:color="auto"/>
          <w:lang w:val="es-ES_tradnl"/>
        </w:rPr>
        <w:t xml:space="preserve">la Comisión </w:t>
      </w:r>
      <w:r w:rsidR="00950E2E" w:rsidRPr="00EA7460">
        <w:rPr>
          <w:rFonts w:ascii="Cambria" w:eastAsia="Times New Roman" w:hAnsi="Cambria"/>
          <w:sz w:val="20"/>
          <w:szCs w:val="20"/>
          <w:bdr w:val="none" w:sz="0" w:space="0" w:color="auto"/>
          <w:lang w:val="es-ES_tradnl"/>
        </w:rPr>
        <w:t>considera que, de conformidad con lo señalado en sus recientes informes de inadmisibilidad No. 2/21 y 116/21</w:t>
      </w:r>
      <w:r w:rsidR="0037499A" w:rsidRPr="00EA7460">
        <w:rPr>
          <w:rStyle w:val="FootnoteReference"/>
          <w:rFonts w:ascii="Cambria" w:eastAsia="Times New Roman" w:hAnsi="Cambria"/>
          <w:sz w:val="20"/>
          <w:szCs w:val="20"/>
          <w:bdr w:val="none" w:sz="0" w:space="0" w:color="auto"/>
          <w:lang w:val="es-ES_tradnl"/>
        </w:rPr>
        <w:footnoteReference w:id="5"/>
      </w:r>
      <w:r w:rsidR="00950E2E" w:rsidRPr="00EA7460">
        <w:rPr>
          <w:rFonts w:ascii="Cambria" w:eastAsia="Times New Roman" w:hAnsi="Cambria"/>
          <w:sz w:val="20"/>
          <w:szCs w:val="20"/>
          <w:bdr w:val="none" w:sz="0" w:space="0" w:color="auto"/>
          <w:lang w:val="es-ES_tradnl"/>
        </w:rPr>
        <w:t xml:space="preserve">, </w:t>
      </w:r>
      <w:r w:rsidR="0037499A" w:rsidRPr="00EA7460">
        <w:rPr>
          <w:rFonts w:ascii="Cambria" w:eastAsia="Times New Roman" w:hAnsi="Cambria"/>
          <w:sz w:val="20"/>
          <w:szCs w:val="20"/>
          <w:bdr w:val="none" w:sz="0" w:space="0" w:color="auto"/>
          <w:lang w:val="es-ES_tradnl"/>
        </w:rPr>
        <w:t>n</w:t>
      </w:r>
      <w:r w:rsidR="00950E2E" w:rsidRPr="00EA7460">
        <w:rPr>
          <w:rFonts w:ascii="Cambria" w:eastAsia="Times New Roman" w:hAnsi="Cambria"/>
          <w:sz w:val="20"/>
          <w:szCs w:val="20"/>
          <w:bdr w:val="none" w:sz="0" w:space="0" w:color="auto"/>
          <w:lang w:val="es-ES_tradnl"/>
        </w:rPr>
        <w:t>o</w:t>
      </w:r>
      <w:r w:rsidR="0037499A" w:rsidRPr="00EA7460">
        <w:rPr>
          <w:rFonts w:ascii="Cambria" w:eastAsia="Times New Roman" w:hAnsi="Cambria"/>
          <w:sz w:val="20"/>
          <w:szCs w:val="20"/>
          <w:bdr w:val="none" w:sz="0" w:space="0" w:color="auto"/>
          <w:lang w:val="es-ES_tradnl"/>
        </w:rPr>
        <w:t xml:space="preserve"> puede </w:t>
      </w:r>
      <w:r w:rsidR="0037499A" w:rsidRPr="00EA7460">
        <w:rPr>
          <w:rFonts w:ascii="Cambria" w:eastAsia="Times New Roman" w:hAnsi="Cambria"/>
          <w:sz w:val="20"/>
          <w:szCs w:val="20"/>
          <w:bdr w:val="none" w:sz="0" w:space="0" w:color="auto"/>
          <w:lang w:val="es-ES_tradnl"/>
        </w:rPr>
        <w:lastRenderedPageBreak/>
        <w:t xml:space="preserve">disociar de su análisis el contexto en el que se inscriben los hechos denunciados en el presente caso. En ese sentido, es evidente que las características del presente caso son ciertamente únicas en la amplia gama de situaciones que ha conocido la CIDH en el ejercicio de su mandato contencioso. </w:t>
      </w:r>
      <w:r w:rsidR="0004094F" w:rsidRPr="003A091F">
        <w:rPr>
          <w:rFonts w:ascii="Cambria" w:hAnsi="Cambria"/>
          <w:sz w:val="20"/>
          <w:szCs w:val="20"/>
          <w:lang w:val="es-ES_tradnl"/>
        </w:rPr>
        <w:t xml:space="preserve">En esa línea, </w:t>
      </w:r>
      <w:r w:rsidR="0004094F" w:rsidRPr="003A091F">
        <w:rPr>
          <w:rFonts w:ascii="Cambria" w:eastAsia="Times New Roman" w:hAnsi="Cambria"/>
          <w:sz w:val="20"/>
          <w:szCs w:val="20"/>
          <w:bdr w:val="none" w:sz="0" w:space="0" w:color="auto"/>
          <w:lang w:val="es-ES_tradnl"/>
        </w:rPr>
        <w:t xml:space="preserve">en su </w:t>
      </w:r>
      <w:r w:rsidR="0004094F" w:rsidRPr="003A091F">
        <w:rPr>
          <w:rFonts w:ascii="Cambria" w:eastAsia="Times New Roman" w:hAnsi="Cambria"/>
          <w:i/>
          <w:iCs/>
          <w:sz w:val="20"/>
          <w:szCs w:val="20"/>
          <w:bdr w:val="none" w:sz="0" w:space="0" w:color="auto"/>
          <w:lang w:val="es-ES_tradnl"/>
        </w:rPr>
        <w:t>Informe sobre el uso de la prisión preventiva en las Américas</w:t>
      </w:r>
      <w:r w:rsidR="0004094F" w:rsidRPr="003A091F">
        <w:rPr>
          <w:rFonts w:ascii="Cambria" w:eastAsia="Times New Roman" w:hAnsi="Cambria"/>
          <w:sz w:val="20"/>
          <w:szCs w:val="20"/>
          <w:bdr w:val="none" w:sz="0" w:space="0" w:color="auto"/>
          <w:lang w:val="es-ES_tradnl"/>
        </w:rPr>
        <w:t xml:space="preserve"> la CIDH indica que la prisión preventiva es legítima siempre que cumpla con el fin de prevenir el riesgo de que el imputado eluda la acción de la justicia, para lo cual se </w:t>
      </w:r>
      <w:r w:rsidR="00EA7460" w:rsidRPr="003A091F">
        <w:rPr>
          <w:rFonts w:ascii="Cambria" w:eastAsia="Times New Roman" w:hAnsi="Cambria"/>
          <w:sz w:val="20"/>
          <w:szCs w:val="20"/>
          <w:bdr w:val="none" w:sz="0" w:space="0" w:color="auto"/>
          <w:lang w:val="es-ES_tradnl"/>
        </w:rPr>
        <w:t>podrá</w:t>
      </w:r>
      <w:r w:rsidR="0004094F" w:rsidRPr="003A091F">
        <w:rPr>
          <w:rFonts w:ascii="Cambria" w:eastAsia="Times New Roman" w:hAnsi="Cambria"/>
          <w:sz w:val="20"/>
          <w:szCs w:val="20"/>
          <w:bdr w:val="none" w:sz="0" w:space="0" w:color="auto"/>
          <w:lang w:val="es-ES_tradnl"/>
        </w:rPr>
        <w:t>́́ tener en cuenta la gravedad de la imputación y la eventual condena. Y que, la complejidad del caso se debe medir, especialmente, en relación con las características del hecho y su dificultad probatoria</w:t>
      </w:r>
      <w:r w:rsidR="0004094F" w:rsidRPr="00EA7460">
        <w:rPr>
          <w:rStyle w:val="FootnoteReference"/>
          <w:rFonts w:ascii="Cambria" w:eastAsia="Times New Roman" w:hAnsi="Cambria"/>
          <w:sz w:val="20"/>
          <w:szCs w:val="20"/>
          <w:bdr w:val="none" w:sz="0" w:space="0" w:color="auto"/>
          <w:lang w:val="es-ES_tradnl"/>
        </w:rPr>
        <w:footnoteReference w:id="6"/>
      </w:r>
      <w:r w:rsidR="0004094F" w:rsidRPr="003A091F">
        <w:rPr>
          <w:rFonts w:ascii="Cambria" w:eastAsia="Times New Roman" w:hAnsi="Cambria"/>
          <w:sz w:val="20"/>
          <w:szCs w:val="20"/>
          <w:bdr w:val="none" w:sz="0" w:space="0" w:color="auto"/>
          <w:lang w:val="es-ES_tradnl"/>
        </w:rPr>
        <w:t xml:space="preserve">. </w:t>
      </w:r>
    </w:p>
    <w:p w14:paraId="5A8DDB77" w14:textId="7F7A4D7E" w:rsidR="0004094F" w:rsidRPr="00EA7460" w:rsidRDefault="00950E2E" w:rsidP="00BE5E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sidRPr="00EA7460">
        <w:rPr>
          <w:rFonts w:ascii="Cambria" w:eastAsia="Times New Roman" w:hAnsi="Cambria"/>
          <w:sz w:val="20"/>
          <w:szCs w:val="20"/>
          <w:bdr w:val="none" w:sz="0" w:space="0" w:color="auto"/>
          <w:lang w:val="es-ES_tradnl"/>
        </w:rPr>
        <w:t xml:space="preserve">Al respecto, la CIDH observa que, de acuerdo con la información aportada por el Estado, los juzgados impusieron un régimen de prisión preventiva contra </w:t>
      </w:r>
      <w:r w:rsidR="00351B62">
        <w:rPr>
          <w:rFonts w:ascii="Cambria" w:eastAsia="Times New Roman" w:hAnsi="Cambria"/>
          <w:sz w:val="20"/>
          <w:szCs w:val="20"/>
          <w:bdr w:val="none" w:sz="0" w:space="0" w:color="auto"/>
          <w:lang w:val="es-ES_tradnl"/>
        </w:rPr>
        <w:t xml:space="preserve">el Sr. </w:t>
      </w:r>
      <w:proofErr w:type="spellStart"/>
      <w:r w:rsidR="00351B62">
        <w:rPr>
          <w:rFonts w:ascii="Cambria" w:eastAsia="Times New Roman" w:hAnsi="Cambria"/>
          <w:sz w:val="20"/>
          <w:szCs w:val="20"/>
          <w:bdr w:val="none" w:sz="0" w:space="0" w:color="auto"/>
          <w:lang w:val="es-ES_tradnl"/>
        </w:rPr>
        <w:t>Padovan</w:t>
      </w:r>
      <w:proofErr w:type="spellEnd"/>
      <w:r w:rsidRPr="00EA7460">
        <w:rPr>
          <w:rFonts w:ascii="Cambria" w:eastAsia="Times New Roman" w:hAnsi="Cambria"/>
          <w:sz w:val="20"/>
          <w:szCs w:val="20"/>
          <w:bdr w:val="none" w:sz="0" w:space="0" w:color="auto"/>
          <w:lang w:val="es-ES_tradnl"/>
        </w:rPr>
        <w:t xml:space="preserve"> con la finalidad </w:t>
      </w:r>
      <w:r w:rsidR="00887067">
        <w:rPr>
          <w:rFonts w:ascii="Cambria" w:eastAsia="Times New Roman" w:hAnsi="Cambria"/>
          <w:sz w:val="20"/>
          <w:szCs w:val="20"/>
          <w:bdr w:val="none" w:sz="0" w:space="0" w:color="auto"/>
          <w:lang w:val="es-ES_tradnl"/>
        </w:rPr>
        <w:t xml:space="preserve">de </w:t>
      </w:r>
      <w:r w:rsidRPr="00EA7460">
        <w:rPr>
          <w:rFonts w:ascii="Cambria" w:eastAsia="Times New Roman" w:hAnsi="Cambria"/>
          <w:sz w:val="20"/>
          <w:szCs w:val="20"/>
          <w:bdr w:val="none" w:sz="0" w:space="0" w:color="auto"/>
          <w:lang w:val="es-ES_tradnl"/>
        </w:rPr>
        <w:t>que no pueda obstruir el proceso penal en su contra</w:t>
      </w:r>
      <w:r w:rsidR="00351B62">
        <w:rPr>
          <w:rFonts w:ascii="Cambria" w:eastAsia="Times New Roman" w:hAnsi="Cambria"/>
          <w:sz w:val="20"/>
          <w:szCs w:val="20"/>
          <w:bdr w:val="none" w:sz="0" w:space="0" w:color="auto"/>
          <w:lang w:val="es-ES_tradnl"/>
        </w:rPr>
        <w:t>; l</w:t>
      </w:r>
      <w:r w:rsidRPr="00EA7460">
        <w:rPr>
          <w:rFonts w:ascii="Cambria" w:eastAsia="Times New Roman" w:hAnsi="Cambria"/>
          <w:sz w:val="20"/>
          <w:szCs w:val="20"/>
          <w:bdr w:val="none" w:sz="0" w:space="0" w:color="auto"/>
          <w:lang w:val="es-ES_tradnl"/>
        </w:rPr>
        <w:t>a parte peticionaria no aporta pruebas ni alegatos que permitan desacreditar tal afirmación. Además, respecto al plazo de duración de tal medida cautelar, la Comisión no puede desconocer que e</w:t>
      </w:r>
      <w:r w:rsidR="0004094F" w:rsidRPr="00EA7460">
        <w:rPr>
          <w:rFonts w:ascii="Cambria" w:eastAsia="Times New Roman" w:hAnsi="Cambria"/>
          <w:sz w:val="20"/>
          <w:szCs w:val="20"/>
          <w:bdr w:val="none" w:sz="0" w:space="0" w:color="auto"/>
          <w:lang w:val="es-ES_tradnl"/>
        </w:rPr>
        <w:t>s particularmente excepcional el hecho de que el peticionario sea, en efecto, una persona juzgada y condenada por crímenes de lesa humanidad; y</w:t>
      </w:r>
      <w:r w:rsidRPr="00EA7460">
        <w:rPr>
          <w:rFonts w:ascii="Cambria" w:eastAsia="Times New Roman" w:hAnsi="Cambria"/>
          <w:sz w:val="20"/>
          <w:szCs w:val="20"/>
          <w:bdr w:val="none" w:sz="0" w:space="0" w:color="auto"/>
          <w:lang w:val="es-ES_tradnl"/>
        </w:rPr>
        <w:t>, en consecuencia,</w:t>
      </w:r>
      <w:r w:rsidR="0004094F" w:rsidRPr="00EA7460">
        <w:rPr>
          <w:rFonts w:ascii="Cambria" w:eastAsia="Times New Roman" w:hAnsi="Cambria"/>
          <w:sz w:val="20"/>
          <w:szCs w:val="20"/>
          <w:bdr w:val="none" w:sz="0" w:space="0" w:color="auto"/>
          <w:lang w:val="es-ES_tradnl"/>
        </w:rPr>
        <w:t xml:space="preserve"> es </w:t>
      </w:r>
      <w:r w:rsidRPr="00EA7460">
        <w:rPr>
          <w:rFonts w:ascii="Cambria" w:eastAsia="Times New Roman" w:hAnsi="Cambria"/>
          <w:sz w:val="20"/>
          <w:szCs w:val="20"/>
          <w:bdr w:val="none" w:sz="0" w:space="0" w:color="auto"/>
          <w:lang w:val="es-ES_tradnl"/>
        </w:rPr>
        <w:t>plausible el</w:t>
      </w:r>
      <w:r w:rsidR="0004094F" w:rsidRPr="00EA7460">
        <w:rPr>
          <w:rFonts w:ascii="Cambria" w:eastAsia="Times New Roman" w:hAnsi="Cambria"/>
          <w:sz w:val="20"/>
          <w:szCs w:val="20"/>
          <w:bdr w:val="none" w:sz="0" w:space="0" w:color="auto"/>
          <w:lang w:val="es-ES_tradnl"/>
        </w:rPr>
        <w:t xml:space="preserve"> argumento esgrimido por el Estado</w:t>
      </w:r>
      <w:r w:rsidRPr="00EA7460">
        <w:rPr>
          <w:rFonts w:ascii="Cambria" w:eastAsia="Times New Roman" w:hAnsi="Cambria"/>
          <w:sz w:val="20"/>
          <w:szCs w:val="20"/>
          <w:bdr w:val="none" w:sz="0" w:space="0" w:color="auto"/>
          <w:lang w:val="es-ES_tradnl"/>
        </w:rPr>
        <w:t>,</w:t>
      </w:r>
      <w:r w:rsidR="0004094F" w:rsidRPr="00EA7460">
        <w:rPr>
          <w:rFonts w:ascii="Cambria" w:eastAsia="Times New Roman" w:hAnsi="Cambria"/>
          <w:sz w:val="20"/>
          <w:szCs w:val="20"/>
          <w:bdr w:val="none" w:sz="0" w:space="0" w:color="auto"/>
          <w:lang w:val="es-ES_tradnl"/>
        </w:rPr>
        <w:t xml:space="preserve"> según el cual el tipo de delitos atribuidos </w:t>
      </w:r>
      <w:r w:rsidRPr="00EA7460">
        <w:rPr>
          <w:rFonts w:ascii="Cambria" w:eastAsia="Times New Roman" w:hAnsi="Cambria"/>
          <w:sz w:val="20"/>
          <w:szCs w:val="20"/>
          <w:bdr w:val="none" w:sz="0" w:space="0" w:color="auto"/>
          <w:lang w:val="es-ES_tradnl"/>
        </w:rPr>
        <w:t xml:space="preserve">al señor Valentín </w:t>
      </w:r>
      <w:proofErr w:type="spellStart"/>
      <w:r w:rsidRPr="00EA7460">
        <w:rPr>
          <w:rFonts w:ascii="Cambria" w:eastAsia="Times New Roman" w:hAnsi="Cambria"/>
          <w:sz w:val="20"/>
          <w:szCs w:val="20"/>
          <w:bdr w:val="none" w:sz="0" w:space="0" w:color="auto"/>
          <w:lang w:val="es-ES_tradnl"/>
        </w:rPr>
        <w:t>Padovan</w:t>
      </w:r>
      <w:proofErr w:type="spellEnd"/>
      <w:r w:rsidR="0004094F" w:rsidRPr="00EA7460">
        <w:rPr>
          <w:rFonts w:ascii="Cambria" w:eastAsia="Times New Roman" w:hAnsi="Cambria"/>
          <w:sz w:val="20"/>
          <w:szCs w:val="20"/>
          <w:bdr w:val="none" w:sz="0" w:space="0" w:color="auto"/>
          <w:lang w:val="es-ES_tradnl"/>
        </w:rPr>
        <w:t xml:space="preserve"> ameritaban un ejercicio investigativo más complejo y una actividad judicial más intensa</w:t>
      </w:r>
      <w:r w:rsidR="0004094F" w:rsidRPr="00EA7460">
        <w:rPr>
          <w:rStyle w:val="FootnoteReference"/>
          <w:rFonts w:ascii="Cambria" w:eastAsia="Times New Roman" w:hAnsi="Cambria"/>
          <w:sz w:val="20"/>
          <w:szCs w:val="20"/>
          <w:bdr w:val="none" w:sz="0" w:space="0" w:color="auto"/>
          <w:lang w:val="es-ES_tradnl"/>
        </w:rPr>
        <w:footnoteReference w:id="7"/>
      </w:r>
      <w:r w:rsidR="0004094F" w:rsidRPr="00EA7460">
        <w:rPr>
          <w:rFonts w:ascii="Cambria" w:eastAsia="Times New Roman" w:hAnsi="Cambria"/>
          <w:sz w:val="20"/>
          <w:szCs w:val="20"/>
          <w:bdr w:val="none" w:sz="0" w:space="0" w:color="auto"/>
          <w:lang w:val="es-ES_tradnl"/>
        </w:rPr>
        <w:t xml:space="preserve">. </w:t>
      </w:r>
      <w:r w:rsidRPr="00EA7460">
        <w:rPr>
          <w:rFonts w:ascii="Cambria" w:eastAsia="Times New Roman" w:hAnsi="Cambria"/>
          <w:sz w:val="20"/>
          <w:szCs w:val="20"/>
          <w:bdr w:val="none" w:sz="0" w:space="0" w:color="auto"/>
          <w:lang w:val="es-ES_tradnl"/>
        </w:rPr>
        <w:t xml:space="preserve">Finalmente, </w:t>
      </w:r>
      <w:r w:rsidR="00887067">
        <w:rPr>
          <w:rFonts w:ascii="Cambria" w:eastAsia="Times New Roman" w:hAnsi="Cambria"/>
          <w:sz w:val="20"/>
          <w:szCs w:val="20"/>
          <w:bdr w:val="none" w:sz="0" w:space="0" w:color="auto"/>
          <w:lang w:val="es-ES_tradnl"/>
        </w:rPr>
        <w:t>la CIDH</w:t>
      </w:r>
      <w:r w:rsidR="0004094F" w:rsidRPr="00EA7460">
        <w:rPr>
          <w:rFonts w:ascii="Cambria" w:eastAsia="Times New Roman" w:hAnsi="Cambria"/>
          <w:sz w:val="20"/>
          <w:szCs w:val="20"/>
          <w:bdr w:val="none" w:sz="0" w:space="0" w:color="auto"/>
          <w:lang w:val="es-ES_tradnl"/>
        </w:rPr>
        <w:t xml:space="preserve"> constata</w:t>
      </w:r>
      <w:r w:rsidR="00887067">
        <w:rPr>
          <w:rFonts w:ascii="Cambria" w:eastAsia="Times New Roman" w:hAnsi="Cambria"/>
          <w:sz w:val="20"/>
          <w:szCs w:val="20"/>
          <w:bdr w:val="none" w:sz="0" w:space="0" w:color="auto"/>
          <w:lang w:val="es-ES_tradnl"/>
        </w:rPr>
        <w:t xml:space="preserve">, luego de un análisis </w:t>
      </w:r>
      <w:r w:rsidR="00887067">
        <w:rPr>
          <w:rFonts w:ascii="Cambria" w:eastAsia="Times New Roman" w:hAnsi="Cambria"/>
          <w:i/>
          <w:iCs/>
          <w:sz w:val="20"/>
          <w:szCs w:val="20"/>
          <w:bdr w:val="none" w:sz="0" w:space="0" w:color="auto"/>
          <w:lang w:val="es-ES_tradnl"/>
        </w:rPr>
        <w:t>prima facie</w:t>
      </w:r>
      <w:r w:rsidR="00887067">
        <w:rPr>
          <w:rFonts w:ascii="Cambria" w:eastAsia="Times New Roman" w:hAnsi="Cambria"/>
          <w:sz w:val="20"/>
          <w:szCs w:val="20"/>
          <w:bdr w:val="none" w:sz="0" w:space="0" w:color="auto"/>
          <w:lang w:val="es-ES_tradnl"/>
        </w:rPr>
        <w:t>,</w:t>
      </w:r>
      <w:r w:rsidR="0004094F" w:rsidRPr="00EA7460">
        <w:rPr>
          <w:rFonts w:ascii="Cambria" w:eastAsia="Times New Roman" w:hAnsi="Cambria"/>
          <w:sz w:val="20"/>
          <w:szCs w:val="20"/>
          <w:bdr w:val="none" w:sz="0" w:space="0" w:color="auto"/>
          <w:lang w:val="es-ES_tradnl"/>
        </w:rPr>
        <w:t xml:space="preserve"> que</w:t>
      </w:r>
      <w:r w:rsidR="00887067">
        <w:rPr>
          <w:rFonts w:ascii="Cambria" w:eastAsia="Times New Roman" w:hAnsi="Cambria"/>
          <w:sz w:val="20"/>
          <w:szCs w:val="20"/>
          <w:bdr w:val="none" w:sz="0" w:space="0" w:color="auto"/>
          <w:lang w:val="es-ES_tradnl"/>
        </w:rPr>
        <w:t xml:space="preserve"> </w:t>
      </w:r>
      <w:r w:rsidR="0004094F" w:rsidRPr="00EA7460">
        <w:rPr>
          <w:rFonts w:ascii="Cambria" w:eastAsia="Times New Roman" w:hAnsi="Cambria"/>
          <w:sz w:val="20"/>
          <w:szCs w:val="20"/>
          <w:bdr w:val="none" w:sz="0" w:space="0" w:color="auto"/>
          <w:lang w:val="es-ES_tradnl"/>
        </w:rPr>
        <w:t xml:space="preserve">la detención fue legítima desde el punto de vista material y formal; las disposiciones internas de Argentina, con relación a las garantías establecidas en los instrumentos del sistema interamericano, no fueron arbitrarias; y la aplicación de la ley en el caso específico no </w:t>
      </w:r>
      <w:r w:rsidRPr="00EA7460">
        <w:rPr>
          <w:rFonts w:ascii="Cambria" w:eastAsia="Times New Roman" w:hAnsi="Cambria"/>
          <w:sz w:val="20"/>
          <w:szCs w:val="20"/>
          <w:bdr w:val="none" w:sz="0" w:space="0" w:color="auto"/>
          <w:lang w:val="es-ES_tradnl"/>
        </w:rPr>
        <w:t xml:space="preserve">tampoco </w:t>
      </w:r>
      <w:r w:rsidR="0004094F" w:rsidRPr="00EA7460">
        <w:rPr>
          <w:rFonts w:ascii="Cambria" w:eastAsia="Times New Roman" w:hAnsi="Cambria"/>
          <w:sz w:val="20"/>
          <w:szCs w:val="20"/>
          <w:bdr w:val="none" w:sz="0" w:space="0" w:color="auto"/>
          <w:lang w:val="es-ES_tradnl"/>
        </w:rPr>
        <w:t>fue arbitraria.</w:t>
      </w:r>
    </w:p>
    <w:p w14:paraId="521DEC4D" w14:textId="7D646A9B" w:rsidR="00775333" w:rsidRDefault="0004094F" w:rsidP="007753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_tradnl"/>
        </w:rPr>
      </w:pPr>
      <w:r w:rsidRPr="00EA7460">
        <w:rPr>
          <w:rFonts w:eastAsia="Times New Roman"/>
          <w:sz w:val="20"/>
          <w:szCs w:val="20"/>
          <w:bdr w:val="none" w:sz="0" w:space="0" w:color="auto"/>
          <w:lang w:val="es-ES_tradnl"/>
        </w:rPr>
        <w:t xml:space="preserve">Desde esta perspectiva, y tomando en cuenta </w:t>
      </w:r>
      <w:r w:rsidR="00835F60">
        <w:rPr>
          <w:rFonts w:eastAsia="Times New Roman"/>
          <w:sz w:val="20"/>
          <w:szCs w:val="20"/>
          <w:bdr w:val="none" w:sz="0" w:space="0" w:color="auto"/>
          <w:lang w:val="es-ES_tradnl"/>
        </w:rPr>
        <w:t>su</w:t>
      </w:r>
      <w:r w:rsidRPr="00EA7460">
        <w:rPr>
          <w:rFonts w:eastAsia="Times New Roman"/>
          <w:sz w:val="20"/>
          <w:szCs w:val="20"/>
          <w:bdr w:val="none" w:sz="0" w:space="0" w:color="auto"/>
          <w:lang w:val="es-ES_tradnl"/>
        </w:rPr>
        <w:t xml:space="preserve"> posición constante de la CIDH</w:t>
      </w:r>
      <w:r w:rsidR="00835F60">
        <w:rPr>
          <w:rFonts w:eastAsia="Times New Roman"/>
          <w:sz w:val="20"/>
          <w:szCs w:val="20"/>
          <w:bdr w:val="none" w:sz="0" w:space="0" w:color="auto"/>
          <w:lang w:val="es-ES_tradnl"/>
        </w:rPr>
        <w:t>,</w:t>
      </w:r>
      <w:r w:rsidRPr="00EA7460">
        <w:rPr>
          <w:rFonts w:eastAsia="Times New Roman"/>
          <w:sz w:val="20"/>
          <w:szCs w:val="20"/>
          <w:bdr w:val="none" w:sz="0" w:space="0" w:color="auto"/>
          <w:lang w:val="es-ES_tradnl"/>
        </w:rPr>
        <w:t xml:space="preserve"> según la cual la valoración de la aplicación de la prisión preventiva a una persona es un ejercicio de análisis que debe realizarse caso por caso, la CIDH concluye que</w:t>
      </w:r>
      <w:r w:rsidR="00835F60">
        <w:rPr>
          <w:rFonts w:eastAsia="Times New Roman"/>
          <w:sz w:val="20"/>
          <w:szCs w:val="20"/>
          <w:bdr w:val="none" w:sz="0" w:space="0" w:color="auto"/>
          <w:lang w:val="es-ES_tradnl"/>
        </w:rPr>
        <w:t>,</w:t>
      </w:r>
      <w:r w:rsidRPr="00EA7460">
        <w:rPr>
          <w:rFonts w:eastAsia="Times New Roman"/>
          <w:sz w:val="20"/>
          <w:szCs w:val="20"/>
          <w:bdr w:val="none" w:sz="0" w:space="0" w:color="auto"/>
          <w:lang w:val="es-ES_tradnl"/>
        </w:rPr>
        <w:t xml:space="preserve"> </w:t>
      </w:r>
      <w:r w:rsidR="00835F60" w:rsidRPr="00835F60">
        <w:rPr>
          <w:rFonts w:eastAsia="Times New Roman"/>
          <w:i/>
          <w:iCs/>
          <w:sz w:val="20"/>
          <w:szCs w:val="20"/>
          <w:bdr w:val="none" w:sz="0" w:space="0" w:color="auto"/>
          <w:lang w:val="es-ES_tradnl"/>
        </w:rPr>
        <w:t>prima facie</w:t>
      </w:r>
      <w:r w:rsidR="00835F60">
        <w:rPr>
          <w:rFonts w:eastAsia="Times New Roman"/>
          <w:sz w:val="20"/>
          <w:szCs w:val="20"/>
          <w:bdr w:val="none" w:sz="0" w:space="0" w:color="auto"/>
          <w:lang w:val="es-ES_tradnl"/>
        </w:rPr>
        <w:t xml:space="preserve"> </w:t>
      </w:r>
      <w:r w:rsidR="00055365" w:rsidRPr="00EA7460">
        <w:rPr>
          <w:rFonts w:eastAsia="Times New Roman"/>
          <w:sz w:val="20"/>
          <w:szCs w:val="20"/>
          <w:bdr w:val="none" w:sz="0" w:space="0" w:color="auto"/>
          <w:lang w:val="es-ES_tradnl"/>
        </w:rPr>
        <w:t>no existen elementos que permitan acreditar la posible vulneración a</w:t>
      </w:r>
      <w:r w:rsidRPr="00EA7460">
        <w:rPr>
          <w:rFonts w:eastAsia="Times New Roman"/>
          <w:sz w:val="20"/>
          <w:szCs w:val="20"/>
          <w:bdr w:val="none" w:sz="0" w:space="0" w:color="auto"/>
          <w:lang w:val="es-ES_tradnl"/>
        </w:rPr>
        <w:t xml:space="preserve">l derecho a la libertad personal del </w:t>
      </w:r>
      <w:r w:rsidR="00055365" w:rsidRPr="00EA7460">
        <w:rPr>
          <w:rFonts w:eastAsia="Times New Roman"/>
          <w:sz w:val="20"/>
          <w:szCs w:val="20"/>
          <w:bdr w:val="none" w:sz="0" w:space="0" w:color="auto"/>
          <w:lang w:val="es-ES_tradnl"/>
        </w:rPr>
        <w:t xml:space="preserve">señor </w:t>
      </w:r>
      <w:proofErr w:type="spellStart"/>
      <w:r w:rsidR="00055365" w:rsidRPr="00EA7460">
        <w:rPr>
          <w:rFonts w:eastAsia="Times New Roman"/>
          <w:sz w:val="20"/>
          <w:szCs w:val="20"/>
          <w:bdr w:val="none" w:sz="0" w:space="0" w:color="auto"/>
          <w:lang w:val="es-ES_tradnl"/>
        </w:rPr>
        <w:t>Padovan</w:t>
      </w:r>
      <w:proofErr w:type="spellEnd"/>
      <w:r w:rsidR="00775333">
        <w:rPr>
          <w:rFonts w:eastAsia="Times New Roman"/>
          <w:sz w:val="20"/>
          <w:szCs w:val="20"/>
          <w:bdr w:val="none" w:sz="0" w:space="0" w:color="auto"/>
          <w:lang w:val="es-ES_tradnl"/>
        </w:rPr>
        <w:t>.</w:t>
      </w:r>
      <w:r w:rsidRPr="00EA7460">
        <w:rPr>
          <w:rFonts w:eastAsia="Times New Roman"/>
          <w:sz w:val="20"/>
          <w:szCs w:val="20"/>
          <w:bdr w:val="none" w:sz="0" w:space="0" w:color="auto"/>
          <w:lang w:val="es-ES_tradnl"/>
        </w:rPr>
        <w:t xml:space="preserve"> </w:t>
      </w:r>
      <w:r w:rsidR="00775333">
        <w:rPr>
          <w:rFonts w:eastAsia="Times New Roman"/>
          <w:sz w:val="20"/>
          <w:szCs w:val="20"/>
          <w:bdr w:val="none" w:sz="0" w:space="0" w:color="auto"/>
          <w:lang w:val="es-ES_tradnl"/>
        </w:rPr>
        <w:t>De igual forma, con</w:t>
      </w:r>
      <w:r w:rsidR="00055365" w:rsidRPr="00EA7460">
        <w:rPr>
          <w:rFonts w:eastAsia="Times New Roman"/>
          <w:sz w:val="20"/>
          <w:szCs w:val="20"/>
          <w:bdr w:val="none" w:sz="0" w:space="0" w:color="auto"/>
          <w:lang w:val="es-ES_tradnl"/>
        </w:rPr>
        <w:t xml:space="preserve"> respecto a la presunta vulneración a la defensa y a las garantías judiciales, la CIDH no cuenta con información que permita acreditar, ni siquiera </w:t>
      </w:r>
      <w:r w:rsidR="00055365" w:rsidRPr="00EA7460">
        <w:rPr>
          <w:rFonts w:eastAsia="Times New Roman"/>
          <w:i/>
          <w:iCs/>
          <w:sz w:val="20"/>
          <w:szCs w:val="20"/>
          <w:bdr w:val="none" w:sz="0" w:space="0" w:color="auto"/>
          <w:lang w:val="es-ES_tradnl"/>
        </w:rPr>
        <w:t>prima facie</w:t>
      </w:r>
      <w:r w:rsidR="00055365" w:rsidRPr="00EA7460">
        <w:rPr>
          <w:rFonts w:eastAsia="Times New Roman"/>
          <w:sz w:val="20"/>
          <w:szCs w:val="20"/>
          <w:bdr w:val="none" w:sz="0" w:space="0" w:color="auto"/>
          <w:lang w:val="es-ES_tradnl"/>
        </w:rPr>
        <w:t xml:space="preserve">, su </w:t>
      </w:r>
      <w:r w:rsidR="00775333">
        <w:rPr>
          <w:rFonts w:eastAsia="Times New Roman"/>
          <w:sz w:val="20"/>
          <w:szCs w:val="20"/>
          <w:bdr w:val="none" w:sz="0" w:space="0" w:color="auto"/>
          <w:lang w:val="es-ES_tradnl"/>
        </w:rPr>
        <w:t>posible</w:t>
      </w:r>
      <w:r w:rsidR="00055365" w:rsidRPr="00EA7460">
        <w:rPr>
          <w:rFonts w:eastAsia="Times New Roman"/>
          <w:sz w:val="20"/>
          <w:szCs w:val="20"/>
          <w:bdr w:val="none" w:sz="0" w:space="0" w:color="auto"/>
          <w:lang w:val="es-ES_tradnl"/>
        </w:rPr>
        <w:t xml:space="preserve"> </w:t>
      </w:r>
      <w:r w:rsidR="00775333">
        <w:rPr>
          <w:rFonts w:eastAsia="Times New Roman"/>
          <w:sz w:val="20"/>
          <w:szCs w:val="20"/>
          <w:bdr w:val="none" w:sz="0" w:space="0" w:color="auto"/>
          <w:lang w:val="es-ES_tradnl"/>
        </w:rPr>
        <w:t>vulneración</w:t>
      </w:r>
      <w:r w:rsidR="00055365" w:rsidRPr="00EA7460">
        <w:rPr>
          <w:rFonts w:eastAsia="Times New Roman"/>
          <w:sz w:val="20"/>
          <w:szCs w:val="20"/>
          <w:bdr w:val="none" w:sz="0" w:space="0" w:color="auto"/>
          <w:lang w:val="es-ES_tradnl"/>
        </w:rPr>
        <w:t xml:space="preserve">. </w:t>
      </w:r>
      <w:r w:rsidR="00775333">
        <w:rPr>
          <w:rFonts w:eastAsia="Times New Roman"/>
          <w:sz w:val="20"/>
          <w:szCs w:val="20"/>
          <w:bdr w:val="none" w:sz="0" w:space="0" w:color="auto"/>
          <w:lang w:val="es-ES_tradnl"/>
        </w:rPr>
        <w:t>T</w:t>
      </w:r>
      <w:r w:rsidR="00055365" w:rsidRPr="00EA7460">
        <w:rPr>
          <w:rFonts w:eastAsia="Times New Roman"/>
          <w:sz w:val="20"/>
          <w:szCs w:val="20"/>
          <w:bdr w:val="none" w:sz="0" w:space="0" w:color="auto"/>
          <w:lang w:val="es-ES_tradnl"/>
        </w:rPr>
        <w:t xml:space="preserve">ampoco existen elementos que permitan </w:t>
      </w:r>
      <w:r w:rsidR="00775333">
        <w:rPr>
          <w:rFonts w:eastAsia="Times New Roman"/>
          <w:sz w:val="20"/>
          <w:szCs w:val="20"/>
          <w:bdr w:val="none" w:sz="0" w:space="0" w:color="auto"/>
          <w:lang w:val="es-ES_tradnl"/>
        </w:rPr>
        <w:t>verificar</w:t>
      </w:r>
      <w:r w:rsidR="00055365" w:rsidRPr="00EA7460">
        <w:rPr>
          <w:rFonts w:eastAsia="Times New Roman"/>
          <w:sz w:val="20"/>
          <w:szCs w:val="20"/>
          <w:bdr w:val="none" w:sz="0" w:space="0" w:color="auto"/>
          <w:lang w:val="es-ES_tradnl"/>
        </w:rPr>
        <w:t xml:space="preserve"> </w:t>
      </w:r>
      <w:r w:rsidR="00775333">
        <w:rPr>
          <w:rFonts w:eastAsia="Times New Roman"/>
          <w:sz w:val="20"/>
          <w:szCs w:val="20"/>
          <w:bdr w:val="none" w:sz="0" w:space="0" w:color="auto"/>
          <w:lang w:val="es-ES_tradnl"/>
        </w:rPr>
        <w:t>la</w:t>
      </w:r>
      <w:r w:rsidR="00055365" w:rsidRPr="00EA7460">
        <w:rPr>
          <w:rFonts w:eastAsia="Times New Roman"/>
          <w:sz w:val="20"/>
          <w:szCs w:val="20"/>
          <w:bdr w:val="none" w:sz="0" w:space="0" w:color="auto"/>
          <w:lang w:val="es-ES_tradnl"/>
        </w:rPr>
        <w:t xml:space="preserve"> vulneración </w:t>
      </w:r>
      <w:r w:rsidR="00775333">
        <w:rPr>
          <w:rFonts w:eastAsia="Times New Roman"/>
          <w:sz w:val="20"/>
          <w:szCs w:val="20"/>
          <w:bdr w:val="none" w:sz="0" w:space="0" w:color="auto"/>
          <w:lang w:val="es-ES_tradnl"/>
        </w:rPr>
        <w:t>de su</w:t>
      </w:r>
      <w:r w:rsidR="00055365" w:rsidRPr="00EA7460">
        <w:rPr>
          <w:rFonts w:eastAsia="Times New Roman"/>
          <w:sz w:val="20"/>
          <w:szCs w:val="20"/>
          <w:bdr w:val="none" w:sz="0" w:space="0" w:color="auto"/>
          <w:lang w:val="es-ES_tradnl"/>
        </w:rPr>
        <w:t xml:space="preserve"> derecho a la propiedad, </w:t>
      </w:r>
      <w:r w:rsidR="00775333">
        <w:rPr>
          <w:rFonts w:eastAsia="Times New Roman"/>
          <w:sz w:val="20"/>
          <w:szCs w:val="20"/>
          <w:bdr w:val="none" w:sz="0" w:space="0" w:color="auto"/>
          <w:lang w:val="es-ES_tradnl"/>
        </w:rPr>
        <w:t>no se observa</w:t>
      </w:r>
      <w:r w:rsidR="00055365" w:rsidRPr="00EA7460">
        <w:rPr>
          <w:rFonts w:eastAsia="Times New Roman"/>
          <w:sz w:val="20"/>
          <w:szCs w:val="20"/>
          <w:bdr w:val="none" w:sz="0" w:space="0" w:color="auto"/>
          <w:lang w:val="es-ES_tradnl"/>
        </w:rPr>
        <w:t xml:space="preserve"> que las limitaciones establecidas </w:t>
      </w:r>
      <w:r w:rsidR="00775333">
        <w:rPr>
          <w:rFonts w:eastAsia="Times New Roman"/>
          <w:sz w:val="20"/>
          <w:szCs w:val="20"/>
          <w:bdr w:val="none" w:sz="0" w:space="0" w:color="auto"/>
          <w:lang w:val="es-ES_tradnl"/>
        </w:rPr>
        <w:t xml:space="preserve">a este respecto </w:t>
      </w:r>
      <w:r w:rsidR="00055365" w:rsidRPr="00EA7460">
        <w:rPr>
          <w:rFonts w:eastAsia="Times New Roman"/>
          <w:sz w:val="20"/>
          <w:szCs w:val="20"/>
          <w:bdr w:val="none" w:sz="0" w:space="0" w:color="auto"/>
          <w:lang w:val="es-ES_tradnl"/>
        </w:rPr>
        <w:t xml:space="preserve">resulten irrazonables o desproporcionales. </w:t>
      </w:r>
    </w:p>
    <w:p w14:paraId="105AA91C" w14:textId="77777777" w:rsidR="00BE5E8C" w:rsidRDefault="00BE5E8C" w:rsidP="00BE5E8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_tradnl"/>
        </w:rPr>
      </w:pPr>
    </w:p>
    <w:p w14:paraId="44928148" w14:textId="65EC6174" w:rsidR="0004094F" w:rsidRPr="00EA7460" w:rsidRDefault="00775333" w:rsidP="00BE5E8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_tradnl"/>
        </w:rPr>
      </w:pPr>
      <w:r>
        <w:rPr>
          <w:rFonts w:eastAsia="Times New Roman"/>
          <w:sz w:val="20"/>
          <w:szCs w:val="20"/>
          <w:bdr w:val="none" w:sz="0" w:space="0" w:color="auto"/>
          <w:lang w:val="es-ES_tradnl"/>
        </w:rPr>
        <w:t>En conclusión, la Comisión Interamericana de Derechos Humanos considera que la presente petición resulta inadmisible en los términos del artículo 47 de la Convención Americana sobre Derechos Humanos.</w:t>
      </w:r>
      <w:r w:rsidR="00055365" w:rsidRPr="00EA7460">
        <w:rPr>
          <w:rFonts w:eastAsia="Times New Roman"/>
          <w:sz w:val="20"/>
          <w:szCs w:val="20"/>
          <w:bdr w:val="none" w:sz="0" w:space="0" w:color="auto"/>
          <w:lang w:val="es-ES_tradnl"/>
        </w:rPr>
        <w:t xml:space="preserve"> </w:t>
      </w:r>
    </w:p>
    <w:p w14:paraId="45779882" w14:textId="77777777" w:rsidR="00055365" w:rsidRPr="00EA7460" w:rsidRDefault="00055365" w:rsidP="0005536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_tradnl"/>
        </w:rPr>
      </w:pPr>
    </w:p>
    <w:p w14:paraId="0FDE1D10" w14:textId="1FB7B197" w:rsidR="003239B8" w:rsidRPr="00EA7460" w:rsidRDefault="00EC72AB" w:rsidP="00EB4C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sz w:val="20"/>
          <w:szCs w:val="20"/>
          <w:lang w:val="es-ES_tradnl"/>
        </w:rPr>
      </w:pPr>
      <w:r w:rsidRPr="00EA7460">
        <w:rPr>
          <w:rFonts w:asciiTheme="majorHAnsi" w:hAnsiTheme="majorHAnsi"/>
          <w:b/>
          <w:bCs/>
          <w:sz w:val="20"/>
          <w:szCs w:val="20"/>
          <w:lang w:val="es-ES_tradnl"/>
        </w:rPr>
        <w:t>VI</w:t>
      </w:r>
      <w:r w:rsidR="00F04591" w:rsidRPr="00EA7460">
        <w:rPr>
          <w:rFonts w:asciiTheme="majorHAnsi" w:hAnsiTheme="majorHAnsi"/>
          <w:b/>
          <w:bCs/>
          <w:sz w:val="20"/>
          <w:szCs w:val="20"/>
          <w:lang w:val="es-ES_tradnl"/>
        </w:rPr>
        <w:t>II</w:t>
      </w:r>
      <w:r w:rsidR="003239B8" w:rsidRPr="00EA7460">
        <w:rPr>
          <w:rFonts w:asciiTheme="majorHAnsi" w:hAnsiTheme="majorHAnsi"/>
          <w:b/>
          <w:bCs/>
          <w:sz w:val="20"/>
          <w:szCs w:val="20"/>
          <w:lang w:val="es-ES_tradnl"/>
        </w:rPr>
        <w:t xml:space="preserve">. </w:t>
      </w:r>
      <w:r w:rsidR="003239B8" w:rsidRPr="00EA7460">
        <w:rPr>
          <w:rFonts w:asciiTheme="majorHAnsi" w:hAnsiTheme="majorHAnsi"/>
          <w:b/>
          <w:bCs/>
          <w:sz w:val="20"/>
          <w:szCs w:val="20"/>
          <w:lang w:val="es-ES_tradnl"/>
        </w:rPr>
        <w:tab/>
        <w:t>DECISIÓN</w:t>
      </w:r>
    </w:p>
    <w:p w14:paraId="46BAE4CD" w14:textId="1C838CC9" w:rsidR="00BE5E8C" w:rsidRPr="00BE5E8C" w:rsidRDefault="000419AD" w:rsidP="00BE5E8C">
      <w:pPr>
        <w:pStyle w:val="ListParagraph"/>
        <w:numPr>
          <w:ilvl w:val="0"/>
          <w:numId w:val="56"/>
        </w:numPr>
        <w:spacing w:after="120"/>
        <w:jc w:val="both"/>
        <w:rPr>
          <w:rFonts w:eastAsia="Arial Unicode MS" w:cs="Times New Roman"/>
          <w:color w:val="auto"/>
          <w:sz w:val="20"/>
          <w:szCs w:val="20"/>
          <w:lang w:val="es-ES_tradnl" w:eastAsia="en-US"/>
        </w:rPr>
      </w:pPr>
      <w:r w:rsidRPr="00EA7460">
        <w:rPr>
          <w:rFonts w:eastAsia="Arial Unicode MS" w:cs="Times New Roman"/>
          <w:color w:val="auto"/>
          <w:sz w:val="20"/>
          <w:szCs w:val="20"/>
          <w:lang w:val="es-ES_tradnl" w:eastAsia="en-US"/>
        </w:rPr>
        <w:t>Declara</w:t>
      </w:r>
      <w:r w:rsidRPr="00EA7460">
        <w:rPr>
          <w:rFonts w:eastAsia="Arial Unicode MS" w:cs="Times New Roman"/>
          <w:color w:val="000000" w:themeColor="text1"/>
          <w:sz w:val="20"/>
          <w:szCs w:val="20"/>
          <w:lang w:val="es-ES_tradnl" w:eastAsia="en-US"/>
        </w:rPr>
        <w:t>r inadmisible la presente petición</w:t>
      </w:r>
      <w:r w:rsidR="000B4800">
        <w:rPr>
          <w:rFonts w:eastAsia="Arial Unicode MS" w:cs="Times New Roman"/>
          <w:color w:val="000000" w:themeColor="text1"/>
          <w:sz w:val="20"/>
          <w:szCs w:val="20"/>
          <w:lang w:val="es-ES_tradnl" w:eastAsia="en-US"/>
        </w:rPr>
        <w:t>, y;</w:t>
      </w:r>
    </w:p>
    <w:p w14:paraId="0F587B09" w14:textId="3FB4E142" w:rsidR="003A61A1" w:rsidRPr="004C27AF" w:rsidRDefault="004A6A54" w:rsidP="0037499A">
      <w:pPr>
        <w:pStyle w:val="ListParagraph"/>
        <w:numPr>
          <w:ilvl w:val="0"/>
          <w:numId w:val="56"/>
        </w:numPr>
        <w:spacing w:after="120"/>
        <w:jc w:val="both"/>
        <w:rPr>
          <w:rFonts w:eastAsia="Arial Unicode MS" w:cs="Times New Roman"/>
          <w:color w:val="auto"/>
          <w:sz w:val="20"/>
          <w:szCs w:val="20"/>
          <w:lang w:val="es-ES_tradnl" w:eastAsia="en-US"/>
        </w:rPr>
      </w:pPr>
      <w:r w:rsidRPr="00EA7460">
        <w:rPr>
          <w:rFonts w:asciiTheme="majorHAnsi" w:hAnsiTheme="majorHAnsi"/>
          <w:sz w:val="20"/>
          <w:szCs w:val="20"/>
          <w:lang w:val="es-ES_tradnl"/>
        </w:rPr>
        <w:t xml:space="preserve">Notificar a las partes la presente </w:t>
      </w:r>
      <w:r w:rsidR="00EB4C7F" w:rsidRPr="00EA7460">
        <w:rPr>
          <w:rFonts w:asciiTheme="majorHAnsi" w:hAnsiTheme="majorHAnsi"/>
          <w:sz w:val="20"/>
          <w:szCs w:val="20"/>
          <w:lang w:val="es-ES_tradnl"/>
        </w:rPr>
        <w:t>decisión; y</w:t>
      </w:r>
      <w:r w:rsidRPr="00EA7460">
        <w:rPr>
          <w:rFonts w:asciiTheme="majorHAnsi" w:hAnsiTheme="majorHAnsi"/>
          <w:sz w:val="20"/>
          <w:szCs w:val="20"/>
          <w:lang w:val="es-ES_tradnl"/>
        </w:rPr>
        <w:t xml:space="preserve"> publicar esta decisión e incluirla en su Informe Anual a la Asamblea General de la Organización de los Estados Americanos.</w:t>
      </w:r>
    </w:p>
    <w:p w14:paraId="6F383E1E" w14:textId="1B0F48FD" w:rsidR="004C27AF" w:rsidRPr="00A37B82" w:rsidRDefault="004C27AF" w:rsidP="004C27A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p>
    <w:sectPr w:rsidR="004C27AF"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DA5F" w14:textId="77777777" w:rsidR="00B6571D" w:rsidRDefault="00B6571D">
      <w:r>
        <w:separator/>
      </w:r>
    </w:p>
  </w:endnote>
  <w:endnote w:type="continuationSeparator" w:id="0">
    <w:p w14:paraId="7928BDD0" w14:textId="77777777" w:rsidR="00B6571D" w:rsidRDefault="00B6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80640F" w:rsidRPr="00934A2C" w:rsidRDefault="0080640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A0773">
          <w:rPr>
            <w:noProof/>
            <w:sz w:val="16"/>
            <w:szCs w:val="22"/>
          </w:rPr>
          <w:t>1</w:t>
        </w:r>
        <w:r w:rsidRPr="00934A2C">
          <w:rPr>
            <w:noProof/>
            <w:sz w:val="16"/>
            <w:szCs w:val="22"/>
          </w:rPr>
          <w:fldChar w:fldCharType="end"/>
        </w:r>
      </w:p>
    </w:sdtContent>
  </w:sdt>
  <w:p w14:paraId="68530E6A" w14:textId="77777777" w:rsidR="0080640F" w:rsidRDefault="00806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80640F" w:rsidRPr="00934A2C" w:rsidRDefault="0080640F">
    <w:pPr>
      <w:pStyle w:val="Footer"/>
      <w:jc w:val="center"/>
      <w:rPr>
        <w:sz w:val="16"/>
        <w:szCs w:val="22"/>
      </w:rPr>
    </w:pPr>
  </w:p>
  <w:p w14:paraId="49059CE3" w14:textId="77777777" w:rsidR="0080640F" w:rsidRDefault="00806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713A" w14:textId="77777777" w:rsidR="00B6571D" w:rsidRPr="000F35ED" w:rsidRDefault="00B6571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778BDB6" w14:textId="77777777" w:rsidR="00B6571D" w:rsidRPr="000F35ED" w:rsidRDefault="00B6571D" w:rsidP="000F35ED">
      <w:pPr>
        <w:rPr>
          <w:rFonts w:asciiTheme="majorHAnsi" w:hAnsiTheme="majorHAnsi"/>
          <w:sz w:val="16"/>
          <w:szCs w:val="16"/>
        </w:rPr>
      </w:pPr>
      <w:r w:rsidRPr="000F35ED">
        <w:rPr>
          <w:rFonts w:asciiTheme="majorHAnsi" w:hAnsiTheme="majorHAnsi"/>
          <w:sz w:val="16"/>
          <w:szCs w:val="16"/>
        </w:rPr>
        <w:separator/>
      </w:r>
    </w:p>
    <w:p w14:paraId="0E12BE2B" w14:textId="77777777" w:rsidR="00B6571D" w:rsidRPr="000F35ED" w:rsidRDefault="00B6571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120A5FB" w14:textId="77777777" w:rsidR="00B6571D" w:rsidRPr="000F35ED" w:rsidRDefault="00B6571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9D6E7A4" w14:textId="251BE48B" w:rsidR="001D7BB1" w:rsidRPr="000D178C" w:rsidRDefault="001D7BB1" w:rsidP="00CB5A27">
      <w:pPr>
        <w:pStyle w:val="FootnoteText"/>
        <w:ind w:firstLine="720"/>
        <w:jc w:val="both"/>
        <w:rPr>
          <w:rFonts w:ascii="Cambria" w:hAnsi="Cambria"/>
          <w:color w:val="auto"/>
          <w:sz w:val="16"/>
          <w:szCs w:val="16"/>
          <w:lang w:val="es-ES"/>
        </w:rPr>
      </w:pPr>
      <w:r w:rsidRPr="000D178C">
        <w:rPr>
          <w:rStyle w:val="FootnoteReference"/>
          <w:rFonts w:ascii="Cambria" w:hAnsi="Cambria"/>
          <w:color w:val="auto"/>
          <w:sz w:val="16"/>
          <w:szCs w:val="16"/>
        </w:rPr>
        <w:footnoteRef/>
      </w:r>
      <w:r w:rsidRPr="000D178C">
        <w:rPr>
          <w:rFonts w:ascii="Cambria" w:hAnsi="Cambria"/>
          <w:color w:val="auto"/>
          <w:sz w:val="16"/>
          <w:szCs w:val="16"/>
          <w:lang w:val="es-ES"/>
        </w:rPr>
        <w:t xml:space="preserve"> En adelante “la Convención Americana” o “la Convención”. </w:t>
      </w:r>
    </w:p>
  </w:footnote>
  <w:footnote w:id="3">
    <w:p w14:paraId="79F07139" w14:textId="77777777" w:rsidR="0080640F" w:rsidRPr="000D178C" w:rsidRDefault="0080640F" w:rsidP="00CB5A27">
      <w:pPr>
        <w:pStyle w:val="FootnoteText"/>
        <w:ind w:firstLine="720"/>
        <w:jc w:val="both"/>
        <w:rPr>
          <w:rFonts w:ascii="Cambria" w:hAnsi="Cambria"/>
          <w:color w:val="auto"/>
          <w:sz w:val="16"/>
          <w:szCs w:val="16"/>
          <w:lang w:val="es-ES"/>
        </w:rPr>
      </w:pPr>
      <w:r w:rsidRPr="000D178C">
        <w:rPr>
          <w:rStyle w:val="FootnoteReference"/>
          <w:rFonts w:ascii="Cambria" w:hAnsi="Cambria"/>
          <w:color w:val="auto"/>
          <w:sz w:val="16"/>
          <w:szCs w:val="16"/>
        </w:rPr>
        <w:footnoteRef/>
      </w:r>
      <w:r w:rsidRPr="000D178C">
        <w:rPr>
          <w:rFonts w:ascii="Cambria" w:hAnsi="Cambria"/>
          <w:color w:val="auto"/>
          <w:sz w:val="16"/>
          <w:szCs w:val="16"/>
          <w:lang w:val="es-ES"/>
        </w:rPr>
        <w:t xml:space="preserve"> Las observaciones de cada parte fueron debidamente trasladadas a la parte contraria.</w:t>
      </w:r>
    </w:p>
  </w:footnote>
  <w:footnote w:id="4">
    <w:p w14:paraId="50E3927D" w14:textId="0F02B45F" w:rsidR="00913ADE" w:rsidRPr="000D178C" w:rsidRDefault="00913ADE" w:rsidP="00CB5A27">
      <w:pPr>
        <w:pStyle w:val="FootnoteText"/>
        <w:ind w:firstLine="720"/>
        <w:jc w:val="both"/>
        <w:rPr>
          <w:rFonts w:ascii="Cambria" w:hAnsi="Cambria"/>
          <w:color w:val="auto"/>
          <w:sz w:val="16"/>
          <w:szCs w:val="16"/>
          <w:lang w:val="es-ES"/>
        </w:rPr>
      </w:pPr>
      <w:r w:rsidRPr="000D178C">
        <w:rPr>
          <w:rStyle w:val="FootnoteReference"/>
          <w:rFonts w:ascii="Cambria" w:hAnsi="Cambria"/>
          <w:color w:val="auto"/>
          <w:sz w:val="16"/>
          <w:szCs w:val="16"/>
        </w:rPr>
        <w:footnoteRef/>
      </w:r>
      <w:r w:rsidRPr="000D178C">
        <w:rPr>
          <w:rFonts w:ascii="Cambria" w:hAnsi="Cambria"/>
          <w:color w:val="auto"/>
          <w:sz w:val="16"/>
          <w:szCs w:val="16"/>
          <w:lang w:val="es-ES"/>
        </w:rPr>
        <w:t xml:space="preserve"> </w:t>
      </w:r>
      <w:r w:rsidR="00E678C5" w:rsidRPr="000D178C">
        <w:rPr>
          <w:rFonts w:ascii="Cambria" w:hAnsi="Cambria"/>
          <w:color w:val="auto"/>
          <w:sz w:val="16"/>
          <w:szCs w:val="16"/>
          <w:lang w:val="es-ES"/>
        </w:rPr>
        <w:t xml:space="preserve">Corte IIDH. </w:t>
      </w:r>
      <w:r w:rsidR="00E678C5" w:rsidRPr="000D178C">
        <w:rPr>
          <w:rFonts w:ascii="Cambria" w:hAnsi="Cambria"/>
          <w:i/>
          <w:iCs/>
          <w:color w:val="auto"/>
          <w:sz w:val="16"/>
          <w:szCs w:val="16"/>
          <w:lang w:val="es-ES"/>
        </w:rPr>
        <w:t xml:space="preserve">Caso Almonacid Arellano y otros vs. Chile. </w:t>
      </w:r>
      <w:r w:rsidR="00E678C5" w:rsidRPr="000D178C">
        <w:rPr>
          <w:rFonts w:ascii="Cambria" w:hAnsi="Cambria"/>
          <w:color w:val="auto"/>
          <w:sz w:val="16"/>
          <w:szCs w:val="16"/>
          <w:lang w:val="es-ES"/>
        </w:rPr>
        <w:t>EPFRC. 2006, párr. 114.</w:t>
      </w:r>
    </w:p>
  </w:footnote>
  <w:footnote w:id="5">
    <w:p w14:paraId="12A93158" w14:textId="7CE0671F" w:rsidR="0037499A" w:rsidRPr="000D178C" w:rsidRDefault="0037499A" w:rsidP="00CB5A27">
      <w:pPr>
        <w:pStyle w:val="FootnoteText"/>
        <w:ind w:firstLine="720"/>
        <w:jc w:val="both"/>
        <w:rPr>
          <w:rFonts w:ascii="Cambria" w:hAnsi="Cambria"/>
          <w:color w:val="auto"/>
          <w:sz w:val="16"/>
          <w:szCs w:val="16"/>
          <w:lang w:val="es-ES"/>
        </w:rPr>
      </w:pPr>
      <w:r w:rsidRPr="000D178C">
        <w:rPr>
          <w:rStyle w:val="FootnoteReference"/>
          <w:rFonts w:ascii="Cambria" w:hAnsi="Cambria"/>
          <w:color w:val="auto"/>
          <w:sz w:val="16"/>
          <w:szCs w:val="16"/>
        </w:rPr>
        <w:footnoteRef/>
      </w:r>
      <w:r w:rsidRPr="000D178C">
        <w:rPr>
          <w:rFonts w:ascii="Cambria" w:hAnsi="Cambria"/>
          <w:color w:val="auto"/>
          <w:sz w:val="16"/>
          <w:szCs w:val="16"/>
          <w:lang w:val="es-ES"/>
        </w:rPr>
        <w:t xml:space="preserve"> </w:t>
      </w:r>
      <w:r w:rsidR="00950E2E" w:rsidRPr="000D178C">
        <w:rPr>
          <w:rFonts w:ascii="Cambria" w:hAnsi="Cambria"/>
          <w:color w:val="auto"/>
          <w:sz w:val="16"/>
          <w:szCs w:val="16"/>
          <w:lang w:val="es-ES"/>
        </w:rPr>
        <w:t xml:space="preserve">CIDH, Informe No. 116/21, Admisibilidad, Carlos Guillermo Suárez Mason, Argentina. 13 de junio de 2021; e Informe No. 2/21, Carlos Alfredo </w:t>
      </w:r>
      <w:proofErr w:type="spellStart"/>
      <w:r w:rsidR="00950E2E" w:rsidRPr="000D178C">
        <w:rPr>
          <w:rFonts w:ascii="Cambria" w:hAnsi="Cambria"/>
          <w:color w:val="auto"/>
          <w:sz w:val="16"/>
          <w:szCs w:val="16"/>
          <w:lang w:val="es-ES"/>
        </w:rPr>
        <w:t>Yanicelli</w:t>
      </w:r>
      <w:proofErr w:type="spellEnd"/>
      <w:r w:rsidR="00950E2E" w:rsidRPr="000D178C">
        <w:rPr>
          <w:rFonts w:ascii="Cambria" w:hAnsi="Cambria"/>
          <w:color w:val="auto"/>
          <w:sz w:val="16"/>
          <w:szCs w:val="16"/>
          <w:lang w:val="es-ES"/>
        </w:rPr>
        <w:t xml:space="preserve">, Argentina. 10 de enero de 2021. </w:t>
      </w:r>
    </w:p>
  </w:footnote>
  <w:footnote w:id="6">
    <w:p w14:paraId="44DB3B0E" w14:textId="53234403" w:rsidR="0004094F" w:rsidRPr="007A24E9" w:rsidRDefault="0004094F" w:rsidP="00CB5A27">
      <w:pPr>
        <w:pStyle w:val="FootnoteText"/>
        <w:ind w:firstLine="720"/>
        <w:jc w:val="both"/>
        <w:rPr>
          <w:rFonts w:ascii="Cambria" w:hAnsi="Cambria"/>
          <w:color w:val="auto"/>
          <w:sz w:val="16"/>
          <w:szCs w:val="16"/>
          <w:lang w:val="es-ES"/>
        </w:rPr>
      </w:pPr>
      <w:r w:rsidRPr="000D178C">
        <w:rPr>
          <w:rStyle w:val="FootnoteReference"/>
          <w:rFonts w:ascii="Cambria" w:hAnsi="Cambria"/>
          <w:color w:val="auto"/>
          <w:sz w:val="16"/>
          <w:szCs w:val="16"/>
        </w:rPr>
        <w:footnoteRef/>
      </w:r>
      <w:r w:rsidRPr="000D178C">
        <w:rPr>
          <w:rFonts w:ascii="Cambria" w:hAnsi="Cambria"/>
          <w:color w:val="auto"/>
          <w:sz w:val="16"/>
          <w:szCs w:val="16"/>
          <w:lang w:val="es-ES"/>
        </w:rPr>
        <w:t xml:space="preserve"> </w:t>
      </w:r>
      <w:r w:rsidRPr="007A24E9">
        <w:rPr>
          <w:rFonts w:ascii="Cambria" w:hAnsi="Cambria"/>
          <w:color w:val="auto"/>
          <w:sz w:val="16"/>
          <w:szCs w:val="16"/>
          <w:lang w:val="es-ES"/>
        </w:rPr>
        <w:t>CIDH. Informe sobre el uso de la prisión preventiva en las Américas, OEA/</w:t>
      </w:r>
      <w:proofErr w:type="spellStart"/>
      <w:r w:rsidRPr="007A24E9">
        <w:rPr>
          <w:rFonts w:ascii="Cambria" w:hAnsi="Cambria"/>
          <w:color w:val="auto"/>
          <w:sz w:val="16"/>
          <w:szCs w:val="16"/>
          <w:lang w:val="es-ES"/>
        </w:rPr>
        <w:t>Ser.L</w:t>
      </w:r>
      <w:proofErr w:type="spellEnd"/>
      <w:r w:rsidRPr="007A24E9">
        <w:rPr>
          <w:rFonts w:ascii="Cambria" w:hAnsi="Cambria"/>
          <w:color w:val="auto"/>
          <w:sz w:val="16"/>
          <w:szCs w:val="16"/>
          <w:lang w:val="es-ES"/>
        </w:rPr>
        <w:t xml:space="preserve">/V/II. Doc. 46/13, adoptado el 30 diciembre 2013 (en adelante “Informe sobre el uso de la prisión preventiva en las Américas”), Cap. III, </w:t>
      </w:r>
      <w:proofErr w:type="spellStart"/>
      <w:r w:rsidRPr="007A24E9">
        <w:rPr>
          <w:rFonts w:ascii="Cambria" w:hAnsi="Cambria"/>
          <w:color w:val="auto"/>
          <w:sz w:val="16"/>
          <w:szCs w:val="16"/>
          <w:lang w:val="es-ES"/>
        </w:rPr>
        <w:t>párrs</w:t>
      </w:r>
      <w:proofErr w:type="spellEnd"/>
      <w:r w:rsidRPr="007A24E9">
        <w:rPr>
          <w:rFonts w:ascii="Cambria" w:hAnsi="Cambria"/>
          <w:color w:val="auto"/>
          <w:sz w:val="16"/>
          <w:szCs w:val="16"/>
          <w:lang w:val="es-ES"/>
        </w:rPr>
        <w:t>. 169 y 319.</w:t>
      </w:r>
    </w:p>
  </w:footnote>
  <w:footnote w:id="7">
    <w:p w14:paraId="55A0B007" w14:textId="4CB49C4D" w:rsidR="0004094F" w:rsidRPr="000D178C" w:rsidRDefault="0004094F" w:rsidP="00CB5A27">
      <w:pPr>
        <w:pStyle w:val="FootnoteText"/>
        <w:ind w:firstLine="720"/>
        <w:jc w:val="both"/>
        <w:rPr>
          <w:rFonts w:ascii="Cambria" w:hAnsi="Cambria"/>
          <w:color w:val="auto"/>
          <w:sz w:val="16"/>
          <w:szCs w:val="16"/>
        </w:rPr>
      </w:pPr>
      <w:r w:rsidRPr="000D178C">
        <w:rPr>
          <w:rStyle w:val="FootnoteReference"/>
          <w:rFonts w:ascii="Cambria" w:hAnsi="Cambria"/>
          <w:color w:val="auto"/>
          <w:sz w:val="16"/>
          <w:szCs w:val="16"/>
        </w:rPr>
        <w:footnoteRef/>
      </w:r>
      <w:r w:rsidRPr="007A24E9">
        <w:rPr>
          <w:rFonts w:ascii="Cambria" w:hAnsi="Cambria"/>
          <w:color w:val="auto"/>
          <w:sz w:val="16"/>
          <w:szCs w:val="16"/>
          <w:lang w:val="es-ES"/>
        </w:rPr>
        <w:t xml:space="preserve"> Informe sobre el uso de la prisión preventiva en las Américas, Cap. III, </w:t>
      </w:r>
      <w:proofErr w:type="spellStart"/>
      <w:r w:rsidRPr="007A24E9">
        <w:rPr>
          <w:rFonts w:ascii="Cambria" w:hAnsi="Cambria"/>
          <w:color w:val="auto"/>
          <w:sz w:val="16"/>
          <w:szCs w:val="16"/>
          <w:lang w:val="es-ES"/>
        </w:rPr>
        <w:t>párrs</w:t>
      </w:r>
      <w:proofErr w:type="spellEnd"/>
      <w:r w:rsidRPr="007A24E9">
        <w:rPr>
          <w:rFonts w:ascii="Cambria" w:hAnsi="Cambria"/>
          <w:color w:val="auto"/>
          <w:sz w:val="16"/>
          <w:szCs w:val="16"/>
          <w:lang w:val="es-ES"/>
        </w:rPr>
        <w:t>. 143-144. Ver también: CIDH. Informe sobre medidas dirigidas a reducir el uso de la prisión preventiva en las Américas, OEA/</w:t>
      </w:r>
      <w:proofErr w:type="spellStart"/>
      <w:r w:rsidRPr="007A24E9">
        <w:rPr>
          <w:rFonts w:ascii="Cambria" w:hAnsi="Cambria"/>
          <w:color w:val="auto"/>
          <w:sz w:val="16"/>
          <w:szCs w:val="16"/>
          <w:lang w:val="es-ES"/>
        </w:rPr>
        <w:t>Ser.L</w:t>
      </w:r>
      <w:proofErr w:type="spellEnd"/>
      <w:r w:rsidRPr="007A24E9">
        <w:rPr>
          <w:rFonts w:ascii="Cambria" w:hAnsi="Cambria"/>
          <w:color w:val="auto"/>
          <w:sz w:val="16"/>
          <w:szCs w:val="16"/>
          <w:lang w:val="es-ES"/>
        </w:rPr>
        <w:t xml:space="preserve">/V/II.163. </w:t>
      </w:r>
      <w:r w:rsidRPr="000D178C">
        <w:rPr>
          <w:rFonts w:ascii="Cambria" w:hAnsi="Cambria"/>
          <w:color w:val="auto"/>
          <w:sz w:val="16"/>
          <w:szCs w:val="16"/>
        </w:rPr>
        <w:t xml:space="preserve">Doc.105, </w:t>
      </w:r>
      <w:proofErr w:type="spellStart"/>
      <w:r w:rsidRPr="000D178C">
        <w:rPr>
          <w:rFonts w:ascii="Cambria" w:hAnsi="Cambria"/>
          <w:color w:val="auto"/>
          <w:sz w:val="16"/>
          <w:szCs w:val="16"/>
        </w:rPr>
        <w:t>adoptado</w:t>
      </w:r>
      <w:proofErr w:type="spellEnd"/>
      <w:r w:rsidRPr="000D178C">
        <w:rPr>
          <w:rFonts w:ascii="Cambria" w:hAnsi="Cambria"/>
          <w:color w:val="auto"/>
          <w:sz w:val="16"/>
          <w:szCs w:val="16"/>
        </w:rPr>
        <w:t xml:space="preserve"> </w:t>
      </w:r>
      <w:proofErr w:type="spellStart"/>
      <w:r w:rsidRPr="000D178C">
        <w:rPr>
          <w:rFonts w:ascii="Cambria" w:hAnsi="Cambria"/>
          <w:color w:val="auto"/>
          <w:sz w:val="16"/>
          <w:szCs w:val="16"/>
        </w:rPr>
        <w:t>el</w:t>
      </w:r>
      <w:proofErr w:type="spellEnd"/>
      <w:r w:rsidRPr="000D178C">
        <w:rPr>
          <w:rFonts w:ascii="Cambria" w:hAnsi="Cambria"/>
          <w:color w:val="auto"/>
          <w:sz w:val="16"/>
          <w:szCs w:val="16"/>
        </w:rPr>
        <w:t xml:space="preserve"> 3 de </w:t>
      </w:r>
      <w:proofErr w:type="spellStart"/>
      <w:r w:rsidRPr="000D178C">
        <w:rPr>
          <w:rFonts w:ascii="Cambria" w:hAnsi="Cambria"/>
          <w:color w:val="auto"/>
          <w:sz w:val="16"/>
          <w:szCs w:val="16"/>
        </w:rPr>
        <w:t>julio</w:t>
      </w:r>
      <w:proofErr w:type="spellEnd"/>
      <w:r w:rsidRPr="000D178C">
        <w:rPr>
          <w:rFonts w:ascii="Cambria" w:hAnsi="Cambria"/>
          <w:color w:val="auto"/>
          <w:sz w:val="16"/>
          <w:szCs w:val="16"/>
        </w:rPr>
        <w:t xml:space="preserve"> de 2017, Cap. II, </w:t>
      </w:r>
      <w:proofErr w:type="spellStart"/>
      <w:r w:rsidRPr="000D178C">
        <w:rPr>
          <w:rFonts w:ascii="Cambria" w:hAnsi="Cambria"/>
          <w:color w:val="auto"/>
          <w:sz w:val="16"/>
          <w:szCs w:val="16"/>
        </w:rPr>
        <w:t>párr</w:t>
      </w:r>
      <w:proofErr w:type="spellEnd"/>
      <w:r w:rsidRPr="000D178C">
        <w:rPr>
          <w:rFonts w:ascii="Cambria" w:hAnsi="Cambria"/>
          <w:color w:val="auto"/>
          <w:sz w:val="16"/>
          <w:szCs w:val="16"/>
        </w:rPr>
        <w:t>. 75.</w:t>
      </w:r>
    </w:p>
    <w:p w14:paraId="0500E747" w14:textId="108DCFF1" w:rsidR="0004094F" w:rsidRPr="000D178C" w:rsidRDefault="0004094F" w:rsidP="00CB5A27">
      <w:pPr>
        <w:pStyle w:val="FootnoteText"/>
        <w:ind w:firstLine="720"/>
        <w:jc w:val="both"/>
        <w:rPr>
          <w:color w:val="auto"/>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80640F" w:rsidRDefault="0080640F" w:rsidP="0080640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0640F" w:rsidRDefault="00806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80640F" w:rsidRDefault="0080640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0640F" w:rsidRPr="00EC7D62" w:rsidRDefault="00B6571D"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22F18"/>
    <w:rsid w:val="000337EF"/>
    <w:rsid w:val="0004094F"/>
    <w:rsid w:val="00040C3A"/>
    <w:rsid w:val="000419AD"/>
    <w:rsid w:val="00042A97"/>
    <w:rsid w:val="00052A57"/>
    <w:rsid w:val="00055365"/>
    <w:rsid w:val="00060CC4"/>
    <w:rsid w:val="0006590A"/>
    <w:rsid w:val="000679C0"/>
    <w:rsid w:val="000716C5"/>
    <w:rsid w:val="00075E23"/>
    <w:rsid w:val="00083536"/>
    <w:rsid w:val="0009006E"/>
    <w:rsid w:val="0009344A"/>
    <w:rsid w:val="000A19F8"/>
    <w:rsid w:val="000A3254"/>
    <w:rsid w:val="000A392E"/>
    <w:rsid w:val="000A575F"/>
    <w:rsid w:val="000A63D0"/>
    <w:rsid w:val="000B0579"/>
    <w:rsid w:val="000B4800"/>
    <w:rsid w:val="000B52B2"/>
    <w:rsid w:val="000C1C69"/>
    <w:rsid w:val="000C3A31"/>
    <w:rsid w:val="000C44F7"/>
    <w:rsid w:val="000D10DB"/>
    <w:rsid w:val="000D178C"/>
    <w:rsid w:val="000E2789"/>
    <w:rsid w:val="000E445D"/>
    <w:rsid w:val="000E58E0"/>
    <w:rsid w:val="000E5EB5"/>
    <w:rsid w:val="000F35ED"/>
    <w:rsid w:val="00105D57"/>
    <w:rsid w:val="00107131"/>
    <w:rsid w:val="0010736F"/>
    <w:rsid w:val="00111A8A"/>
    <w:rsid w:val="00113F73"/>
    <w:rsid w:val="00121CC2"/>
    <w:rsid w:val="00131D8B"/>
    <w:rsid w:val="00133EE5"/>
    <w:rsid w:val="00136E3D"/>
    <w:rsid w:val="001437CE"/>
    <w:rsid w:val="00143EFE"/>
    <w:rsid w:val="001462BF"/>
    <w:rsid w:val="001479C0"/>
    <w:rsid w:val="0015330B"/>
    <w:rsid w:val="00167A34"/>
    <w:rsid w:val="00176BB3"/>
    <w:rsid w:val="00177EEF"/>
    <w:rsid w:val="00184B5F"/>
    <w:rsid w:val="00194D8E"/>
    <w:rsid w:val="00196212"/>
    <w:rsid w:val="00196BFA"/>
    <w:rsid w:val="001A0773"/>
    <w:rsid w:val="001A7317"/>
    <w:rsid w:val="001A7870"/>
    <w:rsid w:val="001B3A00"/>
    <w:rsid w:val="001B4C00"/>
    <w:rsid w:val="001B5C1F"/>
    <w:rsid w:val="001C1B41"/>
    <w:rsid w:val="001D65EF"/>
    <w:rsid w:val="001D7BB1"/>
    <w:rsid w:val="001E49E7"/>
    <w:rsid w:val="001E6E9C"/>
    <w:rsid w:val="001F271B"/>
    <w:rsid w:val="001F7201"/>
    <w:rsid w:val="00202DBD"/>
    <w:rsid w:val="00204931"/>
    <w:rsid w:val="0021608C"/>
    <w:rsid w:val="00223A29"/>
    <w:rsid w:val="002250A3"/>
    <w:rsid w:val="002259E5"/>
    <w:rsid w:val="00231294"/>
    <w:rsid w:val="0023456C"/>
    <w:rsid w:val="00235217"/>
    <w:rsid w:val="002355A9"/>
    <w:rsid w:val="00246D1F"/>
    <w:rsid w:val="00247403"/>
    <w:rsid w:val="00247542"/>
    <w:rsid w:val="00251D21"/>
    <w:rsid w:val="00266B61"/>
    <w:rsid w:val="0026712A"/>
    <w:rsid w:val="002704DB"/>
    <w:rsid w:val="00270883"/>
    <w:rsid w:val="00274B6D"/>
    <w:rsid w:val="00277BDA"/>
    <w:rsid w:val="0029575A"/>
    <w:rsid w:val="002A0AAE"/>
    <w:rsid w:val="002A10BB"/>
    <w:rsid w:val="002A53B4"/>
    <w:rsid w:val="002A5820"/>
    <w:rsid w:val="002A5D34"/>
    <w:rsid w:val="002B1B0A"/>
    <w:rsid w:val="002B2249"/>
    <w:rsid w:val="002C3350"/>
    <w:rsid w:val="002C402A"/>
    <w:rsid w:val="002D2B26"/>
    <w:rsid w:val="002D3497"/>
    <w:rsid w:val="002D73CF"/>
    <w:rsid w:val="002D7EA2"/>
    <w:rsid w:val="002E187C"/>
    <w:rsid w:val="002E7512"/>
    <w:rsid w:val="002E7846"/>
    <w:rsid w:val="002F043B"/>
    <w:rsid w:val="002F1156"/>
    <w:rsid w:val="002F3724"/>
    <w:rsid w:val="00302733"/>
    <w:rsid w:val="003033ED"/>
    <w:rsid w:val="003121D5"/>
    <w:rsid w:val="00314078"/>
    <w:rsid w:val="0031535D"/>
    <w:rsid w:val="00320101"/>
    <w:rsid w:val="0032258F"/>
    <w:rsid w:val="003239B8"/>
    <w:rsid w:val="0033169F"/>
    <w:rsid w:val="003366B6"/>
    <w:rsid w:val="0034224A"/>
    <w:rsid w:val="00342746"/>
    <w:rsid w:val="003433F9"/>
    <w:rsid w:val="00343438"/>
    <w:rsid w:val="00344977"/>
    <w:rsid w:val="00346C95"/>
    <w:rsid w:val="00351155"/>
    <w:rsid w:val="00351B62"/>
    <w:rsid w:val="00356185"/>
    <w:rsid w:val="00360380"/>
    <w:rsid w:val="0037499A"/>
    <w:rsid w:val="0037519E"/>
    <w:rsid w:val="00386C6C"/>
    <w:rsid w:val="00386CF0"/>
    <w:rsid w:val="00393077"/>
    <w:rsid w:val="003942EC"/>
    <w:rsid w:val="00395116"/>
    <w:rsid w:val="0039523A"/>
    <w:rsid w:val="003A091F"/>
    <w:rsid w:val="003A4645"/>
    <w:rsid w:val="003A5168"/>
    <w:rsid w:val="003A61A1"/>
    <w:rsid w:val="003A6337"/>
    <w:rsid w:val="003B0A09"/>
    <w:rsid w:val="003B4FF6"/>
    <w:rsid w:val="003B70FB"/>
    <w:rsid w:val="003C07E8"/>
    <w:rsid w:val="003C6112"/>
    <w:rsid w:val="003C676B"/>
    <w:rsid w:val="003D0A55"/>
    <w:rsid w:val="003D0A98"/>
    <w:rsid w:val="003D3BC2"/>
    <w:rsid w:val="003E614F"/>
    <w:rsid w:val="003E6CA1"/>
    <w:rsid w:val="003E7ED4"/>
    <w:rsid w:val="003F1291"/>
    <w:rsid w:val="004065A8"/>
    <w:rsid w:val="004153F5"/>
    <w:rsid w:val="004165C2"/>
    <w:rsid w:val="004304AD"/>
    <w:rsid w:val="004374CA"/>
    <w:rsid w:val="00441ECB"/>
    <w:rsid w:val="004441CA"/>
    <w:rsid w:val="004442C9"/>
    <w:rsid w:val="00445193"/>
    <w:rsid w:val="00447423"/>
    <w:rsid w:val="00447CCF"/>
    <w:rsid w:val="004507F3"/>
    <w:rsid w:val="004565BA"/>
    <w:rsid w:val="00462C1B"/>
    <w:rsid w:val="00462D62"/>
    <w:rsid w:val="00464F2D"/>
    <w:rsid w:val="00465A6C"/>
    <w:rsid w:val="00466398"/>
    <w:rsid w:val="004675CB"/>
    <w:rsid w:val="00467B7E"/>
    <w:rsid w:val="0047080D"/>
    <w:rsid w:val="00473BB4"/>
    <w:rsid w:val="00476211"/>
    <w:rsid w:val="00477592"/>
    <w:rsid w:val="00486F1C"/>
    <w:rsid w:val="0049419D"/>
    <w:rsid w:val="004A59CC"/>
    <w:rsid w:val="004A6A54"/>
    <w:rsid w:val="004B646F"/>
    <w:rsid w:val="004C20D2"/>
    <w:rsid w:val="004C2312"/>
    <w:rsid w:val="004C27AF"/>
    <w:rsid w:val="004C314A"/>
    <w:rsid w:val="004C4B62"/>
    <w:rsid w:val="004C54C9"/>
    <w:rsid w:val="004C616A"/>
    <w:rsid w:val="004D4ABA"/>
    <w:rsid w:val="004D6025"/>
    <w:rsid w:val="004E19B1"/>
    <w:rsid w:val="004E2649"/>
    <w:rsid w:val="004E59A1"/>
    <w:rsid w:val="00501399"/>
    <w:rsid w:val="00501652"/>
    <w:rsid w:val="00502341"/>
    <w:rsid w:val="0050633D"/>
    <w:rsid w:val="00507A4A"/>
    <w:rsid w:val="00507BC4"/>
    <w:rsid w:val="005128E4"/>
    <w:rsid w:val="005133DB"/>
    <w:rsid w:val="00525560"/>
    <w:rsid w:val="00532B61"/>
    <w:rsid w:val="005415E6"/>
    <w:rsid w:val="00544216"/>
    <w:rsid w:val="00544843"/>
    <w:rsid w:val="00544C49"/>
    <w:rsid w:val="005513C7"/>
    <w:rsid w:val="005516A1"/>
    <w:rsid w:val="005634AC"/>
    <w:rsid w:val="00563557"/>
    <w:rsid w:val="0057402A"/>
    <w:rsid w:val="00574CB7"/>
    <w:rsid w:val="005771D0"/>
    <w:rsid w:val="00580765"/>
    <w:rsid w:val="00583938"/>
    <w:rsid w:val="0059191A"/>
    <w:rsid w:val="005921FF"/>
    <w:rsid w:val="00594707"/>
    <w:rsid w:val="005A1394"/>
    <w:rsid w:val="005A24ED"/>
    <w:rsid w:val="005A6D0E"/>
    <w:rsid w:val="005A7427"/>
    <w:rsid w:val="005B37CC"/>
    <w:rsid w:val="005B52B0"/>
    <w:rsid w:val="005B67B4"/>
    <w:rsid w:val="005B6806"/>
    <w:rsid w:val="005B6D22"/>
    <w:rsid w:val="005C261A"/>
    <w:rsid w:val="005C4225"/>
    <w:rsid w:val="005C7989"/>
    <w:rsid w:val="005D1EC6"/>
    <w:rsid w:val="005D66AD"/>
    <w:rsid w:val="005E0B65"/>
    <w:rsid w:val="005E11B2"/>
    <w:rsid w:val="005F075A"/>
    <w:rsid w:val="005F0DAD"/>
    <w:rsid w:val="005F0F33"/>
    <w:rsid w:val="00600DEB"/>
    <w:rsid w:val="006025D1"/>
    <w:rsid w:val="006068B7"/>
    <w:rsid w:val="006128EB"/>
    <w:rsid w:val="006228D0"/>
    <w:rsid w:val="006277DE"/>
    <w:rsid w:val="00627C9F"/>
    <w:rsid w:val="006311E9"/>
    <w:rsid w:val="00632354"/>
    <w:rsid w:val="00633037"/>
    <w:rsid w:val="00635F0F"/>
    <w:rsid w:val="0063749B"/>
    <w:rsid w:val="00642810"/>
    <w:rsid w:val="00647401"/>
    <w:rsid w:val="00647756"/>
    <w:rsid w:val="006509DA"/>
    <w:rsid w:val="00652333"/>
    <w:rsid w:val="00656087"/>
    <w:rsid w:val="006643AE"/>
    <w:rsid w:val="006721A2"/>
    <w:rsid w:val="006775AB"/>
    <w:rsid w:val="0068009E"/>
    <w:rsid w:val="006819E9"/>
    <w:rsid w:val="00686471"/>
    <w:rsid w:val="0068794B"/>
    <w:rsid w:val="00691BBE"/>
    <w:rsid w:val="00692219"/>
    <w:rsid w:val="0069402E"/>
    <w:rsid w:val="006A17D2"/>
    <w:rsid w:val="006A3AC2"/>
    <w:rsid w:val="006A3DD6"/>
    <w:rsid w:val="006A73E6"/>
    <w:rsid w:val="006A7A1B"/>
    <w:rsid w:val="006B2D5C"/>
    <w:rsid w:val="006B2EE8"/>
    <w:rsid w:val="006C4EB1"/>
    <w:rsid w:val="006C52CF"/>
    <w:rsid w:val="006D58F3"/>
    <w:rsid w:val="006E0166"/>
    <w:rsid w:val="006E0703"/>
    <w:rsid w:val="006E772A"/>
    <w:rsid w:val="006E7B34"/>
    <w:rsid w:val="0070697F"/>
    <w:rsid w:val="0072199C"/>
    <w:rsid w:val="00722C9F"/>
    <w:rsid w:val="00725188"/>
    <w:rsid w:val="007253B8"/>
    <w:rsid w:val="00727B0E"/>
    <w:rsid w:val="00733E55"/>
    <w:rsid w:val="007355E8"/>
    <w:rsid w:val="0073598C"/>
    <w:rsid w:val="0073741F"/>
    <w:rsid w:val="007377F5"/>
    <w:rsid w:val="0074733E"/>
    <w:rsid w:val="007515EE"/>
    <w:rsid w:val="00752CB5"/>
    <w:rsid w:val="0076643F"/>
    <w:rsid w:val="007738EE"/>
    <w:rsid w:val="00775333"/>
    <w:rsid w:val="007769F8"/>
    <w:rsid w:val="00777C10"/>
    <w:rsid w:val="00777F63"/>
    <w:rsid w:val="007852B5"/>
    <w:rsid w:val="0079476E"/>
    <w:rsid w:val="00796A37"/>
    <w:rsid w:val="007A24E9"/>
    <w:rsid w:val="007A5817"/>
    <w:rsid w:val="007B05C4"/>
    <w:rsid w:val="007B60E9"/>
    <w:rsid w:val="007B6CC3"/>
    <w:rsid w:val="007C1150"/>
    <w:rsid w:val="007C3334"/>
    <w:rsid w:val="007C402A"/>
    <w:rsid w:val="007D2B98"/>
    <w:rsid w:val="007D7C02"/>
    <w:rsid w:val="007E21BC"/>
    <w:rsid w:val="007E58FE"/>
    <w:rsid w:val="007E7C82"/>
    <w:rsid w:val="007F588D"/>
    <w:rsid w:val="0080180E"/>
    <w:rsid w:val="00802748"/>
    <w:rsid w:val="00803F1C"/>
    <w:rsid w:val="0080600E"/>
    <w:rsid w:val="0080640F"/>
    <w:rsid w:val="00817612"/>
    <w:rsid w:val="008247BB"/>
    <w:rsid w:val="008338A4"/>
    <w:rsid w:val="00834D49"/>
    <w:rsid w:val="00835F60"/>
    <w:rsid w:val="00837C45"/>
    <w:rsid w:val="008411F0"/>
    <w:rsid w:val="008439BC"/>
    <w:rsid w:val="00843C8F"/>
    <w:rsid w:val="00844730"/>
    <w:rsid w:val="008457C2"/>
    <w:rsid w:val="008508F5"/>
    <w:rsid w:val="00857A82"/>
    <w:rsid w:val="00871526"/>
    <w:rsid w:val="00871CE8"/>
    <w:rsid w:val="00873836"/>
    <w:rsid w:val="00875668"/>
    <w:rsid w:val="008818CC"/>
    <w:rsid w:val="00885134"/>
    <w:rsid w:val="00885737"/>
    <w:rsid w:val="00887067"/>
    <w:rsid w:val="00890650"/>
    <w:rsid w:val="008945A0"/>
    <w:rsid w:val="00897E12"/>
    <w:rsid w:val="008A0F81"/>
    <w:rsid w:val="008A28E8"/>
    <w:rsid w:val="008A310C"/>
    <w:rsid w:val="008A7E0F"/>
    <w:rsid w:val="008B12F5"/>
    <w:rsid w:val="008B5932"/>
    <w:rsid w:val="008C0300"/>
    <w:rsid w:val="008C5751"/>
    <w:rsid w:val="008D1C68"/>
    <w:rsid w:val="008D597F"/>
    <w:rsid w:val="008D768D"/>
    <w:rsid w:val="008E0FD8"/>
    <w:rsid w:val="008E328A"/>
    <w:rsid w:val="008E3759"/>
    <w:rsid w:val="008E3BED"/>
    <w:rsid w:val="008E3BFE"/>
    <w:rsid w:val="008E5456"/>
    <w:rsid w:val="008E7900"/>
    <w:rsid w:val="008F1912"/>
    <w:rsid w:val="008F6577"/>
    <w:rsid w:val="0090270B"/>
    <w:rsid w:val="009041DC"/>
    <w:rsid w:val="00913ADE"/>
    <w:rsid w:val="00917B5A"/>
    <w:rsid w:val="00920A58"/>
    <w:rsid w:val="00920A8C"/>
    <w:rsid w:val="00922CEF"/>
    <w:rsid w:val="00933127"/>
    <w:rsid w:val="00934A2C"/>
    <w:rsid w:val="00935F06"/>
    <w:rsid w:val="00937B3A"/>
    <w:rsid w:val="00947D7F"/>
    <w:rsid w:val="00950E2E"/>
    <w:rsid w:val="00951417"/>
    <w:rsid w:val="00954B82"/>
    <w:rsid w:val="00955425"/>
    <w:rsid w:val="00957000"/>
    <w:rsid w:val="00957367"/>
    <w:rsid w:val="00962436"/>
    <w:rsid w:val="00966FCE"/>
    <w:rsid w:val="0096706E"/>
    <w:rsid w:val="00974491"/>
    <w:rsid w:val="00975C4E"/>
    <w:rsid w:val="009816BB"/>
    <w:rsid w:val="00981FBA"/>
    <w:rsid w:val="009865D7"/>
    <w:rsid w:val="009900E7"/>
    <w:rsid w:val="009933FD"/>
    <w:rsid w:val="0099767C"/>
    <w:rsid w:val="00997BC5"/>
    <w:rsid w:val="009A4F41"/>
    <w:rsid w:val="009A5F5A"/>
    <w:rsid w:val="009B37F3"/>
    <w:rsid w:val="009B381B"/>
    <w:rsid w:val="009B5636"/>
    <w:rsid w:val="009C123B"/>
    <w:rsid w:val="009C1F2F"/>
    <w:rsid w:val="009C2FC5"/>
    <w:rsid w:val="009C5C70"/>
    <w:rsid w:val="009D1753"/>
    <w:rsid w:val="009D5598"/>
    <w:rsid w:val="009D6502"/>
    <w:rsid w:val="009D7611"/>
    <w:rsid w:val="009D78A5"/>
    <w:rsid w:val="009E08DD"/>
    <w:rsid w:val="009E0B61"/>
    <w:rsid w:val="009E52AC"/>
    <w:rsid w:val="009E53DE"/>
    <w:rsid w:val="009E7C00"/>
    <w:rsid w:val="00A0691C"/>
    <w:rsid w:val="00A07197"/>
    <w:rsid w:val="00A11E44"/>
    <w:rsid w:val="00A154C8"/>
    <w:rsid w:val="00A22397"/>
    <w:rsid w:val="00A32313"/>
    <w:rsid w:val="00A328B3"/>
    <w:rsid w:val="00A335F5"/>
    <w:rsid w:val="00A50D34"/>
    <w:rsid w:val="00A50FCF"/>
    <w:rsid w:val="00A528D1"/>
    <w:rsid w:val="00A610CD"/>
    <w:rsid w:val="00A625E0"/>
    <w:rsid w:val="00A74947"/>
    <w:rsid w:val="00A758AA"/>
    <w:rsid w:val="00A75EF4"/>
    <w:rsid w:val="00A80FAA"/>
    <w:rsid w:val="00A92093"/>
    <w:rsid w:val="00A95A9F"/>
    <w:rsid w:val="00A9678F"/>
    <w:rsid w:val="00A96FF7"/>
    <w:rsid w:val="00AA09A2"/>
    <w:rsid w:val="00AA7996"/>
    <w:rsid w:val="00AB23F1"/>
    <w:rsid w:val="00AB3A05"/>
    <w:rsid w:val="00AC05A3"/>
    <w:rsid w:val="00AC19CB"/>
    <w:rsid w:val="00AC269E"/>
    <w:rsid w:val="00AC4F90"/>
    <w:rsid w:val="00AC7E3C"/>
    <w:rsid w:val="00AD1886"/>
    <w:rsid w:val="00AD4B70"/>
    <w:rsid w:val="00AE3BC0"/>
    <w:rsid w:val="00AE5488"/>
    <w:rsid w:val="00AE6F91"/>
    <w:rsid w:val="00AE7529"/>
    <w:rsid w:val="00AF5571"/>
    <w:rsid w:val="00B030DB"/>
    <w:rsid w:val="00B06B4E"/>
    <w:rsid w:val="00B07341"/>
    <w:rsid w:val="00B07879"/>
    <w:rsid w:val="00B135BF"/>
    <w:rsid w:val="00B202B5"/>
    <w:rsid w:val="00B30539"/>
    <w:rsid w:val="00B314DB"/>
    <w:rsid w:val="00B32D1F"/>
    <w:rsid w:val="00B361F2"/>
    <w:rsid w:val="00B3718B"/>
    <w:rsid w:val="00B41AED"/>
    <w:rsid w:val="00B4632A"/>
    <w:rsid w:val="00B5067D"/>
    <w:rsid w:val="00B530F1"/>
    <w:rsid w:val="00B5582C"/>
    <w:rsid w:val="00B57297"/>
    <w:rsid w:val="00B6571D"/>
    <w:rsid w:val="00B67F96"/>
    <w:rsid w:val="00B736AF"/>
    <w:rsid w:val="00B742BE"/>
    <w:rsid w:val="00B75333"/>
    <w:rsid w:val="00B823E2"/>
    <w:rsid w:val="00B8387C"/>
    <w:rsid w:val="00B87359"/>
    <w:rsid w:val="00B93BB5"/>
    <w:rsid w:val="00B97946"/>
    <w:rsid w:val="00BA276C"/>
    <w:rsid w:val="00BA5544"/>
    <w:rsid w:val="00BA7AF6"/>
    <w:rsid w:val="00BB306F"/>
    <w:rsid w:val="00BB3FBD"/>
    <w:rsid w:val="00BC45A5"/>
    <w:rsid w:val="00BC6CD0"/>
    <w:rsid w:val="00BD4B89"/>
    <w:rsid w:val="00BD50F7"/>
    <w:rsid w:val="00BD5922"/>
    <w:rsid w:val="00BD76D9"/>
    <w:rsid w:val="00BE34D0"/>
    <w:rsid w:val="00BE5E8C"/>
    <w:rsid w:val="00BF02CB"/>
    <w:rsid w:val="00BF0D56"/>
    <w:rsid w:val="00BF514A"/>
    <w:rsid w:val="00BF6FD8"/>
    <w:rsid w:val="00BF775D"/>
    <w:rsid w:val="00C03680"/>
    <w:rsid w:val="00C054DF"/>
    <w:rsid w:val="00C10AFC"/>
    <w:rsid w:val="00C1421F"/>
    <w:rsid w:val="00C20168"/>
    <w:rsid w:val="00C21562"/>
    <w:rsid w:val="00C21762"/>
    <w:rsid w:val="00C21FEF"/>
    <w:rsid w:val="00C22F0C"/>
    <w:rsid w:val="00C23057"/>
    <w:rsid w:val="00C24543"/>
    <w:rsid w:val="00C256A2"/>
    <w:rsid w:val="00C30D3F"/>
    <w:rsid w:val="00C35A26"/>
    <w:rsid w:val="00C51515"/>
    <w:rsid w:val="00C51F13"/>
    <w:rsid w:val="00C53910"/>
    <w:rsid w:val="00C5660B"/>
    <w:rsid w:val="00C56854"/>
    <w:rsid w:val="00C5788A"/>
    <w:rsid w:val="00C61730"/>
    <w:rsid w:val="00C63A66"/>
    <w:rsid w:val="00C66B72"/>
    <w:rsid w:val="00C724DC"/>
    <w:rsid w:val="00C81002"/>
    <w:rsid w:val="00C83FC4"/>
    <w:rsid w:val="00C859B4"/>
    <w:rsid w:val="00C86B3E"/>
    <w:rsid w:val="00C87AC4"/>
    <w:rsid w:val="00C9081D"/>
    <w:rsid w:val="00C919D6"/>
    <w:rsid w:val="00C9567A"/>
    <w:rsid w:val="00C9628B"/>
    <w:rsid w:val="00CA3639"/>
    <w:rsid w:val="00CA48A3"/>
    <w:rsid w:val="00CB212D"/>
    <w:rsid w:val="00CB2660"/>
    <w:rsid w:val="00CB5A27"/>
    <w:rsid w:val="00CC1055"/>
    <w:rsid w:val="00CC3E7A"/>
    <w:rsid w:val="00CC5E90"/>
    <w:rsid w:val="00CD046C"/>
    <w:rsid w:val="00CD0FAD"/>
    <w:rsid w:val="00CD186A"/>
    <w:rsid w:val="00CE076C"/>
    <w:rsid w:val="00CE09BB"/>
    <w:rsid w:val="00CE2C0E"/>
    <w:rsid w:val="00CE5199"/>
    <w:rsid w:val="00CE66D5"/>
    <w:rsid w:val="00CF3812"/>
    <w:rsid w:val="00CF637A"/>
    <w:rsid w:val="00D020B3"/>
    <w:rsid w:val="00D059DE"/>
    <w:rsid w:val="00D05ABD"/>
    <w:rsid w:val="00D113F9"/>
    <w:rsid w:val="00D13E4B"/>
    <w:rsid w:val="00D13FCE"/>
    <w:rsid w:val="00D17E8C"/>
    <w:rsid w:val="00D232FF"/>
    <w:rsid w:val="00D27D66"/>
    <w:rsid w:val="00D306D1"/>
    <w:rsid w:val="00D30800"/>
    <w:rsid w:val="00D34786"/>
    <w:rsid w:val="00D37BFC"/>
    <w:rsid w:val="00D42822"/>
    <w:rsid w:val="00D47A8E"/>
    <w:rsid w:val="00D52D14"/>
    <w:rsid w:val="00D55256"/>
    <w:rsid w:val="00D56D93"/>
    <w:rsid w:val="00D6441B"/>
    <w:rsid w:val="00D64B7C"/>
    <w:rsid w:val="00D712D3"/>
    <w:rsid w:val="00D71422"/>
    <w:rsid w:val="00D726A9"/>
    <w:rsid w:val="00D72DC6"/>
    <w:rsid w:val="00D73F5E"/>
    <w:rsid w:val="00D7558D"/>
    <w:rsid w:val="00D77503"/>
    <w:rsid w:val="00D81494"/>
    <w:rsid w:val="00D81D92"/>
    <w:rsid w:val="00D876F9"/>
    <w:rsid w:val="00D877B6"/>
    <w:rsid w:val="00D93A90"/>
    <w:rsid w:val="00D97131"/>
    <w:rsid w:val="00DA7B5F"/>
    <w:rsid w:val="00DB6869"/>
    <w:rsid w:val="00DB7936"/>
    <w:rsid w:val="00DC11E7"/>
    <w:rsid w:val="00DC7023"/>
    <w:rsid w:val="00DC769A"/>
    <w:rsid w:val="00DD061E"/>
    <w:rsid w:val="00DD3D86"/>
    <w:rsid w:val="00DE12F0"/>
    <w:rsid w:val="00DF1EC4"/>
    <w:rsid w:val="00DF34E9"/>
    <w:rsid w:val="00DF51E9"/>
    <w:rsid w:val="00E01943"/>
    <w:rsid w:val="00E0340B"/>
    <w:rsid w:val="00E04A90"/>
    <w:rsid w:val="00E0551F"/>
    <w:rsid w:val="00E07B54"/>
    <w:rsid w:val="00E10168"/>
    <w:rsid w:val="00E11A4B"/>
    <w:rsid w:val="00E219C7"/>
    <w:rsid w:val="00E2497F"/>
    <w:rsid w:val="00E26CCA"/>
    <w:rsid w:val="00E27F56"/>
    <w:rsid w:val="00E30364"/>
    <w:rsid w:val="00E31388"/>
    <w:rsid w:val="00E4118C"/>
    <w:rsid w:val="00E43157"/>
    <w:rsid w:val="00E461CE"/>
    <w:rsid w:val="00E46695"/>
    <w:rsid w:val="00E51BC6"/>
    <w:rsid w:val="00E603F2"/>
    <w:rsid w:val="00E678C5"/>
    <w:rsid w:val="00E720CA"/>
    <w:rsid w:val="00E75EAE"/>
    <w:rsid w:val="00E762AB"/>
    <w:rsid w:val="00E810D7"/>
    <w:rsid w:val="00E84E60"/>
    <w:rsid w:val="00E84EB5"/>
    <w:rsid w:val="00E85662"/>
    <w:rsid w:val="00E8789F"/>
    <w:rsid w:val="00E92747"/>
    <w:rsid w:val="00E97B71"/>
    <w:rsid w:val="00EA09A3"/>
    <w:rsid w:val="00EA3D34"/>
    <w:rsid w:val="00EA7460"/>
    <w:rsid w:val="00EB454D"/>
    <w:rsid w:val="00EB4C7F"/>
    <w:rsid w:val="00EB7AE8"/>
    <w:rsid w:val="00EC26E9"/>
    <w:rsid w:val="00EC3393"/>
    <w:rsid w:val="00EC6C80"/>
    <w:rsid w:val="00EC6E20"/>
    <w:rsid w:val="00EC72AB"/>
    <w:rsid w:val="00ED2F03"/>
    <w:rsid w:val="00ED549D"/>
    <w:rsid w:val="00ED76BE"/>
    <w:rsid w:val="00ED7F05"/>
    <w:rsid w:val="00EE00E9"/>
    <w:rsid w:val="00EE014D"/>
    <w:rsid w:val="00EF35AB"/>
    <w:rsid w:val="00EF4C44"/>
    <w:rsid w:val="00EF619B"/>
    <w:rsid w:val="00F00B55"/>
    <w:rsid w:val="00F01916"/>
    <w:rsid w:val="00F02AD1"/>
    <w:rsid w:val="00F04591"/>
    <w:rsid w:val="00F06354"/>
    <w:rsid w:val="00F2074B"/>
    <w:rsid w:val="00F253CC"/>
    <w:rsid w:val="00F332EF"/>
    <w:rsid w:val="00F3561A"/>
    <w:rsid w:val="00F37106"/>
    <w:rsid w:val="00F37A0E"/>
    <w:rsid w:val="00F4481F"/>
    <w:rsid w:val="00F50CD2"/>
    <w:rsid w:val="00F519CF"/>
    <w:rsid w:val="00F53168"/>
    <w:rsid w:val="00F53D97"/>
    <w:rsid w:val="00F56BA5"/>
    <w:rsid w:val="00F60E22"/>
    <w:rsid w:val="00F63B39"/>
    <w:rsid w:val="00F658A8"/>
    <w:rsid w:val="00F675F0"/>
    <w:rsid w:val="00F71391"/>
    <w:rsid w:val="00F736CC"/>
    <w:rsid w:val="00F81395"/>
    <w:rsid w:val="00F81887"/>
    <w:rsid w:val="00F81BB8"/>
    <w:rsid w:val="00F917D1"/>
    <w:rsid w:val="00F9342C"/>
    <w:rsid w:val="00F9653B"/>
    <w:rsid w:val="00FA56EA"/>
    <w:rsid w:val="00FB0D30"/>
    <w:rsid w:val="00FB62CF"/>
    <w:rsid w:val="00FC0F4A"/>
    <w:rsid w:val="00FC11F0"/>
    <w:rsid w:val="00FC3330"/>
    <w:rsid w:val="00FC79A7"/>
    <w:rsid w:val="00FD2AF0"/>
    <w:rsid w:val="00FD3C3B"/>
    <w:rsid w:val="00FE07DD"/>
    <w:rsid w:val="00FE2FAA"/>
    <w:rsid w:val="00FE6B45"/>
    <w:rsid w:val="00FE71A7"/>
    <w:rsid w:val="00FE7EC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0265">
      <w:bodyDiv w:val="1"/>
      <w:marLeft w:val="0"/>
      <w:marRight w:val="0"/>
      <w:marTop w:val="0"/>
      <w:marBottom w:val="0"/>
      <w:divBdr>
        <w:top w:val="none" w:sz="0" w:space="0" w:color="auto"/>
        <w:left w:val="none" w:sz="0" w:space="0" w:color="auto"/>
        <w:bottom w:val="none" w:sz="0" w:space="0" w:color="auto"/>
        <w:right w:val="none" w:sz="0" w:space="0" w:color="auto"/>
      </w:divBdr>
    </w:div>
    <w:div w:id="174736848">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621619583">
      <w:bodyDiv w:val="1"/>
      <w:marLeft w:val="0"/>
      <w:marRight w:val="0"/>
      <w:marTop w:val="0"/>
      <w:marBottom w:val="0"/>
      <w:divBdr>
        <w:top w:val="none" w:sz="0" w:space="0" w:color="auto"/>
        <w:left w:val="none" w:sz="0" w:space="0" w:color="auto"/>
        <w:bottom w:val="none" w:sz="0" w:space="0" w:color="auto"/>
        <w:right w:val="none" w:sz="0" w:space="0" w:color="auto"/>
      </w:divBdr>
    </w:div>
    <w:div w:id="719062893">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94335032">
      <w:bodyDiv w:val="1"/>
      <w:marLeft w:val="0"/>
      <w:marRight w:val="0"/>
      <w:marTop w:val="0"/>
      <w:marBottom w:val="0"/>
      <w:divBdr>
        <w:top w:val="none" w:sz="0" w:space="0" w:color="auto"/>
        <w:left w:val="none" w:sz="0" w:space="0" w:color="auto"/>
        <w:bottom w:val="none" w:sz="0" w:space="0" w:color="auto"/>
        <w:right w:val="none" w:sz="0" w:space="0" w:color="auto"/>
      </w:divBdr>
    </w:div>
    <w:div w:id="1089041911">
      <w:bodyDiv w:val="1"/>
      <w:marLeft w:val="0"/>
      <w:marRight w:val="0"/>
      <w:marTop w:val="0"/>
      <w:marBottom w:val="0"/>
      <w:divBdr>
        <w:top w:val="none" w:sz="0" w:space="0" w:color="auto"/>
        <w:left w:val="none" w:sz="0" w:space="0" w:color="auto"/>
        <w:bottom w:val="none" w:sz="0" w:space="0" w:color="auto"/>
        <w:right w:val="none" w:sz="0" w:space="0" w:color="auto"/>
      </w:divBdr>
    </w:div>
    <w:div w:id="1194734731">
      <w:bodyDiv w:val="1"/>
      <w:marLeft w:val="0"/>
      <w:marRight w:val="0"/>
      <w:marTop w:val="0"/>
      <w:marBottom w:val="0"/>
      <w:divBdr>
        <w:top w:val="none" w:sz="0" w:space="0" w:color="auto"/>
        <w:left w:val="none" w:sz="0" w:space="0" w:color="auto"/>
        <w:bottom w:val="none" w:sz="0" w:space="0" w:color="auto"/>
        <w:right w:val="none" w:sz="0" w:space="0" w:color="auto"/>
      </w:divBdr>
    </w:div>
    <w:div w:id="1276599590">
      <w:bodyDiv w:val="1"/>
      <w:marLeft w:val="0"/>
      <w:marRight w:val="0"/>
      <w:marTop w:val="0"/>
      <w:marBottom w:val="0"/>
      <w:divBdr>
        <w:top w:val="none" w:sz="0" w:space="0" w:color="auto"/>
        <w:left w:val="none" w:sz="0" w:space="0" w:color="auto"/>
        <w:bottom w:val="none" w:sz="0" w:space="0" w:color="auto"/>
        <w:right w:val="none" w:sz="0" w:space="0" w:color="auto"/>
      </w:divBdr>
    </w:div>
    <w:div w:id="1318270473">
      <w:bodyDiv w:val="1"/>
      <w:marLeft w:val="0"/>
      <w:marRight w:val="0"/>
      <w:marTop w:val="0"/>
      <w:marBottom w:val="0"/>
      <w:divBdr>
        <w:top w:val="none" w:sz="0" w:space="0" w:color="auto"/>
        <w:left w:val="none" w:sz="0" w:space="0" w:color="auto"/>
        <w:bottom w:val="none" w:sz="0" w:space="0" w:color="auto"/>
        <w:right w:val="none" w:sz="0" w:space="0" w:color="auto"/>
      </w:divBdr>
    </w:div>
    <w:div w:id="13321746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9858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88A1-63E5-43F3-8BEC-610BE097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340/21</dc:title>
  <dc:creator/>
  <cp:lastModifiedBy/>
  <cp:revision>1</cp:revision>
  <dcterms:created xsi:type="dcterms:W3CDTF">2022-02-08T18:28:00Z</dcterms:created>
  <dcterms:modified xsi:type="dcterms:W3CDTF">2022-02-08T18:28:00Z</dcterms:modified>
</cp:coreProperties>
</file>