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14B6F" w:rsidRPr="00006B74" w:rsidRDefault="00B844C6" w:rsidP="00627C9F">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es-ES"/>
        </w:rPr>
      </w:pPr>
      <w:r>
        <w:rPr>
          <w:noProof/>
        </w:rPr>
        <mc:AlternateContent>
          <mc:Choice Requires="wps">
            <w:drawing>
              <wp:anchor distT="0" distB="0" distL="114300" distR="114300" simplePos="0" relativeHeight="251654144" behindDoc="0" locked="0" layoutInCell="1" allowOverlap="1">
                <wp:simplePos x="0" y="0"/>
                <wp:positionH relativeFrom="column">
                  <wp:posOffset>-415925</wp:posOffset>
                </wp:positionH>
                <wp:positionV relativeFrom="paragraph">
                  <wp:posOffset>-439420</wp:posOffset>
                </wp:positionV>
                <wp:extent cx="1543050" cy="9096375"/>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8F9114D"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er7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A98er7ogIAAJ8FAAAOAAAAAAAAAAAAAAAA&#10;AC4CAABkcnMvZTJvRG9jLnhtbFBLAQItABQABgAIAAAAIQDzmg9R4gAAAAwBAAAPAAAAAAAAAAAA&#10;AAAAAPwEAABkcnMvZG93bnJldi54bWxQSwUGAAAAAAQABADzAAAACwYAAAAA&#10;" fillcolor="#4a7194" stroked="f" strokeweight="2pt">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4B6F" w:rsidRDefault="00B844C6"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628900" cy="50482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504825"/>
                                          </a:xfrm>
                                          <a:prstGeom prst="rect">
                                            <a:avLst/>
                                          </a:prstGeom>
                                          <a:noFill/>
                                          <a:ln>
                                            <a:noFill/>
                                          </a:ln>
                                        </pic:spPr>
                                      </pic:pic>
                                    </a:graphicData>
                                  </a:graphic>
                                </wp:inline>
                              </w:drawing>
                            </w:r>
                            <w:r w:rsidR="00714B6F">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714B6F" w:rsidRDefault="00B844C6"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628900" cy="50482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504825"/>
                                    </a:xfrm>
                                    <a:prstGeom prst="rect">
                                      <a:avLst/>
                                    </a:prstGeom>
                                    <a:noFill/>
                                    <a:ln>
                                      <a:noFill/>
                                    </a:ln>
                                  </pic:spPr>
                                </pic:pic>
                              </a:graphicData>
                            </a:graphic>
                          </wp:inline>
                        </w:drawing>
                      </w:r>
                      <w:r w:rsidR="00714B6F">
                        <w:tab/>
                        <w:t xml:space="preserve">                              </w:t>
                      </w:r>
                    </w:p>
                  </w:txbxContent>
                </v:textbox>
              </v:shape>
            </w:pict>
          </mc:Fallback>
        </mc:AlternateContent>
      </w: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714B6F" w:rsidRPr="00006B74" w:rsidRDefault="00714B6F"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714B6F" w:rsidRPr="00006B74" w:rsidRDefault="00714B6F"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714B6F" w:rsidRPr="00006B74" w:rsidRDefault="00714B6F"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714B6F" w:rsidRPr="00006B74" w:rsidRDefault="00714B6F"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714B6F" w:rsidRPr="00006B74" w:rsidRDefault="00714B6F"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714B6F" w:rsidRPr="00006B74" w:rsidRDefault="00B844C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r>
        <w:rPr>
          <w:noProof/>
        </w:rPr>
        <mc:AlternateContent>
          <mc:Choice Requires="wps">
            <w:drawing>
              <wp:anchor distT="0" distB="0" distL="114300" distR="114300" simplePos="0" relativeHeight="251655168" behindDoc="0" locked="0" layoutInCell="1" allowOverlap="1">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4B6F" w:rsidRPr="00B64305" w:rsidRDefault="00714B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B64305">
                              <w:rPr>
                                <w:rFonts w:ascii="Cambria" w:hAnsi="Cambria" w:cs="Arial"/>
                                <w:b/>
                                <w:bCs/>
                                <w:color w:val="0D0D0D"/>
                                <w:sz w:val="36"/>
                                <w:szCs w:val="22"/>
                                <w:lang w:val="es-ES_tradnl"/>
                              </w:rPr>
                              <w:t xml:space="preserve">INFORME </w:t>
                            </w:r>
                            <w:r w:rsidRPr="00B64305">
                              <w:rPr>
                                <w:rFonts w:ascii="Cambria" w:hAnsi="Cambria" w:cs="Arial"/>
                                <w:b/>
                                <w:bCs/>
                                <w:color w:val="0D0D0D"/>
                                <w:sz w:val="36"/>
                                <w:szCs w:val="40"/>
                                <w:lang w:val="es-ES_tradnl"/>
                              </w:rPr>
                              <w:t>No.</w:t>
                            </w:r>
                            <w:r w:rsidR="008F529B">
                              <w:rPr>
                                <w:rFonts w:ascii="Cambria" w:hAnsi="Cambria" w:cs="Arial"/>
                                <w:b/>
                                <w:bCs/>
                                <w:color w:val="0D0D0D"/>
                                <w:sz w:val="36"/>
                                <w:szCs w:val="22"/>
                                <w:lang w:val="es-ES_tradnl"/>
                              </w:rPr>
                              <w:t xml:space="preserve"> 107</w:t>
                            </w:r>
                            <w:r w:rsidRPr="00B64305">
                              <w:rPr>
                                <w:rFonts w:ascii="Cambria" w:hAnsi="Cambria" w:cs="Arial"/>
                                <w:b/>
                                <w:bCs/>
                                <w:color w:val="0D0D0D"/>
                                <w:sz w:val="36"/>
                                <w:szCs w:val="22"/>
                                <w:lang w:val="es-ES_tradnl"/>
                              </w:rPr>
                              <w:t>/20</w:t>
                            </w:r>
                          </w:p>
                          <w:p w:rsidR="00714B6F" w:rsidRPr="00B64305" w:rsidRDefault="00714B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B64305">
                              <w:rPr>
                                <w:rFonts w:ascii="Cambria" w:hAnsi="Cambria" w:cs="Arial"/>
                                <w:b/>
                                <w:color w:val="0D0D0D"/>
                                <w:sz w:val="36"/>
                                <w:szCs w:val="22"/>
                                <w:lang w:val="es-ES_tradnl"/>
                              </w:rPr>
                              <w:t>PETICIÓN 416-09</w:t>
                            </w:r>
                          </w:p>
                          <w:p w:rsidR="00714B6F" w:rsidRPr="00B64305" w:rsidRDefault="00714B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B64305">
                              <w:rPr>
                                <w:rFonts w:ascii="Cambria" w:hAnsi="Cambria" w:cs="Arial"/>
                                <w:color w:val="0D0D0D"/>
                                <w:szCs w:val="22"/>
                                <w:lang w:val="es-ES_tradnl"/>
                              </w:rPr>
                              <w:t xml:space="preserve">INFORME DE ADMISIBILIDAD </w:t>
                            </w:r>
                          </w:p>
                          <w:p w:rsidR="00714B6F" w:rsidRPr="00B64305" w:rsidRDefault="00714B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rsidR="00714B6F" w:rsidRPr="00B64305" w:rsidRDefault="00714B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B64305">
                              <w:rPr>
                                <w:rFonts w:ascii="Cambria" w:hAnsi="Cambria" w:cs="Arial"/>
                                <w:color w:val="0D0D0D"/>
                                <w:szCs w:val="22"/>
                                <w:lang w:val="es-ES_tradnl"/>
                              </w:rPr>
                              <w:t>MIGUEL CHRISTIAN TORRES M</w:t>
                            </w:r>
                            <w:r w:rsidRPr="00B64305">
                              <w:rPr>
                                <w:rFonts w:ascii="Cambria" w:hAnsi="Cambria"/>
                                <w:lang w:val="es-ES"/>
                              </w:rPr>
                              <w:t>É</w:t>
                            </w:r>
                            <w:r w:rsidRPr="00B64305">
                              <w:rPr>
                                <w:rFonts w:ascii="Cambria" w:hAnsi="Cambria" w:cs="Arial"/>
                                <w:color w:val="0D0D0D"/>
                                <w:szCs w:val="22"/>
                                <w:lang w:val="es-ES_tradnl"/>
                              </w:rPr>
                              <w:t>NDEZ</w:t>
                            </w:r>
                          </w:p>
                          <w:bookmarkEnd w:id="1"/>
                          <w:p w:rsidR="00714B6F" w:rsidRPr="00B64305" w:rsidRDefault="00714B6F" w:rsidP="007A5817">
                            <w:pPr>
                              <w:pBdr>
                                <w:top w:val="none" w:sz="0" w:space="0" w:color="auto"/>
                                <w:left w:val="none" w:sz="0" w:space="0" w:color="auto"/>
                                <w:bottom w:val="none" w:sz="0" w:space="0" w:color="auto"/>
                                <w:right w:val="none" w:sz="0" w:space="0" w:color="auto"/>
                                <w:bar w:val="none" w:sz="0" w:color="auto"/>
                              </w:pBdr>
                              <w:rPr>
                                <w:rFonts w:ascii="Cambria" w:hAnsi="Cambria"/>
                                <w:color w:val="0D0D0D"/>
                                <w:lang w:val="es-ES_tradnl"/>
                              </w:rPr>
                            </w:pPr>
                            <w:r w:rsidRPr="00B64305">
                              <w:rPr>
                                <w:rFonts w:ascii="Cambria" w:hAnsi="Cambria"/>
                              </w:rPr>
                              <w:t>PERÚ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Si4FyI0CAACDBQAADgAAAAAAAAAAAAAAAAAuAgAAZHJzL2Uyb0RvYy54bWxQSwEC&#10;LQAUAAYACAAAACEA9UR3F+AAAAAKAQAADwAAAAAAAAAAAAAAAADnBAAAZHJzL2Rvd25yZXYueG1s&#10;UEsFBgAAAAAEAAQA8wAAAPQFAAAAAA==&#10;" filled="f" stroked="f" strokeweight=".5pt">
                <v:path arrowok="t"/>
                <v:textbox>
                  <w:txbxContent>
                    <w:p w:rsidR="00714B6F" w:rsidRPr="00B64305" w:rsidRDefault="00714B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B64305">
                        <w:rPr>
                          <w:rFonts w:ascii="Cambria" w:hAnsi="Cambria" w:cs="Arial"/>
                          <w:b/>
                          <w:bCs/>
                          <w:color w:val="0D0D0D"/>
                          <w:sz w:val="36"/>
                          <w:szCs w:val="22"/>
                          <w:lang w:val="es-ES_tradnl"/>
                        </w:rPr>
                        <w:t xml:space="preserve">INFORME </w:t>
                      </w:r>
                      <w:r w:rsidRPr="00B64305">
                        <w:rPr>
                          <w:rFonts w:ascii="Cambria" w:hAnsi="Cambria" w:cs="Arial"/>
                          <w:b/>
                          <w:bCs/>
                          <w:color w:val="0D0D0D"/>
                          <w:sz w:val="36"/>
                          <w:szCs w:val="40"/>
                          <w:lang w:val="es-ES_tradnl"/>
                        </w:rPr>
                        <w:t>No.</w:t>
                      </w:r>
                      <w:r w:rsidR="008F529B">
                        <w:rPr>
                          <w:rFonts w:ascii="Cambria" w:hAnsi="Cambria" w:cs="Arial"/>
                          <w:b/>
                          <w:bCs/>
                          <w:color w:val="0D0D0D"/>
                          <w:sz w:val="36"/>
                          <w:szCs w:val="22"/>
                          <w:lang w:val="es-ES_tradnl"/>
                        </w:rPr>
                        <w:t xml:space="preserve"> 107</w:t>
                      </w:r>
                      <w:r w:rsidRPr="00B64305">
                        <w:rPr>
                          <w:rFonts w:ascii="Cambria" w:hAnsi="Cambria" w:cs="Arial"/>
                          <w:b/>
                          <w:bCs/>
                          <w:color w:val="0D0D0D"/>
                          <w:sz w:val="36"/>
                          <w:szCs w:val="22"/>
                          <w:lang w:val="es-ES_tradnl"/>
                        </w:rPr>
                        <w:t>/20</w:t>
                      </w:r>
                    </w:p>
                    <w:p w:rsidR="00714B6F" w:rsidRPr="00B64305" w:rsidRDefault="00714B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B64305">
                        <w:rPr>
                          <w:rFonts w:ascii="Cambria" w:hAnsi="Cambria" w:cs="Arial"/>
                          <w:b/>
                          <w:color w:val="0D0D0D"/>
                          <w:sz w:val="36"/>
                          <w:szCs w:val="22"/>
                          <w:lang w:val="es-ES_tradnl"/>
                        </w:rPr>
                        <w:t>PETICIÓN 416-09</w:t>
                      </w:r>
                    </w:p>
                    <w:p w:rsidR="00714B6F" w:rsidRPr="00B64305" w:rsidRDefault="00714B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B64305">
                        <w:rPr>
                          <w:rFonts w:ascii="Cambria" w:hAnsi="Cambria" w:cs="Arial"/>
                          <w:color w:val="0D0D0D"/>
                          <w:szCs w:val="22"/>
                          <w:lang w:val="es-ES_tradnl"/>
                        </w:rPr>
                        <w:t xml:space="preserve">INFORME DE ADMISIBILIDAD </w:t>
                      </w:r>
                    </w:p>
                    <w:p w:rsidR="00714B6F" w:rsidRPr="00B64305" w:rsidRDefault="00714B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rsidR="00714B6F" w:rsidRPr="00B64305" w:rsidRDefault="00714B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B64305">
                        <w:rPr>
                          <w:rFonts w:ascii="Cambria" w:hAnsi="Cambria" w:cs="Arial"/>
                          <w:color w:val="0D0D0D"/>
                          <w:szCs w:val="22"/>
                          <w:lang w:val="es-ES_tradnl"/>
                        </w:rPr>
                        <w:t>MIGUEL CHRISTIAN TORRES M</w:t>
                      </w:r>
                      <w:r w:rsidRPr="00B64305">
                        <w:rPr>
                          <w:rFonts w:ascii="Cambria" w:hAnsi="Cambria"/>
                          <w:lang w:val="es-ES"/>
                        </w:rPr>
                        <w:t>É</w:t>
                      </w:r>
                      <w:r w:rsidRPr="00B64305">
                        <w:rPr>
                          <w:rFonts w:ascii="Cambria" w:hAnsi="Cambria" w:cs="Arial"/>
                          <w:color w:val="0D0D0D"/>
                          <w:szCs w:val="22"/>
                          <w:lang w:val="es-ES_tradnl"/>
                        </w:rPr>
                        <w:t>NDEZ</w:t>
                      </w:r>
                    </w:p>
                    <w:bookmarkEnd w:id="1"/>
                    <w:p w:rsidR="00714B6F" w:rsidRPr="00B64305" w:rsidRDefault="00714B6F" w:rsidP="007A5817">
                      <w:pPr>
                        <w:pBdr>
                          <w:top w:val="none" w:sz="0" w:space="0" w:color="auto"/>
                          <w:left w:val="none" w:sz="0" w:space="0" w:color="auto"/>
                          <w:bottom w:val="none" w:sz="0" w:space="0" w:color="auto"/>
                          <w:right w:val="none" w:sz="0" w:space="0" w:color="auto"/>
                          <w:bar w:val="none" w:sz="0" w:color="auto"/>
                        </w:pBdr>
                        <w:rPr>
                          <w:rFonts w:ascii="Cambria" w:hAnsi="Cambria"/>
                          <w:color w:val="0D0D0D"/>
                          <w:lang w:val="es-ES_tradnl"/>
                        </w:rPr>
                      </w:pPr>
                      <w:r w:rsidRPr="00B64305">
                        <w:rPr>
                          <w:rFonts w:ascii="Cambria" w:hAnsi="Cambria"/>
                        </w:rPr>
                        <w:t>PERÚ</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4B6F" w:rsidRPr="00B64305" w:rsidRDefault="008F529B"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OEA/Ser.L/V/II.</w:t>
                            </w:r>
                          </w:p>
                          <w:p w:rsidR="00714B6F" w:rsidRPr="00B64305" w:rsidRDefault="008F529B"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Doc. 117</w:t>
                            </w:r>
                          </w:p>
                          <w:p w:rsidR="00714B6F" w:rsidRPr="00B64305" w:rsidRDefault="008F529B"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Pr>
                                <w:rFonts w:ascii="Calibri" w:hAnsi="Calibri"/>
                                <w:color w:val="FFFFFF"/>
                                <w:sz w:val="22"/>
                                <w:lang w:val="es-ES"/>
                              </w:rPr>
                              <w:t>24 abril</w:t>
                            </w:r>
                            <w:r w:rsidR="00714B6F" w:rsidRPr="00B64305">
                              <w:rPr>
                                <w:rFonts w:ascii="Calibri" w:hAnsi="Calibri"/>
                                <w:color w:val="FFFFFF"/>
                                <w:sz w:val="22"/>
                                <w:lang w:val="es-ES"/>
                              </w:rPr>
                              <w:t xml:space="preserve"> 20</w:t>
                            </w:r>
                            <w:r>
                              <w:rPr>
                                <w:rFonts w:ascii="Calibri" w:hAnsi="Calibri"/>
                                <w:color w:val="FFFFFF"/>
                                <w:sz w:val="22"/>
                                <w:lang w:val="es-ES"/>
                              </w:rPr>
                              <w:t>20</w:t>
                            </w:r>
                          </w:p>
                          <w:p w:rsidR="00714B6F" w:rsidRPr="00B64305" w:rsidRDefault="00714B6F"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sidRPr="00B64305">
                              <w:rPr>
                                <w:rFonts w:ascii="Calibri" w:hAnsi="Calibri"/>
                                <w:color w:val="FFFFFF"/>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714B6F" w:rsidRPr="00B64305" w:rsidRDefault="008F529B"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OEA/Ser.L/V/II.</w:t>
                      </w:r>
                    </w:p>
                    <w:p w:rsidR="00714B6F" w:rsidRPr="00B64305" w:rsidRDefault="008F529B"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Doc. 117</w:t>
                      </w:r>
                    </w:p>
                    <w:p w:rsidR="00714B6F" w:rsidRPr="00B64305" w:rsidRDefault="008F529B"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Pr>
                          <w:rFonts w:ascii="Calibri" w:hAnsi="Calibri"/>
                          <w:color w:val="FFFFFF"/>
                          <w:sz w:val="22"/>
                          <w:lang w:val="es-ES"/>
                        </w:rPr>
                        <w:t>24 abril</w:t>
                      </w:r>
                      <w:r w:rsidR="00714B6F" w:rsidRPr="00B64305">
                        <w:rPr>
                          <w:rFonts w:ascii="Calibri" w:hAnsi="Calibri"/>
                          <w:color w:val="FFFFFF"/>
                          <w:sz w:val="22"/>
                          <w:lang w:val="es-ES"/>
                        </w:rPr>
                        <w:t xml:space="preserve"> 20</w:t>
                      </w:r>
                      <w:r>
                        <w:rPr>
                          <w:rFonts w:ascii="Calibri" w:hAnsi="Calibri"/>
                          <w:color w:val="FFFFFF"/>
                          <w:sz w:val="22"/>
                          <w:lang w:val="es-ES"/>
                        </w:rPr>
                        <w:t>20</w:t>
                      </w:r>
                    </w:p>
                    <w:p w:rsidR="00714B6F" w:rsidRPr="00B64305" w:rsidRDefault="00714B6F"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sidRPr="00B64305">
                        <w:rPr>
                          <w:rFonts w:ascii="Calibri" w:hAnsi="Calibri"/>
                          <w:color w:val="FFFFFF"/>
                          <w:sz w:val="22"/>
                          <w:lang w:val="es-ES"/>
                        </w:rPr>
                        <w:t>Original: español</w:t>
                      </w:r>
                    </w:p>
                  </w:txbxContent>
                </v:textbox>
              </v:shape>
            </w:pict>
          </mc:Fallback>
        </mc:AlternateContent>
      </w: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714B6F" w:rsidRPr="00006B74" w:rsidRDefault="00B844C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r>
        <w:rPr>
          <w:noProof/>
        </w:rPr>
        <mc:AlternateContent>
          <mc:Choice Requires="wps">
            <w:drawing>
              <wp:anchor distT="0" distB="0" distL="114300" distR="114300" simplePos="0" relativeHeight="251656192" behindDoc="0" locked="0" layoutInCell="1" allowOverlap="1">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4B6F" w:rsidRPr="00B64305" w:rsidRDefault="00714B6F"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B64305">
                              <w:rPr>
                                <w:rFonts w:ascii="Cambria" w:hAnsi="Cambria"/>
                                <w:color w:val="0D0D0D"/>
                                <w:sz w:val="18"/>
                                <w:szCs w:val="22"/>
                                <w:lang w:val="es-ES"/>
                              </w:rPr>
                              <w:t xml:space="preserve">Aprobado </w:t>
                            </w:r>
                            <w:proofErr w:type="spellStart"/>
                            <w:r w:rsidRPr="00B64305">
                              <w:rPr>
                                <w:rFonts w:ascii="Cambria" w:hAnsi="Cambria"/>
                                <w:color w:val="0D0D0D"/>
                                <w:sz w:val="18"/>
                                <w:szCs w:val="22"/>
                                <w:lang w:val="es-ES"/>
                              </w:rPr>
                              <w:t>electr</w:t>
                            </w:r>
                            <w:r w:rsidRPr="00B64305">
                              <w:rPr>
                                <w:rFonts w:ascii="Cambria" w:hAnsi="Cambria"/>
                                <w:color w:val="0D0D0D"/>
                                <w:sz w:val="18"/>
                                <w:szCs w:val="22"/>
                                <w:lang w:val="es-ES_tradnl"/>
                              </w:rPr>
                              <w:t>ónicamente</w:t>
                            </w:r>
                            <w:proofErr w:type="spellEnd"/>
                            <w:r w:rsidRPr="00B64305">
                              <w:rPr>
                                <w:rFonts w:ascii="Cambria" w:hAnsi="Cambria"/>
                                <w:color w:val="0D0D0D"/>
                                <w:sz w:val="18"/>
                                <w:szCs w:val="22"/>
                                <w:lang w:val="es-ES"/>
                              </w:rPr>
                              <w:t xml:space="preserve"> por la Comisión el </w:t>
                            </w:r>
                            <w:r w:rsidR="008F529B">
                              <w:rPr>
                                <w:rFonts w:ascii="Cambria" w:hAnsi="Cambria"/>
                                <w:color w:val="0D0D0D"/>
                                <w:sz w:val="18"/>
                                <w:szCs w:val="22"/>
                                <w:lang w:val="es-ES"/>
                              </w:rPr>
                              <w:t>24</w:t>
                            </w:r>
                            <w:r w:rsidRPr="00B64305">
                              <w:rPr>
                                <w:rFonts w:ascii="Cambria" w:hAnsi="Cambria"/>
                                <w:color w:val="0D0D0D"/>
                                <w:sz w:val="18"/>
                                <w:szCs w:val="22"/>
                                <w:lang w:val="es-ES"/>
                              </w:rPr>
                              <w:t xml:space="preserve"> de </w:t>
                            </w:r>
                            <w:r w:rsidR="008F529B">
                              <w:rPr>
                                <w:rFonts w:ascii="Cambria" w:hAnsi="Cambria"/>
                                <w:color w:val="0D0D0D"/>
                                <w:sz w:val="18"/>
                                <w:szCs w:val="22"/>
                                <w:lang w:val="es-ES"/>
                              </w:rPr>
                              <w:t>abril</w:t>
                            </w:r>
                            <w:r w:rsidRPr="00B64305">
                              <w:rPr>
                                <w:rFonts w:ascii="Cambria" w:hAnsi="Cambria"/>
                                <w:color w:val="0D0D0D"/>
                                <w:sz w:val="18"/>
                                <w:szCs w:val="22"/>
                                <w:lang w:val="es-ES"/>
                              </w:rPr>
                              <w:t xml:space="preserve"> de 2020</w:t>
                            </w:r>
                            <w:r w:rsidR="007D27B1">
                              <w:rPr>
                                <w:rFonts w:ascii="Cambria" w:hAnsi="Cambria"/>
                                <w:color w:val="0D0D0D"/>
                                <w:sz w:val="18"/>
                                <w:szCs w:val="22"/>
                                <w:lang w:val="es-ES"/>
                              </w:rPr>
                              <w:t>.</w:t>
                            </w:r>
                          </w:p>
                          <w:p w:rsidR="00714B6F" w:rsidRPr="00B64305" w:rsidRDefault="00714B6F"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714B6F" w:rsidRPr="00B64305" w:rsidRDefault="00714B6F"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714B6F" w:rsidRPr="00B64305" w:rsidRDefault="00714B6F"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B64305">
                        <w:rPr>
                          <w:rFonts w:ascii="Cambria" w:hAnsi="Cambria"/>
                          <w:color w:val="0D0D0D"/>
                          <w:sz w:val="18"/>
                          <w:szCs w:val="22"/>
                          <w:lang w:val="es-ES"/>
                        </w:rPr>
                        <w:t xml:space="preserve">Aprobado </w:t>
                      </w:r>
                      <w:proofErr w:type="spellStart"/>
                      <w:r w:rsidRPr="00B64305">
                        <w:rPr>
                          <w:rFonts w:ascii="Cambria" w:hAnsi="Cambria"/>
                          <w:color w:val="0D0D0D"/>
                          <w:sz w:val="18"/>
                          <w:szCs w:val="22"/>
                          <w:lang w:val="es-ES"/>
                        </w:rPr>
                        <w:t>electr</w:t>
                      </w:r>
                      <w:r w:rsidRPr="00B64305">
                        <w:rPr>
                          <w:rFonts w:ascii="Cambria" w:hAnsi="Cambria"/>
                          <w:color w:val="0D0D0D"/>
                          <w:sz w:val="18"/>
                          <w:szCs w:val="22"/>
                          <w:lang w:val="es-ES_tradnl"/>
                        </w:rPr>
                        <w:t>ónicamente</w:t>
                      </w:r>
                      <w:proofErr w:type="spellEnd"/>
                      <w:r w:rsidRPr="00B64305">
                        <w:rPr>
                          <w:rFonts w:ascii="Cambria" w:hAnsi="Cambria"/>
                          <w:color w:val="0D0D0D"/>
                          <w:sz w:val="18"/>
                          <w:szCs w:val="22"/>
                          <w:lang w:val="es-ES"/>
                        </w:rPr>
                        <w:t xml:space="preserve"> por la Comisión el </w:t>
                      </w:r>
                      <w:r w:rsidR="008F529B">
                        <w:rPr>
                          <w:rFonts w:ascii="Cambria" w:hAnsi="Cambria"/>
                          <w:color w:val="0D0D0D"/>
                          <w:sz w:val="18"/>
                          <w:szCs w:val="22"/>
                          <w:lang w:val="es-ES"/>
                        </w:rPr>
                        <w:t>24</w:t>
                      </w:r>
                      <w:r w:rsidRPr="00B64305">
                        <w:rPr>
                          <w:rFonts w:ascii="Cambria" w:hAnsi="Cambria"/>
                          <w:color w:val="0D0D0D"/>
                          <w:sz w:val="18"/>
                          <w:szCs w:val="22"/>
                          <w:lang w:val="es-ES"/>
                        </w:rPr>
                        <w:t xml:space="preserve"> de </w:t>
                      </w:r>
                      <w:r w:rsidR="008F529B">
                        <w:rPr>
                          <w:rFonts w:ascii="Cambria" w:hAnsi="Cambria"/>
                          <w:color w:val="0D0D0D"/>
                          <w:sz w:val="18"/>
                          <w:szCs w:val="22"/>
                          <w:lang w:val="es-ES"/>
                        </w:rPr>
                        <w:t>abril</w:t>
                      </w:r>
                      <w:r w:rsidRPr="00B64305">
                        <w:rPr>
                          <w:rFonts w:ascii="Cambria" w:hAnsi="Cambria"/>
                          <w:color w:val="0D0D0D"/>
                          <w:sz w:val="18"/>
                          <w:szCs w:val="22"/>
                          <w:lang w:val="es-ES"/>
                        </w:rPr>
                        <w:t xml:space="preserve"> de 2020</w:t>
                      </w:r>
                      <w:r w:rsidR="007D27B1">
                        <w:rPr>
                          <w:rFonts w:ascii="Cambria" w:hAnsi="Cambria"/>
                          <w:color w:val="0D0D0D"/>
                          <w:sz w:val="18"/>
                          <w:szCs w:val="22"/>
                          <w:lang w:val="es-ES"/>
                        </w:rPr>
                        <w:t>.</w:t>
                      </w:r>
                    </w:p>
                    <w:p w:rsidR="00714B6F" w:rsidRPr="00B64305" w:rsidRDefault="00714B6F"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714B6F" w:rsidRPr="00B64305" w:rsidRDefault="00714B6F"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v:textbox>
              </v:shape>
            </w:pict>
          </mc:Fallback>
        </mc:AlternateContent>
      </w: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714B6F" w:rsidRPr="00006B74" w:rsidRDefault="00B844C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r>
        <w:rPr>
          <w:noProof/>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4B6F" w:rsidRPr="00B64305" w:rsidRDefault="00714B6F"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B64305">
                              <w:rPr>
                                <w:rFonts w:ascii="Cambria" w:hAnsi="Cambria"/>
                                <w:b/>
                                <w:color w:val="595959"/>
                                <w:sz w:val="18"/>
                                <w:szCs w:val="18"/>
                                <w:lang w:val="pt-BR"/>
                              </w:rPr>
                              <w:t>Citar como:</w:t>
                            </w:r>
                            <w:r w:rsidRPr="00B64305">
                              <w:rPr>
                                <w:rFonts w:ascii="Cambria" w:hAnsi="Cambria"/>
                                <w:color w:val="595959"/>
                                <w:sz w:val="18"/>
                                <w:szCs w:val="18"/>
                                <w:lang w:val="pt-BR"/>
                              </w:rPr>
                              <w:t xml:space="preserve"> CIDH, Informe No. </w:t>
                            </w:r>
                            <w:r w:rsidR="008F529B" w:rsidRPr="008F529B">
                              <w:rPr>
                                <w:rFonts w:ascii="Cambria" w:hAnsi="Cambria"/>
                                <w:color w:val="595959"/>
                                <w:sz w:val="18"/>
                                <w:szCs w:val="18"/>
                                <w:lang w:val="pt-BR"/>
                              </w:rPr>
                              <w:t>107</w:t>
                            </w:r>
                            <w:r w:rsidRPr="008F529B">
                              <w:rPr>
                                <w:rFonts w:ascii="Cambria" w:hAnsi="Cambria"/>
                                <w:color w:val="595959"/>
                                <w:sz w:val="18"/>
                                <w:szCs w:val="18"/>
                                <w:lang w:val="pt-BR"/>
                              </w:rPr>
                              <w:t xml:space="preserve">/20. </w:t>
                            </w:r>
                            <w:r w:rsidR="007D27B1">
                              <w:rPr>
                                <w:rFonts w:ascii="Cambria" w:hAnsi="Cambria"/>
                                <w:color w:val="595959"/>
                                <w:sz w:val="18"/>
                                <w:szCs w:val="18"/>
                                <w:lang w:val="es-ES_tradnl"/>
                              </w:rPr>
                              <w:t xml:space="preserve">Petición 416-09. </w:t>
                            </w:r>
                            <w:r w:rsidRPr="00B64305">
                              <w:rPr>
                                <w:rFonts w:ascii="Cambria" w:hAnsi="Cambria"/>
                                <w:color w:val="595959"/>
                                <w:sz w:val="18"/>
                                <w:szCs w:val="18"/>
                                <w:lang w:val="es-ES_tradnl"/>
                              </w:rPr>
                              <w:t xml:space="preserve">Admisibilidad. Miguel Christian Torres Méndez. Perú. </w:t>
                            </w:r>
                            <w:r w:rsidR="008F529B">
                              <w:rPr>
                                <w:rFonts w:ascii="Cambria" w:hAnsi="Cambria"/>
                                <w:color w:val="595959"/>
                                <w:sz w:val="18"/>
                                <w:szCs w:val="18"/>
                                <w:lang w:val="es-ES_tradnl"/>
                              </w:rPr>
                              <w:t xml:space="preserve"> </w:t>
                            </w:r>
                            <w:r w:rsidR="008F529B">
                              <w:rPr>
                                <w:rFonts w:ascii="Cambria" w:hAnsi="Cambria"/>
                                <w:color w:val="595959"/>
                                <w:sz w:val="18"/>
                                <w:szCs w:val="18"/>
                                <w:lang w:val="es-ES"/>
                              </w:rPr>
                              <w:t>24 de abril de 2020</w:t>
                            </w:r>
                            <w:r w:rsidRPr="00B64305">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714B6F" w:rsidRPr="00B64305" w:rsidRDefault="00714B6F"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B64305">
                        <w:rPr>
                          <w:rFonts w:ascii="Cambria" w:hAnsi="Cambria"/>
                          <w:b/>
                          <w:color w:val="595959"/>
                          <w:sz w:val="18"/>
                          <w:szCs w:val="18"/>
                          <w:lang w:val="pt-BR"/>
                        </w:rPr>
                        <w:t>Citar como:</w:t>
                      </w:r>
                      <w:r w:rsidRPr="00B64305">
                        <w:rPr>
                          <w:rFonts w:ascii="Cambria" w:hAnsi="Cambria"/>
                          <w:color w:val="595959"/>
                          <w:sz w:val="18"/>
                          <w:szCs w:val="18"/>
                          <w:lang w:val="pt-BR"/>
                        </w:rPr>
                        <w:t xml:space="preserve"> CIDH, Informe No. </w:t>
                      </w:r>
                      <w:r w:rsidR="008F529B" w:rsidRPr="008F529B">
                        <w:rPr>
                          <w:rFonts w:ascii="Cambria" w:hAnsi="Cambria"/>
                          <w:color w:val="595959"/>
                          <w:sz w:val="18"/>
                          <w:szCs w:val="18"/>
                          <w:lang w:val="pt-BR"/>
                        </w:rPr>
                        <w:t>107</w:t>
                      </w:r>
                      <w:r w:rsidRPr="008F529B">
                        <w:rPr>
                          <w:rFonts w:ascii="Cambria" w:hAnsi="Cambria"/>
                          <w:color w:val="595959"/>
                          <w:sz w:val="18"/>
                          <w:szCs w:val="18"/>
                          <w:lang w:val="pt-BR"/>
                        </w:rPr>
                        <w:t xml:space="preserve">/20. </w:t>
                      </w:r>
                      <w:r w:rsidR="007D27B1">
                        <w:rPr>
                          <w:rFonts w:ascii="Cambria" w:hAnsi="Cambria"/>
                          <w:color w:val="595959"/>
                          <w:sz w:val="18"/>
                          <w:szCs w:val="18"/>
                          <w:lang w:val="es-ES_tradnl"/>
                        </w:rPr>
                        <w:t xml:space="preserve">Petición 416-09. </w:t>
                      </w:r>
                      <w:r w:rsidRPr="00B64305">
                        <w:rPr>
                          <w:rFonts w:ascii="Cambria" w:hAnsi="Cambria"/>
                          <w:color w:val="595959"/>
                          <w:sz w:val="18"/>
                          <w:szCs w:val="18"/>
                          <w:lang w:val="es-ES_tradnl"/>
                        </w:rPr>
                        <w:t xml:space="preserve">Admisibilidad. Miguel Christian Torres Méndez. Perú. </w:t>
                      </w:r>
                      <w:r w:rsidR="008F529B">
                        <w:rPr>
                          <w:rFonts w:ascii="Cambria" w:hAnsi="Cambria"/>
                          <w:color w:val="595959"/>
                          <w:sz w:val="18"/>
                          <w:szCs w:val="18"/>
                          <w:lang w:val="es-ES_tradnl"/>
                        </w:rPr>
                        <w:t xml:space="preserve"> </w:t>
                      </w:r>
                      <w:r w:rsidR="008F529B">
                        <w:rPr>
                          <w:rFonts w:ascii="Cambria" w:hAnsi="Cambria"/>
                          <w:color w:val="595959"/>
                          <w:sz w:val="18"/>
                          <w:szCs w:val="18"/>
                          <w:lang w:val="es-ES"/>
                        </w:rPr>
                        <w:t>24 de abril de 2020</w:t>
                      </w:r>
                      <w:r w:rsidRPr="00B64305">
                        <w:rPr>
                          <w:rFonts w:ascii="Cambria" w:hAnsi="Cambria"/>
                          <w:color w:val="595959"/>
                          <w:sz w:val="18"/>
                          <w:szCs w:val="18"/>
                          <w:lang w:val="es-ES"/>
                        </w:rPr>
                        <w:t>.</w:t>
                      </w:r>
                    </w:p>
                  </w:txbxContent>
                </v:textbox>
              </v:shape>
            </w:pict>
          </mc:Fallback>
        </mc:AlternateContent>
      </w:r>
    </w:p>
    <w:p w:rsidR="00714B6F" w:rsidRPr="00006B74" w:rsidRDefault="00714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714B6F" w:rsidRPr="00006B74" w:rsidRDefault="00B844C6"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
        </w:rPr>
      </w:pPr>
      <w:r>
        <w:rPr>
          <w:noProof/>
        </w:rPr>
        <mc:AlternateContent>
          <mc:Choice Requires="wps">
            <w:drawing>
              <wp:anchor distT="0" distB="0" distL="114300" distR="114300" simplePos="0" relativeHeight="251660288" behindDoc="0" locked="0" layoutInCell="1" allowOverlap="1">
                <wp:simplePos x="0" y="0"/>
                <wp:positionH relativeFrom="column">
                  <wp:posOffset>1329690</wp:posOffset>
                </wp:positionH>
                <wp:positionV relativeFrom="paragraph">
                  <wp:posOffset>638810</wp:posOffset>
                </wp:positionV>
                <wp:extent cx="4096385" cy="567055"/>
                <wp:effectExtent l="0" t="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14B6F" w:rsidRPr="00B64305" w:rsidRDefault="00B844C6"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extent cx="1895475" cy="49530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495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qHhQIAABY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" stroked="f" strokeweight=".5pt">
                <v:textbox>
                  <w:txbxContent>
                    <w:p w:rsidR="00714B6F" w:rsidRPr="00B64305" w:rsidRDefault="00B844C6"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extent cx="1895475" cy="49530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4953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4B6F" w:rsidRPr="00B64305" w:rsidRDefault="00714B6F"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B64305">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dD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" filled="f" stroked="f" strokeweight=".5pt">
                <v:path arrowok="t"/>
                <v:textbox>
                  <w:txbxContent>
                    <w:p w:rsidR="00714B6F" w:rsidRPr="00B64305" w:rsidRDefault="00714B6F"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B64305">
                        <w:rPr>
                          <w:rFonts w:ascii="Calibri" w:hAnsi="Calibri"/>
                          <w:b/>
                          <w:color w:val="FFFFFF"/>
                          <w:lang w:val="pt-BR"/>
                        </w:rPr>
                        <w:t>www.cidh.org</w:t>
                      </w:r>
                    </w:p>
                  </w:txbxContent>
                </v:textbox>
              </v:shape>
            </w:pict>
          </mc:Fallback>
        </mc:AlternateContent>
      </w:r>
    </w:p>
    <w:p w:rsidR="00714B6F" w:rsidRPr="00006B74" w:rsidRDefault="00714B6F"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
        </w:rPr>
        <w:sectPr w:rsidR="00714B6F" w:rsidRPr="00006B74"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rtlGutter/>
          <w:docGrid w:linePitch="326"/>
        </w:sectPr>
      </w:pPr>
      <w:r w:rsidRPr="00006B74">
        <w:rPr>
          <w:rFonts w:ascii="Cambria" w:hAnsi="Cambria"/>
          <w:b/>
          <w:sz w:val="20"/>
          <w:lang w:val="es-ES"/>
        </w:rPr>
        <w:tab/>
      </w:r>
    </w:p>
    <w:p w:rsidR="00714B6F" w:rsidRPr="00F9093A" w:rsidRDefault="00714B6F" w:rsidP="007C402A">
      <w:pPr>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b/>
          <w:bCs/>
          <w:sz w:val="20"/>
          <w:szCs w:val="20"/>
          <w:lang w:val="es-ES"/>
        </w:rPr>
      </w:pPr>
      <w:r w:rsidRPr="00F9093A">
        <w:rPr>
          <w:rFonts w:ascii="Cambria" w:hAnsi="Cambria"/>
          <w:b/>
          <w:bCs/>
          <w:sz w:val="20"/>
          <w:szCs w:val="20"/>
          <w:lang w:val="es-ES"/>
        </w:rPr>
        <w:lastRenderedPageBreak/>
        <w:t>I.</w:t>
      </w:r>
      <w:r w:rsidRPr="00F9093A">
        <w:rPr>
          <w:rFonts w:ascii="Cambria" w:hAnsi="Cambria"/>
          <w:b/>
          <w:bCs/>
          <w:sz w:val="20"/>
          <w:szCs w:val="20"/>
          <w:lang w:val="es-ES"/>
        </w:rPr>
        <w:tab/>
        <w:t xml:space="preserve">DATOS DE LA PETICIÓN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90"/>
        <w:gridCol w:w="6570"/>
      </w:tblGrid>
      <w:tr w:rsidR="00714B6F" w:rsidRPr="008F529B" w:rsidTr="00B64305">
        <w:tc>
          <w:tcPr>
            <w:tcW w:w="2790" w:type="dxa"/>
            <w:tcBorders>
              <w:top w:val="single" w:sz="4" w:space="0" w:color="auto"/>
            </w:tcBorders>
            <w:shd w:val="clear" w:color="auto" w:fill="386294"/>
            <w:vAlign w:val="center"/>
          </w:tcPr>
          <w:p w:rsidR="00714B6F" w:rsidRPr="00B64305" w:rsidRDefault="00714B6F" w:rsidP="00B64305">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B64305">
              <w:rPr>
                <w:rFonts w:ascii="Cambria" w:hAnsi="Cambria"/>
                <w:bCs/>
                <w:color w:val="FFFFFF"/>
                <w:sz w:val="19"/>
                <w:szCs w:val="19"/>
                <w:lang w:val="es-ES"/>
              </w:rPr>
              <w:t>Parte peticionaria</w:t>
            </w:r>
          </w:p>
        </w:tc>
        <w:tc>
          <w:tcPr>
            <w:tcW w:w="6570" w:type="dxa"/>
            <w:tcBorders>
              <w:top w:val="single" w:sz="4" w:space="0" w:color="auto"/>
            </w:tcBorders>
            <w:vAlign w:val="center"/>
          </w:tcPr>
          <w:p w:rsidR="00714B6F" w:rsidRPr="00B64305" w:rsidRDefault="00714B6F" w:rsidP="00B64305">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B64305">
              <w:rPr>
                <w:rFonts w:ascii="Cambria" w:hAnsi="Cambria"/>
                <w:bCs/>
                <w:sz w:val="19"/>
                <w:szCs w:val="19"/>
                <w:lang w:val="es-ES"/>
              </w:rPr>
              <w:t>Miguel Christian Torres M</w:t>
            </w:r>
            <w:r w:rsidRPr="00B64305">
              <w:rPr>
                <w:rFonts w:ascii="Cambria" w:hAnsi="Cambria" w:cs="Tahoma"/>
                <w:color w:val="000000"/>
                <w:sz w:val="19"/>
                <w:szCs w:val="19"/>
                <w:lang w:val="es-ES"/>
              </w:rPr>
              <w:t>é</w:t>
            </w:r>
            <w:r w:rsidRPr="00B64305">
              <w:rPr>
                <w:rFonts w:ascii="Cambria" w:hAnsi="Cambria"/>
                <w:bCs/>
                <w:sz w:val="19"/>
                <w:szCs w:val="19"/>
                <w:lang w:val="es-ES"/>
              </w:rPr>
              <w:t>ndez, Raúl Chanam</w:t>
            </w:r>
            <w:r w:rsidRPr="00B64305">
              <w:rPr>
                <w:rFonts w:ascii="Cambria" w:hAnsi="Cambria" w:cs="Tahoma"/>
                <w:color w:val="000000"/>
                <w:sz w:val="19"/>
                <w:szCs w:val="19"/>
                <w:lang w:val="es-ES"/>
              </w:rPr>
              <w:t>é</w:t>
            </w:r>
            <w:r w:rsidRPr="00B64305">
              <w:rPr>
                <w:rFonts w:ascii="Cambria" w:hAnsi="Cambria"/>
                <w:bCs/>
                <w:sz w:val="19"/>
                <w:szCs w:val="19"/>
                <w:lang w:val="es-ES"/>
              </w:rPr>
              <w:t xml:space="preserve"> Orbe, Rubén Delgado Pimentel, Fabiola Barriga San Miguel, </w:t>
            </w:r>
            <w:r w:rsidRPr="00B64305">
              <w:rPr>
                <w:rFonts w:ascii="Cambria" w:hAnsi="Cambria" w:cs="Calibri"/>
                <w:color w:val="000000"/>
                <w:sz w:val="19"/>
                <w:szCs w:val="19"/>
                <w:lang w:val="es-ES"/>
              </w:rPr>
              <w:t>Hugo Munguía Calderón</w:t>
            </w:r>
          </w:p>
        </w:tc>
      </w:tr>
      <w:tr w:rsidR="00714B6F" w:rsidRPr="00F9093A" w:rsidTr="00B64305">
        <w:tc>
          <w:tcPr>
            <w:tcW w:w="2790" w:type="dxa"/>
            <w:shd w:val="clear" w:color="auto" w:fill="386294"/>
            <w:vAlign w:val="center"/>
          </w:tcPr>
          <w:p w:rsidR="00714B6F" w:rsidRPr="00B64305" w:rsidRDefault="00714B6F" w:rsidP="00B64305">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B64305">
              <w:rPr>
                <w:rFonts w:ascii="Cambria" w:hAnsi="Cambria"/>
                <w:bCs/>
                <w:color w:val="FFFFFF"/>
                <w:sz w:val="19"/>
                <w:szCs w:val="19"/>
                <w:lang w:val="es-ES"/>
              </w:rPr>
              <w:t>Presunta víctima</w:t>
            </w:r>
          </w:p>
        </w:tc>
        <w:tc>
          <w:tcPr>
            <w:tcW w:w="6570" w:type="dxa"/>
            <w:vAlign w:val="center"/>
          </w:tcPr>
          <w:p w:rsidR="00714B6F" w:rsidRPr="00B64305" w:rsidRDefault="00714B6F" w:rsidP="00B64305">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B64305">
              <w:rPr>
                <w:rFonts w:ascii="Cambria" w:hAnsi="Cambria"/>
                <w:bCs/>
                <w:sz w:val="19"/>
                <w:szCs w:val="19"/>
                <w:lang w:val="es-ES"/>
              </w:rPr>
              <w:t>Miguel Christian Torres M</w:t>
            </w:r>
            <w:r w:rsidRPr="00B64305">
              <w:rPr>
                <w:rFonts w:ascii="Cambria" w:hAnsi="Cambria" w:cs="Tahoma"/>
                <w:color w:val="000000"/>
                <w:sz w:val="19"/>
                <w:szCs w:val="19"/>
                <w:lang w:val="es-ES"/>
              </w:rPr>
              <w:t>é</w:t>
            </w:r>
            <w:r w:rsidRPr="00B64305">
              <w:rPr>
                <w:rFonts w:ascii="Cambria" w:hAnsi="Cambria"/>
                <w:bCs/>
                <w:sz w:val="19"/>
                <w:szCs w:val="19"/>
                <w:lang w:val="es-ES"/>
              </w:rPr>
              <w:t>ndez</w:t>
            </w:r>
          </w:p>
        </w:tc>
      </w:tr>
      <w:tr w:rsidR="00714B6F" w:rsidRPr="00F9093A" w:rsidTr="00B64305">
        <w:tc>
          <w:tcPr>
            <w:tcW w:w="2790" w:type="dxa"/>
            <w:shd w:val="clear" w:color="auto" w:fill="386294"/>
            <w:vAlign w:val="center"/>
          </w:tcPr>
          <w:p w:rsidR="00714B6F" w:rsidRPr="00B64305" w:rsidRDefault="00714B6F" w:rsidP="00B64305">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B64305">
              <w:rPr>
                <w:rFonts w:ascii="Cambria" w:hAnsi="Cambria"/>
                <w:bCs/>
                <w:color w:val="FFFFFF"/>
                <w:sz w:val="19"/>
                <w:szCs w:val="19"/>
                <w:lang w:val="es-ES"/>
              </w:rPr>
              <w:t>Estado denunciado</w:t>
            </w:r>
          </w:p>
        </w:tc>
        <w:tc>
          <w:tcPr>
            <w:tcW w:w="6570" w:type="dxa"/>
            <w:vAlign w:val="center"/>
          </w:tcPr>
          <w:p w:rsidR="00714B6F" w:rsidRPr="00B64305" w:rsidRDefault="00714B6F" w:rsidP="00B64305">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B64305">
              <w:rPr>
                <w:rFonts w:ascii="Cambria" w:hAnsi="Cambria"/>
                <w:bCs/>
                <w:sz w:val="19"/>
                <w:szCs w:val="19"/>
                <w:lang w:val="es-ES"/>
              </w:rPr>
              <w:t>Perú</w:t>
            </w:r>
            <w:r w:rsidRPr="00B64305">
              <w:rPr>
                <w:rStyle w:val="FootnoteReference"/>
                <w:rFonts w:ascii="Cambria" w:hAnsi="Cambria"/>
                <w:bCs/>
                <w:sz w:val="19"/>
                <w:szCs w:val="19"/>
                <w:lang w:val="es-ES"/>
              </w:rPr>
              <w:footnoteReference w:id="2"/>
            </w:r>
          </w:p>
        </w:tc>
      </w:tr>
      <w:tr w:rsidR="00714B6F" w:rsidRPr="008F529B" w:rsidTr="00B64305">
        <w:tc>
          <w:tcPr>
            <w:tcW w:w="2790" w:type="dxa"/>
            <w:tcBorders>
              <w:bottom w:val="single" w:sz="4" w:space="0" w:color="auto"/>
            </w:tcBorders>
            <w:shd w:val="clear" w:color="auto" w:fill="386294"/>
            <w:vAlign w:val="center"/>
          </w:tcPr>
          <w:p w:rsidR="00714B6F" w:rsidRPr="00B64305" w:rsidRDefault="00714B6F" w:rsidP="00B64305">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B64305">
              <w:rPr>
                <w:rFonts w:ascii="Cambria" w:hAnsi="Cambria"/>
                <w:bCs/>
                <w:color w:val="FFFFFF"/>
                <w:sz w:val="19"/>
                <w:szCs w:val="19"/>
                <w:lang w:val="es-ES"/>
              </w:rPr>
              <w:t>Derechos invocados</w:t>
            </w:r>
          </w:p>
        </w:tc>
        <w:tc>
          <w:tcPr>
            <w:tcW w:w="6570" w:type="dxa"/>
            <w:tcBorders>
              <w:bottom w:val="single" w:sz="4" w:space="0" w:color="auto"/>
            </w:tcBorders>
            <w:vAlign w:val="center"/>
          </w:tcPr>
          <w:p w:rsidR="00714B6F" w:rsidRPr="00B64305" w:rsidRDefault="00714B6F" w:rsidP="00B64305">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B64305">
              <w:rPr>
                <w:rFonts w:ascii="Cambria" w:hAnsi="Cambria"/>
                <w:bCs/>
                <w:sz w:val="19"/>
                <w:szCs w:val="19"/>
                <w:lang w:val="es-AR"/>
              </w:rPr>
              <w:t xml:space="preserve">Artículos 8 (garantías judiciales), 23 (derechos políticos), 25 (protección judicial) de la </w:t>
            </w:r>
            <w:r w:rsidRPr="00B64305">
              <w:rPr>
                <w:rFonts w:ascii="Cambria" w:hAnsi="Cambria"/>
                <w:bCs/>
                <w:sz w:val="19"/>
                <w:szCs w:val="19"/>
                <w:lang w:val="es-ES"/>
              </w:rPr>
              <w:t>Convención Americana sobre Derechos Humanos</w:t>
            </w:r>
            <w:r w:rsidRPr="00B64305">
              <w:rPr>
                <w:rStyle w:val="FootnoteReference"/>
                <w:rFonts w:ascii="Cambria" w:hAnsi="Cambria"/>
                <w:bCs/>
                <w:sz w:val="19"/>
                <w:szCs w:val="19"/>
                <w:lang w:val="es-ES"/>
              </w:rPr>
              <w:footnoteReference w:id="3"/>
            </w:r>
            <w:r w:rsidRPr="00B64305">
              <w:rPr>
                <w:rFonts w:ascii="Cambria" w:hAnsi="Cambria"/>
                <w:bCs/>
                <w:sz w:val="19"/>
                <w:szCs w:val="19"/>
                <w:lang w:val="es-AR"/>
              </w:rPr>
              <w:t xml:space="preserve"> en relación con sus artículos 1.1 (obligación de respetar los derechos) y 2 (deber de adoptar disposiciones de derecho interno) </w:t>
            </w:r>
            <w:r w:rsidRPr="00B64305">
              <w:rPr>
                <w:rFonts w:ascii="Cambria" w:hAnsi="Cambria"/>
                <w:sz w:val="19"/>
                <w:szCs w:val="19"/>
                <w:lang w:val="es-ES"/>
              </w:rPr>
              <w:t>y otros tratados internacionales</w:t>
            </w:r>
            <w:r w:rsidRPr="00B64305">
              <w:rPr>
                <w:rStyle w:val="FootnoteReference"/>
                <w:rFonts w:ascii="Cambria" w:hAnsi="Cambria"/>
                <w:sz w:val="19"/>
                <w:szCs w:val="19"/>
                <w:lang w:val="es-ES"/>
              </w:rPr>
              <w:footnoteReference w:id="4"/>
            </w:r>
          </w:p>
        </w:tc>
      </w:tr>
    </w:tbl>
    <w:p w:rsidR="00714B6F" w:rsidRPr="00F9093A" w:rsidRDefault="00714B6F" w:rsidP="007C402A">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20"/>
          <w:szCs w:val="20"/>
          <w:lang w:val="es-ES"/>
        </w:rPr>
      </w:pPr>
      <w:r w:rsidRPr="00F9093A">
        <w:rPr>
          <w:rFonts w:ascii="Cambria" w:hAnsi="Cambria"/>
          <w:b/>
          <w:bCs/>
          <w:sz w:val="20"/>
          <w:szCs w:val="20"/>
          <w:lang w:val="es-ES"/>
        </w:rPr>
        <w:t>II.</w:t>
      </w:r>
      <w:r w:rsidRPr="00F9093A">
        <w:rPr>
          <w:rFonts w:ascii="Cambria" w:hAnsi="Cambria"/>
          <w:b/>
          <w:bCs/>
          <w:sz w:val="20"/>
          <w:szCs w:val="20"/>
          <w:lang w:val="es-ES"/>
        </w:rPr>
        <w:tab/>
        <w:t>TRÁMITE ANTE LA CIDH</w:t>
      </w:r>
      <w:r w:rsidRPr="00F9093A">
        <w:rPr>
          <w:rStyle w:val="FootnoteReference"/>
          <w:rFonts w:ascii="Cambria" w:hAnsi="Cambria"/>
          <w:b/>
          <w:sz w:val="20"/>
          <w:szCs w:val="20"/>
          <w:lang w:val="es-ES"/>
        </w:rPr>
        <w:footnoteReference w:id="5"/>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90"/>
        <w:gridCol w:w="6570"/>
      </w:tblGrid>
      <w:tr w:rsidR="00714B6F" w:rsidRPr="00F9093A" w:rsidTr="00B64305">
        <w:tc>
          <w:tcPr>
            <w:tcW w:w="2790" w:type="dxa"/>
            <w:tcBorders>
              <w:top w:val="single" w:sz="4" w:space="0" w:color="auto"/>
            </w:tcBorders>
            <w:shd w:val="clear" w:color="auto" w:fill="386294"/>
            <w:vAlign w:val="center"/>
          </w:tcPr>
          <w:p w:rsidR="00714B6F" w:rsidRPr="00B64305" w:rsidRDefault="00714B6F" w:rsidP="00B64305">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B64305">
              <w:rPr>
                <w:rFonts w:ascii="Cambria" w:hAnsi="Cambria"/>
                <w:bCs/>
                <w:color w:val="FFFFFF"/>
                <w:sz w:val="19"/>
                <w:szCs w:val="19"/>
                <w:lang w:val="es-ES"/>
              </w:rPr>
              <w:t>Recepción de la petición</w:t>
            </w:r>
          </w:p>
        </w:tc>
        <w:tc>
          <w:tcPr>
            <w:tcW w:w="6570" w:type="dxa"/>
            <w:tcBorders>
              <w:top w:val="single" w:sz="4" w:space="0" w:color="auto"/>
            </w:tcBorders>
            <w:vAlign w:val="center"/>
          </w:tcPr>
          <w:p w:rsidR="00714B6F" w:rsidRPr="00B64305" w:rsidRDefault="00714B6F" w:rsidP="00B64305">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B64305">
              <w:rPr>
                <w:rFonts w:ascii="Cambria" w:hAnsi="Cambria"/>
                <w:bCs/>
                <w:sz w:val="19"/>
                <w:szCs w:val="19"/>
                <w:lang w:val="es-ES"/>
              </w:rPr>
              <w:t>7 de abril de 2009</w:t>
            </w:r>
          </w:p>
        </w:tc>
      </w:tr>
      <w:tr w:rsidR="00714B6F" w:rsidRPr="00F9093A" w:rsidTr="00B64305">
        <w:tc>
          <w:tcPr>
            <w:tcW w:w="2790" w:type="dxa"/>
            <w:shd w:val="clear" w:color="auto" w:fill="386294"/>
            <w:vAlign w:val="center"/>
          </w:tcPr>
          <w:p w:rsidR="00714B6F" w:rsidRPr="00B64305" w:rsidRDefault="00714B6F" w:rsidP="00B64305">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B64305">
              <w:rPr>
                <w:rFonts w:ascii="Cambria" w:hAnsi="Cambria"/>
                <w:color w:val="FFFFFF"/>
                <w:sz w:val="19"/>
                <w:szCs w:val="19"/>
                <w:lang w:val="es-ES"/>
              </w:rPr>
              <w:t>Notificación de la petición</w:t>
            </w:r>
          </w:p>
        </w:tc>
        <w:tc>
          <w:tcPr>
            <w:tcW w:w="6570" w:type="dxa"/>
            <w:vAlign w:val="center"/>
          </w:tcPr>
          <w:p w:rsidR="00714B6F" w:rsidRPr="00B64305" w:rsidRDefault="00714B6F" w:rsidP="00B64305">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B64305">
              <w:rPr>
                <w:rFonts w:ascii="Cambria" w:hAnsi="Cambria"/>
                <w:bCs/>
                <w:sz w:val="19"/>
                <w:szCs w:val="19"/>
                <w:lang w:val="es-ES"/>
              </w:rPr>
              <w:t xml:space="preserve">14 de septiembre de 2016 </w:t>
            </w:r>
          </w:p>
        </w:tc>
      </w:tr>
      <w:tr w:rsidR="00714B6F" w:rsidRPr="00F9093A" w:rsidTr="00B64305">
        <w:tc>
          <w:tcPr>
            <w:tcW w:w="2790" w:type="dxa"/>
            <w:shd w:val="clear" w:color="auto" w:fill="386294"/>
            <w:vAlign w:val="center"/>
          </w:tcPr>
          <w:p w:rsidR="00714B6F" w:rsidRPr="00B64305" w:rsidRDefault="00714B6F" w:rsidP="00B64305">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B64305">
              <w:rPr>
                <w:rFonts w:ascii="Cambria" w:hAnsi="Cambria"/>
                <w:color w:val="FFFFFF"/>
                <w:sz w:val="19"/>
                <w:szCs w:val="19"/>
                <w:lang w:val="es-ES"/>
              </w:rPr>
              <w:t>Primera respuesta del Estado</w:t>
            </w:r>
          </w:p>
        </w:tc>
        <w:tc>
          <w:tcPr>
            <w:tcW w:w="6570" w:type="dxa"/>
            <w:vAlign w:val="center"/>
          </w:tcPr>
          <w:p w:rsidR="00714B6F" w:rsidRPr="00B64305" w:rsidRDefault="00714B6F" w:rsidP="00F06ED1">
            <w:pPr>
              <w:pStyle w:val="CommentText"/>
              <w:pBdr>
                <w:top w:val="none" w:sz="0" w:space="0" w:color="auto"/>
                <w:left w:val="none" w:sz="0" w:space="0" w:color="auto"/>
                <w:bottom w:val="none" w:sz="0" w:space="0" w:color="auto"/>
                <w:right w:val="none" w:sz="0" w:space="0" w:color="auto"/>
                <w:bar w:val="none" w:sz="0" w:color="auto"/>
              </w:pBdr>
              <w:rPr>
                <w:rFonts w:ascii="Cambria" w:hAnsi="Cambria"/>
              </w:rPr>
            </w:pPr>
            <w:r w:rsidRPr="00B64305">
              <w:rPr>
                <w:rFonts w:ascii="Cambria" w:hAnsi="Cambria"/>
                <w:bCs/>
                <w:sz w:val="19"/>
                <w:szCs w:val="19"/>
                <w:lang w:val="es-ES"/>
              </w:rPr>
              <w:t>15 de diciembre de 2016</w:t>
            </w:r>
          </w:p>
        </w:tc>
      </w:tr>
      <w:tr w:rsidR="00714B6F" w:rsidRPr="008F529B" w:rsidTr="00B64305">
        <w:tc>
          <w:tcPr>
            <w:tcW w:w="2790" w:type="dxa"/>
            <w:tcBorders>
              <w:bottom w:val="single" w:sz="4" w:space="0" w:color="auto"/>
            </w:tcBorders>
            <w:shd w:val="clear" w:color="auto" w:fill="386294"/>
            <w:vAlign w:val="center"/>
          </w:tcPr>
          <w:p w:rsidR="00714B6F" w:rsidRPr="00B64305" w:rsidRDefault="00714B6F" w:rsidP="00B64305">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B64305">
              <w:rPr>
                <w:rFonts w:ascii="Cambria" w:hAnsi="Cambria"/>
                <w:bCs/>
                <w:color w:val="FFFFFF"/>
                <w:sz w:val="19"/>
                <w:szCs w:val="19"/>
                <w:lang w:val="es-ES"/>
              </w:rPr>
              <w:t>Observaciones adicionales de la parte peticionaria</w:t>
            </w:r>
          </w:p>
        </w:tc>
        <w:tc>
          <w:tcPr>
            <w:tcW w:w="6570" w:type="dxa"/>
            <w:tcBorders>
              <w:bottom w:val="single" w:sz="4" w:space="0" w:color="auto"/>
            </w:tcBorders>
            <w:vAlign w:val="center"/>
          </w:tcPr>
          <w:p w:rsidR="00714B6F" w:rsidRPr="00B64305" w:rsidRDefault="00714B6F" w:rsidP="00B64305">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B64305">
              <w:rPr>
                <w:rFonts w:ascii="Cambria" w:hAnsi="Cambria"/>
                <w:bCs/>
                <w:sz w:val="19"/>
                <w:szCs w:val="19"/>
                <w:lang w:val="es-ES"/>
              </w:rPr>
              <w:t xml:space="preserve"> 15 de agosto de 2012, 20 de abril de 2016, 14 de septiembre de 2016 y 27 de febrero de 2018</w:t>
            </w:r>
          </w:p>
        </w:tc>
      </w:tr>
    </w:tbl>
    <w:p w:rsidR="00714B6F" w:rsidRPr="00F9093A" w:rsidRDefault="00714B6F" w:rsidP="007C402A">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20"/>
          <w:szCs w:val="20"/>
          <w:lang w:val="es-ES"/>
        </w:rPr>
      </w:pPr>
      <w:r w:rsidRPr="00F9093A">
        <w:rPr>
          <w:rFonts w:ascii="Cambria" w:hAnsi="Cambria"/>
          <w:b/>
          <w:bCs/>
          <w:sz w:val="20"/>
          <w:szCs w:val="20"/>
          <w:lang w:val="es-ES"/>
        </w:rPr>
        <w:t xml:space="preserve">III. </w:t>
      </w:r>
      <w:r w:rsidRPr="00F9093A">
        <w:rPr>
          <w:rFonts w:ascii="Cambria" w:hAnsi="Cambria"/>
          <w:b/>
          <w:bCs/>
          <w:sz w:val="20"/>
          <w:szCs w:val="20"/>
          <w:lang w:val="es-ES"/>
        </w:rPr>
        <w:tab/>
        <w:t xml:space="preserve">COMPETENCIA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60"/>
        <w:gridCol w:w="6482"/>
      </w:tblGrid>
      <w:tr w:rsidR="00714B6F" w:rsidRPr="00F9093A" w:rsidTr="00B64305">
        <w:trPr>
          <w:cantSplit/>
        </w:trPr>
        <w:tc>
          <w:tcPr>
            <w:tcW w:w="2790" w:type="dxa"/>
            <w:tcBorders>
              <w:top w:val="single" w:sz="4" w:space="0" w:color="auto"/>
            </w:tcBorders>
            <w:shd w:val="clear" w:color="auto" w:fill="386294"/>
            <w:vAlign w:val="center"/>
          </w:tcPr>
          <w:p w:rsidR="00714B6F" w:rsidRPr="00B64305" w:rsidRDefault="00714B6F" w:rsidP="00B64305">
            <w:pPr>
              <w:pBdr>
                <w:top w:val="none" w:sz="0" w:space="0" w:color="auto"/>
                <w:left w:val="none" w:sz="0" w:space="0" w:color="auto"/>
                <w:bottom w:val="none" w:sz="0" w:space="0" w:color="auto"/>
                <w:right w:val="none" w:sz="0" w:space="0" w:color="auto"/>
                <w:bar w:val="none" w:sz="0" w:color="auto"/>
              </w:pBdr>
              <w:jc w:val="center"/>
              <w:rPr>
                <w:rFonts w:ascii="Cambria" w:hAnsi="Cambria"/>
                <w:bCs/>
                <w:i/>
                <w:color w:val="FFFFFF"/>
                <w:sz w:val="19"/>
                <w:szCs w:val="19"/>
                <w:lang w:val="es-ES"/>
              </w:rPr>
            </w:pPr>
            <w:r w:rsidRPr="00B64305">
              <w:rPr>
                <w:rFonts w:ascii="Cambria" w:hAnsi="Cambria"/>
                <w:bCs/>
                <w:i/>
                <w:color w:val="FFFFFF"/>
                <w:sz w:val="19"/>
                <w:szCs w:val="19"/>
                <w:lang w:val="es-ES"/>
              </w:rPr>
              <w:t>Ratione personae</w:t>
            </w:r>
          </w:p>
        </w:tc>
        <w:tc>
          <w:tcPr>
            <w:tcW w:w="6570" w:type="dxa"/>
            <w:tcBorders>
              <w:top w:val="single" w:sz="4" w:space="0" w:color="auto"/>
            </w:tcBorders>
            <w:vAlign w:val="center"/>
          </w:tcPr>
          <w:p w:rsidR="00714B6F" w:rsidRPr="00B64305" w:rsidRDefault="00714B6F" w:rsidP="008D2290">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B64305">
              <w:rPr>
                <w:rFonts w:ascii="Cambria" w:hAnsi="Cambria"/>
                <w:bCs/>
                <w:sz w:val="19"/>
                <w:szCs w:val="19"/>
                <w:lang w:val="es-ES"/>
              </w:rPr>
              <w:t>Sí</w:t>
            </w:r>
          </w:p>
        </w:tc>
      </w:tr>
      <w:tr w:rsidR="00714B6F" w:rsidRPr="00F9093A" w:rsidTr="00B64305">
        <w:trPr>
          <w:cantSplit/>
        </w:trPr>
        <w:tc>
          <w:tcPr>
            <w:tcW w:w="2790" w:type="dxa"/>
            <w:shd w:val="clear" w:color="auto" w:fill="386294"/>
            <w:vAlign w:val="center"/>
          </w:tcPr>
          <w:p w:rsidR="00714B6F" w:rsidRPr="00B64305" w:rsidRDefault="00714B6F" w:rsidP="00B64305">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B64305">
              <w:rPr>
                <w:rFonts w:ascii="Cambria" w:hAnsi="Cambria"/>
                <w:bCs/>
                <w:i/>
                <w:color w:val="FFFFFF"/>
                <w:sz w:val="19"/>
                <w:szCs w:val="19"/>
                <w:lang w:val="es-ES"/>
              </w:rPr>
              <w:t>Ratione loci</w:t>
            </w:r>
          </w:p>
        </w:tc>
        <w:tc>
          <w:tcPr>
            <w:tcW w:w="6570" w:type="dxa"/>
            <w:vAlign w:val="center"/>
          </w:tcPr>
          <w:p w:rsidR="00714B6F" w:rsidRPr="00B64305" w:rsidRDefault="00714B6F" w:rsidP="008D2290">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B64305">
              <w:rPr>
                <w:rFonts w:ascii="Cambria" w:hAnsi="Cambria"/>
                <w:bCs/>
                <w:sz w:val="19"/>
                <w:szCs w:val="19"/>
                <w:lang w:val="es-ES"/>
              </w:rPr>
              <w:t>Sí</w:t>
            </w:r>
          </w:p>
        </w:tc>
      </w:tr>
      <w:tr w:rsidR="00714B6F" w:rsidRPr="00F9093A" w:rsidTr="00B64305">
        <w:trPr>
          <w:cantSplit/>
        </w:trPr>
        <w:tc>
          <w:tcPr>
            <w:tcW w:w="2790" w:type="dxa"/>
            <w:shd w:val="clear" w:color="auto" w:fill="386294"/>
            <w:vAlign w:val="center"/>
          </w:tcPr>
          <w:p w:rsidR="00714B6F" w:rsidRPr="00B64305" w:rsidRDefault="00714B6F" w:rsidP="00B64305">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B64305">
              <w:rPr>
                <w:rFonts w:ascii="Cambria" w:hAnsi="Cambria"/>
                <w:bCs/>
                <w:i/>
                <w:color w:val="FFFFFF"/>
                <w:sz w:val="19"/>
                <w:szCs w:val="19"/>
                <w:lang w:val="es-ES"/>
              </w:rPr>
              <w:t>Ratione temporis</w:t>
            </w:r>
          </w:p>
        </w:tc>
        <w:tc>
          <w:tcPr>
            <w:tcW w:w="6570" w:type="dxa"/>
            <w:vAlign w:val="center"/>
          </w:tcPr>
          <w:p w:rsidR="00714B6F" w:rsidRPr="00B64305" w:rsidRDefault="00714B6F" w:rsidP="008D2290">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B64305">
              <w:rPr>
                <w:rFonts w:ascii="Cambria" w:hAnsi="Cambria"/>
                <w:bCs/>
                <w:sz w:val="19"/>
                <w:szCs w:val="19"/>
                <w:lang w:val="es-ES"/>
              </w:rPr>
              <w:t>Sí</w:t>
            </w:r>
          </w:p>
        </w:tc>
      </w:tr>
      <w:tr w:rsidR="00714B6F" w:rsidRPr="008F529B" w:rsidTr="00B64305">
        <w:trPr>
          <w:cantSplit/>
        </w:trPr>
        <w:tc>
          <w:tcPr>
            <w:tcW w:w="2790" w:type="dxa"/>
            <w:tcBorders>
              <w:bottom w:val="single" w:sz="4" w:space="0" w:color="auto"/>
            </w:tcBorders>
            <w:shd w:val="clear" w:color="auto" w:fill="386294"/>
            <w:vAlign w:val="center"/>
          </w:tcPr>
          <w:p w:rsidR="00714B6F" w:rsidRPr="00B64305" w:rsidRDefault="00714B6F" w:rsidP="00B64305">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B64305">
              <w:rPr>
                <w:rFonts w:ascii="Cambria" w:hAnsi="Cambria"/>
                <w:bCs/>
                <w:i/>
                <w:color w:val="FFFFFF"/>
                <w:sz w:val="19"/>
                <w:szCs w:val="19"/>
                <w:lang w:val="es-ES"/>
              </w:rPr>
              <w:t>Ratione materiae</w:t>
            </w:r>
          </w:p>
        </w:tc>
        <w:tc>
          <w:tcPr>
            <w:tcW w:w="6570" w:type="dxa"/>
            <w:tcBorders>
              <w:bottom w:val="single" w:sz="4" w:space="0" w:color="auto"/>
            </w:tcBorders>
            <w:vAlign w:val="center"/>
          </w:tcPr>
          <w:p w:rsidR="00714B6F" w:rsidRPr="00B64305" w:rsidRDefault="00714B6F" w:rsidP="00B64305">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B64305">
              <w:rPr>
                <w:rFonts w:ascii="Cambria" w:hAnsi="Cambria"/>
                <w:bCs/>
                <w:sz w:val="19"/>
                <w:szCs w:val="19"/>
                <w:lang w:val="es-ES"/>
              </w:rPr>
              <w:t>Sí, Convención Americana (depósito del instrumento realizado el 28 de julio de 1978)</w:t>
            </w:r>
          </w:p>
        </w:tc>
      </w:tr>
    </w:tbl>
    <w:p w:rsidR="00714B6F" w:rsidRPr="00F9093A" w:rsidRDefault="00714B6F" w:rsidP="007C402A">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20"/>
          <w:szCs w:val="20"/>
          <w:lang w:val="es-ES"/>
        </w:rPr>
      </w:pPr>
      <w:r w:rsidRPr="00F9093A">
        <w:rPr>
          <w:rFonts w:ascii="Cambria" w:hAnsi="Cambria"/>
          <w:b/>
          <w:bCs/>
          <w:sz w:val="20"/>
          <w:szCs w:val="20"/>
          <w:lang w:val="es-ES"/>
        </w:rPr>
        <w:t xml:space="preserve">IV. </w:t>
      </w:r>
      <w:r w:rsidRPr="00F9093A">
        <w:rPr>
          <w:rFonts w:ascii="Cambria" w:hAnsi="Cambria"/>
          <w:b/>
          <w:bCs/>
          <w:sz w:val="20"/>
          <w:szCs w:val="20"/>
          <w:lang w:val="es-ES"/>
        </w:rPr>
        <w:tab/>
        <w:t>DUPLICACIÓN</w:t>
      </w:r>
      <w:r w:rsidRPr="00F9093A">
        <w:rPr>
          <w:rFonts w:ascii="Cambria" w:hAnsi="Cambria"/>
          <w:b/>
          <w:bCs/>
          <w:color w:val="FFFFFF"/>
          <w:sz w:val="20"/>
          <w:szCs w:val="20"/>
          <w:lang w:val="es-ES"/>
        </w:rPr>
        <w:t xml:space="preserve"> </w:t>
      </w:r>
      <w:r w:rsidRPr="00F9093A">
        <w:rPr>
          <w:rFonts w:ascii="Cambria" w:hAnsi="Cambria"/>
          <w:b/>
          <w:bCs/>
          <w:sz w:val="20"/>
          <w:szCs w:val="20"/>
          <w:lang w:val="es-ES"/>
        </w:rPr>
        <w:t>DE PROCEDIMIENTOS Y COSA JUZGADA</w:t>
      </w:r>
      <w:r w:rsidRPr="00F9093A">
        <w:rPr>
          <w:rFonts w:ascii="Cambria" w:hAnsi="Cambria"/>
          <w:b/>
          <w:bCs/>
          <w:i/>
          <w:sz w:val="20"/>
          <w:szCs w:val="20"/>
          <w:lang w:val="es-ES"/>
        </w:rPr>
        <w:t xml:space="preserve"> </w:t>
      </w:r>
      <w:r w:rsidRPr="00F9093A">
        <w:rPr>
          <w:rFonts w:ascii="Cambria" w:hAnsi="Cambria"/>
          <w:b/>
          <w:bCs/>
          <w:sz w:val="20"/>
          <w:szCs w:val="20"/>
          <w:lang w:val="es-ES"/>
        </w:rPr>
        <w:t xml:space="preserve">INTERNACIONAL,  CARACTERIZACIÓN, </w:t>
      </w:r>
      <w:r w:rsidRPr="00F9093A">
        <w:rPr>
          <w:rFonts w:ascii="Cambria" w:hAnsi="Cambria"/>
          <w:b/>
          <w:sz w:val="20"/>
          <w:szCs w:val="20"/>
          <w:lang w:val="es-ES"/>
        </w:rPr>
        <w:t>AGOTAMIENTO DE LOS RECURSOS INTERNOS Y PLAZO DE PRESENTACIÓN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64"/>
        <w:gridCol w:w="6478"/>
      </w:tblGrid>
      <w:tr w:rsidR="00714B6F" w:rsidRPr="00F9093A" w:rsidTr="00B64305">
        <w:trPr>
          <w:cantSplit/>
        </w:trPr>
        <w:tc>
          <w:tcPr>
            <w:tcW w:w="2790" w:type="dxa"/>
            <w:tcBorders>
              <w:top w:val="single" w:sz="4" w:space="0" w:color="auto"/>
            </w:tcBorders>
            <w:shd w:val="clear" w:color="auto" w:fill="386294"/>
            <w:vAlign w:val="center"/>
          </w:tcPr>
          <w:p w:rsidR="00714B6F" w:rsidRPr="00B64305" w:rsidRDefault="00714B6F" w:rsidP="00B64305">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B64305">
              <w:rPr>
                <w:rFonts w:ascii="Cambria" w:hAnsi="Cambria"/>
                <w:bCs/>
                <w:color w:val="FFFFFF"/>
                <w:sz w:val="19"/>
                <w:szCs w:val="19"/>
                <w:lang w:val="es-ES"/>
              </w:rPr>
              <w:t>Duplicación y cosa juzgada internacional</w:t>
            </w:r>
          </w:p>
        </w:tc>
        <w:tc>
          <w:tcPr>
            <w:tcW w:w="6570" w:type="dxa"/>
            <w:tcBorders>
              <w:top w:val="single" w:sz="4" w:space="0" w:color="auto"/>
            </w:tcBorders>
            <w:vAlign w:val="center"/>
          </w:tcPr>
          <w:p w:rsidR="00714B6F" w:rsidRPr="00B64305" w:rsidRDefault="00714B6F" w:rsidP="00B64305">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B64305">
              <w:rPr>
                <w:rFonts w:ascii="Cambria" w:hAnsi="Cambria"/>
                <w:bCs/>
                <w:sz w:val="19"/>
                <w:szCs w:val="19"/>
                <w:lang w:val="es-ES"/>
              </w:rPr>
              <w:t>No</w:t>
            </w:r>
          </w:p>
        </w:tc>
      </w:tr>
      <w:tr w:rsidR="00714B6F" w:rsidRPr="008F529B" w:rsidTr="00B64305">
        <w:trPr>
          <w:cantSplit/>
        </w:trPr>
        <w:tc>
          <w:tcPr>
            <w:tcW w:w="2790" w:type="dxa"/>
            <w:tcBorders>
              <w:top w:val="single" w:sz="4" w:space="0" w:color="auto"/>
            </w:tcBorders>
            <w:shd w:val="clear" w:color="auto" w:fill="386294"/>
            <w:vAlign w:val="center"/>
          </w:tcPr>
          <w:p w:rsidR="00714B6F" w:rsidRPr="00B64305" w:rsidRDefault="00714B6F" w:rsidP="00B64305">
            <w:pPr>
              <w:pBdr>
                <w:top w:val="none" w:sz="0" w:space="0" w:color="auto"/>
                <w:left w:val="none" w:sz="0" w:space="0" w:color="auto"/>
                <w:bottom w:val="none" w:sz="0" w:space="0" w:color="auto"/>
                <w:right w:val="none" w:sz="0" w:space="0" w:color="auto"/>
                <w:bar w:val="none" w:sz="0" w:color="auto"/>
              </w:pBdr>
              <w:jc w:val="center"/>
              <w:rPr>
                <w:rFonts w:ascii="Cambria" w:hAnsi="Cambria"/>
                <w:bCs/>
                <w:i/>
                <w:color w:val="FFFFFF"/>
                <w:sz w:val="19"/>
                <w:szCs w:val="19"/>
                <w:lang w:val="es-ES"/>
              </w:rPr>
            </w:pPr>
            <w:r w:rsidRPr="00B64305">
              <w:rPr>
                <w:rFonts w:ascii="Cambria" w:hAnsi="Cambria"/>
                <w:bCs/>
                <w:color w:val="FFFFFF"/>
                <w:sz w:val="19"/>
                <w:szCs w:val="19"/>
                <w:lang w:val="es-ES"/>
              </w:rPr>
              <w:t>Derechos admitidos</w:t>
            </w:r>
          </w:p>
        </w:tc>
        <w:tc>
          <w:tcPr>
            <w:tcW w:w="6570" w:type="dxa"/>
            <w:vAlign w:val="center"/>
          </w:tcPr>
          <w:p w:rsidR="00714B6F" w:rsidRPr="00B64305" w:rsidRDefault="00714B6F" w:rsidP="00B64305">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B64305">
              <w:rPr>
                <w:rFonts w:ascii="Cambria" w:hAnsi="Cambria"/>
                <w:bCs/>
                <w:sz w:val="19"/>
                <w:szCs w:val="19"/>
                <w:lang w:val="es-AR"/>
              </w:rPr>
              <w:t>Artículos 8 (garantías judiciales), 23 (derechos políticos), 25 (protección judicial) y</w:t>
            </w:r>
            <w:r w:rsidRPr="00B64305">
              <w:rPr>
                <w:rFonts w:ascii="Cambria" w:hAnsi="Cambria"/>
                <w:sz w:val="19"/>
                <w:szCs w:val="19"/>
                <w:lang w:val="es-AR"/>
              </w:rPr>
              <w:t xml:space="preserve"> 26 (derechos económicos, sociales y culturales) </w:t>
            </w:r>
            <w:r w:rsidRPr="00B64305">
              <w:rPr>
                <w:rFonts w:ascii="Cambria" w:hAnsi="Cambria"/>
                <w:bCs/>
                <w:sz w:val="19"/>
                <w:szCs w:val="19"/>
                <w:lang w:val="es-AR"/>
              </w:rPr>
              <w:t xml:space="preserve"> de la </w:t>
            </w:r>
            <w:r w:rsidRPr="00B64305">
              <w:rPr>
                <w:rFonts w:ascii="Cambria" w:hAnsi="Cambria"/>
                <w:bCs/>
                <w:sz w:val="19"/>
                <w:szCs w:val="19"/>
                <w:lang w:val="es-ES"/>
              </w:rPr>
              <w:t xml:space="preserve">Convención Americana </w:t>
            </w:r>
            <w:r w:rsidRPr="00B64305">
              <w:rPr>
                <w:rFonts w:ascii="Cambria" w:hAnsi="Cambria"/>
                <w:bCs/>
                <w:sz w:val="19"/>
                <w:szCs w:val="19"/>
                <w:lang w:val="es-AR"/>
              </w:rPr>
              <w:t>en relación con sus artículos 1.1 (obligación de respetar los derechos) y 2 (deber de adoptar disposiciones de derecho interno)</w:t>
            </w:r>
          </w:p>
        </w:tc>
      </w:tr>
      <w:tr w:rsidR="00714B6F" w:rsidRPr="00F9093A" w:rsidTr="00B64305">
        <w:trPr>
          <w:cantSplit/>
        </w:trPr>
        <w:tc>
          <w:tcPr>
            <w:tcW w:w="2790" w:type="dxa"/>
            <w:shd w:val="clear" w:color="auto" w:fill="386294"/>
            <w:vAlign w:val="center"/>
          </w:tcPr>
          <w:p w:rsidR="00714B6F" w:rsidRPr="00B64305" w:rsidRDefault="00714B6F" w:rsidP="00B64305">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B64305">
              <w:rPr>
                <w:rFonts w:ascii="Cambria" w:hAnsi="Cambria"/>
                <w:bCs/>
                <w:color w:val="FFFFFF"/>
                <w:sz w:val="19"/>
                <w:szCs w:val="19"/>
                <w:lang w:val="es-ES"/>
              </w:rPr>
              <w:t>Agotamiento de recursos o procedencia de una excepción</w:t>
            </w:r>
          </w:p>
        </w:tc>
        <w:tc>
          <w:tcPr>
            <w:tcW w:w="6570" w:type="dxa"/>
            <w:vAlign w:val="center"/>
          </w:tcPr>
          <w:p w:rsidR="00714B6F" w:rsidRPr="00B64305" w:rsidRDefault="00714B6F" w:rsidP="00BB3FBD">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B64305">
              <w:rPr>
                <w:rFonts w:ascii="Cambria" w:hAnsi="Cambria"/>
                <w:bCs/>
                <w:sz w:val="19"/>
                <w:szCs w:val="19"/>
                <w:lang w:val="es-ES"/>
              </w:rPr>
              <w:t>Sí, 15 de diciembre de 2008</w:t>
            </w:r>
          </w:p>
        </w:tc>
      </w:tr>
      <w:tr w:rsidR="00714B6F" w:rsidRPr="008F529B" w:rsidTr="00B64305">
        <w:trPr>
          <w:cantSplit/>
        </w:trPr>
        <w:tc>
          <w:tcPr>
            <w:tcW w:w="2790" w:type="dxa"/>
            <w:tcBorders>
              <w:bottom w:val="single" w:sz="4" w:space="0" w:color="auto"/>
            </w:tcBorders>
            <w:shd w:val="clear" w:color="auto" w:fill="386294"/>
            <w:vAlign w:val="center"/>
          </w:tcPr>
          <w:p w:rsidR="00714B6F" w:rsidRPr="00B64305" w:rsidRDefault="00714B6F" w:rsidP="00B64305">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B64305">
              <w:rPr>
                <w:rFonts w:ascii="Cambria" w:hAnsi="Cambria"/>
                <w:bCs/>
                <w:color w:val="FFFFFF"/>
                <w:sz w:val="19"/>
                <w:szCs w:val="19"/>
                <w:lang w:val="es-ES"/>
              </w:rPr>
              <w:t>Presentación dentro de plazo</w:t>
            </w:r>
          </w:p>
        </w:tc>
        <w:tc>
          <w:tcPr>
            <w:tcW w:w="6570" w:type="dxa"/>
            <w:tcBorders>
              <w:bottom w:val="single" w:sz="4" w:space="0" w:color="auto"/>
            </w:tcBorders>
            <w:vAlign w:val="center"/>
          </w:tcPr>
          <w:p w:rsidR="00714B6F" w:rsidRPr="00B64305" w:rsidRDefault="00714B6F" w:rsidP="008D2290">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B64305">
              <w:rPr>
                <w:rFonts w:ascii="Cambria" w:hAnsi="Cambria"/>
                <w:bCs/>
                <w:sz w:val="19"/>
                <w:szCs w:val="19"/>
                <w:lang w:val="es-AR"/>
              </w:rPr>
              <w:t>Sí, en los términos de la sección VI</w:t>
            </w:r>
          </w:p>
        </w:tc>
      </w:tr>
    </w:tbl>
    <w:p w:rsidR="00714B6F" w:rsidRPr="00F9093A" w:rsidRDefault="00714B6F" w:rsidP="007F2CE6">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sz w:val="20"/>
          <w:szCs w:val="20"/>
          <w:lang w:val="es-ES"/>
        </w:rPr>
      </w:pPr>
      <w:r w:rsidRPr="00F9093A">
        <w:rPr>
          <w:rFonts w:ascii="Cambria" w:hAnsi="Cambria"/>
          <w:b/>
          <w:sz w:val="20"/>
          <w:szCs w:val="20"/>
          <w:lang w:val="es-ES"/>
        </w:rPr>
        <w:t xml:space="preserve">V. </w:t>
      </w:r>
      <w:r w:rsidRPr="00F9093A">
        <w:rPr>
          <w:rFonts w:ascii="Cambria" w:hAnsi="Cambria"/>
          <w:b/>
          <w:sz w:val="20"/>
          <w:szCs w:val="20"/>
          <w:lang w:val="es-ES"/>
        </w:rPr>
        <w:tab/>
        <w:t>RESUMEN DE LOS HECHOS ALEGADOS</w:t>
      </w:r>
    </w:p>
    <w:p w:rsidR="00714B6F" w:rsidRDefault="00714B6F" w:rsidP="00E946F3">
      <w:pPr>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rFonts w:ascii="Cambria" w:hAnsi="Cambria"/>
          <w:sz w:val="20"/>
          <w:szCs w:val="20"/>
          <w:lang w:val="es-ES"/>
        </w:rPr>
      </w:pPr>
      <w:r w:rsidRPr="00F9093A">
        <w:rPr>
          <w:rFonts w:ascii="Cambria" w:hAnsi="Cambria"/>
          <w:sz w:val="20"/>
          <w:szCs w:val="20"/>
          <w:lang w:val="es-ES"/>
        </w:rPr>
        <w:t xml:space="preserve">La parte peticionaria </w:t>
      </w:r>
      <w:r>
        <w:rPr>
          <w:rFonts w:ascii="Cambria" w:hAnsi="Cambria"/>
          <w:sz w:val="20"/>
          <w:szCs w:val="20"/>
          <w:lang w:val="es-ES"/>
        </w:rPr>
        <w:t>denuncia presuntas violaciones a los derechos humanos d</w:t>
      </w:r>
      <w:r w:rsidRPr="00F9093A">
        <w:rPr>
          <w:rFonts w:ascii="Cambria" w:hAnsi="Cambria"/>
          <w:sz w:val="20"/>
          <w:szCs w:val="20"/>
          <w:lang w:val="es-ES"/>
        </w:rPr>
        <w:t xml:space="preserve">el Sr. </w:t>
      </w:r>
      <w:r w:rsidRPr="00F9093A">
        <w:rPr>
          <w:rFonts w:ascii="Cambria" w:hAnsi="Cambria"/>
          <w:bCs/>
          <w:sz w:val="20"/>
          <w:szCs w:val="20"/>
          <w:lang w:val="es-ES"/>
        </w:rPr>
        <w:t>Miguel Christian Torres M</w:t>
      </w:r>
      <w:r w:rsidRPr="00F9093A">
        <w:rPr>
          <w:rFonts w:ascii="Cambria" w:hAnsi="Cambria" w:cs="Tahoma"/>
          <w:color w:val="000000"/>
          <w:sz w:val="20"/>
          <w:szCs w:val="20"/>
          <w:lang w:val="es-ES"/>
        </w:rPr>
        <w:t>é</w:t>
      </w:r>
      <w:r w:rsidRPr="00F9093A">
        <w:rPr>
          <w:rFonts w:ascii="Cambria" w:hAnsi="Cambria"/>
          <w:bCs/>
          <w:sz w:val="20"/>
          <w:szCs w:val="20"/>
          <w:lang w:val="es-ES"/>
        </w:rPr>
        <w:t>ndez</w:t>
      </w:r>
      <w:r w:rsidRPr="00F9093A">
        <w:rPr>
          <w:rFonts w:ascii="Cambria" w:hAnsi="Cambria"/>
          <w:sz w:val="20"/>
          <w:szCs w:val="20"/>
          <w:lang w:val="es-ES"/>
        </w:rPr>
        <w:t xml:space="preserve"> (en adelante “la presunta víctima”)</w:t>
      </w:r>
      <w:r>
        <w:rPr>
          <w:rFonts w:ascii="Cambria" w:hAnsi="Cambria"/>
          <w:sz w:val="20"/>
          <w:szCs w:val="20"/>
          <w:lang w:val="es-ES"/>
        </w:rPr>
        <w:t>, alegando que fue cesado en</w:t>
      </w:r>
      <w:r w:rsidRPr="00F9093A">
        <w:rPr>
          <w:rFonts w:ascii="Cambria" w:hAnsi="Cambria"/>
          <w:sz w:val="20"/>
          <w:szCs w:val="20"/>
          <w:lang w:val="es-ES"/>
        </w:rPr>
        <w:t xml:space="preserve"> forma arbitraria</w:t>
      </w:r>
      <w:r>
        <w:rPr>
          <w:rFonts w:ascii="Cambria" w:hAnsi="Cambria"/>
          <w:sz w:val="20"/>
          <w:szCs w:val="20"/>
          <w:lang w:val="es-ES"/>
        </w:rPr>
        <w:t xml:space="preserve"> y en violación al debido proceso</w:t>
      </w:r>
      <w:r w:rsidRPr="00F9093A">
        <w:rPr>
          <w:rFonts w:ascii="Cambria" w:hAnsi="Cambria"/>
          <w:sz w:val="20"/>
          <w:szCs w:val="20"/>
          <w:lang w:val="es-ES"/>
        </w:rPr>
        <w:t xml:space="preserve"> del cargo de Vocal Superior Titular de la Corte Superior de Justicia de Callao,</w:t>
      </w:r>
      <w:r>
        <w:rPr>
          <w:rFonts w:ascii="Cambria" w:hAnsi="Cambria"/>
          <w:sz w:val="20"/>
          <w:szCs w:val="20"/>
          <w:lang w:val="es-ES"/>
        </w:rPr>
        <w:t xml:space="preserve"> para</w:t>
      </w:r>
      <w:r w:rsidRPr="00F9093A">
        <w:rPr>
          <w:rFonts w:ascii="Cambria" w:hAnsi="Cambria"/>
          <w:sz w:val="20"/>
          <w:szCs w:val="20"/>
          <w:lang w:val="es-ES"/>
        </w:rPr>
        <w:t xml:space="preserve"> </w:t>
      </w:r>
      <w:r>
        <w:rPr>
          <w:rFonts w:ascii="Cambria" w:hAnsi="Cambria"/>
          <w:sz w:val="20"/>
          <w:szCs w:val="20"/>
          <w:lang w:val="es-ES"/>
        </w:rPr>
        <w:t xml:space="preserve">el que fue designado mediante concurso y el cual </w:t>
      </w:r>
      <w:r w:rsidRPr="00F9093A">
        <w:rPr>
          <w:rFonts w:ascii="Cambria" w:hAnsi="Cambria"/>
          <w:sz w:val="20"/>
          <w:szCs w:val="20"/>
          <w:lang w:val="es-ES"/>
        </w:rPr>
        <w:t>ocupa</w:t>
      </w:r>
      <w:r>
        <w:rPr>
          <w:rFonts w:ascii="Cambria" w:hAnsi="Cambria"/>
          <w:sz w:val="20"/>
          <w:szCs w:val="20"/>
          <w:lang w:val="es-ES"/>
        </w:rPr>
        <w:t>ba desde el 16 de enero de 1996</w:t>
      </w:r>
      <w:r w:rsidRPr="00F9093A">
        <w:rPr>
          <w:rFonts w:ascii="Cambria" w:hAnsi="Cambria"/>
          <w:sz w:val="20"/>
          <w:szCs w:val="20"/>
          <w:lang w:val="es-ES"/>
        </w:rPr>
        <w:t xml:space="preserve">. </w:t>
      </w:r>
    </w:p>
    <w:p w:rsidR="00714B6F" w:rsidRPr="00E946F3" w:rsidRDefault="00714B6F" w:rsidP="00E946F3">
      <w:pPr>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rFonts w:ascii="Cambria" w:hAnsi="Cambria"/>
          <w:sz w:val="20"/>
          <w:szCs w:val="20"/>
          <w:lang w:val="es-ES"/>
        </w:rPr>
      </w:pPr>
      <w:r>
        <w:rPr>
          <w:rFonts w:ascii="Cambria" w:hAnsi="Cambria"/>
          <w:sz w:val="20"/>
          <w:szCs w:val="20"/>
          <w:lang w:val="es-ES"/>
        </w:rPr>
        <w:t>La parte peticionaria relata que el 6 de julio de 2003 la presunta víctima resultó cesada luego de que</w:t>
      </w:r>
      <w:r w:rsidRPr="00F9093A">
        <w:rPr>
          <w:rFonts w:ascii="Cambria" w:hAnsi="Cambria"/>
          <w:sz w:val="20"/>
          <w:szCs w:val="20"/>
          <w:lang w:val="es-ES"/>
        </w:rPr>
        <w:t xml:space="preserve"> </w:t>
      </w:r>
      <w:r>
        <w:rPr>
          <w:rFonts w:ascii="Cambria" w:hAnsi="Cambria"/>
          <w:sz w:val="20"/>
          <w:szCs w:val="20"/>
          <w:lang w:val="es-ES"/>
        </w:rPr>
        <w:t>e</w:t>
      </w:r>
      <w:r w:rsidRPr="00F9093A">
        <w:rPr>
          <w:rFonts w:ascii="Cambria" w:hAnsi="Cambria"/>
          <w:sz w:val="20"/>
          <w:szCs w:val="20"/>
          <w:lang w:val="es-ES"/>
        </w:rPr>
        <w:t>l Consejo Nacional de la Magistratura (en adelante “el CNM”</w:t>
      </w:r>
      <w:r>
        <w:rPr>
          <w:rFonts w:ascii="Cambria" w:hAnsi="Cambria"/>
          <w:sz w:val="20"/>
          <w:szCs w:val="20"/>
          <w:lang w:val="es-ES"/>
        </w:rPr>
        <w:t>) emitiera una resolución decidiendo no ratificarlo en el cargo que ocupaba. Contra esta resolución l</w:t>
      </w:r>
      <w:r w:rsidRPr="00446956">
        <w:rPr>
          <w:rFonts w:ascii="Cambria" w:hAnsi="Cambria"/>
          <w:sz w:val="20"/>
          <w:szCs w:val="20"/>
          <w:lang w:val="es-ES"/>
        </w:rPr>
        <w:t xml:space="preserve">a presunta víctima </w:t>
      </w:r>
      <w:r>
        <w:rPr>
          <w:rFonts w:ascii="Cambria" w:hAnsi="Cambria"/>
          <w:sz w:val="20"/>
          <w:szCs w:val="20"/>
          <w:lang w:val="es-ES"/>
        </w:rPr>
        <w:t>interpuso</w:t>
      </w:r>
      <w:r w:rsidRPr="00446956">
        <w:rPr>
          <w:rFonts w:ascii="Cambria" w:hAnsi="Cambria"/>
          <w:sz w:val="20"/>
          <w:szCs w:val="20"/>
          <w:lang w:val="es-ES"/>
        </w:rPr>
        <w:t xml:space="preserve"> demanda de amparo</w:t>
      </w:r>
      <w:r>
        <w:rPr>
          <w:rFonts w:ascii="Cambria" w:hAnsi="Cambria"/>
          <w:sz w:val="20"/>
          <w:szCs w:val="20"/>
          <w:lang w:val="es-ES"/>
        </w:rPr>
        <w:t>, resultando en que el</w:t>
      </w:r>
      <w:r w:rsidRPr="00446956">
        <w:rPr>
          <w:rFonts w:ascii="Cambria" w:hAnsi="Cambria"/>
          <w:sz w:val="20"/>
          <w:szCs w:val="20"/>
          <w:lang w:val="es-ES"/>
        </w:rPr>
        <w:t xml:space="preserve"> 4 de octubre de 2005</w:t>
      </w:r>
      <w:r>
        <w:rPr>
          <w:rFonts w:ascii="Cambria" w:hAnsi="Cambria"/>
          <w:sz w:val="20"/>
          <w:szCs w:val="20"/>
          <w:lang w:val="es-ES"/>
        </w:rPr>
        <w:t xml:space="preserve"> </w:t>
      </w:r>
      <w:r w:rsidRPr="00446956">
        <w:rPr>
          <w:rFonts w:ascii="Cambria" w:hAnsi="Cambria"/>
          <w:sz w:val="20"/>
          <w:szCs w:val="20"/>
          <w:lang w:val="es-ES"/>
        </w:rPr>
        <w:t>la Sexta Sala Civil de la Corte Superior de Justicia de Lima</w:t>
      </w:r>
      <w:r>
        <w:rPr>
          <w:rFonts w:ascii="Cambria" w:hAnsi="Cambria"/>
          <w:sz w:val="20"/>
          <w:szCs w:val="20"/>
          <w:lang w:val="es-ES"/>
        </w:rPr>
        <w:t xml:space="preserve"> emitiera</w:t>
      </w:r>
      <w:r w:rsidRPr="00446956">
        <w:rPr>
          <w:rFonts w:ascii="Cambria" w:hAnsi="Cambria"/>
          <w:sz w:val="20"/>
          <w:szCs w:val="20"/>
          <w:lang w:val="es-ES"/>
        </w:rPr>
        <w:t xml:space="preserve"> sentencia declarando inaplicable la Resolución y ordenando la reinc</w:t>
      </w:r>
      <w:r>
        <w:rPr>
          <w:rFonts w:ascii="Cambria" w:hAnsi="Cambria"/>
          <w:sz w:val="20"/>
          <w:szCs w:val="20"/>
          <w:lang w:val="es-ES"/>
        </w:rPr>
        <w:t>orporación de la víctima</w:t>
      </w:r>
      <w:r w:rsidRPr="00446956">
        <w:rPr>
          <w:rFonts w:ascii="Cambria" w:hAnsi="Cambria"/>
          <w:sz w:val="20"/>
          <w:szCs w:val="20"/>
          <w:lang w:val="es-ES"/>
        </w:rPr>
        <w:t xml:space="preserve">. </w:t>
      </w:r>
      <w:r>
        <w:rPr>
          <w:rFonts w:ascii="Cambria" w:hAnsi="Cambria"/>
          <w:sz w:val="20"/>
          <w:szCs w:val="20"/>
          <w:lang w:val="es-ES"/>
        </w:rPr>
        <w:t xml:space="preserve">Indica que la presunta </w:t>
      </w:r>
      <w:r w:rsidRPr="00E946F3">
        <w:rPr>
          <w:rFonts w:ascii="Cambria" w:hAnsi="Cambria"/>
          <w:sz w:val="20"/>
          <w:szCs w:val="20"/>
          <w:lang w:val="es-ES"/>
        </w:rPr>
        <w:t>la presunta víctima</w:t>
      </w:r>
      <w:r>
        <w:rPr>
          <w:rFonts w:ascii="Cambria" w:hAnsi="Cambria"/>
          <w:sz w:val="20"/>
          <w:szCs w:val="20"/>
          <w:lang w:val="es-ES"/>
        </w:rPr>
        <w:t xml:space="preserve"> se reincorporó pero</w:t>
      </w:r>
      <w:r w:rsidRPr="00E946F3">
        <w:rPr>
          <w:rFonts w:ascii="Cambria" w:hAnsi="Cambria"/>
          <w:sz w:val="20"/>
          <w:szCs w:val="20"/>
          <w:lang w:val="es-ES"/>
        </w:rPr>
        <w:t xml:space="preserve"> fue cesada nuevamente de su cargo</w:t>
      </w:r>
      <w:r>
        <w:rPr>
          <w:rFonts w:ascii="Cambria" w:hAnsi="Cambria"/>
          <w:sz w:val="20"/>
          <w:szCs w:val="20"/>
          <w:lang w:val="es-ES"/>
        </w:rPr>
        <w:t xml:space="preserve"> el</w:t>
      </w:r>
      <w:r w:rsidRPr="00E946F3">
        <w:rPr>
          <w:rFonts w:ascii="Cambria" w:hAnsi="Cambria"/>
          <w:sz w:val="20"/>
          <w:szCs w:val="20"/>
          <w:lang w:val="es-ES"/>
        </w:rPr>
        <w:t xml:space="preserve"> 18 de enero de 2006</w:t>
      </w:r>
      <w:r>
        <w:rPr>
          <w:rFonts w:ascii="Cambria" w:hAnsi="Cambria"/>
          <w:sz w:val="20"/>
          <w:szCs w:val="20"/>
          <w:lang w:val="es-ES"/>
        </w:rPr>
        <w:t xml:space="preserve"> luego de que el CNM emitiera r</w:t>
      </w:r>
      <w:r w:rsidRPr="00E946F3">
        <w:rPr>
          <w:rFonts w:ascii="Cambria" w:hAnsi="Cambria"/>
          <w:sz w:val="20"/>
          <w:szCs w:val="20"/>
          <w:lang w:val="es-ES"/>
        </w:rPr>
        <w:t>esolución de</w:t>
      </w:r>
      <w:r>
        <w:rPr>
          <w:rFonts w:ascii="Cambria" w:hAnsi="Cambria"/>
          <w:sz w:val="20"/>
          <w:szCs w:val="20"/>
          <w:lang w:val="es-ES"/>
        </w:rPr>
        <w:t>terminando, por segunda vez,</w:t>
      </w:r>
      <w:r w:rsidRPr="00E946F3">
        <w:rPr>
          <w:rFonts w:ascii="Cambria" w:hAnsi="Cambria"/>
          <w:sz w:val="20"/>
          <w:szCs w:val="20"/>
          <w:lang w:val="es-ES"/>
        </w:rPr>
        <w:t xml:space="preserve"> </w:t>
      </w:r>
      <w:r>
        <w:rPr>
          <w:rFonts w:ascii="Cambria" w:hAnsi="Cambria"/>
          <w:sz w:val="20"/>
          <w:szCs w:val="20"/>
          <w:lang w:val="es-ES"/>
        </w:rPr>
        <w:t xml:space="preserve">la no ratificación de la </w:t>
      </w:r>
      <w:r w:rsidRPr="00E946F3">
        <w:rPr>
          <w:rFonts w:ascii="Cambria" w:hAnsi="Cambria"/>
          <w:sz w:val="20"/>
          <w:szCs w:val="20"/>
          <w:lang w:val="es-ES"/>
        </w:rPr>
        <w:t>presunta víctima.</w:t>
      </w:r>
    </w:p>
    <w:p w:rsidR="00714B6F" w:rsidRPr="00161FFF" w:rsidRDefault="00714B6F" w:rsidP="007F23C4">
      <w:pPr>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rFonts w:ascii="Cambria" w:hAnsi="Cambria"/>
          <w:sz w:val="20"/>
          <w:szCs w:val="20"/>
          <w:lang w:val="es-ES"/>
        </w:rPr>
      </w:pPr>
      <w:r w:rsidRPr="00237CA5">
        <w:rPr>
          <w:rFonts w:ascii="Cambria" w:hAnsi="Cambria"/>
          <w:sz w:val="20"/>
          <w:szCs w:val="20"/>
          <w:lang w:val="es-PA"/>
        </w:rPr>
        <w:lastRenderedPageBreak/>
        <w:t>Alega que, previamente a decidir por segunda vez su no ratificación, el CNM adelantó criterio contra la presunta víctima, publicando el 23 de octubre de 2005 en el diario “Expreso” un comunicado denunciando que</w:t>
      </w:r>
      <w:r>
        <w:rPr>
          <w:rFonts w:ascii="Cambria" w:hAnsi="Cambria"/>
          <w:sz w:val="20"/>
          <w:szCs w:val="20"/>
          <w:lang w:val="es-PA"/>
        </w:rPr>
        <w:t xml:space="preserve"> la sentencia que había ordenado su reintegro constituía</w:t>
      </w:r>
      <w:r w:rsidRPr="00237CA5">
        <w:rPr>
          <w:rFonts w:ascii="Cambria" w:hAnsi="Cambria"/>
          <w:sz w:val="20"/>
          <w:szCs w:val="20"/>
          <w:lang w:val="es-PA"/>
        </w:rPr>
        <w:t xml:space="preserve"> “inconducta funcional y violación constitucional”. </w:t>
      </w:r>
      <w:r>
        <w:rPr>
          <w:rFonts w:ascii="Cambria" w:hAnsi="Cambria"/>
          <w:sz w:val="20"/>
          <w:szCs w:val="20"/>
          <w:lang w:val="es-ES"/>
        </w:rPr>
        <w:t>Agrega</w:t>
      </w:r>
      <w:r w:rsidRPr="00237CA5">
        <w:rPr>
          <w:rFonts w:ascii="Cambria" w:hAnsi="Cambria"/>
          <w:sz w:val="20"/>
          <w:szCs w:val="20"/>
          <w:lang w:val="es-ES"/>
        </w:rPr>
        <w:t xml:space="preserve"> </w:t>
      </w:r>
      <w:r>
        <w:rPr>
          <w:rFonts w:ascii="Cambria" w:hAnsi="Cambria"/>
          <w:sz w:val="20"/>
          <w:szCs w:val="20"/>
          <w:lang w:val="es-ES"/>
        </w:rPr>
        <w:t>que</w:t>
      </w:r>
      <w:r w:rsidRPr="00237CA5">
        <w:rPr>
          <w:rFonts w:ascii="Cambria" w:hAnsi="Cambria"/>
          <w:sz w:val="20"/>
          <w:szCs w:val="20"/>
          <w:lang w:val="es-ES"/>
        </w:rPr>
        <w:t xml:space="preserve"> 25 se agosto de 2005 el CNM </w:t>
      </w:r>
      <w:r>
        <w:rPr>
          <w:rFonts w:ascii="Cambria" w:hAnsi="Cambria"/>
          <w:sz w:val="20"/>
          <w:szCs w:val="20"/>
          <w:lang w:val="es-ES"/>
        </w:rPr>
        <w:t xml:space="preserve">interpuso </w:t>
      </w:r>
      <w:r w:rsidRPr="00C43A9C">
        <w:rPr>
          <w:rFonts w:ascii="Cambria" w:hAnsi="Cambria"/>
          <w:sz w:val="20"/>
          <w:szCs w:val="20"/>
          <w:lang w:val="es-ES"/>
        </w:rPr>
        <w:t>ante el Órgano de Control de la Magistratura</w:t>
      </w:r>
      <w:r w:rsidRPr="00237CA5">
        <w:rPr>
          <w:rFonts w:ascii="Cambria" w:hAnsi="Cambria"/>
          <w:sz w:val="20"/>
          <w:szCs w:val="20"/>
          <w:lang w:val="es-ES"/>
        </w:rPr>
        <w:t xml:space="preserve"> una queja por irregularidad funcional contra los magistrados que expidieron la sentencia favorable a la presunta víctima</w:t>
      </w:r>
      <w:r>
        <w:rPr>
          <w:rFonts w:ascii="Cambria" w:hAnsi="Cambria"/>
          <w:sz w:val="20"/>
          <w:szCs w:val="20"/>
          <w:lang w:val="es-ES"/>
        </w:rPr>
        <w:t xml:space="preserve">. Además resalta que </w:t>
      </w:r>
      <w:r w:rsidRPr="00D2725D">
        <w:rPr>
          <w:rFonts w:ascii="Cambria" w:hAnsi="Cambria"/>
          <w:sz w:val="20"/>
          <w:szCs w:val="20"/>
          <w:lang w:val="es-ES"/>
        </w:rPr>
        <w:t xml:space="preserve">dos de los consejeros que suscribieron la </w:t>
      </w:r>
      <w:r>
        <w:rPr>
          <w:rFonts w:ascii="Cambria" w:hAnsi="Cambria"/>
          <w:sz w:val="20"/>
          <w:szCs w:val="20"/>
          <w:lang w:val="es-ES"/>
        </w:rPr>
        <w:t>segunda resolución de no ratificación habían</w:t>
      </w:r>
      <w:r w:rsidRPr="00D2725D">
        <w:rPr>
          <w:rFonts w:ascii="Cambria" w:hAnsi="Cambria"/>
          <w:sz w:val="20"/>
          <w:szCs w:val="20"/>
          <w:lang w:val="es-ES"/>
        </w:rPr>
        <w:t xml:space="preserve"> formado parte del </w:t>
      </w:r>
      <w:r>
        <w:rPr>
          <w:rFonts w:ascii="Cambria" w:hAnsi="Cambria"/>
          <w:sz w:val="20"/>
          <w:szCs w:val="20"/>
          <w:lang w:val="es-ES"/>
        </w:rPr>
        <w:t>colegiado que expidió la primera.</w:t>
      </w:r>
    </w:p>
    <w:p w:rsidR="00714B6F" w:rsidRPr="00080FE5" w:rsidRDefault="00714B6F" w:rsidP="007F23C4">
      <w:pPr>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rFonts w:ascii="Cambria" w:hAnsi="Cambria"/>
          <w:sz w:val="20"/>
          <w:szCs w:val="20"/>
          <w:lang w:val="es-ES"/>
        </w:rPr>
      </w:pPr>
      <w:r>
        <w:rPr>
          <w:rFonts w:ascii="Cambria" w:hAnsi="Cambria"/>
          <w:sz w:val="20"/>
          <w:szCs w:val="20"/>
          <w:lang w:val="es-ES"/>
        </w:rPr>
        <w:t>La parte peticionaria señala que el Estado reconoció (mediante acuerdo de solución amistosa homologado por esta Comisión</w:t>
      </w:r>
      <w:r w:rsidRPr="00151A95">
        <w:rPr>
          <w:rStyle w:val="FootnoteReference"/>
          <w:rFonts w:ascii="Cambria" w:hAnsi="Cambria"/>
          <w:sz w:val="20"/>
          <w:szCs w:val="20"/>
          <w:lang w:val="es-ES"/>
        </w:rPr>
        <w:footnoteReference w:id="6"/>
      </w:r>
      <w:r>
        <w:rPr>
          <w:rFonts w:ascii="Cambria" w:hAnsi="Cambria"/>
          <w:sz w:val="20"/>
          <w:szCs w:val="20"/>
          <w:lang w:val="es-ES"/>
        </w:rPr>
        <w:t xml:space="preserve">) que el proceso </w:t>
      </w:r>
      <w:r w:rsidRPr="00EB60D7">
        <w:rPr>
          <w:rFonts w:ascii="Cambria" w:hAnsi="Cambria"/>
          <w:sz w:val="20"/>
          <w:szCs w:val="20"/>
          <w:lang w:val="es-ES"/>
        </w:rPr>
        <w:t>de ratificación de jueces y fiscales</w:t>
      </w:r>
      <w:r>
        <w:rPr>
          <w:rFonts w:ascii="Cambria" w:hAnsi="Cambria"/>
          <w:sz w:val="20"/>
          <w:szCs w:val="20"/>
          <w:lang w:val="es-ES"/>
        </w:rPr>
        <w:t>, tal y como había sido llevado a cabo antes del 1 de diciembre de 2004, no respetaba ciertas garantías de la tutela procesal efectiva (principalmente la de debida motivación). Alega que, pese a esto, al momento de decidirse su no ratificación la ley sólo permitía la revisión constitucional de las decisiones del CNM sobre ratificación si la decisión se tomaba sin audiencia previa con participación del interesado o sin debida motivación. Por esta razón, aduce que no existía protección judicial contra otras formas de violación al debido proceso tales como falta de independencia e imparcialidad por parte de los integrantes del CNM. Añade que tampoco pudo presentar recusaciones contra los integrantes del CNM porque las normas que regían el proceso de evaluación y ratificación no lo permitían</w:t>
      </w:r>
      <w:r>
        <w:rPr>
          <w:rStyle w:val="FootnoteReference"/>
          <w:rFonts w:ascii="Cambria" w:hAnsi="Cambria"/>
          <w:sz w:val="20"/>
          <w:szCs w:val="20"/>
          <w:lang w:val="es-ES"/>
        </w:rPr>
        <w:footnoteReference w:id="7"/>
      </w:r>
      <w:r>
        <w:rPr>
          <w:rFonts w:ascii="Cambria" w:hAnsi="Cambria"/>
          <w:sz w:val="20"/>
          <w:szCs w:val="20"/>
          <w:lang w:val="es-ES"/>
        </w:rPr>
        <w:t>. Señala que no fue sino hasta después de que se emitiera la segunda decisión en su contra que se introdujo en la legislación peruana el llamado recurso extraordinario que permite una revisión más amplia de las decisiones del CNM, por lo que no tuvo acceso a ese recurso. Considera que el proceso de evaluación y ratificación tal y como se le siguió a la presunta víctima es incompatible con el principio de independencia judicial.</w:t>
      </w:r>
    </w:p>
    <w:p w:rsidR="00714B6F" w:rsidRPr="001D258F" w:rsidRDefault="00714B6F" w:rsidP="007F23C4">
      <w:pPr>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rFonts w:ascii="Cambria" w:hAnsi="Cambria"/>
          <w:sz w:val="20"/>
          <w:szCs w:val="20"/>
          <w:lang w:val="es-ES"/>
        </w:rPr>
      </w:pPr>
      <w:r w:rsidRPr="00965777">
        <w:rPr>
          <w:rFonts w:ascii="Cambria" w:hAnsi="Cambria"/>
          <w:sz w:val="20"/>
          <w:szCs w:val="20"/>
          <w:lang w:val="es-ES"/>
        </w:rPr>
        <w:t xml:space="preserve">El 3 de abril de 2006, la </w:t>
      </w:r>
      <w:r>
        <w:rPr>
          <w:rFonts w:ascii="Cambria" w:hAnsi="Cambria"/>
          <w:sz w:val="20"/>
          <w:szCs w:val="20"/>
          <w:lang w:val="es-ES"/>
        </w:rPr>
        <w:t>presunta ví</w:t>
      </w:r>
      <w:r w:rsidRPr="00965777">
        <w:rPr>
          <w:rFonts w:ascii="Cambria" w:hAnsi="Cambria"/>
          <w:sz w:val="20"/>
          <w:szCs w:val="20"/>
          <w:lang w:val="es-ES"/>
        </w:rPr>
        <w:t>ctima interpuso una acción de amparo</w:t>
      </w:r>
      <w:r>
        <w:rPr>
          <w:rFonts w:ascii="Cambria" w:hAnsi="Cambria"/>
          <w:sz w:val="20"/>
          <w:szCs w:val="20"/>
          <w:lang w:val="es-ES"/>
        </w:rPr>
        <w:t xml:space="preserve"> solicitando la nulidad de</w:t>
      </w:r>
      <w:r w:rsidRPr="00965777">
        <w:rPr>
          <w:rFonts w:ascii="Cambria" w:hAnsi="Cambria"/>
          <w:sz w:val="20"/>
          <w:szCs w:val="20"/>
          <w:lang w:val="es-ES"/>
        </w:rPr>
        <w:t xml:space="preserve"> la</w:t>
      </w:r>
      <w:r>
        <w:rPr>
          <w:rFonts w:ascii="Cambria" w:hAnsi="Cambria"/>
          <w:sz w:val="20"/>
          <w:szCs w:val="20"/>
          <w:lang w:val="es-ES"/>
        </w:rPr>
        <w:t xml:space="preserve"> segunda resolución de n</w:t>
      </w:r>
      <w:r w:rsidRPr="00965777">
        <w:rPr>
          <w:rFonts w:ascii="Cambria" w:hAnsi="Cambria"/>
          <w:sz w:val="20"/>
          <w:szCs w:val="20"/>
          <w:lang w:val="es-ES"/>
        </w:rPr>
        <w:t>o Ratificación</w:t>
      </w:r>
      <w:r>
        <w:rPr>
          <w:rFonts w:ascii="Cambria" w:hAnsi="Cambria"/>
          <w:sz w:val="20"/>
          <w:szCs w:val="20"/>
          <w:lang w:val="es-ES"/>
        </w:rPr>
        <w:t>.</w:t>
      </w:r>
      <w:r w:rsidRPr="00965777">
        <w:rPr>
          <w:rFonts w:ascii="Cambria" w:hAnsi="Cambria"/>
          <w:sz w:val="20"/>
          <w:szCs w:val="20"/>
          <w:lang w:val="es-ES"/>
        </w:rPr>
        <w:t xml:space="preserve"> </w:t>
      </w:r>
      <w:r>
        <w:rPr>
          <w:rFonts w:ascii="Cambria" w:hAnsi="Cambria"/>
          <w:sz w:val="20"/>
          <w:szCs w:val="20"/>
          <w:lang w:val="es-ES"/>
        </w:rPr>
        <w:t>E</w:t>
      </w:r>
      <w:r w:rsidRPr="00965777">
        <w:rPr>
          <w:rFonts w:ascii="Cambria" w:hAnsi="Cambria"/>
          <w:sz w:val="20"/>
          <w:szCs w:val="20"/>
          <w:lang w:val="es-ES"/>
        </w:rPr>
        <w:t xml:space="preserve">l 6 de abril de 2006, el Quincuagésimo Tercer Juzgado especializado en lo Civil de la Corte Superior de Lima declaró improcedente la demanda </w:t>
      </w:r>
      <w:r>
        <w:rPr>
          <w:rFonts w:ascii="Cambria" w:hAnsi="Cambria"/>
          <w:sz w:val="20"/>
          <w:szCs w:val="20"/>
          <w:lang w:val="es-ES"/>
        </w:rPr>
        <w:t>al considerar que la resolución</w:t>
      </w:r>
      <w:r w:rsidRPr="00965777">
        <w:rPr>
          <w:rFonts w:ascii="Cambria" w:hAnsi="Cambria"/>
          <w:sz w:val="20"/>
          <w:szCs w:val="20"/>
          <w:lang w:val="es-ES"/>
        </w:rPr>
        <w:t xml:space="preserve"> fue debidamente motivada y con previa audiencia del interesado. </w:t>
      </w:r>
      <w:r>
        <w:rPr>
          <w:rFonts w:ascii="Cambria" w:hAnsi="Cambria"/>
          <w:sz w:val="20"/>
          <w:szCs w:val="20"/>
          <w:lang w:val="es-ES"/>
        </w:rPr>
        <w:t>La presunta víctima apeló esta decisión el 27 de abril de 2006. Sin embargo,</w:t>
      </w:r>
      <w:r w:rsidRPr="00965777">
        <w:rPr>
          <w:rFonts w:ascii="Cambria" w:hAnsi="Cambria"/>
          <w:sz w:val="20"/>
          <w:szCs w:val="20"/>
          <w:lang w:val="es-ES"/>
        </w:rPr>
        <w:t xml:space="preserve"> el 19 de marzo de 2007 la Sexta Sala Civil de la Corte Superior de Lima</w:t>
      </w:r>
      <w:r>
        <w:rPr>
          <w:rFonts w:ascii="Cambria" w:hAnsi="Cambria"/>
          <w:sz w:val="20"/>
          <w:szCs w:val="20"/>
          <w:lang w:val="es-ES"/>
        </w:rPr>
        <w:t xml:space="preserve"> confirmó la decisión de primera instancia</w:t>
      </w:r>
      <w:r w:rsidRPr="00965777">
        <w:rPr>
          <w:rFonts w:ascii="Cambria" w:hAnsi="Cambria"/>
          <w:sz w:val="20"/>
          <w:szCs w:val="20"/>
          <w:lang w:val="es-ES"/>
        </w:rPr>
        <w:t xml:space="preserve">. </w:t>
      </w:r>
      <w:r>
        <w:rPr>
          <w:rFonts w:ascii="Cambria" w:hAnsi="Cambria"/>
          <w:sz w:val="20"/>
          <w:szCs w:val="20"/>
          <w:lang w:val="es-ES"/>
        </w:rPr>
        <w:t xml:space="preserve">Luego, interpuso recurso de agravio constitucional contra la decisión, el que fue declarado improcedente por el Tribunal Constitucional.  La parte peticionaria señala que la decisión del Tribunal Constitucional les fue notificada el 15 de diciembre de 2008 y considera que los recursos internos se agotaron con esta decisión.  </w:t>
      </w:r>
    </w:p>
    <w:p w:rsidR="00714B6F" w:rsidRPr="007F23C4" w:rsidRDefault="00714B6F" w:rsidP="007F23C4">
      <w:pPr>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rFonts w:ascii="Cambria" w:hAnsi="Cambria"/>
          <w:sz w:val="20"/>
          <w:szCs w:val="20"/>
          <w:lang w:val="es-ES"/>
        </w:rPr>
      </w:pPr>
      <w:r w:rsidRPr="007F23C4">
        <w:rPr>
          <w:rFonts w:ascii="Cambria" w:hAnsi="Cambria"/>
          <w:sz w:val="20"/>
          <w:szCs w:val="20"/>
          <w:lang w:val="es-ES"/>
        </w:rPr>
        <w:t>A su vez, el Estado considera que la parte peticionaria no ha sustentado debidamente: i) que el que dos consejeros hayan participado en ambas decisiones de no ratificación sea a contrario a las garantías judiciales, puesto que los consejeros ocupaban legítimamente sus cargos; ii) que el comunicado publicado por el CNM en el diario expreso se refiriera a la presunta víctima;  y iii)  que el que el CNM interpusiera una queja contra los magistrados que fallaron a su favor haya afectado los derechos de la presunta víctima.  También  afirma que los hechos alegados no caracterizan violaciones a los derechos humanos porque: i) el tribunal constitucional analizó el contenido de la resolución del CNM y determinó que la misma contenía motivos suficientes para no ratificar la presunta víctima como Magistrado (acerca de su “poca capacidad”) y que tuvo derecho de ejercer su derecho a la defensa a lo largo del procedimiento ante el CNM; ii) el cargo de juez no es un cargo político, por lo que no resulta correcto alegar que la no ratificación para este cargo haya afectado sus derechos políticos; y iii) la Comisión no tiene competencia para determinar la responsabilidad del Estado por una presunta afectación del derecho al trabajo, siendo esta la pretensión real de la parte peticionaria.</w:t>
      </w:r>
    </w:p>
    <w:p w:rsidR="00714B6F" w:rsidRDefault="00714B6F" w:rsidP="007F23C4">
      <w:pPr>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rFonts w:ascii="Cambria" w:hAnsi="Cambria"/>
          <w:sz w:val="20"/>
          <w:szCs w:val="20"/>
          <w:lang w:val="es-ES"/>
        </w:rPr>
      </w:pPr>
      <w:r w:rsidRPr="007F23C4">
        <w:rPr>
          <w:rFonts w:ascii="Cambria" w:hAnsi="Cambria"/>
          <w:sz w:val="20"/>
          <w:szCs w:val="20"/>
          <w:lang w:val="es-ES"/>
        </w:rPr>
        <w:t>Argumenta que la presunta víctima no ha agotado los recursos internos para exigir la protección de su derecho a la participación política, el cual ha sido alegado en su petición</w:t>
      </w:r>
      <w:r w:rsidRPr="007F23C4">
        <w:rPr>
          <w:rStyle w:val="FootnoteReference"/>
          <w:rFonts w:ascii="Cambria" w:hAnsi="Cambria"/>
          <w:sz w:val="20"/>
          <w:szCs w:val="20"/>
          <w:lang w:val="es-ES"/>
        </w:rPr>
        <w:footnoteReference w:id="8"/>
      </w:r>
      <w:r w:rsidRPr="007F23C4">
        <w:rPr>
          <w:rFonts w:ascii="Cambria" w:hAnsi="Cambria"/>
          <w:sz w:val="20"/>
          <w:szCs w:val="20"/>
          <w:lang w:val="es-ES"/>
        </w:rPr>
        <w:t>.  De igual manera, que no está demostrado que la presunta víctima haya acudido al proceso de indemnización habilitado por la vía civil para solicitar reparaciones por las supuestas afectaciones reclamadas a nivel internacional.</w:t>
      </w:r>
    </w:p>
    <w:p w:rsidR="008F529B" w:rsidRDefault="008F529B">
      <w:pPr>
        <w:pBdr>
          <w:top w:val="none" w:sz="0" w:space="0" w:color="auto"/>
          <w:left w:val="none" w:sz="0" w:space="0" w:color="auto"/>
          <w:bottom w:val="none" w:sz="0" w:space="0" w:color="auto"/>
          <w:right w:val="none" w:sz="0" w:space="0" w:color="auto"/>
          <w:bar w:val="none" w:sz="0" w:color="auto"/>
        </w:pBdr>
        <w:rPr>
          <w:rFonts w:ascii="Cambria" w:hAnsi="Cambria" w:cs="Cambria"/>
          <w:b/>
          <w:bCs/>
          <w:color w:val="000000"/>
          <w:sz w:val="20"/>
          <w:szCs w:val="20"/>
          <w:u w:color="000000"/>
          <w:lang w:val="es-ES" w:eastAsia="es-ES"/>
        </w:rPr>
      </w:pPr>
      <w:r>
        <w:rPr>
          <w:b/>
          <w:bCs/>
          <w:sz w:val="20"/>
          <w:szCs w:val="20"/>
          <w:lang w:val="es-ES"/>
        </w:rPr>
        <w:br w:type="page"/>
      </w:r>
    </w:p>
    <w:p w:rsidR="00714B6F" w:rsidRPr="007F23C4" w:rsidRDefault="00714B6F" w:rsidP="007F23C4">
      <w:pPr>
        <w:pStyle w:val="ListParagraph"/>
        <w:pBdr>
          <w:top w:val="none" w:sz="0" w:space="0" w:color="auto"/>
          <w:left w:val="none" w:sz="0" w:space="0" w:color="auto"/>
          <w:bottom w:val="none" w:sz="0" w:space="0" w:color="auto"/>
          <w:right w:val="none" w:sz="0" w:space="0" w:color="auto"/>
          <w:bar w:val="none" w:sz="0" w:color="auto"/>
        </w:pBdr>
        <w:spacing w:before="120" w:after="120"/>
        <w:jc w:val="both"/>
        <w:rPr>
          <w:b/>
          <w:bCs/>
          <w:sz w:val="20"/>
          <w:szCs w:val="20"/>
          <w:lang w:val="es-ES"/>
        </w:rPr>
      </w:pPr>
      <w:r w:rsidRPr="007F23C4">
        <w:rPr>
          <w:b/>
          <w:bCs/>
          <w:sz w:val="20"/>
          <w:szCs w:val="20"/>
          <w:lang w:val="es-ES"/>
        </w:rPr>
        <w:lastRenderedPageBreak/>
        <w:t xml:space="preserve">VI. </w:t>
      </w:r>
      <w:r w:rsidRPr="007F23C4">
        <w:rPr>
          <w:b/>
          <w:bCs/>
          <w:sz w:val="20"/>
          <w:szCs w:val="20"/>
          <w:lang w:val="es-ES"/>
        </w:rPr>
        <w:tab/>
        <w:t>AGOTAMIENTO DE LOS RECURSOS INTERNOS Y PLAZO DE PRESENTACIÓN</w:t>
      </w:r>
    </w:p>
    <w:p w:rsidR="00714B6F" w:rsidRDefault="00714B6F" w:rsidP="00E271BA">
      <w:pPr>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rFonts w:ascii="Cambria" w:hAnsi="Cambria"/>
          <w:sz w:val="20"/>
          <w:szCs w:val="20"/>
          <w:lang w:val="es-ES"/>
        </w:rPr>
      </w:pPr>
      <w:r>
        <w:rPr>
          <w:rFonts w:ascii="Cambria" w:hAnsi="Cambria"/>
          <w:sz w:val="20"/>
          <w:szCs w:val="20"/>
          <w:lang w:val="es-ES"/>
        </w:rPr>
        <w:t xml:space="preserve">La Comisión observa que la parte peticionaria considera que los recursos internos se agotaron con la decisión del Tribunal Constitucional que les fue notificada 15 de diciembre de 2008. También toma nota que el Estado ha indicado que los recursos internos no se encuentran agotados porque la presunta víctima no ha interpuesto acciones a nivel doméstico para exigir la protección de su derecho a la participación política o para solicitar indemnización por la vía civil. </w:t>
      </w:r>
    </w:p>
    <w:p w:rsidR="00714B6F" w:rsidRDefault="00714B6F" w:rsidP="00E271BA">
      <w:pPr>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rFonts w:ascii="Cambria" w:hAnsi="Cambria"/>
          <w:sz w:val="20"/>
          <w:szCs w:val="20"/>
          <w:lang w:val="es-ES"/>
        </w:rPr>
      </w:pPr>
      <w:r w:rsidRPr="000441F8">
        <w:rPr>
          <w:rFonts w:ascii="Cambria" w:hAnsi="Cambria"/>
          <w:sz w:val="20"/>
          <w:szCs w:val="20"/>
          <w:lang w:val="es-ES"/>
        </w:rPr>
        <w:t xml:space="preserve">En cuanto al alegato de que la posible violación de los derechos políticos no fue planteada a nivel doméstico, la Comisión recuerda que </w:t>
      </w:r>
      <w:r w:rsidRPr="000441F8">
        <w:rPr>
          <w:rFonts w:ascii="Cambria" w:hAnsi="Cambria" w:cs="Calibri"/>
          <w:sz w:val="20"/>
          <w:szCs w:val="20"/>
          <w:lang w:val="es-ES"/>
        </w:rPr>
        <w:t>el requisito del previo agotamiento de los recursos internos tiene como objeto permitir que las autoridades nacionales conozcan sobre la supuesta violación de un derecho protegido y, de ser apropiado, solucionen la situación antes de que sea conocida por una instancia internacional</w:t>
      </w:r>
      <w:r w:rsidRPr="000441F8">
        <w:rPr>
          <w:rStyle w:val="FootnoteReference"/>
          <w:rFonts w:ascii="Cambria" w:hAnsi="Cambria" w:cs="Calibri"/>
          <w:sz w:val="20"/>
          <w:szCs w:val="20"/>
          <w:lang w:val="es-ES"/>
        </w:rPr>
        <w:footnoteReference w:id="9"/>
      </w:r>
      <w:r w:rsidRPr="000441F8">
        <w:rPr>
          <w:rFonts w:ascii="Cambria" w:hAnsi="Cambria" w:cs="Calibri"/>
          <w:sz w:val="20"/>
          <w:szCs w:val="20"/>
          <w:lang w:val="es-ES"/>
        </w:rPr>
        <w:t>. De igual manera, que la Corte Interamericana ha señalado que “</w:t>
      </w:r>
      <w:r w:rsidRPr="000441F8">
        <w:rPr>
          <w:rFonts w:ascii="Cambria" w:hAnsi="Cambria"/>
          <w:sz w:val="20"/>
          <w:szCs w:val="20"/>
          <w:lang w:val="es-PA"/>
        </w:rPr>
        <w:t xml:space="preserve">los órganos del Poder Judicial deben ejercer no sólo un control de constitucionalidad, sino también “de convencionalidad” </w:t>
      </w:r>
      <w:r w:rsidRPr="005E399D">
        <w:rPr>
          <w:rFonts w:ascii="Cambria" w:hAnsi="Cambria"/>
          <w:i/>
          <w:sz w:val="20"/>
          <w:szCs w:val="20"/>
          <w:lang w:val="es-PA"/>
        </w:rPr>
        <w:t>ex officio</w:t>
      </w:r>
      <w:r w:rsidRPr="000441F8">
        <w:rPr>
          <w:rFonts w:ascii="Cambria" w:hAnsi="Cambria"/>
          <w:sz w:val="20"/>
          <w:szCs w:val="20"/>
          <w:lang w:val="es-PA"/>
        </w:rPr>
        <w:t xml:space="preserve"> entre las normas internas y la Convención Americana, evidentemente en el marco de sus respectivas competencias y de las regulaciones procesales correspondientes. Esta función no debe quedar limitada exclusivamente por las manifestaciones o actos de los accionantes en cada caso concreto”</w:t>
      </w:r>
      <w:r w:rsidRPr="000441F8">
        <w:rPr>
          <w:rStyle w:val="FootnoteReference"/>
          <w:rFonts w:ascii="Cambria" w:hAnsi="Cambria"/>
          <w:sz w:val="20"/>
          <w:szCs w:val="20"/>
          <w:lang w:val="es-PA"/>
        </w:rPr>
        <w:footnoteReference w:id="10"/>
      </w:r>
      <w:r w:rsidRPr="000441F8">
        <w:rPr>
          <w:rFonts w:ascii="Cambria" w:hAnsi="Cambria"/>
          <w:sz w:val="20"/>
          <w:szCs w:val="20"/>
          <w:lang w:val="es-PA"/>
        </w:rPr>
        <w:t xml:space="preserve">. El Estado no ha argumentado que las autoridades judiciales que fueron puestas en conocimiento de la situación denunciada como violatoria no hayan sido las competentes para conocer de y reparar la alegada violación a los derechos políticos de la presunta víctima. Por estas razones, </w:t>
      </w:r>
      <w:r w:rsidRPr="000441F8">
        <w:rPr>
          <w:rFonts w:ascii="Cambria" w:hAnsi="Cambria"/>
          <w:sz w:val="20"/>
          <w:szCs w:val="20"/>
          <w:lang w:val="es-ES"/>
        </w:rPr>
        <w:t>la Comisión estima que el requisito de agotamiento de los recursos internos se encuentra cumplido con respecto a la reclamación sobre una posible violación a los derechos políticos</w:t>
      </w:r>
      <w:r>
        <w:rPr>
          <w:rFonts w:ascii="Cambria" w:hAnsi="Cambria"/>
          <w:color w:val="FF0000"/>
          <w:sz w:val="20"/>
          <w:szCs w:val="20"/>
          <w:lang w:val="es-ES"/>
        </w:rPr>
        <w:t xml:space="preserve">. </w:t>
      </w:r>
    </w:p>
    <w:p w:rsidR="00714B6F" w:rsidRPr="005E399D" w:rsidRDefault="00714B6F" w:rsidP="007F23C4">
      <w:pPr>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rFonts w:ascii="Cambria" w:hAnsi="Cambria"/>
          <w:sz w:val="20"/>
          <w:szCs w:val="20"/>
          <w:lang w:val="es-ES"/>
        </w:rPr>
      </w:pPr>
      <w:r w:rsidRPr="000441F8">
        <w:rPr>
          <w:rFonts w:ascii="Cambria" w:hAnsi="Cambria"/>
          <w:sz w:val="20"/>
          <w:szCs w:val="20"/>
          <w:lang w:val="es-ES"/>
        </w:rPr>
        <w:t xml:space="preserve">Respecto a la aducida falta de agotamiento del proceso de indemnización previsto en la vía civil, la Comisión recuerda que, según su criterio sostenido, es el Estado quien debe </w:t>
      </w:r>
      <w:r w:rsidRPr="000441F8">
        <w:rPr>
          <w:rFonts w:ascii="Cambria" w:hAnsi="Cambria" w:cs="Calibri"/>
          <w:sz w:val="20"/>
          <w:szCs w:val="20"/>
          <w:lang w:val="es-ES_tradnl"/>
        </w:rPr>
        <w:t>demostrar que los recursos que no han sido agotados resultan “adecuados” para subsanar la violación alegada, vale decir que la función de esos recursos dentro del sistema del derecho interno es idónea para proteger la situación jurídica infringida</w:t>
      </w:r>
      <w:r w:rsidRPr="000441F8">
        <w:rPr>
          <w:rStyle w:val="FootnoteReference"/>
          <w:rFonts w:ascii="Cambria" w:hAnsi="Cambria" w:cs="Calibri"/>
          <w:sz w:val="20"/>
          <w:szCs w:val="20"/>
          <w:lang w:val="es-ES_tradnl"/>
        </w:rPr>
        <w:footnoteReference w:id="11"/>
      </w:r>
      <w:r w:rsidRPr="000441F8">
        <w:rPr>
          <w:rFonts w:ascii="Cambria" w:hAnsi="Cambria" w:cs="Calibri"/>
          <w:sz w:val="20"/>
          <w:szCs w:val="20"/>
          <w:lang w:val="es-ES_tradnl"/>
        </w:rPr>
        <w:t xml:space="preserve">. En este sentido, la Comisión estima que el estado no sustentado adecuadamente que el proceso de indemnización civil sea un recurso adecuado para reparar la alegada violación, la cual no ha sido reconocida a nivel doméstico. </w:t>
      </w:r>
    </w:p>
    <w:p w:rsidR="00714B6F" w:rsidRPr="000441F8" w:rsidRDefault="00714B6F" w:rsidP="007F23C4">
      <w:pPr>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rFonts w:ascii="Cambria" w:hAnsi="Cambria"/>
          <w:sz w:val="20"/>
          <w:szCs w:val="20"/>
          <w:lang w:val="es-ES"/>
        </w:rPr>
      </w:pPr>
      <w:r>
        <w:rPr>
          <w:rFonts w:ascii="Cambria" w:hAnsi="Cambria"/>
          <w:sz w:val="20"/>
          <w:szCs w:val="20"/>
          <w:lang w:val="es-ES"/>
        </w:rPr>
        <w:t>En base a estas consideraciones la Comisión</w:t>
      </w:r>
      <w:r w:rsidRPr="000441F8">
        <w:rPr>
          <w:rFonts w:ascii="Cambria" w:hAnsi="Cambria"/>
          <w:sz w:val="20"/>
          <w:szCs w:val="20"/>
          <w:lang w:val="es-ES"/>
        </w:rPr>
        <w:t xml:space="preserve"> </w:t>
      </w:r>
      <w:r>
        <w:rPr>
          <w:rFonts w:ascii="Cambria" w:hAnsi="Cambria"/>
          <w:sz w:val="20"/>
          <w:szCs w:val="20"/>
          <w:lang w:val="es-ES"/>
        </w:rPr>
        <w:t>concluye</w:t>
      </w:r>
      <w:r w:rsidRPr="000441F8">
        <w:rPr>
          <w:rFonts w:ascii="Cambria" w:hAnsi="Cambria"/>
          <w:sz w:val="20"/>
          <w:szCs w:val="20"/>
          <w:lang w:val="es-ES"/>
        </w:rPr>
        <w:t xml:space="preserve"> que la decisión final con respecto a la no ratificación de la presunta víctima fue la emitida por el Tribunal Constitucional en respuesta a su recurso de agravio constitucional. Dicha decisión fue notificada al peticionario el 15 de diciembre de 2008 y la petición ante la Comisión fue recibida el 7 de abril de 2009. Por lo tanto, la Comisión concluye que la petición satisface los requisitos previstos en los artículos 46.1(a) y 46.1(b) de la Convención Americana.</w:t>
      </w:r>
    </w:p>
    <w:p w:rsidR="00714B6F" w:rsidRPr="007F23C4" w:rsidRDefault="00714B6F" w:rsidP="007F23C4">
      <w:pPr>
        <w:pStyle w:val="ListParagraph"/>
        <w:pBdr>
          <w:top w:val="none" w:sz="0" w:space="0" w:color="auto"/>
          <w:left w:val="none" w:sz="0" w:space="0" w:color="auto"/>
          <w:bottom w:val="none" w:sz="0" w:space="0" w:color="auto"/>
          <w:right w:val="none" w:sz="0" w:space="0" w:color="auto"/>
          <w:bar w:val="none" w:sz="0" w:color="auto"/>
        </w:pBdr>
        <w:spacing w:before="120" w:after="120"/>
        <w:jc w:val="both"/>
        <w:rPr>
          <w:b/>
          <w:bCs/>
          <w:sz w:val="20"/>
          <w:szCs w:val="20"/>
          <w:lang w:val="es-ES"/>
        </w:rPr>
      </w:pPr>
      <w:r w:rsidRPr="00F9093A">
        <w:rPr>
          <w:b/>
          <w:bCs/>
          <w:sz w:val="20"/>
          <w:szCs w:val="20"/>
          <w:lang w:val="es-ES"/>
        </w:rPr>
        <w:t xml:space="preserve">VII. </w:t>
      </w:r>
      <w:r w:rsidRPr="00F9093A">
        <w:rPr>
          <w:b/>
          <w:bCs/>
          <w:sz w:val="20"/>
          <w:szCs w:val="20"/>
          <w:lang w:val="es-ES"/>
        </w:rPr>
        <w:tab/>
        <w:t>CARACTERIZACIÓN</w:t>
      </w:r>
    </w:p>
    <w:p w:rsidR="00714B6F" w:rsidRDefault="00714B6F" w:rsidP="007F23C4">
      <w:pPr>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rFonts w:ascii="Cambria" w:hAnsi="Cambria"/>
          <w:sz w:val="20"/>
          <w:szCs w:val="20"/>
          <w:lang w:val="es-ES"/>
        </w:rPr>
      </w:pPr>
      <w:r w:rsidRPr="00675A24">
        <w:rPr>
          <w:rFonts w:ascii="Cambria" w:hAnsi="Cambria"/>
          <w:sz w:val="20"/>
          <w:szCs w:val="20"/>
          <w:lang w:val="es-ES"/>
        </w:rPr>
        <w:t>La Comisión observa que la presente petición incluye alegaciones con respecto a que el p</w:t>
      </w:r>
      <w:r>
        <w:rPr>
          <w:rFonts w:ascii="Cambria" w:hAnsi="Cambria"/>
          <w:sz w:val="20"/>
          <w:szCs w:val="20"/>
          <w:lang w:val="es-ES"/>
        </w:rPr>
        <w:t>roceso que conllevó a la no ratificación del peticionario no respetó las garantías básicas del debido proceso; así como a la inexistencia de recursos efectos para tutelar la garantía de imparcialidad en los procesos ante el CNM.</w:t>
      </w:r>
    </w:p>
    <w:p w:rsidR="00714B6F" w:rsidRPr="00675A24" w:rsidRDefault="00714B6F" w:rsidP="00675A24">
      <w:pPr>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rFonts w:ascii="Cambria" w:hAnsi="Cambria"/>
          <w:sz w:val="20"/>
          <w:szCs w:val="20"/>
          <w:lang w:val="es-ES"/>
        </w:rPr>
      </w:pPr>
      <w:r w:rsidRPr="00675A24">
        <w:rPr>
          <w:rFonts w:ascii="Cambria" w:hAnsi="Cambria"/>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Pr="00675A24">
        <w:rPr>
          <w:rFonts w:ascii="Cambria" w:hAnsi="Cambria"/>
          <w:bCs/>
          <w:sz w:val="20"/>
          <w:szCs w:val="20"/>
          <w:lang w:val="es-AR"/>
        </w:rPr>
        <w:t xml:space="preserve">8 (garantías judiciales), 23 (derechos políticos), 25 (protección judicial) y </w:t>
      </w:r>
      <w:r w:rsidRPr="00675A24">
        <w:rPr>
          <w:rFonts w:ascii="Cambria" w:hAnsi="Cambria"/>
          <w:sz w:val="20"/>
          <w:szCs w:val="20"/>
          <w:lang w:val="es-AR"/>
        </w:rPr>
        <w:t xml:space="preserve">26 (derechos económicos, sociales y culturales) de la Convención Americana </w:t>
      </w:r>
      <w:r w:rsidRPr="00675A24">
        <w:rPr>
          <w:rFonts w:ascii="Cambria" w:hAnsi="Cambria"/>
          <w:sz w:val="20"/>
          <w:szCs w:val="20"/>
          <w:lang w:val="es-ES"/>
        </w:rPr>
        <w:t xml:space="preserve">en relación con sus artículos </w:t>
      </w:r>
      <w:r w:rsidRPr="00675A24">
        <w:rPr>
          <w:rFonts w:ascii="Cambria" w:hAnsi="Cambria"/>
          <w:bCs/>
          <w:sz w:val="20"/>
          <w:szCs w:val="20"/>
          <w:lang w:val="es-AR"/>
        </w:rPr>
        <w:t>1.1 (obligación de respetar los derechos) y 2 (deber de adoptar disposiciones de derecho interno).</w:t>
      </w:r>
    </w:p>
    <w:p w:rsidR="00714B6F" w:rsidRPr="00675A24" w:rsidRDefault="00714B6F" w:rsidP="007F23C4">
      <w:pPr>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rFonts w:ascii="Cambria" w:hAnsi="Cambria"/>
          <w:sz w:val="20"/>
          <w:szCs w:val="20"/>
          <w:lang w:val="es-ES"/>
        </w:rPr>
      </w:pPr>
      <w:r w:rsidRPr="00675A24">
        <w:rPr>
          <w:rFonts w:ascii="Cambria" w:hAnsi="Cambria"/>
          <w:bCs/>
          <w:sz w:val="20"/>
          <w:szCs w:val="20"/>
          <w:lang w:val="es-AR"/>
        </w:rPr>
        <w:lastRenderedPageBreak/>
        <w:t>En cuanto a las alegadas violaciones al Pacto Internacional de Derechos Civiles y Políticos, la Comisión carece de competencia para establecer violaciones a las normas de dicho tratado, sin prejuicio de lo cual podrá tomarlo en cuenta como parte de su ejercicio interpretativo de las normas de la Convención Americana en la etapa de fondo del presente caso, en los términos del artículo 29 de la Convención</w:t>
      </w:r>
    </w:p>
    <w:p w:rsidR="00714B6F" w:rsidRPr="00F9093A" w:rsidRDefault="00714B6F" w:rsidP="008C5751">
      <w:pPr>
        <w:pBdr>
          <w:top w:val="none" w:sz="0" w:space="0" w:color="auto"/>
          <w:left w:val="none" w:sz="0" w:space="0" w:color="auto"/>
          <w:bottom w:val="none" w:sz="0" w:space="0" w:color="auto"/>
          <w:right w:val="none" w:sz="0" w:space="0" w:color="auto"/>
          <w:bar w:val="none" w:sz="0" w:color="auto"/>
        </w:pBdr>
        <w:suppressAutoHyphens/>
        <w:spacing w:after="120"/>
        <w:ind w:left="720"/>
        <w:jc w:val="both"/>
        <w:rPr>
          <w:rFonts w:ascii="Cambria" w:hAnsi="Cambria"/>
          <w:b/>
          <w:bCs/>
          <w:sz w:val="20"/>
          <w:szCs w:val="20"/>
          <w:lang w:val="es-ES"/>
        </w:rPr>
      </w:pPr>
      <w:r w:rsidRPr="00F9093A">
        <w:rPr>
          <w:rFonts w:ascii="Cambria" w:hAnsi="Cambria"/>
          <w:b/>
          <w:bCs/>
          <w:sz w:val="20"/>
          <w:szCs w:val="20"/>
          <w:lang w:val="es-ES"/>
        </w:rPr>
        <w:t xml:space="preserve">VIII. </w:t>
      </w:r>
      <w:r w:rsidRPr="00F9093A">
        <w:rPr>
          <w:rFonts w:ascii="Cambria" w:hAnsi="Cambria"/>
          <w:b/>
          <w:bCs/>
          <w:sz w:val="20"/>
          <w:szCs w:val="20"/>
          <w:lang w:val="es-ES"/>
        </w:rPr>
        <w:tab/>
        <w:t>DECISIÓN</w:t>
      </w:r>
    </w:p>
    <w:p w:rsidR="00714B6F" w:rsidRPr="00F9093A" w:rsidRDefault="00714B6F" w:rsidP="007F2CE6">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sidRPr="00F9093A">
        <w:rPr>
          <w:rFonts w:ascii="Cambria" w:hAnsi="Cambria"/>
          <w:sz w:val="20"/>
          <w:szCs w:val="20"/>
          <w:lang w:val="es-ES"/>
        </w:rPr>
        <w:t xml:space="preserve">Declarar admisible la presente petición en relación con los </w:t>
      </w:r>
      <w:r w:rsidRPr="00F9093A">
        <w:rPr>
          <w:rFonts w:ascii="Cambria" w:hAnsi="Cambria"/>
          <w:bCs/>
          <w:sz w:val="20"/>
          <w:szCs w:val="20"/>
          <w:lang w:val="es-ES"/>
        </w:rPr>
        <w:t>artículos 8, 23, 25 y 26 de la Convención Americana en rela</w:t>
      </w:r>
      <w:r>
        <w:rPr>
          <w:rFonts w:ascii="Cambria" w:hAnsi="Cambria"/>
          <w:bCs/>
          <w:sz w:val="20"/>
          <w:szCs w:val="20"/>
          <w:lang w:val="es-ES"/>
        </w:rPr>
        <w:t>ción con sus artículos 1.1. y 2.</w:t>
      </w:r>
    </w:p>
    <w:p w:rsidR="008F529B" w:rsidRPr="008F529B" w:rsidRDefault="00714B6F" w:rsidP="0018497E">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cs="Arial"/>
          <w:noProof/>
          <w:sz w:val="20"/>
          <w:szCs w:val="20"/>
          <w:lang w:val="es-CL"/>
        </w:rPr>
      </w:pPr>
      <w:r w:rsidRPr="008F529B">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8F529B" w:rsidRDefault="008F529B" w:rsidP="008F529B">
      <w:pPr>
        <w:pBdr>
          <w:top w:val="none" w:sz="0" w:space="0" w:color="auto"/>
          <w:left w:val="none" w:sz="0" w:space="0" w:color="auto"/>
          <w:bottom w:val="none" w:sz="0" w:space="0" w:color="auto"/>
          <w:right w:val="none" w:sz="0" w:space="0" w:color="auto"/>
          <w:bar w:val="none" w:sz="0" w:color="auto"/>
        </w:pBdr>
        <w:suppressAutoHyphens/>
        <w:spacing w:after="120"/>
        <w:ind w:firstLine="720"/>
        <w:jc w:val="both"/>
        <w:rPr>
          <w:rFonts w:ascii="Cambria" w:hAnsi="Cambria" w:cs="Arial"/>
          <w:noProof/>
          <w:sz w:val="20"/>
          <w:szCs w:val="20"/>
          <w:lang w:val="es-CL"/>
        </w:rPr>
      </w:pPr>
      <w:r w:rsidRPr="008F529B">
        <w:rPr>
          <w:rFonts w:ascii="Cambria" w:hAnsi="Cambria" w:cs="Arial"/>
          <w:noProof/>
          <w:sz w:val="20"/>
          <w:szCs w:val="20"/>
          <w:lang w:val="es-CL"/>
        </w:rPr>
        <w:t xml:space="preserve">Aprobado por la Comisión Interamericana de Derechos Humanos  a los </w:t>
      </w:r>
      <w:r>
        <w:rPr>
          <w:rFonts w:ascii="Cambria" w:hAnsi="Cambria" w:cs="Arial"/>
          <w:noProof/>
          <w:sz w:val="20"/>
          <w:szCs w:val="20"/>
          <w:lang w:val="es-CL"/>
        </w:rPr>
        <w:t>24</w:t>
      </w:r>
      <w:r w:rsidRPr="008F529B">
        <w:rPr>
          <w:rFonts w:ascii="Cambria" w:hAnsi="Cambria" w:cs="Arial"/>
          <w:noProof/>
          <w:sz w:val="20"/>
          <w:szCs w:val="20"/>
          <w:lang w:val="es-CL"/>
        </w:rPr>
        <w:t xml:space="preserve"> días del mes de </w:t>
      </w:r>
      <w:r>
        <w:rPr>
          <w:rFonts w:ascii="Cambria" w:hAnsi="Cambria" w:cs="Arial"/>
          <w:noProof/>
          <w:sz w:val="20"/>
          <w:szCs w:val="20"/>
          <w:lang w:val="es-CL"/>
        </w:rPr>
        <w:t>abril</w:t>
      </w:r>
      <w:r w:rsidRPr="008F529B">
        <w:rPr>
          <w:rFonts w:ascii="Cambria" w:hAnsi="Cambria" w:cs="Arial"/>
          <w:noProof/>
          <w:sz w:val="20"/>
          <w:szCs w:val="20"/>
          <w:lang w:val="es-CL"/>
        </w:rPr>
        <w:t xml:space="preserve"> de 2020.  (Firmado): Joel Hernández, Presidente; Antonia Urrejola, Primera Vicepresidenta; Flávia Piovesan, Segunda Vicepresidenta; Margarette May Macaulay, Esmeralda E. Arosemena Bernal de Troitiño y Stuardo Ralón Orellana, Miembros de la Comisión. </w:t>
      </w:r>
    </w:p>
    <w:sectPr w:rsidR="008F529B" w:rsidSect="00934A2C">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402" w:rsidRDefault="00910402">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910402" w:rsidRDefault="00910402">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777" w:rsidRDefault="00536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B6F" w:rsidRPr="00934A2C" w:rsidRDefault="00714B6F">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36777">
      <w:rPr>
        <w:noProof/>
        <w:sz w:val="16"/>
        <w:szCs w:val="22"/>
      </w:rPr>
      <w:t>3</w:t>
    </w:r>
    <w:r w:rsidRPr="00934A2C">
      <w:rPr>
        <w:sz w:val="16"/>
        <w:szCs w:val="22"/>
      </w:rPr>
      <w:fldChar w:fldCharType="end"/>
    </w:r>
  </w:p>
  <w:p w:rsidR="00714B6F" w:rsidRDefault="00714B6F">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B6F" w:rsidRPr="00934A2C" w:rsidRDefault="00714B6F">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rsidR="00714B6F" w:rsidRDefault="00714B6F">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402" w:rsidRPr="000F35ED" w:rsidRDefault="00910402">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rsidR="00910402" w:rsidRPr="000F35ED" w:rsidRDefault="00910402"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rsidR="00910402" w:rsidRPr="000F35ED" w:rsidRDefault="00910402"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xml:space="preserve">[… </w:t>
      </w:r>
      <w:proofErr w:type="spellStart"/>
      <w:proofErr w:type="gramStart"/>
      <w:r>
        <w:rPr>
          <w:sz w:val="16"/>
          <w:szCs w:val="16"/>
        </w:rPr>
        <w:t>c</w:t>
      </w:r>
      <w:r w:rsidRPr="000F35ED">
        <w:rPr>
          <w:sz w:val="16"/>
          <w:szCs w:val="16"/>
        </w:rPr>
        <w:t>ontinuación</w:t>
      </w:r>
      <w:proofErr w:type="spellEnd"/>
      <w:proofErr w:type="gramEnd"/>
      <w:r>
        <w:rPr>
          <w:sz w:val="16"/>
          <w:szCs w:val="16"/>
        </w:rPr>
        <w:t>]</w:t>
      </w:r>
    </w:p>
  </w:footnote>
  <w:footnote w:type="continuationNotice" w:id="1">
    <w:p w:rsidR="00910402" w:rsidRPr="000F35ED" w:rsidRDefault="00910402"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w:t>
      </w:r>
      <w:proofErr w:type="gramStart"/>
      <w:r>
        <w:rPr>
          <w:rFonts w:ascii="Cambria" w:hAnsi="Cambria"/>
          <w:sz w:val="16"/>
          <w:szCs w:val="16"/>
          <w:lang w:val="es-ES"/>
        </w:rPr>
        <w:t>c</w:t>
      </w:r>
      <w:r w:rsidRPr="000F35ED">
        <w:rPr>
          <w:rFonts w:ascii="Cambria" w:hAnsi="Cambria"/>
          <w:sz w:val="16"/>
          <w:szCs w:val="16"/>
          <w:lang w:val="es-ES"/>
        </w:rPr>
        <w:t>ontinúa</w:t>
      </w:r>
      <w:proofErr w:type="gramEnd"/>
      <w:r w:rsidRPr="000F35ED">
        <w:rPr>
          <w:rFonts w:ascii="Cambria" w:hAnsi="Cambria"/>
          <w:sz w:val="16"/>
          <w:szCs w:val="16"/>
          <w:lang w:val="es-ES"/>
        </w:rPr>
        <w:t>…</w:t>
      </w:r>
      <w:r>
        <w:rPr>
          <w:rFonts w:ascii="Cambria" w:hAnsi="Cambria"/>
          <w:sz w:val="16"/>
          <w:szCs w:val="16"/>
          <w:lang w:val="es-ES"/>
        </w:rPr>
        <w:t>]</w:t>
      </w:r>
    </w:p>
  </w:footnote>
  <w:footnote w:id="2">
    <w:p w:rsidR="00714B6F" w:rsidRPr="008F529B" w:rsidRDefault="00714B6F" w:rsidP="00C7659C">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419"/>
        </w:rPr>
      </w:pPr>
      <w:r w:rsidRPr="002C103C">
        <w:rPr>
          <w:rStyle w:val="FootnoteReference"/>
          <w:rFonts w:ascii="Cambria" w:hAnsi="Cambria"/>
          <w:sz w:val="16"/>
          <w:szCs w:val="16"/>
        </w:rPr>
        <w:footnoteRef/>
      </w:r>
      <w:r w:rsidRPr="002C103C">
        <w:rPr>
          <w:rFonts w:ascii="Cambria" w:hAnsi="Cambria"/>
          <w:sz w:val="16"/>
          <w:szCs w:val="16"/>
          <w:lang w:val="es-ES"/>
        </w:rPr>
        <w:t xml:space="preserve"> Conforme a lo dispuesto en el artículo 17.2.a del Reglamento de la Comisión, </w:t>
      </w:r>
      <w:r w:rsidR="001374AC">
        <w:rPr>
          <w:rFonts w:ascii="Cambria" w:hAnsi="Cambria"/>
          <w:color w:val="auto"/>
          <w:sz w:val="16"/>
          <w:szCs w:val="16"/>
          <w:lang w:val="es-ES"/>
        </w:rPr>
        <w:t>la Comisionada</w:t>
      </w:r>
      <w:r w:rsidRPr="002C103C">
        <w:rPr>
          <w:rFonts w:ascii="Cambria" w:hAnsi="Cambria"/>
          <w:color w:val="auto"/>
          <w:sz w:val="16"/>
          <w:szCs w:val="16"/>
          <w:lang w:val="es-ES"/>
        </w:rPr>
        <w:t xml:space="preserve"> </w:t>
      </w:r>
      <w:r w:rsidR="001374AC">
        <w:rPr>
          <w:rFonts w:ascii="Cambria" w:hAnsi="Cambria"/>
          <w:sz w:val="16"/>
          <w:szCs w:val="16"/>
          <w:lang w:val="es-ES"/>
        </w:rPr>
        <w:t xml:space="preserve">Julissa Mantilla </w:t>
      </w:r>
      <w:proofErr w:type="spellStart"/>
      <w:r w:rsidR="001374AC">
        <w:rPr>
          <w:rFonts w:ascii="Cambria" w:hAnsi="Cambria"/>
          <w:sz w:val="16"/>
          <w:szCs w:val="16"/>
          <w:lang w:val="es-ES"/>
        </w:rPr>
        <w:t>Falc</w:t>
      </w:r>
      <w:r w:rsidR="001374AC" w:rsidRPr="007D27B1">
        <w:rPr>
          <w:rFonts w:ascii="Cambria" w:hAnsi="Cambria"/>
          <w:sz w:val="16"/>
          <w:szCs w:val="16"/>
          <w:lang w:val="es-US"/>
        </w:rPr>
        <w:t>ón</w:t>
      </w:r>
      <w:proofErr w:type="spellEnd"/>
      <w:r w:rsidRPr="002C103C">
        <w:rPr>
          <w:rFonts w:ascii="Cambria" w:hAnsi="Cambria"/>
          <w:sz w:val="16"/>
          <w:szCs w:val="16"/>
          <w:lang w:val="es-ES"/>
        </w:rPr>
        <w:t xml:space="preserve">, de </w:t>
      </w:r>
      <w:r w:rsidRPr="002C103C">
        <w:rPr>
          <w:rFonts w:ascii="Cambria" w:hAnsi="Cambria"/>
          <w:color w:val="auto"/>
          <w:sz w:val="16"/>
          <w:szCs w:val="16"/>
          <w:lang w:val="es-ES"/>
        </w:rPr>
        <w:t>nacionalidad peruana, no participó en el debate ni en la decisión del presente asunto.</w:t>
      </w:r>
    </w:p>
  </w:footnote>
  <w:footnote w:id="3">
    <w:p w:rsidR="00714B6F" w:rsidRPr="008F529B" w:rsidRDefault="00714B6F" w:rsidP="00C7659C">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419"/>
        </w:rPr>
      </w:pPr>
      <w:r w:rsidRPr="002C103C">
        <w:rPr>
          <w:rStyle w:val="FootnoteReference"/>
          <w:rFonts w:ascii="Cambria" w:hAnsi="Cambria"/>
          <w:color w:val="auto"/>
          <w:sz w:val="16"/>
          <w:szCs w:val="16"/>
        </w:rPr>
        <w:footnoteRef/>
      </w:r>
      <w:r w:rsidRPr="002C103C">
        <w:rPr>
          <w:rFonts w:ascii="Cambria" w:hAnsi="Cambria"/>
          <w:color w:val="auto"/>
          <w:sz w:val="16"/>
          <w:szCs w:val="16"/>
          <w:lang w:val="es-ES"/>
        </w:rPr>
        <w:t xml:space="preserve"> En adelante “la Convención </w:t>
      </w:r>
      <w:r w:rsidRPr="002C103C">
        <w:rPr>
          <w:rFonts w:ascii="Cambria" w:hAnsi="Cambria"/>
          <w:sz w:val="16"/>
          <w:szCs w:val="16"/>
          <w:lang w:val="es-ES"/>
        </w:rPr>
        <w:t>Americana” o “la Convención”.</w:t>
      </w:r>
    </w:p>
  </w:footnote>
  <w:footnote w:id="4">
    <w:p w:rsidR="00714B6F" w:rsidRPr="008F529B" w:rsidRDefault="00714B6F" w:rsidP="00C7659C">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419"/>
        </w:rPr>
      </w:pPr>
      <w:r w:rsidRPr="002C103C">
        <w:rPr>
          <w:rStyle w:val="FootnoteReference"/>
          <w:rFonts w:ascii="Cambria" w:hAnsi="Cambria"/>
          <w:sz w:val="16"/>
          <w:szCs w:val="16"/>
        </w:rPr>
        <w:footnoteRef/>
      </w:r>
      <w:r w:rsidRPr="002C103C">
        <w:rPr>
          <w:rFonts w:ascii="Cambria" w:hAnsi="Cambria"/>
          <w:sz w:val="16"/>
          <w:szCs w:val="16"/>
          <w:lang w:val="es-ES"/>
        </w:rPr>
        <w:t xml:space="preserve"> </w:t>
      </w:r>
      <w:r w:rsidRPr="002C103C">
        <w:rPr>
          <w:rFonts w:ascii="Cambria" w:hAnsi="Cambria"/>
          <w:bCs/>
          <w:sz w:val="16"/>
          <w:szCs w:val="16"/>
          <w:lang w:val="es-AR"/>
        </w:rPr>
        <w:t>Artículo 14.1 del Pacto Internacional de Derechos Civiles y Políticos</w:t>
      </w:r>
      <w:r w:rsidRPr="002C103C">
        <w:rPr>
          <w:rFonts w:ascii="Cambria" w:hAnsi="Cambria"/>
          <w:bCs/>
          <w:sz w:val="16"/>
          <w:szCs w:val="16"/>
          <w:lang w:val="es-ES"/>
        </w:rPr>
        <w:t>.</w:t>
      </w:r>
    </w:p>
  </w:footnote>
  <w:footnote w:id="5">
    <w:p w:rsidR="00714B6F" w:rsidRPr="008F529B" w:rsidRDefault="00714B6F" w:rsidP="00C7659C">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419"/>
        </w:rPr>
      </w:pPr>
      <w:r w:rsidRPr="002C103C">
        <w:rPr>
          <w:rStyle w:val="FootnoteReference"/>
          <w:rFonts w:ascii="Cambria" w:hAnsi="Cambria"/>
          <w:sz w:val="16"/>
          <w:szCs w:val="16"/>
        </w:rPr>
        <w:footnoteRef/>
      </w:r>
      <w:r w:rsidRPr="002C103C">
        <w:rPr>
          <w:rFonts w:ascii="Cambria" w:hAnsi="Cambria"/>
          <w:sz w:val="16"/>
          <w:szCs w:val="16"/>
          <w:lang w:val="es-ES"/>
        </w:rPr>
        <w:t xml:space="preserve"> Las observaciones de cada parte fueron debidamente trasladadas a la parte contraria.</w:t>
      </w:r>
    </w:p>
  </w:footnote>
  <w:footnote w:id="6">
    <w:p w:rsidR="00714B6F" w:rsidRPr="008F529B" w:rsidRDefault="00714B6F" w:rsidP="007F23C4">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419"/>
        </w:rPr>
      </w:pPr>
      <w:r w:rsidRPr="00151A95">
        <w:rPr>
          <w:rStyle w:val="FootnoteReference"/>
          <w:rFonts w:ascii="Cambria" w:hAnsi="Cambria"/>
          <w:sz w:val="16"/>
          <w:szCs w:val="16"/>
        </w:rPr>
        <w:footnoteRef/>
      </w:r>
      <w:r w:rsidRPr="00151A95">
        <w:rPr>
          <w:rFonts w:ascii="Cambria" w:hAnsi="Cambria"/>
          <w:sz w:val="16"/>
          <w:szCs w:val="16"/>
          <w:lang w:val="es-ES"/>
        </w:rPr>
        <w:t xml:space="preserve"> </w:t>
      </w:r>
      <w:r w:rsidRPr="00151A95">
        <w:rPr>
          <w:rFonts w:ascii="Cambria" w:hAnsi="Cambria"/>
          <w:sz w:val="16"/>
          <w:szCs w:val="16"/>
          <w:lang w:val="es-AR"/>
        </w:rPr>
        <w:t>CIDH, Solución Amistosa, Informe No. 50/06 Petición 711-01 y otras (Miguel Grimaldo Castañeda Sánchez y otros). Perú, 15 de marzo de 2006.</w:t>
      </w:r>
    </w:p>
  </w:footnote>
  <w:footnote w:id="7">
    <w:p w:rsidR="00714B6F" w:rsidRPr="008F529B" w:rsidRDefault="00714B6F" w:rsidP="007F23C4">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419"/>
        </w:rPr>
      </w:pPr>
      <w:r w:rsidRPr="00580A86">
        <w:rPr>
          <w:rStyle w:val="FootnoteReference"/>
          <w:rFonts w:ascii="Cambria" w:hAnsi="Cambria"/>
          <w:sz w:val="16"/>
          <w:szCs w:val="16"/>
        </w:rPr>
        <w:footnoteRef/>
      </w:r>
      <w:r w:rsidRPr="00580A86">
        <w:rPr>
          <w:rFonts w:ascii="Cambria" w:hAnsi="Cambria"/>
          <w:sz w:val="16"/>
          <w:szCs w:val="16"/>
          <w:lang w:val="es-PA"/>
        </w:rPr>
        <w:t xml:space="preserve"> Aduce que las normas del proceso si requerían que los consejeros se abstuvieran si se encontraban incursos en alguna causal de impedimento, pero que en </w:t>
      </w:r>
      <w:r>
        <w:rPr>
          <w:rFonts w:ascii="Cambria" w:hAnsi="Cambria"/>
          <w:sz w:val="16"/>
          <w:szCs w:val="16"/>
          <w:lang w:val="es-PA"/>
        </w:rPr>
        <w:t xml:space="preserve">el caso de la presunta víctima </w:t>
      </w:r>
      <w:r w:rsidRPr="00580A86">
        <w:rPr>
          <w:rFonts w:ascii="Cambria" w:hAnsi="Cambria"/>
          <w:sz w:val="16"/>
          <w:szCs w:val="16"/>
          <w:lang w:val="es-PA"/>
        </w:rPr>
        <w:t>ninguno de los consejeros se abstuvo.</w:t>
      </w:r>
    </w:p>
  </w:footnote>
  <w:footnote w:id="8">
    <w:p w:rsidR="00714B6F" w:rsidRPr="008F529B" w:rsidRDefault="00714B6F" w:rsidP="007F23C4">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419"/>
        </w:rPr>
      </w:pPr>
      <w:r w:rsidRPr="00ED05AA">
        <w:rPr>
          <w:rStyle w:val="FootnoteReference"/>
          <w:rFonts w:ascii="Cambria" w:hAnsi="Cambria"/>
          <w:sz w:val="16"/>
          <w:szCs w:val="16"/>
        </w:rPr>
        <w:footnoteRef/>
      </w:r>
      <w:r w:rsidRPr="00ED05AA">
        <w:rPr>
          <w:rFonts w:ascii="Cambria" w:hAnsi="Cambria"/>
          <w:sz w:val="16"/>
          <w:szCs w:val="16"/>
          <w:lang w:val="es-PA"/>
        </w:rPr>
        <w:t xml:space="preserve"> Señala que en la demanda amparo presentada por la parte peticionaria no se evidencia que la presunta víctima haya alegado </w:t>
      </w:r>
      <w:proofErr w:type="gramStart"/>
      <w:r w:rsidRPr="00ED05AA">
        <w:rPr>
          <w:rFonts w:ascii="Cambria" w:hAnsi="Cambria"/>
          <w:sz w:val="16"/>
          <w:szCs w:val="16"/>
          <w:lang w:val="es-PA"/>
        </w:rPr>
        <w:t>al</w:t>
      </w:r>
      <w:proofErr w:type="gramEnd"/>
      <w:r w:rsidRPr="00ED05AA">
        <w:rPr>
          <w:rFonts w:ascii="Cambria" w:hAnsi="Cambria"/>
          <w:sz w:val="16"/>
          <w:szCs w:val="16"/>
          <w:lang w:val="es-PA"/>
        </w:rPr>
        <w:t xml:space="preserve"> afectación de este derecho.</w:t>
      </w:r>
    </w:p>
  </w:footnote>
  <w:footnote w:id="9">
    <w:p w:rsidR="00714B6F" w:rsidRPr="007D27B1" w:rsidRDefault="00714B6F" w:rsidP="00F53DD9">
      <w:pPr>
        <w:pStyle w:val="FootnoteText"/>
        <w:pBdr>
          <w:top w:val="none" w:sz="0" w:space="0" w:color="auto"/>
          <w:left w:val="none" w:sz="0" w:space="0" w:color="auto"/>
          <w:bottom w:val="none" w:sz="0" w:space="0" w:color="auto"/>
          <w:right w:val="none" w:sz="0" w:space="0" w:color="auto"/>
          <w:bar w:val="none" w:sz="0" w:color="auto"/>
        </w:pBdr>
        <w:jc w:val="both"/>
        <w:rPr>
          <w:lang w:val="es-US"/>
        </w:rPr>
      </w:pPr>
      <w:r w:rsidRPr="007F668C">
        <w:rPr>
          <w:rFonts w:ascii="Cambria" w:hAnsi="Cambria"/>
          <w:sz w:val="16"/>
          <w:szCs w:val="16"/>
          <w:lang w:val="es-ES"/>
        </w:rPr>
        <w:tab/>
      </w:r>
      <w:r w:rsidRPr="007F668C">
        <w:rPr>
          <w:rStyle w:val="FootnoteReference"/>
          <w:rFonts w:ascii="Cambria" w:hAnsi="Cambria"/>
          <w:sz w:val="16"/>
          <w:szCs w:val="16"/>
          <w:lang w:val="es-ES"/>
        </w:rPr>
        <w:footnoteRef/>
      </w:r>
      <w:r w:rsidRPr="007F668C">
        <w:rPr>
          <w:rFonts w:ascii="Cambria" w:hAnsi="Cambria"/>
          <w:sz w:val="16"/>
          <w:szCs w:val="16"/>
          <w:lang w:val="es-ES"/>
        </w:rPr>
        <w:t xml:space="preserve"> CIDH, Informe No. 82/17. Petición 1067-07. Admisibilidad. Rosa Ángela Martino y María Cristina González. Argentina. 7 de julio de 2017, párr. 12.</w:t>
      </w:r>
    </w:p>
  </w:footnote>
  <w:footnote w:id="10">
    <w:p w:rsidR="00714B6F" w:rsidRPr="007D27B1" w:rsidRDefault="00714B6F" w:rsidP="007F668C">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US"/>
        </w:rPr>
      </w:pPr>
      <w:r w:rsidRPr="007F668C">
        <w:rPr>
          <w:rStyle w:val="FootnoteReference"/>
          <w:rFonts w:ascii="Cambria" w:hAnsi="Cambria"/>
          <w:sz w:val="16"/>
          <w:szCs w:val="16"/>
        </w:rPr>
        <w:footnoteRef/>
      </w:r>
      <w:r w:rsidRPr="007F668C">
        <w:rPr>
          <w:rFonts w:ascii="Cambria" w:hAnsi="Cambria"/>
          <w:sz w:val="16"/>
          <w:szCs w:val="16"/>
          <w:lang w:val="es-PA"/>
        </w:rPr>
        <w:t xml:space="preserve"> Corte IDH. Caso </w:t>
      </w:r>
      <w:r>
        <w:rPr>
          <w:rFonts w:ascii="Cambria" w:hAnsi="Cambria"/>
          <w:sz w:val="16"/>
          <w:szCs w:val="16"/>
          <w:lang w:val="es-PA"/>
        </w:rPr>
        <w:t>Trabajadores Cesados del Congreso (Aguado Alfaro y otros)</w:t>
      </w:r>
      <w:r w:rsidRPr="007F668C">
        <w:rPr>
          <w:rFonts w:ascii="Cambria" w:hAnsi="Cambria"/>
          <w:sz w:val="16"/>
          <w:szCs w:val="16"/>
          <w:lang w:val="es-PA"/>
        </w:rPr>
        <w:t xml:space="preserve"> Vs. </w:t>
      </w:r>
      <w:r>
        <w:rPr>
          <w:rFonts w:ascii="Cambria" w:hAnsi="Cambria"/>
          <w:sz w:val="16"/>
          <w:szCs w:val="16"/>
          <w:lang w:val="es-PA"/>
        </w:rPr>
        <w:t>Perú. Excepciones</w:t>
      </w:r>
      <w:r w:rsidRPr="007F668C">
        <w:rPr>
          <w:rFonts w:ascii="Cambria" w:hAnsi="Cambria"/>
          <w:sz w:val="16"/>
          <w:szCs w:val="16"/>
          <w:lang w:val="es-PA"/>
        </w:rPr>
        <w:t xml:space="preserve"> Preliminar</w:t>
      </w:r>
      <w:r>
        <w:rPr>
          <w:rFonts w:ascii="Cambria" w:hAnsi="Cambria"/>
          <w:sz w:val="16"/>
          <w:szCs w:val="16"/>
          <w:lang w:val="es-PA"/>
        </w:rPr>
        <w:t>es</w:t>
      </w:r>
      <w:r w:rsidRPr="007F668C">
        <w:rPr>
          <w:rFonts w:ascii="Cambria" w:hAnsi="Cambria"/>
          <w:sz w:val="16"/>
          <w:szCs w:val="16"/>
          <w:lang w:val="es-PA"/>
        </w:rPr>
        <w:t xml:space="preserve">, Fondo, Reparaciones y Costas. </w:t>
      </w:r>
      <w:r>
        <w:rPr>
          <w:rFonts w:ascii="Cambria" w:hAnsi="Cambria"/>
          <w:sz w:val="16"/>
          <w:szCs w:val="16"/>
          <w:lang w:val="es-PA"/>
        </w:rPr>
        <w:t>Sentencia de 24</w:t>
      </w:r>
      <w:r w:rsidRPr="00E271BA">
        <w:rPr>
          <w:rFonts w:ascii="Cambria" w:hAnsi="Cambria"/>
          <w:sz w:val="16"/>
          <w:szCs w:val="16"/>
          <w:lang w:val="es-PA"/>
        </w:rPr>
        <w:t xml:space="preserve"> de </w:t>
      </w:r>
      <w:r>
        <w:rPr>
          <w:rFonts w:ascii="Cambria" w:hAnsi="Cambria"/>
          <w:sz w:val="16"/>
          <w:szCs w:val="16"/>
          <w:lang w:val="es-PA"/>
        </w:rPr>
        <w:t>noviembre</w:t>
      </w:r>
      <w:r w:rsidRPr="00E271BA">
        <w:rPr>
          <w:rFonts w:ascii="Cambria" w:hAnsi="Cambria"/>
          <w:sz w:val="16"/>
          <w:szCs w:val="16"/>
          <w:lang w:val="es-PA"/>
        </w:rPr>
        <w:t xml:space="preserve"> de </w:t>
      </w:r>
      <w:r>
        <w:rPr>
          <w:rFonts w:ascii="Cambria" w:hAnsi="Cambria"/>
          <w:sz w:val="16"/>
          <w:szCs w:val="16"/>
          <w:lang w:val="es-PA"/>
        </w:rPr>
        <w:t>2006</w:t>
      </w:r>
      <w:r w:rsidRPr="00E271BA">
        <w:rPr>
          <w:rFonts w:ascii="Cambria" w:hAnsi="Cambria"/>
          <w:sz w:val="16"/>
          <w:szCs w:val="16"/>
          <w:lang w:val="es-PA"/>
        </w:rPr>
        <w:t>. Serie C No. 215, párr. 128.</w:t>
      </w:r>
    </w:p>
  </w:footnote>
  <w:footnote w:id="11">
    <w:p w:rsidR="00714B6F" w:rsidRDefault="00714B6F" w:rsidP="001B6208">
      <w:pPr>
        <w:pStyle w:val="FootnoteText"/>
        <w:pBdr>
          <w:top w:val="none" w:sz="0" w:space="0" w:color="auto"/>
          <w:left w:val="none" w:sz="0" w:space="0" w:color="auto"/>
          <w:bottom w:val="none" w:sz="0" w:space="0" w:color="auto"/>
          <w:right w:val="none" w:sz="0" w:space="0" w:color="auto"/>
          <w:bar w:val="none" w:sz="0" w:color="auto"/>
        </w:pBdr>
        <w:jc w:val="both"/>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26/16</w:t>
      </w:r>
      <w:r>
        <w:rPr>
          <w:rFonts w:ascii="Cambria" w:hAnsi="Cambria"/>
          <w:sz w:val="16"/>
          <w:szCs w:val="16"/>
          <w:lang w:val="es-ES"/>
        </w:rPr>
        <w:t>, Petición 932-03</w:t>
      </w:r>
      <w:r w:rsidRPr="006132CC">
        <w:rPr>
          <w:rFonts w:ascii="Cambria" w:hAnsi="Cambria"/>
          <w:sz w:val="16"/>
          <w:szCs w:val="16"/>
          <w:lang w:val="es-ES"/>
        </w:rPr>
        <w:t>. Inadmisibilidad. Rómulo Jonás Ponce Santamaría. Perú. 15 de abril de 2016, párr.</w:t>
      </w:r>
      <w:r w:rsidRPr="006132CC">
        <w:rPr>
          <w:rFonts w:ascii="Cambria" w:hAnsi="Cambria"/>
          <w:sz w:val="16"/>
          <w:szCs w:val="16"/>
          <w:lang w:val="es-ES_tradnl"/>
        </w:rPr>
        <w:t xml:space="preserve">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B6F" w:rsidRDefault="00714B6F" w:rsidP="00B54CDF">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rsidR="00714B6F" w:rsidRDefault="00714B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B6F" w:rsidRDefault="00B844C6" w:rsidP="00A50FCF">
    <w:pPr>
      <w:pStyle w:val="Header"/>
      <w:tabs>
        <w:tab w:val="clear" w:pos="4320"/>
        <w:tab w:val="clear" w:pos="8640"/>
      </w:tabs>
      <w:jc w:val="center"/>
      <w:rPr>
        <w:sz w:val="22"/>
        <w:szCs w:val="22"/>
      </w:rPr>
    </w:pPr>
    <w:r>
      <w:rPr>
        <w:noProof/>
        <w:sz w:val="22"/>
        <w:szCs w:val="22"/>
      </w:rPr>
      <w:drawing>
        <wp:inline distT="0" distB="0" distL="0" distR="0">
          <wp:extent cx="1952625" cy="104775"/>
          <wp:effectExtent l="0" t="0" r="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104775"/>
                  </a:xfrm>
                  <a:prstGeom prst="rect">
                    <a:avLst/>
                  </a:prstGeom>
                  <a:noFill/>
                  <a:ln>
                    <a:noFill/>
                  </a:ln>
                </pic:spPr>
              </pic:pic>
            </a:graphicData>
          </a:graphic>
        </wp:inline>
      </w:drawing>
    </w:r>
  </w:p>
  <w:p w:rsidR="00714B6F" w:rsidRPr="00EC7D62" w:rsidRDefault="00910402"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777" w:rsidRDefault="00536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15:restartNumberingAfterBreak="0">
    <w:nsid w:val="0AE7682C"/>
    <w:multiLevelType w:val="hybridMultilevel"/>
    <w:tmpl w:val="C77EC33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58496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6" w15:restartNumberingAfterBreak="0">
    <w:nsid w:val="0E1D2261"/>
    <w:multiLevelType w:val="hybridMultilevel"/>
    <w:tmpl w:val="4A121338"/>
    <w:lvl w:ilvl="0" w:tplc="A9FEF18C">
      <w:start w:val="1"/>
      <w:numFmt w:val="decimal"/>
      <w:lvlText w:val="%1."/>
      <w:lvlJc w:val="left"/>
      <w:pPr>
        <w:tabs>
          <w:tab w:val="num" w:pos="1440"/>
        </w:tabs>
        <w:ind w:left="720" w:firstLine="720"/>
      </w:pPr>
      <w:rPr>
        <w:rFonts w:cs="Times New Roman" w:hint="default"/>
        <w:color w:val="auto"/>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8" w15:restartNumberingAfterBreak="0">
    <w:nsid w:val="13362C4D"/>
    <w:multiLevelType w:val="hybridMultilevel"/>
    <w:tmpl w:val="E7007160"/>
    <w:lvl w:ilvl="0" w:tplc="7CECDEF4">
      <w:start w:val="1"/>
      <w:numFmt w:val="decimal"/>
      <w:lvlText w:val="%1&gt;"/>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2" w15:restartNumberingAfterBreak="0">
    <w:nsid w:val="2EBC1D58"/>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E7131E"/>
    <w:multiLevelType w:val="hybridMultilevel"/>
    <w:tmpl w:val="8892BB4C"/>
    <w:lvl w:ilvl="0" w:tplc="7228F6D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2" w15:restartNumberingAfterBreak="0">
    <w:nsid w:val="3C664823"/>
    <w:multiLevelType w:val="hybridMultilevel"/>
    <w:tmpl w:val="72DCC2C4"/>
    <w:lvl w:ilvl="0" w:tplc="4A7A9DCE">
      <w:start w:val="1"/>
      <w:numFmt w:val="decimal"/>
      <w:lvlText w:val="%1&gt;"/>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9" w15:restartNumberingAfterBreak="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0" w15:restartNumberingAfterBreak="0">
    <w:nsid w:val="65483F42"/>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6"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2" w15:restartNumberingAfterBreak="0">
    <w:nsid w:val="7EC64B12"/>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5"/>
  </w:num>
  <w:num w:numId="2">
    <w:abstractNumId w:val="7"/>
  </w:num>
  <w:num w:numId="3">
    <w:abstractNumId w:val="57"/>
  </w:num>
  <w:num w:numId="4">
    <w:abstractNumId w:val="25"/>
  </w:num>
  <w:num w:numId="5">
    <w:abstractNumId w:val="51"/>
  </w:num>
  <w:num w:numId="6">
    <w:abstractNumId w:val="30"/>
  </w:num>
  <w:num w:numId="7">
    <w:abstractNumId w:val="9"/>
  </w:num>
  <w:num w:numId="8">
    <w:abstractNumId w:val="19"/>
  </w:num>
  <w:num w:numId="9">
    <w:abstractNumId w:val="45"/>
  </w:num>
  <w:num w:numId="10">
    <w:abstractNumId w:val="0"/>
  </w:num>
  <w:num w:numId="11">
    <w:abstractNumId w:val="40"/>
  </w:num>
  <w:num w:numId="12">
    <w:abstractNumId w:val="41"/>
  </w:num>
  <w:num w:numId="13">
    <w:abstractNumId w:val="47"/>
  </w:num>
  <w:num w:numId="14">
    <w:abstractNumId w:val="1"/>
  </w:num>
  <w:num w:numId="15">
    <w:abstractNumId w:val="2"/>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6"/>
  </w:num>
  <w:num w:numId="28">
    <w:abstractNumId w:val="27"/>
  </w:num>
  <w:num w:numId="29">
    <w:abstractNumId w:val="28"/>
  </w:num>
  <w:num w:numId="30">
    <w:abstractNumId w:val="29"/>
  </w:num>
  <w:num w:numId="31">
    <w:abstractNumId w:val="31"/>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2"/>
  </w:num>
  <w:num w:numId="40">
    <w:abstractNumId w:val="43"/>
  </w:num>
  <w:num w:numId="41">
    <w:abstractNumId w:val="49"/>
  </w:num>
  <w:num w:numId="42">
    <w:abstractNumId w:val="52"/>
  </w:num>
  <w:num w:numId="43">
    <w:abstractNumId w:val="53"/>
  </w:num>
  <w:num w:numId="44">
    <w:abstractNumId w:val="55"/>
  </w:num>
  <w:num w:numId="45">
    <w:abstractNumId w:val="56"/>
  </w:num>
  <w:num w:numId="46">
    <w:abstractNumId w:val="58"/>
  </w:num>
  <w:num w:numId="47">
    <w:abstractNumId w:val="59"/>
  </w:num>
  <w:num w:numId="48">
    <w:abstractNumId w:val="60"/>
  </w:num>
  <w:num w:numId="49">
    <w:abstractNumId w:val="61"/>
  </w:num>
  <w:num w:numId="50">
    <w:abstractNumId w:val="63"/>
  </w:num>
  <w:num w:numId="51">
    <w:abstractNumId w:val="24"/>
  </w:num>
  <w:num w:numId="52">
    <w:abstractNumId w:val="44"/>
  </w:num>
  <w:num w:numId="53">
    <w:abstractNumId w:val="54"/>
  </w:num>
  <w:num w:numId="54">
    <w:abstractNumId w:val="48"/>
  </w:num>
  <w:num w:numId="55">
    <w:abstractNumId w:val="6"/>
  </w:num>
  <w:num w:numId="56">
    <w:abstractNumId w:val="46"/>
  </w:num>
  <w:num w:numId="57">
    <w:abstractNumId w:val="62"/>
  </w:num>
  <w:num w:numId="58">
    <w:abstractNumId w:val="22"/>
  </w:num>
  <w:num w:numId="59">
    <w:abstractNumId w:val="4"/>
  </w:num>
  <w:num w:numId="60">
    <w:abstractNumId w:val="50"/>
  </w:num>
  <w:num w:numId="61">
    <w:abstractNumId w:val="3"/>
  </w:num>
  <w:num w:numId="62">
    <w:abstractNumId w:val="32"/>
  </w:num>
  <w:num w:numId="63">
    <w:abstractNumId w:val="8"/>
  </w:num>
  <w:num w:numId="64">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21F"/>
    <w:rsid w:val="0000036F"/>
    <w:rsid w:val="00000CDA"/>
    <w:rsid w:val="000065D0"/>
    <w:rsid w:val="00006B74"/>
    <w:rsid w:val="00006E1F"/>
    <w:rsid w:val="000070D7"/>
    <w:rsid w:val="000104F5"/>
    <w:rsid w:val="00015701"/>
    <w:rsid w:val="0001788C"/>
    <w:rsid w:val="0002186F"/>
    <w:rsid w:val="000337EF"/>
    <w:rsid w:val="00040C3A"/>
    <w:rsid w:val="000419AD"/>
    <w:rsid w:val="000441F8"/>
    <w:rsid w:val="0004793A"/>
    <w:rsid w:val="000716C5"/>
    <w:rsid w:val="00075E23"/>
    <w:rsid w:val="00080FE5"/>
    <w:rsid w:val="0009006E"/>
    <w:rsid w:val="0009344A"/>
    <w:rsid w:val="000A19F8"/>
    <w:rsid w:val="000A3254"/>
    <w:rsid w:val="000A392E"/>
    <w:rsid w:val="000A575F"/>
    <w:rsid w:val="000A63D0"/>
    <w:rsid w:val="000B0579"/>
    <w:rsid w:val="000B5B80"/>
    <w:rsid w:val="000B625E"/>
    <w:rsid w:val="000C1C69"/>
    <w:rsid w:val="000C3A31"/>
    <w:rsid w:val="000D10DB"/>
    <w:rsid w:val="000E2789"/>
    <w:rsid w:val="000E5EB5"/>
    <w:rsid w:val="000F35ED"/>
    <w:rsid w:val="00105F79"/>
    <w:rsid w:val="00107131"/>
    <w:rsid w:val="0010736F"/>
    <w:rsid w:val="00111A8A"/>
    <w:rsid w:val="00113F73"/>
    <w:rsid w:val="00121CC2"/>
    <w:rsid w:val="00124852"/>
    <w:rsid w:val="00131D8B"/>
    <w:rsid w:val="00133EE5"/>
    <w:rsid w:val="00136E3D"/>
    <w:rsid w:val="001371F6"/>
    <w:rsid w:val="001374AC"/>
    <w:rsid w:val="00143EFE"/>
    <w:rsid w:val="001479C0"/>
    <w:rsid w:val="00151A95"/>
    <w:rsid w:val="0015330B"/>
    <w:rsid w:val="00161FFF"/>
    <w:rsid w:val="00167A34"/>
    <w:rsid w:val="00176BB3"/>
    <w:rsid w:val="00177EEF"/>
    <w:rsid w:val="0019028C"/>
    <w:rsid w:val="001A64EE"/>
    <w:rsid w:val="001A7870"/>
    <w:rsid w:val="001B3A00"/>
    <w:rsid w:val="001B4C00"/>
    <w:rsid w:val="001B6208"/>
    <w:rsid w:val="001C0FFD"/>
    <w:rsid w:val="001C1B41"/>
    <w:rsid w:val="001D258F"/>
    <w:rsid w:val="001D65EF"/>
    <w:rsid w:val="001E49E7"/>
    <w:rsid w:val="001F271B"/>
    <w:rsid w:val="001F7201"/>
    <w:rsid w:val="00204931"/>
    <w:rsid w:val="00207D41"/>
    <w:rsid w:val="00223A29"/>
    <w:rsid w:val="002250A3"/>
    <w:rsid w:val="002265E6"/>
    <w:rsid w:val="00231294"/>
    <w:rsid w:val="0023152C"/>
    <w:rsid w:val="00235217"/>
    <w:rsid w:val="002355A9"/>
    <w:rsid w:val="00237CA5"/>
    <w:rsid w:val="00246D1F"/>
    <w:rsid w:val="00247403"/>
    <w:rsid w:val="00247542"/>
    <w:rsid w:val="00254BAD"/>
    <w:rsid w:val="00266B61"/>
    <w:rsid w:val="0026712A"/>
    <w:rsid w:val="002704DB"/>
    <w:rsid w:val="00277BDA"/>
    <w:rsid w:val="002811D2"/>
    <w:rsid w:val="00281322"/>
    <w:rsid w:val="002850AD"/>
    <w:rsid w:val="0029575A"/>
    <w:rsid w:val="002965F0"/>
    <w:rsid w:val="002A0AAE"/>
    <w:rsid w:val="002A5820"/>
    <w:rsid w:val="002B252B"/>
    <w:rsid w:val="002C103C"/>
    <w:rsid w:val="002C3350"/>
    <w:rsid w:val="002D2B26"/>
    <w:rsid w:val="002D7EA2"/>
    <w:rsid w:val="002E187C"/>
    <w:rsid w:val="002E7512"/>
    <w:rsid w:val="002F33FC"/>
    <w:rsid w:val="002F3724"/>
    <w:rsid w:val="00302733"/>
    <w:rsid w:val="00305618"/>
    <w:rsid w:val="003121D5"/>
    <w:rsid w:val="00314078"/>
    <w:rsid w:val="0031535D"/>
    <w:rsid w:val="003239B8"/>
    <w:rsid w:val="0033169F"/>
    <w:rsid w:val="0034224A"/>
    <w:rsid w:val="00343438"/>
    <w:rsid w:val="00344977"/>
    <w:rsid w:val="00346C95"/>
    <w:rsid w:val="00351155"/>
    <w:rsid w:val="00356185"/>
    <w:rsid w:val="00360380"/>
    <w:rsid w:val="0037495E"/>
    <w:rsid w:val="0037519E"/>
    <w:rsid w:val="00386C6C"/>
    <w:rsid w:val="00386CF0"/>
    <w:rsid w:val="003942EC"/>
    <w:rsid w:val="00396760"/>
    <w:rsid w:val="003A6337"/>
    <w:rsid w:val="003B4FF6"/>
    <w:rsid w:val="003B70FB"/>
    <w:rsid w:val="003C6112"/>
    <w:rsid w:val="003C676B"/>
    <w:rsid w:val="003D0A55"/>
    <w:rsid w:val="003D3BC2"/>
    <w:rsid w:val="003E39D2"/>
    <w:rsid w:val="003E614F"/>
    <w:rsid w:val="003E6CA1"/>
    <w:rsid w:val="003F6C11"/>
    <w:rsid w:val="004065A8"/>
    <w:rsid w:val="004153F5"/>
    <w:rsid w:val="004165C2"/>
    <w:rsid w:val="004177CC"/>
    <w:rsid w:val="00417D1F"/>
    <w:rsid w:val="00426156"/>
    <w:rsid w:val="004304AD"/>
    <w:rsid w:val="004311E0"/>
    <w:rsid w:val="004327A1"/>
    <w:rsid w:val="00433111"/>
    <w:rsid w:val="00441ECB"/>
    <w:rsid w:val="0044428C"/>
    <w:rsid w:val="00445193"/>
    <w:rsid w:val="00446956"/>
    <w:rsid w:val="00447CCF"/>
    <w:rsid w:val="004565BA"/>
    <w:rsid w:val="00462C1B"/>
    <w:rsid w:val="00467B7E"/>
    <w:rsid w:val="0047080D"/>
    <w:rsid w:val="00473BB4"/>
    <w:rsid w:val="00476211"/>
    <w:rsid w:val="00476244"/>
    <w:rsid w:val="0047706C"/>
    <w:rsid w:val="00477592"/>
    <w:rsid w:val="00483892"/>
    <w:rsid w:val="00486F1C"/>
    <w:rsid w:val="0049419D"/>
    <w:rsid w:val="004A59CC"/>
    <w:rsid w:val="004A6A54"/>
    <w:rsid w:val="004C20D2"/>
    <w:rsid w:val="004C2312"/>
    <w:rsid w:val="004C4B62"/>
    <w:rsid w:val="004C54C9"/>
    <w:rsid w:val="004C616A"/>
    <w:rsid w:val="004D4ABA"/>
    <w:rsid w:val="004D6025"/>
    <w:rsid w:val="004E19B1"/>
    <w:rsid w:val="004E2649"/>
    <w:rsid w:val="004E6DBC"/>
    <w:rsid w:val="00501399"/>
    <w:rsid w:val="00501652"/>
    <w:rsid w:val="0050633D"/>
    <w:rsid w:val="00507BC4"/>
    <w:rsid w:val="005128E4"/>
    <w:rsid w:val="005133DB"/>
    <w:rsid w:val="00525560"/>
    <w:rsid w:val="00536777"/>
    <w:rsid w:val="005415E6"/>
    <w:rsid w:val="00544216"/>
    <w:rsid w:val="00544C49"/>
    <w:rsid w:val="005478CF"/>
    <w:rsid w:val="005516A1"/>
    <w:rsid w:val="00556446"/>
    <w:rsid w:val="00563557"/>
    <w:rsid w:val="0057402A"/>
    <w:rsid w:val="00574CB7"/>
    <w:rsid w:val="005771D0"/>
    <w:rsid w:val="00580A86"/>
    <w:rsid w:val="00583CCB"/>
    <w:rsid w:val="0059191A"/>
    <w:rsid w:val="005921FF"/>
    <w:rsid w:val="00592627"/>
    <w:rsid w:val="00594707"/>
    <w:rsid w:val="005956E7"/>
    <w:rsid w:val="00597011"/>
    <w:rsid w:val="005A24ED"/>
    <w:rsid w:val="005A6D0E"/>
    <w:rsid w:val="005A6FFA"/>
    <w:rsid w:val="005B37C0"/>
    <w:rsid w:val="005B37CC"/>
    <w:rsid w:val="005B52B0"/>
    <w:rsid w:val="005B6806"/>
    <w:rsid w:val="005B6D22"/>
    <w:rsid w:val="005C261A"/>
    <w:rsid w:val="005C4225"/>
    <w:rsid w:val="005C7989"/>
    <w:rsid w:val="005D66AD"/>
    <w:rsid w:val="005E0B65"/>
    <w:rsid w:val="005E11B2"/>
    <w:rsid w:val="005E399D"/>
    <w:rsid w:val="005F0DAD"/>
    <w:rsid w:val="005F0F33"/>
    <w:rsid w:val="0060009E"/>
    <w:rsid w:val="00600DEB"/>
    <w:rsid w:val="006068B7"/>
    <w:rsid w:val="0061271B"/>
    <w:rsid w:val="006132CC"/>
    <w:rsid w:val="006226E1"/>
    <w:rsid w:val="006243F2"/>
    <w:rsid w:val="0062542C"/>
    <w:rsid w:val="006277DE"/>
    <w:rsid w:val="00627C9F"/>
    <w:rsid w:val="006311E9"/>
    <w:rsid w:val="00632354"/>
    <w:rsid w:val="00642810"/>
    <w:rsid w:val="00642E19"/>
    <w:rsid w:val="00647756"/>
    <w:rsid w:val="006509DA"/>
    <w:rsid w:val="00652333"/>
    <w:rsid w:val="006621F3"/>
    <w:rsid w:val="006700C9"/>
    <w:rsid w:val="00675A24"/>
    <w:rsid w:val="006775AB"/>
    <w:rsid w:val="0068009E"/>
    <w:rsid w:val="006819E9"/>
    <w:rsid w:val="00686471"/>
    <w:rsid w:val="0068794B"/>
    <w:rsid w:val="00691BBE"/>
    <w:rsid w:val="00692219"/>
    <w:rsid w:val="0069402E"/>
    <w:rsid w:val="006A17D2"/>
    <w:rsid w:val="006A4641"/>
    <w:rsid w:val="006A73E6"/>
    <w:rsid w:val="006A7C4D"/>
    <w:rsid w:val="006B0C8C"/>
    <w:rsid w:val="006B2D5C"/>
    <w:rsid w:val="006B2EE8"/>
    <w:rsid w:val="006C4755"/>
    <w:rsid w:val="006C4EB1"/>
    <w:rsid w:val="006D3A31"/>
    <w:rsid w:val="006D41F9"/>
    <w:rsid w:val="006E0166"/>
    <w:rsid w:val="006E772A"/>
    <w:rsid w:val="006E7B34"/>
    <w:rsid w:val="0070697F"/>
    <w:rsid w:val="00711B8B"/>
    <w:rsid w:val="00714B6F"/>
    <w:rsid w:val="0072199C"/>
    <w:rsid w:val="00722C9F"/>
    <w:rsid w:val="007253B8"/>
    <w:rsid w:val="00727B0E"/>
    <w:rsid w:val="00727B21"/>
    <w:rsid w:val="0073598C"/>
    <w:rsid w:val="0073741F"/>
    <w:rsid w:val="00746449"/>
    <w:rsid w:val="0076643F"/>
    <w:rsid w:val="00773AFE"/>
    <w:rsid w:val="00777F63"/>
    <w:rsid w:val="007852B5"/>
    <w:rsid w:val="00796A37"/>
    <w:rsid w:val="007A5817"/>
    <w:rsid w:val="007B05C4"/>
    <w:rsid w:val="007B3FA0"/>
    <w:rsid w:val="007B60E9"/>
    <w:rsid w:val="007B6CC3"/>
    <w:rsid w:val="007C3334"/>
    <w:rsid w:val="007C402A"/>
    <w:rsid w:val="007D27B1"/>
    <w:rsid w:val="007D2B98"/>
    <w:rsid w:val="007D7C02"/>
    <w:rsid w:val="007E21BC"/>
    <w:rsid w:val="007E58FE"/>
    <w:rsid w:val="007E7C82"/>
    <w:rsid w:val="007F23C4"/>
    <w:rsid w:val="007F2CE6"/>
    <w:rsid w:val="007F588D"/>
    <w:rsid w:val="007F668C"/>
    <w:rsid w:val="00802748"/>
    <w:rsid w:val="00803F1C"/>
    <w:rsid w:val="0080600E"/>
    <w:rsid w:val="00807BE3"/>
    <w:rsid w:val="00817612"/>
    <w:rsid w:val="008338A4"/>
    <w:rsid w:val="00834D49"/>
    <w:rsid w:val="00837C45"/>
    <w:rsid w:val="008411F0"/>
    <w:rsid w:val="008439BC"/>
    <w:rsid w:val="00844730"/>
    <w:rsid w:val="008457C2"/>
    <w:rsid w:val="00857A82"/>
    <w:rsid w:val="00871526"/>
    <w:rsid w:val="00873836"/>
    <w:rsid w:val="00874CC1"/>
    <w:rsid w:val="00875668"/>
    <w:rsid w:val="00885737"/>
    <w:rsid w:val="00886977"/>
    <w:rsid w:val="00890650"/>
    <w:rsid w:val="00897E12"/>
    <w:rsid w:val="008A0F81"/>
    <w:rsid w:val="008A310C"/>
    <w:rsid w:val="008A3676"/>
    <w:rsid w:val="008A7E0F"/>
    <w:rsid w:val="008B12F5"/>
    <w:rsid w:val="008B5932"/>
    <w:rsid w:val="008C5751"/>
    <w:rsid w:val="008D2290"/>
    <w:rsid w:val="008D3720"/>
    <w:rsid w:val="008D768D"/>
    <w:rsid w:val="008E0154"/>
    <w:rsid w:val="008E0FD8"/>
    <w:rsid w:val="008E328A"/>
    <w:rsid w:val="008E3759"/>
    <w:rsid w:val="008E3BFE"/>
    <w:rsid w:val="008E5B96"/>
    <w:rsid w:val="008E7900"/>
    <w:rsid w:val="008F1912"/>
    <w:rsid w:val="008F529B"/>
    <w:rsid w:val="0090270B"/>
    <w:rsid w:val="009041DC"/>
    <w:rsid w:val="00906C35"/>
    <w:rsid w:val="00910402"/>
    <w:rsid w:val="0091442E"/>
    <w:rsid w:val="00917B5A"/>
    <w:rsid w:val="00920A58"/>
    <w:rsid w:val="00920A8C"/>
    <w:rsid w:val="00934A2C"/>
    <w:rsid w:val="00935F06"/>
    <w:rsid w:val="00937B3A"/>
    <w:rsid w:val="00947CB1"/>
    <w:rsid w:val="00954B82"/>
    <w:rsid w:val="00957000"/>
    <w:rsid w:val="00962436"/>
    <w:rsid w:val="00965777"/>
    <w:rsid w:val="0096706E"/>
    <w:rsid w:val="00974491"/>
    <w:rsid w:val="00975C4E"/>
    <w:rsid w:val="00981FBA"/>
    <w:rsid w:val="009832E2"/>
    <w:rsid w:val="00997BC5"/>
    <w:rsid w:val="009A4F41"/>
    <w:rsid w:val="009A7200"/>
    <w:rsid w:val="009B381B"/>
    <w:rsid w:val="009C2FC5"/>
    <w:rsid w:val="009D1753"/>
    <w:rsid w:val="009D6502"/>
    <w:rsid w:val="009D7611"/>
    <w:rsid w:val="009D78A5"/>
    <w:rsid w:val="009E08DD"/>
    <w:rsid w:val="009E0B61"/>
    <w:rsid w:val="009E53DE"/>
    <w:rsid w:val="009E7C00"/>
    <w:rsid w:val="00A0691C"/>
    <w:rsid w:val="00A11E44"/>
    <w:rsid w:val="00A154C8"/>
    <w:rsid w:val="00A22397"/>
    <w:rsid w:val="00A32313"/>
    <w:rsid w:val="00A328B3"/>
    <w:rsid w:val="00A50FCF"/>
    <w:rsid w:val="00A528D1"/>
    <w:rsid w:val="00A60ECB"/>
    <w:rsid w:val="00A610CD"/>
    <w:rsid w:val="00A625E0"/>
    <w:rsid w:val="00A65BE1"/>
    <w:rsid w:val="00A74947"/>
    <w:rsid w:val="00A758AA"/>
    <w:rsid w:val="00A81819"/>
    <w:rsid w:val="00A92093"/>
    <w:rsid w:val="00AA09A2"/>
    <w:rsid w:val="00AA415F"/>
    <w:rsid w:val="00AA7996"/>
    <w:rsid w:val="00AC19CB"/>
    <w:rsid w:val="00AD1886"/>
    <w:rsid w:val="00AD58EF"/>
    <w:rsid w:val="00AE3A13"/>
    <w:rsid w:val="00AE5488"/>
    <w:rsid w:val="00AE6F91"/>
    <w:rsid w:val="00AF5571"/>
    <w:rsid w:val="00B06B4E"/>
    <w:rsid w:val="00B07341"/>
    <w:rsid w:val="00B202B5"/>
    <w:rsid w:val="00B27BC3"/>
    <w:rsid w:val="00B30539"/>
    <w:rsid w:val="00B314DB"/>
    <w:rsid w:val="00B361F2"/>
    <w:rsid w:val="00B3718B"/>
    <w:rsid w:val="00B4632A"/>
    <w:rsid w:val="00B5067D"/>
    <w:rsid w:val="00B530F1"/>
    <w:rsid w:val="00B54CDF"/>
    <w:rsid w:val="00B57297"/>
    <w:rsid w:val="00B64305"/>
    <w:rsid w:val="00B736AF"/>
    <w:rsid w:val="00B742BE"/>
    <w:rsid w:val="00B844C6"/>
    <w:rsid w:val="00B87359"/>
    <w:rsid w:val="00B93672"/>
    <w:rsid w:val="00B97946"/>
    <w:rsid w:val="00BA276C"/>
    <w:rsid w:val="00BA354C"/>
    <w:rsid w:val="00BA5544"/>
    <w:rsid w:val="00BB306F"/>
    <w:rsid w:val="00BB3528"/>
    <w:rsid w:val="00BB3FBD"/>
    <w:rsid w:val="00BB51B7"/>
    <w:rsid w:val="00BC6CD0"/>
    <w:rsid w:val="00BD4B89"/>
    <w:rsid w:val="00BD5922"/>
    <w:rsid w:val="00BD76D9"/>
    <w:rsid w:val="00BE5A60"/>
    <w:rsid w:val="00BF02CB"/>
    <w:rsid w:val="00BF2233"/>
    <w:rsid w:val="00BF514A"/>
    <w:rsid w:val="00BF6FD8"/>
    <w:rsid w:val="00BF775D"/>
    <w:rsid w:val="00C03680"/>
    <w:rsid w:val="00C054DF"/>
    <w:rsid w:val="00C10AFC"/>
    <w:rsid w:val="00C15A3F"/>
    <w:rsid w:val="00C21562"/>
    <w:rsid w:val="00C21762"/>
    <w:rsid w:val="00C21FEF"/>
    <w:rsid w:val="00C24543"/>
    <w:rsid w:val="00C256A2"/>
    <w:rsid w:val="00C3046F"/>
    <w:rsid w:val="00C35A26"/>
    <w:rsid w:val="00C43A9C"/>
    <w:rsid w:val="00C51515"/>
    <w:rsid w:val="00C53910"/>
    <w:rsid w:val="00C5660B"/>
    <w:rsid w:val="00C56854"/>
    <w:rsid w:val="00C5788A"/>
    <w:rsid w:val="00C66B72"/>
    <w:rsid w:val="00C7659C"/>
    <w:rsid w:val="00C87AC4"/>
    <w:rsid w:val="00C906BC"/>
    <w:rsid w:val="00C9567A"/>
    <w:rsid w:val="00CA48A3"/>
    <w:rsid w:val="00CA4E5F"/>
    <w:rsid w:val="00CB212D"/>
    <w:rsid w:val="00CB2660"/>
    <w:rsid w:val="00CB2C3D"/>
    <w:rsid w:val="00CB5952"/>
    <w:rsid w:val="00CC290F"/>
    <w:rsid w:val="00CC5E90"/>
    <w:rsid w:val="00CD046C"/>
    <w:rsid w:val="00CD186A"/>
    <w:rsid w:val="00CE076C"/>
    <w:rsid w:val="00CE0A5A"/>
    <w:rsid w:val="00CE5199"/>
    <w:rsid w:val="00CE66D5"/>
    <w:rsid w:val="00CF637A"/>
    <w:rsid w:val="00D059DE"/>
    <w:rsid w:val="00D05ABD"/>
    <w:rsid w:val="00D13FCE"/>
    <w:rsid w:val="00D17E8C"/>
    <w:rsid w:val="00D2725D"/>
    <w:rsid w:val="00D306D1"/>
    <w:rsid w:val="00D30800"/>
    <w:rsid w:val="00D34786"/>
    <w:rsid w:val="00D37BFC"/>
    <w:rsid w:val="00D42822"/>
    <w:rsid w:val="00D47948"/>
    <w:rsid w:val="00D47A8E"/>
    <w:rsid w:val="00D52D14"/>
    <w:rsid w:val="00D55256"/>
    <w:rsid w:val="00D556EA"/>
    <w:rsid w:val="00D55F00"/>
    <w:rsid w:val="00D56D93"/>
    <w:rsid w:val="00D712D3"/>
    <w:rsid w:val="00D71422"/>
    <w:rsid w:val="00D72DC6"/>
    <w:rsid w:val="00D73F5E"/>
    <w:rsid w:val="00D7558D"/>
    <w:rsid w:val="00D77503"/>
    <w:rsid w:val="00D81D92"/>
    <w:rsid w:val="00D876F9"/>
    <w:rsid w:val="00D877B6"/>
    <w:rsid w:val="00D931F4"/>
    <w:rsid w:val="00D93A90"/>
    <w:rsid w:val="00DA0303"/>
    <w:rsid w:val="00DA552D"/>
    <w:rsid w:val="00DA7B5F"/>
    <w:rsid w:val="00DC11E7"/>
    <w:rsid w:val="00DC7023"/>
    <w:rsid w:val="00DC769A"/>
    <w:rsid w:val="00DD061E"/>
    <w:rsid w:val="00DD3D86"/>
    <w:rsid w:val="00DE12F0"/>
    <w:rsid w:val="00DF1EC4"/>
    <w:rsid w:val="00DF51E9"/>
    <w:rsid w:val="00DF618B"/>
    <w:rsid w:val="00E01497"/>
    <w:rsid w:val="00E01943"/>
    <w:rsid w:val="00E0340B"/>
    <w:rsid w:val="00E04A90"/>
    <w:rsid w:val="00E04C1E"/>
    <w:rsid w:val="00E0551F"/>
    <w:rsid w:val="00E219C7"/>
    <w:rsid w:val="00E26CCA"/>
    <w:rsid w:val="00E271BA"/>
    <w:rsid w:val="00E27F56"/>
    <w:rsid w:val="00E34155"/>
    <w:rsid w:val="00E4118C"/>
    <w:rsid w:val="00E43157"/>
    <w:rsid w:val="00E461CE"/>
    <w:rsid w:val="00E720CA"/>
    <w:rsid w:val="00E83137"/>
    <w:rsid w:val="00E84EB5"/>
    <w:rsid w:val="00E85662"/>
    <w:rsid w:val="00E8789F"/>
    <w:rsid w:val="00E91A43"/>
    <w:rsid w:val="00E92747"/>
    <w:rsid w:val="00E946F3"/>
    <w:rsid w:val="00E97B71"/>
    <w:rsid w:val="00EA3D34"/>
    <w:rsid w:val="00EB2405"/>
    <w:rsid w:val="00EB454D"/>
    <w:rsid w:val="00EB60D7"/>
    <w:rsid w:val="00EB7ED9"/>
    <w:rsid w:val="00EC26E9"/>
    <w:rsid w:val="00EC72AB"/>
    <w:rsid w:val="00EC7D62"/>
    <w:rsid w:val="00ED05AA"/>
    <w:rsid w:val="00ED2F03"/>
    <w:rsid w:val="00ED549D"/>
    <w:rsid w:val="00ED76BE"/>
    <w:rsid w:val="00ED7F05"/>
    <w:rsid w:val="00EE00E9"/>
    <w:rsid w:val="00EE014D"/>
    <w:rsid w:val="00EF35AB"/>
    <w:rsid w:val="00EF4C44"/>
    <w:rsid w:val="00EF619B"/>
    <w:rsid w:val="00EF7A57"/>
    <w:rsid w:val="00F00B55"/>
    <w:rsid w:val="00F02AD1"/>
    <w:rsid w:val="00F04591"/>
    <w:rsid w:val="00F06354"/>
    <w:rsid w:val="00F06ED1"/>
    <w:rsid w:val="00F2361B"/>
    <w:rsid w:val="00F253CC"/>
    <w:rsid w:val="00F32E10"/>
    <w:rsid w:val="00F332EF"/>
    <w:rsid w:val="00F37106"/>
    <w:rsid w:val="00F519CF"/>
    <w:rsid w:val="00F53168"/>
    <w:rsid w:val="00F53DD9"/>
    <w:rsid w:val="00F563AD"/>
    <w:rsid w:val="00F56BA5"/>
    <w:rsid w:val="00F60E22"/>
    <w:rsid w:val="00F63B39"/>
    <w:rsid w:val="00F723B0"/>
    <w:rsid w:val="00F81395"/>
    <w:rsid w:val="00F81887"/>
    <w:rsid w:val="00F81BB8"/>
    <w:rsid w:val="00F861D1"/>
    <w:rsid w:val="00F9093A"/>
    <w:rsid w:val="00F917D1"/>
    <w:rsid w:val="00F9342C"/>
    <w:rsid w:val="00F9653B"/>
    <w:rsid w:val="00FA29E6"/>
    <w:rsid w:val="00FA56A5"/>
    <w:rsid w:val="00FA56EA"/>
    <w:rsid w:val="00FB3FE5"/>
    <w:rsid w:val="00FB4D3F"/>
    <w:rsid w:val="00FB62CF"/>
    <w:rsid w:val="00FC0F4A"/>
    <w:rsid w:val="00FC3330"/>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s-PA" w:eastAsia="es-P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72"/>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1">
    <w:name w:val="heading 1"/>
    <w:basedOn w:val="Normal"/>
    <w:next w:val="Normal"/>
    <w:link w:val="Heading1Char"/>
    <w:uiPriority w:val="99"/>
    <w:qFormat/>
    <w:rsid w:val="00D81D92"/>
    <w:pPr>
      <w:keepNext/>
      <w:keepLines/>
      <w:numPr>
        <w:numId w:val="53"/>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eastAsia="MS Gothic"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B93672"/>
    <w:rPr>
      <w:rFonts w:cs="Times New Roman"/>
      <w:u w:val="single"/>
    </w:rPr>
  </w:style>
  <w:style w:type="paragraph" w:customStyle="1" w:styleId="Cabeceraypie">
    <w:name w:val="Cabecera y pie"/>
    <w:uiPriority w:val="99"/>
    <w:rsid w:val="00B93672"/>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B93672"/>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eastAsia="Times New Roman" w:hAnsi="Cambria" w:cs="Cambria"/>
      <w:color w:val="000000"/>
      <w:sz w:val="24"/>
      <w:szCs w:val="24"/>
      <w:u w:color="000000"/>
      <w:lang w:val="en-US" w:eastAsia="es-ES" w:bidi="ar-SA"/>
    </w:rPr>
  </w:style>
  <w:style w:type="paragraph" w:customStyle="1" w:styleId="Cuerpo">
    <w:name w:val="Cuerpo"/>
    <w:uiPriority w:val="99"/>
    <w:rsid w:val="00B9367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B93672"/>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rsid w:val="00030898"/>
    <w:rPr>
      <w:sz w:val="24"/>
      <w:szCs w:val="24"/>
      <w:lang w:val="en-US" w:eastAsia="en-US"/>
    </w:rPr>
  </w:style>
  <w:style w:type="paragraph" w:styleId="ListParagraph">
    <w:name w:val="List Paragraph"/>
    <w:basedOn w:val="Normal"/>
    <w:uiPriority w:val="99"/>
    <w:qFormat/>
    <w:rsid w:val="00B93672"/>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
    <w:basedOn w:val="Normal"/>
    <w:link w:val="FootnoteTextChar1"/>
    <w:uiPriority w:val="99"/>
    <w:rsid w:val="00B93672"/>
    <w:rPr>
      <w:rFonts w:ascii="Calibri" w:hAnsi="Calibri"/>
      <w:color w:val="000000"/>
      <w:sz w:val="20"/>
      <w:szCs w:val="20"/>
      <w:u w:color="000000"/>
      <w:lang w:eastAsia="es-PA"/>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rsid w:val="00030898"/>
    <w:rPr>
      <w:sz w:val="20"/>
      <w:szCs w:val="20"/>
      <w:lang w:val="en-US" w:eastAsia="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
    <w:basedOn w:val="DefaultParagraphFont"/>
    <w:link w:val="4GChar"/>
    <w:uiPriority w:val="99"/>
    <w:locked/>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semiHidden/>
    <w:rsid w:val="0031535D"/>
    <w:pPr>
      <w:spacing w:after="120"/>
    </w:pPr>
  </w:style>
  <w:style w:type="character" w:customStyle="1" w:styleId="BodyTextChar">
    <w:name w:val="Body Text Char"/>
    <w:basedOn w:val="DefaultParagraphFont"/>
    <w:link w:val="BodyText"/>
    <w:uiPriority w:val="99"/>
    <w:semiHidden/>
    <w:locked/>
    <w:rsid w:val="0031535D"/>
    <w:rPr>
      <w:rFonts w:cs="Times New Roman"/>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ink w:val="FootnoteText"/>
    <w:uiPriority w:val="99"/>
    <w:locked/>
    <w:rsid w:val="0031535D"/>
    <w:rPr>
      <w:rFonts w:ascii="Calibri" w:eastAsia="Times New Roman" w:hAnsi="Calibri"/>
      <w:color w:val="000000"/>
      <w:u w:color="000000"/>
      <w:lang w:val="en-US"/>
    </w:rPr>
  </w:style>
  <w:style w:type="paragraph" w:customStyle="1" w:styleId="Default">
    <w:name w:val="Default"/>
    <w:link w:val="DefaultChar"/>
    <w:uiPriority w:val="99"/>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rFonts w:eastAsia="Times New Roman"/>
      <w:color w:val="000000"/>
      <w:sz w:val="24"/>
      <w:szCs w:val="24"/>
      <w:lang w:val="en-US" w:eastAsia="en-US"/>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4"/>
      <w:lang w:val="en-US" w:eastAsia="en-US"/>
    </w:rPr>
  </w:style>
  <w:style w:type="table" w:styleId="TableGrid">
    <w:name w:val="Table Grid"/>
    <w:basedOn w:val="TableNormal"/>
    <w:uiPriority w:val="99"/>
    <w:rsid w:val="003239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B6D22"/>
    <w:rPr>
      <w:rFonts w:cs="Times New Roman"/>
      <w:sz w:val="16"/>
      <w:szCs w:val="16"/>
    </w:rPr>
  </w:style>
  <w:style w:type="paragraph" w:styleId="CommentText">
    <w:name w:val="annotation text"/>
    <w:basedOn w:val="Normal"/>
    <w:link w:val="CommentTextChar"/>
    <w:uiPriority w:val="99"/>
    <w:rsid w:val="005B6D22"/>
    <w:rPr>
      <w:sz w:val="20"/>
      <w:szCs w:val="20"/>
    </w:rPr>
  </w:style>
  <w:style w:type="character" w:customStyle="1" w:styleId="CommentTextChar">
    <w:name w:val="Comment Text Char"/>
    <w:basedOn w:val="DefaultParagraphFont"/>
    <w:link w:val="CommentText"/>
    <w:uiPriority w:val="99"/>
    <w:locked/>
    <w:rsid w:val="005B6D22"/>
    <w:rPr>
      <w:rFonts w:cs="Times New Roman"/>
      <w:lang w:val="en-US" w:eastAsia="en-US"/>
    </w:rPr>
  </w:style>
  <w:style w:type="paragraph" w:styleId="CommentSubject">
    <w:name w:val="annotation subject"/>
    <w:basedOn w:val="CommentText"/>
    <w:next w:val="CommentText"/>
    <w:link w:val="CommentSubjectChar"/>
    <w:uiPriority w:val="99"/>
    <w:semiHidden/>
    <w:rsid w:val="005B6D22"/>
    <w:rPr>
      <w:b/>
      <w:bCs/>
    </w:rPr>
  </w:style>
  <w:style w:type="character" w:customStyle="1" w:styleId="CommentSubjectChar">
    <w:name w:val="Comment Subject Char"/>
    <w:basedOn w:val="CommentTextChar"/>
    <w:link w:val="CommentSubject"/>
    <w:uiPriority w:val="99"/>
    <w:semiHidden/>
    <w:locked/>
    <w:rsid w:val="005B6D22"/>
    <w:rPr>
      <w:rFonts w:cs="Times New Roman"/>
      <w:b/>
      <w:bCs/>
      <w:lang w:val="en-US" w:eastAsia="en-US"/>
    </w:rPr>
  </w:style>
  <w:style w:type="paragraph" w:styleId="Revision">
    <w:name w:val="Revision"/>
    <w:hidden/>
    <w:uiPriority w:val="99"/>
    <w:semiHidden/>
    <w:rsid w:val="005B6D22"/>
    <w:rPr>
      <w:sz w:val="24"/>
      <w:szCs w:val="24"/>
      <w:lang w:val="en-US" w:eastAsia="en-US"/>
    </w:rPr>
  </w:style>
  <w:style w:type="character" w:styleId="EndnoteReference">
    <w:name w:val="endnote reference"/>
    <w:basedOn w:val="DefaultParagraphFont"/>
    <w:uiPriority w:val="99"/>
    <w:semiHidden/>
    <w:rsid w:val="00773AFE"/>
    <w:rPr>
      <w:rFonts w:cs="Times New Roman"/>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207D41"/>
    <w:pPr>
      <w:pBdr>
        <w:top w:val="none" w:sz="0" w:space="0" w:color="auto"/>
        <w:left w:val="none" w:sz="0" w:space="0" w:color="auto"/>
        <w:bottom w:val="none" w:sz="0" w:space="0" w:color="auto"/>
        <w:right w:val="none" w:sz="0" w:space="0" w:color="auto"/>
        <w:bar w:val="none" w:sz="0" w:color="auto"/>
      </w:pBdr>
      <w:jc w:val="both"/>
    </w:pPr>
    <w:rPr>
      <w:sz w:val="20"/>
      <w:szCs w:val="20"/>
      <w:vertAlign w:val="superscript"/>
      <w:lang w:val="es-ES" w:eastAsia="es-ES"/>
    </w:rPr>
  </w:style>
  <w:style w:type="numbering" w:customStyle="1" w:styleId="List16">
    <w:name w:val="List 16"/>
    <w:rsid w:val="00030898"/>
    <w:pPr>
      <w:numPr>
        <w:numId w:val="10"/>
      </w:numPr>
    </w:pPr>
  </w:style>
  <w:style w:type="numbering" w:customStyle="1" w:styleId="List36">
    <w:name w:val="List 36"/>
    <w:rsid w:val="00030898"/>
    <w:pPr>
      <w:numPr>
        <w:numId w:val="14"/>
      </w:numPr>
    </w:pPr>
  </w:style>
  <w:style w:type="numbering" w:customStyle="1" w:styleId="List25">
    <w:name w:val="List 25"/>
    <w:rsid w:val="00030898"/>
    <w:pPr>
      <w:numPr>
        <w:numId w:val="15"/>
      </w:numPr>
    </w:pPr>
  </w:style>
  <w:style w:type="numbering" w:customStyle="1" w:styleId="List1">
    <w:name w:val="List 1"/>
    <w:rsid w:val="00030898"/>
    <w:pPr>
      <w:numPr>
        <w:numId w:val="1"/>
      </w:numPr>
    </w:pPr>
  </w:style>
  <w:style w:type="numbering" w:customStyle="1" w:styleId="List11">
    <w:name w:val="List 11"/>
    <w:rsid w:val="00030898"/>
    <w:pPr>
      <w:numPr>
        <w:numId w:val="7"/>
      </w:numPr>
    </w:pPr>
  </w:style>
  <w:style w:type="numbering" w:customStyle="1" w:styleId="List15">
    <w:name w:val="List 15"/>
    <w:rsid w:val="00030898"/>
    <w:pPr>
      <w:numPr>
        <w:numId w:val="16"/>
      </w:numPr>
    </w:pPr>
  </w:style>
  <w:style w:type="numbering" w:customStyle="1" w:styleId="List14">
    <w:name w:val="List 14"/>
    <w:rsid w:val="00030898"/>
    <w:pPr>
      <w:numPr>
        <w:numId w:val="17"/>
      </w:numPr>
    </w:pPr>
  </w:style>
  <w:style w:type="numbering" w:customStyle="1" w:styleId="List23">
    <w:name w:val="List 23"/>
    <w:rsid w:val="00030898"/>
    <w:pPr>
      <w:numPr>
        <w:numId w:val="18"/>
      </w:numPr>
    </w:pPr>
  </w:style>
  <w:style w:type="numbering" w:customStyle="1" w:styleId="List19">
    <w:name w:val="List 19"/>
    <w:rsid w:val="00030898"/>
    <w:pPr>
      <w:numPr>
        <w:numId w:val="19"/>
      </w:numPr>
    </w:pPr>
  </w:style>
  <w:style w:type="numbering" w:customStyle="1" w:styleId="List45">
    <w:name w:val="List 45"/>
    <w:rsid w:val="00030898"/>
    <w:pPr>
      <w:numPr>
        <w:numId w:val="20"/>
      </w:numPr>
    </w:pPr>
  </w:style>
  <w:style w:type="numbering" w:customStyle="1" w:styleId="List40">
    <w:name w:val="List 40"/>
    <w:rsid w:val="00030898"/>
    <w:pPr>
      <w:numPr>
        <w:numId w:val="21"/>
      </w:numPr>
    </w:pPr>
  </w:style>
  <w:style w:type="numbering" w:customStyle="1" w:styleId="List9">
    <w:name w:val="List 9"/>
    <w:rsid w:val="00030898"/>
    <w:pPr>
      <w:numPr>
        <w:numId w:val="22"/>
      </w:numPr>
    </w:pPr>
  </w:style>
  <w:style w:type="numbering" w:customStyle="1" w:styleId="List43">
    <w:name w:val="List 43"/>
    <w:rsid w:val="00030898"/>
    <w:pPr>
      <w:numPr>
        <w:numId w:val="23"/>
      </w:numPr>
    </w:pPr>
  </w:style>
  <w:style w:type="numbering" w:customStyle="1" w:styleId="List46">
    <w:name w:val="List 46"/>
    <w:rsid w:val="00030898"/>
    <w:pPr>
      <w:numPr>
        <w:numId w:val="24"/>
      </w:numPr>
    </w:pPr>
  </w:style>
  <w:style w:type="numbering" w:customStyle="1" w:styleId="List35">
    <w:name w:val="List 35"/>
    <w:rsid w:val="00030898"/>
    <w:pPr>
      <w:numPr>
        <w:numId w:val="8"/>
      </w:numPr>
    </w:pPr>
  </w:style>
  <w:style w:type="numbering" w:customStyle="1" w:styleId="List17">
    <w:name w:val="List 17"/>
    <w:rsid w:val="00030898"/>
    <w:pPr>
      <w:numPr>
        <w:numId w:val="25"/>
      </w:numPr>
    </w:pPr>
  </w:style>
  <w:style w:type="numbering" w:customStyle="1" w:styleId="List33">
    <w:name w:val="List 33"/>
    <w:rsid w:val="00030898"/>
    <w:pPr>
      <w:numPr>
        <w:numId w:val="26"/>
      </w:numPr>
    </w:pPr>
  </w:style>
  <w:style w:type="numbering" w:customStyle="1" w:styleId="List7">
    <w:name w:val="List 7"/>
    <w:rsid w:val="00030898"/>
    <w:pPr>
      <w:numPr>
        <w:numId w:val="4"/>
      </w:numPr>
    </w:pPr>
  </w:style>
  <w:style w:type="numbering" w:customStyle="1" w:styleId="List18">
    <w:name w:val="List 18"/>
    <w:rsid w:val="00030898"/>
    <w:pPr>
      <w:numPr>
        <w:numId w:val="27"/>
      </w:numPr>
    </w:pPr>
  </w:style>
  <w:style w:type="numbering" w:customStyle="1" w:styleId="List22">
    <w:name w:val="List 22"/>
    <w:rsid w:val="00030898"/>
    <w:pPr>
      <w:numPr>
        <w:numId w:val="28"/>
      </w:numPr>
    </w:pPr>
  </w:style>
  <w:style w:type="numbering" w:customStyle="1" w:styleId="List47">
    <w:name w:val="List 47"/>
    <w:rsid w:val="00030898"/>
    <w:pPr>
      <w:numPr>
        <w:numId w:val="29"/>
      </w:numPr>
    </w:pPr>
  </w:style>
  <w:style w:type="numbering" w:customStyle="1" w:styleId="List28">
    <w:name w:val="List 28"/>
    <w:rsid w:val="00030898"/>
    <w:pPr>
      <w:numPr>
        <w:numId w:val="30"/>
      </w:numPr>
    </w:pPr>
  </w:style>
  <w:style w:type="numbering" w:customStyle="1" w:styleId="List10">
    <w:name w:val="List 10"/>
    <w:rsid w:val="00030898"/>
    <w:pPr>
      <w:numPr>
        <w:numId w:val="6"/>
      </w:numPr>
    </w:pPr>
  </w:style>
  <w:style w:type="numbering" w:customStyle="1" w:styleId="List0">
    <w:name w:val="List 0"/>
    <w:rsid w:val="00030898"/>
    <w:pPr>
      <w:numPr>
        <w:numId w:val="31"/>
      </w:numPr>
    </w:pPr>
  </w:style>
  <w:style w:type="numbering" w:customStyle="1" w:styleId="List30">
    <w:name w:val="List 30"/>
    <w:rsid w:val="00030898"/>
    <w:pPr>
      <w:numPr>
        <w:numId w:val="32"/>
      </w:numPr>
    </w:pPr>
  </w:style>
  <w:style w:type="numbering" w:customStyle="1" w:styleId="List29">
    <w:name w:val="List 29"/>
    <w:rsid w:val="00030898"/>
    <w:pPr>
      <w:numPr>
        <w:numId w:val="34"/>
      </w:numPr>
    </w:pPr>
  </w:style>
  <w:style w:type="numbering" w:customStyle="1" w:styleId="List38">
    <w:name w:val="List 38"/>
    <w:rsid w:val="00030898"/>
    <w:pPr>
      <w:numPr>
        <w:numId w:val="35"/>
      </w:numPr>
    </w:pPr>
  </w:style>
  <w:style w:type="numbering" w:customStyle="1" w:styleId="List12">
    <w:name w:val="List 12"/>
    <w:rsid w:val="00030898"/>
    <w:pPr>
      <w:numPr>
        <w:numId w:val="36"/>
      </w:numPr>
    </w:pPr>
  </w:style>
  <w:style w:type="numbering" w:customStyle="1" w:styleId="List50">
    <w:name w:val="List 50"/>
    <w:rsid w:val="00030898"/>
    <w:pPr>
      <w:numPr>
        <w:numId w:val="37"/>
      </w:numPr>
    </w:pPr>
  </w:style>
  <w:style w:type="numbering" w:customStyle="1" w:styleId="List34">
    <w:name w:val="List 34"/>
    <w:rsid w:val="00030898"/>
    <w:pPr>
      <w:numPr>
        <w:numId w:val="11"/>
      </w:numPr>
    </w:pPr>
  </w:style>
  <w:style w:type="numbering" w:customStyle="1" w:styleId="List42">
    <w:name w:val="List 42"/>
    <w:rsid w:val="00030898"/>
    <w:pPr>
      <w:numPr>
        <w:numId w:val="12"/>
      </w:numPr>
    </w:pPr>
  </w:style>
  <w:style w:type="numbering" w:customStyle="1" w:styleId="List49">
    <w:name w:val="List 49"/>
    <w:rsid w:val="00030898"/>
    <w:pPr>
      <w:numPr>
        <w:numId w:val="39"/>
      </w:numPr>
    </w:pPr>
  </w:style>
  <w:style w:type="numbering" w:customStyle="1" w:styleId="List44">
    <w:name w:val="List 44"/>
    <w:rsid w:val="00030898"/>
    <w:pPr>
      <w:numPr>
        <w:numId w:val="40"/>
      </w:numPr>
    </w:pPr>
  </w:style>
  <w:style w:type="numbering" w:customStyle="1" w:styleId="List21">
    <w:name w:val="List 21"/>
    <w:rsid w:val="00030898"/>
    <w:pPr>
      <w:numPr>
        <w:numId w:val="52"/>
      </w:numPr>
    </w:pPr>
  </w:style>
  <w:style w:type="numbering" w:customStyle="1" w:styleId="List52">
    <w:name w:val="List 52"/>
    <w:rsid w:val="00030898"/>
    <w:pPr>
      <w:numPr>
        <w:numId w:val="9"/>
      </w:numPr>
    </w:pPr>
  </w:style>
  <w:style w:type="numbering" w:customStyle="1" w:styleId="List24">
    <w:name w:val="List 24"/>
    <w:rsid w:val="00030898"/>
    <w:pPr>
      <w:numPr>
        <w:numId w:val="13"/>
      </w:numPr>
    </w:pPr>
  </w:style>
  <w:style w:type="numbering" w:customStyle="1" w:styleId="List51">
    <w:name w:val="List 51"/>
    <w:rsid w:val="00030898"/>
    <w:pPr>
      <w:numPr>
        <w:numId w:val="54"/>
      </w:numPr>
    </w:pPr>
  </w:style>
  <w:style w:type="numbering" w:customStyle="1" w:styleId="List27">
    <w:name w:val="List 27"/>
    <w:rsid w:val="00030898"/>
    <w:pPr>
      <w:numPr>
        <w:numId w:val="41"/>
      </w:numPr>
    </w:pPr>
  </w:style>
  <w:style w:type="numbering" w:customStyle="1" w:styleId="List8">
    <w:name w:val="List 8"/>
    <w:rsid w:val="00030898"/>
    <w:pPr>
      <w:numPr>
        <w:numId w:val="5"/>
      </w:numPr>
    </w:pPr>
  </w:style>
  <w:style w:type="numbering" w:customStyle="1" w:styleId="List13">
    <w:name w:val="List 13"/>
    <w:rsid w:val="00030898"/>
    <w:pPr>
      <w:numPr>
        <w:numId w:val="42"/>
      </w:numPr>
    </w:pPr>
  </w:style>
  <w:style w:type="numbering" w:customStyle="1" w:styleId="List20">
    <w:name w:val="List 20"/>
    <w:rsid w:val="00030898"/>
    <w:pPr>
      <w:numPr>
        <w:numId w:val="43"/>
      </w:numPr>
    </w:pPr>
  </w:style>
  <w:style w:type="numbering" w:customStyle="1" w:styleId="List41">
    <w:name w:val="List 41"/>
    <w:rsid w:val="00030898"/>
    <w:pPr>
      <w:numPr>
        <w:numId w:val="44"/>
      </w:numPr>
    </w:pPr>
  </w:style>
  <w:style w:type="numbering" w:customStyle="1" w:styleId="List31">
    <w:name w:val="List 31"/>
    <w:rsid w:val="00030898"/>
    <w:pPr>
      <w:numPr>
        <w:numId w:val="45"/>
      </w:numPr>
    </w:pPr>
  </w:style>
  <w:style w:type="numbering" w:customStyle="1" w:styleId="List6">
    <w:name w:val="List 6"/>
    <w:rsid w:val="00030898"/>
    <w:pPr>
      <w:numPr>
        <w:numId w:val="3"/>
      </w:numPr>
    </w:pPr>
  </w:style>
  <w:style w:type="numbering" w:customStyle="1" w:styleId="List39">
    <w:name w:val="List 39"/>
    <w:rsid w:val="00030898"/>
    <w:pPr>
      <w:numPr>
        <w:numId w:val="46"/>
      </w:numPr>
    </w:pPr>
  </w:style>
  <w:style w:type="numbering" w:customStyle="1" w:styleId="List37">
    <w:name w:val="List 37"/>
    <w:rsid w:val="00030898"/>
    <w:pPr>
      <w:numPr>
        <w:numId w:val="47"/>
      </w:numPr>
    </w:pPr>
  </w:style>
  <w:style w:type="numbering" w:customStyle="1" w:styleId="List32">
    <w:name w:val="List 32"/>
    <w:rsid w:val="00030898"/>
    <w:pPr>
      <w:numPr>
        <w:numId w:val="48"/>
      </w:numPr>
    </w:pPr>
  </w:style>
  <w:style w:type="numbering" w:customStyle="1" w:styleId="List26">
    <w:name w:val="List 26"/>
    <w:rsid w:val="00030898"/>
    <w:pPr>
      <w:numPr>
        <w:numId w:val="49"/>
      </w:numPr>
    </w:pPr>
  </w:style>
  <w:style w:type="numbering" w:customStyle="1" w:styleId="List48">
    <w:name w:val="List 48"/>
    <w:rsid w:val="00030898"/>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453999">
      <w:marLeft w:val="0"/>
      <w:marRight w:val="0"/>
      <w:marTop w:val="0"/>
      <w:marBottom w:val="0"/>
      <w:divBdr>
        <w:top w:val="none" w:sz="0" w:space="0" w:color="auto"/>
        <w:left w:val="none" w:sz="0" w:space="0" w:color="auto"/>
        <w:bottom w:val="none" w:sz="0" w:space="0" w:color="auto"/>
        <w:right w:val="none" w:sz="0" w:space="0" w:color="auto"/>
      </w:divBdr>
    </w:div>
    <w:div w:id="1836454000">
      <w:marLeft w:val="0"/>
      <w:marRight w:val="0"/>
      <w:marTop w:val="0"/>
      <w:marBottom w:val="0"/>
      <w:divBdr>
        <w:top w:val="none" w:sz="0" w:space="0" w:color="auto"/>
        <w:left w:val="none" w:sz="0" w:space="0" w:color="auto"/>
        <w:bottom w:val="none" w:sz="0" w:space="0" w:color="auto"/>
        <w:right w:val="none" w:sz="0" w:space="0" w:color="auto"/>
      </w:divBdr>
    </w:div>
    <w:div w:id="1836454001">
      <w:marLeft w:val="0"/>
      <w:marRight w:val="0"/>
      <w:marTop w:val="0"/>
      <w:marBottom w:val="0"/>
      <w:divBdr>
        <w:top w:val="none" w:sz="0" w:space="0" w:color="auto"/>
        <w:left w:val="none" w:sz="0" w:space="0" w:color="auto"/>
        <w:bottom w:val="none" w:sz="0" w:space="0" w:color="auto"/>
        <w:right w:val="none" w:sz="0" w:space="0" w:color="auto"/>
      </w:divBdr>
    </w:div>
    <w:div w:id="18364540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2057</Words>
  <Characters>10805</Characters>
  <Application>Microsoft Office Word</Application>
  <DocSecurity>0</DocSecurity>
  <Lines>207</Lines>
  <Paragraphs>65</Paragraphs>
  <ScaleCrop>false</ScaleCrop>
  <Company/>
  <LinksUpToDate>false</LinksUpToDate>
  <CharactersWithSpaces>12797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107/20</dc:title>
  <dc:subject/>
  <dc:creator/>
  <cp:keywords/>
  <dc:description/>
  <cp:lastModifiedBy/>
  <cp:revision>1</cp:revision>
  <dcterms:created xsi:type="dcterms:W3CDTF">2020-06-26T13:42:00Z</dcterms:created>
  <dcterms:modified xsi:type="dcterms:W3CDTF">2020-06-26T13:42:00Z</dcterms:modified>
</cp:coreProperties>
</file>