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2717C6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AD13B8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64C09">
                              <w:rPr>
                                <w:rFonts w:asciiTheme="majorHAnsi" w:hAnsiTheme="majorHAnsi" w:cs="Arial"/>
                                <w:b/>
                                <w:bCs/>
                                <w:color w:val="0D0D0D" w:themeColor="text1" w:themeTint="F2"/>
                                <w:sz w:val="36"/>
                                <w:szCs w:val="22"/>
                                <w:lang w:val="es-ES_tradnl"/>
                              </w:rPr>
                              <w:t xml:space="preserve"> 280</w:t>
                            </w:r>
                            <w:r w:rsidR="00A34668">
                              <w:rPr>
                                <w:rFonts w:asciiTheme="majorHAnsi" w:hAnsiTheme="majorHAnsi" w:cs="Arial"/>
                                <w:b/>
                                <w:bCs/>
                                <w:color w:val="0D0D0D" w:themeColor="text1" w:themeTint="F2"/>
                                <w:sz w:val="36"/>
                                <w:szCs w:val="22"/>
                                <w:lang w:val="es-ES_tradnl"/>
                              </w:rPr>
                              <w:t>/20</w:t>
                            </w:r>
                          </w:p>
                          <w:p w14:paraId="09C54AB3" w14:textId="0421459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64C09">
                              <w:rPr>
                                <w:rFonts w:asciiTheme="majorHAnsi" w:hAnsiTheme="majorHAnsi" w:cs="Arial"/>
                                <w:b/>
                                <w:color w:val="0D0D0D" w:themeColor="text1" w:themeTint="F2"/>
                                <w:sz w:val="36"/>
                                <w:szCs w:val="22"/>
                                <w:lang w:val="es-ES_tradnl"/>
                              </w:rPr>
                              <w:t>1925</w:t>
                            </w:r>
                            <w:r w:rsidR="00246D1F" w:rsidRPr="004E2649">
                              <w:rPr>
                                <w:rFonts w:asciiTheme="majorHAnsi" w:hAnsiTheme="majorHAnsi" w:cs="Arial"/>
                                <w:b/>
                                <w:color w:val="0D0D0D" w:themeColor="text1" w:themeTint="F2"/>
                                <w:sz w:val="36"/>
                                <w:szCs w:val="22"/>
                                <w:lang w:val="es-ES_tradnl"/>
                              </w:rPr>
                              <w:t>-</w:t>
                            </w:r>
                            <w:r w:rsidR="00064C09">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28ABE5CD" w:rsidR="00CD046C" w:rsidRPr="0010736F" w:rsidRDefault="005B52B0" w:rsidP="00557346">
                            <w:pPr>
                              <w:spacing w:line="276" w:lineRule="auto"/>
                              <w:jc w:val="both"/>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sidR="00557346">
                              <w:rPr>
                                <w:rFonts w:asciiTheme="majorHAnsi" w:hAnsiTheme="majorHAnsi" w:cs="Arial"/>
                                <w:color w:val="0D0D0D" w:themeColor="text1" w:themeTint="F2"/>
                                <w:szCs w:val="22"/>
                                <w:lang w:val="es-ES_tradnl"/>
                              </w:rPr>
                              <w:t xml:space="preserve"> </w:t>
                            </w:r>
                            <w:r w:rsidR="001803D9">
                              <w:rPr>
                                <w:rFonts w:asciiTheme="majorHAnsi" w:hAnsiTheme="majorHAnsi" w:cs="Arial"/>
                                <w:color w:val="0D0D0D" w:themeColor="text1" w:themeTint="F2"/>
                                <w:szCs w:val="22"/>
                                <w:lang w:val="es-ES_tradnl"/>
                              </w:rPr>
                              <w:t>ADM</w:t>
                            </w:r>
                            <w:r w:rsidRPr="0010736F">
                              <w:rPr>
                                <w:rFonts w:asciiTheme="majorHAnsi" w:hAnsiTheme="majorHAnsi" w:cs="Arial"/>
                                <w:color w:val="0D0D0D" w:themeColor="text1" w:themeTint="F2"/>
                                <w:szCs w:val="22"/>
                                <w:lang w:val="es-ES_tradnl"/>
                              </w:rPr>
                              <w:t>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FA4F042" w:rsidR="005B52B0" w:rsidRPr="0010736F" w:rsidRDefault="002611F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RODRIGO </w:t>
                            </w:r>
                            <w:r w:rsidR="003A7CC5">
                              <w:rPr>
                                <w:rFonts w:asciiTheme="majorHAnsi" w:hAnsiTheme="majorHAnsi" w:cs="Arial"/>
                                <w:color w:val="0D0D0D" w:themeColor="text1" w:themeTint="F2"/>
                                <w:szCs w:val="22"/>
                                <w:lang w:val="es-ES_tradnl"/>
                              </w:rPr>
                              <w:t>LOR</w:t>
                            </w:r>
                            <w:r w:rsidR="003A7CC5">
                              <w:rPr>
                                <w:rFonts w:asciiTheme="majorHAnsi" w:hAnsiTheme="majorHAnsi" w:cs="Arial"/>
                                <w:color w:val="0D0D0D" w:themeColor="text1" w:themeTint="F2"/>
                                <w:szCs w:val="22"/>
                                <w:lang w:val="es-CR"/>
                              </w:rPr>
                              <w:t>Í</w:t>
                            </w:r>
                            <w:r w:rsidR="003A7CC5">
                              <w:rPr>
                                <w:rFonts w:asciiTheme="majorHAnsi" w:hAnsiTheme="majorHAnsi" w:cs="Arial"/>
                                <w:color w:val="0D0D0D" w:themeColor="text1" w:themeTint="F2"/>
                                <w:szCs w:val="22"/>
                                <w:lang w:val="es-ES_tradnl"/>
                              </w:rPr>
                              <w:t xml:space="preserve">A </w:t>
                            </w:r>
                            <w:r>
                              <w:rPr>
                                <w:rFonts w:asciiTheme="majorHAnsi" w:hAnsiTheme="majorHAnsi" w:cs="Arial"/>
                                <w:color w:val="0D0D0D" w:themeColor="text1" w:themeTint="F2"/>
                                <w:szCs w:val="22"/>
                                <w:lang w:val="es-ES_tradnl"/>
                              </w:rPr>
                              <w:t>ARIAS</w:t>
                            </w:r>
                          </w:p>
                          <w:bookmarkEnd w:id="1"/>
                          <w:p w14:paraId="35068D0D" w14:textId="5E851AA8" w:rsidR="005B52B0" w:rsidRPr="0010736F" w:rsidRDefault="002611F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AD13B8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64C09">
                        <w:rPr>
                          <w:rFonts w:asciiTheme="majorHAnsi" w:hAnsiTheme="majorHAnsi" w:cs="Arial"/>
                          <w:b/>
                          <w:bCs/>
                          <w:color w:val="0D0D0D" w:themeColor="text1" w:themeTint="F2"/>
                          <w:sz w:val="36"/>
                          <w:szCs w:val="22"/>
                          <w:lang w:val="es-ES_tradnl"/>
                        </w:rPr>
                        <w:t xml:space="preserve"> 280</w:t>
                      </w:r>
                      <w:r w:rsidR="00A34668">
                        <w:rPr>
                          <w:rFonts w:asciiTheme="majorHAnsi" w:hAnsiTheme="majorHAnsi" w:cs="Arial"/>
                          <w:b/>
                          <w:bCs/>
                          <w:color w:val="0D0D0D" w:themeColor="text1" w:themeTint="F2"/>
                          <w:sz w:val="36"/>
                          <w:szCs w:val="22"/>
                          <w:lang w:val="es-ES_tradnl"/>
                        </w:rPr>
                        <w:t>/20</w:t>
                      </w:r>
                    </w:p>
                    <w:p w14:paraId="09C54AB3" w14:textId="0421459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64C09">
                        <w:rPr>
                          <w:rFonts w:asciiTheme="majorHAnsi" w:hAnsiTheme="majorHAnsi" w:cs="Arial"/>
                          <w:b/>
                          <w:color w:val="0D0D0D" w:themeColor="text1" w:themeTint="F2"/>
                          <w:sz w:val="36"/>
                          <w:szCs w:val="22"/>
                          <w:lang w:val="es-ES_tradnl"/>
                        </w:rPr>
                        <w:t>1925</w:t>
                      </w:r>
                      <w:r w:rsidR="00246D1F" w:rsidRPr="004E2649">
                        <w:rPr>
                          <w:rFonts w:asciiTheme="majorHAnsi" w:hAnsiTheme="majorHAnsi" w:cs="Arial"/>
                          <w:b/>
                          <w:color w:val="0D0D0D" w:themeColor="text1" w:themeTint="F2"/>
                          <w:sz w:val="36"/>
                          <w:szCs w:val="22"/>
                          <w:lang w:val="es-ES_tradnl"/>
                        </w:rPr>
                        <w:t>-</w:t>
                      </w:r>
                      <w:r w:rsidR="00064C09">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28ABE5CD" w:rsidR="00CD046C" w:rsidRPr="0010736F" w:rsidRDefault="005B52B0" w:rsidP="00557346">
                      <w:pPr>
                        <w:spacing w:line="276" w:lineRule="auto"/>
                        <w:jc w:val="both"/>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sidR="00557346">
                        <w:rPr>
                          <w:rFonts w:asciiTheme="majorHAnsi" w:hAnsiTheme="majorHAnsi" w:cs="Arial"/>
                          <w:color w:val="0D0D0D" w:themeColor="text1" w:themeTint="F2"/>
                          <w:szCs w:val="22"/>
                          <w:lang w:val="es-ES_tradnl"/>
                        </w:rPr>
                        <w:t xml:space="preserve"> </w:t>
                      </w:r>
                      <w:r w:rsidR="001803D9">
                        <w:rPr>
                          <w:rFonts w:asciiTheme="majorHAnsi" w:hAnsiTheme="majorHAnsi" w:cs="Arial"/>
                          <w:color w:val="0D0D0D" w:themeColor="text1" w:themeTint="F2"/>
                          <w:szCs w:val="22"/>
                          <w:lang w:val="es-ES_tradnl"/>
                        </w:rPr>
                        <w:t>ADM</w:t>
                      </w:r>
                      <w:r w:rsidRPr="0010736F">
                        <w:rPr>
                          <w:rFonts w:asciiTheme="majorHAnsi" w:hAnsiTheme="majorHAnsi" w:cs="Arial"/>
                          <w:color w:val="0D0D0D" w:themeColor="text1" w:themeTint="F2"/>
                          <w:szCs w:val="22"/>
                          <w:lang w:val="es-ES_tradnl"/>
                        </w:rPr>
                        <w:t>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FA4F042" w:rsidR="005B52B0" w:rsidRPr="0010736F" w:rsidRDefault="002611F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RODRIGO </w:t>
                      </w:r>
                      <w:r w:rsidR="003A7CC5">
                        <w:rPr>
                          <w:rFonts w:asciiTheme="majorHAnsi" w:hAnsiTheme="majorHAnsi" w:cs="Arial"/>
                          <w:color w:val="0D0D0D" w:themeColor="text1" w:themeTint="F2"/>
                          <w:szCs w:val="22"/>
                          <w:lang w:val="es-ES_tradnl"/>
                        </w:rPr>
                        <w:t>LOR</w:t>
                      </w:r>
                      <w:r w:rsidR="003A7CC5">
                        <w:rPr>
                          <w:rFonts w:asciiTheme="majorHAnsi" w:hAnsiTheme="majorHAnsi" w:cs="Arial"/>
                          <w:color w:val="0D0D0D" w:themeColor="text1" w:themeTint="F2"/>
                          <w:szCs w:val="22"/>
                          <w:lang w:val="es-CR"/>
                        </w:rPr>
                        <w:t>Í</w:t>
                      </w:r>
                      <w:r w:rsidR="003A7CC5">
                        <w:rPr>
                          <w:rFonts w:asciiTheme="majorHAnsi" w:hAnsiTheme="majorHAnsi" w:cs="Arial"/>
                          <w:color w:val="0D0D0D" w:themeColor="text1" w:themeTint="F2"/>
                          <w:szCs w:val="22"/>
                          <w:lang w:val="es-ES_tradnl"/>
                        </w:rPr>
                        <w:t xml:space="preserve">A </w:t>
                      </w:r>
                      <w:r>
                        <w:rPr>
                          <w:rFonts w:asciiTheme="majorHAnsi" w:hAnsiTheme="majorHAnsi" w:cs="Arial"/>
                          <w:color w:val="0D0D0D" w:themeColor="text1" w:themeTint="F2"/>
                          <w:szCs w:val="22"/>
                          <w:lang w:val="es-ES_tradnl"/>
                        </w:rPr>
                        <w:t>ARIAS</w:t>
                      </w:r>
                    </w:p>
                    <w:bookmarkEnd w:id="1"/>
                    <w:p w14:paraId="35068D0D" w14:textId="5E851AA8" w:rsidR="005B52B0" w:rsidRPr="0010736F" w:rsidRDefault="002611F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BE6C716" w:rsidR="00627C9F" w:rsidRPr="004E2649" w:rsidRDefault="00064C0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B17FE49" w:rsidR="00627C9F" w:rsidRPr="004E2649" w:rsidRDefault="00064C0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297</w:t>
                            </w:r>
                          </w:p>
                          <w:p w14:paraId="69373ED2" w14:textId="6254A38E" w:rsidR="00627C9F" w:rsidRPr="001640D6" w:rsidRDefault="00064C0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octubre 2020</w:t>
                            </w:r>
                          </w:p>
                          <w:p w14:paraId="0771DB5B" w14:textId="77777777" w:rsidR="00627C9F" w:rsidRPr="001640D6" w:rsidRDefault="00E0340B" w:rsidP="007A5817">
                            <w:pPr>
                              <w:spacing w:line="276" w:lineRule="auto"/>
                              <w:jc w:val="right"/>
                              <w:rPr>
                                <w:rFonts w:asciiTheme="minorHAnsi" w:hAnsiTheme="minorHAnsi"/>
                                <w:color w:val="FFFFFF" w:themeColor="background1"/>
                                <w:sz w:val="22"/>
                                <w:lang w:val="es-PA"/>
                              </w:rPr>
                            </w:pPr>
                            <w:r w:rsidRPr="001640D6">
                              <w:rPr>
                                <w:rFonts w:asciiTheme="minorHAnsi" w:hAnsiTheme="minorHAnsi"/>
                                <w:color w:val="FFFFFF" w:themeColor="background1"/>
                                <w:sz w:val="22"/>
                                <w:lang w:val="es-PA"/>
                              </w:rPr>
                              <w:t xml:space="preserve">Original: </w:t>
                            </w:r>
                            <w:r w:rsidR="008B12F5" w:rsidRPr="001640D6">
                              <w:rPr>
                                <w:rFonts w:asciiTheme="minorHAnsi" w:hAnsiTheme="minorHAnsi"/>
                                <w:color w:val="FFFFFF" w:themeColor="background1"/>
                                <w:sz w:val="22"/>
                                <w:lang w:val="es-PA"/>
                              </w:rPr>
                              <w:t>e</w:t>
                            </w:r>
                            <w:r w:rsidR="00627C9F" w:rsidRPr="001640D6">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BE6C716" w:rsidR="00627C9F" w:rsidRPr="004E2649" w:rsidRDefault="00064C0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B17FE49" w:rsidR="00627C9F" w:rsidRPr="004E2649" w:rsidRDefault="00064C0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297</w:t>
                      </w:r>
                    </w:p>
                    <w:p w14:paraId="69373ED2" w14:textId="6254A38E" w:rsidR="00627C9F" w:rsidRPr="001640D6" w:rsidRDefault="00064C0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octubre 2020</w:t>
                      </w:r>
                    </w:p>
                    <w:p w14:paraId="0771DB5B" w14:textId="77777777" w:rsidR="00627C9F" w:rsidRPr="001640D6" w:rsidRDefault="00E0340B" w:rsidP="007A5817">
                      <w:pPr>
                        <w:spacing w:line="276" w:lineRule="auto"/>
                        <w:jc w:val="right"/>
                        <w:rPr>
                          <w:rFonts w:asciiTheme="minorHAnsi" w:hAnsiTheme="minorHAnsi"/>
                          <w:color w:val="FFFFFF" w:themeColor="background1"/>
                          <w:sz w:val="22"/>
                          <w:lang w:val="es-PA"/>
                        </w:rPr>
                      </w:pPr>
                      <w:r w:rsidRPr="001640D6">
                        <w:rPr>
                          <w:rFonts w:asciiTheme="minorHAnsi" w:hAnsiTheme="minorHAnsi"/>
                          <w:color w:val="FFFFFF" w:themeColor="background1"/>
                          <w:sz w:val="22"/>
                          <w:lang w:val="es-PA"/>
                        </w:rPr>
                        <w:t xml:space="preserve">Original: </w:t>
                      </w:r>
                      <w:r w:rsidR="008B12F5" w:rsidRPr="001640D6">
                        <w:rPr>
                          <w:rFonts w:asciiTheme="minorHAnsi" w:hAnsiTheme="minorHAnsi"/>
                          <w:color w:val="FFFFFF" w:themeColor="background1"/>
                          <w:sz w:val="22"/>
                          <w:lang w:val="es-PA"/>
                        </w:rPr>
                        <w:t>e</w:t>
                      </w:r>
                      <w:r w:rsidR="00627C9F" w:rsidRPr="001640D6">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835DBF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64C09">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064C09">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00A34668">
                              <w:rPr>
                                <w:rFonts w:asciiTheme="majorHAnsi" w:hAnsiTheme="majorHAnsi"/>
                                <w:color w:val="0D0D0D" w:themeColor="text1" w:themeTint="F2"/>
                                <w:sz w:val="18"/>
                                <w:szCs w:val="22"/>
                                <w:lang w:val="es-ES"/>
                              </w:rPr>
                              <w:t>de 2020</w:t>
                            </w:r>
                            <w:r w:rsidR="00460FB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835DBF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64C09">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064C09">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00A34668">
                        <w:rPr>
                          <w:rFonts w:asciiTheme="majorHAnsi" w:hAnsiTheme="majorHAnsi"/>
                          <w:color w:val="0D0D0D" w:themeColor="text1" w:themeTint="F2"/>
                          <w:sz w:val="18"/>
                          <w:szCs w:val="22"/>
                          <w:lang w:val="es-ES"/>
                        </w:rPr>
                        <w:t>de 2020</w:t>
                      </w:r>
                      <w:r w:rsidR="00460FB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7C7A7E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64C09" w:rsidRPr="00064C09">
                              <w:rPr>
                                <w:rFonts w:asciiTheme="majorHAnsi" w:hAnsiTheme="majorHAnsi"/>
                                <w:color w:val="595959" w:themeColor="text1" w:themeTint="A6"/>
                                <w:sz w:val="18"/>
                                <w:szCs w:val="18"/>
                                <w:lang w:val="pt-BR"/>
                              </w:rPr>
                              <w:t>280</w:t>
                            </w:r>
                            <w:r w:rsidR="007B05C4" w:rsidRPr="00064C09">
                              <w:rPr>
                                <w:rFonts w:asciiTheme="majorHAnsi" w:hAnsiTheme="majorHAnsi"/>
                                <w:color w:val="595959" w:themeColor="text1" w:themeTint="A6"/>
                                <w:sz w:val="18"/>
                                <w:szCs w:val="18"/>
                                <w:lang w:val="pt-BR"/>
                              </w:rPr>
                              <w:t>/</w:t>
                            </w:r>
                            <w:r w:rsidR="00A34668" w:rsidRPr="00064C09">
                              <w:rPr>
                                <w:rFonts w:asciiTheme="majorHAnsi" w:hAnsiTheme="majorHAnsi"/>
                                <w:color w:val="595959" w:themeColor="text1" w:themeTint="A6"/>
                                <w:sz w:val="18"/>
                                <w:szCs w:val="18"/>
                                <w:lang w:val="pt-BR"/>
                              </w:rPr>
                              <w:t>20</w:t>
                            </w:r>
                            <w:r w:rsidRPr="00064C0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824A2C">
                              <w:rPr>
                                <w:rFonts w:asciiTheme="majorHAnsi" w:hAnsiTheme="majorHAnsi"/>
                                <w:color w:val="595959" w:themeColor="text1" w:themeTint="A6"/>
                                <w:sz w:val="18"/>
                                <w:szCs w:val="18"/>
                                <w:lang w:val="es-ES"/>
                              </w:rPr>
                              <w:t>1925-11</w:t>
                            </w:r>
                            <w:r w:rsidR="000433C9">
                              <w:rPr>
                                <w:rFonts w:asciiTheme="majorHAnsi" w:hAnsiTheme="majorHAnsi"/>
                                <w:color w:val="595959" w:themeColor="text1" w:themeTint="A6"/>
                                <w:sz w:val="18"/>
                                <w:szCs w:val="18"/>
                                <w:lang w:val="es-ES"/>
                              </w:rPr>
                              <w:t xml:space="preserve">. </w:t>
                            </w:r>
                            <w:r w:rsidR="00064C09">
                              <w:rPr>
                                <w:rFonts w:asciiTheme="majorHAnsi" w:hAnsiTheme="majorHAnsi"/>
                                <w:color w:val="595959" w:themeColor="text1" w:themeTint="A6"/>
                                <w:sz w:val="18"/>
                                <w:szCs w:val="18"/>
                                <w:lang w:val="es-ES_tradnl"/>
                              </w:rPr>
                              <w:t>A</w:t>
                            </w:r>
                            <w:r w:rsidR="001803D9">
                              <w:rPr>
                                <w:rFonts w:asciiTheme="majorHAnsi" w:hAnsiTheme="majorHAnsi"/>
                                <w:color w:val="595959" w:themeColor="text1" w:themeTint="A6"/>
                                <w:sz w:val="18"/>
                                <w:szCs w:val="18"/>
                                <w:lang w:val="es-ES_tradnl"/>
                              </w:rPr>
                              <w:t>d</w:t>
                            </w:r>
                            <w:r w:rsidRPr="00890650">
                              <w:rPr>
                                <w:rFonts w:asciiTheme="majorHAnsi" w:hAnsiTheme="majorHAnsi"/>
                                <w:color w:val="595959" w:themeColor="text1" w:themeTint="A6"/>
                                <w:sz w:val="18"/>
                                <w:szCs w:val="18"/>
                                <w:lang w:val="es-ES_tradnl"/>
                              </w:rPr>
                              <w:t xml:space="preserve">misibilidad. </w:t>
                            </w:r>
                            <w:r w:rsidR="00064C09">
                              <w:rPr>
                                <w:rFonts w:asciiTheme="majorHAnsi" w:hAnsiTheme="majorHAnsi"/>
                                <w:color w:val="595959" w:themeColor="text1" w:themeTint="A6"/>
                                <w:sz w:val="18"/>
                                <w:szCs w:val="18"/>
                                <w:lang w:val="es-ES_tradnl"/>
                              </w:rPr>
                              <w:t xml:space="preserve">Rodrigo </w:t>
                            </w:r>
                            <w:proofErr w:type="spellStart"/>
                            <w:r w:rsidR="00064C09">
                              <w:rPr>
                                <w:rFonts w:asciiTheme="majorHAnsi" w:hAnsiTheme="majorHAnsi"/>
                                <w:color w:val="595959" w:themeColor="text1" w:themeTint="A6"/>
                                <w:sz w:val="18"/>
                                <w:szCs w:val="18"/>
                                <w:lang w:val="es-ES_tradnl"/>
                              </w:rPr>
                              <w:t>Lorí</w:t>
                            </w:r>
                            <w:r w:rsidR="00347241">
                              <w:rPr>
                                <w:rFonts w:asciiTheme="majorHAnsi" w:hAnsiTheme="majorHAnsi"/>
                                <w:color w:val="595959" w:themeColor="text1" w:themeTint="A6"/>
                                <w:sz w:val="18"/>
                                <w:szCs w:val="18"/>
                                <w:lang w:val="es-ES_tradnl"/>
                              </w:rPr>
                              <w:t>a</w:t>
                            </w:r>
                            <w:proofErr w:type="spellEnd"/>
                            <w:r w:rsidR="00347241">
                              <w:rPr>
                                <w:rFonts w:asciiTheme="majorHAnsi" w:hAnsiTheme="majorHAnsi"/>
                                <w:color w:val="595959" w:themeColor="text1" w:themeTint="A6"/>
                                <w:sz w:val="18"/>
                                <w:szCs w:val="18"/>
                                <w:lang w:val="es-ES_tradnl"/>
                              </w:rPr>
                              <w:t xml:space="preserve"> Arias</w:t>
                            </w:r>
                            <w:r w:rsidRPr="00890650">
                              <w:rPr>
                                <w:rFonts w:asciiTheme="majorHAnsi" w:hAnsiTheme="majorHAnsi"/>
                                <w:color w:val="595959" w:themeColor="text1" w:themeTint="A6"/>
                                <w:sz w:val="18"/>
                                <w:szCs w:val="18"/>
                                <w:lang w:val="es-ES_tradnl"/>
                              </w:rPr>
                              <w:t xml:space="preserve">. </w:t>
                            </w:r>
                            <w:r w:rsidR="00347241">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064C09">
                              <w:rPr>
                                <w:rFonts w:asciiTheme="majorHAnsi" w:hAnsiTheme="majorHAnsi"/>
                                <w:color w:val="595959" w:themeColor="text1" w:themeTint="A6"/>
                                <w:sz w:val="18"/>
                                <w:szCs w:val="18"/>
                                <w:lang w:val="es-ES_tradnl"/>
                              </w:rPr>
                              <w:t>1</w:t>
                            </w:r>
                            <w:r w:rsidR="00064C09">
                              <w:rPr>
                                <w:rFonts w:asciiTheme="majorHAnsi" w:hAnsiTheme="majorHAnsi"/>
                                <w:color w:val="595959" w:themeColor="text1" w:themeTint="A6"/>
                                <w:sz w:val="18"/>
                                <w:szCs w:val="18"/>
                                <w:lang w:val="es-ES"/>
                              </w:rPr>
                              <w:t>2 de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7C7A7E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64C09" w:rsidRPr="00064C09">
                        <w:rPr>
                          <w:rFonts w:asciiTheme="majorHAnsi" w:hAnsiTheme="majorHAnsi"/>
                          <w:color w:val="595959" w:themeColor="text1" w:themeTint="A6"/>
                          <w:sz w:val="18"/>
                          <w:szCs w:val="18"/>
                          <w:lang w:val="pt-BR"/>
                        </w:rPr>
                        <w:t>280</w:t>
                      </w:r>
                      <w:r w:rsidR="007B05C4" w:rsidRPr="00064C09">
                        <w:rPr>
                          <w:rFonts w:asciiTheme="majorHAnsi" w:hAnsiTheme="majorHAnsi"/>
                          <w:color w:val="595959" w:themeColor="text1" w:themeTint="A6"/>
                          <w:sz w:val="18"/>
                          <w:szCs w:val="18"/>
                          <w:lang w:val="pt-BR"/>
                        </w:rPr>
                        <w:t>/</w:t>
                      </w:r>
                      <w:r w:rsidR="00A34668" w:rsidRPr="00064C09">
                        <w:rPr>
                          <w:rFonts w:asciiTheme="majorHAnsi" w:hAnsiTheme="majorHAnsi"/>
                          <w:color w:val="595959" w:themeColor="text1" w:themeTint="A6"/>
                          <w:sz w:val="18"/>
                          <w:szCs w:val="18"/>
                          <w:lang w:val="pt-BR"/>
                        </w:rPr>
                        <w:t>20</w:t>
                      </w:r>
                      <w:r w:rsidRPr="00064C0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824A2C">
                        <w:rPr>
                          <w:rFonts w:asciiTheme="majorHAnsi" w:hAnsiTheme="majorHAnsi"/>
                          <w:color w:val="595959" w:themeColor="text1" w:themeTint="A6"/>
                          <w:sz w:val="18"/>
                          <w:szCs w:val="18"/>
                          <w:lang w:val="es-ES"/>
                        </w:rPr>
                        <w:t>1925-11</w:t>
                      </w:r>
                      <w:r w:rsidR="000433C9">
                        <w:rPr>
                          <w:rFonts w:asciiTheme="majorHAnsi" w:hAnsiTheme="majorHAnsi"/>
                          <w:color w:val="595959" w:themeColor="text1" w:themeTint="A6"/>
                          <w:sz w:val="18"/>
                          <w:szCs w:val="18"/>
                          <w:lang w:val="es-ES"/>
                        </w:rPr>
                        <w:t xml:space="preserve">. </w:t>
                      </w:r>
                      <w:r w:rsidR="00064C09">
                        <w:rPr>
                          <w:rFonts w:asciiTheme="majorHAnsi" w:hAnsiTheme="majorHAnsi"/>
                          <w:color w:val="595959" w:themeColor="text1" w:themeTint="A6"/>
                          <w:sz w:val="18"/>
                          <w:szCs w:val="18"/>
                          <w:lang w:val="es-ES_tradnl"/>
                        </w:rPr>
                        <w:t>A</w:t>
                      </w:r>
                      <w:r w:rsidR="001803D9">
                        <w:rPr>
                          <w:rFonts w:asciiTheme="majorHAnsi" w:hAnsiTheme="majorHAnsi"/>
                          <w:color w:val="595959" w:themeColor="text1" w:themeTint="A6"/>
                          <w:sz w:val="18"/>
                          <w:szCs w:val="18"/>
                          <w:lang w:val="es-ES_tradnl"/>
                        </w:rPr>
                        <w:t>d</w:t>
                      </w:r>
                      <w:r w:rsidRPr="00890650">
                        <w:rPr>
                          <w:rFonts w:asciiTheme="majorHAnsi" w:hAnsiTheme="majorHAnsi"/>
                          <w:color w:val="595959" w:themeColor="text1" w:themeTint="A6"/>
                          <w:sz w:val="18"/>
                          <w:szCs w:val="18"/>
                          <w:lang w:val="es-ES_tradnl"/>
                        </w:rPr>
                        <w:t xml:space="preserve">misibilidad. </w:t>
                      </w:r>
                      <w:r w:rsidR="00064C09">
                        <w:rPr>
                          <w:rFonts w:asciiTheme="majorHAnsi" w:hAnsiTheme="majorHAnsi"/>
                          <w:color w:val="595959" w:themeColor="text1" w:themeTint="A6"/>
                          <w:sz w:val="18"/>
                          <w:szCs w:val="18"/>
                          <w:lang w:val="es-ES_tradnl"/>
                        </w:rPr>
                        <w:t xml:space="preserve">Rodrigo </w:t>
                      </w:r>
                      <w:proofErr w:type="spellStart"/>
                      <w:r w:rsidR="00064C09">
                        <w:rPr>
                          <w:rFonts w:asciiTheme="majorHAnsi" w:hAnsiTheme="majorHAnsi"/>
                          <w:color w:val="595959" w:themeColor="text1" w:themeTint="A6"/>
                          <w:sz w:val="18"/>
                          <w:szCs w:val="18"/>
                          <w:lang w:val="es-ES_tradnl"/>
                        </w:rPr>
                        <w:t>Lorí</w:t>
                      </w:r>
                      <w:r w:rsidR="00347241">
                        <w:rPr>
                          <w:rFonts w:asciiTheme="majorHAnsi" w:hAnsiTheme="majorHAnsi"/>
                          <w:color w:val="595959" w:themeColor="text1" w:themeTint="A6"/>
                          <w:sz w:val="18"/>
                          <w:szCs w:val="18"/>
                          <w:lang w:val="es-ES_tradnl"/>
                        </w:rPr>
                        <w:t>a</w:t>
                      </w:r>
                      <w:proofErr w:type="spellEnd"/>
                      <w:r w:rsidR="00347241">
                        <w:rPr>
                          <w:rFonts w:asciiTheme="majorHAnsi" w:hAnsiTheme="majorHAnsi"/>
                          <w:color w:val="595959" w:themeColor="text1" w:themeTint="A6"/>
                          <w:sz w:val="18"/>
                          <w:szCs w:val="18"/>
                          <w:lang w:val="es-ES_tradnl"/>
                        </w:rPr>
                        <w:t xml:space="preserve"> Arias</w:t>
                      </w:r>
                      <w:r w:rsidRPr="00890650">
                        <w:rPr>
                          <w:rFonts w:asciiTheme="majorHAnsi" w:hAnsiTheme="majorHAnsi"/>
                          <w:color w:val="595959" w:themeColor="text1" w:themeTint="A6"/>
                          <w:sz w:val="18"/>
                          <w:szCs w:val="18"/>
                          <w:lang w:val="es-ES_tradnl"/>
                        </w:rPr>
                        <w:t xml:space="preserve">. </w:t>
                      </w:r>
                      <w:r w:rsidR="00347241">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064C09">
                        <w:rPr>
                          <w:rFonts w:asciiTheme="majorHAnsi" w:hAnsiTheme="majorHAnsi"/>
                          <w:color w:val="595959" w:themeColor="text1" w:themeTint="A6"/>
                          <w:sz w:val="18"/>
                          <w:szCs w:val="18"/>
                          <w:lang w:val="es-ES_tradnl"/>
                        </w:rPr>
                        <w:t>1</w:t>
                      </w:r>
                      <w:r w:rsidR="00064C09">
                        <w:rPr>
                          <w:rFonts w:asciiTheme="majorHAnsi" w:hAnsiTheme="majorHAnsi"/>
                          <w:color w:val="595959" w:themeColor="text1" w:themeTint="A6"/>
                          <w:sz w:val="18"/>
                          <w:szCs w:val="18"/>
                          <w:lang w:val="es-ES"/>
                        </w:rPr>
                        <w:t>2 de octubre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2B5D3DB" w:rsidR="00D72DC6" w:rsidRPr="00D72DC6" w:rsidRDefault="001848DC" w:rsidP="00F02AD1">
                            <w:pPr>
                              <w:rPr>
                                <w:color w:val="FFFFFF" w:themeColor="background1"/>
                                <w14:textFill>
                                  <w14:noFill/>
                                </w14:textFill>
                              </w:rPr>
                            </w:pPr>
                            <w:r>
                              <w:rPr>
                                <w:noProof/>
                                <w:color w:val="FFFFFF"/>
                              </w:rPr>
                              <w:drawing>
                                <wp:inline distT="0" distB="0" distL="0" distR="0" wp14:anchorId="248D65BB" wp14:editId="5F84835C">
                                  <wp:extent cx="1763485" cy="46081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115" cy="4672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52B5D3DB" w:rsidR="00D72DC6" w:rsidRPr="00D72DC6" w:rsidRDefault="001848DC" w:rsidP="00F02AD1">
                      <w:pPr>
                        <w:rPr>
                          <w:color w:val="FFFFFF" w:themeColor="background1"/>
                          <w14:textFill>
                            <w14:noFill/>
                          </w14:textFill>
                        </w:rPr>
                      </w:pPr>
                      <w:r>
                        <w:rPr>
                          <w:noProof/>
                          <w:color w:val="FFFFFF"/>
                        </w:rPr>
                        <w:drawing>
                          <wp:inline distT="0" distB="0" distL="0" distR="0" wp14:anchorId="248D65BB" wp14:editId="5F84835C">
                            <wp:extent cx="1763485" cy="46081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115" cy="467246"/>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3A7CC5" w:rsidRDefault="003239B8" w:rsidP="004A6A54">
      <w:pPr>
        <w:spacing w:after="240"/>
        <w:ind w:firstLine="720"/>
        <w:jc w:val="both"/>
        <w:rPr>
          <w:rFonts w:asciiTheme="majorHAnsi" w:hAnsiTheme="majorHAnsi"/>
          <w:b/>
          <w:bCs/>
          <w:sz w:val="19"/>
          <w:szCs w:val="19"/>
          <w:lang w:val="es-ES"/>
        </w:rPr>
      </w:pPr>
      <w:r w:rsidRPr="003A7CC5">
        <w:rPr>
          <w:rFonts w:asciiTheme="majorHAnsi" w:hAnsiTheme="majorHAnsi"/>
          <w:b/>
          <w:bCs/>
          <w:sz w:val="19"/>
          <w:szCs w:val="19"/>
          <w:lang w:val="es-ES"/>
        </w:rPr>
        <w:lastRenderedPageBreak/>
        <w:t>I.</w:t>
      </w:r>
      <w:r w:rsidRPr="003A7CC5">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A7CC5"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3A7CC5" w:rsidRDefault="003239B8" w:rsidP="008D2290">
            <w:pPr>
              <w:jc w:val="center"/>
              <w:rPr>
                <w:rFonts w:ascii="Cambria" w:hAnsi="Cambria"/>
                <w:b/>
                <w:bCs/>
                <w:color w:val="FFFFFF" w:themeColor="background1"/>
                <w:sz w:val="19"/>
                <w:szCs w:val="19"/>
              </w:rPr>
            </w:pPr>
            <w:r w:rsidRPr="003A7CC5">
              <w:rPr>
                <w:rFonts w:ascii="Cambria" w:hAnsi="Cambria"/>
                <w:b/>
                <w:bCs/>
                <w:color w:val="FFFFFF" w:themeColor="background1"/>
                <w:sz w:val="19"/>
                <w:szCs w:val="19"/>
              </w:rPr>
              <w:t>Parte peticionaria:</w:t>
            </w:r>
          </w:p>
        </w:tc>
        <w:tc>
          <w:tcPr>
            <w:tcW w:w="5760" w:type="dxa"/>
            <w:vAlign w:val="center"/>
          </w:tcPr>
          <w:p w14:paraId="3C5315D8" w14:textId="4C739336" w:rsidR="003239B8" w:rsidRPr="003A7CC5" w:rsidRDefault="00104AD0" w:rsidP="00D736F8">
            <w:pPr>
              <w:jc w:val="both"/>
              <w:rPr>
                <w:rFonts w:ascii="Cambria" w:hAnsi="Cambria"/>
                <w:bCs/>
                <w:sz w:val="19"/>
                <w:szCs w:val="19"/>
              </w:rPr>
            </w:pPr>
            <w:r w:rsidRPr="003A7CC5">
              <w:rPr>
                <w:rFonts w:ascii="Cambria" w:hAnsi="Cambria"/>
                <w:bCs/>
                <w:sz w:val="19"/>
                <w:szCs w:val="19"/>
              </w:rPr>
              <w:t xml:space="preserve">Rodrigo </w:t>
            </w:r>
            <w:r w:rsidR="00D736F8">
              <w:rPr>
                <w:rFonts w:ascii="Cambria" w:hAnsi="Cambria"/>
                <w:bCs/>
                <w:sz w:val="19"/>
                <w:szCs w:val="19"/>
              </w:rPr>
              <w:t>Loría</w:t>
            </w:r>
            <w:r w:rsidRPr="003A7CC5">
              <w:rPr>
                <w:rFonts w:ascii="Cambria" w:hAnsi="Cambria"/>
                <w:bCs/>
                <w:sz w:val="19"/>
                <w:szCs w:val="19"/>
              </w:rPr>
              <w:t xml:space="preserve"> Arias</w:t>
            </w:r>
          </w:p>
        </w:tc>
      </w:tr>
      <w:tr w:rsidR="00D736F8" w:rsidRPr="003A7CC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D736F8" w:rsidRPr="003A7CC5" w:rsidRDefault="00C225F3" w:rsidP="008D2290">
            <w:pPr>
              <w:jc w:val="center"/>
              <w:rPr>
                <w:rFonts w:ascii="Cambria" w:hAnsi="Cambria"/>
                <w:b/>
                <w:bCs/>
                <w:color w:val="FFFFFF" w:themeColor="background1"/>
                <w:sz w:val="19"/>
                <w:szCs w:val="19"/>
              </w:rPr>
            </w:pPr>
            <w:sdt>
              <w:sdtPr>
                <w:rPr>
                  <w:rFonts w:ascii="Cambria" w:hAnsi="Cambria"/>
                  <w:b/>
                  <w:bCs/>
                  <w:color w:val="FFFFFF" w:themeColor="background1"/>
                  <w:sz w:val="19"/>
                  <w:szCs w:val="19"/>
                </w:rPr>
                <w:alias w:val="Elegir una opción"/>
                <w:tag w:val="Elegir una opción"/>
                <w:id w:val="931095713"/>
                <w:placeholder>
                  <w:docPart w:val="89274CFC932147E6AEA2FA611310AA8F"/>
                </w:placeholder>
                <w:dropDownList>
                  <w:listItem w:value="Choose an item."/>
                  <w:listItem w:displayText="Presunta víctima" w:value="Presunta víctima"/>
                  <w:listItem w:displayText="Presuntas víctimas" w:value="Presuntas víctimas"/>
                </w:dropDownList>
              </w:sdtPr>
              <w:sdtEndPr/>
              <w:sdtContent>
                <w:r w:rsidR="00D736F8" w:rsidRPr="003A7CC5">
                  <w:rPr>
                    <w:rFonts w:ascii="Cambria" w:hAnsi="Cambria"/>
                    <w:b/>
                    <w:bCs/>
                    <w:color w:val="FFFFFF" w:themeColor="background1"/>
                    <w:sz w:val="19"/>
                    <w:szCs w:val="19"/>
                  </w:rPr>
                  <w:t>Presunta víctima</w:t>
                </w:r>
              </w:sdtContent>
            </w:sdt>
            <w:r w:rsidR="00D736F8" w:rsidRPr="003A7CC5">
              <w:rPr>
                <w:rFonts w:ascii="Cambria" w:hAnsi="Cambria"/>
                <w:b/>
                <w:bCs/>
                <w:color w:val="FFFFFF" w:themeColor="background1"/>
                <w:sz w:val="19"/>
                <w:szCs w:val="19"/>
              </w:rPr>
              <w:t>:</w:t>
            </w:r>
          </w:p>
        </w:tc>
        <w:tc>
          <w:tcPr>
            <w:tcW w:w="5760" w:type="dxa"/>
            <w:vAlign w:val="center"/>
          </w:tcPr>
          <w:p w14:paraId="4AEBF59E" w14:textId="60C823ED" w:rsidR="00D736F8" w:rsidRPr="003A7CC5" w:rsidRDefault="00D736F8" w:rsidP="00D736F8">
            <w:pPr>
              <w:jc w:val="both"/>
              <w:rPr>
                <w:rFonts w:ascii="Cambria" w:hAnsi="Cambria"/>
                <w:bCs/>
                <w:sz w:val="19"/>
                <w:szCs w:val="19"/>
                <w:lang w:val="es-ES"/>
              </w:rPr>
            </w:pPr>
            <w:r w:rsidRPr="003A7CC5">
              <w:rPr>
                <w:rFonts w:ascii="Cambria" w:hAnsi="Cambria"/>
                <w:bCs/>
                <w:sz w:val="19"/>
                <w:szCs w:val="19"/>
              </w:rPr>
              <w:t xml:space="preserve">Rodrigo </w:t>
            </w:r>
            <w:r>
              <w:rPr>
                <w:rFonts w:ascii="Cambria" w:hAnsi="Cambria"/>
                <w:bCs/>
                <w:sz w:val="19"/>
                <w:szCs w:val="19"/>
              </w:rPr>
              <w:t>Loría</w:t>
            </w:r>
            <w:r w:rsidRPr="003A7CC5">
              <w:rPr>
                <w:rFonts w:ascii="Cambria" w:hAnsi="Cambria"/>
                <w:bCs/>
                <w:sz w:val="19"/>
                <w:szCs w:val="19"/>
              </w:rPr>
              <w:t xml:space="preserve"> Arias</w:t>
            </w:r>
          </w:p>
        </w:tc>
      </w:tr>
      <w:tr w:rsidR="00D736F8" w:rsidRPr="003A7CC5"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D736F8" w:rsidRPr="003A7CC5" w:rsidRDefault="00D736F8" w:rsidP="008D2290">
            <w:pPr>
              <w:jc w:val="center"/>
              <w:rPr>
                <w:rFonts w:ascii="Cambria" w:hAnsi="Cambria"/>
                <w:b/>
                <w:bCs/>
                <w:color w:val="FFFFFF" w:themeColor="background1"/>
                <w:sz w:val="19"/>
                <w:szCs w:val="19"/>
              </w:rPr>
            </w:pPr>
            <w:r w:rsidRPr="003A7CC5">
              <w:rPr>
                <w:rFonts w:ascii="Cambria" w:hAnsi="Cambria"/>
                <w:b/>
                <w:bCs/>
                <w:color w:val="FFFFFF" w:themeColor="background1"/>
                <w:sz w:val="19"/>
                <w:szCs w:val="19"/>
              </w:rPr>
              <w:t>Estado denunciado:</w:t>
            </w:r>
          </w:p>
        </w:tc>
        <w:tc>
          <w:tcPr>
            <w:tcW w:w="5760" w:type="dxa"/>
            <w:vAlign w:val="center"/>
          </w:tcPr>
          <w:p w14:paraId="274C8A50" w14:textId="47A6EBA5" w:rsidR="00D736F8" w:rsidRPr="003A7CC5" w:rsidRDefault="00D736F8" w:rsidP="00925E01">
            <w:pPr>
              <w:jc w:val="both"/>
              <w:rPr>
                <w:rFonts w:ascii="Cambria" w:hAnsi="Cambria"/>
                <w:bCs/>
                <w:sz w:val="19"/>
                <w:szCs w:val="19"/>
              </w:rPr>
            </w:pPr>
            <w:r w:rsidRPr="003A7CC5">
              <w:rPr>
                <w:rFonts w:ascii="Cambria" w:hAnsi="Cambria"/>
                <w:bCs/>
                <w:sz w:val="19"/>
                <w:szCs w:val="19"/>
              </w:rPr>
              <w:t>Costa Rica</w:t>
            </w:r>
          </w:p>
        </w:tc>
      </w:tr>
      <w:tr w:rsidR="00D736F8" w:rsidRPr="00460FB4"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D736F8" w:rsidRPr="003A7CC5" w:rsidRDefault="00D736F8" w:rsidP="00E4118C">
            <w:pPr>
              <w:jc w:val="center"/>
              <w:rPr>
                <w:rFonts w:ascii="Cambria" w:hAnsi="Cambria"/>
                <w:b/>
                <w:bCs/>
                <w:color w:val="FFFFFF" w:themeColor="background1"/>
                <w:sz w:val="19"/>
                <w:szCs w:val="19"/>
              </w:rPr>
            </w:pPr>
            <w:r w:rsidRPr="003A7CC5">
              <w:rPr>
                <w:rFonts w:ascii="Cambria" w:hAnsi="Cambria"/>
                <w:b/>
                <w:bCs/>
                <w:color w:val="FFFFFF" w:themeColor="background1"/>
                <w:sz w:val="19"/>
                <w:szCs w:val="19"/>
              </w:rPr>
              <w:t>Derechos invocados:</w:t>
            </w:r>
          </w:p>
        </w:tc>
        <w:tc>
          <w:tcPr>
            <w:tcW w:w="5760" w:type="dxa"/>
            <w:vAlign w:val="center"/>
          </w:tcPr>
          <w:p w14:paraId="6DEE1EEB" w14:textId="606E0331" w:rsidR="00D736F8" w:rsidRPr="003A7CC5" w:rsidRDefault="00D736F8" w:rsidP="008D2290">
            <w:pPr>
              <w:jc w:val="both"/>
              <w:rPr>
                <w:rFonts w:ascii="Cambria" w:hAnsi="Cambria"/>
                <w:bCs/>
                <w:sz w:val="19"/>
                <w:szCs w:val="19"/>
                <w:lang w:val="es-AR"/>
              </w:rPr>
            </w:pPr>
            <w:r w:rsidRPr="003A7CC5">
              <w:rPr>
                <w:rFonts w:ascii="Cambria" w:hAnsi="Cambria"/>
                <w:bCs/>
                <w:sz w:val="19"/>
                <w:szCs w:val="19"/>
                <w:lang w:val="es-AR"/>
              </w:rPr>
              <w:t>Artículo 8 (garantías judiciales)</w:t>
            </w:r>
            <w:r w:rsidRPr="003A7CC5">
              <w:rPr>
                <w:rFonts w:ascii="Cambria" w:hAnsi="Cambria"/>
                <w:bCs/>
                <w:sz w:val="19"/>
                <w:szCs w:val="19"/>
                <w:lang w:val="es-MX"/>
              </w:rPr>
              <w:t xml:space="preserve"> de la Convención Americana sobre Derechos Humanos</w:t>
            </w:r>
            <w:r w:rsidRPr="003A7CC5">
              <w:rPr>
                <w:rStyle w:val="FootnoteReference"/>
                <w:rFonts w:ascii="Cambria" w:hAnsi="Cambria"/>
                <w:bCs/>
                <w:sz w:val="19"/>
                <w:szCs w:val="19"/>
                <w:lang w:val="es-MX"/>
              </w:rPr>
              <w:footnoteReference w:id="2"/>
            </w:r>
            <w:r w:rsidRPr="003A7CC5">
              <w:rPr>
                <w:rFonts w:ascii="Cambria" w:hAnsi="Cambria"/>
                <w:bCs/>
                <w:sz w:val="19"/>
                <w:szCs w:val="19"/>
                <w:lang w:val="es-MX"/>
              </w:rPr>
              <w:t>, en relación con su artículo 1 (obligación de respetar los derechos) y otros tratados internacionales</w:t>
            </w:r>
            <w:r w:rsidRPr="003A7CC5">
              <w:rPr>
                <w:rStyle w:val="FootnoteReference"/>
                <w:rFonts w:ascii="Cambria" w:hAnsi="Cambria"/>
                <w:bCs/>
                <w:sz w:val="19"/>
                <w:szCs w:val="19"/>
                <w:lang w:val="es-MX"/>
              </w:rPr>
              <w:footnoteReference w:id="3"/>
            </w:r>
          </w:p>
        </w:tc>
      </w:tr>
    </w:tbl>
    <w:p w14:paraId="20263696" w14:textId="77777777" w:rsidR="003239B8" w:rsidRPr="003A7CC5" w:rsidRDefault="003239B8" w:rsidP="003239B8">
      <w:pPr>
        <w:spacing w:before="240" w:after="240"/>
        <w:ind w:firstLine="720"/>
        <w:jc w:val="both"/>
        <w:rPr>
          <w:rFonts w:asciiTheme="majorHAnsi" w:hAnsiTheme="majorHAnsi"/>
          <w:b/>
          <w:bCs/>
          <w:sz w:val="19"/>
          <w:szCs w:val="19"/>
          <w:lang w:val="es-ES"/>
        </w:rPr>
      </w:pPr>
      <w:r w:rsidRPr="003A7CC5">
        <w:rPr>
          <w:rFonts w:asciiTheme="majorHAnsi" w:hAnsiTheme="majorHAnsi"/>
          <w:b/>
          <w:bCs/>
          <w:sz w:val="19"/>
          <w:szCs w:val="19"/>
          <w:lang w:val="es-ES"/>
        </w:rPr>
        <w:t>II.</w:t>
      </w:r>
      <w:r w:rsidRPr="003A7CC5">
        <w:rPr>
          <w:rFonts w:asciiTheme="majorHAnsi" w:hAnsiTheme="majorHAnsi"/>
          <w:b/>
          <w:bCs/>
          <w:sz w:val="19"/>
          <w:szCs w:val="19"/>
          <w:lang w:val="es-ES"/>
        </w:rPr>
        <w:tab/>
        <w:t>TRÁMITE ANTE LA CIDH</w:t>
      </w:r>
      <w:r w:rsidR="008E3BFE" w:rsidRPr="003A7CC5">
        <w:rPr>
          <w:rStyle w:val="FootnoteReference"/>
          <w:rFonts w:ascii="Cambria" w:hAnsi="Cambria"/>
          <w:b/>
          <w:sz w:val="19"/>
          <w:szCs w:val="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A7CC5"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A7CC5" w:rsidRDefault="004A6A54" w:rsidP="004A6A54">
            <w:pPr>
              <w:jc w:val="center"/>
              <w:rPr>
                <w:rFonts w:ascii="Cambria" w:hAnsi="Cambria"/>
                <w:b/>
                <w:bCs/>
                <w:color w:val="FFFFFF" w:themeColor="background1"/>
                <w:sz w:val="19"/>
                <w:szCs w:val="19"/>
                <w:lang w:val="es-ES"/>
              </w:rPr>
            </w:pPr>
            <w:r w:rsidRPr="003A7CC5">
              <w:rPr>
                <w:rFonts w:ascii="Cambria" w:hAnsi="Cambria"/>
                <w:b/>
                <w:bCs/>
                <w:color w:val="FFFFFF" w:themeColor="background1"/>
                <w:sz w:val="19"/>
                <w:szCs w:val="19"/>
                <w:lang w:val="es-ES"/>
              </w:rPr>
              <w:t>P</w:t>
            </w:r>
            <w:r w:rsidR="004C2312" w:rsidRPr="003A7CC5">
              <w:rPr>
                <w:rFonts w:ascii="Cambria" w:hAnsi="Cambria"/>
                <w:b/>
                <w:bCs/>
                <w:color w:val="FFFFFF" w:themeColor="background1"/>
                <w:sz w:val="19"/>
                <w:szCs w:val="19"/>
                <w:lang w:val="es-ES"/>
              </w:rPr>
              <w:t>resentación de la petición:</w:t>
            </w:r>
          </w:p>
        </w:tc>
        <w:tc>
          <w:tcPr>
            <w:tcW w:w="5760" w:type="dxa"/>
            <w:vAlign w:val="center"/>
          </w:tcPr>
          <w:p w14:paraId="6E579153" w14:textId="3F17A4D9" w:rsidR="004C2312" w:rsidRPr="003A7CC5" w:rsidRDefault="001D3823" w:rsidP="002625EA">
            <w:pPr>
              <w:jc w:val="both"/>
              <w:rPr>
                <w:rFonts w:ascii="Cambria" w:hAnsi="Cambria"/>
                <w:bCs/>
                <w:sz w:val="19"/>
                <w:szCs w:val="19"/>
                <w:lang w:val="es-ES"/>
              </w:rPr>
            </w:pPr>
            <w:r w:rsidRPr="003A7CC5">
              <w:rPr>
                <w:rFonts w:ascii="Cambria" w:hAnsi="Cambria"/>
                <w:bCs/>
                <w:sz w:val="19"/>
                <w:szCs w:val="19"/>
                <w:lang w:val="es-ES"/>
              </w:rPr>
              <w:t>1 de diciembre de 2011</w:t>
            </w:r>
            <w:r w:rsidR="001640D6">
              <w:rPr>
                <w:rStyle w:val="FootnoteReference"/>
                <w:rFonts w:ascii="Cambria" w:hAnsi="Cambria"/>
                <w:bCs/>
                <w:sz w:val="19"/>
                <w:szCs w:val="19"/>
                <w:lang w:val="es-ES"/>
              </w:rPr>
              <w:footnoteReference w:id="5"/>
            </w:r>
          </w:p>
        </w:tc>
      </w:tr>
      <w:tr w:rsidR="004C2312" w:rsidRPr="003A7CC5"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A7CC5" w:rsidRDefault="004A6A54" w:rsidP="004A6A54">
            <w:pPr>
              <w:jc w:val="center"/>
              <w:rPr>
                <w:rFonts w:ascii="Cambria" w:hAnsi="Cambria"/>
                <w:b/>
                <w:bCs/>
                <w:color w:val="FFFFFF" w:themeColor="background1"/>
                <w:sz w:val="19"/>
                <w:szCs w:val="19"/>
                <w:lang w:val="es-ES"/>
              </w:rPr>
            </w:pPr>
            <w:r w:rsidRPr="003A7CC5">
              <w:rPr>
                <w:rFonts w:ascii="Cambria" w:hAnsi="Cambria"/>
                <w:b/>
                <w:color w:val="FFFFFF" w:themeColor="background1"/>
                <w:sz w:val="19"/>
                <w:szCs w:val="19"/>
                <w:lang w:val="es-ES"/>
              </w:rPr>
              <w:t>N</w:t>
            </w:r>
            <w:r w:rsidR="004C2312" w:rsidRPr="003A7CC5">
              <w:rPr>
                <w:rFonts w:ascii="Cambria" w:hAnsi="Cambria"/>
                <w:b/>
                <w:color w:val="FFFFFF" w:themeColor="background1"/>
                <w:sz w:val="19"/>
                <w:szCs w:val="19"/>
                <w:lang w:val="es-ES"/>
              </w:rPr>
              <w:t>otificación de la petición al Estado:</w:t>
            </w:r>
          </w:p>
        </w:tc>
        <w:tc>
          <w:tcPr>
            <w:tcW w:w="5760" w:type="dxa"/>
            <w:vAlign w:val="center"/>
          </w:tcPr>
          <w:p w14:paraId="1519DA6A" w14:textId="40A9B2FA" w:rsidR="004C2312" w:rsidRPr="003A7CC5" w:rsidRDefault="00901B65" w:rsidP="008D2290">
            <w:pPr>
              <w:jc w:val="both"/>
              <w:rPr>
                <w:rFonts w:ascii="Cambria" w:hAnsi="Cambria"/>
                <w:bCs/>
                <w:sz w:val="19"/>
                <w:szCs w:val="19"/>
                <w:lang w:val="es-ES"/>
              </w:rPr>
            </w:pPr>
            <w:r w:rsidRPr="003A7CC5">
              <w:rPr>
                <w:rFonts w:ascii="Cambria" w:hAnsi="Cambria"/>
                <w:bCs/>
                <w:sz w:val="19"/>
                <w:szCs w:val="19"/>
                <w:lang w:val="es-ES"/>
              </w:rPr>
              <w:t>20 de septiembre de 2017</w:t>
            </w:r>
          </w:p>
        </w:tc>
      </w:tr>
      <w:tr w:rsidR="004C2312" w:rsidRPr="003A7CC5"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A7CC5" w:rsidRDefault="004A6A54" w:rsidP="004A6A54">
            <w:pPr>
              <w:jc w:val="center"/>
              <w:rPr>
                <w:rFonts w:ascii="Cambria" w:hAnsi="Cambria"/>
                <w:b/>
                <w:bCs/>
                <w:color w:val="FFFFFF" w:themeColor="background1"/>
                <w:sz w:val="19"/>
                <w:szCs w:val="19"/>
                <w:lang w:val="es-ES"/>
              </w:rPr>
            </w:pPr>
            <w:r w:rsidRPr="003A7CC5">
              <w:rPr>
                <w:rFonts w:ascii="Cambria" w:hAnsi="Cambria"/>
                <w:b/>
                <w:color w:val="FFFFFF" w:themeColor="background1"/>
                <w:sz w:val="19"/>
                <w:szCs w:val="19"/>
                <w:lang w:val="es-ES"/>
              </w:rPr>
              <w:t>P</w:t>
            </w:r>
            <w:r w:rsidR="004C2312" w:rsidRPr="003A7CC5">
              <w:rPr>
                <w:rFonts w:ascii="Cambria" w:hAnsi="Cambria"/>
                <w:b/>
                <w:color w:val="FFFFFF" w:themeColor="background1"/>
                <w:sz w:val="19"/>
                <w:szCs w:val="19"/>
                <w:lang w:val="es-ES"/>
              </w:rPr>
              <w:t>rimera respuesta del Estado:</w:t>
            </w:r>
          </w:p>
        </w:tc>
        <w:tc>
          <w:tcPr>
            <w:tcW w:w="5760" w:type="dxa"/>
            <w:vAlign w:val="center"/>
          </w:tcPr>
          <w:p w14:paraId="1972B99E" w14:textId="148DBFAD" w:rsidR="004C2312" w:rsidRPr="003A7CC5" w:rsidRDefault="000E7F55" w:rsidP="008D2290">
            <w:pPr>
              <w:jc w:val="both"/>
              <w:rPr>
                <w:rFonts w:ascii="Cambria" w:hAnsi="Cambria"/>
                <w:bCs/>
                <w:sz w:val="19"/>
                <w:szCs w:val="19"/>
                <w:lang w:val="es-ES"/>
              </w:rPr>
            </w:pPr>
            <w:r w:rsidRPr="003A7CC5">
              <w:rPr>
                <w:rFonts w:ascii="Cambria" w:hAnsi="Cambria"/>
                <w:bCs/>
                <w:sz w:val="19"/>
                <w:szCs w:val="19"/>
                <w:lang w:val="es-ES"/>
              </w:rPr>
              <w:t>21 de diciembre de 2017</w:t>
            </w:r>
          </w:p>
        </w:tc>
      </w:tr>
      <w:tr w:rsidR="001640D6" w:rsidRPr="00460FB4" w14:paraId="27D89A64" w14:textId="77777777" w:rsidTr="004A6A54">
        <w:tc>
          <w:tcPr>
            <w:tcW w:w="3600" w:type="dxa"/>
            <w:tcBorders>
              <w:top w:val="single" w:sz="6" w:space="0" w:color="auto"/>
              <w:bottom w:val="single" w:sz="6" w:space="0" w:color="auto"/>
            </w:tcBorders>
            <w:shd w:val="clear" w:color="auto" w:fill="386294"/>
            <w:vAlign w:val="center"/>
          </w:tcPr>
          <w:p w14:paraId="14D60BA7" w14:textId="0110FC54" w:rsidR="001640D6" w:rsidRPr="003A7CC5" w:rsidRDefault="001640D6" w:rsidP="004A6A54">
            <w:pPr>
              <w:jc w:val="center"/>
              <w:rPr>
                <w:rFonts w:ascii="Cambria" w:hAnsi="Cambria"/>
                <w:b/>
                <w:color w:val="FFFFFF" w:themeColor="background1"/>
                <w:sz w:val="19"/>
                <w:szCs w:val="19"/>
                <w:lang w:val="es-ES"/>
              </w:rPr>
            </w:pPr>
            <w:r w:rsidRPr="00706824">
              <w:rPr>
                <w:rFonts w:ascii="Cambria" w:hAnsi="Cambria"/>
                <w:b/>
                <w:bCs/>
                <w:color w:val="FFFFFF" w:themeColor="background1"/>
                <w:sz w:val="20"/>
                <w:szCs w:val="20"/>
              </w:rPr>
              <w:t>Observaciones adicionales del Estado:</w:t>
            </w:r>
          </w:p>
        </w:tc>
        <w:tc>
          <w:tcPr>
            <w:tcW w:w="5760" w:type="dxa"/>
            <w:vAlign w:val="center"/>
          </w:tcPr>
          <w:p w14:paraId="7289B458" w14:textId="3227C8FF" w:rsidR="001640D6" w:rsidRPr="003A7CC5" w:rsidRDefault="00A34668" w:rsidP="008D2290">
            <w:pPr>
              <w:jc w:val="both"/>
              <w:rPr>
                <w:rFonts w:ascii="Cambria" w:hAnsi="Cambria"/>
                <w:bCs/>
                <w:sz w:val="19"/>
                <w:szCs w:val="19"/>
                <w:lang w:val="es-ES"/>
              </w:rPr>
            </w:pPr>
            <w:r>
              <w:rPr>
                <w:rFonts w:ascii="Cambria" w:hAnsi="Cambria"/>
                <w:bCs/>
                <w:sz w:val="19"/>
                <w:szCs w:val="19"/>
                <w:lang w:val="es-ES"/>
              </w:rPr>
              <w:t>11 de marzo y 29 de mayo de 2019</w:t>
            </w:r>
          </w:p>
        </w:tc>
      </w:tr>
    </w:tbl>
    <w:p w14:paraId="21DAA666" w14:textId="77777777" w:rsidR="003239B8" w:rsidRPr="003A7CC5" w:rsidRDefault="003239B8" w:rsidP="003239B8">
      <w:pPr>
        <w:spacing w:before="240" w:after="240"/>
        <w:ind w:firstLine="720"/>
        <w:jc w:val="both"/>
        <w:rPr>
          <w:rFonts w:asciiTheme="majorHAnsi" w:hAnsiTheme="majorHAnsi"/>
          <w:b/>
          <w:bCs/>
          <w:sz w:val="19"/>
          <w:szCs w:val="19"/>
          <w:lang w:val="es-ES"/>
        </w:rPr>
      </w:pPr>
      <w:r w:rsidRPr="003A7CC5">
        <w:rPr>
          <w:rFonts w:asciiTheme="majorHAnsi" w:hAnsiTheme="majorHAnsi"/>
          <w:b/>
          <w:bCs/>
          <w:sz w:val="19"/>
          <w:szCs w:val="19"/>
          <w:lang w:val="es-ES"/>
        </w:rPr>
        <w:t xml:space="preserve">III. </w:t>
      </w:r>
      <w:r w:rsidRPr="003A7CC5">
        <w:rPr>
          <w:rFonts w:asciiTheme="majorHAnsi" w:hAnsiTheme="majorHAnsi"/>
          <w:b/>
          <w:bCs/>
          <w:sz w:val="19"/>
          <w:szCs w:val="19"/>
          <w:lang w:val="es-ES"/>
        </w:rPr>
        <w:tab/>
        <w:t>COMPETENCIA</w:t>
      </w:r>
      <w:r w:rsidR="00EE00E9" w:rsidRPr="003A7CC5">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A7CC5"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3A7CC5" w:rsidRDefault="003239B8" w:rsidP="008D2290">
            <w:pPr>
              <w:jc w:val="center"/>
              <w:rPr>
                <w:rFonts w:ascii="Cambria" w:hAnsi="Cambria"/>
                <w:b/>
                <w:bCs/>
                <w:i/>
                <w:color w:val="FFFFFF" w:themeColor="background1"/>
                <w:sz w:val="19"/>
                <w:szCs w:val="19"/>
              </w:rPr>
            </w:pPr>
            <w:r w:rsidRPr="003A7CC5">
              <w:rPr>
                <w:rFonts w:ascii="Cambria" w:hAnsi="Cambria"/>
                <w:b/>
                <w:bCs/>
                <w:color w:val="FFFFFF" w:themeColor="background1"/>
                <w:sz w:val="19"/>
                <w:szCs w:val="19"/>
              </w:rPr>
              <w:t>Competencia</w:t>
            </w:r>
            <w:r w:rsidRPr="003A7CC5">
              <w:rPr>
                <w:rFonts w:ascii="Cambria" w:hAnsi="Cambria"/>
                <w:b/>
                <w:bCs/>
                <w:i/>
                <w:color w:val="FFFFFF" w:themeColor="background1"/>
                <w:sz w:val="19"/>
                <w:szCs w:val="19"/>
              </w:rPr>
              <w:t xml:space="preserve"> Ratione personae:</w:t>
            </w:r>
          </w:p>
        </w:tc>
        <w:tc>
          <w:tcPr>
            <w:tcW w:w="5760" w:type="dxa"/>
            <w:vAlign w:val="center"/>
          </w:tcPr>
          <w:p w14:paraId="7707F3E9" w14:textId="423FB122" w:rsidR="003239B8" w:rsidRPr="003A7CC5" w:rsidRDefault="00340628" w:rsidP="008D2290">
            <w:pPr>
              <w:rPr>
                <w:rFonts w:ascii="Cambria" w:hAnsi="Cambria"/>
                <w:bCs/>
                <w:sz w:val="19"/>
                <w:szCs w:val="19"/>
              </w:rPr>
            </w:pPr>
            <w:r w:rsidRPr="003A7CC5">
              <w:rPr>
                <w:rFonts w:ascii="Cambria" w:hAnsi="Cambria"/>
                <w:bCs/>
                <w:sz w:val="19"/>
                <w:szCs w:val="19"/>
              </w:rPr>
              <w:t>Sí</w:t>
            </w:r>
          </w:p>
        </w:tc>
      </w:tr>
      <w:tr w:rsidR="003239B8" w:rsidRPr="003A7CC5"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3A7CC5" w:rsidRDefault="003239B8" w:rsidP="008D2290">
            <w:pPr>
              <w:jc w:val="center"/>
              <w:rPr>
                <w:rFonts w:ascii="Cambria" w:hAnsi="Cambria"/>
                <w:b/>
                <w:bCs/>
                <w:color w:val="FFFFFF" w:themeColor="background1"/>
                <w:sz w:val="19"/>
                <w:szCs w:val="19"/>
              </w:rPr>
            </w:pPr>
            <w:r w:rsidRPr="003A7CC5">
              <w:rPr>
                <w:rFonts w:ascii="Cambria" w:hAnsi="Cambria"/>
                <w:b/>
                <w:bCs/>
                <w:color w:val="FFFFFF" w:themeColor="background1"/>
                <w:sz w:val="19"/>
                <w:szCs w:val="19"/>
              </w:rPr>
              <w:t>Competencia</w:t>
            </w:r>
            <w:r w:rsidRPr="003A7CC5">
              <w:rPr>
                <w:rFonts w:ascii="Cambria" w:hAnsi="Cambria"/>
                <w:b/>
                <w:bCs/>
                <w:i/>
                <w:color w:val="FFFFFF" w:themeColor="background1"/>
                <w:sz w:val="19"/>
                <w:szCs w:val="19"/>
              </w:rPr>
              <w:t xml:space="preserve"> Ratione loci</w:t>
            </w:r>
            <w:r w:rsidRPr="003A7CC5">
              <w:rPr>
                <w:rFonts w:ascii="Cambria" w:hAnsi="Cambria"/>
                <w:b/>
                <w:bCs/>
                <w:color w:val="FFFFFF" w:themeColor="background1"/>
                <w:sz w:val="19"/>
                <w:szCs w:val="19"/>
              </w:rPr>
              <w:t>:</w:t>
            </w:r>
          </w:p>
        </w:tc>
        <w:tc>
          <w:tcPr>
            <w:tcW w:w="5760" w:type="dxa"/>
            <w:vAlign w:val="center"/>
          </w:tcPr>
          <w:p w14:paraId="12C931CB" w14:textId="3076AC08" w:rsidR="003239B8" w:rsidRPr="003A7CC5" w:rsidRDefault="00340628" w:rsidP="008D2290">
            <w:pPr>
              <w:rPr>
                <w:rFonts w:ascii="Cambria" w:hAnsi="Cambria"/>
                <w:bCs/>
                <w:sz w:val="19"/>
                <w:szCs w:val="19"/>
              </w:rPr>
            </w:pPr>
            <w:r w:rsidRPr="003A7CC5">
              <w:rPr>
                <w:rFonts w:ascii="Cambria" w:hAnsi="Cambria"/>
                <w:bCs/>
                <w:sz w:val="19"/>
                <w:szCs w:val="19"/>
              </w:rPr>
              <w:t>Sí</w:t>
            </w:r>
          </w:p>
        </w:tc>
      </w:tr>
      <w:tr w:rsidR="003239B8" w:rsidRPr="003A7CC5"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3A7CC5" w:rsidRDefault="003239B8" w:rsidP="008D2290">
            <w:pPr>
              <w:jc w:val="center"/>
              <w:rPr>
                <w:rFonts w:ascii="Cambria" w:hAnsi="Cambria"/>
                <w:b/>
                <w:bCs/>
                <w:color w:val="FFFFFF" w:themeColor="background1"/>
                <w:sz w:val="19"/>
                <w:szCs w:val="19"/>
              </w:rPr>
            </w:pPr>
            <w:r w:rsidRPr="003A7CC5">
              <w:rPr>
                <w:rFonts w:ascii="Cambria" w:hAnsi="Cambria"/>
                <w:b/>
                <w:bCs/>
                <w:color w:val="FFFFFF" w:themeColor="background1"/>
                <w:sz w:val="19"/>
                <w:szCs w:val="19"/>
              </w:rPr>
              <w:t>Competencia</w:t>
            </w:r>
            <w:r w:rsidRPr="003A7CC5">
              <w:rPr>
                <w:rFonts w:ascii="Cambria" w:hAnsi="Cambria"/>
                <w:b/>
                <w:bCs/>
                <w:i/>
                <w:color w:val="FFFFFF" w:themeColor="background1"/>
                <w:sz w:val="19"/>
                <w:szCs w:val="19"/>
              </w:rPr>
              <w:t xml:space="preserve"> Ratione temporis</w:t>
            </w:r>
            <w:r w:rsidRPr="003A7CC5">
              <w:rPr>
                <w:rFonts w:ascii="Cambria" w:hAnsi="Cambria"/>
                <w:b/>
                <w:bCs/>
                <w:color w:val="FFFFFF" w:themeColor="background1"/>
                <w:sz w:val="19"/>
                <w:szCs w:val="19"/>
              </w:rPr>
              <w:t>:</w:t>
            </w:r>
          </w:p>
        </w:tc>
        <w:tc>
          <w:tcPr>
            <w:tcW w:w="5760" w:type="dxa"/>
            <w:vAlign w:val="center"/>
          </w:tcPr>
          <w:p w14:paraId="6F8B059B" w14:textId="7E9A4E14" w:rsidR="003239B8" w:rsidRPr="003A7CC5" w:rsidRDefault="00340628" w:rsidP="008D2290">
            <w:pPr>
              <w:rPr>
                <w:rFonts w:ascii="Cambria" w:hAnsi="Cambria"/>
                <w:bCs/>
                <w:sz w:val="19"/>
                <w:szCs w:val="19"/>
              </w:rPr>
            </w:pPr>
            <w:r w:rsidRPr="003A7CC5">
              <w:rPr>
                <w:rFonts w:ascii="Cambria" w:hAnsi="Cambria"/>
                <w:bCs/>
                <w:sz w:val="19"/>
                <w:szCs w:val="19"/>
              </w:rPr>
              <w:t>Sí</w:t>
            </w:r>
          </w:p>
        </w:tc>
      </w:tr>
      <w:tr w:rsidR="003239B8" w:rsidRPr="00460FB4"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3A7CC5" w:rsidRDefault="003239B8" w:rsidP="008D2290">
            <w:pPr>
              <w:jc w:val="center"/>
              <w:rPr>
                <w:rFonts w:ascii="Cambria" w:hAnsi="Cambria"/>
                <w:b/>
                <w:bCs/>
                <w:color w:val="FFFFFF" w:themeColor="background1"/>
                <w:sz w:val="19"/>
                <w:szCs w:val="19"/>
              </w:rPr>
            </w:pPr>
            <w:r w:rsidRPr="003A7CC5">
              <w:rPr>
                <w:rFonts w:ascii="Cambria" w:hAnsi="Cambria"/>
                <w:b/>
                <w:bCs/>
                <w:color w:val="FFFFFF" w:themeColor="background1"/>
                <w:sz w:val="19"/>
                <w:szCs w:val="19"/>
              </w:rPr>
              <w:t>Competencia</w:t>
            </w:r>
            <w:r w:rsidRPr="003A7CC5">
              <w:rPr>
                <w:rFonts w:ascii="Cambria" w:hAnsi="Cambria"/>
                <w:b/>
                <w:bCs/>
                <w:i/>
                <w:color w:val="FFFFFF" w:themeColor="background1"/>
                <w:sz w:val="19"/>
                <w:szCs w:val="19"/>
              </w:rPr>
              <w:t xml:space="preserve"> Ratione materia</w:t>
            </w:r>
            <w:r w:rsidR="00EE00E9" w:rsidRPr="003A7CC5">
              <w:rPr>
                <w:rFonts w:ascii="Cambria" w:hAnsi="Cambria"/>
                <w:b/>
                <w:bCs/>
                <w:i/>
                <w:color w:val="FFFFFF" w:themeColor="background1"/>
                <w:sz w:val="19"/>
                <w:szCs w:val="19"/>
              </w:rPr>
              <w:t>e</w:t>
            </w:r>
            <w:r w:rsidRPr="003A7CC5">
              <w:rPr>
                <w:rFonts w:ascii="Cambria" w:hAnsi="Cambria"/>
                <w:b/>
                <w:bCs/>
                <w:color w:val="FFFFFF" w:themeColor="background1"/>
                <w:sz w:val="19"/>
                <w:szCs w:val="19"/>
              </w:rPr>
              <w:t>:</w:t>
            </w:r>
          </w:p>
        </w:tc>
        <w:tc>
          <w:tcPr>
            <w:tcW w:w="5760" w:type="dxa"/>
            <w:vAlign w:val="center"/>
          </w:tcPr>
          <w:p w14:paraId="0C122F44" w14:textId="4BA3BF38" w:rsidR="003239B8" w:rsidRPr="003A7CC5" w:rsidRDefault="00340628" w:rsidP="008D2290">
            <w:pPr>
              <w:jc w:val="both"/>
              <w:rPr>
                <w:rFonts w:ascii="Cambria" w:hAnsi="Cambria"/>
                <w:bCs/>
                <w:sz w:val="19"/>
                <w:szCs w:val="19"/>
                <w:lang w:val="es-ES"/>
              </w:rPr>
            </w:pPr>
            <w:r w:rsidRPr="003A7CC5">
              <w:rPr>
                <w:rFonts w:ascii="Cambria" w:hAnsi="Cambria"/>
                <w:bCs/>
                <w:sz w:val="19"/>
                <w:szCs w:val="19"/>
                <w:lang w:val="es-ES"/>
              </w:rPr>
              <w:t xml:space="preserve">Sí, </w:t>
            </w:r>
            <w:r w:rsidRPr="003A7CC5">
              <w:rPr>
                <w:rFonts w:ascii="Cambria" w:hAnsi="Cambria"/>
                <w:bCs/>
                <w:sz w:val="19"/>
                <w:szCs w:val="19"/>
                <w:bdr w:val="none" w:sz="0" w:space="0" w:color="auto" w:frame="1"/>
                <w:lang w:val="es-ES"/>
              </w:rPr>
              <w:t>Convención Americana (depósito de instrumento realizado el 8 de abril de 1970)</w:t>
            </w:r>
          </w:p>
        </w:tc>
      </w:tr>
    </w:tbl>
    <w:p w14:paraId="4E92C444" w14:textId="1DAF1B79" w:rsidR="003239B8" w:rsidRPr="003A7CC5" w:rsidRDefault="003239B8" w:rsidP="003239B8">
      <w:pPr>
        <w:spacing w:before="240" w:after="240"/>
        <w:ind w:firstLine="720"/>
        <w:jc w:val="both"/>
        <w:rPr>
          <w:rFonts w:asciiTheme="majorHAnsi" w:hAnsiTheme="majorHAnsi"/>
          <w:b/>
          <w:bCs/>
          <w:sz w:val="19"/>
          <w:szCs w:val="19"/>
          <w:lang w:val="es-ES"/>
        </w:rPr>
      </w:pPr>
      <w:r w:rsidRPr="003A7CC5">
        <w:rPr>
          <w:rFonts w:asciiTheme="majorHAnsi" w:hAnsiTheme="majorHAnsi"/>
          <w:b/>
          <w:bCs/>
          <w:sz w:val="19"/>
          <w:szCs w:val="19"/>
          <w:lang w:val="es-ES"/>
        </w:rPr>
        <w:t xml:space="preserve">IV. </w:t>
      </w:r>
      <w:r w:rsidRPr="003A7CC5">
        <w:rPr>
          <w:rFonts w:asciiTheme="majorHAnsi" w:hAnsiTheme="majorHAnsi"/>
          <w:b/>
          <w:bCs/>
          <w:sz w:val="19"/>
          <w:szCs w:val="19"/>
          <w:lang w:val="es-ES"/>
        </w:rPr>
        <w:tab/>
      </w:r>
      <w:r w:rsidR="00EE00E9" w:rsidRPr="003A7CC5">
        <w:rPr>
          <w:rFonts w:asciiTheme="majorHAnsi" w:hAnsiTheme="majorHAnsi"/>
          <w:b/>
          <w:bCs/>
          <w:sz w:val="19"/>
          <w:szCs w:val="19"/>
          <w:lang w:val="es-ES"/>
        </w:rPr>
        <w:t>DUPLICACIÓN</w:t>
      </w:r>
      <w:r w:rsidR="00EE00E9" w:rsidRPr="003A7CC5">
        <w:rPr>
          <w:rFonts w:asciiTheme="majorHAnsi" w:hAnsiTheme="majorHAnsi"/>
          <w:b/>
          <w:bCs/>
          <w:color w:val="FFFFFF" w:themeColor="background1"/>
          <w:sz w:val="19"/>
          <w:szCs w:val="19"/>
          <w:lang w:val="es-ES"/>
        </w:rPr>
        <w:t xml:space="preserve"> </w:t>
      </w:r>
      <w:r w:rsidR="00EE00E9" w:rsidRPr="003A7CC5">
        <w:rPr>
          <w:rFonts w:asciiTheme="majorHAnsi" w:hAnsiTheme="majorHAnsi"/>
          <w:b/>
          <w:bCs/>
          <w:sz w:val="19"/>
          <w:szCs w:val="19"/>
          <w:lang w:val="es-ES"/>
        </w:rPr>
        <w:t>DE PROCEDIMIENTOS Y COSA JUZGADA</w:t>
      </w:r>
      <w:r w:rsidR="00EE00E9" w:rsidRPr="003A7CC5">
        <w:rPr>
          <w:rFonts w:asciiTheme="majorHAnsi" w:hAnsiTheme="majorHAnsi"/>
          <w:b/>
          <w:bCs/>
          <w:i/>
          <w:sz w:val="19"/>
          <w:szCs w:val="19"/>
          <w:lang w:val="es-ES"/>
        </w:rPr>
        <w:t xml:space="preserve"> </w:t>
      </w:r>
      <w:r w:rsidR="00EE00E9" w:rsidRPr="003A7CC5">
        <w:rPr>
          <w:rFonts w:asciiTheme="majorHAnsi" w:hAnsiTheme="majorHAnsi"/>
          <w:b/>
          <w:bCs/>
          <w:sz w:val="19"/>
          <w:szCs w:val="19"/>
          <w:lang w:val="es-ES"/>
        </w:rPr>
        <w:t xml:space="preserve">INTERNACIONAL, </w:t>
      </w:r>
      <w:r w:rsidRPr="003A7CC5">
        <w:rPr>
          <w:rFonts w:asciiTheme="majorHAnsi" w:hAnsiTheme="majorHAnsi"/>
          <w:b/>
          <w:bCs/>
          <w:sz w:val="19"/>
          <w:szCs w:val="19"/>
          <w:lang w:val="es-ES"/>
        </w:rPr>
        <w:t xml:space="preserve"> CARACTERIZACIÓN, </w:t>
      </w:r>
      <w:r w:rsidRPr="003A7CC5">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3A7CC5"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3A7CC5" w:rsidRDefault="00EE00E9" w:rsidP="008D2290">
            <w:pPr>
              <w:jc w:val="center"/>
              <w:rPr>
                <w:rFonts w:ascii="Cambria" w:hAnsi="Cambria"/>
                <w:b/>
                <w:bCs/>
                <w:color w:val="FFFFFF" w:themeColor="background1"/>
                <w:sz w:val="19"/>
                <w:szCs w:val="19"/>
                <w:lang w:val="es-ES"/>
              </w:rPr>
            </w:pPr>
            <w:r w:rsidRPr="003A7CC5">
              <w:rPr>
                <w:rFonts w:ascii="Cambria" w:hAnsi="Cambria"/>
                <w:b/>
                <w:bCs/>
                <w:color w:val="FFFFFF" w:themeColor="background1"/>
                <w:sz w:val="19"/>
                <w:szCs w:val="19"/>
                <w:lang w:val="es-ES"/>
              </w:rPr>
              <w:t>Duplicación de procedimientos y cosa juzgada internacional:</w:t>
            </w:r>
          </w:p>
        </w:tc>
        <w:tc>
          <w:tcPr>
            <w:tcW w:w="5760" w:type="dxa"/>
            <w:vAlign w:val="center"/>
          </w:tcPr>
          <w:p w14:paraId="240941E6" w14:textId="60A917E0" w:rsidR="00EE00E9" w:rsidRPr="003A7CC5" w:rsidRDefault="00925E01" w:rsidP="008D2290">
            <w:pPr>
              <w:jc w:val="both"/>
              <w:rPr>
                <w:rFonts w:ascii="Cambria" w:hAnsi="Cambria"/>
                <w:bCs/>
                <w:sz w:val="19"/>
                <w:szCs w:val="19"/>
                <w:lang w:val="es-ES"/>
              </w:rPr>
            </w:pPr>
            <w:r w:rsidRPr="003A7CC5">
              <w:rPr>
                <w:rFonts w:ascii="Cambria" w:hAnsi="Cambria"/>
                <w:bCs/>
                <w:sz w:val="19"/>
                <w:szCs w:val="19"/>
                <w:lang w:val="es-ES"/>
              </w:rPr>
              <w:t>No</w:t>
            </w:r>
          </w:p>
        </w:tc>
      </w:tr>
      <w:tr w:rsidR="003239B8" w:rsidRPr="00460FB4"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3A7CC5" w:rsidRDefault="003239B8" w:rsidP="008D2290">
            <w:pPr>
              <w:jc w:val="center"/>
              <w:rPr>
                <w:rFonts w:ascii="Cambria" w:hAnsi="Cambria"/>
                <w:b/>
                <w:bCs/>
                <w:i/>
                <w:color w:val="FFFFFF" w:themeColor="background1"/>
                <w:sz w:val="19"/>
                <w:szCs w:val="19"/>
              </w:rPr>
            </w:pPr>
            <w:r w:rsidRPr="003A7CC5">
              <w:rPr>
                <w:rFonts w:ascii="Cambria" w:hAnsi="Cambria"/>
                <w:b/>
                <w:bCs/>
                <w:color w:val="FFFFFF" w:themeColor="background1"/>
                <w:sz w:val="19"/>
                <w:szCs w:val="19"/>
              </w:rPr>
              <w:t>Derechos declarados admisibles</w:t>
            </w:r>
            <w:r w:rsidRPr="003A7CC5">
              <w:rPr>
                <w:rFonts w:ascii="Cambria" w:hAnsi="Cambria"/>
                <w:b/>
                <w:bCs/>
                <w:i/>
                <w:color w:val="FFFFFF" w:themeColor="background1"/>
                <w:sz w:val="19"/>
                <w:szCs w:val="19"/>
              </w:rPr>
              <w:t>:</w:t>
            </w:r>
          </w:p>
        </w:tc>
        <w:tc>
          <w:tcPr>
            <w:tcW w:w="5760" w:type="dxa"/>
            <w:vAlign w:val="center"/>
          </w:tcPr>
          <w:p w14:paraId="6310C8F7" w14:textId="5EDD4B74" w:rsidR="003239B8" w:rsidRPr="003A7CC5" w:rsidRDefault="00557346" w:rsidP="008D2290">
            <w:pPr>
              <w:jc w:val="both"/>
              <w:rPr>
                <w:rFonts w:ascii="Cambria" w:hAnsi="Cambria"/>
                <w:bCs/>
                <w:sz w:val="19"/>
                <w:szCs w:val="19"/>
                <w:lang w:val="es-PA"/>
              </w:rPr>
            </w:pPr>
            <w:r>
              <w:rPr>
                <w:rFonts w:ascii="Cambria" w:hAnsi="Cambria"/>
                <w:bCs/>
                <w:sz w:val="19"/>
                <w:szCs w:val="19"/>
                <w:lang w:val="es-PA"/>
              </w:rPr>
              <w:t>Artículos 8 (garantías judiciales) y 25 (protección judicial) de la Convención Americana en relación con sus artículos 1.1. (obligación de respetar los derechos) y 26 (derechos económicos sociales y culturales)</w:t>
            </w:r>
          </w:p>
        </w:tc>
      </w:tr>
      <w:tr w:rsidR="003239B8" w:rsidRPr="00557346"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3A7CC5" w:rsidRDefault="003239B8" w:rsidP="008D2290">
            <w:pPr>
              <w:jc w:val="center"/>
              <w:rPr>
                <w:rFonts w:ascii="Cambria" w:hAnsi="Cambria"/>
                <w:b/>
                <w:bCs/>
                <w:color w:val="FFFFFF" w:themeColor="background1"/>
                <w:sz w:val="19"/>
                <w:szCs w:val="19"/>
                <w:lang w:val="es-ES"/>
              </w:rPr>
            </w:pPr>
            <w:r w:rsidRPr="003A7CC5">
              <w:rPr>
                <w:rFonts w:ascii="Cambria" w:hAnsi="Cambria"/>
                <w:b/>
                <w:bCs/>
                <w:color w:val="FFFFFF" w:themeColor="background1"/>
                <w:sz w:val="19"/>
                <w:szCs w:val="19"/>
                <w:lang w:val="es-ES"/>
              </w:rPr>
              <w:t>Agotamiento de recursos internos</w:t>
            </w:r>
            <w:r w:rsidR="00EE00E9" w:rsidRPr="003A7CC5">
              <w:rPr>
                <w:rFonts w:ascii="Cambria" w:hAnsi="Cambria"/>
                <w:b/>
                <w:bCs/>
                <w:color w:val="FFFFFF" w:themeColor="background1"/>
                <w:sz w:val="19"/>
                <w:szCs w:val="19"/>
                <w:lang w:val="es-ES"/>
              </w:rPr>
              <w:t xml:space="preserve"> o procedencia de una excepción</w:t>
            </w:r>
            <w:r w:rsidRPr="003A7CC5">
              <w:rPr>
                <w:rFonts w:ascii="Cambria" w:hAnsi="Cambria"/>
                <w:b/>
                <w:bCs/>
                <w:color w:val="FFFFFF" w:themeColor="background1"/>
                <w:sz w:val="19"/>
                <w:szCs w:val="19"/>
                <w:lang w:val="es-ES"/>
              </w:rPr>
              <w:t>:</w:t>
            </w:r>
          </w:p>
        </w:tc>
        <w:tc>
          <w:tcPr>
            <w:tcW w:w="5760" w:type="dxa"/>
            <w:vAlign w:val="center"/>
          </w:tcPr>
          <w:p w14:paraId="69C53E8A" w14:textId="56C8618C" w:rsidR="003239B8" w:rsidRPr="003A7CC5" w:rsidRDefault="00B737D3" w:rsidP="008D2290">
            <w:pPr>
              <w:rPr>
                <w:rFonts w:ascii="Cambria" w:hAnsi="Cambria"/>
                <w:bCs/>
                <w:sz w:val="19"/>
                <w:szCs w:val="19"/>
                <w:lang w:val="es-ES"/>
              </w:rPr>
            </w:pPr>
            <w:r>
              <w:rPr>
                <w:rFonts w:ascii="Cambria" w:hAnsi="Cambria"/>
                <w:bCs/>
                <w:sz w:val="19"/>
                <w:szCs w:val="19"/>
                <w:lang w:val="es-ES"/>
              </w:rPr>
              <w:t xml:space="preserve">Sí, </w:t>
            </w:r>
            <w:r w:rsidR="00F37357" w:rsidRPr="003A7CC5">
              <w:rPr>
                <w:rFonts w:ascii="Cambria" w:hAnsi="Cambria"/>
                <w:bCs/>
                <w:sz w:val="19"/>
                <w:szCs w:val="19"/>
                <w:lang w:val="es-ES"/>
              </w:rPr>
              <w:t>12 de octubre de 2011</w:t>
            </w:r>
          </w:p>
        </w:tc>
      </w:tr>
      <w:tr w:rsidR="003239B8" w:rsidRPr="003A7CC5"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3A7CC5" w:rsidRDefault="003239B8" w:rsidP="008D2290">
            <w:pPr>
              <w:jc w:val="center"/>
              <w:rPr>
                <w:rFonts w:ascii="Cambria" w:hAnsi="Cambria"/>
                <w:b/>
                <w:bCs/>
                <w:color w:val="FFFFFF" w:themeColor="background1"/>
                <w:sz w:val="19"/>
                <w:szCs w:val="19"/>
                <w:lang w:val="es-PA"/>
              </w:rPr>
            </w:pPr>
            <w:r w:rsidRPr="003A7CC5">
              <w:rPr>
                <w:rFonts w:ascii="Cambria" w:hAnsi="Cambria"/>
                <w:b/>
                <w:bCs/>
                <w:color w:val="FFFFFF" w:themeColor="background1"/>
                <w:sz w:val="19"/>
                <w:szCs w:val="19"/>
                <w:lang w:val="es-PA"/>
              </w:rPr>
              <w:t>Presentación dentro de plazo:</w:t>
            </w:r>
          </w:p>
        </w:tc>
        <w:tc>
          <w:tcPr>
            <w:tcW w:w="5760" w:type="dxa"/>
            <w:vAlign w:val="center"/>
          </w:tcPr>
          <w:p w14:paraId="4A2A4569" w14:textId="720B0175" w:rsidR="003239B8" w:rsidRPr="003A7CC5" w:rsidRDefault="00B737D3" w:rsidP="008D2290">
            <w:pPr>
              <w:rPr>
                <w:rFonts w:ascii="Cambria" w:hAnsi="Cambria"/>
                <w:bCs/>
                <w:sz w:val="19"/>
                <w:szCs w:val="19"/>
              </w:rPr>
            </w:pPr>
            <w:r>
              <w:rPr>
                <w:rFonts w:ascii="Cambria" w:hAnsi="Cambria"/>
                <w:bCs/>
                <w:sz w:val="19"/>
                <w:szCs w:val="19"/>
                <w:lang w:val="es-PA"/>
              </w:rPr>
              <w:t xml:space="preserve">Sí, </w:t>
            </w:r>
            <w:r w:rsidR="00F37357" w:rsidRPr="003A7CC5">
              <w:rPr>
                <w:rFonts w:ascii="Cambria" w:hAnsi="Cambria"/>
                <w:bCs/>
                <w:sz w:val="19"/>
                <w:szCs w:val="19"/>
                <w:lang w:val="es-PA"/>
              </w:rPr>
              <w:t>1 de dic</w:t>
            </w:r>
            <w:r w:rsidR="00F37357" w:rsidRPr="003A7CC5">
              <w:rPr>
                <w:rFonts w:ascii="Cambria" w:hAnsi="Cambria"/>
                <w:bCs/>
                <w:sz w:val="19"/>
                <w:szCs w:val="19"/>
              </w:rPr>
              <w:t>iembre de 2011</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3D26C56F" w14:textId="4DE3A3CF" w:rsidR="005F02E7" w:rsidRDefault="005F02E7" w:rsidP="005F02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Rodrigo </w:t>
      </w:r>
      <w:r w:rsidR="00475347">
        <w:rPr>
          <w:rFonts w:ascii="Cambria" w:hAnsi="Cambria"/>
          <w:sz w:val="20"/>
          <w:szCs w:val="20"/>
          <w:lang w:val="es-AR"/>
        </w:rPr>
        <w:t xml:space="preserve">Loría </w:t>
      </w:r>
      <w:r w:rsidRPr="00ED6F8A">
        <w:rPr>
          <w:rFonts w:ascii="Cambria" w:hAnsi="Cambria"/>
          <w:sz w:val="20"/>
          <w:szCs w:val="20"/>
          <w:lang w:val="es-AR"/>
        </w:rPr>
        <w:t>Arias</w:t>
      </w:r>
      <w:r w:rsidR="00312113">
        <w:rPr>
          <w:rFonts w:ascii="Cambria" w:hAnsi="Cambria"/>
          <w:sz w:val="20"/>
          <w:szCs w:val="20"/>
          <w:lang w:val="es-AR"/>
        </w:rPr>
        <w:t xml:space="preserve"> (en adelante “el peticionario”)</w:t>
      </w:r>
      <w:r w:rsidRPr="00ED6F8A">
        <w:rPr>
          <w:rFonts w:ascii="Cambria" w:hAnsi="Cambria"/>
          <w:sz w:val="20"/>
          <w:szCs w:val="20"/>
          <w:lang w:val="es-AR"/>
        </w:rPr>
        <w:t xml:space="preserve"> </w:t>
      </w:r>
      <w:r w:rsidR="00D90F98">
        <w:rPr>
          <w:rFonts w:ascii="Cambria" w:hAnsi="Cambria"/>
          <w:sz w:val="20"/>
          <w:szCs w:val="20"/>
          <w:lang w:val="es-AR"/>
        </w:rPr>
        <w:t>alega</w:t>
      </w:r>
      <w:r w:rsidR="00312113">
        <w:rPr>
          <w:rFonts w:ascii="Cambria" w:hAnsi="Cambria"/>
          <w:sz w:val="20"/>
          <w:szCs w:val="20"/>
          <w:lang w:val="es-AR"/>
        </w:rPr>
        <w:t xml:space="preserve"> que fue destituido de</w:t>
      </w:r>
      <w:r>
        <w:rPr>
          <w:rFonts w:ascii="Cambria" w:hAnsi="Cambria"/>
          <w:sz w:val="20"/>
          <w:szCs w:val="20"/>
          <w:lang w:val="es-AR"/>
        </w:rPr>
        <w:t xml:space="preserve"> manera directa e injustificada del cargo que ocupaba en la Dirección General de Aduanas (en adelante </w:t>
      </w:r>
      <w:r w:rsidR="00D90F98">
        <w:rPr>
          <w:rFonts w:ascii="Cambria" w:hAnsi="Cambria"/>
          <w:sz w:val="20"/>
          <w:szCs w:val="20"/>
          <w:lang w:val="es-AR"/>
        </w:rPr>
        <w:t>“</w:t>
      </w:r>
      <w:r>
        <w:rPr>
          <w:rFonts w:ascii="Cambria" w:hAnsi="Cambria"/>
          <w:sz w:val="20"/>
          <w:szCs w:val="20"/>
          <w:lang w:val="es-AR"/>
        </w:rPr>
        <w:t>DGA</w:t>
      </w:r>
      <w:r w:rsidR="00D90F98">
        <w:rPr>
          <w:rFonts w:ascii="Cambria" w:hAnsi="Cambria"/>
          <w:sz w:val="20"/>
          <w:szCs w:val="20"/>
          <w:lang w:val="es-AR"/>
        </w:rPr>
        <w:t>”</w:t>
      </w:r>
      <w:r>
        <w:rPr>
          <w:rFonts w:ascii="Cambria" w:hAnsi="Cambria"/>
          <w:sz w:val="20"/>
          <w:szCs w:val="20"/>
          <w:lang w:val="es-AR"/>
        </w:rPr>
        <w:t>), pese a encontrarse protegido por el fuero sindical, lo cual le impidió gozar de sus garantías laborales y el derecho a una pensión por vejez.</w:t>
      </w:r>
    </w:p>
    <w:p w14:paraId="13711A81" w14:textId="5535F676" w:rsidR="005F02E7" w:rsidRDefault="005F02E7" w:rsidP="005F02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8549B">
        <w:rPr>
          <w:rFonts w:ascii="Cambria" w:hAnsi="Cambria"/>
          <w:sz w:val="20"/>
          <w:szCs w:val="20"/>
          <w:lang w:val="es-AR"/>
        </w:rPr>
        <w:t xml:space="preserve">El peticionario indica que laboró por 29 años y 8 meses en </w:t>
      </w:r>
      <w:r>
        <w:rPr>
          <w:rFonts w:ascii="Cambria" w:hAnsi="Cambria"/>
          <w:sz w:val="20"/>
          <w:szCs w:val="20"/>
          <w:lang w:val="es-AR"/>
        </w:rPr>
        <w:t>la DGA, donde además desarrollaba actividad sindical</w:t>
      </w:r>
      <w:r w:rsidRPr="00E8549B">
        <w:rPr>
          <w:rFonts w:ascii="Cambria" w:hAnsi="Cambria"/>
          <w:sz w:val="20"/>
          <w:szCs w:val="20"/>
          <w:lang w:val="es-AR"/>
        </w:rPr>
        <w:t xml:space="preserve"> ocupando el cargo de Secretario General de la Asociación Sindical de Empleados Públicos </w:t>
      </w:r>
      <w:r w:rsidRPr="00E8549B">
        <w:rPr>
          <w:rFonts w:ascii="Cambria" w:hAnsi="Cambria"/>
          <w:sz w:val="20"/>
          <w:szCs w:val="20"/>
          <w:lang w:val="es-AR"/>
        </w:rPr>
        <w:lastRenderedPageBreak/>
        <w:t xml:space="preserve">Aduaneros (en adelante </w:t>
      </w:r>
      <w:r w:rsidR="008D1C5D">
        <w:rPr>
          <w:rFonts w:ascii="Cambria" w:hAnsi="Cambria"/>
          <w:sz w:val="20"/>
          <w:szCs w:val="20"/>
          <w:lang w:val="es-AR"/>
        </w:rPr>
        <w:t>“</w:t>
      </w:r>
      <w:r w:rsidRPr="00E8549B">
        <w:rPr>
          <w:rFonts w:ascii="Cambria" w:hAnsi="Cambria"/>
          <w:sz w:val="20"/>
          <w:szCs w:val="20"/>
          <w:lang w:val="es-AR"/>
        </w:rPr>
        <w:t>ASEPA</w:t>
      </w:r>
      <w:r w:rsidR="008D1C5D">
        <w:rPr>
          <w:rFonts w:ascii="Cambria" w:hAnsi="Cambria"/>
          <w:sz w:val="20"/>
          <w:szCs w:val="20"/>
          <w:lang w:val="es-AR"/>
        </w:rPr>
        <w:t>”</w:t>
      </w:r>
      <w:r w:rsidRPr="00E8549B">
        <w:rPr>
          <w:rFonts w:ascii="Cambria" w:hAnsi="Cambria"/>
          <w:sz w:val="20"/>
          <w:szCs w:val="20"/>
          <w:lang w:val="es-AR"/>
        </w:rPr>
        <w:t>)</w:t>
      </w:r>
      <w:r>
        <w:rPr>
          <w:rFonts w:ascii="Cambria" w:hAnsi="Cambria"/>
          <w:sz w:val="20"/>
          <w:szCs w:val="20"/>
          <w:lang w:val="es-AR"/>
        </w:rPr>
        <w:t xml:space="preserve">. Alega que en 1997 fue arbitrariamente destituido, sin que se le siguiera el </w:t>
      </w:r>
      <w:r w:rsidR="008D1C5D">
        <w:rPr>
          <w:rFonts w:ascii="Cambria" w:hAnsi="Cambria"/>
          <w:sz w:val="20"/>
          <w:szCs w:val="20"/>
          <w:lang w:val="es-AR"/>
        </w:rPr>
        <w:t xml:space="preserve">proceso </w:t>
      </w:r>
      <w:r>
        <w:rPr>
          <w:rFonts w:ascii="Cambria" w:hAnsi="Cambria"/>
          <w:sz w:val="20"/>
          <w:szCs w:val="20"/>
          <w:lang w:val="es-AR"/>
        </w:rPr>
        <w:t>que correspondía en virtud del fuero sindical que le amparaba</w:t>
      </w:r>
      <w:r>
        <w:rPr>
          <w:rStyle w:val="FootnoteReference"/>
          <w:rFonts w:ascii="Cambria" w:hAnsi="Cambria"/>
          <w:sz w:val="20"/>
          <w:szCs w:val="20"/>
          <w:lang w:val="es-AR"/>
        </w:rPr>
        <w:footnoteReference w:id="6"/>
      </w:r>
      <w:r>
        <w:rPr>
          <w:rFonts w:ascii="Cambria" w:hAnsi="Cambria"/>
          <w:sz w:val="20"/>
          <w:szCs w:val="20"/>
          <w:lang w:val="es-AR"/>
        </w:rPr>
        <w:t>. Aduce que</w:t>
      </w:r>
      <w:r w:rsidR="00F110DE">
        <w:rPr>
          <w:rFonts w:ascii="Cambria" w:hAnsi="Cambria"/>
          <w:sz w:val="20"/>
          <w:szCs w:val="20"/>
          <w:lang w:val="es-AR"/>
        </w:rPr>
        <w:t xml:space="preserve"> </w:t>
      </w:r>
      <w:r w:rsidR="008D1C5D">
        <w:rPr>
          <w:rFonts w:ascii="Cambria" w:hAnsi="Cambria"/>
          <w:sz w:val="20"/>
          <w:szCs w:val="20"/>
          <w:lang w:val="es-AR"/>
        </w:rPr>
        <w:t xml:space="preserve">fue </w:t>
      </w:r>
      <w:r>
        <w:rPr>
          <w:rFonts w:ascii="Cambria" w:hAnsi="Cambria"/>
          <w:sz w:val="20"/>
          <w:szCs w:val="20"/>
          <w:lang w:val="es-AR"/>
        </w:rPr>
        <w:t xml:space="preserve">falsamente acusado de abandono de trabajo cuando se encontraba desarrollando actividad sindical amparado </w:t>
      </w:r>
      <w:r w:rsidR="00EA7104">
        <w:rPr>
          <w:rFonts w:ascii="Cambria" w:hAnsi="Cambria"/>
          <w:sz w:val="20"/>
          <w:szCs w:val="20"/>
          <w:lang w:val="es-AR"/>
        </w:rPr>
        <w:t>en</w:t>
      </w:r>
      <w:r>
        <w:rPr>
          <w:rFonts w:ascii="Cambria" w:hAnsi="Cambria"/>
          <w:sz w:val="20"/>
          <w:szCs w:val="20"/>
          <w:lang w:val="es-AR"/>
        </w:rPr>
        <w:t xml:space="preserve"> una licencia para ello. Señala que, encontrándose en trámite su despido, acudió a la Sala Constitucional quien omitió pronunciarse sobre el fondo del asunto y trasladó el proceso a la vía ordinaria (tribunales laborales), pese a que tenía la facultad de conceder amparo por la violación del debido proceso. Aduce que esta omisión resultó en que el proceso se dilatara por catorce años, cuando debía resolverse en quince días según los plazos establecidos en la ley.</w:t>
      </w:r>
    </w:p>
    <w:p w14:paraId="75127EE8" w14:textId="39E802D5" w:rsidR="005F02E7" w:rsidRDefault="005F02E7" w:rsidP="005F02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Manifiesta que, ante este despido arbitrario, interpuso una demanda que resultó en </w:t>
      </w:r>
      <w:r w:rsidR="000D4DEF">
        <w:rPr>
          <w:rFonts w:ascii="Cambria" w:hAnsi="Cambria"/>
          <w:sz w:val="20"/>
          <w:szCs w:val="20"/>
          <w:lang w:val="es-AR"/>
        </w:rPr>
        <w:t xml:space="preserve">el inicio, </w:t>
      </w:r>
      <w:r>
        <w:rPr>
          <w:rFonts w:ascii="Cambria" w:hAnsi="Cambria"/>
          <w:sz w:val="20"/>
          <w:szCs w:val="20"/>
          <w:lang w:val="es-AR"/>
        </w:rPr>
        <w:t>en 1997</w:t>
      </w:r>
      <w:r w:rsidR="000D4DEF">
        <w:rPr>
          <w:rFonts w:ascii="Cambria" w:hAnsi="Cambria"/>
          <w:sz w:val="20"/>
          <w:szCs w:val="20"/>
          <w:lang w:val="es-AR"/>
        </w:rPr>
        <w:t>, de una</w:t>
      </w:r>
      <w:r>
        <w:rPr>
          <w:rFonts w:ascii="Cambria" w:hAnsi="Cambria"/>
          <w:sz w:val="20"/>
          <w:szCs w:val="20"/>
          <w:lang w:val="es-AR"/>
        </w:rPr>
        <w:t xml:space="preserve"> causa por prácticas laborales desleales y persecución sindical contra la DGA y varios funcionarios estatales involucrados en su destitución.</w:t>
      </w:r>
      <w:r w:rsidRPr="008E3BFE">
        <w:rPr>
          <w:rStyle w:val="FootnoteReference"/>
          <w:rFonts w:ascii="Cambria" w:hAnsi="Cambria"/>
          <w:b/>
          <w:sz w:val="20"/>
          <w:szCs w:val="20"/>
        </w:rPr>
        <w:footnoteReference w:id="7"/>
      </w:r>
      <w:r w:rsidRPr="006C0843">
        <w:rPr>
          <w:rStyle w:val="FootnoteReference"/>
          <w:rFonts w:ascii="Cambria" w:hAnsi="Cambria"/>
          <w:b/>
          <w:sz w:val="20"/>
          <w:szCs w:val="20"/>
          <w:lang w:val="es-PA"/>
        </w:rPr>
        <w:t xml:space="preserve"> </w:t>
      </w:r>
      <w:r w:rsidRPr="005F02E7">
        <w:rPr>
          <w:rStyle w:val="FootnoteReference"/>
          <w:rFonts w:ascii="Cambria" w:hAnsi="Cambria"/>
          <w:sz w:val="20"/>
          <w:szCs w:val="20"/>
          <w:vertAlign w:val="baseline"/>
          <w:lang w:val="es-PA"/>
        </w:rPr>
        <w:t>Aduce que el proceso se llevó con lentitud</w:t>
      </w:r>
      <w:r>
        <w:rPr>
          <w:rStyle w:val="FootnoteReference"/>
          <w:rFonts w:ascii="Cambria" w:hAnsi="Cambria"/>
          <w:sz w:val="20"/>
          <w:szCs w:val="20"/>
          <w:lang w:val="es-PA"/>
        </w:rPr>
        <w:t xml:space="preserve"> </w:t>
      </w:r>
      <w:r>
        <w:rPr>
          <w:rFonts w:ascii="Cambria" w:hAnsi="Cambria"/>
          <w:sz w:val="20"/>
          <w:szCs w:val="20"/>
          <w:lang w:val="es-AR"/>
        </w:rPr>
        <w:t>provocando la pérdida de testigos por fallecimiento, haber dejado de laborar en la institución o por negativa de atestiguar debido a la dificultad de recordar los hechos con el paso del tiempo. Indica que después de varios juicios anulados en segunda instancia</w:t>
      </w:r>
      <w:r w:rsidR="000D4DEF">
        <w:rPr>
          <w:rFonts w:ascii="Cambria" w:hAnsi="Cambria"/>
          <w:sz w:val="20"/>
          <w:szCs w:val="20"/>
          <w:lang w:val="es-AR"/>
        </w:rPr>
        <w:t>,</w:t>
      </w:r>
      <w:r>
        <w:rPr>
          <w:rFonts w:ascii="Cambria" w:hAnsi="Cambria"/>
          <w:sz w:val="20"/>
          <w:szCs w:val="20"/>
          <w:lang w:val="es-AR"/>
        </w:rPr>
        <w:t xml:space="preserve"> el Tribunal de Menor Cuantía dictó sentencia de primera instancia el 20 de junio de 2011 absolviendo a todos los denunciados, a excepción de dos que no se hicieron presentes. Considera que esta decisión, al dejar pendiente el juicio de dos de los acusados, viola el principio de seguridad y certeza jurídica permitiendo que la causa permanezca abierta indefinidamente. Indica que esta decisión fue ratificada en segunda instancia el 31 de agosto de 2011. </w:t>
      </w:r>
    </w:p>
    <w:p w14:paraId="08834CD3" w14:textId="189AA892" w:rsidR="004720AA" w:rsidRPr="006D2E5D" w:rsidRDefault="004720AA" w:rsidP="006D2E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Indica que, luego de la decisión de segunda instancia, promovió un segundo recurso de amparo ante la Sala Constitucional de la Corte Suprema de Justicia, quien lo rechazó de plano el 20 de septiembre de 2011, invocando que </w:t>
      </w:r>
      <w:r w:rsidRPr="0024603C">
        <w:rPr>
          <w:rFonts w:ascii="Cambria" w:hAnsi="Cambria"/>
          <w:sz w:val="20"/>
          <w:szCs w:val="20"/>
          <w:lang w:val="es-AR"/>
        </w:rPr>
        <w:t>“esos actos no están sometidos al control de constitucionalidad por vía de amparo”</w:t>
      </w:r>
      <w:r w:rsidRPr="008E3BFE">
        <w:rPr>
          <w:rStyle w:val="FootnoteReference"/>
          <w:rFonts w:ascii="Cambria" w:hAnsi="Cambria"/>
          <w:b/>
          <w:sz w:val="20"/>
          <w:szCs w:val="20"/>
        </w:rPr>
        <w:footnoteReference w:id="8"/>
      </w:r>
      <w:r>
        <w:rPr>
          <w:rFonts w:ascii="Cambria" w:hAnsi="Cambria"/>
          <w:sz w:val="20"/>
          <w:szCs w:val="20"/>
          <w:lang w:val="es-AR"/>
        </w:rPr>
        <w:t>. Por último, el peticionario recurrió a la Sala Segunda de la Corte Suprema de Justicia, impugnando la sentencia d</w:t>
      </w:r>
      <w:r w:rsidR="00C06D05">
        <w:rPr>
          <w:rFonts w:ascii="Cambria" w:hAnsi="Cambria"/>
          <w:sz w:val="20"/>
          <w:szCs w:val="20"/>
          <w:lang w:val="es-AR"/>
        </w:rPr>
        <w:t>ictada en segunda instancia, y e</w:t>
      </w:r>
      <w:r>
        <w:rPr>
          <w:rFonts w:ascii="Cambria" w:hAnsi="Cambria"/>
          <w:sz w:val="20"/>
          <w:szCs w:val="20"/>
          <w:lang w:val="es-AR"/>
        </w:rPr>
        <w:t xml:space="preserve">sta determinó el 12 de octubre de 2011 que la sentencia no era recurrible ante la tercera instancia, rechazando de plano el recurso. Considera que la no existencia de una tercera </w:t>
      </w:r>
      <w:r>
        <w:rPr>
          <w:rFonts w:ascii="Cambria" w:hAnsi="Cambria"/>
          <w:sz w:val="20"/>
          <w:szCs w:val="20"/>
          <w:lang w:val="es-UY"/>
        </w:rPr>
        <w:t>instancia de Casación en materia laboral es una grave omisión en perjuicio de los trabajadores.</w:t>
      </w:r>
      <w:r w:rsidR="0086090A">
        <w:rPr>
          <w:rFonts w:ascii="Cambria" w:hAnsi="Cambria"/>
          <w:sz w:val="20"/>
          <w:szCs w:val="20"/>
          <w:lang w:val="es-UY"/>
        </w:rPr>
        <w:t xml:space="preserve"> Sostiene que acudió a y agotó todas las vías judiciales que establece la legislación de Costa Rica en materia laboral.</w:t>
      </w:r>
    </w:p>
    <w:p w14:paraId="619B8563" w14:textId="0BC7F734" w:rsidR="005F02E7" w:rsidRDefault="005F02E7" w:rsidP="005F02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 Alega que aportó amplia prueba que acreditaba su participación como representante sindical, la que fue ignorada por las a</w:t>
      </w:r>
      <w:r w:rsidR="00C06D05">
        <w:rPr>
          <w:rFonts w:ascii="Cambria" w:hAnsi="Cambria"/>
          <w:sz w:val="20"/>
          <w:szCs w:val="20"/>
          <w:lang w:val="es-AR"/>
        </w:rPr>
        <w:t>utoridades judiciales quienes so</w:t>
      </w:r>
      <w:r>
        <w:rPr>
          <w:rFonts w:ascii="Cambria" w:hAnsi="Cambria"/>
          <w:sz w:val="20"/>
          <w:szCs w:val="20"/>
          <w:lang w:val="es-AR"/>
        </w:rPr>
        <w:t xml:space="preserve">lo se centraron en analizar el oficio OM-342-92 de 12 de enero de 1992. Indica que este oficio daba fe que en esa fecha contaba con una licencia sindical existente y sin </w:t>
      </w:r>
      <w:r w:rsidR="002F7097">
        <w:rPr>
          <w:rFonts w:ascii="Cambria" w:hAnsi="Cambria"/>
          <w:sz w:val="20"/>
          <w:szCs w:val="20"/>
          <w:lang w:val="es-AR"/>
        </w:rPr>
        <w:t>plazo de vencimiento</w:t>
      </w:r>
      <w:r>
        <w:rPr>
          <w:rFonts w:ascii="Cambria" w:hAnsi="Cambria"/>
          <w:sz w:val="20"/>
          <w:szCs w:val="20"/>
          <w:lang w:val="es-AR"/>
        </w:rPr>
        <w:t xml:space="preserve">. Argumenta que, si existía duda sobre la interpretación del oficio, se debió resolver a su favor siguiendo los principios </w:t>
      </w:r>
      <w:r w:rsidRPr="002C1674">
        <w:rPr>
          <w:rFonts w:ascii="Cambria" w:hAnsi="Cambria"/>
          <w:i/>
          <w:sz w:val="20"/>
          <w:szCs w:val="20"/>
          <w:lang w:val="es-AR"/>
        </w:rPr>
        <w:t>pro homine</w:t>
      </w:r>
      <w:r>
        <w:rPr>
          <w:rFonts w:ascii="Cambria" w:hAnsi="Cambria"/>
          <w:sz w:val="20"/>
          <w:szCs w:val="20"/>
          <w:lang w:val="es-AR"/>
        </w:rPr>
        <w:t xml:space="preserve"> e </w:t>
      </w:r>
      <w:r w:rsidRPr="002C1674">
        <w:rPr>
          <w:rFonts w:ascii="Cambria" w:hAnsi="Cambria"/>
          <w:i/>
          <w:sz w:val="20"/>
          <w:szCs w:val="20"/>
          <w:lang w:val="es-AR"/>
        </w:rPr>
        <w:t>indubio pro operario</w:t>
      </w:r>
      <w:r>
        <w:rPr>
          <w:rFonts w:ascii="Cambria" w:hAnsi="Cambria"/>
          <w:sz w:val="20"/>
          <w:szCs w:val="20"/>
          <w:lang w:val="es-AR"/>
        </w:rPr>
        <w:t xml:space="preserve">. Denuncia que no se valoró que contaba con permisos otorgados por Decreto Ejecutivo para representar los trabajadores en distintas comisiones y que contaba con la asignación de vehículo del Estado con combustible para su desplazamiento como representante de los trabajadores. </w:t>
      </w:r>
    </w:p>
    <w:p w14:paraId="26591197" w14:textId="40EDD07A" w:rsidR="005F02E7" w:rsidRDefault="005F02E7" w:rsidP="005F02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Así mismo argumenta que </w:t>
      </w:r>
      <w:r w:rsidRPr="00017383">
        <w:rPr>
          <w:rFonts w:ascii="Cambria" w:hAnsi="Cambria"/>
          <w:sz w:val="20"/>
          <w:szCs w:val="20"/>
          <w:lang w:val="es-AR"/>
        </w:rPr>
        <w:t>se violó el debido proceso al no realizarse el procedimiento administrativo que correspond</w:t>
      </w:r>
      <w:r>
        <w:rPr>
          <w:rFonts w:ascii="Cambria" w:hAnsi="Cambria"/>
          <w:sz w:val="20"/>
          <w:szCs w:val="20"/>
          <w:lang w:val="es-AR"/>
        </w:rPr>
        <w:t>ía</w:t>
      </w:r>
      <w:r w:rsidRPr="00017383">
        <w:rPr>
          <w:rFonts w:ascii="Cambria" w:hAnsi="Cambria"/>
          <w:sz w:val="20"/>
          <w:szCs w:val="20"/>
          <w:lang w:val="es-AR"/>
        </w:rPr>
        <w:t xml:space="preserve"> para suprimirle las facilidade</w:t>
      </w:r>
      <w:r>
        <w:rPr>
          <w:rFonts w:ascii="Cambria" w:hAnsi="Cambria"/>
          <w:sz w:val="20"/>
          <w:szCs w:val="20"/>
          <w:lang w:val="es-AR"/>
        </w:rPr>
        <w:t>s reales</w:t>
      </w:r>
      <w:r w:rsidRPr="00017383">
        <w:rPr>
          <w:rFonts w:ascii="Cambria" w:hAnsi="Cambria"/>
          <w:sz w:val="20"/>
          <w:szCs w:val="20"/>
          <w:lang w:val="es-AR"/>
        </w:rPr>
        <w:t xml:space="preserve"> a un dirigente sindical</w:t>
      </w:r>
      <w:r>
        <w:rPr>
          <w:rFonts w:ascii="Cambria" w:hAnsi="Cambria"/>
          <w:sz w:val="20"/>
          <w:szCs w:val="20"/>
          <w:lang w:val="es-AR"/>
        </w:rPr>
        <w:t>, siendo despedido por desempeñarse como tal</w:t>
      </w:r>
      <w:r w:rsidR="004720AA">
        <w:rPr>
          <w:rFonts w:ascii="Cambria" w:hAnsi="Cambria"/>
          <w:sz w:val="20"/>
          <w:szCs w:val="20"/>
          <w:lang w:val="es-AR"/>
        </w:rPr>
        <w:t xml:space="preserve">.  La presunta víctima alega que esto infringió </w:t>
      </w:r>
      <w:r>
        <w:rPr>
          <w:rFonts w:ascii="Cambria" w:hAnsi="Cambria"/>
          <w:sz w:val="20"/>
          <w:szCs w:val="20"/>
          <w:lang w:val="es-AR"/>
        </w:rPr>
        <w:t xml:space="preserve">la protección </w:t>
      </w:r>
      <w:r w:rsidR="001B337A">
        <w:rPr>
          <w:rFonts w:ascii="Cambria" w:hAnsi="Cambria"/>
          <w:sz w:val="20"/>
          <w:szCs w:val="20"/>
          <w:lang w:val="es-AR"/>
        </w:rPr>
        <w:t>otorgada a estos por los</w:t>
      </w:r>
      <w:r w:rsidRPr="00017383">
        <w:rPr>
          <w:rFonts w:ascii="Cambria" w:hAnsi="Cambria"/>
          <w:sz w:val="20"/>
          <w:szCs w:val="20"/>
          <w:lang w:val="es-AR"/>
        </w:rPr>
        <w:t xml:space="preserve"> convenios 87, </w:t>
      </w:r>
      <w:r>
        <w:rPr>
          <w:rFonts w:ascii="Cambria" w:hAnsi="Cambria"/>
          <w:sz w:val="20"/>
          <w:szCs w:val="20"/>
          <w:lang w:val="es-AR"/>
        </w:rPr>
        <w:t xml:space="preserve">98, </w:t>
      </w:r>
      <w:r w:rsidRPr="00017383">
        <w:rPr>
          <w:rFonts w:ascii="Cambria" w:hAnsi="Cambria"/>
          <w:sz w:val="20"/>
          <w:szCs w:val="20"/>
          <w:lang w:val="es-AR"/>
        </w:rPr>
        <w:t xml:space="preserve">135 y la Recomendación 143 de la Organización Internacional del Trabajo (en adelante OIT) </w:t>
      </w:r>
      <w:r>
        <w:rPr>
          <w:rFonts w:ascii="Cambria" w:hAnsi="Cambria"/>
          <w:sz w:val="20"/>
          <w:szCs w:val="20"/>
          <w:lang w:val="es-AR"/>
        </w:rPr>
        <w:t>que establecen el resguardo de la libertad sindical, protección del derecho de sindicación, aplicación de los principios del derecho de sindicación y negociación colectiva, y la protección y facilidades que deben otorgarse a los trabajadores de las empresas que cuentan con esta protección especial.</w:t>
      </w:r>
    </w:p>
    <w:p w14:paraId="449CEC20" w14:textId="24519BA1" w:rsidR="005F02E7" w:rsidRDefault="005F02E7" w:rsidP="005F02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Estado, por su parte, solicita que la petición sea inadmitida señalando que la parte peticionaria invoca derechos contenidos en </w:t>
      </w:r>
      <w:r w:rsidRPr="00256812">
        <w:rPr>
          <w:rFonts w:ascii="Cambria" w:hAnsi="Cambria"/>
          <w:sz w:val="20"/>
          <w:szCs w:val="20"/>
          <w:lang w:val="es-AR"/>
        </w:rPr>
        <w:t xml:space="preserve">convenios de la OIT, </w:t>
      </w:r>
      <w:r>
        <w:rPr>
          <w:rFonts w:ascii="Cambria" w:hAnsi="Cambria"/>
          <w:sz w:val="20"/>
          <w:szCs w:val="20"/>
          <w:lang w:val="es-AR"/>
        </w:rPr>
        <w:t xml:space="preserve">respecto a los cuales la Comisión no tiene competencia </w:t>
      </w:r>
      <w:r w:rsidRPr="00460A60">
        <w:rPr>
          <w:rFonts w:ascii="Cambria" w:hAnsi="Cambria"/>
          <w:i/>
          <w:sz w:val="20"/>
          <w:szCs w:val="20"/>
          <w:lang w:val="es-AR"/>
        </w:rPr>
        <w:t>ratione materiae</w:t>
      </w:r>
      <w:r>
        <w:rPr>
          <w:rFonts w:ascii="Cambria" w:hAnsi="Cambria"/>
          <w:sz w:val="20"/>
          <w:szCs w:val="20"/>
          <w:lang w:val="es-AR"/>
        </w:rPr>
        <w:t xml:space="preserve">. También alega que el peticionario intenta violar el principio de subsidiaridad que rige al sistema interamericano y acudir a la Comisión Interamericana como una cuarta instancia para que </w:t>
      </w:r>
      <w:r>
        <w:rPr>
          <w:rFonts w:ascii="Cambria" w:hAnsi="Cambria"/>
          <w:sz w:val="20"/>
          <w:szCs w:val="20"/>
          <w:lang w:val="es-AR"/>
        </w:rPr>
        <w:lastRenderedPageBreak/>
        <w:t>atienda su d</w:t>
      </w:r>
      <w:r w:rsidR="00751481">
        <w:rPr>
          <w:rFonts w:ascii="Cambria" w:hAnsi="Cambria"/>
          <w:sz w:val="20"/>
          <w:szCs w:val="20"/>
          <w:lang w:val="es-AR"/>
        </w:rPr>
        <w:t>escontento</w:t>
      </w:r>
      <w:r>
        <w:rPr>
          <w:rFonts w:ascii="Cambria" w:hAnsi="Cambria"/>
          <w:sz w:val="20"/>
          <w:szCs w:val="20"/>
          <w:lang w:val="es-AR"/>
        </w:rPr>
        <w:t xml:space="preserve"> con lo resuelto por las autoridades judiciales domésticas, en conformidad con el debido proceso y la prueba aportada. </w:t>
      </w:r>
      <w:r w:rsidR="00C06D05">
        <w:rPr>
          <w:rFonts w:ascii="Cambria" w:hAnsi="Cambria"/>
          <w:sz w:val="20"/>
          <w:szCs w:val="20"/>
          <w:lang w:val="es-AR"/>
        </w:rPr>
        <w:t>Agrega que la excepción al agotamiento de los recursos internos prevista en el artículo 46.2(b) de la Convención Americana no resulta aplicable a la presente petición porque el peticionario ha tenido acceso a todos los recursos de la jurisdicción interna y no ha sido impedido de agotarlos.</w:t>
      </w:r>
    </w:p>
    <w:p w14:paraId="531B5D0B" w14:textId="46D0D738" w:rsidR="005F02E7" w:rsidRDefault="005F02E7" w:rsidP="005F02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Alega que la destitución del peticionario fue conforme a la normativa aplicable, siendo la causa el abandono injustificado de su trabajo y no su actividad como dirigente sindical. Indica</w:t>
      </w:r>
      <w:r w:rsidR="001B337A">
        <w:rPr>
          <w:rFonts w:ascii="Cambria" w:hAnsi="Cambria"/>
          <w:sz w:val="20"/>
          <w:szCs w:val="20"/>
          <w:lang w:val="es-AR"/>
        </w:rPr>
        <w:t xml:space="preserve"> que el peticionario aportó un oficio de 1992 que indicaba que contaba con licencia sindical en esa fecha, pero que no probó que contara con una licencia sindical al momento de su despido</w:t>
      </w:r>
      <w:r w:rsidR="002F7097">
        <w:rPr>
          <w:rFonts w:ascii="Cambria" w:hAnsi="Cambria"/>
          <w:sz w:val="20"/>
          <w:szCs w:val="20"/>
          <w:lang w:val="es-AR"/>
        </w:rPr>
        <w:t xml:space="preserve"> o que no tuviera la obligación de renovar su licencia anualmente. Resalta</w:t>
      </w:r>
      <w:r w:rsidR="001B337A">
        <w:rPr>
          <w:rFonts w:ascii="Cambria" w:hAnsi="Cambria"/>
          <w:sz w:val="20"/>
          <w:szCs w:val="20"/>
          <w:lang w:val="es-AR"/>
        </w:rPr>
        <w:t xml:space="preserve"> </w:t>
      </w:r>
      <w:r>
        <w:rPr>
          <w:rFonts w:ascii="Cambria" w:hAnsi="Cambria"/>
          <w:sz w:val="20"/>
          <w:szCs w:val="20"/>
          <w:lang w:val="es-AR"/>
        </w:rPr>
        <w:t>que en 1996 se emitió un nuevo cuerpo normativo</w:t>
      </w:r>
      <w:r w:rsidRPr="008E3BFE">
        <w:rPr>
          <w:rStyle w:val="FootnoteReference"/>
          <w:rFonts w:ascii="Cambria" w:hAnsi="Cambria"/>
          <w:b/>
          <w:sz w:val="20"/>
          <w:szCs w:val="20"/>
        </w:rPr>
        <w:footnoteReference w:id="9"/>
      </w:r>
      <w:r>
        <w:rPr>
          <w:rFonts w:ascii="Cambria" w:hAnsi="Cambria"/>
          <w:sz w:val="20"/>
          <w:szCs w:val="20"/>
          <w:lang w:val="es-AR"/>
        </w:rPr>
        <w:t xml:space="preserve"> que detallaba los requisitos para el trámite de las licencias sindicales, que el peticionario conocía por haber colaborado en su elaboración, y </w:t>
      </w:r>
      <w:r w:rsidR="008B0237">
        <w:rPr>
          <w:rFonts w:ascii="Cambria" w:hAnsi="Cambria"/>
          <w:sz w:val="20"/>
          <w:szCs w:val="20"/>
          <w:lang w:val="es-AR"/>
        </w:rPr>
        <w:t>aun</w:t>
      </w:r>
      <w:r w:rsidR="006C26BD">
        <w:rPr>
          <w:rFonts w:ascii="Cambria" w:hAnsi="Cambria"/>
          <w:sz w:val="20"/>
          <w:szCs w:val="20"/>
          <w:lang w:val="es-AR"/>
        </w:rPr>
        <w:t xml:space="preserve"> así</w:t>
      </w:r>
      <w:r>
        <w:rPr>
          <w:rFonts w:ascii="Cambria" w:hAnsi="Cambria"/>
          <w:sz w:val="20"/>
          <w:szCs w:val="20"/>
          <w:lang w:val="es-AR"/>
        </w:rPr>
        <w:t xml:space="preserve"> incumplió. Argumenta que l</w:t>
      </w:r>
      <w:r w:rsidRPr="00270847">
        <w:rPr>
          <w:rFonts w:ascii="Cambria" w:hAnsi="Cambria"/>
          <w:sz w:val="20"/>
          <w:szCs w:val="20"/>
          <w:lang w:val="es-AR"/>
        </w:rPr>
        <w:t xml:space="preserve">os funcionarios de la DGA remitieron, en varias ocasiones, oficios a la presunta víctima en donde se le reiteraba su obligación de presentar la documentación que amparara su </w:t>
      </w:r>
      <w:r>
        <w:rPr>
          <w:rFonts w:ascii="Cambria" w:hAnsi="Cambria"/>
          <w:sz w:val="20"/>
          <w:szCs w:val="20"/>
          <w:lang w:val="es-AR"/>
        </w:rPr>
        <w:t>ejercicio sindical</w:t>
      </w:r>
      <w:r w:rsidRPr="00270847">
        <w:rPr>
          <w:rFonts w:ascii="Cambria" w:hAnsi="Cambria"/>
          <w:sz w:val="20"/>
          <w:szCs w:val="20"/>
          <w:lang w:val="es-AR"/>
        </w:rPr>
        <w:t xml:space="preserve"> a través de licencia</w:t>
      </w:r>
      <w:r>
        <w:rPr>
          <w:rFonts w:ascii="Cambria" w:hAnsi="Cambria"/>
          <w:sz w:val="20"/>
          <w:szCs w:val="20"/>
          <w:lang w:val="es-AR"/>
        </w:rPr>
        <w:t>,</w:t>
      </w:r>
      <w:r w:rsidRPr="00270847">
        <w:rPr>
          <w:rFonts w:ascii="Cambria" w:hAnsi="Cambria"/>
          <w:sz w:val="20"/>
          <w:szCs w:val="20"/>
          <w:lang w:val="es-AR"/>
        </w:rPr>
        <w:t xml:space="preserve"> horarios </w:t>
      </w:r>
      <w:r w:rsidRPr="00F644F5">
        <w:rPr>
          <w:rFonts w:ascii="Cambria" w:hAnsi="Cambria"/>
          <w:sz w:val="20"/>
          <w:szCs w:val="20"/>
          <w:lang w:val="es-AR"/>
        </w:rPr>
        <w:t xml:space="preserve">y días establecidos para ausencia de labores, sin tener respuesta por parte del señor </w:t>
      </w:r>
      <w:r w:rsidR="00C64116">
        <w:rPr>
          <w:rFonts w:ascii="Cambria" w:hAnsi="Cambria"/>
          <w:sz w:val="20"/>
          <w:szCs w:val="20"/>
          <w:lang w:val="es-AR"/>
        </w:rPr>
        <w:t>Loría</w:t>
      </w:r>
      <w:r w:rsidRPr="00F644F5">
        <w:rPr>
          <w:rFonts w:ascii="Cambria" w:hAnsi="Cambria"/>
          <w:sz w:val="20"/>
          <w:szCs w:val="20"/>
          <w:lang w:val="es-AR"/>
        </w:rPr>
        <w:t xml:space="preserve"> Arias, quien únicamente solicitó a la Oficialía Mayor (oficio ASEPA 044-97) información sobre los documentos que acreditan su licencia, obteniendo por respuesta (oficio OM-0247-97) </w:t>
      </w:r>
      <w:r w:rsidR="00C64116">
        <w:rPr>
          <w:rFonts w:ascii="Cambria" w:hAnsi="Cambria"/>
          <w:sz w:val="20"/>
          <w:szCs w:val="20"/>
          <w:lang w:val="es-AR"/>
        </w:rPr>
        <w:t xml:space="preserve">el dos de abril de mil novecientos noventa y siete, </w:t>
      </w:r>
      <w:r w:rsidRPr="00F644F5">
        <w:rPr>
          <w:rFonts w:ascii="Cambria" w:hAnsi="Cambria"/>
          <w:sz w:val="20"/>
          <w:szCs w:val="20"/>
          <w:lang w:val="es-AR"/>
        </w:rPr>
        <w:t xml:space="preserve">la inexistencia de la misma. </w:t>
      </w:r>
      <w:r>
        <w:rPr>
          <w:rFonts w:ascii="Cambria" w:hAnsi="Cambria"/>
          <w:sz w:val="20"/>
          <w:szCs w:val="20"/>
          <w:lang w:val="es-AR"/>
        </w:rPr>
        <w:t>Agrega que</w:t>
      </w:r>
      <w:r w:rsidRPr="00F644F5">
        <w:rPr>
          <w:rFonts w:ascii="Cambria" w:hAnsi="Cambria"/>
          <w:sz w:val="20"/>
          <w:szCs w:val="20"/>
          <w:lang w:val="es-AR"/>
        </w:rPr>
        <w:t xml:space="preserve"> se le advirtió en varias ocasiones </w:t>
      </w:r>
      <w:r>
        <w:rPr>
          <w:rFonts w:ascii="Cambria" w:hAnsi="Cambria"/>
          <w:sz w:val="20"/>
          <w:szCs w:val="20"/>
          <w:lang w:val="es-AR"/>
        </w:rPr>
        <w:t>que de no cumplir con su jornada ordinaria laboral incurriría en responsabilidades por abandono de trabajo. Aduce que el peticionario</w:t>
      </w:r>
      <w:r w:rsidRPr="00F644F5">
        <w:rPr>
          <w:rFonts w:ascii="Cambria" w:hAnsi="Cambria"/>
          <w:sz w:val="20"/>
          <w:szCs w:val="20"/>
          <w:lang w:val="es-AR"/>
        </w:rPr>
        <w:t xml:space="preserve"> continuó con sus ausencias laborales injustificadas en varios períodos comprendidos en los meses junio, julio y agosto del año de 1997,</w:t>
      </w:r>
      <w:r>
        <w:rPr>
          <w:rFonts w:ascii="Cambria" w:hAnsi="Cambria"/>
          <w:sz w:val="20"/>
          <w:szCs w:val="20"/>
          <w:lang w:val="es-AR"/>
        </w:rPr>
        <w:t xml:space="preserve"> configurando</w:t>
      </w:r>
      <w:r w:rsidRPr="00F644F5">
        <w:rPr>
          <w:rFonts w:ascii="Cambria" w:hAnsi="Cambria"/>
          <w:sz w:val="20"/>
          <w:szCs w:val="20"/>
          <w:lang w:val="es-AR"/>
        </w:rPr>
        <w:t xml:space="preserve"> una falta grave con sanción de</w:t>
      </w:r>
      <w:r w:rsidR="00644CAE">
        <w:rPr>
          <w:rFonts w:ascii="Cambria" w:hAnsi="Cambria"/>
          <w:sz w:val="20"/>
          <w:szCs w:val="20"/>
          <w:lang w:val="es-AR"/>
        </w:rPr>
        <w:t xml:space="preserve"> despido con justa causa. Destaca que el despido del peticionario se realizó conforme a la normativa aplicable a los despidos justificados de las personas que pertenecen al servicio civil y que las alegaciones del peticionario sobre violaciones al debido proceso se refieren en realidad a una supuesta violación de un fuero sindical que él no pudo demostrar que le amparaba. </w:t>
      </w:r>
    </w:p>
    <w:p w14:paraId="59D5BF7A" w14:textId="1174D6B4" w:rsidR="0043629A" w:rsidRDefault="005F02E7" w:rsidP="0048600E">
      <w:pPr>
        <w:keepLines/>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35696">
        <w:rPr>
          <w:rFonts w:ascii="Cambria" w:hAnsi="Cambria"/>
          <w:sz w:val="20"/>
          <w:szCs w:val="20"/>
          <w:lang w:val="es-AR"/>
        </w:rPr>
        <w:t>También alega que</w:t>
      </w:r>
      <w:r>
        <w:rPr>
          <w:rFonts w:ascii="Cambria" w:hAnsi="Cambria"/>
          <w:sz w:val="20"/>
          <w:szCs w:val="20"/>
          <w:lang w:val="es-AR"/>
        </w:rPr>
        <w:t xml:space="preserve"> el peticionario tergiversa la información y que no es cierto los tribunales domésticos</w:t>
      </w:r>
      <w:r w:rsidRPr="00835696">
        <w:rPr>
          <w:rFonts w:ascii="Cambria" w:hAnsi="Cambria"/>
          <w:sz w:val="20"/>
          <w:szCs w:val="20"/>
          <w:lang w:val="es-AR"/>
        </w:rPr>
        <w:t xml:space="preserve"> </w:t>
      </w:r>
      <w:r>
        <w:rPr>
          <w:rFonts w:ascii="Cambria" w:hAnsi="Cambria"/>
          <w:sz w:val="20"/>
          <w:szCs w:val="20"/>
          <w:lang w:val="es-AR"/>
        </w:rPr>
        <w:t xml:space="preserve">demoran catorce </w:t>
      </w:r>
      <w:r w:rsidRPr="00835696">
        <w:rPr>
          <w:rFonts w:ascii="Cambria" w:hAnsi="Cambria"/>
          <w:sz w:val="20"/>
          <w:szCs w:val="20"/>
          <w:lang w:val="es-AR"/>
        </w:rPr>
        <w:t xml:space="preserve">años en resolver un proceso que por mandato legal debería resolverse en </w:t>
      </w:r>
      <w:r>
        <w:rPr>
          <w:rFonts w:ascii="Cambria" w:hAnsi="Cambria"/>
          <w:sz w:val="20"/>
          <w:szCs w:val="20"/>
          <w:lang w:val="es-AR"/>
        </w:rPr>
        <w:t xml:space="preserve">quince días. Indica que el proceso disciplinario iniciado contra el peticionario </w:t>
      </w:r>
      <w:r w:rsidR="006C26BD">
        <w:rPr>
          <w:rFonts w:ascii="Cambria" w:hAnsi="Cambria"/>
          <w:sz w:val="20"/>
          <w:szCs w:val="20"/>
          <w:lang w:val="es-AR"/>
        </w:rPr>
        <w:t xml:space="preserve">concluyó </w:t>
      </w:r>
      <w:r>
        <w:rPr>
          <w:rFonts w:ascii="Cambria" w:hAnsi="Cambria"/>
          <w:sz w:val="20"/>
          <w:szCs w:val="20"/>
          <w:lang w:val="es-AR"/>
        </w:rPr>
        <w:t>con el despido sin responsabilidad patronal dictado por el Tribunal de Servicio Civil y confirmado por el Tribunal Superior de Trabajo el 30 de septiembre de 1998.</w:t>
      </w:r>
      <w:r w:rsidRPr="00835696">
        <w:rPr>
          <w:rFonts w:ascii="Cambria" w:hAnsi="Cambria"/>
          <w:sz w:val="20"/>
          <w:szCs w:val="20"/>
          <w:lang w:val="es-AR"/>
        </w:rPr>
        <w:t xml:space="preserve"> </w:t>
      </w:r>
      <w:r w:rsidR="0043629A">
        <w:rPr>
          <w:rFonts w:ascii="Cambria" w:hAnsi="Cambria"/>
          <w:sz w:val="20"/>
          <w:szCs w:val="20"/>
          <w:lang w:val="es-AR"/>
        </w:rPr>
        <w:t xml:space="preserve">Explica que el 18 de diciembre de 1997 </w:t>
      </w:r>
      <w:r w:rsidR="00312113">
        <w:rPr>
          <w:rFonts w:ascii="Cambria" w:hAnsi="Cambria"/>
          <w:sz w:val="20"/>
          <w:szCs w:val="20"/>
          <w:lang w:val="es-AR"/>
        </w:rPr>
        <w:t>se interpuso una demanda contra la Dirección General de Aduanas por la supuesta infracción de leyes laborales en perjuicio del peticionario y que en noviembre de 1998 la parte demandante decidió acumular a ese expediente otras causas seguidas contra otros funcionarios. Señala que este proceso resultó en que el Tribunal de Trabajo de Menor Cuantía del II Circuito Judicial (en adelante “el Tribunal”) de San José dictara múltiple</w:t>
      </w:r>
      <w:r w:rsidR="0048600E">
        <w:rPr>
          <w:rFonts w:ascii="Cambria" w:hAnsi="Cambria"/>
          <w:sz w:val="20"/>
          <w:szCs w:val="20"/>
          <w:lang w:val="es-AR"/>
        </w:rPr>
        <w:t>s</w:t>
      </w:r>
      <w:r w:rsidR="00312113">
        <w:rPr>
          <w:rFonts w:ascii="Cambria" w:hAnsi="Cambria"/>
          <w:sz w:val="20"/>
          <w:szCs w:val="20"/>
          <w:lang w:val="es-AR"/>
        </w:rPr>
        <w:t xml:space="preserve"> resoluciones de primera instancia, las que fueron siempre apeladas por las partes en ejercicio de sus derechos. Relata que el 1 de agosto de 2003 el Tribunal decretó la prescripción de la acción penal y que esta decisi</w:t>
      </w:r>
      <w:r w:rsidR="0048600E">
        <w:rPr>
          <w:rFonts w:ascii="Cambria" w:hAnsi="Cambria"/>
          <w:sz w:val="20"/>
          <w:szCs w:val="20"/>
          <w:lang w:val="es-AR"/>
        </w:rPr>
        <w:t xml:space="preserve">ón fue luego anulada en segunda instancia mediante sentencia del 29 de septiembre de 2004. Luego, el 26 de julio de 2005 </w:t>
      </w:r>
      <w:r w:rsidR="0048600E">
        <w:rPr>
          <w:rFonts w:ascii="Cambria" w:hAnsi="Cambria"/>
          <w:sz w:val="20"/>
          <w:szCs w:val="20"/>
          <w:lang w:val="es-AR"/>
        </w:rPr>
        <w:tab/>
        <w:t xml:space="preserve">el Tribunal dictó sobreseimiento de la causa </w:t>
      </w:r>
      <w:r w:rsidR="0048600E">
        <w:rPr>
          <w:rFonts w:ascii="Cambria" w:hAnsi="Cambria"/>
          <w:sz w:val="20"/>
          <w:szCs w:val="20"/>
          <w:lang w:val="es-AR"/>
        </w:rPr>
        <w:tab/>
        <w:t xml:space="preserve">por prescripción de la acción penal siendo esta decisión revocada en lo referente al despido del peticionario mediante sentencia de segunda instancia del 19 de diciembre de 2005. Posteriormente, el Tribunal declaró nuevamente la prescripción de la causa el 23 de mayo de 2007 siendo revocada la decisión en segunda instancia el 25 de septiembre de 2007. El 25 de febrero de 2008 el Tribunal declaró una vez más la prescripción de la causa siendo esa decisión anulada en segunda instancia el 27 de enero de 2009. </w:t>
      </w:r>
      <w:r w:rsidR="008646F0">
        <w:rPr>
          <w:rFonts w:ascii="Cambria" w:hAnsi="Cambria"/>
          <w:sz w:val="20"/>
          <w:szCs w:val="20"/>
          <w:lang w:val="es-AR"/>
        </w:rPr>
        <w:t xml:space="preserve">La prescripción volvió a ser declarada por el Tribunal el 30 de septiembre de 2009 y la decisión anulada el 10 de febrero de 2010. Finalmente, el 20 de junio de 2011 el Tribunal emitió sentencia determinando que el despido del peticionario no había sido ilegal, la cual fue confirmada en segunda instancia el 31 de agosto de 2011. </w:t>
      </w:r>
    </w:p>
    <w:p w14:paraId="164B61CF" w14:textId="3DD23A22" w:rsidR="00D70A11" w:rsidRPr="00491465" w:rsidRDefault="005F02E7" w:rsidP="005F02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 </w:t>
      </w:r>
      <w:r w:rsidR="008646F0" w:rsidRPr="00491465">
        <w:rPr>
          <w:rFonts w:ascii="Cambria" w:hAnsi="Cambria"/>
          <w:sz w:val="20"/>
          <w:szCs w:val="20"/>
          <w:lang w:val="es-AR"/>
        </w:rPr>
        <w:t xml:space="preserve">Alega que la situación planteada </w:t>
      </w:r>
      <w:r w:rsidRPr="00491465">
        <w:rPr>
          <w:rFonts w:ascii="Cambria" w:hAnsi="Cambria"/>
          <w:sz w:val="20"/>
          <w:szCs w:val="20"/>
          <w:lang w:val="es-AR"/>
        </w:rPr>
        <w:t xml:space="preserve">no se trata de un solo proceso que haya demorado catorce años, sino </w:t>
      </w:r>
      <w:r w:rsidR="00644CAE" w:rsidRPr="00491465">
        <w:rPr>
          <w:rFonts w:ascii="Cambria" w:hAnsi="Cambria"/>
          <w:sz w:val="20"/>
          <w:szCs w:val="20"/>
          <w:lang w:val="es-AR"/>
        </w:rPr>
        <w:t xml:space="preserve">de </w:t>
      </w:r>
      <w:r w:rsidRPr="00491465">
        <w:rPr>
          <w:rFonts w:ascii="Cambria" w:hAnsi="Cambria"/>
          <w:sz w:val="20"/>
          <w:szCs w:val="20"/>
          <w:lang w:val="es-AR"/>
        </w:rPr>
        <w:t xml:space="preserve">múltiples procesos, por lo que debe tomarse en cuenta que cada proceso conlleva una línea de plazos legales a cumplir. </w:t>
      </w:r>
      <w:r w:rsidR="008646F0" w:rsidRPr="00491465">
        <w:rPr>
          <w:rFonts w:ascii="Cambria" w:hAnsi="Cambria"/>
          <w:sz w:val="20"/>
          <w:szCs w:val="20"/>
          <w:lang w:val="es-AR"/>
        </w:rPr>
        <w:t>Resalta que a las decisiones de primera instancia no pudieron adquirir firmeza por razón de que el peticionario siempre hizo uso de sus facultades legales para interponer diversos recursos de apelación. Sostiene</w:t>
      </w:r>
      <w:r w:rsidRPr="00491465">
        <w:rPr>
          <w:rFonts w:ascii="Cambria" w:hAnsi="Cambria"/>
          <w:sz w:val="20"/>
          <w:szCs w:val="20"/>
          <w:lang w:val="es-AR"/>
        </w:rPr>
        <w:t xml:space="preserve"> que la dilatación no se debió a la voluntad de los tribunales sino al cumplimiento del debido proceso establecido. </w:t>
      </w:r>
      <w:r w:rsidR="008646F0" w:rsidRPr="00491465">
        <w:rPr>
          <w:rFonts w:ascii="Cambria" w:hAnsi="Cambria"/>
          <w:sz w:val="20"/>
          <w:szCs w:val="20"/>
          <w:lang w:val="es-AR"/>
        </w:rPr>
        <w:t xml:space="preserve">Agrega que </w:t>
      </w:r>
      <w:r w:rsidR="00245BB6" w:rsidRPr="00491465">
        <w:rPr>
          <w:rFonts w:ascii="Cambria" w:hAnsi="Cambria"/>
          <w:sz w:val="20"/>
          <w:szCs w:val="20"/>
          <w:lang w:val="es-AR"/>
        </w:rPr>
        <w:t xml:space="preserve">en 2006 el peticionario presentó una demanda de amparo contra el Tribunal </w:t>
      </w:r>
      <w:r w:rsidR="00245BB6" w:rsidRPr="00491465">
        <w:rPr>
          <w:rFonts w:ascii="Cambria" w:hAnsi="Cambria"/>
          <w:sz w:val="20"/>
          <w:szCs w:val="20"/>
          <w:lang w:val="es-AR"/>
        </w:rPr>
        <w:lastRenderedPageBreak/>
        <w:t xml:space="preserve">por violación a su derecho a la justicia pronta y cumplida, resultando en que la Sala Constitucional de la Corte Suprema de Justicia emitiera sentencia el 21 de junio de 2006 reconociendo que el Tribunal había violado los derechos constitucionales del peticionario al haber demorado más 8 años y siete meses en resolver su demanda y condenando al Estado al pago de las costas, daños y perjuicios causados al peticionario. Considera que sería contrario al principio de subsidiaridad que la Comisión volviera a pronunciarse sobre las alegadas violaciones a la protección judicial por razón de falta de celeridad de los tribunales; </w:t>
      </w:r>
      <w:r w:rsidR="0086090A" w:rsidRPr="00491465">
        <w:rPr>
          <w:rFonts w:ascii="Cambria" w:hAnsi="Cambria"/>
          <w:sz w:val="20"/>
          <w:szCs w:val="20"/>
          <w:lang w:val="es-AR"/>
        </w:rPr>
        <w:t xml:space="preserve">habiendo sido ya el tema conocido y resuelto por la justicia doméstica quien reconoció la responsabilidad del Estado y ordenó reparaciones a favor del peticionario. </w:t>
      </w:r>
      <w:r w:rsidR="00245BB6" w:rsidRPr="00491465">
        <w:rPr>
          <w:rFonts w:ascii="Cambria" w:hAnsi="Cambria"/>
          <w:sz w:val="20"/>
          <w:szCs w:val="20"/>
          <w:lang w:val="es-AR"/>
        </w:rPr>
        <w:t xml:space="preserve">  </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7CC1C86B" w14:textId="1DB86327" w:rsidR="0086090A" w:rsidRPr="0086090A" w:rsidRDefault="0086090A" w:rsidP="00343D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MX"/>
        </w:rPr>
        <w:t>La Comisión ob</w:t>
      </w:r>
      <w:r w:rsidR="00C06D05">
        <w:rPr>
          <w:rFonts w:ascii="Cambria" w:hAnsi="Cambria"/>
          <w:sz w:val="20"/>
          <w:szCs w:val="20"/>
          <w:lang w:val="es-MX"/>
        </w:rPr>
        <w:t xml:space="preserve">serva que el peticionario ha manifestado que </w:t>
      </w:r>
      <w:r w:rsidR="00C06D05">
        <w:rPr>
          <w:rFonts w:ascii="Cambria" w:hAnsi="Cambria"/>
          <w:sz w:val="20"/>
          <w:szCs w:val="20"/>
          <w:lang w:val="es-UY"/>
        </w:rPr>
        <w:t>agotó todas las vías judiciales que establece la legislación de Costa Rica en materia laboral. En adición, que el Estado ha indicado que la excepción al agotamiento de los recursos internos prevista en el artículo 46.2(b) de la Convención Americana no resulta aplicable a la presente petición.</w:t>
      </w:r>
    </w:p>
    <w:p w14:paraId="264252AD" w14:textId="567B6D27" w:rsidR="00343DB7" w:rsidRPr="004B700C" w:rsidRDefault="00C06D05" w:rsidP="00343D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AR"/>
        </w:rPr>
        <w:t>Según lo expuesto por las partes, ante su alegado despido injustificado el peticionario interpuso una demanda laboral y, luego de que esta se resolviera definitivamente en forma contraria a sus pretensiones</w:t>
      </w:r>
      <w:r w:rsidR="00343DB7">
        <w:rPr>
          <w:rFonts w:ascii="Cambria" w:hAnsi="Cambria"/>
          <w:sz w:val="20"/>
          <w:szCs w:val="20"/>
          <w:lang w:val="es-MX"/>
        </w:rPr>
        <w:t>,</w:t>
      </w:r>
      <w:r>
        <w:rPr>
          <w:rFonts w:ascii="Cambria" w:hAnsi="Cambria"/>
          <w:sz w:val="20"/>
          <w:szCs w:val="20"/>
          <w:lang w:val="es-MX"/>
        </w:rPr>
        <w:t xml:space="preserve"> este acudió a la vía constitucional. El Estado no ha alegado ni surge del expediente que estas no constituyeran vía idóneas para que las reclamaciones del peticionario fueran atendidas a nivel doméstico. El Estado tampoco ha indicado ni surge del expediente la existencia de recursos adicionales no agotados que pudieran ser idóneos para este fin. Por estas razones,</w:t>
      </w:r>
      <w:r w:rsidR="00343DB7">
        <w:rPr>
          <w:rFonts w:ascii="Cambria" w:hAnsi="Cambria"/>
          <w:sz w:val="20"/>
          <w:szCs w:val="20"/>
          <w:lang w:val="es-MX"/>
        </w:rPr>
        <w:t xml:space="preserve"> la Comisión considera que se agotó la jurisdicción nacional a través de la resolución emitida el 12 de octubre de 2011 por la Sala Segunda de la Corte Suprema de Justicia. Por lo tanto, la presente petición cumple con los requisitos establecidos en el artículo 46.1(a) de la Convención Americana. Dado que la petición</w:t>
      </w:r>
      <w:r w:rsidR="00343DB7" w:rsidRPr="008741B0">
        <w:rPr>
          <w:sz w:val="20"/>
          <w:szCs w:val="20"/>
          <w:lang w:val="es-UY"/>
        </w:rPr>
        <w:t xml:space="preserve"> fue presentada el 1 de </w:t>
      </w:r>
      <w:r w:rsidR="00343DB7">
        <w:rPr>
          <w:sz w:val="20"/>
          <w:szCs w:val="20"/>
          <w:lang w:val="es-UY"/>
        </w:rPr>
        <w:t>diciembre de 2011</w:t>
      </w:r>
      <w:r w:rsidR="00343DB7" w:rsidRPr="008741B0">
        <w:rPr>
          <w:sz w:val="20"/>
          <w:szCs w:val="20"/>
          <w:lang w:val="es-UY"/>
        </w:rPr>
        <w:t xml:space="preserve">, </w:t>
      </w:r>
      <w:r>
        <w:rPr>
          <w:sz w:val="20"/>
          <w:szCs w:val="20"/>
          <w:lang w:val="es-UY"/>
        </w:rPr>
        <w:t>e</w:t>
      </w:r>
      <w:r w:rsidR="00343DB7">
        <w:rPr>
          <w:sz w:val="20"/>
          <w:szCs w:val="20"/>
          <w:lang w:val="es-UY"/>
        </w:rPr>
        <w:t>sta fue presentada</w:t>
      </w:r>
      <w:r w:rsidR="00343DB7" w:rsidRPr="008741B0">
        <w:rPr>
          <w:sz w:val="20"/>
          <w:szCs w:val="20"/>
          <w:lang w:val="es-UY"/>
        </w:rPr>
        <w:t xml:space="preserve"> dentro de plazo en los términos del artículo 46.1(b) de la Convención.</w:t>
      </w:r>
    </w:p>
    <w:p w14:paraId="15EB9974" w14:textId="79FAD8B5" w:rsidR="00E14D00" w:rsidRPr="00D95FAF" w:rsidRDefault="003239B8" w:rsidP="00557346">
      <w:pPr>
        <w:spacing w:before="240" w:after="240"/>
        <w:ind w:firstLine="720"/>
        <w:jc w:val="both"/>
        <w:rPr>
          <w:lang w:val="es-MX"/>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2F02C6B7" w14:textId="1BD750F3" w:rsidR="0007792F" w:rsidRPr="00064C09" w:rsidRDefault="0007792F" w:rsidP="009F5123">
      <w:pPr>
        <w:pStyle w:val="ListParagraph"/>
        <w:numPr>
          <w:ilvl w:val="0"/>
          <w:numId w:val="103"/>
        </w:numPr>
        <w:jc w:val="both"/>
        <w:rPr>
          <w:rFonts w:asciiTheme="majorHAnsi" w:hAnsiTheme="majorHAnsi"/>
          <w:sz w:val="20"/>
          <w:szCs w:val="20"/>
          <w:lang w:val="es-MX"/>
        </w:rPr>
      </w:pPr>
      <w:r>
        <w:rPr>
          <w:rFonts w:asciiTheme="majorHAnsi" w:hAnsiTheme="majorHAnsi"/>
          <w:sz w:val="20"/>
          <w:szCs w:val="20"/>
          <w:lang w:val="es-MX"/>
        </w:rPr>
        <w:t>La Comisión observa que la presente petición incluye alegaciones con respecto a que el peticionario presentó una demanda laboral en relación con un supuesto despido injustificado en 1997 la que no fue resuelta en forma definitiva sino hasta el 31 de agosto de 2011, aproximadamente 14 años luego de su interposición.</w:t>
      </w:r>
      <w:r w:rsidR="00685D9C">
        <w:rPr>
          <w:rFonts w:asciiTheme="majorHAnsi" w:hAnsiTheme="majorHAnsi"/>
          <w:sz w:val="20"/>
          <w:szCs w:val="20"/>
          <w:lang w:val="es-MX"/>
        </w:rPr>
        <w:t xml:space="preserve"> De igual manera toma nota, que el Estado ha alegado que </w:t>
      </w:r>
      <w:r w:rsidR="006318C3">
        <w:rPr>
          <w:rFonts w:asciiTheme="majorHAnsi" w:hAnsiTheme="majorHAnsi"/>
          <w:sz w:val="20"/>
          <w:szCs w:val="20"/>
          <w:lang w:val="es-MX"/>
        </w:rPr>
        <w:t xml:space="preserve">la Comisión no debe pronunciarse sobre la alegada </w:t>
      </w:r>
      <w:r w:rsidR="006318C3" w:rsidRPr="00064C09">
        <w:rPr>
          <w:rFonts w:asciiTheme="majorHAnsi" w:hAnsiTheme="majorHAnsi"/>
          <w:sz w:val="20"/>
          <w:szCs w:val="20"/>
          <w:lang w:val="es-MX"/>
        </w:rPr>
        <w:t>violación al plazo razonable puesto que esta ya fue reconocida y reparada por los tribunales domésticos.</w:t>
      </w:r>
    </w:p>
    <w:p w14:paraId="1F42074D" w14:textId="77777777" w:rsidR="00685D9C" w:rsidRPr="00064C09" w:rsidRDefault="00685D9C" w:rsidP="00685D9C">
      <w:pPr>
        <w:pStyle w:val="ListParagraph"/>
        <w:jc w:val="both"/>
        <w:rPr>
          <w:rFonts w:asciiTheme="majorHAnsi" w:hAnsiTheme="majorHAnsi"/>
          <w:sz w:val="20"/>
          <w:szCs w:val="20"/>
          <w:lang w:val="es-MX"/>
        </w:rPr>
      </w:pPr>
    </w:p>
    <w:p w14:paraId="1F0A37DD" w14:textId="29A9D749" w:rsidR="00685D9C" w:rsidRPr="00064C09" w:rsidRDefault="006318C3" w:rsidP="00685D9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64C09">
        <w:rPr>
          <w:rFonts w:asciiTheme="majorHAnsi" w:hAnsiTheme="majorHAnsi"/>
          <w:sz w:val="20"/>
          <w:szCs w:val="20"/>
          <w:lang w:val="es-AR"/>
        </w:rPr>
        <w:t>Ante lo expuesto por las partes</w:t>
      </w:r>
      <w:r w:rsidR="00685D9C" w:rsidRPr="00064C09">
        <w:rPr>
          <w:rFonts w:asciiTheme="majorHAnsi" w:hAnsiTheme="majorHAnsi"/>
          <w:sz w:val="20"/>
          <w:szCs w:val="20"/>
          <w:lang w:val="es-AR"/>
        </w:rPr>
        <w:t>, la Comisió</w:t>
      </w:r>
      <w:r w:rsidR="00DD38FB" w:rsidRPr="00064C09">
        <w:rPr>
          <w:rFonts w:asciiTheme="majorHAnsi" w:hAnsiTheme="majorHAnsi"/>
          <w:sz w:val="20"/>
          <w:szCs w:val="20"/>
          <w:lang w:val="es-AR"/>
        </w:rPr>
        <w:t>n considera pertinente recordar</w:t>
      </w:r>
      <w:r w:rsidR="00DD38FB" w:rsidRPr="00064C09">
        <w:rPr>
          <w:sz w:val="20"/>
          <w:szCs w:val="20"/>
          <w:lang w:val="es-ES_tradnl"/>
        </w:rPr>
        <w:t xml:space="preserve"> que ya ha manifestado que una reclamación de tipo laboral “</w:t>
      </w:r>
      <w:r w:rsidR="00DD38FB" w:rsidRPr="00064C09">
        <w:rPr>
          <w:sz w:val="20"/>
          <w:szCs w:val="20"/>
          <w:lang w:val="es-PA"/>
        </w:rPr>
        <w:t xml:space="preserve">por su propia naturaleza requiere de decisiones </w:t>
      </w:r>
      <w:r w:rsidR="00E06259" w:rsidRPr="00064C09">
        <w:rPr>
          <w:sz w:val="20"/>
          <w:szCs w:val="20"/>
          <w:lang w:val="es-ES"/>
        </w:rPr>
        <w:t xml:space="preserve"> </w:t>
      </w:r>
      <w:r w:rsidR="00DD38FB" w:rsidRPr="00064C09">
        <w:rPr>
          <w:sz w:val="20"/>
          <w:szCs w:val="20"/>
          <w:lang w:val="es-PA"/>
        </w:rPr>
        <w:t>oportunas”</w:t>
      </w:r>
      <w:r w:rsidR="00DD38FB" w:rsidRPr="00064C09">
        <w:rPr>
          <w:rStyle w:val="FootnoteReference"/>
          <w:sz w:val="20"/>
          <w:szCs w:val="20"/>
          <w:lang w:val="es-PA"/>
        </w:rPr>
        <w:footnoteReference w:id="10"/>
      </w:r>
      <w:r w:rsidR="00DD38FB" w:rsidRPr="00064C09">
        <w:rPr>
          <w:sz w:val="20"/>
          <w:szCs w:val="20"/>
          <w:lang w:val="es-PA"/>
        </w:rPr>
        <w:t xml:space="preserve">. De igual manera, </w:t>
      </w:r>
      <w:r w:rsidRPr="00064C09">
        <w:rPr>
          <w:sz w:val="20"/>
          <w:szCs w:val="20"/>
          <w:lang w:val="es-ES"/>
        </w:rPr>
        <w:t>que ya ha determinado con anterioridad que un reconocimiento de responsabilidad por parte del Estado y la adopción por parte de éste de medidas de reparación no constituye impedimento para la admisión de una petición</w:t>
      </w:r>
      <w:r w:rsidRPr="00064C09">
        <w:rPr>
          <w:rStyle w:val="FootnoteReference"/>
          <w:sz w:val="20"/>
          <w:szCs w:val="20"/>
          <w:lang w:val="es-ES"/>
        </w:rPr>
        <w:footnoteReference w:id="11"/>
      </w:r>
      <w:r w:rsidRPr="00064C09">
        <w:rPr>
          <w:sz w:val="20"/>
          <w:szCs w:val="20"/>
          <w:lang w:val="es-ES"/>
        </w:rPr>
        <w:t xml:space="preserve">.  </w:t>
      </w:r>
      <w:r w:rsidR="00DD38FB" w:rsidRPr="00064C09">
        <w:rPr>
          <w:sz w:val="20"/>
          <w:szCs w:val="20"/>
          <w:lang w:val="es-ES"/>
        </w:rPr>
        <w:t>En el presente caso la Comisión</w:t>
      </w:r>
      <w:r w:rsidRPr="00064C09">
        <w:rPr>
          <w:sz w:val="20"/>
          <w:szCs w:val="20"/>
          <w:lang w:val="es-ES"/>
        </w:rPr>
        <w:t xml:space="preserve"> valora, s</w:t>
      </w:r>
      <w:r w:rsidR="00DD38FB" w:rsidRPr="00064C09">
        <w:rPr>
          <w:sz w:val="20"/>
          <w:szCs w:val="20"/>
          <w:lang w:val="es-ES"/>
        </w:rPr>
        <w:t>in prejuzgar sobre el fondo, que</w:t>
      </w:r>
      <w:r w:rsidRPr="00064C09">
        <w:rPr>
          <w:sz w:val="20"/>
          <w:szCs w:val="20"/>
          <w:lang w:val="es-ES"/>
        </w:rPr>
        <w:t xml:space="preserve"> aunque la Corte constitucional concedió amparo a favor del peticionario reconociendo la violación de su derecho a la justicia pronta y cumplida, transcurrieron aproximadamente cinco años adicionales antes de que se emitiera una decisión definitiva con respecto a su demanda laboral.</w:t>
      </w:r>
      <w:r w:rsidR="00DD38FB" w:rsidRPr="00064C09">
        <w:rPr>
          <w:sz w:val="20"/>
          <w:szCs w:val="20"/>
          <w:lang w:val="es-ES"/>
        </w:rPr>
        <w:t xml:space="preserve"> En adición, la Comisión toma en cuenta que, según lo expuesto por el Estado, una de las razones por las que la resolución definitiva de la demanda laboral se habría dilatado sería </w:t>
      </w:r>
      <w:r w:rsidR="00B84E29" w:rsidRPr="00064C09">
        <w:rPr>
          <w:sz w:val="20"/>
          <w:szCs w:val="20"/>
          <w:lang w:val="es-ES"/>
        </w:rPr>
        <w:t>porque</w:t>
      </w:r>
      <w:r w:rsidR="00491465" w:rsidRPr="00064C09">
        <w:rPr>
          <w:sz w:val="20"/>
          <w:szCs w:val="20"/>
          <w:lang w:val="es-ES"/>
        </w:rPr>
        <w:t>, luego de dictada la decisión de amparo,</w:t>
      </w:r>
      <w:r w:rsidR="00B84E29" w:rsidRPr="00064C09">
        <w:rPr>
          <w:sz w:val="20"/>
          <w:szCs w:val="20"/>
          <w:lang w:val="es-ES"/>
        </w:rPr>
        <w:t xml:space="preserve"> el asunto regres</w:t>
      </w:r>
      <w:r w:rsidR="00491465" w:rsidRPr="00064C09">
        <w:rPr>
          <w:sz w:val="20"/>
          <w:szCs w:val="20"/>
          <w:lang w:val="es-ES"/>
        </w:rPr>
        <w:t>ó en 3</w:t>
      </w:r>
      <w:r w:rsidR="00B84E29" w:rsidRPr="00064C09">
        <w:rPr>
          <w:sz w:val="20"/>
          <w:szCs w:val="20"/>
          <w:lang w:val="es-ES"/>
        </w:rPr>
        <w:t xml:space="preserve"> ocasiones</w:t>
      </w:r>
      <w:r w:rsidR="00491465" w:rsidRPr="00064C09">
        <w:rPr>
          <w:sz w:val="20"/>
          <w:szCs w:val="20"/>
          <w:lang w:val="es-ES"/>
        </w:rPr>
        <w:t xml:space="preserve"> adicionales</w:t>
      </w:r>
      <w:r w:rsidR="00B84E29" w:rsidRPr="00064C09">
        <w:rPr>
          <w:sz w:val="20"/>
          <w:szCs w:val="20"/>
          <w:lang w:val="es-ES"/>
        </w:rPr>
        <w:t xml:space="preserve"> a la primera instancia</w:t>
      </w:r>
      <w:r w:rsidR="00491465" w:rsidRPr="00064C09">
        <w:rPr>
          <w:sz w:val="20"/>
          <w:szCs w:val="20"/>
          <w:lang w:val="es-ES"/>
        </w:rPr>
        <w:t xml:space="preserve">; esto, </w:t>
      </w:r>
      <w:r w:rsidR="00B84E29" w:rsidRPr="00064C09">
        <w:rPr>
          <w:sz w:val="20"/>
          <w:szCs w:val="20"/>
          <w:lang w:val="es-ES"/>
        </w:rPr>
        <w:t xml:space="preserve"> por raz</w:t>
      </w:r>
      <w:r w:rsidR="00491465" w:rsidRPr="00064C09">
        <w:rPr>
          <w:sz w:val="20"/>
          <w:szCs w:val="20"/>
          <w:lang w:val="es-ES"/>
        </w:rPr>
        <w:t>ón de que el juez a</w:t>
      </w:r>
      <w:r w:rsidR="00B84E29" w:rsidRPr="00064C09">
        <w:rPr>
          <w:sz w:val="20"/>
          <w:szCs w:val="20"/>
          <w:lang w:val="es-ES"/>
        </w:rPr>
        <w:t xml:space="preserve"> cargo de esta </w:t>
      </w:r>
      <w:r w:rsidR="00E06259" w:rsidRPr="00064C09">
        <w:rPr>
          <w:sz w:val="20"/>
          <w:szCs w:val="20"/>
          <w:lang w:val="es-ES"/>
        </w:rPr>
        <w:t>reiterara en decretar</w:t>
      </w:r>
      <w:r w:rsidR="00B84E29" w:rsidRPr="00064C09">
        <w:rPr>
          <w:sz w:val="20"/>
          <w:szCs w:val="20"/>
          <w:lang w:val="es-ES"/>
        </w:rPr>
        <w:t xml:space="preserve"> la prescripci</w:t>
      </w:r>
      <w:r w:rsidR="00E06259" w:rsidRPr="00064C09">
        <w:rPr>
          <w:sz w:val="20"/>
          <w:szCs w:val="20"/>
          <w:lang w:val="es-ES"/>
        </w:rPr>
        <w:t xml:space="preserve">ón del asunto pese </w:t>
      </w:r>
      <w:r w:rsidR="00491465" w:rsidRPr="00064C09">
        <w:rPr>
          <w:sz w:val="20"/>
          <w:szCs w:val="20"/>
          <w:lang w:val="es-ES"/>
        </w:rPr>
        <w:t xml:space="preserve">a conocer que sus decisiones previas sobre la prescripción del caso habían sido revocadas en segunda instancia. </w:t>
      </w:r>
    </w:p>
    <w:p w14:paraId="1FFC46BF" w14:textId="6F0D96E1" w:rsidR="0007792F" w:rsidRPr="006318C3" w:rsidRDefault="00685D9C" w:rsidP="006318C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A54694">
        <w:rPr>
          <w:sz w:val="20"/>
          <w:szCs w:val="20"/>
          <w:lang w:val="es-ES"/>
        </w:rPr>
        <w:lastRenderedPageBreak/>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w:t>
      </w:r>
      <w:r>
        <w:rPr>
          <w:sz w:val="20"/>
          <w:szCs w:val="20"/>
          <w:lang w:val="es-ES"/>
        </w:rPr>
        <w:t>,</w:t>
      </w:r>
      <w:r w:rsidRPr="00A54694">
        <w:rPr>
          <w:sz w:val="20"/>
          <w:szCs w:val="20"/>
          <w:lang w:val="es-ES"/>
        </w:rPr>
        <w:t xml:space="preserve"> podrían caracterizar violaciones a los </w:t>
      </w:r>
      <w:r>
        <w:rPr>
          <w:bCs/>
          <w:sz w:val="20"/>
          <w:szCs w:val="20"/>
          <w:lang w:val="es-PA"/>
        </w:rPr>
        <w:t>a</w:t>
      </w:r>
      <w:r w:rsidRPr="00DE04D9">
        <w:rPr>
          <w:bCs/>
          <w:sz w:val="20"/>
          <w:szCs w:val="20"/>
          <w:lang w:val="es-PA"/>
        </w:rPr>
        <w:t>rtículos 8 (garantías judiciales)</w:t>
      </w:r>
      <w:r>
        <w:rPr>
          <w:bCs/>
          <w:sz w:val="20"/>
          <w:szCs w:val="20"/>
          <w:lang w:val="es-PA"/>
        </w:rPr>
        <w:t xml:space="preserve"> y 25 (protección judicial) de la Convención Americana en relación con sus artículos 1.1. (obligación de respetar los derechos) y 26 (derechos económicos, sociales y culturales).</w:t>
      </w:r>
    </w:p>
    <w:p w14:paraId="7ADAC1B5" w14:textId="07CF8536" w:rsidR="004B543F" w:rsidRPr="007C5832" w:rsidRDefault="004B543F" w:rsidP="009F5123">
      <w:pPr>
        <w:pStyle w:val="ListParagraph"/>
        <w:numPr>
          <w:ilvl w:val="0"/>
          <w:numId w:val="103"/>
        </w:numPr>
        <w:jc w:val="both"/>
        <w:rPr>
          <w:rFonts w:asciiTheme="majorHAnsi" w:hAnsiTheme="majorHAnsi"/>
          <w:sz w:val="20"/>
          <w:szCs w:val="20"/>
          <w:lang w:val="es-MX"/>
        </w:rPr>
      </w:pPr>
      <w:r w:rsidRPr="009F5123">
        <w:rPr>
          <w:rFonts w:asciiTheme="majorHAnsi" w:hAnsiTheme="majorHAnsi" w:cs="Calibri"/>
          <w:sz w:val="20"/>
          <w:szCs w:val="20"/>
          <w:lang w:val="es-ES"/>
        </w:rPr>
        <w:t>Respecto a las aducidas violaciones a convenios de la OIT, la Comisión carece de competencia para pronunciarse al respecto, sin perjuicio de lo cual puede utilizar estos convenios como pauta de interpretación de las obligaciones convencionales, a luz de lo establecido en el artículo 29 de la Convención</w:t>
      </w:r>
      <w:r w:rsidRPr="00343DB7">
        <w:rPr>
          <w:rStyle w:val="FootnoteReference"/>
          <w:rFonts w:asciiTheme="majorHAnsi" w:hAnsiTheme="majorHAnsi" w:cs="Calibri"/>
          <w:sz w:val="20"/>
          <w:szCs w:val="20"/>
          <w:lang w:val="es-ES"/>
        </w:rPr>
        <w:footnoteReference w:id="12"/>
      </w:r>
      <w:r w:rsidRPr="009F5123">
        <w:rPr>
          <w:rFonts w:asciiTheme="majorHAnsi" w:hAnsiTheme="majorHAnsi" w:cs="Calibri"/>
          <w:sz w:val="20"/>
          <w:szCs w:val="20"/>
          <w:lang w:val="es-ES"/>
        </w:rPr>
        <w:t xml:space="preserve">. </w:t>
      </w:r>
      <w:r w:rsidRPr="009F5123">
        <w:rPr>
          <w:rFonts w:asciiTheme="majorHAnsi" w:hAnsiTheme="majorHAnsi"/>
          <w:sz w:val="20"/>
          <w:szCs w:val="20"/>
          <w:lang w:val="es-ES"/>
        </w:rPr>
        <w:t xml:space="preserve"> </w:t>
      </w:r>
    </w:p>
    <w:p w14:paraId="3F36278F" w14:textId="77777777" w:rsidR="007C5832" w:rsidRPr="007C5832" w:rsidRDefault="007C5832" w:rsidP="007C5832">
      <w:pPr>
        <w:pStyle w:val="ListParagraph"/>
        <w:jc w:val="both"/>
        <w:rPr>
          <w:rFonts w:asciiTheme="majorHAnsi" w:hAnsiTheme="majorHAnsi"/>
          <w:sz w:val="20"/>
          <w:szCs w:val="20"/>
          <w:lang w:val="es-MX"/>
        </w:rPr>
      </w:pPr>
    </w:p>
    <w:p w14:paraId="68786782" w14:textId="19DD21F9" w:rsidR="006D2E5D" w:rsidRPr="007C5832" w:rsidRDefault="007C5832" w:rsidP="006D2E5D">
      <w:pPr>
        <w:pStyle w:val="ListParagraph"/>
        <w:numPr>
          <w:ilvl w:val="0"/>
          <w:numId w:val="103"/>
        </w:numPr>
        <w:jc w:val="both"/>
        <w:rPr>
          <w:rFonts w:asciiTheme="majorHAnsi" w:hAnsiTheme="majorHAnsi"/>
          <w:sz w:val="20"/>
          <w:szCs w:val="20"/>
          <w:lang w:val="es-MX"/>
        </w:rPr>
      </w:pPr>
      <w:r w:rsidRPr="007C5832">
        <w:rPr>
          <w:rFonts w:cs="Calibri"/>
          <w:sz w:val="20"/>
          <w:szCs w:val="20"/>
          <w:lang w:val="es-ES_tradnl"/>
        </w:rPr>
        <w:t>Con respecto a los alegatos del Estado referidos a la llamada fórmula de “cuarta instancia”</w:t>
      </w:r>
      <w:r w:rsidRPr="007C5832">
        <w:rPr>
          <w:sz w:val="20"/>
          <w:szCs w:val="20"/>
          <w:lang w:val="es-ES_tradnl"/>
        </w:rPr>
        <w:t>,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Pr>
          <w:sz w:val="20"/>
          <w:szCs w:val="20"/>
          <w:lang w:val="es-ES_tradnl"/>
        </w:rPr>
        <w:t>.</w:t>
      </w:r>
      <w:r w:rsidRPr="007C5832">
        <w:rPr>
          <w:rStyle w:val="FootnoteReference"/>
          <w:rFonts w:cs="Calibri"/>
          <w:sz w:val="20"/>
          <w:szCs w:val="20"/>
          <w:lang w:val="es-ES_tradnl"/>
        </w:rPr>
        <w:footnoteReference w:id="13"/>
      </w:r>
    </w:p>
    <w:p w14:paraId="64BEA477" w14:textId="69823794" w:rsidR="007C5832" w:rsidRPr="007C5832" w:rsidRDefault="007C5832" w:rsidP="007C5832">
      <w:pPr>
        <w:jc w:val="both"/>
        <w:rPr>
          <w:rFonts w:asciiTheme="majorHAnsi" w:hAnsiTheme="majorHAnsi"/>
          <w:sz w:val="20"/>
          <w:szCs w:val="20"/>
          <w:lang w:val="es-MX"/>
        </w:rPr>
      </w:pPr>
    </w:p>
    <w:p w14:paraId="29BB41F5" w14:textId="2E10E1C7" w:rsidR="003239B8" w:rsidRPr="00343DB7" w:rsidRDefault="003239B8" w:rsidP="00343D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MX"/>
        </w:rPr>
      </w:pPr>
      <w:r w:rsidRPr="00343DB7">
        <w:rPr>
          <w:rFonts w:asciiTheme="majorHAnsi" w:hAnsiTheme="majorHAnsi"/>
          <w:b/>
          <w:bCs/>
          <w:sz w:val="20"/>
          <w:szCs w:val="20"/>
          <w:lang w:val="es-ES"/>
        </w:rPr>
        <w:t xml:space="preserve">VIII. </w:t>
      </w:r>
      <w:r w:rsidRPr="00343DB7">
        <w:rPr>
          <w:rFonts w:asciiTheme="majorHAnsi" w:hAnsiTheme="majorHAnsi"/>
          <w:b/>
          <w:bCs/>
          <w:sz w:val="20"/>
          <w:szCs w:val="20"/>
          <w:lang w:val="es-ES"/>
        </w:rPr>
        <w:tab/>
        <w:t>DECISIÓN</w:t>
      </w:r>
    </w:p>
    <w:p w14:paraId="570DA61C" w14:textId="1AAC13D2" w:rsidR="000419AD" w:rsidRDefault="000419AD" w:rsidP="000419AD">
      <w:pPr>
        <w:pStyle w:val="ListParagraph"/>
        <w:numPr>
          <w:ilvl w:val="0"/>
          <w:numId w:val="109"/>
        </w:numPr>
        <w:rPr>
          <w:rFonts w:eastAsia="Arial Unicode MS" w:cs="Times New Roman"/>
          <w:color w:val="auto"/>
          <w:sz w:val="20"/>
          <w:szCs w:val="20"/>
          <w:lang w:val="es-ES" w:eastAsia="en-US"/>
        </w:rPr>
      </w:pPr>
      <w:r w:rsidRPr="00366DC9">
        <w:rPr>
          <w:rFonts w:eastAsia="Arial Unicode MS" w:cs="Times New Roman"/>
          <w:color w:val="auto"/>
          <w:sz w:val="20"/>
          <w:szCs w:val="20"/>
          <w:lang w:val="es-ES" w:eastAsia="en-US"/>
        </w:rPr>
        <w:t>Declarar</w:t>
      </w:r>
      <w:r w:rsidR="00343DB7">
        <w:rPr>
          <w:rFonts w:eastAsia="Arial Unicode MS" w:cs="Times New Roman"/>
          <w:color w:val="auto"/>
          <w:sz w:val="20"/>
          <w:szCs w:val="20"/>
          <w:lang w:val="es-ES" w:eastAsia="en-US"/>
        </w:rPr>
        <w:t xml:space="preserve"> </w:t>
      </w:r>
      <w:r w:rsidR="007C5832">
        <w:rPr>
          <w:rFonts w:eastAsia="Arial Unicode MS" w:cs="Times New Roman"/>
          <w:color w:val="auto"/>
          <w:sz w:val="20"/>
          <w:szCs w:val="20"/>
          <w:lang w:val="es-ES" w:eastAsia="en-US"/>
        </w:rPr>
        <w:t>admisible la presente petición en relación con los artículos 8 y 25 de la Convención Americana en relación con sus artículos 1.1 y 26</w:t>
      </w:r>
      <w:r w:rsidR="001803D9">
        <w:rPr>
          <w:rFonts w:eastAsia="Arial Unicode MS" w:cs="Times New Roman"/>
          <w:color w:val="auto"/>
          <w:sz w:val="20"/>
          <w:szCs w:val="20"/>
          <w:lang w:val="es-ES" w:eastAsia="en-US"/>
        </w:rPr>
        <w:t>;</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12A7002C" w14:textId="342DF8ED" w:rsidR="004A6A54" w:rsidRDefault="004A6A54" w:rsidP="007C583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w:t>
      </w:r>
      <w:r w:rsidR="007C5832">
        <w:rPr>
          <w:rFonts w:asciiTheme="majorHAnsi" w:hAnsiTheme="majorHAnsi"/>
          <w:sz w:val="20"/>
          <w:szCs w:val="20"/>
          <w:lang w:val="es-ES"/>
        </w:rPr>
        <w:t xml:space="preserve"> continuar con el análisis de fondo; y</w:t>
      </w:r>
      <w:r w:rsidRPr="007C5832">
        <w:rPr>
          <w:rFonts w:asciiTheme="majorHAnsi" w:hAnsiTheme="majorHAnsi"/>
          <w:sz w:val="20"/>
          <w:szCs w:val="20"/>
          <w:lang w:val="es-ES"/>
        </w:rPr>
        <w:t xml:space="preserve"> </w:t>
      </w:r>
      <w:r w:rsidR="007C5832">
        <w:rPr>
          <w:rFonts w:asciiTheme="majorHAnsi" w:hAnsiTheme="majorHAnsi"/>
          <w:sz w:val="20"/>
          <w:szCs w:val="20"/>
          <w:lang w:val="es-ES"/>
        </w:rPr>
        <w:t>p</w:t>
      </w:r>
      <w:r w:rsidRPr="007C5832">
        <w:rPr>
          <w:rFonts w:asciiTheme="majorHAnsi" w:hAnsiTheme="majorHAnsi"/>
          <w:sz w:val="20"/>
          <w:szCs w:val="20"/>
          <w:lang w:val="es-ES"/>
        </w:rPr>
        <w:t>ublicar esta decisión e incluirla en su Informe Anual a la Asamblea General de la Organización de los Estados Americanos.</w:t>
      </w:r>
    </w:p>
    <w:p w14:paraId="0D85A295" w14:textId="663D951C" w:rsidR="00064C09" w:rsidRPr="00A37B82" w:rsidRDefault="00064C09" w:rsidP="00460FB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(en disidencia),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064C09"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98235" w14:textId="77777777" w:rsidR="00C225F3" w:rsidRDefault="00C225F3">
      <w:r>
        <w:separator/>
      </w:r>
    </w:p>
  </w:endnote>
  <w:endnote w:type="continuationSeparator" w:id="0">
    <w:p w14:paraId="21007266" w14:textId="77777777" w:rsidR="00C225F3" w:rsidRDefault="00C2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BB304C8"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53004">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E2B82" w14:textId="77777777" w:rsidR="00C225F3" w:rsidRPr="000F35ED" w:rsidRDefault="00C225F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25272CB" w14:textId="77777777" w:rsidR="00C225F3" w:rsidRPr="000F35ED" w:rsidRDefault="00C225F3" w:rsidP="000F35ED">
      <w:pPr>
        <w:rPr>
          <w:rFonts w:asciiTheme="majorHAnsi" w:hAnsiTheme="majorHAnsi"/>
          <w:sz w:val="16"/>
          <w:szCs w:val="16"/>
        </w:rPr>
      </w:pPr>
      <w:r w:rsidRPr="000F35ED">
        <w:rPr>
          <w:rFonts w:asciiTheme="majorHAnsi" w:hAnsiTheme="majorHAnsi"/>
          <w:sz w:val="16"/>
          <w:szCs w:val="16"/>
        </w:rPr>
        <w:separator/>
      </w:r>
    </w:p>
    <w:p w14:paraId="000A8B8D" w14:textId="77777777" w:rsidR="00C225F3" w:rsidRPr="000F35ED" w:rsidRDefault="00C225F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E77323C" w14:textId="77777777" w:rsidR="00C225F3" w:rsidRPr="000F35ED" w:rsidRDefault="00C225F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9CFBC30" w14:textId="77777777" w:rsidR="00D736F8" w:rsidRPr="008C6629" w:rsidRDefault="00D736F8" w:rsidP="00925E01">
      <w:pPr>
        <w:pStyle w:val="FootnoteText"/>
        <w:ind w:firstLine="720"/>
        <w:jc w:val="both"/>
        <w:rPr>
          <w:rFonts w:asciiTheme="majorHAnsi" w:hAnsiTheme="majorHAnsi"/>
          <w:sz w:val="16"/>
          <w:szCs w:val="16"/>
          <w:lang w:val="es-MX"/>
        </w:rPr>
      </w:pPr>
      <w:r w:rsidRPr="008C6629">
        <w:rPr>
          <w:rStyle w:val="FootnoteReference"/>
          <w:rFonts w:asciiTheme="majorHAnsi" w:hAnsiTheme="majorHAnsi"/>
          <w:sz w:val="16"/>
          <w:szCs w:val="16"/>
        </w:rPr>
        <w:footnoteRef/>
      </w:r>
      <w:r w:rsidRPr="008C6629">
        <w:rPr>
          <w:rFonts w:asciiTheme="majorHAnsi" w:hAnsiTheme="majorHAnsi"/>
          <w:sz w:val="16"/>
          <w:szCs w:val="16"/>
          <w:lang w:val="es-MX"/>
        </w:rPr>
        <w:t xml:space="preserve"> En adelante “la Convención Americana” o “la Convención”. </w:t>
      </w:r>
    </w:p>
  </w:footnote>
  <w:footnote w:id="3">
    <w:p w14:paraId="777D4CE8" w14:textId="7A0B40CC" w:rsidR="00D736F8" w:rsidRPr="008C6629" w:rsidRDefault="00D736F8" w:rsidP="00090304">
      <w:pPr>
        <w:pStyle w:val="FootnoteText"/>
        <w:ind w:firstLine="720"/>
        <w:jc w:val="both"/>
        <w:rPr>
          <w:rFonts w:asciiTheme="majorHAnsi" w:hAnsiTheme="majorHAnsi"/>
          <w:sz w:val="16"/>
          <w:szCs w:val="16"/>
          <w:lang w:val="es-MX"/>
        </w:rPr>
      </w:pPr>
      <w:r w:rsidRPr="008C6629">
        <w:rPr>
          <w:rStyle w:val="FootnoteReference"/>
          <w:rFonts w:asciiTheme="majorHAnsi" w:hAnsiTheme="majorHAnsi"/>
          <w:sz w:val="16"/>
          <w:szCs w:val="16"/>
        </w:rPr>
        <w:footnoteRef/>
      </w:r>
      <w:r w:rsidRPr="008C6629">
        <w:rPr>
          <w:rFonts w:asciiTheme="majorHAnsi" w:hAnsiTheme="majorHAnsi"/>
          <w:sz w:val="16"/>
          <w:szCs w:val="16"/>
          <w:lang w:val="es-MX"/>
        </w:rPr>
        <w:t xml:space="preserve"> </w:t>
      </w:r>
      <w:r>
        <w:rPr>
          <w:rFonts w:asciiTheme="majorHAnsi" w:hAnsiTheme="majorHAnsi"/>
          <w:sz w:val="16"/>
          <w:szCs w:val="16"/>
          <w:lang w:val="es-MX"/>
        </w:rPr>
        <w:t>Convenio 87 sobre la libertad sindical y la protección del derecho de Sindicación; Convenio 98 sobre el derecho de sindicación y de negociación colectiva; convenio 135 sobre los representantes de los trabajadores; y la Recomendación 143 sobre los representantes de los trabajadores, todos de la Organización Internacional del Trabajo.</w:t>
      </w:r>
    </w:p>
  </w:footnote>
  <w:footnote w:id="4">
    <w:p w14:paraId="79F07139" w14:textId="77777777" w:rsidR="008E3BFE" w:rsidRPr="00537490" w:rsidRDefault="008E3BFE" w:rsidP="00084C72">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091BFA2B" w14:textId="0DC21ABD" w:rsidR="001640D6" w:rsidRPr="001640D6" w:rsidRDefault="001640D6" w:rsidP="001640D6">
      <w:pPr>
        <w:pStyle w:val="FootnoteText"/>
        <w:ind w:firstLine="720"/>
        <w:jc w:val="both"/>
        <w:rPr>
          <w:rFonts w:asciiTheme="majorHAnsi" w:hAnsiTheme="majorHAnsi"/>
          <w:sz w:val="16"/>
          <w:szCs w:val="16"/>
          <w:lang w:val="es-PA"/>
        </w:rPr>
      </w:pPr>
      <w:r>
        <w:rPr>
          <w:rStyle w:val="FootnoteReference"/>
        </w:rPr>
        <w:footnoteRef/>
      </w:r>
      <w:r w:rsidRPr="001640D6">
        <w:rPr>
          <w:lang w:val="es-PA"/>
        </w:rPr>
        <w:t xml:space="preserve"> </w:t>
      </w:r>
      <w:r>
        <w:rPr>
          <w:rFonts w:asciiTheme="majorHAnsi" w:hAnsiTheme="majorHAnsi"/>
          <w:sz w:val="16"/>
          <w:szCs w:val="16"/>
          <w:lang w:val="es-PA"/>
        </w:rPr>
        <w:t>El peticionario no ha aportado información adicional con contenido sustantivo pero ha presentado varias solicitudes de información sobre el estado de su petición siendo la última de estas recibida el 4 de julio de 2017.</w:t>
      </w:r>
    </w:p>
  </w:footnote>
  <w:footnote w:id="6">
    <w:p w14:paraId="6DD786C1" w14:textId="55E4CDDF" w:rsidR="005F02E7" w:rsidRPr="00235769" w:rsidRDefault="005F02E7" w:rsidP="005F02E7">
      <w:pPr>
        <w:pStyle w:val="FootnoteText"/>
        <w:ind w:firstLine="720"/>
        <w:jc w:val="both"/>
        <w:rPr>
          <w:lang w:val="es-PA"/>
        </w:rPr>
      </w:pPr>
      <w:r>
        <w:rPr>
          <w:rStyle w:val="FootnoteReference"/>
        </w:rPr>
        <w:footnoteRef/>
      </w:r>
      <w:r w:rsidRPr="00235769">
        <w:rPr>
          <w:lang w:val="es-PA"/>
        </w:rPr>
        <w:t xml:space="preserve"> </w:t>
      </w:r>
      <w:r>
        <w:rPr>
          <w:rFonts w:ascii="Cambria" w:hAnsi="Cambria"/>
          <w:sz w:val="16"/>
          <w:szCs w:val="16"/>
          <w:lang w:val="es-AR"/>
        </w:rPr>
        <w:t>El peticionario indica</w:t>
      </w:r>
      <w:r w:rsidRPr="00235769">
        <w:rPr>
          <w:rFonts w:ascii="Cambria" w:hAnsi="Cambria"/>
          <w:sz w:val="16"/>
          <w:szCs w:val="16"/>
          <w:lang w:val="es-AR"/>
        </w:rPr>
        <w:t xml:space="preserve"> que con anterioridad a su destitución había presentado una denuncia por</w:t>
      </w:r>
      <w:r>
        <w:rPr>
          <w:rFonts w:ascii="Cambria" w:hAnsi="Cambria"/>
          <w:sz w:val="16"/>
          <w:szCs w:val="16"/>
          <w:lang w:val="es-AR"/>
        </w:rPr>
        <w:t xml:space="preserve"> actos anti sindicales</w:t>
      </w:r>
      <w:r w:rsidRPr="00235769">
        <w:rPr>
          <w:rFonts w:ascii="Cambria" w:hAnsi="Cambria"/>
          <w:sz w:val="16"/>
          <w:szCs w:val="16"/>
          <w:lang w:val="es-AR"/>
        </w:rPr>
        <w:t xml:space="preserve"> ante la Organización Internacional del Trabajo</w:t>
      </w:r>
      <w:r w:rsidR="00116587">
        <w:rPr>
          <w:rFonts w:ascii="Cambria" w:hAnsi="Cambria"/>
          <w:sz w:val="16"/>
          <w:szCs w:val="16"/>
          <w:lang w:val="es-AR"/>
        </w:rPr>
        <w:t>,</w:t>
      </w:r>
      <w:r w:rsidRPr="00235769">
        <w:rPr>
          <w:rFonts w:ascii="Cambria" w:hAnsi="Cambria"/>
          <w:sz w:val="16"/>
          <w:szCs w:val="16"/>
          <w:lang w:val="es-AR"/>
        </w:rPr>
        <w:t xml:space="preserve"> quien había dictado recomendaciones a su </w:t>
      </w:r>
      <w:r>
        <w:rPr>
          <w:rFonts w:ascii="Cambria" w:hAnsi="Cambria"/>
          <w:sz w:val="16"/>
          <w:szCs w:val="16"/>
          <w:lang w:val="es-AR"/>
        </w:rPr>
        <w:t>favor, las que fueron ignorada</w:t>
      </w:r>
      <w:r w:rsidRPr="00235769">
        <w:rPr>
          <w:rFonts w:ascii="Cambria" w:hAnsi="Cambria"/>
          <w:sz w:val="16"/>
          <w:szCs w:val="16"/>
          <w:lang w:val="es-AR"/>
        </w:rPr>
        <w:t>s</w:t>
      </w:r>
      <w:r>
        <w:rPr>
          <w:rFonts w:ascii="Cambria" w:hAnsi="Cambria"/>
          <w:sz w:val="16"/>
          <w:szCs w:val="16"/>
          <w:lang w:val="es-AR"/>
        </w:rPr>
        <w:t xml:space="preserve"> (Caso No. 1808)</w:t>
      </w:r>
      <w:r w:rsidR="00116587">
        <w:rPr>
          <w:rFonts w:ascii="Cambria" w:hAnsi="Cambria"/>
          <w:sz w:val="16"/>
          <w:szCs w:val="16"/>
          <w:lang w:val="es-AR"/>
        </w:rPr>
        <w:t>.</w:t>
      </w:r>
    </w:p>
  </w:footnote>
  <w:footnote w:id="7">
    <w:p w14:paraId="00599EF7" w14:textId="77777777" w:rsidR="005F02E7" w:rsidRPr="00537490" w:rsidRDefault="005F02E7" w:rsidP="005F02E7">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 xml:space="preserve">Expediente 97-2536-234-LA ante el Tribunal de Trabajo de Menor Cuantía </w:t>
      </w:r>
    </w:p>
  </w:footnote>
  <w:footnote w:id="8">
    <w:p w14:paraId="631F5BEA" w14:textId="77777777" w:rsidR="004720AA" w:rsidRPr="00537490" w:rsidRDefault="004720AA" w:rsidP="004720AA">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Expediente N° 11-011369-0007-CO, resolución N° 2011012519 de la Sala Constitucional de la Corte Suprema de Justicia.</w:t>
      </w:r>
    </w:p>
  </w:footnote>
  <w:footnote w:id="9">
    <w:p w14:paraId="10016C06" w14:textId="0D7F7B88" w:rsidR="005F02E7" w:rsidRPr="00537490" w:rsidRDefault="005F02E7" w:rsidP="00C223E2">
      <w:pPr>
        <w:rPr>
          <w:lang w:val="es-ES"/>
        </w:rPr>
      </w:pPr>
      <w:r w:rsidRPr="00537490">
        <w:rPr>
          <w:rStyle w:val="FootnoteReference"/>
          <w:rFonts w:ascii="Cambria" w:hAnsi="Cambria"/>
          <w:sz w:val="16"/>
          <w:szCs w:val="16"/>
        </w:rPr>
        <w:footnoteRef/>
      </w:r>
      <w:r>
        <w:rPr>
          <w:rFonts w:ascii="Cambria" w:hAnsi="Cambria"/>
          <w:sz w:val="16"/>
          <w:szCs w:val="16"/>
          <w:lang w:val="es-ES"/>
        </w:rPr>
        <w:t xml:space="preserve">Reglamento Autónomo de Servicios del Ministerio de Hacienda, Dto. N° 25271-HD del 14 de junio de 1996. </w:t>
      </w:r>
    </w:p>
  </w:footnote>
  <w:footnote w:id="10">
    <w:p w14:paraId="61EE6CFB" w14:textId="77777777" w:rsidR="00DD38FB" w:rsidRPr="00E30CC1" w:rsidRDefault="00DD38FB" w:rsidP="00DD38FB">
      <w:pPr>
        <w:pStyle w:val="FootnoteText"/>
        <w:ind w:firstLine="720"/>
        <w:jc w:val="both"/>
        <w:rPr>
          <w:rFonts w:asciiTheme="majorHAnsi" w:hAnsiTheme="majorHAnsi"/>
          <w:sz w:val="16"/>
          <w:szCs w:val="16"/>
          <w:lang w:val="es-PA"/>
        </w:rPr>
      </w:pPr>
      <w:r w:rsidRPr="00E30CC1">
        <w:rPr>
          <w:rStyle w:val="FootnoteReference"/>
          <w:rFonts w:asciiTheme="majorHAnsi" w:hAnsiTheme="majorHAnsi"/>
          <w:sz w:val="16"/>
          <w:szCs w:val="16"/>
        </w:rPr>
        <w:footnoteRef/>
      </w:r>
      <w:r w:rsidRPr="00064C09">
        <w:rPr>
          <w:rFonts w:asciiTheme="majorHAnsi" w:hAnsiTheme="majorHAnsi"/>
          <w:sz w:val="16"/>
          <w:szCs w:val="16"/>
          <w:lang w:val="pt-BR"/>
        </w:rPr>
        <w:t xml:space="preserve"> CIDH. Informe No. 74/17, Caso 12.656. Fondo.Victorio Spoltore. </w:t>
      </w:r>
      <w:r w:rsidRPr="00841E33">
        <w:rPr>
          <w:rFonts w:asciiTheme="majorHAnsi" w:hAnsiTheme="majorHAnsi"/>
          <w:sz w:val="16"/>
          <w:szCs w:val="16"/>
          <w:lang w:val="es-PA"/>
        </w:rPr>
        <w:t xml:space="preserve">Argentina. 5 de julio de 2017, </w:t>
      </w:r>
      <w:proofErr w:type="spellStart"/>
      <w:r w:rsidRPr="00841E33">
        <w:rPr>
          <w:rFonts w:asciiTheme="majorHAnsi" w:hAnsiTheme="majorHAnsi"/>
          <w:sz w:val="16"/>
          <w:szCs w:val="16"/>
          <w:lang w:val="es-PA"/>
        </w:rPr>
        <w:t>párr</w:t>
      </w:r>
      <w:proofErr w:type="spellEnd"/>
      <w:r w:rsidRPr="00841E33">
        <w:rPr>
          <w:rFonts w:asciiTheme="majorHAnsi" w:hAnsiTheme="majorHAnsi"/>
          <w:sz w:val="16"/>
          <w:szCs w:val="16"/>
          <w:lang w:val="es-PA"/>
        </w:rPr>
        <w:t xml:space="preserve"> 68.</w:t>
      </w:r>
    </w:p>
  </w:footnote>
  <w:footnote w:id="11">
    <w:p w14:paraId="1F185B9C" w14:textId="77777777" w:rsidR="006318C3" w:rsidRPr="000C0F58" w:rsidRDefault="006318C3" w:rsidP="006318C3">
      <w:pPr>
        <w:pStyle w:val="FootnoteText"/>
        <w:ind w:firstLine="720"/>
        <w:rPr>
          <w:rFonts w:asciiTheme="majorHAnsi" w:hAnsiTheme="majorHAnsi"/>
          <w:sz w:val="16"/>
          <w:szCs w:val="16"/>
          <w:lang w:val="es-PA"/>
        </w:rPr>
      </w:pPr>
      <w:r w:rsidRPr="000C0F58">
        <w:rPr>
          <w:rStyle w:val="FootnoteReference"/>
          <w:rFonts w:asciiTheme="majorHAnsi" w:hAnsiTheme="majorHAnsi"/>
          <w:sz w:val="16"/>
          <w:szCs w:val="16"/>
        </w:rPr>
        <w:footnoteRef/>
      </w:r>
      <w:r w:rsidRPr="000C0F58">
        <w:rPr>
          <w:rFonts w:asciiTheme="majorHAnsi" w:hAnsiTheme="majorHAnsi"/>
          <w:sz w:val="16"/>
          <w:szCs w:val="16"/>
          <w:lang w:val="es-PA"/>
        </w:rPr>
        <w:t xml:space="preserve"> CIDH, Informe No. 48/08. </w:t>
      </w:r>
      <w:proofErr w:type="spellStart"/>
      <w:r w:rsidRPr="000C0F58">
        <w:rPr>
          <w:rFonts w:asciiTheme="majorHAnsi" w:hAnsiTheme="majorHAnsi"/>
          <w:sz w:val="16"/>
          <w:szCs w:val="16"/>
          <w:lang w:val="es-ES"/>
        </w:rPr>
        <w:t>Adm</w:t>
      </w:r>
      <w:r w:rsidRPr="000C0F58">
        <w:rPr>
          <w:rFonts w:asciiTheme="majorHAnsi" w:hAnsiTheme="majorHAnsi"/>
          <w:sz w:val="16"/>
          <w:szCs w:val="16"/>
          <w:lang w:val="es-ES_tradnl"/>
        </w:rPr>
        <w:t>isibilidad</w:t>
      </w:r>
      <w:proofErr w:type="spellEnd"/>
      <w:r w:rsidRPr="000C0F58">
        <w:rPr>
          <w:rFonts w:asciiTheme="majorHAnsi" w:hAnsiTheme="majorHAnsi"/>
          <w:sz w:val="16"/>
          <w:szCs w:val="16"/>
          <w:lang w:val="es-ES_tradnl"/>
        </w:rPr>
        <w:t xml:space="preserve">. </w:t>
      </w:r>
      <w:proofErr w:type="spellStart"/>
      <w:r w:rsidRPr="000C0F58">
        <w:rPr>
          <w:rFonts w:asciiTheme="majorHAnsi" w:hAnsiTheme="majorHAnsi"/>
          <w:sz w:val="16"/>
          <w:szCs w:val="16"/>
          <w:lang w:val="es-ES_tradnl"/>
        </w:rPr>
        <w:t>Mirey</w:t>
      </w:r>
      <w:proofErr w:type="spellEnd"/>
      <w:r w:rsidRPr="000C0F58">
        <w:rPr>
          <w:rFonts w:asciiTheme="majorHAnsi" w:hAnsiTheme="majorHAnsi"/>
          <w:sz w:val="16"/>
          <w:szCs w:val="16"/>
          <w:lang w:val="es-ES_tradnl"/>
        </w:rPr>
        <w:t xml:space="preserve"> Trueba Arciniega. México. </w:t>
      </w:r>
      <w:r w:rsidRPr="000C0F58">
        <w:rPr>
          <w:rFonts w:asciiTheme="majorHAnsi" w:hAnsiTheme="majorHAnsi"/>
          <w:sz w:val="16"/>
          <w:szCs w:val="16"/>
          <w:lang w:val="es-ES"/>
        </w:rPr>
        <w:t>24 de julio de 2008, párrafo 56; CIDH, Informe No. 55/08. Admisibilidad. Trabajadores Despedidos de la Empresa Nacional de Puertos S.A. (ENAPU). Perú. 24 de julio de 2008, párrafo 46.</w:t>
      </w:r>
    </w:p>
  </w:footnote>
  <w:footnote w:id="12">
    <w:p w14:paraId="35464426" w14:textId="77777777" w:rsidR="004B543F" w:rsidRPr="00000BF2" w:rsidRDefault="004B543F" w:rsidP="004B543F">
      <w:pPr>
        <w:ind w:firstLine="720"/>
        <w:contextualSpacing/>
        <w:jc w:val="both"/>
        <w:rPr>
          <w:rFonts w:cs="Calibri"/>
          <w:color w:val="002060"/>
          <w:sz w:val="16"/>
          <w:szCs w:val="16"/>
          <w:lang w:val="es-ES"/>
        </w:rPr>
      </w:pPr>
      <w:r w:rsidRPr="00000BF2">
        <w:rPr>
          <w:rStyle w:val="FootnoteReference"/>
          <w:rFonts w:cs="Calibri"/>
          <w:sz w:val="16"/>
          <w:szCs w:val="16"/>
          <w:lang w:val="es-ES"/>
        </w:rPr>
        <w:footnoteRef/>
      </w:r>
      <w:r w:rsidRPr="00000BF2">
        <w:rPr>
          <w:rFonts w:cs="Calibri"/>
          <w:sz w:val="16"/>
          <w:szCs w:val="16"/>
          <w:lang w:val="es-ES"/>
        </w:rPr>
        <w:t xml:space="preserve"> </w:t>
      </w:r>
      <w:r w:rsidRPr="00F75828">
        <w:rPr>
          <w:rFonts w:cs="Calibri"/>
          <w:sz w:val="16"/>
          <w:szCs w:val="16"/>
          <w:lang w:val="es-ES"/>
        </w:rPr>
        <w:t>CIDH, Informe Nº 29/06 (Admisibilidad– Petición 906-03, Comunidad Garífuna Triunfo de la Cruz y sus miembros v. Honduras); 14 de marzo de 2006, párr. 39.</w:t>
      </w:r>
    </w:p>
  </w:footnote>
  <w:footnote w:id="13">
    <w:p w14:paraId="154625E7" w14:textId="77777777" w:rsidR="007C5832" w:rsidRPr="00C5191D" w:rsidRDefault="007C5832" w:rsidP="007C5832">
      <w:pPr>
        <w:pStyle w:val="FootnoteText"/>
        <w:ind w:firstLine="720"/>
        <w:jc w:val="both"/>
        <w:rPr>
          <w:rFonts w:ascii="Cambria" w:hAnsi="Cambria"/>
          <w:sz w:val="16"/>
          <w:szCs w:val="16"/>
          <w:lang w:val="es-ES"/>
        </w:rPr>
      </w:pPr>
      <w:r w:rsidRPr="00C5191D">
        <w:rPr>
          <w:rStyle w:val="FootnoteReference"/>
          <w:rFonts w:ascii="Cambria" w:hAnsi="Cambria"/>
          <w:sz w:val="16"/>
          <w:szCs w:val="16"/>
        </w:rPr>
        <w:footnoteRef/>
      </w:r>
      <w:r w:rsidRPr="00C5191D">
        <w:rPr>
          <w:rFonts w:ascii="Cambria" w:hAnsi="Cambria"/>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225F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FF5E9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8"/>
  </w:num>
  <w:num w:numId="97">
    <w:abstractNumId w:val="55"/>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7"/>
  </w:num>
  <w:num w:numId="105">
    <w:abstractNumId w:val="56"/>
  </w:num>
  <w:num w:numId="106">
    <w:abstractNumId w:val="4"/>
  </w:num>
  <w:num w:numId="107">
    <w:abstractNumId w:val="32"/>
  </w:num>
  <w:num w:numId="108">
    <w:abstractNumId w:val="15"/>
  </w:num>
  <w:num w:numId="109">
    <w:abstractNumId w:val="47"/>
  </w:num>
  <w:num w:numId="110">
    <w:abstractNumId w:val="7"/>
  </w:num>
  <w:num w:numId="111">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413A"/>
    <w:rsid w:val="00006E1F"/>
    <w:rsid w:val="000070D7"/>
    <w:rsid w:val="00017383"/>
    <w:rsid w:val="0001788C"/>
    <w:rsid w:val="00032825"/>
    <w:rsid w:val="00032C86"/>
    <w:rsid w:val="000337EF"/>
    <w:rsid w:val="000379D1"/>
    <w:rsid w:val="00040C3A"/>
    <w:rsid w:val="000419AD"/>
    <w:rsid w:val="000423CF"/>
    <w:rsid w:val="00042482"/>
    <w:rsid w:val="000433C9"/>
    <w:rsid w:val="000436AC"/>
    <w:rsid w:val="00046457"/>
    <w:rsid w:val="00050703"/>
    <w:rsid w:val="00055CA4"/>
    <w:rsid w:val="0006125C"/>
    <w:rsid w:val="00064C09"/>
    <w:rsid w:val="00066530"/>
    <w:rsid w:val="00067460"/>
    <w:rsid w:val="000716C5"/>
    <w:rsid w:val="000731C6"/>
    <w:rsid w:val="00075E23"/>
    <w:rsid w:val="0007792F"/>
    <w:rsid w:val="00084C72"/>
    <w:rsid w:val="00090304"/>
    <w:rsid w:val="0009344A"/>
    <w:rsid w:val="000A321D"/>
    <w:rsid w:val="000A392E"/>
    <w:rsid w:val="000A575F"/>
    <w:rsid w:val="000A5E8B"/>
    <w:rsid w:val="000A6E85"/>
    <w:rsid w:val="000A6EE5"/>
    <w:rsid w:val="000B10D7"/>
    <w:rsid w:val="000B5264"/>
    <w:rsid w:val="000B55F7"/>
    <w:rsid w:val="000D05CB"/>
    <w:rsid w:val="000D10DB"/>
    <w:rsid w:val="000D175A"/>
    <w:rsid w:val="000D4DEF"/>
    <w:rsid w:val="000E14EE"/>
    <w:rsid w:val="000E5EB5"/>
    <w:rsid w:val="000E7F55"/>
    <w:rsid w:val="000F1D1C"/>
    <w:rsid w:val="000F35ED"/>
    <w:rsid w:val="000F7817"/>
    <w:rsid w:val="00104AD0"/>
    <w:rsid w:val="00107131"/>
    <w:rsid w:val="0010736F"/>
    <w:rsid w:val="00113F73"/>
    <w:rsid w:val="00116587"/>
    <w:rsid w:val="00117F93"/>
    <w:rsid w:val="00121CC2"/>
    <w:rsid w:val="0012688B"/>
    <w:rsid w:val="00133EE5"/>
    <w:rsid w:val="001405EA"/>
    <w:rsid w:val="0014190F"/>
    <w:rsid w:val="00160728"/>
    <w:rsid w:val="001640D6"/>
    <w:rsid w:val="00165DC5"/>
    <w:rsid w:val="00167A34"/>
    <w:rsid w:val="0017075C"/>
    <w:rsid w:val="00172DD7"/>
    <w:rsid w:val="001803D9"/>
    <w:rsid w:val="001848DC"/>
    <w:rsid w:val="00192494"/>
    <w:rsid w:val="001A7870"/>
    <w:rsid w:val="001B337A"/>
    <w:rsid w:val="001B3A00"/>
    <w:rsid w:val="001B4627"/>
    <w:rsid w:val="001C1B41"/>
    <w:rsid w:val="001C3C2F"/>
    <w:rsid w:val="001D3823"/>
    <w:rsid w:val="001D65EF"/>
    <w:rsid w:val="001E3C27"/>
    <w:rsid w:val="001E49E7"/>
    <w:rsid w:val="001E6A51"/>
    <w:rsid w:val="001E7567"/>
    <w:rsid w:val="001F0884"/>
    <w:rsid w:val="001F4D34"/>
    <w:rsid w:val="001F7201"/>
    <w:rsid w:val="001F78E2"/>
    <w:rsid w:val="001F790F"/>
    <w:rsid w:val="00204B68"/>
    <w:rsid w:val="002053B0"/>
    <w:rsid w:val="00211F36"/>
    <w:rsid w:val="002201F0"/>
    <w:rsid w:val="002207AD"/>
    <w:rsid w:val="00223A29"/>
    <w:rsid w:val="002250A3"/>
    <w:rsid w:val="00235217"/>
    <w:rsid w:val="00245BB6"/>
    <w:rsid w:val="0024603C"/>
    <w:rsid w:val="00246D1F"/>
    <w:rsid w:val="00247403"/>
    <w:rsid w:val="00247542"/>
    <w:rsid w:val="00256812"/>
    <w:rsid w:val="002611FA"/>
    <w:rsid w:val="00263137"/>
    <w:rsid w:val="00263DBF"/>
    <w:rsid w:val="002654FD"/>
    <w:rsid w:val="00266B61"/>
    <w:rsid w:val="0026712A"/>
    <w:rsid w:val="002704DB"/>
    <w:rsid w:val="00270847"/>
    <w:rsid w:val="002A089C"/>
    <w:rsid w:val="002A0AAE"/>
    <w:rsid w:val="002A5820"/>
    <w:rsid w:val="002B4B55"/>
    <w:rsid w:val="002C45A7"/>
    <w:rsid w:val="002D2B26"/>
    <w:rsid w:val="002D3919"/>
    <w:rsid w:val="002D7EA2"/>
    <w:rsid w:val="002E06F1"/>
    <w:rsid w:val="002E187C"/>
    <w:rsid w:val="002E4205"/>
    <w:rsid w:val="002F0933"/>
    <w:rsid w:val="002F3F8A"/>
    <w:rsid w:val="002F7097"/>
    <w:rsid w:val="00301964"/>
    <w:rsid w:val="00302733"/>
    <w:rsid w:val="00312113"/>
    <w:rsid w:val="00314078"/>
    <w:rsid w:val="0031535D"/>
    <w:rsid w:val="00315515"/>
    <w:rsid w:val="00316133"/>
    <w:rsid w:val="003239B8"/>
    <w:rsid w:val="00326A4A"/>
    <w:rsid w:val="0033169F"/>
    <w:rsid w:val="00332D0A"/>
    <w:rsid w:val="00335F6F"/>
    <w:rsid w:val="00340628"/>
    <w:rsid w:val="00343DB7"/>
    <w:rsid w:val="00344977"/>
    <w:rsid w:val="00346C95"/>
    <w:rsid w:val="00347241"/>
    <w:rsid w:val="00351622"/>
    <w:rsid w:val="003544FA"/>
    <w:rsid w:val="00354CC8"/>
    <w:rsid w:val="00356185"/>
    <w:rsid w:val="00357F0A"/>
    <w:rsid w:val="00360380"/>
    <w:rsid w:val="003639F3"/>
    <w:rsid w:val="00365021"/>
    <w:rsid w:val="00366DC9"/>
    <w:rsid w:val="00372E7A"/>
    <w:rsid w:val="003743FB"/>
    <w:rsid w:val="00375000"/>
    <w:rsid w:val="0037519E"/>
    <w:rsid w:val="00386CF0"/>
    <w:rsid w:val="003A1194"/>
    <w:rsid w:val="003A3DB2"/>
    <w:rsid w:val="003A7CC5"/>
    <w:rsid w:val="003B6AF9"/>
    <w:rsid w:val="003B70FB"/>
    <w:rsid w:val="003C676B"/>
    <w:rsid w:val="003D3BC2"/>
    <w:rsid w:val="003E61F1"/>
    <w:rsid w:val="003E6CA1"/>
    <w:rsid w:val="003F6761"/>
    <w:rsid w:val="004065A8"/>
    <w:rsid w:val="00411122"/>
    <w:rsid w:val="00413583"/>
    <w:rsid w:val="004165C2"/>
    <w:rsid w:val="00427709"/>
    <w:rsid w:val="0043339F"/>
    <w:rsid w:val="0043409A"/>
    <w:rsid w:val="0043629A"/>
    <w:rsid w:val="00441ECB"/>
    <w:rsid w:val="00442465"/>
    <w:rsid w:val="00445193"/>
    <w:rsid w:val="00445C63"/>
    <w:rsid w:val="00446B1F"/>
    <w:rsid w:val="0045015A"/>
    <w:rsid w:val="00460A60"/>
    <w:rsid w:val="00460FB4"/>
    <w:rsid w:val="00461865"/>
    <w:rsid w:val="00462C1B"/>
    <w:rsid w:val="004654C5"/>
    <w:rsid w:val="00467B7E"/>
    <w:rsid w:val="004720AA"/>
    <w:rsid w:val="00473BB4"/>
    <w:rsid w:val="00475347"/>
    <w:rsid w:val="00476D21"/>
    <w:rsid w:val="00477592"/>
    <w:rsid w:val="004834E2"/>
    <w:rsid w:val="0048600E"/>
    <w:rsid w:val="00486F1C"/>
    <w:rsid w:val="00491386"/>
    <w:rsid w:val="00491465"/>
    <w:rsid w:val="0049419D"/>
    <w:rsid w:val="004A658E"/>
    <w:rsid w:val="004A6A54"/>
    <w:rsid w:val="004B543F"/>
    <w:rsid w:val="004B6BCE"/>
    <w:rsid w:val="004B738D"/>
    <w:rsid w:val="004C20D2"/>
    <w:rsid w:val="004C2312"/>
    <w:rsid w:val="004C4B62"/>
    <w:rsid w:val="004C54C9"/>
    <w:rsid w:val="004C76C8"/>
    <w:rsid w:val="004D4ABA"/>
    <w:rsid w:val="004D6025"/>
    <w:rsid w:val="004D6E26"/>
    <w:rsid w:val="004D7A29"/>
    <w:rsid w:val="004E16BC"/>
    <w:rsid w:val="004E2649"/>
    <w:rsid w:val="004E7027"/>
    <w:rsid w:val="004F17ED"/>
    <w:rsid w:val="004F1C27"/>
    <w:rsid w:val="004F79FA"/>
    <w:rsid w:val="00501399"/>
    <w:rsid w:val="005019E6"/>
    <w:rsid w:val="00502603"/>
    <w:rsid w:val="00503942"/>
    <w:rsid w:val="00504627"/>
    <w:rsid w:val="0050633D"/>
    <w:rsid w:val="00507BC4"/>
    <w:rsid w:val="00510711"/>
    <w:rsid w:val="005128E4"/>
    <w:rsid w:val="005133DB"/>
    <w:rsid w:val="00525560"/>
    <w:rsid w:val="005263DD"/>
    <w:rsid w:val="00531746"/>
    <w:rsid w:val="00531A48"/>
    <w:rsid w:val="00544C49"/>
    <w:rsid w:val="0054623A"/>
    <w:rsid w:val="005516A1"/>
    <w:rsid w:val="00557346"/>
    <w:rsid w:val="00563557"/>
    <w:rsid w:val="0057402A"/>
    <w:rsid w:val="005771D0"/>
    <w:rsid w:val="005827ED"/>
    <w:rsid w:val="0059191A"/>
    <w:rsid w:val="005921FF"/>
    <w:rsid w:val="00593A0F"/>
    <w:rsid w:val="005A24ED"/>
    <w:rsid w:val="005A555B"/>
    <w:rsid w:val="005A6D0E"/>
    <w:rsid w:val="005B52B0"/>
    <w:rsid w:val="005B5CDE"/>
    <w:rsid w:val="005B6806"/>
    <w:rsid w:val="005B70BD"/>
    <w:rsid w:val="005C4225"/>
    <w:rsid w:val="005C6461"/>
    <w:rsid w:val="005E63BD"/>
    <w:rsid w:val="005F02E7"/>
    <w:rsid w:val="005F0DAD"/>
    <w:rsid w:val="005F0F33"/>
    <w:rsid w:val="00600DEB"/>
    <w:rsid w:val="00610487"/>
    <w:rsid w:val="0061159D"/>
    <w:rsid w:val="00612824"/>
    <w:rsid w:val="00612941"/>
    <w:rsid w:val="0062106A"/>
    <w:rsid w:val="00627C9F"/>
    <w:rsid w:val="00630739"/>
    <w:rsid w:val="006311E9"/>
    <w:rsid w:val="006318C3"/>
    <w:rsid w:val="00631B33"/>
    <w:rsid w:val="00632354"/>
    <w:rsid w:val="006372F4"/>
    <w:rsid w:val="00642810"/>
    <w:rsid w:val="00644CAE"/>
    <w:rsid w:val="0065197F"/>
    <w:rsid w:val="00652333"/>
    <w:rsid w:val="00654E3F"/>
    <w:rsid w:val="00657508"/>
    <w:rsid w:val="00670DB8"/>
    <w:rsid w:val="0068009E"/>
    <w:rsid w:val="00685D9C"/>
    <w:rsid w:val="0068789C"/>
    <w:rsid w:val="0069176D"/>
    <w:rsid w:val="00692219"/>
    <w:rsid w:val="006A17D2"/>
    <w:rsid w:val="006A73E6"/>
    <w:rsid w:val="006B2D5C"/>
    <w:rsid w:val="006B33DE"/>
    <w:rsid w:val="006B5555"/>
    <w:rsid w:val="006B664A"/>
    <w:rsid w:val="006C26BD"/>
    <w:rsid w:val="006C4EB1"/>
    <w:rsid w:val="006C6C26"/>
    <w:rsid w:val="006D2E5D"/>
    <w:rsid w:val="006E0166"/>
    <w:rsid w:val="006E2FFB"/>
    <w:rsid w:val="006E3249"/>
    <w:rsid w:val="006E7B34"/>
    <w:rsid w:val="006F04A7"/>
    <w:rsid w:val="007064C3"/>
    <w:rsid w:val="0070697F"/>
    <w:rsid w:val="00711425"/>
    <w:rsid w:val="0072199C"/>
    <w:rsid w:val="00722C9F"/>
    <w:rsid w:val="007253B8"/>
    <w:rsid w:val="0073741F"/>
    <w:rsid w:val="007410DD"/>
    <w:rsid w:val="00741533"/>
    <w:rsid w:val="00751481"/>
    <w:rsid w:val="00760917"/>
    <w:rsid w:val="00765578"/>
    <w:rsid w:val="00765584"/>
    <w:rsid w:val="0076643F"/>
    <w:rsid w:val="00773E55"/>
    <w:rsid w:val="007743A8"/>
    <w:rsid w:val="0077448E"/>
    <w:rsid w:val="0077519E"/>
    <w:rsid w:val="00777A02"/>
    <w:rsid w:val="00777F63"/>
    <w:rsid w:val="00783E28"/>
    <w:rsid w:val="00792B16"/>
    <w:rsid w:val="007A1FB9"/>
    <w:rsid w:val="007A5817"/>
    <w:rsid w:val="007B05C4"/>
    <w:rsid w:val="007B1EE2"/>
    <w:rsid w:val="007B2747"/>
    <w:rsid w:val="007B3980"/>
    <w:rsid w:val="007B3C15"/>
    <w:rsid w:val="007B60E9"/>
    <w:rsid w:val="007B6CC3"/>
    <w:rsid w:val="007B76D3"/>
    <w:rsid w:val="007C3334"/>
    <w:rsid w:val="007C5832"/>
    <w:rsid w:val="007D2B98"/>
    <w:rsid w:val="007E21BC"/>
    <w:rsid w:val="007E7C82"/>
    <w:rsid w:val="007F066E"/>
    <w:rsid w:val="007F26BB"/>
    <w:rsid w:val="007F588D"/>
    <w:rsid w:val="007F78A6"/>
    <w:rsid w:val="00803F1C"/>
    <w:rsid w:val="0080600E"/>
    <w:rsid w:val="00806D94"/>
    <w:rsid w:val="00817612"/>
    <w:rsid w:val="00824A2C"/>
    <w:rsid w:val="00827DFE"/>
    <w:rsid w:val="00830F90"/>
    <w:rsid w:val="008338A4"/>
    <w:rsid w:val="00834D49"/>
    <w:rsid w:val="00837C45"/>
    <w:rsid w:val="00837CEA"/>
    <w:rsid w:val="00844219"/>
    <w:rsid w:val="00844730"/>
    <w:rsid w:val="008457C2"/>
    <w:rsid w:val="00845E8A"/>
    <w:rsid w:val="00846F73"/>
    <w:rsid w:val="0084748A"/>
    <w:rsid w:val="00857A82"/>
    <w:rsid w:val="00860325"/>
    <w:rsid w:val="0086090A"/>
    <w:rsid w:val="008646F0"/>
    <w:rsid w:val="00864E93"/>
    <w:rsid w:val="00873836"/>
    <w:rsid w:val="008741E8"/>
    <w:rsid w:val="00885737"/>
    <w:rsid w:val="00890650"/>
    <w:rsid w:val="00892A7C"/>
    <w:rsid w:val="008965BC"/>
    <w:rsid w:val="00896CD5"/>
    <w:rsid w:val="00897E12"/>
    <w:rsid w:val="008A6CF9"/>
    <w:rsid w:val="008A7E0F"/>
    <w:rsid w:val="008B0237"/>
    <w:rsid w:val="008B12F5"/>
    <w:rsid w:val="008B20EC"/>
    <w:rsid w:val="008B38D1"/>
    <w:rsid w:val="008B4AD8"/>
    <w:rsid w:val="008B4B19"/>
    <w:rsid w:val="008C0A25"/>
    <w:rsid w:val="008D1C5D"/>
    <w:rsid w:val="008D768D"/>
    <w:rsid w:val="008E1C8C"/>
    <w:rsid w:val="008E3759"/>
    <w:rsid w:val="008E3BFE"/>
    <w:rsid w:val="008E6CA1"/>
    <w:rsid w:val="008F05BF"/>
    <w:rsid w:val="008F1421"/>
    <w:rsid w:val="008F1912"/>
    <w:rsid w:val="008F61C6"/>
    <w:rsid w:val="00901B65"/>
    <w:rsid w:val="0090270B"/>
    <w:rsid w:val="009041DC"/>
    <w:rsid w:val="009152CB"/>
    <w:rsid w:val="00915E2D"/>
    <w:rsid w:val="009170B4"/>
    <w:rsid w:val="00917B5A"/>
    <w:rsid w:val="00920A58"/>
    <w:rsid w:val="00920A8C"/>
    <w:rsid w:val="00925E01"/>
    <w:rsid w:val="00934A2C"/>
    <w:rsid w:val="00937C16"/>
    <w:rsid w:val="00963306"/>
    <w:rsid w:val="009638CF"/>
    <w:rsid w:val="0096622B"/>
    <w:rsid w:val="0096706E"/>
    <w:rsid w:val="009674A2"/>
    <w:rsid w:val="00967983"/>
    <w:rsid w:val="00972A67"/>
    <w:rsid w:val="00973CA6"/>
    <w:rsid w:val="00974491"/>
    <w:rsid w:val="00975C4E"/>
    <w:rsid w:val="009804ED"/>
    <w:rsid w:val="00981FBA"/>
    <w:rsid w:val="00991784"/>
    <w:rsid w:val="00993C5F"/>
    <w:rsid w:val="009968DD"/>
    <w:rsid w:val="00997BC5"/>
    <w:rsid w:val="009A1404"/>
    <w:rsid w:val="009A4F41"/>
    <w:rsid w:val="009A57A5"/>
    <w:rsid w:val="009A758C"/>
    <w:rsid w:val="009B1CA9"/>
    <w:rsid w:val="009B216D"/>
    <w:rsid w:val="009B26ED"/>
    <w:rsid w:val="009B381B"/>
    <w:rsid w:val="009D1753"/>
    <w:rsid w:val="009D2D4A"/>
    <w:rsid w:val="009D483D"/>
    <w:rsid w:val="009D4B74"/>
    <w:rsid w:val="009D7611"/>
    <w:rsid w:val="009E01C1"/>
    <w:rsid w:val="009E0795"/>
    <w:rsid w:val="009E0B61"/>
    <w:rsid w:val="009E26B6"/>
    <w:rsid w:val="009E53DE"/>
    <w:rsid w:val="009F1A03"/>
    <w:rsid w:val="009F5123"/>
    <w:rsid w:val="009F55D3"/>
    <w:rsid w:val="00A11212"/>
    <w:rsid w:val="00A11E44"/>
    <w:rsid w:val="00A13069"/>
    <w:rsid w:val="00A20A9B"/>
    <w:rsid w:val="00A328B3"/>
    <w:rsid w:val="00A34668"/>
    <w:rsid w:val="00A50FCF"/>
    <w:rsid w:val="00A5163F"/>
    <w:rsid w:val="00A528D1"/>
    <w:rsid w:val="00A600A0"/>
    <w:rsid w:val="00A610CD"/>
    <w:rsid w:val="00A6244D"/>
    <w:rsid w:val="00A73009"/>
    <w:rsid w:val="00A74F6E"/>
    <w:rsid w:val="00A758AA"/>
    <w:rsid w:val="00A93D83"/>
    <w:rsid w:val="00A94A59"/>
    <w:rsid w:val="00AA09A2"/>
    <w:rsid w:val="00AA1A59"/>
    <w:rsid w:val="00AA4D0F"/>
    <w:rsid w:val="00AA6585"/>
    <w:rsid w:val="00AA7996"/>
    <w:rsid w:val="00AC19CB"/>
    <w:rsid w:val="00AD177F"/>
    <w:rsid w:val="00AD2784"/>
    <w:rsid w:val="00AE5488"/>
    <w:rsid w:val="00AE6F91"/>
    <w:rsid w:val="00AF2226"/>
    <w:rsid w:val="00AF3BC7"/>
    <w:rsid w:val="00AF4EB3"/>
    <w:rsid w:val="00AF5571"/>
    <w:rsid w:val="00AF660A"/>
    <w:rsid w:val="00B07341"/>
    <w:rsid w:val="00B2119A"/>
    <w:rsid w:val="00B24A40"/>
    <w:rsid w:val="00B30539"/>
    <w:rsid w:val="00B314DB"/>
    <w:rsid w:val="00B361F2"/>
    <w:rsid w:val="00B3718B"/>
    <w:rsid w:val="00B3745F"/>
    <w:rsid w:val="00B431F6"/>
    <w:rsid w:val="00B4632A"/>
    <w:rsid w:val="00B530F1"/>
    <w:rsid w:val="00B62870"/>
    <w:rsid w:val="00B737D3"/>
    <w:rsid w:val="00B84E29"/>
    <w:rsid w:val="00B95026"/>
    <w:rsid w:val="00B95851"/>
    <w:rsid w:val="00BA276C"/>
    <w:rsid w:val="00BB1D28"/>
    <w:rsid w:val="00BB278C"/>
    <w:rsid w:val="00BB306F"/>
    <w:rsid w:val="00BB3C2F"/>
    <w:rsid w:val="00BC04D6"/>
    <w:rsid w:val="00BC7FAF"/>
    <w:rsid w:val="00BD38ED"/>
    <w:rsid w:val="00BD4B89"/>
    <w:rsid w:val="00BD4C60"/>
    <w:rsid w:val="00BD5922"/>
    <w:rsid w:val="00BD7138"/>
    <w:rsid w:val="00BF02CB"/>
    <w:rsid w:val="00BF0AA8"/>
    <w:rsid w:val="00BF6FD8"/>
    <w:rsid w:val="00C03680"/>
    <w:rsid w:val="00C054DF"/>
    <w:rsid w:val="00C06D05"/>
    <w:rsid w:val="00C12F05"/>
    <w:rsid w:val="00C15AAC"/>
    <w:rsid w:val="00C207CF"/>
    <w:rsid w:val="00C21762"/>
    <w:rsid w:val="00C21FEF"/>
    <w:rsid w:val="00C223E2"/>
    <w:rsid w:val="00C225F3"/>
    <w:rsid w:val="00C24543"/>
    <w:rsid w:val="00C2514D"/>
    <w:rsid w:val="00C256A2"/>
    <w:rsid w:val="00C452BB"/>
    <w:rsid w:val="00C47850"/>
    <w:rsid w:val="00C51515"/>
    <w:rsid w:val="00C5660B"/>
    <w:rsid w:val="00C60516"/>
    <w:rsid w:val="00C64116"/>
    <w:rsid w:val="00C65C01"/>
    <w:rsid w:val="00C66B72"/>
    <w:rsid w:val="00C77D36"/>
    <w:rsid w:val="00C87AC4"/>
    <w:rsid w:val="00C9567A"/>
    <w:rsid w:val="00CB1FCE"/>
    <w:rsid w:val="00CB212D"/>
    <w:rsid w:val="00CB2660"/>
    <w:rsid w:val="00CB2AD1"/>
    <w:rsid w:val="00CB36C1"/>
    <w:rsid w:val="00CB43FE"/>
    <w:rsid w:val="00CB5021"/>
    <w:rsid w:val="00CC3751"/>
    <w:rsid w:val="00CC5E90"/>
    <w:rsid w:val="00CD046C"/>
    <w:rsid w:val="00CE076C"/>
    <w:rsid w:val="00CE3212"/>
    <w:rsid w:val="00CE5199"/>
    <w:rsid w:val="00CE66D5"/>
    <w:rsid w:val="00CF637A"/>
    <w:rsid w:val="00D02710"/>
    <w:rsid w:val="00D02FC5"/>
    <w:rsid w:val="00D03E62"/>
    <w:rsid w:val="00D059DE"/>
    <w:rsid w:val="00D05ABD"/>
    <w:rsid w:val="00D120A7"/>
    <w:rsid w:val="00D13FCE"/>
    <w:rsid w:val="00D276FD"/>
    <w:rsid w:val="00D306D1"/>
    <w:rsid w:val="00D30800"/>
    <w:rsid w:val="00D34786"/>
    <w:rsid w:val="00D37BFC"/>
    <w:rsid w:val="00D47A8E"/>
    <w:rsid w:val="00D52D14"/>
    <w:rsid w:val="00D53004"/>
    <w:rsid w:val="00D56DCE"/>
    <w:rsid w:val="00D70A11"/>
    <w:rsid w:val="00D712D3"/>
    <w:rsid w:val="00D71422"/>
    <w:rsid w:val="00D72DC6"/>
    <w:rsid w:val="00D736F8"/>
    <w:rsid w:val="00D73F60"/>
    <w:rsid w:val="00D7558D"/>
    <w:rsid w:val="00D81D92"/>
    <w:rsid w:val="00D82D68"/>
    <w:rsid w:val="00D840A1"/>
    <w:rsid w:val="00D876F9"/>
    <w:rsid w:val="00D90AA7"/>
    <w:rsid w:val="00D90F98"/>
    <w:rsid w:val="00D9218F"/>
    <w:rsid w:val="00D95FAF"/>
    <w:rsid w:val="00DA7B5F"/>
    <w:rsid w:val="00DB0085"/>
    <w:rsid w:val="00DC11E7"/>
    <w:rsid w:val="00DC24E3"/>
    <w:rsid w:val="00DC2522"/>
    <w:rsid w:val="00DC7023"/>
    <w:rsid w:val="00DC769A"/>
    <w:rsid w:val="00DD1158"/>
    <w:rsid w:val="00DD38FB"/>
    <w:rsid w:val="00DD3D86"/>
    <w:rsid w:val="00DD4AD2"/>
    <w:rsid w:val="00DE44F0"/>
    <w:rsid w:val="00DF1EC4"/>
    <w:rsid w:val="00E0340B"/>
    <w:rsid w:val="00E04A90"/>
    <w:rsid w:val="00E0551F"/>
    <w:rsid w:val="00E05C6F"/>
    <w:rsid w:val="00E06259"/>
    <w:rsid w:val="00E14D00"/>
    <w:rsid w:val="00E219C7"/>
    <w:rsid w:val="00E26736"/>
    <w:rsid w:val="00E27D8E"/>
    <w:rsid w:val="00E32DE4"/>
    <w:rsid w:val="00E37AF7"/>
    <w:rsid w:val="00E4118C"/>
    <w:rsid w:val="00E43157"/>
    <w:rsid w:val="00E461CE"/>
    <w:rsid w:val="00E50007"/>
    <w:rsid w:val="00E51770"/>
    <w:rsid w:val="00E645AF"/>
    <w:rsid w:val="00E65D21"/>
    <w:rsid w:val="00E669A6"/>
    <w:rsid w:val="00E720CA"/>
    <w:rsid w:val="00E72880"/>
    <w:rsid w:val="00E814B8"/>
    <w:rsid w:val="00E84EB5"/>
    <w:rsid w:val="00E85662"/>
    <w:rsid w:val="00E8789F"/>
    <w:rsid w:val="00E96F9E"/>
    <w:rsid w:val="00E97B71"/>
    <w:rsid w:val="00EA0D17"/>
    <w:rsid w:val="00EA3989"/>
    <w:rsid w:val="00EA3BED"/>
    <w:rsid w:val="00EA3D34"/>
    <w:rsid w:val="00EA455F"/>
    <w:rsid w:val="00EA4A2A"/>
    <w:rsid w:val="00EA6CBD"/>
    <w:rsid w:val="00EA7104"/>
    <w:rsid w:val="00EB454D"/>
    <w:rsid w:val="00EB5DD3"/>
    <w:rsid w:val="00EB7468"/>
    <w:rsid w:val="00EB7A0D"/>
    <w:rsid w:val="00EC0E1D"/>
    <w:rsid w:val="00ED1F1D"/>
    <w:rsid w:val="00ED549D"/>
    <w:rsid w:val="00ED647B"/>
    <w:rsid w:val="00ED6F8A"/>
    <w:rsid w:val="00ED76BE"/>
    <w:rsid w:val="00ED7F33"/>
    <w:rsid w:val="00EE00E9"/>
    <w:rsid w:val="00EF2963"/>
    <w:rsid w:val="00EF4EB0"/>
    <w:rsid w:val="00EF619B"/>
    <w:rsid w:val="00F00B55"/>
    <w:rsid w:val="00F02AD1"/>
    <w:rsid w:val="00F110DE"/>
    <w:rsid w:val="00F14AB2"/>
    <w:rsid w:val="00F16DE8"/>
    <w:rsid w:val="00F211D9"/>
    <w:rsid w:val="00F253CC"/>
    <w:rsid w:val="00F27F54"/>
    <w:rsid w:val="00F3254A"/>
    <w:rsid w:val="00F35A92"/>
    <w:rsid w:val="00F37106"/>
    <w:rsid w:val="00F37357"/>
    <w:rsid w:val="00F519CF"/>
    <w:rsid w:val="00F56BA5"/>
    <w:rsid w:val="00F60E22"/>
    <w:rsid w:val="00F67244"/>
    <w:rsid w:val="00F74AD0"/>
    <w:rsid w:val="00F75828"/>
    <w:rsid w:val="00F81395"/>
    <w:rsid w:val="00F81BB8"/>
    <w:rsid w:val="00F8582B"/>
    <w:rsid w:val="00F917D1"/>
    <w:rsid w:val="00F9653B"/>
    <w:rsid w:val="00FA099B"/>
    <w:rsid w:val="00FB62CF"/>
    <w:rsid w:val="00FC214D"/>
    <w:rsid w:val="00FC3B91"/>
    <w:rsid w:val="00FD3C3B"/>
    <w:rsid w:val="00FE07DD"/>
    <w:rsid w:val="00FE5752"/>
    <w:rsid w:val="00FE6B45"/>
    <w:rsid w:val="00FF285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15:docId w15:val="{62397C0F-0419-4304-9CDD-0DCE652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6DC9"/>
    <w:rPr>
      <w:sz w:val="16"/>
      <w:szCs w:val="16"/>
    </w:rPr>
  </w:style>
  <w:style w:type="paragraph" w:styleId="CommentText">
    <w:name w:val="annotation text"/>
    <w:basedOn w:val="Normal"/>
    <w:link w:val="CommentTextChar"/>
    <w:uiPriority w:val="99"/>
    <w:semiHidden/>
    <w:unhideWhenUsed/>
    <w:rsid w:val="00366DC9"/>
    <w:rPr>
      <w:sz w:val="20"/>
      <w:szCs w:val="20"/>
    </w:rPr>
  </w:style>
  <w:style w:type="character" w:customStyle="1" w:styleId="CommentTextChar">
    <w:name w:val="Comment Text Char"/>
    <w:basedOn w:val="DefaultParagraphFont"/>
    <w:link w:val="CommentText"/>
    <w:uiPriority w:val="99"/>
    <w:semiHidden/>
    <w:rsid w:val="00366DC9"/>
    <w:rPr>
      <w:lang w:val="en-US" w:eastAsia="en-US"/>
    </w:rPr>
  </w:style>
  <w:style w:type="paragraph" w:styleId="CommentSubject">
    <w:name w:val="annotation subject"/>
    <w:basedOn w:val="CommentText"/>
    <w:next w:val="CommentText"/>
    <w:link w:val="CommentSubjectChar"/>
    <w:uiPriority w:val="99"/>
    <w:semiHidden/>
    <w:unhideWhenUsed/>
    <w:rsid w:val="00347241"/>
    <w:rPr>
      <w:b/>
      <w:bCs/>
    </w:rPr>
  </w:style>
  <w:style w:type="character" w:customStyle="1" w:styleId="CommentSubjectChar">
    <w:name w:val="Comment Subject Char"/>
    <w:basedOn w:val="CommentTextChar"/>
    <w:link w:val="CommentSubject"/>
    <w:uiPriority w:val="99"/>
    <w:semiHidden/>
    <w:rsid w:val="00347241"/>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685D9C"/>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274CFC932147E6AEA2FA611310AA8F"/>
        <w:category>
          <w:name w:val="General"/>
          <w:gallery w:val="placeholder"/>
        </w:category>
        <w:types>
          <w:type w:val="bbPlcHdr"/>
        </w:types>
        <w:behaviors>
          <w:behavior w:val="content"/>
        </w:behaviors>
        <w:guid w:val="{13527D5B-8A44-4658-9332-D2DC4838EC36}"/>
      </w:docPartPr>
      <w:docPartBody>
        <w:p w:rsidR="009F3589" w:rsidRDefault="00CA730B" w:rsidP="00CA730B">
          <w:pPr>
            <w:pStyle w:val="89274CFC932147E6AEA2FA611310AA8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4AF1"/>
    <w:rsid w:val="000A6B11"/>
    <w:rsid w:val="001656E5"/>
    <w:rsid w:val="0019146B"/>
    <w:rsid w:val="00193F16"/>
    <w:rsid w:val="00200821"/>
    <w:rsid w:val="00223078"/>
    <w:rsid w:val="002417AD"/>
    <w:rsid w:val="0030458D"/>
    <w:rsid w:val="00394049"/>
    <w:rsid w:val="003C1BC3"/>
    <w:rsid w:val="00491F14"/>
    <w:rsid w:val="00493B29"/>
    <w:rsid w:val="004F2DF8"/>
    <w:rsid w:val="0052318A"/>
    <w:rsid w:val="00574A87"/>
    <w:rsid w:val="005E0D18"/>
    <w:rsid w:val="006021C1"/>
    <w:rsid w:val="0064401D"/>
    <w:rsid w:val="0078793B"/>
    <w:rsid w:val="00795714"/>
    <w:rsid w:val="008227DB"/>
    <w:rsid w:val="00862892"/>
    <w:rsid w:val="0087027F"/>
    <w:rsid w:val="00907F95"/>
    <w:rsid w:val="009A261B"/>
    <w:rsid w:val="009F3589"/>
    <w:rsid w:val="00AB2734"/>
    <w:rsid w:val="00AC15A4"/>
    <w:rsid w:val="00B0336C"/>
    <w:rsid w:val="00B30594"/>
    <w:rsid w:val="00B379E6"/>
    <w:rsid w:val="00B4317F"/>
    <w:rsid w:val="00BB70D7"/>
    <w:rsid w:val="00C11384"/>
    <w:rsid w:val="00CA730B"/>
    <w:rsid w:val="00CB4A5B"/>
    <w:rsid w:val="00CE2DBA"/>
    <w:rsid w:val="00D238E4"/>
    <w:rsid w:val="00E5349E"/>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30B"/>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0DABC3CC37C5447B958CAA1A67BE2DCF">
    <w:name w:val="0DABC3CC37C5447B958CAA1A67BE2DCF"/>
    <w:rsid w:val="00862892"/>
  </w:style>
  <w:style w:type="paragraph" w:customStyle="1" w:styleId="89274CFC932147E6AEA2FA611310AA8F">
    <w:name w:val="89274CFC932147E6AEA2FA611310AA8F"/>
    <w:rsid w:val="00CA7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3166D-2DCD-4470-9307-CC291E3D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2986</Words>
  <Characters>15648</Characters>
  <Application>Microsoft Office Word</Application>
  <DocSecurity>0</DocSecurity>
  <Lines>252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280/20</dc:title>
  <dc:creator>CIDH</dc:creator>
  <cp:lastModifiedBy>Hansen, Gloria</cp:lastModifiedBy>
  <cp:revision>7</cp:revision>
  <cp:lastPrinted>2019-03-21T17:41:00Z</cp:lastPrinted>
  <dcterms:created xsi:type="dcterms:W3CDTF">2020-10-20T18:29:00Z</dcterms:created>
  <dcterms:modified xsi:type="dcterms:W3CDTF">2021-01-07T13:51:00Z</dcterms:modified>
</cp:coreProperties>
</file>