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2417FB" w14:textId="77777777" w:rsidR="00111E46" w:rsidRPr="00A92DA2" w:rsidRDefault="00111E46" w:rsidP="00111E46">
      <w:pPr>
        <w:jc w:val="both"/>
        <w:rPr>
          <w:rFonts w:ascii="Cambria" w:hAnsi="Cambria" w:cs="Univers"/>
          <w:b/>
          <w:bCs/>
          <w:sz w:val="22"/>
          <w:szCs w:val="22"/>
          <w:lang w:val="es-ES_tradnl"/>
        </w:rPr>
      </w:pPr>
      <w:r w:rsidRPr="00A92DA2">
        <w:rPr>
          <w:rFonts w:ascii="Cambria" w:hAnsi="Cambria"/>
          <w:noProof/>
          <w:sz w:val="22"/>
          <w:szCs w:val="22"/>
          <w:lang w:val="en-US" w:eastAsia="en-US"/>
        </w:rPr>
        <mc:AlternateContent>
          <mc:Choice Requires="wps">
            <w:drawing>
              <wp:anchor distT="0" distB="0" distL="114300" distR="114300" simplePos="0" relativeHeight="251659264" behindDoc="0" locked="0" layoutInCell="1" allowOverlap="1" wp14:anchorId="188572F6" wp14:editId="5298072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1EDA3CC"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" fillcolor="#4a7194" stroked="f" strokeweight="1pt"/>
            </w:pict>
          </mc:Fallback>
        </mc:AlternateContent>
      </w:r>
      <w:r w:rsidRPr="00A92DA2">
        <w:rPr>
          <w:rFonts w:ascii="Cambria" w:hAnsi="Cambria"/>
          <w:noProof/>
          <w:sz w:val="22"/>
          <w:szCs w:val="22"/>
          <w:lang w:val="en-US" w:eastAsia="en-US"/>
        </w:rPr>
        <mc:AlternateContent>
          <mc:Choice Requires="wps">
            <w:drawing>
              <wp:anchor distT="0" distB="0" distL="114300" distR="114300" simplePos="0" relativeHeight="251663360" behindDoc="0" locked="0" layoutInCell="1" allowOverlap="1" wp14:anchorId="2D566CEF" wp14:editId="679DCE8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82044" w14:textId="77777777" w:rsidR="008C1880" w:rsidRDefault="008C1880" w:rsidP="00111E46">
                            <w:r>
                              <w:rPr>
                                <w:noProof/>
                                <w:lang w:val="en-US" w:eastAsia="en-US"/>
                              </w:rPr>
                              <w:drawing>
                                <wp:inline distT="0" distB="0" distL="0" distR="0" wp14:anchorId="2D80A84F" wp14:editId="3BC5AC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D566CE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7C82044" w14:textId="77777777" w:rsidR="008C1880" w:rsidRDefault="008C1880" w:rsidP="00111E46">
                      <w:r>
                        <w:rPr>
                          <w:noProof/>
                          <w:lang w:val="en-US" w:eastAsia="en-US"/>
                        </w:rPr>
                        <w:drawing>
                          <wp:inline distT="0" distB="0" distL="0" distR="0" wp14:anchorId="2D80A84F" wp14:editId="3BC5AC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A92DA2">
        <w:rPr>
          <w:rFonts w:ascii="Cambria" w:hAnsi="Cambria" w:cs="Univers"/>
          <w:b/>
          <w:bCs/>
          <w:sz w:val="22"/>
          <w:szCs w:val="22"/>
          <w:lang w:val="es-ES_tradnl"/>
        </w:rPr>
        <w:t xml:space="preserve"> </w:t>
      </w:r>
    </w:p>
    <w:p w14:paraId="7DB8D850" w14:textId="77777777" w:rsidR="00111E46" w:rsidRPr="00A92DA2" w:rsidRDefault="00111E46" w:rsidP="00111E46">
      <w:pPr>
        <w:tabs>
          <w:tab w:val="center" w:pos="5400"/>
        </w:tabs>
        <w:suppressAutoHyphens/>
        <w:jc w:val="both"/>
        <w:rPr>
          <w:rFonts w:ascii="Cambria" w:hAnsi="Cambria"/>
          <w:sz w:val="22"/>
          <w:szCs w:val="22"/>
          <w:lang w:val="es-ES"/>
        </w:rPr>
      </w:pPr>
    </w:p>
    <w:p w14:paraId="374F76FD" w14:textId="77777777" w:rsidR="00111E46" w:rsidRPr="00A92DA2" w:rsidRDefault="00111E46" w:rsidP="00111E46">
      <w:pPr>
        <w:tabs>
          <w:tab w:val="center" w:pos="5400"/>
        </w:tabs>
        <w:suppressAutoHyphens/>
        <w:jc w:val="both"/>
        <w:rPr>
          <w:rFonts w:ascii="Cambria" w:hAnsi="Cambria"/>
          <w:sz w:val="22"/>
          <w:szCs w:val="22"/>
          <w:lang w:val="es-ES"/>
        </w:rPr>
      </w:pPr>
    </w:p>
    <w:p w14:paraId="7E94A08C" w14:textId="77777777" w:rsidR="00111E46" w:rsidRPr="00A92DA2" w:rsidRDefault="00111E46" w:rsidP="00111E46">
      <w:pPr>
        <w:tabs>
          <w:tab w:val="center" w:pos="5400"/>
        </w:tabs>
        <w:suppressAutoHyphens/>
        <w:rPr>
          <w:rFonts w:ascii="Cambria" w:hAnsi="Cambria"/>
          <w:sz w:val="22"/>
          <w:szCs w:val="22"/>
          <w:lang w:val="es-ES_tradnl"/>
        </w:rPr>
      </w:pPr>
    </w:p>
    <w:p w14:paraId="26E0167E" w14:textId="77777777" w:rsidR="00111E46" w:rsidRPr="00A92DA2" w:rsidRDefault="00111E46" w:rsidP="00111E46">
      <w:pPr>
        <w:tabs>
          <w:tab w:val="center" w:pos="5400"/>
        </w:tabs>
        <w:suppressAutoHyphens/>
        <w:rPr>
          <w:rFonts w:ascii="Cambria" w:hAnsi="Cambria"/>
          <w:sz w:val="22"/>
          <w:szCs w:val="22"/>
          <w:lang w:val="es-ES_tradnl"/>
        </w:rPr>
      </w:pPr>
    </w:p>
    <w:p w14:paraId="7DCBAE85" w14:textId="77777777" w:rsidR="00111E46" w:rsidRPr="00A92DA2" w:rsidRDefault="00111E46" w:rsidP="00111E46">
      <w:pPr>
        <w:tabs>
          <w:tab w:val="center" w:pos="5400"/>
        </w:tabs>
        <w:suppressAutoHyphens/>
        <w:rPr>
          <w:rFonts w:ascii="Cambria" w:hAnsi="Cambria"/>
          <w:sz w:val="22"/>
          <w:szCs w:val="22"/>
          <w:lang w:val="es-ES_tradnl"/>
        </w:rPr>
      </w:pPr>
    </w:p>
    <w:p w14:paraId="09F320DA" w14:textId="77777777" w:rsidR="00111E46" w:rsidRPr="00A92DA2" w:rsidRDefault="00111E46" w:rsidP="00111E46">
      <w:pPr>
        <w:tabs>
          <w:tab w:val="center" w:pos="5400"/>
        </w:tabs>
        <w:suppressAutoHyphens/>
        <w:jc w:val="center"/>
        <w:rPr>
          <w:rFonts w:ascii="Cambria" w:hAnsi="Cambria"/>
          <w:sz w:val="22"/>
          <w:szCs w:val="22"/>
          <w:lang w:val="es-ES_tradnl"/>
        </w:rPr>
      </w:pPr>
    </w:p>
    <w:p w14:paraId="4F3FFA79" w14:textId="77777777" w:rsidR="00111E46" w:rsidRPr="00A92DA2" w:rsidRDefault="00111E46" w:rsidP="00111E46">
      <w:pPr>
        <w:tabs>
          <w:tab w:val="center" w:pos="5400"/>
        </w:tabs>
        <w:suppressAutoHyphens/>
        <w:jc w:val="center"/>
        <w:rPr>
          <w:rFonts w:ascii="Cambria" w:hAnsi="Cambria"/>
          <w:sz w:val="22"/>
          <w:szCs w:val="22"/>
          <w:lang w:val="es-ES_tradnl"/>
        </w:rPr>
      </w:pPr>
    </w:p>
    <w:p w14:paraId="6478E566" w14:textId="77777777" w:rsidR="00111E46" w:rsidRPr="00A92DA2" w:rsidRDefault="00111E46" w:rsidP="00111E46">
      <w:pPr>
        <w:tabs>
          <w:tab w:val="center" w:pos="5400"/>
        </w:tabs>
        <w:suppressAutoHyphens/>
        <w:jc w:val="center"/>
        <w:rPr>
          <w:rFonts w:ascii="Cambria" w:hAnsi="Cambria"/>
          <w:sz w:val="22"/>
          <w:szCs w:val="22"/>
          <w:lang w:val="es-ES_tradnl"/>
        </w:rPr>
      </w:pPr>
    </w:p>
    <w:p w14:paraId="0D05540C" w14:textId="77777777" w:rsidR="00111E46" w:rsidRPr="00A92DA2" w:rsidRDefault="00111E46" w:rsidP="00111E46">
      <w:pPr>
        <w:tabs>
          <w:tab w:val="center" w:pos="5400"/>
        </w:tabs>
        <w:suppressAutoHyphens/>
        <w:jc w:val="center"/>
        <w:rPr>
          <w:rFonts w:ascii="Cambria" w:hAnsi="Cambria"/>
          <w:sz w:val="22"/>
          <w:szCs w:val="22"/>
          <w:lang w:val="es-ES_tradnl"/>
        </w:rPr>
      </w:pPr>
    </w:p>
    <w:p w14:paraId="2076099B" w14:textId="77777777" w:rsidR="00111E46" w:rsidRPr="00A92DA2" w:rsidRDefault="00111E46" w:rsidP="00111E46">
      <w:pPr>
        <w:tabs>
          <w:tab w:val="center" w:pos="5400"/>
        </w:tabs>
        <w:suppressAutoHyphens/>
        <w:jc w:val="center"/>
        <w:rPr>
          <w:rFonts w:ascii="Cambria" w:hAnsi="Cambria"/>
          <w:sz w:val="22"/>
          <w:szCs w:val="22"/>
          <w:lang w:val="es-ES_tradnl"/>
        </w:rPr>
      </w:pPr>
    </w:p>
    <w:p w14:paraId="6B5B5074" w14:textId="77777777" w:rsidR="00111E46" w:rsidRPr="00A92DA2" w:rsidRDefault="00111E46" w:rsidP="00111E46">
      <w:pPr>
        <w:tabs>
          <w:tab w:val="center" w:pos="5400"/>
        </w:tabs>
        <w:suppressAutoHyphens/>
        <w:jc w:val="center"/>
        <w:rPr>
          <w:rFonts w:ascii="Cambria" w:hAnsi="Cambria"/>
          <w:sz w:val="22"/>
          <w:szCs w:val="22"/>
          <w:lang w:val="es-ES_tradnl"/>
        </w:rPr>
      </w:pPr>
    </w:p>
    <w:p w14:paraId="292A677B" w14:textId="77777777" w:rsidR="00111E46" w:rsidRPr="00A92DA2" w:rsidRDefault="00111E46" w:rsidP="00111E46">
      <w:pPr>
        <w:tabs>
          <w:tab w:val="center" w:pos="5400"/>
        </w:tabs>
        <w:suppressAutoHyphens/>
        <w:jc w:val="center"/>
        <w:rPr>
          <w:rFonts w:ascii="Cambria" w:hAnsi="Cambria"/>
          <w:sz w:val="22"/>
          <w:szCs w:val="22"/>
          <w:lang w:val="es-ES_tradnl"/>
        </w:rPr>
      </w:pPr>
    </w:p>
    <w:p w14:paraId="5AD09E8B" w14:textId="77777777" w:rsidR="00111E46" w:rsidRPr="00A92DA2" w:rsidRDefault="00111E46" w:rsidP="00111E46">
      <w:pPr>
        <w:tabs>
          <w:tab w:val="center" w:pos="5400"/>
        </w:tabs>
        <w:suppressAutoHyphens/>
        <w:jc w:val="center"/>
        <w:rPr>
          <w:rFonts w:ascii="Cambria" w:hAnsi="Cambria"/>
          <w:sz w:val="22"/>
          <w:szCs w:val="22"/>
          <w:lang w:val="es-ES_tradnl"/>
        </w:rPr>
      </w:pPr>
      <w:r w:rsidRPr="00A92DA2">
        <w:rPr>
          <w:rFonts w:ascii="Cambria" w:hAnsi="Cambria"/>
          <w:noProof/>
          <w:sz w:val="22"/>
          <w:szCs w:val="22"/>
          <w:lang w:val="en-US" w:eastAsia="en-US"/>
        </w:rPr>
        <mc:AlternateContent>
          <mc:Choice Requires="wps">
            <w:drawing>
              <wp:anchor distT="0" distB="0" distL="114300" distR="114300" simplePos="0" relativeHeight="251660288" behindDoc="0" locked="0" layoutInCell="1" allowOverlap="1" wp14:anchorId="2C094313" wp14:editId="264F9747">
                <wp:simplePos x="0" y="0"/>
                <wp:positionH relativeFrom="column">
                  <wp:posOffset>1355271</wp:posOffset>
                </wp:positionH>
                <wp:positionV relativeFrom="paragraph">
                  <wp:posOffset>107859</wp:posOffset>
                </wp:positionV>
                <wp:extent cx="4795158" cy="30697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795158" cy="30697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66934" w14:textId="373970BC" w:rsidR="008C1880" w:rsidRPr="00A01DB7" w:rsidRDefault="008C1880" w:rsidP="00A01DB7">
                            <w:pPr>
                              <w:pBdr>
                                <w:top w:val="nil"/>
                                <w:left w:val="nil"/>
                                <w:bottom w:val="nil"/>
                                <w:right w:val="nil"/>
                                <w:between w:val="nil"/>
                                <w:bar w:val="nil"/>
                              </w:pBdr>
                              <w:spacing w:line="276" w:lineRule="auto"/>
                              <w:rPr>
                                <w:rFonts w:ascii="Cambria" w:eastAsia="Arial Unicode MS" w:hAnsi="Cambria" w:cs="Arial"/>
                                <w:b/>
                                <w:bCs/>
                                <w:color w:val="0D0D0D" w:themeColor="text1" w:themeTint="F2"/>
                                <w:sz w:val="36"/>
                                <w:szCs w:val="22"/>
                                <w:bdr w:val="nil"/>
                                <w:lang w:val="es-ES_tradnl" w:eastAsia="en-US"/>
                              </w:rPr>
                            </w:pPr>
                            <w:r w:rsidRPr="00A01DB7">
                              <w:rPr>
                                <w:rFonts w:ascii="Cambria" w:eastAsia="Arial Unicode MS" w:hAnsi="Cambria" w:cs="Arial"/>
                                <w:b/>
                                <w:bCs/>
                                <w:color w:val="0D0D0D" w:themeColor="text1" w:themeTint="F2"/>
                                <w:sz w:val="36"/>
                                <w:szCs w:val="22"/>
                                <w:bdr w:val="nil"/>
                                <w:lang w:val="es-ES_tradnl" w:eastAsia="en-US"/>
                              </w:rPr>
                              <w:t>INFORME No.</w:t>
                            </w:r>
                            <w:r w:rsidR="00A01DB7">
                              <w:rPr>
                                <w:rFonts w:ascii="Cambria" w:eastAsia="Arial Unicode MS" w:hAnsi="Cambria" w:cs="Arial"/>
                                <w:b/>
                                <w:bCs/>
                                <w:color w:val="0D0D0D" w:themeColor="text1" w:themeTint="F2"/>
                                <w:sz w:val="36"/>
                                <w:szCs w:val="22"/>
                                <w:bdr w:val="nil"/>
                                <w:lang w:val="es-ES_tradnl" w:eastAsia="en-US"/>
                              </w:rPr>
                              <w:t xml:space="preserve"> 361</w:t>
                            </w:r>
                            <w:r w:rsidRPr="00A01DB7">
                              <w:rPr>
                                <w:rFonts w:ascii="Cambria" w:eastAsia="Arial Unicode MS" w:hAnsi="Cambria" w:cs="Arial"/>
                                <w:b/>
                                <w:bCs/>
                                <w:color w:val="0D0D0D" w:themeColor="text1" w:themeTint="F2"/>
                                <w:sz w:val="36"/>
                                <w:szCs w:val="22"/>
                                <w:bdr w:val="nil"/>
                                <w:lang w:val="es-ES_tradnl" w:eastAsia="en-US"/>
                              </w:rPr>
                              <w:t>/20</w:t>
                            </w:r>
                          </w:p>
                          <w:p w14:paraId="601EC3E2" w14:textId="77777777" w:rsidR="008C1880" w:rsidRPr="00A01DB7" w:rsidRDefault="008C1880" w:rsidP="00A01DB7">
                            <w:pPr>
                              <w:pBdr>
                                <w:top w:val="nil"/>
                                <w:left w:val="nil"/>
                                <w:bottom w:val="nil"/>
                                <w:right w:val="nil"/>
                                <w:between w:val="nil"/>
                                <w:bar w:val="nil"/>
                              </w:pBdr>
                              <w:spacing w:line="276" w:lineRule="auto"/>
                              <w:rPr>
                                <w:rFonts w:ascii="Cambria" w:eastAsia="Arial Unicode MS" w:hAnsi="Cambria" w:cs="Arial"/>
                                <w:b/>
                                <w:bCs/>
                                <w:color w:val="0D0D0D" w:themeColor="text1" w:themeTint="F2"/>
                                <w:sz w:val="36"/>
                                <w:szCs w:val="22"/>
                                <w:bdr w:val="nil"/>
                                <w:lang w:val="es-ES_tradnl" w:eastAsia="en-US"/>
                              </w:rPr>
                            </w:pPr>
                            <w:r w:rsidRPr="00A01DB7">
                              <w:rPr>
                                <w:rFonts w:ascii="Cambria" w:eastAsia="Arial Unicode MS" w:hAnsi="Cambria" w:cs="Arial"/>
                                <w:b/>
                                <w:bCs/>
                                <w:color w:val="0D0D0D" w:themeColor="text1" w:themeTint="F2"/>
                                <w:sz w:val="36"/>
                                <w:szCs w:val="22"/>
                                <w:bdr w:val="nil"/>
                                <w:lang w:val="es-ES_tradnl" w:eastAsia="en-US"/>
                              </w:rPr>
                              <w:t xml:space="preserve">PETICIÓN 24-11 </w:t>
                            </w:r>
                          </w:p>
                          <w:p w14:paraId="174DA6B2" w14:textId="77777777" w:rsidR="008C1880" w:rsidRPr="00A01DB7" w:rsidRDefault="008C1880" w:rsidP="00A01DB7">
                            <w:pPr>
                              <w:pBdr>
                                <w:top w:val="nil"/>
                                <w:left w:val="nil"/>
                                <w:bottom w:val="nil"/>
                                <w:right w:val="nil"/>
                                <w:between w:val="nil"/>
                                <w:bar w:val="nil"/>
                              </w:pBdr>
                              <w:spacing w:line="276" w:lineRule="auto"/>
                              <w:rPr>
                                <w:rFonts w:ascii="Cambria" w:eastAsia="Arial Unicode MS" w:hAnsi="Cambria" w:cs="Arial"/>
                                <w:bCs/>
                                <w:color w:val="0D0D0D" w:themeColor="text1" w:themeTint="F2"/>
                                <w:bdr w:val="nil"/>
                                <w:lang w:val="es-ES_tradnl" w:eastAsia="en-US"/>
                              </w:rPr>
                            </w:pPr>
                            <w:r w:rsidRPr="00A01DB7">
                              <w:rPr>
                                <w:rFonts w:ascii="Cambria" w:eastAsia="Arial Unicode MS" w:hAnsi="Cambria" w:cs="Arial"/>
                                <w:bCs/>
                                <w:color w:val="0D0D0D" w:themeColor="text1" w:themeTint="F2"/>
                                <w:bdr w:val="nil"/>
                                <w:lang w:val="es-ES_tradnl" w:eastAsia="en-US"/>
                              </w:rPr>
                              <w:t xml:space="preserve">INFORME DE ADMISIBILIDAD </w:t>
                            </w:r>
                          </w:p>
                          <w:p w14:paraId="1900BC3B" w14:textId="77777777" w:rsidR="008C1880" w:rsidRPr="00A01DB7" w:rsidRDefault="008C1880" w:rsidP="00A01DB7">
                            <w:pPr>
                              <w:pBdr>
                                <w:top w:val="nil"/>
                                <w:left w:val="nil"/>
                                <w:bottom w:val="nil"/>
                                <w:right w:val="nil"/>
                                <w:between w:val="nil"/>
                                <w:bar w:val="nil"/>
                              </w:pBdr>
                              <w:spacing w:line="276" w:lineRule="auto"/>
                              <w:rPr>
                                <w:rFonts w:ascii="Cambria" w:eastAsia="Arial Unicode MS" w:hAnsi="Cambria" w:cs="Arial"/>
                                <w:bCs/>
                                <w:color w:val="0D0D0D" w:themeColor="text1" w:themeTint="F2"/>
                                <w:bdr w:val="nil"/>
                                <w:lang w:val="es-ES_tradnl" w:eastAsia="en-US"/>
                              </w:rPr>
                            </w:pPr>
                            <w:bookmarkStart w:id="1" w:name="_ftnref1"/>
                          </w:p>
                          <w:p w14:paraId="4C41D470" w14:textId="5BF5F27B" w:rsidR="008C1880" w:rsidRPr="00A01DB7" w:rsidRDefault="0069257E" w:rsidP="00A01DB7">
                            <w:pPr>
                              <w:pBdr>
                                <w:top w:val="nil"/>
                                <w:left w:val="nil"/>
                                <w:bottom w:val="nil"/>
                                <w:right w:val="nil"/>
                                <w:between w:val="nil"/>
                                <w:bar w:val="nil"/>
                              </w:pBdr>
                              <w:spacing w:line="276" w:lineRule="auto"/>
                              <w:rPr>
                                <w:rFonts w:ascii="Cambria" w:eastAsia="Arial Unicode MS" w:hAnsi="Cambria" w:cs="Arial"/>
                                <w:bCs/>
                                <w:color w:val="0D0D0D" w:themeColor="text1" w:themeTint="F2"/>
                                <w:bdr w:val="nil"/>
                                <w:lang w:val="es-ES_tradnl" w:eastAsia="en-US"/>
                              </w:rPr>
                            </w:pPr>
                            <w:r>
                              <w:rPr>
                                <w:rFonts w:ascii="Cambria" w:eastAsia="Arial Unicode MS" w:hAnsi="Cambria" w:cs="Arial"/>
                                <w:bCs/>
                                <w:color w:val="0D0D0D" w:themeColor="text1" w:themeTint="F2"/>
                                <w:bdr w:val="nil"/>
                                <w:lang w:val="es-ES_tradnl" w:eastAsia="en-US"/>
                              </w:rPr>
                              <w:t>FAMILIARES DE LAS VÍ</w:t>
                            </w:r>
                            <w:r w:rsidR="008C1880" w:rsidRPr="00A01DB7">
                              <w:rPr>
                                <w:rFonts w:ascii="Cambria" w:eastAsia="Arial Unicode MS" w:hAnsi="Cambria" w:cs="Arial"/>
                                <w:bCs/>
                                <w:color w:val="0D0D0D" w:themeColor="text1" w:themeTint="F2"/>
                                <w:bdr w:val="nil"/>
                                <w:lang w:val="es-ES_tradnl" w:eastAsia="en-US"/>
                              </w:rPr>
                              <w:t>CTIMAS DE DESPLAZAMIENTO COLECTIVO DEL CORREGIMIENTO DE SANTA CECILIA Y VEREDAS ALREDEDOR EN ENERO DE 2000</w:t>
                            </w:r>
                          </w:p>
                          <w:bookmarkEnd w:id="1"/>
                          <w:p w14:paraId="147F9E96" w14:textId="77777777" w:rsidR="008C1880" w:rsidRPr="00A01DB7" w:rsidRDefault="008C1880" w:rsidP="00A01DB7">
                            <w:pPr>
                              <w:pBdr>
                                <w:top w:val="nil"/>
                                <w:left w:val="nil"/>
                                <w:bottom w:val="nil"/>
                                <w:right w:val="nil"/>
                                <w:between w:val="nil"/>
                                <w:bar w:val="nil"/>
                              </w:pBdr>
                              <w:spacing w:line="276" w:lineRule="auto"/>
                              <w:rPr>
                                <w:rFonts w:ascii="Cambria" w:eastAsia="Arial Unicode MS" w:hAnsi="Cambria" w:cs="Arial"/>
                                <w:bCs/>
                                <w:color w:val="0D0D0D" w:themeColor="text1" w:themeTint="F2"/>
                                <w:bdr w:val="nil"/>
                                <w:lang w:val="es-ES_tradnl" w:eastAsia="en-US"/>
                              </w:rPr>
                            </w:pPr>
                            <w:r w:rsidRPr="00A01DB7">
                              <w:rPr>
                                <w:rFonts w:ascii="Cambria" w:eastAsia="Arial Unicode MS" w:hAnsi="Cambria" w:cs="Arial"/>
                                <w:bCs/>
                                <w:color w:val="0D0D0D" w:themeColor="text1" w:themeTint="F2"/>
                                <w:bdr w:val="nil"/>
                                <w:lang w:val="es-ES_tradnl" w:eastAsia="en-US"/>
                              </w:rPr>
                              <w:t>COLOMBIA</w:t>
                            </w:r>
                          </w:p>
                          <w:p w14:paraId="7EF3A86B" w14:textId="77777777" w:rsidR="008C1880" w:rsidRPr="00AE5488" w:rsidRDefault="008C1880" w:rsidP="00111E46">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94313" id="_x0000_t202" coordsize="21600,21600" o:spt="202" path="m,l,21600r21600,l21600,xe">
                <v:stroke joinstyle="miter"/>
                <v:path gradientshapeok="t" o:connecttype="rect"/>
              </v:shapetype>
              <v:shape id="Text Box 5" o:spid="_x0000_s1027" type="#_x0000_t202" style="position:absolute;left:0;text-align:left;margin-left:106.7pt;margin-top:8.5pt;width:377.55pt;height:2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" filled="f" stroked="f" strokeweight=".5pt">
                <v:textbox>
                  <w:txbxContent>
                    <w:p w14:paraId="59A66934" w14:textId="373970BC" w:rsidR="008C1880" w:rsidRPr="00A01DB7" w:rsidRDefault="008C1880" w:rsidP="00A01DB7">
                      <w:pPr>
                        <w:pBdr>
                          <w:top w:val="nil"/>
                          <w:left w:val="nil"/>
                          <w:bottom w:val="nil"/>
                          <w:right w:val="nil"/>
                          <w:between w:val="nil"/>
                          <w:bar w:val="nil"/>
                        </w:pBdr>
                        <w:spacing w:line="276" w:lineRule="auto"/>
                        <w:rPr>
                          <w:rFonts w:ascii="Cambria" w:eastAsia="Arial Unicode MS" w:hAnsi="Cambria" w:cs="Arial"/>
                          <w:b/>
                          <w:bCs/>
                          <w:color w:val="0D0D0D" w:themeColor="text1" w:themeTint="F2"/>
                          <w:sz w:val="36"/>
                          <w:szCs w:val="22"/>
                          <w:bdr w:val="nil"/>
                          <w:lang w:val="es-ES_tradnl" w:eastAsia="en-US"/>
                        </w:rPr>
                      </w:pPr>
                      <w:r w:rsidRPr="00A01DB7">
                        <w:rPr>
                          <w:rFonts w:ascii="Cambria" w:eastAsia="Arial Unicode MS" w:hAnsi="Cambria" w:cs="Arial"/>
                          <w:b/>
                          <w:bCs/>
                          <w:color w:val="0D0D0D" w:themeColor="text1" w:themeTint="F2"/>
                          <w:sz w:val="36"/>
                          <w:szCs w:val="22"/>
                          <w:bdr w:val="nil"/>
                          <w:lang w:val="es-ES_tradnl" w:eastAsia="en-US"/>
                        </w:rPr>
                        <w:t>INFORME No.</w:t>
                      </w:r>
                      <w:r w:rsidR="00A01DB7">
                        <w:rPr>
                          <w:rFonts w:ascii="Cambria" w:eastAsia="Arial Unicode MS" w:hAnsi="Cambria" w:cs="Arial"/>
                          <w:b/>
                          <w:bCs/>
                          <w:color w:val="0D0D0D" w:themeColor="text1" w:themeTint="F2"/>
                          <w:sz w:val="36"/>
                          <w:szCs w:val="22"/>
                          <w:bdr w:val="nil"/>
                          <w:lang w:val="es-ES_tradnl" w:eastAsia="en-US"/>
                        </w:rPr>
                        <w:t xml:space="preserve"> 361</w:t>
                      </w:r>
                      <w:r w:rsidRPr="00A01DB7">
                        <w:rPr>
                          <w:rFonts w:ascii="Cambria" w:eastAsia="Arial Unicode MS" w:hAnsi="Cambria" w:cs="Arial"/>
                          <w:b/>
                          <w:bCs/>
                          <w:color w:val="0D0D0D" w:themeColor="text1" w:themeTint="F2"/>
                          <w:sz w:val="36"/>
                          <w:szCs w:val="22"/>
                          <w:bdr w:val="nil"/>
                          <w:lang w:val="es-ES_tradnl" w:eastAsia="en-US"/>
                        </w:rPr>
                        <w:t>/20</w:t>
                      </w:r>
                    </w:p>
                    <w:p w14:paraId="601EC3E2" w14:textId="77777777" w:rsidR="008C1880" w:rsidRPr="00A01DB7" w:rsidRDefault="008C1880" w:rsidP="00A01DB7">
                      <w:pPr>
                        <w:pBdr>
                          <w:top w:val="nil"/>
                          <w:left w:val="nil"/>
                          <w:bottom w:val="nil"/>
                          <w:right w:val="nil"/>
                          <w:between w:val="nil"/>
                          <w:bar w:val="nil"/>
                        </w:pBdr>
                        <w:spacing w:line="276" w:lineRule="auto"/>
                        <w:rPr>
                          <w:rFonts w:ascii="Cambria" w:eastAsia="Arial Unicode MS" w:hAnsi="Cambria" w:cs="Arial"/>
                          <w:b/>
                          <w:bCs/>
                          <w:color w:val="0D0D0D" w:themeColor="text1" w:themeTint="F2"/>
                          <w:sz w:val="36"/>
                          <w:szCs w:val="22"/>
                          <w:bdr w:val="nil"/>
                          <w:lang w:val="es-ES_tradnl" w:eastAsia="en-US"/>
                        </w:rPr>
                      </w:pPr>
                      <w:r w:rsidRPr="00A01DB7">
                        <w:rPr>
                          <w:rFonts w:ascii="Cambria" w:eastAsia="Arial Unicode MS" w:hAnsi="Cambria" w:cs="Arial"/>
                          <w:b/>
                          <w:bCs/>
                          <w:color w:val="0D0D0D" w:themeColor="text1" w:themeTint="F2"/>
                          <w:sz w:val="36"/>
                          <w:szCs w:val="22"/>
                          <w:bdr w:val="nil"/>
                          <w:lang w:val="es-ES_tradnl" w:eastAsia="en-US"/>
                        </w:rPr>
                        <w:t xml:space="preserve">PETICIÓN 24-11 </w:t>
                      </w:r>
                    </w:p>
                    <w:p w14:paraId="174DA6B2" w14:textId="77777777" w:rsidR="008C1880" w:rsidRPr="00A01DB7" w:rsidRDefault="008C1880" w:rsidP="00A01DB7">
                      <w:pPr>
                        <w:pBdr>
                          <w:top w:val="nil"/>
                          <w:left w:val="nil"/>
                          <w:bottom w:val="nil"/>
                          <w:right w:val="nil"/>
                          <w:between w:val="nil"/>
                          <w:bar w:val="nil"/>
                        </w:pBdr>
                        <w:spacing w:line="276" w:lineRule="auto"/>
                        <w:rPr>
                          <w:rFonts w:ascii="Cambria" w:eastAsia="Arial Unicode MS" w:hAnsi="Cambria" w:cs="Arial"/>
                          <w:bCs/>
                          <w:color w:val="0D0D0D" w:themeColor="text1" w:themeTint="F2"/>
                          <w:bdr w:val="nil"/>
                          <w:lang w:val="es-ES_tradnl" w:eastAsia="en-US"/>
                        </w:rPr>
                      </w:pPr>
                      <w:r w:rsidRPr="00A01DB7">
                        <w:rPr>
                          <w:rFonts w:ascii="Cambria" w:eastAsia="Arial Unicode MS" w:hAnsi="Cambria" w:cs="Arial"/>
                          <w:bCs/>
                          <w:color w:val="0D0D0D" w:themeColor="text1" w:themeTint="F2"/>
                          <w:bdr w:val="nil"/>
                          <w:lang w:val="es-ES_tradnl" w:eastAsia="en-US"/>
                        </w:rPr>
                        <w:t xml:space="preserve">INFORME DE ADMISIBILIDAD </w:t>
                      </w:r>
                    </w:p>
                    <w:p w14:paraId="1900BC3B" w14:textId="77777777" w:rsidR="008C1880" w:rsidRPr="00A01DB7" w:rsidRDefault="008C1880" w:rsidP="00A01DB7">
                      <w:pPr>
                        <w:pBdr>
                          <w:top w:val="nil"/>
                          <w:left w:val="nil"/>
                          <w:bottom w:val="nil"/>
                          <w:right w:val="nil"/>
                          <w:between w:val="nil"/>
                          <w:bar w:val="nil"/>
                        </w:pBdr>
                        <w:spacing w:line="276" w:lineRule="auto"/>
                        <w:rPr>
                          <w:rFonts w:ascii="Cambria" w:eastAsia="Arial Unicode MS" w:hAnsi="Cambria" w:cs="Arial"/>
                          <w:bCs/>
                          <w:color w:val="0D0D0D" w:themeColor="text1" w:themeTint="F2"/>
                          <w:bdr w:val="nil"/>
                          <w:lang w:val="es-ES_tradnl" w:eastAsia="en-US"/>
                        </w:rPr>
                      </w:pPr>
                      <w:bookmarkStart w:id="2" w:name="_ftnref1"/>
                    </w:p>
                    <w:p w14:paraId="4C41D470" w14:textId="5BF5F27B" w:rsidR="008C1880" w:rsidRPr="00A01DB7" w:rsidRDefault="0069257E" w:rsidP="00A01DB7">
                      <w:pPr>
                        <w:pBdr>
                          <w:top w:val="nil"/>
                          <w:left w:val="nil"/>
                          <w:bottom w:val="nil"/>
                          <w:right w:val="nil"/>
                          <w:between w:val="nil"/>
                          <w:bar w:val="nil"/>
                        </w:pBdr>
                        <w:spacing w:line="276" w:lineRule="auto"/>
                        <w:rPr>
                          <w:rFonts w:ascii="Cambria" w:eastAsia="Arial Unicode MS" w:hAnsi="Cambria" w:cs="Arial"/>
                          <w:bCs/>
                          <w:color w:val="0D0D0D" w:themeColor="text1" w:themeTint="F2"/>
                          <w:bdr w:val="nil"/>
                          <w:lang w:val="es-ES_tradnl" w:eastAsia="en-US"/>
                        </w:rPr>
                      </w:pPr>
                      <w:r>
                        <w:rPr>
                          <w:rFonts w:ascii="Cambria" w:eastAsia="Arial Unicode MS" w:hAnsi="Cambria" w:cs="Arial"/>
                          <w:bCs/>
                          <w:color w:val="0D0D0D" w:themeColor="text1" w:themeTint="F2"/>
                          <w:bdr w:val="nil"/>
                          <w:lang w:val="es-ES_tradnl" w:eastAsia="en-US"/>
                        </w:rPr>
                        <w:t>FAMILIARES DE LAS VÍ</w:t>
                      </w:r>
                      <w:r w:rsidR="008C1880" w:rsidRPr="00A01DB7">
                        <w:rPr>
                          <w:rFonts w:ascii="Cambria" w:eastAsia="Arial Unicode MS" w:hAnsi="Cambria" w:cs="Arial"/>
                          <w:bCs/>
                          <w:color w:val="0D0D0D" w:themeColor="text1" w:themeTint="F2"/>
                          <w:bdr w:val="nil"/>
                          <w:lang w:val="es-ES_tradnl" w:eastAsia="en-US"/>
                        </w:rPr>
                        <w:t>CTIMAS DE DESPLAZAMIENTO COLECTIVO DEL CORREGIMIENTO DE SANTA CECILIA Y VEREDAS ALREDEDOR EN ENERO DE 2000</w:t>
                      </w:r>
                    </w:p>
                    <w:bookmarkEnd w:id="2"/>
                    <w:p w14:paraId="147F9E96" w14:textId="77777777" w:rsidR="008C1880" w:rsidRPr="00A01DB7" w:rsidRDefault="008C1880" w:rsidP="00A01DB7">
                      <w:pPr>
                        <w:pBdr>
                          <w:top w:val="nil"/>
                          <w:left w:val="nil"/>
                          <w:bottom w:val="nil"/>
                          <w:right w:val="nil"/>
                          <w:between w:val="nil"/>
                          <w:bar w:val="nil"/>
                        </w:pBdr>
                        <w:spacing w:line="276" w:lineRule="auto"/>
                        <w:rPr>
                          <w:rFonts w:ascii="Cambria" w:eastAsia="Arial Unicode MS" w:hAnsi="Cambria" w:cs="Arial"/>
                          <w:bCs/>
                          <w:color w:val="0D0D0D" w:themeColor="text1" w:themeTint="F2"/>
                          <w:bdr w:val="nil"/>
                          <w:lang w:val="es-ES_tradnl" w:eastAsia="en-US"/>
                        </w:rPr>
                      </w:pPr>
                      <w:r w:rsidRPr="00A01DB7">
                        <w:rPr>
                          <w:rFonts w:ascii="Cambria" w:eastAsia="Arial Unicode MS" w:hAnsi="Cambria" w:cs="Arial"/>
                          <w:bCs/>
                          <w:color w:val="0D0D0D" w:themeColor="text1" w:themeTint="F2"/>
                          <w:bdr w:val="nil"/>
                          <w:lang w:val="es-ES_tradnl" w:eastAsia="en-US"/>
                        </w:rPr>
                        <w:t>COLOMBIA</w:t>
                      </w:r>
                    </w:p>
                    <w:p w14:paraId="7EF3A86B" w14:textId="77777777" w:rsidR="008C1880" w:rsidRPr="00AE5488" w:rsidRDefault="008C1880" w:rsidP="00111E46">
                      <w:pPr>
                        <w:rPr>
                          <w:color w:val="0D0D0D" w:themeColor="text1" w:themeTint="F2"/>
                          <w:lang w:val="es-ES_tradnl"/>
                        </w:rPr>
                      </w:pPr>
                    </w:p>
                  </w:txbxContent>
                </v:textbox>
              </v:shape>
            </w:pict>
          </mc:Fallback>
        </mc:AlternateContent>
      </w:r>
      <w:r w:rsidRPr="00A92DA2">
        <w:rPr>
          <w:rFonts w:ascii="Cambria" w:hAnsi="Cambria"/>
          <w:noProof/>
          <w:sz w:val="22"/>
          <w:szCs w:val="22"/>
          <w:lang w:val="en-US" w:eastAsia="en-US"/>
        </w:rPr>
        <mc:AlternateContent>
          <mc:Choice Requires="wps">
            <w:drawing>
              <wp:anchor distT="0" distB="0" distL="114300" distR="114300" simplePos="0" relativeHeight="251662336" behindDoc="0" locked="0" layoutInCell="1" allowOverlap="1" wp14:anchorId="2898ABA2" wp14:editId="03FD20D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904CB" w14:textId="77777777" w:rsidR="00A01DB7" w:rsidRPr="005E5E3F" w:rsidRDefault="00A01DB7" w:rsidP="00A01DB7">
                            <w:pPr>
                              <w:spacing w:line="276" w:lineRule="auto"/>
                              <w:jc w:val="right"/>
                              <w:rPr>
                                <w:rFonts w:asciiTheme="minorHAnsi" w:hAnsiTheme="minorHAnsi"/>
                                <w:color w:val="FFFFFF" w:themeColor="background1"/>
                                <w:sz w:val="22"/>
                              </w:rPr>
                            </w:pPr>
                            <w:r w:rsidRPr="005E5E3F">
                              <w:rPr>
                                <w:rFonts w:asciiTheme="minorHAnsi" w:hAnsiTheme="minorHAnsi"/>
                                <w:color w:val="FFFFFF" w:themeColor="background1"/>
                                <w:sz w:val="22"/>
                              </w:rPr>
                              <w:t>OEA/Ser.L/V/II.</w:t>
                            </w:r>
                          </w:p>
                          <w:p w14:paraId="4A09C353" w14:textId="77777777" w:rsidR="00A01DB7" w:rsidRPr="005E5E3F" w:rsidRDefault="00A01DB7" w:rsidP="00A01DB7">
                            <w:pPr>
                              <w:spacing w:line="276" w:lineRule="auto"/>
                              <w:jc w:val="right"/>
                              <w:rPr>
                                <w:rFonts w:asciiTheme="minorHAnsi" w:hAnsiTheme="minorHAnsi"/>
                                <w:color w:val="FFFFFF" w:themeColor="background1"/>
                                <w:sz w:val="22"/>
                              </w:rPr>
                            </w:pPr>
                            <w:r w:rsidRPr="005E5E3F">
                              <w:rPr>
                                <w:rFonts w:asciiTheme="minorHAnsi" w:hAnsiTheme="minorHAnsi"/>
                                <w:color w:val="FFFFFF" w:themeColor="background1"/>
                                <w:sz w:val="22"/>
                              </w:rPr>
                              <w:t>Doc. 379</w:t>
                            </w:r>
                          </w:p>
                          <w:p w14:paraId="73973059" w14:textId="77777777" w:rsidR="00A01DB7" w:rsidRPr="00C25ADB" w:rsidRDefault="00A01DB7" w:rsidP="00A01DB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diciembre</w:t>
                            </w:r>
                            <w:r w:rsidRPr="00C25ADB">
                              <w:rPr>
                                <w:rFonts w:asciiTheme="minorHAnsi" w:hAnsiTheme="minorHAnsi"/>
                                <w:color w:val="FFFFFF" w:themeColor="background1"/>
                                <w:sz w:val="22"/>
                                <w:lang w:val="es-PA"/>
                              </w:rPr>
                              <w:t xml:space="preserve"> 2020</w:t>
                            </w:r>
                          </w:p>
                          <w:p w14:paraId="0A26C770" w14:textId="77777777" w:rsidR="00A01DB7" w:rsidRPr="00C25ADB" w:rsidRDefault="00A01DB7" w:rsidP="00A01DB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14:paraId="086FBB43" w14:textId="3405AEA0" w:rsidR="008C1880" w:rsidRPr="00C25ADB" w:rsidRDefault="008C1880" w:rsidP="00111E46">
                            <w:pPr>
                              <w:spacing w:line="276" w:lineRule="auto"/>
                              <w:jc w:val="right"/>
                              <w:rPr>
                                <w:rFonts w:asciiTheme="minorHAnsi" w:hAnsiTheme="minorHAnsi"/>
                                <w:color w:val="FFFFFF" w:themeColor="background1"/>
                                <w:sz w:val="22"/>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98ABA2"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90904CB" w14:textId="77777777" w:rsidR="00A01DB7" w:rsidRPr="005E5E3F" w:rsidRDefault="00A01DB7" w:rsidP="00A01DB7">
                      <w:pPr>
                        <w:spacing w:line="276" w:lineRule="auto"/>
                        <w:jc w:val="right"/>
                        <w:rPr>
                          <w:rFonts w:asciiTheme="minorHAnsi" w:hAnsiTheme="minorHAnsi"/>
                          <w:color w:val="FFFFFF" w:themeColor="background1"/>
                          <w:sz w:val="22"/>
                        </w:rPr>
                      </w:pPr>
                      <w:r w:rsidRPr="005E5E3F">
                        <w:rPr>
                          <w:rFonts w:asciiTheme="minorHAnsi" w:hAnsiTheme="minorHAnsi"/>
                          <w:color w:val="FFFFFF" w:themeColor="background1"/>
                          <w:sz w:val="22"/>
                        </w:rPr>
                        <w:t>OEA/Ser.L/V/II.</w:t>
                      </w:r>
                    </w:p>
                    <w:p w14:paraId="4A09C353" w14:textId="77777777" w:rsidR="00A01DB7" w:rsidRPr="005E5E3F" w:rsidRDefault="00A01DB7" w:rsidP="00A01DB7">
                      <w:pPr>
                        <w:spacing w:line="276" w:lineRule="auto"/>
                        <w:jc w:val="right"/>
                        <w:rPr>
                          <w:rFonts w:asciiTheme="minorHAnsi" w:hAnsiTheme="minorHAnsi"/>
                          <w:color w:val="FFFFFF" w:themeColor="background1"/>
                          <w:sz w:val="22"/>
                        </w:rPr>
                      </w:pPr>
                      <w:r w:rsidRPr="005E5E3F">
                        <w:rPr>
                          <w:rFonts w:asciiTheme="minorHAnsi" w:hAnsiTheme="minorHAnsi"/>
                          <w:color w:val="FFFFFF" w:themeColor="background1"/>
                          <w:sz w:val="22"/>
                        </w:rPr>
                        <w:t>Doc. 379</w:t>
                      </w:r>
                    </w:p>
                    <w:p w14:paraId="73973059" w14:textId="77777777" w:rsidR="00A01DB7" w:rsidRPr="00C25ADB" w:rsidRDefault="00A01DB7" w:rsidP="00A01DB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diciembre</w:t>
                      </w:r>
                      <w:r w:rsidRPr="00C25ADB">
                        <w:rPr>
                          <w:rFonts w:asciiTheme="minorHAnsi" w:hAnsiTheme="minorHAnsi"/>
                          <w:color w:val="FFFFFF" w:themeColor="background1"/>
                          <w:sz w:val="22"/>
                          <w:lang w:val="es-PA"/>
                        </w:rPr>
                        <w:t xml:space="preserve"> 2020</w:t>
                      </w:r>
                    </w:p>
                    <w:p w14:paraId="0A26C770" w14:textId="77777777" w:rsidR="00A01DB7" w:rsidRPr="00C25ADB" w:rsidRDefault="00A01DB7" w:rsidP="00A01DB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14:paraId="086FBB43" w14:textId="3405AEA0" w:rsidR="008C1880" w:rsidRPr="00C25ADB" w:rsidRDefault="008C1880" w:rsidP="00111E46">
                      <w:pPr>
                        <w:spacing w:line="276" w:lineRule="auto"/>
                        <w:jc w:val="right"/>
                        <w:rPr>
                          <w:rFonts w:asciiTheme="minorHAnsi" w:hAnsiTheme="minorHAnsi"/>
                          <w:color w:val="FFFFFF" w:themeColor="background1"/>
                          <w:sz w:val="22"/>
                          <w:lang w:val="es-PA"/>
                        </w:rPr>
                      </w:pPr>
                    </w:p>
                  </w:txbxContent>
                </v:textbox>
              </v:shape>
            </w:pict>
          </mc:Fallback>
        </mc:AlternateContent>
      </w:r>
    </w:p>
    <w:p w14:paraId="105F1191" w14:textId="77777777" w:rsidR="00111E46" w:rsidRPr="00A92DA2" w:rsidRDefault="00111E46" w:rsidP="00111E46">
      <w:pPr>
        <w:tabs>
          <w:tab w:val="center" w:pos="5400"/>
        </w:tabs>
        <w:suppressAutoHyphens/>
        <w:jc w:val="center"/>
        <w:rPr>
          <w:rFonts w:ascii="Cambria" w:hAnsi="Cambria"/>
          <w:sz w:val="22"/>
          <w:szCs w:val="22"/>
          <w:lang w:val="es-ES_tradnl"/>
        </w:rPr>
      </w:pPr>
    </w:p>
    <w:p w14:paraId="2A319DB3" w14:textId="77777777" w:rsidR="00111E46" w:rsidRPr="00A92DA2" w:rsidRDefault="00111E46" w:rsidP="00111E46">
      <w:pPr>
        <w:tabs>
          <w:tab w:val="center" w:pos="5400"/>
        </w:tabs>
        <w:suppressAutoHyphens/>
        <w:jc w:val="center"/>
        <w:rPr>
          <w:rFonts w:ascii="Cambria" w:hAnsi="Cambria"/>
          <w:sz w:val="22"/>
          <w:szCs w:val="22"/>
          <w:lang w:val="es-ES_tradnl"/>
        </w:rPr>
      </w:pPr>
    </w:p>
    <w:p w14:paraId="4C7BB471" w14:textId="77777777" w:rsidR="00111E46" w:rsidRPr="00A92DA2" w:rsidRDefault="00111E46" w:rsidP="00111E46">
      <w:pPr>
        <w:tabs>
          <w:tab w:val="center" w:pos="5400"/>
        </w:tabs>
        <w:suppressAutoHyphens/>
        <w:jc w:val="center"/>
        <w:rPr>
          <w:rFonts w:ascii="Cambria" w:hAnsi="Cambria" w:cs="Arial"/>
          <w:sz w:val="22"/>
          <w:szCs w:val="22"/>
          <w:lang w:val="es-ES_tradnl"/>
        </w:rPr>
      </w:pPr>
    </w:p>
    <w:p w14:paraId="40C639C7" w14:textId="77777777" w:rsidR="00111E46" w:rsidRPr="00A92DA2" w:rsidRDefault="00111E46" w:rsidP="00111E46">
      <w:pPr>
        <w:tabs>
          <w:tab w:val="center" w:pos="5400"/>
        </w:tabs>
        <w:suppressAutoHyphens/>
        <w:jc w:val="center"/>
        <w:rPr>
          <w:rFonts w:ascii="Cambria" w:hAnsi="Cambria"/>
          <w:sz w:val="22"/>
          <w:szCs w:val="22"/>
          <w:lang w:val="es-ES_tradnl"/>
        </w:rPr>
      </w:pPr>
    </w:p>
    <w:p w14:paraId="0FA36242" w14:textId="77777777" w:rsidR="00111E46" w:rsidRPr="00A92DA2" w:rsidRDefault="00111E46" w:rsidP="00111E46">
      <w:pPr>
        <w:tabs>
          <w:tab w:val="center" w:pos="5400"/>
        </w:tabs>
        <w:suppressAutoHyphens/>
        <w:jc w:val="center"/>
        <w:rPr>
          <w:rFonts w:ascii="Cambria" w:hAnsi="Cambria"/>
          <w:sz w:val="22"/>
          <w:szCs w:val="22"/>
          <w:lang w:val="es-ES_tradnl"/>
        </w:rPr>
      </w:pPr>
    </w:p>
    <w:p w14:paraId="09FD4516" w14:textId="77777777" w:rsidR="00111E46" w:rsidRPr="00A92DA2" w:rsidRDefault="00111E46" w:rsidP="00111E46">
      <w:pPr>
        <w:tabs>
          <w:tab w:val="center" w:pos="5400"/>
        </w:tabs>
        <w:suppressAutoHyphens/>
        <w:jc w:val="center"/>
        <w:rPr>
          <w:rFonts w:ascii="Cambria" w:hAnsi="Cambria"/>
          <w:sz w:val="22"/>
          <w:szCs w:val="22"/>
          <w:lang w:val="es-ES_tradnl"/>
        </w:rPr>
      </w:pPr>
    </w:p>
    <w:p w14:paraId="54501EEE" w14:textId="77777777" w:rsidR="00111E46" w:rsidRPr="00A92DA2" w:rsidRDefault="00111E46" w:rsidP="00111E46">
      <w:pPr>
        <w:tabs>
          <w:tab w:val="center" w:pos="5400"/>
        </w:tabs>
        <w:suppressAutoHyphens/>
        <w:jc w:val="center"/>
        <w:rPr>
          <w:rFonts w:ascii="Cambria" w:hAnsi="Cambria"/>
          <w:sz w:val="22"/>
          <w:szCs w:val="22"/>
          <w:lang w:val="es-ES_tradnl"/>
        </w:rPr>
      </w:pPr>
    </w:p>
    <w:p w14:paraId="20BF644F" w14:textId="77777777" w:rsidR="00111E46" w:rsidRPr="00A92DA2" w:rsidRDefault="00111E46" w:rsidP="00111E46">
      <w:pPr>
        <w:tabs>
          <w:tab w:val="center" w:pos="5400"/>
        </w:tabs>
        <w:suppressAutoHyphens/>
        <w:jc w:val="center"/>
        <w:rPr>
          <w:rFonts w:ascii="Cambria" w:hAnsi="Cambria"/>
          <w:sz w:val="22"/>
          <w:szCs w:val="22"/>
          <w:lang w:val="es-ES_tradnl"/>
        </w:rPr>
      </w:pPr>
    </w:p>
    <w:p w14:paraId="6977E7FD" w14:textId="77777777" w:rsidR="00111E46" w:rsidRPr="00A92DA2" w:rsidRDefault="00111E46" w:rsidP="00111E46">
      <w:pPr>
        <w:tabs>
          <w:tab w:val="center" w:pos="5400"/>
        </w:tabs>
        <w:suppressAutoHyphens/>
        <w:jc w:val="center"/>
        <w:rPr>
          <w:rFonts w:ascii="Cambria" w:hAnsi="Cambria"/>
          <w:sz w:val="22"/>
          <w:szCs w:val="22"/>
          <w:lang w:val="es-ES_tradnl"/>
        </w:rPr>
      </w:pPr>
    </w:p>
    <w:p w14:paraId="380BC514" w14:textId="77777777" w:rsidR="00111E46" w:rsidRPr="00A92DA2" w:rsidRDefault="00111E46" w:rsidP="00111E46">
      <w:pPr>
        <w:tabs>
          <w:tab w:val="center" w:pos="5400"/>
        </w:tabs>
        <w:suppressAutoHyphens/>
        <w:jc w:val="center"/>
        <w:rPr>
          <w:rFonts w:ascii="Cambria" w:hAnsi="Cambria"/>
          <w:sz w:val="22"/>
          <w:szCs w:val="22"/>
          <w:lang w:val="es-ES_tradnl"/>
        </w:rPr>
      </w:pPr>
    </w:p>
    <w:p w14:paraId="369466E2" w14:textId="77777777" w:rsidR="00111E46" w:rsidRPr="00A92DA2" w:rsidRDefault="00111E46" w:rsidP="00111E46">
      <w:pPr>
        <w:tabs>
          <w:tab w:val="center" w:pos="5400"/>
        </w:tabs>
        <w:suppressAutoHyphens/>
        <w:jc w:val="center"/>
        <w:rPr>
          <w:rFonts w:ascii="Cambria" w:hAnsi="Cambria"/>
          <w:sz w:val="22"/>
          <w:szCs w:val="22"/>
          <w:lang w:val="es-ES_tradnl"/>
        </w:rPr>
      </w:pPr>
    </w:p>
    <w:p w14:paraId="763BC50A" w14:textId="77777777" w:rsidR="00111E46" w:rsidRPr="00A92DA2" w:rsidRDefault="00111E46" w:rsidP="00111E46">
      <w:pPr>
        <w:tabs>
          <w:tab w:val="center" w:pos="5400"/>
        </w:tabs>
        <w:suppressAutoHyphens/>
        <w:jc w:val="center"/>
        <w:rPr>
          <w:rFonts w:ascii="Cambria" w:hAnsi="Cambria"/>
          <w:sz w:val="22"/>
          <w:szCs w:val="22"/>
          <w:lang w:val="es-ES_tradnl"/>
        </w:rPr>
      </w:pPr>
    </w:p>
    <w:p w14:paraId="6E0301C6" w14:textId="77777777" w:rsidR="00111E46" w:rsidRPr="00A92DA2" w:rsidRDefault="00111E46" w:rsidP="00111E46">
      <w:pPr>
        <w:tabs>
          <w:tab w:val="center" w:pos="5400"/>
        </w:tabs>
        <w:suppressAutoHyphens/>
        <w:jc w:val="center"/>
        <w:rPr>
          <w:rFonts w:ascii="Cambria" w:hAnsi="Cambria"/>
          <w:sz w:val="22"/>
          <w:szCs w:val="22"/>
          <w:lang w:val="es-ES_tradnl"/>
        </w:rPr>
      </w:pPr>
    </w:p>
    <w:p w14:paraId="0467ED90" w14:textId="77777777" w:rsidR="00111E46" w:rsidRPr="00A92DA2" w:rsidRDefault="00111E46" w:rsidP="00111E46">
      <w:pPr>
        <w:tabs>
          <w:tab w:val="center" w:pos="5400"/>
        </w:tabs>
        <w:suppressAutoHyphens/>
        <w:jc w:val="center"/>
        <w:rPr>
          <w:rFonts w:ascii="Cambria" w:hAnsi="Cambria"/>
          <w:sz w:val="22"/>
          <w:szCs w:val="22"/>
          <w:lang w:val="es-ES_tradnl"/>
        </w:rPr>
      </w:pPr>
    </w:p>
    <w:p w14:paraId="22115EB1" w14:textId="77777777" w:rsidR="00111E46" w:rsidRPr="00A92DA2" w:rsidRDefault="00111E46" w:rsidP="00111E46">
      <w:pPr>
        <w:tabs>
          <w:tab w:val="center" w:pos="5400"/>
        </w:tabs>
        <w:suppressAutoHyphens/>
        <w:jc w:val="center"/>
        <w:rPr>
          <w:rFonts w:ascii="Cambria" w:hAnsi="Cambria"/>
          <w:sz w:val="18"/>
          <w:szCs w:val="22"/>
          <w:lang w:val="es-ES_tradnl"/>
        </w:rPr>
      </w:pPr>
    </w:p>
    <w:p w14:paraId="0F6A7AAE" w14:textId="77777777" w:rsidR="00111E46" w:rsidRPr="00A92DA2" w:rsidRDefault="00111E46" w:rsidP="00111E46">
      <w:pPr>
        <w:tabs>
          <w:tab w:val="center" w:pos="5400"/>
        </w:tabs>
        <w:suppressAutoHyphens/>
        <w:jc w:val="center"/>
        <w:rPr>
          <w:rFonts w:ascii="Cambria" w:hAnsi="Cambria"/>
          <w:sz w:val="18"/>
          <w:szCs w:val="22"/>
          <w:lang w:val="es-ES_tradnl"/>
        </w:rPr>
      </w:pPr>
    </w:p>
    <w:p w14:paraId="02F1188A" w14:textId="77777777" w:rsidR="00111E46" w:rsidRPr="00A92DA2" w:rsidRDefault="00111E46" w:rsidP="00111E46">
      <w:pPr>
        <w:tabs>
          <w:tab w:val="center" w:pos="5400"/>
        </w:tabs>
        <w:suppressAutoHyphens/>
        <w:jc w:val="center"/>
        <w:rPr>
          <w:rFonts w:ascii="Cambria" w:hAnsi="Cambria"/>
          <w:sz w:val="18"/>
          <w:szCs w:val="22"/>
          <w:lang w:val="es-ES_tradnl"/>
        </w:rPr>
      </w:pPr>
    </w:p>
    <w:p w14:paraId="764729DD" w14:textId="77777777" w:rsidR="00111E46" w:rsidRPr="00A92DA2" w:rsidRDefault="00111E46" w:rsidP="00111E46">
      <w:pPr>
        <w:tabs>
          <w:tab w:val="center" w:pos="5400"/>
        </w:tabs>
        <w:suppressAutoHyphens/>
        <w:jc w:val="center"/>
        <w:rPr>
          <w:rFonts w:ascii="Cambria" w:hAnsi="Cambria"/>
          <w:sz w:val="18"/>
          <w:szCs w:val="22"/>
          <w:lang w:val="es-ES_tradnl"/>
        </w:rPr>
      </w:pPr>
    </w:p>
    <w:p w14:paraId="231E0B49" w14:textId="77777777" w:rsidR="00111E46" w:rsidRPr="00A92DA2" w:rsidRDefault="00111E46" w:rsidP="00111E46">
      <w:pPr>
        <w:tabs>
          <w:tab w:val="center" w:pos="5400"/>
        </w:tabs>
        <w:suppressAutoHyphens/>
        <w:jc w:val="center"/>
        <w:rPr>
          <w:rFonts w:ascii="Cambria" w:hAnsi="Cambria"/>
          <w:sz w:val="18"/>
          <w:szCs w:val="22"/>
          <w:lang w:val="es-ES_tradnl"/>
        </w:rPr>
      </w:pPr>
    </w:p>
    <w:p w14:paraId="52A3ADA2" w14:textId="77777777" w:rsidR="00111E46" w:rsidRPr="00A92DA2" w:rsidRDefault="00111E46" w:rsidP="00111E46">
      <w:pPr>
        <w:tabs>
          <w:tab w:val="center" w:pos="5400"/>
        </w:tabs>
        <w:suppressAutoHyphens/>
        <w:jc w:val="center"/>
        <w:rPr>
          <w:rFonts w:ascii="Cambria" w:hAnsi="Cambria"/>
          <w:sz w:val="18"/>
          <w:szCs w:val="22"/>
          <w:lang w:val="es-ES_tradnl"/>
        </w:rPr>
      </w:pPr>
    </w:p>
    <w:p w14:paraId="6C490FF1" w14:textId="77777777" w:rsidR="00111E46" w:rsidRPr="00A92DA2" w:rsidRDefault="00111E46" w:rsidP="00111E46">
      <w:pPr>
        <w:tabs>
          <w:tab w:val="center" w:pos="5400"/>
        </w:tabs>
        <w:suppressAutoHyphens/>
        <w:jc w:val="center"/>
        <w:rPr>
          <w:rFonts w:ascii="Cambria" w:hAnsi="Cambria"/>
          <w:sz w:val="18"/>
          <w:szCs w:val="22"/>
          <w:lang w:val="es-ES_tradnl"/>
        </w:rPr>
      </w:pPr>
    </w:p>
    <w:p w14:paraId="49F58690" w14:textId="77777777" w:rsidR="00111E46" w:rsidRPr="00A92DA2" w:rsidRDefault="00111E46" w:rsidP="00111E46">
      <w:pPr>
        <w:tabs>
          <w:tab w:val="center" w:pos="5400"/>
        </w:tabs>
        <w:suppressAutoHyphens/>
        <w:jc w:val="center"/>
        <w:rPr>
          <w:rFonts w:ascii="Cambria" w:hAnsi="Cambria"/>
          <w:sz w:val="18"/>
          <w:szCs w:val="22"/>
          <w:lang w:val="es-ES_tradnl"/>
        </w:rPr>
      </w:pPr>
    </w:p>
    <w:p w14:paraId="6B381F72" w14:textId="77777777" w:rsidR="00111E46" w:rsidRPr="00A92DA2" w:rsidRDefault="00111E46" w:rsidP="00111E46">
      <w:pPr>
        <w:tabs>
          <w:tab w:val="center" w:pos="5400"/>
        </w:tabs>
        <w:suppressAutoHyphens/>
        <w:jc w:val="center"/>
        <w:rPr>
          <w:rFonts w:ascii="Cambria" w:hAnsi="Cambria"/>
          <w:sz w:val="18"/>
          <w:szCs w:val="22"/>
          <w:lang w:val="es-ES_tradnl"/>
        </w:rPr>
      </w:pPr>
    </w:p>
    <w:p w14:paraId="631B5026" w14:textId="77777777" w:rsidR="00111E46" w:rsidRPr="00A92DA2" w:rsidRDefault="00111E46" w:rsidP="00111E46">
      <w:pPr>
        <w:tabs>
          <w:tab w:val="center" w:pos="5400"/>
        </w:tabs>
        <w:suppressAutoHyphens/>
        <w:jc w:val="center"/>
        <w:rPr>
          <w:rFonts w:ascii="Cambria" w:hAnsi="Cambria"/>
          <w:sz w:val="18"/>
          <w:szCs w:val="22"/>
          <w:lang w:val="es-ES_tradnl"/>
        </w:rPr>
      </w:pPr>
    </w:p>
    <w:p w14:paraId="29DEA5D6" w14:textId="77777777" w:rsidR="00111E46" w:rsidRPr="00A92DA2" w:rsidRDefault="00111E46" w:rsidP="00111E46">
      <w:pPr>
        <w:tabs>
          <w:tab w:val="center" w:pos="5400"/>
        </w:tabs>
        <w:suppressAutoHyphens/>
        <w:jc w:val="center"/>
        <w:rPr>
          <w:rFonts w:ascii="Cambria" w:hAnsi="Cambria"/>
          <w:sz w:val="18"/>
          <w:szCs w:val="22"/>
          <w:lang w:val="es-ES_tradnl"/>
        </w:rPr>
      </w:pPr>
    </w:p>
    <w:p w14:paraId="5D8CC906" w14:textId="77777777" w:rsidR="00111E46" w:rsidRPr="00A92DA2" w:rsidRDefault="00111E46" w:rsidP="00111E46">
      <w:pPr>
        <w:tabs>
          <w:tab w:val="center" w:pos="5400"/>
        </w:tabs>
        <w:suppressAutoHyphens/>
        <w:jc w:val="center"/>
        <w:rPr>
          <w:rFonts w:ascii="Cambria" w:hAnsi="Cambria"/>
          <w:sz w:val="18"/>
          <w:szCs w:val="22"/>
          <w:lang w:val="es-ES_tradnl"/>
        </w:rPr>
      </w:pPr>
    </w:p>
    <w:p w14:paraId="7D08D38D" w14:textId="77777777" w:rsidR="00111E46" w:rsidRPr="00A92DA2" w:rsidRDefault="00111E46" w:rsidP="00111E46">
      <w:pPr>
        <w:tabs>
          <w:tab w:val="center" w:pos="5400"/>
        </w:tabs>
        <w:suppressAutoHyphens/>
        <w:jc w:val="center"/>
        <w:rPr>
          <w:rFonts w:ascii="Cambria" w:hAnsi="Cambria"/>
          <w:sz w:val="18"/>
          <w:szCs w:val="22"/>
          <w:lang w:val="es-ES_tradnl"/>
        </w:rPr>
      </w:pPr>
    </w:p>
    <w:p w14:paraId="56A8C966" w14:textId="77777777" w:rsidR="00111E46" w:rsidRPr="00A92DA2" w:rsidRDefault="00111E46" w:rsidP="00111E46">
      <w:pPr>
        <w:tabs>
          <w:tab w:val="center" w:pos="5400"/>
        </w:tabs>
        <w:suppressAutoHyphens/>
        <w:jc w:val="center"/>
        <w:rPr>
          <w:rFonts w:ascii="Cambria" w:hAnsi="Cambria"/>
          <w:sz w:val="18"/>
          <w:szCs w:val="22"/>
          <w:lang w:val="es-ES_tradnl"/>
        </w:rPr>
      </w:pPr>
    </w:p>
    <w:p w14:paraId="24432D97" w14:textId="77777777" w:rsidR="00111E46" w:rsidRPr="00A92DA2" w:rsidRDefault="00111E46" w:rsidP="00111E46">
      <w:pPr>
        <w:tabs>
          <w:tab w:val="center" w:pos="5400"/>
        </w:tabs>
        <w:suppressAutoHyphens/>
        <w:jc w:val="center"/>
        <w:rPr>
          <w:rFonts w:ascii="Cambria" w:hAnsi="Cambria"/>
          <w:sz w:val="18"/>
          <w:szCs w:val="22"/>
          <w:lang w:val="es-ES_tradnl"/>
        </w:rPr>
      </w:pPr>
      <w:r w:rsidRPr="00A92DA2">
        <w:rPr>
          <w:rFonts w:ascii="Cambria" w:hAnsi="Cambria"/>
          <w:noProof/>
          <w:sz w:val="22"/>
          <w:szCs w:val="22"/>
          <w:lang w:val="en-US" w:eastAsia="en-US"/>
        </w:rPr>
        <mc:AlternateContent>
          <mc:Choice Requires="wps">
            <w:drawing>
              <wp:anchor distT="0" distB="0" distL="114300" distR="114300" simplePos="0" relativeHeight="251661312" behindDoc="0" locked="0" layoutInCell="1" allowOverlap="1" wp14:anchorId="20E0F042" wp14:editId="706DD0E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40ABB" w14:textId="17F603DD" w:rsidR="00A01DB7" w:rsidRPr="00227A71" w:rsidRDefault="00A01DB7" w:rsidP="00A01DB7">
                            <w:pPr>
                              <w:tabs>
                                <w:tab w:val="center" w:pos="5400"/>
                              </w:tabs>
                              <w:suppressAutoHyphens/>
                              <w:spacing w:before="60"/>
                              <w:rPr>
                                <w:rFonts w:ascii="Cambria" w:hAnsi="Cambria"/>
                                <w:color w:val="0D0D0D" w:themeColor="text1" w:themeTint="F2"/>
                                <w:sz w:val="18"/>
                                <w:szCs w:val="22"/>
                                <w:lang w:val="es-ES"/>
                              </w:rPr>
                            </w:pPr>
                            <w:r w:rsidRPr="00227A71">
                              <w:rPr>
                                <w:rFonts w:ascii="Cambria" w:hAnsi="Cambria"/>
                                <w:color w:val="0D0D0D" w:themeColor="text1" w:themeTint="F2"/>
                                <w:sz w:val="18"/>
                                <w:szCs w:val="22"/>
                                <w:lang w:val="es-ES"/>
                              </w:rPr>
                              <w:t xml:space="preserve">Aprobado </w:t>
                            </w:r>
                            <w:proofErr w:type="spellStart"/>
                            <w:r w:rsidRPr="00227A71">
                              <w:rPr>
                                <w:rFonts w:ascii="Cambria" w:hAnsi="Cambria"/>
                                <w:color w:val="0D0D0D" w:themeColor="text1" w:themeTint="F2"/>
                                <w:sz w:val="18"/>
                                <w:szCs w:val="22"/>
                                <w:lang w:val="es-ES"/>
                              </w:rPr>
                              <w:t>electr</w:t>
                            </w:r>
                            <w:r w:rsidRPr="00227A71">
                              <w:rPr>
                                <w:rFonts w:ascii="Cambria" w:hAnsi="Cambria"/>
                                <w:color w:val="0D0D0D" w:themeColor="text1" w:themeTint="F2"/>
                                <w:sz w:val="18"/>
                                <w:szCs w:val="22"/>
                                <w:lang w:val="es-ES_tradnl"/>
                              </w:rPr>
                              <w:t>ónicamente</w:t>
                            </w:r>
                            <w:proofErr w:type="spellEnd"/>
                            <w:r w:rsidRPr="00227A71">
                              <w:rPr>
                                <w:rFonts w:ascii="Cambria" w:hAnsi="Cambria"/>
                                <w:color w:val="0D0D0D" w:themeColor="text1" w:themeTint="F2"/>
                                <w:sz w:val="18"/>
                                <w:szCs w:val="22"/>
                                <w:lang w:val="es-ES"/>
                              </w:rPr>
                              <w:t xml:space="preserve"> por la Comisión el </w:t>
                            </w:r>
                            <w:r>
                              <w:rPr>
                                <w:rFonts w:ascii="Cambria" w:hAnsi="Cambria"/>
                                <w:color w:val="0D0D0D" w:themeColor="text1" w:themeTint="F2"/>
                                <w:sz w:val="18"/>
                                <w:szCs w:val="22"/>
                                <w:lang w:val="es-ES"/>
                              </w:rPr>
                              <w:t>12</w:t>
                            </w:r>
                            <w:r w:rsidRPr="00227A71">
                              <w:rPr>
                                <w:rFonts w:ascii="Cambria" w:hAnsi="Cambria"/>
                                <w:color w:val="0D0D0D" w:themeColor="text1" w:themeTint="F2"/>
                                <w:sz w:val="18"/>
                                <w:szCs w:val="22"/>
                                <w:lang w:val="es-ES"/>
                              </w:rPr>
                              <w:t xml:space="preserve"> de </w:t>
                            </w:r>
                            <w:r>
                              <w:rPr>
                                <w:rFonts w:ascii="Cambria" w:hAnsi="Cambria"/>
                                <w:color w:val="0D0D0D" w:themeColor="text1" w:themeTint="F2"/>
                                <w:sz w:val="18"/>
                                <w:szCs w:val="22"/>
                                <w:lang w:val="es-ES"/>
                              </w:rPr>
                              <w:t>diciembre</w:t>
                            </w:r>
                            <w:r w:rsidRPr="00227A71">
                              <w:rPr>
                                <w:rFonts w:ascii="Cambria" w:hAnsi="Cambria"/>
                                <w:color w:val="0D0D0D" w:themeColor="text1" w:themeTint="F2"/>
                                <w:sz w:val="18"/>
                                <w:szCs w:val="22"/>
                                <w:lang w:val="es-ES"/>
                              </w:rPr>
                              <w:t xml:space="preserve"> de 2020</w:t>
                            </w:r>
                            <w:r w:rsidR="0069257E">
                              <w:rPr>
                                <w:rFonts w:ascii="Cambria" w:hAnsi="Cambria"/>
                                <w:color w:val="0D0D0D" w:themeColor="text1" w:themeTint="F2"/>
                                <w:sz w:val="18"/>
                                <w:szCs w:val="22"/>
                                <w:lang w:val="es-ES"/>
                              </w:rPr>
                              <w:t>.</w:t>
                            </w:r>
                          </w:p>
                          <w:p w14:paraId="30AC72B7" w14:textId="77777777" w:rsidR="00A01DB7" w:rsidRPr="007A5817" w:rsidRDefault="00A01DB7" w:rsidP="00A01DB7">
                            <w:pPr>
                              <w:tabs>
                                <w:tab w:val="center" w:pos="5400"/>
                              </w:tabs>
                              <w:suppressAutoHyphens/>
                              <w:spacing w:before="60"/>
                              <w:rPr>
                                <w:rFonts w:asciiTheme="minorHAnsi" w:hAnsiTheme="minorHAnsi" w:cs="Univers"/>
                                <w:color w:val="0D0D0D" w:themeColor="text1" w:themeTint="F2"/>
                                <w:sz w:val="20"/>
                                <w:szCs w:val="20"/>
                                <w:lang w:val="es-ES"/>
                              </w:rPr>
                            </w:pPr>
                          </w:p>
                          <w:p w14:paraId="62B99498" w14:textId="77777777" w:rsidR="00A01DB7" w:rsidRPr="00167A34" w:rsidRDefault="00A01DB7" w:rsidP="00A01DB7">
                            <w:pPr>
                              <w:tabs>
                                <w:tab w:val="center" w:pos="5400"/>
                              </w:tabs>
                              <w:suppressAutoHyphens/>
                              <w:spacing w:before="60"/>
                              <w:rPr>
                                <w:rFonts w:ascii="Calibri" w:hAnsi="Calibri"/>
                                <w:color w:val="FFFFFF" w:themeColor="background1"/>
                                <w:spacing w:val="-2"/>
                                <w:sz w:val="16"/>
                                <w:lang w:val="es-ES"/>
                              </w:rPr>
                            </w:pPr>
                          </w:p>
                          <w:p w14:paraId="3B2B1E77" w14:textId="49DC19BC" w:rsidR="008C1880" w:rsidRPr="00890650" w:rsidRDefault="008C1880" w:rsidP="00111E46">
                            <w:pPr>
                              <w:tabs>
                                <w:tab w:val="center" w:pos="5400"/>
                              </w:tabs>
                              <w:suppressAutoHyphens/>
                              <w:spacing w:before="60"/>
                              <w:rPr>
                                <w:rFonts w:asciiTheme="majorHAnsi" w:hAnsiTheme="majorHAnsi"/>
                                <w:color w:val="0D0D0D" w:themeColor="text1" w:themeTint="F2"/>
                                <w:sz w:val="18"/>
                                <w:szCs w:val="22"/>
                                <w:lang w:val="es-ES"/>
                              </w:rPr>
                            </w:pPr>
                          </w:p>
                          <w:p w14:paraId="003C9DC4" w14:textId="77777777" w:rsidR="008C1880" w:rsidRPr="007A5817" w:rsidRDefault="008C1880" w:rsidP="00111E46">
                            <w:pPr>
                              <w:tabs>
                                <w:tab w:val="center" w:pos="5400"/>
                              </w:tabs>
                              <w:suppressAutoHyphens/>
                              <w:spacing w:before="60"/>
                              <w:rPr>
                                <w:rFonts w:asciiTheme="minorHAnsi" w:hAnsiTheme="minorHAnsi" w:cs="Univers"/>
                                <w:color w:val="0D0D0D" w:themeColor="text1" w:themeTint="F2"/>
                                <w:sz w:val="20"/>
                                <w:szCs w:val="20"/>
                                <w:lang w:val="es-ES"/>
                              </w:rPr>
                            </w:pPr>
                          </w:p>
                          <w:p w14:paraId="307D1636" w14:textId="77777777" w:rsidR="008C1880" w:rsidRPr="00167A34" w:rsidRDefault="008C1880" w:rsidP="00111E46">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0F042"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BD40ABB" w14:textId="17F603DD" w:rsidR="00A01DB7" w:rsidRPr="00227A71" w:rsidRDefault="00A01DB7" w:rsidP="00A01DB7">
                      <w:pPr>
                        <w:tabs>
                          <w:tab w:val="center" w:pos="5400"/>
                        </w:tabs>
                        <w:suppressAutoHyphens/>
                        <w:spacing w:before="60"/>
                        <w:rPr>
                          <w:rFonts w:ascii="Cambria" w:hAnsi="Cambria"/>
                          <w:color w:val="0D0D0D" w:themeColor="text1" w:themeTint="F2"/>
                          <w:sz w:val="18"/>
                          <w:szCs w:val="22"/>
                          <w:lang w:val="es-ES"/>
                        </w:rPr>
                      </w:pPr>
                      <w:r w:rsidRPr="00227A71">
                        <w:rPr>
                          <w:rFonts w:ascii="Cambria" w:hAnsi="Cambria"/>
                          <w:color w:val="0D0D0D" w:themeColor="text1" w:themeTint="F2"/>
                          <w:sz w:val="18"/>
                          <w:szCs w:val="22"/>
                          <w:lang w:val="es-ES"/>
                        </w:rPr>
                        <w:t xml:space="preserve">Aprobado </w:t>
                      </w:r>
                      <w:proofErr w:type="spellStart"/>
                      <w:r w:rsidRPr="00227A71">
                        <w:rPr>
                          <w:rFonts w:ascii="Cambria" w:hAnsi="Cambria"/>
                          <w:color w:val="0D0D0D" w:themeColor="text1" w:themeTint="F2"/>
                          <w:sz w:val="18"/>
                          <w:szCs w:val="22"/>
                          <w:lang w:val="es-ES"/>
                        </w:rPr>
                        <w:t>electr</w:t>
                      </w:r>
                      <w:r w:rsidRPr="00227A71">
                        <w:rPr>
                          <w:rFonts w:ascii="Cambria" w:hAnsi="Cambria"/>
                          <w:color w:val="0D0D0D" w:themeColor="text1" w:themeTint="F2"/>
                          <w:sz w:val="18"/>
                          <w:szCs w:val="22"/>
                          <w:lang w:val="es-ES_tradnl"/>
                        </w:rPr>
                        <w:t>ónicamente</w:t>
                      </w:r>
                      <w:proofErr w:type="spellEnd"/>
                      <w:r w:rsidRPr="00227A71">
                        <w:rPr>
                          <w:rFonts w:ascii="Cambria" w:hAnsi="Cambria"/>
                          <w:color w:val="0D0D0D" w:themeColor="text1" w:themeTint="F2"/>
                          <w:sz w:val="18"/>
                          <w:szCs w:val="22"/>
                          <w:lang w:val="es-ES"/>
                        </w:rPr>
                        <w:t xml:space="preserve"> por la Comisión el </w:t>
                      </w:r>
                      <w:r>
                        <w:rPr>
                          <w:rFonts w:ascii="Cambria" w:hAnsi="Cambria"/>
                          <w:color w:val="0D0D0D" w:themeColor="text1" w:themeTint="F2"/>
                          <w:sz w:val="18"/>
                          <w:szCs w:val="22"/>
                          <w:lang w:val="es-ES"/>
                        </w:rPr>
                        <w:t>12</w:t>
                      </w:r>
                      <w:r w:rsidRPr="00227A71">
                        <w:rPr>
                          <w:rFonts w:ascii="Cambria" w:hAnsi="Cambria"/>
                          <w:color w:val="0D0D0D" w:themeColor="text1" w:themeTint="F2"/>
                          <w:sz w:val="18"/>
                          <w:szCs w:val="22"/>
                          <w:lang w:val="es-ES"/>
                        </w:rPr>
                        <w:t xml:space="preserve"> de </w:t>
                      </w:r>
                      <w:r>
                        <w:rPr>
                          <w:rFonts w:ascii="Cambria" w:hAnsi="Cambria"/>
                          <w:color w:val="0D0D0D" w:themeColor="text1" w:themeTint="F2"/>
                          <w:sz w:val="18"/>
                          <w:szCs w:val="22"/>
                          <w:lang w:val="es-ES"/>
                        </w:rPr>
                        <w:t>diciembre</w:t>
                      </w:r>
                      <w:r w:rsidRPr="00227A71">
                        <w:rPr>
                          <w:rFonts w:ascii="Cambria" w:hAnsi="Cambria"/>
                          <w:color w:val="0D0D0D" w:themeColor="text1" w:themeTint="F2"/>
                          <w:sz w:val="18"/>
                          <w:szCs w:val="22"/>
                          <w:lang w:val="es-ES"/>
                        </w:rPr>
                        <w:t xml:space="preserve"> de 2020</w:t>
                      </w:r>
                      <w:r w:rsidR="0069257E">
                        <w:rPr>
                          <w:rFonts w:ascii="Cambria" w:hAnsi="Cambria"/>
                          <w:color w:val="0D0D0D" w:themeColor="text1" w:themeTint="F2"/>
                          <w:sz w:val="18"/>
                          <w:szCs w:val="22"/>
                          <w:lang w:val="es-ES"/>
                        </w:rPr>
                        <w:t>.</w:t>
                      </w:r>
                    </w:p>
                    <w:p w14:paraId="30AC72B7" w14:textId="77777777" w:rsidR="00A01DB7" w:rsidRPr="007A5817" w:rsidRDefault="00A01DB7" w:rsidP="00A01DB7">
                      <w:pPr>
                        <w:tabs>
                          <w:tab w:val="center" w:pos="5400"/>
                        </w:tabs>
                        <w:suppressAutoHyphens/>
                        <w:spacing w:before="60"/>
                        <w:rPr>
                          <w:rFonts w:asciiTheme="minorHAnsi" w:hAnsiTheme="minorHAnsi" w:cs="Univers"/>
                          <w:color w:val="0D0D0D" w:themeColor="text1" w:themeTint="F2"/>
                          <w:sz w:val="20"/>
                          <w:szCs w:val="20"/>
                          <w:lang w:val="es-ES"/>
                        </w:rPr>
                      </w:pPr>
                    </w:p>
                    <w:p w14:paraId="62B99498" w14:textId="77777777" w:rsidR="00A01DB7" w:rsidRPr="00167A34" w:rsidRDefault="00A01DB7" w:rsidP="00A01DB7">
                      <w:pPr>
                        <w:tabs>
                          <w:tab w:val="center" w:pos="5400"/>
                        </w:tabs>
                        <w:suppressAutoHyphens/>
                        <w:spacing w:before="60"/>
                        <w:rPr>
                          <w:rFonts w:ascii="Calibri" w:hAnsi="Calibri"/>
                          <w:color w:val="FFFFFF" w:themeColor="background1"/>
                          <w:spacing w:val="-2"/>
                          <w:sz w:val="16"/>
                          <w:lang w:val="es-ES"/>
                        </w:rPr>
                      </w:pPr>
                    </w:p>
                    <w:p w14:paraId="3B2B1E77" w14:textId="49DC19BC" w:rsidR="008C1880" w:rsidRPr="00890650" w:rsidRDefault="008C1880" w:rsidP="00111E46">
                      <w:pPr>
                        <w:tabs>
                          <w:tab w:val="center" w:pos="5400"/>
                        </w:tabs>
                        <w:suppressAutoHyphens/>
                        <w:spacing w:before="60"/>
                        <w:rPr>
                          <w:rFonts w:asciiTheme="majorHAnsi" w:hAnsiTheme="majorHAnsi"/>
                          <w:color w:val="0D0D0D" w:themeColor="text1" w:themeTint="F2"/>
                          <w:sz w:val="18"/>
                          <w:szCs w:val="22"/>
                          <w:lang w:val="es-ES"/>
                        </w:rPr>
                      </w:pPr>
                    </w:p>
                    <w:p w14:paraId="003C9DC4" w14:textId="77777777" w:rsidR="008C1880" w:rsidRPr="007A5817" w:rsidRDefault="008C1880" w:rsidP="00111E46">
                      <w:pPr>
                        <w:tabs>
                          <w:tab w:val="center" w:pos="5400"/>
                        </w:tabs>
                        <w:suppressAutoHyphens/>
                        <w:spacing w:before="60"/>
                        <w:rPr>
                          <w:rFonts w:asciiTheme="minorHAnsi" w:hAnsiTheme="minorHAnsi" w:cs="Univers"/>
                          <w:color w:val="0D0D0D" w:themeColor="text1" w:themeTint="F2"/>
                          <w:sz w:val="20"/>
                          <w:szCs w:val="20"/>
                          <w:lang w:val="es-ES"/>
                        </w:rPr>
                      </w:pPr>
                    </w:p>
                    <w:p w14:paraId="307D1636" w14:textId="77777777" w:rsidR="008C1880" w:rsidRPr="00167A34" w:rsidRDefault="008C1880" w:rsidP="00111E46">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038C409" w14:textId="77777777" w:rsidR="00111E46" w:rsidRPr="00A92DA2" w:rsidRDefault="00111E46" w:rsidP="00111E46">
      <w:pPr>
        <w:tabs>
          <w:tab w:val="center" w:pos="5400"/>
        </w:tabs>
        <w:suppressAutoHyphens/>
        <w:jc w:val="center"/>
        <w:rPr>
          <w:rFonts w:ascii="Cambria" w:hAnsi="Cambria"/>
          <w:sz w:val="18"/>
          <w:szCs w:val="22"/>
          <w:lang w:val="es-ES_tradnl"/>
        </w:rPr>
      </w:pPr>
    </w:p>
    <w:p w14:paraId="5CC5605D" w14:textId="77777777" w:rsidR="00111E46" w:rsidRPr="00A92DA2" w:rsidRDefault="00111E46" w:rsidP="00111E46">
      <w:pPr>
        <w:tabs>
          <w:tab w:val="center" w:pos="5400"/>
        </w:tabs>
        <w:suppressAutoHyphens/>
        <w:jc w:val="center"/>
        <w:rPr>
          <w:rFonts w:ascii="Cambria" w:hAnsi="Cambria"/>
          <w:sz w:val="18"/>
          <w:szCs w:val="22"/>
          <w:lang w:val="es-ES_tradnl"/>
        </w:rPr>
      </w:pPr>
    </w:p>
    <w:p w14:paraId="1B0EBA7C" w14:textId="77777777" w:rsidR="00111E46" w:rsidRPr="00A92DA2" w:rsidRDefault="00111E46" w:rsidP="00111E46">
      <w:pPr>
        <w:tabs>
          <w:tab w:val="center" w:pos="5400"/>
        </w:tabs>
        <w:suppressAutoHyphens/>
        <w:jc w:val="center"/>
        <w:rPr>
          <w:rFonts w:ascii="Cambria" w:hAnsi="Cambria"/>
          <w:sz w:val="18"/>
          <w:szCs w:val="22"/>
          <w:lang w:val="es-ES_tradnl"/>
        </w:rPr>
      </w:pPr>
    </w:p>
    <w:p w14:paraId="1F14F3B3" w14:textId="77777777" w:rsidR="00111E46" w:rsidRPr="00A92DA2" w:rsidRDefault="00111E46" w:rsidP="00111E46">
      <w:pPr>
        <w:tabs>
          <w:tab w:val="center" w:pos="5400"/>
        </w:tabs>
        <w:suppressAutoHyphens/>
        <w:jc w:val="center"/>
        <w:rPr>
          <w:rFonts w:ascii="Cambria" w:hAnsi="Cambria"/>
          <w:sz w:val="18"/>
          <w:szCs w:val="22"/>
          <w:lang w:val="es-ES_tradnl"/>
        </w:rPr>
      </w:pPr>
    </w:p>
    <w:p w14:paraId="01D5ECE7" w14:textId="77777777" w:rsidR="00111E46" w:rsidRPr="00A92DA2" w:rsidRDefault="00111E46" w:rsidP="00111E46">
      <w:pPr>
        <w:tabs>
          <w:tab w:val="center" w:pos="5400"/>
        </w:tabs>
        <w:suppressAutoHyphens/>
        <w:jc w:val="center"/>
        <w:rPr>
          <w:rFonts w:ascii="Cambria" w:hAnsi="Cambria"/>
          <w:sz w:val="18"/>
          <w:szCs w:val="22"/>
          <w:lang w:val="es-ES_tradnl"/>
        </w:rPr>
      </w:pPr>
      <w:r w:rsidRPr="00A92DA2">
        <w:rPr>
          <w:rFonts w:ascii="Cambria" w:hAnsi="Cambria"/>
          <w:noProof/>
          <w:sz w:val="18"/>
          <w:szCs w:val="22"/>
          <w:lang w:val="en-US" w:eastAsia="en-US"/>
        </w:rPr>
        <mc:AlternateContent>
          <mc:Choice Requires="wps">
            <w:drawing>
              <wp:anchor distT="0" distB="0" distL="114300" distR="114300" simplePos="0" relativeHeight="251664384" behindDoc="0" locked="0" layoutInCell="1" allowOverlap="1" wp14:anchorId="3FF3AE85" wp14:editId="027AE92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8C982" w14:textId="77777777" w:rsidR="00A01DB7" w:rsidRPr="00227A71" w:rsidRDefault="00A01DB7" w:rsidP="00A01DB7">
                            <w:pPr>
                              <w:spacing w:line="276" w:lineRule="auto"/>
                              <w:rPr>
                                <w:rFonts w:ascii="Cambria" w:hAnsi="Cambria"/>
                                <w:color w:val="595959" w:themeColor="text1" w:themeTint="A6"/>
                                <w:sz w:val="18"/>
                                <w:szCs w:val="18"/>
                                <w:lang w:val="es-ES"/>
                              </w:rPr>
                            </w:pPr>
                            <w:r w:rsidRPr="00227A71">
                              <w:rPr>
                                <w:rFonts w:ascii="Cambria" w:hAnsi="Cambria"/>
                                <w:b/>
                                <w:color w:val="595959" w:themeColor="text1" w:themeTint="A6"/>
                                <w:sz w:val="18"/>
                                <w:szCs w:val="18"/>
                              </w:rPr>
                              <w:t>Citar como:</w:t>
                            </w:r>
                            <w:r w:rsidRPr="00227A71">
                              <w:rPr>
                                <w:rFonts w:ascii="Cambria" w:hAnsi="Cambria"/>
                                <w:color w:val="595959" w:themeColor="text1" w:themeTint="A6"/>
                                <w:sz w:val="18"/>
                                <w:szCs w:val="18"/>
                              </w:rPr>
                              <w:t xml:space="preserve"> CIDH, Informe No. 361/20. </w:t>
                            </w:r>
                            <w:proofErr w:type="spellStart"/>
                            <w:r w:rsidRPr="00227A71">
                              <w:rPr>
                                <w:rFonts w:ascii="Cambria" w:hAnsi="Cambria"/>
                                <w:color w:val="595959" w:themeColor="text1" w:themeTint="A6"/>
                                <w:sz w:val="18"/>
                                <w:szCs w:val="18"/>
                                <w:lang w:val="es-ES_tradnl"/>
                              </w:rPr>
                              <w:t>Petici</w:t>
                            </w:r>
                            <w:r w:rsidRPr="00227A71">
                              <w:rPr>
                                <w:rFonts w:ascii="Cambria" w:hAnsi="Cambria"/>
                                <w:color w:val="595959" w:themeColor="text1" w:themeTint="A6"/>
                                <w:sz w:val="18"/>
                                <w:szCs w:val="18"/>
                                <w:lang w:val="es-ES"/>
                              </w:rPr>
                              <w:t>ón</w:t>
                            </w:r>
                            <w:proofErr w:type="spellEnd"/>
                            <w:r w:rsidRPr="00227A71">
                              <w:rPr>
                                <w:rFonts w:ascii="Cambria" w:hAnsi="Cambria"/>
                                <w:color w:val="595959" w:themeColor="text1" w:themeTint="A6"/>
                                <w:sz w:val="18"/>
                                <w:szCs w:val="18"/>
                                <w:lang w:val="es-ES"/>
                              </w:rPr>
                              <w:t xml:space="preserve"> </w:t>
                            </w:r>
                            <w:r>
                              <w:rPr>
                                <w:rFonts w:ascii="Cambria" w:hAnsi="Cambria"/>
                                <w:color w:val="595959" w:themeColor="text1" w:themeTint="A6"/>
                                <w:sz w:val="18"/>
                                <w:szCs w:val="18"/>
                                <w:lang w:val="es-ES"/>
                              </w:rPr>
                              <w:t>24</w:t>
                            </w:r>
                            <w:r w:rsidRPr="00227A71">
                              <w:rPr>
                                <w:rFonts w:ascii="Cambria" w:hAnsi="Cambria"/>
                                <w:color w:val="595959" w:themeColor="text1" w:themeTint="A6"/>
                                <w:sz w:val="18"/>
                                <w:szCs w:val="18"/>
                                <w:lang w:val="es-ES"/>
                              </w:rPr>
                              <w:t>-</w:t>
                            </w:r>
                            <w:r>
                              <w:rPr>
                                <w:rFonts w:ascii="Cambria" w:hAnsi="Cambria"/>
                                <w:color w:val="595959" w:themeColor="text1" w:themeTint="A6"/>
                                <w:sz w:val="18"/>
                                <w:szCs w:val="18"/>
                                <w:lang w:val="es-ES"/>
                              </w:rPr>
                              <w:t>11</w:t>
                            </w:r>
                            <w:r w:rsidRPr="00227A71">
                              <w:rPr>
                                <w:rFonts w:ascii="Cambria" w:hAnsi="Cambria"/>
                                <w:color w:val="595959" w:themeColor="text1" w:themeTint="A6"/>
                                <w:sz w:val="18"/>
                                <w:szCs w:val="18"/>
                                <w:lang w:val="es-ES"/>
                              </w:rPr>
                              <w:t xml:space="preserve">. </w:t>
                            </w:r>
                            <w:r w:rsidRPr="00227A71">
                              <w:rPr>
                                <w:rFonts w:ascii="Cambria" w:hAnsi="Cambria"/>
                                <w:color w:val="595959" w:themeColor="text1" w:themeTint="A6"/>
                                <w:sz w:val="18"/>
                                <w:szCs w:val="18"/>
                                <w:lang w:val="es-ES_tradnl"/>
                              </w:rPr>
                              <w:t xml:space="preserve">Admisibilidad. </w:t>
                            </w:r>
                            <w:r>
                              <w:rPr>
                                <w:rFonts w:ascii="Cambria" w:hAnsi="Cambria"/>
                                <w:color w:val="595959" w:themeColor="text1" w:themeTint="A6"/>
                                <w:sz w:val="18"/>
                                <w:szCs w:val="18"/>
                                <w:lang w:val="es-ES_tradnl"/>
                              </w:rPr>
                              <w:t>Familiares de las víctimas de desplazamiento colectivo del corregimiento de Santa Cecilia y veredas alrededor en enero de 2000</w:t>
                            </w:r>
                            <w:r w:rsidRPr="00227A71">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Colombia</w:t>
                            </w:r>
                            <w:r w:rsidRPr="00227A71">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
                              </w:rPr>
                              <w:t>12 de diciembre de 2020</w:t>
                            </w:r>
                            <w:r w:rsidRPr="00227A71">
                              <w:rPr>
                                <w:rFonts w:ascii="Cambria" w:hAnsi="Cambria"/>
                                <w:color w:val="595959" w:themeColor="text1" w:themeTint="A6"/>
                                <w:sz w:val="18"/>
                                <w:szCs w:val="18"/>
                                <w:lang w:val="es-ES"/>
                              </w:rPr>
                              <w:t>.</w:t>
                            </w:r>
                          </w:p>
                          <w:p w14:paraId="603C9ADB" w14:textId="3979B530" w:rsidR="008C1880" w:rsidRPr="007B05C4" w:rsidRDefault="008C1880" w:rsidP="00111E46">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F3AE85"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28C982" w14:textId="77777777" w:rsidR="00A01DB7" w:rsidRPr="00227A71" w:rsidRDefault="00A01DB7" w:rsidP="00A01DB7">
                      <w:pPr>
                        <w:spacing w:line="276" w:lineRule="auto"/>
                        <w:rPr>
                          <w:rFonts w:ascii="Cambria" w:hAnsi="Cambria"/>
                          <w:color w:val="595959" w:themeColor="text1" w:themeTint="A6"/>
                          <w:sz w:val="18"/>
                          <w:szCs w:val="18"/>
                          <w:lang w:val="es-ES"/>
                        </w:rPr>
                      </w:pPr>
                      <w:r w:rsidRPr="00227A71">
                        <w:rPr>
                          <w:rFonts w:ascii="Cambria" w:hAnsi="Cambria"/>
                          <w:b/>
                          <w:color w:val="595959" w:themeColor="text1" w:themeTint="A6"/>
                          <w:sz w:val="18"/>
                          <w:szCs w:val="18"/>
                        </w:rPr>
                        <w:t>Citar como:</w:t>
                      </w:r>
                      <w:r w:rsidRPr="00227A71">
                        <w:rPr>
                          <w:rFonts w:ascii="Cambria" w:hAnsi="Cambria"/>
                          <w:color w:val="595959" w:themeColor="text1" w:themeTint="A6"/>
                          <w:sz w:val="18"/>
                          <w:szCs w:val="18"/>
                        </w:rPr>
                        <w:t xml:space="preserve"> CIDH, Informe No. 361/20. </w:t>
                      </w:r>
                      <w:r w:rsidRPr="00227A71">
                        <w:rPr>
                          <w:rFonts w:ascii="Cambria" w:hAnsi="Cambria"/>
                          <w:color w:val="595959" w:themeColor="text1" w:themeTint="A6"/>
                          <w:sz w:val="18"/>
                          <w:szCs w:val="18"/>
                          <w:lang w:val="es-ES_tradnl"/>
                        </w:rPr>
                        <w:t>Petici</w:t>
                      </w:r>
                      <w:r w:rsidRPr="00227A71">
                        <w:rPr>
                          <w:rFonts w:ascii="Cambria" w:hAnsi="Cambria"/>
                          <w:color w:val="595959" w:themeColor="text1" w:themeTint="A6"/>
                          <w:sz w:val="18"/>
                          <w:szCs w:val="18"/>
                          <w:lang w:val="es-ES"/>
                        </w:rPr>
                        <w:t xml:space="preserve">ón </w:t>
                      </w:r>
                      <w:r>
                        <w:rPr>
                          <w:rFonts w:ascii="Cambria" w:hAnsi="Cambria"/>
                          <w:color w:val="595959" w:themeColor="text1" w:themeTint="A6"/>
                          <w:sz w:val="18"/>
                          <w:szCs w:val="18"/>
                          <w:lang w:val="es-ES"/>
                        </w:rPr>
                        <w:t>24</w:t>
                      </w:r>
                      <w:r w:rsidRPr="00227A71">
                        <w:rPr>
                          <w:rFonts w:ascii="Cambria" w:hAnsi="Cambria"/>
                          <w:color w:val="595959" w:themeColor="text1" w:themeTint="A6"/>
                          <w:sz w:val="18"/>
                          <w:szCs w:val="18"/>
                          <w:lang w:val="es-ES"/>
                        </w:rPr>
                        <w:t>-</w:t>
                      </w:r>
                      <w:r>
                        <w:rPr>
                          <w:rFonts w:ascii="Cambria" w:hAnsi="Cambria"/>
                          <w:color w:val="595959" w:themeColor="text1" w:themeTint="A6"/>
                          <w:sz w:val="18"/>
                          <w:szCs w:val="18"/>
                          <w:lang w:val="es-ES"/>
                        </w:rPr>
                        <w:t>11</w:t>
                      </w:r>
                      <w:r w:rsidRPr="00227A71">
                        <w:rPr>
                          <w:rFonts w:ascii="Cambria" w:hAnsi="Cambria"/>
                          <w:color w:val="595959" w:themeColor="text1" w:themeTint="A6"/>
                          <w:sz w:val="18"/>
                          <w:szCs w:val="18"/>
                          <w:lang w:val="es-ES"/>
                        </w:rPr>
                        <w:t xml:space="preserve">. </w:t>
                      </w:r>
                      <w:r w:rsidRPr="00227A71">
                        <w:rPr>
                          <w:rFonts w:ascii="Cambria" w:hAnsi="Cambria"/>
                          <w:color w:val="595959" w:themeColor="text1" w:themeTint="A6"/>
                          <w:sz w:val="18"/>
                          <w:szCs w:val="18"/>
                          <w:lang w:val="es-ES_tradnl"/>
                        </w:rPr>
                        <w:t xml:space="preserve">Admisibilidad. </w:t>
                      </w:r>
                      <w:r>
                        <w:rPr>
                          <w:rFonts w:ascii="Cambria" w:hAnsi="Cambria"/>
                          <w:color w:val="595959" w:themeColor="text1" w:themeTint="A6"/>
                          <w:sz w:val="18"/>
                          <w:szCs w:val="18"/>
                          <w:lang w:val="es-ES_tradnl"/>
                        </w:rPr>
                        <w:t>Familiares de las víctimas de desplazamiento colectivo del corregimiento de Santa Cecilia y veredas alrededor en enero de 2000</w:t>
                      </w:r>
                      <w:r w:rsidRPr="00227A71">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Colombia</w:t>
                      </w:r>
                      <w:r w:rsidRPr="00227A71">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
                        </w:rPr>
                        <w:t>12 de diciembre de 2020</w:t>
                      </w:r>
                      <w:r w:rsidRPr="00227A71">
                        <w:rPr>
                          <w:rFonts w:ascii="Cambria" w:hAnsi="Cambria"/>
                          <w:color w:val="595959" w:themeColor="text1" w:themeTint="A6"/>
                          <w:sz w:val="18"/>
                          <w:szCs w:val="18"/>
                          <w:lang w:val="es-ES"/>
                        </w:rPr>
                        <w:t>.</w:t>
                      </w:r>
                    </w:p>
                    <w:p w14:paraId="603C9ADB" w14:textId="3979B530" w:rsidR="008C1880" w:rsidRPr="007B05C4" w:rsidRDefault="008C1880" w:rsidP="00111E46">
                      <w:pPr>
                        <w:spacing w:line="276" w:lineRule="auto"/>
                        <w:rPr>
                          <w:rFonts w:asciiTheme="majorHAnsi" w:hAnsiTheme="majorHAnsi"/>
                          <w:color w:val="595959" w:themeColor="text1" w:themeTint="A6"/>
                          <w:sz w:val="18"/>
                          <w:szCs w:val="18"/>
                          <w:lang w:val="es-ES"/>
                        </w:rPr>
                      </w:pPr>
                    </w:p>
                  </w:txbxContent>
                </v:textbox>
              </v:shape>
            </w:pict>
          </mc:Fallback>
        </mc:AlternateContent>
      </w:r>
    </w:p>
    <w:p w14:paraId="06EE095A" w14:textId="77777777" w:rsidR="00111E46" w:rsidRPr="00A92DA2" w:rsidRDefault="00111E46" w:rsidP="00111E46">
      <w:pPr>
        <w:tabs>
          <w:tab w:val="center" w:pos="5400"/>
        </w:tabs>
        <w:suppressAutoHyphens/>
        <w:jc w:val="center"/>
        <w:rPr>
          <w:rFonts w:ascii="Cambria" w:hAnsi="Cambria"/>
          <w:sz w:val="18"/>
          <w:szCs w:val="22"/>
          <w:lang w:val="es-ES_tradnl"/>
        </w:rPr>
      </w:pPr>
    </w:p>
    <w:p w14:paraId="74E97459" w14:textId="77777777" w:rsidR="00111E46" w:rsidRPr="00A92DA2" w:rsidRDefault="00111E46" w:rsidP="00111E46">
      <w:pPr>
        <w:tabs>
          <w:tab w:val="center" w:pos="5400"/>
        </w:tabs>
        <w:suppressAutoHyphens/>
        <w:jc w:val="center"/>
        <w:rPr>
          <w:rFonts w:ascii="Cambria" w:hAnsi="Cambria"/>
          <w:b/>
          <w:sz w:val="20"/>
          <w:lang w:val="es-ES_tradnl"/>
        </w:rPr>
      </w:pPr>
      <w:r w:rsidRPr="00A92DA2">
        <w:rPr>
          <w:rFonts w:ascii="Cambria" w:hAnsi="Cambria"/>
          <w:noProof/>
          <w:sz w:val="18"/>
          <w:szCs w:val="22"/>
          <w:lang w:val="en-US" w:eastAsia="en-US"/>
        </w:rPr>
        <mc:AlternateContent>
          <mc:Choice Requires="wps">
            <w:drawing>
              <wp:anchor distT="0" distB="0" distL="114300" distR="114300" simplePos="0" relativeHeight="251665408" behindDoc="0" locked="0" layoutInCell="1" allowOverlap="1" wp14:anchorId="40503A6A" wp14:editId="1B61116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CEAD2" w14:textId="22E1923D" w:rsidR="008C1880" w:rsidRPr="00D72DC6" w:rsidRDefault="0069257E" w:rsidP="00111E46">
                            <w:pPr>
                              <w:rPr>
                                <w:color w:val="FFFFFF" w:themeColor="background1"/>
                                <w14:textFill>
                                  <w14:noFill/>
                                </w14:textFill>
                              </w:rPr>
                            </w:pPr>
                            <w:r>
                              <w:rPr>
                                <w:noProof/>
                                <w:color w:val="FFFFFF" w:themeColor="background1"/>
                                <w:lang w:val="en-US" w:eastAsia="en-US"/>
                              </w:rPr>
                              <w:drawing>
                                <wp:inline distT="0" distB="0" distL="0" distR="0" wp14:anchorId="42B3F9EA" wp14:editId="18CE3AAC">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03A6A"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A4CEAD2" w14:textId="22E1923D" w:rsidR="008C1880" w:rsidRPr="00D72DC6" w:rsidRDefault="0069257E" w:rsidP="00111E46">
                      <w:pPr>
                        <w:rPr>
                          <w:color w:val="FFFFFF" w:themeColor="background1"/>
                          <w14:textFill>
                            <w14:noFill/>
                          </w14:textFill>
                        </w:rPr>
                      </w:pPr>
                      <w:r>
                        <w:rPr>
                          <w:noProof/>
                          <w:color w:val="FFFFFF" w:themeColor="background1"/>
                          <w:lang w:val="en-US" w:eastAsia="en-US"/>
                        </w:rPr>
                        <w:drawing>
                          <wp:inline distT="0" distB="0" distL="0" distR="0" wp14:anchorId="42B3F9EA" wp14:editId="18CE3AAC">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92DA2">
        <w:rPr>
          <w:rFonts w:ascii="Cambria" w:hAnsi="Cambria"/>
          <w:noProof/>
          <w:sz w:val="22"/>
          <w:szCs w:val="22"/>
          <w:lang w:val="en-US" w:eastAsia="en-US"/>
        </w:rPr>
        <mc:AlternateContent>
          <mc:Choice Requires="wps">
            <w:drawing>
              <wp:anchor distT="0" distB="0" distL="114300" distR="114300" simplePos="0" relativeHeight="251666432" behindDoc="0" locked="0" layoutInCell="1" allowOverlap="1" wp14:anchorId="38A3D09C" wp14:editId="7F86CE5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4D7E2" w14:textId="77777777" w:rsidR="008C1880" w:rsidRPr="004B7EB6" w:rsidRDefault="008C1880" w:rsidP="00111E46">
                            <w:pPr>
                              <w:jc w:val="center"/>
                              <w:rPr>
                                <w:rFonts w:asciiTheme="minorHAnsi" w:hAnsiTheme="minorHAnsi"/>
                                <w:b/>
                                <w:color w:val="FFFFFF" w:themeColor="background1"/>
                              </w:rPr>
                            </w:pPr>
                            <w:r w:rsidRPr="004B7EB6">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8A3D09C"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7A4D7E2" w14:textId="77777777" w:rsidR="008C1880" w:rsidRPr="004B7EB6" w:rsidRDefault="008C1880" w:rsidP="00111E46">
                      <w:pPr>
                        <w:jc w:val="center"/>
                        <w:rPr>
                          <w:rFonts w:asciiTheme="minorHAnsi" w:hAnsiTheme="minorHAnsi"/>
                          <w:b/>
                          <w:color w:val="FFFFFF" w:themeColor="background1"/>
                        </w:rPr>
                      </w:pPr>
                      <w:r w:rsidRPr="004B7EB6">
                        <w:rPr>
                          <w:rFonts w:asciiTheme="minorHAnsi" w:hAnsiTheme="minorHAnsi"/>
                          <w:b/>
                          <w:color w:val="FFFFFF" w:themeColor="background1"/>
                        </w:rPr>
                        <w:t>www.cidh.org</w:t>
                      </w:r>
                    </w:p>
                  </w:txbxContent>
                </v:textbox>
              </v:shape>
            </w:pict>
          </mc:Fallback>
        </mc:AlternateContent>
      </w:r>
    </w:p>
    <w:p w14:paraId="3B216313" w14:textId="77777777" w:rsidR="00111E46" w:rsidRPr="00A92DA2" w:rsidRDefault="00111E46" w:rsidP="00111E46">
      <w:pPr>
        <w:tabs>
          <w:tab w:val="center" w:pos="5400"/>
        </w:tabs>
        <w:suppressAutoHyphens/>
        <w:jc w:val="center"/>
        <w:rPr>
          <w:rFonts w:ascii="Cambria" w:hAnsi="Cambria"/>
          <w:b/>
          <w:sz w:val="20"/>
          <w:lang w:val="es-ES_tradnl"/>
        </w:rPr>
        <w:sectPr w:rsidR="00111E46" w:rsidRPr="00A92DA2" w:rsidSect="00111E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26"/>
        </w:sectPr>
      </w:pPr>
      <w:r w:rsidRPr="00A92DA2">
        <w:rPr>
          <w:rFonts w:ascii="Cambria" w:hAnsi="Cambria"/>
          <w:b/>
          <w:sz w:val="20"/>
          <w:lang w:val="es-ES_tradnl"/>
        </w:rPr>
        <w:tab/>
      </w:r>
    </w:p>
    <w:p w14:paraId="0AE29810" w14:textId="77777777" w:rsidR="00111E46" w:rsidRPr="00A92DA2" w:rsidRDefault="00111E46" w:rsidP="00111E46">
      <w:pPr>
        <w:spacing w:after="240"/>
        <w:ind w:firstLine="720"/>
        <w:jc w:val="both"/>
        <w:rPr>
          <w:rFonts w:ascii="Cambria" w:hAnsi="Cambria"/>
          <w:b/>
          <w:bCs/>
          <w:sz w:val="20"/>
          <w:szCs w:val="20"/>
          <w:lang w:val="es-ES"/>
        </w:rPr>
      </w:pPr>
      <w:r w:rsidRPr="00A92DA2">
        <w:rPr>
          <w:rFonts w:ascii="Cambria" w:hAnsi="Cambria"/>
          <w:b/>
          <w:bCs/>
          <w:sz w:val="20"/>
          <w:szCs w:val="20"/>
          <w:lang w:val="es-ES"/>
        </w:rPr>
        <w:lastRenderedPageBreak/>
        <w:t>I.</w:t>
      </w:r>
      <w:r w:rsidRPr="00A92DA2">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11E46" w:rsidRPr="00A92DA2" w14:paraId="66770C75" w14:textId="77777777" w:rsidTr="00B52252">
        <w:tc>
          <w:tcPr>
            <w:tcW w:w="3600" w:type="dxa"/>
            <w:tcBorders>
              <w:top w:val="single" w:sz="4" w:space="0" w:color="auto"/>
              <w:bottom w:val="single" w:sz="6" w:space="0" w:color="auto"/>
            </w:tcBorders>
            <w:shd w:val="clear" w:color="auto" w:fill="386294"/>
            <w:vAlign w:val="center"/>
          </w:tcPr>
          <w:p w14:paraId="31F04E38"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t>Parte peticionaria:</w:t>
            </w:r>
          </w:p>
        </w:tc>
        <w:tc>
          <w:tcPr>
            <w:tcW w:w="5760" w:type="dxa"/>
            <w:vAlign w:val="center"/>
          </w:tcPr>
          <w:p w14:paraId="6AF57ADB" w14:textId="77777777" w:rsidR="00111E46" w:rsidRPr="00A92DA2" w:rsidRDefault="00111E46" w:rsidP="00B52252">
            <w:pPr>
              <w:jc w:val="both"/>
              <w:rPr>
                <w:rFonts w:ascii="Cambria" w:hAnsi="Cambria"/>
                <w:bCs/>
              </w:rPr>
            </w:pPr>
            <w:r w:rsidRPr="00A92DA2">
              <w:rPr>
                <w:rFonts w:ascii="Cambria" w:hAnsi="Cambria"/>
                <w:bCs/>
              </w:rPr>
              <w:t>Patricia Elena Fernandez Acosta</w:t>
            </w:r>
          </w:p>
        </w:tc>
      </w:tr>
      <w:tr w:rsidR="00111E46" w:rsidRPr="00A92DA2" w14:paraId="0674D75B" w14:textId="77777777" w:rsidTr="00B52252">
        <w:tc>
          <w:tcPr>
            <w:tcW w:w="3600" w:type="dxa"/>
            <w:tcBorders>
              <w:top w:val="single" w:sz="6" w:space="0" w:color="auto"/>
              <w:bottom w:val="single" w:sz="6" w:space="0" w:color="auto"/>
            </w:tcBorders>
            <w:shd w:val="clear" w:color="auto" w:fill="386294"/>
            <w:vAlign w:val="center"/>
          </w:tcPr>
          <w:p w14:paraId="0025C9BC" w14:textId="77777777" w:rsidR="00111E46" w:rsidRPr="00A92DA2" w:rsidRDefault="002B7F57" w:rsidP="00B52252">
            <w:pPr>
              <w:jc w:val="center"/>
              <w:rPr>
                <w:rFonts w:ascii="Cambria" w:hAnsi="Cambria"/>
                <w:b/>
                <w:bCs/>
                <w:color w:val="FFFFFF" w:themeColor="background1"/>
              </w:rPr>
            </w:pPr>
            <w:sdt>
              <w:sdtPr>
                <w:rPr>
                  <w:rFonts w:ascii="Cambria" w:hAnsi="Cambria"/>
                  <w:b/>
                  <w:bCs/>
                  <w:color w:val="FFFFFF" w:themeColor="background1"/>
                </w:rPr>
                <w:alias w:val="Elegir una opción"/>
                <w:tag w:val="Elegir una opción"/>
                <w:id w:val="931095713"/>
                <w:placeholder>
                  <w:docPart w:val="FFB9ADEEFE6F1E48B3F78E0401B33F8C"/>
                </w:placeholder>
                <w:dropDownList>
                  <w:listItem w:value="Choose an item."/>
                  <w:listItem w:displayText="Presunta víctima" w:value="Presunta víctima"/>
                  <w:listItem w:displayText="Presuntas víctimas" w:value="Presuntas víctimas"/>
                </w:dropDownList>
              </w:sdtPr>
              <w:sdtEndPr/>
              <w:sdtContent>
                <w:r w:rsidR="00111E46" w:rsidRPr="00A92DA2">
                  <w:rPr>
                    <w:rFonts w:ascii="Cambria" w:hAnsi="Cambria"/>
                    <w:b/>
                    <w:bCs/>
                    <w:color w:val="FFFFFF" w:themeColor="background1"/>
                  </w:rPr>
                  <w:t>Presunta víctima</w:t>
                </w:r>
              </w:sdtContent>
            </w:sdt>
            <w:r w:rsidR="00111E46" w:rsidRPr="00A92DA2">
              <w:rPr>
                <w:rFonts w:ascii="Cambria" w:hAnsi="Cambria"/>
                <w:b/>
                <w:bCs/>
                <w:color w:val="FFFFFF" w:themeColor="background1"/>
              </w:rPr>
              <w:t>:</w:t>
            </w:r>
          </w:p>
        </w:tc>
        <w:tc>
          <w:tcPr>
            <w:tcW w:w="5760" w:type="dxa"/>
            <w:vAlign w:val="center"/>
          </w:tcPr>
          <w:p w14:paraId="44B8F3FC" w14:textId="48B4229D" w:rsidR="00111E46" w:rsidRPr="00A92DA2" w:rsidRDefault="00AF0138" w:rsidP="004E2A78">
            <w:pPr>
              <w:jc w:val="both"/>
              <w:rPr>
                <w:rFonts w:ascii="Cambria" w:hAnsi="Cambria"/>
                <w:bCs/>
              </w:rPr>
            </w:pPr>
            <w:r w:rsidRPr="00A92DA2">
              <w:rPr>
                <w:rFonts w:ascii="Cambria" w:hAnsi="Cambria"/>
                <w:bCs/>
              </w:rPr>
              <w:t>Familiares de v</w:t>
            </w:r>
            <w:r w:rsidR="00817999" w:rsidRPr="00A92DA2">
              <w:rPr>
                <w:rFonts w:ascii="Cambria" w:hAnsi="Cambria"/>
                <w:bCs/>
              </w:rPr>
              <w:t>íctima</w:t>
            </w:r>
            <w:r w:rsidR="004E2A78" w:rsidRPr="00A92DA2">
              <w:rPr>
                <w:rFonts w:ascii="Cambria" w:hAnsi="Cambria"/>
                <w:bCs/>
              </w:rPr>
              <w:t xml:space="preserve">s de la masacre y </w:t>
            </w:r>
            <w:r w:rsidR="0069257E">
              <w:rPr>
                <w:rFonts w:ascii="Cambria" w:hAnsi="Cambria"/>
                <w:bCs/>
              </w:rPr>
              <w:t xml:space="preserve"> ví</w:t>
            </w:r>
            <w:r w:rsidRPr="00A92DA2">
              <w:rPr>
                <w:rFonts w:ascii="Cambria" w:hAnsi="Cambria"/>
                <w:bCs/>
              </w:rPr>
              <w:t xml:space="preserve">ctimas de </w:t>
            </w:r>
            <w:r w:rsidR="004E2A78" w:rsidRPr="00A92DA2">
              <w:rPr>
                <w:rFonts w:ascii="Cambria" w:hAnsi="Cambria"/>
                <w:bCs/>
              </w:rPr>
              <w:t xml:space="preserve">posterior desplazamiento forzado </w:t>
            </w:r>
            <w:r w:rsidR="00111E46" w:rsidRPr="00A92DA2">
              <w:rPr>
                <w:rFonts w:ascii="Cambria" w:hAnsi="Cambria"/>
                <w:bCs/>
              </w:rPr>
              <w:t>del Corregimiento de Santa Cecilia y veredas en enero de 2000</w:t>
            </w:r>
            <w:r w:rsidR="00111E46" w:rsidRPr="00A92DA2">
              <w:rPr>
                <w:rStyle w:val="FootnoteReference"/>
                <w:rFonts w:ascii="Cambria" w:hAnsi="Cambria"/>
                <w:bCs/>
              </w:rPr>
              <w:footnoteReference w:id="1"/>
            </w:r>
          </w:p>
        </w:tc>
      </w:tr>
      <w:tr w:rsidR="00111E46" w:rsidRPr="00A92DA2" w14:paraId="216CF143" w14:textId="77777777" w:rsidTr="00B52252">
        <w:tc>
          <w:tcPr>
            <w:tcW w:w="3600" w:type="dxa"/>
            <w:tcBorders>
              <w:top w:val="single" w:sz="6" w:space="0" w:color="auto"/>
              <w:bottom w:val="single" w:sz="6" w:space="0" w:color="auto"/>
            </w:tcBorders>
            <w:shd w:val="clear" w:color="auto" w:fill="386294"/>
            <w:vAlign w:val="center"/>
          </w:tcPr>
          <w:p w14:paraId="4B766086"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t>Estado denunciado:</w:t>
            </w:r>
          </w:p>
        </w:tc>
        <w:tc>
          <w:tcPr>
            <w:tcW w:w="5760" w:type="dxa"/>
            <w:vAlign w:val="center"/>
          </w:tcPr>
          <w:p w14:paraId="1761E3CD" w14:textId="77777777" w:rsidR="00111E46" w:rsidRPr="00A92DA2" w:rsidRDefault="00111E46" w:rsidP="00B52252">
            <w:pPr>
              <w:jc w:val="both"/>
              <w:rPr>
                <w:rFonts w:ascii="Cambria" w:hAnsi="Cambria"/>
                <w:bCs/>
              </w:rPr>
            </w:pPr>
            <w:r w:rsidRPr="00A92DA2">
              <w:rPr>
                <w:rFonts w:ascii="Cambria" w:hAnsi="Cambria"/>
                <w:bCs/>
              </w:rPr>
              <w:t>Colombia</w:t>
            </w:r>
          </w:p>
        </w:tc>
      </w:tr>
      <w:tr w:rsidR="00111E46" w:rsidRPr="00A92DA2" w14:paraId="76D45912" w14:textId="77777777" w:rsidTr="00B52252">
        <w:tc>
          <w:tcPr>
            <w:tcW w:w="3600" w:type="dxa"/>
            <w:tcBorders>
              <w:top w:val="single" w:sz="6" w:space="0" w:color="auto"/>
              <w:bottom w:val="single" w:sz="6" w:space="0" w:color="auto"/>
            </w:tcBorders>
            <w:shd w:val="clear" w:color="auto" w:fill="386294"/>
            <w:vAlign w:val="center"/>
          </w:tcPr>
          <w:p w14:paraId="6B705D3F"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t>Derechos invocados:</w:t>
            </w:r>
          </w:p>
        </w:tc>
        <w:tc>
          <w:tcPr>
            <w:tcW w:w="5760" w:type="dxa"/>
            <w:vAlign w:val="center"/>
          </w:tcPr>
          <w:p w14:paraId="50B625C8" w14:textId="77777777" w:rsidR="00111E46" w:rsidRPr="00A92DA2" w:rsidRDefault="00111E46" w:rsidP="00B52252">
            <w:pPr>
              <w:jc w:val="both"/>
              <w:rPr>
                <w:rFonts w:ascii="Cambria" w:hAnsi="Cambria"/>
                <w:bCs/>
                <w:sz w:val="19"/>
                <w:szCs w:val="19"/>
                <w:lang w:val="es-419"/>
              </w:rPr>
            </w:pPr>
            <w:r w:rsidRPr="00A92DA2">
              <w:rPr>
                <w:rFonts w:ascii="Cambria" w:hAnsi="Cambria"/>
                <w:bCs/>
                <w:sz w:val="19"/>
                <w:szCs w:val="19"/>
              </w:rPr>
              <w:t>Artículos 4 (vida), 5 (integridad personal), 6 (prohibición de la esclavitud y servidumbre), 7 (libertad personal), 8 (garantías judiciales), 11 (protección de la honra y de la dignidad), 15 (reunión), 16 (libertad de asociación), 17 (protección a la familia), 19 (derechos del niño), 21 (propiedad privada), 22 (circulación y residencia), 23 (derechos políticos), 24 (igualdad ante la ley) y 25 (protección judicial) de la Convención Americana sobre Derechos Humanos</w:t>
            </w:r>
            <w:r w:rsidRPr="00A92DA2">
              <w:rPr>
                <w:rStyle w:val="FootnoteReference"/>
                <w:rFonts w:ascii="Cambria" w:hAnsi="Cambria"/>
                <w:bCs/>
                <w:sz w:val="19"/>
                <w:szCs w:val="19"/>
              </w:rPr>
              <w:footnoteReference w:id="2"/>
            </w:r>
            <w:r w:rsidRPr="00A92DA2">
              <w:rPr>
                <w:rFonts w:ascii="Cambria" w:hAnsi="Cambria"/>
                <w:bCs/>
                <w:sz w:val="19"/>
                <w:szCs w:val="19"/>
              </w:rPr>
              <w:t xml:space="preserve"> </w:t>
            </w:r>
            <w:r w:rsidRPr="00A92DA2">
              <w:rPr>
                <w:rFonts w:ascii="Cambria" w:hAnsi="Cambria"/>
                <w:bCs/>
                <w:sz w:val="19"/>
                <w:szCs w:val="19"/>
                <w:lang w:val="es-419"/>
              </w:rPr>
              <w:t>en relación con sus artículos 1.1 (obligación de respetar los derechos) y 2 (deber de adoptar disposiciones de derecho interno) y artículo 7 de la Convención Interamericana para Prevenir, Sancionar y Erradicar la Violencia contra la Mujer</w:t>
            </w:r>
            <w:r w:rsidRPr="00A92DA2">
              <w:rPr>
                <w:rStyle w:val="FootnoteReference"/>
                <w:rFonts w:ascii="Cambria" w:hAnsi="Cambria"/>
                <w:bCs/>
                <w:sz w:val="19"/>
                <w:szCs w:val="19"/>
                <w:lang w:val="es-419"/>
              </w:rPr>
              <w:footnoteReference w:id="3"/>
            </w:r>
          </w:p>
        </w:tc>
      </w:tr>
    </w:tbl>
    <w:p w14:paraId="4B6A0B90" w14:textId="77777777" w:rsidR="00111E46" w:rsidRPr="00A92DA2" w:rsidRDefault="00111E46" w:rsidP="00111E46">
      <w:pPr>
        <w:spacing w:before="240" w:after="240"/>
        <w:ind w:firstLine="720"/>
        <w:jc w:val="both"/>
        <w:rPr>
          <w:rFonts w:ascii="Cambria" w:hAnsi="Cambria"/>
          <w:b/>
          <w:bCs/>
          <w:sz w:val="20"/>
          <w:szCs w:val="20"/>
          <w:lang w:val="es-ES"/>
        </w:rPr>
      </w:pPr>
      <w:r w:rsidRPr="00A92DA2">
        <w:rPr>
          <w:rFonts w:ascii="Cambria" w:hAnsi="Cambria"/>
          <w:b/>
          <w:bCs/>
          <w:sz w:val="20"/>
          <w:szCs w:val="20"/>
          <w:lang w:val="es-ES"/>
        </w:rPr>
        <w:t>II.</w:t>
      </w:r>
      <w:r w:rsidRPr="00A92DA2">
        <w:rPr>
          <w:rFonts w:ascii="Cambria" w:hAnsi="Cambria"/>
          <w:b/>
          <w:bCs/>
          <w:sz w:val="20"/>
          <w:szCs w:val="20"/>
          <w:lang w:val="es-ES"/>
        </w:rPr>
        <w:tab/>
        <w:t>TRÁMITE ANTE LA CIDH</w:t>
      </w:r>
      <w:r w:rsidRPr="00A92DA2">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11E46" w:rsidRPr="00A92DA2" w14:paraId="73A6A06E" w14:textId="77777777" w:rsidTr="00B52252">
        <w:tc>
          <w:tcPr>
            <w:tcW w:w="3600" w:type="dxa"/>
            <w:tcBorders>
              <w:top w:val="single" w:sz="6" w:space="0" w:color="auto"/>
              <w:bottom w:val="single" w:sz="6" w:space="0" w:color="auto"/>
            </w:tcBorders>
            <w:shd w:val="clear" w:color="auto" w:fill="386294"/>
            <w:vAlign w:val="center"/>
          </w:tcPr>
          <w:p w14:paraId="3E4A6F40"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t>Presentación de la petición:</w:t>
            </w:r>
          </w:p>
        </w:tc>
        <w:tc>
          <w:tcPr>
            <w:tcW w:w="5760" w:type="dxa"/>
            <w:vAlign w:val="center"/>
          </w:tcPr>
          <w:p w14:paraId="489ABF38" w14:textId="77777777" w:rsidR="00111E46" w:rsidRPr="00A92DA2" w:rsidRDefault="00111E46" w:rsidP="00B52252">
            <w:pPr>
              <w:jc w:val="both"/>
              <w:rPr>
                <w:rFonts w:ascii="Cambria" w:hAnsi="Cambria"/>
                <w:bCs/>
                <w:color w:val="000000" w:themeColor="text1"/>
              </w:rPr>
            </w:pPr>
            <w:r w:rsidRPr="00A92DA2">
              <w:rPr>
                <w:rFonts w:ascii="Cambria" w:hAnsi="Cambria"/>
                <w:bCs/>
                <w:color w:val="000000" w:themeColor="text1"/>
              </w:rPr>
              <w:t>6 de enero de 2011</w:t>
            </w:r>
          </w:p>
        </w:tc>
      </w:tr>
      <w:tr w:rsidR="00111E46" w:rsidRPr="00A92DA2" w14:paraId="331CF77E" w14:textId="77777777" w:rsidTr="00B52252">
        <w:tc>
          <w:tcPr>
            <w:tcW w:w="3600" w:type="dxa"/>
            <w:tcBorders>
              <w:top w:val="single" w:sz="6" w:space="0" w:color="auto"/>
              <w:bottom w:val="single" w:sz="6" w:space="0" w:color="auto"/>
            </w:tcBorders>
            <w:shd w:val="clear" w:color="auto" w:fill="386294"/>
            <w:vAlign w:val="center"/>
          </w:tcPr>
          <w:p w14:paraId="5A659B0A" w14:textId="77777777" w:rsidR="00111E46" w:rsidRPr="00A92DA2" w:rsidRDefault="00111E46" w:rsidP="00B52252">
            <w:pPr>
              <w:jc w:val="center"/>
              <w:rPr>
                <w:rFonts w:ascii="Cambria" w:hAnsi="Cambria"/>
                <w:b/>
                <w:bCs/>
                <w:color w:val="FFFFFF" w:themeColor="background1"/>
              </w:rPr>
            </w:pPr>
            <w:r w:rsidRPr="00A92DA2">
              <w:rPr>
                <w:rFonts w:ascii="Cambria" w:hAnsi="Cambria"/>
                <w:b/>
                <w:color w:val="FFFFFF" w:themeColor="background1"/>
              </w:rPr>
              <w:t>Notificación de la petición al Estado:</w:t>
            </w:r>
          </w:p>
        </w:tc>
        <w:tc>
          <w:tcPr>
            <w:tcW w:w="5760" w:type="dxa"/>
            <w:vAlign w:val="center"/>
          </w:tcPr>
          <w:p w14:paraId="06F9AAE0" w14:textId="749A0C86" w:rsidR="00111E46" w:rsidRPr="00A92DA2" w:rsidRDefault="00111E46" w:rsidP="00B52252">
            <w:pPr>
              <w:jc w:val="both"/>
              <w:rPr>
                <w:rFonts w:ascii="Cambria" w:hAnsi="Cambria"/>
                <w:bCs/>
                <w:color w:val="000000" w:themeColor="text1"/>
              </w:rPr>
            </w:pPr>
            <w:r w:rsidRPr="00A92DA2">
              <w:rPr>
                <w:rFonts w:ascii="Cambria" w:hAnsi="Cambria"/>
                <w:bCs/>
                <w:color w:val="000000" w:themeColor="text1"/>
              </w:rPr>
              <w:t>9 de jun</w:t>
            </w:r>
            <w:r w:rsidR="00B6684D" w:rsidRPr="00A92DA2">
              <w:rPr>
                <w:rFonts w:ascii="Cambria" w:hAnsi="Cambria"/>
                <w:bCs/>
                <w:color w:val="000000" w:themeColor="text1"/>
              </w:rPr>
              <w:t>i</w:t>
            </w:r>
            <w:r w:rsidRPr="00A92DA2">
              <w:rPr>
                <w:rFonts w:ascii="Cambria" w:hAnsi="Cambria"/>
                <w:bCs/>
                <w:color w:val="000000" w:themeColor="text1"/>
              </w:rPr>
              <w:t>o de 2017</w:t>
            </w:r>
          </w:p>
        </w:tc>
      </w:tr>
      <w:tr w:rsidR="00111E46" w:rsidRPr="00A92DA2" w14:paraId="3CAA744B" w14:textId="77777777" w:rsidTr="00B52252">
        <w:tc>
          <w:tcPr>
            <w:tcW w:w="3600" w:type="dxa"/>
            <w:tcBorders>
              <w:top w:val="single" w:sz="6" w:space="0" w:color="auto"/>
              <w:bottom w:val="single" w:sz="6" w:space="0" w:color="auto"/>
            </w:tcBorders>
            <w:shd w:val="clear" w:color="auto" w:fill="386294"/>
            <w:vAlign w:val="center"/>
          </w:tcPr>
          <w:p w14:paraId="794F6560" w14:textId="77777777" w:rsidR="00111E46" w:rsidRPr="00A92DA2" w:rsidRDefault="00111E46" w:rsidP="00B52252">
            <w:pPr>
              <w:jc w:val="center"/>
              <w:rPr>
                <w:rFonts w:ascii="Cambria" w:hAnsi="Cambria"/>
                <w:b/>
                <w:bCs/>
                <w:color w:val="FFFFFF" w:themeColor="background1"/>
              </w:rPr>
            </w:pPr>
            <w:r w:rsidRPr="00A92DA2">
              <w:rPr>
                <w:rFonts w:ascii="Cambria" w:hAnsi="Cambria"/>
                <w:b/>
                <w:color w:val="FFFFFF" w:themeColor="background1"/>
              </w:rPr>
              <w:t>Primera respuesta del Estado:</w:t>
            </w:r>
          </w:p>
        </w:tc>
        <w:tc>
          <w:tcPr>
            <w:tcW w:w="5760" w:type="dxa"/>
            <w:vAlign w:val="center"/>
          </w:tcPr>
          <w:p w14:paraId="75F11473" w14:textId="77777777" w:rsidR="00111E46" w:rsidRPr="00A92DA2" w:rsidRDefault="00111E46" w:rsidP="00B52252">
            <w:pPr>
              <w:jc w:val="both"/>
              <w:rPr>
                <w:rFonts w:ascii="Cambria" w:hAnsi="Cambria"/>
                <w:bCs/>
                <w:color w:val="000000" w:themeColor="text1"/>
              </w:rPr>
            </w:pPr>
            <w:r w:rsidRPr="00A92DA2">
              <w:rPr>
                <w:rFonts w:ascii="Cambria" w:hAnsi="Cambria"/>
                <w:bCs/>
                <w:color w:val="000000" w:themeColor="text1"/>
              </w:rPr>
              <w:t>30 de abril de 2018</w:t>
            </w:r>
          </w:p>
        </w:tc>
      </w:tr>
      <w:tr w:rsidR="00111E46" w:rsidRPr="00A92DA2" w14:paraId="65245DE9" w14:textId="77777777" w:rsidTr="00B52252">
        <w:tc>
          <w:tcPr>
            <w:tcW w:w="3600" w:type="dxa"/>
            <w:tcBorders>
              <w:top w:val="single" w:sz="6" w:space="0" w:color="auto"/>
              <w:bottom w:val="single" w:sz="6" w:space="0" w:color="auto"/>
            </w:tcBorders>
            <w:shd w:val="clear" w:color="auto" w:fill="386294"/>
            <w:vAlign w:val="center"/>
          </w:tcPr>
          <w:p w14:paraId="723C261A"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t>Observaciones adicionales de la parte peticionaria:</w:t>
            </w:r>
          </w:p>
        </w:tc>
        <w:tc>
          <w:tcPr>
            <w:tcW w:w="5760" w:type="dxa"/>
            <w:vAlign w:val="center"/>
          </w:tcPr>
          <w:p w14:paraId="088EB0E1" w14:textId="3859B4A9" w:rsidR="00111E46" w:rsidRPr="00A92DA2" w:rsidRDefault="00235A2C" w:rsidP="00B52252">
            <w:pPr>
              <w:jc w:val="both"/>
              <w:rPr>
                <w:rFonts w:ascii="Cambria" w:hAnsi="Cambria"/>
                <w:bCs/>
                <w:color w:val="000000" w:themeColor="text1"/>
              </w:rPr>
            </w:pPr>
            <w:r w:rsidRPr="00A92DA2">
              <w:rPr>
                <w:rFonts w:ascii="Cambria" w:hAnsi="Cambria"/>
                <w:bCs/>
                <w:color w:val="000000" w:themeColor="text1"/>
              </w:rPr>
              <w:t>27</w:t>
            </w:r>
            <w:r w:rsidR="00111E46" w:rsidRPr="00A92DA2">
              <w:rPr>
                <w:rFonts w:ascii="Cambria" w:hAnsi="Cambria"/>
                <w:bCs/>
                <w:color w:val="000000" w:themeColor="text1"/>
              </w:rPr>
              <w:t xml:space="preserve"> de noviembre de 2018</w:t>
            </w:r>
          </w:p>
        </w:tc>
      </w:tr>
    </w:tbl>
    <w:p w14:paraId="3F3399FF" w14:textId="77777777" w:rsidR="00111E46" w:rsidRPr="00A92DA2" w:rsidRDefault="00111E46" w:rsidP="00111E46">
      <w:pPr>
        <w:spacing w:before="240" w:after="240"/>
        <w:ind w:firstLine="720"/>
        <w:jc w:val="both"/>
        <w:rPr>
          <w:rFonts w:ascii="Cambria" w:hAnsi="Cambria"/>
          <w:b/>
          <w:bCs/>
          <w:sz w:val="20"/>
          <w:szCs w:val="20"/>
          <w:lang w:val="es-ES"/>
        </w:rPr>
      </w:pPr>
      <w:r w:rsidRPr="00A92DA2">
        <w:rPr>
          <w:rFonts w:ascii="Cambria" w:hAnsi="Cambria"/>
          <w:b/>
          <w:bCs/>
          <w:sz w:val="20"/>
          <w:szCs w:val="20"/>
          <w:lang w:val="es-ES"/>
        </w:rPr>
        <w:t xml:space="preserve">III. </w:t>
      </w:r>
      <w:r w:rsidRPr="00A92DA2">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111E46" w:rsidRPr="00A92DA2" w14:paraId="6CB430E2" w14:textId="77777777" w:rsidTr="00B52252">
        <w:trPr>
          <w:cantSplit/>
        </w:trPr>
        <w:tc>
          <w:tcPr>
            <w:tcW w:w="3600" w:type="dxa"/>
            <w:tcBorders>
              <w:top w:val="single" w:sz="4" w:space="0" w:color="auto"/>
              <w:bottom w:val="single" w:sz="6" w:space="0" w:color="auto"/>
            </w:tcBorders>
            <w:shd w:val="clear" w:color="auto" w:fill="386294"/>
            <w:vAlign w:val="center"/>
          </w:tcPr>
          <w:p w14:paraId="39A7AA1F" w14:textId="77777777" w:rsidR="00111E46" w:rsidRPr="00A92DA2" w:rsidRDefault="00111E46" w:rsidP="00B52252">
            <w:pPr>
              <w:jc w:val="center"/>
              <w:rPr>
                <w:rFonts w:ascii="Cambria" w:hAnsi="Cambria"/>
                <w:b/>
                <w:bCs/>
                <w:i/>
                <w:color w:val="FFFFFF" w:themeColor="background1"/>
              </w:rPr>
            </w:pPr>
            <w:r w:rsidRPr="00A92DA2">
              <w:rPr>
                <w:rFonts w:ascii="Cambria" w:hAnsi="Cambria"/>
                <w:b/>
                <w:bCs/>
                <w:color w:val="FFFFFF" w:themeColor="background1"/>
              </w:rPr>
              <w:t>Competencia</w:t>
            </w:r>
            <w:r w:rsidRPr="00A92DA2">
              <w:rPr>
                <w:rFonts w:ascii="Cambria" w:hAnsi="Cambria"/>
                <w:b/>
                <w:bCs/>
                <w:i/>
                <w:color w:val="FFFFFF" w:themeColor="background1"/>
              </w:rPr>
              <w:t xml:space="preserve"> </w:t>
            </w:r>
            <w:proofErr w:type="spellStart"/>
            <w:r w:rsidRPr="00A92DA2">
              <w:rPr>
                <w:rFonts w:ascii="Cambria" w:hAnsi="Cambria"/>
                <w:b/>
                <w:bCs/>
                <w:i/>
                <w:color w:val="FFFFFF" w:themeColor="background1"/>
              </w:rPr>
              <w:t>Ratione</w:t>
            </w:r>
            <w:proofErr w:type="spellEnd"/>
            <w:r w:rsidRPr="00A92DA2">
              <w:rPr>
                <w:rFonts w:ascii="Cambria" w:hAnsi="Cambria"/>
                <w:b/>
                <w:bCs/>
                <w:i/>
                <w:color w:val="FFFFFF" w:themeColor="background1"/>
              </w:rPr>
              <w:t xml:space="preserve"> </w:t>
            </w:r>
            <w:proofErr w:type="spellStart"/>
            <w:r w:rsidRPr="00A92DA2">
              <w:rPr>
                <w:rFonts w:ascii="Cambria" w:hAnsi="Cambria"/>
                <w:b/>
                <w:bCs/>
                <w:i/>
                <w:color w:val="FFFFFF" w:themeColor="background1"/>
              </w:rPr>
              <w:t>personae</w:t>
            </w:r>
            <w:proofErr w:type="spellEnd"/>
            <w:r w:rsidRPr="00A92DA2">
              <w:rPr>
                <w:rFonts w:ascii="Cambria" w:hAnsi="Cambria"/>
                <w:b/>
                <w:bCs/>
                <w:i/>
                <w:color w:val="FFFFFF" w:themeColor="background1"/>
              </w:rPr>
              <w:t>:</w:t>
            </w:r>
          </w:p>
        </w:tc>
        <w:tc>
          <w:tcPr>
            <w:tcW w:w="5760" w:type="dxa"/>
            <w:vAlign w:val="center"/>
          </w:tcPr>
          <w:p w14:paraId="703642F9" w14:textId="77777777" w:rsidR="00111E46" w:rsidRPr="00A92DA2" w:rsidRDefault="00111E46" w:rsidP="00B52252">
            <w:pPr>
              <w:rPr>
                <w:rFonts w:ascii="Cambria" w:hAnsi="Cambria"/>
                <w:bCs/>
              </w:rPr>
            </w:pPr>
            <w:r w:rsidRPr="00A92DA2">
              <w:rPr>
                <w:rFonts w:ascii="Cambria" w:hAnsi="Cambria"/>
                <w:bCs/>
              </w:rPr>
              <w:t>Sí</w:t>
            </w:r>
          </w:p>
        </w:tc>
      </w:tr>
      <w:tr w:rsidR="00111E46" w:rsidRPr="00A92DA2" w14:paraId="450F3CE9" w14:textId="77777777" w:rsidTr="00B52252">
        <w:trPr>
          <w:cantSplit/>
        </w:trPr>
        <w:tc>
          <w:tcPr>
            <w:tcW w:w="3600" w:type="dxa"/>
            <w:tcBorders>
              <w:top w:val="single" w:sz="6" w:space="0" w:color="auto"/>
              <w:bottom w:val="single" w:sz="6" w:space="0" w:color="auto"/>
            </w:tcBorders>
            <w:shd w:val="clear" w:color="auto" w:fill="386294"/>
            <w:vAlign w:val="center"/>
          </w:tcPr>
          <w:p w14:paraId="57C433A1"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t>Competencia</w:t>
            </w:r>
            <w:r w:rsidRPr="00A92DA2">
              <w:rPr>
                <w:rFonts w:ascii="Cambria" w:hAnsi="Cambria"/>
                <w:b/>
                <w:bCs/>
                <w:i/>
                <w:color w:val="FFFFFF" w:themeColor="background1"/>
              </w:rPr>
              <w:t xml:space="preserve"> </w:t>
            </w:r>
            <w:proofErr w:type="spellStart"/>
            <w:r w:rsidRPr="00A92DA2">
              <w:rPr>
                <w:rFonts w:ascii="Cambria" w:hAnsi="Cambria"/>
                <w:b/>
                <w:bCs/>
                <w:i/>
                <w:color w:val="FFFFFF" w:themeColor="background1"/>
              </w:rPr>
              <w:t>Ratione</w:t>
            </w:r>
            <w:proofErr w:type="spellEnd"/>
            <w:r w:rsidRPr="00A92DA2">
              <w:rPr>
                <w:rFonts w:ascii="Cambria" w:hAnsi="Cambria"/>
                <w:b/>
                <w:bCs/>
                <w:i/>
                <w:color w:val="FFFFFF" w:themeColor="background1"/>
              </w:rPr>
              <w:t xml:space="preserve"> </w:t>
            </w:r>
            <w:proofErr w:type="spellStart"/>
            <w:r w:rsidRPr="00A92DA2">
              <w:rPr>
                <w:rFonts w:ascii="Cambria" w:hAnsi="Cambria"/>
                <w:b/>
                <w:bCs/>
                <w:i/>
                <w:color w:val="FFFFFF" w:themeColor="background1"/>
              </w:rPr>
              <w:t>loci</w:t>
            </w:r>
            <w:proofErr w:type="spellEnd"/>
            <w:r w:rsidRPr="00A92DA2">
              <w:rPr>
                <w:rFonts w:ascii="Cambria" w:hAnsi="Cambria"/>
                <w:b/>
                <w:bCs/>
                <w:color w:val="FFFFFF" w:themeColor="background1"/>
              </w:rPr>
              <w:t>:</w:t>
            </w:r>
          </w:p>
        </w:tc>
        <w:tc>
          <w:tcPr>
            <w:tcW w:w="5760" w:type="dxa"/>
            <w:vAlign w:val="center"/>
          </w:tcPr>
          <w:p w14:paraId="1CFD8620" w14:textId="77777777" w:rsidR="00111E46" w:rsidRPr="00A92DA2" w:rsidRDefault="00111E46" w:rsidP="00B52252">
            <w:pPr>
              <w:rPr>
                <w:rFonts w:ascii="Cambria" w:hAnsi="Cambria"/>
                <w:bCs/>
              </w:rPr>
            </w:pPr>
            <w:r w:rsidRPr="00A92DA2">
              <w:rPr>
                <w:rFonts w:ascii="Cambria" w:hAnsi="Cambria"/>
                <w:bCs/>
              </w:rPr>
              <w:t>Sí</w:t>
            </w:r>
          </w:p>
        </w:tc>
      </w:tr>
      <w:tr w:rsidR="00111E46" w:rsidRPr="00A92DA2" w14:paraId="270987E5" w14:textId="77777777" w:rsidTr="00B52252">
        <w:trPr>
          <w:cantSplit/>
        </w:trPr>
        <w:tc>
          <w:tcPr>
            <w:tcW w:w="3600" w:type="dxa"/>
            <w:tcBorders>
              <w:top w:val="single" w:sz="6" w:space="0" w:color="auto"/>
              <w:bottom w:val="single" w:sz="6" w:space="0" w:color="auto"/>
            </w:tcBorders>
            <w:shd w:val="clear" w:color="auto" w:fill="386294"/>
            <w:vAlign w:val="center"/>
          </w:tcPr>
          <w:p w14:paraId="74A094D4"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t>Competencia</w:t>
            </w:r>
            <w:r w:rsidRPr="00A92DA2">
              <w:rPr>
                <w:rFonts w:ascii="Cambria" w:hAnsi="Cambria"/>
                <w:b/>
                <w:bCs/>
                <w:i/>
                <w:color w:val="FFFFFF" w:themeColor="background1"/>
              </w:rPr>
              <w:t xml:space="preserve"> </w:t>
            </w:r>
            <w:proofErr w:type="spellStart"/>
            <w:r w:rsidRPr="00A92DA2">
              <w:rPr>
                <w:rFonts w:ascii="Cambria" w:hAnsi="Cambria"/>
                <w:b/>
                <w:bCs/>
                <w:i/>
                <w:color w:val="FFFFFF" w:themeColor="background1"/>
              </w:rPr>
              <w:t>Ratione</w:t>
            </w:r>
            <w:proofErr w:type="spellEnd"/>
            <w:r w:rsidRPr="00A92DA2">
              <w:rPr>
                <w:rFonts w:ascii="Cambria" w:hAnsi="Cambria"/>
                <w:b/>
                <w:bCs/>
                <w:i/>
                <w:color w:val="FFFFFF" w:themeColor="background1"/>
              </w:rPr>
              <w:t xml:space="preserve"> </w:t>
            </w:r>
            <w:proofErr w:type="spellStart"/>
            <w:r w:rsidRPr="00A92DA2">
              <w:rPr>
                <w:rFonts w:ascii="Cambria" w:hAnsi="Cambria"/>
                <w:b/>
                <w:bCs/>
                <w:i/>
                <w:color w:val="FFFFFF" w:themeColor="background1"/>
              </w:rPr>
              <w:t>temporis</w:t>
            </w:r>
            <w:proofErr w:type="spellEnd"/>
            <w:r w:rsidRPr="00A92DA2">
              <w:rPr>
                <w:rFonts w:ascii="Cambria" w:hAnsi="Cambria"/>
                <w:b/>
                <w:bCs/>
                <w:color w:val="FFFFFF" w:themeColor="background1"/>
              </w:rPr>
              <w:t>:</w:t>
            </w:r>
          </w:p>
        </w:tc>
        <w:tc>
          <w:tcPr>
            <w:tcW w:w="5760" w:type="dxa"/>
            <w:vAlign w:val="center"/>
          </w:tcPr>
          <w:p w14:paraId="4F7A6F38" w14:textId="77777777" w:rsidR="00111E46" w:rsidRPr="00A92DA2" w:rsidRDefault="00111E46" w:rsidP="00B52252">
            <w:pPr>
              <w:rPr>
                <w:rFonts w:ascii="Cambria" w:hAnsi="Cambria"/>
                <w:bCs/>
              </w:rPr>
            </w:pPr>
            <w:r w:rsidRPr="00A92DA2">
              <w:rPr>
                <w:rFonts w:ascii="Cambria" w:hAnsi="Cambria"/>
                <w:bCs/>
              </w:rPr>
              <w:t xml:space="preserve">Sí </w:t>
            </w:r>
          </w:p>
        </w:tc>
      </w:tr>
      <w:tr w:rsidR="00111E46" w:rsidRPr="00A92DA2" w14:paraId="578FF060" w14:textId="77777777" w:rsidTr="00B52252">
        <w:trPr>
          <w:cantSplit/>
        </w:trPr>
        <w:tc>
          <w:tcPr>
            <w:tcW w:w="3600" w:type="dxa"/>
            <w:tcBorders>
              <w:top w:val="single" w:sz="6" w:space="0" w:color="auto"/>
              <w:bottom w:val="single" w:sz="6" w:space="0" w:color="auto"/>
            </w:tcBorders>
            <w:shd w:val="clear" w:color="auto" w:fill="386294"/>
            <w:vAlign w:val="center"/>
          </w:tcPr>
          <w:p w14:paraId="33AF19C9"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t>Competencia</w:t>
            </w:r>
            <w:r w:rsidRPr="00A92DA2">
              <w:rPr>
                <w:rFonts w:ascii="Cambria" w:hAnsi="Cambria"/>
                <w:b/>
                <w:bCs/>
                <w:i/>
                <w:color w:val="FFFFFF" w:themeColor="background1"/>
              </w:rPr>
              <w:t xml:space="preserve"> </w:t>
            </w:r>
            <w:proofErr w:type="spellStart"/>
            <w:r w:rsidRPr="00A92DA2">
              <w:rPr>
                <w:rFonts w:ascii="Cambria" w:hAnsi="Cambria"/>
                <w:b/>
                <w:bCs/>
                <w:i/>
                <w:color w:val="FFFFFF" w:themeColor="background1"/>
              </w:rPr>
              <w:t>Ratione</w:t>
            </w:r>
            <w:proofErr w:type="spellEnd"/>
            <w:r w:rsidRPr="00A92DA2">
              <w:rPr>
                <w:rFonts w:ascii="Cambria" w:hAnsi="Cambria"/>
                <w:b/>
                <w:bCs/>
                <w:i/>
                <w:color w:val="FFFFFF" w:themeColor="background1"/>
              </w:rPr>
              <w:t xml:space="preserve"> </w:t>
            </w:r>
            <w:proofErr w:type="spellStart"/>
            <w:r w:rsidRPr="00A92DA2">
              <w:rPr>
                <w:rFonts w:ascii="Cambria" w:hAnsi="Cambria"/>
                <w:b/>
                <w:bCs/>
                <w:i/>
                <w:color w:val="FFFFFF" w:themeColor="background1"/>
              </w:rPr>
              <w:t>materiae</w:t>
            </w:r>
            <w:proofErr w:type="spellEnd"/>
            <w:r w:rsidRPr="00A92DA2">
              <w:rPr>
                <w:rFonts w:ascii="Cambria" w:hAnsi="Cambria"/>
                <w:b/>
                <w:bCs/>
                <w:color w:val="FFFFFF" w:themeColor="background1"/>
              </w:rPr>
              <w:t>:</w:t>
            </w:r>
          </w:p>
        </w:tc>
        <w:tc>
          <w:tcPr>
            <w:tcW w:w="5760" w:type="dxa"/>
            <w:vAlign w:val="center"/>
          </w:tcPr>
          <w:p w14:paraId="5F7CF355" w14:textId="77777777" w:rsidR="00111E46" w:rsidRPr="00A92DA2" w:rsidRDefault="00111E46" w:rsidP="00B52252">
            <w:pPr>
              <w:jc w:val="both"/>
              <w:rPr>
                <w:rFonts w:ascii="Cambria" w:hAnsi="Cambria"/>
                <w:bCs/>
                <w:lang w:val="es-419"/>
              </w:rPr>
            </w:pPr>
            <w:r w:rsidRPr="00A92DA2">
              <w:rPr>
                <w:rFonts w:ascii="Cambria" w:hAnsi="Cambria"/>
                <w:bCs/>
                <w:sz w:val="19"/>
                <w:szCs w:val="19"/>
              </w:rPr>
              <w:t xml:space="preserve">Convención Americana (instrumento adoptado en el 31 de julio de 1973) y </w:t>
            </w:r>
            <w:r w:rsidRPr="00A92DA2">
              <w:rPr>
                <w:rFonts w:ascii="Cambria" w:hAnsi="Cambria"/>
                <w:bCs/>
                <w:sz w:val="19"/>
                <w:szCs w:val="19"/>
                <w:lang w:val="es-419"/>
              </w:rPr>
              <w:t>Convención de Belém do Para (instrumento adoptado</w:t>
            </w:r>
            <w:r w:rsidRPr="00A92DA2">
              <w:rPr>
                <w:rFonts w:ascii="Cambria" w:hAnsi="Cambria"/>
                <w:bCs/>
                <w:lang w:val="es-419"/>
              </w:rPr>
              <w:t xml:space="preserve"> en el 15 de noviembre de 1996)</w:t>
            </w:r>
          </w:p>
        </w:tc>
      </w:tr>
    </w:tbl>
    <w:p w14:paraId="48056D50" w14:textId="77777777" w:rsidR="00111E46" w:rsidRPr="00A92DA2" w:rsidRDefault="00111E46" w:rsidP="00111E46">
      <w:pPr>
        <w:spacing w:before="240" w:after="240"/>
        <w:ind w:firstLine="720"/>
        <w:jc w:val="both"/>
        <w:rPr>
          <w:rFonts w:ascii="Cambria" w:hAnsi="Cambria"/>
          <w:b/>
          <w:bCs/>
          <w:sz w:val="20"/>
          <w:szCs w:val="20"/>
          <w:lang w:val="es-ES"/>
        </w:rPr>
      </w:pPr>
      <w:r w:rsidRPr="00A92DA2">
        <w:rPr>
          <w:rFonts w:ascii="Cambria" w:hAnsi="Cambria"/>
          <w:b/>
          <w:bCs/>
          <w:sz w:val="20"/>
          <w:szCs w:val="20"/>
          <w:lang w:val="es-ES"/>
        </w:rPr>
        <w:t xml:space="preserve">IV. </w:t>
      </w:r>
      <w:r w:rsidRPr="00A92DA2">
        <w:rPr>
          <w:rFonts w:ascii="Cambria" w:hAnsi="Cambria"/>
          <w:b/>
          <w:bCs/>
          <w:sz w:val="20"/>
          <w:szCs w:val="20"/>
          <w:lang w:val="es-ES"/>
        </w:rPr>
        <w:tab/>
        <w:t>DUPLICACIÓN</w:t>
      </w:r>
      <w:r w:rsidRPr="00A92DA2">
        <w:rPr>
          <w:rFonts w:ascii="Cambria" w:hAnsi="Cambria"/>
          <w:b/>
          <w:bCs/>
          <w:color w:val="FFFFFF" w:themeColor="background1"/>
          <w:sz w:val="20"/>
          <w:szCs w:val="20"/>
          <w:lang w:val="es-ES"/>
        </w:rPr>
        <w:t xml:space="preserve"> </w:t>
      </w:r>
      <w:r w:rsidRPr="00A92DA2">
        <w:rPr>
          <w:rFonts w:ascii="Cambria" w:hAnsi="Cambria"/>
          <w:b/>
          <w:bCs/>
          <w:sz w:val="20"/>
          <w:szCs w:val="20"/>
          <w:lang w:val="es-ES"/>
        </w:rPr>
        <w:t>DE PROCEDIMIENTOS Y COSA JUZGADA</w:t>
      </w:r>
      <w:r w:rsidRPr="00A92DA2">
        <w:rPr>
          <w:rFonts w:ascii="Cambria" w:hAnsi="Cambria"/>
          <w:b/>
          <w:bCs/>
          <w:i/>
          <w:sz w:val="20"/>
          <w:szCs w:val="20"/>
          <w:lang w:val="es-ES"/>
        </w:rPr>
        <w:t xml:space="preserve"> </w:t>
      </w:r>
      <w:r w:rsidRPr="00A92DA2">
        <w:rPr>
          <w:rFonts w:ascii="Cambria" w:hAnsi="Cambria"/>
          <w:b/>
          <w:bCs/>
          <w:sz w:val="20"/>
          <w:szCs w:val="20"/>
          <w:lang w:val="es-ES"/>
        </w:rPr>
        <w:t xml:space="preserve">INTERNACIONAL, CARACTERIZACIÓN, </w:t>
      </w:r>
      <w:r w:rsidRPr="00A92DA2">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111E46" w:rsidRPr="00A92DA2" w14:paraId="446ED4CC" w14:textId="77777777" w:rsidTr="00B52252">
        <w:trPr>
          <w:cantSplit/>
        </w:trPr>
        <w:tc>
          <w:tcPr>
            <w:tcW w:w="3600" w:type="dxa"/>
            <w:tcBorders>
              <w:top w:val="single" w:sz="4" w:space="0" w:color="auto"/>
              <w:bottom w:val="single" w:sz="6" w:space="0" w:color="auto"/>
            </w:tcBorders>
            <w:shd w:val="clear" w:color="auto" w:fill="386294"/>
            <w:vAlign w:val="center"/>
          </w:tcPr>
          <w:p w14:paraId="133F791F"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t>Duplicación de procedimientos y cosa juzgada internacional:</w:t>
            </w:r>
          </w:p>
        </w:tc>
        <w:tc>
          <w:tcPr>
            <w:tcW w:w="5760" w:type="dxa"/>
            <w:vAlign w:val="center"/>
          </w:tcPr>
          <w:p w14:paraId="051652B0" w14:textId="77777777" w:rsidR="00111E46" w:rsidRPr="00A92DA2" w:rsidRDefault="00111E46" w:rsidP="00B52252">
            <w:pPr>
              <w:jc w:val="both"/>
              <w:rPr>
                <w:rFonts w:ascii="Cambria" w:hAnsi="Cambria"/>
                <w:bCs/>
              </w:rPr>
            </w:pPr>
            <w:r w:rsidRPr="00A92DA2">
              <w:rPr>
                <w:rFonts w:ascii="Cambria" w:hAnsi="Cambria"/>
                <w:bCs/>
              </w:rPr>
              <w:t>No</w:t>
            </w:r>
          </w:p>
        </w:tc>
      </w:tr>
      <w:tr w:rsidR="00111E46" w:rsidRPr="00A92DA2" w14:paraId="44685781" w14:textId="77777777" w:rsidTr="00B52252">
        <w:trPr>
          <w:cantSplit/>
        </w:trPr>
        <w:tc>
          <w:tcPr>
            <w:tcW w:w="3600" w:type="dxa"/>
            <w:tcBorders>
              <w:top w:val="single" w:sz="4" w:space="0" w:color="auto"/>
              <w:bottom w:val="single" w:sz="6" w:space="0" w:color="auto"/>
            </w:tcBorders>
            <w:shd w:val="clear" w:color="auto" w:fill="386294"/>
            <w:vAlign w:val="center"/>
          </w:tcPr>
          <w:p w14:paraId="6AE66C0D" w14:textId="77777777" w:rsidR="00111E46" w:rsidRPr="00A92DA2" w:rsidRDefault="00111E46" w:rsidP="00B52252">
            <w:pPr>
              <w:jc w:val="center"/>
              <w:rPr>
                <w:rFonts w:ascii="Cambria" w:hAnsi="Cambria"/>
                <w:b/>
                <w:bCs/>
                <w:i/>
                <w:color w:val="FFFFFF" w:themeColor="background1"/>
              </w:rPr>
            </w:pPr>
            <w:r w:rsidRPr="00A92DA2">
              <w:rPr>
                <w:rFonts w:ascii="Cambria" w:hAnsi="Cambria"/>
                <w:b/>
                <w:bCs/>
                <w:color w:val="FFFFFF" w:themeColor="background1"/>
              </w:rPr>
              <w:t>Derechos declarados admisibles</w:t>
            </w:r>
            <w:r w:rsidRPr="00A92DA2">
              <w:rPr>
                <w:rFonts w:ascii="Cambria" w:hAnsi="Cambria"/>
                <w:b/>
                <w:bCs/>
                <w:i/>
                <w:color w:val="FFFFFF" w:themeColor="background1"/>
              </w:rPr>
              <w:t>:</w:t>
            </w:r>
          </w:p>
        </w:tc>
        <w:tc>
          <w:tcPr>
            <w:tcW w:w="5760" w:type="dxa"/>
            <w:vAlign w:val="center"/>
          </w:tcPr>
          <w:p w14:paraId="24CC15AD" w14:textId="19BDA479" w:rsidR="00111E46" w:rsidRPr="00A92DA2" w:rsidRDefault="00111E46" w:rsidP="00B52252">
            <w:pPr>
              <w:jc w:val="both"/>
              <w:rPr>
                <w:rFonts w:ascii="Cambria" w:hAnsi="Cambria"/>
                <w:bCs/>
                <w:sz w:val="19"/>
                <w:szCs w:val="19"/>
                <w:lang w:val="es-419"/>
              </w:rPr>
            </w:pPr>
            <w:r w:rsidRPr="00A92DA2">
              <w:rPr>
                <w:rFonts w:ascii="Cambria" w:hAnsi="Cambria"/>
                <w:bCs/>
                <w:sz w:val="19"/>
                <w:szCs w:val="19"/>
                <w:lang w:val="es-419"/>
              </w:rPr>
              <w:t xml:space="preserve">Artículos </w:t>
            </w:r>
            <w:r w:rsidRPr="00A92DA2">
              <w:rPr>
                <w:rFonts w:ascii="Cambria" w:hAnsi="Cambria"/>
                <w:bCs/>
                <w:sz w:val="19"/>
                <w:szCs w:val="19"/>
              </w:rPr>
              <w:t xml:space="preserve">4 (vida), 5 (integridad personal), </w:t>
            </w:r>
            <w:r w:rsidR="00231FE9" w:rsidRPr="00A92DA2">
              <w:rPr>
                <w:rFonts w:ascii="Cambria" w:hAnsi="Cambria"/>
                <w:bCs/>
                <w:sz w:val="19"/>
                <w:szCs w:val="19"/>
              </w:rPr>
              <w:t xml:space="preserve">6 (prohibición de la esclavitud y servidumbre), 7 (libertad personal), </w:t>
            </w:r>
            <w:r w:rsidRPr="00A92DA2">
              <w:rPr>
                <w:rFonts w:ascii="Cambria" w:hAnsi="Cambria"/>
                <w:bCs/>
                <w:sz w:val="19"/>
                <w:szCs w:val="19"/>
              </w:rPr>
              <w:t>8 (garantías judiciales), 11 (protección de la honra y de la dignidad), 19 (derechos del niño), 21 (propiedad privada), 22 (circulación y residencia)</w:t>
            </w:r>
            <w:r w:rsidR="00B6684D" w:rsidRPr="00A92DA2">
              <w:rPr>
                <w:rFonts w:ascii="Cambria" w:hAnsi="Cambria"/>
                <w:bCs/>
                <w:sz w:val="19"/>
                <w:szCs w:val="19"/>
              </w:rPr>
              <w:t>,</w:t>
            </w:r>
            <w:r w:rsidRPr="00A92DA2">
              <w:rPr>
                <w:rFonts w:ascii="Cambria" w:hAnsi="Cambria"/>
                <w:bCs/>
                <w:sz w:val="19"/>
                <w:szCs w:val="19"/>
              </w:rPr>
              <w:t xml:space="preserve"> 25 (protección judicial)</w:t>
            </w:r>
            <w:r w:rsidR="00B6684D" w:rsidRPr="00A92DA2">
              <w:rPr>
                <w:rFonts w:ascii="Cambria" w:hAnsi="Cambria"/>
                <w:bCs/>
                <w:sz w:val="19"/>
                <w:szCs w:val="19"/>
              </w:rPr>
              <w:t xml:space="preserve"> y 26 (derechos económicos, sociales y culturales)</w:t>
            </w:r>
            <w:r w:rsidRPr="00A92DA2">
              <w:rPr>
                <w:rFonts w:ascii="Cambria" w:hAnsi="Cambria"/>
                <w:bCs/>
                <w:sz w:val="19"/>
                <w:szCs w:val="19"/>
              </w:rPr>
              <w:t xml:space="preserve"> de la Convención Americana </w:t>
            </w:r>
            <w:r w:rsidRPr="00A92DA2">
              <w:rPr>
                <w:rFonts w:ascii="Cambria" w:hAnsi="Cambria"/>
                <w:bCs/>
                <w:sz w:val="19"/>
                <w:szCs w:val="19"/>
                <w:lang w:val="es-419"/>
              </w:rPr>
              <w:t>en relación con sus artículos 1.1 (obligación de respetar los derechos) y 2 (deber de adoptar disposiciones de derecho interno) y artículo 7 de la Convención de Belém do Pará</w:t>
            </w:r>
          </w:p>
        </w:tc>
      </w:tr>
      <w:tr w:rsidR="00111E46" w:rsidRPr="00A92DA2" w14:paraId="2AE51651" w14:textId="77777777" w:rsidTr="00B52252">
        <w:trPr>
          <w:cantSplit/>
        </w:trPr>
        <w:tc>
          <w:tcPr>
            <w:tcW w:w="3600" w:type="dxa"/>
            <w:tcBorders>
              <w:top w:val="single" w:sz="6" w:space="0" w:color="auto"/>
              <w:bottom w:val="single" w:sz="6" w:space="0" w:color="auto"/>
            </w:tcBorders>
            <w:shd w:val="clear" w:color="auto" w:fill="386294"/>
            <w:vAlign w:val="center"/>
          </w:tcPr>
          <w:p w14:paraId="71F1B88A"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lastRenderedPageBreak/>
              <w:t>Agotamiento de recursos internos o procedencia de una excepción:</w:t>
            </w:r>
          </w:p>
        </w:tc>
        <w:tc>
          <w:tcPr>
            <w:tcW w:w="5760" w:type="dxa"/>
            <w:vAlign w:val="center"/>
          </w:tcPr>
          <w:p w14:paraId="61418DAD" w14:textId="77777777" w:rsidR="00111E46" w:rsidRPr="00A92DA2" w:rsidRDefault="00111E46" w:rsidP="00B52252">
            <w:pPr>
              <w:rPr>
                <w:rFonts w:ascii="Cambria" w:hAnsi="Cambria"/>
                <w:bCs/>
                <w:lang w:val="es-US"/>
              </w:rPr>
            </w:pPr>
            <w:r w:rsidRPr="00A92DA2">
              <w:rPr>
                <w:rFonts w:ascii="Cambria" w:hAnsi="Cambria"/>
                <w:bCs/>
                <w:lang w:val="es-US"/>
              </w:rPr>
              <w:t>Sí, en los términos de la Sección VI</w:t>
            </w:r>
          </w:p>
        </w:tc>
      </w:tr>
      <w:tr w:rsidR="00111E46" w:rsidRPr="00A92DA2" w14:paraId="767E5745" w14:textId="77777777" w:rsidTr="00B52252">
        <w:trPr>
          <w:cantSplit/>
        </w:trPr>
        <w:tc>
          <w:tcPr>
            <w:tcW w:w="3600" w:type="dxa"/>
            <w:tcBorders>
              <w:top w:val="single" w:sz="6" w:space="0" w:color="auto"/>
              <w:bottom w:val="single" w:sz="6" w:space="0" w:color="auto"/>
            </w:tcBorders>
            <w:shd w:val="clear" w:color="auto" w:fill="386294"/>
            <w:vAlign w:val="center"/>
          </w:tcPr>
          <w:p w14:paraId="3195ED8E" w14:textId="77777777" w:rsidR="00111E46" w:rsidRPr="00A92DA2" w:rsidRDefault="00111E46" w:rsidP="00B52252">
            <w:pPr>
              <w:jc w:val="center"/>
              <w:rPr>
                <w:rFonts w:ascii="Cambria" w:hAnsi="Cambria"/>
                <w:b/>
                <w:bCs/>
                <w:color w:val="FFFFFF" w:themeColor="background1"/>
              </w:rPr>
            </w:pPr>
            <w:r w:rsidRPr="00A92DA2">
              <w:rPr>
                <w:rFonts w:ascii="Cambria" w:hAnsi="Cambria"/>
                <w:b/>
                <w:bCs/>
                <w:color w:val="FFFFFF" w:themeColor="background1"/>
              </w:rPr>
              <w:t>Presentación dentro de plazo:</w:t>
            </w:r>
          </w:p>
        </w:tc>
        <w:tc>
          <w:tcPr>
            <w:tcW w:w="5760" w:type="dxa"/>
            <w:vAlign w:val="center"/>
          </w:tcPr>
          <w:p w14:paraId="5FC7290A" w14:textId="77777777" w:rsidR="00111E46" w:rsidRPr="00A92DA2" w:rsidRDefault="00111E46" w:rsidP="00B52252">
            <w:pPr>
              <w:rPr>
                <w:rFonts w:ascii="Cambria" w:hAnsi="Cambria"/>
                <w:bCs/>
                <w:lang w:val="es-US"/>
              </w:rPr>
            </w:pPr>
            <w:r w:rsidRPr="00A92DA2">
              <w:rPr>
                <w:rFonts w:ascii="Cambria" w:hAnsi="Cambria"/>
                <w:bCs/>
                <w:lang w:val="es-US"/>
              </w:rPr>
              <w:t>Sí, en los términos de la Sección VI</w:t>
            </w:r>
          </w:p>
        </w:tc>
      </w:tr>
    </w:tbl>
    <w:p w14:paraId="67E6EED2" w14:textId="48161107" w:rsidR="00111E46" w:rsidRPr="00A92DA2" w:rsidRDefault="00111E46" w:rsidP="00111E46">
      <w:pPr>
        <w:spacing w:before="240" w:after="240"/>
        <w:ind w:firstLine="720"/>
        <w:jc w:val="both"/>
        <w:rPr>
          <w:rFonts w:ascii="Cambria" w:hAnsi="Cambria"/>
          <w:b/>
          <w:sz w:val="20"/>
          <w:szCs w:val="20"/>
          <w:lang w:val="es-UY"/>
        </w:rPr>
      </w:pPr>
      <w:r w:rsidRPr="00A92DA2">
        <w:rPr>
          <w:rFonts w:ascii="Cambria" w:hAnsi="Cambria"/>
          <w:b/>
          <w:sz w:val="20"/>
          <w:szCs w:val="20"/>
          <w:lang w:val="es-UY"/>
        </w:rPr>
        <w:t xml:space="preserve">V. </w:t>
      </w:r>
      <w:r w:rsidRPr="00A92DA2">
        <w:rPr>
          <w:rFonts w:ascii="Cambria" w:hAnsi="Cambria"/>
          <w:b/>
          <w:sz w:val="20"/>
          <w:szCs w:val="20"/>
          <w:lang w:val="es-UY"/>
        </w:rPr>
        <w:tab/>
        <w:t xml:space="preserve">HECHOS ALEGADOS </w:t>
      </w:r>
    </w:p>
    <w:p w14:paraId="2164D8C4" w14:textId="0C1EDFF0" w:rsidR="00111E46" w:rsidRPr="00A92DA2" w:rsidRDefault="00111E46"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 xml:space="preserve">La parte peticionaria afirma que el Estado colombiano es responsable por las violaciones de derechos humanos de las presuntas víctimas en razón de la </w:t>
      </w:r>
      <w:r w:rsidR="006363FA" w:rsidRPr="00A92DA2">
        <w:rPr>
          <w:rFonts w:ascii="Cambria" w:hAnsi="Cambria"/>
          <w:color w:val="000000" w:themeColor="text1"/>
          <w:sz w:val="20"/>
          <w:szCs w:val="20"/>
          <w:lang w:val="es-419"/>
        </w:rPr>
        <w:t>matanza</w:t>
      </w:r>
      <w:r w:rsidRPr="00A92DA2">
        <w:rPr>
          <w:rFonts w:ascii="Cambria" w:hAnsi="Cambria"/>
          <w:color w:val="000000" w:themeColor="text1"/>
          <w:sz w:val="20"/>
          <w:szCs w:val="20"/>
          <w:lang w:val="es-419"/>
        </w:rPr>
        <w:t xml:space="preserve"> colectiva (masacre) </w:t>
      </w:r>
      <w:r w:rsidR="006363FA" w:rsidRPr="00A92DA2">
        <w:rPr>
          <w:rFonts w:ascii="Cambria" w:hAnsi="Cambria"/>
          <w:color w:val="000000" w:themeColor="text1"/>
          <w:sz w:val="20"/>
          <w:szCs w:val="20"/>
          <w:lang w:val="es-419"/>
        </w:rPr>
        <w:t>perpetrad</w:t>
      </w:r>
      <w:r w:rsidR="002C271E" w:rsidRPr="00A92DA2">
        <w:rPr>
          <w:rFonts w:ascii="Cambria" w:hAnsi="Cambria"/>
          <w:color w:val="000000" w:themeColor="text1"/>
          <w:sz w:val="20"/>
          <w:szCs w:val="20"/>
          <w:lang w:val="es-419"/>
        </w:rPr>
        <w:t>a</w:t>
      </w:r>
      <w:r w:rsidR="006363FA" w:rsidRPr="00A92DA2">
        <w:rPr>
          <w:rFonts w:ascii="Cambria" w:hAnsi="Cambria"/>
          <w:color w:val="000000" w:themeColor="text1"/>
          <w:sz w:val="20"/>
          <w:szCs w:val="20"/>
          <w:lang w:val="es-419"/>
        </w:rPr>
        <w:t xml:space="preserve"> por el grupo paramilitar Autodefensas Unidas de Colombia (en adelante “las AUC”) en el corregimiento de Santa Cecilia y veredas en enero del 2000 </w:t>
      </w:r>
      <w:r w:rsidRPr="00A92DA2">
        <w:rPr>
          <w:rFonts w:ascii="Cambria" w:hAnsi="Cambria"/>
          <w:color w:val="000000" w:themeColor="text1"/>
          <w:sz w:val="20"/>
          <w:szCs w:val="20"/>
          <w:lang w:val="es-419"/>
        </w:rPr>
        <w:t xml:space="preserve">y </w:t>
      </w:r>
      <w:r w:rsidR="002C271E" w:rsidRPr="00A92DA2">
        <w:rPr>
          <w:rFonts w:ascii="Cambria" w:hAnsi="Cambria"/>
          <w:color w:val="000000" w:themeColor="text1"/>
          <w:sz w:val="20"/>
          <w:szCs w:val="20"/>
          <w:lang w:val="es-419"/>
        </w:rPr>
        <w:t xml:space="preserve">por el </w:t>
      </w:r>
      <w:r w:rsidR="006363FA" w:rsidRPr="00A92DA2">
        <w:rPr>
          <w:rFonts w:ascii="Cambria" w:hAnsi="Cambria"/>
          <w:color w:val="000000" w:themeColor="text1"/>
          <w:sz w:val="20"/>
          <w:szCs w:val="20"/>
          <w:lang w:val="es-419"/>
        </w:rPr>
        <w:t xml:space="preserve">posterior </w:t>
      </w:r>
      <w:r w:rsidRPr="00A92DA2">
        <w:rPr>
          <w:rFonts w:ascii="Cambria" w:hAnsi="Cambria"/>
          <w:color w:val="000000" w:themeColor="text1"/>
          <w:sz w:val="20"/>
          <w:szCs w:val="20"/>
          <w:lang w:val="es-419"/>
        </w:rPr>
        <w:t xml:space="preserve">desplazamiento forzado </w:t>
      </w:r>
      <w:r w:rsidR="00F77CEA" w:rsidRPr="00A92DA2">
        <w:rPr>
          <w:rFonts w:ascii="Cambria" w:hAnsi="Cambria"/>
          <w:color w:val="000000" w:themeColor="text1"/>
          <w:sz w:val="20"/>
          <w:szCs w:val="20"/>
          <w:lang w:val="es-419"/>
        </w:rPr>
        <w:t>de sus</w:t>
      </w:r>
      <w:r w:rsidR="002D40AD" w:rsidRPr="00A92DA2">
        <w:rPr>
          <w:rFonts w:ascii="Cambria" w:hAnsi="Cambria"/>
          <w:color w:val="000000" w:themeColor="text1"/>
          <w:sz w:val="20"/>
          <w:szCs w:val="20"/>
          <w:lang w:val="es-419"/>
        </w:rPr>
        <w:t xml:space="preserve"> sobrevivientes </w:t>
      </w:r>
      <w:r w:rsidR="00F77CEA" w:rsidRPr="00A92DA2">
        <w:rPr>
          <w:rFonts w:ascii="Cambria" w:hAnsi="Cambria"/>
          <w:color w:val="000000" w:themeColor="text1"/>
          <w:sz w:val="20"/>
          <w:szCs w:val="20"/>
          <w:lang w:val="es-419"/>
        </w:rPr>
        <w:t xml:space="preserve">como resultado del ataque. Sostienen que la </w:t>
      </w:r>
      <w:r w:rsidR="002D40AD" w:rsidRPr="00A92DA2">
        <w:rPr>
          <w:rFonts w:ascii="Cambria" w:hAnsi="Cambria"/>
          <w:color w:val="000000" w:themeColor="text1"/>
          <w:sz w:val="20"/>
          <w:szCs w:val="20"/>
          <w:lang w:val="es-419"/>
        </w:rPr>
        <w:t xml:space="preserve">zona </w:t>
      </w:r>
      <w:r w:rsidR="00F77CEA" w:rsidRPr="00A92DA2">
        <w:rPr>
          <w:rFonts w:ascii="Cambria" w:hAnsi="Cambria"/>
          <w:color w:val="000000" w:themeColor="text1"/>
          <w:sz w:val="20"/>
          <w:szCs w:val="20"/>
          <w:lang w:val="es-419"/>
        </w:rPr>
        <w:t xml:space="preserve">contaba con </w:t>
      </w:r>
      <w:r w:rsidR="002D40AD" w:rsidRPr="00A92DA2">
        <w:rPr>
          <w:rFonts w:ascii="Cambria" w:hAnsi="Cambria"/>
          <w:color w:val="000000" w:themeColor="text1"/>
          <w:sz w:val="20"/>
          <w:szCs w:val="20"/>
          <w:lang w:val="es-419"/>
        </w:rPr>
        <w:t>presencia de la fuerza pública</w:t>
      </w:r>
      <w:r w:rsidR="00F77CEA" w:rsidRPr="00A92DA2">
        <w:rPr>
          <w:rFonts w:ascii="Cambria" w:hAnsi="Cambria"/>
          <w:color w:val="000000" w:themeColor="text1"/>
          <w:sz w:val="20"/>
          <w:szCs w:val="20"/>
          <w:lang w:val="es-419"/>
        </w:rPr>
        <w:t>, por lo que d</w:t>
      </w:r>
      <w:r w:rsidR="00817999" w:rsidRPr="00A92DA2">
        <w:rPr>
          <w:rFonts w:ascii="Cambria" w:hAnsi="Cambria"/>
          <w:color w:val="000000" w:themeColor="text1"/>
          <w:sz w:val="20"/>
          <w:szCs w:val="20"/>
          <w:lang w:val="es-419"/>
        </w:rPr>
        <w:t xml:space="preserve">enuncian </w:t>
      </w:r>
      <w:r w:rsidR="00F77CEA" w:rsidRPr="00A92DA2">
        <w:rPr>
          <w:rFonts w:ascii="Cambria" w:hAnsi="Cambria"/>
          <w:color w:val="000000" w:themeColor="text1"/>
          <w:sz w:val="20"/>
          <w:szCs w:val="20"/>
          <w:lang w:val="es-419"/>
        </w:rPr>
        <w:t>a</w:t>
      </w:r>
      <w:r w:rsidRPr="00A92DA2">
        <w:rPr>
          <w:rFonts w:ascii="Cambria" w:hAnsi="Cambria"/>
          <w:color w:val="000000" w:themeColor="text1"/>
          <w:sz w:val="20"/>
          <w:szCs w:val="20"/>
          <w:lang w:val="es-419"/>
        </w:rPr>
        <w:t xml:space="preserve">l Estado </w:t>
      </w:r>
      <w:r w:rsidR="00F77CEA" w:rsidRPr="00A92DA2">
        <w:rPr>
          <w:rFonts w:ascii="Cambria" w:hAnsi="Cambria"/>
          <w:color w:val="000000" w:themeColor="text1"/>
          <w:sz w:val="20"/>
          <w:szCs w:val="20"/>
          <w:lang w:val="es-419"/>
        </w:rPr>
        <w:t xml:space="preserve">por su actuar </w:t>
      </w:r>
      <w:r w:rsidRPr="00A92DA2">
        <w:rPr>
          <w:rFonts w:ascii="Cambria" w:hAnsi="Cambria"/>
          <w:color w:val="000000" w:themeColor="text1"/>
          <w:sz w:val="20"/>
          <w:szCs w:val="20"/>
          <w:lang w:val="es-419"/>
        </w:rPr>
        <w:t>aquiescente, permisivo y</w:t>
      </w:r>
      <w:r w:rsidR="00F77CEA" w:rsidRPr="00A92DA2">
        <w:rPr>
          <w:rFonts w:ascii="Cambria" w:hAnsi="Cambria"/>
          <w:color w:val="000000" w:themeColor="text1"/>
          <w:sz w:val="20"/>
          <w:szCs w:val="20"/>
          <w:lang w:val="es-419"/>
        </w:rPr>
        <w:t xml:space="preserve"> de</w:t>
      </w:r>
      <w:r w:rsidRPr="00A92DA2">
        <w:rPr>
          <w:rFonts w:ascii="Cambria" w:hAnsi="Cambria"/>
          <w:color w:val="000000" w:themeColor="text1"/>
          <w:sz w:val="20"/>
          <w:szCs w:val="20"/>
          <w:lang w:val="es-419"/>
        </w:rPr>
        <w:t xml:space="preserve"> apoyo a la acción paramilitar,</w:t>
      </w:r>
      <w:r w:rsidR="00A20E3F" w:rsidRPr="00A92DA2">
        <w:rPr>
          <w:rFonts w:ascii="Cambria" w:hAnsi="Cambria"/>
          <w:color w:val="000000" w:themeColor="text1"/>
          <w:sz w:val="20"/>
          <w:szCs w:val="20"/>
          <w:lang w:val="es-419"/>
        </w:rPr>
        <w:t xml:space="preserve"> ya que</w:t>
      </w:r>
      <w:r w:rsidRPr="00A92DA2">
        <w:rPr>
          <w:rFonts w:ascii="Cambria" w:hAnsi="Cambria"/>
          <w:color w:val="000000" w:themeColor="text1"/>
          <w:sz w:val="20"/>
          <w:szCs w:val="20"/>
          <w:lang w:val="es-419"/>
        </w:rPr>
        <w:t xml:space="preserve"> </w:t>
      </w:r>
      <w:r w:rsidR="00F77CEA" w:rsidRPr="00A92DA2">
        <w:rPr>
          <w:rFonts w:ascii="Cambria" w:hAnsi="Cambria"/>
          <w:color w:val="000000" w:themeColor="text1"/>
          <w:sz w:val="20"/>
          <w:szCs w:val="20"/>
          <w:lang w:val="es-419"/>
        </w:rPr>
        <w:t>no</w:t>
      </w:r>
      <w:r w:rsidR="00817999" w:rsidRPr="00A92DA2">
        <w:rPr>
          <w:rFonts w:ascii="Cambria" w:hAnsi="Cambria"/>
          <w:color w:val="000000" w:themeColor="text1"/>
          <w:sz w:val="20"/>
          <w:szCs w:val="20"/>
          <w:lang w:val="es-419"/>
        </w:rPr>
        <w:t xml:space="preserve"> </w:t>
      </w:r>
      <w:r w:rsidR="00C2027C" w:rsidRPr="00A92DA2">
        <w:rPr>
          <w:rFonts w:ascii="Cambria" w:hAnsi="Cambria"/>
          <w:color w:val="000000" w:themeColor="text1"/>
          <w:sz w:val="20"/>
          <w:szCs w:val="20"/>
          <w:lang w:val="es-419"/>
        </w:rPr>
        <w:t>habría</w:t>
      </w:r>
      <w:r w:rsidR="00F77CEA" w:rsidRPr="00A92DA2">
        <w:rPr>
          <w:rFonts w:ascii="Cambria" w:hAnsi="Cambria"/>
          <w:color w:val="000000" w:themeColor="text1"/>
          <w:sz w:val="20"/>
          <w:szCs w:val="20"/>
          <w:lang w:val="es-419"/>
        </w:rPr>
        <w:t xml:space="preserve"> tomado las medidas necesarias para </w:t>
      </w:r>
      <w:r w:rsidRPr="00A92DA2">
        <w:rPr>
          <w:rFonts w:ascii="Cambria" w:hAnsi="Cambria"/>
          <w:color w:val="000000" w:themeColor="text1"/>
          <w:sz w:val="20"/>
          <w:szCs w:val="20"/>
          <w:lang w:val="es-419"/>
        </w:rPr>
        <w:t>evita</w:t>
      </w:r>
      <w:r w:rsidR="00817999" w:rsidRPr="00A92DA2">
        <w:rPr>
          <w:rFonts w:ascii="Cambria" w:hAnsi="Cambria"/>
          <w:color w:val="000000" w:themeColor="text1"/>
          <w:sz w:val="20"/>
          <w:szCs w:val="20"/>
          <w:lang w:val="es-419"/>
        </w:rPr>
        <w:t>r</w:t>
      </w:r>
      <w:r w:rsidRPr="00A92DA2">
        <w:rPr>
          <w:rFonts w:ascii="Cambria" w:hAnsi="Cambria"/>
          <w:color w:val="000000" w:themeColor="text1"/>
          <w:sz w:val="20"/>
          <w:szCs w:val="20"/>
          <w:lang w:val="es-419"/>
        </w:rPr>
        <w:t xml:space="preserve"> la masacre</w:t>
      </w:r>
      <w:r w:rsidR="00F77CEA" w:rsidRPr="00A92DA2">
        <w:rPr>
          <w:rFonts w:ascii="Cambria" w:hAnsi="Cambria"/>
          <w:color w:val="000000" w:themeColor="text1"/>
          <w:sz w:val="20"/>
          <w:szCs w:val="20"/>
          <w:lang w:val="es-419"/>
        </w:rPr>
        <w:t xml:space="preserve">, </w:t>
      </w:r>
      <w:r w:rsidRPr="00A92DA2">
        <w:rPr>
          <w:rFonts w:ascii="Cambria" w:hAnsi="Cambria"/>
          <w:color w:val="000000" w:themeColor="text1"/>
          <w:sz w:val="20"/>
          <w:szCs w:val="20"/>
          <w:lang w:val="es-419"/>
        </w:rPr>
        <w:t>torturas</w:t>
      </w:r>
      <w:r w:rsidR="00F77CEA" w:rsidRPr="00A92DA2">
        <w:rPr>
          <w:rFonts w:ascii="Cambria" w:hAnsi="Cambria"/>
          <w:color w:val="000000" w:themeColor="text1"/>
          <w:sz w:val="20"/>
          <w:szCs w:val="20"/>
          <w:lang w:val="es-419"/>
        </w:rPr>
        <w:t>, retencio</w:t>
      </w:r>
      <w:r w:rsidRPr="00A92DA2">
        <w:rPr>
          <w:rFonts w:ascii="Cambria" w:hAnsi="Cambria"/>
          <w:color w:val="000000" w:themeColor="text1"/>
          <w:sz w:val="20"/>
          <w:szCs w:val="20"/>
          <w:lang w:val="es-419"/>
        </w:rPr>
        <w:t>n</w:t>
      </w:r>
      <w:r w:rsidR="00F77CEA" w:rsidRPr="00A92DA2">
        <w:rPr>
          <w:rFonts w:ascii="Cambria" w:hAnsi="Cambria"/>
          <w:color w:val="000000" w:themeColor="text1"/>
          <w:sz w:val="20"/>
          <w:szCs w:val="20"/>
          <w:lang w:val="es-419"/>
        </w:rPr>
        <w:t>es</w:t>
      </w:r>
      <w:r w:rsidRPr="00A92DA2">
        <w:rPr>
          <w:rFonts w:ascii="Cambria" w:hAnsi="Cambria"/>
          <w:color w:val="000000" w:themeColor="text1"/>
          <w:sz w:val="20"/>
          <w:szCs w:val="20"/>
          <w:lang w:val="es-419"/>
        </w:rPr>
        <w:t xml:space="preserve"> arbitraria</w:t>
      </w:r>
      <w:r w:rsidR="00F77CEA" w:rsidRPr="00A92DA2">
        <w:rPr>
          <w:rFonts w:ascii="Cambria" w:hAnsi="Cambria"/>
          <w:color w:val="000000" w:themeColor="text1"/>
          <w:sz w:val="20"/>
          <w:szCs w:val="20"/>
          <w:lang w:val="es-419"/>
        </w:rPr>
        <w:t>s</w:t>
      </w:r>
      <w:r w:rsidRPr="00A92DA2">
        <w:rPr>
          <w:rFonts w:ascii="Cambria" w:hAnsi="Cambria"/>
          <w:color w:val="000000" w:themeColor="text1"/>
          <w:sz w:val="20"/>
          <w:szCs w:val="20"/>
          <w:lang w:val="es-419"/>
        </w:rPr>
        <w:t xml:space="preserve"> y </w:t>
      </w:r>
      <w:r w:rsidR="00817999" w:rsidRPr="00A92DA2">
        <w:rPr>
          <w:rFonts w:ascii="Cambria" w:hAnsi="Cambria"/>
          <w:color w:val="000000" w:themeColor="text1"/>
          <w:sz w:val="20"/>
          <w:szCs w:val="20"/>
          <w:lang w:val="es-419"/>
        </w:rPr>
        <w:t>vejámenes</w:t>
      </w:r>
      <w:r w:rsidR="00F77CEA" w:rsidRPr="00A92DA2">
        <w:rPr>
          <w:rFonts w:ascii="Cambria" w:hAnsi="Cambria"/>
          <w:color w:val="000000" w:themeColor="text1"/>
          <w:sz w:val="20"/>
          <w:szCs w:val="20"/>
          <w:lang w:val="es-419"/>
        </w:rPr>
        <w:t xml:space="preserve"> sufridos por</w:t>
      </w:r>
      <w:r w:rsidR="006363FA" w:rsidRPr="00A92DA2">
        <w:rPr>
          <w:rFonts w:ascii="Cambria" w:hAnsi="Cambria"/>
          <w:color w:val="000000" w:themeColor="text1"/>
          <w:sz w:val="20"/>
          <w:szCs w:val="20"/>
          <w:lang w:val="es-419"/>
        </w:rPr>
        <w:t xml:space="preserve"> dicha</w:t>
      </w:r>
      <w:r w:rsidR="00F77CEA" w:rsidRPr="00A92DA2">
        <w:rPr>
          <w:rFonts w:ascii="Cambria" w:hAnsi="Cambria"/>
          <w:color w:val="000000" w:themeColor="text1"/>
          <w:sz w:val="20"/>
          <w:szCs w:val="20"/>
          <w:lang w:val="es-419"/>
        </w:rPr>
        <w:t xml:space="preserve"> población</w:t>
      </w:r>
      <w:r w:rsidR="00C2027C" w:rsidRPr="00A92DA2">
        <w:rPr>
          <w:rFonts w:ascii="Cambria" w:hAnsi="Cambria"/>
          <w:color w:val="000000" w:themeColor="text1"/>
          <w:sz w:val="20"/>
          <w:szCs w:val="20"/>
          <w:lang w:val="es-419"/>
        </w:rPr>
        <w:t xml:space="preserve">, la cual </w:t>
      </w:r>
      <w:r w:rsidR="00B00C80" w:rsidRPr="00A92DA2">
        <w:rPr>
          <w:rFonts w:ascii="Cambria" w:hAnsi="Cambria"/>
          <w:color w:val="000000" w:themeColor="text1"/>
          <w:sz w:val="20"/>
          <w:szCs w:val="20"/>
          <w:lang w:val="es-419"/>
        </w:rPr>
        <w:t>incluy</w:t>
      </w:r>
      <w:r w:rsidR="00C2027C" w:rsidRPr="00A92DA2">
        <w:rPr>
          <w:rFonts w:ascii="Cambria" w:hAnsi="Cambria"/>
          <w:color w:val="000000" w:themeColor="text1"/>
          <w:sz w:val="20"/>
          <w:szCs w:val="20"/>
          <w:lang w:val="es-419"/>
        </w:rPr>
        <w:t>ó a</w:t>
      </w:r>
      <w:r w:rsidR="00B00C80" w:rsidRPr="00A92DA2">
        <w:rPr>
          <w:rFonts w:ascii="Cambria" w:hAnsi="Cambria"/>
          <w:color w:val="000000" w:themeColor="text1"/>
          <w:sz w:val="20"/>
          <w:szCs w:val="20"/>
          <w:lang w:val="es-419"/>
        </w:rPr>
        <w:t xml:space="preserve"> niños y niñas</w:t>
      </w:r>
      <w:r w:rsidRPr="00A92DA2">
        <w:rPr>
          <w:rFonts w:ascii="Cambria" w:hAnsi="Cambria"/>
          <w:color w:val="000000" w:themeColor="text1"/>
          <w:sz w:val="20"/>
          <w:szCs w:val="20"/>
          <w:lang w:val="es-419"/>
        </w:rPr>
        <w:t xml:space="preserve">. Alega que las presuntas víctimas fueron sometidas a esclavitud temporal </w:t>
      </w:r>
      <w:r w:rsidR="00F77CEA" w:rsidRPr="00A92DA2">
        <w:rPr>
          <w:rFonts w:ascii="Cambria" w:hAnsi="Cambria"/>
          <w:color w:val="000000" w:themeColor="text1"/>
          <w:sz w:val="20"/>
          <w:szCs w:val="20"/>
          <w:lang w:val="es-419"/>
        </w:rPr>
        <w:t xml:space="preserve">y retención </w:t>
      </w:r>
      <w:r w:rsidRPr="00A92DA2">
        <w:rPr>
          <w:rFonts w:ascii="Cambria" w:hAnsi="Cambria"/>
          <w:color w:val="000000" w:themeColor="text1"/>
          <w:sz w:val="20"/>
          <w:szCs w:val="20"/>
          <w:lang w:val="es-419"/>
        </w:rPr>
        <w:t xml:space="preserve">pues los paramilitares </w:t>
      </w:r>
      <w:r w:rsidR="006363FA" w:rsidRPr="00A92DA2">
        <w:rPr>
          <w:rFonts w:ascii="Cambria" w:hAnsi="Cambria"/>
          <w:color w:val="000000" w:themeColor="text1"/>
          <w:sz w:val="20"/>
          <w:szCs w:val="20"/>
          <w:lang w:val="es-419"/>
        </w:rPr>
        <w:t>les obligaron a producir comida</w:t>
      </w:r>
      <w:r w:rsidRPr="00A92DA2">
        <w:rPr>
          <w:rFonts w:ascii="Cambria" w:hAnsi="Cambria"/>
          <w:color w:val="000000" w:themeColor="text1"/>
          <w:sz w:val="20"/>
          <w:szCs w:val="20"/>
          <w:lang w:val="es-419"/>
        </w:rPr>
        <w:t xml:space="preserve">, </w:t>
      </w:r>
      <w:r w:rsidR="006363FA" w:rsidRPr="00A92DA2">
        <w:rPr>
          <w:rFonts w:ascii="Cambria" w:hAnsi="Cambria"/>
          <w:color w:val="000000" w:themeColor="text1"/>
          <w:sz w:val="20"/>
          <w:szCs w:val="20"/>
          <w:lang w:val="es-419"/>
        </w:rPr>
        <w:t xml:space="preserve">y a </w:t>
      </w:r>
      <w:r w:rsidRPr="00A92DA2">
        <w:rPr>
          <w:rFonts w:ascii="Cambria" w:hAnsi="Cambria"/>
          <w:color w:val="000000" w:themeColor="text1"/>
          <w:sz w:val="20"/>
          <w:szCs w:val="20"/>
          <w:lang w:val="es-419"/>
        </w:rPr>
        <w:t xml:space="preserve">presenciar </w:t>
      </w:r>
      <w:r w:rsidR="00F77CEA" w:rsidRPr="00A92DA2">
        <w:rPr>
          <w:rFonts w:ascii="Cambria" w:hAnsi="Cambria"/>
          <w:color w:val="000000" w:themeColor="text1"/>
          <w:sz w:val="20"/>
          <w:szCs w:val="20"/>
          <w:lang w:val="es-419"/>
        </w:rPr>
        <w:t xml:space="preserve">sus </w:t>
      </w:r>
      <w:r w:rsidRPr="00A92DA2">
        <w:rPr>
          <w:rFonts w:ascii="Cambria" w:hAnsi="Cambria"/>
          <w:color w:val="000000" w:themeColor="text1"/>
          <w:sz w:val="20"/>
          <w:szCs w:val="20"/>
          <w:lang w:val="es-419"/>
        </w:rPr>
        <w:t xml:space="preserve">festejos. </w:t>
      </w:r>
      <w:r w:rsidR="006E6DC8" w:rsidRPr="00A92DA2">
        <w:rPr>
          <w:rFonts w:ascii="Cambria" w:hAnsi="Cambria"/>
          <w:color w:val="000000" w:themeColor="text1"/>
          <w:sz w:val="20"/>
          <w:szCs w:val="20"/>
          <w:lang w:val="es-419"/>
        </w:rPr>
        <w:t>A</w:t>
      </w:r>
      <w:r w:rsidRPr="00A92DA2">
        <w:rPr>
          <w:rFonts w:ascii="Cambria" w:hAnsi="Cambria"/>
          <w:color w:val="000000" w:themeColor="text1"/>
          <w:sz w:val="20"/>
          <w:szCs w:val="20"/>
          <w:lang w:val="es-419"/>
        </w:rPr>
        <w:t xml:space="preserve">simismo, </w:t>
      </w:r>
      <w:r w:rsidR="006E6DC8" w:rsidRPr="00A92DA2">
        <w:rPr>
          <w:rFonts w:ascii="Cambria" w:hAnsi="Cambria"/>
          <w:color w:val="000000" w:themeColor="text1"/>
          <w:sz w:val="20"/>
          <w:szCs w:val="20"/>
          <w:lang w:val="es-419"/>
        </w:rPr>
        <w:t xml:space="preserve">aduce </w:t>
      </w:r>
      <w:r w:rsidRPr="00A92DA2">
        <w:rPr>
          <w:rFonts w:ascii="Cambria" w:hAnsi="Cambria"/>
          <w:color w:val="000000" w:themeColor="text1"/>
          <w:sz w:val="20"/>
          <w:szCs w:val="20"/>
          <w:lang w:val="es-419"/>
        </w:rPr>
        <w:t>que los paramilitares incursion</w:t>
      </w:r>
      <w:r w:rsidR="006E6DC8" w:rsidRPr="00A92DA2">
        <w:rPr>
          <w:rFonts w:ascii="Cambria" w:hAnsi="Cambria"/>
          <w:color w:val="000000" w:themeColor="text1"/>
          <w:sz w:val="20"/>
          <w:szCs w:val="20"/>
          <w:lang w:val="es-419"/>
        </w:rPr>
        <w:t>aron en forma abusiva</w:t>
      </w:r>
      <w:r w:rsidRPr="00A92DA2">
        <w:rPr>
          <w:rFonts w:ascii="Cambria" w:hAnsi="Cambria"/>
          <w:color w:val="000000" w:themeColor="text1"/>
          <w:sz w:val="20"/>
          <w:szCs w:val="20"/>
          <w:lang w:val="es-419"/>
        </w:rPr>
        <w:t xml:space="preserve"> en </w:t>
      </w:r>
      <w:r w:rsidR="006E6DC8" w:rsidRPr="00A92DA2">
        <w:rPr>
          <w:rFonts w:ascii="Cambria" w:hAnsi="Cambria"/>
          <w:color w:val="000000" w:themeColor="text1"/>
          <w:sz w:val="20"/>
          <w:szCs w:val="20"/>
          <w:lang w:val="es-419"/>
        </w:rPr>
        <w:t xml:space="preserve">sus </w:t>
      </w:r>
      <w:r w:rsidRPr="00A92DA2">
        <w:rPr>
          <w:rFonts w:ascii="Cambria" w:hAnsi="Cambria"/>
          <w:color w:val="000000" w:themeColor="text1"/>
          <w:sz w:val="20"/>
          <w:szCs w:val="20"/>
          <w:lang w:val="es-419"/>
        </w:rPr>
        <w:t xml:space="preserve">domicilios y vida privada </w:t>
      </w:r>
      <w:r w:rsidR="006363FA" w:rsidRPr="00A92DA2">
        <w:rPr>
          <w:rFonts w:ascii="Cambria" w:hAnsi="Cambria"/>
          <w:color w:val="000000" w:themeColor="text1"/>
          <w:sz w:val="20"/>
          <w:szCs w:val="20"/>
          <w:lang w:val="es-419"/>
        </w:rPr>
        <w:t xml:space="preserve">siendo </w:t>
      </w:r>
      <w:r w:rsidR="006E6DC8" w:rsidRPr="00A92DA2">
        <w:rPr>
          <w:rFonts w:ascii="Cambria" w:hAnsi="Cambria"/>
          <w:color w:val="000000" w:themeColor="text1"/>
          <w:sz w:val="20"/>
          <w:szCs w:val="20"/>
          <w:lang w:val="es-419"/>
        </w:rPr>
        <w:t xml:space="preserve">sus </w:t>
      </w:r>
      <w:r w:rsidRPr="00A92DA2">
        <w:rPr>
          <w:rFonts w:ascii="Cambria" w:hAnsi="Cambria"/>
          <w:color w:val="000000" w:themeColor="text1"/>
          <w:sz w:val="20"/>
          <w:szCs w:val="20"/>
          <w:lang w:val="es-419"/>
        </w:rPr>
        <w:t>viviendas</w:t>
      </w:r>
      <w:r w:rsidR="006E6DC8" w:rsidRPr="00A92DA2">
        <w:rPr>
          <w:rFonts w:ascii="Cambria" w:hAnsi="Cambria"/>
          <w:color w:val="000000" w:themeColor="text1"/>
          <w:sz w:val="20"/>
          <w:szCs w:val="20"/>
          <w:lang w:val="es-419"/>
        </w:rPr>
        <w:t xml:space="preserve"> y medios de </w:t>
      </w:r>
      <w:proofErr w:type="gramStart"/>
      <w:r w:rsidR="006E6DC8" w:rsidRPr="00A92DA2">
        <w:rPr>
          <w:rFonts w:ascii="Cambria" w:hAnsi="Cambria"/>
          <w:color w:val="000000" w:themeColor="text1"/>
          <w:sz w:val="20"/>
          <w:szCs w:val="20"/>
          <w:lang w:val="es-419"/>
        </w:rPr>
        <w:t xml:space="preserve">locomoción </w:t>
      </w:r>
      <w:r w:rsidR="006363FA" w:rsidRPr="00A92DA2">
        <w:rPr>
          <w:rFonts w:ascii="Cambria" w:hAnsi="Cambria"/>
          <w:color w:val="000000" w:themeColor="text1"/>
          <w:sz w:val="20"/>
          <w:szCs w:val="20"/>
          <w:lang w:val="es-419"/>
        </w:rPr>
        <w:t>destruidas</w:t>
      </w:r>
      <w:proofErr w:type="gramEnd"/>
      <w:r w:rsidR="006363FA" w:rsidRPr="00A92DA2">
        <w:rPr>
          <w:rFonts w:ascii="Cambria" w:hAnsi="Cambria"/>
          <w:color w:val="000000" w:themeColor="text1"/>
          <w:sz w:val="20"/>
          <w:szCs w:val="20"/>
          <w:lang w:val="es-419"/>
        </w:rPr>
        <w:t xml:space="preserve"> y </w:t>
      </w:r>
      <w:r w:rsidR="006E6DC8" w:rsidRPr="00A92DA2">
        <w:rPr>
          <w:rFonts w:ascii="Cambria" w:hAnsi="Cambria"/>
          <w:color w:val="000000" w:themeColor="text1"/>
          <w:sz w:val="20"/>
          <w:szCs w:val="20"/>
          <w:lang w:val="es-419"/>
        </w:rPr>
        <w:t>su</w:t>
      </w:r>
      <w:r w:rsidRPr="00A92DA2">
        <w:rPr>
          <w:rFonts w:ascii="Cambria" w:hAnsi="Cambria"/>
          <w:color w:val="000000" w:themeColor="text1"/>
          <w:sz w:val="20"/>
          <w:szCs w:val="20"/>
          <w:lang w:val="es-419"/>
        </w:rPr>
        <w:t xml:space="preserve"> ga</w:t>
      </w:r>
      <w:r w:rsidR="00817999" w:rsidRPr="00A92DA2">
        <w:rPr>
          <w:rFonts w:ascii="Cambria" w:hAnsi="Cambria"/>
          <w:color w:val="000000" w:themeColor="text1"/>
          <w:sz w:val="20"/>
          <w:szCs w:val="20"/>
          <w:lang w:val="es-419"/>
        </w:rPr>
        <w:t>na</w:t>
      </w:r>
      <w:r w:rsidRPr="00A92DA2">
        <w:rPr>
          <w:rFonts w:ascii="Cambria" w:hAnsi="Cambria"/>
          <w:color w:val="000000" w:themeColor="text1"/>
          <w:sz w:val="20"/>
          <w:szCs w:val="20"/>
          <w:lang w:val="es-419"/>
        </w:rPr>
        <w:t>do vacunado</w:t>
      </w:r>
      <w:r w:rsidR="006E6DC8" w:rsidRPr="00A92DA2">
        <w:rPr>
          <w:rFonts w:ascii="Cambria" w:hAnsi="Cambria"/>
          <w:color w:val="000000" w:themeColor="text1"/>
          <w:sz w:val="20"/>
          <w:szCs w:val="20"/>
          <w:lang w:val="es-419"/>
        </w:rPr>
        <w:t xml:space="preserve"> hurtado</w:t>
      </w:r>
      <w:r w:rsidRPr="00A92DA2">
        <w:rPr>
          <w:rFonts w:ascii="Cambria" w:hAnsi="Cambria"/>
          <w:color w:val="000000" w:themeColor="text1"/>
          <w:sz w:val="20"/>
          <w:szCs w:val="20"/>
          <w:lang w:val="es-419"/>
        </w:rPr>
        <w:t>.</w:t>
      </w:r>
    </w:p>
    <w:p w14:paraId="3271E6F7" w14:textId="193AB4DD" w:rsidR="006B6403" w:rsidRPr="00A92DA2" w:rsidRDefault="00A6208E" w:rsidP="007F04B0">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Se afi</w:t>
      </w:r>
      <w:r w:rsidR="004D0303" w:rsidRPr="00A92DA2">
        <w:rPr>
          <w:rFonts w:ascii="Cambria" w:hAnsi="Cambria"/>
          <w:color w:val="000000" w:themeColor="text1"/>
          <w:sz w:val="20"/>
          <w:szCs w:val="20"/>
          <w:lang w:val="es-419"/>
        </w:rPr>
        <w:t xml:space="preserve">rma que, en la madrugada del </w:t>
      </w:r>
      <w:r w:rsidRPr="00A92DA2">
        <w:rPr>
          <w:rFonts w:ascii="Cambria" w:hAnsi="Cambria"/>
          <w:color w:val="000000" w:themeColor="text1"/>
          <w:sz w:val="20"/>
          <w:szCs w:val="20"/>
          <w:lang w:val="es-419"/>
        </w:rPr>
        <w:t xml:space="preserve">28 de enero de 2000, aproximadamente 80 miembros de los grupos paramilitares de </w:t>
      </w:r>
      <w:proofErr w:type="spellStart"/>
      <w:r w:rsidRPr="00A92DA2">
        <w:rPr>
          <w:rFonts w:ascii="Cambria" w:hAnsi="Cambria"/>
          <w:color w:val="000000" w:themeColor="text1"/>
          <w:sz w:val="20"/>
          <w:szCs w:val="20"/>
          <w:lang w:val="es-419"/>
        </w:rPr>
        <w:t>Córdona</w:t>
      </w:r>
      <w:proofErr w:type="spellEnd"/>
      <w:r w:rsidRPr="00A92DA2">
        <w:rPr>
          <w:rFonts w:ascii="Cambria" w:hAnsi="Cambria"/>
          <w:color w:val="000000" w:themeColor="text1"/>
          <w:sz w:val="20"/>
          <w:szCs w:val="20"/>
          <w:lang w:val="es-419"/>
        </w:rPr>
        <w:t xml:space="preserve"> y</w:t>
      </w:r>
      <w:r w:rsidR="004D0303" w:rsidRPr="00A92DA2">
        <w:rPr>
          <w:rFonts w:ascii="Cambria" w:hAnsi="Cambria"/>
          <w:color w:val="000000" w:themeColor="text1"/>
          <w:sz w:val="20"/>
          <w:szCs w:val="20"/>
          <w:lang w:val="es-419"/>
        </w:rPr>
        <w:t xml:space="preserve"> </w:t>
      </w:r>
      <w:proofErr w:type="spellStart"/>
      <w:r w:rsidR="004D0303" w:rsidRPr="00A92DA2">
        <w:rPr>
          <w:rFonts w:ascii="Cambria" w:hAnsi="Cambria"/>
          <w:color w:val="000000" w:themeColor="text1"/>
          <w:sz w:val="20"/>
          <w:szCs w:val="20"/>
          <w:lang w:val="es-419"/>
        </w:rPr>
        <w:t>Urabe</w:t>
      </w:r>
      <w:proofErr w:type="spellEnd"/>
      <w:r w:rsidR="004D0303" w:rsidRPr="00A92DA2">
        <w:rPr>
          <w:rFonts w:ascii="Cambria" w:hAnsi="Cambria"/>
          <w:color w:val="000000" w:themeColor="text1"/>
          <w:sz w:val="20"/>
          <w:szCs w:val="20"/>
          <w:lang w:val="es-419"/>
        </w:rPr>
        <w:t xml:space="preserve"> dirigidos por</w:t>
      </w:r>
      <w:r w:rsidRPr="00A92DA2">
        <w:rPr>
          <w:rFonts w:ascii="Cambria" w:hAnsi="Cambria"/>
          <w:color w:val="000000" w:themeColor="text1"/>
          <w:sz w:val="20"/>
          <w:szCs w:val="20"/>
          <w:lang w:val="es-419"/>
        </w:rPr>
        <w:t xml:space="preserve"> Carlos Cast</w:t>
      </w:r>
      <w:r w:rsidR="004D0303" w:rsidRPr="00A92DA2">
        <w:rPr>
          <w:rFonts w:ascii="Cambria" w:hAnsi="Cambria"/>
          <w:color w:val="000000" w:themeColor="text1"/>
          <w:sz w:val="20"/>
          <w:szCs w:val="20"/>
          <w:lang w:val="es-419"/>
        </w:rPr>
        <w:t xml:space="preserve">año y Salvatore Mancuso copó </w:t>
      </w:r>
      <w:r w:rsidRPr="00A92DA2">
        <w:rPr>
          <w:rFonts w:ascii="Cambria" w:hAnsi="Cambria"/>
          <w:color w:val="000000" w:themeColor="text1"/>
          <w:sz w:val="20"/>
          <w:szCs w:val="20"/>
          <w:lang w:val="es-419"/>
        </w:rPr>
        <w:t xml:space="preserve">y sometió a la fuerza </w:t>
      </w:r>
      <w:r w:rsidR="00A20E3F" w:rsidRPr="00A92DA2">
        <w:rPr>
          <w:rFonts w:ascii="Cambria" w:hAnsi="Cambria"/>
          <w:color w:val="000000" w:themeColor="text1"/>
          <w:sz w:val="20"/>
          <w:szCs w:val="20"/>
          <w:lang w:val="es-419"/>
        </w:rPr>
        <w:t xml:space="preserve">a </w:t>
      </w:r>
      <w:r w:rsidRPr="00A92DA2">
        <w:rPr>
          <w:rFonts w:ascii="Cambria" w:hAnsi="Cambria"/>
          <w:color w:val="000000" w:themeColor="text1"/>
          <w:sz w:val="20"/>
          <w:szCs w:val="20"/>
          <w:lang w:val="es-419"/>
        </w:rPr>
        <w:t>los habitantes de corregimiento de Santa Cecilia y veredas aledañas</w:t>
      </w:r>
      <w:r w:rsidR="006B6403" w:rsidRPr="00A92DA2">
        <w:rPr>
          <w:rFonts w:ascii="Cambria" w:hAnsi="Cambria"/>
          <w:color w:val="000000" w:themeColor="text1"/>
          <w:sz w:val="20"/>
          <w:szCs w:val="20"/>
          <w:lang w:val="es-419"/>
        </w:rPr>
        <w:t xml:space="preserve"> portando </w:t>
      </w:r>
      <w:r w:rsidR="004D0303" w:rsidRPr="00A92DA2">
        <w:rPr>
          <w:rFonts w:ascii="Cambria" w:hAnsi="Cambria"/>
          <w:color w:val="000000" w:themeColor="text1"/>
          <w:sz w:val="20"/>
          <w:szCs w:val="20"/>
          <w:lang w:val="es-419"/>
        </w:rPr>
        <w:t>armas de corto</w:t>
      </w:r>
      <w:r w:rsidRPr="00A92DA2">
        <w:rPr>
          <w:rFonts w:ascii="Cambria" w:hAnsi="Cambria"/>
          <w:color w:val="000000" w:themeColor="text1"/>
          <w:sz w:val="20"/>
          <w:szCs w:val="20"/>
          <w:lang w:val="es-419"/>
        </w:rPr>
        <w:t xml:space="preserve"> y largo alcance, </w:t>
      </w:r>
      <w:r w:rsidR="006B6403" w:rsidRPr="00A92DA2">
        <w:rPr>
          <w:rFonts w:ascii="Cambria" w:hAnsi="Cambria"/>
          <w:color w:val="000000" w:themeColor="text1"/>
          <w:sz w:val="20"/>
          <w:szCs w:val="20"/>
          <w:lang w:val="es-419"/>
        </w:rPr>
        <w:t xml:space="preserve">y </w:t>
      </w:r>
      <w:r w:rsidRPr="00A92DA2">
        <w:rPr>
          <w:rFonts w:ascii="Cambria" w:hAnsi="Cambria"/>
          <w:color w:val="000000" w:themeColor="text1"/>
          <w:sz w:val="20"/>
          <w:szCs w:val="20"/>
          <w:lang w:val="es-419"/>
        </w:rPr>
        <w:t>vest</w:t>
      </w:r>
      <w:r w:rsidR="006B6403" w:rsidRPr="00A92DA2">
        <w:rPr>
          <w:rFonts w:ascii="Cambria" w:hAnsi="Cambria"/>
          <w:color w:val="000000" w:themeColor="text1"/>
          <w:sz w:val="20"/>
          <w:szCs w:val="20"/>
          <w:lang w:val="es-419"/>
        </w:rPr>
        <w:t xml:space="preserve">idos con </w:t>
      </w:r>
      <w:r w:rsidRPr="00A92DA2">
        <w:rPr>
          <w:rFonts w:ascii="Cambria" w:hAnsi="Cambria"/>
          <w:color w:val="000000" w:themeColor="text1"/>
          <w:sz w:val="20"/>
          <w:szCs w:val="20"/>
          <w:lang w:val="es-419"/>
        </w:rPr>
        <w:t xml:space="preserve">prendas de uso </w:t>
      </w:r>
      <w:r w:rsidR="004D0303" w:rsidRPr="00A92DA2">
        <w:rPr>
          <w:rFonts w:ascii="Cambria" w:hAnsi="Cambria"/>
          <w:color w:val="000000" w:themeColor="text1"/>
          <w:sz w:val="20"/>
          <w:szCs w:val="20"/>
          <w:lang w:val="es-419"/>
        </w:rPr>
        <w:t>exclusivo</w:t>
      </w:r>
      <w:r w:rsidRPr="00A92DA2">
        <w:rPr>
          <w:rFonts w:ascii="Cambria" w:hAnsi="Cambria"/>
          <w:color w:val="000000" w:themeColor="text1"/>
          <w:sz w:val="20"/>
          <w:szCs w:val="20"/>
          <w:lang w:val="es-419"/>
        </w:rPr>
        <w:t xml:space="preserve"> de las fuerzas militares colombianas</w:t>
      </w:r>
      <w:r w:rsidR="006B6403" w:rsidRPr="00A92DA2">
        <w:rPr>
          <w:rFonts w:ascii="Cambria" w:hAnsi="Cambria"/>
          <w:color w:val="000000" w:themeColor="text1"/>
          <w:sz w:val="20"/>
          <w:szCs w:val="20"/>
          <w:lang w:val="es-419"/>
        </w:rPr>
        <w:t xml:space="preserve">. Sostiene que este grupo paramilitar </w:t>
      </w:r>
      <w:r w:rsidRPr="00A92DA2">
        <w:rPr>
          <w:rFonts w:ascii="Cambria" w:hAnsi="Cambria"/>
          <w:color w:val="000000" w:themeColor="text1"/>
          <w:sz w:val="20"/>
          <w:szCs w:val="20"/>
          <w:lang w:val="es-419"/>
        </w:rPr>
        <w:t>utilizó vías terrestres y camiones para ingresar y movilizarse por la región durante los días previos y posteriores al hecho</w:t>
      </w:r>
      <w:r w:rsidR="006B6403" w:rsidRPr="00A92DA2">
        <w:rPr>
          <w:rFonts w:ascii="Cambria" w:hAnsi="Cambria"/>
          <w:color w:val="000000" w:themeColor="text1"/>
          <w:sz w:val="20"/>
          <w:szCs w:val="20"/>
          <w:lang w:val="es-419"/>
        </w:rPr>
        <w:t xml:space="preserve"> pasando por estaciones policiales y puestos de control del ejército colombiano</w:t>
      </w:r>
      <w:r w:rsidRPr="00A92DA2">
        <w:rPr>
          <w:rFonts w:ascii="Cambria" w:hAnsi="Cambria"/>
          <w:color w:val="000000" w:themeColor="text1"/>
          <w:sz w:val="20"/>
          <w:szCs w:val="20"/>
          <w:lang w:val="es-419"/>
        </w:rPr>
        <w:t xml:space="preserve">. </w:t>
      </w:r>
      <w:r w:rsidR="006B6403" w:rsidRPr="00A92DA2">
        <w:rPr>
          <w:rFonts w:ascii="Cambria" w:hAnsi="Cambria"/>
          <w:color w:val="000000" w:themeColor="text1"/>
          <w:sz w:val="20"/>
          <w:szCs w:val="20"/>
          <w:lang w:val="es-419"/>
        </w:rPr>
        <w:t xml:space="preserve">En este contexto denuncia que </w:t>
      </w:r>
      <w:r w:rsidR="004D0303" w:rsidRPr="00A92DA2">
        <w:rPr>
          <w:rFonts w:ascii="Cambria" w:hAnsi="Cambria"/>
          <w:color w:val="000000" w:themeColor="text1"/>
          <w:sz w:val="20"/>
          <w:szCs w:val="20"/>
          <w:lang w:val="es-419"/>
        </w:rPr>
        <w:t xml:space="preserve">el Estado tenía conocimiento de los hechos y capacidad de evitarlos, dado que </w:t>
      </w:r>
      <w:r w:rsidRPr="00A92DA2">
        <w:rPr>
          <w:rFonts w:ascii="Cambria" w:hAnsi="Cambria"/>
          <w:color w:val="000000" w:themeColor="text1"/>
          <w:sz w:val="20"/>
          <w:szCs w:val="20"/>
          <w:lang w:val="es-419"/>
        </w:rPr>
        <w:t>el corregimiento de Santa Cecilia está ubicado en el centro del departamento del Cesar, y sus únicas vías de acceso son por carretera ingresando por el corregimiento de Arjona y por el río Cesar</w:t>
      </w:r>
      <w:r w:rsidR="004D0303" w:rsidRPr="00A92DA2">
        <w:rPr>
          <w:rFonts w:ascii="Cambria" w:hAnsi="Cambria"/>
          <w:color w:val="000000" w:themeColor="text1"/>
          <w:sz w:val="20"/>
          <w:szCs w:val="20"/>
          <w:lang w:val="es-419"/>
        </w:rPr>
        <w:t>, pasando por estaciones policiales</w:t>
      </w:r>
      <w:r w:rsidRPr="00A92DA2">
        <w:rPr>
          <w:rFonts w:ascii="Cambria" w:hAnsi="Cambria"/>
          <w:color w:val="000000" w:themeColor="text1"/>
          <w:sz w:val="20"/>
          <w:szCs w:val="20"/>
          <w:lang w:val="es-419"/>
        </w:rPr>
        <w:t>.</w:t>
      </w:r>
      <w:r w:rsidR="006B6403" w:rsidRPr="00A92DA2">
        <w:rPr>
          <w:rFonts w:ascii="Cambria" w:hAnsi="Cambria"/>
          <w:color w:val="000000" w:themeColor="text1"/>
          <w:sz w:val="20"/>
          <w:szCs w:val="20"/>
          <w:lang w:val="es-419"/>
        </w:rPr>
        <w:t xml:space="preserve"> Además, afirma que los pobladores de la zona realizaron llamadas telefónicas previamente a los hechos pidiendo ayuda al batallón La Popa en Valledupar, en donde les contestaron la primera </w:t>
      </w:r>
      <w:r w:rsidR="00133212" w:rsidRPr="00A92DA2">
        <w:rPr>
          <w:rFonts w:ascii="Cambria" w:hAnsi="Cambria"/>
          <w:color w:val="000000" w:themeColor="text1"/>
          <w:sz w:val="20"/>
          <w:szCs w:val="20"/>
          <w:lang w:val="es-419"/>
        </w:rPr>
        <w:t>llamada,</w:t>
      </w:r>
      <w:r w:rsidR="006B6403" w:rsidRPr="00A92DA2">
        <w:rPr>
          <w:rFonts w:ascii="Cambria" w:hAnsi="Cambria"/>
          <w:color w:val="000000" w:themeColor="text1"/>
          <w:sz w:val="20"/>
          <w:szCs w:val="20"/>
          <w:lang w:val="es-419"/>
        </w:rPr>
        <w:t xml:space="preserve"> pero no las sucesivas que fueron realizadas</w:t>
      </w:r>
      <w:r w:rsidR="00133212" w:rsidRPr="00A92DA2">
        <w:rPr>
          <w:rFonts w:ascii="Cambria" w:hAnsi="Cambria"/>
          <w:color w:val="000000" w:themeColor="text1"/>
          <w:sz w:val="20"/>
          <w:szCs w:val="20"/>
          <w:lang w:val="es-419"/>
        </w:rPr>
        <w:t xml:space="preserve"> solicitando socorro</w:t>
      </w:r>
      <w:r w:rsidR="006B6403" w:rsidRPr="00A92DA2">
        <w:rPr>
          <w:rFonts w:ascii="Cambria" w:hAnsi="Cambria"/>
          <w:color w:val="000000" w:themeColor="text1"/>
          <w:sz w:val="20"/>
          <w:szCs w:val="20"/>
          <w:lang w:val="es-419"/>
        </w:rPr>
        <w:t>. Afirma que los camiones pasaron por estaciones de Policía sin que nadie los revisara. Sostiene que nunca se investigó a fondo la procedencia de los camiones que transportaron los miembros de la AUC.</w:t>
      </w:r>
      <w:r w:rsidR="007F04B0" w:rsidRPr="00A92DA2">
        <w:rPr>
          <w:rFonts w:ascii="Cambria" w:hAnsi="Cambria"/>
          <w:color w:val="000000" w:themeColor="text1"/>
          <w:sz w:val="20"/>
          <w:szCs w:val="20"/>
          <w:lang w:val="es-419"/>
        </w:rPr>
        <w:t xml:space="preserve"> Adicionalmente, informa que el Estado conocía sobre la situación de especial vulnerabilidad de los pobladores de la zona y sus aledaños dado que años antes se había</w:t>
      </w:r>
      <w:r w:rsidR="00A20E3F" w:rsidRPr="00A92DA2">
        <w:rPr>
          <w:rFonts w:ascii="Cambria" w:hAnsi="Cambria"/>
          <w:color w:val="000000" w:themeColor="text1"/>
          <w:sz w:val="20"/>
          <w:szCs w:val="20"/>
          <w:lang w:val="es-419"/>
        </w:rPr>
        <w:t>n</w:t>
      </w:r>
      <w:r w:rsidR="007F04B0" w:rsidRPr="00A92DA2">
        <w:rPr>
          <w:rFonts w:ascii="Cambria" w:hAnsi="Cambria"/>
          <w:color w:val="000000" w:themeColor="text1"/>
          <w:sz w:val="20"/>
          <w:szCs w:val="20"/>
          <w:lang w:val="es-419"/>
        </w:rPr>
        <w:t xml:space="preserve"> formulado denuncias</w:t>
      </w:r>
      <w:r w:rsidR="007F04B0" w:rsidRPr="00A92DA2">
        <w:rPr>
          <w:rStyle w:val="FootnoteReference"/>
          <w:rFonts w:ascii="Cambria" w:hAnsi="Cambria"/>
          <w:color w:val="000000" w:themeColor="text1"/>
          <w:sz w:val="20"/>
          <w:szCs w:val="20"/>
          <w:lang w:val="es-419"/>
        </w:rPr>
        <w:footnoteReference w:id="5"/>
      </w:r>
      <w:r w:rsidR="007F04B0" w:rsidRPr="00A92DA2">
        <w:rPr>
          <w:rFonts w:ascii="Cambria" w:hAnsi="Cambria"/>
          <w:color w:val="000000" w:themeColor="text1"/>
          <w:sz w:val="20"/>
          <w:szCs w:val="20"/>
          <w:lang w:val="es-419"/>
        </w:rPr>
        <w:t xml:space="preserve">. </w:t>
      </w:r>
      <w:r w:rsidR="00A20E3F" w:rsidRPr="00A92DA2">
        <w:rPr>
          <w:rFonts w:ascii="Cambria" w:hAnsi="Cambria"/>
          <w:color w:val="000000" w:themeColor="text1"/>
          <w:sz w:val="20"/>
          <w:szCs w:val="20"/>
          <w:lang w:val="es-419"/>
        </w:rPr>
        <w:t xml:space="preserve">Agregan que </w:t>
      </w:r>
      <w:r w:rsidR="00A20E3F" w:rsidRPr="00A92DA2">
        <w:rPr>
          <w:rFonts w:ascii="Cambria" w:hAnsi="Cambria"/>
          <w:sz w:val="20"/>
          <w:szCs w:val="20"/>
          <w:lang w:val="es-419"/>
        </w:rPr>
        <w:t>n</w:t>
      </w:r>
      <w:r w:rsidR="007F04B0" w:rsidRPr="00A92DA2">
        <w:rPr>
          <w:rFonts w:ascii="Cambria" w:hAnsi="Cambria"/>
          <w:sz w:val="20"/>
          <w:szCs w:val="20"/>
          <w:lang w:val="es-419"/>
        </w:rPr>
        <w:t>o obstant</w:t>
      </w:r>
      <w:r w:rsidR="00A20E3F" w:rsidRPr="00A92DA2">
        <w:rPr>
          <w:rFonts w:ascii="Cambria" w:hAnsi="Cambria"/>
          <w:sz w:val="20"/>
          <w:szCs w:val="20"/>
          <w:lang w:val="es-419"/>
        </w:rPr>
        <w:t>e</w:t>
      </w:r>
      <w:r w:rsidR="007F04B0" w:rsidRPr="00A92DA2">
        <w:rPr>
          <w:rFonts w:ascii="Cambria" w:hAnsi="Cambria"/>
          <w:sz w:val="20"/>
          <w:szCs w:val="20"/>
          <w:lang w:val="es-419"/>
        </w:rPr>
        <w:t xml:space="preserve"> las denuncias p</w:t>
      </w:r>
      <w:r w:rsidR="00A20E3F" w:rsidRPr="00A92DA2">
        <w:rPr>
          <w:rFonts w:ascii="Cambria" w:hAnsi="Cambria"/>
          <w:sz w:val="20"/>
          <w:szCs w:val="20"/>
          <w:lang w:val="es-419"/>
        </w:rPr>
        <w:t xml:space="preserve">resentadas </w:t>
      </w:r>
      <w:r w:rsidR="007F04B0" w:rsidRPr="00A92DA2">
        <w:rPr>
          <w:rFonts w:ascii="Cambria" w:hAnsi="Cambria"/>
          <w:sz w:val="20"/>
          <w:szCs w:val="20"/>
          <w:lang w:val="es-419"/>
        </w:rPr>
        <w:t xml:space="preserve"> y</w:t>
      </w:r>
      <w:r w:rsidR="00A20E3F" w:rsidRPr="00A92DA2">
        <w:rPr>
          <w:rFonts w:ascii="Cambria" w:hAnsi="Cambria"/>
          <w:sz w:val="20"/>
          <w:szCs w:val="20"/>
          <w:lang w:val="es-419"/>
        </w:rPr>
        <w:t xml:space="preserve">  </w:t>
      </w:r>
      <w:r w:rsidR="007F04B0" w:rsidRPr="00A92DA2">
        <w:rPr>
          <w:rFonts w:ascii="Cambria" w:hAnsi="Cambria"/>
          <w:sz w:val="20"/>
          <w:szCs w:val="20"/>
          <w:lang w:val="es-419"/>
        </w:rPr>
        <w:t xml:space="preserve">las que fueron realizadas previo al ataque, no hubo ninguna </w:t>
      </w:r>
      <w:r w:rsidR="00A20E3F" w:rsidRPr="00A92DA2">
        <w:rPr>
          <w:rFonts w:ascii="Cambria" w:hAnsi="Cambria"/>
          <w:sz w:val="20"/>
          <w:szCs w:val="20"/>
          <w:lang w:val="es-419"/>
        </w:rPr>
        <w:t>acción para prevenir los hechos.</w:t>
      </w:r>
    </w:p>
    <w:p w14:paraId="14DF7943" w14:textId="56095F52" w:rsidR="00111E46" w:rsidRPr="00A92DA2" w:rsidRDefault="00EA0CF9" w:rsidP="005C7ECE">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L</w:t>
      </w:r>
      <w:r w:rsidR="00111E46" w:rsidRPr="00A92DA2">
        <w:rPr>
          <w:rFonts w:ascii="Cambria" w:hAnsi="Cambria"/>
          <w:color w:val="000000" w:themeColor="text1"/>
          <w:sz w:val="20"/>
          <w:szCs w:val="20"/>
          <w:lang w:val="es-419"/>
        </w:rPr>
        <w:t xml:space="preserve">a parte peticionaria </w:t>
      </w:r>
      <w:r w:rsidR="00B52252" w:rsidRPr="00A92DA2">
        <w:rPr>
          <w:rFonts w:ascii="Cambria" w:hAnsi="Cambria"/>
          <w:color w:val="000000" w:themeColor="text1"/>
          <w:sz w:val="20"/>
          <w:szCs w:val="20"/>
          <w:lang w:val="es-419"/>
        </w:rPr>
        <w:t>sostiene</w:t>
      </w:r>
      <w:r w:rsidR="00111E46" w:rsidRPr="00A92DA2">
        <w:rPr>
          <w:rFonts w:ascii="Cambria" w:hAnsi="Cambria"/>
          <w:color w:val="000000" w:themeColor="text1"/>
          <w:sz w:val="20"/>
          <w:szCs w:val="20"/>
          <w:lang w:val="es-419"/>
        </w:rPr>
        <w:t xml:space="preserve"> que </w:t>
      </w:r>
      <w:r w:rsidRPr="00A92DA2">
        <w:rPr>
          <w:rFonts w:ascii="Cambria" w:hAnsi="Cambria"/>
          <w:color w:val="000000" w:themeColor="text1"/>
          <w:sz w:val="20"/>
          <w:szCs w:val="20"/>
          <w:lang w:val="es-419"/>
        </w:rPr>
        <w:t xml:space="preserve">el día de la masacre, </w:t>
      </w:r>
      <w:r w:rsidR="00111E46" w:rsidRPr="00A92DA2">
        <w:rPr>
          <w:rFonts w:ascii="Cambria" w:hAnsi="Cambria"/>
          <w:color w:val="000000" w:themeColor="text1"/>
          <w:sz w:val="20"/>
          <w:szCs w:val="20"/>
          <w:lang w:val="es-419"/>
        </w:rPr>
        <w:t xml:space="preserve">el grupo paramilitar inició </w:t>
      </w:r>
      <w:r w:rsidRPr="00A92DA2">
        <w:rPr>
          <w:rFonts w:ascii="Cambria" w:hAnsi="Cambria"/>
          <w:color w:val="000000" w:themeColor="text1"/>
          <w:sz w:val="20"/>
          <w:szCs w:val="20"/>
          <w:lang w:val="es-419"/>
        </w:rPr>
        <w:t xml:space="preserve">acciones </w:t>
      </w:r>
      <w:r w:rsidR="002A3850" w:rsidRPr="00A92DA2">
        <w:rPr>
          <w:rFonts w:ascii="Cambria" w:hAnsi="Cambria"/>
          <w:color w:val="000000" w:themeColor="text1"/>
          <w:sz w:val="20"/>
          <w:szCs w:val="20"/>
          <w:lang w:val="es-419"/>
        </w:rPr>
        <w:t xml:space="preserve"> </w:t>
      </w:r>
      <w:proofErr w:type="gramStart"/>
      <w:r w:rsidR="002A3850" w:rsidRPr="00A92DA2">
        <w:rPr>
          <w:rFonts w:ascii="Cambria" w:hAnsi="Cambria"/>
          <w:color w:val="000000" w:themeColor="text1"/>
          <w:sz w:val="20"/>
          <w:szCs w:val="20"/>
          <w:lang w:val="es-419"/>
        </w:rPr>
        <w:t>simultaneas</w:t>
      </w:r>
      <w:proofErr w:type="gramEnd"/>
      <w:r w:rsidR="002A3850" w:rsidRPr="00A92DA2">
        <w:rPr>
          <w:rFonts w:ascii="Cambria" w:hAnsi="Cambria"/>
          <w:color w:val="000000" w:themeColor="text1"/>
          <w:sz w:val="20"/>
          <w:szCs w:val="20"/>
          <w:lang w:val="es-419"/>
        </w:rPr>
        <w:t xml:space="preserve"> </w:t>
      </w:r>
      <w:r w:rsidRPr="00A92DA2">
        <w:rPr>
          <w:rFonts w:ascii="Cambria" w:hAnsi="Cambria"/>
          <w:color w:val="000000" w:themeColor="text1"/>
          <w:sz w:val="20"/>
          <w:szCs w:val="20"/>
          <w:lang w:val="es-419"/>
        </w:rPr>
        <w:t>de terror y</w:t>
      </w:r>
      <w:r w:rsidR="00111E46" w:rsidRPr="00A92DA2">
        <w:rPr>
          <w:rFonts w:ascii="Cambria" w:hAnsi="Cambria"/>
          <w:color w:val="000000" w:themeColor="text1"/>
          <w:sz w:val="20"/>
          <w:szCs w:val="20"/>
          <w:lang w:val="es-419"/>
        </w:rPr>
        <w:t xml:space="preserve"> barbarie que culminó con la ejecución extrajudicial de 12 personas, entre hombres, mujeres y </w:t>
      </w:r>
      <w:r w:rsidR="00B52252" w:rsidRPr="00A92DA2">
        <w:rPr>
          <w:rFonts w:ascii="Cambria" w:hAnsi="Cambria"/>
          <w:color w:val="000000" w:themeColor="text1"/>
          <w:sz w:val="20"/>
          <w:szCs w:val="20"/>
          <w:lang w:val="es-419"/>
        </w:rPr>
        <w:t>un adolescente</w:t>
      </w:r>
      <w:r w:rsidR="00111E46" w:rsidRPr="00A92DA2">
        <w:rPr>
          <w:rFonts w:ascii="Cambria" w:hAnsi="Cambria"/>
          <w:color w:val="000000" w:themeColor="text1"/>
          <w:sz w:val="20"/>
          <w:szCs w:val="20"/>
          <w:lang w:val="es-419"/>
        </w:rPr>
        <w:t>.</w:t>
      </w:r>
      <w:r w:rsidRPr="00A92DA2">
        <w:rPr>
          <w:rFonts w:ascii="Cambria" w:hAnsi="Cambria"/>
          <w:color w:val="000000" w:themeColor="text1"/>
          <w:sz w:val="20"/>
          <w:szCs w:val="20"/>
          <w:lang w:val="es-419"/>
        </w:rPr>
        <w:t xml:space="preserve"> L</w:t>
      </w:r>
      <w:r w:rsidR="00111E46" w:rsidRPr="00A92DA2">
        <w:rPr>
          <w:rFonts w:ascii="Cambria" w:hAnsi="Cambria"/>
          <w:color w:val="000000" w:themeColor="text1"/>
          <w:sz w:val="20"/>
          <w:szCs w:val="20"/>
          <w:lang w:val="es-419"/>
        </w:rPr>
        <w:t>os homicidios se produjeron con barbarie bajo la mirada de los pobladores</w:t>
      </w:r>
      <w:r w:rsidR="00A20E3F" w:rsidRPr="00A92DA2">
        <w:rPr>
          <w:rFonts w:ascii="Cambria" w:hAnsi="Cambria"/>
          <w:color w:val="000000" w:themeColor="text1"/>
          <w:sz w:val="20"/>
          <w:szCs w:val="20"/>
          <w:lang w:val="es-419"/>
        </w:rPr>
        <w:t>,</w:t>
      </w:r>
      <w:r w:rsidRPr="00A92DA2">
        <w:rPr>
          <w:rFonts w:ascii="Cambria" w:hAnsi="Cambria"/>
          <w:color w:val="000000" w:themeColor="text1"/>
          <w:sz w:val="20"/>
          <w:szCs w:val="20"/>
          <w:lang w:val="es-419"/>
        </w:rPr>
        <w:t xml:space="preserve"> incluyendo niños y niñas</w:t>
      </w:r>
      <w:r w:rsidR="002A3850" w:rsidRPr="00A92DA2">
        <w:rPr>
          <w:rFonts w:ascii="Cambria" w:hAnsi="Cambria"/>
          <w:color w:val="000000" w:themeColor="text1"/>
          <w:sz w:val="20"/>
          <w:szCs w:val="20"/>
          <w:lang w:val="es-419"/>
        </w:rPr>
        <w:t>. Relata que</w:t>
      </w:r>
      <w:r w:rsidR="00111E46" w:rsidRPr="00A92DA2">
        <w:rPr>
          <w:rFonts w:ascii="Cambria" w:hAnsi="Cambria"/>
          <w:color w:val="000000" w:themeColor="text1"/>
          <w:sz w:val="20"/>
          <w:szCs w:val="20"/>
          <w:lang w:val="es-419"/>
        </w:rPr>
        <w:t xml:space="preserve"> </w:t>
      </w:r>
      <w:r w:rsidR="00A20E3F" w:rsidRPr="00A92DA2">
        <w:rPr>
          <w:rFonts w:ascii="Cambria" w:hAnsi="Cambria"/>
          <w:color w:val="000000" w:themeColor="text1"/>
          <w:sz w:val="20"/>
          <w:szCs w:val="20"/>
          <w:lang w:val="es-419"/>
        </w:rPr>
        <w:t xml:space="preserve">las </w:t>
      </w:r>
      <w:r w:rsidR="00111E46" w:rsidRPr="00A92DA2">
        <w:rPr>
          <w:rFonts w:ascii="Cambria" w:hAnsi="Cambria"/>
          <w:color w:val="000000" w:themeColor="text1"/>
          <w:sz w:val="20"/>
          <w:szCs w:val="20"/>
          <w:lang w:val="es-419"/>
        </w:rPr>
        <w:t xml:space="preserve">presuntas víctimas </w:t>
      </w:r>
      <w:r w:rsidRPr="00A92DA2">
        <w:rPr>
          <w:rFonts w:ascii="Cambria" w:hAnsi="Cambria"/>
          <w:color w:val="000000" w:themeColor="text1"/>
          <w:sz w:val="20"/>
          <w:szCs w:val="20"/>
          <w:lang w:val="es-419"/>
        </w:rPr>
        <w:t>fueron amarradas; algunas</w:t>
      </w:r>
      <w:r w:rsidR="00111E46" w:rsidRPr="00A92DA2">
        <w:rPr>
          <w:rFonts w:ascii="Cambria" w:hAnsi="Cambria"/>
          <w:color w:val="000000" w:themeColor="text1"/>
          <w:sz w:val="20"/>
          <w:szCs w:val="20"/>
          <w:lang w:val="es-419"/>
        </w:rPr>
        <w:t xml:space="preserve"> sacadas de sus viviendas semidesnudas </w:t>
      </w:r>
      <w:r w:rsidRPr="00A92DA2">
        <w:rPr>
          <w:rFonts w:ascii="Cambria" w:hAnsi="Cambria"/>
          <w:color w:val="000000" w:themeColor="text1"/>
          <w:sz w:val="20"/>
          <w:szCs w:val="20"/>
          <w:lang w:val="es-419"/>
        </w:rPr>
        <w:t>y utilizando</w:t>
      </w:r>
      <w:r w:rsidR="00111E46" w:rsidRPr="00A92DA2">
        <w:rPr>
          <w:rFonts w:ascii="Cambria" w:hAnsi="Cambria"/>
          <w:color w:val="000000" w:themeColor="text1"/>
          <w:sz w:val="20"/>
          <w:szCs w:val="20"/>
          <w:lang w:val="es-419"/>
        </w:rPr>
        <w:t xml:space="preserve"> un perro para atacar</w:t>
      </w:r>
      <w:r w:rsidRPr="00A92DA2">
        <w:rPr>
          <w:rFonts w:ascii="Cambria" w:hAnsi="Cambria"/>
          <w:color w:val="000000" w:themeColor="text1"/>
          <w:sz w:val="20"/>
          <w:szCs w:val="20"/>
          <w:lang w:val="es-419"/>
        </w:rPr>
        <w:t xml:space="preserve"> a</w:t>
      </w:r>
      <w:r w:rsidR="002A3850" w:rsidRPr="00A92DA2">
        <w:rPr>
          <w:rFonts w:ascii="Cambria" w:hAnsi="Cambria"/>
          <w:color w:val="000000" w:themeColor="text1"/>
          <w:sz w:val="20"/>
          <w:szCs w:val="20"/>
          <w:lang w:val="es-419"/>
        </w:rPr>
        <w:t xml:space="preserve"> algunas de ellas; </w:t>
      </w:r>
      <w:r w:rsidR="00A20E3F" w:rsidRPr="00A92DA2">
        <w:rPr>
          <w:rFonts w:ascii="Cambria" w:hAnsi="Cambria"/>
          <w:color w:val="000000" w:themeColor="text1"/>
          <w:sz w:val="20"/>
          <w:szCs w:val="20"/>
          <w:lang w:val="es-419"/>
        </w:rPr>
        <w:t xml:space="preserve">en seguida </w:t>
      </w:r>
      <w:r w:rsidRPr="00A92DA2">
        <w:rPr>
          <w:rFonts w:ascii="Cambria" w:hAnsi="Cambria"/>
          <w:color w:val="000000" w:themeColor="text1"/>
          <w:sz w:val="20"/>
          <w:szCs w:val="20"/>
          <w:lang w:val="es-419"/>
        </w:rPr>
        <w:t xml:space="preserve"> se </w:t>
      </w:r>
      <w:r w:rsidR="00111E46" w:rsidRPr="00A92DA2">
        <w:rPr>
          <w:rFonts w:ascii="Cambria" w:hAnsi="Cambria"/>
          <w:color w:val="000000" w:themeColor="text1"/>
          <w:sz w:val="20"/>
          <w:szCs w:val="20"/>
          <w:lang w:val="es-419"/>
        </w:rPr>
        <w:t>le</w:t>
      </w:r>
      <w:r w:rsidR="00A20E3F" w:rsidRPr="00A92DA2">
        <w:rPr>
          <w:rFonts w:ascii="Cambria" w:hAnsi="Cambria"/>
          <w:color w:val="000000" w:themeColor="text1"/>
          <w:sz w:val="20"/>
          <w:szCs w:val="20"/>
          <w:lang w:val="es-419"/>
        </w:rPr>
        <w:t>s</w:t>
      </w:r>
      <w:r w:rsidR="00111E46" w:rsidRPr="00A92DA2">
        <w:rPr>
          <w:rFonts w:ascii="Cambria" w:hAnsi="Cambria"/>
          <w:color w:val="000000" w:themeColor="text1"/>
          <w:sz w:val="20"/>
          <w:szCs w:val="20"/>
          <w:lang w:val="es-419"/>
        </w:rPr>
        <w:t xml:space="preserve"> </w:t>
      </w:r>
      <w:r w:rsidR="00A20E3F" w:rsidRPr="00A92DA2">
        <w:rPr>
          <w:rFonts w:ascii="Cambria" w:hAnsi="Cambria"/>
          <w:color w:val="000000" w:themeColor="text1"/>
          <w:sz w:val="20"/>
          <w:szCs w:val="20"/>
          <w:lang w:val="es-419"/>
        </w:rPr>
        <w:t>disparó</w:t>
      </w:r>
      <w:r w:rsidR="00111E46" w:rsidRPr="00A92DA2">
        <w:rPr>
          <w:rFonts w:ascii="Cambria" w:hAnsi="Cambria"/>
          <w:color w:val="000000" w:themeColor="text1"/>
          <w:sz w:val="20"/>
          <w:szCs w:val="20"/>
          <w:lang w:val="es-419"/>
        </w:rPr>
        <w:t xml:space="preserve"> con tiro de fusil. </w:t>
      </w:r>
      <w:r w:rsidR="005C7ECE" w:rsidRPr="00A92DA2">
        <w:rPr>
          <w:rFonts w:ascii="Cambria" w:hAnsi="Cambria"/>
          <w:color w:val="000000" w:themeColor="text1"/>
          <w:sz w:val="20"/>
          <w:szCs w:val="20"/>
          <w:lang w:val="es-419"/>
        </w:rPr>
        <w:t>Asimismo, alega que el grupo paramilitar mantuvo cercado</w:t>
      </w:r>
      <w:r w:rsidR="00A20E3F" w:rsidRPr="00A92DA2">
        <w:rPr>
          <w:rFonts w:ascii="Cambria" w:hAnsi="Cambria"/>
          <w:color w:val="000000" w:themeColor="text1"/>
          <w:sz w:val="20"/>
          <w:szCs w:val="20"/>
          <w:lang w:val="es-419"/>
        </w:rPr>
        <w:t>s</w:t>
      </w:r>
      <w:r w:rsidR="005C7ECE" w:rsidRPr="00A92DA2">
        <w:rPr>
          <w:rFonts w:ascii="Cambria" w:hAnsi="Cambria"/>
          <w:color w:val="000000" w:themeColor="text1"/>
          <w:sz w:val="20"/>
          <w:szCs w:val="20"/>
          <w:lang w:val="es-419"/>
        </w:rPr>
        <w:t xml:space="preserve"> a los habitantes de Santa Cecilia, impidiéndoles que huyeran. Todos estuvieron secuestrados y una gran parte de ellos </w:t>
      </w:r>
      <w:r w:rsidR="00A20E3F" w:rsidRPr="00A92DA2">
        <w:rPr>
          <w:rFonts w:ascii="Cambria" w:hAnsi="Cambria"/>
          <w:color w:val="000000" w:themeColor="text1"/>
          <w:sz w:val="20"/>
          <w:szCs w:val="20"/>
          <w:lang w:val="es-419"/>
        </w:rPr>
        <w:t xml:space="preserve">fue </w:t>
      </w:r>
      <w:r w:rsidR="005C7ECE" w:rsidRPr="00A92DA2">
        <w:rPr>
          <w:rFonts w:ascii="Cambria" w:hAnsi="Cambria"/>
          <w:color w:val="000000" w:themeColor="text1"/>
          <w:sz w:val="20"/>
          <w:szCs w:val="20"/>
          <w:lang w:val="es-419"/>
        </w:rPr>
        <w:t>trasladado hacia a una pequeña cancha de fútbol, donde las AUC ejecut</w:t>
      </w:r>
      <w:r w:rsidR="00A20E3F" w:rsidRPr="00A92DA2">
        <w:rPr>
          <w:rFonts w:ascii="Cambria" w:hAnsi="Cambria"/>
          <w:color w:val="000000" w:themeColor="text1"/>
          <w:sz w:val="20"/>
          <w:szCs w:val="20"/>
          <w:lang w:val="es-419"/>
        </w:rPr>
        <w:t>aron a</w:t>
      </w:r>
      <w:r w:rsidR="005C7ECE" w:rsidRPr="00A92DA2">
        <w:rPr>
          <w:rFonts w:ascii="Cambria" w:hAnsi="Cambria"/>
          <w:color w:val="000000" w:themeColor="text1"/>
          <w:sz w:val="20"/>
          <w:szCs w:val="20"/>
          <w:lang w:val="es-419"/>
        </w:rPr>
        <w:t xml:space="preserve"> un gran número de víctimas. Al mismo tiempo, otro miembro del grupo paramilitar ingresó en las casas de los pobladores ordenándoles a los residentes a que les hicieran comida; consumieron todo lo que tenían</w:t>
      </w:r>
      <w:r w:rsidR="00A20E3F" w:rsidRPr="00A92DA2">
        <w:rPr>
          <w:rFonts w:ascii="Cambria" w:hAnsi="Cambria"/>
          <w:color w:val="000000" w:themeColor="text1"/>
          <w:sz w:val="20"/>
          <w:szCs w:val="20"/>
          <w:lang w:val="es-419"/>
        </w:rPr>
        <w:t>,</w:t>
      </w:r>
      <w:r w:rsidR="005C7ECE" w:rsidRPr="00A92DA2">
        <w:rPr>
          <w:rFonts w:ascii="Cambria" w:hAnsi="Cambria"/>
          <w:color w:val="000000" w:themeColor="text1"/>
          <w:sz w:val="20"/>
          <w:szCs w:val="20"/>
          <w:lang w:val="es-419"/>
        </w:rPr>
        <w:t xml:space="preserve"> mientras continuaban vejámenes, torturas y otros asesinatos. Además, alega que los paramilitares consumieron animales domésticos, saquearon las tiendas y hurtaron un número considerable de ga</w:t>
      </w:r>
      <w:r w:rsidR="00A20E3F" w:rsidRPr="00A92DA2">
        <w:rPr>
          <w:rFonts w:ascii="Cambria" w:hAnsi="Cambria"/>
          <w:color w:val="000000" w:themeColor="text1"/>
          <w:sz w:val="20"/>
          <w:szCs w:val="20"/>
          <w:lang w:val="es-419"/>
        </w:rPr>
        <w:t>na</w:t>
      </w:r>
      <w:r w:rsidR="005C7ECE" w:rsidRPr="00A92DA2">
        <w:rPr>
          <w:rFonts w:ascii="Cambria" w:hAnsi="Cambria"/>
          <w:color w:val="000000" w:themeColor="text1"/>
          <w:sz w:val="20"/>
          <w:szCs w:val="20"/>
          <w:lang w:val="es-419"/>
        </w:rPr>
        <w:t xml:space="preserve">do vacuno. Ejemplificando </w:t>
      </w:r>
      <w:r w:rsidR="002A3850" w:rsidRPr="00A92DA2">
        <w:rPr>
          <w:rFonts w:ascii="Cambria" w:hAnsi="Cambria"/>
          <w:color w:val="000000" w:themeColor="text1"/>
          <w:sz w:val="20"/>
          <w:szCs w:val="20"/>
          <w:lang w:val="es-419"/>
        </w:rPr>
        <w:t xml:space="preserve">la situación de terror a la que fueron sometidos los </w:t>
      </w:r>
      <w:r w:rsidR="002A3850" w:rsidRPr="00A92DA2">
        <w:rPr>
          <w:rFonts w:ascii="Cambria" w:hAnsi="Cambria"/>
          <w:color w:val="000000" w:themeColor="text1"/>
          <w:sz w:val="20"/>
          <w:szCs w:val="20"/>
          <w:lang w:val="es-419"/>
        </w:rPr>
        <w:lastRenderedPageBreak/>
        <w:t>pobladores, la parte peticionaria describe que e</w:t>
      </w:r>
      <w:r w:rsidR="00111E46" w:rsidRPr="00A92DA2">
        <w:rPr>
          <w:rFonts w:ascii="Cambria" w:hAnsi="Cambria"/>
          <w:color w:val="000000" w:themeColor="text1"/>
          <w:sz w:val="20"/>
          <w:szCs w:val="20"/>
          <w:lang w:val="es-419"/>
        </w:rPr>
        <w:t xml:space="preserve">l señor Humberto Marin Polo, que tenía 60 años, fue </w:t>
      </w:r>
      <w:r w:rsidR="00A20E3F" w:rsidRPr="00A92DA2">
        <w:rPr>
          <w:rFonts w:ascii="Cambria" w:hAnsi="Cambria"/>
          <w:color w:val="000000" w:themeColor="text1"/>
          <w:sz w:val="20"/>
          <w:szCs w:val="20"/>
          <w:lang w:val="es-419"/>
        </w:rPr>
        <w:t>asesinado</w:t>
      </w:r>
      <w:r w:rsidR="00111E46" w:rsidRPr="00A92DA2">
        <w:rPr>
          <w:rFonts w:ascii="Cambria" w:hAnsi="Cambria"/>
          <w:color w:val="000000" w:themeColor="text1"/>
          <w:sz w:val="20"/>
          <w:szCs w:val="20"/>
          <w:lang w:val="es-419"/>
        </w:rPr>
        <w:t xml:space="preserve"> tras haber presenciado las</w:t>
      </w:r>
      <w:r w:rsidR="002A3850" w:rsidRPr="00A92DA2">
        <w:rPr>
          <w:rFonts w:ascii="Cambria" w:hAnsi="Cambria"/>
          <w:color w:val="000000" w:themeColor="text1"/>
          <w:sz w:val="20"/>
          <w:szCs w:val="20"/>
          <w:lang w:val="es-419"/>
        </w:rPr>
        <w:t xml:space="preserve"> humillaciones contra su hija </w:t>
      </w:r>
      <w:r w:rsidR="00111E46" w:rsidRPr="00A92DA2">
        <w:rPr>
          <w:rFonts w:ascii="Cambria" w:hAnsi="Cambria"/>
          <w:color w:val="000000" w:themeColor="text1"/>
          <w:sz w:val="20"/>
          <w:szCs w:val="20"/>
          <w:lang w:val="es-419"/>
        </w:rPr>
        <w:t xml:space="preserve">Luz Aida Marin </w:t>
      </w:r>
      <w:proofErr w:type="spellStart"/>
      <w:r w:rsidR="00111E46" w:rsidRPr="00A92DA2">
        <w:rPr>
          <w:rFonts w:ascii="Cambria" w:hAnsi="Cambria"/>
          <w:color w:val="000000" w:themeColor="text1"/>
          <w:sz w:val="20"/>
          <w:szCs w:val="20"/>
          <w:lang w:val="es-419"/>
        </w:rPr>
        <w:t>Pertuz</w:t>
      </w:r>
      <w:proofErr w:type="spellEnd"/>
      <w:r w:rsidR="00111E46" w:rsidRPr="00A92DA2">
        <w:rPr>
          <w:rFonts w:ascii="Cambria" w:hAnsi="Cambria"/>
          <w:color w:val="000000" w:themeColor="text1"/>
          <w:sz w:val="20"/>
          <w:szCs w:val="20"/>
          <w:lang w:val="es-419"/>
        </w:rPr>
        <w:t xml:space="preserve"> y </w:t>
      </w:r>
      <w:r w:rsidR="002A3850" w:rsidRPr="00A92DA2">
        <w:rPr>
          <w:rFonts w:ascii="Cambria" w:hAnsi="Cambria"/>
          <w:color w:val="000000" w:themeColor="text1"/>
          <w:sz w:val="20"/>
          <w:szCs w:val="20"/>
          <w:lang w:val="es-419"/>
        </w:rPr>
        <w:t>que al pe</w:t>
      </w:r>
      <w:r w:rsidR="00111E46" w:rsidRPr="00A92DA2">
        <w:rPr>
          <w:rFonts w:ascii="Cambria" w:hAnsi="Cambria"/>
          <w:color w:val="000000" w:themeColor="text1"/>
          <w:sz w:val="20"/>
          <w:szCs w:val="20"/>
          <w:lang w:val="es-419"/>
        </w:rPr>
        <w:t xml:space="preserve">dir que lo mataran a él; a cambio, fue atacado por un perro que le </w:t>
      </w:r>
      <w:r w:rsidR="00A20E3F" w:rsidRPr="00A92DA2">
        <w:rPr>
          <w:rFonts w:ascii="Cambria" w:hAnsi="Cambria"/>
          <w:color w:val="000000" w:themeColor="text1"/>
          <w:sz w:val="20"/>
          <w:szCs w:val="20"/>
          <w:lang w:val="es-419"/>
        </w:rPr>
        <w:t>arrancó</w:t>
      </w:r>
      <w:r w:rsidR="00111E46" w:rsidRPr="00A92DA2">
        <w:rPr>
          <w:rFonts w:ascii="Cambria" w:hAnsi="Cambria"/>
          <w:color w:val="000000" w:themeColor="text1"/>
          <w:sz w:val="20"/>
          <w:szCs w:val="20"/>
          <w:lang w:val="es-419"/>
        </w:rPr>
        <w:t xml:space="preserve"> parte del rost</w:t>
      </w:r>
      <w:r w:rsidR="002A3850" w:rsidRPr="00A92DA2">
        <w:rPr>
          <w:rFonts w:ascii="Cambria" w:hAnsi="Cambria"/>
          <w:color w:val="000000" w:themeColor="text1"/>
          <w:sz w:val="20"/>
          <w:szCs w:val="20"/>
          <w:lang w:val="es-419"/>
        </w:rPr>
        <w:t xml:space="preserve">ro y posterior a este ataque </w:t>
      </w:r>
      <w:r w:rsidR="00111E46" w:rsidRPr="00A92DA2">
        <w:rPr>
          <w:rFonts w:ascii="Cambria" w:hAnsi="Cambria"/>
          <w:color w:val="000000" w:themeColor="text1"/>
          <w:sz w:val="20"/>
          <w:szCs w:val="20"/>
          <w:lang w:val="es-419"/>
        </w:rPr>
        <w:t>mataro</w:t>
      </w:r>
      <w:r w:rsidR="002A3850" w:rsidRPr="00A92DA2">
        <w:rPr>
          <w:rFonts w:ascii="Cambria" w:hAnsi="Cambria"/>
          <w:color w:val="000000" w:themeColor="text1"/>
          <w:sz w:val="20"/>
          <w:szCs w:val="20"/>
          <w:lang w:val="es-419"/>
        </w:rPr>
        <w:t>n a su hija y después</w:t>
      </w:r>
      <w:r w:rsidR="00111E46" w:rsidRPr="00A92DA2">
        <w:rPr>
          <w:rFonts w:ascii="Cambria" w:hAnsi="Cambria"/>
          <w:color w:val="000000" w:themeColor="text1"/>
          <w:sz w:val="20"/>
          <w:szCs w:val="20"/>
          <w:lang w:val="es-419"/>
        </w:rPr>
        <w:t xml:space="preserve"> a él. </w:t>
      </w:r>
      <w:r w:rsidR="005C7ECE" w:rsidRPr="00A92DA2">
        <w:rPr>
          <w:rFonts w:ascii="Cambria" w:hAnsi="Cambria"/>
          <w:color w:val="000000" w:themeColor="text1"/>
          <w:sz w:val="20"/>
          <w:szCs w:val="20"/>
          <w:lang w:val="es-419"/>
        </w:rPr>
        <w:t xml:space="preserve">También </w:t>
      </w:r>
      <w:r w:rsidR="00111E46" w:rsidRPr="00A92DA2">
        <w:rPr>
          <w:rFonts w:ascii="Cambria" w:hAnsi="Cambria"/>
          <w:color w:val="000000" w:themeColor="text1"/>
          <w:sz w:val="20"/>
          <w:szCs w:val="20"/>
          <w:lang w:val="es-419"/>
        </w:rPr>
        <w:t xml:space="preserve">indica que la niña O.O.M, que tenía 15 años, fue violada sexualmente por los paramilitares. </w:t>
      </w:r>
    </w:p>
    <w:p w14:paraId="2BB466CB" w14:textId="31092FD5" w:rsidR="002408EC" w:rsidRPr="00A92DA2" w:rsidRDefault="00A4524D" w:rsidP="006F6E7B">
      <w:pPr>
        <w:numPr>
          <w:ilvl w:val="0"/>
          <w:numId w:val="2"/>
        </w:numPr>
        <w:suppressAutoHyphens/>
        <w:spacing w:after="120"/>
        <w:jc w:val="both"/>
        <w:rPr>
          <w:rFonts w:ascii="Cambria" w:hAnsi="Cambria"/>
          <w:sz w:val="20"/>
          <w:szCs w:val="20"/>
          <w:lang w:val="es-419"/>
        </w:rPr>
      </w:pPr>
      <w:r w:rsidRPr="00A92DA2">
        <w:rPr>
          <w:rFonts w:ascii="Cambria" w:hAnsi="Cambria"/>
          <w:color w:val="000000" w:themeColor="text1"/>
          <w:sz w:val="20"/>
          <w:szCs w:val="20"/>
          <w:lang w:val="es-419"/>
        </w:rPr>
        <w:t xml:space="preserve">La parte peticionaria aduce que, como resultado de los hechos antes relatados, los sobrevivientes de </w:t>
      </w:r>
      <w:r w:rsidR="00861D8B" w:rsidRPr="00A92DA2">
        <w:rPr>
          <w:rFonts w:ascii="Cambria" w:hAnsi="Cambria"/>
          <w:color w:val="000000" w:themeColor="text1"/>
          <w:sz w:val="20"/>
          <w:szCs w:val="20"/>
          <w:lang w:val="es-419"/>
        </w:rPr>
        <w:t>la masacre</w:t>
      </w:r>
      <w:r w:rsidRPr="00A92DA2">
        <w:rPr>
          <w:rFonts w:ascii="Cambria" w:hAnsi="Cambria"/>
          <w:color w:val="000000" w:themeColor="text1"/>
          <w:sz w:val="20"/>
          <w:szCs w:val="20"/>
          <w:lang w:val="es-419"/>
        </w:rPr>
        <w:t xml:space="preserve"> se vieron obligados a desplazarse internamente por temor a ser objeto de actos adicionales de violencia</w:t>
      </w:r>
      <w:r w:rsidR="00861D8B" w:rsidRPr="00A92DA2">
        <w:rPr>
          <w:rFonts w:ascii="Cambria" w:hAnsi="Cambria"/>
          <w:color w:val="000000" w:themeColor="text1"/>
          <w:sz w:val="20"/>
          <w:szCs w:val="20"/>
          <w:lang w:val="es-419"/>
        </w:rPr>
        <w:t xml:space="preserve">. Esto también a la luz de lo </w:t>
      </w:r>
      <w:r w:rsidRPr="00A92DA2">
        <w:rPr>
          <w:rFonts w:ascii="Cambria" w:hAnsi="Cambria"/>
          <w:color w:val="000000" w:themeColor="text1"/>
          <w:sz w:val="20"/>
          <w:szCs w:val="20"/>
          <w:lang w:val="es-419"/>
        </w:rPr>
        <w:t xml:space="preserve">ocurrido con </w:t>
      </w:r>
      <w:r w:rsidRPr="00A92DA2">
        <w:rPr>
          <w:rFonts w:ascii="Cambria" w:hAnsi="Cambria"/>
          <w:sz w:val="20"/>
          <w:szCs w:val="20"/>
          <w:lang w:val="es-419"/>
        </w:rPr>
        <w:t xml:space="preserve">el </w:t>
      </w:r>
      <w:r w:rsidR="00B6684D" w:rsidRPr="00A92DA2">
        <w:rPr>
          <w:rFonts w:ascii="Cambria" w:hAnsi="Cambria"/>
          <w:sz w:val="20"/>
          <w:szCs w:val="20"/>
          <w:lang w:val="es-419"/>
        </w:rPr>
        <w:t xml:space="preserve">militar </w:t>
      </w:r>
      <w:r w:rsidRPr="00A92DA2">
        <w:rPr>
          <w:rFonts w:ascii="Cambria" w:hAnsi="Cambria"/>
          <w:sz w:val="20"/>
          <w:szCs w:val="20"/>
          <w:lang w:val="es-419"/>
        </w:rPr>
        <w:t>Javier Enrique Estrada Navarro</w:t>
      </w:r>
      <w:r w:rsidRPr="00A92DA2">
        <w:rPr>
          <w:rFonts w:ascii="Cambria" w:hAnsi="Cambria"/>
          <w:color w:val="000000" w:themeColor="text1"/>
          <w:sz w:val="20"/>
          <w:szCs w:val="20"/>
          <w:lang w:val="es-419"/>
        </w:rPr>
        <w:t xml:space="preserve"> </w:t>
      </w:r>
      <w:r w:rsidRPr="00A92DA2">
        <w:rPr>
          <w:rFonts w:ascii="Cambria" w:hAnsi="Cambria"/>
          <w:sz w:val="20"/>
          <w:szCs w:val="20"/>
          <w:lang w:val="es-419"/>
        </w:rPr>
        <w:t xml:space="preserve">, personero de </w:t>
      </w:r>
      <w:proofErr w:type="spellStart"/>
      <w:r w:rsidRPr="00A92DA2">
        <w:rPr>
          <w:rFonts w:ascii="Cambria" w:hAnsi="Cambria"/>
          <w:sz w:val="20"/>
          <w:szCs w:val="20"/>
          <w:lang w:val="es-419"/>
        </w:rPr>
        <w:t>Astrea</w:t>
      </w:r>
      <w:proofErr w:type="spellEnd"/>
      <w:r w:rsidRPr="00A92DA2">
        <w:rPr>
          <w:rFonts w:ascii="Cambria" w:hAnsi="Cambria"/>
          <w:sz w:val="20"/>
          <w:szCs w:val="20"/>
          <w:lang w:val="es-419"/>
        </w:rPr>
        <w:t xml:space="preserve">-Cesar, </w:t>
      </w:r>
      <w:r w:rsidRPr="00A92DA2">
        <w:rPr>
          <w:rFonts w:ascii="Cambria" w:hAnsi="Cambria"/>
          <w:color w:val="000000" w:themeColor="text1"/>
          <w:sz w:val="20"/>
          <w:szCs w:val="20"/>
          <w:lang w:val="es-419"/>
        </w:rPr>
        <w:t xml:space="preserve">quien </w:t>
      </w:r>
      <w:r w:rsidR="00111E46" w:rsidRPr="00A92DA2">
        <w:rPr>
          <w:rFonts w:ascii="Cambria" w:hAnsi="Cambria"/>
          <w:sz w:val="20"/>
          <w:szCs w:val="20"/>
          <w:lang w:val="es-419"/>
        </w:rPr>
        <w:t>el 1 de febrero de 2</w:t>
      </w:r>
      <w:r w:rsidRPr="00A92DA2">
        <w:rPr>
          <w:rFonts w:ascii="Cambria" w:hAnsi="Cambria"/>
          <w:sz w:val="20"/>
          <w:szCs w:val="20"/>
          <w:lang w:val="es-419"/>
        </w:rPr>
        <w:t xml:space="preserve">000 en un programa televisivo, </w:t>
      </w:r>
      <w:r w:rsidR="00111E46" w:rsidRPr="00A92DA2">
        <w:rPr>
          <w:rFonts w:ascii="Cambria" w:hAnsi="Cambria"/>
          <w:sz w:val="20"/>
          <w:szCs w:val="20"/>
          <w:lang w:val="es-419"/>
        </w:rPr>
        <w:t>denunció los hechos de la masacre de Santa Cecilia y pidió ayuda estatal para atender a la población desplazada</w:t>
      </w:r>
      <w:r w:rsidR="006250E7" w:rsidRPr="00A92DA2">
        <w:rPr>
          <w:rFonts w:ascii="Cambria" w:hAnsi="Cambria"/>
          <w:sz w:val="20"/>
          <w:szCs w:val="20"/>
          <w:lang w:val="es-419"/>
        </w:rPr>
        <w:t>,</w:t>
      </w:r>
      <w:r w:rsidRPr="00A92DA2">
        <w:rPr>
          <w:rFonts w:ascii="Cambria" w:hAnsi="Cambria"/>
          <w:sz w:val="20"/>
          <w:szCs w:val="20"/>
          <w:lang w:val="es-419"/>
        </w:rPr>
        <w:t xml:space="preserve"> siendo días después </w:t>
      </w:r>
      <w:r w:rsidR="00111E46" w:rsidRPr="00A92DA2">
        <w:rPr>
          <w:rFonts w:ascii="Cambria" w:hAnsi="Cambria"/>
          <w:sz w:val="20"/>
          <w:szCs w:val="20"/>
          <w:lang w:val="es-419"/>
        </w:rPr>
        <w:t>asesinado por las AUC</w:t>
      </w:r>
      <w:r w:rsidRPr="00A92DA2">
        <w:rPr>
          <w:rStyle w:val="FootnoteReference"/>
          <w:rFonts w:ascii="Cambria" w:hAnsi="Cambria"/>
          <w:sz w:val="20"/>
          <w:szCs w:val="20"/>
          <w:lang w:val="es-419"/>
        </w:rPr>
        <w:footnoteReference w:id="6"/>
      </w:r>
      <w:r w:rsidR="00111E46" w:rsidRPr="00A92DA2">
        <w:rPr>
          <w:rFonts w:ascii="Cambria" w:hAnsi="Cambria"/>
          <w:sz w:val="20"/>
          <w:szCs w:val="20"/>
          <w:lang w:val="es-419"/>
        </w:rPr>
        <w:t xml:space="preserve">. </w:t>
      </w:r>
      <w:r w:rsidR="00861D8B" w:rsidRPr="00A92DA2">
        <w:rPr>
          <w:rFonts w:ascii="Cambria" w:hAnsi="Cambria"/>
          <w:sz w:val="20"/>
          <w:szCs w:val="20"/>
          <w:lang w:val="es-419"/>
        </w:rPr>
        <w:t>Informa que, a</w:t>
      </w:r>
      <w:r w:rsidR="00111E46" w:rsidRPr="00A92DA2">
        <w:rPr>
          <w:rFonts w:ascii="Cambria" w:hAnsi="Cambria"/>
          <w:sz w:val="20"/>
          <w:szCs w:val="20"/>
          <w:lang w:val="es-419"/>
        </w:rPr>
        <w:t xml:space="preserve">nte dicha situación </w:t>
      </w:r>
      <w:r w:rsidR="00861D8B" w:rsidRPr="00A92DA2">
        <w:rPr>
          <w:rFonts w:ascii="Cambria" w:hAnsi="Cambria"/>
          <w:sz w:val="20"/>
          <w:szCs w:val="20"/>
          <w:lang w:val="es-419"/>
        </w:rPr>
        <w:t xml:space="preserve">de </w:t>
      </w:r>
      <w:r w:rsidR="00111E46" w:rsidRPr="00A92DA2">
        <w:rPr>
          <w:rFonts w:ascii="Cambria" w:hAnsi="Cambria"/>
          <w:sz w:val="20"/>
          <w:szCs w:val="20"/>
          <w:lang w:val="es-419"/>
        </w:rPr>
        <w:t>vulnerabilidad extrema</w:t>
      </w:r>
      <w:r w:rsidR="00861D8B" w:rsidRPr="00A92DA2">
        <w:rPr>
          <w:rFonts w:ascii="Cambria" w:hAnsi="Cambria"/>
          <w:sz w:val="20"/>
          <w:szCs w:val="20"/>
          <w:lang w:val="es-419"/>
        </w:rPr>
        <w:t xml:space="preserve">, cerca de </w:t>
      </w:r>
      <w:r w:rsidR="00111E46" w:rsidRPr="00A92DA2">
        <w:rPr>
          <w:rFonts w:ascii="Cambria" w:hAnsi="Cambria"/>
          <w:color w:val="000000" w:themeColor="text1"/>
          <w:sz w:val="20"/>
          <w:szCs w:val="20"/>
          <w:lang w:val="es-419"/>
        </w:rPr>
        <w:t xml:space="preserve">300 personas se trasladaron </w:t>
      </w:r>
      <w:r w:rsidR="00B52252" w:rsidRPr="00A92DA2">
        <w:rPr>
          <w:rFonts w:ascii="Cambria" w:hAnsi="Cambria"/>
          <w:color w:val="000000" w:themeColor="text1"/>
          <w:sz w:val="20"/>
          <w:szCs w:val="20"/>
          <w:lang w:val="es-419"/>
        </w:rPr>
        <w:t>durante</w:t>
      </w:r>
      <w:r w:rsidR="00111E46" w:rsidRPr="00A92DA2">
        <w:rPr>
          <w:rFonts w:ascii="Cambria" w:hAnsi="Cambria"/>
          <w:color w:val="000000" w:themeColor="text1"/>
          <w:sz w:val="20"/>
          <w:szCs w:val="20"/>
          <w:lang w:val="es-419"/>
        </w:rPr>
        <w:t xml:space="preserve"> los días siguientes a los municipios de </w:t>
      </w:r>
      <w:proofErr w:type="spellStart"/>
      <w:r w:rsidR="00861D8B" w:rsidRPr="00A92DA2">
        <w:rPr>
          <w:rFonts w:ascii="Cambria" w:hAnsi="Cambria"/>
          <w:color w:val="000000" w:themeColor="text1"/>
          <w:sz w:val="20"/>
          <w:szCs w:val="20"/>
          <w:lang w:val="es-419"/>
        </w:rPr>
        <w:t>Astrea</w:t>
      </w:r>
      <w:proofErr w:type="spellEnd"/>
      <w:r w:rsidR="00861D8B" w:rsidRPr="00A92DA2">
        <w:rPr>
          <w:rFonts w:ascii="Cambria" w:hAnsi="Cambria"/>
          <w:color w:val="000000" w:themeColor="text1"/>
          <w:sz w:val="20"/>
          <w:szCs w:val="20"/>
          <w:lang w:val="es-419"/>
        </w:rPr>
        <w:t xml:space="preserve"> y </w:t>
      </w:r>
      <w:proofErr w:type="spellStart"/>
      <w:r w:rsidR="00861D8B" w:rsidRPr="00A92DA2">
        <w:rPr>
          <w:rFonts w:ascii="Cambria" w:hAnsi="Cambria"/>
          <w:color w:val="000000" w:themeColor="text1"/>
          <w:sz w:val="20"/>
          <w:szCs w:val="20"/>
          <w:lang w:val="es-419"/>
        </w:rPr>
        <w:t>Chimichagua</w:t>
      </w:r>
      <w:proofErr w:type="spellEnd"/>
      <w:r w:rsidR="00861D8B" w:rsidRPr="00A92DA2">
        <w:rPr>
          <w:rFonts w:ascii="Cambria" w:hAnsi="Cambria"/>
          <w:color w:val="000000" w:themeColor="text1"/>
          <w:sz w:val="20"/>
          <w:szCs w:val="20"/>
          <w:lang w:val="es-419"/>
        </w:rPr>
        <w:t xml:space="preserve"> en busca</w:t>
      </w:r>
      <w:r w:rsidR="00111E46" w:rsidRPr="00A92DA2">
        <w:rPr>
          <w:rFonts w:ascii="Cambria" w:hAnsi="Cambria"/>
          <w:color w:val="000000" w:themeColor="text1"/>
          <w:sz w:val="20"/>
          <w:szCs w:val="20"/>
          <w:lang w:val="es-419"/>
        </w:rPr>
        <w:t xml:space="preserve"> de protección y apoyo. Afirma </w:t>
      </w:r>
      <w:r w:rsidR="00B52252" w:rsidRPr="00A92DA2">
        <w:rPr>
          <w:rFonts w:ascii="Cambria" w:hAnsi="Cambria"/>
          <w:color w:val="000000" w:themeColor="text1"/>
          <w:sz w:val="20"/>
          <w:szCs w:val="20"/>
          <w:lang w:val="es-419"/>
        </w:rPr>
        <w:t>que</w:t>
      </w:r>
      <w:r w:rsidR="00111E46" w:rsidRPr="00A92DA2">
        <w:rPr>
          <w:rFonts w:ascii="Cambria" w:hAnsi="Cambria"/>
          <w:color w:val="000000" w:themeColor="text1"/>
          <w:sz w:val="20"/>
          <w:szCs w:val="20"/>
          <w:lang w:val="es-419"/>
        </w:rPr>
        <w:t xml:space="preserve"> debido a la falta de apoyo del Estado, las presuntas víctimas se dispersaron por distintas ciudades como Valledupar, Barranquilla y Bogotá. </w:t>
      </w:r>
      <w:r w:rsidR="006F6E7B" w:rsidRPr="00A92DA2">
        <w:rPr>
          <w:rFonts w:ascii="Cambria" w:hAnsi="Cambria"/>
          <w:sz w:val="20"/>
          <w:szCs w:val="20"/>
          <w:lang w:val="es-419"/>
        </w:rPr>
        <w:t xml:space="preserve">En este contexto </w:t>
      </w:r>
      <w:r w:rsidR="002408EC" w:rsidRPr="00A92DA2">
        <w:rPr>
          <w:rFonts w:ascii="Cambria" w:hAnsi="Cambria"/>
          <w:color w:val="000000" w:themeColor="text1"/>
          <w:sz w:val="20"/>
          <w:szCs w:val="20"/>
          <w:lang w:val="es-419"/>
        </w:rPr>
        <w:t xml:space="preserve">afirma que el Estado violó los derechos a la vida digna, a la integridad personal, a la circulación y residencia, a la propiedad, a la familia y los derechos del niño, pues a raíz de la masacre los sobrevivientes debieron desplazarse de su lugar de residencia para protegerse, privándoles de dar continuidad a sus proyectos de vida, sin que fuera considerado y garantizado el bienestar de los niños; además, el desplazamiento les impuso tortura psicológica y trajo consigo un pánico tal que obligó a las presuntas víctima a abandonar sus viviendas y hogares; y generó la pérdida </w:t>
      </w:r>
      <w:r w:rsidR="006F6E7B" w:rsidRPr="00A92DA2">
        <w:rPr>
          <w:rFonts w:ascii="Cambria" w:hAnsi="Cambria"/>
          <w:color w:val="000000" w:themeColor="text1"/>
          <w:sz w:val="20"/>
          <w:szCs w:val="20"/>
          <w:lang w:val="es-419"/>
        </w:rPr>
        <w:t>de</w:t>
      </w:r>
      <w:r w:rsidR="002408EC" w:rsidRPr="00A92DA2">
        <w:rPr>
          <w:rFonts w:ascii="Cambria" w:hAnsi="Cambria"/>
          <w:color w:val="000000" w:themeColor="text1"/>
          <w:sz w:val="20"/>
          <w:szCs w:val="20"/>
          <w:lang w:val="es-419"/>
        </w:rPr>
        <w:t xml:space="preserve"> todas sus pertenencias. Además, la parte peticionaria alega que el Estado violó los derechos de la mujer, pues la niña O.O.M fue </w:t>
      </w:r>
      <w:r w:rsidR="00B43BBC" w:rsidRPr="00A92DA2">
        <w:rPr>
          <w:rFonts w:ascii="Cambria" w:hAnsi="Cambria"/>
          <w:color w:val="000000" w:themeColor="text1"/>
          <w:sz w:val="20"/>
          <w:szCs w:val="20"/>
          <w:lang w:val="es-419"/>
        </w:rPr>
        <w:t>violada</w:t>
      </w:r>
      <w:r w:rsidR="002408EC" w:rsidRPr="00A92DA2">
        <w:rPr>
          <w:rFonts w:ascii="Cambria" w:hAnsi="Cambria"/>
          <w:color w:val="000000" w:themeColor="text1"/>
          <w:sz w:val="20"/>
          <w:szCs w:val="20"/>
          <w:lang w:val="es-419"/>
        </w:rPr>
        <w:t xml:space="preserve"> sexualmente. Asimismo, se afirma que el Estado </w:t>
      </w:r>
      <w:r w:rsidR="00B43BBC" w:rsidRPr="00A92DA2">
        <w:rPr>
          <w:rFonts w:ascii="Cambria" w:hAnsi="Cambria"/>
          <w:color w:val="000000" w:themeColor="text1"/>
          <w:sz w:val="20"/>
          <w:szCs w:val="20"/>
          <w:lang w:val="es-419"/>
        </w:rPr>
        <w:t>violó</w:t>
      </w:r>
      <w:r w:rsidR="002408EC" w:rsidRPr="00A92DA2">
        <w:rPr>
          <w:rFonts w:ascii="Cambria" w:hAnsi="Cambria"/>
          <w:color w:val="000000" w:themeColor="text1"/>
          <w:sz w:val="20"/>
          <w:szCs w:val="20"/>
          <w:lang w:val="es-419"/>
        </w:rPr>
        <w:t xml:space="preserve"> los derechos a las garantías judiciales y a la protección judicial toda vez que no investigó y sancionó a los responsables por la masacre y por el desplazamiento forzado, además de no asegurar los derechos a la verdad, la justicia y la reparación.</w:t>
      </w:r>
      <w:r w:rsidR="006F6E7B" w:rsidRPr="00A92DA2">
        <w:rPr>
          <w:rFonts w:ascii="Cambria" w:hAnsi="Cambria"/>
          <w:color w:val="000000" w:themeColor="text1"/>
          <w:sz w:val="20"/>
          <w:szCs w:val="20"/>
          <w:lang w:val="es-419"/>
        </w:rPr>
        <w:t xml:space="preserve"> Debido a la ausencia de atención del Estado, se inició el retorno de las presuntas víctimas para recuperar algunos de sus bienes. Afirma la peticionaria que la población retornada en la actualidad se encuentra enfrentad</w:t>
      </w:r>
      <w:r w:rsidR="00B43BBC" w:rsidRPr="00A92DA2">
        <w:rPr>
          <w:rFonts w:ascii="Cambria" w:hAnsi="Cambria"/>
          <w:color w:val="000000" w:themeColor="text1"/>
          <w:sz w:val="20"/>
          <w:szCs w:val="20"/>
          <w:lang w:val="es-419"/>
        </w:rPr>
        <w:t>a a</w:t>
      </w:r>
      <w:r w:rsidR="006F6E7B" w:rsidRPr="00A92DA2">
        <w:rPr>
          <w:rFonts w:ascii="Cambria" w:hAnsi="Cambria"/>
          <w:color w:val="000000" w:themeColor="text1"/>
          <w:sz w:val="20"/>
          <w:szCs w:val="20"/>
          <w:lang w:val="es-419"/>
        </w:rPr>
        <w:t xml:space="preserve"> nuevos riesgos.</w:t>
      </w:r>
    </w:p>
    <w:p w14:paraId="58E0EFA2" w14:textId="2719D1F8" w:rsidR="005E2EC8" w:rsidRPr="00A92DA2" w:rsidRDefault="005E2EC8" w:rsidP="002D40AD">
      <w:pPr>
        <w:numPr>
          <w:ilvl w:val="0"/>
          <w:numId w:val="2"/>
        </w:numPr>
        <w:suppressAutoHyphens/>
        <w:spacing w:after="120"/>
        <w:jc w:val="both"/>
        <w:rPr>
          <w:rFonts w:ascii="Cambria" w:hAnsi="Cambria"/>
          <w:sz w:val="20"/>
          <w:szCs w:val="20"/>
          <w:lang w:val="es-419"/>
        </w:rPr>
      </w:pPr>
      <w:r w:rsidRPr="00A92DA2">
        <w:rPr>
          <w:rFonts w:ascii="Cambria" w:hAnsi="Cambria"/>
          <w:color w:val="000000" w:themeColor="text1"/>
          <w:sz w:val="20"/>
          <w:szCs w:val="20"/>
          <w:u w:val="single"/>
          <w:lang w:val="es-419"/>
        </w:rPr>
        <w:t>En relación con el proceso de justicia y paz</w:t>
      </w:r>
      <w:r w:rsidRPr="00A92DA2">
        <w:rPr>
          <w:rFonts w:ascii="Cambria" w:hAnsi="Cambria"/>
          <w:color w:val="000000" w:themeColor="text1"/>
          <w:sz w:val="20"/>
          <w:szCs w:val="20"/>
          <w:lang w:val="es-419"/>
        </w:rPr>
        <w:t>, la parte peticionaria afirma que la Fiscalía investigó y acusó al señor Esquivel Cuadrado por los delitos de homicidio agravado, hurto calificado y agravado en 2007</w:t>
      </w:r>
      <w:r w:rsidRPr="00A92DA2">
        <w:rPr>
          <w:rFonts w:ascii="Cambria" w:hAnsi="Cambria"/>
          <w:sz w:val="20"/>
          <w:szCs w:val="20"/>
          <w:lang w:val="es-419"/>
        </w:rPr>
        <w:t xml:space="preserve">. Además, afirma que el 17 de mayo de 2011, el Juzgado Penal del Circuito Especializado de Descongestión de Valledupar condenó el señor Esquivel Cuadrado por los homicidios de la masacre, a excepción del homicidio de la presunta víctima Luis Alberto Peñaloza </w:t>
      </w:r>
      <w:proofErr w:type="spellStart"/>
      <w:r w:rsidRPr="00A92DA2">
        <w:rPr>
          <w:rFonts w:ascii="Cambria" w:hAnsi="Cambria"/>
          <w:sz w:val="20"/>
          <w:szCs w:val="20"/>
          <w:lang w:val="es-419"/>
        </w:rPr>
        <w:t>Lafaurie</w:t>
      </w:r>
      <w:proofErr w:type="spellEnd"/>
      <w:r w:rsidRPr="00A92DA2">
        <w:rPr>
          <w:rFonts w:ascii="Cambria" w:hAnsi="Cambria"/>
          <w:sz w:val="20"/>
          <w:szCs w:val="20"/>
          <w:lang w:val="es-419"/>
        </w:rPr>
        <w:t xml:space="preserve">. La decisión fue apelada y el 15 de marzo de 2012,  la sala penal del Tribunal Superior de Valledupar declaró la nulidad del proceso, estableciendo que el señor Esquivel Cuadrado debía ser condenado también por el homicidio del señor Peñaloza </w:t>
      </w:r>
      <w:proofErr w:type="spellStart"/>
      <w:r w:rsidRPr="00A92DA2">
        <w:rPr>
          <w:rFonts w:ascii="Cambria" w:hAnsi="Cambria"/>
          <w:sz w:val="20"/>
          <w:szCs w:val="20"/>
          <w:lang w:val="es-419"/>
        </w:rPr>
        <w:t>Lafaurie</w:t>
      </w:r>
      <w:proofErr w:type="spellEnd"/>
      <w:r w:rsidRPr="00A92DA2">
        <w:rPr>
          <w:rFonts w:ascii="Cambria" w:hAnsi="Cambria"/>
          <w:sz w:val="20"/>
          <w:szCs w:val="20"/>
          <w:lang w:val="es-419"/>
        </w:rPr>
        <w:t xml:space="preserve">. El 8 de marzo de 2013, el Juzgado Penal del Circuito Especializado de Valledupar ignoró la </w:t>
      </w:r>
      <w:r w:rsidR="00B43BBC" w:rsidRPr="00A92DA2">
        <w:rPr>
          <w:rFonts w:ascii="Cambria" w:hAnsi="Cambria"/>
          <w:sz w:val="20"/>
          <w:szCs w:val="20"/>
          <w:lang w:val="es-419"/>
        </w:rPr>
        <w:t>decisión</w:t>
      </w:r>
      <w:r w:rsidRPr="00A92DA2">
        <w:rPr>
          <w:rFonts w:ascii="Cambria" w:hAnsi="Cambria"/>
          <w:sz w:val="20"/>
          <w:szCs w:val="20"/>
          <w:lang w:val="es-419"/>
        </w:rPr>
        <w:t xml:space="preserve"> del Tribunal Superior de Valledupar y comunicó que la sentencia proferida en contra del señor Esquivel Cuadrado por los hechos de la masacre se encontraba firme. De otra parte, la peticionaria agrega que el señor Luis Francisco Robles Mendoza (en adelante el señor “Robles Mendoza”) fue condenado el 11 de julio de 2014 y el señor Victor Manuel Hernández Ramos (en adelante el “señor Hernández Ramos”) fue condenado el 11 de febrero de 2016. Asimismo, alega que en la sentencia contra el “Salvatore Mancuso Gómez y otros”, las víctimas no fueron suscritas ni notificas. </w:t>
      </w:r>
      <w:r w:rsidR="00B43BBC" w:rsidRPr="00A92DA2">
        <w:rPr>
          <w:rFonts w:ascii="Cambria" w:hAnsi="Cambria"/>
          <w:sz w:val="20"/>
          <w:szCs w:val="20"/>
          <w:lang w:val="es-419"/>
        </w:rPr>
        <w:t>A</w:t>
      </w:r>
      <w:r w:rsidRPr="00A92DA2">
        <w:rPr>
          <w:rFonts w:ascii="Cambria" w:hAnsi="Cambria"/>
          <w:sz w:val="20"/>
          <w:szCs w:val="20"/>
          <w:lang w:val="es-419"/>
        </w:rPr>
        <w:t xml:space="preserve">grega que el señor Luis Francisco Robles Mendoza (en adelante el señor “Robles Mendoza”) fue condenado el 11 de julio de 2014 y el señor </w:t>
      </w:r>
      <w:r w:rsidR="00B43BBC" w:rsidRPr="00A92DA2">
        <w:rPr>
          <w:rFonts w:ascii="Cambria" w:hAnsi="Cambria"/>
          <w:sz w:val="20"/>
          <w:szCs w:val="20"/>
          <w:lang w:val="es-419"/>
        </w:rPr>
        <w:t>Víctor</w:t>
      </w:r>
      <w:r w:rsidRPr="00A92DA2">
        <w:rPr>
          <w:rFonts w:ascii="Cambria" w:hAnsi="Cambria"/>
          <w:sz w:val="20"/>
          <w:szCs w:val="20"/>
          <w:lang w:val="es-419"/>
        </w:rPr>
        <w:t xml:space="preserve"> Manuel Hernández Ramos (en adelante el “señor Hernández Ramos”) fue condenado el 11 de febrero de 2016, es decir, 14 y 16 años después de la masacre. Por lo tanto, alega que después de más de 18 años de la masacre, los hechos </w:t>
      </w:r>
      <w:r w:rsidR="00B43BBC" w:rsidRPr="00A92DA2">
        <w:rPr>
          <w:rFonts w:ascii="Cambria" w:hAnsi="Cambria"/>
          <w:sz w:val="20"/>
          <w:szCs w:val="20"/>
          <w:lang w:val="es-419"/>
        </w:rPr>
        <w:t>permanecen</w:t>
      </w:r>
      <w:r w:rsidRPr="00A92DA2">
        <w:rPr>
          <w:rFonts w:ascii="Cambria" w:hAnsi="Cambria"/>
          <w:sz w:val="20"/>
          <w:szCs w:val="20"/>
          <w:lang w:val="es-419"/>
        </w:rPr>
        <w:t xml:space="preserve"> en impunidad </w:t>
      </w:r>
      <w:r w:rsidRPr="00A92DA2">
        <w:rPr>
          <w:rFonts w:ascii="Cambria" w:hAnsi="Cambria"/>
          <w:sz w:val="20"/>
          <w:szCs w:val="20"/>
          <w:lang w:val="es-419"/>
        </w:rPr>
        <w:lastRenderedPageBreak/>
        <w:t>y</w:t>
      </w:r>
      <w:r w:rsidR="00B43BBC" w:rsidRPr="00A92DA2">
        <w:rPr>
          <w:rFonts w:ascii="Cambria" w:hAnsi="Cambria"/>
          <w:sz w:val="20"/>
          <w:szCs w:val="20"/>
          <w:lang w:val="es-419"/>
        </w:rPr>
        <w:t>a</w:t>
      </w:r>
      <w:r w:rsidRPr="00A92DA2">
        <w:rPr>
          <w:rFonts w:ascii="Cambria" w:hAnsi="Cambria"/>
          <w:sz w:val="20"/>
          <w:szCs w:val="20"/>
          <w:lang w:val="es-419"/>
        </w:rPr>
        <w:t xml:space="preserve"> que no hubo investigación sobre los autores intelectuales, las presuntas víctimas no fueron reparadas y su condición de desplazados no ha sido superada. En conclusión, a parte peticionaria afirma que la Ley 128 del 2003 (Ley de Justicia y Paz) y la Ley 975 de 2005, son contrarias a la Convención Americana, </w:t>
      </w:r>
      <w:r w:rsidR="00B43BBC" w:rsidRPr="00A92DA2">
        <w:rPr>
          <w:rFonts w:ascii="Cambria" w:hAnsi="Cambria"/>
          <w:sz w:val="20"/>
          <w:szCs w:val="20"/>
          <w:lang w:val="es-419"/>
        </w:rPr>
        <w:t xml:space="preserve">ya que </w:t>
      </w:r>
      <w:r w:rsidRPr="00A92DA2">
        <w:rPr>
          <w:rFonts w:ascii="Cambria" w:hAnsi="Cambria"/>
          <w:sz w:val="20"/>
          <w:szCs w:val="20"/>
          <w:lang w:val="es-419"/>
        </w:rPr>
        <w:t xml:space="preserve"> no permiten que los autores de los delitos sean responsabilizados de acuerdo con la gravedad de los delitos cometidos </w:t>
      </w:r>
    </w:p>
    <w:p w14:paraId="5D1AFEEC" w14:textId="53FEE1F1" w:rsidR="00111E46" w:rsidRPr="00A92DA2" w:rsidRDefault="00111E46" w:rsidP="002952C6">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Por su parte, el Estado</w:t>
      </w:r>
      <w:r w:rsidR="005E2EC8" w:rsidRPr="00A92DA2">
        <w:rPr>
          <w:rFonts w:ascii="Cambria" w:hAnsi="Cambria"/>
          <w:color w:val="000000" w:themeColor="text1"/>
          <w:sz w:val="20"/>
          <w:szCs w:val="20"/>
          <w:lang w:val="es-419"/>
        </w:rPr>
        <w:t>, en su primer</w:t>
      </w:r>
      <w:r w:rsidR="008C1880" w:rsidRPr="00A92DA2">
        <w:rPr>
          <w:rFonts w:ascii="Cambria" w:hAnsi="Cambria"/>
          <w:color w:val="000000" w:themeColor="text1"/>
          <w:sz w:val="20"/>
          <w:szCs w:val="20"/>
          <w:lang w:val="es-419"/>
        </w:rPr>
        <w:t xml:space="preserve"> escrito</w:t>
      </w:r>
      <w:r w:rsidR="005E2EC8" w:rsidRPr="00A92DA2">
        <w:rPr>
          <w:rFonts w:ascii="Cambria" w:hAnsi="Cambria"/>
          <w:color w:val="000000" w:themeColor="text1"/>
          <w:sz w:val="20"/>
          <w:szCs w:val="20"/>
          <w:lang w:val="es-419"/>
        </w:rPr>
        <w:t xml:space="preserve">, afirma que </w:t>
      </w:r>
      <w:r w:rsidR="002952C6" w:rsidRPr="00A92DA2">
        <w:rPr>
          <w:rFonts w:ascii="Cambria" w:hAnsi="Cambria"/>
          <w:color w:val="000000" w:themeColor="text1"/>
          <w:sz w:val="20"/>
          <w:szCs w:val="20"/>
          <w:lang w:val="es-419"/>
        </w:rPr>
        <w:t xml:space="preserve">se llevó a cabo un proceso bajo la Ley 975. Según afirma, la Fiscalía General de la Nación, informó que los postulados Salvatore Mancuso y Oscar José Ospino Pacheco mencionaron los hechos referentes a la Masacre de Santa Cecilia. Además, el 20 de noviembre de 2014, la Sala Constitucional de Conocimiento de Justicia y Paz de Bogotá condenó </w:t>
      </w:r>
      <w:r w:rsidR="001A36D5" w:rsidRPr="00A92DA2">
        <w:rPr>
          <w:rFonts w:ascii="Cambria" w:hAnsi="Cambria"/>
          <w:color w:val="000000" w:themeColor="text1"/>
          <w:sz w:val="20"/>
          <w:szCs w:val="20"/>
          <w:lang w:val="es-419"/>
        </w:rPr>
        <w:t>a</w:t>
      </w:r>
      <w:r w:rsidR="002952C6" w:rsidRPr="00A92DA2">
        <w:rPr>
          <w:rFonts w:ascii="Cambria" w:hAnsi="Cambria"/>
          <w:color w:val="000000" w:themeColor="text1"/>
          <w:sz w:val="20"/>
          <w:szCs w:val="20"/>
          <w:lang w:val="es-419"/>
        </w:rPr>
        <w:t xml:space="preserve">l señor Lester M </w:t>
      </w:r>
      <w:r w:rsidR="001A36D5" w:rsidRPr="00A92DA2">
        <w:rPr>
          <w:rFonts w:ascii="Cambria" w:hAnsi="Cambria"/>
          <w:color w:val="000000" w:themeColor="text1"/>
          <w:sz w:val="20"/>
          <w:szCs w:val="20"/>
          <w:lang w:val="es-419"/>
        </w:rPr>
        <w:t>González</w:t>
      </w:r>
      <w:r w:rsidR="002952C6" w:rsidRPr="00A92DA2">
        <w:rPr>
          <w:rFonts w:ascii="Cambria" w:hAnsi="Cambria"/>
          <w:color w:val="000000" w:themeColor="text1"/>
          <w:sz w:val="20"/>
          <w:szCs w:val="20"/>
          <w:lang w:val="es-419"/>
        </w:rPr>
        <w:t xml:space="preserve"> por el homicidio, tortura, destru</w:t>
      </w:r>
      <w:r w:rsidR="00016740" w:rsidRPr="00A92DA2">
        <w:rPr>
          <w:rFonts w:ascii="Cambria" w:hAnsi="Cambria"/>
          <w:color w:val="000000" w:themeColor="text1"/>
          <w:sz w:val="20"/>
          <w:szCs w:val="20"/>
          <w:lang w:val="es-419"/>
        </w:rPr>
        <w:t>c</w:t>
      </w:r>
      <w:r w:rsidR="002952C6" w:rsidRPr="00A92DA2">
        <w:rPr>
          <w:rFonts w:ascii="Cambria" w:hAnsi="Cambria"/>
          <w:color w:val="000000" w:themeColor="text1"/>
          <w:sz w:val="20"/>
          <w:szCs w:val="20"/>
          <w:lang w:val="es-419"/>
        </w:rPr>
        <w:t xml:space="preserve">ción y apropiación de bienes protegidos y deportación, expulsión, traslado o desplazamiento forzado de las presuntas víctimas. Dicha sentencia fue confirmada en segunda instancia por la Corte Suprema de Justicia el 24 de octubre de 2016. Asimismo, el Estado sostiene que los hechos de la masacre también fueron imputados </w:t>
      </w:r>
      <w:r w:rsidR="001A36D5" w:rsidRPr="00A92DA2">
        <w:rPr>
          <w:rFonts w:ascii="Cambria" w:hAnsi="Cambria"/>
          <w:color w:val="000000" w:themeColor="text1"/>
          <w:sz w:val="20"/>
          <w:szCs w:val="20"/>
          <w:lang w:val="es-419"/>
        </w:rPr>
        <w:t>a</w:t>
      </w:r>
      <w:r w:rsidR="002952C6" w:rsidRPr="00A92DA2">
        <w:rPr>
          <w:rFonts w:ascii="Cambria" w:hAnsi="Cambria"/>
          <w:color w:val="000000" w:themeColor="text1"/>
          <w:sz w:val="20"/>
          <w:szCs w:val="20"/>
          <w:lang w:val="es-419"/>
        </w:rPr>
        <w:t>l señor Esquivel Cuadrado el 18 de enero de 2010. Debido a eso, se realizó audiencia de Legalización de Cargos el 22 de agosto de 2012, la cual fue desarrollad</w:t>
      </w:r>
      <w:r w:rsidR="001A36D5" w:rsidRPr="00A92DA2">
        <w:rPr>
          <w:rFonts w:ascii="Cambria" w:hAnsi="Cambria"/>
          <w:color w:val="000000" w:themeColor="text1"/>
          <w:sz w:val="20"/>
          <w:szCs w:val="20"/>
          <w:lang w:val="es-419"/>
        </w:rPr>
        <w:t>a</w:t>
      </w:r>
      <w:r w:rsidR="002952C6" w:rsidRPr="00A92DA2">
        <w:rPr>
          <w:rFonts w:ascii="Cambria" w:hAnsi="Cambria"/>
          <w:color w:val="000000" w:themeColor="text1"/>
          <w:sz w:val="20"/>
          <w:szCs w:val="20"/>
          <w:lang w:val="es-419"/>
        </w:rPr>
        <w:t xml:space="preserve"> en varias etapas y que se encontraba en espera de fijación de nueva fecha para su continuación. Señala que en el marco de las diligencias, los familiares de las presuntas víctimas participaron y formularon preguntas al postulado. </w:t>
      </w:r>
      <w:r w:rsidR="005E2EC8" w:rsidRPr="00A92DA2">
        <w:rPr>
          <w:rFonts w:ascii="Cambria" w:hAnsi="Cambria"/>
          <w:sz w:val="20"/>
          <w:szCs w:val="20"/>
          <w:lang w:val="es-419"/>
        </w:rPr>
        <w:t>De otra parte, en su segund</w:t>
      </w:r>
      <w:r w:rsidR="008C1880" w:rsidRPr="00A92DA2">
        <w:rPr>
          <w:rFonts w:ascii="Cambria" w:hAnsi="Cambria"/>
          <w:sz w:val="20"/>
          <w:szCs w:val="20"/>
          <w:lang w:val="es-419"/>
        </w:rPr>
        <w:t>o escrito</w:t>
      </w:r>
      <w:r w:rsidR="005E2EC8" w:rsidRPr="00A92DA2">
        <w:rPr>
          <w:rFonts w:ascii="Cambria" w:hAnsi="Cambria"/>
          <w:sz w:val="20"/>
          <w:szCs w:val="20"/>
          <w:lang w:val="es-419"/>
        </w:rPr>
        <w:t xml:space="preserve">  el Estado</w:t>
      </w:r>
      <w:r w:rsidRPr="00A92DA2">
        <w:rPr>
          <w:rFonts w:ascii="Cambria" w:hAnsi="Cambria"/>
          <w:color w:val="000000" w:themeColor="text1"/>
          <w:sz w:val="20"/>
          <w:szCs w:val="20"/>
          <w:lang w:val="es-419"/>
        </w:rPr>
        <w:t xml:space="preserve"> afirma que la p</w:t>
      </w:r>
      <w:r w:rsidR="00B52252" w:rsidRPr="00A92DA2">
        <w:rPr>
          <w:rFonts w:ascii="Cambria" w:hAnsi="Cambria"/>
          <w:color w:val="000000" w:themeColor="text1"/>
          <w:sz w:val="20"/>
          <w:szCs w:val="20"/>
          <w:lang w:val="es-419"/>
        </w:rPr>
        <w:t>etición de la parte peticionaria</w:t>
      </w:r>
      <w:r w:rsidRPr="00A92DA2">
        <w:rPr>
          <w:rFonts w:ascii="Cambria" w:hAnsi="Cambria"/>
          <w:color w:val="000000" w:themeColor="text1"/>
          <w:sz w:val="20"/>
          <w:szCs w:val="20"/>
          <w:lang w:val="es-419"/>
        </w:rPr>
        <w:t xml:space="preserve"> tiene como objeto evaluar la presunta responsabilidad estatal exclusivamente con ocasión del presunto desplazamiento forzado, de manera que otros hechos deben ser considerados únicamente como contexto de dicha violación. </w:t>
      </w:r>
    </w:p>
    <w:p w14:paraId="1D886B32" w14:textId="4A3302C6" w:rsidR="00A811DB" w:rsidRPr="00A92DA2" w:rsidRDefault="00111E46" w:rsidP="009A7083">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 xml:space="preserve">En relación con la reparación de los hechos de la masacre y del desplazamiento, el Estado afirma que las </w:t>
      </w:r>
      <w:r w:rsidR="00B52252" w:rsidRPr="00A92DA2">
        <w:rPr>
          <w:rFonts w:ascii="Cambria" w:hAnsi="Cambria"/>
          <w:color w:val="000000" w:themeColor="text1"/>
          <w:sz w:val="20"/>
          <w:szCs w:val="20"/>
          <w:lang w:val="es-419"/>
        </w:rPr>
        <w:t>presuntas</w:t>
      </w:r>
      <w:r w:rsidRPr="00A92DA2">
        <w:rPr>
          <w:rFonts w:ascii="Cambria" w:hAnsi="Cambria"/>
          <w:color w:val="000000" w:themeColor="text1"/>
          <w:sz w:val="20"/>
          <w:szCs w:val="20"/>
          <w:lang w:val="es-419"/>
        </w:rPr>
        <w:t xml:space="preserve"> </w:t>
      </w:r>
      <w:r w:rsidR="00B52252" w:rsidRPr="00A92DA2">
        <w:rPr>
          <w:rFonts w:ascii="Cambria" w:hAnsi="Cambria"/>
          <w:color w:val="000000" w:themeColor="text1"/>
          <w:sz w:val="20"/>
          <w:szCs w:val="20"/>
          <w:lang w:val="es-419"/>
        </w:rPr>
        <w:t>víctimas</w:t>
      </w:r>
      <w:r w:rsidRPr="00A92DA2">
        <w:rPr>
          <w:rFonts w:ascii="Cambria" w:hAnsi="Cambria"/>
          <w:color w:val="000000" w:themeColor="text1"/>
          <w:sz w:val="20"/>
          <w:szCs w:val="20"/>
          <w:lang w:val="es-419"/>
        </w:rPr>
        <w:t xml:space="preserve"> recibieron asistencia humanitaria, prestada por la Red de </w:t>
      </w:r>
      <w:r w:rsidR="00B52252" w:rsidRPr="00A92DA2">
        <w:rPr>
          <w:rFonts w:ascii="Cambria" w:hAnsi="Cambria"/>
          <w:color w:val="000000" w:themeColor="text1"/>
          <w:sz w:val="20"/>
          <w:szCs w:val="20"/>
          <w:lang w:val="es-419"/>
        </w:rPr>
        <w:t>Solidaridad</w:t>
      </w:r>
      <w:r w:rsidRPr="00A92DA2">
        <w:rPr>
          <w:rFonts w:ascii="Cambria" w:hAnsi="Cambria"/>
          <w:color w:val="000000" w:themeColor="text1"/>
          <w:sz w:val="20"/>
          <w:szCs w:val="20"/>
          <w:lang w:val="es-419"/>
        </w:rPr>
        <w:t xml:space="preserve"> Social y por la Unidad para la Atención y Reparación Integral de las Víctimas. En dicho sentido, alega que las siguientes personas presentaron solicitud de reparación administrativa y se encuentran </w:t>
      </w:r>
      <w:r w:rsidR="00B52252" w:rsidRPr="00A92DA2">
        <w:rPr>
          <w:rFonts w:ascii="Cambria" w:hAnsi="Cambria"/>
          <w:color w:val="000000" w:themeColor="text1"/>
          <w:sz w:val="20"/>
          <w:szCs w:val="20"/>
          <w:lang w:val="es-419"/>
        </w:rPr>
        <w:t>incluidas</w:t>
      </w:r>
      <w:r w:rsidRPr="00A92DA2">
        <w:rPr>
          <w:rFonts w:ascii="Cambria" w:hAnsi="Cambria"/>
          <w:color w:val="000000" w:themeColor="text1"/>
          <w:sz w:val="20"/>
          <w:szCs w:val="20"/>
          <w:lang w:val="es-419"/>
        </w:rPr>
        <w:t xml:space="preserve"> en el en el Registro Único de Víctimas y </w:t>
      </w:r>
      <w:r w:rsidR="00016740" w:rsidRPr="00A92DA2">
        <w:rPr>
          <w:rFonts w:ascii="Cambria" w:hAnsi="Cambria"/>
          <w:color w:val="000000" w:themeColor="text1"/>
          <w:sz w:val="20"/>
          <w:szCs w:val="20"/>
          <w:lang w:val="es-419"/>
        </w:rPr>
        <w:t xml:space="preserve">que les fueron dictadas </w:t>
      </w:r>
      <w:r w:rsidRPr="00A92DA2">
        <w:rPr>
          <w:rFonts w:ascii="Cambria" w:hAnsi="Cambria"/>
          <w:color w:val="000000" w:themeColor="text1"/>
          <w:sz w:val="20"/>
          <w:szCs w:val="20"/>
          <w:lang w:val="es-419"/>
        </w:rPr>
        <w:t xml:space="preserve"> medidas de asistencia consistentes en ayuda humanitaria: (i) familiares de los señores </w:t>
      </w:r>
      <w:proofErr w:type="spellStart"/>
      <w:r w:rsidRPr="00A92DA2">
        <w:rPr>
          <w:rFonts w:ascii="Cambria" w:hAnsi="Cambria"/>
          <w:color w:val="000000" w:themeColor="text1"/>
          <w:sz w:val="20"/>
          <w:szCs w:val="20"/>
          <w:lang w:val="es-419"/>
        </w:rPr>
        <w:t>Eulises</w:t>
      </w:r>
      <w:proofErr w:type="spellEnd"/>
      <w:r w:rsidRPr="00A92DA2">
        <w:rPr>
          <w:rFonts w:ascii="Cambria" w:hAnsi="Cambria"/>
          <w:color w:val="000000" w:themeColor="text1"/>
          <w:sz w:val="20"/>
          <w:szCs w:val="20"/>
          <w:lang w:val="es-419"/>
        </w:rPr>
        <w:t xml:space="preserve"> Coronado García y </w:t>
      </w:r>
      <w:proofErr w:type="spellStart"/>
      <w:r w:rsidRPr="00A92DA2">
        <w:rPr>
          <w:rFonts w:ascii="Cambria" w:hAnsi="Cambria"/>
          <w:color w:val="000000" w:themeColor="text1"/>
          <w:sz w:val="20"/>
          <w:szCs w:val="20"/>
          <w:lang w:val="es-419"/>
        </w:rPr>
        <w:t>Eulises</w:t>
      </w:r>
      <w:proofErr w:type="spellEnd"/>
      <w:r w:rsidRPr="00A92DA2">
        <w:rPr>
          <w:rFonts w:ascii="Cambria" w:hAnsi="Cambria"/>
          <w:color w:val="000000" w:themeColor="text1"/>
          <w:sz w:val="20"/>
          <w:szCs w:val="20"/>
          <w:lang w:val="es-419"/>
        </w:rPr>
        <w:t xml:space="preserve"> Coronado Vidal se encuentran </w:t>
      </w:r>
      <w:r w:rsidR="00B52252" w:rsidRPr="00A92DA2">
        <w:rPr>
          <w:rFonts w:ascii="Cambria" w:hAnsi="Cambria"/>
          <w:color w:val="000000" w:themeColor="text1"/>
          <w:sz w:val="20"/>
          <w:szCs w:val="20"/>
          <w:lang w:val="es-419"/>
        </w:rPr>
        <w:t>incluidos</w:t>
      </w:r>
      <w:r w:rsidRPr="00A92DA2">
        <w:rPr>
          <w:rFonts w:ascii="Cambria" w:hAnsi="Cambria"/>
          <w:color w:val="000000" w:themeColor="text1"/>
          <w:sz w:val="20"/>
          <w:szCs w:val="20"/>
          <w:lang w:val="es-419"/>
        </w:rPr>
        <w:t xml:space="preserve"> por desplazamiento forzado ocurrido el 6 de marzo de 2000 y recibi</w:t>
      </w:r>
      <w:r w:rsidR="00016740" w:rsidRPr="00A92DA2">
        <w:rPr>
          <w:rFonts w:ascii="Cambria" w:hAnsi="Cambria"/>
          <w:color w:val="000000" w:themeColor="text1"/>
          <w:sz w:val="20"/>
          <w:szCs w:val="20"/>
          <w:lang w:val="es-419"/>
        </w:rPr>
        <w:t xml:space="preserve">eron </w:t>
      </w:r>
      <w:r w:rsidRPr="00A92DA2">
        <w:rPr>
          <w:rFonts w:ascii="Cambria" w:hAnsi="Cambria"/>
          <w:color w:val="000000" w:themeColor="text1"/>
          <w:sz w:val="20"/>
          <w:szCs w:val="20"/>
          <w:lang w:val="es-419"/>
        </w:rPr>
        <w:t xml:space="preserve">$10.690.000 pesos colombianos, los cuales fueron pagados en su totalidad el 23 de abril de 2015; (ii) familiares del señor Humberto Marín Polo, </w:t>
      </w:r>
      <w:r w:rsidR="00B52252" w:rsidRPr="00A92DA2">
        <w:rPr>
          <w:rFonts w:ascii="Cambria" w:hAnsi="Cambria"/>
          <w:color w:val="000000" w:themeColor="text1"/>
          <w:sz w:val="20"/>
          <w:szCs w:val="20"/>
          <w:lang w:val="es-419"/>
        </w:rPr>
        <w:t>víctima</w:t>
      </w:r>
      <w:r w:rsidRPr="00A92DA2">
        <w:rPr>
          <w:rFonts w:ascii="Cambria" w:hAnsi="Cambria"/>
          <w:color w:val="000000" w:themeColor="text1"/>
          <w:sz w:val="20"/>
          <w:szCs w:val="20"/>
          <w:lang w:val="es-419"/>
        </w:rPr>
        <w:t xml:space="preserve"> de homicidio, se </w:t>
      </w:r>
      <w:r w:rsidR="00B52252" w:rsidRPr="00A92DA2">
        <w:rPr>
          <w:rFonts w:ascii="Cambria" w:hAnsi="Cambria"/>
          <w:color w:val="000000" w:themeColor="text1"/>
          <w:sz w:val="20"/>
          <w:szCs w:val="20"/>
          <w:lang w:val="es-419"/>
        </w:rPr>
        <w:t>encuentran</w:t>
      </w:r>
      <w:r w:rsidRPr="00A92DA2">
        <w:rPr>
          <w:rFonts w:ascii="Cambria" w:hAnsi="Cambria"/>
          <w:color w:val="000000" w:themeColor="text1"/>
          <w:sz w:val="20"/>
          <w:szCs w:val="20"/>
          <w:lang w:val="es-419"/>
        </w:rPr>
        <w:t xml:space="preserve"> incluidos por el homici</w:t>
      </w:r>
      <w:r w:rsidR="00B52252" w:rsidRPr="00A92DA2">
        <w:rPr>
          <w:rFonts w:ascii="Cambria" w:hAnsi="Cambria"/>
          <w:color w:val="000000" w:themeColor="text1"/>
          <w:sz w:val="20"/>
          <w:szCs w:val="20"/>
          <w:lang w:val="es-419"/>
        </w:rPr>
        <w:t>di</w:t>
      </w:r>
      <w:r w:rsidRPr="00A92DA2">
        <w:rPr>
          <w:rFonts w:ascii="Cambria" w:hAnsi="Cambria"/>
          <w:color w:val="000000" w:themeColor="text1"/>
          <w:sz w:val="20"/>
          <w:szCs w:val="20"/>
          <w:lang w:val="es-419"/>
        </w:rPr>
        <w:t xml:space="preserve">o y </w:t>
      </w:r>
      <w:r w:rsidR="00016740" w:rsidRPr="00A92DA2">
        <w:rPr>
          <w:rFonts w:ascii="Cambria" w:hAnsi="Cambria"/>
          <w:color w:val="000000" w:themeColor="text1"/>
          <w:sz w:val="20"/>
          <w:szCs w:val="20"/>
          <w:lang w:val="es-419"/>
        </w:rPr>
        <w:t xml:space="preserve">recibieron </w:t>
      </w:r>
      <w:r w:rsidRPr="00A92DA2">
        <w:rPr>
          <w:rFonts w:ascii="Cambria" w:hAnsi="Cambria"/>
          <w:color w:val="000000" w:themeColor="text1"/>
          <w:sz w:val="20"/>
          <w:szCs w:val="20"/>
          <w:lang w:val="es-419"/>
        </w:rPr>
        <w:t xml:space="preserve">$ 15.295.000 pesos colombianos; (iii) </w:t>
      </w:r>
      <w:r w:rsidR="00B52252" w:rsidRPr="00A92DA2">
        <w:rPr>
          <w:rFonts w:ascii="Cambria" w:hAnsi="Cambria"/>
          <w:color w:val="000000" w:themeColor="text1"/>
          <w:sz w:val="20"/>
          <w:szCs w:val="20"/>
          <w:lang w:val="es-419"/>
        </w:rPr>
        <w:t>familiares</w:t>
      </w:r>
      <w:r w:rsidRPr="00A92DA2">
        <w:rPr>
          <w:rFonts w:ascii="Cambria" w:hAnsi="Cambria"/>
          <w:color w:val="000000" w:themeColor="text1"/>
          <w:sz w:val="20"/>
          <w:szCs w:val="20"/>
          <w:lang w:val="es-419"/>
        </w:rPr>
        <w:t xml:space="preserve"> de los señores Luz Aida Marín y Humberto Marín Polo, se </w:t>
      </w:r>
      <w:r w:rsidR="00B52252" w:rsidRPr="00A92DA2">
        <w:rPr>
          <w:rFonts w:ascii="Cambria" w:hAnsi="Cambria"/>
          <w:color w:val="000000" w:themeColor="text1"/>
          <w:sz w:val="20"/>
          <w:szCs w:val="20"/>
          <w:lang w:val="es-419"/>
        </w:rPr>
        <w:t>encuentran</w:t>
      </w:r>
      <w:r w:rsidRPr="00A92DA2">
        <w:rPr>
          <w:rFonts w:ascii="Cambria" w:hAnsi="Cambria"/>
          <w:color w:val="000000" w:themeColor="text1"/>
          <w:sz w:val="20"/>
          <w:szCs w:val="20"/>
          <w:lang w:val="es-419"/>
        </w:rPr>
        <w:t xml:space="preserve"> incluidos por desplazamiento forzado y </w:t>
      </w:r>
      <w:r w:rsidR="0069257E" w:rsidRPr="00A92DA2">
        <w:rPr>
          <w:rFonts w:ascii="Cambria" w:hAnsi="Cambria"/>
          <w:color w:val="000000" w:themeColor="text1"/>
          <w:sz w:val="20"/>
          <w:szCs w:val="20"/>
          <w:lang w:val="es-419"/>
        </w:rPr>
        <w:t>recibieron</w:t>
      </w:r>
      <w:r w:rsidRPr="00A92DA2">
        <w:rPr>
          <w:rFonts w:ascii="Cambria" w:hAnsi="Cambria"/>
          <w:color w:val="000000" w:themeColor="text1"/>
          <w:sz w:val="20"/>
          <w:szCs w:val="20"/>
          <w:lang w:val="es-419"/>
        </w:rPr>
        <w:t xml:space="preserve"> $ 1.425.000 pesos colombianos; (iv) el señor Néstor Antonio Ortega y sus familiares se encuentran </w:t>
      </w:r>
      <w:r w:rsidR="00B52252" w:rsidRPr="00A92DA2">
        <w:rPr>
          <w:rFonts w:ascii="Cambria" w:hAnsi="Cambria"/>
          <w:color w:val="000000" w:themeColor="text1"/>
          <w:sz w:val="20"/>
          <w:szCs w:val="20"/>
          <w:lang w:val="es-419"/>
        </w:rPr>
        <w:t>incluidos</w:t>
      </w:r>
      <w:r w:rsidRPr="00A92DA2">
        <w:rPr>
          <w:rFonts w:ascii="Cambria" w:hAnsi="Cambria"/>
          <w:color w:val="000000" w:themeColor="text1"/>
          <w:sz w:val="20"/>
          <w:szCs w:val="20"/>
          <w:lang w:val="es-419"/>
        </w:rPr>
        <w:t xml:space="preserve"> por el homicidio ocurrido el 28 de enero de 2000, y recibieron $ 2.070.000 pesos colombianos por ayuda humanitaria, y $ 12.241.673 pesos colombianos a </w:t>
      </w:r>
      <w:r w:rsidR="00B52252" w:rsidRPr="00A92DA2">
        <w:rPr>
          <w:rFonts w:ascii="Cambria" w:hAnsi="Cambria"/>
          <w:color w:val="000000" w:themeColor="text1"/>
          <w:sz w:val="20"/>
          <w:szCs w:val="20"/>
          <w:lang w:val="es-419"/>
        </w:rPr>
        <w:t>título</w:t>
      </w:r>
      <w:r w:rsidRPr="00A92DA2">
        <w:rPr>
          <w:rFonts w:ascii="Cambria" w:hAnsi="Cambria"/>
          <w:color w:val="000000" w:themeColor="text1"/>
          <w:sz w:val="20"/>
          <w:szCs w:val="20"/>
          <w:lang w:val="es-419"/>
        </w:rPr>
        <w:t xml:space="preserve"> de reparación administrativa; (v) el señor Ernesto Ortega </w:t>
      </w:r>
      <w:proofErr w:type="spellStart"/>
      <w:r w:rsidRPr="00A92DA2">
        <w:rPr>
          <w:rFonts w:ascii="Cambria" w:hAnsi="Cambria"/>
          <w:color w:val="000000" w:themeColor="text1"/>
          <w:sz w:val="20"/>
          <w:szCs w:val="20"/>
          <w:lang w:val="es-419"/>
        </w:rPr>
        <w:t>Iturriago</w:t>
      </w:r>
      <w:proofErr w:type="spellEnd"/>
      <w:r w:rsidRPr="00A92DA2">
        <w:rPr>
          <w:rFonts w:ascii="Cambria" w:hAnsi="Cambria"/>
          <w:color w:val="000000" w:themeColor="text1"/>
          <w:sz w:val="20"/>
          <w:szCs w:val="20"/>
          <w:lang w:val="es-419"/>
        </w:rPr>
        <w:t xml:space="preserve"> y sus familiares se encuentran </w:t>
      </w:r>
      <w:r w:rsidR="00B52252" w:rsidRPr="00A92DA2">
        <w:rPr>
          <w:rFonts w:ascii="Cambria" w:hAnsi="Cambria"/>
          <w:color w:val="000000" w:themeColor="text1"/>
          <w:sz w:val="20"/>
          <w:szCs w:val="20"/>
          <w:lang w:val="es-419"/>
        </w:rPr>
        <w:t>incluidos</w:t>
      </w:r>
      <w:r w:rsidRPr="00A92DA2">
        <w:rPr>
          <w:rFonts w:ascii="Cambria" w:hAnsi="Cambria"/>
          <w:color w:val="000000" w:themeColor="text1"/>
          <w:sz w:val="20"/>
          <w:szCs w:val="20"/>
          <w:lang w:val="es-419"/>
        </w:rPr>
        <w:t xml:space="preserve"> por el homicidio ocurrido el 28 de enero de 2000, y re</w:t>
      </w:r>
      <w:r w:rsidR="00B52252" w:rsidRPr="00A92DA2">
        <w:rPr>
          <w:rFonts w:ascii="Cambria" w:hAnsi="Cambria"/>
          <w:color w:val="000000" w:themeColor="text1"/>
          <w:sz w:val="20"/>
          <w:szCs w:val="20"/>
          <w:lang w:val="es-419"/>
        </w:rPr>
        <w:t>cibieron ayuda humanitaria y les</w:t>
      </w:r>
      <w:r w:rsidRPr="00A92DA2">
        <w:rPr>
          <w:rFonts w:ascii="Cambria" w:hAnsi="Cambria"/>
          <w:color w:val="000000" w:themeColor="text1"/>
          <w:sz w:val="20"/>
          <w:szCs w:val="20"/>
          <w:lang w:val="es-419"/>
        </w:rPr>
        <w:t xml:space="preserve"> pago correspondiente por reparación administrativa; (vi) la señora Rosa Elvira Quintero y sus familiares se encuentran </w:t>
      </w:r>
      <w:r w:rsidR="00B52252" w:rsidRPr="00A92DA2">
        <w:rPr>
          <w:rFonts w:ascii="Cambria" w:hAnsi="Cambria"/>
          <w:color w:val="000000" w:themeColor="text1"/>
          <w:sz w:val="20"/>
          <w:szCs w:val="20"/>
          <w:lang w:val="es-419"/>
        </w:rPr>
        <w:t>incluidos</w:t>
      </w:r>
      <w:r w:rsidRPr="00A92DA2">
        <w:rPr>
          <w:rFonts w:ascii="Cambria" w:hAnsi="Cambria"/>
          <w:color w:val="000000" w:themeColor="text1"/>
          <w:sz w:val="20"/>
          <w:szCs w:val="20"/>
          <w:lang w:val="es-419"/>
        </w:rPr>
        <w:t xml:space="preserve"> por el homicidio ocurrido el 28 de enero de 2000, y re</w:t>
      </w:r>
      <w:r w:rsidR="00B52252" w:rsidRPr="00A92DA2">
        <w:rPr>
          <w:rFonts w:ascii="Cambria" w:hAnsi="Cambria"/>
          <w:color w:val="000000" w:themeColor="text1"/>
          <w:sz w:val="20"/>
          <w:szCs w:val="20"/>
          <w:lang w:val="es-419"/>
        </w:rPr>
        <w:t>cibieron ayuda humanitaria y les</w:t>
      </w:r>
      <w:r w:rsidRPr="00A92DA2">
        <w:rPr>
          <w:rFonts w:ascii="Cambria" w:hAnsi="Cambria"/>
          <w:color w:val="000000" w:themeColor="text1"/>
          <w:sz w:val="20"/>
          <w:szCs w:val="20"/>
          <w:lang w:val="es-419"/>
        </w:rPr>
        <w:t xml:space="preserve"> pago correspondiente por reparación administrativa; (vii) el señor Libardo Ortega Durán y sus familiares se encuentran </w:t>
      </w:r>
      <w:r w:rsidR="00B52252" w:rsidRPr="00A92DA2">
        <w:rPr>
          <w:rFonts w:ascii="Cambria" w:hAnsi="Cambria"/>
          <w:color w:val="000000" w:themeColor="text1"/>
          <w:sz w:val="20"/>
          <w:szCs w:val="20"/>
          <w:lang w:val="es-419"/>
        </w:rPr>
        <w:t>incluidos</w:t>
      </w:r>
      <w:r w:rsidRPr="00A92DA2">
        <w:rPr>
          <w:rFonts w:ascii="Cambria" w:hAnsi="Cambria"/>
          <w:color w:val="000000" w:themeColor="text1"/>
          <w:sz w:val="20"/>
          <w:szCs w:val="20"/>
          <w:lang w:val="es-419"/>
        </w:rPr>
        <w:t xml:space="preserve"> por el homicidio ocurrido el 28 de enero de 2000.</w:t>
      </w:r>
      <w:r w:rsidRPr="00A92DA2">
        <w:rPr>
          <w:rStyle w:val="FootnoteReference"/>
          <w:rFonts w:ascii="Cambria" w:hAnsi="Cambria"/>
          <w:color w:val="000000" w:themeColor="text1"/>
          <w:sz w:val="20"/>
          <w:szCs w:val="20"/>
          <w:lang w:val="es-419"/>
        </w:rPr>
        <w:footnoteReference w:id="7"/>
      </w:r>
      <w:r w:rsidRPr="00A92DA2">
        <w:rPr>
          <w:rFonts w:ascii="Cambria" w:hAnsi="Cambria"/>
          <w:color w:val="000000" w:themeColor="text1"/>
          <w:sz w:val="20"/>
          <w:szCs w:val="20"/>
          <w:lang w:val="es-419"/>
        </w:rPr>
        <w:t xml:space="preserve"> Además, sostiene que el caso de la Comunidad del Corregimiento Santa Cecilia </w:t>
      </w:r>
      <w:r w:rsidRPr="00A92DA2">
        <w:rPr>
          <w:rFonts w:ascii="Cambria" w:hAnsi="Cambria"/>
          <w:color w:val="000000" w:themeColor="text1"/>
          <w:sz w:val="20"/>
          <w:szCs w:val="20"/>
          <w:lang w:val="es-419"/>
        </w:rPr>
        <w:lastRenderedPageBreak/>
        <w:t>fue incluido en el Registro Único de Víctima</w:t>
      </w:r>
      <w:r w:rsidR="0066024F" w:rsidRPr="00A92DA2">
        <w:rPr>
          <w:rFonts w:ascii="Cambria" w:hAnsi="Cambria"/>
          <w:color w:val="000000" w:themeColor="text1"/>
          <w:sz w:val="20"/>
          <w:szCs w:val="20"/>
          <w:lang w:val="es-419"/>
        </w:rPr>
        <w:t>s</w:t>
      </w:r>
      <w:r w:rsidRPr="00A92DA2">
        <w:rPr>
          <w:rFonts w:ascii="Cambria" w:hAnsi="Cambria"/>
          <w:color w:val="000000" w:themeColor="text1"/>
          <w:sz w:val="20"/>
          <w:szCs w:val="20"/>
          <w:lang w:val="es-419"/>
        </w:rPr>
        <w:t xml:space="preserve"> como sujeto de reparación colectiva el 22 de septiembre de 2014, y se encontraba, en fase de implementación del Plan Integral de Reparación Colectiva.</w:t>
      </w:r>
    </w:p>
    <w:p w14:paraId="2216E55C" w14:textId="268CEBEF" w:rsidR="00111E46" w:rsidRPr="00A92DA2" w:rsidRDefault="007D66D5"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En c</w:t>
      </w:r>
      <w:r w:rsidR="00111E46" w:rsidRPr="00A92DA2">
        <w:rPr>
          <w:rFonts w:ascii="Cambria" w:hAnsi="Cambria"/>
          <w:color w:val="000000" w:themeColor="text1"/>
          <w:sz w:val="20"/>
          <w:szCs w:val="20"/>
          <w:lang w:val="es-419"/>
        </w:rPr>
        <w:t xml:space="preserve">uanto al alegato de que la responsabilidad del Estado deriva de su aquiescencia, permisividad y apoyo a la acción paramilitar, el Estado afirma que la petición es infundada. Sostiene que en el presente caso no existen pruebas que señalen que los sujetos que </w:t>
      </w:r>
      <w:r w:rsidR="00B52252" w:rsidRPr="00A92DA2">
        <w:rPr>
          <w:rFonts w:ascii="Cambria" w:hAnsi="Cambria"/>
          <w:color w:val="000000" w:themeColor="text1"/>
          <w:sz w:val="20"/>
          <w:szCs w:val="20"/>
          <w:lang w:val="es-419"/>
        </w:rPr>
        <w:t>perpetraron</w:t>
      </w:r>
      <w:r w:rsidR="00111E46" w:rsidRPr="00A92DA2">
        <w:rPr>
          <w:rFonts w:ascii="Cambria" w:hAnsi="Cambria"/>
          <w:color w:val="000000" w:themeColor="text1"/>
          <w:sz w:val="20"/>
          <w:szCs w:val="20"/>
          <w:lang w:val="es-419"/>
        </w:rPr>
        <w:t xml:space="preserve"> las amenazas hayan actuado en connivencia con miembros de la Fuerza </w:t>
      </w:r>
      <w:r w:rsidR="00B52252" w:rsidRPr="00A92DA2">
        <w:rPr>
          <w:rFonts w:ascii="Cambria" w:hAnsi="Cambria"/>
          <w:color w:val="000000" w:themeColor="text1"/>
          <w:sz w:val="20"/>
          <w:szCs w:val="20"/>
          <w:lang w:val="es-419"/>
        </w:rPr>
        <w:t>Pública</w:t>
      </w:r>
      <w:r w:rsidR="00111E46" w:rsidRPr="00A92DA2">
        <w:rPr>
          <w:rFonts w:ascii="Cambria" w:hAnsi="Cambria"/>
          <w:color w:val="000000" w:themeColor="text1"/>
          <w:sz w:val="20"/>
          <w:szCs w:val="20"/>
          <w:lang w:val="es-419"/>
        </w:rPr>
        <w:t xml:space="preserve">, y porque la petición no contiene elementos para atribuir responsabilidad al Estado, por cuanto la parte peticionaria no presenta elementos probatorios que permitan establecer la supuesta aquiescencia, tolerancia o complicidad de agentes estatales frente a los hechos. Afirma </w:t>
      </w:r>
      <w:r w:rsidR="00B52252" w:rsidRPr="00A92DA2">
        <w:rPr>
          <w:rFonts w:ascii="Cambria" w:hAnsi="Cambria"/>
          <w:color w:val="000000" w:themeColor="text1"/>
          <w:sz w:val="20"/>
          <w:szCs w:val="20"/>
          <w:lang w:val="es-419"/>
        </w:rPr>
        <w:t>que,</w:t>
      </w:r>
      <w:r w:rsidR="00111E46" w:rsidRPr="00A92DA2">
        <w:rPr>
          <w:rFonts w:ascii="Cambria" w:hAnsi="Cambria"/>
          <w:color w:val="000000" w:themeColor="text1"/>
          <w:sz w:val="20"/>
          <w:szCs w:val="20"/>
          <w:lang w:val="es-419"/>
        </w:rPr>
        <w:t xml:space="preserve"> si bien</w:t>
      </w:r>
      <w:r w:rsidR="00B52252" w:rsidRPr="00A92DA2">
        <w:rPr>
          <w:rFonts w:ascii="Cambria" w:hAnsi="Cambria"/>
          <w:color w:val="000000" w:themeColor="text1"/>
          <w:sz w:val="20"/>
          <w:szCs w:val="20"/>
          <w:lang w:val="es-419"/>
        </w:rPr>
        <w:t xml:space="preserve"> </w:t>
      </w:r>
      <w:r w:rsidR="00111E46" w:rsidRPr="00A92DA2">
        <w:rPr>
          <w:rFonts w:ascii="Cambria" w:hAnsi="Cambria"/>
          <w:color w:val="000000" w:themeColor="text1"/>
          <w:sz w:val="20"/>
          <w:szCs w:val="20"/>
          <w:lang w:val="es-419"/>
        </w:rPr>
        <w:t xml:space="preserve">se indica que las presuntas víctimas directas denunciaron amenazas en contra de su integridad, dichas denuncias se remontaban a los años 1997 y 1998, 3 y 2 años, previos a los hechos, razón por la cual resulta imposible afirmar que las denuncias tenían la capacidad de alertar al Estado de los hechos que ocurrirían en 2000. Alega que tampoco se puede afirmar que el Estado tenía conocimiento de que los hechos se podrían presentar y </w:t>
      </w:r>
      <w:r w:rsidR="00B52252" w:rsidRPr="00A92DA2">
        <w:rPr>
          <w:rFonts w:ascii="Cambria" w:hAnsi="Cambria"/>
          <w:color w:val="000000" w:themeColor="text1"/>
          <w:sz w:val="20"/>
          <w:szCs w:val="20"/>
          <w:lang w:val="es-419"/>
        </w:rPr>
        <w:t>que,</w:t>
      </w:r>
      <w:r w:rsidR="00111E46" w:rsidRPr="00A92DA2">
        <w:rPr>
          <w:rFonts w:ascii="Cambria" w:hAnsi="Cambria"/>
          <w:color w:val="000000" w:themeColor="text1"/>
          <w:sz w:val="20"/>
          <w:szCs w:val="20"/>
          <w:lang w:val="es-419"/>
        </w:rPr>
        <w:t xml:space="preserve"> a pesar de ello, fue omisivo, tolerante o aquiescente con los perpetradores. Respecto a los alegatos de que las autoridades militares y de </w:t>
      </w:r>
      <w:r w:rsidR="00B52252" w:rsidRPr="00A92DA2">
        <w:rPr>
          <w:rFonts w:ascii="Cambria" w:hAnsi="Cambria"/>
          <w:color w:val="000000" w:themeColor="text1"/>
          <w:sz w:val="20"/>
          <w:szCs w:val="20"/>
          <w:lang w:val="es-419"/>
        </w:rPr>
        <w:t>policía</w:t>
      </w:r>
      <w:r w:rsidR="00111E46" w:rsidRPr="00A92DA2">
        <w:rPr>
          <w:rFonts w:ascii="Cambria" w:hAnsi="Cambria"/>
          <w:color w:val="000000" w:themeColor="text1"/>
          <w:sz w:val="20"/>
          <w:szCs w:val="20"/>
          <w:lang w:val="es-419"/>
        </w:rPr>
        <w:t xml:space="preserve"> contaron con </w:t>
      </w:r>
      <w:r w:rsidR="00B52252" w:rsidRPr="00A92DA2">
        <w:rPr>
          <w:rFonts w:ascii="Cambria" w:hAnsi="Cambria"/>
          <w:color w:val="000000" w:themeColor="text1"/>
          <w:sz w:val="20"/>
          <w:szCs w:val="20"/>
          <w:lang w:val="es-419"/>
        </w:rPr>
        <w:t>información</w:t>
      </w:r>
      <w:r w:rsidR="00111E46" w:rsidRPr="00A92DA2">
        <w:rPr>
          <w:rFonts w:ascii="Cambria" w:hAnsi="Cambria"/>
          <w:color w:val="000000" w:themeColor="text1"/>
          <w:sz w:val="20"/>
          <w:szCs w:val="20"/>
          <w:lang w:val="es-419"/>
        </w:rPr>
        <w:t xml:space="preserve"> previa para contener la acción de las Autodefensas Unidas de Colombia, el Estado alega nuevamente que la familia Coronado presentó denuncias por las presuntas amenazas recibidas en su contra en 1997 y 1998, 3 y 2 años previos a los hechos. En razón de lo anterior, concluye que no hay responsabilidad internacional del Estado, pues los hechos fueron perpetrados directamente por grupos no estatales, dado que no se cumplen las condiciones para atribuir dicha responsabilidad. Adicionalmente, afirma que una vez que el ente investigador tuvo conocimiento de la situación, realizó las investigaciones tendientes par</w:t>
      </w:r>
      <w:r w:rsidR="00B52252" w:rsidRPr="00A92DA2">
        <w:rPr>
          <w:rFonts w:ascii="Cambria" w:hAnsi="Cambria"/>
          <w:color w:val="000000" w:themeColor="text1"/>
          <w:sz w:val="20"/>
          <w:szCs w:val="20"/>
          <w:lang w:val="es-419"/>
        </w:rPr>
        <w:t>a</w:t>
      </w:r>
      <w:r w:rsidR="00111E46" w:rsidRPr="00A92DA2">
        <w:rPr>
          <w:rFonts w:ascii="Cambria" w:hAnsi="Cambria"/>
          <w:color w:val="000000" w:themeColor="text1"/>
          <w:sz w:val="20"/>
          <w:szCs w:val="20"/>
          <w:lang w:val="es-419"/>
        </w:rPr>
        <w:t xml:space="preserve"> esclarecer los hechos y para </w:t>
      </w:r>
      <w:r w:rsidR="00B52252" w:rsidRPr="00A92DA2">
        <w:rPr>
          <w:rFonts w:ascii="Cambria" w:hAnsi="Cambria"/>
          <w:color w:val="000000" w:themeColor="text1"/>
          <w:sz w:val="20"/>
          <w:szCs w:val="20"/>
          <w:lang w:val="es-419"/>
        </w:rPr>
        <w:t>prevenir</w:t>
      </w:r>
      <w:r w:rsidR="00111E46" w:rsidRPr="00A92DA2">
        <w:rPr>
          <w:rFonts w:ascii="Cambria" w:hAnsi="Cambria"/>
          <w:color w:val="000000" w:themeColor="text1"/>
          <w:sz w:val="20"/>
          <w:szCs w:val="20"/>
          <w:lang w:val="es-419"/>
        </w:rPr>
        <w:t xml:space="preserve"> un daño futuro, respetando el deber de debida diligencia en la investigación. Indica que durante los días de la masacre no se reportaron unidades el Batallón de Artillería No. 2 de la Popa, pues </w:t>
      </w:r>
      <w:r w:rsidR="00B52252" w:rsidRPr="00A92DA2">
        <w:rPr>
          <w:rFonts w:ascii="Cambria" w:hAnsi="Cambria"/>
          <w:color w:val="000000" w:themeColor="text1"/>
          <w:sz w:val="20"/>
          <w:szCs w:val="20"/>
          <w:lang w:val="es-419"/>
        </w:rPr>
        <w:t>las tropas se encontraban</w:t>
      </w:r>
      <w:r w:rsidR="00111E46" w:rsidRPr="00A92DA2">
        <w:rPr>
          <w:rFonts w:ascii="Cambria" w:hAnsi="Cambria"/>
          <w:color w:val="000000" w:themeColor="text1"/>
          <w:sz w:val="20"/>
          <w:szCs w:val="20"/>
          <w:lang w:val="es-419"/>
        </w:rPr>
        <w:t xml:space="preserve"> desarrollando operaciones de control militar de áreas en otros sectores de su jurisdicción (Valencia de Jesús y </w:t>
      </w:r>
      <w:proofErr w:type="spellStart"/>
      <w:r w:rsidR="00111E46" w:rsidRPr="00A92DA2">
        <w:rPr>
          <w:rFonts w:ascii="Cambria" w:hAnsi="Cambria"/>
          <w:color w:val="000000" w:themeColor="text1"/>
          <w:sz w:val="20"/>
          <w:szCs w:val="20"/>
          <w:lang w:val="es-419"/>
        </w:rPr>
        <w:t>Bosconia</w:t>
      </w:r>
      <w:proofErr w:type="spellEnd"/>
      <w:r w:rsidR="00111E46" w:rsidRPr="00A92DA2">
        <w:rPr>
          <w:rFonts w:ascii="Cambria" w:hAnsi="Cambria"/>
          <w:color w:val="000000" w:themeColor="text1"/>
          <w:sz w:val="20"/>
          <w:szCs w:val="20"/>
          <w:lang w:val="es-419"/>
        </w:rPr>
        <w:t xml:space="preserve">), y había tropas con misiones especificas en la jurisdicción del </w:t>
      </w:r>
      <w:r w:rsidR="00B52252" w:rsidRPr="00A92DA2">
        <w:rPr>
          <w:rFonts w:ascii="Cambria" w:hAnsi="Cambria"/>
          <w:color w:val="000000" w:themeColor="text1"/>
          <w:sz w:val="20"/>
          <w:szCs w:val="20"/>
          <w:lang w:val="es-419"/>
        </w:rPr>
        <w:t>municipio</w:t>
      </w:r>
      <w:r w:rsidR="00111E46" w:rsidRPr="00A92DA2">
        <w:rPr>
          <w:rFonts w:ascii="Cambria" w:hAnsi="Cambria"/>
          <w:color w:val="000000" w:themeColor="text1"/>
          <w:sz w:val="20"/>
          <w:szCs w:val="20"/>
          <w:lang w:val="es-419"/>
        </w:rPr>
        <w:t xml:space="preserve"> de Pueblo Bello.</w:t>
      </w:r>
    </w:p>
    <w:p w14:paraId="6369AF78" w14:textId="0688C600" w:rsidR="00111E46" w:rsidRPr="00A92DA2" w:rsidRDefault="00111E46"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Además, el Estado sostiene que no se agotaron los recursos internos. En relación con la Jurisdicción Penal, afirma que la Fiscalía General de la Nación inició una investigación de los hechos tendientes a</w:t>
      </w:r>
      <w:r w:rsidR="008D59AE" w:rsidRPr="00A92DA2">
        <w:rPr>
          <w:rFonts w:ascii="Cambria" w:hAnsi="Cambria"/>
          <w:color w:val="000000" w:themeColor="text1"/>
          <w:sz w:val="20"/>
          <w:szCs w:val="20"/>
          <w:lang w:val="es-419"/>
        </w:rPr>
        <w:t>l</w:t>
      </w:r>
      <w:r w:rsidRPr="00A92DA2">
        <w:rPr>
          <w:rFonts w:ascii="Cambria" w:hAnsi="Cambria"/>
          <w:color w:val="000000" w:themeColor="text1"/>
          <w:sz w:val="20"/>
          <w:szCs w:val="20"/>
          <w:lang w:val="es-419"/>
        </w:rPr>
        <w:t xml:space="preserve"> esclarecimiento de los hechos y sanción de los responsables. Alega que el despacho del Fiscal 13 Especializado indica que se cuenta con las declaraciones de múltiples testigos presenciales, quienes bajo la gravedad de juramento narraron las circunstancias en que ocurrió la incursión paramilitar, señalando que el grupo armado estaba compuesto por aproximadamente cuarenta o cincuenta hombres uniformados </w:t>
      </w:r>
      <w:r w:rsidR="00B52252" w:rsidRPr="00A92DA2">
        <w:rPr>
          <w:rFonts w:ascii="Cambria" w:hAnsi="Cambria"/>
          <w:color w:val="000000" w:themeColor="text1"/>
          <w:sz w:val="20"/>
          <w:szCs w:val="20"/>
          <w:lang w:val="es-419"/>
        </w:rPr>
        <w:t>pertenecientes</w:t>
      </w:r>
      <w:r w:rsidRPr="00A92DA2">
        <w:rPr>
          <w:rFonts w:ascii="Cambria" w:hAnsi="Cambria"/>
          <w:color w:val="000000" w:themeColor="text1"/>
          <w:sz w:val="20"/>
          <w:szCs w:val="20"/>
          <w:lang w:val="es-419"/>
        </w:rPr>
        <w:t xml:space="preserve"> a las AUC. En el transcurso de la </w:t>
      </w:r>
      <w:r w:rsidR="00B52252" w:rsidRPr="00A92DA2">
        <w:rPr>
          <w:rFonts w:ascii="Cambria" w:hAnsi="Cambria"/>
          <w:color w:val="000000" w:themeColor="text1"/>
          <w:sz w:val="20"/>
          <w:szCs w:val="20"/>
          <w:lang w:val="es-419"/>
        </w:rPr>
        <w:t>investigación</w:t>
      </w:r>
      <w:r w:rsidRPr="00A92DA2">
        <w:rPr>
          <w:rFonts w:ascii="Cambria" w:hAnsi="Cambria"/>
          <w:color w:val="000000" w:themeColor="text1"/>
          <w:sz w:val="20"/>
          <w:szCs w:val="20"/>
          <w:lang w:val="es-419"/>
        </w:rPr>
        <w:t xml:space="preserve"> fueron vinculados nueve miembros de las AUC, de los cuales varios son desmovilizados que aceptaron su participación en los hechos, por lo cual la fiscalía procedió a la posterior acusación y remisión del expediente para juzgamiento. Afirma que por la masacre fueron condenados </w:t>
      </w:r>
      <w:proofErr w:type="spellStart"/>
      <w:r w:rsidRPr="00A92DA2">
        <w:rPr>
          <w:rFonts w:ascii="Cambria" w:hAnsi="Cambria"/>
          <w:color w:val="000000" w:themeColor="text1"/>
          <w:sz w:val="20"/>
          <w:szCs w:val="20"/>
          <w:lang w:val="es-419"/>
        </w:rPr>
        <w:t>Jhon</w:t>
      </w:r>
      <w:proofErr w:type="spellEnd"/>
      <w:r w:rsidRPr="00A92DA2">
        <w:rPr>
          <w:rFonts w:ascii="Cambria" w:hAnsi="Cambria"/>
          <w:color w:val="000000" w:themeColor="text1"/>
          <w:sz w:val="20"/>
          <w:szCs w:val="20"/>
          <w:lang w:val="es-419"/>
        </w:rPr>
        <w:t xml:space="preserve"> Esquivel Cuadrado, Víctor Manuel Hernández y Luis Francisco Robles.  </w:t>
      </w:r>
    </w:p>
    <w:p w14:paraId="687D7F82" w14:textId="30844F09" w:rsidR="00111E46" w:rsidRPr="00A92DA2" w:rsidRDefault="00016740"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u w:val="single"/>
          <w:lang w:val="es-419"/>
        </w:rPr>
        <w:t>E</w:t>
      </w:r>
      <w:r w:rsidR="00111E46" w:rsidRPr="00A92DA2">
        <w:rPr>
          <w:rFonts w:ascii="Cambria" w:hAnsi="Cambria"/>
          <w:color w:val="000000" w:themeColor="text1"/>
          <w:sz w:val="20"/>
          <w:szCs w:val="20"/>
          <w:lang w:val="es-419"/>
        </w:rPr>
        <w:t xml:space="preserve">l Estado afirma que el 29 de enero de 2000, el Cuerpo Técnico de la Fiscalía General de la Nación </w:t>
      </w:r>
      <w:r w:rsidR="00B52252" w:rsidRPr="00A92DA2">
        <w:rPr>
          <w:rFonts w:ascii="Cambria" w:hAnsi="Cambria"/>
          <w:color w:val="000000" w:themeColor="text1"/>
          <w:sz w:val="20"/>
          <w:szCs w:val="20"/>
          <w:lang w:val="es-419"/>
        </w:rPr>
        <w:t>inspeccionó</w:t>
      </w:r>
      <w:r w:rsidR="00111E46" w:rsidRPr="00A92DA2">
        <w:rPr>
          <w:rFonts w:ascii="Cambria" w:hAnsi="Cambria"/>
          <w:color w:val="000000" w:themeColor="text1"/>
          <w:sz w:val="20"/>
          <w:szCs w:val="20"/>
          <w:lang w:val="es-419"/>
        </w:rPr>
        <w:t xml:space="preserve"> </w:t>
      </w:r>
      <w:r w:rsidR="008D59AE" w:rsidRPr="00A92DA2">
        <w:rPr>
          <w:rFonts w:ascii="Cambria" w:hAnsi="Cambria"/>
          <w:color w:val="000000" w:themeColor="text1"/>
          <w:sz w:val="20"/>
          <w:szCs w:val="20"/>
          <w:lang w:val="es-419"/>
        </w:rPr>
        <w:t xml:space="preserve">los </w:t>
      </w:r>
      <w:r w:rsidR="00B52252" w:rsidRPr="00A92DA2">
        <w:rPr>
          <w:rFonts w:ascii="Cambria" w:hAnsi="Cambria"/>
          <w:color w:val="000000" w:themeColor="text1"/>
          <w:sz w:val="20"/>
          <w:szCs w:val="20"/>
          <w:lang w:val="es-419"/>
        </w:rPr>
        <w:t>cadáveres</w:t>
      </w:r>
      <w:r w:rsidR="00111E46" w:rsidRPr="00A92DA2">
        <w:rPr>
          <w:rFonts w:ascii="Cambria" w:hAnsi="Cambria"/>
          <w:color w:val="000000" w:themeColor="text1"/>
          <w:sz w:val="20"/>
          <w:szCs w:val="20"/>
          <w:lang w:val="es-419"/>
        </w:rPr>
        <w:t xml:space="preserve"> de las presuntas víctimas. Indica que el 30 de mayo de 2000 se ordenó apertura de investigación previa por los hechos; el 9 de octubre de 2000, se ordenó apertura de instrucción y la vinculación de los señores </w:t>
      </w:r>
      <w:proofErr w:type="spellStart"/>
      <w:r w:rsidR="00111E46" w:rsidRPr="00A92DA2">
        <w:rPr>
          <w:rFonts w:ascii="Cambria" w:hAnsi="Cambria"/>
          <w:color w:val="000000" w:themeColor="text1"/>
          <w:sz w:val="20"/>
          <w:szCs w:val="20"/>
          <w:lang w:val="es-419"/>
        </w:rPr>
        <w:t>Jhon</w:t>
      </w:r>
      <w:proofErr w:type="spellEnd"/>
      <w:r w:rsidR="00111E46" w:rsidRPr="00A92DA2">
        <w:rPr>
          <w:rFonts w:ascii="Cambria" w:hAnsi="Cambria"/>
          <w:color w:val="000000" w:themeColor="text1"/>
          <w:sz w:val="20"/>
          <w:szCs w:val="20"/>
          <w:lang w:val="es-419"/>
        </w:rPr>
        <w:t xml:space="preserve"> Jairo Esquivel Cuadrado, Benedicto </w:t>
      </w:r>
      <w:proofErr w:type="spellStart"/>
      <w:r w:rsidR="00111E46" w:rsidRPr="00A92DA2">
        <w:rPr>
          <w:rFonts w:ascii="Cambria" w:hAnsi="Cambria"/>
          <w:color w:val="000000" w:themeColor="text1"/>
          <w:sz w:val="20"/>
          <w:szCs w:val="20"/>
          <w:lang w:val="es-419"/>
        </w:rPr>
        <w:t>Estupiñán</w:t>
      </w:r>
      <w:proofErr w:type="spellEnd"/>
      <w:r w:rsidR="00111E46" w:rsidRPr="00A92DA2">
        <w:rPr>
          <w:rFonts w:ascii="Cambria" w:hAnsi="Cambria"/>
          <w:color w:val="000000" w:themeColor="text1"/>
          <w:sz w:val="20"/>
          <w:szCs w:val="20"/>
          <w:lang w:val="es-419"/>
        </w:rPr>
        <w:t xml:space="preserve"> Solano, Francisco Prieto Mesa, Alfonso Ospino </w:t>
      </w:r>
      <w:proofErr w:type="spellStart"/>
      <w:r w:rsidR="00111E46" w:rsidRPr="00A92DA2">
        <w:rPr>
          <w:rFonts w:ascii="Cambria" w:hAnsi="Cambria"/>
          <w:color w:val="000000" w:themeColor="text1"/>
          <w:sz w:val="20"/>
          <w:szCs w:val="20"/>
          <w:lang w:val="es-419"/>
        </w:rPr>
        <w:t>Vilora</w:t>
      </w:r>
      <w:proofErr w:type="spellEnd"/>
      <w:r w:rsidR="00111E46" w:rsidRPr="00A92DA2">
        <w:rPr>
          <w:rFonts w:ascii="Cambria" w:hAnsi="Cambria"/>
          <w:color w:val="000000" w:themeColor="text1"/>
          <w:sz w:val="20"/>
          <w:szCs w:val="20"/>
          <w:lang w:val="es-419"/>
        </w:rPr>
        <w:t xml:space="preserve">. </w:t>
      </w:r>
    </w:p>
    <w:p w14:paraId="3191942A" w14:textId="03FFFCC3" w:rsidR="00111E46" w:rsidRPr="00A92DA2" w:rsidRDefault="00111E46"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En relación con las inve</w:t>
      </w:r>
      <w:r w:rsidR="00B52252" w:rsidRPr="00A92DA2">
        <w:rPr>
          <w:rFonts w:ascii="Cambria" w:hAnsi="Cambria"/>
          <w:color w:val="000000" w:themeColor="text1"/>
          <w:sz w:val="20"/>
          <w:szCs w:val="20"/>
          <w:lang w:val="es-419"/>
        </w:rPr>
        <w:t>stigaciones y proceso en contra</w:t>
      </w:r>
      <w:r w:rsidRPr="00A92DA2">
        <w:rPr>
          <w:rFonts w:ascii="Cambria" w:hAnsi="Cambria"/>
          <w:color w:val="000000" w:themeColor="text1"/>
          <w:sz w:val="20"/>
          <w:szCs w:val="20"/>
          <w:lang w:val="es-419"/>
        </w:rPr>
        <w:t xml:space="preserve"> del señor Esquivel Cuadrado (el Tigre), el Estado afirma que la Fiscalía Especializada de l</w:t>
      </w:r>
      <w:r w:rsidR="00B52252" w:rsidRPr="00A92DA2">
        <w:rPr>
          <w:rFonts w:ascii="Cambria" w:hAnsi="Cambria"/>
          <w:color w:val="000000" w:themeColor="text1"/>
          <w:sz w:val="20"/>
          <w:szCs w:val="20"/>
          <w:lang w:val="es-419"/>
        </w:rPr>
        <w:t>a Unidad Nacional de Derechos H</w:t>
      </w:r>
      <w:r w:rsidRPr="00A92DA2">
        <w:rPr>
          <w:rFonts w:ascii="Cambria" w:hAnsi="Cambria"/>
          <w:color w:val="000000" w:themeColor="text1"/>
          <w:sz w:val="20"/>
          <w:szCs w:val="20"/>
          <w:lang w:val="es-419"/>
        </w:rPr>
        <w:t xml:space="preserve">umanos y Derecho Humanitario de Bogotá declaró </w:t>
      </w:r>
      <w:r w:rsidR="00B52252" w:rsidRPr="00A92DA2">
        <w:rPr>
          <w:rFonts w:ascii="Cambria" w:hAnsi="Cambria"/>
          <w:color w:val="000000" w:themeColor="text1"/>
          <w:sz w:val="20"/>
          <w:szCs w:val="20"/>
          <w:lang w:val="es-419"/>
        </w:rPr>
        <w:t>abierta</w:t>
      </w:r>
      <w:r w:rsidRPr="00A92DA2">
        <w:rPr>
          <w:rFonts w:ascii="Cambria" w:hAnsi="Cambria"/>
          <w:color w:val="000000" w:themeColor="text1"/>
          <w:sz w:val="20"/>
          <w:szCs w:val="20"/>
          <w:lang w:val="es-419"/>
        </w:rPr>
        <w:t xml:space="preserve"> la investigación en su contra el 30 de mayo de 2000; el 24 de octubre de 2000, él negó su participación en los hechos, sin embargo, el 2 de noviembre del mismo año, fue detenido preventivamente, sin beneficio de excarcelación, en calidad de coautor del delito de homicidio agravado. El 23 de abril de 2002 se decretó el cierre de la investigación con relación al señor Esquivel Cuadrado, determinando que fue objeto de reposición por despacho del fiscal de 13 de septiembre de 2002 adelantada por el homicidio del señor Alberto Peñaloza </w:t>
      </w:r>
      <w:proofErr w:type="spellStart"/>
      <w:r w:rsidRPr="00A92DA2">
        <w:rPr>
          <w:rFonts w:ascii="Cambria" w:hAnsi="Cambria"/>
          <w:color w:val="000000" w:themeColor="text1"/>
          <w:sz w:val="20"/>
          <w:szCs w:val="20"/>
          <w:lang w:val="es-419"/>
        </w:rPr>
        <w:t>Lafourie</w:t>
      </w:r>
      <w:proofErr w:type="spellEnd"/>
      <w:r w:rsidRPr="00A92DA2">
        <w:rPr>
          <w:rFonts w:ascii="Cambria" w:hAnsi="Cambria"/>
          <w:color w:val="000000" w:themeColor="text1"/>
          <w:sz w:val="20"/>
          <w:szCs w:val="20"/>
          <w:lang w:val="es-419"/>
        </w:rPr>
        <w:t xml:space="preserve">. Por eso, el señor </w:t>
      </w:r>
      <w:proofErr w:type="spellStart"/>
      <w:r w:rsidRPr="00A92DA2">
        <w:rPr>
          <w:rFonts w:ascii="Cambria" w:hAnsi="Cambria"/>
          <w:color w:val="000000" w:themeColor="text1"/>
          <w:sz w:val="20"/>
          <w:szCs w:val="20"/>
          <w:lang w:val="es-419"/>
        </w:rPr>
        <w:t>Esquiviel</w:t>
      </w:r>
      <w:proofErr w:type="spellEnd"/>
      <w:r w:rsidRPr="00A92DA2">
        <w:rPr>
          <w:rFonts w:ascii="Cambria" w:hAnsi="Cambria"/>
          <w:color w:val="000000" w:themeColor="text1"/>
          <w:sz w:val="20"/>
          <w:szCs w:val="20"/>
          <w:lang w:val="es-419"/>
        </w:rPr>
        <w:t xml:space="preserve"> Cuadrado fue nuevamente escuchado y, el 2 de noviembre de 2000, se impuso su detención preventiva como coautor de hurto calificado y agravado en</w:t>
      </w:r>
      <w:r w:rsidR="00B52252" w:rsidRPr="00A92DA2">
        <w:rPr>
          <w:rFonts w:ascii="Cambria" w:hAnsi="Cambria"/>
          <w:color w:val="000000" w:themeColor="text1"/>
          <w:sz w:val="20"/>
          <w:szCs w:val="20"/>
          <w:lang w:val="es-419"/>
        </w:rPr>
        <w:t xml:space="preserve"> concurso material homogéneo, </w:t>
      </w:r>
      <w:proofErr w:type="spellStart"/>
      <w:r w:rsidR="00B52252" w:rsidRPr="00A92DA2">
        <w:rPr>
          <w:rFonts w:ascii="Cambria" w:hAnsi="Cambria"/>
          <w:color w:val="000000" w:themeColor="text1"/>
          <w:sz w:val="20"/>
          <w:szCs w:val="20"/>
          <w:lang w:val="es-419"/>
        </w:rPr>
        <w:t>pr</w:t>
      </w:r>
      <w:r w:rsidRPr="00A92DA2">
        <w:rPr>
          <w:rFonts w:ascii="Cambria" w:hAnsi="Cambria"/>
          <w:color w:val="000000" w:themeColor="text1"/>
          <w:sz w:val="20"/>
          <w:szCs w:val="20"/>
          <w:lang w:val="es-419"/>
        </w:rPr>
        <w:t>ecluyendo</w:t>
      </w:r>
      <w:proofErr w:type="spellEnd"/>
      <w:r w:rsidRPr="00A92DA2">
        <w:rPr>
          <w:rFonts w:ascii="Cambria" w:hAnsi="Cambria"/>
          <w:color w:val="000000" w:themeColor="text1"/>
          <w:sz w:val="20"/>
          <w:szCs w:val="20"/>
          <w:lang w:val="es-419"/>
        </w:rPr>
        <w:t xml:space="preserve"> la acción penal por el delito de concierto para delinquir y  el 2 de enero de 2006, se </w:t>
      </w:r>
      <w:r w:rsidR="00B52252" w:rsidRPr="00A92DA2">
        <w:rPr>
          <w:rFonts w:ascii="Cambria" w:hAnsi="Cambria"/>
          <w:color w:val="000000" w:themeColor="text1"/>
          <w:sz w:val="20"/>
          <w:szCs w:val="20"/>
          <w:lang w:val="es-419"/>
        </w:rPr>
        <w:t>profirió</w:t>
      </w:r>
      <w:r w:rsidRPr="00A92DA2">
        <w:rPr>
          <w:rFonts w:ascii="Cambria" w:hAnsi="Cambria"/>
          <w:color w:val="000000" w:themeColor="text1"/>
          <w:sz w:val="20"/>
          <w:szCs w:val="20"/>
          <w:lang w:val="es-419"/>
        </w:rPr>
        <w:t xml:space="preserve"> resolución de acusación en su contra por los delitos de </w:t>
      </w:r>
      <w:r w:rsidR="00B52252" w:rsidRPr="00A92DA2">
        <w:rPr>
          <w:rFonts w:ascii="Cambria" w:hAnsi="Cambria"/>
          <w:color w:val="000000" w:themeColor="text1"/>
          <w:sz w:val="20"/>
          <w:szCs w:val="20"/>
          <w:lang w:val="es-419"/>
        </w:rPr>
        <w:t>homicidio</w:t>
      </w:r>
      <w:r w:rsidRPr="00A92DA2">
        <w:rPr>
          <w:rFonts w:ascii="Cambria" w:hAnsi="Cambria"/>
          <w:color w:val="000000" w:themeColor="text1"/>
          <w:sz w:val="20"/>
          <w:szCs w:val="20"/>
          <w:lang w:val="es-419"/>
        </w:rPr>
        <w:t xml:space="preserve"> agravado y de hurto calificado. El 17 de mayo de 2011, el Juzgado Penal del Circuito Especializado de Descongestión Adjunto, con sede en Valledupar, condenó </w:t>
      </w:r>
      <w:r w:rsidR="00612EB2" w:rsidRPr="00A92DA2">
        <w:rPr>
          <w:rFonts w:ascii="Cambria" w:hAnsi="Cambria"/>
          <w:color w:val="000000" w:themeColor="text1"/>
          <w:sz w:val="20"/>
          <w:szCs w:val="20"/>
          <w:lang w:val="es-419"/>
        </w:rPr>
        <w:t>a</w:t>
      </w:r>
      <w:r w:rsidRPr="00A92DA2">
        <w:rPr>
          <w:rFonts w:ascii="Cambria" w:hAnsi="Cambria"/>
          <w:color w:val="000000" w:themeColor="text1"/>
          <w:sz w:val="20"/>
          <w:szCs w:val="20"/>
          <w:lang w:val="es-419"/>
        </w:rPr>
        <w:t xml:space="preserve">l señor Esquivel Cuadrado a 38 </w:t>
      </w:r>
      <w:r w:rsidR="00B747A2" w:rsidRPr="00A92DA2">
        <w:rPr>
          <w:rFonts w:ascii="Cambria" w:hAnsi="Cambria"/>
          <w:color w:val="000000" w:themeColor="text1"/>
          <w:sz w:val="20"/>
          <w:szCs w:val="20"/>
          <w:lang w:val="es-419"/>
        </w:rPr>
        <w:t>años</w:t>
      </w:r>
      <w:r w:rsidRPr="00A92DA2">
        <w:rPr>
          <w:rFonts w:ascii="Cambria" w:hAnsi="Cambria"/>
          <w:color w:val="000000" w:themeColor="text1"/>
          <w:sz w:val="20"/>
          <w:szCs w:val="20"/>
          <w:lang w:val="es-419"/>
        </w:rPr>
        <w:t xml:space="preserve"> y 3 meses de prisión y al pago de perjuicios morales a favor de las presuntas víctimas y de sus sucesores. En dicha decisión, se hizo referencia a </w:t>
      </w:r>
      <w:r w:rsidRPr="00A92DA2">
        <w:rPr>
          <w:rFonts w:ascii="Cambria" w:hAnsi="Cambria"/>
          <w:color w:val="000000" w:themeColor="text1"/>
          <w:sz w:val="20"/>
          <w:szCs w:val="20"/>
          <w:lang w:val="es-419"/>
        </w:rPr>
        <w:lastRenderedPageBreak/>
        <w:t xml:space="preserve">las declaraciones y testimoniales vertidos por las presuntas víctimas (Albeiro Durán Bolaños, Ángel Miguel Coronado García, Ramona Leonor de la Hoz, Patrona Marín Polo, Nora Quintero Rizo, </w:t>
      </w:r>
      <w:proofErr w:type="spellStart"/>
      <w:r w:rsidRPr="00A92DA2">
        <w:rPr>
          <w:rFonts w:ascii="Cambria" w:hAnsi="Cambria"/>
          <w:color w:val="000000" w:themeColor="text1"/>
          <w:sz w:val="20"/>
          <w:szCs w:val="20"/>
          <w:lang w:val="es-419"/>
        </w:rPr>
        <w:t>Roquelina</w:t>
      </w:r>
      <w:proofErr w:type="spellEnd"/>
      <w:r w:rsidRPr="00A92DA2">
        <w:rPr>
          <w:rFonts w:ascii="Cambria" w:hAnsi="Cambria"/>
          <w:color w:val="000000" w:themeColor="text1"/>
          <w:sz w:val="20"/>
          <w:szCs w:val="20"/>
          <w:lang w:val="es-419"/>
        </w:rPr>
        <w:t xml:space="preserve"> Garcia Herrera, </w:t>
      </w:r>
      <w:proofErr w:type="spellStart"/>
      <w:r w:rsidRPr="00A92DA2">
        <w:rPr>
          <w:rFonts w:ascii="Cambria" w:hAnsi="Cambria"/>
          <w:color w:val="000000" w:themeColor="text1"/>
          <w:sz w:val="20"/>
          <w:szCs w:val="20"/>
          <w:lang w:val="es-419"/>
        </w:rPr>
        <w:t>Leanis</w:t>
      </w:r>
      <w:proofErr w:type="spellEnd"/>
      <w:r w:rsidRPr="00A92DA2">
        <w:rPr>
          <w:rFonts w:ascii="Cambria" w:hAnsi="Cambria"/>
          <w:color w:val="000000" w:themeColor="text1"/>
          <w:sz w:val="20"/>
          <w:szCs w:val="20"/>
          <w:lang w:val="es-419"/>
        </w:rPr>
        <w:t xml:space="preserve"> Coronado García, Esteban Durán, Berenice Pallares Navarro y </w:t>
      </w:r>
      <w:proofErr w:type="spellStart"/>
      <w:r w:rsidRPr="00A92DA2">
        <w:rPr>
          <w:rFonts w:ascii="Cambria" w:hAnsi="Cambria"/>
          <w:color w:val="000000" w:themeColor="text1"/>
          <w:sz w:val="20"/>
          <w:szCs w:val="20"/>
          <w:lang w:val="es-419"/>
        </w:rPr>
        <w:t>Osmani</w:t>
      </w:r>
      <w:proofErr w:type="spellEnd"/>
      <w:r w:rsidRPr="00A92DA2">
        <w:rPr>
          <w:rFonts w:ascii="Cambria" w:hAnsi="Cambria"/>
          <w:color w:val="000000" w:themeColor="text1"/>
          <w:sz w:val="20"/>
          <w:szCs w:val="20"/>
          <w:lang w:val="es-419"/>
        </w:rPr>
        <w:t xml:space="preserve"> Ortega Rojas).</w:t>
      </w:r>
    </w:p>
    <w:p w14:paraId="38EDE55A" w14:textId="5ED8D925" w:rsidR="00111E46" w:rsidRPr="00A92DA2" w:rsidRDefault="00111E46"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 xml:space="preserve">El Estado afirma que el 14 de febrero de 2005 se ordenó la preclusión de la investigación a favor de Francisco Prieto Meza por el delito de concierto para delinquir y de Benedicto </w:t>
      </w:r>
      <w:proofErr w:type="spellStart"/>
      <w:r w:rsidRPr="00A92DA2">
        <w:rPr>
          <w:rFonts w:ascii="Cambria" w:hAnsi="Cambria"/>
          <w:color w:val="000000" w:themeColor="text1"/>
          <w:sz w:val="20"/>
          <w:szCs w:val="20"/>
          <w:lang w:val="es-419"/>
        </w:rPr>
        <w:t>Estupiñán</w:t>
      </w:r>
      <w:proofErr w:type="spellEnd"/>
      <w:r w:rsidRPr="00A92DA2">
        <w:rPr>
          <w:rFonts w:ascii="Cambria" w:hAnsi="Cambria"/>
          <w:color w:val="000000" w:themeColor="text1"/>
          <w:sz w:val="20"/>
          <w:szCs w:val="20"/>
          <w:lang w:val="es-419"/>
        </w:rPr>
        <w:t xml:space="preserve"> Solano debido a su muert</w:t>
      </w:r>
      <w:r w:rsidR="006E3C17" w:rsidRPr="00A92DA2">
        <w:rPr>
          <w:rFonts w:ascii="Cambria" w:hAnsi="Cambria"/>
          <w:color w:val="000000" w:themeColor="text1"/>
          <w:sz w:val="20"/>
          <w:szCs w:val="20"/>
          <w:lang w:val="es-419"/>
        </w:rPr>
        <w:t>e</w:t>
      </w:r>
      <w:r w:rsidRPr="00A92DA2">
        <w:rPr>
          <w:rFonts w:ascii="Cambria" w:hAnsi="Cambria"/>
          <w:color w:val="000000" w:themeColor="text1"/>
          <w:sz w:val="20"/>
          <w:szCs w:val="20"/>
          <w:lang w:val="es-419"/>
        </w:rPr>
        <w:t xml:space="preserve">. Además, se revocó la apertura de la instrucción </w:t>
      </w:r>
      <w:r w:rsidR="00B52252" w:rsidRPr="00A92DA2">
        <w:rPr>
          <w:rFonts w:ascii="Cambria" w:hAnsi="Cambria"/>
          <w:color w:val="000000" w:themeColor="text1"/>
          <w:sz w:val="20"/>
          <w:szCs w:val="20"/>
          <w:lang w:val="es-419"/>
        </w:rPr>
        <w:t>contra</w:t>
      </w:r>
      <w:r w:rsidRPr="00A92DA2">
        <w:rPr>
          <w:rFonts w:ascii="Cambria" w:hAnsi="Cambria"/>
          <w:color w:val="000000" w:themeColor="text1"/>
          <w:sz w:val="20"/>
          <w:szCs w:val="20"/>
          <w:lang w:val="es-419"/>
        </w:rPr>
        <w:t xml:space="preserve"> Alfonso Ospino </w:t>
      </w:r>
      <w:proofErr w:type="spellStart"/>
      <w:r w:rsidRPr="00A92DA2">
        <w:rPr>
          <w:rFonts w:ascii="Cambria" w:hAnsi="Cambria"/>
          <w:color w:val="000000" w:themeColor="text1"/>
          <w:sz w:val="20"/>
          <w:szCs w:val="20"/>
          <w:lang w:val="es-419"/>
        </w:rPr>
        <w:t>Vilora</w:t>
      </w:r>
      <w:proofErr w:type="spellEnd"/>
      <w:r w:rsidRPr="00A92DA2">
        <w:rPr>
          <w:rFonts w:ascii="Cambria" w:hAnsi="Cambria"/>
          <w:color w:val="000000" w:themeColor="text1"/>
          <w:sz w:val="20"/>
          <w:szCs w:val="20"/>
          <w:lang w:val="es-419"/>
        </w:rPr>
        <w:t xml:space="preserve">. Asimismo, el 22 de noviembre de 2007, se ordenó la vinculación del señor Rodrigo Tovar Pupo (en adelante “el señor Tovar Pupo”), comandante general del Bloque Norte de las AUC, ante la entonces Fiscalía Nacional Delegada para la Justicia y Paz, donde asumió su responsabilidad por los hechos investigados. El 9 de diciembre de 2008, la Fiscalía 13 Especializada determinó su detención preventiva como coautor de los delitos de homicidio agravado y hurto calificado. Afirma que el 19 de febrero de 2010, se decretó el cierre </w:t>
      </w:r>
      <w:r w:rsidR="00AB203B" w:rsidRPr="00A92DA2">
        <w:rPr>
          <w:rFonts w:ascii="Cambria" w:hAnsi="Cambria"/>
          <w:color w:val="000000" w:themeColor="text1"/>
          <w:sz w:val="20"/>
          <w:szCs w:val="20"/>
          <w:lang w:val="es-419"/>
        </w:rPr>
        <w:t>parcial</w:t>
      </w:r>
      <w:r w:rsidRPr="00A92DA2">
        <w:rPr>
          <w:rFonts w:ascii="Cambria" w:hAnsi="Cambria"/>
          <w:color w:val="000000" w:themeColor="text1"/>
          <w:sz w:val="20"/>
          <w:szCs w:val="20"/>
          <w:lang w:val="es-419"/>
        </w:rPr>
        <w:t xml:space="preserve"> de la investigación con relación al señor Tovar Pupo y el 17 de febrero de 2012, fue acusado por los delitos de homicidio agravado y hurto calificado.</w:t>
      </w:r>
    </w:p>
    <w:p w14:paraId="19847C39" w14:textId="363E0217" w:rsidR="00111E46" w:rsidRPr="00A92DA2" w:rsidRDefault="00111E46"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 xml:space="preserve">En relación con el proceso en contra del señor Víctor Manuel Hernández Ramos (en adelante “el señor Hernández Ramos”), el Estado afirma que él decidió acogerse a sentencia </w:t>
      </w:r>
      <w:r w:rsidR="00B52252" w:rsidRPr="00A92DA2">
        <w:rPr>
          <w:rFonts w:ascii="Cambria" w:hAnsi="Cambria"/>
          <w:color w:val="000000" w:themeColor="text1"/>
          <w:sz w:val="20"/>
          <w:szCs w:val="20"/>
          <w:lang w:val="es-419"/>
        </w:rPr>
        <w:t>anticipada</w:t>
      </w:r>
      <w:r w:rsidRPr="00A92DA2">
        <w:rPr>
          <w:rFonts w:ascii="Cambria" w:hAnsi="Cambria"/>
          <w:color w:val="000000" w:themeColor="text1"/>
          <w:sz w:val="20"/>
          <w:szCs w:val="20"/>
          <w:lang w:val="es-419"/>
        </w:rPr>
        <w:t xml:space="preserve">. El 22 de marzo de 2012 fue dictada su detención preventiva, y el 6 de septiembre de 2013 se calificó el mérito del sumario, </w:t>
      </w:r>
      <w:r w:rsidR="00036F57" w:rsidRPr="00A92DA2">
        <w:rPr>
          <w:rFonts w:ascii="Cambria" w:hAnsi="Cambria"/>
          <w:color w:val="000000" w:themeColor="text1"/>
          <w:sz w:val="20"/>
          <w:szCs w:val="20"/>
          <w:lang w:val="es-419"/>
        </w:rPr>
        <w:t>profiriendo</w:t>
      </w:r>
      <w:r w:rsidRPr="00A92DA2">
        <w:rPr>
          <w:rFonts w:ascii="Cambria" w:hAnsi="Cambria"/>
          <w:color w:val="000000" w:themeColor="text1"/>
          <w:sz w:val="20"/>
          <w:szCs w:val="20"/>
          <w:lang w:val="es-419"/>
        </w:rPr>
        <w:t xml:space="preserve"> en su contra resolución de acusación. Así, el 11 de febrero de 2016, el Juzgado Penal del Circuito Especializado de Valledupar, lo declaró penalmente responsable por los delitos de homicidio agravado en concurso con hurto calificado. </w:t>
      </w:r>
    </w:p>
    <w:p w14:paraId="0A9E57F9" w14:textId="57E8DE24" w:rsidR="00111E46" w:rsidRPr="00A92DA2" w:rsidRDefault="00111E46"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 xml:space="preserve">En relación con las investigaciones y proceso en contra </w:t>
      </w:r>
      <w:r w:rsidR="00612EB2" w:rsidRPr="00A92DA2">
        <w:rPr>
          <w:rFonts w:ascii="Cambria" w:hAnsi="Cambria"/>
          <w:color w:val="000000" w:themeColor="text1"/>
          <w:sz w:val="20"/>
          <w:szCs w:val="20"/>
          <w:lang w:val="es-419"/>
        </w:rPr>
        <w:t>del</w:t>
      </w:r>
      <w:r w:rsidRPr="00A92DA2">
        <w:rPr>
          <w:rFonts w:ascii="Cambria" w:hAnsi="Cambria"/>
          <w:color w:val="000000" w:themeColor="text1"/>
          <w:sz w:val="20"/>
          <w:szCs w:val="20"/>
          <w:lang w:val="es-419"/>
        </w:rPr>
        <w:t xml:space="preserve"> señor Oscar José Ospino Pacheco (en adelante “el señor Ospino Pacheco”), el Estado afirma que el 29 de febrero de 2012, se ordenó vincularlo a las investigaciones de los hechos, él fue escuchado en diligencia y expresó su deseo de acogerse a una sentencia anticipada; el 26 de marzo de 2012, el señor Ospino Pacheco fue detenido preventivamente por los delitos de homicidio agravado y hurto calificado y agravado. La investigación fue suspendida provisionalmente según el </w:t>
      </w:r>
      <w:r w:rsidR="00B52252" w:rsidRPr="00A92DA2">
        <w:rPr>
          <w:rFonts w:ascii="Cambria" w:hAnsi="Cambria"/>
          <w:color w:val="000000" w:themeColor="text1"/>
          <w:sz w:val="20"/>
          <w:szCs w:val="20"/>
          <w:lang w:val="es-419"/>
        </w:rPr>
        <w:t>artículo</w:t>
      </w:r>
      <w:r w:rsidRPr="00A92DA2">
        <w:rPr>
          <w:rFonts w:ascii="Cambria" w:hAnsi="Cambria"/>
          <w:color w:val="000000" w:themeColor="text1"/>
          <w:sz w:val="20"/>
          <w:szCs w:val="20"/>
          <w:lang w:val="es-419"/>
        </w:rPr>
        <w:t xml:space="preserve"> 22 de la Ley 1592 el 21 de diciembre de 2012.</w:t>
      </w:r>
    </w:p>
    <w:p w14:paraId="77A1A6F2" w14:textId="742EBE47" w:rsidR="00111E46" w:rsidRPr="00A92DA2" w:rsidRDefault="00B52252"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Asimismo</w:t>
      </w:r>
      <w:r w:rsidR="00111E46" w:rsidRPr="00A92DA2">
        <w:rPr>
          <w:rFonts w:ascii="Cambria" w:hAnsi="Cambria"/>
          <w:color w:val="000000" w:themeColor="text1"/>
          <w:sz w:val="20"/>
          <w:szCs w:val="20"/>
          <w:lang w:val="es-419"/>
        </w:rPr>
        <w:t xml:space="preserve">, el Estado sostiene que el 12 de diciembre de 2012 se vinculó a los señores y señoras Luis Francisco Robles Mendoza (en adelante “el señor Robles Mendoza”), Claudia Patricia </w:t>
      </w:r>
      <w:proofErr w:type="spellStart"/>
      <w:r w:rsidR="00111E46" w:rsidRPr="00A92DA2">
        <w:rPr>
          <w:rFonts w:ascii="Cambria" w:hAnsi="Cambria"/>
          <w:color w:val="000000" w:themeColor="text1"/>
          <w:sz w:val="20"/>
          <w:szCs w:val="20"/>
          <w:lang w:val="es-419"/>
        </w:rPr>
        <w:t>Covaleda</w:t>
      </w:r>
      <w:proofErr w:type="spellEnd"/>
      <w:r w:rsidR="00111E46" w:rsidRPr="00A92DA2">
        <w:rPr>
          <w:rFonts w:ascii="Cambria" w:hAnsi="Cambria"/>
          <w:color w:val="000000" w:themeColor="text1"/>
          <w:sz w:val="20"/>
          <w:szCs w:val="20"/>
          <w:lang w:val="es-419"/>
        </w:rPr>
        <w:t xml:space="preserve"> </w:t>
      </w:r>
      <w:proofErr w:type="spellStart"/>
      <w:r w:rsidR="00111E46" w:rsidRPr="00A92DA2">
        <w:rPr>
          <w:rFonts w:ascii="Cambria" w:hAnsi="Cambria"/>
          <w:color w:val="000000" w:themeColor="text1"/>
          <w:sz w:val="20"/>
          <w:szCs w:val="20"/>
          <w:lang w:val="es-419"/>
        </w:rPr>
        <w:t>Velásques</w:t>
      </w:r>
      <w:proofErr w:type="spellEnd"/>
      <w:r w:rsidR="00111E46" w:rsidRPr="00A92DA2">
        <w:rPr>
          <w:rFonts w:ascii="Cambria" w:hAnsi="Cambria"/>
          <w:color w:val="000000" w:themeColor="text1"/>
          <w:sz w:val="20"/>
          <w:szCs w:val="20"/>
          <w:lang w:val="es-419"/>
        </w:rPr>
        <w:t xml:space="preserve"> (en adelante “la señora </w:t>
      </w:r>
      <w:proofErr w:type="spellStart"/>
      <w:r w:rsidR="00111E46" w:rsidRPr="00A92DA2">
        <w:rPr>
          <w:rFonts w:ascii="Cambria" w:hAnsi="Cambria"/>
          <w:color w:val="000000" w:themeColor="text1"/>
          <w:sz w:val="20"/>
          <w:szCs w:val="20"/>
          <w:lang w:val="es-419"/>
        </w:rPr>
        <w:t>Covaleda</w:t>
      </w:r>
      <w:proofErr w:type="spellEnd"/>
      <w:r w:rsidR="00111E46" w:rsidRPr="00A92DA2">
        <w:rPr>
          <w:rFonts w:ascii="Cambria" w:hAnsi="Cambria"/>
          <w:color w:val="000000" w:themeColor="text1"/>
          <w:sz w:val="20"/>
          <w:szCs w:val="20"/>
          <w:lang w:val="es-419"/>
        </w:rPr>
        <w:t xml:space="preserve"> Velásquez”), Edelmira Esther Pérez Méndez (en adelante “la señora Pérez Méndez”) y Víctor Manuel Hernández Ramos (en adelante “el señor Hernández Ramos”), librando respecto a los tres últimos las correspondientes ordenes de captura. Por su parte, el señor Robles Mendoza fue escuchado el 30 de mayo de 2013,</w:t>
      </w:r>
      <w:r w:rsidR="009F45BB" w:rsidRPr="00A92DA2">
        <w:rPr>
          <w:rFonts w:ascii="Cambria" w:hAnsi="Cambria"/>
          <w:color w:val="000000" w:themeColor="text1"/>
          <w:sz w:val="20"/>
          <w:szCs w:val="20"/>
          <w:lang w:val="es-419"/>
        </w:rPr>
        <w:t xml:space="preserve"> y fue dictada una medida de aseguramiento en su contra el </w:t>
      </w:r>
      <w:r w:rsidR="00111E46" w:rsidRPr="00A92DA2">
        <w:rPr>
          <w:rFonts w:ascii="Cambria" w:hAnsi="Cambria"/>
          <w:color w:val="000000" w:themeColor="text1"/>
          <w:sz w:val="20"/>
          <w:szCs w:val="20"/>
          <w:lang w:val="es-419"/>
        </w:rPr>
        <w:t xml:space="preserve">17 de junio </w:t>
      </w:r>
      <w:r w:rsidR="009F45BB" w:rsidRPr="00A92DA2">
        <w:rPr>
          <w:rFonts w:ascii="Cambria" w:hAnsi="Cambria"/>
          <w:color w:val="000000" w:themeColor="text1"/>
          <w:sz w:val="20"/>
          <w:szCs w:val="20"/>
          <w:lang w:val="es-419"/>
        </w:rPr>
        <w:t>de 2013</w:t>
      </w:r>
      <w:r w:rsidR="00111E46" w:rsidRPr="00A92DA2">
        <w:rPr>
          <w:rFonts w:ascii="Cambria" w:hAnsi="Cambria"/>
          <w:color w:val="000000" w:themeColor="text1"/>
          <w:sz w:val="20"/>
          <w:szCs w:val="20"/>
          <w:lang w:val="es-419"/>
        </w:rPr>
        <w:t xml:space="preserve"> y expresó su voluntad de acogerse a sentencia anticipada por los delitos de homicidio agravado y hurto calificado</w:t>
      </w:r>
      <w:r w:rsidR="00612EB2" w:rsidRPr="00A92DA2">
        <w:rPr>
          <w:rFonts w:ascii="Cambria" w:hAnsi="Cambria"/>
          <w:color w:val="000000" w:themeColor="text1"/>
          <w:sz w:val="20"/>
          <w:szCs w:val="20"/>
          <w:lang w:val="es-419"/>
        </w:rPr>
        <w:t>.</w:t>
      </w:r>
      <w:r w:rsidR="0069257E">
        <w:rPr>
          <w:rFonts w:ascii="Cambria" w:hAnsi="Cambria"/>
          <w:color w:val="000000" w:themeColor="text1"/>
          <w:sz w:val="20"/>
          <w:szCs w:val="20"/>
          <w:lang w:val="es-419"/>
        </w:rPr>
        <w:t xml:space="preserve"> </w:t>
      </w:r>
      <w:r w:rsidR="00612EB2" w:rsidRPr="00A92DA2">
        <w:rPr>
          <w:rFonts w:ascii="Cambria" w:hAnsi="Cambria"/>
          <w:color w:val="000000" w:themeColor="text1"/>
          <w:sz w:val="20"/>
          <w:szCs w:val="20"/>
          <w:lang w:val="es-419"/>
        </w:rPr>
        <w:t>E</w:t>
      </w:r>
      <w:r w:rsidR="00111E46" w:rsidRPr="00A92DA2">
        <w:rPr>
          <w:rFonts w:ascii="Cambria" w:hAnsi="Cambria"/>
          <w:color w:val="000000" w:themeColor="text1"/>
          <w:sz w:val="20"/>
          <w:szCs w:val="20"/>
          <w:lang w:val="es-419"/>
        </w:rPr>
        <w:t xml:space="preserve">l 11 de junio de 2014, fue </w:t>
      </w:r>
      <w:r w:rsidRPr="00A92DA2">
        <w:rPr>
          <w:rFonts w:ascii="Cambria" w:hAnsi="Cambria"/>
          <w:color w:val="000000" w:themeColor="text1"/>
          <w:sz w:val="20"/>
          <w:szCs w:val="20"/>
          <w:lang w:val="es-419"/>
        </w:rPr>
        <w:t>emitida</w:t>
      </w:r>
      <w:r w:rsidR="00111E46" w:rsidRPr="00A92DA2">
        <w:rPr>
          <w:rFonts w:ascii="Cambria" w:hAnsi="Cambria"/>
          <w:color w:val="000000" w:themeColor="text1"/>
          <w:sz w:val="20"/>
          <w:szCs w:val="20"/>
          <w:lang w:val="es-419"/>
        </w:rPr>
        <w:t xml:space="preserve"> sentencia en contra </w:t>
      </w:r>
      <w:r w:rsidR="009A7179" w:rsidRPr="00A92DA2">
        <w:rPr>
          <w:rFonts w:ascii="Cambria" w:hAnsi="Cambria"/>
          <w:color w:val="000000" w:themeColor="text1"/>
          <w:sz w:val="20"/>
          <w:szCs w:val="20"/>
          <w:lang w:val="es-419"/>
        </w:rPr>
        <w:t>d</w:t>
      </w:r>
      <w:r w:rsidR="00111E46" w:rsidRPr="00A92DA2">
        <w:rPr>
          <w:rFonts w:ascii="Cambria" w:hAnsi="Cambria"/>
          <w:color w:val="000000" w:themeColor="text1"/>
          <w:sz w:val="20"/>
          <w:szCs w:val="20"/>
          <w:lang w:val="es-419"/>
        </w:rPr>
        <w:t xml:space="preserve">el señor Robles Mendoza, donde también se reconoció la </w:t>
      </w:r>
      <w:r w:rsidRPr="00A92DA2">
        <w:rPr>
          <w:rFonts w:ascii="Cambria" w:hAnsi="Cambria"/>
          <w:color w:val="000000" w:themeColor="text1"/>
          <w:sz w:val="20"/>
          <w:szCs w:val="20"/>
          <w:lang w:val="es-419"/>
        </w:rPr>
        <w:t>coautoría</w:t>
      </w:r>
      <w:r w:rsidR="00111E46" w:rsidRPr="00A92DA2">
        <w:rPr>
          <w:rFonts w:ascii="Cambria" w:hAnsi="Cambria"/>
          <w:color w:val="000000" w:themeColor="text1"/>
          <w:sz w:val="20"/>
          <w:szCs w:val="20"/>
          <w:lang w:val="es-419"/>
        </w:rPr>
        <w:t xml:space="preserve"> del señor Luis </w:t>
      </w:r>
      <w:r w:rsidR="00565EAF" w:rsidRPr="00A92DA2">
        <w:rPr>
          <w:rFonts w:ascii="Cambria" w:hAnsi="Cambria"/>
          <w:color w:val="000000" w:themeColor="text1"/>
          <w:sz w:val="20"/>
          <w:szCs w:val="20"/>
          <w:lang w:val="es-419"/>
        </w:rPr>
        <w:t>Francisco</w:t>
      </w:r>
      <w:r w:rsidR="00111E46" w:rsidRPr="00A92DA2">
        <w:rPr>
          <w:rFonts w:ascii="Cambria" w:hAnsi="Cambria"/>
          <w:color w:val="000000" w:themeColor="text1"/>
          <w:sz w:val="20"/>
          <w:szCs w:val="20"/>
          <w:lang w:val="es-419"/>
        </w:rPr>
        <w:t xml:space="preserve"> Robles. </w:t>
      </w:r>
      <w:r w:rsidR="009A7179" w:rsidRPr="00A92DA2">
        <w:rPr>
          <w:rFonts w:ascii="Cambria" w:hAnsi="Cambria"/>
          <w:color w:val="000000" w:themeColor="text1"/>
          <w:sz w:val="20"/>
          <w:szCs w:val="20"/>
          <w:lang w:val="es-419"/>
        </w:rPr>
        <w:t>E</w:t>
      </w:r>
      <w:r w:rsidR="00111E46" w:rsidRPr="00A92DA2">
        <w:rPr>
          <w:rFonts w:ascii="Cambria" w:hAnsi="Cambria"/>
          <w:color w:val="000000" w:themeColor="text1"/>
          <w:sz w:val="20"/>
          <w:szCs w:val="20"/>
          <w:lang w:val="es-419"/>
        </w:rPr>
        <w:t xml:space="preserve">l señor Robles Mendoza fue condenado a una pena de 28 </w:t>
      </w:r>
      <w:r w:rsidRPr="00A92DA2">
        <w:rPr>
          <w:rFonts w:ascii="Cambria" w:hAnsi="Cambria"/>
          <w:color w:val="000000" w:themeColor="text1"/>
          <w:sz w:val="20"/>
          <w:szCs w:val="20"/>
          <w:lang w:val="es-419"/>
        </w:rPr>
        <w:t>años</w:t>
      </w:r>
      <w:r w:rsidR="00111E46" w:rsidRPr="00A92DA2">
        <w:rPr>
          <w:rFonts w:ascii="Cambria" w:hAnsi="Cambria"/>
          <w:color w:val="000000" w:themeColor="text1"/>
          <w:sz w:val="20"/>
          <w:szCs w:val="20"/>
          <w:lang w:val="es-419"/>
        </w:rPr>
        <w:t xml:space="preserve"> de prisión y al pago de perjuicio</w:t>
      </w:r>
      <w:r w:rsidR="009A7179" w:rsidRPr="00A92DA2">
        <w:rPr>
          <w:rFonts w:ascii="Cambria" w:hAnsi="Cambria"/>
          <w:color w:val="000000" w:themeColor="text1"/>
          <w:sz w:val="20"/>
          <w:szCs w:val="20"/>
          <w:lang w:val="es-419"/>
        </w:rPr>
        <w:t>s</w:t>
      </w:r>
      <w:r w:rsidR="00111E46" w:rsidRPr="00A92DA2">
        <w:rPr>
          <w:rFonts w:ascii="Cambria" w:hAnsi="Cambria"/>
          <w:color w:val="000000" w:themeColor="text1"/>
          <w:sz w:val="20"/>
          <w:szCs w:val="20"/>
          <w:lang w:val="es-419"/>
        </w:rPr>
        <w:t xml:space="preserve"> morales en </w:t>
      </w:r>
      <w:r w:rsidRPr="00A92DA2">
        <w:rPr>
          <w:rFonts w:ascii="Cambria" w:hAnsi="Cambria"/>
          <w:color w:val="000000" w:themeColor="text1"/>
          <w:sz w:val="20"/>
          <w:szCs w:val="20"/>
          <w:lang w:val="es-419"/>
        </w:rPr>
        <w:t xml:space="preserve">cuantía </w:t>
      </w:r>
      <w:r w:rsidR="00111E46" w:rsidRPr="00A92DA2">
        <w:rPr>
          <w:rFonts w:ascii="Cambria" w:hAnsi="Cambria"/>
          <w:color w:val="000000" w:themeColor="text1"/>
          <w:sz w:val="20"/>
          <w:szCs w:val="20"/>
          <w:lang w:val="es-419"/>
        </w:rPr>
        <w:t xml:space="preserve">de 200 salarios </w:t>
      </w:r>
      <w:r w:rsidRPr="00A92DA2">
        <w:rPr>
          <w:rFonts w:ascii="Cambria" w:hAnsi="Cambria"/>
          <w:color w:val="000000" w:themeColor="text1"/>
          <w:sz w:val="20"/>
          <w:szCs w:val="20"/>
          <w:lang w:val="es-419"/>
        </w:rPr>
        <w:t>mínimos</w:t>
      </w:r>
      <w:r w:rsidR="00111E46" w:rsidRPr="00A92DA2">
        <w:rPr>
          <w:rFonts w:ascii="Cambria" w:hAnsi="Cambria"/>
          <w:color w:val="000000" w:themeColor="text1"/>
          <w:sz w:val="20"/>
          <w:szCs w:val="20"/>
          <w:lang w:val="es-419"/>
        </w:rPr>
        <w:t xml:space="preserve"> mensuales a los </w:t>
      </w:r>
      <w:r w:rsidRPr="00A92DA2">
        <w:rPr>
          <w:rFonts w:ascii="Cambria" w:hAnsi="Cambria"/>
          <w:color w:val="000000" w:themeColor="text1"/>
          <w:sz w:val="20"/>
          <w:szCs w:val="20"/>
          <w:lang w:val="es-419"/>
        </w:rPr>
        <w:t>herederos</w:t>
      </w:r>
      <w:r w:rsidR="00111E46" w:rsidRPr="00A92DA2">
        <w:rPr>
          <w:rFonts w:ascii="Cambria" w:hAnsi="Cambria"/>
          <w:color w:val="000000" w:themeColor="text1"/>
          <w:sz w:val="20"/>
          <w:szCs w:val="20"/>
          <w:lang w:val="es-419"/>
        </w:rPr>
        <w:t xml:space="preserve"> de las presuntas víctimas. Por su parte, la señora Pérez Méndez fue escuchada el 13 de marzo de 2013, y el 26 de marzo de 2014, la </w:t>
      </w:r>
      <w:r w:rsidR="00565EAF" w:rsidRPr="00A92DA2">
        <w:rPr>
          <w:rFonts w:ascii="Cambria" w:hAnsi="Cambria"/>
          <w:color w:val="000000" w:themeColor="text1"/>
          <w:sz w:val="20"/>
          <w:szCs w:val="20"/>
          <w:lang w:val="es-419"/>
        </w:rPr>
        <w:t>Fiscalía</w:t>
      </w:r>
      <w:r w:rsidR="00111E46" w:rsidRPr="00A92DA2">
        <w:rPr>
          <w:rFonts w:ascii="Cambria" w:hAnsi="Cambria"/>
          <w:color w:val="000000" w:themeColor="text1"/>
          <w:sz w:val="20"/>
          <w:szCs w:val="20"/>
          <w:lang w:val="es-419"/>
        </w:rPr>
        <w:t xml:space="preserve"> 13 Especializada se abstuvo de imponer medida de </w:t>
      </w:r>
      <w:r w:rsidRPr="00A92DA2">
        <w:rPr>
          <w:rFonts w:ascii="Cambria" w:hAnsi="Cambria"/>
          <w:color w:val="000000" w:themeColor="text1"/>
          <w:sz w:val="20"/>
          <w:szCs w:val="20"/>
          <w:lang w:val="es-419"/>
        </w:rPr>
        <w:t>aseguramiento</w:t>
      </w:r>
      <w:r w:rsidR="00111E46" w:rsidRPr="00A92DA2">
        <w:rPr>
          <w:rFonts w:ascii="Cambria" w:hAnsi="Cambria"/>
          <w:color w:val="000000" w:themeColor="text1"/>
          <w:sz w:val="20"/>
          <w:szCs w:val="20"/>
          <w:lang w:val="es-419"/>
        </w:rPr>
        <w:t xml:space="preserve"> en su contra por los hechos investigados. </w:t>
      </w:r>
      <w:r w:rsidR="009A7179" w:rsidRPr="00A92DA2">
        <w:rPr>
          <w:rFonts w:ascii="Cambria" w:hAnsi="Cambria"/>
          <w:color w:val="000000" w:themeColor="text1"/>
          <w:sz w:val="20"/>
          <w:szCs w:val="20"/>
          <w:lang w:val="es-419"/>
        </w:rPr>
        <w:t>En c</w:t>
      </w:r>
      <w:r w:rsidR="00111E46" w:rsidRPr="00A92DA2">
        <w:rPr>
          <w:rFonts w:ascii="Cambria" w:hAnsi="Cambria"/>
          <w:color w:val="000000" w:themeColor="text1"/>
          <w:sz w:val="20"/>
          <w:szCs w:val="20"/>
          <w:lang w:val="es-419"/>
        </w:rPr>
        <w:t xml:space="preserve">uanto a la señora </w:t>
      </w:r>
      <w:proofErr w:type="spellStart"/>
      <w:r w:rsidR="00111E46" w:rsidRPr="00A92DA2">
        <w:rPr>
          <w:rFonts w:ascii="Cambria" w:hAnsi="Cambria"/>
          <w:color w:val="000000" w:themeColor="text1"/>
          <w:sz w:val="20"/>
          <w:szCs w:val="20"/>
          <w:lang w:val="es-419"/>
        </w:rPr>
        <w:t>Covaleda</w:t>
      </w:r>
      <w:proofErr w:type="spellEnd"/>
      <w:r w:rsidR="00111E46" w:rsidRPr="00A92DA2">
        <w:rPr>
          <w:rFonts w:ascii="Cambria" w:hAnsi="Cambria"/>
          <w:color w:val="000000" w:themeColor="text1"/>
          <w:sz w:val="20"/>
          <w:szCs w:val="20"/>
          <w:lang w:val="es-419"/>
        </w:rPr>
        <w:t xml:space="preserve"> Velásquez, el 22 de abril de 2014 fue proferido despacho </w:t>
      </w:r>
      <w:r w:rsidRPr="00A92DA2">
        <w:rPr>
          <w:rFonts w:ascii="Cambria" w:hAnsi="Cambria"/>
          <w:color w:val="000000" w:themeColor="text1"/>
          <w:sz w:val="20"/>
          <w:szCs w:val="20"/>
          <w:lang w:val="es-419"/>
        </w:rPr>
        <w:t>reconociéndola</w:t>
      </w:r>
      <w:r w:rsidR="00111E46" w:rsidRPr="00A92DA2">
        <w:rPr>
          <w:rFonts w:ascii="Cambria" w:hAnsi="Cambria"/>
          <w:color w:val="000000" w:themeColor="text1"/>
          <w:sz w:val="20"/>
          <w:szCs w:val="20"/>
          <w:lang w:val="es-419"/>
        </w:rPr>
        <w:t xml:space="preserve"> como ausente responsable de los delitos de homicidio agravado y hurto calificado y agravado; el 21 de enero de 2014 fue detenida preventivamente,</w:t>
      </w:r>
      <w:r w:rsidR="002D764B" w:rsidRPr="00A92DA2">
        <w:rPr>
          <w:rFonts w:ascii="Cambria" w:hAnsi="Cambria"/>
          <w:color w:val="000000" w:themeColor="text1"/>
          <w:sz w:val="20"/>
          <w:szCs w:val="20"/>
          <w:lang w:val="es-419"/>
        </w:rPr>
        <w:t xml:space="preserve"> </w:t>
      </w:r>
      <w:r w:rsidR="00111E46" w:rsidRPr="00A92DA2">
        <w:rPr>
          <w:rFonts w:ascii="Cambria" w:hAnsi="Cambria"/>
          <w:color w:val="000000" w:themeColor="text1"/>
          <w:sz w:val="20"/>
          <w:szCs w:val="20"/>
          <w:lang w:val="es-419"/>
        </w:rPr>
        <w:t xml:space="preserve">y el 10 de mayo de 2016 fue acusada como coautora de dichos delitos. Con relación a esas investigaciones, el Estado afirma que se encuentran en etapa de juicio ante el Juzgado Penal del Circuito Especializado de Valledupar. Por su parte, el señor Hernández Ramos fue acusado por los delitos de homicidio agravado y hurto calificado agravado. </w:t>
      </w:r>
    </w:p>
    <w:p w14:paraId="0F8E9AA9" w14:textId="4DB443AD" w:rsidR="00111E46" w:rsidRPr="00A92DA2" w:rsidRDefault="00111E46"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 xml:space="preserve">Además, el Estado señala que las sentencias no se encontraban ejecutoriadas. Sin embargo, afirma que la Fiscalía General de la Nación, la Unidad Nacional de Derechos Humanos, la Justicia Transicional realizaron diligentes esfuerzos con el fin de identificar e individualizar a los responsables por los hechos, razón por la cual la investigación penal fue adelantada en cumplimiento del deber de debida diligencia. Asimismo, </w:t>
      </w:r>
      <w:r w:rsidR="002D764B" w:rsidRPr="00A92DA2">
        <w:rPr>
          <w:rFonts w:ascii="Cambria" w:hAnsi="Cambria"/>
          <w:color w:val="000000" w:themeColor="text1"/>
          <w:sz w:val="20"/>
          <w:szCs w:val="20"/>
          <w:lang w:val="es-419"/>
        </w:rPr>
        <w:t>afirma</w:t>
      </w:r>
      <w:r w:rsidRPr="00A92DA2">
        <w:rPr>
          <w:rFonts w:ascii="Cambria" w:hAnsi="Cambria"/>
          <w:color w:val="000000" w:themeColor="text1"/>
          <w:sz w:val="20"/>
          <w:szCs w:val="20"/>
          <w:lang w:val="es-419"/>
        </w:rPr>
        <w:t xml:space="preserve"> que los familiares de las víctimas no se </w:t>
      </w:r>
      <w:r w:rsidR="002D764B" w:rsidRPr="00A92DA2">
        <w:rPr>
          <w:rFonts w:ascii="Cambria" w:hAnsi="Cambria"/>
          <w:color w:val="000000" w:themeColor="text1"/>
          <w:sz w:val="20"/>
          <w:szCs w:val="20"/>
          <w:lang w:val="es-419"/>
        </w:rPr>
        <w:t>constituirán</w:t>
      </w:r>
      <w:r w:rsidRPr="00A92DA2">
        <w:rPr>
          <w:rFonts w:ascii="Cambria" w:hAnsi="Cambria"/>
          <w:color w:val="000000" w:themeColor="text1"/>
          <w:sz w:val="20"/>
          <w:szCs w:val="20"/>
          <w:lang w:val="es-419"/>
        </w:rPr>
        <w:t xml:space="preserve"> como parte en los procesos, a efectos de conocer y participar activamente en las actuaciones </w:t>
      </w:r>
      <w:r w:rsidR="0069257E" w:rsidRPr="00A92DA2">
        <w:rPr>
          <w:rFonts w:ascii="Cambria" w:hAnsi="Cambria"/>
          <w:color w:val="000000" w:themeColor="text1"/>
          <w:sz w:val="20"/>
          <w:szCs w:val="20"/>
          <w:lang w:val="es-419"/>
        </w:rPr>
        <w:t>de l</w:t>
      </w:r>
      <w:r w:rsidR="0069257E">
        <w:rPr>
          <w:rFonts w:ascii="Cambria" w:hAnsi="Cambria"/>
          <w:color w:val="000000" w:themeColor="text1"/>
          <w:sz w:val="20"/>
          <w:szCs w:val="20"/>
          <w:lang w:val="es-419"/>
        </w:rPr>
        <w:t xml:space="preserve">os </w:t>
      </w:r>
      <w:r w:rsidR="0069257E" w:rsidRPr="00A92DA2">
        <w:rPr>
          <w:rFonts w:ascii="Cambria" w:hAnsi="Cambria"/>
          <w:color w:val="000000" w:themeColor="text1"/>
          <w:sz w:val="20"/>
          <w:szCs w:val="20"/>
          <w:lang w:val="es-419"/>
        </w:rPr>
        <w:t>mismos</w:t>
      </w:r>
      <w:r w:rsidRPr="00A92DA2">
        <w:rPr>
          <w:rFonts w:ascii="Cambria" w:hAnsi="Cambria"/>
          <w:color w:val="000000" w:themeColor="text1"/>
          <w:sz w:val="20"/>
          <w:szCs w:val="20"/>
          <w:lang w:val="es-419"/>
        </w:rPr>
        <w:t>.</w:t>
      </w:r>
    </w:p>
    <w:p w14:paraId="6CD00BE6" w14:textId="77777777" w:rsidR="00111E46" w:rsidRPr="00A92DA2" w:rsidRDefault="00111E46"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u w:val="single"/>
          <w:lang w:val="es-419"/>
        </w:rPr>
        <w:t xml:space="preserve">Respeto a la investigación penal ordinaria en lo relativo a las investigaciones del desplazamiento forzado, </w:t>
      </w:r>
      <w:r w:rsidRPr="00A92DA2">
        <w:rPr>
          <w:rFonts w:ascii="Cambria" w:hAnsi="Cambria"/>
          <w:color w:val="000000" w:themeColor="text1"/>
          <w:sz w:val="20"/>
          <w:szCs w:val="20"/>
          <w:lang w:val="es-419"/>
        </w:rPr>
        <w:t xml:space="preserve">el Estado afirma que la parte peticionaria no presenta material probatorio que permita inferir que se hayan desplegado las conductas de desplazamiento forzado, violencia sexual, tortura y </w:t>
      </w:r>
      <w:r w:rsidRPr="00A92DA2">
        <w:rPr>
          <w:rFonts w:ascii="Cambria" w:hAnsi="Cambria"/>
          <w:color w:val="000000" w:themeColor="text1"/>
          <w:sz w:val="20"/>
          <w:szCs w:val="20"/>
          <w:lang w:val="es-419"/>
        </w:rPr>
        <w:lastRenderedPageBreak/>
        <w:t xml:space="preserve">otras conductas señaladas en la denuncia. Tampoco existe elemento de prueba que señale la presunta participación de miembros de la fuerza pública en la masacre. </w:t>
      </w:r>
    </w:p>
    <w:p w14:paraId="046573D7" w14:textId="0CC4B59B" w:rsidR="00111E46" w:rsidRPr="00A92DA2" w:rsidRDefault="00111E46"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u w:val="single"/>
          <w:lang w:val="es-419"/>
        </w:rPr>
        <w:t xml:space="preserve">Respeto al procedimiento adelantado en la </w:t>
      </w:r>
      <w:r w:rsidR="002D764B" w:rsidRPr="00A92DA2">
        <w:rPr>
          <w:rFonts w:ascii="Cambria" w:hAnsi="Cambria"/>
          <w:color w:val="000000" w:themeColor="text1"/>
          <w:sz w:val="20"/>
          <w:szCs w:val="20"/>
          <w:u w:val="single"/>
          <w:lang w:val="es-419"/>
        </w:rPr>
        <w:t>jurisdicción</w:t>
      </w:r>
      <w:r w:rsidRPr="00A92DA2">
        <w:rPr>
          <w:rFonts w:ascii="Cambria" w:hAnsi="Cambria"/>
          <w:color w:val="000000" w:themeColor="text1"/>
          <w:sz w:val="20"/>
          <w:szCs w:val="20"/>
          <w:u w:val="single"/>
          <w:lang w:val="es-419"/>
        </w:rPr>
        <w:t xml:space="preserve"> de Justicia y Paz, </w:t>
      </w:r>
      <w:r w:rsidRPr="00A92DA2">
        <w:rPr>
          <w:rFonts w:ascii="Cambria" w:hAnsi="Cambria"/>
          <w:color w:val="000000" w:themeColor="text1"/>
          <w:sz w:val="20"/>
          <w:szCs w:val="20"/>
          <w:lang w:val="es-419"/>
        </w:rPr>
        <w:t xml:space="preserve">el Estado alega que el derecho a la justicia supone el acceso de las víctimas a la actividad jurisdiccional para conseguir que los responsables de los </w:t>
      </w:r>
      <w:r w:rsidR="002D764B" w:rsidRPr="00A92DA2">
        <w:rPr>
          <w:rFonts w:ascii="Cambria" w:hAnsi="Cambria"/>
          <w:color w:val="000000" w:themeColor="text1"/>
          <w:sz w:val="20"/>
          <w:szCs w:val="20"/>
          <w:lang w:val="es-419"/>
        </w:rPr>
        <w:t>crimines</w:t>
      </w:r>
      <w:r w:rsidRPr="00A92DA2">
        <w:rPr>
          <w:rFonts w:ascii="Cambria" w:hAnsi="Cambria"/>
          <w:color w:val="000000" w:themeColor="text1"/>
          <w:sz w:val="20"/>
          <w:szCs w:val="20"/>
          <w:lang w:val="es-419"/>
        </w:rPr>
        <w:t xml:space="preserve"> sean investigados, juzgados y sancionados, así como para conocer la verdad y obtener una reparación. En el contexto de transición, los derechos a la justicia, verdad y reparación deben ser analizados a partir de la búsqueda de</w:t>
      </w:r>
      <w:r w:rsidR="003D30FF" w:rsidRPr="00A92DA2">
        <w:rPr>
          <w:rFonts w:ascii="Cambria" w:hAnsi="Cambria"/>
          <w:color w:val="000000" w:themeColor="text1"/>
          <w:sz w:val="20"/>
          <w:szCs w:val="20"/>
          <w:lang w:val="es-419"/>
        </w:rPr>
        <w:t xml:space="preserve"> </w:t>
      </w:r>
      <w:r w:rsidRPr="00A92DA2">
        <w:rPr>
          <w:rFonts w:ascii="Cambria" w:hAnsi="Cambria"/>
          <w:color w:val="000000" w:themeColor="text1"/>
          <w:sz w:val="20"/>
          <w:szCs w:val="20"/>
          <w:lang w:val="es-419"/>
        </w:rPr>
        <w:t xml:space="preserve">la reconciliación nacional, de la paz duradera y estable. En dicho sentido, afirma que la Ley 975 de 2005 tiene la finalidad de que las sanciones a los procesados bajo este régimen sean objeto de un trámite </w:t>
      </w:r>
      <w:r w:rsidR="002D764B" w:rsidRPr="00A92DA2">
        <w:rPr>
          <w:rFonts w:ascii="Cambria" w:hAnsi="Cambria"/>
          <w:color w:val="000000" w:themeColor="text1"/>
          <w:sz w:val="20"/>
          <w:szCs w:val="20"/>
          <w:lang w:val="es-419"/>
        </w:rPr>
        <w:t>jurídico</w:t>
      </w:r>
      <w:r w:rsidRPr="00A92DA2">
        <w:rPr>
          <w:rFonts w:ascii="Cambria" w:hAnsi="Cambria"/>
          <w:color w:val="000000" w:themeColor="text1"/>
          <w:sz w:val="20"/>
          <w:szCs w:val="20"/>
          <w:lang w:val="es-419"/>
        </w:rPr>
        <w:t xml:space="preserve"> penal menos riguroso que la legislación ordinaria, desde que colaboren con las víctimas y con la administración de justicia; adicionalmente, privilegia el proceso judicial como principal mecanismo de </w:t>
      </w:r>
      <w:r w:rsidR="002D764B" w:rsidRPr="00A92DA2">
        <w:rPr>
          <w:rFonts w:ascii="Cambria" w:hAnsi="Cambria"/>
          <w:color w:val="000000" w:themeColor="text1"/>
          <w:sz w:val="20"/>
          <w:szCs w:val="20"/>
          <w:lang w:val="es-419"/>
        </w:rPr>
        <w:t>obtención</w:t>
      </w:r>
      <w:r w:rsidRPr="00A92DA2">
        <w:rPr>
          <w:rFonts w:ascii="Cambria" w:hAnsi="Cambria"/>
          <w:color w:val="000000" w:themeColor="text1"/>
          <w:sz w:val="20"/>
          <w:szCs w:val="20"/>
          <w:lang w:val="es-419"/>
        </w:rPr>
        <w:t xml:space="preserve"> de la verdad.</w:t>
      </w:r>
    </w:p>
    <w:p w14:paraId="4319A731" w14:textId="25E41692" w:rsidR="00111E46" w:rsidRPr="00A92DA2" w:rsidRDefault="00016740"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u w:val="single"/>
          <w:lang w:val="es-419"/>
        </w:rPr>
        <w:t>E</w:t>
      </w:r>
      <w:r w:rsidR="00111E46" w:rsidRPr="00A92DA2">
        <w:rPr>
          <w:rFonts w:ascii="Cambria" w:hAnsi="Cambria"/>
          <w:color w:val="000000" w:themeColor="text1"/>
          <w:sz w:val="20"/>
          <w:szCs w:val="20"/>
          <w:lang w:val="es-419"/>
        </w:rPr>
        <w:t xml:space="preserve">l Estado afirma que en </w:t>
      </w:r>
      <w:r w:rsidR="002D764B" w:rsidRPr="00A92DA2">
        <w:rPr>
          <w:rFonts w:ascii="Cambria" w:hAnsi="Cambria"/>
          <w:color w:val="000000" w:themeColor="text1"/>
          <w:sz w:val="20"/>
          <w:szCs w:val="20"/>
          <w:lang w:val="es-419"/>
        </w:rPr>
        <w:t>diciembre</w:t>
      </w:r>
      <w:r w:rsidR="00111E46" w:rsidRPr="00A92DA2">
        <w:rPr>
          <w:rFonts w:ascii="Cambria" w:hAnsi="Cambria"/>
          <w:color w:val="000000" w:themeColor="text1"/>
          <w:sz w:val="20"/>
          <w:szCs w:val="20"/>
          <w:lang w:val="es-419"/>
        </w:rPr>
        <w:t xml:space="preserve"> de 2013 se impuso medida de aseguramiento por parte de la Magistrada de Control de Garantías </w:t>
      </w:r>
      <w:r w:rsidR="002D764B" w:rsidRPr="00A92DA2">
        <w:rPr>
          <w:rFonts w:ascii="Cambria" w:hAnsi="Cambria"/>
          <w:color w:val="000000" w:themeColor="text1"/>
          <w:sz w:val="20"/>
          <w:szCs w:val="20"/>
          <w:lang w:val="es-419"/>
        </w:rPr>
        <w:t>Judicial</w:t>
      </w:r>
      <w:r w:rsidR="00111E46" w:rsidRPr="00A92DA2">
        <w:rPr>
          <w:rFonts w:ascii="Cambria" w:hAnsi="Cambria"/>
          <w:color w:val="000000" w:themeColor="text1"/>
          <w:sz w:val="20"/>
          <w:szCs w:val="20"/>
          <w:lang w:val="es-419"/>
        </w:rPr>
        <w:t xml:space="preserve"> y Paz de Bucaramanga a los señores Salvatore Mancuso y Ospino Pacheco. El 20 de noviembre de 2014, ellos fueron condenados por homicidio, tortura, destrucción y apropiación de bienes y deportación, expulsión, traslado o desplazamiento forzado de la población civil. Dicha decisión fue confirmada el 24 de octubre de 2016 por la Corte Suprema de Justicia. Además, afirma que se encuentra en etapa de juicio los procesos en contra del señor Rodrigo Tovar Pupo y de la señora Claudia Patricia </w:t>
      </w:r>
      <w:proofErr w:type="spellStart"/>
      <w:r w:rsidR="00111E46" w:rsidRPr="00A92DA2">
        <w:rPr>
          <w:rFonts w:ascii="Cambria" w:hAnsi="Cambria"/>
          <w:color w:val="000000" w:themeColor="text1"/>
          <w:sz w:val="20"/>
          <w:szCs w:val="20"/>
          <w:lang w:val="es-419"/>
        </w:rPr>
        <w:t>Cov</w:t>
      </w:r>
      <w:r w:rsidR="0069257E">
        <w:rPr>
          <w:rFonts w:ascii="Cambria" w:hAnsi="Cambria"/>
          <w:color w:val="000000" w:themeColor="text1"/>
          <w:sz w:val="20"/>
          <w:szCs w:val="20"/>
          <w:lang w:val="es-419"/>
        </w:rPr>
        <w:t>a</w:t>
      </w:r>
      <w:r w:rsidR="00111E46" w:rsidRPr="00A92DA2">
        <w:rPr>
          <w:rFonts w:ascii="Cambria" w:hAnsi="Cambria"/>
          <w:color w:val="000000" w:themeColor="text1"/>
          <w:sz w:val="20"/>
          <w:szCs w:val="20"/>
          <w:lang w:val="es-419"/>
        </w:rPr>
        <w:t>leda</w:t>
      </w:r>
      <w:proofErr w:type="spellEnd"/>
      <w:r w:rsidR="00111E46" w:rsidRPr="00A92DA2">
        <w:rPr>
          <w:rFonts w:ascii="Cambria" w:hAnsi="Cambria"/>
          <w:color w:val="000000" w:themeColor="text1"/>
          <w:sz w:val="20"/>
          <w:szCs w:val="20"/>
          <w:lang w:val="es-419"/>
        </w:rPr>
        <w:t xml:space="preserve">, y que se encuentra en curso una investigación en contra del señor </w:t>
      </w:r>
      <w:proofErr w:type="spellStart"/>
      <w:r w:rsidR="00111E46" w:rsidRPr="00A92DA2">
        <w:rPr>
          <w:rFonts w:ascii="Cambria" w:hAnsi="Cambria"/>
          <w:color w:val="000000" w:themeColor="text1"/>
          <w:sz w:val="20"/>
          <w:szCs w:val="20"/>
          <w:lang w:val="es-419"/>
        </w:rPr>
        <w:t>Esqu</w:t>
      </w:r>
      <w:r w:rsidR="00015890">
        <w:rPr>
          <w:rFonts w:ascii="Cambria" w:hAnsi="Cambria"/>
          <w:color w:val="000000" w:themeColor="text1"/>
          <w:sz w:val="20"/>
          <w:szCs w:val="20"/>
          <w:lang w:val="es-419"/>
        </w:rPr>
        <w:t>i</w:t>
      </w:r>
      <w:r w:rsidR="00111E46" w:rsidRPr="00A92DA2">
        <w:rPr>
          <w:rFonts w:ascii="Cambria" w:hAnsi="Cambria"/>
          <w:color w:val="000000" w:themeColor="text1"/>
          <w:sz w:val="20"/>
          <w:szCs w:val="20"/>
          <w:lang w:val="es-419"/>
        </w:rPr>
        <w:t>v</w:t>
      </w:r>
      <w:r w:rsidR="00015890">
        <w:rPr>
          <w:rFonts w:ascii="Cambria" w:hAnsi="Cambria"/>
          <w:color w:val="000000" w:themeColor="text1"/>
          <w:sz w:val="20"/>
          <w:szCs w:val="20"/>
          <w:lang w:val="es-419"/>
        </w:rPr>
        <w:t>i</w:t>
      </w:r>
      <w:r w:rsidR="00111E46" w:rsidRPr="00A92DA2">
        <w:rPr>
          <w:rFonts w:ascii="Cambria" w:hAnsi="Cambria"/>
          <w:color w:val="000000" w:themeColor="text1"/>
          <w:sz w:val="20"/>
          <w:szCs w:val="20"/>
          <w:lang w:val="es-419"/>
        </w:rPr>
        <w:t>el</w:t>
      </w:r>
      <w:proofErr w:type="spellEnd"/>
      <w:r w:rsidR="00111E46" w:rsidRPr="00A92DA2">
        <w:rPr>
          <w:rFonts w:ascii="Cambria" w:hAnsi="Cambria"/>
          <w:color w:val="000000" w:themeColor="text1"/>
          <w:sz w:val="20"/>
          <w:szCs w:val="20"/>
          <w:lang w:val="es-419"/>
        </w:rPr>
        <w:t xml:space="preserve"> Cuadrado. El Estado sostiene que, por lo tanto, la Unidad Nacional de Derechos Humanos de Fiscalía General de la Nación ha sido diligente en investigar los hechos.</w:t>
      </w:r>
    </w:p>
    <w:p w14:paraId="4A2FE375" w14:textId="038FD103" w:rsidR="00111E46" w:rsidRPr="00A92DA2" w:rsidRDefault="00111E46" w:rsidP="002D40AD">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419"/>
        </w:rPr>
        <w:t xml:space="preserve">Asimismo, el Estado afirma que fue observado el plazo razonable y que no hubo un retardo injustificado, pues la Unidad Nacional de Derechos Humanos de Fiscalía General de la Nación fue diligente. Sostiene que la investigación del caso se encuentra revestida de una complejidad elevada, en la medida en que se dieron en el marco del conflicto armado y en una zona en la que operaban varios actores armados relacionados con el conflicto o con la </w:t>
      </w:r>
      <w:r w:rsidR="002D764B" w:rsidRPr="00A92DA2">
        <w:rPr>
          <w:rFonts w:ascii="Cambria" w:hAnsi="Cambria"/>
          <w:color w:val="000000" w:themeColor="text1"/>
          <w:sz w:val="20"/>
          <w:szCs w:val="20"/>
          <w:lang w:val="es-419"/>
        </w:rPr>
        <w:t>delincuencia</w:t>
      </w:r>
      <w:r w:rsidRPr="00A92DA2">
        <w:rPr>
          <w:rFonts w:ascii="Cambria" w:hAnsi="Cambria"/>
          <w:color w:val="000000" w:themeColor="text1"/>
          <w:sz w:val="20"/>
          <w:szCs w:val="20"/>
          <w:lang w:val="es-419"/>
        </w:rPr>
        <w:t xml:space="preserve"> común, lo que exigió numerosas </w:t>
      </w:r>
      <w:r w:rsidR="002D764B" w:rsidRPr="00A92DA2">
        <w:rPr>
          <w:rFonts w:ascii="Cambria" w:hAnsi="Cambria"/>
          <w:color w:val="000000" w:themeColor="text1"/>
          <w:sz w:val="20"/>
          <w:szCs w:val="20"/>
          <w:lang w:val="es-419"/>
        </w:rPr>
        <w:t>líneas</w:t>
      </w:r>
      <w:r w:rsidRPr="00A92DA2">
        <w:rPr>
          <w:rFonts w:ascii="Cambria" w:hAnsi="Cambria"/>
          <w:color w:val="000000" w:themeColor="text1"/>
          <w:sz w:val="20"/>
          <w:szCs w:val="20"/>
          <w:lang w:val="es-419"/>
        </w:rPr>
        <w:t xml:space="preserve"> de investigación, ya que </w:t>
      </w:r>
      <w:r w:rsidR="003364C4" w:rsidRPr="00A92DA2">
        <w:rPr>
          <w:rFonts w:ascii="Cambria" w:hAnsi="Cambria"/>
          <w:color w:val="000000" w:themeColor="text1"/>
          <w:sz w:val="20"/>
          <w:szCs w:val="20"/>
          <w:lang w:val="es-419"/>
        </w:rPr>
        <w:t>involucra</w:t>
      </w:r>
      <w:r w:rsidRPr="00A92DA2">
        <w:rPr>
          <w:rFonts w:ascii="Cambria" w:hAnsi="Cambria"/>
          <w:color w:val="000000" w:themeColor="text1"/>
          <w:sz w:val="20"/>
          <w:szCs w:val="20"/>
          <w:lang w:val="es-419"/>
        </w:rPr>
        <w:t xml:space="preserve"> a más de 9 personas en actuación. Finalmente, el Estado sostiene que no fue agotada la acción de reparación directa ante la Jurisdicción Contenciosa Administrativa. En razón de lo anterior, alega que el 28 de enero de 2016, se realizó un acto </w:t>
      </w:r>
      <w:r w:rsidR="002D764B" w:rsidRPr="00A92DA2">
        <w:rPr>
          <w:rFonts w:ascii="Cambria" w:hAnsi="Cambria"/>
          <w:color w:val="000000" w:themeColor="text1"/>
          <w:sz w:val="20"/>
          <w:szCs w:val="20"/>
          <w:lang w:val="es-419"/>
        </w:rPr>
        <w:t>público</w:t>
      </w:r>
      <w:r w:rsidRPr="00A92DA2">
        <w:rPr>
          <w:rFonts w:ascii="Cambria" w:hAnsi="Cambria"/>
          <w:color w:val="000000" w:themeColor="text1"/>
          <w:sz w:val="20"/>
          <w:szCs w:val="20"/>
          <w:lang w:val="es-419"/>
        </w:rPr>
        <w:t xml:space="preserve"> de conmemoración preparado por la comunidad con la realización de acciones simbólicas y reconocimiento de las víctimas asesinadas; asimismo, el 29 de enero de 2016 se publicó en la </w:t>
      </w:r>
      <w:r w:rsidR="002D764B" w:rsidRPr="00A92DA2">
        <w:rPr>
          <w:rFonts w:ascii="Cambria" w:hAnsi="Cambria"/>
          <w:color w:val="000000" w:themeColor="text1"/>
          <w:sz w:val="20"/>
          <w:szCs w:val="20"/>
          <w:lang w:val="es-419"/>
        </w:rPr>
        <w:t>página</w:t>
      </w:r>
      <w:r w:rsidRPr="00A92DA2">
        <w:rPr>
          <w:rFonts w:ascii="Cambria" w:hAnsi="Cambria"/>
          <w:color w:val="000000" w:themeColor="text1"/>
          <w:sz w:val="20"/>
          <w:szCs w:val="20"/>
          <w:lang w:val="es-419"/>
        </w:rPr>
        <w:t xml:space="preserve"> </w:t>
      </w:r>
      <w:r w:rsidR="002D764B" w:rsidRPr="00A92DA2">
        <w:rPr>
          <w:rFonts w:ascii="Cambria" w:hAnsi="Cambria"/>
          <w:color w:val="000000" w:themeColor="text1"/>
          <w:sz w:val="20"/>
          <w:szCs w:val="20"/>
          <w:lang w:val="es-419"/>
        </w:rPr>
        <w:t>web</w:t>
      </w:r>
      <w:r w:rsidRPr="00A92DA2">
        <w:rPr>
          <w:rFonts w:ascii="Cambria" w:hAnsi="Cambria"/>
          <w:color w:val="000000" w:themeColor="text1"/>
          <w:sz w:val="20"/>
          <w:szCs w:val="20"/>
          <w:lang w:val="es-419"/>
        </w:rPr>
        <w:t xml:space="preserve"> del Centro Nacional de Memoria </w:t>
      </w:r>
      <w:r w:rsidR="002D764B" w:rsidRPr="00A92DA2">
        <w:rPr>
          <w:rFonts w:ascii="Cambria" w:hAnsi="Cambria"/>
          <w:color w:val="000000" w:themeColor="text1"/>
          <w:sz w:val="20"/>
          <w:szCs w:val="20"/>
          <w:lang w:val="es-419"/>
        </w:rPr>
        <w:t>Histórica</w:t>
      </w:r>
      <w:r w:rsidRPr="00A92DA2">
        <w:rPr>
          <w:rFonts w:ascii="Cambria" w:hAnsi="Cambria"/>
          <w:color w:val="000000" w:themeColor="text1"/>
          <w:sz w:val="20"/>
          <w:szCs w:val="20"/>
          <w:lang w:val="es-419"/>
        </w:rPr>
        <w:t xml:space="preserve"> (en adelante “el CNHM”)</w:t>
      </w:r>
      <w:r w:rsidRPr="00A92DA2">
        <w:rPr>
          <w:rStyle w:val="FootnoteReference"/>
          <w:rFonts w:ascii="Cambria" w:hAnsi="Cambria"/>
          <w:color w:val="000000" w:themeColor="text1"/>
          <w:sz w:val="20"/>
          <w:szCs w:val="20"/>
          <w:lang w:val="es-419"/>
        </w:rPr>
        <w:footnoteReference w:id="8"/>
      </w:r>
      <w:r w:rsidRPr="00A92DA2">
        <w:rPr>
          <w:rFonts w:ascii="Cambria" w:hAnsi="Cambria"/>
          <w:color w:val="000000" w:themeColor="text1"/>
          <w:sz w:val="20"/>
          <w:szCs w:val="20"/>
          <w:lang w:val="es-419"/>
        </w:rPr>
        <w:t xml:space="preserve"> una nota informativa en relación con los hechos </w:t>
      </w:r>
      <w:proofErr w:type="spellStart"/>
      <w:r w:rsidRPr="00A92DA2">
        <w:rPr>
          <w:rFonts w:ascii="Cambria" w:hAnsi="Cambria"/>
          <w:color w:val="000000" w:themeColor="text1"/>
          <w:sz w:val="20"/>
          <w:szCs w:val="20"/>
          <w:lang w:val="es-419"/>
        </w:rPr>
        <w:t>vict</w:t>
      </w:r>
      <w:r w:rsidR="002D764B" w:rsidRPr="00A92DA2">
        <w:rPr>
          <w:rFonts w:ascii="Cambria" w:hAnsi="Cambria"/>
          <w:color w:val="000000" w:themeColor="text1"/>
          <w:sz w:val="20"/>
          <w:szCs w:val="20"/>
          <w:lang w:val="es-419"/>
        </w:rPr>
        <w:t>i</w:t>
      </w:r>
      <w:r w:rsidRPr="00A92DA2">
        <w:rPr>
          <w:rFonts w:ascii="Cambria" w:hAnsi="Cambria"/>
          <w:color w:val="000000" w:themeColor="text1"/>
          <w:sz w:val="20"/>
          <w:szCs w:val="20"/>
          <w:lang w:val="es-419"/>
        </w:rPr>
        <w:t>mizantes</w:t>
      </w:r>
      <w:proofErr w:type="spellEnd"/>
      <w:r w:rsidRPr="00A92DA2">
        <w:rPr>
          <w:rFonts w:ascii="Cambria" w:hAnsi="Cambria"/>
          <w:color w:val="000000" w:themeColor="text1"/>
          <w:sz w:val="20"/>
          <w:szCs w:val="20"/>
          <w:lang w:val="es-419"/>
        </w:rPr>
        <w:t xml:space="preserve"> de Santa Cecilia, y el 24 de noviembre de 2016 el CNHM realizó la </w:t>
      </w:r>
      <w:r w:rsidR="002D764B" w:rsidRPr="00A92DA2">
        <w:rPr>
          <w:rFonts w:ascii="Cambria" w:hAnsi="Cambria"/>
          <w:color w:val="000000" w:themeColor="text1"/>
          <w:sz w:val="20"/>
          <w:szCs w:val="20"/>
          <w:lang w:val="es-419"/>
        </w:rPr>
        <w:t>entrega</w:t>
      </w:r>
      <w:r w:rsidRPr="00A92DA2">
        <w:rPr>
          <w:rFonts w:ascii="Cambria" w:hAnsi="Cambria"/>
          <w:color w:val="000000" w:themeColor="text1"/>
          <w:sz w:val="20"/>
          <w:szCs w:val="20"/>
          <w:lang w:val="es-419"/>
        </w:rPr>
        <w:t xml:space="preserve"> oficial de la placa conmemorativa </w:t>
      </w:r>
      <w:r w:rsidR="002D764B" w:rsidRPr="00A92DA2">
        <w:rPr>
          <w:rFonts w:ascii="Cambria" w:hAnsi="Cambria"/>
          <w:color w:val="000000" w:themeColor="text1"/>
          <w:sz w:val="20"/>
          <w:szCs w:val="20"/>
          <w:lang w:val="es-419"/>
        </w:rPr>
        <w:t>solicitadas</w:t>
      </w:r>
      <w:r w:rsidRPr="00A92DA2">
        <w:rPr>
          <w:rFonts w:ascii="Cambria" w:hAnsi="Cambria"/>
          <w:color w:val="000000" w:themeColor="text1"/>
          <w:sz w:val="20"/>
          <w:szCs w:val="20"/>
          <w:lang w:val="es-419"/>
        </w:rPr>
        <w:t xml:space="preserve"> por la comunidad.</w:t>
      </w:r>
    </w:p>
    <w:p w14:paraId="2A35E57C" w14:textId="77777777" w:rsidR="00111E46" w:rsidRPr="00A92DA2" w:rsidRDefault="00111E46" w:rsidP="00111E46">
      <w:pPr>
        <w:spacing w:before="240" w:after="240"/>
        <w:ind w:firstLine="720"/>
        <w:jc w:val="both"/>
        <w:rPr>
          <w:rFonts w:ascii="Cambria" w:hAnsi="Cambria"/>
          <w:sz w:val="20"/>
          <w:szCs w:val="20"/>
          <w:lang w:val="es-UY"/>
        </w:rPr>
      </w:pPr>
      <w:r w:rsidRPr="00A92DA2">
        <w:rPr>
          <w:rFonts w:ascii="Cambria" w:hAnsi="Cambria"/>
          <w:b/>
          <w:bCs/>
          <w:sz w:val="20"/>
          <w:szCs w:val="20"/>
          <w:lang w:val="es-ES_tradnl"/>
        </w:rPr>
        <w:t>VI.</w:t>
      </w:r>
      <w:r w:rsidRPr="00A92DA2">
        <w:rPr>
          <w:rFonts w:ascii="Cambria" w:hAnsi="Cambria"/>
          <w:b/>
          <w:bCs/>
          <w:sz w:val="20"/>
          <w:szCs w:val="20"/>
          <w:lang w:val="es-ES_tradnl"/>
        </w:rPr>
        <w:tab/>
        <w:t xml:space="preserve">ANÁLISIS DE </w:t>
      </w:r>
      <w:r w:rsidRPr="00A92DA2">
        <w:rPr>
          <w:rFonts w:ascii="Cambria" w:hAnsi="Cambria"/>
          <w:b/>
          <w:sz w:val="20"/>
          <w:szCs w:val="20"/>
          <w:lang w:val="es-ES"/>
        </w:rPr>
        <w:t>AGOTAMIENTO DE LOS RECURSOS INTERNOS Y PLAZO DE PRESENTACIÓN</w:t>
      </w:r>
      <w:r w:rsidRPr="00A92DA2">
        <w:rPr>
          <w:rFonts w:ascii="Cambria" w:eastAsia="Cambria" w:hAnsi="Cambria" w:cs="Cambria"/>
          <w:b/>
          <w:bCs/>
          <w:color w:val="000000"/>
          <w:sz w:val="20"/>
          <w:szCs w:val="20"/>
          <w:u w:color="000000"/>
          <w:lang w:val="es-ES" w:eastAsia="es-ES"/>
        </w:rPr>
        <w:t xml:space="preserve"> </w:t>
      </w:r>
    </w:p>
    <w:p w14:paraId="70B181B0" w14:textId="53FA8F65" w:rsidR="00111E46" w:rsidRPr="00A92DA2" w:rsidRDefault="00111E46" w:rsidP="002D40AD">
      <w:pPr>
        <w:numPr>
          <w:ilvl w:val="0"/>
          <w:numId w:val="2"/>
        </w:numPr>
        <w:suppressAutoHyphens/>
        <w:spacing w:after="120"/>
        <w:jc w:val="both"/>
        <w:rPr>
          <w:rFonts w:ascii="Cambria" w:hAnsi="Cambria"/>
          <w:color w:val="FF0000"/>
          <w:sz w:val="20"/>
          <w:szCs w:val="20"/>
          <w:lang w:val="es-419"/>
        </w:rPr>
      </w:pPr>
      <w:r w:rsidRPr="00A92DA2">
        <w:rPr>
          <w:rFonts w:ascii="Cambria" w:hAnsi="Cambria"/>
          <w:color w:val="000000" w:themeColor="text1"/>
          <w:sz w:val="20"/>
          <w:szCs w:val="20"/>
          <w:lang w:val="es-419"/>
        </w:rPr>
        <w:t xml:space="preserve">La parte peticionaria afirma que no es exigible el agotamiento de los recursos internos, pues  </w:t>
      </w:r>
      <w:r w:rsidR="00016740" w:rsidRPr="00A92DA2">
        <w:rPr>
          <w:rFonts w:ascii="Cambria" w:hAnsi="Cambria"/>
          <w:color w:val="000000" w:themeColor="text1"/>
          <w:sz w:val="20"/>
          <w:szCs w:val="20"/>
          <w:lang w:val="es-419"/>
        </w:rPr>
        <w:t xml:space="preserve">en el caso </w:t>
      </w:r>
      <w:r w:rsidR="004E2A78" w:rsidRPr="00A92DA2">
        <w:rPr>
          <w:rFonts w:ascii="Cambria" w:hAnsi="Cambria"/>
          <w:color w:val="000000" w:themeColor="text1"/>
          <w:sz w:val="20"/>
          <w:szCs w:val="20"/>
          <w:lang w:val="es-419"/>
        </w:rPr>
        <w:t xml:space="preserve">se aplican </w:t>
      </w:r>
      <w:r w:rsidRPr="00A92DA2">
        <w:rPr>
          <w:rFonts w:ascii="Cambria" w:hAnsi="Cambria"/>
          <w:color w:val="000000" w:themeColor="text1"/>
          <w:sz w:val="20"/>
          <w:szCs w:val="20"/>
          <w:lang w:val="es-419"/>
        </w:rPr>
        <w:t>las excepciones previstas en el artículo 46.2 de la Convención Americana. Alega que los hechos fueron cometidos por cerc</w:t>
      </w:r>
      <w:r w:rsidR="002D764B" w:rsidRPr="00A92DA2">
        <w:rPr>
          <w:rFonts w:ascii="Cambria" w:hAnsi="Cambria"/>
          <w:color w:val="000000" w:themeColor="text1"/>
          <w:sz w:val="20"/>
          <w:szCs w:val="20"/>
          <w:lang w:val="es-419"/>
        </w:rPr>
        <w:t>a de 80 paramilitares, pero so</w:t>
      </w:r>
      <w:r w:rsidRPr="00A92DA2">
        <w:rPr>
          <w:rFonts w:ascii="Cambria" w:hAnsi="Cambria"/>
          <w:color w:val="000000" w:themeColor="text1"/>
          <w:sz w:val="20"/>
          <w:szCs w:val="20"/>
          <w:lang w:val="es-419"/>
        </w:rPr>
        <w:t>l</w:t>
      </w:r>
      <w:r w:rsidR="002D764B" w:rsidRPr="00A92DA2">
        <w:rPr>
          <w:rFonts w:ascii="Cambria" w:hAnsi="Cambria"/>
          <w:color w:val="000000" w:themeColor="text1"/>
          <w:sz w:val="20"/>
          <w:szCs w:val="20"/>
          <w:lang w:val="es-419"/>
        </w:rPr>
        <w:t>a</w:t>
      </w:r>
      <w:r w:rsidRPr="00A92DA2">
        <w:rPr>
          <w:rFonts w:ascii="Cambria" w:hAnsi="Cambria"/>
          <w:color w:val="000000" w:themeColor="text1"/>
          <w:sz w:val="20"/>
          <w:szCs w:val="20"/>
          <w:lang w:val="es-419"/>
        </w:rPr>
        <w:t xml:space="preserve">mente uno fue </w:t>
      </w:r>
      <w:r w:rsidR="002D764B" w:rsidRPr="00A92DA2">
        <w:rPr>
          <w:rFonts w:ascii="Cambria" w:hAnsi="Cambria"/>
          <w:color w:val="000000" w:themeColor="text1"/>
          <w:sz w:val="20"/>
          <w:szCs w:val="20"/>
          <w:lang w:val="es-419"/>
        </w:rPr>
        <w:t>capturado</w:t>
      </w:r>
      <w:r w:rsidRPr="00A92DA2">
        <w:rPr>
          <w:rFonts w:ascii="Cambria" w:hAnsi="Cambria"/>
          <w:color w:val="000000" w:themeColor="text1"/>
          <w:sz w:val="20"/>
          <w:szCs w:val="20"/>
          <w:lang w:val="es-419"/>
        </w:rPr>
        <w:t xml:space="preserve"> y esa persona no fue condenada por la justicia ordinaria. Asimismo, pasaron más de cinco años y no se adelantaron las investig</w:t>
      </w:r>
      <w:r w:rsidR="00565EAF" w:rsidRPr="00A92DA2">
        <w:rPr>
          <w:rFonts w:ascii="Cambria" w:hAnsi="Cambria"/>
          <w:color w:val="000000" w:themeColor="text1"/>
          <w:sz w:val="20"/>
          <w:szCs w:val="20"/>
          <w:lang w:val="es-419"/>
        </w:rPr>
        <w:t xml:space="preserve">aciones de </w:t>
      </w:r>
      <w:r w:rsidR="003364C4" w:rsidRPr="00A92DA2">
        <w:rPr>
          <w:rFonts w:ascii="Cambria" w:hAnsi="Cambria"/>
          <w:color w:val="000000" w:themeColor="text1"/>
          <w:sz w:val="20"/>
          <w:szCs w:val="20"/>
          <w:lang w:val="es-419"/>
        </w:rPr>
        <w:t xml:space="preserve">todos los </w:t>
      </w:r>
      <w:r w:rsidR="00565EAF" w:rsidRPr="00A92DA2">
        <w:rPr>
          <w:rFonts w:ascii="Cambria" w:hAnsi="Cambria"/>
          <w:color w:val="000000" w:themeColor="text1"/>
          <w:sz w:val="20"/>
          <w:szCs w:val="20"/>
          <w:lang w:val="es-419"/>
        </w:rPr>
        <w:t>deli</w:t>
      </w:r>
      <w:r w:rsidRPr="00A92DA2">
        <w:rPr>
          <w:rFonts w:ascii="Cambria" w:hAnsi="Cambria"/>
          <w:color w:val="000000" w:themeColor="text1"/>
          <w:sz w:val="20"/>
          <w:szCs w:val="20"/>
          <w:lang w:val="es-419"/>
        </w:rPr>
        <w:t xml:space="preserve">tos cometidos, pues el señor </w:t>
      </w:r>
      <w:r w:rsidRPr="00A92DA2">
        <w:rPr>
          <w:rFonts w:ascii="Cambria" w:hAnsi="Cambria"/>
          <w:sz w:val="20"/>
          <w:szCs w:val="20"/>
          <w:lang w:val="es-419"/>
        </w:rPr>
        <w:t xml:space="preserve">Esquivel Cuadrado fue procesado solamente por homicidio y hurto. Sostiene que la Fiscalía no investigó los hechos de tortura, secuestro desplazamiento forzado, destrucción de bienes, porte ilegal de armas, terrorismo, atentados contra la libertad, violación sexual. Afirma que no se iniciaron procesos de </w:t>
      </w:r>
      <w:r w:rsidR="00565EAF" w:rsidRPr="00A92DA2">
        <w:rPr>
          <w:rFonts w:ascii="Cambria" w:hAnsi="Cambria"/>
          <w:sz w:val="20"/>
          <w:szCs w:val="20"/>
          <w:lang w:val="es-419"/>
        </w:rPr>
        <w:t>extensión</w:t>
      </w:r>
      <w:r w:rsidRPr="00A92DA2">
        <w:rPr>
          <w:rFonts w:ascii="Cambria" w:hAnsi="Cambria"/>
          <w:sz w:val="20"/>
          <w:szCs w:val="20"/>
          <w:lang w:val="es-419"/>
        </w:rPr>
        <w:t xml:space="preserve"> de dominio sobre los bienes de las presuntas víctimas. Además, afirma que tampoco </w:t>
      </w:r>
      <w:r w:rsidR="002D764B" w:rsidRPr="00A92DA2">
        <w:rPr>
          <w:rFonts w:ascii="Cambria" w:hAnsi="Cambria"/>
          <w:sz w:val="20"/>
          <w:szCs w:val="20"/>
          <w:lang w:val="es-419"/>
        </w:rPr>
        <w:t>se investigaron a los militares</w:t>
      </w:r>
      <w:r w:rsidRPr="00A92DA2">
        <w:rPr>
          <w:rFonts w:ascii="Cambria" w:hAnsi="Cambria"/>
          <w:sz w:val="20"/>
          <w:szCs w:val="20"/>
          <w:lang w:val="es-419"/>
        </w:rPr>
        <w:t xml:space="preserve"> que permitieron y facilitaron los hechos.</w:t>
      </w:r>
    </w:p>
    <w:p w14:paraId="64C92D41" w14:textId="78B95D68" w:rsidR="00111E46" w:rsidRPr="00A92DA2" w:rsidRDefault="00111E46" w:rsidP="002D40AD">
      <w:pPr>
        <w:numPr>
          <w:ilvl w:val="0"/>
          <w:numId w:val="2"/>
        </w:numPr>
        <w:suppressAutoHyphens/>
        <w:spacing w:after="120"/>
        <w:jc w:val="both"/>
        <w:rPr>
          <w:rFonts w:ascii="Cambria" w:hAnsi="Cambria"/>
          <w:color w:val="FF0000"/>
          <w:sz w:val="20"/>
          <w:szCs w:val="20"/>
          <w:lang w:val="es-419"/>
        </w:rPr>
      </w:pPr>
      <w:r w:rsidRPr="00A92DA2">
        <w:rPr>
          <w:rFonts w:ascii="Cambria" w:hAnsi="Cambria"/>
          <w:color w:val="000000" w:themeColor="text1"/>
          <w:sz w:val="20"/>
          <w:szCs w:val="20"/>
          <w:lang w:val="es-419"/>
        </w:rPr>
        <w:t xml:space="preserve">El Estado afirma que no se agotaran los recursos internos, pues la Fiscalía General de la Nación inició investigaciones para esclarecer los hechos y sancionar a los responsables. Además, indica que no fue agotada la acción de reparación directa, recurso que es adecuado y efectivo para reparar los </w:t>
      </w:r>
      <w:r w:rsidR="001D2CBD" w:rsidRPr="00A92DA2">
        <w:rPr>
          <w:rFonts w:ascii="Cambria" w:hAnsi="Cambria"/>
          <w:color w:val="000000" w:themeColor="text1"/>
          <w:sz w:val="20"/>
          <w:szCs w:val="20"/>
          <w:lang w:val="es-419"/>
        </w:rPr>
        <w:t>perjuicios</w:t>
      </w:r>
      <w:r w:rsidRPr="00A92DA2">
        <w:rPr>
          <w:rFonts w:ascii="Cambria" w:hAnsi="Cambria"/>
          <w:color w:val="000000" w:themeColor="text1"/>
          <w:sz w:val="20"/>
          <w:szCs w:val="20"/>
          <w:lang w:val="es-419"/>
        </w:rPr>
        <w:t xml:space="preserve"> acaecidos como </w:t>
      </w:r>
      <w:r w:rsidR="001D2CBD" w:rsidRPr="00A92DA2">
        <w:rPr>
          <w:rFonts w:ascii="Cambria" w:hAnsi="Cambria"/>
          <w:color w:val="000000" w:themeColor="text1"/>
          <w:sz w:val="20"/>
          <w:szCs w:val="20"/>
          <w:lang w:val="es-419"/>
        </w:rPr>
        <w:t>consecuencia</w:t>
      </w:r>
      <w:r w:rsidRPr="00A92DA2">
        <w:rPr>
          <w:rFonts w:ascii="Cambria" w:hAnsi="Cambria"/>
          <w:color w:val="000000" w:themeColor="text1"/>
          <w:sz w:val="20"/>
          <w:szCs w:val="20"/>
          <w:lang w:val="es-419"/>
        </w:rPr>
        <w:t xml:space="preserve"> de hechos, omisiones u operaciones atribuibles al Estado colombiano. Afirma que </w:t>
      </w:r>
      <w:r w:rsidRPr="00A92DA2">
        <w:rPr>
          <w:rFonts w:ascii="Cambria" w:hAnsi="Cambria"/>
          <w:color w:val="000000" w:themeColor="text1"/>
          <w:sz w:val="20"/>
          <w:szCs w:val="20"/>
          <w:lang w:val="es-419"/>
        </w:rPr>
        <w:lastRenderedPageBreak/>
        <w:t>los familiares de las presuntas víctimas fueron beneficiarios de la reparación administrativa que contempla la Ley 418 de 1997 y la Ley 1448 de 2011.</w:t>
      </w:r>
    </w:p>
    <w:p w14:paraId="424CA0B7" w14:textId="085FE088" w:rsidR="009F45BB" w:rsidRPr="00A92DA2" w:rsidRDefault="009F45BB" w:rsidP="009F45BB">
      <w:pPr>
        <w:numPr>
          <w:ilvl w:val="0"/>
          <w:numId w:val="2"/>
        </w:numPr>
        <w:suppressAutoHyphens/>
        <w:spacing w:after="120"/>
        <w:jc w:val="both"/>
        <w:rPr>
          <w:rFonts w:ascii="Cambria" w:hAnsi="Cambria"/>
          <w:color w:val="FF0000"/>
          <w:sz w:val="20"/>
          <w:szCs w:val="20"/>
          <w:lang w:val="es-419"/>
        </w:rPr>
      </w:pPr>
      <w:r w:rsidRPr="00A92DA2">
        <w:rPr>
          <w:rFonts w:ascii="Cambria" w:hAnsi="Cambria"/>
          <w:color w:val="000000" w:themeColor="text1"/>
          <w:sz w:val="20"/>
          <w:szCs w:val="20"/>
          <w:lang w:val="es-419"/>
        </w:rPr>
        <w:t xml:space="preserve">Respeto a las investigaciones penales por la masacre, </w:t>
      </w:r>
      <w:r w:rsidR="00111E46" w:rsidRPr="00A92DA2">
        <w:rPr>
          <w:rFonts w:ascii="Cambria" w:hAnsi="Cambria"/>
          <w:color w:val="000000" w:themeColor="text1"/>
          <w:sz w:val="20"/>
          <w:szCs w:val="20"/>
          <w:lang w:val="es-419"/>
        </w:rPr>
        <w:t xml:space="preserve">la Comisión toma nota que, según información presentada por ambas  partes, cerca de 80 personas estarían involucradas en la masacre y en las violaciones a la integridad personal, la propiedad privada, de las </w:t>
      </w:r>
      <w:r w:rsidR="00015890">
        <w:rPr>
          <w:rFonts w:ascii="Cambria" w:hAnsi="Cambria"/>
          <w:color w:val="000000" w:themeColor="text1"/>
          <w:sz w:val="20"/>
          <w:szCs w:val="20"/>
          <w:lang w:val="es-419"/>
        </w:rPr>
        <w:t>presuntas víctimas. No obstante</w:t>
      </w:r>
      <w:r w:rsidR="00111E46" w:rsidRPr="00A92DA2">
        <w:rPr>
          <w:rFonts w:ascii="Cambria" w:hAnsi="Cambria"/>
          <w:color w:val="000000" w:themeColor="text1"/>
          <w:sz w:val="20"/>
          <w:szCs w:val="20"/>
          <w:lang w:val="es-419"/>
        </w:rPr>
        <w:t>, la Comisión observa</w:t>
      </w:r>
      <w:r w:rsidR="004E2A78" w:rsidRPr="00A92DA2">
        <w:rPr>
          <w:rFonts w:ascii="Cambria" w:hAnsi="Cambria"/>
          <w:color w:val="000000" w:themeColor="text1"/>
          <w:sz w:val="20"/>
          <w:szCs w:val="20"/>
          <w:lang w:val="es-419"/>
        </w:rPr>
        <w:t xml:space="preserve"> que</w:t>
      </w:r>
      <w:r w:rsidR="00111E46" w:rsidRPr="00A92DA2">
        <w:rPr>
          <w:rFonts w:ascii="Cambria" w:hAnsi="Cambria"/>
          <w:color w:val="000000" w:themeColor="text1"/>
          <w:sz w:val="20"/>
          <w:szCs w:val="20"/>
          <w:lang w:val="es-419"/>
        </w:rPr>
        <w:t xml:space="preserve"> solamente </w:t>
      </w:r>
      <w:r w:rsidRPr="00A92DA2">
        <w:rPr>
          <w:rFonts w:ascii="Cambria" w:hAnsi="Cambria"/>
          <w:color w:val="000000" w:themeColor="text1"/>
          <w:sz w:val="20"/>
          <w:szCs w:val="20"/>
          <w:lang w:val="es-419"/>
        </w:rPr>
        <w:t xml:space="preserve">cuatro </w:t>
      </w:r>
      <w:r w:rsidR="00111E46" w:rsidRPr="00A92DA2">
        <w:rPr>
          <w:rFonts w:ascii="Cambria" w:hAnsi="Cambria"/>
          <w:color w:val="000000" w:themeColor="text1"/>
          <w:sz w:val="20"/>
          <w:szCs w:val="20"/>
          <w:lang w:val="es-419"/>
        </w:rPr>
        <w:t xml:space="preserve">personas (los señores Esquivel Cuadrado, Robles </w:t>
      </w:r>
      <w:r w:rsidR="00565EAF" w:rsidRPr="00A92DA2">
        <w:rPr>
          <w:rFonts w:ascii="Cambria" w:hAnsi="Cambria"/>
          <w:color w:val="000000" w:themeColor="text1"/>
          <w:sz w:val="20"/>
          <w:szCs w:val="20"/>
          <w:lang w:val="es-419"/>
        </w:rPr>
        <w:t>Mendoza</w:t>
      </w:r>
      <w:r w:rsidRPr="00A92DA2">
        <w:rPr>
          <w:rFonts w:ascii="Cambria" w:hAnsi="Cambria"/>
          <w:color w:val="000000" w:themeColor="text1"/>
          <w:sz w:val="20"/>
          <w:szCs w:val="20"/>
          <w:lang w:val="es-419"/>
        </w:rPr>
        <w:t xml:space="preserve"> y </w:t>
      </w:r>
      <w:r w:rsidR="001D2CBD" w:rsidRPr="00A92DA2">
        <w:rPr>
          <w:rFonts w:ascii="Cambria" w:hAnsi="Cambria"/>
          <w:color w:val="000000" w:themeColor="text1"/>
          <w:sz w:val="20"/>
          <w:szCs w:val="20"/>
          <w:lang w:val="es-419"/>
        </w:rPr>
        <w:t>Hernández</w:t>
      </w:r>
      <w:r w:rsidR="00111E46" w:rsidRPr="00A92DA2">
        <w:rPr>
          <w:rFonts w:ascii="Cambria" w:hAnsi="Cambria"/>
          <w:color w:val="000000" w:themeColor="text1"/>
          <w:sz w:val="20"/>
          <w:szCs w:val="20"/>
          <w:lang w:val="es-419"/>
        </w:rPr>
        <w:t xml:space="preserve"> Ramos</w:t>
      </w:r>
      <w:r w:rsidRPr="00A92DA2">
        <w:rPr>
          <w:rFonts w:ascii="Cambria" w:hAnsi="Cambria"/>
          <w:color w:val="000000" w:themeColor="text1"/>
          <w:sz w:val="20"/>
          <w:szCs w:val="20"/>
          <w:lang w:val="es-419"/>
        </w:rPr>
        <w:t xml:space="preserve"> y la señora </w:t>
      </w:r>
      <w:proofErr w:type="spellStart"/>
      <w:r w:rsidRPr="00A92DA2">
        <w:rPr>
          <w:rFonts w:ascii="Cambria" w:hAnsi="Cambria"/>
          <w:color w:val="000000" w:themeColor="text1"/>
          <w:sz w:val="20"/>
          <w:szCs w:val="20"/>
          <w:lang w:val="es-419"/>
        </w:rPr>
        <w:t>Covaleda</w:t>
      </w:r>
      <w:proofErr w:type="spellEnd"/>
      <w:r w:rsidRPr="00A92DA2">
        <w:rPr>
          <w:rFonts w:ascii="Cambria" w:hAnsi="Cambria"/>
          <w:color w:val="000000" w:themeColor="text1"/>
          <w:sz w:val="20"/>
          <w:szCs w:val="20"/>
          <w:lang w:val="es-419"/>
        </w:rPr>
        <w:t xml:space="preserve"> Velásquez</w:t>
      </w:r>
      <w:r w:rsidR="00111E46" w:rsidRPr="00A92DA2">
        <w:rPr>
          <w:rFonts w:ascii="Cambria" w:hAnsi="Cambria"/>
          <w:color w:val="000000" w:themeColor="text1"/>
          <w:sz w:val="20"/>
          <w:szCs w:val="20"/>
          <w:lang w:val="es-419"/>
        </w:rPr>
        <w:t xml:space="preserve">) fueron condenados por </w:t>
      </w:r>
      <w:r w:rsidR="001D2CBD" w:rsidRPr="00A92DA2">
        <w:rPr>
          <w:rFonts w:ascii="Cambria" w:hAnsi="Cambria"/>
          <w:color w:val="000000" w:themeColor="text1"/>
          <w:sz w:val="20"/>
          <w:szCs w:val="20"/>
          <w:lang w:val="es-419"/>
        </w:rPr>
        <w:t>homicidio</w:t>
      </w:r>
      <w:r w:rsidR="00111E46" w:rsidRPr="00A92DA2">
        <w:rPr>
          <w:rFonts w:ascii="Cambria" w:hAnsi="Cambria"/>
          <w:color w:val="000000" w:themeColor="text1"/>
          <w:sz w:val="20"/>
          <w:szCs w:val="20"/>
          <w:lang w:val="es-419"/>
        </w:rPr>
        <w:t xml:space="preserve"> y hurto calificado</w:t>
      </w:r>
      <w:r w:rsidR="00845476" w:rsidRPr="00A92DA2">
        <w:rPr>
          <w:rFonts w:ascii="Cambria" w:hAnsi="Cambria"/>
          <w:color w:val="000000" w:themeColor="text1"/>
          <w:sz w:val="20"/>
          <w:szCs w:val="20"/>
          <w:lang w:val="es-419"/>
        </w:rPr>
        <w:t xml:space="preserve">, y que </w:t>
      </w:r>
      <w:r w:rsidRPr="00A92DA2">
        <w:rPr>
          <w:rFonts w:ascii="Cambria" w:hAnsi="Cambria"/>
          <w:color w:val="000000" w:themeColor="text1"/>
          <w:sz w:val="20"/>
          <w:szCs w:val="20"/>
          <w:lang w:val="es-419"/>
        </w:rPr>
        <w:t xml:space="preserve">la </w:t>
      </w:r>
      <w:r w:rsidR="00845476" w:rsidRPr="00A92DA2">
        <w:rPr>
          <w:rFonts w:ascii="Cambria" w:hAnsi="Cambria"/>
          <w:color w:val="000000" w:themeColor="text1"/>
          <w:sz w:val="20"/>
          <w:szCs w:val="20"/>
          <w:lang w:val="es-419"/>
        </w:rPr>
        <w:t>señora</w:t>
      </w:r>
      <w:r w:rsidRPr="00A92DA2">
        <w:rPr>
          <w:rFonts w:ascii="Cambria" w:hAnsi="Cambria"/>
          <w:color w:val="000000" w:themeColor="text1"/>
          <w:sz w:val="20"/>
          <w:szCs w:val="20"/>
          <w:lang w:val="es-419"/>
        </w:rPr>
        <w:t xml:space="preserve"> </w:t>
      </w:r>
      <w:r w:rsidR="00845476" w:rsidRPr="00A92DA2">
        <w:rPr>
          <w:rFonts w:ascii="Cambria" w:hAnsi="Cambria"/>
          <w:color w:val="000000" w:themeColor="text1"/>
          <w:sz w:val="20"/>
          <w:szCs w:val="20"/>
          <w:lang w:val="es-419"/>
        </w:rPr>
        <w:t xml:space="preserve">Pérez Méndez y </w:t>
      </w:r>
      <w:r w:rsidRPr="00A92DA2">
        <w:rPr>
          <w:rFonts w:ascii="Cambria" w:hAnsi="Cambria"/>
          <w:color w:val="000000" w:themeColor="text1"/>
          <w:sz w:val="20"/>
          <w:szCs w:val="20"/>
          <w:lang w:val="es-419"/>
        </w:rPr>
        <w:t xml:space="preserve">el señor </w:t>
      </w:r>
      <w:r w:rsidR="00845476" w:rsidRPr="00A92DA2">
        <w:rPr>
          <w:rFonts w:ascii="Cambria" w:hAnsi="Cambria"/>
          <w:color w:val="000000" w:themeColor="text1"/>
          <w:sz w:val="20"/>
          <w:szCs w:val="20"/>
          <w:lang w:val="es-419"/>
        </w:rPr>
        <w:t>Hernández Ramos fueron vinculados a las investigaciones</w:t>
      </w:r>
      <w:r w:rsidR="00111E46" w:rsidRPr="00A92DA2">
        <w:rPr>
          <w:rFonts w:ascii="Cambria" w:hAnsi="Cambria"/>
          <w:color w:val="000000" w:themeColor="text1"/>
          <w:sz w:val="20"/>
          <w:szCs w:val="20"/>
          <w:lang w:val="es-419"/>
        </w:rPr>
        <w:t>. En relación con los otros responsables y con los autores intelectuales, no fueron iniciado</w:t>
      </w:r>
      <w:r w:rsidR="003D30FF" w:rsidRPr="00A92DA2">
        <w:rPr>
          <w:rFonts w:ascii="Cambria" w:hAnsi="Cambria"/>
          <w:color w:val="000000" w:themeColor="text1"/>
          <w:sz w:val="20"/>
          <w:szCs w:val="20"/>
          <w:lang w:val="es-419"/>
        </w:rPr>
        <w:t>s</w:t>
      </w:r>
      <w:r w:rsidR="00111E46" w:rsidRPr="00A92DA2">
        <w:rPr>
          <w:rFonts w:ascii="Cambria" w:hAnsi="Cambria"/>
          <w:color w:val="000000" w:themeColor="text1"/>
          <w:sz w:val="20"/>
          <w:szCs w:val="20"/>
          <w:lang w:val="es-419"/>
        </w:rPr>
        <w:t xml:space="preserve"> procesos e investigaciones ante la Justicia Ordinaria</w:t>
      </w:r>
      <w:r w:rsidRPr="00A92DA2">
        <w:rPr>
          <w:rFonts w:ascii="Cambria" w:hAnsi="Cambria"/>
          <w:color w:val="000000" w:themeColor="text1"/>
          <w:sz w:val="20"/>
          <w:szCs w:val="20"/>
          <w:lang w:val="es-419"/>
        </w:rPr>
        <w:t>. Ante</w:t>
      </w:r>
      <w:r w:rsidR="00111E46" w:rsidRPr="00A92DA2">
        <w:rPr>
          <w:rFonts w:ascii="Cambria" w:hAnsi="Cambria"/>
          <w:color w:val="000000" w:themeColor="text1"/>
          <w:sz w:val="20"/>
          <w:szCs w:val="20"/>
          <w:lang w:val="es-419"/>
        </w:rPr>
        <w:t xml:space="preserve"> la jurisdicción de la Justicia y Paz, fueron iniciados solamente cinco investigaciones hasta 2016 y que no hay indicios que dichas investigaciones hayan sido </w:t>
      </w:r>
      <w:r w:rsidR="001D2CBD" w:rsidRPr="00A92DA2">
        <w:rPr>
          <w:rFonts w:ascii="Cambria" w:hAnsi="Cambria"/>
          <w:color w:val="000000" w:themeColor="text1"/>
          <w:sz w:val="20"/>
          <w:szCs w:val="20"/>
          <w:lang w:val="es-419"/>
        </w:rPr>
        <w:t>concluidas</w:t>
      </w:r>
      <w:r w:rsidR="00445825" w:rsidRPr="00A92DA2">
        <w:rPr>
          <w:rFonts w:ascii="Cambria" w:hAnsi="Cambria"/>
          <w:color w:val="000000" w:themeColor="text1"/>
          <w:sz w:val="20"/>
          <w:szCs w:val="20"/>
          <w:lang w:val="es-419"/>
        </w:rPr>
        <w:t xml:space="preserve">. Respeto a las decisiones de los tribunales de Justicia. Paz, </w:t>
      </w:r>
      <w:r w:rsidR="004E2A78" w:rsidRPr="00A92DA2">
        <w:rPr>
          <w:rFonts w:ascii="Cambria" w:hAnsi="Cambria"/>
          <w:color w:val="000000" w:themeColor="text1"/>
          <w:sz w:val="20"/>
          <w:szCs w:val="20"/>
          <w:lang w:val="es-419"/>
        </w:rPr>
        <w:t xml:space="preserve">por encontrarse relacionadas directamente con el análisis de la presunta violación de los artículos 8 y 25, </w:t>
      </w:r>
      <w:r w:rsidR="00445825" w:rsidRPr="00A92DA2">
        <w:rPr>
          <w:rFonts w:ascii="Cambria" w:hAnsi="Cambria"/>
          <w:color w:val="000000" w:themeColor="text1"/>
          <w:sz w:val="20"/>
          <w:szCs w:val="20"/>
          <w:lang w:val="es-419"/>
        </w:rPr>
        <w:t xml:space="preserve">la CIDH analizará en </w:t>
      </w:r>
      <w:r w:rsidR="004E2A78" w:rsidRPr="00A92DA2">
        <w:rPr>
          <w:rFonts w:ascii="Cambria" w:hAnsi="Cambria"/>
          <w:color w:val="000000" w:themeColor="text1"/>
          <w:sz w:val="20"/>
          <w:szCs w:val="20"/>
          <w:lang w:val="es-419"/>
        </w:rPr>
        <w:t>la etapa de</w:t>
      </w:r>
      <w:r w:rsidR="00015890">
        <w:rPr>
          <w:rFonts w:ascii="Cambria" w:hAnsi="Cambria"/>
          <w:color w:val="000000" w:themeColor="text1"/>
          <w:sz w:val="20"/>
          <w:szCs w:val="20"/>
          <w:lang w:val="es-419"/>
        </w:rPr>
        <w:t xml:space="preserve"> </w:t>
      </w:r>
      <w:r w:rsidR="00445825" w:rsidRPr="00A92DA2">
        <w:rPr>
          <w:rFonts w:ascii="Cambria" w:hAnsi="Cambria"/>
          <w:color w:val="000000" w:themeColor="text1"/>
          <w:sz w:val="20"/>
          <w:szCs w:val="20"/>
          <w:lang w:val="es-419"/>
        </w:rPr>
        <w:t>fondo el alcance de las mismas.</w:t>
      </w:r>
    </w:p>
    <w:p w14:paraId="525B0B72" w14:textId="77777777" w:rsidR="009F45BB" w:rsidRPr="00A92DA2" w:rsidRDefault="00111E46" w:rsidP="00575846">
      <w:pPr>
        <w:numPr>
          <w:ilvl w:val="0"/>
          <w:numId w:val="2"/>
        </w:numPr>
        <w:suppressAutoHyphens/>
        <w:spacing w:after="120"/>
        <w:jc w:val="both"/>
        <w:rPr>
          <w:rFonts w:ascii="Cambria" w:hAnsi="Cambria" w:cs="Calibri"/>
          <w:sz w:val="20"/>
          <w:szCs w:val="20"/>
          <w:lang w:val="es-ES"/>
        </w:rPr>
      </w:pPr>
      <w:r w:rsidRPr="00A92DA2">
        <w:rPr>
          <w:rFonts w:ascii="Cambria" w:hAnsi="Cambria"/>
          <w:color w:val="000000" w:themeColor="text1"/>
          <w:sz w:val="20"/>
          <w:szCs w:val="20"/>
          <w:lang w:val="es-419"/>
        </w:rPr>
        <w:t xml:space="preserve">Además, </w:t>
      </w:r>
      <w:r w:rsidRPr="00A92DA2">
        <w:rPr>
          <w:rFonts w:ascii="Cambria" w:hAnsi="Cambria" w:cs="Calibri"/>
          <w:sz w:val="20"/>
          <w:szCs w:val="20"/>
          <w:lang w:val="es-419"/>
        </w:rPr>
        <w:t>r</w:t>
      </w:r>
      <w:r w:rsidRPr="00A92DA2">
        <w:rPr>
          <w:rFonts w:ascii="Cambria" w:hAnsi="Cambria" w:cs="Calibri"/>
          <w:sz w:val="20"/>
          <w:szCs w:val="20"/>
          <w:lang w:val="es-ES"/>
        </w:rPr>
        <w:t>espeto a los alegatos actos de tortura y a los delitos sexuales cometidos por terceros, la Comisión observa que los hechos fueron denunciados, pero, hasta la fecha no existen investigaciones sobre dichos hechos. Por lo tanto, en razón a las características del presente caso, la Comisión considera que resulta aplicable la excepción al agotamiento de recursos internos prevista en el artículo 46.2.c de la Convención Americana</w:t>
      </w:r>
      <w:r w:rsidRPr="00A92DA2">
        <w:rPr>
          <w:rStyle w:val="FootnoteReference"/>
          <w:rFonts w:ascii="Cambria" w:eastAsia="Trebuchet MS" w:hAnsi="Cambria" w:cs="Calibri"/>
          <w:sz w:val="20"/>
          <w:szCs w:val="20"/>
          <w:lang w:val="es-ES"/>
        </w:rPr>
        <w:footnoteReference w:id="9"/>
      </w:r>
      <w:r w:rsidRPr="00A92DA2">
        <w:rPr>
          <w:rFonts w:ascii="Cambria" w:hAnsi="Cambria" w:cs="Calibri"/>
          <w:sz w:val="20"/>
          <w:szCs w:val="20"/>
          <w:lang w:val="es-ES"/>
        </w:rPr>
        <w:t>.</w:t>
      </w:r>
    </w:p>
    <w:p w14:paraId="09885131" w14:textId="5D641628" w:rsidR="00111E46" w:rsidRPr="00A92DA2" w:rsidRDefault="009F45BB" w:rsidP="00575846">
      <w:pPr>
        <w:numPr>
          <w:ilvl w:val="0"/>
          <w:numId w:val="2"/>
        </w:numPr>
        <w:suppressAutoHyphens/>
        <w:spacing w:after="120"/>
        <w:jc w:val="both"/>
        <w:rPr>
          <w:rFonts w:ascii="Cambria" w:hAnsi="Cambria" w:cs="Calibri"/>
          <w:sz w:val="20"/>
          <w:szCs w:val="20"/>
          <w:lang w:val="es-ES"/>
        </w:rPr>
      </w:pPr>
      <w:r w:rsidRPr="00A92DA2">
        <w:rPr>
          <w:rFonts w:ascii="Cambria" w:hAnsi="Cambria"/>
          <w:color w:val="000000" w:themeColor="text1"/>
          <w:sz w:val="20"/>
          <w:szCs w:val="20"/>
          <w:lang w:val="es-ES"/>
        </w:rPr>
        <w:t xml:space="preserve">Cuanto a los hechos de desplazamiento forzados, </w:t>
      </w:r>
      <w:r w:rsidR="000F6FDA" w:rsidRPr="00A92DA2">
        <w:rPr>
          <w:rFonts w:ascii="Cambria" w:hAnsi="Cambria" w:cs="Calibri"/>
          <w:sz w:val="20"/>
          <w:szCs w:val="20"/>
          <w:lang w:val="es-ES"/>
        </w:rPr>
        <w:t xml:space="preserve">la CIDH toma nota de que los hechos </w:t>
      </w:r>
      <w:r w:rsidRPr="00A92DA2">
        <w:rPr>
          <w:rFonts w:ascii="Cambria" w:hAnsi="Cambria" w:cs="Calibri"/>
          <w:sz w:val="20"/>
          <w:szCs w:val="20"/>
          <w:lang w:val="es-ES"/>
        </w:rPr>
        <w:t>dichos hechos</w:t>
      </w:r>
      <w:r w:rsidR="00575846" w:rsidRPr="00A92DA2">
        <w:rPr>
          <w:rFonts w:ascii="Cambria" w:hAnsi="Cambria" w:cs="Calibri"/>
          <w:sz w:val="20"/>
          <w:szCs w:val="20"/>
          <w:lang w:val="es-ES"/>
        </w:rPr>
        <w:t xml:space="preserve"> iniciaron alrededor de los años 2000 y que </w:t>
      </w:r>
      <w:r w:rsidR="000F6FDA" w:rsidRPr="00A92DA2">
        <w:rPr>
          <w:rFonts w:ascii="Cambria" w:hAnsi="Cambria" w:cs="Calibri"/>
          <w:sz w:val="20"/>
          <w:szCs w:val="20"/>
          <w:lang w:val="es-ES"/>
        </w:rPr>
        <w:t xml:space="preserve">el Estado </w:t>
      </w:r>
      <w:r w:rsidR="00015890" w:rsidRPr="00A92DA2">
        <w:rPr>
          <w:rFonts w:ascii="Cambria" w:hAnsi="Cambria" w:cs="Calibri"/>
          <w:sz w:val="20"/>
          <w:szCs w:val="20"/>
          <w:lang w:val="es-ES"/>
        </w:rPr>
        <w:t>tenía</w:t>
      </w:r>
      <w:r w:rsidR="000F6FDA" w:rsidRPr="00A92DA2">
        <w:rPr>
          <w:rFonts w:ascii="Cambria" w:hAnsi="Cambria" w:cs="Calibri"/>
          <w:sz w:val="20"/>
          <w:szCs w:val="20"/>
          <w:lang w:val="es-ES"/>
        </w:rPr>
        <w:t xml:space="preserve"> el deber de iniciar una investigación sobre e</w:t>
      </w:r>
      <w:r w:rsidR="00575846" w:rsidRPr="00A92DA2">
        <w:rPr>
          <w:rFonts w:ascii="Cambria" w:hAnsi="Cambria" w:cs="Calibri"/>
          <w:sz w:val="20"/>
          <w:szCs w:val="20"/>
          <w:lang w:val="es-ES"/>
        </w:rPr>
        <w:t>se</w:t>
      </w:r>
      <w:r w:rsidR="000F6FDA" w:rsidRPr="00A92DA2">
        <w:rPr>
          <w:rFonts w:ascii="Cambria" w:hAnsi="Cambria" w:cs="Calibri"/>
          <w:sz w:val="20"/>
          <w:szCs w:val="20"/>
          <w:lang w:val="es-ES"/>
        </w:rPr>
        <w:t xml:space="preserve"> delito</w:t>
      </w:r>
      <w:r w:rsidR="00575846" w:rsidRPr="00A92DA2">
        <w:rPr>
          <w:rFonts w:ascii="Cambria" w:hAnsi="Cambria" w:cs="Calibri"/>
          <w:sz w:val="20"/>
          <w:szCs w:val="20"/>
          <w:lang w:val="es-ES"/>
        </w:rPr>
        <w:t xml:space="preserve">. </w:t>
      </w:r>
      <w:r w:rsidR="000F6FDA" w:rsidRPr="00A92DA2">
        <w:rPr>
          <w:rFonts w:ascii="Cambria" w:hAnsi="Cambria" w:cs="Calibri"/>
          <w:sz w:val="20"/>
          <w:szCs w:val="20"/>
          <w:lang w:val="es-ES"/>
        </w:rPr>
        <w:t xml:space="preserve"> </w:t>
      </w:r>
      <w:r w:rsidR="00111E46" w:rsidRPr="00A92DA2">
        <w:rPr>
          <w:rFonts w:ascii="Cambria" w:hAnsi="Cambria" w:cs="Calibri"/>
          <w:sz w:val="20"/>
          <w:szCs w:val="20"/>
          <w:lang w:val="es-ES"/>
        </w:rPr>
        <w:t xml:space="preserve">Asimismo, respecto al desplazamiento forzado, la Comisión señala que </w:t>
      </w:r>
      <w:r w:rsidR="00111E46" w:rsidRPr="00A92DA2">
        <w:rPr>
          <w:rFonts w:ascii="Cambria" w:hAnsi="Cambria" w:cs="Calibri"/>
          <w:sz w:val="20"/>
          <w:szCs w:val="20"/>
          <w:lang w:val="es-ES_tradnl"/>
        </w:rPr>
        <w:t>el desplazamiento forzado constituye un delito, el recurso que se debe interponer a efectos de considerar agotado este requisito es la acción penal. En el presente caso, la Comisión observa que la investigación se inició en de 2000 y, al momento de la última comunicación de las partes, dieciocho de años después, aún continuaba pendiente</w:t>
      </w:r>
      <w:r w:rsidR="00111E46" w:rsidRPr="00A92DA2">
        <w:rPr>
          <w:rStyle w:val="FootnoteReference"/>
          <w:rFonts w:ascii="Cambria" w:eastAsia="Trebuchet MS" w:hAnsi="Cambria" w:cs="Calibri"/>
          <w:sz w:val="20"/>
          <w:szCs w:val="20"/>
        </w:rPr>
        <w:footnoteReference w:id="10"/>
      </w:r>
      <w:r w:rsidR="00111E46" w:rsidRPr="00A92DA2">
        <w:rPr>
          <w:rFonts w:ascii="Cambria" w:hAnsi="Cambria" w:cs="Calibri"/>
          <w:sz w:val="20"/>
          <w:szCs w:val="20"/>
          <w:lang w:val="es-ES_tradnl"/>
        </w:rPr>
        <w:t xml:space="preserve">. </w:t>
      </w:r>
      <w:r w:rsidR="00111E46" w:rsidRPr="00A92DA2">
        <w:rPr>
          <w:rFonts w:ascii="Cambria" w:hAnsi="Cambria" w:cs="Calibri"/>
          <w:sz w:val="20"/>
          <w:szCs w:val="20"/>
          <w:lang w:val="es-ES"/>
        </w:rPr>
        <w:t>En consecuencia, la CIDH concluye que aplica la excepción al agotamiento de los recursos internos, de conformidad con lo establecido en el artículo 46.2.c. de la Convención</w:t>
      </w:r>
      <w:r w:rsidR="00111E46" w:rsidRPr="00A92DA2">
        <w:rPr>
          <w:rStyle w:val="FootnoteReference"/>
          <w:rFonts w:ascii="Cambria" w:eastAsia="Trebuchet MS" w:hAnsi="Cambria" w:cs="Calibri"/>
          <w:sz w:val="20"/>
          <w:szCs w:val="20"/>
          <w:lang w:val="es-ES"/>
        </w:rPr>
        <w:footnoteReference w:id="11"/>
      </w:r>
      <w:r w:rsidR="00111E46" w:rsidRPr="00A92DA2">
        <w:rPr>
          <w:rFonts w:ascii="Cambria" w:hAnsi="Cambria" w:cs="Calibri"/>
          <w:sz w:val="20"/>
          <w:szCs w:val="20"/>
          <w:lang w:val="es-ES"/>
        </w:rPr>
        <w:t>.</w:t>
      </w:r>
    </w:p>
    <w:p w14:paraId="0E2A9A8B" w14:textId="2598F88B" w:rsidR="00575846" w:rsidRPr="00A92DA2" w:rsidRDefault="00111E46" w:rsidP="002D40AD">
      <w:pPr>
        <w:numPr>
          <w:ilvl w:val="0"/>
          <w:numId w:val="2"/>
        </w:numPr>
        <w:suppressAutoHyphens/>
        <w:spacing w:after="120"/>
        <w:jc w:val="both"/>
        <w:rPr>
          <w:rFonts w:ascii="Cambria" w:hAnsi="Cambria" w:cs="Calibri"/>
          <w:sz w:val="20"/>
          <w:szCs w:val="20"/>
          <w:lang w:val="es-ES"/>
        </w:rPr>
      </w:pPr>
      <w:r w:rsidRPr="00A92DA2">
        <w:rPr>
          <w:rFonts w:ascii="Cambria" w:hAnsi="Cambria" w:cs="Calibri"/>
          <w:sz w:val="20"/>
          <w:szCs w:val="20"/>
          <w:lang w:val="es-ES"/>
        </w:rPr>
        <w:t xml:space="preserve">Por fin, </w:t>
      </w:r>
      <w:r w:rsidRPr="00A92DA2">
        <w:rPr>
          <w:rFonts w:ascii="Cambria" w:hAnsi="Cambria" w:cs="Calibri"/>
          <w:sz w:val="20"/>
          <w:szCs w:val="20"/>
          <w:lang w:val="es-ES_tradnl"/>
        </w:rPr>
        <w:t xml:space="preserve">respecto a la acción de reparación directa, la Comisión afirma </w:t>
      </w:r>
      <w:r w:rsidR="009A7083" w:rsidRPr="00A92DA2">
        <w:rPr>
          <w:rFonts w:ascii="Cambria" w:hAnsi="Cambria" w:cs="Calibri"/>
          <w:sz w:val="20"/>
          <w:szCs w:val="20"/>
          <w:lang w:val="es-ES_tradnl"/>
        </w:rPr>
        <w:t>que,</w:t>
      </w:r>
      <w:r w:rsidRPr="00A92DA2">
        <w:rPr>
          <w:rFonts w:ascii="Cambria" w:hAnsi="Cambria" w:cs="Calibri"/>
          <w:sz w:val="20"/>
          <w:szCs w:val="20"/>
          <w:lang w:val="es-ES_tradnl"/>
        </w:rPr>
        <w:t xml:space="preserve"> en casos de masacres, homicidio, violencia sexual, desplazamiento forzado,</w:t>
      </w:r>
      <w:r w:rsidRPr="00A92DA2">
        <w:rPr>
          <w:rFonts w:ascii="Cambria" w:hAnsi="Cambria" w:cs="Calibri"/>
          <w:sz w:val="20"/>
          <w:szCs w:val="20"/>
          <w:lang w:val="es-ES"/>
        </w:rPr>
        <w:t xml:space="preserve"> </w:t>
      </w:r>
      <w:r w:rsidRPr="00A92DA2">
        <w:rPr>
          <w:rFonts w:ascii="Cambria" w:hAnsi="Cambria" w:cs="Calibri"/>
          <w:sz w:val="20"/>
          <w:szCs w:val="20"/>
          <w:lang w:val="es-ES_tradnl"/>
        </w:rPr>
        <w:t>ese remedio no respondería al alegato principal que se presenta en esta petición, concerniente a la falta de debida diligencia en la investigación, persecución y castigo de los responsables. En ese sentido</w:t>
      </w:r>
      <w:r w:rsidR="00575846" w:rsidRPr="00A92DA2">
        <w:rPr>
          <w:rFonts w:ascii="Cambria" w:hAnsi="Cambria" w:cs="Calibri"/>
          <w:sz w:val="20"/>
          <w:szCs w:val="20"/>
          <w:lang w:val="es-ES_tradnl"/>
        </w:rPr>
        <w:t xml:space="preserve">, la Comisión ha sostenido reiteradamente que </w:t>
      </w:r>
      <w:r w:rsidR="009F45BB" w:rsidRPr="00A92DA2">
        <w:rPr>
          <w:rFonts w:ascii="Cambria" w:hAnsi="Cambria" w:cs="Calibri"/>
          <w:sz w:val="20"/>
          <w:szCs w:val="20"/>
          <w:lang w:val="es-ES_tradnl"/>
        </w:rPr>
        <w:t xml:space="preserve">el proceso de reparación directa iniciado en la jurisdicción </w:t>
      </w:r>
      <w:proofErr w:type="gramStart"/>
      <w:r w:rsidR="009F45BB" w:rsidRPr="00A92DA2">
        <w:rPr>
          <w:rFonts w:ascii="Cambria" w:hAnsi="Cambria" w:cs="Calibri"/>
          <w:sz w:val="20"/>
          <w:szCs w:val="20"/>
          <w:lang w:val="es-ES_tradnl"/>
        </w:rPr>
        <w:t>contencioso</w:t>
      </w:r>
      <w:proofErr w:type="gramEnd"/>
      <w:r w:rsidR="009F45BB" w:rsidRPr="00A92DA2">
        <w:rPr>
          <w:rFonts w:ascii="Cambria" w:hAnsi="Cambria" w:cs="Calibri"/>
          <w:sz w:val="20"/>
          <w:szCs w:val="20"/>
          <w:lang w:val="es-ES_tradnl"/>
        </w:rPr>
        <w:t xml:space="preserve"> administrativa </w:t>
      </w:r>
      <w:r w:rsidR="00575846" w:rsidRPr="00A92DA2">
        <w:rPr>
          <w:rFonts w:ascii="Cambria" w:hAnsi="Cambria" w:cs="Calibri"/>
          <w:sz w:val="20"/>
          <w:szCs w:val="20"/>
          <w:lang w:val="es-ES_tradnl"/>
        </w:rPr>
        <w:t>no constituye un recurso idóneo a efectos de analizar la admisibilidad de un reclamo de la naturaleza del presente, ya que la misma no es adecuada para proporcionar una reparación integral y justicia a los familiares</w:t>
      </w:r>
      <w:r w:rsidRPr="00A92DA2">
        <w:rPr>
          <w:rStyle w:val="FootnoteReference"/>
          <w:rFonts w:ascii="Cambria" w:eastAsia="Trebuchet MS" w:hAnsi="Cambria" w:cs="Calibri"/>
          <w:sz w:val="20"/>
          <w:szCs w:val="20"/>
        </w:rPr>
        <w:footnoteReference w:id="12"/>
      </w:r>
      <w:r w:rsidRPr="00A92DA2">
        <w:rPr>
          <w:rFonts w:ascii="Cambria" w:hAnsi="Cambria" w:cs="Calibri"/>
          <w:sz w:val="20"/>
          <w:szCs w:val="20"/>
          <w:lang w:val="es-ES_tradnl"/>
        </w:rPr>
        <w:t xml:space="preserve">. </w:t>
      </w:r>
    </w:p>
    <w:p w14:paraId="4D9F8C35" w14:textId="1793DF7C" w:rsidR="00111E46" w:rsidRPr="00A92DA2" w:rsidRDefault="00111E46" w:rsidP="002D40AD">
      <w:pPr>
        <w:numPr>
          <w:ilvl w:val="0"/>
          <w:numId w:val="2"/>
        </w:numPr>
        <w:suppressAutoHyphens/>
        <w:spacing w:after="120"/>
        <w:jc w:val="both"/>
        <w:rPr>
          <w:rFonts w:ascii="Cambria" w:hAnsi="Cambria" w:cs="Calibri"/>
          <w:sz w:val="20"/>
          <w:szCs w:val="20"/>
          <w:lang w:val="es-ES"/>
        </w:rPr>
      </w:pPr>
      <w:r w:rsidRPr="00A92DA2">
        <w:rPr>
          <w:rFonts w:ascii="Cambria" w:hAnsi="Cambria" w:cs="Calibri"/>
          <w:sz w:val="20"/>
          <w:szCs w:val="20"/>
          <w:lang w:val="es-ES_tradnl"/>
        </w:rPr>
        <w:t xml:space="preserve">Además, la CIDH </w:t>
      </w:r>
      <w:r w:rsidR="00A41C57" w:rsidRPr="00A92DA2">
        <w:rPr>
          <w:rFonts w:ascii="Cambria" w:hAnsi="Cambria" w:cs="Calibri"/>
          <w:sz w:val="20"/>
          <w:szCs w:val="20"/>
          <w:lang w:val="es-ES_tradnl"/>
        </w:rPr>
        <w:t>considerara en el fondo</w:t>
      </w:r>
      <w:r w:rsidR="00445825" w:rsidRPr="00A92DA2">
        <w:rPr>
          <w:rFonts w:ascii="Cambria" w:hAnsi="Cambria" w:cs="Calibri"/>
          <w:sz w:val="20"/>
          <w:szCs w:val="20"/>
          <w:lang w:val="es-ES_tradnl"/>
        </w:rPr>
        <w:t xml:space="preserve"> las reparaciones concedidas a</w:t>
      </w:r>
      <w:r w:rsidRPr="00A92DA2">
        <w:rPr>
          <w:rFonts w:ascii="Cambria" w:hAnsi="Cambria" w:cs="Calibri"/>
          <w:sz w:val="20"/>
          <w:szCs w:val="20"/>
          <w:lang w:val="es-ES_tradnl"/>
        </w:rPr>
        <w:t xml:space="preserve"> </w:t>
      </w:r>
      <w:r w:rsidR="00445825" w:rsidRPr="00A92DA2">
        <w:rPr>
          <w:rFonts w:ascii="Cambria" w:hAnsi="Cambria" w:cs="Calibri"/>
          <w:sz w:val="20"/>
          <w:szCs w:val="20"/>
          <w:lang w:val="es-ES_tradnl"/>
        </w:rPr>
        <w:t xml:space="preserve">la </w:t>
      </w:r>
      <w:r w:rsidRPr="00A92DA2">
        <w:rPr>
          <w:rFonts w:ascii="Cambria" w:hAnsi="Cambria" w:cs="Calibri"/>
          <w:sz w:val="20"/>
          <w:szCs w:val="20"/>
          <w:lang w:val="es-ES_tradnl"/>
        </w:rPr>
        <w:t xml:space="preserve">Comunidad del Corregimiento de Santa Cecilia </w:t>
      </w:r>
      <w:r w:rsidR="00445825" w:rsidRPr="00A92DA2">
        <w:rPr>
          <w:rFonts w:ascii="Cambria" w:hAnsi="Cambria" w:cs="Calibri"/>
          <w:sz w:val="20"/>
          <w:szCs w:val="20"/>
          <w:lang w:val="es-ES_tradnl"/>
        </w:rPr>
        <w:t xml:space="preserve">(como el reconocimiento como </w:t>
      </w:r>
      <w:r w:rsidRPr="00A92DA2">
        <w:rPr>
          <w:rFonts w:ascii="Cambria" w:hAnsi="Cambria" w:cs="Calibri"/>
          <w:sz w:val="20"/>
          <w:szCs w:val="20"/>
          <w:lang w:val="es-ES_tradnl"/>
        </w:rPr>
        <w:t xml:space="preserve">sujeto de </w:t>
      </w:r>
      <w:r w:rsidRPr="00A92DA2">
        <w:rPr>
          <w:rFonts w:ascii="Cambria" w:hAnsi="Cambria"/>
          <w:color w:val="000000" w:themeColor="text1"/>
          <w:sz w:val="20"/>
          <w:szCs w:val="20"/>
          <w:lang w:val="es-419"/>
        </w:rPr>
        <w:t>reparación colectiva</w:t>
      </w:r>
      <w:r w:rsidR="00445825" w:rsidRPr="00A92DA2">
        <w:rPr>
          <w:rFonts w:ascii="Cambria" w:hAnsi="Cambria"/>
          <w:color w:val="000000" w:themeColor="text1"/>
          <w:sz w:val="20"/>
          <w:szCs w:val="20"/>
          <w:lang w:val="es-419"/>
        </w:rPr>
        <w:t xml:space="preserve">; la </w:t>
      </w:r>
      <w:r w:rsidRPr="00A92DA2">
        <w:rPr>
          <w:rFonts w:ascii="Cambria" w:hAnsi="Cambria"/>
          <w:color w:val="000000" w:themeColor="text1"/>
          <w:sz w:val="20"/>
          <w:szCs w:val="20"/>
          <w:lang w:val="es-419"/>
        </w:rPr>
        <w:t>realiz</w:t>
      </w:r>
      <w:r w:rsidR="00445825" w:rsidRPr="00A92DA2">
        <w:rPr>
          <w:rFonts w:ascii="Cambria" w:hAnsi="Cambria"/>
          <w:color w:val="000000" w:themeColor="text1"/>
          <w:sz w:val="20"/>
          <w:szCs w:val="20"/>
          <w:lang w:val="es-419"/>
        </w:rPr>
        <w:t>ación</w:t>
      </w:r>
      <w:r w:rsidRPr="00A92DA2">
        <w:rPr>
          <w:rFonts w:ascii="Cambria" w:hAnsi="Cambria"/>
          <w:color w:val="000000" w:themeColor="text1"/>
          <w:sz w:val="20"/>
          <w:szCs w:val="20"/>
          <w:lang w:val="es-419"/>
        </w:rPr>
        <w:t xml:space="preserve"> </w:t>
      </w:r>
      <w:r w:rsidR="00445825" w:rsidRPr="00A92DA2">
        <w:rPr>
          <w:rFonts w:ascii="Cambria" w:hAnsi="Cambria"/>
          <w:color w:val="000000" w:themeColor="text1"/>
          <w:sz w:val="20"/>
          <w:szCs w:val="20"/>
          <w:lang w:val="es-419"/>
        </w:rPr>
        <w:t xml:space="preserve">de </w:t>
      </w:r>
      <w:r w:rsidRPr="00A92DA2">
        <w:rPr>
          <w:rFonts w:ascii="Cambria" w:hAnsi="Cambria"/>
          <w:color w:val="000000" w:themeColor="text1"/>
          <w:sz w:val="20"/>
          <w:szCs w:val="20"/>
          <w:lang w:val="es-419"/>
        </w:rPr>
        <w:t xml:space="preserve">un acto </w:t>
      </w:r>
      <w:r w:rsidR="001D2CBD" w:rsidRPr="00A92DA2">
        <w:rPr>
          <w:rFonts w:ascii="Cambria" w:hAnsi="Cambria"/>
          <w:color w:val="000000" w:themeColor="text1"/>
          <w:sz w:val="20"/>
          <w:szCs w:val="20"/>
          <w:lang w:val="es-419"/>
        </w:rPr>
        <w:t>público</w:t>
      </w:r>
      <w:r w:rsidRPr="00A92DA2">
        <w:rPr>
          <w:rFonts w:ascii="Cambria" w:hAnsi="Cambria"/>
          <w:color w:val="000000" w:themeColor="text1"/>
          <w:sz w:val="20"/>
          <w:szCs w:val="20"/>
          <w:lang w:val="es-419"/>
        </w:rPr>
        <w:t xml:space="preserve"> preparado por la comunidad con la realización de acciones simbólicas y reconocimiento de las víctimas asesinadas; </w:t>
      </w:r>
      <w:r w:rsidR="00445825" w:rsidRPr="00A92DA2">
        <w:rPr>
          <w:rFonts w:ascii="Cambria" w:hAnsi="Cambria"/>
          <w:color w:val="000000" w:themeColor="text1"/>
          <w:sz w:val="20"/>
          <w:szCs w:val="20"/>
          <w:lang w:val="es-419"/>
        </w:rPr>
        <w:t xml:space="preserve">la publicación </w:t>
      </w:r>
      <w:r w:rsidRPr="00A92DA2">
        <w:rPr>
          <w:rFonts w:ascii="Cambria" w:hAnsi="Cambria"/>
          <w:color w:val="000000" w:themeColor="text1"/>
          <w:sz w:val="20"/>
          <w:szCs w:val="20"/>
          <w:lang w:val="es-419"/>
        </w:rPr>
        <w:t xml:space="preserve">en la </w:t>
      </w:r>
      <w:r w:rsidR="001D2CBD" w:rsidRPr="00A92DA2">
        <w:rPr>
          <w:rFonts w:ascii="Cambria" w:hAnsi="Cambria"/>
          <w:color w:val="000000" w:themeColor="text1"/>
          <w:sz w:val="20"/>
          <w:szCs w:val="20"/>
          <w:lang w:val="es-419"/>
        </w:rPr>
        <w:t>página</w:t>
      </w:r>
      <w:r w:rsidRPr="00A92DA2">
        <w:rPr>
          <w:rFonts w:ascii="Cambria" w:hAnsi="Cambria"/>
          <w:color w:val="000000" w:themeColor="text1"/>
          <w:sz w:val="20"/>
          <w:szCs w:val="20"/>
          <w:lang w:val="es-419"/>
        </w:rPr>
        <w:t xml:space="preserve"> web del CNHM </w:t>
      </w:r>
      <w:r w:rsidR="00445825" w:rsidRPr="00A92DA2">
        <w:rPr>
          <w:rFonts w:ascii="Cambria" w:hAnsi="Cambria"/>
          <w:color w:val="000000" w:themeColor="text1"/>
          <w:sz w:val="20"/>
          <w:szCs w:val="20"/>
          <w:lang w:val="es-419"/>
        </w:rPr>
        <w:t xml:space="preserve">de </w:t>
      </w:r>
      <w:r w:rsidRPr="00A92DA2">
        <w:rPr>
          <w:rFonts w:ascii="Cambria" w:hAnsi="Cambria"/>
          <w:color w:val="000000" w:themeColor="text1"/>
          <w:sz w:val="20"/>
          <w:szCs w:val="20"/>
          <w:lang w:val="es-419"/>
        </w:rPr>
        <w:t xml:space="preserve">una nota informativa en relación con los hechos; la </w:t>
      </w:r>
      <w:r w:rsidR="00445825" w:rsidRPr="00A92DA2">
        <w:rPr>
          <w:rFonts w:ascii="Cambria" w:hAnsi="Cambria"/>
          <w:color w:val="000000" w:themeColor="text1"/>
          <w:sz w:val="20"/>
          <w:szCs w:val="20"/>
          <w:lang w:val="es-419"/>
        </w:rPr>
        <w:t xml:space="preserve">realización de </w:t>
      </w:r>
      <w:r w:rsidR="001D2CBD" w:rsidRPr="00A92DA2">
        <w:rPr>
          <w:rFonts w:ascii="Cambria" w:hAnsi="Cambria"/>
          <w:color w:val="000000" w:themeColor="text1"/>
          <w:sz w:val="20"/>
          <w:szCs w:val="20"/>
          <w:lang w:val="es-419"/>
        </w:rPr>
        <w:t>entrega</w:t>
      </w:r>
      <w:r w:rsidRPr="00A92DA2">
        <w:rPr>
          <w:rFonts w:ascii="Cambria" w:hAnsi="Cambria"/>
          <w:color w:val="000000" w:themeColor="text1"/>
          <w:sz w:val="20"/>
          <w:szCs w:val="20"/>
          <w:lang w:val="es-419"/>
        </w:rPr>
        <w:t xml:space="preserve"> oficial de la placa conmemorativa solicitadas por la comunidad</w:t>
      </w:r>
      <w:r w:rsidR="00445825" w:rsidRPr="00A92DA2">
        <w:rPr>
          <w:rFonts w:ascii="Cambria" w:hAnsi="Cambria"/>
          <w:color w:val="000000" w:themeColor="text1"/>
          <w:sz w:val="20"/>
          <w:szCs w:val="20"/>
          <w:lang w:val="es-419"/>
        </w:rPr>
        <w:t>)</w:t>
      </w:r>
      <w:r w:rsidRPr="00A92DA2">
        <w:rPr>
          <w:rFonts w:ascii="Cambria" w:hAnsi="Cambria"/>
          <w:color w:val="000000" w:themeColor="text1"/>
          <w:sz w:val="20"/>
          <w:szCs w:val="20"/>
          <w:lang w:val="es-419"/>
        </w:rPr>
        <w:t>.</w:t>
      </w:r>
      <w:r w:rsidRPr="00A92DA2">
        <w:rPr>
          <w:rFonts w:ascii="Cambria" w:hAnsi="Cambria" w:cs="Calibri"/>
          <w:sz w:val="20"/>
          <w:szCs w:val="20"/>
          <w:lang w:val="es-ES"/>
        </w:rPr>
        <w:t xml:space="preserve"> Sin perjuicio </w:t>
      </w:r>
      <w:r w:rsidR="00445825" w:rsidRPr="00A92DA2">
        <w:rPr>
          <w:rFonts w:ascii="Cambria" w:hAnsi="Cambria" w:cs="Calibri"/>
          <w:sz w:val="20"/>
          <w:szCs w:val="20"/>
          <w:lang w:val="es-ES"/>
        </w:rPr>
        <w:t xml:space="preserve">de lo anterior, </w:t>
      </w:r>
      <w:r w:rsidRPr="00A92DA2">
        <w:rPr>
          <w:rFonts w:ascii="Cambria" w:hAnsi="Cambria" w:cs="Calibri"/>
          <w:sz w:val="20"/>
          <w:szCs w:val="20"/>
          <w:lang w:val="es-ES"/>
        </w:rPr>
        <w:t>la Comisión reitera que, para los efectos de determinar la admisibilidad de un reclamo de la naturaleza del presente, no constituye la vía idónea ni resulta necesario su agotamiento, dado que no es adecuada para proporcionar una reparación integral y justicia a los familiares. Atendido lo anterior, la CIDH concluye que en el presente caso aplica la excepción al agotamiento de los recursos internos prevista en el artículo 46.2.c de la Convención Americana.</w:t>
      </w:r>
      <w:r w:rsidRPr="00A92DA2">
        <w:rPr>
          <w:rStyle w:val="FootnoteReference"/>
          <w:rFonts w:ascii="Cambria" w:eastAsia="Trebuchet MS" w:hAnsi="Cambria" w:cs="Calibri"/>
          <w:sz w:val="20"/>
          <w:szCs w:val="20"/>
          <w:lang w:val="es-ES"/>
        </w:rPr>
        <w:footnoteReference w:id="13"/>
      </w:r>
    </w:p>
    <w:p w14:paraId="38F96E89" w14:textId="28702733" w:rsidR="00111E46" w:rsidRPr="00A92DA2" w:rsidRDefault="00111E46" w:rsidP="002D40AD">
      <w:pPr>
        <w:numPr>
          <w:ilvl w:val="0"/>
          <w:numId w:val="2"/>
        </w:numPr>
        <w:suppressAutoHyphens/>
        <w:spacing w:after="120"/>
        <w:jc w:val="both"/>
        <w:rPr>
          <w:rFonts w:ascii="Cambria" w:hAnsi="Cambria" w:cs="Calibri"/>
          <w:color w:val="000000" w:themeColor="text1"/>
          <w:sz w:val="20"/>
          <w:szCs w:val="20"/>
          <w:lang w:val="es-ES"/>
        </w:rPr>
      </w:pPr>
      <w:r w:rsidRPr="00A92DA2">
        <w:rPr>
          <w:rFonts w:ascii="Cambria" w:eastAsia="Arial Unicode MS" w:hAnsi="Cambria"/>
          <w:color w:val="000000" w:themeColor="text1"/>
          <w:sz w:val="20"/>
          <w:szCs w:val="20"/>
          <w:lang w:val="es-ES" w:eastAsia="en-US"/>
        </w:rPr>
        <w:lastRenderedPageBreak/>
        <w:t xml:space="preserve">En el presente caso, la petición fue recibida el </w:t>
      </w:r>
      <w:r w:rsidRPr="00A92DA2">
        <w:rPr>
          <w:rFonts w:ascii="Cambria" w:hAnsi="Cambria"/>
          <w:bCs/>
          <w:color w:val="000000" w:themeColor="text1"/>
          <w:sz w:val="20"/>
          <w:szCs w:val="20"/>
          <w:lang w:val="es-ES"/>
        </w:rPr>
        <w:t>6 de enero de 2011</w:t>
      </w:r>
      <w:r w:rsidRPr="00A92DA2">
        <w:rPr>
          <w:rFonts w:ascii="Cambria" w:eastAsia="Arial Unicode MS" w:hAnsi="Cambria"/>
          <w:color w:val="000000" w:themeColor="text1"/>
          <w:sz w:val="20"/>
          <w:szCs w:val="20"/>
          <w:lang w:val="es-ES" w:eastAsia="en-US"/>
        </w:rPr>
        <w:t xml:space="preserve">, y los hechos materia de reclamo se iniciaron el enero de 2000, y los efectos de los hechos materia de reclamo se extenderían hasta el presente, por lo que la CIDH concluye que la petición fue presentada dentro de un plazo razonable y da por satisfecho el requisito del artículo 32.2 del Reglamento. </w:t>
      </w:r>
    </w:p>
    <w:p w14:paraId="541262FF" w14:textId="77777777" w:rsidR="00111E46" w:rsidRPr="00A92DA2" w:rsidRDefault="00111E46" w:rsidP="00111E46">
      <w:pPr>
        <w:pStyle w:val="ListParagraph"/>
        <w:spacing w:before="240" w:after="240"/>
        <w:jc w:val="both"/>
        <w:rPr>
          <w:b/>
          <w:bCs/>
          <w:sz w:val="20"/>
          <w:szCs w:val="20"/>
          <w:lang w:val="es-UY"/>
        </w:rPr>
      </w:pPr>
      <w:r w:rsidRPr="00A92DA2">
        <w:rPr>
          <w:b/>
          <w:bCs/>
          <w:sz w:val="20"/>
          <w:szCs w:val="20"/>
          <w:lang w:val="es-ES"/>
        </w:rPr>
        <w:t>VII.</w:t>
      </w:r>
      <w:r w:rsidRPr="00A92DA2">
        <w:rPr>
          <w:b/>
          <w:bCs/>
          <w:sz w:val="20"/>
          <w:szCs w:val="20"/>
          <w:lang w:val="es-ES"/>
        </w:rPr>
        <w:tab/>
      </w:r>
      <w:r w:rsidRPr="00A92DA2">
        <w:rPr>
          <w:b/>
          <w:bCs/>
          <w:sz w:val="20"/>
          <w:szCs w:val="20"/>
          <w:lang w:val="es-ES_tradnl"/>
        </w:rPr>
        <w:t xml:space="preserve">ANÁLISIS DE </w:t>
      </w:r>
      <w:r w:rsidRPr="00A92DA2">
        <w:rPr>
          <w:b/>
          <w:bCs/>
          <w:sz w:val="20"/>
          <w:szCs w:val="20"/>
          <w:lang w:val="es-ES"/>
        </w:rPr>
        <w:t xml:space="preserve">CARACTERIZACIÓN </w:t>
      </w:r>
      <w:r w:rsidRPr="00A92DA2">
        <w:rPr>
          <w:b/>
          <w:bCs/>
          <w:sz w:val="20"/>
          <w:szCs w:val="20"/>
          <w:lang w:val="es-UY"/>
        </w:rPr>
        <w:t>DE LOS HECHOS ALEGADOS</w:t>
      </w:r>
    </w:p>
    <w:p w14:paraId="606CB9AF" w14:textId="560E4ED4" w:rsidR="00111E46" w:rsidRPr="00A92DA2" w:rsidRDefault="00111E46" w:rsidP="00111E46">
      <w:pPr>
        <w:numPr>
          <w:ilvl w:val="0"/>
          <w:numId w:val="2"/>
        </w:numPr>
        <w:suppressAutoHyphens/>
        <w:spacing w:after="120"/>
        <w:jc w:val="both"/>
        <w:rPr>
          <w:rFonts w:ascii="Cambria" w:hAnsi="Cambria"/>
          <w:color w:val="000000" w:themeColor="text1"/>
          <w:sz w:val="20"/>
          <w:szCs w:val="20"/>
          <w:lang w:val="es-419"/>
        </w:rPr>
      </w:pPr>
      <w:r w:rsidRPr="00A92DA2">
        <w:rPr>
          <w:rFonts w:ascii="Cambria" w:hAnsi="Cambria"/>
          <w:color w:val="000000" w:themeColor="text1"/>
          <w:sz w:val="20"/>
          <w:szCs w:val="20"/>
          <w:lang w:val="es-ES"/>
        </w:rPr>
        <w:t>La Comisión observa que la presente petición incluye alegaciones sobre la</w:t>
      </w:r>
      <w:r w:rsidRPr="00A92DA2">
        <w:rPr>
          <w:rFonts w:ascii="Cambria" w:hAnsi="Cambria"/>
          <w:color w:val="000000" w:themeColor="text1"/>
          <w:sz w:val="20"/>
          <w:szCs w:val="20"/>
          <w:lang w:val="es-419"/>
        </w:rPr>
        <w:t xml:space="preserve"> aquiescencia y tolerancia de los agentes estatales en la masacre ocurrida en el Corregimiento de Santa Cecilia cometido por el grupo paramilitar AUC, toda vez que las autoridades militares y la </w:t>
      </w:r>
      <w:r w:rsidR="001D2CBD" w:rsidRPr="00A92DA2">
        <w:rPr>
          <w:rFonts w:ascii="Cambria" w:hAnsi="Cambria"/>
          <w:color w:val="000000" w:themeColor="text1"/>
          <w:sz w:val="20"/>
          <w:szCs w:val="20"/>
          <w:lang w:val="es-419"/>
        </w:rPr>
        <w:t>policía</w:t>
      </w:r>
      <w:r w:rsidRPr="00A92DA2">
        <w:rPr>
          <w:rFonts w:ascii="Cambria" w:hAnsi="Cambria"/>
          <w:color w:val="000000" w:themeColor="text1"/>
          <w:sz w:val="20"/>
          <w:szCs w:val="20"/>
          <w:lang w:val="es-419"/>
        </w:rPr>
        <w:t xml:space="preserve"> </w:t>
      </w:r>
      <w:r w:rsidR="00F207F1" w:rsidRPr="00A92DA2">
        <w:rPr>
          <w:rFonts w:ascii="Cambria" w:hAnsi="Cambria"/>
          <w:color w:val="000000" w:themeColor="text1"/>
          <w:sz w:val="20"/>
          <w:szCs w:val="20"/>
          <w:lang w:val="es-419"/>
        </w:rPr>
        <w:t xml:space="preserve">habrían tenido </w:t>
      </w:r>
      <w:r w:rsidRPr="00A92DA2">
        <w:rPr>
          <w:rFonts w:ascii="Cambria" w:hAnsi="Cambria"/>
          <w:color w:val="000000" w:themeColor="text1"/>
          <w:sz w:val="20"/>
          <w:szCs w:val="20"/>
          <w:lang w:val="es-419"/>
        </w:rPr>
        <w:t xml:space="preserve">conocimiento de </w:t>
      </w:r>
      <w:r w:rsidR="001D2CBD" w:rsidRPr="00A92DA2">
        <w:rPr>
          <w:rFonts w:ascii="Cambria" w:hAnsi="Cambria"/>
          <w:color w:val="000000" w:themeColor="text1"/>
          <w:sz w:val="20"/>
          <w:szCs w:val="20"/>
          <w:lang w:val="es-419"/>
        </w:rPr>
        <w:t>amenazas</w:t>
      </w:r>
      <w:r w:rsidRPr="00A92DA2">
        <w:rPr>
          <w:rFonts w:ascii="Cambria" w:hAnsi="Cambria"/>
          <w:color w:val="000000" w:themeColor="text1"/>
          <w:sz w:val="20"/>
          <w:szCs w:val="20"/>
          <w:lang w:val="es-419"/>
        </w:rPr>
        <w:t xml:space="preserve"> sufridas por las presuntas víctimas y </w:t>
      </w:r>
      <w:r w:rsidR="00F207F1" w:rsidRPr="00A92DA2">
        <w:rPr>
          <w:rFonts w:ascii="Cambria" w:hAnsi="Cambria"/>
          <w:color w:val="000000" w:themeColor="text1"/>
          <w:sz w:val="20"/>
          <w:szCs w:val="20"/>
          <w:lang w:val="es-419"/>
        </w:rPr>
        <w:t xml:space="preserve">habrían facilitado </w:t>
      </w:r>
      <w:r w:rsidRPr="00A92DA2">
        <w:rPr>
          <w:rFonts w:ascii="Cambria" w:hAnsi="Cambria"/>
          <w:color w:val="000000" w:themeColor="text1"/>
          <w:sz w:val="20"/>
          <w:szCs w:val="20"/>
          <w:lang w:val="es-419"/>
        </w:rPr>
        <w:t xml:space="preserve">el traslado de los paramilitares por los puestos del </w:t>
      </w:r>
      <w:r w:rsidR="001D2CBD" w:rsidRPr="00A92DA2">
        <w:rPr>
          <w:rFonts w:ascii="Cambria" w:hAnsi="Cambria"/>
          <w:color w:val="000000" w:themeColor="text1"/>
          <w:sz w:val="20"/>
          <w:szCs w:val="20"/>
          <w:lang w:val="es-419"/>
        </w:rPr>
        <w:t>ejército</w:t>
      </w:r>
      <w:r w:rsidRPr="00A92DA2">
        <w:rPr>
          <w:rFonts w:ascii="Cambria" w:hAnsi="Cambria"/>
          <w:color w:val="000000" w:themeColor="text1"/>
          <w:sz w:val="20"/>
          <w:szCs w:val="20"/>
          <w:lang w:val="es-419"/>
        </w:rPr>
        <w:t xml:space="preserve"> y estaciones de la </w:t>
      </w:r>
      <w:r w:rsidR="001D2CBD" w:rsidRPr="00A92DA2">
        <w:rPr>
          <w:rFonts w:ascii="Cambria" w:hAnsi="Cambria"/>
          <w:color w:val="000000" w:themeColor="text1"/>
          <w:sz w:val="20"/>
          <w:szCs w:val="20"/>
          <w:lang w:val="es-419"/>
        </w:rPr>
        <w:t>policía</w:t>
      </w:r>
      <w:r w:rsidRPr="00A92DA2">
        <w:rPr>
          <w:rFonts w:ascii="Cambria" w:hAnsi="Cambria"/>
          <w:color w:val="000000" w:themeColor="text1"/>
          <w:sz w:val="20"/>
          <w:szCs w:val="20"/>
          <w:lang w:val="es-419"/>
        </w:rPr>
        <w:t xml:space="preserve">. Tal situación generó la muerte, la tortura, la violencia sexual, la perdida de bienes de las presuntas víctimas, y acarreó el posterior desplazamiento forzado de casi 300 personas. Asimismo, la Comisión considera que </w:t>
      </w:r>
      <w:r w:rsidR="008C1C3F" w:rsidRPr="00A92DA2">
        <w:rPr>
          <w:rFonts w:ascii="Cambria" w:hAnsi="Cambria"/>
          <w:color w:val="000000" w:themeColor="text1"/>
          <w:sz w:val="20"/>
          <w:szCs w:val="20"/>
          <w:lang w:val="es-419"/>
        </w:rPr>
        <w:t>dicha petición incluye</w:t>
      </w:r>
      <w:r w:rsidRPr="00A92DA2">
        <w:rPr>
          <w:rFonts w:ascii="Cambria" w:hAnsi="Cambria"/>
          <w:color w:val="000000" w:themeColor="text1"/>
          <w:sz w:val="20"/>
          <w:szCs w:val="20"/>
          <w:lang w:val="es-419"/>
        </w:rPr>
        <w:t xml:space="preserve"> alegaciones en cuanto a la </w:t>
      </w:r>
      <w:r w:rsidRPr="00A92DA2">
        <w:rPr>
          <w:rFonts w:ascii="Cambria" w:hAnsi="Cambria"/>
          <w:color w:val="000000" w:themeColor="text1"/>
          <w:sz w:val="20"/>
          <w:szCs w:val="20"/>
          <w:lang w:val="es-ES"/>
        </w:rPr>
        <w:t xml:space="preserve">falta de protección del Estado frente a amenazas recibidas, la alegada falta de protección de parte del Estado de Colombia por el desplazamiento; y la falta de investigación y sanción de </w:t>
      </w:r>
      <w:r w:rsidR="00972D82" w:rsidRPr="00A92DA2">
        <w:rPr>
          <w:rFonts w:ascii="Cambria" w:hAnsi="Cambria"/>
          <w:color w:val="000000" w:themeColor="text1"/>
          <w:sz w:val="20"/>
          <w:szCs w:val="20"/>
          <w:lang w:val="es-ES"/>
        </w:rPr>
        <w:t xml:space="preserve">todos </w:t>
      </w:r>
      <w:r w:rsidRPr="00A92DA2">
        <w:rPr>
          <w:rFonts w:ascii="Cambria" w:hAnsi="Cambria"/>
          <w:color w:val="000000" w:themeColor="text1"/>
          <w:sz w:val="20"/>
          <w:szCs w:val="20"/>
          <w:lang w:val="es-ES"/>
        </w:rPr>
        <w:t xml:space="preserve">los responsables. Además, la petición presenta alegatos cuanto a la afectación de la masacre y del desplazamiento en la vida privada de las presuntas víctimas, en los niños y niñas y </w:t>
      </w:r>
      <w:r w:rsidRPr="00A92DA2">
        <w:rPr>
          <w:rFonts w:ascii="Cambria" w:hAnsi="Cambria"/>
          <w:color w:val="000000" w:themeColor="text1"/>
          <w:sz w:val="20"/>
          <w:szCs w:val="20"/>
          <w:lang w:val="es-419"/>
        </w:rPr>
        <w:t>en el derecho a la circulación.</w:t>
      </w:r>
      <w:r w:rsidR="00F207F1" w:rsidRPr="00A92DA2">
        <w:rPr>
          <w:lang w:val="es-US"/>
        </w:rPr>
        <w:t xml:space="preserve"> </w:t>
      </w:r>
    </w:p>
    <w:p w14:paraId="263FB05D" w14:textId="6AF3E426" w:rsidR="00E94F5A" w:rsidRPr="00A92DA2" w:rsidRDefault="00111E46" w:rsidP="00E94F5A">
      <w:pPr>
        <w:numPr>
          <w:ilvl w:val="0"/>
          <w:numId w:val="2"/>
        </w:numPr>
        <w:suppressAutoHyphens/>
        <w:spacing w:after="240"/>
        <w:jc w:val="both"/>
        <w:rPr>
          <w:rFonts w:ascii="Cambria" w:hAnsi="Cambria"/>
          <w:color w:val="000000" w:themeColor="text1"/>
          <w:sz w:val="20"/>
          <w:szCs w:val="20"/>
          <w:lang w:val="es-ES"/>
        </w:rPr>
      </w:pPr>
      <w:r w:rsidRPr="00A92DA2">
        <w:rPr>
          <w:rFonts w:ascii="Cambria" w:hAnsi="Cambria"/>
          <w:color w:val="000000" w:themeColor="text1"/>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A92DA2">
        <w:rPr>
          <w:rFonts w:ascii="Cambria" w:hAnsi="Cambria"/>
          <w:bCs/>
          <w:color w:val="000000" w:themeColor="text1"/>
          <w:sz w:val="20"/>
          <w:szCs w:val="20"/>
          <w:lang w:val="es-ES"/>
        </w:rPr>
        <w:t>4 (vida</w:t>
      </w:r>
      <w:r w:rsidRPr="00A92DA2">
        <w:rPr>
          <w:rStyle w:val="FootnoteReference"/>
          <w:rFonts w:ascii="Cambria" w:hAnsi="Cambria"/>
          <w:bCs/>
          <w:color w:val="000000" w:themeColor="text1"/>
          <w:sz w:val="20"/>
          <w:szCs w:val="20"/>
          <w:lang w:val="es-419"/>
        </w:rPr>
        <w:footnoteReference w:id="14"/>
      </w:r>
      <w:r w:rsidRPr="00A92DA2">
        <w:rPr>
          <w:rFonts w:ascii="Cambria" w:hAnsi="Cambria"/>
          <w:bCs/>
          <w:color w:val="000000" w:themeColor="text1"/>
          <w:sz w:val="20"/>
          <w:szCs w:val="20"/>
          <w:lang w:val="es-ES"/>
        </w:rPr>
        <w:t xml:space="preserve">), 5 (integridad personal), </w:t>
      </w:r>
      <w:r w:rsidR="00231FE9" w:rsidRPr="00A92DA2">
        <w:rPr>
          <w:rFonts w:ascii="Cambria" w:hAnsi="Cambria"/>
          <w:bCs/>
          <w:sz w:val="20"/>
          <w:szCs w:val="20"/>
          <w:lang w:val="es-US"/>
        </w:rPr>
        <w:t xml:space="preserve">6 (prohibición de la esclavitud y servidumbre), 7 (libertad personal), </w:t>
      </w:r>
      <w:r w:rsidRPr="00A92DA2">
        <w:rPr>
          <w:rFonts w:ascii="Cambria" w:hAnsi="Cambria"/>
          <w:bCs/>
          <w:color w:val="000000" w:themeColor="text1"/>
          <w:sz w:val="20"/>
          <w:szCs w:val="20"/>
          <w:lang w:val="es-ES"/>
        </w:rPr>
        <w:t xml:space="preserve">8 (garantías judiciales), 11 (protección de la honra y de la dignidad), </w:t>
      </w:r>
      <w:r w:rsidRPr="00A92DA2">
        <w:rPr>
          <w:rFonts w:ascii="Cambria" w:hAnsi="Cambria"/>
          <w:bCs/>
          <w:sz w:val="20"/>
          <w:szCs w:val="20"/>
          <w:lang w:val="es-ES"/>
        </w:rPr>
        <w:t xml:space="preserve">17 (protección a la familia), </w:t>
      </w:r>
      <w:r w:rsidRPr="00A92DA2">
        <w:rPr>
          <w:rFonts w:ascii="Cambria" w:hAnsi="Cambria"/>
          <w:bCs/>
          <w:color w:val="000000" w:themeColor="text1"/>
          <w:sz w:val="20"/>
          <w:szCs w:val="20"/>
          <w:lang w:val="es-ES"/>
        </w:rPr>
        <w:t>19 (derechos del niño), 21 (propiedad privada),</w:t>
      </w:r>
      <w:r w:rsidR="00F207F1" w:rsidRPr="00A92DA2">
        <w:rPr>
          <w:rFonts w:ascii="Cambria" w:hAnsi="Cambria"/>
          <w:bCs/>
          <w:color w:val="000000" w:themeColor="text1"/>
          <w:sz w:val="20"/>
          <w:szCs w:val="20"/>
          <w:lang w:val="es-ES"/>
        </w:rPr>
        <w:t xml:space="preserve"> </w:t>
      </w:r>
      <w:r w:rsidR="00E94F5A" w:rsidRPr="00A92DA2">
        <w:rPr>
          <w:rFonts w:ascii="Cambria" w:hAnsi="Cambria"/>
          <w:bCs/>
          <w:color w:val="000000" w:themeColor="text1"/>
          <w:sz w:val="20"/>
          <w:szCs w:val="20"/>
          <w:lang w:val="es-ES"/>
        </w:rPr>
        <w:t xml:space="preserve">y </w:t>
      </w:r>
      <w:r w:rsidRPr="00A92DA2">
        <w:rPr>
          <w:rFonts w:ascii="Cambria" w:hAnsi="Cambria"/>
          <w:bCs/>
          <w:color w:val="000000" w:themeColor="text1"/>
          <w:sz w:val="20"/>
          <w:szCs w:val="20"/>
          <w:lang w:val="es-ES"/>
        </w:rPr>
        <w:t xml:space="preserve">25 (protección judicial) de la Convención Americana </w:t>
      </w:r>
      <w:r w:rsidRPr="00A92DA2">
        <w:rPr>
          <w:rFonts w:ascii="Cambria" w:hAnsi="Cambria"/>
          <w:bCs/>
          <w:color w:val="000000" w:themeColor="text1"/>
          <w:sz w:val="20"/>
          <w:szCs w:val="20"/>
          <w:lang w:val="es-419"/>
        </w:rPr>
        <w:t>en relación con sus artículos 1.1 (obligación de respetar los derechos) y 2 (deber de adoptar disposiciones de derecho interno) y artículo 7 de la Convención de Belém do Pará.</w:t>
      </w:r>
    </w:p>
    <w:p w14:paraId="54BA98F5" w14:textId="29A04A59" w:rsidR="00E94F5A" w:rsidRPr="00A92DA2" w:rsidRDefault="00E94F5A" w:rsidP="00E94F5A">
      <w:pPr>
        <w:numPr>
          <w:ilvl w:val="0"/>
          <w:numId w:val="2"/>
        </w:numPr>
        <w:suppressAutoHyphens/>
        <w:spacing w:after="240"/>
        <w:jc w:val="both"/>
        <w:rPr>
          <w:rFonts w:ascii="Cambria" w:hAnsi="Cambria"/>
          <w:color w:val="000000" w:themeColor="text1"/>
          <w:sz w:val="20"/>
          <w:szCs w:val="20"/>
          <w:lang w:val="es-ES"/>
        </w:rPr>
      </w:pPr>
      <w:r w:rsidRPr="00A92DA2">
        <w:rPr>
          <w:rFonts w:ascii="Cambria" w:hAnsi="Cambria"/>
          <w:sz w:val="20"/>
          <w:szCs w:val="20"/>
          <w:lang w:val="es-VE"/>
        </w:rPr>
        <w:t>La Comisión considera igualmente que teniendo en cuenta la naturaleza múltiple, compleja y continua del desplazamiento de personas, en particular aquella relacionada a las afectaciones directas que de ella se derivan sobre los derechos a la libre circulación y residencia, vivienda e integridad personal así como del desarraigo que en términos sociales y culturales se puede presentar, los alegatos relativos a este fenómeno podrían caracterizar posibles violaciones de los artículos 5 (derecho a la integridad personal), 22 (circulación y residencia)  y 26 (derechos económicos, sociales y culturales)  de la Convención Americana de manera conjunta e interconectada.</w:t>
      </w:r>
    </w:p>
    <w:p w14:paraId="49DE7078" w14:textId="0E46BDF6" w:rsidR="00111E46" w:rsidRPr="00A92DA2" w:rsidRDefault="00111E46" w:rsidP="00111E46">
      <w:pPr>
        <w:numPr>
          <w:ilvl w:val="0"/>
          <w:numId w:val="2"/>
        </w:numPr>
        <w:suppressAutoHyphens/>
        <w:spacing w:after="240"/>
        <w:jc w:val="both"/>
        <w:rPr>
          <w:rFonts w:ascii="Cambria" w:hAnsi="Cambria"/>
          <w:color w:val="000000" w:themeColor="text1"/>
          <w:sz w:val="20"/>
          <w:szCs w:val="20"/>
          <w:lang w:val="es-ES"/>
        </w:rPr>
      </w:pPr>
      <w:r w:rsidRPr="00A92DA2">
        <w:rPr>
          <w:rFonts w:ascii="Cambria" w:hAnsi="Cambria"/>
          <w:bCs/>
          <w:color w:val="000000" w:themeColor="text1"/>
          <w:sz w:val="20"/>
          <w:szCs w:val="20"/>
          <w:lang w:val="es-419"/>
        </w:rPr>
        <w:t xml:space="preserve">Sin embargo, respecto </w:t>
      </w:r>
      <w:r w:rsidR="00231FE9" w:rsidRPr="00A92DA2">
        <w:rPr>
          <w:rFonts w:ascii="Cambria" w:hAnsi="Cambria"/>
          <w:bCs/>
          <w:color w:val="000000" w:themeColor="text1"/>
          <w:sz w:val="20"/>
          <w:szCs w:val="20"/>
          <w:lang w:val="es-419"/>
        </w:rPr>
        <w:t xml:space="preserve">a la  </w:t>
      </w:r>
      <w:r w:rsidRPr="00A92DA2">
        <w:rPr>
          <w:rFonts w:ascii="Cambria" w:hAnsi="Cambria"/>
          <w:bCs/>
          <w:color w:val="000000" w:themeColor="text1"/>
          <w:sz w:val="20"/>
          <w:szCs w:val="20"/>
          <w:lang w:val="es-419"/>
        </w:rPr>
        <w:t xml:space="preserve">libertad de asociación, el derecho de reunión, los derechos </w:t>
      </w:r>
      <w:r w:rsidR="00565EAF" w:rsidRPr="00A92DA2">
        <w:rPr>
          <w:rFonts w:ascii="Cambria" w:hAnsi="Cambria"/>
          <w:bCs/>
          <w:color w:val="000000" w:themeColor="text1"/>
          <w:sz w:val="20"/>
          <w:szCs w:val="20"/>
          <w:lang w:val="es-419"/>
        </w:rPr>
        <w:t>políticos</w:t>
      </w:r>
      <w:r w:rsidRPr="00A92DA2">
        <w:rPr>
          <w:rFonts w:ascii="Cambria" w:hAnsi="Cambria"/>
          <w:bCs/>
          <w:color w:val="000000" w:themeColor="text1"/>
          <w:sz w:val="20"/>
          <w:szCs w:val="20"/>
          <w:lang w:val="es-419"/>
        </w:rPr>
        <w:t xml:space="preserve">, el derecho a la </w:t>
      </w:r>
      <w:r w:rsidR="00565EAF" w:rsidRPr="00A92DA2">
        <w:rPr>
          <w:rFonts w:ascii="Cambria" w:hAnsi="Cambria"/>
          <w:bCs/>
          <w:color w:val="000000" w:themeColor="text1"/>
          <w:sz w:val="20"/>
          <w:szCs w:val="20"/>
          <w:lang w:val="es-419"/>
        </w:rPr>
        <w:t>igualdad</w:t>
      </w:r>
      <w:r w:rsidRPr="00A92DA2">
        <w:rPr>
          <w:rFonts w:ascii="Cambria" w:hAnsi="Cambria" w:cs="Calibri"/>
          <w:sz w:val="20"/>
          <w:szCs w:val="20"/>
          <w:lang w:val="es-ES_tradnl"/>
        </w:rPr>
        <w:t xml:space="preserve">, la Comisión observa que la parte peticionaria plantea los alegatos en términos generales, por ejemplo, no indica en qué sentido se habrían recabado en forma ilegal las pruebas en contra de la presunta víctima, motivo por el cual la CIDH no identifica, </w:t>
      </w:r>
      <w:r w:rsidRPr="00A92DA2">
        <w:rPr>
          <w:rFonts w:ascii="Cambria" w:hAnsi="Cambria" w:cs="Calibri"/>
          <w:i/>
          <w:sz w:val="20"/>
          <w:szCs w:val="20"/>
          <w:lang w:val="es-ES_tradnl"/>
        </w:rPr>
        <w:t>prima facie</w:t>
      </w:r>
      <w:r w:rsidRPr="00A92DA2">
        <w:rPr>
          <w:rFonts w:ascii="Cambria" w:hAnsi="Cambria" w:cs="Calibri"/>
          <w:sz w:val="20"/>
          <w:szCs w:val="20"/>
          <w:lang w:val="es-ES_tradnl"/>
        </w:rPr>
        <w:t>, la caracterización de posibles violaciones a la Convención Americana</w:t>
      </w:r>
      <w:r w:rsidRPr="00A92DA2">
        <w:rPr>
          <w:rStyle w:val="FootnoteReference"/>
          <w:rFonts w:ascii="Cambria" w:eastAsia="Trebuchet MS" w:hAnsi="Cambria" w:cs="Calibri"/>
          <w:sz w:val="20"/>
          <w:szCs w:val="20"/>
        </w:rPr>
        <w:footnoteReference w:id="15"/>
      </w:r>
      <w:r w:rsidRPr="00A92DA2">
        <w:rPr>
          <w:rFonts w:ascii="Cambria" w:hAnsi="Cambria" w:cs="Calibri"/>
          <w:sz w:val="20"/>
          <w:szCs w:val="20"/>
          <w:lang w:val="es-ES_tradnl"/>
        </w:rPr>
        <w:t>.</w:t>
      </w:r>
    </w:p>
    <w:p w14:paraId="758D7924" w14:textId="77777777" w:rsidR="00111E46" w:rsidRPr="00A92DA2" w:rsidRDefault="00111E46" w:rsidP="00111E46">
      <w:pPr>
        <w:pStyle w:val="ListParagraph"/>
        <w:spacing w:before="240" w:after="240"/>
        <w:jc w:val="both"/>
        <w:rPr>
          <w:b/>
          <w:bCs/>
          <w:sz w:val="20"/>
          <w:szCs w:val="20"/>
          <w:lang w:val="es-ES"/>
        </w:rPr>
      </w:pPr>
      <w:r w:rsidRPr="00A92DA2">
        <w:rPr>
          <w:b/>
          <w:bCs/>
          <w:sz w:val="20"/>
          <w:szCs w:val="20"/>
          <w:lang w:val="es-ES"/>
        </w:rPr>
        <w:t xml:space="preserve">VIII. </w:t>
      </w:r>
      <w:r w:rsidRPr="00A92DA2">
        <w:rPr>
          <w:b/>
          <w:bCs/>
          <w:sz w:val="20"/>
          <w:szCs w:val="20"/>
          <w:lang w:val="es-ES"/>
        </w:rPr>
        <w:tab/>
        <w:t>DECISIÓN</w:t>
      </w:r>
    </w:p>
    <w:p w14:paraId="4F6D5A34" w14:textId="30F8AC1B" w:rsidR="00111E46" w:rsidRPr="00A92DA2" w:rsidRDefault="00111E46" w:rsidP="00111E46">
      <w:pPr>
        <w:numPr>
          <w:ilvl w:val="0"/>
          <w:numId w:val="1"/>
        </w:numPr>
        <w:suppressAutoHyphens/>
        <w:spacing w:after="240"/>
        <w:jc w:val="both"/>
        <w:rPr>
          <w:rFonts w:ascii="Cambria" w:hAnsi="Cambria"/>
          <w:sz w:val="20"/>
          <w:szCs w:val="20"/>
          <w:lang w:val="es-ES"/>
        </w:rPr>
      </w:pPr>
      <w:r w:rsidRPr="00A92DA2">
        <w:rPr>
          <w:rFonts w:ascii="Cambria" w:hAnsi="Cambria"/>
          <w:sz w:val="20"/>
          <w:szCs w:val="20"/>
          <w:lang w:val="es-ES"/>
        </w:rPr>
        <w:t xml:space="preserve">Declarar admisible la presente petición en relación con a los artículos </w:t>
      </w:r>
      <w:r w:rsidRPr="00A92DA2">
        <w:rPr>
          <w:rFonts w:ascii="Cambria" w:hAnsi="Cambria"/>
          <w:bCs/>
          <w:sz w:val="20"/>
          <w:szCs w:val="20"/>
          <w:lang w:val="es-ES"/>
        </w:rPr>
        <w:t>4 (vida), 5 (integridad personal),</w:t>
      </w:r>
      <w:r w:rsidR="00231FE9" w:rsidRPr="00A92DA2">
        <w:rPr>
          <w:rFonts w:ascii="Cambria" w:hAnsi="Cambria"/>
          <w:bCs/>
          <w:sz w:val="20"/>
          <w:szCs w:val="20"/>
          <w:lang w:val="es-US"/>
        </w:rPr>
        <w:t xml:space="preserve"> 6 (prohibición de la esclavitud y servidumbre), 7 (libertad personal), </w:t>
      </w:r>
      <w:r w:rsidRPr="00A92DA2">
        <w:rPr>
          <w:rFonts w:ascii="Cambria" w:hAnsi="Cambria"/>
          <w:bCs/>
          <w:sz w:val="20"/>
          <w:szCs w:val="20"/>
          <w:lang w:val="es-ES"/>
        </w:rPr>
        <w:t xml:space="preserve"> 8 (garantías judiciales), 11 (protección de la honra y de la dignidad), 19 (derechos del niño), 21 (propiedad privada), 22 (circulación y residencia)</w:t>
      </w:r>
      <w:r w:rsidR="00B6684D" w:rsidRPr="00A92DA2">
        <w:rPr>
          <w:rFonts w:ascii="Cambria" w:hAnsi="Cambria"/>
          <w:bCs/>
          <w:sz w:val="20"/>
          <w:szCs w:val="20"/>
          <w:lang w:val="es-ES"/>
        </w:rPr>
        <w:t xml:space="preserve">, </w:t>
      </w:r>
      <w:r w:rsidRPr="00A92DA2">
        <w:rPr>
          <w:rFonts w:ascii="Cambria" w:hAnsi="Cambria"/>
          <w:bCs/>
          <w:sz w:val="20"/>
          <w:szCs w:val="20"/>
          <w:lang w:val="es-ES"/>
        </w:rPr>
        <w:t>25 (protección judicial)</w:t>
      </w:r>
      <w:r w:rsidR="00B6684D" w:rsidRPr="00A92DA2">
        <w:rPr>
          <w:rFonts w:ascii="Cambria" w:hAnsi="Cambria"/>
          <w:bCs/>
          <w:sz w:val="20"/>
          <w:szCs w:val="20"/>
          <w:lang w:val="es-ES"/>
        </w:rPr>
        <w:t>, 26 (derechos económicos, sociales y culturales)</w:t>
      </w:r>
      <w:r w:rsidRPr="00A92DA2">
        <w:rPr>
          <w:rFonts w:ascii="Cambria" w:hAnsi="Cambria"/>
          <w:bCs/>
          <w:sz w:val="20"/>
          <w:szCs w:val="20"/>
          <w:lang w:val="es-ES"/>
        </w:rPr>
        <w:t xml:space="preserve"> de la Convención Americana </w:t>
      </w:r>
      <w:r w:rsidRPr="00A92DA2">
        <w:rPr>
          <w:rFonts w:ascii="Cambria" w:hAnsi="Cambria"/>
          <w:bCs/>
          <w:sz w:val="20"/>
          <w:szCs w:val="20"/>
          <w:lang w:val="es-419"/>
        </w:rPr>
        <w:t xml:space="preserve">en relación con sus artículos 1.1 (obligación de respetar los derechos) y 2 (deber de adoptar disposiciones de derecho interno) y artículo 7 de la Convención de Belém do Pará; </w:t>
      </w:r>
    </w:p>
    <w:p w14:paraId="312A6E1C" w14:textId="13901743" w:rsidR="00111E46" w:rsidRPr="00A92DA2" w:rsidRDefault="00111E46" w:rsidP="00111E46">
      <w:pPr>
        <w:numPr>
          <w:ilvl w:val="0"/>
          <w:numId w:val="1"/>
        </w:numPr>
        <w:suppressAutoHyphens/>
        <w:spacing w:after="240"/>
        <w:jc w:val="both"/>
        <w:rPr>
          <w:rFonts w:ascii="Cambria" w:hAnsi="Cambria"/>
          <w:sz w:val="20"/>
          <w:szCs w:val="20"/>
          <w:lang w:val="es-ES"/>
        </w:rPr>
      </w:pPr>
      <w:r w:rsidRPr="00A92DA2">
        <w:rPr>
          <w:rFonts w:ascii="Cambria" w:eastAsia="Arial Unicode MS" w:hAnsi="Cambria"/>
          <w:sz w:val="20"/>
          <w:szCs w:val="20"/>
          <w:lang w:val="es-ES" w:eastAsia="en-US"/>
        </w:rPr>
        <w:lastRenderedPageBreak/>
        <w:t xml:space="preserve">Declarar inadmisible la presente petición en relación con </w:t>
      </w:r>
      <w:r w:rsidRPr="00A92DA2">
        <w:rPr>
          <w:rFonts w:ascii="Cambria" w:hAnsi="Cambria"/>
          <w:sz w:val="20"/>
          <w:szCs w:val="20"/>
          <w:lang w:val="es-ES"/>
        </w:rPr>
        <w:t>los artículos</w:t>
      </w:r>
      <w:r w:rsidRPr="00A92DA2">
        <w:rPr>
          <w:rFonts w:ascii="Cambria" w:hAnsi="Cambria"/>
          <w:bCs/>
          <w:sz w:val="20"/>
          <w:szCs w:val="20"/>
          <w:lang w:val="es-ES"/>
        </w:rPr>
        <w:t>, 16 (libertad de asociación), 15 (reunión), 23 (derechos políticos), 24 (igualdad ante la ley) de la Convención Americana;</w:t>
      </w:r>
    </w:p>
    <w:p w14:paraId="43CEED41" w14:textId="77777777" w:rsidR="00111E46" w:rsidRPr="00A92DA2" w:rsidRDefault="00111E46" w:rsidP="00111E46">
      <w:pPr>
        <w:numPr>
          <w:ilvl w:val="0"/>
          <w:numId w:val="1"/>
        </w:numPr>
        <w:suppressAutoHyphens/>
        <w:spacing w:after="240"/>
        <w:jc w:val="both"/>
        <w:rPr>
          <w:rFonts w:ascii="Cambria" w:hAnsi="Cambria"/>
          <w:sz w:val="20"/>
          <w:szCs w:val="20"/>
          <w:lang w:val="es-ES"/>
        </w:rPr>
      </w:pPr>
      <w:r w:rsidRPr="00A92DA2">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C170E84" w14:textId="77777777" w:rsidR="00A01DB7" w:rsidRPr="00A92DA2" w:rsidRDefault="00A01DB7" w:rsidP="00A01DB7">
      <w:pPr>
        <w:ind w:firstLine="720"/>
        <w:jc w:val="both"/>
        <w:rPr>
          <w:rFonts w:ascii="Cambria" w:hAnsi="Cambria" w:cs="Arial"/>
          <w:noProof/>
          <w:spacing w:val="-2"/>
          <w:sz w:val="20"/>
          <w:szCs w:val="20"/>
          <w:lang w:val="es-CL"/>
        </w:rPr>
      </w:pPr>
      <w:r w:rsidRPr="00A92DA2">
        <w:rPr>
          <w:rFonts w:ascii="Cambria" w:hAnsi="Cambria" w:cs="Arial"/>
          <w:noProof/>
          <w:spacing w:val="-2"/>
          <w:sz w:val="20"/>
          <w:szCs w:val="20"/>
          <w:lang w:val="es-CL"/>
        </w:rPr>
        <w:t>Aprobado por la Comisión Interamericana de Derechos Humanos  a los 12 días del mes de diciembre de 2020.  (Firmado): Joel Hernández, Presidente; Antonia Urrejola, Primera Vicepresidenta; Flávia Piovesan, Segunda Vicepresidenta; Margarette May Macaulay, Esmeralda E. Arosemena Bernal de Troitiño, Julissa Mantilla Falcón y Stuardo Ralón Orellana, Miembros de la Comisión.</w:t>
      </w:r>
      <w:r w:rsidRPr="00A92DA2">
        <w:rPr>
          <w:rFonts w:ascii="Cambria" w:hAnsi="Cambria" w:cs="Arial"/>
          <w:noProof/>
          <w:sz w:val="20"/>
          <w:szCs w:val="20"/>
          <w:lang w:val="es-CL"/>
        </w:rPr>
        <w:t xml:space="preserve"> </w:t>
      </w:r>
    </w:p>
    <w:sectPr w:rsidR="00A01DB7" w:rsidRPr="00A92DA2" w:rsidSect="00B52252">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06422" w16cex:dateUtc="2020-09-19T15:04:00Z"/>
  <w16cex:commentExtensible w16cex:durableId="23106CC7" w16cex:dateUtc="2020-09-19T15:40:00Z"/>
  <w16cex:commentExtensible w16cex:durableId="23106E36" w16cex:dateUtc="2020-09-19T15:47:00Z"/>
  <w16cex:commentExtensible w16cex:durableId="2310737F" w16cex:dateUtc="2020-09-19T16:09:00Z"/>
  <w16cex:commentExtensible w16cex:durableId="231073BC" w16cex:dateUtc="2020-09-19T16:10:00Z"/>
  <w16cex:commentExtensible w16cex:durableId="2313008D" w16cex:dateUtc="2020-09-21T14:35:00Z"/>
  <w16cex:commentExtensible w16cex:durableId="2313038B" w16cex:dateUtc="2020-09-21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F1B1F0" w16cid:durableId="23105F58"/>
  <w16cid:commentId w16cid:paraId="409AAB0D" w16cid:durableId="23106422"/>
  <w16cid:commentId w16cid:paraId="5EA324ED" w16cid:durableId="23106CC7"/>
  <w16cid:commentId w16cid:paraId="45A46F7A" w16cid:durableId="23106E36"/>
  <w16cid:commentId w16cid:paraId="6A275783" w16cid:durableId="23105F59"/>
  <w16cid:commentId w16cid:paraId="6CBCE74E" w16cid:durableId="2310737F"/>
  <w16cid:commentId w16cid:paraId="0C6C20FC" w16cid:durableId="23105F5A"/>
  <w16cid:commentId w16cid:paraId="657FC405" w16cid:durableId="231073BC"/>
  <w16cid:commentId w16cid:paraId="3F4A63BE" w16cid:durableId="23105F5B"/>
  <w16cid:commentId w16cid:paraId="0566E33B" w16cid:durableId="2313008D"/>
  <w16cid:commentId w16cid:paraId="297F9BCD" w16cid:durableId="23105F5C"/>
  <w16cid:commentId w16cid:paraId="7D17843A" w16cid:durableId="2313038B"/>
  <w16cid:commentId w16cid:paraId="4A40B5FF" w16cid:durableId="23105F5D"/>
  <w16cid:commentId w16cid:paraId="79F8C513" w16cid:durableId="23105F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81DFA" w14:textId="77777777" w:rsidR="002B7F57" w:rsidRDefault="002B7F57" w:rsidP="00111E46">
      <w:r>
        <w:separator/>
      </w:r>
    </w:p>
  </w:endnote>
  <w:endnote w:type="continuationSeparator" w:id="0">
    <w:p w14:paraId="6DB8FE34" w14:textId="77777777" w:rsidR="002B7F57" w:rsidRDefault="002B7F57" w:rsidP="0011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8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BD7F" w14:textId="77777777" w:rsidR="00FC6B52" w:rsidRDefault="00FC6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9786765" w14:textId="309C306F" w:rsidR="008C1880" w:rsidRPr="00934A2C" w:rsidRDefault="008C188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C6B52">
          <w:rPr>
            <w:noProof/>
            <w:sz w:val="16"/>
            <w:szCs w:val="22"/>
          </w:rPr>
          <w:t>3</w:t>
        </w:r>
        <w:r w:rsidRPr="00934A2C">
          <w:rPr>
            <w:noProof/>
            <w:sz w:val="16"/>
            <w:szCs w:val="22"/>
          </w:rPr>
          <w:fldChar w:fldCharType="end"/>
        </w:r>
      </w:p>
    </w:sdtContent>
  </w:sdt>
  <w:p w14:paraId="4B237E9C" w14:textId="77777777" w:rsidR="008C1880" w:rsidRDefault="008C18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FA4FC" w14:textId="77777777" w:rsidR="008C1880" w:rsidRPr="00934A2C" w:rsidRDefault="008C1880">
    <w:pPr>
      <w:pStyle w:val="Footer"/>
      <w:jc w:val="center"/>
      <w:rPr>
        <w:sz w:val="16"/>
        <w:szCs w:val="22"/>
      </w:rPr>
    </w:pPr>
  </w:p>
  <w:p w14:paraId="23A8FFB6" w14:textId="77777777" w:rsidR="008C1880" w:rsidRDefault="008C1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2A15B" w14:textId="77777777" w:rsidR="002B7F57" w:rsidRDefault="002B7F57" w:rsidP="00111E46">
      <w:r>
        <w:separator/>
      </w:r>
    </w:p>
  </w:footnote>
  <w:footnote w:type="continuationSeparator" w:id="0">
    <w:p w14:paraId="099C851A" w14:textId="77777777" w:rsidR="002B7F57" w:rsidRDefault="002B7F57" w:rsidP="00111E46">
      <w:r>
        <w:continuationSeparator/>
      </w:r>
    </w:p>
  </w:footnote>
  <w:footnote w:id="1">
    <w:p w14:paraId="27423FB7" w14:textId="540F929A" w:rsidR="008C1880" w:rsidRPr="00817999" w:rsidRDefault="00A01DB7" w:rsidP="00A01DB7">
      <w:pPr>
        <w:pStyle w:val="FootnoteText"/>
        <w:tabs>
          <w:tab w:val="left" w:pos="810"/>
        </w:tabs>
        <w:rPr>
          <w:rFonts w:ascii="Cambria" w:hAnsi="Cambria"/>
          <w:sz w:val="16"/>
          <w:szCs w:val="16"/>
          <w:lang w:val="es-US"/>
        </w:rPr>
      </w:pPr>
      <w:r>
        <w:rPr>
          <w:rFonts w:ascii="Cambria" w:hAnsi="Cambria"/>
          <w:sz w:val="16"/>
          <w:szCs w:val="16"/>
          <w:lang w:val="es-US"/>
        </w:rPr>
        <w:tab/>
      </w:r>
      <w:r w:rsidR="008C1880" w:rsidRPr="0092160D">
        <w:rPr>
          <w:rStyle w:val="FootnoteReference"/>
          <w:rFonts w:ascii="Cambria" w:hAnsi="Cambria"/>
          <w:sz w:val="16"/>
          <w:szCs w:val="16"/>
        </w:rPr>
        <w:footnoteRef/>
      </w:r>
      <w:r w:rsidR="008C1880" w:rsidRPr="00817999">
        <w:rPr>
          <w:rFonts w:ascii="Cambria" w:hAnsi="Cambria"/>
          <w:sz w:val="16"/>
          <w:szCs w:val="16"/>
          <w:lang w:val="es-US"/>
        </w:rPr>
        <w:t xml:space="preserve"> </w:t>
      </w:r>
      <w:r w:rsidR="008C1880" w:rsidRPr="00817999">
        <w:rPr>
          <w:rFonts w:ascii="Cambria" w:hAnsi="Cambria"/>
          <w:bCs/>
          <w:sz w:val="16"/>
          <w:szCs w:val="16"/>
          <w:lang w:val="es-US"/>
        </w:rPr>
        <w:t>L</w:t>
      </w:r>
      <w:r w:rsidR="008C1880" w:rsidRPr="0092160D">
        <w:rPr>
          <w:rFonts w:ascii="Cambria" w:hAnsi="Cambria"/>
          <w:bCs/>
          <w:sz w:val="16"/>
          <w:szCs w:val="16"/>
          <w:lang w:val="es-ES"/>
        </w:rPr>
        <w:t xml:space="preserve">a petición refiere a </w:t>
      </w:r>
      <w:r w:rsidR="008C1880">
        <w:rPr>
          <w:rFonts w:ascii="Cambria" w:hAnsi="Cambria"/>
          <w:bCs/>
          <w:sz w:val="16"/>
          <w:szCs w:val="16"/>
          <w:lang w:val="es-ES"/>
        </w:rPr>
        <w:t>203</w:t>
      </w:r>
      <w:r w:rsidR="008C1880" w:rsidRPr="0092160D">
        <w:rPr>
          <w:rFonts w:ascii="Cambria" w:hAnsi="Cambria"/>
          <w:bCs/>
          <w:sz w:val="16"/>
          <w:szCs w:val="16"/>
          <w:lang w:val="es-ES"/>
        </w:rPr>
        <w:t xml:space="preserve"> presuntas víctimas</w:t>
      </w:r>
      <w:r w:rsidR="004E2A78">
        <w:rPr>
          <w:rFonts w:ascii="Cambria" w:hAnsi="Cambria"/>
          <w:bCs/>
          <w:sz w:val="16"/>
          <w:szCs w:val="16"/>
          <w:lang w:val="es-ES"/>
        </w:rPr>
        <w:t xml:space="preserve"> y sus familiares que serán debidamente identificadas en la etapa de fondo. </w:t>
      </w:r>
    </w:p>
  </w:footnote>
  <w:footnote w:id="2">
    <w:p w14:paraId="33930F18" w14:textId="6E041A8C" w:rsidR="008C1880" w:rsidRPr="00817999" w:rsidRDefault="00A01DB7" w:rsidP="00A01DB7">
      <w:pPr>
        <w:pStyle w:val="FootnoteText"/>
        <w:tabs>
          <w:tab w:val="left" w:pos="810"/>
        </w:tabs>
        <w:rPr>
          <w:rFonts w:ascii="Cambria" w:hAnsi="Cambria"/>
          <w:sz w:val="16"/>
          <w:szCs w:val="16"/>
          <w:lang w:val="es-US"/>
        </w:rPr>
      </w:pPr>
      <w:r>
        <w:rPr>
          <w:rFonts w:ascii="Cambria" w:hAnsi="Cambria"/>
          <w:sz w:val="16"/>
          <w:szCs w:val="16"/>
          <w:lang w:val="es-US"/>
        </w:rPr>
        <w:tab/>
      </w:r>
      <w:r w:rsidR="008C1880" w:rsidRPr="002B362D">
        <w:rPr>
          <w:rStyle w:val="FootnoteReference"/>
          <w:rFonts w:ascii="Cambria" w:hAnsi="Cambria"/>
          <w:sz w:val="16"/>
          <w:szCs w:val="16"/>
        </w:rPr>
        <w:footnoteRef/>
      </w:r>
      <w:r w:rsidR="008C1880" w:rsidRPr="00817999">
        <w:rPr>
          <w:rFonts w:ascii="Cambria" w:hAnsi="Cambria"/>
          <w:sz w:val="16"/>
          <w:szCs w:val="16"/>
          <w:lang w:val="es-US"/>
        </w:rPr>
        <w:t xml:space="preserve"> </w:t>
      </w:r>
      <w:r w:rsidR="008C1880" w:rsidRPr="002B362D">
        <w:rPr>
          <w:rFonts w:ascii="Cambria" w:hAnsi="Cambria"/>
          <w:sz w:val="16"/>
          <w:szCs w:val="16"/>
          <w:lang w:val="es-ES"/>
        </w:rPr>
        <w:t>En adelante “la Convención Americana” o “la Convención”.</w:t>
      </w:r>
    </w:p>
  </w:footnote>
  <w:footnote w:id="3">
    <w:p w14:paraId="2BB6EDBA" w14:textId="6C200DAE" w:rsidR="008C1880" w:rsidRPr="00817999" w:rsidRDefault="00A01DB7" w:rsidP="00A01DB7">
      <w:pPr>
        <w:pStyle w:val="FootnoteText"/>
        <w:tabs>
          <w:tab w:val="left" w:pos="810"/>
        </w:tabs>
        <w:rPr>
          <w:rFonts w:ascii="Cambria" w:hAnsi="Cambria"/>
          <w:sz w:val="16"/>
          <w:szCs w:val="16"/>
          <w:lang w:val="es-US"/>
        </w:rPr>
      </w:pPr>
      <w:r>
        <w:rPr>
          <w:rFonts w:ascii="Cambria" w:hAnsi="Cambria"/>
          <w:sz w:val="16"/>
          <w:szCs w:val="16"/>
          <w:lang w:val="es-US"/>
        </w:rPr>
        <w:tab/>
      </w:r>
      <w:r w:rsidR="008C1880" w:rsidRPr="002B362D">
        <w:rPr>
          <w:rStyle w:val="FootnoteReference"/>
          <w:rFonts w:ascii="Cambria" w:hAnsi="Cambria"/>
          <w:sz w:val="16"/>
          <w:szCs w:val="16"/>
        </w:rPr>
        <w:footnoteRef/>
      </w:r>
      <w:r w:rsidR="008C1880" w:rsidRPr="00817999">
        <w:rPr>
          <w:rFonts w:ascii="Cambria" w:hAnsi="Cambria"/>
          <w:sz w:val="16"/>
          <w:szCs w:val="16"/>
          <w:lang w:val="es-US"/>
        </w:rPr>
        <w:t xml:space="preserve"> En adelante “la Convención de Belém do Pará”</w:t>
      </w:r>
    </w:p>
  </w:footnote>
  <w:footnote w:id="4">
    <w:p w14:paraId="23CAC287" w14:textId="05D9D184" w:rsidR="008C1880" w:rsidRPr="002B362D" w:rsidRDefault="00A01DB7" w:rsidP="00A01DB7">
      <w:pPr>
        <w:pStyle w:val="FootnoteText"/>
        <w:tabs>
          <w:tab w:val="left" w:pos="810"/>
        </w:tabs>
        <w:jc w:val="both"/>
        <w:rPr>
          <w:rFonts w:ascii="Cambria" w:hAnsi="Cambria"/>
          <w:sz w:val="16"/>
          <w:szCs w:val="16"/>
          <w:lang w:val="es-ES"/>
        </w:rPr>
      </w:pPr>
      <w:r>
        <w:rPr>
          <w:rFonts w:ascii="Cambria" w:hAnsi="Cambria"/>
          <w:sz w:val="16"/>
          <w:szCs w:val="16"/>
          <w:lang w:val="es-ES"/>
        </w:rPr>
        <w:tab/>
      </w:r>
      <w:r w:rsidR="008C1880" w:rsidRPr="002B362D">
        <w:rPr>
          <w:rStyle w:val="FootnoteReference"/>
          <w:rFonts w:ascii="Cambria" w:hAnsi="Cambria"/>
          <w:sz w:val="16"/>
          <w:szCs w:val="16"/>
        </w:rPr>
        <w:footnoteRef/>
      </w:r>
      <w:r w:rsidR="008C1880" w:rsidRPr="002B362D">
        <w:rPr>
          <w:rFonts w:ascii="Cambria" w:hAnsi="Cambria"/>
          <w:sz w:val="16"/>
          <w:szCs w:val="16"/>
          <w:lang w:val="es-ES"/>
        </w:rPr>
        <w:t xml:space="preserve"> Las observaciones de cada parte fueron debidamente trasladadas a la parte contraria.</w:t>
      </w:r>
    </w:p>
  </w:footnote>
  <w:footnote w:id="5">
    <w:p w14:paraId="5CB94F2C" w14:textId="63675292" w:rsidR="008C1880" w:rsidRPr="007F04B0" w:rsidRDefault="00A01DB7" w:rsidP="007F04B0">
      <w:pPr>
        <w:suppressAutoHyphens/>
        <w:spacing w:after="120"/>
        <w:jc w:val="both"/>
        <w:rPr>
          <w:rFonts w:ascii="Cambria" w:hAnsi="Cambria"/>
          <w:sz w:val="16"/>
          <w:szCs w:val="16"/>
          <w:lang w:val="es-419"/>
        </w:rPr>
      </w:pPr>
      <w:r>
        <w:rPr>
          <w:rFonts w:ascii="Cambria" w:hAnsi="Cambria"/>
          <w:sz w:val="16"/>
          <w:szCs w:val="16"/>
          <w:lang w:val="es-ES"/>
        </w:rPr>
        <w:tab/>
      </w:r>
      <w:r w:rsidR="008C1880" w:rsidRPr="007F04B0">
        <w:rPr>
          <w:rStyle w:val="FootnoteReference"/>
          <w:rFonts w:ascii="Cambria" w:hAnsi="Cambria"/>
          <w:sz w:val="16"/>
          <w:szCs w:val="16"/>
        </w:rPr>
        <w:footnoteRef/>
      </w:r>
      <w:r w:rsidR="008C1880" w:rsidRPr="007F04B0">
        <w:rPr>
          <w:rFonts w:ascii="Cambria" w:hAnsi="Cambria"/>
          <w:sz w:val="16"/>
          <w:szCs w:val="16"/>
          <w:lang w:val="es-ES"/>
        </w:rPr>
        <w:t xml:space="preserve"> </w:t>
      </w:r>
      <w:r w:rsidR="008C1880">
        <w:rPr>
          <w:rFonts w:ascii="Cambria" w:hAnsi="Cambria"/>
          <w:sz w:val="16"/>
          <w:szCs w:val="16"/>
          <w:lang w:val="es-ES"/>
        </w:rPr>
        <w:t>L</w:t>
      </w:r>
      <w:proofErr w:type="spellStart"/>
      <w:r w:rsidR="008C1880" w:rsidRPr="007F04B0">
        <w:rPr>
          <w:rFonts w:ascii="Cambria" w:hAnsi="Cambria"/>
          <w:sz w:val="16"/>
          <w:szCs w:val="16"/>
          <w:lang w:val="es-419"/>
        </w:rPr>
        <w:t>a parte</w:t>
      </w:r>
      <w:proofErr w:type="spellEnd"/>
      <w:r w:rsidR="008C1880" w:rsidRPr="007F04B0">
        <w:rPr>
          <w:rFonts w:ascii="Cambria" w:hAnsi="Cambria"/>
          <w:sz w:val="16"/>
          <w:szCs w:val="16"/>
          <w:lang w:val="es-419"/>
        </w:rPr>
        <w:t xml:space="preserve"> peticionaria alega que la familia Coronado presentó denuncias por amenazas por parte de las AUC recibidas en su contra en los 1997 y 1998. Sostiene que el 8 de septiembre de </w:t>
      </w:r>
      <w:r w:rsidR="008C1880">
        <w:rPr>
          <w:rFonts w:ascii="Cambria" w:hAnsi="Cambria"/>
          <w:sz w:val="16"/>
          <w:szCs w:val="16"/>
          <w:lang w:val="es-419"/>
        </w:rPr>
        <w:t xml:space="preserve">1997 el señor </w:t>
      </w:r>
      <w:proofErr w:type="spellStart"/>
      <w:r w:rsidR="008C1880">
        <w:rPr>
          <w:rFonts w:ascii="Cambria" w:hAnsi="Cambria"/>
          <w:sz w:val="16"/>
          <w:szCs w:val="16"/>
          <w:lang w:val="es-419"/>
        </w:rPr>
        <w:t>Eulises</w:t>
      </w:r>
      <w:proofErr w:type="spellEnd"/>
      <w:r w:rsidR="008C1880">
        <w:rPr>
          <w:rFonts w:ascii="Cambria" w:hAnsi="Cambria"/>
          <w:sz w:val="16"/>
          <w:szCs w:val="16"/>
          <w:lang w:val="es-419"/>
        </w:rPr>
        <w:t xml:space="preserve"> Coronado V</w:t>
      </w:r>
      <w:r w:rsidR="008C1880" w:rsidRPr="007F04B0">
        <w:rPr>
          <w:rFonts w:ascii="Cambria" w:hAnsi="Cambria"/>
          <w:sz w:val="16"/>
          <w:szCs w:val="16"/>
          <w:lang w:val="es-419"/>
        </w:rPr>
        <w:t xml:space="preserve">idales denunció ante la Inspección Central de Policía del municipio de </w:t>
      </w:r>
      <w:proofErr w:type="spellStart"/>
      <w:r w:rsidR="008C1880" w:rsidRPr="007F04B0">
        <w:rPr>
          <w:rFonts w:ascii="Cambria" w:hAnsi="Cambria"/>
          <w:sz w:val="16"/>
          <w:szCs w:val="16"/>
          <w:lang w:val="es-419"/>
        </w:rPr>
        <w:t>Astrea</w:t>
      </w:r>
      <w:proofErr w:type="spellEnd"/>
      <w:r w:rsidR="008C1880" w:rsidRPr="007F04B0">
        <w:rPr>
          <w:rFonts w:ascii="Cambria" w:hAnsi="Cambria"/>
          <w:sz w:val="16"/>
          <w:szCs w:val="16"/>
          <w:lang w:val="es-419"/>
        </w:rPr>
        <w:t xml:space="preserve">-Cesar, de las amenazas que venía siendo objeto por parte de los paramilitares. El 6 de abril de 1998, cinco miembros de la familia Coronado denunciaron ante la Unidad Operativo del CTI de la Fiscalía General de la Nación en </w:t>
      </w:r>
      <w:proofErr w:type="spellStart"/>
      <w:r w:rsidR="008C1880" w:rsidRPr="007F04B0">
        <w:rPr>
          <w:rFonts w:ascii="Cambria" w:hAnsi="Cambria"/>
          <w:sz w:val="16"/>
          <w:szCs w:val="16"/>
          <w:lang w:val="es-419"/>
        </w:rPr>
        <w:t>Astrea</w:t>
      </w:r>
      <w:proofErr w:type="spellEnd"/>
      <w:r w:rsidR="008C1880" w:rsidRPr="007F04B0">
        <w:rPr>
          <w:rFonts w:ascii="Cambria" w:hAnsi="Cambria"/>
          <w:sz w:val="16"/>
          <w:szCs w:val="16"/>
          <w:lang w:val="es-419"/>
        </w:rPr>
        <w:t xml:space="preserve">-Cesar, las amenazas del grupo paramilitar contra ellos. El 17 de enero de 2000, miembros de las AUC incursionaron en el municipio de </w:t>
      </w:r>
      <w:proofErr w:type="spellStart"/>
      <w:r w:rsidR="008C1880" w:rsidRPr="007F04B0">
        <w:rPr>
          <w:rFonts w:ascii="Cambria" w:hAnsi="Cambria"/>
          <w:sz w:val="16"/>
          <w:szCs w:val="16"/>
          <w:lang w:val="es-419"/>
        </w:rPr>
        <w:t>Astrea</w:t>
      </w:r>
      <w:proofErr w:type="spellEnd"/>
      <w:r w:rsidR="008C1880" w:rsidRPr="007F04B0">
        <w:rPr>
          <w:rFonts w:ascii="Cambria" w:hAnsi="Cambria"/>
          <w:sz w:val="16"/>
          <w:szCs w:val="16"/>
          <w:lang w:val="es-419"/>
        </w:rPr>
        <w:t xml:space="preserve"> y mataron a cuatro personas; dicho municipio está ubicado cerca de 5 minutos del Corregimiento de Santa Clara. </w:t>
      </w:r>
    </w:p>
    <w:p w14:paraId="6A4395D1" w14:textId="0A7A4C6B" w:rsidR="008C1880" w:rsidRPr="007F04B0" w:rsidRDefault="008C1880">
      <w:pPr>
        <w:pStyle w:val="FootnoteText"/>
        <w:rPr>
          <w:lang w:val="es-419"/>
        </w:rPr>
      </w:pPr>
    </w:p>
  </w:footnote>
  <w:footnote w:id="6">
    <w:p w14:paraId="79B6719B" w14:textId="4C4012EE" w:rsidR="008C1880" w:rsidRPr="00B236C5" w:rsidRDefault="00A01DB7" w:rsidP="00B236C5">
      <w:pPr>
        <w:pStyle w:val="FootnoteText"/>
        <w:jc w:val="both"/>
        <w:rPr>
          <w:rFonts w:ascii="Cambria" w:hAnsi="Cambria"/>
          <w:sz w:val="16"/>
          <w:szCs w:val="16"/>
          <w:lang w:val="es-419"/>
        </w:rPr>
      </w:pPr>
      <w:r>
        <w:rPr>
          <w:rFonts w:ascii="Cambria" w:hAnsi="Cambria"/>
          <w:sz w:val="16"/>
          <w:szCs w:val="16"/>
          <w:lang w:val="es-419"/>
        </w:rPr>
        <w:tab/>
      </w:r>
      <w:r w:rsidR="008C1880" w:rsidRPr="00B236C5">
        <w:rPr>
          <w:rStyle w:val="FootnoteReference"/>
          <w:rFonts w:ascii="Cambria" w:hAnsi="Cambria"/>
          <w:sz w:val="16"/>
          <w:szCs w:val="16"/>
        </w:rPr>
        <w:footnoteRef/>
      </w:r>
      <w:r w:rsidR="008C1880" w:rsidRPr="00B236C5">
        <w:rPr>
          <w:rFonts w:ascii="Cambria" w:hAnsi="Cambria"/>
          <w:sz w:val="16"/>
          <w:szCs w:val="16"/>
          <w:lang w:val="es-419"/>
        </w:rPr>
        <w:t xml:space="preserve"> </w:t>
      </w:r>
      <w:r w:rsidR="008C1880" w:rsidRPr="00AD0889">
        <w:rPr>
          <w:rFonts w:ascii="Cambria" w:hAnsi="Cambria"/>
          <w:sz w:val="16"/>
          <w:szCs w:val="16"/>
          <w:lang w:val="es-419"/>
        </w:rPr>
        <w:t xml:space="preserve">La parte peticionaria afirma que el </w:t>
      </w:r>
      <w:r w:rsidR="008C1880" w:rsidRPr="00B236C5">
        <w:rPr>
          <w:rFonts w:ascii="Cambria" w:hAnsi="Cambria"/>
          <w:sz w:val="16"/>
          <w:szCs w:val="16"/>
          <w:lang w:val="es-419"/>
        </w:rPr>
        <w:t xml:space="preserve">señor </w:t>
      </w:r>
      <w:proofErr w:type="spellStart"/>
      <w:r w:rsidR="008C1880" w:rsidRPr="00B236C5">
        <w:rPr>
          <w:rFonts w:ascii="Cambria" w:hAnsi="Cambria"/>
          <w:sz w:val="16"/>
          <w:szCs w:val="16"/>
          <w:lang w:val="es-419"/>
        </w:rPr>
        <w:t>Jhon</w:t>
      </w:r>
      <w:proofErr w:type="spellEnd"/>
      <w:r w:rsidR="008C1880" w:rsidRPr="00B236C5">
        <w:rPr>
          <w:rFonts w:ascii="Cambria" w:hAnsi="Cambria"/>
          <w:sz w:val="16"/>
          <w:szCs w:val="16"/>
          <w:lang w:val="es-419"/>
        </w:rPr>
        <w:t xml:space="preserve"> Jairo Esquivel Cuadrado (en adelante “el señor Esquivel Cuadrado”), líder de las AUC, confesó en el proceso de Justicia y Paz que tres camiones turbo con los miembros paramilitares de las AUC partieron de </w:t>
      </w:r>
      <w:proofErr w:type="spellStart"/>
      <w:r w:rsidR="008C1880" w:rsidRPr="00B236C5">
        <w:rPr>
          <w:rFonts w:ascii="Cambria" w:hAnsi="Cambria"/>
          <w:sz w:val="16"/>
          <w:szCs w:val="16"/>
          <w:lang w:val="es-419"/>
        </w:rPr>
        <w:t>Publi</w:t>
      </w:r>
      <w:proofErr w:type="spellEnd"/>
      <w:r w:rsidR="008C1880" w:rsidRPr="00B236C5">
        <w:rPr>
          <w:rFonts w:ascii="Cambria" w:hAnsi="Cambria"/>
          <w:sz w:val="16"/>
          <w:szCs w:val="16"/>
          <w:lang w:val="es-419"/>
        </w:rPr>
        <w:t xml:space="preserve"> Nuevo-Magdalena pasaron por estaciones de policía como la de Pueblo Nuevo. </w:t>
      </w:r>
      <w:r w:rsidR="0069257E" w:rsidRPr="00B236C5">
        <w:rPr>
          <w:rFonts w:ascii="Cambria" w:hAnsi="Cambria"/>
          <w:sz w:val="16"/>
          <w:szCs w:val="16"/>
          <w:lang w:val="es-419"/>
        </w:rPr>
        <w:t>Siguiendo</w:t>
      </w:r>
      <w:r w:rsidR="008C1880" w:rsidRPr="00B236C5">
        <w:rPr>
          <w:rFonts w:ascii="Cambria" w:hAnsi="Cambria"/>
          <w:sz w:val="16"/>
          <w:szCs w:val="16"/>
          <w:lang w:val="es-419"/>
        </w:rPr>
        <w:t xml:space="preserve"> con la ruta, hasta llegar a Santa Cecilia, pasaron </w:t>
      </w:r>
      <w:r w:rsidR="0069257E" w:rsidRPr="00B236C5">
        <w:rPr>
          <w:rFonts w:ascii="Cambria" w:hAnsi="Cambria"/>
          <w:sz w:val="16"/>
          <w:szCs w:val="16"/>
          <w:lang w:val="es-419"/>
        </w:rPr>
        <w:t>por</w:t>
      </w:r>
      <w:r w:rsidR="008C1880" w:rsidRPr="00B236C5">
        <w:rPr>
          <w:rFonts w:ascii="Cambria" w:hAnsi="Cambria"/>
          <w:sz w:val="16"/>
          <w:szCs w:val="16"/>
          <w:lang w:val="es-419"/>
        </w:rPr>
        <w:t xml:space="preserve"> la estación de Policía de Arjona y por un puesto del ejercito </w:t>
      </w:r>
      <w:proofErr w:type="spellStart"/>
      <w:r w:rsidR="008C1880" w:rsidRPr="00B236C5">
        <w:rPr>
          <w:rFonts w:ascii="Cambria" w:hAnsi="Cambria"/>
          <w:sz w:val="16"/>
          <w:szCs w:val="16"/>
          <w:lang w:val="es-419"/>
        </w:rPr>
        <w:t>acatonado</w:t>
      </w:r>
      <w:proofErr w:type="spellEnd"/>
      <w:r w:rsidR="008C1880" w:rsidRPr="00B236C5">
        <w:rPr>
          <w:rFonts w:ascii="Cambria" w:hAnsi="Cambria"/>
          <w:sz w:val="16"/>
          <w:szCs w:val="16"/>
          <w:lang w:val="es-419"/>
        </w:rPr>
        <w:t xml:space="preserve"> en la mina de carbón de la Loma.</w:t>
      </w:r>
      <w:r w:rsidR="008C1880" w:rsidRPr="00AD0889">
        <w:rPr>
          <w:rFonts w:ascii="Cambria" w:hAnsi="Cambria"/>
          <w:sz w:val="16"/>
          <w:szCs w:val="16"/>
          <w:lang w:val="es-419"/>
        </w:rPr>
        <w:t xml:space="preserve"> Además, confesó que cometió otras masacres en </w:t>
      </w:r>
      <w:r w:rsidR="008C1880" w:rsidRPr="00B236C5">
        <w:rPr>
          <w:rFonts w:ascii="Cambria" w:hAnsi="Cambria"/>
          <w:sz w:val="16"/>
          <w:szCs w:val="16"/>
          <w:lang w:val="es-419"/>
        </w:rPr>
        <w:t xml:space="preserve"> la región del departamento del Cesar: el 18 de agosto de 1999 una masacre en el </w:t>
      </w:r>
      <w:r w:rsidR="0069257E" w:rsidRPr="00B236C5">
        <w:rPr>
          <w:rFonts w:ascii="Cambria" w:hAnsi="Cambria"/>
          <w:sz w:val="16"/>
          <w:szCs w:val="16"/>
          <w:lang w:val="es-419"/>
        </w:rPr>
        <w:t>corregimiento</w:t>
      </w:r>
      <w:r w:rsidR="008C1880" w:rsidRPr="00B236C5">
        <w:rPr>
          <w:rFonts w:ascii="Cambria" w:hAnsi="Cambria"/>
          <w:sz w:val="16"/>
          <w:szCs w:val="16"/>
          <w:lang w:val="es-419"/>
        </w:rPr>
        <w:t xml:space="preserve"> de San Roque, en donde </w:t>
      </w:r>
      <w:r w:rsidR="0069257E" w:rsidRPr="00B236C5">
        <w:rPr>
          <w:rFonts w:ascii="Cambria" w:hAnsi="Cambria"/>
          <w:sz w:val="16"/>
          <w:szCs w:val="16"/>
          <w:lang w:val="es-419"/>
        </w:rPr>
        <w:t>murieron</w:t>
      </w:r>
      <w:r w:rsidR="008C1880" w:rsidRPr="00B236C5">
        <w:rPr>
          <w:rFonts w:ascii="Cambria" w:hAnsi="Cambria"/>
          <w:sz w:val="16"/>
          <w:szCs w:val="16"/>
          <w:lang w:val="es-419"/>
        </w:rPr>
        <w:t xml:space="preserve"> 6 personas y se desplazó forzosamente a familiares y vecinos de las víctimas; el 21 de septiembre de 1999 una masacre en el </w:t>
      </w:r>
      <w:r w:rsidR="0069257E" w:rsidRPr="00B236C5">
        <w:rPr>
          <w:rFonts w:ascii="Cambria" w:hAnsi="Cambria"/>
          <w:sz w:val="16"/>
          <w:szCs w:val="16"/>
          <w:lang w:val="es-419"/>
        </w:rPr>
        <w:t>corregimiento</w:t>
      </w:r>
      <w:r w:rsidR="008C1880" w:rsidRPr="00B236C5">
        <w:rPr>
          <w:rFonts w:ascii="Cambria" w:hAnsi="Cambria"/>
          <w:sz w:val="16"/>
          <w:szCs w:val="16"/>
          <w:lang w:val="es-419"/>
        </w:rPr>
        <w:t xml:space="preserve"> de </w:t>
      </w:r>
      <w:proofErr w:type="spellStart"/>
      <w:r w:rsidR="008C1880" w:rsidRPr="00B236C5">
        <w:rPr>
          <w:rFonts w:ascii="Cambria" w:hAnsi="Cambria"/>
          <w:sz w:val="16"/>
          <w:szCs w:val="16"/>
          <w:lang w:val="es-419"/>
        </w:rPr>
        <w:t>Casacraca</w:t>
      </w:r>
      <w:proofErr w:type="spellEnd"/>
      <w:r w:rsidR="008C1880" w:rsidRPr="00B236C5">
        <w:rPr>
          <w:rFonts w:ascii="Cambria" w:hAnsi="Cambria"/>
          <w:sz w:val="16"/>
          <w:szCs w:val="16"/>
          <w:lang w:val="es-419"/>
        </w:rPr>
        <w:t xml:space="preserve">, en donde </w:t>
      </w:r>
      <w:r w:rsidR="0069257E" w:rsidRPr="00B236C5">
        <w:rPr>
          <w:rFonts w:ascii="Cambria" w:hAnsi="Cambria"/>
          <w:sz w:val="16"/>
          <w:szCs w:val="16"/>
          <w:lang w:val="es-419"/>
        </w:rPr>
        <w:t>murieron</w:t>
      </w:r>
      <w:r w:rsidR="008C1880" w:rsidRPr="00B236C5">
        <w:rPr>
          <w:rFonts w:ascii="Cambria" w:hAnsi="Cambria"/>
          <w:sz w:val="16"/>
          <w:szCs w:val="16"/>
          <w:lang w:val="es-419"/>
        </w:rPr>
        <w:t xml:space="preserve"> 6 personas y se desplazó forzosamente a los pobladores de la vereda; el 11 de octubre de 1999 una masacre en el corregimiento de Estados Unidos, en donde </w:t>
      </w:r>
      <w:r w:rsidR="0069257E" w:rsidRPr="00B236C5">
        <w:rPr>
          <w:rFonts w:ascii="Cambria" w:hAnsi="Cambria"/>
          <w:sz w:val="16"/>
          <w:szCs w:val="16"/>
          <w:lang w:val="es-419"/>
        </w:rPr>
        <w:t>murieron</w:t>
      </w:r>
      <w:r w:rsidR="008C1880" w:rsidRPr="00B236C5">
        <w:rPr>
          <w:rFonts w:ascii="Cambria" w:hAnsi="Cambria"/>
          <w:sz w:val="16"/>
          <w:szCs w:val="16"/>
          <w:lang w:val="es-419"/>
        </w:rPr>
        <w:t xml:space="preserve"> 6 personas y se desplazó forzosamente a los pobladores del corregimiento; el 18 de enero de 2000 una masacre en el corregimiento de Estados Unidos, donde </w:t>
      </w:r>
      <w:r w:rsidR="0069257E" w:rsidRPr="00B236C5">
        <w:rPr>
          <w:rFonts w:ascii="Cambria" w:hAnsi="Cambria"/>
          <w:sz w:val="16"/>
          <w:szCs w:val="16"/>
          <w:lang w:val="es-419"/>
        </w:rPr>
        <w:t>murieron</w:t>
      </w:r>
      <w:r w:rsidR="008C1880" w:rsidRPr="00B236C5">
        <w:rPr>
          <w:rFonts w:ascii="Cambria" w:hAnsi="Cambria"/>
          <w:sz w:val="16"/>
          <w:szCs w:val="16"/>
          <w:lang w:val="es-419"/>
        </w:rPr>
        <w:t xml:space="preserve"> 6 personas y se desplazó forzosamente a </w:t>
      </w:r>
      <w:r w:rsidR="008C1880" w:rsidRPr="00231FE9">
        <w:rPr>
          <w:rFonts w:ascii="Cambria" w:hAnsi="Cambria"/>
          <w:color w:val="auto"/>
          <w:sz w:val="16"/>
          <w:szCs w:val="16"/>
          <w:lang w:val="es-419"/>
        </w:rPr>
        <w:t>los pobladores del corregimiento. Asimismo, afirma que en el marco del Proceso de Justicia y Paz, el señor Rodrigo Tovar Pupo reconoció, en julio de 2007, haber ordenado la masacre de Santa Cecilia, y que actualmente se encuentra extraditado hacia los Estados Unidos por cargos de narcotráfico</w:t>
      </w:r>
    </w:p>
  </w:footnote>
  <w:footnote w:id="7">
    <w:p w14:paraId="3495733C" w14:textId="40070728" w:rsidR="008C1880" w:rsidRPr="00817999" w:rsidRDefault="00A01DB7" w:rsidP="00A01DB7">
      <w:pPr>
        <w:pStyle w:val="FootnoteText"/>
        <w:tabs>
          <w:tab w:val="left" w:pos="720"/>
        </w:tabs>
        <w:jc w:val="both"/>
        <w:rPr>
          <w:rFonts w:ascii="Cambria" w:hAnsi="Cambria"/>
          <w:sz w:val="16"/>
          <w:szCs w:val="16"/>
          <w:lang w:val="es-ES"/>
        </w:rPr>
      </w:pPr>
      <w:r>
        <w:rPr>
          <w:rFonts w:ascii="Cambria" w:hAnsi="Cambria"/>
          <w:sz w:val="16"/>
          <w:szCs w:val="16"/>
          <w:lang w:val="es-ES"/>
        </w:rPr>
        <w:tab/>
      </w:r>
      <w:r w:rsidR="008C1880" w:rsidRPr="002B362D">
        <w:rPr>
          <w:rStyle w:val="FootnoteReference"/>
          <w:rFonts w:ascii="Cambria" w:hAnsi="Cambria"/>
          <w:sz w:val="16"/>
          <w:szCs w:val="16"/>
        </w:rPr>
        <w:footnoteRef/>
      </w:r>
      <w:r w:rsidR="008C1880" w:rsidRPr="00817999">
        <w:rPr>
          <w:rFonts w:ascii="Cambria" w:hAnsi="Cambria"/>
          <w:sz w:val="16"/>
          <w:szCs w:val="16"/>
          <w:lang w:val="es-ES"/>
        </w:rPr>
        <w:t xml:space="preserve"> </w:t>
      </w:r>
      <w:r w:rsidR="008C1880" w:rsidRPr="002B362D">
        <w:rPr>
          <w:rFonts w:ascii="Cambria" w:hAnsi="Cambria"/>
          <w:sz w:val="16"/>
          <w:szCs w:val="16"/>
          <w:lang w:val="es-UY"/>
        </w:rPr>
        <w:t>La Comisión observa que la documentación presentada por las partes permite concluir que las siguientes presuntas víctima, entre las cuales existen niños y niñas, fueron certificadas en el Registro Único de Población Desplazada</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Aldo Jose Blando Madrid, Ana Dominga </w:t>
      </w:r>
      <w:proofErr w:type="spellStart"/>
      <w:r w:rsidR="008C1880" w:rsidRPr="002B362D">
        <w:rPr>
          <w:rFonts w:ascii="Cambria" w:hAnsi="Cambria"/>
          <w:bCs/>
          <w:sz w:val="16"/>
          <w:szCs w:val="16"/>
          <w:lang w:val="es-UY"/>
        </w:rPr>
        <w:t>Hernandez</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Mejia</w:t>
      </w:r>
      <w:proofErr w:type="spellEnd"/>
      <w:r w:rsidR="008C1880" w:rsidRPr="002B362D">
        <w:rPr>
          <w:rFonts w:ascii="Cambria" w:hAnsi="Cambria"/>
          <w:sz w:val="16"/>
          <w:szCs w:val="16"/>
          <w:lang w:val="es-419"/>
        </w:rPr>
        <w:t xml:space="preserve">, </w:t>
      </w:r>
      <w:r w:rsidR="008C1880" w:rsidRPr="002B362D">
        <w:rPr>
          <w:rFonts w:ascii="Cambria" w:hAnsi="Cambria"/>
          <w:bCs/>
          <w:sz w:val="16"/>
          <w:szCs w:val="16"/>
          <w:lang w:val="es-UY"/>
        </w:rPr>
        <w:t>Andres Camilo Coronado Nevado</w:t>
      </w:r>
      <w:r w:rsidR="008C1880" w:rsidRPr="002B362D">
        <w:rPr>
          <w:rFonts w:ascii="Cambria" w:hAnsi="Cambria"/>
          <w:sz w:val="16"/>
          <w:szCs w:val="16"/>
          <w:lang w:val="es-419"/>
        </w:rPr>
        <w:t xml:space="preserve">, </w:t>
      </w:r>
      <w:proofErr w:type="spellStart"/>
      <w:r w:rsidR="008C1880" w:rsidRPr="002B362D">
        <w:rPr>
          <w:rFonts w:ascii="Cambria" w:hAnsi="Cambria"/>
          <w:sz w:val="16"/>
          <w:szCs w:val="16"/>
          <w:lang w:val="es-419"/>
        </w:rPr>
        <w:t>Angely</w:t>
      </w:r>
      <w:proofErr w:type="spellEnd"/>
      <w:r w:rsidR="008C1880" w:rsidRPr="002B362D">
        <w:rPr>
          <w:rFonts w:ascii="Cambria" w:hAnsi="Cambria"/>
          <w:sz w:val="16"/>
          <w:szCs w:val="16"/>
          <w:lang w:val="es-419"/>
        </w:rPr>
        <w:t xml:space="preserve"> Dayana Gutierrez Arce, </w:t>
      </w:r>
      <w:proofErr w:type="spellStart"/>
      <w:r w:rsidR="008C1880" w:rsidRPr="002B362D">
        <w:rPr>
          <w:rFonts w:ascii="Cambria" w:hAnsi="Cambria"/>
          <w:bCs/>
          <w:sz w:val="16"/>
          <w:szCs w:val="16"/>
          <w:lang w:val="es-UY"/>
        </w:rPr>
        <w:t>Barbara</w:t>
      </w:r>
      <w:proofErr w:type="spellEnd"/>
      <w:r w:rsidR="008C1880" w:rsidRPr="002B362D">
        <w:rPr>
          <w:rFonts w:ascii="Cambria" w:hAnsi="Cambria"/>
          <w:bCs/>
          <w:sz w:val="16"/>
          <w:szCs w:val="16"/>
          <w:lang w:val="es-UY"/>
        </w:rPr>
        <w:t xml:space="preserve"> Madrid Macea</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Carlos Alfredo </w:t>
      </w:r>
      <w:proofErr w:type="spellStart"/>
      <w:r w:rsidR="008C1880" w:rsidRPr="002B362D">
        <w:rPr>
          <w:rFonts w:ascii="Cambria" w:hAnsi="Cambria"/>
          <w:bCs/>
          <w:sz w:val="16"/>
          <w:szCs w:val="16"/>
          <w:lang w:val="es-UY"/>
        </w:rPr>
        <w:t>Mejia</w:t>
      </w:r>
      <w:proofErr w:type="spellEnd"/>
      <w:r w:rsidR="008C1880" w:rsidRPr="002B362D">
        <w:rPr>
          <w:rFonts w:ascii="Cambria" w:hAnsi="Cambria"/>
          <w:bCs/>
          <w:sz w:val="16"/>
          <w:szCs w:val="16"/>
          <w:lang w:val="es-UY"/>
        </w:rPr>
        <w:t xml:space="preserve"> Carrascal</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Carmen Alicia Garcia Larios</w:t>
      </w:r>
      <w:r w:rsidR="008C1880" w:rsidRPr="002B362D">
        <w:rPr>
          <w:rFonts w:ascii="Cambria" w:hAnsi="Cambria"/>
          <w:sz w:val="16"/>
          <w:szCs w:val="16"/>
          <w:lang w:val="es-419"/>
        </w:rPr>
        <w:t xml:space="preserve">, Cesar Julio Villalobos Ospino, </w:t>
      </w:r>
      <w:proofErr w:type="spellStart"/>
      <w:r w:rsidR="008C1880" w:rsidRPr="002B362D">
        <w:rPr>
          <w:rFonts w:ascii="Cambria" w:hAnsi="Cambria"/>
          <w:bCs/>
          <w:sz w:val="16"/>
          <w:szCs w:val="16"/>
          <w:lang w:val="es-UY"/>
        </w:rPr>
        <w:t>Dagne</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Daileth</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Mejia</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Parody</w:t>
      </w:r>
      <w:proofErr w:type="spellEnd"/>
      <w:r w:rsidR="008C1880" w:rsidRPr="002B362D">
        <w:rPr>
          <w:rFonts w:ascii="Cambria" w:hAnsi="Cambria"/>
          <w:bCs/>
          <w:sz w:val="16"/>
          <w:szCs w:val="16"/>
          <w:lang w:val="es-UY"/>
        </w:rPr>
        <w:t>, Daniela Maria Garcia Ayala,</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Dario Jose Villalobos </w:t>
      </w:r>
      <w:proofErr w:type="spellStart"/>
      <w:r w:rsidR="008C1880" w:rsidRPr="002B362D">
        <w:rPr>
          <w:rFonts w:ascii="Cambria" w:hAnsi="Cambria"/>
          <w:bCs/>
          <w:sz w:val="16"/>
          <w:szCs w:val="16"/>
          <w:lang w:val="es-UY"/>
        </w:rPr>
        <w:t>Hernandez</w:t>
      </w:r>
      <w:proofErr w:type="spellEnd"/>
      <w:r w:rsidR="008C1880" w:rsidRPr="002B362D">
        <w:rPr>
          <w:rFonts w:ascii="Cambria" w:hAnsi="Cambria"/>
          <w:bCs/>
          <w:sz w:val="16"/>
          <w:szCs w:val="16"/>
          <w:lang w:val="es-UY"/>
        </w:rPr>
        <w:t xml:space="preserve">, Darwin Daniel Villalobos </w:t>
      </w:r>
      <w:proofErr w:type="spellStart"/>
      <w:r w:rsidR="008C1880" w:rsidRPr="002B362D">
        <w:rPr>
          <w:rFonts w:ascii="Cambria" w:hAnsi="Cambria"/>
          <w:bCs/>
          <w:sz w:val="16"/>
          <w:szCs w:val="16"/>
          <w:lang w:val="es-UY"/>
        </w:rPr>
        <w:t>Hernandez</w:t>
      </w:r>
      <w:proofErr w:type="spellEnd"/>
      <w:r w:rsidR="008C1880" w:rsidRPr="002B362D">
        <w:rPr>
          <w:rFonts w:ascii="Cambria" w:hAnsi="Cambria"/>
          <w:bCs/>
          <w:sz w:val="16"/>
          <w:szCs w:val="16"/>
          <w:lang w:val="es-UY"/>
        </w:rPr>
        <w:t>,</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Deiner</w:t>
      </w:r>
      <w:proofErr w:type="spellEnd"/>
      <w:r w:rsidR="008C1880" w:rsidRPr="002B362D">
        <w:rPr>
          <w:rFonts w:ascii="Cambria" w:hAnsi="Cambria"/>
          <w:bCs/>
          <w:sz w:val="16"/>
          <w:szCs w:val="16"/>
          <w:lang w:val="es-UY"/>
        </w:rPr>
        <w:t xml:space="preserve"> Jose Garcia Martinez,</w:t>
      </w:r>
      <w:r w:rsidR="008C1880" w:rsidRPr="002B362D">
        <w:rPr>
          <w:rFonts w:ascii="Cambria" w:hAnsi="Cambria"/>
          <w:sz w:val="16"/>
          <w:szCs w:val="16"/>
          <w:lang w:val="es-419"/>
        </w:rPr>
        <w:t xml:space="preserve"> </w:t>
      </w:r>
      <w:proofErr w:type="spellStart"/>
      <w:r w:rsidR="008C1880" w:rsidRPr="002B362D">
        <w:rPr>
          <w:rFonts w:ascii="Cambria" w:hAnsi="Cambria"/>
          <w:sz w:val="16"/>
          <w:szCs w:val="16"/>
          <w:lang w:val="es-419"/>
        </w:rPr>
        <w:t>Deyny</w:t>
      </w:r>
      <w:proofErr w:type="spellEnd"/>
      <w:r w:rsidR="008C1880" w:rsidRPr="002B362D">
        <w:rPr>
          <w:rFonts w:ascii="Cambria" w:hAnsi="Cambria"/>
          <w:sz w:val="16"/>
          <w:szCs w:val="16"/>
          <w:lang w:val="es-419"/>
        </w:rPr>
        <w:t xml:space="preserve"> Rosa </w:t>
      </w:r>
      <w:proofErr w:type="spellStart"/>
      <w:r w:rsidR="008C1880" w:rsidRPr="002B362D">
        <w:rPr>
          <w:rFonts w:ascii="Cambria" w:hAnsi="Cambria"/>
          <w:sz w:val="16"/>
          <w:szCs w:val="16"/>
          <w:lang w:val="es-419"/>
        </w:rPr>
        <w:t>Hernandez</w:t>
      </w:r>
      <w:proofErr w:type="spellEnd"/>
      <w:r w:rsidR="008C1880" w:rsidRPr="002B362D">
        <w:rPr>
          <w:rFonts w:ascii="Cambria" w:hAnsi="Cambria"/>
          <w:sz w:val="16"/>
          <w:szCs w:val="16"/>
          <w:lang w:val="es-419"/>
        </w:rPr>
        <w:t xml:space="preserve"> </w:t>
      </w:r>
      <w:proofErr w:type="spellStart"/>
      <w:r w:rsidR="008C1880" w:rsidRPr="002B362D">
        <w:rPr>
          <w:rFonts w:ascii="Cambria" w:hAnsi="Cambria"/>
          <w:sz w:val="16"/>
          <w:szCs w:val="16"/>
          <w:lang w:val="es-419"/>
        </w:rPr>
        <w:t>Mejia</w:t>
      </w:r>
      <w:proofErr w:type="spellEnd"/>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Diego Armando </w:t>
      </w:r>
      <w:proofErr w:type="spellStart"/>
      <w:r w:rsidR="008C1880" w:rsidRPr="002B362D">
        <w:rPr>
          <w:rFonts w:ascii="Cambria" w:hAnsi="Cambria"/>
          <w:bCs/>
          <w:sz w:val="16"/>
          <w:szCs w:val="16"/>
          <w:lang w:val="es-UY"/>
        </w:rPr>
        <w:t>Echeverria</w:t>
      </w:r>
      <w:proofErr w:type="spellEnd"/>
      <w:r w:rsidR="008C1880" w:rsidRPr="002B362D">
        <w:rPr>
          <w:rFonts w:ascii="Cambria" w:hAnsi="Cambria"/>
          <w:bCs/>
          <w:sz w:val="16"/>
          <w:szCs w:val="16"/>
          <w:lang w:val="es-UY"/>
        </w:rPr>
        <w:t xml:space="preserve"> Aguilar</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Diomaris</w:t>
      </w:r>
      <w:proofErr w:type="spellEnd"/>
      <w:r w:rsidR="008C1880" w:rsidRPr="002B362D">
        <w:rPr>
          <w:rFonts w:ascii="Cambria" w:hAnsi="Cambria"/>
          <w:bCs/>
          <w:sz w:val="16"/>
          <w:szCs w:val="16"/>
          <w:lang w:val="es-UY"/>
        </w:rPr>
        <w:t xml:space="preserve"> Nevado Silva</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Doralis</w:t>
      </w:r>
      <w:proofErr w:type="spellEnd"/>
      <w:r w:rsidR="008C1880" w:rsidRPr="002B362D">
        <w:rPr>
          <w:rFonts w:ascii="Cambria" w:hAnsi="Cambria"/>
          <w:bCs/>
          <w:sz w:val="16"/>
          <w:szCs w:val="16"/>
          <w:lang w:val="es-UY"/>
        </w:rPr>
        <w:t xml:space="preserve"> Villalobos </w:t>
      </w:r>
      <w:proofErr w:type="spellStart"/>
      <w:r w:rsidR="008C1880" w:rsidRPr="002B362D">
        <w:rPr>
          <w:rFonts w:ascii="Cambria" w:hAnsi="Cambria"/>
          <w:bCs/>
          <w:sz w:val="16"/>
          <w:szCs w:val="16"/>
          <w:lang w:val="es-UY"/>
        </w:rPr>
        <w:t>Hernandez</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Elias</w:t>
      </w:r>
      <w:proofErr w:type="spellEnd"/>
      <w:r w:rsidR="008C1880" w:rsidRPr="002B362D">
        <w:rPr>
          <w:rFonts w:ascii="Cambria" w:hAnsi="Cambria"/>
          <w:bCs/>
          <w:sz w:val="16"/>
          <w:szCs w:val="16"/>
          <w:lang w:val="es-UY"/>
        </w:rPr>
        <w:t xml:space="preserve"> David Coronado Nevado</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Enis</w:t>
      </w:r>
      <w:proofErr w:type="spellEnd"/>
      <w:r w:rsidR="008C1880" w:rsidRPr="002B362D">
        <w:rPr>
          <w:rFonts w:ascii="Cambria" w:hAnsi="Cambria"/>
          <w:bCs/>
          <w:sz w:val="16"/>
          <w:szCs w:val="16"/>
          <w:lang w:val="es-UY"/>
        </w:rPr>
        <w:t xml:space="preserve"> Esther Carrascal Caro</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Esther </w:t>
      </w:r>
      <w:proofErr w:type="spellStart"/>
      <w:r w:rsidR="008C1880" w:rsidRPr="002B362D">
        <w:rPr>
          <w:rFonts w:ascii="Cambria" w:hAnsi="Cambria"/>
          <w:bCs/>
          <w:sz w:val="16"/>
          <w:szCs w:val="16"/>
          <w:lang w:val="es-UY"/>
        </w:rPr>
        <w:t>Farides</w:t>
      </w:r>
      <w:proofErr w:type="spellEnd"/>
      <w:r w:rsidR="008C1880" w:rsidRPr="002B362D">
        <w:rPr>
          <w:rFonts w:ascii="Cambria" w:hAnsi="Cambria"/>
          <w:bCs/>
          <w:sz w:val="16"/>
          <w:szCs w:val="16"/>
          <w:lang w:val="es-UY"/>
        </w:rPr>
        <w:t xml:space="preserve"> Macea Rocha, Evangelina Macea Rangel</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Geomar</w:t>
      </w:r>
      <w:proofErr w:type="spellEnd"/>
      <w:r w:rsidR="008C1880" w:rsidRPr="002B362D">
        <w:rPr>
          <w:rFonts w:ascii="Cambria" w:hAnsi="Cambria"/>
          <w:bCs/>
          <w:sz w:val="16"/>
          <w:szCs w:val="16"/>
          <w:lang w:val="es-UY"/>
        </w:rPr>
        <w:t xml:space="preserve"> Toro Cantillo</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Heiner</w:t>
      </w:r>
      <w:proofErr w:type="spellEnd"/>
      <w:r w:rsidR="008C1880" w:rsidRPr="002B362D">
        <w:rPr>
          <w:rFonts w:ascii="Cambria" w:hAnsi="Cambria"/>
          <w:bCs/>
          <w:sz w:val="16"/>
          <w:szCs w:val="16"/>
          <w:lang w:val="es-UY"/>
        </w:rPr>
        <w:t xml:space="preserve"> Aguilar </w:t>
      </w:r>
      <w:proofErr w:type="spellStart"/>
      <w:r w:rsidR="008C1880" w:rsidRPr="002B362D">
        <w:rPr>
          <w:rFonts w:ascii="Cambria" w:hAnsi="Cambria"/>
          <w:bCs/>
          <w:sz w:val="16"/>
          <w:szCs w:val="16"/>
          <w:lang w:val="es-UY"/>
        </w:rPr>
        <w:t>Hernandez</w:t>
      </w:r>
      <w:proofErr w:type="spellEnd"/>
      <w:r w:rsidR="008C1880" w:rsidRPr="002B362D">
        <w:rPr>
          <w:rFonts w:ascii="Cambria" w:hAnsi="Cambria"/>
          <w:sz w:val="16"/>
          <w:szCs w:val="16"/>
          <w:lang w:val="es-419"/>
        </w:rPr>
        <w:t xml:space="preserve">, </w:t>
      </w:r>
      <w:r w:rsidR="008C1880" w:rsidRPr="002B362D">
        <w:rPr>
          <w:rFonts w:ascii="Cambria" w:hAnsi="Cambria"/>
          <w:bCs/>
          <w:sz w:val="16"/>
          <w:szCs w:val="16"/>
          <w:lang w:val="es-UY"/>
        </w:rPr>
        <w:t>Hilda Maria Macea Morales,</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Ignacio Macea Rocha, </w:t>
      </w:r>
      <w:proofErr w:type="spellStart"/>
      <w:r w:rsidR="008C1880" w:rsidRPr="002B362D">
        <w:rPr>
          <w:rFonts w:ascii="Cambria" w:hAnsi="Cambria"/>
          <w:bCs/>
          <w:sz w:val="16"/>
          <w:szCs w:val="16"/>
          <w:lang w:val="es-UY"/>
        </w:rPr>
        <w:t>Ilianis</w:t>
      </w:r>
      <w:proofErr w:type="spellEnd"/>
      <w:r w:rsidR="008C1880" w:rsidRPr="002B362D">
        <w:rPr>
          <w:rFonts w:ascii="Cambria" w:hAnsi="Cambria"/>
          <w:bCs/>
          <w:sz w:val="16"/>
          <w:szCs w:val="16"/>
          <w:lang w:val="es-UY"/>
        </w:rPr>
        <w:t xml:space="preserve"> Carolina Villalobos </w:t>
      </w:r>
      <w:proofErr w:type="spellStart"/>
      <w:r w:rsidR="008C1880" w:rsidRPr="002B362D">
        <w:rPr>
          <w:rFonts w:ascii="Cambria" w:hAnsi="Cambria"/>
          <w:bCs/>
          <w:sz w:val="16"/>
          <w:szCs w:val="16"/>
          <w:lang w:val="es-UY"/>
        </w:rPr>
        <w:t>Hernandez</w:t>
      </w:r>
      <w:proofErr w:type="spellEnd"/>
      <w:r w:rsidR="008C1880" w:rsidRPr="002B362D">
        <w:rPr>
          <w:rFonts w:ascii="Cambria" w:hAnsi="Cambria"/>
          <w:bCs/>
          <w:sz w:val="16"/>
          <w:szCs w:val="16"/>
          <w:lang w:val="es-UY"/>
        </w:rPr>
        <w:t>,</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Isabel Eugenia Coronado Cantillo</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Isella</w:t>
      </w:r>
      <w:proofErr w:type="spellEnd"/>
      <w:r w:rsidR="008C1880" w:rsidRPr="002B362D">
        <w:rPr>
          <w:rFonts w:ascii="Cambria" w:hAnsi="Cambria"/>
          <w:bCs/>
          <w:sz w:val="16"/>
          <w:szCs w:val="16"/>
          <w:lang w:val="es-UY"/>
        </w:rPr>
        <w:t xml:space="preserve"> Carolina </w:t>
      </w:r>
      <w:proofErr w:type="spellStart"/>
      <w:r w:rsidR="008C1880" w:rsidRPr="002B362D">
        <w:rPr>
          <w:rFonts w:ascii="Cambria" w:hAnsi="Cambria"/>
          <w:bCs/>
          <w:sz w:val="16"/>
          <w:szCs w:val="16"/>
          <w:lang w:val="es-UY"/>
        </w:rPr>
        <w:t>Echeverria</w:t>
      </w:r>
      <w:proofErr w:type="spellEnd"/>
      <w:r w:rsidR="008C1880" w:rsidRPr="002B362D">
        <w:rPr>
          <w:rFonts w:ascii="Cambria" w:hAnsi="Cambria"/>
          <w:bCs/>
          <w:sz w:val="16"/>
          <w:szCs w:val="16"/>
          <w:lang w:val="es-UY"/>
        </w:rPr>
        <w:t xml:space="preserve"> Aguilar</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Jesus</w:t>
      </w:r>
      <w:proofErr w:type="spellEnd"/>
      <w:r w:rsidR="008C1880" w:rsidRPr="002B362D">
        <w:rPr>
          <w:rFonts w:ascii="Cambria" w:hAnsi="Cambria"/>
          <w:bCs/>
          <w:sz w:val="16"/>
          <w:szCs w:val="16"/>
          <w:lang w:val="es-UY"/>
        </w:rPr>
        <w:t xml:space="preserve"> Alberto Macea Rocha,</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Jesus</w:t>
      </w:r>
      <w:proofErr w:type="spellEnd"/>
      <w:r w:rsidR="008C1880" w:rsidRPr="002B362D">
        <w:rPr>
          <w:rFonts w:ascii="Cambria" w:hAnsi="Cambria"/>
          <w:bCs/>
          <w:sz w:val="16"/>
          <w:szCs w:val="16"/>
          <w:lang w:val="es-UY"/>
        </w:rPr>
        <w:t xml:space="preserve"> Manuel Garcia Martinez, </w:t>
      </w:r>
      <w:proofErr w:type="spellStart"/>
      <w:r w:rsidR="008C1880" w:rsidRPr="002B362D">
        <w:rPr>
          <w:rFonts w:ascii="Cambria" w:hAnsi="Cambria"/>
          <w:bCs/>
          <w:sz w:val="16"/>
          <w:szCs w:val="16"/>
          <w:lang w:val="es-UY"/>
        </w:rPr>
        <w:t>Jesus</w:t>
      </w:r>
      <w:proofErr w:type="spellEnd"/>
      <w:r w:rsidR="008C1880" w:rsidRPr="002B362D">
        <w:rPr>
          <w:rFonts w:ascii="Cambria" w:hAnsi="Cambria"/>
          <w:bCs/>
          <w:sz w:val="16"/>
          <w:szCs w:val="16"/>
          <w:lang w:val="es-UY"/>
        </w:rPr>
        <w:t xml:space="preserve"> Manuel </w:t>
      </w:r>
      <w:proofErr w:type="spellStart"/>
      <w:r w:rsidR="008C1880" w:rsidRPr="002B362D">
        <w:rPr>
          <w:rFonts w:ascii="Cambria" w:hAnsi="Cambria"/>
          <w:bCs/>
          <w:sz w:val="16"/>
          <w:szCs w:val="16"/>
          <w:lang w:val="es-UY"/>
        </w:rPr>
        <w:t>Mejia</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Parody</w:t>
      </w:r>
      <w:proofErr w:type="spellEnd"/>
      <w:r w:rsidR="008C1880" w:rsidRPr="002B362D">
        <w:rPr>
          <w:rFonts w:ascii="Cambria" w:hAnsi="Cambria"/>
          <w:sz w:val="16"/>
          <w:szCs w:val="16"/>
          <w:lang w:val="es-419"/>
        </w:rPr>
        <w:t xml:space="preserve">, </w:t>
      </w:r>
      <w:r w:rsidR="008C1880" w:rsidRPr="002B362D">
        <w:rPr>
          <w:rFonts w:ascii="Cambria" w:hAnsi="Cambria"/>
          <w:bCs/>
          <w:sz w:val="16"/>
          <w:szCs w:val="16"/>
          <w:lang w:val="es-UY"/>
        </w:rPr>
        <w:t>Johan Said Villalobos Aguilar</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Johana Soledad Aguilar </w:t>
      </w:r>
      <w:proofErr w:type="spellStart"/>
      <w:r w:rsidR="008C1880" w:rsidRPr="002B362D">
        <w:rPr>
          <w:rFonts w:ascii="Cambria" w:hAnsi="Cambria"/>
          <w:bCs/>
          <w:sz w:val="16"/>
          <w:szCs w:val="16"/>
          <w:lang w:val="es-UY"/>
        </w:rPr>
        <w:t>Hernandez</w:t>
      </w:r>
      <w:proofErr w:type="spellEnd"/>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Jose Antonio Macea Rocha, Jose Daniel </w:t>
      </w:r>
      <w:proofErr w:type="spellStart"/>
      <w:r w:rsidR="008C1880" w:rsidRPr="002B362D">
        <w:rPr>
          <w:rFonts w:ascii="Cambria" w:hAnsi="Cambria"/>
          <w:bCs/>
          <w:sz w:val="16"/>
          <w:szCs w:val="16"/>
          <w:lang w:val="es-UY"/>
        </w:rPr>
        <w:t>Mejia</w:t>
      </w:r>
      <w:proofErr w:type="spellEnd"/>
      <w:r w:rsidR="008C1880" w:rsidRPr="002B362D">
        <w:rPr>
          <w:rFonts w:ascii="Cambria" w:hAnsi="Cambria"/>
          <w:bCs/>
          <w:sz w:val="16"/>
          <w:szCs w:val="16"/>
          <w:lang w:val="es-UY"/>
        </w:rPr>
        <w:t xml:space="preserve"> Navarro</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Jose Luis Coronado Cantillo</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Jose Manuel Aguilar </w:t>
      </w:r>
      <w:proofErr w:type="spellStart"/>
      <w:r w:rsidR="008C1880" w:rsidRPr="002B362D">
        <w:rPr>
          <w:rFonts w:ascii="Cambria" w:hAnsi="Cambria"/>
          <w:bCs/>
          <w:sz w:val="16"/>
          <w:szCs w:val="16"/>
          <w:lang w:val="es-UY"/>
        </w:rPr>
        <w:t>Hernandez</w:t>
      </w:r>
      <w:proofErr w:type="spellEnd"/>
      <w:r w:rsidR="008C1880" w:rsidRPr="002B362D">
        <w:rPr>
          <w:rFonts w:ascii="Cambria" w:hAnsi="Cambria"/>
          <w:sz w:val="16"/>
          <w:szCs w:val="16"/>
          <w:lang w:val="es-419"/>
        </w:rPr>
        <w:t xml:space="preserve">, </w:t>
      </w:r>
      <w:r w:rsidR="008C1880" w:rsidRPr="002B362D">
        <w:rPr>
          <w:rFonts w:ascii="Cambria" w:hAnsi="Cambria"/>
          <w:bCs/>
          <w:sz w:val="16"/>
          <w:szCs w:val="16"/>
          <w:lang w:val="es-UY"/>
        </w:rPr>
        <w:t>Juan Alejandro Camacho Pineda, Juan Andres Camacho Rocha,</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Juan Antonio Blanco </w:t>
      </w:r>
      <w:proofErr w:type="spellStart"/>
      <w:r w:rsidR="008C1880" w:rsidRPr="002B362D">
        <w:rPr>
          <w:rFonts w:ascii="Cambria" w:hAnsi="Cambria"/>
          <w:bCs/>
          <w:sz w:val="16"/>
          <w:szCs w:val="16"/>
          <w:lang w:val="es-UY"/>
        </w:rPr>
        <w:t>Hernandez</w:t>
      </w:r>
      <w:proofErr w:type="spellEnd"/>
      <w:r w:rsidR="008C1880" w:rsidRPr="002B362D">
        <w:rPr>
          <w:rFonts w:ascii="Cambria" w:hAnsi="Cambria"/>
          <w:bCs/>
          <w:sz w:val="16"/>
          <w:szCs w:val="16"/>
          <w:lang w:val="es-UY"/>
        </w:rPr>
        <w:t xml:space="preserve">, Juan Bautista Camacho </w:t>
      </w:r>
      <w:proofErr w:type="spellStart"/>
      <w:r w:rsidR="008C1880" w:rsidRPr="002B362D">
        <w:rPr>
          <w:rFonts w:ascii="Cambria" w:hAnsi="Cambria"/>
          <w:bCs/>
          <w:sz w:val="16"/>
          <w:szCs w:val="16"/>
          <w:lang w:val="es-UY"/>
        </w:rPr>
        <w:t>Buelvas</w:t>
      </w:r>
      <w:proofErr w:type="spellEnd"/>
      <w:r w:rsidR="008C1880" w:rsidRPr="002B362D">
        <w:rPr>
          <w:rFonts w:ascii="Cambria" w:hAnsi="Cambria"/>
          <w:bCs/>
          <w:sz w:val="16"/>
          <w:szCs w:val="16"/>
          <w:lang w:val="es-UY"/>
        </w:rPr>
        <w:t xml:space="preserve">, </w:t>
      </w:r>
      <w:r w:rsidR="008C1880" w:rsidRPr="002B362D">
        <w:rPr>
          <w:rFonts w:ascii="Cambria" w:hAnsi="Cambria"/>
          <w:sz w:val="16"/>
          <w:szCs w:val="16"/>
          <w:lang w:val="es-419"/>
        </w:rPr>
        <w:t>J</w:t>
      </w:r>
      <w:proofErr w:type="spellStart"/>
      <w:r w:rsidR="008C1880" w:rsidRPr="002B362D">
        <w:rPr>
          <w:rFonts w:ascii="Cambria" w:hAnsi="Cambria"/>
          <w:bCs/>
          <w:sz w:val="16"/>
          <w:szCs w:val="16"/>
          <w:lang w:val="es-UY"/>
        </w:rPr>
        <w:t>uan</w:t>
      </w:r>
      <w:proofErr w:type="spellEnd"/>
      <w:r w:rsidR="008C1880" w:rsidRPr="002B362D">
        <w:rPr>
          <w:rFonts w:ascii="Cambria" w:hAnsi="Cambria"/>
          <w:bCs/>
          <w:sz w:val="16"/>
          <w:szCs w:val="16"/>
          <w:lang w:val="es-UY"/>
        </w:rPr>
        <w:t xml:space="preserve"> Carlos Blanco Meyer</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Juan Carlos Garcia Larios</w:t>
      </w:r>
      <w:r w:rsidR="008C1880" w:rsidRPr="002B362D">
        <w:rPr>
          <w:rFonts w:ascii="Cambria" w:hAnsi="Cambria"/>
          <w:sz w:val="16"/>
          <w:szCs w:val="16"/>
          <w:lang w:val="es-419"/>
        </w:rPr>
        <w:t xml:space="preserve">, Juan de Dios Camacho Rocha, </w:t>
      </w:r>
      <w:r w:rsidR="008C1880" w:rsidRPr="002B362D">
        <w:rPr>
          <w:rFonts w:ascii="Cambria" w:hAnsi="Cambria"/>
          <w:bCs/>
          <w:sz w:val="16"/>
          <w:szCs w:val="16"/>
          <w:lang w:val="es-UY"/>
        </w:rPr>
        <w:t>Karen Paola Macea Rocha, Karina Isabel Coronado Cantillo</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Ligia Garcia Ayala,</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Linda Marcela Toro Cantillo, </w:t>
      </w:r>
      <w:r w:rsidR="008C1880" w:rsidRPr="002B362D">
        <w:rPr>
          <w:rFonts w:ascii="Cambria" w:hAnsi="Cambria"/>
          <w:sz w:val="16"/>
          <w:szCs w:val="16"/>
          <w:lang w:val="es-419"/>
        </w:rPr>
        <w:t xml:space="preserve">Luis Javier Gutierrez Arce, </w:t>
      </w:r>
      <w:r w:rsidR="008C1880" w:rsidRPr="002B362D">
        <w:rPr>
          <w:rFonts w:ascii="Cambria" w:hAnsi="Cambria"/>
          <w:bCs/>
          <w:sz w:val="16"/>
          <w:szCs w:val="16"/>
          <w:lang w:val="es-UY"/>
        </w:rPr>
        <w:t>Luisa Fernanda Cantillo Garcia,</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Luz </w:t>
      </w:r>
      <w:proofErr w:type="spellStart"/>
      <w:r w:rsidR="008C1880" w:rsidRPr="002B362D">
        <w:rPr>
          <w:rFonts w:ascii="Cambria" w:hAnsi="Cambria"/>
          <w:bCs/>
          <w:sz w:val="16"/>
          <w:szCs w:val="16"/>
          <w:lang w:val="es-UY"/>
        </w:rPr>
        <w:t>Mademi</w:t>
      </w:r>
      <w:proofErr w:type="spellEnd"/>
      <w:r w:rsidR="008C1880" w:rsidRPr="002B362D">
        <w:rPr>
          <w:rFonts w:ascii="Cambria" w:hAnsi="Cambria"/>
          <w:bCs/>
          <w:sz w:val="16"/>
          <w:szCs w:val="16"/>
          <w:lang w:val="es-UY"/>
        </w:rPr>
        <w:t xml:space="preserve"> Aguilar Perez</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Madeynis</w:t>
      </w:r>
      <w:proofErr w:type="spellEnd"/>
      <w:r w:rsidR="008C1880" w:rsidRPr="002B362D">
        <w:rPr>
          <w:rFonts w:ascii="Cambria" w:hAnsi="Cambria"/>
          <w:bCs/>
          <w:sz w:val="16"/>
          <w:szCs w:val="16"/>
          <w:lang w:val="es-UY"/>
        </w:rPr>
        <w:t xml:space="preserve"> Blanco Meyer</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Mainer</w:t>
      </w:r>
      <w:proofErr w:type="spellEnd"/>
      <w:r w:rsidR="008C1880" w:rsidRPr="002B362D">
        <w:rPr>
          <w:rFonts w:ascii="Cambria" w:hAnsi="Cambria"/>
          <w:bCs/>
          <w:sz w:val="16"/>
          <w:szCs w:val="16"/>
          <w:lang w:val="es-UY"/>
        </w:rPr>
        <w:t xml:space="preserve"> Jose Villalobos </w:t>
      </w:r>
      <w:proofErr w:type="spellStart"/>
      <w:r w:rsidR="008C1880" w:rsidRPr="002B362D">
        <w:rPr>
          <w:rFonts w:ascii="Cambria" w:hAnsi="Cambria"/>
          <w:bCs/>
          <w:sz w:val="16"/>
          <w:szCs w:val="16"/>
          <w:lang w:val="es-UY"/>
        </w:rPr>
        <w:t>Hernandez</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Malenis</w:t>
      </w:r>
      <w:proofErr w:type="spellEnd"/>
      <w:r w:rsidR="008C1880" w:rsidRPr="002B362D">
        <w:rPr>
          <w:rFonts w:ascii="Cambria" w:hAnsi="Cambria"/>
          <w:bCs/>
          <w:sz w:val="16"/>
          <w:szCs w:val="16"/>
          <w:lang w:val="es-UY"/>
        </w:rPr>
        <w:t xml:space="preserve"> Aguilar </w:t>
      </w:r>
      <w:proofErr w:type="spellStart"/>
      <w:r w:rsidR="008C1880" w:rsidRPr="002B362D">
        <w:rPr>
          <w:rFonts w:ascii="Cambria" w:hAnsi="Cambria"/>
          <w:bCs/>
          <w:sz w:val="16"/>
          <w:szCs w:val="16"/>
          <w:lang w:val="es-UY"/>
        </w:rPr>
        <w:t>Hernandez</w:t>
      </w:r>
      <w:proofErr w:type="spellEnd"/>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Manuel Jose Garcia Ayala, </w:t>
      </w:r>
      <w:r w:rsidR="008C1880" w:rsidRPr="002B362D">
        <w:rPr>
          <w:rFonts w:ascii="Cambria" w:hAnsi="Cambria"/>
          <w:sz w:val="16"/>
          <w:szCs w:val="16"/>
          <w:lang w:val="es-419"/>
        </w:rPr>
        <w:t xml:space="preserve">Maria Cayetana </w:t>
      </w:r>
      <w:proofErr w:type="spellStart"/>
      <w:r w:rsidR="008C1880" w:rsidRPr="002B362D">
        <w:rPr>
          <w:rFonts w:ascii="Cambria" w:hAnsi="Cambria"/>
          <w:sz w:val="16"/>
          <w:szCs w:val="16"/>
          <w:lang w:val="es-419"/>
        </w:rPr>
        <w:t>Buelvas</w:t>
      </w:r>
      <w:proofErr w:type="spellEnd"/>
      <w:r w:rsidR="008C1880" w:rsidRPr="002B362D">
        <w:rPr>
          <w:rFonts w:ascii="Cambria" w:hAnsi="Cambria"/>
          <w:sz w:val="16"/>
          <w:szCs w:val="16"/>
          <w:lang w:val="es-419"/>
        </w:rPr>
        <w:t xml:space="preserve"> Martinez, </w:t>
      </w:r>
      <w:r w:rsidR="008C1880" w:rsidRPr="002B362D">
        <w:rPr>
          <w:rFonts w:ascii="Cambria" w:hAnsi="Cambria"/>
          <w:bCs/>
          <w:sz w:val="16"/>
          <w:szCs w:val="16"/>
          <w:lang w:val="es-UY"/>
        </w:rPr>
        <w:t>Maria Isabel Rojas Aguiar</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Maria Jose</w:t>
      </w:r>
      <w:r w:rsidR="008C1880" w:rsidRPr="002B362D">
        <w:rPr>
          <w:rFonts w:ascii="Cambria" w:hAnsi="Cambria"/>
          <w:b/>
          <w:sz w:val="16"/>
          <w:szCs w:val="16"/>
          <w:lang w:val="es-UY"/>
        </w:rPr>
        <w:t xml:space="preserve"> </w:t>
      </w:r>
      <w:r w:rsidR="008C1880" w:rsidRPr="002B362D">
        <w:rPr>
          <w:rFonts w:ascii="Cambria" w:hAnsi="Cambria"/>
          <w:bCs/>
          <w:sz w:val="16"/>
          <w:szCs w:val="16"/>
          <w:lang w:val="es-UY"/>
        </w:rPr>
        <w:t>Garcia Martinez,</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Marisol Maestre Marin, </w:t>
      </w:r>
      <w:proofErr w:type="spellStart"/>
      <w:r w:rsidR="008C1880" w:rsidRPr="002B362D">
        <w:rPr>
          <w:rFonts w:ascii="Cambria" w:hAnsi="Cambria"/>
          <w:bCs/>
          <w:sz w:val="16"/>
          <w:szCs w:val="16"/>
          <w:lang w:val="es-UY"/>
        </w:rPr>
        <w:t>Marnen</w:t>
      </w:r>
      <w:proofErr w:type="spellEnd"/>
      <w:r w:rsidR="008C1880" w:rsidRPr="002B362D">
        <w:rPr>
          <w:rFonts w:ascii="Cambria" w:hAnsi="Cambria"/>
          <w:bCs/>
          <w:sz w:val="16"/>
          <w:szCs w:val="16"/>
          <w:lang w:val="es-UY"/>
        </w:rPr>
        <w:t xml:space="preserve"> Lorena </w:t>
      </w:r>
      <w:proofErr w:type="spellStart"/>
      <w:r w:rsidR="008C1880" w:rsidRPr="002B362D">
        <w:rPr>
          <w:rFonts w:ascii="Cambria" w:hAnsi="Cambria"/>
          <w:bCs/>
          <w:sz w:val="16"/>
          <w:szCs w:val="16"/>
          <w:lang w:val="es-UY"/>
        </w:rPr>
        <w:t>Parody</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Iturriago</w:t>
      </w:r>
      <w:proofErr w:type="spellEnd"/>
      <w:r w:rsidR="008C1880" w:rsidRPr="002B362D">
        <w:rPr>
          <w:rFonts w:ascii="Cambria" w:hAnsi="Cambria"/>
          <w:sz w:val="16"/>
          <w:szCs w:val="16"/>
          <w:lang w:val="es-419"/>
        </w:rPr>
        <w:t xml:space="preserve">, </w:t>
      </w:r>
      <w:r w:rsidR="008C1880" w:rsidRPr="002B362D">
        <w:rPr>
          <w:rFonts w:ascii="Cambria" w:hAnsi="Cambria"/>
          <w:bCs/>
          <w:sz w:val="16"/>
          <w:szCs w:val="16"/>
          <w:lang w:val="es-UY"/>
        </w:rPr>
        <w:t>Mauricio Garcia Larios</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Mell</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Yineth</w:t>
      </w:r>
      <w:proofErr w:type="spellEnd"/>
      <w:r w:rsidR="008C1880" w:rsidRPr="002B362D">
        <w:rPr>
          <w:rFonts w:ascii="Cambria" w:hAnsi="Cambria"/>
          <w:bCs/>
          <w:sz w:val="16"/>
          <w:szCs w:val="16"/>
          <w:lang w:val="es-UY"/>
        </w:rPr>
        <w:t xml:space="preserve"> Villalobos Aguilar</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Milibeth</w:t>
      </w:r>
      <w:proofErr w:type="spellEnd"/>
      <w:r w:rsidR="008C1880" w:rsidRPr="002B362D">
        <w:rPr>
          <w:rFonts w:ascii="Cambria" w:hAnsi="Cambria"/>
          <w:bCs/>
          <w:sz w:val="16"/>
          <w:szCs w:val="16"/>
          <w:lang w:val="es-UY"/>
        </w:rPr>
        <w:t xml:space="preserve"> Martinez Aguilar, </w:t>
      </w:r>
      <w:proofErr w:type="spellStart"/>
      <w:r w:rsidR="008C1880" w:rsidRPr="002B362D">
        <w:rPr>
          <w:rFonts w:ascii="Cambria" w:hAnsi="Cambria"/>
          <w:bCs/>
          <w:sz w:val="16"/>
          <w:szCs w:val="16"/>
          <w:lang w:val="es-UY"/>
        </w:rPr>
        <w:t>Nacor</w:t>
      </w:r>
      <w:proofErr w:type="spellEnd"/>
      <w:r w:rsidR="008C1880" w:rsidRPr="002B362D">
        <w:rPr>
          <w:rFonts w:ascii="Cambria" w:hAnsi="Cambria"/>
          <w:bCs/>
          <w:sz w:val="16"/>
          <w:szCs w:val="16"/>
          <w:lang w:val="es-UY"/>
        </w:rPr>
        <w:t xml:space="preserve"> Coronado Cantillo</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Olga Paola </w:t>
      </w:r>
      <w:proofErr w:type="spellStart"/>
      <w:r w:rsidR="008C1880" w:rsidRPr="002B362D">
        <w:rPr>
          <w:rFonts w:ascii="Cambria" w:hAnsi="Cambria"/>
          <w:bCs/>
          <w:sz w:val="16"/>
          <w:szCs w:val="16"/>
          <w:lang w:val="es-UY"/>
        </w:rPr>
        <w:t>Mejia</w:t>
      </w:r>
      <w:proofErr w:type="spellEnd"/>
      <w:r w:rsidR="008C1880" w:rsidRPr="002B362D">
        <w:rPr>
          <w:rFonts w:ascii="Cambria" w:hAnsi="Cambria"/>
          <w:bCs/>
          <w:sz w:val="16"/>
          <w:szCs w:val="16"/>
          <w:lang w:val="es-UY"/>
        </w:rPr>
        <w:t xml:space="preserve"> Carrascal</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Oriol Aguilar Blanco</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Oscar Eduardo Navarro Ramirez,</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Ramiro </w:t>
      </w:r>
      <w:proofErr w:type="spellStart"/>
      <w:r w:rsidR="008C1880" w:rsidRPr="002B362D">
        <w:rPr>
          <w:rFonts w:ascii="Cambria" w:hAnsi="Cambria"/>
          <w:bCs/>
          <w:sz w:val="16"/>
          <w:szCs w:val="16"/>
          <w:lang w:val="es-UY"/>
        </w:rPr>
        <w:t>Mejia</w:t>
      </w:r>
      <w:proofErr w:type="spellEnd"/>
      <w:r w:rsidR="008C1880" w:rsidRPr="002B362D">
        <w:rPr>
          <w:rFonts w:ascii="Cambria" w:hAnsi="Cambria"/>
          <w:bCs/>
          <w:sz w:val="16"/>
          <w:szCs w:val="16"/>
          <w:lang w:val="es-UY"/>
        </w:rPr>
        <w:t xml:space="preserve"> Rangel,</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Rosa </w:t>
      </w:r>
      <w:proofErr w:type="spellStart"/>
      <w:r w:rsidR="008C1880" w:rsidRPr="002B362D">
        <w:rPr>
          <w:rFonts w:ascii="Cambria" w:hAnsi="Cambria"/>
          <w:bCs/>
          <w:sz w:val="16"/>
          <w:szCs w:val="16"/>
          <w:lang w:val="es-UY"/>
        </w:rPr>
        <w:t>Angelica</w:t>
      </w:r>
      <w:proofErr w:type="spellEnd"/>
      <w:r w:rsidR="008C1880" w:rsidRPr="002B362D">
        <w:rPr>
          <w:rFonts w:ascii="Cambria" w:hAnsi="Cambria"/>
          <w:bCs/>
          <w:sz w:val="16"/>
          <w:szCs w:val="16"/>
          <w:lang w:val="es-UY"/>
        </w:rPr>
        <w:t xml:space="preserve"> Navarro Ramirez</w:t>
      </w:r>
      <w:r w:rsidR="008C1880" w:rsidRPr="002B362D">
        <w:rPr>
          <w:rFonts w:ascii="Cambria" w:hAnsi="Cambria"/>
          <w:sz w:val="16"/>
          <w:szCs w:val="16"/>
          <w:lang w:val="es-419"/>
        </w:rPr>
        <w:t xml:space="preserve">, </w:t>
      </w:r>
      <w:r w:rsidR="008C1880" w:rsidRPr="002B362D">
        <w:rPr>
          <w:rFonts w:ascii="Cambria" w:hAnsi="Cambria"/>
          <w:bCs/>
          <w:sz w:val="16"/>
          <w:szCs w:val="16"/>
          <w:lang w:val="es-UY"/>
        </w:rPr>
        <w:t xml:space="preserve">Sandra Marcela </w:t>
      </w:r>
      <w:proofErr w:type="spellStart"/>
      <w:r w:rsidR="008C1880" w:rsidRPr="002B362D">
        <w:rPr>
          <w:rFonts w:ascii="Cambria" w:hAnsi="Cambria"/>
          <w:bCs/>
          <w:sz w:val="16"/>
          <w:szCs w:val="16"/>
          <w:lang w:val="es-UY"/>
        </w:rPr>
        <w:t>Mejia</w:t>
      </w:r>
      <w:proofErr w:type="spellEnd"/>
      <w:r w:rsidR="008C1880" w:rsidRPr="002B362D">
        <w:rPr>
          <w:rFonts w:ascii="Cambria" w:hAnsi="Cambria"/>
          <w:bCs/>
          <w:sz w:val="16"/>
          <w:szCs w:val="16"/>
          <w:lang w:val="es-UY"/>
        </w:rPr>
        <w:t xml:space="preserve"> Navarro</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Sorelis</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Mejia</w:t>
      </w:r>
      <w:proofErr w:type="spellEnd"/>
      <w:r w:rsidR="008C1880" w:rsidRPr="002B362D">
        <w:rPr>
          <w:rFonts w:ascii="Cambria" w:hAnsi="Cambria"/>
          <w:bCs/>
          <w:sz w:val="16"/>
          <w:szCs w:val="16"/>
          <w:lang w:val="es-UY"/>
        </w:rPr>
        <w:t xml:space="preserve"> Carrascal</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Sugeis</w:t>
      </w:r>
      <w:proofErr w:type="spellEnd"/>
      <w:r w:rsidR="008C1880" w:rsidRPr="002B362D">
        <w:rPr>
          <w:rFonts w:ascii="Cambria" w:hAnsi="Cambria"/>
          <w:bCs/>
          <w:sz w:val="16"/>
          <w:szCs w:val="16"/>
          <w:lang w:val="es-UY"/>
        </w:rPr>
        <w:t xml:space="preserve"> Aguilar </w:t>
      </w:r>
      <w:proofErr w:type="spellStart"/>
      <w:r w:rsidR="008C1880" w:rsidRPr="002B362D">
        <w:rPr>
          <w:rFonts w:ascii="Cambria" w:hAnsi="Cambria"/>
          <w:bCs/>
          <w:sz w:val="16"/>
          <w:szCs w:val="16"/>
          <w:lang w:val="es-UY"/>
        </w:rPr>
        <w:t>Hernandez</w:t>
      </w:r>
      <w:proofErr w:type="spellEnd"/>
      <w:r w:rsidR="008C1880" w:rsidRPr="002B362D">
        <w:rPr>
          <w:rFonts w:ascii="Cambria" w:hAnsi="Cambria"/>
          <w:sz w:val="16"/>
          <w:szCs w:val="16"/>
          <w:lang w:val="es-419"/>
        </w:rPr>
        <w:t xml:space="preserve">, </w:t>
      </w:r>
      <w:r w:rsidR="008C1880" w:rsidRPr="002B362D">
        <w:rPr>
          <w:rFonts w:ascii="Cambria" w:hAnsi="Cambria"/>
          <w:bCs/>
          <w:sz w:val="16"/>
          <w:szCs w:val="16"/>
          <w:lang w:val="es-UY"/>
        </w:rPr>
        <w:t>Victor Manuel Media Mendez</w:t>
      </w:r>
      <w:r w:rsidR="008C1880" w:rsidRPr="002B362D">
        <w:rPr>
          <w:rFonts w:ascii="Cambria" w:hAnsi="Cambria"/>
          <w:sz w:val="16"/>
          <w:szCs w:val="16"/>
          <w:lang w:val="es-419"/>
        </w:rPr>
        <w:t>,</w:t>
      </w:r>
      <w:proofErr w:type="spellStart"/>
      <w:r w:rsidR="008C1880" w:rsidRPr="002B362D">
        <w:rPr>
          <w:rFonts w:ascii="Cambria" w:hAnsi="Cambria"/>
          <w:bCs/>
          <w:sz w:val="16"/>
          <w:szCs w:val="16"/>
          <w:lang w:val="es-UY"/>
        </w:rPr>
        <w:t>Yanurys</w:t>
      </w:r>
      <w:proofErr w:type="spellEnd"/>
      <w:r w:rsidR="008C1880" w:rsidRPr="002B362D">
        <w:rPr>
          <w:rFonts w:ascii="Cambria" w:hAnsi="Cambria"/>
          <w:bCs/>
          <w:sz w:val="16"/>
          <w:szCs w:val="16"/>
          <w:lang w:val="es-UY"/>
        </w:rPr>
        <w:t xml:space="preserve"> Esther Parea Rocha,</w:t>
      </w:r>
      <w:r w:rsidR="008C1880" w:rsidRPr="002B362D">
        <w:rPr>
          <w:rFonts w:ascii="Cambria" w:hAnsi="Cambria"/>
          <w:sz w:val="16"/>
          <w:szCs w:val="16"/>
          <w:lang w:val="es-419"/>
        </w:rPr>
        <w:t xml:space="preserve"> </w:t>
      </w:r>
      <w:proofErr w:type="spellStart"/>
      <w:r w:rsidR="008C1880" w:rsidRPr="002B362D">
        <w:rPr>
          <w:rFonts w:ascii="Cambria" w:hAnsi="Cambria"/>
          <w:bCs/>
          <w:sz w:val="16"/>
          <w:szCs w:val="16"/>
          <w:lang w:val="es-UY"/>
        </w:rPr>
        <w:t>Yeferson</w:t>
      </w:r>
      <w:proofErr w:type="spellEnd"/>
      <w:r w:rsidR="008C1880" w:rsidRPr="002B362D">
        <w:rPr>
          <w:rFonts w:ascii="Cambria" w:hAnsi="Cambria"/>
          <w:bCs/>
          <w:sz w:val="16"/>
          <w:szCs w:val="16"/>
          <w:lang w:val="es-UY"/>
        </w:rPr>
        <w:t xml:space="preserve"> David </w:t>
      </w:r>
      <w:proofErr w:type="spellStart"/>
      <w:r w:rsidR="008C1880" w:rsidRPr="002B362D">
        <w:rPr>
          <w:rFonts w:ascii="Cambria" w:hAnsi="Cambria"/>
          <w:bCs/>
          <w:sz w:val="16"/>
          <w:szCs w:val="16"/>
          <w:lang w:val="es-UY"/>
        </w:rPr>
        <w:t>Mejia</w:t>
      </w:r>
      <w:proofErr w:type="spellEnd"/>
      <w:r w:rsidR="008C1880" w:rsidRPr="002B362D">
        <w:rPr>
          <w:rFonts w:ascii="Cambria" w:hAnsi="Cambria"/>
          <w:bCs/>
          <w:sz w:val="16"/>
          <w:szCs w:val="16"/>
          <w:lang w:val="es-UY"/>
        </w:rPr>
        <w:t xml:space="preserve"> Carrascal</w:t>
      </w:r>
      <w:r w:rsidR="008C1880" w:rsidRPr="002B362D">
        <w:rPr>
          <w:rFonts w:ascii="Cambria" w:hAnsi="Cambria"/>
          <w:sz w:val="16"/>
          <w:szCs w:val="16"/>
          <w:lang w:val="es-419"/>
        </w:rPr>
        <w:t xml:space="preserve"> e </w:t>
      </w:r>
      <w:proofErr w:type="spellStart"/>
      <w:r w:rsidR="008C1880" w:rsidRPr="002B362D">
        <w:rPr>
          <w:rFonts w:ascii="Cambria" w:hAnsi="Cambria"/>
          <w:bCs/>
          <w:sz w:val="16"/>
          <w:szCs w:val="16"/>
          <w:lang w:val="es-UY"/>
        </w:rPr>
        <w:t>Yofrael</w:t>
      </w:r>
      <w:proofErr w:type="spellEnd"/>
      <w:r w:rsidR="008C1880" w:rsidRPr="002B362D">
        <w:rPr>
          <w:rFonts w:ascii="Cambria" w:hAnsi="Cambria"/>
          <w:bCs/>
          <w:sz w:val="16"/>
          <w:szCs w:val="16"/>
          <w:lang w:val="es-UY"/>
        </w:rPr>
        <w:t xml:space="preserve"> </w:t>
      </w:r>
      <w:proofErr w:type="spellStart"/>
      <w:r w:rsidR="008C1880" w:rsidRPr="002B362D">
        <w:rPr>
          <w:rFonts w:ascii="Cambria" w:hAnsi="Cambria"/>
          <w:bCs/>
          <w:sz w:val="16"/>
          <w:szCs w:val="16"/>
          <w:lang w:val="es-UY"/>
        </w:rPr>
        <w:t>Mejia</w:t>
      </w:r>
      <w:proofErr w:type="spellEnd"/>
      <w:r w:rsidR="008C1880" w:rsidRPr="002B362D">
        <w:rPr>
          <w:rFonts w:ascii="Cambria" w:hAnsi="Cambria"/>
          <w:bCs/>
          <w:sz w:val="16"/>
          <w:szCs w:val="16"/>
          <w:lang w:val="es-UY"/>
        </w:rPr>
        <w:t xml:space="preserve"> Garcia.</w:t>
      </w:r>
    </w:p>
  </w:footnote>
  <w:footnote w:id="8">
    <w:p w14:paraId="6472957E" w14:textId="2457C25A" w:rsidR="008C1880" w:rsidRPr="00817999" w:rsidRDefault="00A01DB7" w:rsidP="00A01DB7">
      <w:pPr>
        <w:pStyle w:val="FootnoteText"/>
        <w:tabs>
          <w:tab w:val="left" w:pos="720"/>
        </w:tabs>
        <w:jc w:val="both"/>
        <w:rPr>
          <w:rFonts w:ascii="Cambria" w:hAnsi="Cambria"/>
          <w:sz w:val="16"/>
          <w:szCs w:val="16"/>
          <w:lang w:val="es-ES"/>
        </w:rPr>
      </w:pPr>
      <w:r>
        <w:rPr>
          <w:rFonts w:ascii="Cambria" w:hAnsi="Cambria"/>
          <w:color w:val="auto"/>
          <w:sz w:val="16"/>
          <w:szCs w:val="16"/>
          <w:lang w:val="es-ES"/>
        </w:rPr>
        <w:tab/>
      </w:r>
      <w:r w:rsidR="008C1880" w:rsidRPr="002B362D">
        <w:rPr>
          <w:rStyle w:val="FootnoteReference"/>
          <w:rFonts w:ascii="Cambria" w:hAnsi="Cambria"/>
          <w:color w:val="auto"/>
          <w:sz w:val="16"/>
          <w:szCs w:val="16"/>
        </w:rPr>
        <w:footnoteRef/>
      </w:r>
      <w:r w:rsidR="008C1880" w:rsidRPr="00817999">
        <w:rPr>
          <w:rFonts w:ascii="Cambria" w:hAnsi="Cambria"/>
          <w:color w:val="auto"/>
          <w:sz w:val="16"/>
          <w:szCs w:val="16"/>
          <w:lang w:val="es-ES"/>
        </w:rPr>
        <w:t xml:space="preserve"> Disponible en: </w:t>
      </w:r>
      <w:r w:rsidR="008C1880" w:rsidRPr="00817999">
        <w:rPr>
          <w:rFonts w:ascii="Cambria" w:eastAsia="Times New Roman" w:hAnsi="Cambria"/>
          <w:color w:val="auto"/>
          <w:sz w:val="16"/>
          <w:szCs w:val="16"/>
          <w:bdr w:val="none" w:sz="0" w:space="0" w:color="auto"/>
          <w:lang w:val="es-ES" w:eastAsia="pt-BR"/>
        </w:rPr>
        <w:t xml:space="preserve">http://www.centrodememoriahistorica.gov.colnoticias/noticias- </w:t>
      </w:r>
      <w:proofErr w:type="spellStart"/>
      <w:r w:rsidR="008C1880" w:rsidRPr="00817999">
        <w:rPr>
          <w:rFonts w:ascii="Cambria" w:eastAsia="Times New Roman" w:hAnsi="Cambria"/>
          <w:color w:val="auto"/>
          <w:sz w:val="16"/>
          <w:szCs w:val="16"/>
          <w:bdr w:val="none" w:sz="0" w:space="0" w:color="auto"/>
          <w:lang w:val="es-ES" w:eastAsia="pt-BR"/>
        </w:rPr>
        <w:t>cmh</w:t>
      </w:r>
      <w:proofErr w:type="spellEnd"/>
      <w:r w:rsidR="008C1880" w:rsidRPr="00817999">
        <w:rPr>
          <w:rFonts w:ascii="Cambria" w:eastAsia="Times New Roman" w:hAnsi="Cambria"/>
          <w:color w:val="auto"/>
          <w:sz w:val="16"/>
          <w:szCs w:val="16"/>
          <w:bdr w:val="none" w:sz="0" w:space="0" w:color="auto"/>
          <w:lang w:val="es-ES" w:eastAsia="pt-BR"/>
        </w:rPr>
        <w:t>/16-anos-de-la-masacre-de-santa-cecilia y http://www.centrodememoriahistorica.qov.colcentro-audiovisuallvideos/la-masacre-de-santa- cecilia.</w:t>
      </w:r>
    </w:p>
  </w:footnote>
  <w:footnote w:id="9">
    <w:p w14:paraId="1ADDF4AB" w14:textId="2406F3BF" w:rsidR="008C1880" w:rsidRPr="006132CC" w:rsidRDefault="00A01DB7" w:rsidP="00111E46">
      <w:pPr>
        <w:pStyle w:val="FootnoteText"/>
        <w:jc w:val="both"/>
        <w:rPr>
          <w:rFonts w:ascii="Cambria" w:hAnsi="Cambria"/>
          <w:sz w:val="16"/>
          <w:szCs w:val="16"/>
          <w:lang w:val="es-ES"/>
        </w:rPr>
      </w:pPr>
      <w:r>
        <w:rPr>
          <w:rFonts w:ascii="Cambria" w:hAnsi="Cambria"/>
          <w:sz w:val="16"/>
          <w:szCs w:val="16"/>
          <w:lang w:val="es-ES"/>
        </w:rPr>
        <w:tab/>
      </w:r>
      <w:r w:rsidR="008C1880" w:rsidRPr="006132CC">
        <w:rPr>
          <w:rStyle w:val="FootnoteReference"/>
          <w:rFonts w:ascii="Cambria" w:hAnsi="Cambria"/>
          <w:sz w:val="16"/>
          <w:szCs w:val="16"/>
        </w:rPr>
        <w:footnoteRef/>
      </w:r>
      <w:r w:rsidR="008C1880" w:rsidRPr="006132CC">
        <w:rPr>
          <w:rFonts w:ascii="Cambria" w:hAnsi="Cambria"/>
          <w:sz w:val="16"/>
          <w:szCs w:val="16"/>
          <w:lang w:val="es-ES"/>
        </w:rPr>
        <w:t xml:space="preserve"> CIDH, Informe No. 25/17</w:t>
      </w:r>
      <w:r w:rsidR="008C1880">
        <w:rPr>
          <w:rFonts w:ascii="Cambria" w:hAnsi="Cambria"/>
          <w:sz w:val="16"/>
          <w:szCs w:val="16"/>
          <w:lang w:val="es-ES"/>
        </w:rPr>
        <w:t>, Petición 86-12</w:t>
      </w:r>
      <w:r w:rsidR="008C1880" w:rsidRPr="006132CC">
        <w:rPr>
          <w:rFonts w:ascii="Cambria" w:hAnsi="Cambria"/>
          <w:sz w:val="16"/>
          <w:szCs w:val="16"/>
          <w:lang w:val="es-ES"/>
        </w:rPr>
        <w:t>. Admisibilidad. Brisa Liliana De Angulo Losada. Bolivia. 18 de marzo de 2017, párr. 9.</w:t>
      </w:r>
    </w:p>
  </w:footnote>
  <w:footnote w:id="10">
    <w:p w14:paraId="4FFFFB31" w14:textId="7740DEE1" w:rsidR="008C1880" w:rsidRPr="006132CC" w:rsidRDefault="00A01DB7" w:rsidP="00111E46">
      <w:pPr>
        <w:pStyle w:val="FootnoteText"/>
        <w:jc w:val="both"/>
        <w:rPr>
          <w:rFonts w:ascii="Cambria" w:hAnsi="Cambria"/>
          <w:sz w:val="16"/>
          <w:szCs w:val="16"/>
          <w:lang w:val="es-ES_tradnl"/>
        </w:rPr>
      </w:pPr>
      <w:r>
        <w:rPr>
          <w:rFonts w:ascii="Cambria" w:hAnsi="Cambria"/>
          <w:sz w:val="16"/>
          <w:szCs w:val="16"/>
          <w:lang w:val="es-ES"/>
        </w:rPr>
        <w:tab/>
      </w:r>
      <w:r w:rsidR="008C1880" w:rsidRPr="006132CC">
        <w:rPr>
          <w:rStyle w:val="FootnoteReference"/>
          <w:rFonts w:ascii="Cambria" w:hAnsi="Cambria"/>
          <w:sz w:val="16"/>
          <w:szCs w:val="16"/>
        </w:rPr>
        <w:footnoteRef/>
      </w:r>
      <w:r w:rsidR="008C1880" w:rsidRPr="006132CC">
        <w:rPr>
          <w:rFonts w:ascii="Cambria" w:hAnsi="Cambria"/>
          <w:sz w:val="16"/>
          <w:szCs w:val="16"/>
          <w:lang w:val="es-ES"/>
        </w:rPr>
        <w:t xml:space="preserve"> CIDH, Informe No. 27/17</w:t>
      </w:r>
      <w:r w:rsidR="008C1880">
        <w:rPr>
          <w:rFonts w:ascii="Cambria" w:hAnsi="Cambria"/>
          <w:sz w:val="16"/>
          <w:szCs w:val="16"/>
          <w:lang w:val="es-ES"/>
        </w:rPr>
        <w:t>, Petición 1653-07</w:t>
      </w:r>
      <w:r w:rsidR="008C1880" w:rsidRPr="006132CC">
        <w:rPr>
          <w:rFonts w:ascii="Cambria" w:hAnsi="Cambria"/>
          <w:sz w:val="16"/>
          <w:szCs w:val="16"/>
          <w:lang w:val="es-ES"/>
        </w:rPr>
        <w:t>. Admisibilidad. Desplazamiento Forzado en Nueva Venecia, Caño El Clarín y Buena Vista. Colombia. 18 de marzo de 2017, párr.</w:t>
      </w:r>
      <w:r w:rsidR="008C1880" w:rsidRPr="006132CC">
        <w:rPr>
          <w:rFonts w:ascii="Cambria" w:hAnsi="Cambria"/>
          <w:sz w:val="16"/>
          <w:szCs w:val="16"/>
          <w:lang w:val="es-ES_tradnl"/>
        </w:rPr>
        <w:t xml:space="preserve"> 10.</w:t>
      </w:r>
    </w:p>
  </w:footnote>
  <w:footnote w:id="11">
    <w:p w14:paraId="2A54740C" w14:textId="54B178AF" w:rsidR="008C1880" w:rsidRPr="006132CC" w:rsidRDefault="00A01DB7" w:rsidP="00111E46">
      <w:pPr>
        <w:pStyle w:val="FootnoteText"/>
        <w:jc w:val="both"/>
        <w:rPr>
          <w:rFonts w:ascii="Cambria" w:hAnsi="Cambria"/>
          <w:sz w:val="16"/>
          <w:szCs w:val="16"/>
          <w:lang w:val="es-ES"/>
        </w:rPr>
      </w:pPr>
      <w:r>
        <w:rPr>
          <w:rFonts w:ascii="Cambria" w:hAnsi="Cambria"/>
          <w:sz w:val="16"/>
          <w:szCs w:val="16"/>
          <w:lang w:val="es-ES"/>
        </w:rPr>
        <w:tab/>
      </w:r>
      <w:r w:rsidR="008C1880" w:rsidRPr="006132CC">
        <w:rPr>
          <w:rStyle w:val="FootnoteReference"/>
          <w:rFonts w:ascii="Cambria" w:hAnsi="Cambria"/>
          <w:sz w:val="16"/>
          <w:szCs w:val="16"/>
        </w:rPr>
        <w:footnoteRef/>
      </w:r>
      <w:r w:rsidR="008C1880" w:rsidRPr="006132CC">
        <w:rPr>
          <w:rFonts w:ascii="Cambria" w:hAnsi="Cambria"/>
          <w:sz w:val="16"/>
          <w:szCs w:val="16"/>
          <w:lang w:val="es-ES"/>
        </w:rPr>
        <w:t xml:space="preserve"> </w:t>
      </w:r>
      <w:r w:rsidR="008C1880" w:rsidRPr="00A32B9B">
        <w:rPr>
          <w:rFonts w:ascii="Cambria" w:hAnsi="Cambria"/>
          <w:sz w:val="16"/>
          <w:szCs w:val="16"/>
          <w:lang w:val="es-ES"/>
        </w:rPr>
        <w:t>CIDH</w:t>
      </w:r>
      <w:r w:rsidR="008C1880" w:rsidRPr="006132CC">
        <w:rPr>
          <w:rFonts w:ascii="Cambria" w:hAnsi="Cambria"/>
          <w:sz w:val="16"/>
          <w:szCs w:val="16"/>
          <w:lang w:val="es-ES"/>
        </w:rPr>
        <w:t>, Informe No. 39/18</w:t>
      </w:r>
      <w:r w:rsidR="008C1880">
        <w:rPr>
          <w:rFonts w:ascii="Cambria" w:hAnsi="Cambria"/>
          <w:sz w:val="16"/>
          <w:szCs w:val="16"/>
          <w:lang w:val="es-ES"/>
        </w:rPr>
        <w:t>, Petición 196-07</w:t>
      </w:r>
      <w:r w:rsidR="008C1880" w:rsidRPr="006132CC">
        <w:rPr>
          <w:rFonts w:ascii="Cambria" w:hAnsi="Cambria"/>
          <w:sz w:val="16"/>
          <w:szCs w:val="16"/>
          <w:lang w:val="es-ES"/>
        </w:rPr>
        <w:t>. Admisibilidad. José Ricardo Parra Hurtado, Félix Alberto Páez Suárez y familias. Colombia. 4 de mayo de 2018, párr. 12.</w:t>
      </w:r>
    </w:p>
  </w:footnote>
  <w:footnote w:id="12">
    <w:p w14:paraId="04F4C3C2" w14:textId="0B9A8858" w:rsidR="008C1880" w:rsidRPr="006132CC" w:rsidRDefault="00A01DB7" w:rsidP="00111E46">
      <w:pPr>
        <w:pStyle w:val="FootnoteText"/>
        <w:jc w:val="both"/>
        <w:rPr>
          <w:rFonts w:ascii="Cambria" w:hAnsi="Cambria"/>
          <w:sz w:val="16"/>
          <w:szCs w:val="16"/>
          <w:lang w:val="es-ES"/>
        </w:rPr>
      </w:pPr>
      <w:r>
        <w:rPr>
          <w:rFonts w:ascii="Cambria" w:hAnsi="Cambria"/>
          <w:sz w:val="16"/>
          <w:szCs w:val="16"/>
          <w:lang w:val="es-ES"/>
        </w:rPr>
        <w:tab/>
      </w:r>
      <w:r w:rsidR="008C1880" w:rsidRPr="006132CC">
        <w:rPr>
          <w:rStyle w:val="FootnoteReference"/>
          <w:rFonts w:ascii="Cambria" w:hAnsi="Cambria"/>
          <w:sz w:val="16"/>
          <w:szCs w:val="16"/>
        </w:rPr>
        <w:footnoteRef/>
      </w:r>
      <w:r w:rsidR="008C1880" w:rsidRPr="006132CC">
        <w:rPr>
          <w:rFonts w:ascii="Cambria" w:hAnsi="Cambria"/>
          <w:sz w:val="16"/>
          <w:szCs w:val="16"/>
          <w:lang w:val="es-ES"/>
        </w:rPr>
        <w:t xml:space="preserve"> CIDH, Informe No. 71/17</w:t>
      </w:r>
      <w:r w:rsidR="008C1880">
        <w:rPr>
          <w:rFonts w:ascii="Cambria" w:hAnsi="Cambria"/>
          <w:sz w:val="16"/>
          <w:szCs w:val="16"/>
          <w:lang w:val="es-ES"/>
        </w:rPr>
        <w:t xml:space="preserve">, </w:t>
      </w:r>
      <w:r w:rsidR="008C1880" w:rsidRPr="006132CC">
        <w:rPr>
          <w:rFonts w:ascii="Cambria" w:hAnsi="Cambria"/>
          <w:sz w:val="16"/>
          <w:szCs w:val="16"/>
          <w:lang w:val="es-ES"/>
        </w:rPr>
        <w:t>Petición 271-07. Admisibilidad. Jorge Luis de la Rosa Mejía y otros. Colombia. 29 de junio de 2017, párr. 49.</w:t>
      </w:r>
    </w:p>
  </w:footnote>
  <w:footnote w:id="13">
    <w:p w14:paraId="3D06A352" w14:textId="385F4DE3" w:rsidR="008C1880" w:rsidRPr="006C5EDA" w:rsidRDefault="00A01DB7" w:rsidP="00111E46">
      <w:pPr>
        <w:pStyle w:val="FootnoteText"/>
        <w:jc w:val="both"/>
        <w:rPr>
          <w:rFonts w:ascii="Cambria" w:hAnsi="Cambria"/>
          <w:sz w:val="16"/>
          <w:szCs w:val="16"/>
          <w:lang w:val="es-ES"/>
        </w:rPr>
      </w:pPr>
      <w:r>
        <w:rPr>
          <w:rFonts w:ascii="Cambria" w:hAnsi="Cambria"/>
          <w:sz w:val="16"/>
          <w:szCs w:val="16"/>
          <w:lang w:val="es-ES"/>
        </w:rPr>
        <w:tab/>
      </w:r>
      <w:r w:rsidR="008C1880" w:rsidRPr="006132CC">
        <w:rPr>
          <w:rStyle w:val="FootnoteReference"/>
          <w:rFonts w:ascii="Cambria" w:hAnsi="Cambria"/>
          <w:sz w:val="16"/>
          <w:szCs w:val="16"/>
        </w:rPr>
        <w:footnoteRef/>
      </w:r>
      <w:r w:rsidR="008C1880" w:rsidRPr="006132CC">
        <w:rPr>
          <w:rFonts w:ascii="Cambria" w:hAnsi="Cambria"/>
          <w:sz w:val="16"/>
          <w:szCs w:val="16"/>
          <w:lang w:val="es-ES"/>
        </w:rPr>
        <w:t xml:space="preserve"> CIDH, Informe No. 14/</w:t>
      </w:r>
      <w:r w:rsidR="008C1880" w:rsidRPr="006C5EDA">
        <w:rPr>
          <w:rFonts w:ascii="Cambria" w:hAnsi="Cambria"/>
          <w:sz w:val="16"/>
          <w:szCs w:val="16"/>
          <w:lang w:val="es-ES"/>
        </w:rPr>
        <w:t>17</w:t>
      </w:r>
      <w:r w:rsidR="008C1880">
        <w:rPr>
          <w:rFonts w:ascii="Cambria" w:hAnsi="Cambria"/>
          <w:sz w:val="16"/>
          <w:szCs w:val="16"/>
          <w:lang w:val="es-ES"/>
        </w:rPr>
        <w:t>, Petición 1197-08</w:t>
      </w:r>
      <w:r w:rsidR="008C1880" w:rsidRPr="006C5EDA">
        <w:rPr>
          <w:rFonts w:ascii="Cambria" w:hAnsi="Cambria"/>
          <w:sz w:val="16"/>
          <w:szCs w:val="16"/>
          <w:lang w:val="es-ES"/>
        </w:rPr>
        <w:t xml:space="preserve">. Admisibilidad. José </w:t>
      </w:r>
      <w:proofErr w:type="spellStart"/>
      <w:r w:rsidR="008C1880" w:rsidRPr="006C5EDA">
        <w:rPr>
          <w:rFonts w:ascii="Cambria" w:hAnsi="Cambria"/>
          <w:sz w:val="16"/>
          <w:szCs w:val="16"/>
          <w:lang w:val="es-ES"/>
        </w:rPr>
        <w:t>Rubián</w:t>
      </w:r>
      <w:proofErr w:type="spellEnd"/>
      <w:r w:rsidR="008C1880" w:rsidRPr="006C5EDA">
        <w:rPr>
          <w:rFonts w:ascii="Cambria" w:hAnsi="Cambria"/>
          <w:sz w:val="16"/>
          <w:szCs w:val="16"/>
          <w:lang w:val="es-ES"/>
        </w:rPr>
        <w:t xml:space="preserve"> Gómez Martínez, </w:t>
      </w:r>
      <w:proofErr w:type="spellStart"/>
      <w:r w:rsidR="008C1880" w:rsidRPr="006C5EDA">
        <w:rPr>
          <w:rFonts w:ascii="Cambria" w:hAnsi="Cambria"/>
          <w:sz w:val="16"/>
          <w:szCs w:val="16"/>
          <w:lang w:val="es-ES"/>
        </w:rPr>
        <w:t>Rolfe</w:t>
      </w:r>
      <w:proofErr w:type="spellEnd"/>
      <w:r w:rsidR="008C1880" w:rsidRPr="006C5EDA">
        <w:rPr>
          <w:rFonts w:ascii="Cambria" w:hAnsi="Cambria"/>
          <w:sz w:val="16"/>
          <w:szCs w:val="16"/>
          <w:lang w:val="es-ES"/>
        </w:rPr>
        <w:t xml:space="preserve"> </w:t>
      </w:r>
      <w:proofErr w:type="spellStart"/>
      <w:r w:rsidR="008C1880" w:rsidRPr="006C5EDA">
        <w:rPr>
          <w:rFonts w:ascii="Cambria" w:hAnsi="Cambria"/>
          <w:sz w:val="16"/>
          <w:szCs w:val="16"/>
          <w:lang w:val="es-ES"/>
        </w:rPr>
        <w:t>Arialdo</w:t>
      </w:r>
      <w:proofErr w:type="spellEnd"/>
      <w:r w:rsidR="008C1880" w:rsidRPr="006C5EDA">
        <w:rPr>
          <w:rFonts w:ascii="Cambria" w:hAnsi="Cambria"/>
          <w:sz w:val="16"/>
          <w:szCs w:val="16"/>
          <w:lang w:val="es-ES"/>
        </w:rPr>
        <w:t xml:space="preserve"> Figueredo Martínez, Miguel Novoa Martínez, Alcira Martínez Álvarez y familias. Colombia. 27 de enero de 2017, párr. 6.</w:t>
      </w:r>
    </w:p>
  </w:footnote>
  <w:footnote w:id="14">
    <w:p w14:paraId="42B46352" w14:textId="129652A0" w:rsidR="008C1880" w:rsidRPr="008A1033" w:rsidRDefault="00A01DB7" w:rsidP="00A01DB7">
      <w:pPr>
        <w:pStyle w:val="FootnoteText"/>
        <w:tabs>
          <w:tab w:val="left" w:pos="720"/>
        </w:tabs>
        <w:rPr>
          <w:rFonts w:ascii="Cambria" w:hAnsi="Cambria"/>
          <w:sz w:val="16"/>
          <w:szCs w:val="16"/>
          <w:lang w:val="es-US"/>
        </w:rPr>
      </w:pPr>
      <w:r w:rsidRPr="00A92DA2">
        <w:rPr>
          <w:rFonts w:ascii="Cambria" w:hAnsi="Cambria"/>
          <w:sz w:val="16"/>
          <w:szCs w:val="16"/>
          <w:lang w:val="es-419"/>
        </w:rPr>
        <w:tab/>
      </w:r>
      <w:r w:rsidR="008C1880" w:rsidRPr="002B362D">
        <w:rPr>
          <w:rStyle w:val="FootnoteReference"/>
          <w:rFonts w:ascii="Cambria" w:hAnsi="Cambria"/>
          <w:sz w:val="16"/>
          <w:szCs w:val="16"/>
        </w:rPr>
        <w:footnoteRef/>
      </w:r>
      <w:r w:rsidR="008C1880" w:rsidRPr="00A92DA2">
        <w:rPr>
          <w:rFonts w:ascii="Cambria" w:hAnsi="Cambria"/>
          <w:sz w:val="16"/>
          <w:szCs w:val="16"/>
          <w:lang w:val="es-419"/>
        </w:rPr>
        <w:t xml:space="preserve"> Corte IDH, Caso Loayza Tamayo Vs. </w:t>
      </w:r>
      <w:r w:rsidR="008C1880" w:rsidRPr="002B362D">
        <w:rPr>
          <w:rFonts w:ascii="Cambria" w:hAnsi="Cambria"/>
          <w:sz w:val="16"/>
          <w:szCs w:val="16"/>
          <w:lang w:val="es-ES"/>
        </w:rPr>
        <w:t>Perú. Reparaciones y Costas. Sentencia de 27 de noviembre de 1998. Serie C No. 42, párr.</w:t>
      </w:r>
      <w:r w:rsidR="008C1880" w:rsidRPr="002B362D">
        <w:rPr>
          <w:rFonts w:ascii="Cambria" w:hAnsi="Cambria"/>
          <w:sz w:val="16"/>
          <w:szCs w:val="16"/>
          <w:lang w:val="es-ES_tradnl"/>
        </w:rPr>
        <w:t xml:space="preserve"> </w:t>
      </w:r>
      <w:r w:rsidR="008C1880" w:rsidRPr="008A1033">
        <w:rPr>
          <w:rFonts w:ascii="Cambria" w:hAnsi="Cambria"/>
          <w:sz w:val="16"/>
          <w:szCs w:val="16"/>
          <w:lang w:val="es-US"/>
        </w:rPr>
        <w:t>16</w:t>
      </w:r>
    </w:p>
  </w:footnote>
  <w:footnote w:id="15">
    <w:p w14:paraId="1D531529" w14:textId="32181A97" w:rsidR="008C1880" w:rsidRPr="006132CC" w:rsidRDefault="00A01DB7" w:rsidP="00111E46">
      <w:pPr>
        <w:pStyle w:val="FootnoteText"/>
        <w:jc w:val="both"/>
        <w:rPr>
          <w:rFonts w:ascii="Cambria" w:hAnsi="Cambria"/>
          <w:sz w:val="16"/>
          <w:szCs w:val="16"/>
          <w:lang w:val="es-ES"/>
        </w:rPr>
      </w:pPr>
      <w:r>
        <w:rPr>
          <w:rFonts w:ascii="Cambria" w:hAnsi="Cambria"/>
          <w:sz w:val="16"/>
          <w:szCs w:val="16"/>
          <w:lang w:val="es-ES"/>
        </w:rPr>
        <w:tab/>
      </w:r>
      <w:r w:rsidR="008C1880" w:rsidRPr="006132CC">
        <w:rPr>
          <w:rStyle w:val="FootnoteReference"/>
          <w:rFonts w:ascii="Cambria" w:hAnsi="Cambria"/>
          <w:sz w:val="16"/>
          <w:szCs w:val="16"/>
        </w:rPr>
        <w:footnoteRef/>
      </w:r>
      <w:r w:rsidR="008C1880" w:rsidRPr="006132CC">
        <w:rPr>
          <w:rFonts w:ascii="Cambria" w:hAnsi="Cambria"/>
          <w:sz w:val="16"/>
          <w:szCs w:val="16"/>
          <w:lang w:val="es-ES"/>
        </w:rPr>
        <w:t xml:space="preserve"> CIDH, Informe No. 14/18</w:t>
      </w:r>
      <w:r w:rsidR="008C1880">
        <w:rPr>
          <w:rFonts w:ascii="Cambria" w:hAnsi="Cambria"/>
          <w:sz w:val="16"/>
          <w:szCs w:val="16"/>
          <w:lang w:val="es-ES"/>
        </w:rPr>
        <w:t>, Petición 1057-07</w:t>
      </w:r>
      <w:r w:rsidR="008C1880" w:rsidRPr="006132CC">
        <w:rPr>
          <w:rFonts w:ascii="Cambria" w:hAnsi="Cambria"/>
          <w:sz w:val="16"/>
          <w:szCs w:val="16"/>
          <w:lang w:val="es-ES"/>
        </w:rPr>
        <w:t xml:space="preserve">. Admisibilidad. </w:t>
      </w:r>
      <w:proofErr w:type="spellStart"/>
      <w:r w:rsidR="008C1880" w:rsidRPr="006132CC">
        <w:rPr>
          <w:rFonts w:ascii="Cambria" w:hAnsi="Cambria"/>
          <w:sz w:val="16"/>
          <w:szCs w:val="16"/>
          <w:lang w:val="es-ES"/>
        </w:rPr>
        <w:t>Thelmo</w:t>
      </w:r>
      <w:proofErr w:type="spellEnd"/>
      <w:r w:rsidR="008C1880" w:rsidRPr="006132CC">
        <w:rPr>
          <w:rFonts w:ascii="Cambria" w:hAnsi="Cambria"/>
          <w:sz w:val="16"/>
          <w:szCs w:val="16"/>
          <w:lang w:val="es-ES"/>
        </w:rPr>
        <w:t xml:space="preserve"> Reyes Palacio</w:t>
      </w:r>
      <w:r w:rsidR="008C1880">
        <w:rPr>
          <w:rFonts w:ascii="Cambria" w:hAnsi="Cambria"/>
          <w:sz w:val="16"/>
          <w:szCs w:val="16"/>
          <w:lang w:val="es-ES"/>
        </w:rPr>
        <w:t>s</w:t>
      </w:r>
      <w:r w:rsidR="008C1880" w:rsidRPr="006132CC">
        <w:rPr>
          <w:rFonts w:ascii="Cambria" w:hAnsi="Cambria"/>
          <w:sz w:val="16"/>
          <w:szCs w:val="16"/>
          <w:lang w:val="es-ES"/>
        </w:rPr>
        <w:t>. México. 24 de febrero de 2018,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58F4F" w14:textId="77777777" w:rsidR="008C1880" w:rsidRDefault="008C1880" w:rsidP="00B5225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637B9F2" w14:textId="77777777" w:rsidR="008C1880" w:rsidRDefault="008C1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A4346" w14:textId="77777777" w:rsidR="008C1880" w:rsidRDefault="008C1880" w:rsidP="00B52252">
    <w:pPr>
      <w:pStyle w:val="Header"/>
      <w:tabs>
        <w:tab w:val="clear" w:pos="4320"/>
        <w:tab w:val="clear" w:pos="8640"/>
      </w:tabs>
      <w:jc w:val="center"/>
      <w:rPr>
        <w:sz w:val="22"/>
        <w:szCs w:val="22"/>
      </w:rPr>
    </w:pPr>
    <w:r>
      <w:rPr>
        <w:noProof/>
        <w:sz w:val="22"/>
        <w:szCs w:val="22"/>
      </w:rPr>
      <w:drawing>
        <wp:inline distT="0" distB="0" distL="0" distR="0" wp14:anchorId="4460BDE4" wp14:editId="4E61B04A">
          <wp:extent cx="1972237" cy="104775"/>
          <wp:effectExtent l="0" t="0" r="9525" b="0"/>
          <wp:docPr id="39"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673BDB5" w14:textId="77777777" w:rsidR="008C1880" w:rsidRPr="00EC7D62" w:rsidRDefault="002B7F57" w:rsidP="00B52252">
    <w:pPr>
      <w:pStyle w:val="Header"/>
      <w:tabs>
        <w:tab w:val="clear" w:pos="4320"/>
        <w:tab w:val="clear" w:pos="8640"/>
      </w:tabs>
      <w:jc w:val="center"/>
      <w:rPr>
        <w:sz w:val="22"/>
        <w:szCs w:val="22"/>
      </w:rPr>
    </w:pPr>
    <w:r>
      <w:pict w14:anchorId="79E5C56B">
        <v:rect id="Horizontal Line 1" o:spid="_x0000_s2049"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verticies="t" text="t" shapetype="t"/>
          <w10:wrap type="none"/>
          <w10:anchorlock/>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3AED6" w14:textId="77777777" w:rsidR="00FC6B52" w:rsidRDefault="00FC6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0B3"/>
    <w:multiLevelType w:val="hybridMultilevel"/>
    <w:tmpl w:val="A72268AE"/>
    <w:lvl w:ilvl="0" w:tplc="758C01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1D2261"/>
    <w:multiLevelType w:val="hybridMultilevel"/>
    <w:tmpl w:val="BED80090"/>
    <w:lvl w:ilvl="0" w:tplc="B39E5754">
      <w:start w:val="1"/>
      <w:numFmt w:val="decimal"/>
      <w:lvlText w:val="%1."/>
      <w:lvlJc w:val="left"/>
      <w:pPr>
        <w:tabs>
          <w:tab w:val="num" w:pos="720"/>
        </w:tabs>
        <w:ind w:left="0" w:firstLine="720"/>
      </w:pPr>
      <w:rPr>
        <w:rFonts w:hint="default"/>
        <w:b w:val="0"/>
        <w:color w:val="auto"/>
        <w:sz w:val="19"/>
        <w:szCs w:val="19"/>
        <w:lang w:val="es-4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1413D1"/>
    <w:multiLevelType w:val="hybridMultilevel"/>
    <w:tmpl w:val="27A2ED8E"/>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3" w15:restartNumberingAfterBreak="0">
    <w:nsid w:val="165E40D6"/>
    <w:multiLevelType w:val="hybridMultilevel"/>
    <w:tmpl w:val="D902C006"/>
    <w:lvl w:ilvl="0" w:tplc="1CF2F73E">
      <w:start w:val="1"/>
      <w:numFmt w:val="decimal"/>
      <w:lvlText w:val="%1."/>
      <w:lvlJc w:val="left"/>
      <w:pPr>
        <w:ind w:left="1080" w:hanging="360"/>
      </w:pPr>
      <w:rPr>
        <w:rFonts w:hint="default"/>
        <w:b w:val="0"/>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DA5BAF"/>
    <w:multiLevelType w:val="hybridMultilevel"/>
    <w:tmpl w:val="9FD89532"/>
    <w:lvl w:ilvl="0" w:tplc="9EBE7A6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4337D67"/>
    <w:multiLevelType w:val="hybridMultilevel"/>
    <w:tmpl w:val="8A64851A"/>
    <w:lvl w:ilvl="0" w:tplc="DB34EEF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9B95C36"/>
    <w:multiLevelType w:val="hybridMultilevel"/>
    <w:tmpl w:val="D9729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F747D"/>
    <w:multiLevelType w:val="hybridMultilevel"/>
    <w:tmpl w:val="9FD89532"/>
    <w:lvl w:ilvl="0" w:tplc="9EBE7A6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EE96C39"/>
    <w:multiLevelType w:val="hybridMultilevel"/>
    <w:tmpl w:val="E378FE44"/>
    <w:lvl w:ilvl="0" w:tplc="0DE095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6E1B22"/>
    <w:multiLevelType w:val="hybridMultilevel"/>
    <w:tmpl w:val="E8EAFC1A"/>
    <w:lvl w:ilvl="0" w:tplc="8E7A45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C232EA"/>
    <w:multiLevelType w:val="hybridMultilevel"/>
    <w:tmpl w:val="E8EAFC1A"/>
    <w:lvl w:ilvl="0" w:tplc="8E7A45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7D59F3"/>
    <w:multiLevelType w:val="hybridMultilevel"/>
    <w:tmpl w:val="691E09BA"/>
    <w:lvl w:ilvl="0" w:tplc="338862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C3D33"/>
    <w:multiLevelType w:val="hybridMultilevel"/>
    <w:tmpl w:val="53CC1308"/>
    <w:lvl w:ilvl="0" w:tplc="0E82E4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816674"/>
    <w:multiLevelType w:val="hybridMultilevel"/>
    <w:tmpl w:val="8A64851A"/>
    <w:lvl w:ilvl="0" w:tplc="DB34EEF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5AD31EAF"/>
    <w:multiLevelType w:val="hybridMultilevel"/>
    <w:tmpl w:val="9A5EA29A"/>
    <w:lvl w:ilvl="0" w:tplc="8E7A45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8311BB"/>
    <w:multiLevelType w:val="hybridMultilevel"/>
    <w:tmpl w:val="C518B8A6"/>
    <w:lvl w:ilvl="0" w:tplc="9438AE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4"/>
  </w:num>
  <w:num w:numId="5">
    <w:abstractNumId w:val="3"/>
  </w:num>
  <w:num w:numId="6">
    <w:abstractNumId w:val="6"/>
  </w:num>
  <w:num w:numId="7">
    <w:abstractNumId w:val="12"/>
  </w:num>
  <w:num w:numId="8">
    <w:abstractNumId w:val="16"/>
  </w:num>
  <w:num w:numId="9">
    <w:abstractNumId w:val="8"/>
  </w:num>
  <w:num w:numId="10">
    <w:abstractNumId w:val="0"/>
  </w:num>
  <w:num w:numId="11">
    <w:abstractNumId w:val="11"/>
  </w:num>
  <w:num w:numId="12">
    <w:abstractNumId w:val="15"/>
  </w:num>
  <w:num w:numId="13">
    <w:abstractNumId w:val="10"/>
  </w:num>
  <w:num w:numId="14">
    <w:abstractNumId w:val="9"/>
  </w:num>
  <w:num w:numId="15">
    <w:abstractNumId w:val="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46"/>
    <w:rsid w:val="00015890"/>
    <w:rsid w:val="00016740"/>
    <w:rsid w:val="00036F57"/>
    <w:rsid w:val="000905A4"/>
    <w:rsid w:val="00093979"/>
    <w:rsid w:val="000D6695"/>
    <w:rsid w:val="000F6FDA"/>
    <w:rsid w:val="00111E46"/>
    <w:rsid w:val="00133212"/>
    <w:rsid w:val="001A36D5"/>
    <w:rsid w:val="001B5C49"/>
    <w:rsid w:val="001D2CBD"/>
    <w:rsid w:val="001E1128"/>
    <w:rsid w:val="001E7F67"/>
    <w:rsid w:val="001F2946"/>
    <w:rsid w:val="00231FE9"/>
    <w:rsid w:val="00235A2C"/>
    <w:rsid w:val="002408EC"/>
    <w:rsid w:val="00283C99"/>
    <w:rsid w:val="002952C6"/>
    <w:rsid w:val="002A3850"/>
    <w:rsid w:val="002B739A"/>
    <w:rsid w:val="002B7F57"/>
    <w:rsid w:val="002C271E"/>
    <w:rsid w:val="002D40AD"/>
    <w:rsid w:val="002D764B"/>
    <w:rsid w:val="002E7ADD"/>
    <w:rsid w:val="00301C73"/>
    <w:rsid w:val="003364C4"/>
    <w:rsid w:val="0033741C"/>
    <w:rsid w:val="00345FA2"/>
    <w:rsid w:val="003D30FF"/>
    <w:rsid w:val="004243CC"/>
    <w:rsid w:val="00425A4C"/>
    <w:rsid w:val="00445825"/>
    <w:rsid w:val="004B11C1"/>
    <w:rsid w:val="004D0303"/>
    <w:rsid w:val="004E2A78"/>
    <w:rsid w:val="004E71BA"/>
    <w:rsid w:val="004F5772"/>
    <w:rsid w:val="00561DB6"/>
    <w:rsid w:val="00565EAF"/>
    <w:rsid w:val="00572C5A"/>
    <w:rsid w:val="0057377F"/>
    <w:rsid w:val="00575846"/>
    <w:rsid w:val="005A25D1"/>
    <w:rsid w:val="005B3E71"/>
    <w:rsid w:val="005C7ECE"/>
    <w:rsid w:val="005E2EC8"/>
    <w:rsid w:val="00612EB2"/>
    <w:rsid w:val="006250E7"/>
    <w:rsid w:val="006363FA"/>
    <w:rsid w:val="006408DD"/>
    <w:rsid w:val="0064541C"/>
    <w:rsid w:val="0066024F"/>
    <w:rsid w:val="00691EBA"/>
    <w:rsid w:val="0069257E"/>
    <w:rsid w:val="006B6403"/>
    <w:rsid w:val="006D0F03"/>
    <w:rsid w:val="006D4917"/>
    <w:rsid w:val="006E3C17"/>
    <w:rsid w:val="006E6DC8"/>
    <w:rsid w:val="006F6E7B"/>
    <w:rsid w:val="007456D5"/>
    <w:rsid w:val="007575EB"/>
    <w:rsid w:val="00780E2E"/>
    <w:rsid w:val="00786DBB"/>
    <w:rsid w:val="007C60D2"/>
    <w:rsid w:val="007D66D5"/>
    <w:rsid w:val="007F04B0"/>
    <w:rsid w:val="0081513F"/>
    <w:rsid w:val="00817999"/>
    <w:rsid w:val="00845476"/>
    <w:rsid w:val="00861D8B"/>
    <w:rsid w:val="0086581A"/>
    <w:rsid w:val="00895A7E"/>
    <w:rsid w:val="008A0AD3"/>
    <w:rsid w:val="008A1033"/>
    <w:rsid w:val="008B31F6"/>
    <w:rsid w:val="008C1880"/>
    <w:rsid w:val="008C1C3F"/>
    <w:rsid w:val="008D59AE"/>
    <w:rsid w:val="00904D52"/>
    <w:rsid w:val="00915B6C"/>
    <w:rsid w:val="009445B4"/>
    <w:rsid w:val="00972D82"/>
    <w:rsid w:val="009759DC"/>
    <w:rsid w:val="009A0140"/>
    <w:rsid w:val="009A1485"/>
    <w:rsid w:val="009A7083"/>
    <w:rsid w:val="009A7179"/>
    <w:rsid w:val="009C65DB"/>
    <w:rsid w:val="009C67AE"/>
    <w:rsid w:val="009F45BB"/>
    <w:rsid w:val="00A01DB7"/>
    <w:rsid w:val="00A20E3F"/>
    <w:rsid w:val="00A41C57"/>
    <w:rsid w:val="00A4524D"/>
    <w:rsid w:val="00A460C0"/>
    <w:rsid w:val="00A6208E"/>
    <w:rsid w:val="00A811DB"/>
    <w:rsid w:val="00A92DA2"/>
    <w:rsid w:val="00AB203B"/>
    <w:rsid w:val="00AD0889"/>
    <w:rsid w:val="00AD2B7B"/>
    <w:rsid w:val="00AF0138"/>
    <w:rsid w:val="00AF62A3"/>
    <w:rsid w:val="00B00C80"/>
    <w:rsid w:val="00B236C5"/>
    <w:rsid w:val="00B23B00"/>
    <w:rsid w:val="00B411D2"/>
    <w:rsid w:val="00B43BBC"/>
    <w:rsid w:val="00B52252"/>
    <w:rsid w:val="00B55E96"/>
    <w:rsid w:val="00B6684D"/>
    <w:rsid w:val="00B747A2"/>
    <w:rsid w:val="00B84374"/>
    <w:rsid w:val="00B8625E"/>
    <w:rsid w:val="00BA2C89"/>
    <w:rsid w:val="00BC6664"/>
    <w:rsid w:val="00BC6DA7"/>
    <w:rsid w:val="00BF58BC"/>
    <w:rsid w:val="00BF59D4"/>
    <w:rsid w:val="00C1593A"/>
    <w:rsid w:val="00C2027C"/>
    <w:rsid w:val="00C21BB2"/>
    <w:rsid w:val="00C77C75"/>
    <w:rsid w:val="00C97865"/>
    <w:rsid w:val="00D273D9"/>
    <w:rsid w:val="00D316AA"/>
    <w:rsid w:val="00D357CA"/>
    <w:rsid w:val="00D70069"/>
    <w:rsid w:val="00D91B9D"/>
    <w:rsid w:val="00DC42A9"/>
    <w:rsid w:val="00E66BB6"/>
    <w:rsid w:val="00E87CAA"/>
    <w:rsid w:val="00E91463"/>
    <w:rsid w:val="00E94F5A"/>
    <w:rsid w:val="00EA0CF9"/>
    <w:rsid w:val="00EC5AE1"/>
    <w:rsid w:val="00EC7EC3"/>
    <w:rsid w:val="00F014D6"/>
    <w:rsid w:val="00F071B2"/>
    <w:rsid w:val="00F207F1"/>
    <w:rsid w:val="00F77CEA"/>
    <w:rsid w:val="00F8166E"/>
    <w:rsid w:val="00FC6B52"/>
    <w:rsid w:val="00FD0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77A4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E46"/>
    <w:rPr>
      <w:rFonts w:ascii="Times New Roman" w:eastAsia="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111E46"/>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val="en-US" w:eastAsia="es-ES"/>
    </w:rPr>
  </w:style>
  <w:style w:type="character" w:customStyle="1" w:styleId="FooterChar">
    <w:name w:val="Footer Char"/>
    <w:basedOn w:val="DefaultParagraphFont"/>
    <w:link w:val="Footer"/>
    <w:uiPriority w:val="99"/>
    <w:rsid w:val="00111E46"/>
    <w:rPr>
      <w:rFonts w:ascii="Cambria" w:eastAsia="Cambria" w:hAnsi="Cambria" w:cs="Cambria"/>
      <w:color w:val="000000"/>
      <w:u w:color="000000"/>
      <w:bdr w:val="nil"/>
      <w:lang w:val="en-US" w:eastAsia="es-ES"/>
    </w:rPr>
  </w:style>
  <w:style w:type="paragraph" w:styleId="ListParagraph">
    <w:name w:val="List Paragraph"/>
    <w:aliases w:val="Rodapé Le"/>
    <w:uiPriority w:val="34"/>
    <w:qFormat/>
    <w:rsid w:val="00111E46"/>
    <w:pPr>
      <w:pBdr>
        <w:top w:val="nil"/>
        <w:left w:val="nil"/>
        <w:bottom w:val="nil"/>
        <w:right w:val="nil"/>
        <w:between w:val="nil"/>
        <w:bar w:val="nil"/>
      </w:pBdr>
      <w:ind w:left="720"/>
    </w:pPr>
    <w:rPr>
      <w:rFonts w:ascii="Cambria" w:eastAsia="Cambria" w:hAnsi="Cambria" w:cs="Cambria"/>
      <w:color w:val="000000"/>
      <w:u w:color="000000"/>
      <w:bdr w:val="nil"/>
      <w:lang w:val="en-US"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sid w:val="00111E46"/>
    <w:pPr>
      <w:pBdr>
        <w:top w:val="nil"/>
        <w:left w:val="nil"/>
        <w:bottom w:val="nil"/>
        <w:right w:val="nil"/>
        <w:between w:val="nil"/>
        <w:bar w:val="nil"/>
      </w:pBdr>
    </w:pPr>
    <w:rPr>
      <w:rFonts w:ascii="Calibri" w:eastAsia="Calibri" w:hAnsi="Calibri" w:cs="Calibri"/>
      <w:color w:val="000000"/>
      <w:sz w:val="20"/>
      <w:szCs w:val="20"/>
      <w:u w:color="000000"/>
      <w:bdr w:val="nil"/>
      <w:lang w:val="en-U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rsid w:val="00111E46"/>
    <w:rPr>
      <w:rFonts w:ascii="Calibri" w:eastAsia="Calibri" w:hAnsi="Calibri" w:cs="Calibri"/>
      <w:color w:val="000000"/>
      <w:sz w:val="20"/>
      <w:szCs w:val="20"/>
      <w:u w:color="000000"/>
      <w:bdr w:val="nil"/>
      <w:lang w:val="en-US" w:eastAsia="es-ES"/>
    </w:rPr>
  </w:style>
  <w:style w:type="paragraph" w:styleId="Header">
    <w:name w:val="header"/>
    <w:aliases w:val="encabezado"/>
    <w:basedOn w:val="Normal"/>
    <w:link w:val="HeaderChar"/>
    <w:rsid w:val="00111E46"/>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rsid w:val="00111E46"/>
    <w:rPr>
      <w:rFonts w:ascii="Univers" w:eastAsia="Times New Roman" w:hAnsi="Univers" w:cs="Univers"/>
      <w:lang w:val="en-US"/>
    </w:rPr>
  </w:style>
  <w:style w:type="character" w:styleId="PageNumber">
    <w:name w:val="page number"/>
    <w:basedOn w:val="DefaultParagraphFont"/>
    <w:rsid w:val="00111E46"/>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qFormat/>
    <w:rsid w:val="00111E46"/>
    <w:rPr>
      <w:vertAlign w:val="superscript"/>
    </w:rPr>
  </w:style>
  <w:style w:type="table" w:styleId="TableGrid">
    <w:name w:val="Table Grid"/>
    <w:basedOn w:val="TableNormal"/>
    <w:uiPriority w:val="59"/>
    <w:rsid w:val="00111E46"/>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E46"/>
    <w:rPr>
      <w:sz w:val="16"/>
      <w:szCs w:val="16"/>
    </w:rPr>
  </w:style>
  <w:style w:type="paragraph" w:styleId="CommentText">
    <w:name w:val="annotation text"/>
    <w:basedOn w:val="Normal"/>
    <w:link w:val="CommentTextChar"/>
    <w:uiPriority w:val="99"/>
    <w:unhideWhenUsed/>
    <w:rsid w:val="00111E46"/>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111E46"/>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111E46"/>
    <w:rPr>
      <w:sz w:val="18"/>
      <w:szCs w:val="18"/>
    </w:rPr>
  </w:style>
  <w:style w:type="character" w:customStyle="1" w:styleId="BalloonTextChar">
    <w:name w:val="Balloon Text Char"/>
    <w:basedOn w:val="DefaultParagraphFont"/>
    <w:link w:val="BalloonText"/>
    <w:uiPriority w:val="99"/>
    <w:semiHidden/>
    <w:rsid w:val="00111E46"/>
    <w:rPr>
      <w:rFonts w:ascii="Times New Roman" w:eastAsia="Times New Roman" w:hAnsi="Times New Roman" w:cs="Times New Roman"/>
      <w:sz w:val="18"/>
      <w:szCs w:val="18"/>
      <w:lang w:eastAsia="pt-BR"/>
    </w:rPr>
  </w:style>
  <w:style w:type="paragraph" w:styleId="CommentSubject">
    <w:name w:val="annotation subject"/>
    <w:basedOn w:val="CommentText"/>
    <w:next w:val="CommentText"/>
    <w:link w:val="CommentSubjectChar"/>
    <w:uiPriority w:val="99"/>
    <w:semiHidden/>
    <w:unhideWhenUsed/>
    <w:rsid w:val="002D40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lang w:val="pt-BR" w:eastAsia="pt-BR"/>
    </w:rPr>
  </w:style>
  <w:style w:type="character" w:customStyle="1" w:styleId="CommentSubjectChar">
    <w:name w:val="Comment Subject Char"/>
    <w:basedOn w:val="CommentTextChar"/>
    <w:link w:val="CommentSubject"/>
    <w:uiPriority w:val="99"/>
    <w:semiHidden/>
    <w:rsid w:val="002D40AD"/>
    <w:rPr>
      <w:rFonts w:ascii="Times New Roman" w:eastAsia="Times New Roman" w:hAnsi="Times New Roman" w:cs="Times New Roman"/>
      <w:b/>
      <w:bCs/>
      <w:sz w:val="20"/>
      <w:szCs w:val="20"/>
      <w:bdr w:val="nil"/>
      <w:lang w:val="en-US" w:eastAsia="pt-BR"/>
    </w:rPr>
  </w:style>
  <w:style w:type="paragraph" w:styleId="Revision">
    <w:name w:val="Revision"/>
    <w:hidden/>
    <w:uiPriority w:val="99"/>
    <w:semiHidden/>
    <w:rsid w:val="005E2EC8"/>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28237">
      <w:bodyDiv w:val="1"/>
      <w:marLeft w:val="0"/>
      <w:marRight w:val="0"/>
      <w:marTop w:val="0"/>
      <w:marBottom w:val="0"/>
      <w:divBdr>
        <w:top w:val="none" w:sz="0" w:space="0" w:color="auto"/>
        <w:left w:val="none" w:sz="0" w:space="0" w:color="auto"/>
        <w:bottom w:val="none" w:sz="0" w:space="0" w:color="auto"/>
        <w:right w:val="none" w:sz="0" w:space="0" w:color="auto"/>
      </w:divBdr>
    </w:div>
    <w:div w:id="17065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B9ADEEFE6F1E48B3F78E0401B33F8C"/>
        <w:category>
          <w:name w:val="Geral"/>
          <w:gallery w:val="placeholder"/>
        </w:category>
        <w:types>
          <w:type w:val="bbPlcHdr"/>
        </w:types>
        <w:behaviors>
          <w:behavior w:val="content"/>
        </w:behaviors>
        <w:guid w:val="{C01B942B-D1C0-E841-A8BC-335188AD86BF}"/>
      </w:docPartPr>
      <w:docPartBody>
        <w:p w:rsidR="001F0675" w:rsidRDefault="00FE6600" w:rsidP="00FE6600">
          <w:pPr>
            <w:pStyle w:val="FFB9ADEEFE6F1E48B3F78E0401B33F8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8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00"/>
    <w:rsid w:val="0014792D"/>
    <w:rsid w:val="001F0675"/>
    <w:rsid w:val="003207E6"/>
    <w:rsid w:val="003371B7"/>
    <w:rsid w:val="004254D5"/>
    <w:rsid w:val="00466A57"/>
    <w:rsid w:val="00655B02"/>
    <w:rsid w:val="006E247F"/>
    <w:rsid w:val="00816ED2"/>
    <w:rsid w:val="00830051"/>
    <w:rsid w:val="00925F48"/>
    <w:rsid w:val="00D567FB"/>
    <w:rsid w:val="00E22E6F"/>
    <w:rsid w:val="00FD01CA"/>
    <w:rsid w:val="00FE6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600"/>
    <w:rPr>
      <w:color w:val="808080"/>
    </w:rPr>
  </w:style>
  <w:style w:type="paragraph" w:customStyle="1" w:styleId="FFB9ADEEFE6F1E48B3F78E0401B33F8C">
    <w:name w:val="FFB9ADEEFE6F1E48B3F78E0401B33F8C"/>
    <w:rsid w:val="00FE6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FF8C-F8F4-4FA7-923C-303F7AB8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5918</Words>
  <Characters>33733</Characters>
  <Application>Microsoft Office Word</Application>
  <DocSecurity>0</DocSecurity>
  <Lines>281</Lines>
  <Paragraphs>79</Paragraphs>
  <ScaleCrop>false</ScaleCrop>
  <Company/>
  <LinksUpToDate>false</LinksUpToDate>
  <CharactersWithSpaces>39572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361/20</dc:title>
  <dc:subject/>
  <dc:creator/>
  <cp:keywords/>
  <dc:description/>
  <cp:lastModifiedBy/>
  <cp:revision>1</cp:revision>
  <dcterms:created xsi:type="dcterms:W3CDTF">2021-01-06T15:12:00Z</dcterms:created>
  <dcterms:modified xsi:type="dcterms:W3CDTF">2021-01-06T15:12:00Z</dcterms:modified>
</cp:coreProperties>
</file>