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38AE5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861F3">
                              <w:rPr>
                                <w:rFonts w:asciiTheme="majorHAnsi" w:hAnsiTheme="majorHAnsi" w:cs="Arial"/>
                                <w:b/>
                                <w:bCs/>
                                <w:color w:val="0D0D0D" w:themeColor="text1" w:themeTint="F2"/>
                                <w:sz w:val="36"/>
                                <w:szCs w:val="22"/>
                                <w:lang w:val="es-ES_tradnl"/>
                              </w:rPr>
                              <w:t xml:space="preserve"> 231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6D93">
                              <w:rPr>
                                <w:rFonts w:asciiTheme="majorHAnsi" w:hAnsiTheme="majorHAnsi" w:cs="Arial"/>
                                <w:b/>
                                <w:color w:val="0D0D0D" w:themeColor="text1" w:themeTint="F2"/>
                                <w:sz w:val="36"/>
                                <w:szCs w:val="22"/>
                                <w:lang w:val="es-ES_tradnl"/>
                              </w:rPr>
                              <w:t>1572</w:t>
                            </w:r>
                            <w:r w:rsidR="00246D1F" w:rsidRPr="004E2649">
                              <w:rPr>
                                <w:rFonts w:asciiTheme="majorHAnsi" w:hAnsiTheme="majorHAnsi" w:cs="Arial"/>
                                <w:b/>
                                <w:color w:val="0D0D0D" w:themeColor="text1" w:themeTint="F2"/>
                                <w:sz w:val="36"/>
                                <w:szCs w:val="22"/>
                                <w:lang w:val="es-ES_tradnl"/>
                              </w:rPr>
                              <w:t>-</w:t>
                            </w:r>
                            <w:r w:rsidR="00C56D9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EA14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0A0FC6">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C56D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MARGARITA RODRIGUEZ MENDOZA</w:t>
                            </w:r>
                          </w:p>
                          <w:bookmarkEnd w:id="1"/>
                          <w:p w:rsidR="005B52B0" w:rsidRPr="0010736F" w:rsidRDefault="00C56D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861F3">
                        <w:rPr>
                          <w:rFonts w:asciiTheme="majorHAnsi" w:hAnsiTheme="majorHAnsi" w:cs="Arial"/>
                          <w:b/>
                          <w:bCs/>
                          <w:color w:val="0D0D0D" w:themeColor="text1" w:themeTint="F2"/>
                          <w:sz w:val="36"/>
                          <w:szCs w:val="22"/>
                          <w:lang w:val="es-ES_tradnl"/>
                        </w:rPr>
                        <w:t xml:space="preserve"> 231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6D93">
                        <w:rPr>
                          <w:rFonts w:asciiTheme="majorHAnsi" w:hAnsiTheme="majorHAnsi" w:cs="Arial"/>
                          <w:b/>
                          <w:color w:val="0D0D0D" w:themeColor="text1" w:themeTint="F2"/>
                          <w:sz w:val="36"/>
                          <w:szCs w:val="22"/>
                          <w:lang w:val="es-ES_tradnl"/>
                        </w:rPr>
                        <w:t>1572</w:t>
                      </w:r>
                      <w:r w:rsidR="00246D1F" w:rsidRPr="004E2649">
                        <w:rPr>
                          <w:rFonts w:asciiTheme="majorHAnsi" w:hAnsiTheme="majorHAnsi" w:cs="Arial"/>
                          <w:b/>
                          <w:color w:val="0D0D0D" w:themeColor="text1" w:themeTint="F2"/>
                          <w:sz w:val="36"/>
                          <w:szCs w:val="22"/>
                          <w:lang w:val="es-ES_tradnl"/>
                        </w:rPr>
                        <w:t>-</w:t>
                      </w:r>
                      <w:r w:rsidR="00C56D9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EA14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0A0FC6">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C56D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MARGARITA RODRIGUEZ MENDOZA</w:t>
                      </w:r>
                    </w:p>
                    <w:bookmarkEnd w:id="1"/>
                    <w:p w:rsidR="005B52B0" w:rsidRPr="0010736F" w:rsidRDefault="00C56D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861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861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246</w:t>
                            </w:r>
                          </w:p>
                          <w:p w:rsidR="00627C9F" w:rsidRPr="00C25ADB" w:rsidRDefault="006861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861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861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246</w:t>
                      </w:r>
                    </w:p>
                    <w:p w:rsidR="00627C9F" w:rsidRPr="00C25ADB" w:rsidRDefault="006861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61F3">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861F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0447E7">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61F3">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861F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0447E7">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61F3" w:rsidRPr="006861F3">
                              <w:rPr>
                                <w:rFonts w:asciiTheme="majorHAnsi" w:hAnsiTheme="majorHAnsi"/>
                                <w:color w:val="595959" w:themeColor="text1" w:themeTint="A6"/>
                                <w:sz w:val="18"/>
                                <w:szCs w:val="18"/>
                                <w:lang w:val="pt-BR"/>
                              </w:rPr>
                              <w:t>231</w:t>
                            </w:r>
                            <w:r w:rsidR="007B05C4" w:rsidRPr="006861F3">
                              <w:rPr>
                                <w:rFonts w:asciiTheme="majorHAnsi" w:hAnsiTheme="majorHAnsi"/>
                                <w:color w:val="595959" w:themeColor="text1" w:themeTint="A6"/>
                                <w:sz w:val="18"/>
                                <w:szCs w:val="18"/>
                                <w:lang w:val="pt-BR"/>
                              </w:rPr>
                              <w:t>/</w:t>
                            </w:r>
                            <w:r w:rsidR="006861F3" w:rsidRPr="006861F3">
                              <w:rPr>
                                <w:rFonts w:asciiTheme="majorHAnsi" w:hAnsiTheme="majorHAnsi"/>
                                <w:color w:val="595959" w:themeColor="text1" w:themeTint="A6"/>
                                <w:sz w:val="18"/>
                                <w:szCs w:val="18"/>
                                <w:lang w:val="pt-BR"/>
                              </w:rPr>
                              <w:t>20</w:t>
                            </w:r>
                            <w:r w:rsidRPr="006861F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861F3">
                              <w:rPr>
                                <w:rFonts w:asciiTheme="majorHAnsi" w:hAnsiTheme="majorHAnsi"/>
                                <w:color w:val="595959" w:themeColor="text1" w:themeTint="A6"/>
                                <w:sz w:val="18"/>
                                <w:szCs w:val="18"/>
                                <w:lang w:val="es-ES"/>
                              </w:rPr>
                              <w:t>1572</w:t>
                            </w:r>
                            <w:r w:rsidR="000433C9">
                              <w:rPr>
                                <w:rFonts w:asciiTheme="majorHAnsi" w:hAnsiTheme="majorHAnsi"/>
                                <w:color w:val="595959" w:themeColor="text1" w:themeTint="A6"/>
                                <w:sz w:val="18"/>
                                <w:szCs w:val="18"/>
                                <w:lang w:val="es-ES"/>
                              </w:rPr>
                              <w:t>-</w:t>
                            </w:r>
                            <w:r w:rsidR="006861F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A913E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861F3">
                              <w:rPr>
                                <w:rFonts w:asciiTheme="majorHAnsi" w:hAnsiTheme="majorHAnsi"/>
                                <w:color w:val="595959" w:themeColor="text1" w:themeTint="A6"/>
                                <w:sz w:val="18"/>
                                <w:szCs w:val="18"/>
                                <w:lang w:val="es-ES_tradnl"/>
                              </w:rPr>
                              <w:t>Margarita Rodriguez Mendoza</w:t>
                            </w:r>
                            <w:r w:rsidRPr="00890650">
                              <w:rPr>
                                <w:rFonts w:asciiTheme="majorHAnsi" w:hAnsiTheme="majorHAnsi"/>
                                <w:color w:val="595959" w:themeColor="text1" w:themeTint="A6"/>
                                <w:sz w:val="18"/>
                                <w:szCs w:val="18"/>
                                <w:lang w:val="es-ES_tradnl"/>
                              </w:rPr>
                              <w:t xml:space="preserve">. </w:t>
                            </w:r>
                            <w:r w:rsidR="006861F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861F3">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61F3" w:rsidRPr="006861F3">
                        <w:rPr>
                          <w:rFonts w:asciiTheme="majorHAnsi" w:hAnsiTheme="majorHAnsi"/>
                          <w:color w:val="595959" w:themeColor="text1" w:themeTint="A6"/>
                          <w:sz w:val="18"/>
                          <w:szCs w:val="18"/>
                          <w:lang w:val="pt-BR"/>
                        </w:rPr>
                        <w:t>231</w:t>
                      </w:r>
                      <w:r w:rsidR="007B05C4" w:rsidRPr="006861F3">
                        <w:rPr>
                          <w:rFonts w:asciiTheme="majorHAnsi" w:hAnsiTheme="majorHAnsi"/>
                          <w:color w:val="595959" w:themeColor="text1" w:themeTint="A6"/>
                          <w:sz w:val="18"/>
                          <w:szCs w:val="18"/>
                          <w:lang w:val="pt-BR"/>
                        </w:rPr>
                        <w:t>/</w:t>
                      </w:r>
                      <w:r w:rsidR="006861F3" w:rsidRPr="006861F3">
                        <w:rPr>
                          <w:rFonts w:asciiTheme="majorHAnsi" w:hAnsiTheme="majorHAnsi"/>
                          <w:color w:val="595959" w:themeColor="text1" w:themeTint="A6"/>
                          <w:sz w:val="18"/>
                          <w:szCs w:val="18"/>
                          <w:lang w:val="pt-BR"/>
                        </w:rPr>
                        <w:t>20</w:t>
                      </w:r>
                      <w:r w:rsidRPr="006861F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861F3">
                        <w:rPr>
                          <w:rFonts w:asciiTheme="majorHAnsi" w:hAnsiTheme="majorHAnsi"/>
                          <w:color w:val="595959" w:themeColor="text1" w:themeTint="A6"/>
                          <w:sz w:val="18"/>
                          <w:szCs w:val="18"/>
                          <w:lang w:val="es-ES"/>
                        </w:rPr>
                        <w:t>1572</w:t>
                      </w:r>
                      <w:r w:rsidR="000433C9">
                        <w:rPr>
                          <w:rFonts w:asciiTheme="majorHAnsi" w:hAnsiTheme="majorHAnsi"/>
                          <w:color w:val="595959" w:themeColor="text1" w:themeTint="A6"/>
                          <w:sz w:val="18"/>
                          <w:szCs w:val="18"/>
                          <w:lang w:val="es-ES"/>
                        </w:rPr>
                        <w:t>-</w:t>
                      </w:r>
                      <w:r w:rsidR="006861F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A913E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861F3">
                        <w:rPr>
                          <w:rFonts w:asciiTheme="majorHAnsi" w:hAnsiTheme="majorHAnsi"/>
                          <w:color w:val="595959" w:themeColor="text1" w:themeTint="A6"/>
                          <w:sz w:val="18"/>
                          <w:szCs w:val="18"/>
                          <w:lang w:val="es-ES_tradnl"/>
                        </w:rPr>
                        <w:t xml:space="preserve">Margarita </w:t>
                      </w:r>
                      <w:proofErr w:type="spellStart"/>
                      <w:r w:rsidR="006861F3">
                        <w:rPr>
                          <w:rFonts w:asciiTheme="majorHAnsi" w:hAnsiTheme="majorHAnsi"/>
                          <w:color w:val="595959" w:themeColor="text1" w:themeTint="A6"/>
                          <w:sz w:val="18"/>
                          <w:szCs w:val="18"/>
                          <w:lang w:val="es-ES_tradnl"/>
                        </w:rPr>
                        <w:t>Rodriguez</w:t>
                      </w:r>
                      <w:proofErr w:type="spellEnd"/>
                      <w:r w:rsidR="006861F3">
                        <w:rPr>
                          <w:rFonts w:asciiTheme="majorHAnsi" w:hAnsiTheme="majorHAnsi"/>
                          <w:color w:val="595959" w:themeColor="text1" w:themeTint="A6"/>
                          <w:sz w:val="18"/>
                          <w:szCs w:val="18"/>
                          <w:lang w:val="es-ES_tradnl"/>
                        </w:rPr>
                        <w:t xml:space="preserve"> Mendoza</w:t>
                      </w:r>
                      <w:r w:rsidRPr="00890650">
                        <w:rPr>
                          <w:rFonts w:asciiTheme="majorHAnsi" w:hAnsiTheme="majorHAnsi"/>
                          <w:color w:val="595959" w:themeColor="text1" w:themeTint="A6"/>
                          <w:sz w:val="18"/>
                          <w:szCs w:val="18"/>
                          <w:lang w:val="es-ES_tradnl"/>
                        </w:rPr>
                        <w:t xml:space="preserve">. </w:t>
                      </w:r>
                      <w:r w:rsidR="006861F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861F3">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0447E7"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0447E7"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E3769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021E7A" w:rsidP="00E3769A">
            <w:pPr>
              <w:jc w:val="both"/>
              <w:rPr>
                <w:rFonts w:ascii="Cambria" w:hAnsi="Cambria"/>
                <w:bCs/>
                <w:sz w:val="20"/>
                <w:szCs w:val="20"/>
              </w:rPr>
            </w:pPr>
            <w:r>
              <w:rPr>
                <w:rFonts w:ascii="Cambria" w:hAnsi="Cambria"/>
                <w:bCs/>
                <w:sz w:val="20"/>
                <w:szCs w:val="20"/>
              </w:rPr>
              <w:t>Elio Fabio Rodriguez Mendoza</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0D05CB" w:rsidRDefault="00273DFA" w:rsidP="00E3769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97050">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021E7A" w:rsidP="00E3769A">
            <w:pPr>
              <w:jc w:val="both"/>
              <w:rPr>
                <w:rFonts w:ascii="Cambria" w:hAnsi="Cambria"/>
                <w:bCs/>
                <w:sz w:val="20"/>
                <w:szCs w:val="20"/>
                <w:lang w:val="es-ES"/>
              </w:rPr>
            </w:pPr>
            <w:r>
              <w:rPr>
                <w:rFonts w:ascii="Cambria" w:hAnsi="Cambria"/>
                <w:bCs/>
                <w:sz w:val="20"/>
                <w:szCs w:val="20"/>
                <w:lang w:val="es-ES"/>
              </w:rPr>
              <w:t xml:space="preserve">Margarita </w:t>
            </w:r>
            <w:r w:rsidR="00C56D93">
              <w:rPr>
                <w:rFonts w:ascii="Cambria" w:hAnsi="Cambria"/>
                <w:bCs/>
                <w:sz w:val="20"/>
                <w:szCs w:val="20"/>
                <w:lang w:val="es-ES"/>
              </w:rPr>
              <w:t>María</w:t>
            </w:r>
            <w:r>
              <w:rPr>
                <w:rFonts w:ascii="Cambria" w:hAnsi="Cambria"/>
                <w:bCs/>
                <w:sz w:val="20"/>
                <w:szCs w:val="20"/>
                <w:lang w:val="es-ES"/>
              </w:rPr>
              <w:t xml:space="preserve"> </w:t>
            </w:r>
            <w:r w:rsidR="00C56D93">
              <w:rPr>
                <w:rFonts w:ascii="Cambria" w:hAnsi="Cambria"/>
                <w:bCs/>
                <w:sz w:val="20"/>
                <w:szCs w:val="20"/>
                <w:lang w:val="es-ES"/>
              </w:rPr>
              <w:t>Rodríguez</w:t>
            </w:r>
            <w:r>
              <w:rPr>
                <w:rFonts w:ascii="Cambria" w:hAnsi="Cambria"/>
                <w:bCs/>
                <w:sz w:val="20"/>
                <w:szCs w:val="20"/>
                <w:lang w:val="es-ES"/>
              </w:rPr>
              <w:t xml:space="preserve"> Mendoza</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E3769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021E7A" w:rsidP="003A76F0">
            <w:pPr>
              <w:jc w:val="both"/>
              <w:rPr>
                <w:rFonts w:ascii="Cambria" w:hAnsi="Cambria"/>
                <w:bCs/>
                <w:sz w:val="20"/>
                <w:szCs w:val="20"/>
              </w:rPr>
            </w:pPr>
            <w:r>
              <w:rPr>
                <w:rFonts w:ascii="Cambria" w:hAnsi="Cambria"/>
                <w:bCs/>
                <w:sz w:val="20"/>
                <w:szCs w:val="20"/>
              </w:rPr>
              <w:t xml:space="preserve">Colombia </w:t>
            </w:r>
          </w:p>
        </w:tc>
      </w:tr>
      <w:tr w:rsidR="00223A29" w:rsidRPr="000447E7"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135B44" w:rsidRDefault="003A76F0" w:rsidP="003A76F0">
            <w:pPr>
              <w:jc w:val="both"/>
              <w:rPr>
                <w:rFonts w:ascii="Cambria" w:hAnsi="Cambria"/>
                <w:bCs/>
                <w:sz w:val="20"/>
                <w:szCs w:val="20"/>
                <w:lang w:val="es-PE"/>
              </w:rPr>
            </w:pPr>
            <w:r>
              <w:rPr>
                <w:rFonts w:ascii="Cambria" w:hAnsi="Cambria"/>
                <w:bCs/>
                <w:sz w:val="20"/>
                <w:szCs w:val="20"/>
                <w:lang w:val="es-PE"/>
              </w:rPr>
              <w:t>Artículos</w:t>
            </w:r>
            <w:r w:rsidR="00CC3C07" w:rsidRPr="00135B44">
              <w:rPr>
                <w:rFonts w:ascii="Cambria" w:hAnsi="Cambria"/>
                <w:bCs/>
                <w:sz w:val="20"/>
                <w:szCs w:val="20"/>
                <w:lang w:val="es-PE"/>
              </w:rPr>
              <w:t xml:space="preserve"> 5 </w:t>
            </w:r>
            <w:r w:rsidR="00135B44" w:rsidRPr="00135B44">
              <w:rPr>
                <w:rFonts w:ascii="Cambria" w:hAnsi="Cambria"/>
                <w:bCs/>
                <w:sz w:val="20"/>
                <w:szCs w:val="20"/>
                <w:lang w:val="es-PE"/>
              </w:rPr>
              <w:t>(integridad personal),</w:t>
            </w:r>
            <w:r w:rsidR="00457541">
              <w:rPr>
                <w:rFonts w:ascii="Cambria" w:hAnsi="Cambria"/>
                <w:bCs/>
                <w:sz w:val="20"/>
                <w:szCs w:val="20"/>
                <w:lang w:val="es-PE"/>
              </w:rPr>
              <w:t xml:space="preserve"> </w:t>
            </w:r>
            <w:r w:rsidR="00135B44" w:rsidRPr="00135B44">
              <w:rPr>
                <w:rFonts w:ascii="Cambria" w:hAnsi="Cambria"/>
                <w:bCs/>
                <w:sz w:val="20"/>
                <w:szCs w:val="20"/>
                <w:lang w:val="es-PE"/>
              </w:rPr>
              <w:t xml:space="preserve">8 (garantías judiciales), 9 (legalidad y retroactividad), 10 (indemnización), 11 (honra y </w:t>
            </w:r>
            <w:r>
              <w:rPr>
                <w:rFonts w:ascii="Cambria" w:hAnsi="Cambria"/>
                <w:bCs/>
                <w:sz w:val="20"/>
                <w:szCs w:val="20"/>
                <w:lang w:val="es-PE"/>
              </w:rPr>
              <w:t>dignidad), 1</w:t>
            </w:r>
            <w:r w:rsidR="00135B44" w:rsidRPr="00135B44">
              <w:rPr>
                <w:rFonts w:ascii="Cambria" w:hAnsi="Cambria"/>
                <w:bCs/>
                <w:sz w:val="20"/>
                <w:szCs w:val="20"/>
                <w:lang w:val="es-PE"/>
              </w:rPr>
              <w:t>7 (</w:t>
            </w:r>
            <w:r>
              <w:rPr>
                <w:rFonts w:ascii="Cambria" w:hAnsi="Cambria"/>
                <w:bCs/>
                <w:sz w:val="20"/>
                <w:szCs w:val="20"/>
                <w:lang w:val="es-PE"/>
              </w:rPr>
              <w:t xml:space="preserve"> protección a la </w:t>
            </w:r>
            <w:r w:rsidR="00135B44" w:rsidRPr="00135B44">
              <w:rPr>
                <w:rFonts w:ascii="Cambria" w:hAnsi="Cambria"/>
                <w:bCs/>
                <w:sz w:val="20"/>
                <w:szCs w:val="20"/>
                <w:lang w:val="es-PE"/>
              </w:rPr>
              <w:t>familia), 24 (igualdad ante la ley</w:t>
            </w:r>
            <w:r>
              <w:rPr>
                <w:rFonts w:ascii="Cambria" w:hAnsi="Cambria"/>
                <w:bCs/>
                <w:sz w:val="20"/>
                <w:szCs w:val="20"/>
                <w:lang w:val="es-PE"/>
              </w:rPr>
              <w:t>) y</w:t>
            </w:r>
            <w:r w:rsidR="00135B44">
              <w:rPr>
                <w:rFonts w:ascii="Cambria" w:hAnsi="Cambria"/>
                <w:bCs/>
                <w:sz w:val="20"/>
                <w:szCs w:val="20"/>
                <w:lang w:val="es-PE"/>
              </w:rPr>
              <w:t xml:space="preserve"> 25 (</w:t>
            </w:r>
            <w:r>
              <w:rPr>
                <w:rFonts w:ascii="Cambria" w:hAnsi="Cambria"/>
                <w:bCs/>
                <w:sz w:val="20"/>
                <w:szCs w:val="20"/>
                <w:lang w:val="es-PE"/>
              </w:rPr>
              <w:t xml:space="preserve">protección judicial) </w:t>
            </w:r>
            <w:r w:rsidR="00C84216">
              <w:rPr>
                <w:rFonts w:ascii="Cambria" w:hAnsi="Cambria"/>
                <w:bCs/>
                <w:sz w:val="20"/>
                <w:szCs w:val="20"/>
                <w:lang w:val="es-PE"/>
              </w:rPr>
              <w:t>de la Convención Americana de Derechos Humanos</w:t>
            </w:r>
            <w:r w:rsidR="00C84216">
              <w:rPr>
                <w:rStyle w:val="FootnoteReference"/>
                <w:rFonts w:ascii="Cambria" w:hAnsi="Cambria"/>
                <w:bCs/>
                <w:sz w:val="20"/>
                <w:szCs w:val="20"/>
                <w:lang w:val="es-PE"/>
              </w:rPr>
              <w:footnoteReference w:id="2"/>
            </w:r>
            <w:r w:rsidR="00C84216">
              <w:rPr>
                <w:rFonts w:ascii="Cambria" w:hAnsi="Cambria"/>
                <w:bCs/>
                <w:sz w:val="20"/>
                <w:szCs w:val="20"/>
                <w:lang w:val="es-PE"/>
              </w:rPr>
              <w:t xml:space="preserve">. </w:t>
            </w:r>
            <w:r w:rsidR="004339B1">
              <w:rPr>
                <w:rFonts w:ascii="Cambria" w:hAnsi="Cambria"/>
                <w:bCs/>
                <w:sz w:val="20"/>
                <w:szCs w:val="20"/>
                <w:lang w:val="es-PE"/>
              </w:rPr>
              <w:t xml:space="preserve"> </w:t>
            </w:r>
            <w:r w:rsidR="00C84216">
              <w:rPr>
                <w:rFonts w:ascii="Cambria" w:hAnsi="Cambria"/>
                <w:bCs/>
                <w:sz w:val="20"/>
                <w:szCs w:val="20"/>
                <w:lang w:val="es-PE"/>
              </w:rPr>
              <w:t xml:space="preserve"> </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4550C0" w:rsidP="00E3769A">
            <w:pPr>
              <w:jc w:val="both"/>
              <w:rPr>
                <w:rFonts w:ascii="Cambria" w:hAnsi="Cambria"/>
                <w:bCs/>
                <w:sz w:val="20"/>
                <w:szCs w:val="20"/>
                <w:lang w:val="es-ES"/>
              </w:rPr>
            </w:pPr>
            <w:r>
              <w:rPr>
                <w:rFonts w:ascii="Cambria" w:hAnsi="Cambria"/>
                <w:bCs/>
                <w:sz w:val="20"/>
                <w:szCs w:val="20"/>
                <w:lang w:val="es-ES"/>
              </w:rPr>
              <w:t>7 de diciembre de 2009</w:t>
            </w:r>
          </w:p>
        </w:tc>
      </w:tr>
      <w:tr w:rsidR="00131425" w:rsidRPr="005E2102"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3C5E76" w:rsidP="00E3769A">
            <w:pPr>
              <w:jc w:val="both"/>
              <w:rPr>
                <w:rFonts w:ascii="Cambria" w:hAnsi="Cambria"/>
                <w:bCs/>
                <w:sz w:val="20"/>
                <w:szCs w:val="20"/>
                <w:lang w:val="es-ES"/>
              </w:rPr>
            </w:pPr>
            <w:r>
              <w:rPr>
                <w:rFonts w:ascii="Cambria" w:hAnsi="Cambria"/>
                <w:bCs/>
                <w:sz w:val="20"/>
                <w:szCs w:val="20"/>
                <w:lang w:val="es-ES"/>
              </w:rPr>
              <w:t>27 de junio de 2018</w:t>
            </w:r>
          </w:p>
        </w:tc>
      </w:tr>
      <w:tr w:rsidR="004C2312" w:rsidRPr="004550C0"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216D67" w:rsidP="00E3769A">
            <w:pPr>
              <w:jc w:val="both"/>
              <w:rPr>
                <w:rFonts w:ascii="Cambria" w:hAnsi="Cambria"/>
                <w:bCs/>
                <w:sz w:val="20"/>
                <w:szCs w:val="20"/>
                <w:lang w:val="es-ES"/>
              </w:rPr>
            </w:pPr>
            <w:r>
              <w:rPr>
                <w:rFonts w:ascii="Cambria" w:hAnsi="Cambria"/>
                <w:bCs/>
                <w:sz w:val="20"/>
                <w:szCs w:val="20"/>
                <w:lang w:val="es-ES"/>
              </w:rPr>
              <w:t>20 de marzo de 2015</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216D67" w:rsidP="00E3769A">
            <w:pPr>
              <w:jc w:val="both"/>
              <w:rPr>
                <w:rFonts w:ascii="Cambria" w:hAnsi="Cambria"/>
                <w:bCs/>
                <w:sz w:val="20"/>
                <w:szCs w:val="20"/>
                <w:lang w:val="es-ES"/>
              </w:rPr>
            </w:pPr>
            <w:r>
              <w:rPr>
                <w:rFonts w:ascii="Cambria" w:hAnsi="Cambria"/>
                <w:bCs/>
                <w:sz w:val="20"/>
                <w:szCs w:val="20"/>
                <w:lang w:val="es-ES"/>
              </w:rPr>
              <w:t>18 de mayo de 2018</w:t>
            </w:r>
          </w:p>
        </w:tc>
      </w:tr>
      <w:tr w:rsidR="008A680A" w:rsidRPr="004550C0" w:rsidTr="004A6A54">
        <w:tc>
          <w:tcPr>
            <w:tcW w:w="3600" w:type="dxa"/>
            <w:tcBorders>
              <w:top w:val="single" w:sz="6" w:space="0" w:color="auto"/>
              <w:bottom w:val="single" w:sz="6" w:space="0" w:color="auto"/>
            </w:tcBorders>
            <w:shd w:val="clear" w:color="auto" w:fill="386294"/>
            <w:vAlign w:val="center"/>
          </w:tcPr>
          <w:p w:rsidR="008A680A" w:rsidRPr="003239B8" w:rsidRDefault="008A680A" w:rsidP="008A680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8A680A" w:rsidRPr="003239B8" w:rsidRDefault="008A680A" w:rsidP="008A680A">
            <w:pPr>
              <w:jc w:val="both"/>
              <w:rPr>
                <w:rFonts w:ascii="Cambria" w:hAnsi="Cambria"/>
                <w:bCs/>
                <w:sz w:val="20"/>
                <w:szCs w:val="20"/>
                <w:lang w:val="es-ES"/>
              </w:rPr>
            </w:pPr>
            <w:r>
              <w:rPr>
                <w:rFonts w:ascii="Cambria" w:hAnsi="Cambria"/>
                <w:bCs/>
                <w:sz w:val="20"/>
                <w:szCs w:val="20"/>
                <w:lang w:val="es-ES"/>
              </w:rPr>
              <w:t>27 de junio de 2018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E3769A">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D76C54" w:rsidP="00E3769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D76C54" w:rsidP="00E3769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D76C54" w:rsidP="00E3769A">
            <w:pPr>
              <w:rPr>
                <w:rFonts w:ascii="Cambria" w:hAnsi="Cambria"/>
                <w:bCs/>
                <w:sz w:val="20"/>
                <w:szCs w:val="20"/>
              </w:rPr>
            </w:pPr>
            <w:proofErr w:type="spellStart"/>
            <w:r>
              <w:rPr>
                <w:rFonts w:ascii="Cambria" w:hAnsi="Cambria"/>
                <w:bCs/>
                <w:sz w:val="20"/>
                <w:szCs w:val="20"/>
              </w:rPr>
              <w:t>Sí</w:t>
            </w:r>
            <w:proofErr w:type="spellEnd"/>
          </w:p>
        </w:tc>
      </w:tr>
      <w:tr w:rsidR="003239B8" w:rsidRPr="001E49E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A76F0" w:rsidRPr="00896F1A" w:rsidRDefault="003A76F0" w:rsidP="003A76F0">
            <w:pPr>
              <w:jc w:val="both"/>
              <w:rPr>
                <w:rFonts w:asciiTheme="majorHAnsi" w:hAnsiTheme="majorHAnsi"/>
                <w:bCs/>
                <w:sz w:val="20"/>
                <w:szCs w:val="20"/>
                <w:lang w:val="es-ES"/>
              </w:rPr>
            </w:pPr>
            <w:r w:rsidRPr="00896F1A">
              <w:rPr>
                <w:rFonts w:asciiTheme="majorHAnsi" w:hAnsiTheme="majorHAnsi"/>
                <w:bCs/>
                <w:sz w:val="20"/>
                <w:szCs w:val="20"/>
                <w:lang w:val="es-ES"/>
              </w:rPr>
              <w:t>Sí</w:t>
            </w:r>
            <w:r>
              <w:rPr>
                <w:rFonts w:asciiTheme="majorHAnsi" w:hAnsiTheme="majorHAnsi"/>
                <w:bCs/>
                <w:sz w:val="20"/>
                <w:szCs w:val="20"/>
                <w:lang w:val="es-ES"/>
              </w:rPr>
              <w:t>,</w:t>
            </w:r>
            <w:r w:rsidRPr="00896F1A">
              <w:rPr>
                <w:rFonts w:asciiTheme="majorHAnsi" w:hAnsiTheme="majorHAnsi"/>
                <w:bCs/>
                <w:sz w:val="20"/>
                <w:szCs w:val="20"/>
                <w:lang w:val="es-ES"/>
              </w:rPr>
              <w:t xml:space="preserve"> Convención Americana (depósito del instrumento realizado el</w:t>
            </w:r>
          </w:p>
          <w:p w:rsidR="003239B8" w:rsidRPr="00B3745F" w:rsidRDefault="003A76F0" w:rsidP="003A76F0">
            <w:pPr>
              <w:jc w:val="both"/>
              <w:rPr>
                <w:rFonts w:ascii="Cambria" w:hAnsi="Cambria"/>
                <w:bCs/>
                <w:sz w:val="20"/>
                <w:szCs w:val="20"/>
                <w:lang w:val="es-ES"/>
              </w:rPr>
            </w:pPr>
            <w:r w:rsidRPr="00896F1A">
              <w:rPr>
                <w:rFonts w:asciiTheme="majorHAnsi" w:hAnsiTheme="majorHAnsi"/>
                <w:bCs/>
                <w:sz w:val="20"/>
                <w:szCs w:val="20"/>
                <w:lang w:val="es-ES"/>
              </w:rPr>
              <w:t>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550C0"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E3769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D76C54" w:rsidP="00E3769A">
            <w:pPr>
              <w:jc w:val="both"/>
              <w:rPr>
                <w:rFonts w:ascii="Cambria" w:hAnsi="Cambria"/>
                <w:bCs/>
                <w:sz w:val="20"/>
                <w:szCs w:val="20"/>
                <w:lang w:val="es-ES"/>
              </w:rPr>
            </w:pPr>
            <w:r>
              <w:rPr>
                <w:rFonts w:ascii="Cambria" w:hAnsi="Cambria"/>
                <w:bCs/>
                <w:sz w:val="20"/>
                <w:szCs w:val="20"/>
                <w:lang w:val="es-ES"/>
              </w:rPr>
              <w:t>No</w:t>
            </w:r>
          </w:p>
        </w:tc>
      </w:tr>
      <w:tr w:rsidR="003239B8" w:rsidRPr="00D11D1F"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E3769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E502AA" w:rsidRDefault="00EA1412" w:rsidP="00E3769A">
            <w:pPr>
              <w:jc w:val="both"/>
              <w:rPr>
                <w:rFonts w:ascii="Cambria" w:hAnsi="Cambria"/>
                <w:bCs/>
                <w:sz w:val="20"/>
                <w:szCs w:val="20"/>
                <w:lang w:val="es-PA"/>
              </w:rPr>
            </w:pPr>
            <w:r>
              <w:rPr>
                <w:rFonts w:ascii="Cambria" w:hAnsi="Cambria"/>
                <w:bCs/>
                <w:sz w:val="20"/>
                <w:szCs w:val="20"/>
                <w:lang w:val="es-ES"/>
              </w:rPr>
              <w:t xml:space="preserve">Artículos 8 (garantías judiciales), </w:t>
            </w:r>
            <w:r w:rsidR="00D11D1F" w:rsidRPr="00D11D1F">
              <w:rPr>
                <w:rFonts w:ascii="Cambria" w:hAnsi="Cambria"/>
                <w:bCs/>
                <w:sz w:val="20"/>
                <w:szCs w:val="20"/>
                <w:lang w:val="es-PE"/>
              </w:rPr>
              <w:t xml:space="preserve">11 (honra y dignidad), </w:t>
            </w:r>
            <w:r w:rsidR="00D11D1F" w:rsidRPr="00D11D1F">
              <w:rPr>
                <w:rFonts w:ascii="Cambria" w:hAnsi="Cambria"/>
                <w:bCs/>
                <w:sz w:val="20"/>
                <w:szCs w:val="20"/>
                <w:lang w:val="es-ES"/>
              </w:rPr>
              <w:t>13 (libertad de pensamiento y expresión),</w:t>
            </w:r>
            <w:r w:rsidR="00D11D1F">
              <w:rPr>
                <w:rFonts w:ascii="Cambria" w:hAnsi="Cambria"/>
                <w:bCs/>
                <w:sz w:val="20"/>
                <w:szCs w:val="20"/>
                <w:lang w:val="es-ES"/>
              </w:rPr>
              <w:t xml:space="preserve"> </w:t>
            </w:r>
            <w:r>
              <w:rPr>
                <w:rFonts w:ascii="Cambria" w:hAnsi="Cambria"/>
                <w:bCs/>
                <w:sz w:val="20"/>
                <w:szCs w:val="20"/>
                <w:lang w:val="es-ES"/>
              </w:rPr>
              <w:t>23 (derechos políticos), 25 (protección judicial) y 26 (derechos económicos sociales y culturales)</w:t>
            </w:r>
            <w:r w:rsidR="00E502AA">
              <w:rPr>
                <w:rFonts w:ascii="Cambria" w:hAnsi="Cambria"/>
                <w:bCs/>
                <w:sz w:val="20"/>
                <w:szCs w:val="20"/>
                <w:lang w:val="es-ES"/>
              </w:rPr>
              <w:t xml:space="preserve"> de la Convención Americana</w:t>
            </w:r>
            <w:r>
              <w:rPr>
                <w:rFonts w:ascii="Cambria" w:hAnsi="Cambria"/>
                <w:bCs/>
                <w:sz w:val="20"/>
                <w:szCs w:val="20"/>
                <w:lang w:val="es-ES"/>
              </w:rPr>
              <w:t xml:space="preserve"> en relación con su artículo 1.1. (obligación de respetar los derechos)</w:t>
            </w:r>
          </w:p>
        </w:tc>
      </w:tr>
      <w:tr w:rsidR="003239B8" w:rsidRPr="00EA1412"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E3769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EA1412" w:rsidP="00E3769A">
            <w:pPr>
              <w:rPr>
                <w:rFonts w:ascii="Cambria" w:hAnsi="Cambria"/>
                <w:bCs/>
                <w:sz w:val="20"/>
                <w:szCs w:val="20"/>
                <w:lang w:val="es-ES"/>
              </w:rPr>
            </w:pPr>
            <w:r>
              <w:rPr>
                <w:rFonts w:ascii="Cambria" w:hAnsi="Cambria"/>
                <w:bCs/>
                <w:sz w:val="20"/>
                <w:szCs w:val="20"/>
                <w:lang w:val="es-ES"/>
              </w:rPr>
              <w:t>Sí, 7 de octubre de 2009</w:t>
            </w:r>
          </w:p>
        </w:tc>
      </w:tr>
      <w:tr w:rsidR="003239B8" w:rsidRPr="003A76F0"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E3769A">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0A0FC6" w:rsidRDefault="00EA1412" w:rsidP="00E3769A">
            <w:pPr>
              <w:rPr>
                <w:rFonts w:ascii="Cambria" w:hAnsi="Cambria"/>
                <w:bCs/>
                <w:sz w:val="20"/>
                <w:szCs w:val="20"/>
                <w:lang w:val="es-PE"/>
              </w:rPr>
            </w:pPr>
            <w:r>
              <w:rPr>
                <w:rFonts w:ascii="Cambria" w:hAnsi="Cambria"/>
                <w:bCs/>
                <w:sz w:val="20"/>
                <w:szCs w:val="20"/>
                <w:lang w:val="es-PE"/>
              </w:rPr>
              <w:t>Sí, 7 de diciembre de 2009</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851CEE" w:rsidRPr="005C6DF1" w:rsidRDefault="002F1186" w:rsidP="000331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 xml:space="preserve">Elio Fabio Rodríguez </w:t>
      </w:r>
      <w:r w:rsidR="006D0DBC">
        <w:rPr>
          <w:sz w:val="20"/>
          <w:szCs w:val="20"/>
          <w:lang w:val="es-UY"/>
        </w:rPr>
        <w:t>Mendoza</w:t>
      </w:r>
      <w:r>
        <w:rPr>
          <w:sz w:val="20"/>
          <w:szCs w:val="20"/>
          <w:lang w:val="es-UY"/>
        </w:rPr>
        <w:t xml:space="preserve"> (en adelante “el peticionario”),</w:t>
      </w:r>
      <w:r w:rsidR="00F176E8">
        <w:rPr>
          <w:sz w:val="20"/>
          <w:szCs w:val="20"/>
          <w:lang w:val="es-UY"/>
        </w:rPr>
        <w:t xml:space="preserve"> </w:t>
      </w:r>
      <w:r w:rsidR="00DD4C49">
        <w:rPr>
          <w:sz w:val="20"/>
          <w:szCs w:val="20"/>
          <w:lang w:val="es-UY"/>
        </w:rPr>
        <w:t>denuncia presuntas violaciones a los derechos humanos de</w:t>
      </w:r>
      <w:r w:rsidR="00A06F81">
        <w:rPr>
          <w:sz w:val="20"/>
          <w:szCs w:val="20"/>
          <w:lang w:val="es-UY"/>
        </w:rPr>
        <w:t xml:space="preserve"> María Margarita Rodríguez Mendoza </w:t>
      </w:r>
      <w:r w:rsidR="00A06F81" w:rsidRPr="006F7EDA">
        <w:rPr>
          <w:sz w:val="20"/>
          <w:szCs w:val="20"/>
          <w:lang w:val="es-UY"/>
        </w:rPr>
        <w:t xml:space="preserve">(en adelante </w:t>
      </w:r>
      <w:r w:rsidR="00791C6E" w:rsidRPr="006F7EDA">
        <w:rPr>
          <w:sz w:val="20"/>
          <w:szCs w:val="20"/>
          <w:lang w:val="es-UY"/>
        </w:rPr>
        <w:t>“</w:t>
      </w:r>
      <w:r w:rsidR="00A06F81" w:rsidRPr="006F7EDA">
        <w:rPr>
          <w:sz w:val="20"/>
          <w:szCs w:val="20"/>
          <w:lang w:val="es-UY"/>
        </w:rPr>
        <w:t>la presunta víctima</w:t>
      </w:r>
      <w:r w:rsidR="00791C6E" w:rsidRPr="006F7EDA">
        <w:rPr>
          <w:sz w:val="20"/>
          <w:szCs w:val="20"/>
          <w:lang w:val="es-UY"/>
        </w:rPr>
        <w:t>”</w:t>
      </w:r>
      <w:r>
        <w:rPr>
          <w:sz w:val="20"/>
          <w:szCs w:val="20"/>
          <w:lang w:val="es-UY"/>
        </w:rPr>
        <w:t>)</w:t>
      </w:r>
      <w:r w:rsidR="00DD4C49">
        <w:rPr>
          <w:sz w:val="20"/>
          <w:szCs w:val="20"/>
          <w:lang w:val="es-UY"/>
        </w:rPr>
        <w:t xml:space="preserve">, alegando </w:t>
      </w:r>
      <w:r w:rsidR="00851CEE">
        <w:rPr>
          <w:sz w:val="20"/>
          <w:szCs w:val="20"/>
          <w:lang w:val="es-UY"/>
        </w:rPr>
        <w:t>que esta fue destituida del cargo que ocupaba en un juzgado en represalia po</w:t>
      </w:r>
      <w:r w:rsidR="005C6DF1">
        <w:rPr>
          <w:sz w:val="20"/>
          <w:szCs w:val="20"/>
          <w:lang w:val="es-UY"/>
        </w:rPr>
        <w:t xml:space="preserve">r haber declarado contra el titular del juzgado en el marco de una investigación disciplinaria. </w:t>
      </w:r>
    </w:p>
    <w:p w:rsidR="005C6DF1" w:rsidRPr="00212473" w:rsidRDefault="005C6DF1" w:rsidP="000331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lastRenderedPageBreak/>
        <w:t>El peticionario relata que la presunta víctima trabajaba en el Juzgado Quinto Laboral del Circuito Judicial de Medellín</w:t>
      </w:r>
      <w:r w:rsidR="00D76A8A">
        <w:rPr>
          <w:sz w:val="20"/>
          <w:szCs w:val="20"/>
          <w:lang w:val="es-UY"/>
        </w:rPr>
        <w:t xml:space="preserve"> desde el 1 de diciembre de 1988. Alega que entre el 2000 y 2002 se presentaron serios hechos irregulares en dicho juzgado que involucraban al titular del juzgado, así como al </w:t>
      </w:r>
      <w:r w:rsidR="00D76A8A" w:rsidRPr="00033149">
        <w:rPr>
          <w:sz w:val="20"/>
          <w:szCs w:val="20"/>
          <w:lang w:val="es-UY"/>
        </w:rPr>
        <w:t>Secretario General,</w:t>
      </w:r>
      <w:r w:rsidR="00D76A8A">
        <w:rPr>
          <w:sz w:val="20"/>
          <w:szCs w:val="20"/>
          <w:lang w:val="es-UY"/>
        </w:rPr>
        <w:t xml:space="preserve"> el</w:t>
      </w:r>
      <w:r w:rsidR="00D76A8A" w:rsidRPr="00033149">
        <w:rPr>
          <w:sz w:val="20"/>
          <w:szCs w:val="20"/>
          <w:lang w:val="es-UY"/>
        </w:rPr>
        <w:t xml:space="preserve"> Oficia</w:t>
      </w:r>
      <w:r w:rsidR="00EB6F7E">
        <w:rPr>
          <w:sz w:val="20"/>
          <w:szCs w:val="20"/>
          <w:lang w:val="es-UY"/>
        </w:rPr>
        <w:t>l</w:t>
      </w:r>
      <w:r w:rsidR="00D76A8A" w:rsidRPr="00033149">
        <w:rPr>
          <w:sz w:val="20"/>
          <w:szCs w:val="20"/>
          <w:lang w:val="es-UY"/>
        </w:rPr>
        <w:t xml:space="preserve"> Mayor y</w:t>
      </w:r>
      <w:r w:rsidR="00D76A8A">
        <w:rPr>
          <w:sz w:val="20"/>
          <w:szCs w:val="20"/>
          <w:lang w:val="es-UY"/>
        </w:rPr>
        <w:t xml:space="preserve"> al</w:t>
      </w:r>
      <w:r w:rsidR="00D76A8A" w:rsidRPr="00033149">
        <w:rPr>
          <w:sz w:val="20"/>
          <w:szCs w:val="20"/>
          <w:lang w:val="es-UY"/>
        </w:rPr>
        <w:t xml:space="preserve"> Citador o</w:t>
      </w:r>
      <w:r w:rsidR="00D76A8A">
        <w:rPr>
          <w:sz w:val="20"/>
          <w:szCs w:val="20"/>
          <w:lang w:val="es-UY"/>
        </w:rPr>
        <w:t xml:space="preserve"> Notificador. </w:t>
      </w:r>
      <w:r w:rsidR="00EB6F7E">
        <w:rPr>
          <w:sz w:val="20"/>
          <w:szCs w:val="20"/>
          <w:lang w:val="es-UY"/>
        </w:rPr>
        <w:t>Explica que la p</w:t>
      </w:r>
      <w:r w:rsidR="00D847DA">
        <w:rPr>
          <w:sz w:val="20"/>
          <w:szCs w:val="20"/>
          <w:lang w:val="es-UY"/>
        </w:rPr>
        <w:t>resunta víctima</w:t>
      </w:r>
      <w:r w:rsidR="00EB6F7E">
        <w:rPr>
          <w:sz w:val="20"/>
          <w:szCs w:val="20"/>
          <w:lang w:val="es-UY"/>
        </w:rPr>
        <w:t xml:space="preserve"> y otra colaboradora del juzgado fueron llamadas para rendir declaración en el contexto de una investigación adelantada por el Consejo Seccional de la Judicatura del Departamento de Antioquía por razón de las irregularidades que venían ocurriendo en el juzgado</w:t>
      </w:r>
      <w:r w:rsidR="00D847DA">
        <w:rPr>
          <w:sz w:val="20"/>
          <w:szCs w:val="20"/>
          <w:lang w:val="es-UY"/>
        </w:rPr>
        <w:t>. Sostiene que la presunta víctima y su compañera rindieron declaraciones honestas que permitieron corroborar las irregularidades y que, en represalia a esto, el titular del juzgado ordenó que se les practicara la calificación de desempeño correspondiente al 2002. Indica que las dos trabajadoras presentaron un memorial solicitándolo al juez que se declarara impedido para evaluarlas, p</w:t>
      </w:r>
      <w:r w:rsidR="00CB700F">
        <w:rPr>
          <w:sz w:val="20"/>
          <w:szCs w:val="20"/>
          <w:lang w:val="es-UY"/>
        </w:rPr>
        <w:t>ero</w:t>
      </w:r>
      <w:r w:rsidR="00D847DA">
        <w:rPr>
          <w:sz w:val="20"/>
          <w:szCs w:val="20"/>
          <w:lang w:val="es-UY"/>
        </w:rPr>
        <w:t xml:space="preserve"> este rechazó la solicitud y </w:t>
      </w:r>
      <w:r w:rsidR="00CB700F">
        <w:rPr>
          <w:sz w:val="20"/>
          <w:szCs w:val="20"/>
          <w:lang w:val="es-UY"/>
        </w:rPr>
        <w:t xml:space="preserve">procedió a evaluarlas negativamente con una calificación de 40 puntos (conforme a la </w:t>
      </w:r>
      <w:r w:rsidR="003373BA">
        <w:rPr>
          <w:sz w:val="20"/>
          <w:szCs w:val="20"/>
          <w:lang w:val="es-UY"/>
        </w:rPr>
        <w:t>L</w:t>
      </w:r>
      <w:r w:rsidR="00CB700F">
        <w:rPr>
          <w:sz w:val="20"/>
          <w:szCs w:val="20"/>
          <w:lang w:val="es-UY"/>
        </w:rPr>
        <w:t xml:space="preserve">ey de Carrera Judicial </w:t>
      </w:r>
      <w:r w:rsidR="00212473">
        <w:rPr>
          <w:sz w:val="20"/>
          <w:szCs w:val="20"/>
          <w:lang w:val="es-UY"/>
        </w:rPr>
        <w:t>la obtención de una calificación inferior a 60 puntos es causal para la separación de la carrera).</w:t>
      </w:r>
    </w:p>
    <w:p w:rsidR="007253FC" w:rsidRPr="006D22FA" w:rsidRDefault="00212473" w:rsidP="006D22F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Continúa relatado que la presunta víctima </w:t>
      </w:r>
      <w:r w:rsidR="00C07F51" w:rsidRPr="00212473">
        <w:rPr>
          <w:sz w:val="20"/>
          <w:szCs w:val="20"/>
          <w:lang w:val="es-AR"/>
        </w:rPr>
        <w:t>solicitó al Consejo Seccional de la Judicatura la apelación de la calificación asignada, la misma fue aceptada y designaron a la Jueza Sexta Laboral para que realizara una segunda calificación. La presunta víctima alega que la Jueza se limitó a revisar su hoja de vida y los últimos llamados de atención realizados por el Juez</w:t>
      </w:r>
      <w:r w:rsidR="00C35B67" w:rsidRPr="00212473">
        <w:rPr>
          <w:sz w:val="20"/>
          <w:szCs w:val="20"/>
          <w:lang w:val="es-AR"/>
        </w:rPr>
        <w:t xml:space="preserve">, asignándole una calificación integral de 50 puntos. </w:t>
      </w:r>
      <w:r w:rsidR="006D22FA">
        <w:rPr>
          <w:sz w:val="20"/>
          <w:szCs w:val="20"/>
          <w:lang w:val="es-AR"/>
        </w:rPr>
        <w:t>Señala que</w:t>
      </w:r>
      <w:r w:rsidR="009A381C">
        <w:rPr>
          <w:sz w:val="20"/>
          <w:szCs w:val="20"/>
          <w:lang w:val="es-AR"/>
        </w:rPr>
        <w:t xml:space="preserve"> con base a esta baja calificación el Consejo de la Judicatura dispuso su desvinculación de la carrera judicial, contra lo que la presunta víctima interpuso recurso de </w:t>
      </w:r>
      <w:r w:rsidR="00A3762D">
        <w:rPr>
          <w:sz w:val="20"/>
          <w:szCs w:val="20"/>
          <w:lang w:val="es-AR"/>
        </w:rPr>
        <w:t>reposición y en subsidio el de apelación</w:t>
      </w:r>
      <w:r w:rsidR="008E651C">
        <w:rPr>
          <w:sz w:val="20"/>
          <w:szCs w:val="20"/>
          <w:lang w:val="es-AR"/>
        </w:rPr>
        <w:t xml:space="preserve">, </w:t>
      </w:r>
      <w:r w:rsidR="00A3762D">
        <w:rPr>
          <w:sz w:val="20"/>
          <w:szCs w:val="20"/>
          <w:lang w:val="es-AR"/>
        </w:rPr>
        <w:t xml:space="preserve">los que fueron ambos desestimados resultando en que </w:t>
      </w:r>
      <w:r w:rsidR="006D22FA">
        <w:rPr>
          <w:sz w:val="20"/>
          <w:szCs w:val="20"/>
          <w:lang w:val="es-AR"/>
        </w:rPr>
        <w:t>e</w:t>
      </w:r>
      <w:r w:rsidR="008E651C">
        <w:rPr>
          <w:sz w:val="20"/>
          <w:szCs w:val="20"/>
          <w:lang w:val="es-AR"/>
        </w:rPr>
        <w:t>l 16 de diciembre de 2004 la presunta víctima fue</w:t>
      </w:r>
      <w:r w:rsidR="00A3762D">
        <w:rPr>
          <w:sz w:val="20"/>
          <w:szCs w:val="20"/>
          <w:lang w:val="es-AR"/>
        </w:rPr>
        <w:t>ra</w:t>
      </w:r>
      <w:r w:rsidR="008E651C">
        <w:rPr>
          <w:sz w:val="20"/>
          <w:szCs w:val="20"/>
          <w:lang w:val="es-AR"/>
        </w:rPr>
        <w:t xml:space="preserve"> desvinculada</w:t>
      </w:r>
      <w:r w:rsidR="006D22FA">
        <w:rPr>
          <w:sz w:val="20"/>
          <w:szCs w:val="20"/>
          <w:lang w:val="es-AR"/>
        </w:rPr>
        <w:t xml:space="preserve"> </w:t>
      </w:r>
      <w:r w:rsidR="000C6A11" w:rsidRPr="006D22FA">
        <w:rPr>
          <w:sz w:val="20"/>
          <w:szCs w:val="20"/>
          <w:lang w:val="es-AR"/>
        </w:rPr>
        <w:t>definitivamente</w:t>
      </w:r>
      <w:r w:rsidR="006D22FA">
        <w:rPr>
          <w:sz w:val="20"/>
          <w:szCs w:val="20"/>
          <w:lang w:val="es-AR"/>
        </w:rPr>
        <w:t>. A</w:t>
      </w:r>
      <w:r w:rsidR="008E651C">
        <w:rPr>
          <w:sz w:val="20"/>
          <w:szCs w:val="20"/>
          <w:lang w:val="es-AR"/>
        </w:rPr>
        <w:t xml:space="preserve">lega que la injusta pérdida de su empleo </w:t>
      </w:r>
      <w:r w:rsidR="000C6A11" w:rsidRPr="006D22FA">
        <w:rPr>
          <w:sz w:val="20"/>
          <w:szCs w:val="20"/>
          <w:lang w:val="es-AR"/>
        </w:rPr>
        <w:t>generó</w:t>
      </w:r>
      <w:r w:rsidR="008E651C">
        <w:rPr>
          <w:sz w:val="20"/>
          <w:szCs w:val="20"/>
          <w:lang w:val="es-AR"/>
        </w:rPr>
        <w:t xml:space="preserve"> a la presunta víctima</w:t>
      </w:r>
      <w:r w:rsidR="000C6A11" w:rsidRPr="006D22FA">
        <w:rPr>
          <w:sz w:val="20"/>
          <w:szCs w:val="20"/>
          <w:lang w:val="es-AR"/>
        </w:rPr>
        <w:t xml:space="preserve"> </w:t>
      </w:r>
      <w:r w:rsidR="00C07F51" w:rsidRPr="006D22FA">
        <w:rPr>
          <w:sz w:val="20"/>
          <w:szCs w:val="20"/>
          <w:lang w:val="es-AR"/>
        </w:rPr>
        <w:t xml:space="preserve">un estado de depresión </w:t>
      </w:r>
      <w:r w:rsidR="008E651C">
        <w:rPr>
          <w:sz w:val="20"/>
          <w:szCs w:val="20"/>
          <w:lang w:val="es-AR"/>
        </w:rPr>
        <w:t>al igual que</w:t>
      </w:r>
      <w:r w:rsidR="00A3762D">
        <w:rPr>
          <w:sz w:val="20"/>
          <w:szCs w:val="20"/>
          <w:lang w:val="es-AR"/>
        </w:rPr>
        <w:t xml:space="preserve"> graves</w:t>
      </w:r>
      <w:r w:rsidR="008E651C">
        <w:rPr>
          <w:sz w:val="20"/>
          <w:szCs w:val="20"/>
          <w:lang w:val="es-AR"/>
        </w:rPr>
        <w:t xml:space="preserve"> consecuencias</w:t>
      </w:r>
      <w:r w:rsidR="00C07F51" w:rsidRPr="006D22FA">
        <w:rPr>
          <w:sz w:val="20"/>
          <w:szCs w:val="20"/>
          <w:lang w:val="es-AR"/>
        </w:rPr>
        <w:t xml:space="preserve"> económicas</w:t>
      </w:r>
      <w:r w:rsidR="00016D51" w:rsidRPr="006D22FA">
        <w:rPr>
          <w:sz w:val="20"/>
          <w:szCs w:val="20"/>
          <w:lang w:val="es-AR"/>
        </w:rPr>
        <w:t>.</w:t>
      </w:r>
      <w:r w:rsidR="008E651C">
        <w:rPr>
          <w:sz w:val="20"/>
          <w:szCs w:val="20"/>
          <w:lang w:val="es-AR"/>
        </w:rPr>
        <w:t xml:space="preserve"> Resalta además que la investigación por irregularidades en el juzgado en la que declaró la presunta víctima culmin</w:t>
      </w:r>
      <w:r w:rsidR="009E6EC3">
        <w:rPr>
          <w:sz w:val="20"/>
          <w:szCs w:val="20"/>
          <w:lang w:val="es-AR"/>
        </w:rPr>
        <w:t>ó en que el titular del juzgado fuera sancionado con destitución del cargo y privado de libertad por orden judicial penal.</w:t>
      </w:r>
    </w:p>
    <w:p w:rsidR="00CB570D" w:rsidRDefault="009E6EC3" w:rsidP="007543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Señala que luego de su desvinculación la presunta víctima</w:t>
      </w:r>
      <w:r w:rsidR="00CB570D">
        <w:rPr>
          <w:sz w:val="20"/>
          <w:szCs w:val="20"/>
          <w:lang w:val="es-AR"/>
        </w:rPr>
        <w:t xml:space="preserve"> </w:t>
      </w:r>
      <w:r>
        <w:rPr>
          <w:sz w:val="20"/>
          <w:szCs w:val="20"/>
          <w:lang w:val="es-AR"/>
        </w:rPr>
        <w:t>interpuso</w:t>
      </w:r>
      <w:r w:rsidR="00CB570D">
        <w:rPr>
          <w:sz w:val="20"/>
          <w:szCs w:val="20"/>
          <w:lang w:val="es-AR"/>
        </w:rPr>
        <w:t xml:space="preserve"> </w:t>
      </w:r>
      <w:r w:rsidR="00E9473A">
        <w:rPr>
          <w:sz w:val="20"/>
          <w:szCs w:val="20"/>
          <w:lang w:val="es-AR"/>
        </w:rPr>
        <w:t>a</w:t>
      </w:r>
      <w:r w:rsidR="00CB570D">
        <w:rPr>
          <w:sz w:val="20"/>
          <w:szCs w:val="20"/>
          <w:lang w:val="es-AR"/>
        </w:rPr>
        <w:t xml:space="preserve">cción </w:t>
      </w:r>
      <w:r w:rsidR="00E9473A">
        <w:rPr>
          <w:sz w:val="20"/>
          <w:szCs w:val="20"/>
          <w:lang w:val="es-AR"/>
        </w:rPr>
        <w:t>de</w:t>
      </w:r>
      <w:r w:rsidR="00CB570D">
        <w:rPr>
          <w:sz w:val="20"/>
          <w:szCs w:val="20"/>
          <w:lang w:val="es-AR"/>
        </w:rPr>
        <w:t xml:space="preserve"> </w:t>
      </w:r>
      <w:r w:rsidR="00E9473A">
        <w:rPr>
          <w:sz w:val="20"/>
          <w:szCs w:val="20"/>
          <w:lang w:val="es-AR"/>
        </w:rPr>
        <w:t>n</w:t>
      </w:r>
      <w:r w:rsidR="00CB570D">
        <w:rPr>
          <w:sz w:val="20"/>
          <w:szCs w:val="20"/>
          <w:lang w:val="es-AR"/>
        </w:rPr>
        <w:t>ulidad y restablecimiento del derecho ante el Juzgado Administrativo del Circuito de Medellín</w:t>
      </w:r>
      <w:r>
        <w:rPr>
          <w:sz w:val="20"/>
          <w:szCs w:val="20"/>
          <w:lang w:val="es-AR"/>
        </w:rPr>
        <w:t>;</w:t>
      </w:r>
      <w:r w:rsidR="00085961">
        <w:rPr>
          <w:sz w:val="20"/>
          <w:szCs w:val="20"/>
          <w:lang w:val="es-AR"/>
        </w:rPr>
        <w:t xml:space="preserve"> </w:t>
      </w:r>
      <w:r>
        <w:rPr>
          <w:sz w:val="20"/>
          <w:szCs w:val="20"/>
          <w:lang w:val="es-AR"/>
        </w:rPr>
        <w:t>el</w:t>
      </w:r>
      <w:r w:rsidR="00085961">
        <w:rPr>
          <w:sz w:val="20"/>
          <w:szCs w:val="20"/>
          <w:lang w:val="es-AR"/>
        </w:rPr>
        <w:t xml:space="preserve"> cual</w:t>
      </w:r>
      <w:r w:rsidR="00800EBF">
        <w:rPr>
          <w:sz w:val="20"/>
          <w:szCs w:val="20"/>
          <w:lang w:val="es-AR"/>
        </w:rPr>
        <w:t xml:space="preserve"> falló a favor de ella el 19 de diciembre de 2007,</w:t>
      </w:r>
      <w:r w:rsidR="00085961">
        <w:rPr>
          <w:sz w:val="20"/>
          <w:szCs w:val="20"/>
          <w:lang w:val="es-AR"/>
        </w:rPr>
        <w:t xml:space="preserve"> decret</w:t>
      </w:r>
      <w:r w:rsidR="00800EBF">
        <w:rPr>
          <w:sz w:val="20"/>
          <w:szCs w:val="20"/>
          <w:lang w:val="es-AR"/>
        </w:rPr>
        <w:t>ando</w:t>
      </w:r>
      <w:r w:rsidR="00085961">
        <w:rPr>
          <w:sz w:val="20"/>
          <w:szCs w:val="20"/>
          <w:lang w:val="es-AR"/>
        </w:rPr>
        <w:t xml:space="preserve"> la nulidad de las </w:t>
      </w:r>
      <w:r w:rsidR="00800EBF">
        <w:rPr>
          <w:sz w:val="20"/>
          <w:szCs w:val="20"/>
          <w:lang w:val="es-AR"/>
        </w:rPr>
        <w:t>a</w:t>
      </w:r>
      <w:r w:rsidR="00085961">
        <w:rPr>
          <w:sz w:val="20"/>
          <w:szCs w:val="20"/>
          <w:lang w:val="es-AR"/>
        </w:rPr>
        <w:t xml:space="preserve">ctuaciones </w:t>
      </w:r>
      <w:r w:rsidR="00800EBF">
        <w:rPr>
          <w:sz w:val="20"/>
          <w:szCs w:val="20"/>
          <w:lang w:val="es-AR"/>
        </w:rPr>
        <w:t>a</w:t>
      </w:r>
      <w:r>
        <w:rPr>
          <w:sz w:val="20"/>
          <w:szCs w:val="20"/>
          <w:lang w:val="es-AR"/>
        </w:rPr>
        <w:t>dministrativas y ordenando</w:t>
      </w:r>
      <w:r w:rsidR="00085961">
        <w:rPr>
          <w:sz w:val="20"/>
          <w:szCs w:val="20"/>
          <w:lang w:val="es-AR"/>
        </w:rPr>
        <w:t xml:space="preserve"> </w:t>
      </w:r>
      <w:r>
        <w:rPr>
          <w:sz w:val="20"/>
          <w:szCs w:val="20"/>
          <w:lang w:val="es-AR"/>
        </w:rPr>
        <w:t>su</w:t>
      </w:r>
      <w:r w:rsidR="00085961">
        <w:rPr>
          <w:sz w:val="20"/>
          <w:szCs w:val="20"/>
          <w:lang w:val="es-AR"/>
        </w:rPr>
        <w:t xml:space="preserve"> reintegro al </w:t>
      </w:r>
      <w:r w:rsidR="00800EBF">
        <w:rPr>
          <w:sz w:val="20"/>
          <w:szCs w:val="20"/>
          <w:lang w:val="es-AR"/>
        </w:rPr>
        <w:t>c</w:t>
      </w:r>
      <w:r w:rsidR="00085961">
        <w:rPr>
          <w:sz w:val="20"/>
          <w:szCs w:val="20"/>
          <w:lang w:val="es-AR"/>
        </w:rPr>
        <w:t>argo</w:t>
      </w:r>
      <w:r w:rsidR="00754332">
        <w:rPr>
          <w:sz w:val="20"/>
          <w:szCs w:val="20"/>
          <w:lang w:val="es-AR"/>
        </w:rPr>
        <w:t xml:space="preserve"> al igual que el </w:t>
      </w:r>
      <w:r w:rsidR="00085961">
        <w:rPr>
          <w:sz w:val="20"/>
          <w:szCs w:val="20"/>
          <w:lang w:val="es-AR"/>
        </w:rPr>
        <w:t>pago de todos los salarios y prest</w:t>
      </w:r>
      <w:r w:rsidR="00800EBF">
        <w:rPr>
          <w:sz w:val="20"/>
          <w:szCs w:val="20"/>
          <w:lang w:val="es-AR"/>
        </w:rPr>
        <w:t>a</w:t>
      </w:r>
      <w:r w:rsidR="00085961">
        <w:rPr>
          <w:sz w:val="20"/>
          <w:szCs w:val="20"/>
          <w:lang w:val="es-AR"/>
        </w:rPr>
        <w:t>cione</w:t>
      </w:r>
      <w:r>
        <w:rPr>
          <w:sz w:val="20"/>
          <w:szCs w:val="20"/>
          <w:lang w:val="es-AR"/>
        </w:rPr>
        <w:t xml:space="preserve">s sociales dejadas </w:t>
      </w:r>
      <w:r w:rsidR="00F363A3">
        <w:rPr>
          <w:sz w:val="20"/>
          <w:szCs w:val="20"/>
          <w:lang w:val="es-AR"/>
        </w:rPr>
        <w:t>de</w:t>
      </w:r>
      <w:r>
        <w:rPr>
          <w:sz w:val="20"/>
          <w:szCs w:val="20"/>
          <w:lang w:val="es-AR"/>
        </w:rPr>
        <w:t xml:space="preserve"> devengar </w:t>
      </w:r>
      <w:r w:rsidR="00A150BD">
        <w:rPr>
          <w:sz w:val="20"/>
          <w:szCs w:val="20"/>
          <w:lang w:val="es-AR"/>
        </w:rPr>
        <w:t>con el correspondiente</w:t>
      </w:r>
      <w:r w:rsidR="00085961">
        <w:rPr>
          <w:sz w:val="20"/>
          <w:szCs w:val="20"/>
          <w:lang w:val="es-AR"/>
        </w:rPr>
        <w:t xml:space="preserve"> reajuste sobre los valores salariales y prestacionales.</w:t>
      </w:r>
      <w:r>
        <w:rPr>
          <w:sz w:val="20"/>
          <w:szCs w:val="20"/>
          <w:lang w:val="es-AR"/>
        </w:rPr>
        <w:t xml:space="preserve"> Destaca que</w:t>
      </w:r>
      <w:r w:rsidR="00085961">
        <w:rPr>
          <w:sz w:val="20"/>
          <w:szCs w:val="20"/>
          <w:lang w:val="es-AR"/>
        </w:rPr>
        <w:t xml:space="preserve"> </w:t>
      </w:r>
      <w:r>
        <w:rPr>
          <w:sz w:val="20"/>
          <w:szCs w:val="20"/>
          <w:lang w:val="es-AR"/>
        </w:rPr>
        <w:t>la jueza dio por probado que en la desvinculación había mediado</w:t>
      </w:r>
      <w:r w:rsidR="00085961">
        <w:rPr>
          <w:sz w:val="20"/>
          <w:szCs w:val="20"/>
          <w:lang w:val="es-AR"/>
        </w:rPr>
        <w:t xml:space="preserve"> desviación de poder, falsa motivación, vía de hecho y violación de los derechos humanos. </w:t>
      </w:r>
      <w:r w:rsidR="00754332">
        <w:rPr>
          <w:sz w:val="20"/>
          <w:szCs w:val="20"/>
          <w:lang w:val="es-AR"/>
        </w:rPr>
        <w:t xml:space="preserve"> Explica que esta </w:t>
      </w:r>
      <w:r w:rsidR="002F22FE" w:rsidRPr="00754332">
        <w:rPr>
          <w:sz w:val="20"/>
          <w:szCs w:val="20"/>
          <w:lang w:val="es-AR"/>
        </w:rPr>
        <w:t>decisión fue apelada por la</w:t>
      </w:r>
      <w:r w:rsidR="00A97B8C" w:rsidRPr="00754332">
        <w:rPr>
          <w:sz w:val="20"/>
          <w:szCs w:val="20"/>
          <w:lang w:val="es-AR"/>
        </w:rPr>
        <w:t xml:space="preserve"> </w:t>
      </w:r>
      <w:r w:rsidR="00EB661F" w:rsidRPr="00754332">
        <w:rPr>
          <w:sz w:val="20"/>
          <w:szCs w:val="20"/>
          <w:lang w:val="es-AR"/>
        </w:rPr>
        <w:t>entidad demanda</w:t>
      </w:r>
      <w:r w:rsidR="00754332">
        <w:rPr>
          <w:sz w:val="20"/>
          <w:szCs w:val="20"/>
          <w:lang w:val="es-AR"/>
        </w:rPr>
        <w:t xml:space="preserve"> (</w:t>
      </w:r>
      <w:r w:rsidR="00C21A21" w:rsidRPr="00754332">
        <w:rPr>
          <w:sz w:val="20"/>
          <w:szCs w:val="20"/>
          <w:lang w:val="es-AR"/>
        </w:rPr>
        <w:t>Consejo Superior de la Judicatura</w:t>
      </w:r>
      <w:r w:rsidR="00754332">
        <w:rPr>
          <w:sz w:val="20"/>
          <w:szCs w:val="20"/>
          <w:lang w:val="es-AR"/>
        </w:rPr>
        <w:t>) conllevando a que el</w:t>
      </w:r>
      <w:r w:rsidR="008F4D43" w:rsidRPr="00754332">
        <w:rPr>
          <w:sz w:val="20"/>
          <w:szCs w:val="20"/>
          <w:lang w:val="es-AR"/>
        </w:rPr>
        <w:t xml:space="preserve"> </w:t>
      </w:r>
      <w:r w:rsidR="00566243" w:rsidRPr="00754332">
        <w:rPr>
          <w:sz w:val="20"/>
          <w:szCs w:val="20"/>
          <w:lang w:val="es-AR"/>
        </w:rPr>
        <w:t xml:space="preserve">9 de setiembre de 2008, </w:t>
      </w:r>
      <w:r w:rsidR="00EB661F" w:rsidRPr="00754332">
        <w:rPr>
          <w:sz w:val="20"/>
          <w:szCs w:val="20"/>
          <w:lang w:val="es-AR"/>
        </w:rPr>
        <w:t>la Sala Novena de Decisión del Tribuna</w:t>
      </w:r>
      <w:r w:rsidR="00754332">
        <w:rPr>
          <w:sz w:val="20"/>
          <w:szCs w:val="20"/>
          <w:lang w:val="es-AR"/>
        </w:rPr>
        <w:t>l</w:t>
      </w:r>
      <w:r w:rsidR="00EB661F" w:rsidRPr="00754332">
        <w:rPr>
          <w:sz w:val="20"/>
          <w:szCs w:val="20"/>
          <w:lang w:val="es-AR"/>
        </w:rPr>
        <w:t xml:space="preserve"> Ad</w:t>
      </w:r>
      <w:r w:rsidR="00754332">
        <w:rPr>
          <w:sz w:val="20"/>
          <w:szCs w:val="20"/>
          <w:lang w:val="es-AR"/>
        </w:rPr>
        <w:t>ministrativo de Antioquia revocara</w:t>
      </w:r>
      <w:r w:rsidR="00EB661F" w:rsidRPr="00754332">
        <w:rPr>
          <w:sz w:val="20"/>
          <w:szCs w:val="20"/>
          <w:lang w:val="es-AR"/>
        </w:rPr>
        <w:t xml:space="preserve"> la decisión de primera instancia</w:t>
      </w:r>
      <w:r w:rsidR="00754332">
        <w:rPr>
          <w:sz w:val="20"/>
          <w:szCs w:val="20"/>
          <w:lang w:val="es-AR"/>
        </w:rPr>
        <w:t>.</w:t>
      </w:r>
      <w:r w:rsidR="00A3762D">
        <w:rPr>
          <w:sz w:val="20"/>
          <w:szCs w:val="20"/>
          <w:lang w:val="es-AR"/>
        </w:rPr>
        <w:t xml:space="preserve"> Denuncia que el Tribunal basó su decisión en</w:t>
      </w:r>
      <w:r w:rsidR="00A3762D" w:rsidRPr="00754332">
        <w:rPr>
          <w:sz w:val="20"/>
          <w:szCs w:val="20"/>
          <w:lang w:val="es-AR"/>
        </w:rPr>
        <w:t xml:space="preserve"> que la demandante no </w:t>
      </w:r>
      <w:r w:rsidR="00A3762D">
        <w:rPr>
          <w:sz w:val="20"/>
          <w:szCs w:val="20"/>
          <w:lang w:val="es-AR"/>
        </w:rPr>
        <w:t>solicitó</w:t>
      </w:r>
      <w:r w:rsidR="00A3762D" w:rsidRPr="00754332">
        <w:rPr>
          <w:sz w:val="20"/>
          <w:szCs w:val="20"/>
          <w:lang w:val="es-AR"/>
        </w:rPr>
        <w:t xml:space="preserve"> la nulidad de la </w:t>
      </w:r>
      <w:r w:rsidR="00A3762D">
        <w:rPr>
          <w:sz w:val="20"/>
          <w:szCs w:val="20"/>
          <w:lang w:val="es-AR"/>
        </w:rPr>
        <w:t>resolución mediante la cual el Consejo Seccional de la Judicatura rechazó su recurso de reposición; pese a que ese fue un acto intrascendente y la demanda se dirigió, como debía hacerse, contra el acto administrativo definitivo que fue el rechazo del recurso de apelación contra la decisión de desvinculación. A</w:t>
      </w:r>
      <w:r w:rsidR="00523A7D" w:rsidRPr="00754332">
        <w:rPr>
          <w:sz w:val="20"/>
          <w:szCs w:val="20"/>
          <w:lang w:val="es-AR"/>
        </w:rPr>
        <w:t>grega que</w:t>
      </w:r>
      <w:r w:rsidR="00A3762D">
        <w:rPr>
          <w:sz w:val="20"/>
          <w:szCs w:val="20"/>
          <w:lang w:val="es-AR"/>
        </w:rPr>
        <w:t xml:space="preserve"> el Tribunal también invocó que</w:t>
      </w:r>
      <w:r w:rsidR="00523A7D" w:rsidRPr="00754332">
        <w:rPr>
          <w:sz w:val="20"/>
          <w:szCs w:val="20"/>
          <w:lang w:val="es-AR"/>
        </w:rPr>
        <w:t xml:space="preserve"> los </w:t>
      </w:r>
      <w:r w:rsidR="00FD5E11" w:rsidRPr="00754332">
        <w:rPr>
          <w:sz w:val="20"/>
          <w:szCs w:val="20"/>
          <w:lang w:val="es-AR"/>
        </w:rPr>
        <w:t>actos adm</w:t>
      </w:r>
      <w:r w:rsidR="00A3762D">
        <w:rPr>
          <w:sz w:val="20"/>
          <w:szCs w:val="20"/>
          <w:lang w:val="es-AR"/>
        </w:rPr>
        <w:t>inistrativos anexos objeto de la demanda no habían sido autenticados</w:t>
      </w:r>
      <w:r w:rsidR="00FD5E11" w:rsidRPr="00754332">
        <w:rPr>
          <w:sz w:val="20"/>
          <w:szCs w:val="20"/>
          <w:lang w:val="es-AR"/>
        </w:rPr>
        <w:t xml:space="preserve">, </w:t>
      </w:r>
      <w:r w:rsidR="00B759F0">
        <w:rPr>
          <w:sz w:val="20"/>
          <w:szCs w:val="20"/>
          <w:lang w:val="es-AR"/>
        </w:rPr>
        <w:t>ignorando</w:t>
      </w:r>
      <w:r w:rsidR="00FD5E11" w:rsidRPr="00754332">
        <w:rPr>
          <w:sz w:val="20"/>
          <w:szCs w:val="20"/>
          <w:lang w:val="es-AR"/>
        </w:rPr>
        <w:t xml:space="preserve"> la Ley </w:t>
      </w:r>
      <w:proofErr w:type="spellStart"/>
      <w:r w:rsidR="00FD5E11" w:rsidRPr="00754332">
        <w:rPr>
          <w:sz w:val="20"/>
          <w:szCs w:val="20"/>
          <w:lang w:val="es-AR"/>
        </w:rPr>
        <w:t>Antitrámtie</w:t>
      </w:r>
      <w:proofErr w:type="spellEnd"/>
      <w:r w:rsidR="00FD5E11" w:rsidRPr="00754332">
        <w:rPr>
          <w:sz w:val="20"/>
          <w:szCs w:val="20"/>
          <w:lang w:val="es-AR"/>
        </w:rPr>
        <w:t xml:space="preserve"> y el principio de colaboración armónica entre las autoridades</w:t>
      </w:r>
      <w:r w:rsidR="00B759F0">
        <w:rPr>
          <w:sz w:val="20"/>
          <w:szCs w:val="20"/>
          <w:lang w:val="es-AR"/>
        </w:rPr>
        <w:t xml:space="preserve"> contemplado en la Constitución</w:t>
      </w:r>
      <w:r w:rsidR="00FD5E11" w:rsidRPr="00754332">
        <w:rPr>
          <w:sz w:val="20"/>
          <w:szCs w:val="20"/>
          <w:lang w:val="es-AR"/>
        </w:rPr>
        <w:t>.</w:t>
      </w:r>
      <w:r w:rsidR="00B759F0">
        <w:rPr>
          <w:sz w:val="20"/>
          <w:szCs w:val="20"/>
          <w:lang w:val="es-AR"/>
        </w:rPr>
        <w:t xml:space="preserve"> Considera que la Sala Novena contravino el principio rector del derecho laboral colombiano que indica que lo material debe primar sobre lo formal. En adición, alega que la decisión tuvo una motivación regionalista pues el tribunal se encontraba parcializado a favor de los funcionarios del juzgado quienes eran antioqueños mientras que la presunta víctima es procedente de Tolima.</w:t>
      </w:r>
    </w:p>
    <w:p w:rsidR="00B759F0" w:rsidRPr="00754332" w:rsidRDefault="00B759F0" w:rsidP="007543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Señala que contra la decisión de la Sala Novena la presunta víctima interpuso acción de tutela la que fue rechazada por la Sección Cuarta del Consejo de E</w:t>
      </w:r>
      <w:r w:rsidR="0081457B">
        <w:rPr>
          <w:sz w:val="20"/>
          <w:szCs w:val="20"/>
          <w:lang w:val="es-AR"/>
        </w:rPr>
        <w:t>stado por considerarla improcedente contra decisiones judiciales. Indica que contra la decisión del Consejo de Estado se interpusieron recursos de impugnación, revisión e insistencia en la revisión los cuales no fueron exitosos. Indica que la decisión final fue emitida por la Sala de Selección para Revisión de Acciones de Tutela de la Corte Constitucional el 4 de septiembre de 2009 y notificada a la presunta víctima el 7 de octubre de 2009.</w:t>
      </w:r>
      <w:r w:rsidR="00F363A3">
        <w:rPr>
          <w:sz w:val="20"/>
          <w:szCs w:val="20"/>
          <w:lang w:val="es-AR"/>
        </w:rPr>
        <w:tab/>
      </w:r>
    </w:p>
    <w:p w:rsidR="00506B1C" w:rsidRDefault="00265BEF" w:rsidP="000331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El Estado por su parte</w:t>
      </w:r>
      <w:r w:rsidR="00295729">
        <w:rPr>
          <w:sz w:val="20"/>
          <w:szCs w:val="20"/>
          <w:lang w:val="es-AR"/>
        </w:rPr>
        <w:t xml:space="preserve">, </w:t>
      </w:r>
      <w:r w:rsidR="00710C6C">
        <w:rPr>
          <w:sz w:val="20"/>
          <w:szCs w:val="20"/>
          <w:lang w:val="es-AR"/>
        </w:rPr>
        <w:t xml:space="preserve">alega que </w:t>
      </w:r>
      <w:r w:rsidR="00F8189C">
        <w:rPr>
          <w:sz w:val="20"/>
          <w:szCs w:val="20"/>
          <w:lang w:val="es-AR"/>
        </w:rPr>
        <w:t>la petición debe ser inadmitida toda vez que la presunta víctima incurrió en indebido agotamiento de la jurisdicción contenciosa administrativa</w:t>
      </w:r>
      <w:r w:rsidR="00BE14BE">
        <w:rPr>
          <w:sz w:val="20"/>
          <w:szCs w:val="20"/>
          <w:lang w:val="es-AR"/>
        </w:rPr>
        <w:t xml:space="preserve">. Indica que esta jurisdicción constituía el recurso idóneo y efectivo para establecer la responsabilidad estatal frente a los hechos </w:t>
      </w:r>
      <w:r w:rsidR="00BE14BE">
        <w:rPr>
          <w:sz w:val="20"/>
          <w:szCs w:val="20"/>
          <w:lang w:val="es-AR"/>
        </w:rPr>
        <w:lastRenderedPageBreak/>
        <w:t xml:space="preserve">alegados y para que la presunta víctima obtuviera reparación. Sin embargo, sostiene que la jurisdicción no pudo emitir una decisión de fondo con respecto a la demanda de nulidad y restablecimiento del derecho interpuesta por la presunta víctima dado que su apoderado incumplió con los requisitos procesales </w:t>
      </w:r>
      <w:r w:rsidR="00574391">
        <w:rPr>
          <w:sz w:val="20"/>
          <w:szCs w:val="20"/>
          <w:lang w:val="es-AR"/>
        </w:rPr>
        <w:t xml:space="preserve">conllevando a que la demanda se declarara inepta. Indica </w:t>
      </w:r>
      <w:r w:rsidR="00BE14BE">
        <w:rPr>
          <w:sz w:val="20"/>
          <w:szCs w:val="20"/>
          <w:lang w:val="es-AR"/>
        </w:rPr>
        <w:t>que el Tribunal Administrativo de Antioquía revocó la decisión de primera instancia y emitió un fallo inhibiéndose de pronunciarse sobre el fondo</w:t>
      </w:r>
      <w:r w:rsidR="00574391">
        <w:rPr>
          <w:sz w:val="20"/>
          <w:szCs w:val="20"/>
          <w:lang w:val="es-AR"/>
        </w:rPr>
        <w:t xml:space="preserve"> con fundamento en </w:t>
      </w:r>
      <w:r w:rsidR="00BE14BE">
        <w:rPr>
          <w:sz w:val="20"/>
          <w:szCs w:val="20"/>
          <w:lang w:val="es-AR"/>
        </w:rPr>
        <w:t xml:space="preserve">el artículo 138 del Código Contencioso Administrativo el cual establece que “cuando el acto que da origen a la acción de nulidad y restablecimiento del derecho, fue objeto de recursos en sede administrativa, debe </w:t>
      </w:r>
      <w:r w:rsidR="006D0DBC">
        <w:rPr>
          <w:sz w:val="20"/>
          <w:szCs w:val="20"/>
          <w:lang w:val="es-AR"/>
        </w:rPr>
        <w:t>impetrarse</w:t>
      </w:r>
      <w:r w:rsidR="00BE14BE">
        <w:rPr>
          <w:sz w:val="20"/>
          <w:szCs w:val="20"/>
          <w:lang w:val="es-AR"/>
        </w:rPr>
        <w:t xml:space="preserve"> la nulidad del acto definitivo y la de </w:t>
      </w:r>
      <w:r w:rsidR="00574391">
        <w:rPr>
          <w:sz w:val="20"/>
          <w:szCs w:val="20"/>
          <w:lang w:val="es-AR"/>
        </w:rPr>
        <w:t xml:space="preserve">todos los demás actos administrativos que lo modifiquen o confirmen”. Explica que el tribunal consideró que la demanda incumplió este artículo al solicitar la nulidad de la resolución que ordenó su desvinculación de la carrera judicial así como la que rechazó su recurso de apelación, pero no la resolución que previamente había rechazado su recurso de reposición. A juicio del tribunal, </w:t>
      </w:r>
      <w:r w:rsidR="00506B1C">
        <w:rPr>
          <w:sz w:val="20"/>
          <w:szCs w:val="20"/>
          <w:lang w:val="es-AR"/>
        </w:rPr>
        <w:t xml:space="preserve">en esas circunstancias una decisión favorable a la presunta víctima hubiese conducido a un </w:t>
      </w:r>
      <w:r w:rsidR="006D0DBC">
        <w:rPr>
          <w:sz w:val="20"/>
          <w:szCs w:val="20"/>
          <w:lang w:val="es-AR"/>
        </w:rPr>
        <w:t>sinsentido</w:t>
      </w:r>
      <w:r w:rsidR="00506B1C">
        <w:rPr>
          <w:sz w:val="20"/>
          <w:szCs w:val="20"/>
          <w:lang w:val="es-AR"/>
        </w:rPr>
        <w:t xml:space="preserve"> pues se habría anulado un acto administrativo dejando incólume otro que lo había confirmado en todas sus partes; por lo que la demanda era inepta.</w:t>
      </w:r>
    </w:p>
    <w:p w:rsidR="000277A3" w:rsidRPr="00506B1C" w:rsidRDefault="00506B1C" w:rsidP="00D70D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En adición, considera que la petición debe ser inadmitida con fundamento en el artículo 47(c) de la Convención Americana</w:t>
      </w:r>
      <w:r w:rsidR="00574391">
        <w:rPr>
          <w:sz w:val="20"/>
          <w:szCs w:val="20"/>
          <w:lang w:val="es-AR"/>
        </w:rPr>
        <w:t xml:space="preserve"> </w:t>
      </w:r>
      <w:r w:rsidR="00DE68AE">
        <w:rPr>
          <w:sz w:val="20"/>
          <w:szCs w:val="20"/>
          <w:lang w:val="es-AR"/>
        </w:rPr>
        <w:t xml:space="preserve">dado que el peticionario no ha cumplido con la carga mínima de sustanciación de las presuntas vulneraciones que alega. Destaca que el peticionario ha hecho alegaciones sobre afectaciones psíquicas y económicas que habría sufrido la presunta víctima, así como con respecto a una supuesta falta de imparcialidad sin que obren evidencias que soporten dichas alegaciones. </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9B1322" w:rsidRDefault="00DE42E1" w:rsidP="00DE68A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La Comisión observa que el peticionario sostiene que</w:t>
      </w:r>
      <w:r w:rsidR="00EA1412">
        <w:rPr>
          <w:sz w:val="20"/>
          <w:szCs w:val="20"/>
          <w:lang w:val="es-AR"/>
        </w:rPr>
        <w:t xml:space="preserve"> la presunta víctima</w:t>
      </w:r>
      <w:r>
        <w:rPr>
          <w:sz w:val="20"/>
          <w:szCs w:val="20"/>
          <w:lang w:val="es-AR"/>
        </w:rPr>
        <w:t xml:space="preserve"> </w:t>
      </w:r>
      <w:r w:rsidR="00DE68AE">
        <w:rPr>
          <w:sz w:val="20"/>
          <w:szCs w:val="20"/>
          <w:lang w:val="es-AR"/>
        </w:rPr>
        <w:t>agotó todas las instancias judiciales y administrativas aplicables sin obtener la tutela efectiva de sus derechos. De igual manera, toma nota que el Estado ha indicado que la peticionaria incurrió en agotamiento indebido de la jurisdicción contenciosa administrativa impidiendo que la jurisdicción doméstica emitiera una decisión definitiva de fondo con respecto al objeto de la petición.</w:t>
      </w:r>
    </w:p>
    <w:p w:rsidR="00CC3002" w:rsidRPr="00E40C34" w:rsidRDefault="00CC3002" w:rsidP="00CC300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40C34">
        <w:rPr>
          <w:rFonts w:asciiTheme="majorHAnsi" w:hAnsiTheme="majorHAnsi"/>
          <w:sz w:val="20"/>
          <w:szCs w:val="20"/>
          <w:lang w:val="es-ES"/>
        </w:rPr>
        <w:t xml:space="preserve">Ante lo expuesto por las partes, la Comisión considera pertinente recordar que </w:t>
      </w:r>
      <w:r w:rsidRPr="00E40C34">
        <w:rPr>
          <w:rFonts w:asciiTheme="majorHAnsi" w:hAnsiTheme="majorHAnsi"/>
          <w:sz w:val="20"/>
          <w:szCs w:val="20"/>
          <w:lang w:val="es-UY"/>
        </w:rPr>
        <w:t xml:space="preserve">ya ha determinado que </w:t>
      </w:r>
      <w:r w:rsidRPr="00E40C34">
        <w:rPr>
          <w:rFonts w:asciiTheme="majorHAnsi" w:hAnsiTheme="majorHAnsi" w:cs="Calibri"/>
          <w:sz w:val="20"/>
          <w:szCs w:val="20"/>
          <w:lang w:val="es-ES"/>
        </w:rPr>
        <w:t>la parte peticionaria debe agotar los recursos internos de conformidad con la legislación procesal interna, siempre y cuando esta no sea incompatible con las obligaciones del Estado bajo la Convención Americana. Por esta razón, la Comisión no puede considerar que el peticionario ha cumplido debidamente con el requisito del agotamiento previo de los recursos internos si los mismos han sido rechazados con fundamentos procesales razonables y no arbitrarios, tales como que la acción no haya sido interpuesta dentro de los plazos establecidos en la legislación doméstica</w:t>
      </w:r>
      <w:r w:rsidRPr="00E40C34">
        <w:rPr>
          <w:rStyle w:val="FootnoteReference"/>
          <w:rFonts w:asciiTheme="majorHAnsi" w:hAnsiTheme="majorHAnsi" w:cs="Calibri"/>
          <w:sz w:val="20"/>
          <w:szCs w:val="20"/>
          <w:lang w:val="es-ES"/>
        </w:rPr>
        <w:footnoteReference w:id="4"/>
      </w:r>
      <w:r w:rsidRPr="00E40C34">
        <w:rPr>
          <w:rFonts w:asciiTheme="majorHAnsi" w:hAnsiTheme="majorHAnsi" w:cs="Calibri"/>
          <w:sz w:val="20"/>
          <w:szCs w:val="20"/>
          <w:lang w:val="es-ES"/>
        </w:rPr>
        <w:t>.</w:t>
      </w:r>
      <w:r w:rsidRPr="00E40C34">
        <w:rPr>
          <w:rFonts w:asciiTheme="majorHAnsi" w:hAnsiTheme="majorHAnsi"/>
          <w:sz w:val="20"/>
          <w:szCs w:val="20"/>
          <w:lang w:val="es-ES"/>
        </w:rPr>
        <w:t xml:space="preserve"> </w:t>
      </w:r>
      <w:r w:rsidR="00E40C34" w:rsidRPr="00E40C34">
        <w:rPr>
          <w:rFonts w:asciiTheme="majorHAnsi" w:hAnsiTheme="majorHAnsi"/>
          <w:sz w:val="20"/>
          <w:szCs w:val="20"/>
          <w:lang w:val="es-ES"/>
        </w:rPr>
        <w:t>Sin embargo, la Comisión también recuerda que la Corte Interamericana ha dispuesto que “</w:t>
      </w:r>
      <w:r w:rsidR="00E40C34" w:rsidRPr="00E40C34">
        <w:rPr>
          <w:sz w:val="20"/>
          <w:szCs w:val="20"/>
          <w:lang w:val="es-PA"/>
        </w:rPr>
        <w:t>para hacer efectivo el acceso a la justicia de las víctimas, los jueces como rectores del proceso tienen que dirigir y encausar el procedimiento judicial con el fin de no sacrificar la justicia y el debido proceso legal en pro del formalismo”</w:t>
      </w:r>
      <w:r w:rsidR="00E40C34">
        <w:rPr>
          <w:rStyle w:val="FootnoteReference"/>
          <w:sz w:val="20"/>
          <w:szCs w:val="20"/>
          <w:lang w:val="es-PA"/>
        </w:rPr>
        <w:footnoteReference w:id="5"/>
      </w:r>
      <w:r w:rsidR="00E40C34" w:rsidRPr="00E40C34">
        <w:rPr>
          <w:sz w:val="20"/>
          <w:szCs w:val="20"/>
          <w:lang w:val="es-PA"/>
        </w:rPr>
        <w:t>.</w:t>
      </w:r>
    </w:p>
    <w:p w:rsidR="00DE68AE" w:rsidRPr="00993A1D" w:rsidRDefault="00CC3002" w:rsidP="00DE68A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C</w:t>
      </w:r>
      <w:r w:rsidR="008B28AD">
        <w:rPr>
          <w:sz w:val="20"/>
          <w:szCs w:val="20"/>
          <w:lang w:val="es-AR"/>
        </w:rPr>
        <w:t>on base en este criterio</w:t>
      </w:r>
      <w:r>
        <w:rPr>
          <w:sz w:val="20"/>
          <w:szCs w:val="20"/>
          <w:lang w:val="es-AR"/>
        </w:rPr>
        <w:t>, la Comisión valora que la demanda de nulidad y restablecimiento del derecho interpuesta por la presunta víctima fue rechazada por el incumplimiento de un requisito procesal pre</w:t>
      </w:r>
      <w:r w:rsidR="00B65410">
        <w:rPr>
          <w:sz w:val="20"/>
          <w:szCs w:val="20"/>
          <w:lang w:val="es-AR"/>
        </w:rPr>
        <w:t>viamente establecido en la ley (que la demanda se dirija contra todos los actos administrativos que confirmen o modifiquen el acto principal demandado).</w:t>
      </w:r>
      <w:r w:rsidR="00E40C34">
        <w:rPr>
          <w:sz w:val="20"/>
          <w:szCs w:val="20"/>
          <w:lang w:val="es-AR"/>
        </w:rPr>
        <w:t xml:space="preserve"> Pese a ello, la Comisión estima que el defecto procesal en que incurrió la presunta víctima era </w:t>
      </w:r>
      <w:r w:rsidR="00E40C34">
        <w:rPr>
          <w:i/>
          <w:sz w:val="20"/>
          <w:szCs w:val="20"/>
          <w:lang w:val="es-AR"/>
        </w:rPr>
        <w:t>prima fa</w:t>
      </w:r>
      <w:r w:rsidR="00843905">
        <w:rPr>
          <w:i/>
          <w:sz w:val="20"/>
          <w:szCs w:val="20"/>
          <w:lang w:val="es-AR"/>
        </w:rPr>
        <w:t xml:space="preserve">cie </w:t>
      </w:r>
      <w:r w:rsidR="00843905">
        <w:rPr>
          <w:sz w:val="20"/>
          <w:szCs w:val="20"/>
          <w:lang w:val="es-AR"/>
        </w:rPr>
        <w:t>subsanable y que la naturaleza del caso planteado exigía a las autoridades judiciales adoptar las medidas que fueran posibles para garantizar a la presunta víctima el acceso a la justicia</w:t>
      </w:r>
      <w:r>
        <w:rPr>
          <w:sz w:val="20"/>
          <w:szCs w:val="20"/>
          <w:lang w:val="es-ES"/>
        </w:rPr>
        <w:t xml:space="preserve">. </w:t>
      </w:r>
      <w:r w:rsidR="00B65410" w:rsidRPr="001401BA">
        <w:rPr>
          <w:sz w:val="20"/>
          <w:szCs w:val="20"/>
          <w:lang w:val="es-ES"/>
        </w:rPr>
        <w:t>Po</w:t>
      </w:r>
      <w:r w:rsidR="00B65410">
        <w:rPr>
          <w:sz w:val="20"/>
          <w:szCs w:val="20"/>
          <w:lang w:val="es-ES"/>
        </w:rPr>
        <w:t xml:space="preserve">r estas razones, la Comisión </w:t>
      </w:r>
      <w:r w:rsidR="00843905">
        <w:rPr>
          <w:sz w:val="20"/>
          <w:szCs w:val="20"/>
          <w:lang w:val="es-ES"/>
        </w:rPr>
        <w:t xml:space="preserve">considera que el error formal menor en que incurrió </w:t>
      </w:r>
      <w:r w:rsidR="00C965C4">
        <w:rPr>
          <w:sz w:val="20"/>
          <w:szCs w:val="20"/>
          <w:lang w:val="es-ES"/>
        </w:rPr>
        <w:t>el apoderado legal de la</w:t>
      </w:r>
      <w:r w:rsidR="00843905">
        <w:rPr>
          <w:sz w:val="20"/>
          <w:szCs w:val="20"/>
          <w:lang w:val="es-ES"/>
        </w:rPr>
        <w:t xml:space="preserve"> presunta víctima no resulta suficiente para desacreditar su interposición de la demanda de nulidad y restablecimiento del derecho como un recurso válidamente agotado. En este sentido, la Comisión </w:t>
      </w:r>
      <w:r w:rsidR="00843905">
        <w:rPr>
          <w:sz w:val="20"/>
          <w:szCs w:val="20"/>
          <w:lang w:val="es-ES"/>
        </w:rPr>
        <w:lastRenderedPageBreak/>
        <w:t xml:space="preserve">es de la opinión que la referida demanda contenciosa administrativa resultaba un recurso idóneo para que las reclamaciones de la parte peticionaria fueran atendidas a nivel doméstico. </w:t>
      </w:r>
    </w:p>
    <w:p w:rsidR="00C965C4" w:rsidRPr="00993A1D" w:rsidRDefault="00C965C4" w:rsidP="00C965C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93A1D">
        <w:rPr>
          <w:sz w:val="20"/>
          <w:szCs w:val="20"/>
          <w:lang w:val="es-ES"/>
        </w:rPr>
        <w:t>La Comisión toma nota que luego de agotada la vía</w:t>
      </w:r>
      <w:r w:rsidR="00993A1D">
        <w:rPr>
          <w:sz w:val="20"/>
          <w:szCs w:val="20"/>
          <w:lang w:val="es-ES"/>
        </w:rPr>
        <w:t xml:space="preserve"> contenciosa</w:t>
      </w:r>
      <w:r w:rsidRPr="00993A1D">
        <w:rPr>
          <w:sz w:val="20"/>
          <w:szCs w:val="20"/>
          <w:lang w:val="es-ES"/>
        </w:rPr>
        <w:t xml:space="preserve"> administrativa la presunta víctima acudió a la justicia constitucional a través de una acción de tutela, siendo la decisión final de esta jurisdicción la emitida por la </w:t>
      </w:r>
      <w:r w:rsidRPr="00993A1D">
        <w:rPr>
          <w:sz w:val="20"/>
          <w:szCs w:val="20"/>
          <w:lang w:val="es-AR"/>
        </w:rPr>
        <w:t>Sala de Selección para Revisión de Acciones de Tutela de la Corte Constitucional en el sentido de no seleccionar para revisión el expediente pertinente al caso de la presunta víctima. Al respe</w:t>
      </w:r>
      <w:r w:rsidR="00993A1D">
        <w:rPr>
          <w:sz w:val="20"/>
          <w:szCs w:val="20"/>
          <w:lang w:val="es-AR"/>
        </w:rPr>
        <w:t>c</w:t>
      </w:r>
      <w:r w:rsidRPr="00993A1D">
        <w:rPr>
          <w:sz w:val="20"/>
          <w:szCs w:val="20"/>
          <w:lang w:val="es-AR"/>
        </w:rPr>
        <w:t xml:space="preserve">to, la Comisión considera que la acción de tutela constituía un recurso extraordinario para la situación de la presunta víctima y recuerda su criterio sostenido en el sentido de que, </w:t>
      </w:r>
      <w:r w:rsidRPr="00993A1D">
        <w:rPr>
          <w:rFonts w:cs="Calibri"/>
          <w:sz w:val="20"/>
          <w:szCs w:val="20"/>
          <w:lang w:val="es-ES_tradnl"/>
        </w:rPr>
        <w:t>si bien en principio en 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requisitos de admisibilidad de la petición. Consecuentemente, la Comisión estima que los recursos internos se agotaron con respecto al objeto de la presente petición con la decisión de la</w:t>
      </w:r>
      <w:r w:rsidRPr="00993A1D">
        <w:rPr>
          <w:sz w:val="20"/>
          <w:szCs w:val="20"/>
          <w:lang w:val="es-ES"/>
        </w:rPr>
        <w:t xml:space="preserve"> la </w:t>
      </w:r>
      <w:r w:rsidRPr="00993A1D">
        <w:rPr>
          <w:sz w:val="20"/>
          <w:szCs w:val="20"/>
          <w:lang w:val="es-AR"/>
        </w:rPr>
        <w:t>Sala de Selección para Revisión de Acciones de Tutela de la Corte Constitucional. Por esta raz</w:t>
      </w:r>
      <w:r w:rsidR="00993A1D" w:rsidRPr="00993A1D">
        <w:rPr>
          <w:sz w:val="20"/>
          <w:szCs w:val="20"/>
          <w:lang w:val="es-AR"/>
        </w:rPr>
        <w:t xml:space="preserve">ón, </w:t>
      </w:r>
      <w:r w:rsidRPr="00993A1D">
        <w:rPr>
          <w:sz w:val="20"/>
          <w:szCs w:val="20"/>
          <w:lang w:val="es-AR"/>
        </w:rPr>
        <w:t>y dado que la decisión definitiva fue notificada a la presunta víctima el 7 de octubre de 2009</w:t>
      </w:r>
      <w:r w:rsidR="00993A1D" w:rsidRPr="00993A1D">
        <w:rPr>
          <w:sz w:val="20"/>
          <w:szCs w:val="20"/>
          <w:lang w:val="es-AR"/>
        </w:rPr>
        <w:t xml:space="preserve"> y la petición presentada el 7 de diciembre de 2009, la comisión concluye que la presente petición cumple con los requisitos del artículo 46.1(a) y (b) de la Convención Americana. </w:t>
      </w:r>
    </w:p>
    <w:p w:rsidR="003E2C8D" w:rsidRPr="003E2C8D" w:rsidRDefault="003239B8" w:rsidP="003E2C8D">
      <w:pPr>
        <w:pStyle w:val="ListParagraph"/>
        <w:spacing w:before="240" w:after="240"/>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993A1D" w:rsidRDefault="00993A1D" w:rsidP="00993A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La Comisión observa que la presente petición incluye alegaciones con respecto a que la presunta víctima fue destituida del cargo que ocupaba en la carrera judicial en represalia por sus declaraciones rendidas contra el titular del juzgado en el contexto de un proceso disciplinario.</w:t>
      </w:r>
    </w:p>
    <w:p w:rsidR="00993A1D" w:rsidRPr="00E502AA" w:rsidRDefault="00E502AA" w:rsidP="00993A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E502AA">
        <w:rPr>
          <w:rFonts w:asciiTheme="majorHAnsi" w:hAnsiTheme="majorHAnsi"/>
          <w:sz w:val="20"/>
          <w:szCs w:val="20"/>
          <w:lang w:val="es-AR"/>
        </w:rPr>
        <w:t>Dada la naturaleza de las alegaciones, la Comisión considera pertinente recordar que ya ha establecido que los Estados tienen “</w:t>
      </w:r>
      <w:r w:rsidRPr="00E502AA">
        <w:rPr>
          <w:rFonts w:asciiTheme="majorHAnsi" w:hAnsiTheme="majorHAnsi"/>
          <w:sz w:val="20"/>
          <w:szCs w:val="20"/>
          <w:lang w:val="es-PA"/>
        </w:rPr>
        <w:t>la obligación de garantizar a las víctimas, a los denunciantes, testigos y sus abogados que no sufrirán represalias o consecuencias adversas al denunciar los delitos cometidos por funcionarios públicos”</w:t>
      </w:r>
      <w:r>
        <w:rPr>
          <w:rStyle w:val="FootnoteReference"/>
          <w:rFonts w:asciiTheme="majorHAnsi" w:hAnsiTheme="majorHAnsi"/>
          <w:sz w:val="20"/>
          <w:szCs w:val="20"/>
          <w:lang w:val="es-PA"/>
        </w:rPr>
        <w:footnoteReference w:id="6"/>
      </w:r>
      <w:r w:rsidRPr="00E502AA">
        <w:rPr>
          <w:rFonts w:asciiTheme="majorHAnsi" w:hAnsiTheme="majorHAnsi"/>
          <w:sz w:val="20"/>
          <w:szCs w:val="20"/>
          <w:lang w:val="es-PA"/>
        </w:rPr>
        <w:t>.</w:t>
      </w:r>
    </w:p>
    <w:p w:rsidR="00E502AA" w:rsidRPr="00E502AA" w:rsidRDefault="00E502AA" w:rsidP="00E502A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E502AA">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E502AA">
        <w:rPr>
          <w:bCs/>
          <w:sz w:val="20"/>
          <w:szCs w:val="20"/>
          <w:lang w:val="es-ES"/>
        </w:rPr>
        <w:t xml:space="preserve">8 (garantías judiciales), </w:t>
      </w:r>
      <w:r w:rsidR="00D11D1F">
        <w:rPr>
          <w:rFonts w:asciiTheme="majorHAnsi" w:hAnsiTheme="majorHAnsi"/>
          <w:sz w:val="20"/>
          <w:szCs w:val="20"/>
          <w:lang w:val="es-AR"/>
        </w:rPr>
        <w:t xml:space="preserve">11 (honra y dignidad), </w:t>
      </w:r>
      <w:r w:rsidR="00D11D1F">
        <w:rPr>
          <w:bCs/>
          <w:sz w:val="20"/>
          <w:szCs w:val="20"/>
          <w:lang w:val="es-ES"/>
        </w:rPr>
        <w:t xml:space="preserve">13 (libertad de pensamiento y expresión), </w:t>
      </w:r>
      <w:r w:rsidRPr="00E502AA">
        <w:rPr>
          <w:bCs/>
          <w:sz w:val="20"/>
          <w:szCs w:val="20"/>
          <w:lang w:val="es-ES"/>
        </w:rPr>
        <w:t>23 (derechos políticos),</w:t>
      </w:r>
      <w:r>
        <w:rPr>
          <w:bCs/>
          <w:sz w:val="20"/>
          <w:szCs w:val="20"/>
          <w:lang w:val="es-ES"/>
        </w:rPr>
        <w:t xml:space="preserve"> 24 (igualdad ante la ley),</w:t>
      </w:r>
      <w:r w:rsidRPr="00E502AA">
        <w:rPr>
          <w:bCs/>
          <w:sz w:val="20"/>
          <w:szCs w:val="20"/>
          <w:lang w:val="es-ES"/>
        </w:rPr>
        <w:t xml:space="preserve"> 25 (protección judicial) y 26 (derechos económicos sociales y culturales) de la Convención Americana en relación con su artículo 1.1. (obligación de respetar los derechos)</w:t>
      </w:r>
      <w:r>
        <w:rPr>
          <w:bCs/>
          <w:sz w:val="20"/>
          <w:szCs w:val="20"/>
          <w:lang w:val="es-ES"/>
        </w:rPr>
        <w:t>.</w:t>
      </w:r>
    </w:p>
    <w:p w:rsidR="00E502AA" w:rsidRPr="00E502AA" w:rsidRDefault="00E502AA" w:rsidP="00993A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En cuanto a las alegadas violaciones a los artículos 5 (integridad personal</w:t>
      </w:r>
      <w:r w:rsidRPr="0027198B">
        <w:rPr>
          <w:rFonts w:asciiTheme="majorHAnsi" w:hAnsiTheme="majorHAnsi"/>
          <w:color w:val="auto"/>
          <w:sz w:val="20"/>
          <w:szCs w:val="20"/>
          <w:lang w:val="es-AR"/>
        </w:rPr>
        <w:t xml:space="preserve">), </w:t>
      </w:r>
      <w:r w:rsidR="00422DC8" w:rsidRPr="0027198B">
        <w:rPr>
          <w:rFonts w:asciiTheme="majorHAnsi" w:hAnsiTheme="majorHAnsi"/>
          <w:bCs/>
          <w:color w:val="auto"/>
          <w:sz w:val="20"/>
          <w:szCs w:val="20"/>
          <w:lang w:val="es-PE"/>
        </w:rPr>
        <w:t xml:space="preserve">9 (legalidad y retroactividad), </w:t>
      </w:r>
      <w:r w:rsidRPr="0027198B">
        <w:rPr>
          <w:rFonts w:asciiTheme="majorHAnsi" w:hAnsiTheme="majorHAnsi"/>
          <w:color w:val="auto"/>
          <w:sz w:val="20"/>
          <w:szCs w:val="20"/>
          <w:lang w:val="es-AR"/>
        </w:rPr>
        <w:t>10 (indemnización), y 17 (protección de la familia) de la Convención Am</w:t>
      </w:r>
      <w:r>
        <w:rPr>
          <w:rFonts w:asciiTheme="majorHAnsi" w:hAnsiTheme="majorHAnsi"/>
          <w:sz w:val="20"/>
          <w:szCs w:val="20"/>
          <w:lang w:val="es-AR"/>
        </w:rPr>
        <w:t xml:space="preserve">ericana la Comisión estima que la parte peticionaria no ha aportado ni surgen del expediente elementos o sustento suficiente para considerar </w:t>
      </w:r>
      <w:r w:rsidRPr="00E502AA">
        <w:rPr>
          <w:rFonts w:asciiTheme="majorHAnsi" w:hAnsiTheme="majorHAnsi"/>
          <w:i/>
          <w:sz w:val="20"/>
          <w:szCs w:val="20"/>
          <w:lang w:val="es-AR"/>
        </w:rPr>
        <w:t>prima facie</w:t>
      </w:r>
      <w:r>
        <w:rPr>
          <w:rFonts w:asciiTheme="majorHAnsi" w:hAnsiTheme="majorHAnsi"/>
          <w:sz w:val="20"/>
          <w:szCs w:val="20"/>
          <w:lang w:val="es-AR"/>
        </w:rPr>
        <w:t xml:space="preserve"> la posibilidad de su violación. </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Default="000419AD" w:rsidP="00305835">
      <w:pPr>
        <w:pStyle w:val="ListParagraph"/>
        <w:numPr>
          <w:ilvl w:val="0"/>
          <w:numId w:val="55"/>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F34C62">
        <w:rPr>
          <w:rFonts w:eastAsia="Arial Unicode MS" w:cs="Times New Roman"/>
          <w:color w:val="000000" w:themeColor="text1"/>
          <w:sz w:val="20"/>
          <w:szCs w:val="20"/>
          <w:lang w:val="es-ES" w:eastAsia="en-US"/>
        </w:rPr>
        <w:t>admisible</w:t>
      </w:r>
      <w:r w:rsidRPr="000419AD">
        <w:rPr>
          <w:rFonts w:eastAsia="Arial Unicode MS" w:cs="Times New Roman"/>
          <w:color w:val="FF0000"/>
          <w:sz w:val="20"/>
          <w:szCs w:val="20"/>
          <w:lang w:val="es-ES" w:eastAsia="en-US"/>
        </w:rPr>
        <w:t xml:space="preserve"> </w:t>
      </w:r>
      <w:r w:rsidRPr="000419AD">
        <w:rPr>
          <w:rFonts w:eastAsia="Arial Unicode MS" w:cs="Times New Roman"/>
          <w:color w:val="auto"/>
          <w:sz w:val="20"/>
          <w:szCs w:val="20"/>
          <w:lang w:val="es-ES" w:eastAsia="en-US"/>
        </w:rPr>
        <w:t xml:space="preserve">la presente petición en relación con </w:t>
      </w:r>
      <w:r w:rsidR="00B65410">
        <w:rPr>
          <w:rFonts w:eastAsia="Arial Unicode MS" w:cs="Times New Roman"/>
          <w:color w:val="auto"/>
          <w:sz w:val="20"/>
          <w:szCs w:val="20"/>
          <w:lang w:val="es-ES" w:eastAsia="en-US"/>
        </w:rPr>
        <w:t xml:space="preserve">los artículos </w:t>
      </w:r>
      <w:r w:rsidR="00161A92">
        <w:rPr>
          <w:rFonts w:eastAsia="Arial Unicode MS" w:cs="Times New Roman"/>
          <w:color w:val="auto"/>
          <w:sz w:val="20"/>
          <w:szCs w:val="20"/>
          <w:lang w:val="es-ES" w:eastAsia="en-US"/>
        </w:rPr>
        <w:t xml:space="preserve">8, </w:t>
      </w:r>
      <w:r w:rsidR="00D11D1F">
        <w:rPr>
          <w:rFonts w:eastAsia="Arial Unicode MS" w:cs="Times New Roman"/>
          <w:color w:val="auto"/>
          <w:sz w:val="20"/>
          <w:szCs w:val="20"/>
          <w:lang w:val="es-ES" w:eastAsia="en-US"/>
        </w:rPr>
        <w:t xml:space="preserve">11, 13, </w:t>
      </w:r>
      <w:r w:rsidR="00161A92">
        <w:rPr>
          <w:rFonts w:eastAsia="Arial Unicode MS" w:cs="Times New Roman"/>
          <w:color w:val="auto"/>
          <w:sz w:val="20"/>
          <w:szCs w:val="20"/>
          <w:lang w:val="es-ES" w:eastAsia="en-US"/>
        </w:rPr>
        <w:t>23, 24, 25 y 26 de la Convención Americana en relación con su artículo 1.1.</w:t>
      </w:r>
    </w:p>
    <w:p w:rsidR="00161A92" w:rsidRDefault="00161A92" w:rsidP="00161A92">
      <w:pPr>
        <w:pStyle w:val="ListParagraph"/>
        <w:rPr>
          <w:rFonts w:eastAsia="Arial Unicode MS" w:cs="Times New Roman"/>
          <w:color w:val="auto"/>
          <w:sz w:val="20"/>
          <w:szCs w:val="20"/>
          <w:lang w:val="es-ES" w:eastAsia="en-US"/>
        </w:rPr>
      </w:pPr>
    </w:p>
    <w:p w:rsidR="00161A92" w:rsidRDefault="00161A92" w:rsidP="00305835">
      <w:pPr>
        <w:pStyle w:val="ListParagraph"/>
        <w:numPr>
          <w:ilvl w:val="0"/>
          <w:numId w:val="55"/>
        </w:numPr>
        <w:rPr>
          <w:rFonts w:eastAsia="Arial Unicode MS" w:cs="Times New Roman"/>
          <w:color w:val="auto"/>
          <w:sz w:val="20"/>
          <w:szCs w:val="20"/>
          <w:lang w:val="es-ES" w:eastAsia="en-US"/>
        </w:rPr>
      </w:pPr>
      <w:r>
        <w:rPr>
          <w:rFonts w:eastAsia="Arial Unicode MS" w:cs="Times New Roman"/>
          <w:color w:val="auto"/>
          <w:sz w:val="20"/>
          <w:szCs w:val="20"/>
          <w:lang w:val="es-ES" w:eastAsia="en-US"/>
        </w:rPr>
        <w:t>Declarar inadmisible la presente petición en rela</w:t>
      </w:r>
      <w:r w:rsidR="00D11D1F">
        <w:rPr>
          <w:rFonts w:eastAsia="Arial Unicode MS" w:cs="Times New Roman"/>
          <w:color w:val="auto"/>
          <w:sz w:val="20"/>
          <w:szCs w:val="20"/>
          <w:lang w:val="es-ES" w:eastAsia="en-US"/>
        </w:rPr>
        <w:t>ción con los artículos 5</w:t>
      </w:r>
      <w:r w:rsidR="00D11D1F" w:rsidRPr="0027198B">
        <w:rPr>
          <w:rFonts w:eastAsia="Arial Unicode MS" w:cs="Times New Roman"/>
          <w:color w:val="auto"/>
          <w:sz w:val="20"/>
          <w:szCs w:val="20"/>
          <w:lang w:val="es-ES" w:eastAsia="en-US"/>
        </w:rPr>
        <w:t xml:space="preserve">, </w:t>
      </w:r>
      <w:r w:rsidR="00422DC8" w:rsidRPr="0027198B">
        <w:rPr>
          <w:rFonts w:eastAsia="Arial Unicode MS" w:cs="Times New Roman"/>
          <w:color w:val="auto"/>
          <w:sz w:val="20"/>
          <w:szCs w:val="20"/>
          <w:lang w:val="es-ES" w:eastAsia="en-US"/>
        </w:rPr>
        <w:t xml:space="preserve">9, </w:t>
      </w:r>
      <w:r w:rsidR="00D11D1F">
        <w:rPr>
          <w:rFonts w:eastAsia="Arial Unicode MS" w:cs="Times New Roman"/>
          <w:color w:val="auto"/>
          <w:sz w:val="20"/>
          <w:szCs w:val="20"/>
          <w:lang w:val="es-ES" w:eastAsia="en-US"/>
        </w:rPr>
        <w:t>10</w:t>
      </w:r>
      <w:r>
        <w:rPr>
          <w:rFonts w:eastAsia="Arial Unicode MS" w:cs="Times New Roman"/>
          <w:color w:val="auto"/>
          <w:sz w:val="20"/>
          <w:szCs w:val="20"/>
          <w:lang w:val="es-ES" w:eastAsia="en-US"/>
        </w:rPr>
        <w:t xml:space="preserve"> y 17 de la Convención Americana. </w:t>
      </w:r>
    </w:p>
    <w:p w:rsidR="000419AD" w:rsidRPr="000419AD" w:rsidRDefault="000419AD" w:rsidP="000419AD">
      <w:pPr>
        <w:pStyle w:val="ListParagraph"/>
        <w:rPr>
          <w:rFonts w:eastAsia="Arial Unicode MS" w:cs="Times New Roman"/>
          <w:color w:val="auto"/>
          <w:sz w:val="20"/>
          <w:szCs w:val="20"/>
          <w:lang w:val="es-ES" w:eastAsia="en-US"/>
        </w:rPr>
      </w:pP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 xml:space="preserve">Notificar a </w:t>
      </w:r>
      <w:r w:rsidR="00B65410">
        <w:rPr>
          <w:rFonts w:asciiTheme="majorHAnsi" w:hAnsiTheme="majorHAnsi"/>
          <w:sz w:val="20"/>
          <w:szCs w:val="20"/>
          <w:lang w:val="es-ES"/>
        </w:rPr>
        <w:t>las partes la presente decisión</w:t>
      </w:r>
      <w:r w:rsidRPr="009B7794">
        <w:rPr>
          <w:rFonts w:asciiTheme="majorHAnsi" w:hAnsiTheme="majorHAnsi"/>
          <w:sz w:val="20"/>
          <w:szCs w:val="20"/>
          <w:lang w:val="es-ES"/>
        </w:rPr>
        <w:t>; y publicar esta decisión e incluirla en su Informe Anual a la Asamblea General de la Organización de los Estados Americanos.</w:t>
      </w:r>
    </w:p>
    <w:p w:rsidR="006861F3" w:rsidRDefault="006861F3" w:rsidP="006861F3">
      <w:pPr>
        <w:pStyle w:val="ListParagraph"/>
        <w:rPr>
          <w:rFonts w:asciiTheme="majorHAnsi" w:hAnsiTheme="majorHAnsi"/>
          <w:sz w:val="20"/>
          <w:szCs w:val="20"/>
          <w:lang w:val="es-ES"/>
        </w:rPr>
      </w:pPr>
    </w:p>
    <w:p w:rsidR="006861F3" w:rsidRPr="00A37B82" w:rsidRDefault="006861F3" w:rsidP="000447E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861F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FA" w:rsidRDefault="00273DFA">
      <w:r>
        <w:separator/>
      </w:r>
    </w:p>
  </w:endnote>
  <w:endnote w:type="continuationSeparator" w:id="0">
    <w:p w:rsidR="00273DFA" w:rsidRDefault="002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DF" w:rsidRDefault="00D10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101DF">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FA" w:rsidRPr="000F35ED" w:rsidRDefault="00273DF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73DFA" w:rsidRPr="000F35ED" w:rsidRDefault="00273DFA" w:rsidP="000F35ED">
      <w:pPr>
        <w:rPr>
          <w:rFonts w:asciiTheme="majorHAnsi" w:hAnsiTheme="majorHAnsi"/>
          <w:sz w:val="16"/>
          <w:szCs w:val="16"/>
        </w:rPr>
      </w:pPr>
      <w:r w:rsidRPr="000F35ED">
        <w:rPr>
          <w:rFonts w:asciiTheme="majorHAnsi" w:hAnsiTheme="majorHAnsi"/>
          <w:sz w:val="16"/>
          <w:szCs w:val="16"/>
        </w:rPr>
        <w:separator/>
      </w:r>
    </w:p>
    <w:p w:rsidR="00273DFA" w:rsidRPr="000F35ED" w:rsidRDefault="00273DF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73DFA" w:rsidRPr="000F35ED" w:rsidRDefault="00273DF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84216" w:rsidRPr="00C84216" w:rsidRDefault="00C84216" w:rsidP="00C84216">
      <w:pPr>
        <w:pStyle w:val="FootnoteText"/>
        <w:ind w:firstLine="720"/>
        <w:rPr>
          <w:rFonts w:asciiTheme="majorHAnsi" w:hAnsiTheme="majorHAnsi"/>
          <w:sz w:val="16"/>
          <w:szCs w:val="16"/>
          <w:lang w:val="es-ES"/>
        </w:rPr>
      </w:pPr>
      <w:r>
        <w:rPr>
          <w:rStyle w:val="FootnoteReference"/>
        </w:rPr>
        <w:footnoteRef/>
      </w:r>
      <w:r w:rsidRPr="00FD3787">
        <w:rPr>
          <w:lang w:val="es-US"/>
        </w:rPr>
        <w:t xml:space="preserve"> </w:t>
      </w:r>
      <w:r>
        <w:rPr>
          <w:rFonts w:asciiTheme="majorHAnsi" w:hAnsiTheme="majorHAnsi"/>
          <w:sz w:val="16"/>
          <w:szCs w:val="16"/>
          <w:lang w:val="es-ES"/>
        </w:rPr>
        <w:t xml:space="preserve">En adelante “Convención” o “Convención Americana. </w:t>
      </w:r>
    </w:p>
  </w:footnote>
  <w:footnote w:id="3">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rsidR="00CC3002" w:rsidRPr="004946FD" w:rsidRDefault="00CC3002" w:rsidP="00CC3002">
      <w:pPr>
        <w:pStyle w:val="FootnoteText"/>
        <w:ind w:firstLine="720"/>
        <w:jc w:val="both"/>
        <w:rPr>
          <w:rFonts w:asciiTheme="majorHAnsi" w:hAnsiTheme="majorHAnsi"/>
          <w:color w:val="auto"/>
          <w:sz w:val="16"/>
          <w:szCs w:val="16"/>
          <w:lang w:val="es-ES"/>
        </w:rPr>
      </w:pPr>
      <w:r w:rsidRPr="004946FD">
        <w:rPr>
          <w:rStyle w:val="FootnoteReference"/>
          <w:rFonts w:asciiTheme="majorHAnsi" w:hAnsiTheme="majorHAnsi"/>
          <w:color w:val="auto"/>
          <w:sz w:val="16"/>
          <w:szCs w:val="16"/>
          <w:lang w:val="es-ES"/>
        </w:rPr>
        <w:footnoteRef/>
      </w:r>
      <w:r w:rsidRPr="004946FD">
        <w:rPr>
          <w:rFonts w:asciiTheme="majorHAnsi" w:hAnsiTheme="majorHAnsi"/>
          <w:color w:val="auto"/>
          <w:sz w:val="16"/>
          <w:szCs w:val="16"/>
          <w:lang w:val="es-ES"/>
        </w:rPr>
        <w:t xml:space="preserve"> CIDH, Informe Nº 90/03 (Inadmisibilidad), Petición 0581/1999, Gustavo Trujillo González, Perú, 22 de octubre de 2003, párr. 32.</w:t>
      </w:r>
    </w:p>
  </w:footnote>
  <w:footnote w:id="5">
    <w:p w:rsidR="00E40C34" w:rsidRPr="00E271BA" w:rsidRDefault="00E40C34" w:rsidP="00E40C34">
      <w:pPr>
        <w:pStyle w:val="FootnoteText"/>
        <w:ind w:firstLine="720"/>
        <w:jc w:val="both"/>
        <w:rPr>
          <w:rFonts w:asciiTheme="majorHAnsi" w:hAnsiTheme="majorHAnsi"/>
          <w:sz w:val="16"/>
          <w:szCs w:val="16"/>
          <w:lang w:val="es-PA"/>
        </w:rPr>
      </w:pPr>
      <w:r>
        <w:rPr>
          <w:rStyle w:val="FootnoteReference"/>
        </w:rPr>
        <w:footnoteRef/>
      </w:r>
      <w:r w:rsidRPr="007F668C">
        <w:rPr>
          <w:rFonts w:asciiTheme="majorHAnsi" w:hAnsiTheme="majorHAnsi"/>
          <w:sz w:val="16"/>
          <w:szCs w:val="16"/>
          <w:lang w:val="es-PA"/>
        </w:rPr>
        <w:t xml:space="preserve">Corte IDH. Caso </w:t>
      </w:r>
      <w:r>
        <w:rPr>
          <w:rFonts w:asciiTheme="majorHAnsi" w:hAnsiTheme="majorHAnsi"/>
          <w:sz w:val="16"/>
          <w:szCs w:val="16"/>
          <w:lang w:val="es-PA"/>
        </w:rPr>
        <w:t>de la Masacre de las Dos Erres</w:t>
      </w:r>
      <w:r w:rsidRPr="007F668C">
        <w:rPr>
          <w:rFonts w:asciiTheme="majorHAnsi" w:hAnsiTheme="majorHAnsi"/>
          <w:sz w:val="16"/>
          <w:szCs w:val="16"/>
          <w:lang w:val="es-PA"/>
        </w:rPr>
        <w:t xml:space="preserve"> Vs. </w:t>
      </w:r>
      <w:r>
        <w:rPr>
          <w:rFonts w:asciiTheme="majorHAnsi" w:hAnsiTheme="majorHAnsi"/>
          <w:sz w:val="16"/>
          <w:szCs w:val="16"/>
          <w:lang w:val="es-PA"/>
        </w:rPr>
        <w:t>Guatemala. Excepción</w:t>
      </w:r>
      <w:r w:rsidRPr="007F668C">
        <w:rPr>
          <w:rFonts w:asciiTheme="majorHAnsi" w:hAnsiTheme="majorHAnsi"/>
          <w:sz w:val="16"/>
          <w:szCs w:val="16"/>
          <w:lang w:val="es-PA"/>
        </w:rPr>
        <w:t xml:space="preserve"> Preliminar, Fondo, Reparaciones y Costas. </w:t>
      </w:r>
      <w:r>
        <w:rPr>
          <w:rFonts w:asciiTheme="majorHAnsi" w:hAnsiTheme="majorHAnsi"/>
          <w:sz w:val="16"/>
          <w:szCs w:val="16"/>
          <w:lang w:val="es-PA"/>
        </w:rPr>
        <w:t>Sentencia de 25</w:t>
      </w:r>
      <w:r w:rsidRPr="00E271BA">
        <w:rPr>
          <w:rFonts w:asciiTheme="majorHAnsi" w:hAnsiTheme="majorHAnsi"/>
          <w:sz w:val="16"/>
          <w:szCs w:val="16"/>
          <w:lang w:val="es-PA"/>
        </w:rPr>
        <w:t xml:space="preserve"> de </w:t>
      </w:r>
      <w:r>
        <w:rPr>
          <w:rFonts w:asciiTheme="majorHAnsi" w:hAnsiTheme="majorHAnsi"/>
          <w:sz w:val="16"/>
          <w:szCs w:val="16"/>
          <w:lang w:val="es-PA"/>
        </w:rPr>
        <w:t xml:space="preserve">mayo </w:t>
      </w:r>
      <w:r w:rsidRPr="00E271BA">
        <w:rPr>
          <w:rFonts w:asciiTheme="majorHAnsi" w:hAnsiTheme="majorHAnsi"/>
          <w:sz w:val="16"/>
          <w:szCs w:val="16"/>
          <w:lang w:val="es-PA"/>
        </w:rPr>
        <w:t xml:space="preserve">de </w:t>
      </w:r>
      <w:r>
        <w:rPr>
          <w:rFonts w:asciiTheme="majorHAnsi" w:hAnsiTheme="majorHAnsi"/>
          <w:sz w:val="16"/>
          <w:szCs w:val="16"/>
          <w:lang w:val="es-PA"/>
        </w:rPr>
        <w:t>2010. Serie C No. 211</w:t>
      </w:r>
      <w:r w:rsidRPr="00E271BA">
        <w:rPr>
          <w:rFonts w:asciiTheme="majorHAnsi" w:hAnsiTheme="majorHAnsi"/>
          <w:sz w:val="16"/>
          <w:szCs w:val="16"/>
          <w:lang w:val="es-PA"/>
        </w:rPr>
        <w:t xml:space="preserve">, párr. </w:t>
      </w:r>
      <w:r>
        <w:rPr>
          <w:rFonts w:asciiTheme="majorHAnsi" w:hAnsiTheme="majorHAnsi"/>
          <w:sz w:val="16"/>
          <w:szCs w:val="16"/>
          <w:lang w:val="es-PA"/>
        </w:rPr>
        <w:t>235</w:t>
      </w:r>
      <w:r w:rsidRPr="00E271BA">
        <w:rPr>
          <w:rFonts w:asciiTheme="majorHAnsi" w:hAnsiTheme="majorHAnsi"/>
          <w:sz w:val="16"/>
          <w:szCs w:val="16"/>
          <w:lang w:val="es-PA"/>
        </w:rPr>
        <w:t>.</w:t>
      </w:r>
    </w:p>
    <w:p w:rsidR="00E40C34" w:rsidRPr="00E40C34" w:rsidRDefault="00E40C34" w:rsidP="00E40C34">
      <w:pPr>
        <w:pStyle w:val="FootnoteText"/>
        <w:ind w:firstLine="720"/>
        <w:jc w:val="both"/>
        <w:rPr>
          <w:rFonts w:asciiTheme="majorHAnsi" w:hAnsiTheme="majorHAnsi"/>
          <w:sz w:val="16"/>
          <w:szCs w:val="16"/>
          <w:lang w:val="es-PA"/>
        </w:rPr>
      </w:pPr>
    </w:p>
  </w:footnote>
  <w:footnote w:id="6">
    <w:p w:rsidR="00E502AA" w:rsidRPr="00E502AA" w:rsidRDefault="00E502AA" w:rsidP="00E502AA">
      <w:pPr>
        <w:pStyle w:val="FootnoteText"/>
        <w:ind w:firstLine="720"/>
        <w:jc w:val="both"/>
        <w:rPr>
          <w:rFonts w:asciiTheme="majorHAnsi" w:hAnsiTheme="majorHAnsi"/>
          <w:sz w:val="16"/>
          <w:szCs w:val="16"/>
          <w:lang w:val="es-PA"/>
        </w:rPr>
      </w:pPr>
      <w:r>
        <w:rPr>
          <w:rStyle w:val="FootnoteReference"/>
        </w:rPr>
        <w:footnoteRef/>
      </w:r>
      <w:r w:rsidRPr="00E502AA">
        <w:rPr>
          <w:lang w:val="es-PA"/>
        </w:rPr>
        <w:t xml:space="preserve"> </w:t>
      </w:r>
      <w:r>
        <w:rPr>
          <w:rFonts w:ascii="Cambria" w:hAnsi="Cambria"/>
          <w:sz w:val="16"/>
          <w:szCs w:val="16"/>
          <w:lang w:val="es-ES"/>
        </w:rPr>
        <w:t>CIDH, Informe No. 20/99, Caso 11.327</w:t>
      </w:r>
      <w:r w:rsidRPr="006132CC">
        <w:rPr>
          <w:rFonts w:ascii="Cambria" w:hAnsi="Cambria"/>
          <w:sz w:val="16"/>
          <w:szCs w:val="16"/>
          <w:lang w:val="es-ES"/>
        </w:rPr>
        <w:t xml:space="preserve">. </w:t>
      </w:r>
      <w:r>
        <w:rPr>
          <w:rFonts w:ascii="Cambria" w:hAnsi="Cambria"/>
          <w:sz w:val="16"/>
          <w:szCs w:val="16"/>
          <w:lang w:val="es-ES"/>
        </w:rPr>
        <w:t>Fondo</w:t>
      </w:r>
      <w:r w:rsidRPr="006132CC">
        <w:rPr>
          <w:rFonts w:ascii="Cambria" w:hAnsi="Cambria"/>
          <w:sz w:val="16"/>
          <w:szCs w:val="16"/>
          <w:lang w:val="es-ES"/>
        </w:rPr>
        <w:t xml:space="preserve">. </w:t>
      </w:r>
      <w:r>
        <w:rPr>
          <w:rFonts w:ascii="Cambria" w:hAnsi="Cambria"/>
          <w:sz w:val="16"/>
          <w:szCs w:val="16"/>
          <w:lang w:val="es-ES"/>
        </w:rPr>
        <w:t>Rodolfo Robles Espinoza e Hijos</w:t>
      </w:r>
      <w:r w:rsidRPr="006132CC">
        <w:rPr>
          <w:rFonts w:ascii="Cambria" w:hAnsi="Cambria"/>
          <w:sz w:val="16"/>
          <w:szCs w:val="16"/>
          <w:lang w:val="es-ES"/>
        </w:rPr>
        <w:t xml:space="preserve">. </w:t>
      </w:r>
      <w:r>
        <w:rPr>
          <w:rFonts w:ascii="Cambria" w:hAnsi="Cambria"/>
          <w:sz w:val="16"/>
          <w:szCs w:val="16"/>
          <w:lang w:val="es-ES"/>
        </w:rPr>
        <w:t>Perú</w:t>
      </w:r>
      <w:r w:rsidRPr="006132CC">
        <w:rPr>
          <w:rFonts w:ascii="Cambria" w:hAnsi="Cambria"/>
          <w:sz w:val="16"/>
          <w:szCs w:val="16"/>
          <w:lang w:val="es-ES"/>
        </w:rPr>
        <w:t xml:space="preserve">. </w:t>
      </w:r>
      <w:r>
        <w:rPr>
          <w:rFonts w:ascii="Cambria" w:hAnsi="Cambria"/>
          <w:sz w:val="16"/>
          <w:szCs w:val="16"/>
          <w:lang w:val="es-ES"/>
        </w:rPr>
        <w:t>23 de febrero de 1999, párr.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E3769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73DF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DF" w:rsidRDefault="00D10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1"/>
  </w:num>
  <w:num w:numId="54">
    <w:abstractNumId w:val="45"/>
  </w:num>
  <w:num w:numId="55">
    <w:abstractNumId w:val="43"/>
  </w:num>
  <w:num w:numId="56">
    <w:abstractNumId w:val="26"/>
  </w:num>
  <w:num w:numId="57">
    <w:abstractNumId w:val="24"/>
  </w:num>
  <w:num w:numId="58">
    <w:abstractNumId w:val="36"/>
  </w:num>
  <w:num w:numId="59">
    <w:abstractNumId w:val="47"/>
  </w:num>
  <w:num w:numId="6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6D51"/>
    <w:rsid w:val="0001788C"/>
    <w:rsid w:val="00021E7A"/>
    <w:rsid w:val="000276B1"/>
    <w:rsid w:val="000277A3"/>
    <w:rsid w:val="00033149"/>
    <w:rsid w:val="000337EF"/>
    <w:rsid w:val="00040C3A"/>
    <w:rsid w:val="000419AD"/>
    <w:rsid w:val="00041A9C"/>
    <w:rsid w:val="000433C9"/>
    <w:rsid w:val="000447E7"/>
    <w:rsid w:val="0004768A"/>
    <w:rsid w:val="00050F6B"/>
    <w:rsid w:val="0005476C"/>
    <w:rsid w:val="00066E07"/>
    <w:rsid w:val="00071174"/>
    <w:rsid w:val="000716C5"/>
    <w:rsid w:val="00073995"/>
    <w:rsid w:val="00075647"/>
    <w:rsid w:val="00075E23"/>
    <w:rsid w:val="00081850"/>
    <w:rsid w:val="000830D2"/>
    <w:rsid w:val="00085961"/>
    <w:rsid w:val="00090638"/>
    <w:rsid w:val="00092E17"/>
    <w:rsid w:val="0009344A"/>
    <w:rsid w:val="000A0FC6"/>
    <w:rsid w:val="000A392E"/>
    <w:rsid w:val="000A575F"/>
    <w:rsid w:val="000A7281"/>
    <w:rsid w:val="000C610F"/>
    <w:rsid w:val="000C6A11"/>
    <w:rsid w:val="000D05CB"/>
    <w:rsid w:val="000D10DB"/>
    <w:rsid w:val="000E1D01"/>
    <w:rsid w:val="000E49AC"/>
    <w:rsid w:val="000E5EB5"/>
    <w:rsid w:val="000F35ED"/>
    <w:rsid w:val="000F4638"/>
    <w:rsid w:val="00107131"/>
    <w:rsid w:val="0010736F"/>
    <w:rsid w:val="00113F73"/>
    <w:rsid w:val="00115C65"/>
    <w:rsid w:val="00121CC2"/>
    <w:rsid w:val="001260AC"/>
    <w:rsid w:val="00131425"/>
    <w:rsid w:val="00133EE5"/>
    <w:rsid w:val="00135B44"/>
    <w:rsid w:val="00143C64"/>
    <w:rsid w:val="0014461E"/>
    <w:rsid w:val="00157428"/>
    <w:rsid w:val="00161A92"/>
    <w:rsid w:val="00167A34"/>
    <w:rsid w:val="001947D9"/>
    <w:rsid w:val="00197050"/>
    <w:rsid w:val="001A520D"/>
    <w:rsid w:val="001A7870"/>
    <w:rsid w:val="001B3A00"/>
    <w:rsid w:val="001C1B41"/>
    <w:rsid w:val="001D65EF"/>
    <w:rsid w:val="001D7813"/>
    <w:rsid w:val="001E072D"/>
    <w:rsid w:val="001E49E7"/>
    <w:rsid w:val="001F7201"/>
    <w:rsid w:val="00211844"/>
    <w:rsid w:val="00212473"/>
    <w:rsid w:val="0021585C"/>
    <w:rsid w:val="00216D67"/>
    <w:rsid w:val="00223A29"/>
    <w:rsid w:val="002250A3"/>
    <w:rsid w:val="00235217"/>
    <w:rsid w:val="00246D1F"/>
    <w:rsid w:val="00247403"/>
    <w:rsid w:val="00247542"/>
    <w:rsid w:val="0025153E"/>
    <w:rsid w:val="00252741"/>
    <w:rsid w:val="00265BEF"/>
    <w:rsid w:val="00266B61"/>
    <w:rsid w:val="0026712A"/>
    <w:rsid w:val="002704DB"/>
    <w:rsid w:val="0027198B"/>
    <w:rsid w:val="00273DFA"/>
    <w:rsid w:val="00295729"/>
    <w:rsid w:val="002A0AAE"/>
    <w:rsid w:val="002A5820"/>
    <w:rsid w:val="002B0C90"/>
    <w:rsid w:val="002D0609"/>
    <w:rsid w:val="002D2B26"/>
    <w:rsid w:val="002D7EA2"/>
    <w:rsid w:val="002E187C"/>
    <w:rsid w:val="002F1186"/>
    <w:rsid w:val="002F22FE"/>
    <w:rsid w:val="00302733"/>
    <w:rsid w:val="00305835"/>
    <w:rsid w:val="00306027"/>
    <w:rsid w:val="00306F33"/>
    <w:rsid w:val="00311532"/>
    <w:rsid w:val="00314078"/>
    <w:rsid w:val="0031535D"/>
    <w:rsid w:val="003239B8"/>
    <w:rsid w:val="0033168D"/>
    <w:rsid w:val="0033169F"/>
    <w:rsid w:val="003373BA"/>
    <w:rsid w:val="00341C16"/>
    <w:rsid w:val="00344977"/>
    <w:rsid w:val="00346C95"/>
    <w:rsid w:val="00356185"/>
    <w:rsid w:val="00360380"/>
    <w:rsid w:val="00363095"/>
    <w:rsid w:val="0037519E"/>
    <w:rsid w:val="00386CF0"/>
    <w:rsid w:val="00394537"/>
    <w:rsid w:val="003A76F0"/>
    <w:rsid w:val="003B70FB"/>
    <w:rsid w:val="003C5E76"/>
    <w:rsid w:val="003C676B"/>
    <w:rsid w:val="003C6802"/>
    <w:rsid w:val="003D3BC2"/>
    <w:rsid w:val="003E0597"/>
    <w:rsid w:val="003E24AB"/>
    <w:rsid w:val="003E2C8D"/>
    <w:rsid w:val="003E6CA1"/>
    <w:rsid w:val="003F5154"/>
    <w:rsid w:val="004010F5"/>
    <w:rsid w:val="00405F9C"/>
    <w:rsid w:val="004065A8"/>
    <w:rsid w:val="004165C2"/>
    <w:rsid w:val="004170B2"/>
    <w:rsid w:val="00422DC8"/>
    <w:rsid w:val="00426F80"/>
    <w:rsid w:val="004339B1"/>
    <w:rsid w:val="00437773"/>
    <w:rsid w:val="00441DC9"/>
    <w:rsid w:val="00441ECB"/>
    <w:rsid w:val="00445193"/>
    <w:rsid w:val="004538D3"/>
    <w:rsid w:val="004550C0"/>
    <w:rsid w:val="00457541"/>
    <w:rsid w:val="00462C1B"/>
    <w:rsid w:val="004668D0"/>
    <w:rsid w:val="00467B7E"/>
    <w:rsid w:val="00472147"/>
    <w:rsid w:val="00473BB4"/>
    <w:rsid w:val="00477592"/>
    <w:rsid w:val="00486F1C"/>
    <w:rsid w:val="0049419D"/>
    <w:rsid w:val="004A6A54"/>
    <w:rsid w:val="004B421C"/>
    <w:rsid w:val="004B5C60"/>
    <w:rsid w:val="004C20D2"/>
    <w:rsid w:val="004C2312"/>
    <w:rsid w:val="004C4B62"/>
    <w:rsid w:val="004C54C9"/>
    <w:rsid w:val="004D30C7"/>
    <w:rsid w:val="004D3745"/>
    <w:rsid w:val="004D4ABA"/>
    <w:rsid w:val="004D6025"/>
    <w:rsid w:val="004E2649"/>
    <w:rsid w:val="004E4BB0"/>
    <w:rsid w:val="004F149F"/>
    <w:rsid w:val="004F626F"/>
    <w:rsid w:val="00501399"/>
    <w:rsid w:val="00501F26"/>
    <w:rsid w:val="005047ED"/>
    <w:rsid w:val="0050633D"/>
    <w:rsid w:val="00506B1C"/>
    <w:rsid w:val="00507BC4"/>
    <w:rsid w:val="005128E4"/>
    <w:rsid w:val="005133DB"/>
    <w:rsid w:val="00514504"/>
    <w:rsid w:val="00521E1F"/>
    <w:rsid w:val="00523A7D"/>
    <w:rsid w:val="00524F14"/>
    <w:rsid w:val="00525560"/>
    <w:rsid w:val="005359BB"/>
    <w:rsid w:val="0054068C"/>
    <w:rsid w:val="00544C49"/>
    <w:rsid w:val="005516A1"/>
    <w:rsid w:val="00551BDE"/>
    <w:rsid w:val="005559EF"/>
    <w:rsid w:val="00563557"/>
    <w:rsid w:val="0056530D"/>
    <w:rsid w:val="00566243"/>
    <w:rsid w:val="0057402A"/>
    <w:rsid w:val="00574391"/>
    <w:rsid w:val="005771D0"/>
    <w:rsid w:val="0059191A"/>
    <w:rsid w:val="005921FF"/>
    <w:rsid w:val="005A24ED"/>
    <w:rsid w:val="005A6D0E"/>
    <w:rsid w:val="005B5256"/>
    <w:rsid w:val="005B52B0"/>
    <w:rsid w:val="005B5FFE"/>
    <w:rsid w:val="005B6806"/>
    <w:rsid w:val="005C4225"/>
    <w:rsid w:val="005C6DF1"/>
    <w:rsid w:val="005E2102"/>
    <w:rsid w:val="005F0DAD"/>
    <w:rsid w:val="005F0F33"/>
    <w:rsid w:val="00600DEB"/>
    <w:rsid w:val="006058B2"/>
    <w:rsid w:val="00610DA3"/>
    <w:rsid w:val="00627C9F"/>
    <w:rsid w:val="006311E9"/>
    <w:rsid w:val="00632354"/>
    <w:rsid w:val="00635421"/>
    <w:rsid w:val="006414FC"/>
    <w:rsid w:val="00642810"/>
    <w:rsid w:val="00644BF4"/>
    <w:rsid w:val="00652333"/>
    <w:rsid w:val="00675192"/>
    <w:rsid w:val="0068009E"/>
    <w:rsid w:val="006861F3"/>
    <w:rsid w:val="00692219"/>
    <w:rsid w:val="006A17D2"/>
    <w:rsid w:val="006A4DC8"/>
    <w:rsid w:val="006A73E6"/>
    <w:rsid w:val="006B2D5C"/>
    <w:rsid w:val="006C0ECF"/>
    <w:rsid w:val="006C4EB1"/>
    <w:rsid w:val="006D0DBC"/>
    <w:rsid w:val="006D22FA"/>
    <w:rsid w:val="006E0166"/>
    <w:rsid w:val="006E2FFB"/>
    <w:rsid w:val="006E7B34"/>
    <w:rsid w:val="006F7EDA"/>
    <w:rsid w:val="0070697F"/>
    <w:rsid w:val="007103C4"/>
    <w:rsid w:val="00710C6C"/>
    <w:rsid w:val="0072199C"/>
    <w:rsid w:val="00722C9F"/>
    <w:rsid w:val="007253B8"/>
    <w:rsid w:val="007253FC"/>
    <w:rsid w:val="00727EEF"/>
    <w:rsid w:val="0073741F"/>
    <w:rsid w:val="00743011"/>
    <w:rsid w:val="00743DE3"/>
    <w:rsid w:val="00754332"/>
    <w:rsid w:val="0076643F"/>
    <w:rsid w:val="007742F4"/>
    <w:rsid w:val="00777F63"/>
    <w:rsid w:val="00791C6E"/>
    <w:rsid w:val="00792BE4"/>
    <w:rsid w:val="007A5817"/>
    <w:rsid w:val="007B05C4"/>
    <w:rsid w:val="007B35D5"/>
    <w:rsid w:val="007B60E9"/>
    <w:rsid w:val="007B6CC3"/>
    <w:rsid w:val="007B76D3"/>
    <w:rsid w:val="007C22BD"/>
    <w:rsid w:val="007C3334"/>
    <w:rsid w:val="007D2B98"/>
    <w:rsid w:val="007D4941"/>
    <w:rsid w:val="007E1CE3"/>
    <w:rsid w:val="007E21BC"/>
    <w:rsid w:val="007E3B01"/>
    <w:rsid w:val="007E7C82"/>
    <w:rsid w:val="007F2AA1"/>
    <w:rsid w:val="007F588D"/>
    <w:rsid w:val="00800EBF"/>
    <w:rsid w:val="00803AD1"/>
    <w:rsid w:val="00803F1C"/>
    <w:rsid w:val="0080600E"/>
    <w:rsid w:val="0081457B"/>
    <w:rsid w:val="00814688"/>
    <w:rsid w:val="00817612"/>
    <w:rsid w:val="008338A4"/>
    <w:rsid w:val="00834D49"/>
    <w:rsid w:val="00837C45"/>
    <w:rsid w:val="00840CA9"/>
    <w:rsid w:val="00843905"/>
    <w:rsid w:val="00844730"/>
    <w:rsid w:val="008457C2"/>
    <w:rsid w:val="00851CEE"/>
    <w:rsid w:val="00857A82"/>
    <w:rsid w:val="008647F5"/>
    <w:rsid w:val="00873836"/>
    <w:rsid w:val="00885737"/>
    <w:rsid w:val="00890650"/>
    <w:rsid w:val="008944DC"/>
    <w:rsid w:val="00897E12"/>
    <w:rsid w:val="008A680A"/>
    <w:rsid w:val="008A7E0F"/>
    <w:rsid w:val="008B12F5"/>
    <w:rsid w:val="008B28AD"/>
    <w:rsid w:val="008C5E2D"/>
    <w:rsid w:val="008D768D"/>
    <w:rsid w:val="008E25DC"/>
    <w:rsid w:val="008E3759"/>
    <w:rsid w:val="008E3BFE"/>
    <w:rsid w:val="008E651C"/>
    <w:rsid w:val="008F0842"/>
    <w:rsid w:val="008F1912"/>
    <w:rsid w:val="008F1C08"/>
    <w:rsid w:val="008F4D43"/>
    <w:rsid w:val="0090270B"/>
    <w:rsid w:val="009041DC"/>
    <w:rsid w:val="00914417"/>
    <w:rsid w:val="00917B5A"/>
    <w:rsid w:val="00920A58"/>
    <w:rsid w:val="00920A8C"/>
    <w:rsid w:val="00926320"/>
    <w:rsid w:val="009278C0"/>
    <w:rsid w:val="0093333F"/>
    <w:rsid w:val="00934A2C"/>
    <w:rsid w:val="00943776"/>
    <w:rsid w:val="009663C2"/>
    <w:rsid w:val="0096706E"/>
    <w:rsid w:val="00974491"/>
    <w:rsid w:val="00975C4E"/>
    <w:rsid w:val="00981FBA"/>
    <w:rsid w:val="00993A1D"/>
    <w:rsid w:val="00997BC5"/>
    <w:rsid w:val="00997D95"/>
    <w:rsid w:val="009A381C"/>
    <w:rsid w:val="009A4F41"/>
    <w:rsid w:val="009B1322"/>
    <w:rsid w:val="009B381B"/>
    <w:rsid w:val="009B4450"/>
    <w:rsid w:val="009D1753"/>
    <w:rsid w:val="009D7611"/>
    <w:rsid w:val="009E0B61"/>
    <w:rsid w:val="009E3C30"/>
    <w:rsid w:val="009E53DE"/>
    <w:rsid w:val="009E6EC3"/>
    <w:rsid w:val="00A06F81"/>
    <w:rsid w:val="00A11212"/>
    <w:rsid w:val="00A11E44"/>
    <w:rsid w:val="00A150BD"/>
    <w:rsid w:val="00A15B7B"/>
    <w:rsid w:val="00A213BA"/>
    <w:rsid w:val="00A265FF"/>
    <w:rsid w:val="00A30100"/>
    <w:rsid w:val="00A328B3"/>
    <w:rsid w:val="00A3762D"/>
    <w:rsid w:val="00A43AAC"/>
    <w:rsid w:val="00A50FCF"/>
    <w:rsid w:val="00A528D1"/>
    <w:rsid w:val="00A54483"/>
    <w:rsid w:val="00A610CD"/>
    <w:rsid w:val="00A758AA"/>
    <w:rsid w:val="00A913EC"/>
    <w:rsid w:val="00A91ABE"/>
    <w:rsid w:val="00A97B8C"/>
    <w:rsid w:val="00AA09A2"/>
    <w:rsid w:val="00AA187F"/>
    <w:rsid w:val="00AA7996"/>
    <w:rsid w:val="00AC19CB"/>
    <w:rsid w:val="00AC338B"/>
    <w:rsid w:val="00AC494D"/>
    <w:rsid w:val="00AE5488"/>
    <w:rsid w:val="00AE6F91"/>
    <w:rsid w:val="00AF5571"/>
    <w:rsid w:val="00B06F28"/>
    <w:rsid w:val="00B07341"/>
    <w:rsid w:val="00B15A02"/>
    <w:rsid w:val="00B30539"/>
    <w:rsid w:val="00B314DB"/>
    <w:rsid w:val="00B3550F"/>
    <w:rsid w:val="00B361F2"/>
    <w:rsid w:val="00B3718B"/>
    <w:rsid w:val="00B3745F"/>
    <w:rsid w:val="00B4632A"/>
    <w:rsid w:val="00B530F1"/>
    <w:rsid w:val="00B65410"/>
    <w:rsid w:val="00B660C9"/>
    <w:rsid w:val="00B7046E"/>
    <w:rsid w:val="00B759F0"/>
    <w:rsid w:val="00B80F2D"/>
    <w:rsid w:val="00B93D7F"/>
    <w:rsid w:val="00BA276C"/>
    <w:rsid w:val="00BA6270"/>
    <w:rsid w:val="00BB019D"/>
    <w:rsid w:val="00BB306F"/>
    <w:rsid w:val="00BB69C7"/>
    <w:rsid w:val="00BD0FF5"/>
    <w:rsid w:val="00BD4B89"/>
    <w:rsid w:val="00BD5922"/>
    <w:rsid w:val="00BE14BE"/>
    <w:rsid w:val="00BF02CB"/>
    <w:rsid w:val="00BF6FD8"/>
    <w:rsid w:val="00C02DB0"/>
    <w:rsid w:val="00C03680"/>
    <w:rsid w:val="00C0491F"/>
    <w:rsid w:val="00C054DF"/>
    <w:rsid w:val="00C0594D"/>
    <w:rsid w:val="00C07F51"/>
    <w:rsid w:val="00C21762"/>
    <w:rsid w:val="00C21A21"/>
    <w:rsid w:val="00C21FEF"/>
    <w:rsid w:val="00C23BA4"/>
    <w:rsid w:val="00C24543"/>
    <w:rsid w:val="00C256A2"/>
    <w:rsid w:val="00C25ADB"/>
    <w:rsid w:val="00C35B67"/>
    <w:rsid w:val="00C51515"/>
    <w:rsid w:val="00C5660B"/>
    <w:rsid w:val="00C56D93"/>
    <w:rsid w:val="00C60D62"/>
    <w:rsid w:val="00C61474"/>
    <w:rsid w:val="00C66B72"/>
    <w:rsid w:val="00C71063"/>
    <w:rsid w:val="00C82217"/>
    <w:rsid w:val="00C84216"/>
    <w:rsid w:val="00C87AC4"/>
    <w:rsid w:val="00C919B7"/>
    <w:rsid w:val="00C9567A"/>
    <w:rsid w:val="00C965C4"/>
    <w:rsid w:val="00CB212D"/>
    <w:rsid w:val="00CB2660"/>
    <w:rsid w:val="00CB570D"/>
    <w:rsid w:val="00CB700F"/>
    <w:rsid w:val="00CC3002"/>
    <w:rsid w:val="00CC3C07"/>
    <w:rsid w:val="00CC5E90"/>
    <w:rsid w:val="00CC6505"/>
    <w:rsid w:val="00CD046C"/>
    <w:rsid w:val="00CE076C"/>
    <w:rsid w:val="00CE5199"/>
    <w:rsid w:val="00CE66D5"/>
    <w:rsid w:val="00CF637A"/>
    <w:rsid w:val="00D05814"/>
    <w:rsid w:val="00D059DE"/>
    <w:rsid w:val="00D05ABD"/>
    <w:rsid w:val="00D101DF"/>
    <w:rsid w:val="00D11D1F"/>
    <w:rsid w:val="00D13FCE"/>
    <w:rsid w:val="00D306D1"/>
    <w:rsid w:val="00D30800"/>
    <w:rsid w:val="00D34786"/>
    <w:rsid w:val="00D37BFC"/>
    <w:rsid w:val="00D47A8E"/>
    <w:rsid w:val="00D50594"/>
    <w:rsid w:val="00D51C25"/>
    <w:rsid w:val="00D52D14"/>
    <w:rsid w:val="00D66A19"/>
    <w:rsid w:val="00D70D1B"/>
    <w:rsid w:val="00D712D3"/>
    <w:rsid w:val="00D71422"/>
    <w:rsid w:val="00D72DC6"/>
    <w:rsid w:val="00D7558D"/>
    <w:rsid w:val="00D76A8A"/>
    <w:rsid w:val="00D76C54"/>
    <w:rsid w:val="00D81D92"/>
    <w:rsid w:val="00D82C39"/>
    <w:rsid w:val="00D847DA"/>
    <w:rsid w:val="00D876F9"/>
    <w:rsid w:val="00D975DD"/>
    <w:rsid w:val="00DA3056"/>
    <w:rsid w:val="00DA7B5F"/>
    <w:rsid w:val="00DB5BA2"/>
    <w:rsid w:val="00DC03BF"/>
    <w:rsid w:val="00DC11E7"/>
    <w:rsid w:val="00DC24E3"/>
    <w:rsid w:val="00DC4C21"/>
    <w:rsid w:val="00DC7023"/>
    <w:rsid w:val="00DC769A"/>
    <w:rsid w:val="00DD3D86"/>
    <w:rsid w:val="00DD4231"/>
    <w:rsid w:val="00DD4AD2"/>
    <w:rsid w:val="00DD4C49"/>
    <w:rsid w:val="00DE2862"/>
    <w:rsid w:val="00DE42E1"/>
    <w:rsid w:val="00DE68AE"/>
    <w:rsid w:val="00DE7628"/>
    <w:rsid w:val="00DF1EC4"/>
    <w:rsid w:val="00DF78E0"/>
    <w:rsid w:val="00E0340B"/>
    <w:rsid w:val="00E04A90"/>
    <w:rsid w:val="00E0551F"/>
    <w:rsid w:val="00E219C7"/>
    <w:rsid w:val="00E34A22"/>
    <w:rsid w:val="00E3769A"/>
    <w:rsid w:val="00E40C34"/>
    <w:rsid w:val="00E4118C"/>
    <w:rsid w:val="00E43157"/>
    <w:rsid w:val="00E461CE"/>
    <w:rsid w:val="00E502AA"/>
    <w:rsid w:val="00E573E4"/>
    <w:rsid w:val="00E64C3D"/>
    <w:rsid w:val="00E71702"/>
    <w:rsid w:val="00E720CA"/>
    <w:rsid w:val="00E720DD"/>
    <w:rsid w:val="00E72206"/>
    <w:rsid w:val="00E75B7A"/>
    <w:rsid w:val="00E75BFB"/>
    <w:rsid w:val="00E807B8"/>
    <w:rsid w:val="00E84EB5"/>
    <w:rsid w:val="00E85662"/>
    <w:rsid w:val="00E8789F"/>
    <w:rsid w:val="00E9473A"/>
    <w:rsid w:val="00E97B71"/>
    <w:rsid w:val="00EA1412"/>
    <w:rsid w:val="00EA334C"/>
    <w:rsid w:val="00EA3D34"/>
    <w:rsid w:val="00EA4C97"/>
    <w:rsid w:val="00EB454D"/>
    <w:rsid w:val="00EB661F"/>
    <w:rsid w:val="00EB6F7E"/>
    <w:rsid w:val="00ED549D"/>
    <w:rsid w:val="00ED5D09"/>
    <w:rsid w:val="00ED5E10"/>
    <w:rsid w:val="00ED76BE"/>
    <w:rsid w:val="00EE00E9"/>
    <w:rsid w:val="00EE4E62"/>
    <w:rsid w:val="00EF1AAA"/>
    <w:rsid w:val="00EF619B"/>
    <w:rsid w:val="00F00B55"/>
    <w:rsid w:val="00F02AD1"/>
    <w:rsid w:val="00F100CB"/>
    <w:rsid w:val="00F15086"/>
    <w:rsid w:val="00F176E8"/>
    <w:rsid w:val="00F253CC"/>
    <w:rsid w:val="00F34C62"/>
    <w:rsid w:val="00F363A3"/>
    <w:rsid w:val="00F37106"/>
    <w:rsid w:val="00F40D7A"/>
    <w:rsid w:val="00F44E25"/>
    <w:rsid w:val="00F47D39"/>
    <w:rsid w:val="00F519CF"/>
    <w:rsid w:val="00F5222D"/>
    <w:rsid w:val="00F56BA5"/>
    <w:rsid w:val="00F60E22"/>
    <w:rsid w:val="00F81395"/>
    <w:rsid w:val="00F8189C"/>
    <w:rsid w:val="00F81BB8"/>
    <w:rsid w:val="00F81E91"/>
    <w:rsid w:val="00F90C64"/>
    <w:rsid w:val="00F917D1"/>
    <w:rsid w:val="00F93EEC"/>
    <w:rsid w:val="00F9653B"/>
    <w:rsid w:val="00FB62CF"/>
    <w:rsid w:val="00FC7F54"/>
    <w:rsid w:val="00FD3C3B"/>
    <w:rsid w:val="00FD5D0E"/>
    <w:rsid w:val="00FD5E1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2E608A"/>
    <w:rsid w:val="00394049"/>
    <w:rsid w:val="003B0C71"/>
    <w:rsid w:val="004B5BBB"/>
    <w:rsid w:val="004D57A7"/>
    <w:rsid w:val="004F2DF8"/>
    <w:rsid w:val="00504320"/>
    <w:rsid w:val="00517E2A"/>
    <w:rsid w:val="006F24A1"/>
    <w:rsid w:val="007B49D0"/>
    <w:rsid w:val="007F2882"/>
    <w:rsid w:val="00836410"/>
    <w:rsid w:val="008367C7"/>
    <w:rsid w:val="008809DF"/>
    <w:rsid w:val="008829D2"/>
    <w:rsid w:val="008B6875"/>
    <w:rsid w:val="008C1AF6"/>
    <w:rsid w:val="00920014"/>
    <w:rsid w:val="009A261B"/>
    <w:rsid w:val="00A327EC"/>
    <w:rsid w:val="00AA2E17"/>
    <w:rsid w:val="00AC15A4"/>
    <w:rsid w:val="00B0336C"/>
    <w:rsid w:val="00B057F6"/>
    <w:rsid w:val="00C048DD"/>
    <w:rsid w:val="00C17CC6"/>
    <w:rsid w:val="00C62FE9"/>
    <w:rsid w:val="00D241E9"/>
    <w:rsid w:val="00D63FB6"/>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8DBC-83C6-4972-95C8-17B4835A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13456</Characters>
  <Application>Microsoft Office Word</Application>
  <DocSecurity>0</DocSecurity>
  <Lines>244</Lines>
  <Paragraphs>67</Paragraphs>
  <ScaleCrop>false</ScaleCrop>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231/20</dc:title>
  <dc:subject/>
  <dc:creator/>
  <cp:keywords/>
  <dc:description/>
  <cp:lastModifiedBy/>
  <cp:revision>1</cp:revision>
  <dcterms:created xsi:type="dcterms:W3CDTF">2020-10-20T14:52:00Z</dcterms:created>
  <dcterms:modified xsi:type="dcterms:W3CDTF">2020-10-20T14:52:00Z</dcterms:modified>
</cp:coreProperties>
</file>