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7742A" w:rsidRPr="0090270B" w:rsidRDefault="00D4419B"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77DCEF"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742A" w:rsidRDefault="00D4419B"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0037742A">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37742A" w:rsidRDefault="00D4419B" w:rsidP="00AE5488">
                      <w:pPr>
                        <w:pBdr>
                          <w:top w:val="none" w:sz="0" w:space="0" w:color="auto"/>
                          <w:left w:val="none" w:sz="0" w:space="0" w:color="auto"/>
                          <w:bottom w:val="none" w:sz="0" w:space="0" w:color="auto"/>
                          <w:right w:val="none" w:sz="0" w:space="0" w:color="auto"/>
                          <w:bar w:val="none" w:sz="0" w:color="auto"/>
                        </w:pBdr>
                      </w:pPr>
                      <w:r>
                        <w:rPr>
                          <w:noProof/>
                          <w:lang w:val="es-US" w:eastAsia="es-US"/>
                        </w:rPr>
                        <w:drawing>
                          <wp:inline distT="0" distB="0" distL="0" distR="0">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0037742A">
                        <w:tab/>
                        <w:t xml:space="preserve">                              </w:t>
                      </w:r>
                    </w:p>
                  </w:txbxContent>
                </v:textbox>
              </v:shape>
            </w:pict>
          </mc:Fallback>
        </mc:AlternateContent>
      </w:r>
      <w:r w:rsidR="0037742A">
        <w:rPr>
          <w:rFonts w:ascii="Cambria" w:hAnsi="Cambria" w:cs="Univers"/>
          <w:b/>
          <w:bCs/>
          <w:sz w:val="22"/>
          <w:szCs w:val="22"/>
          <w:lang w:val="es-ES_tradnl"/>
        </w:rPr>
        <w:t>–</w:t>
      </w: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37742A" w:rsidRPr="0090270B" w:rsidRDefault="0037742A"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D4419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742A" w:rsidRPr="00365E52" w:rsidRDefault="0037742A"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65E52">
                              <w:rPr>
                                <w:rFonts w:ascii="Cambria" w:hAnsi="Cambria" w:cs="Arial"/>
                                <w:b/>
                                <w:bCs/>
                                <w:color w:val="0D0D0D"/>
                                <w:sz w:val="36"/>
                                <w:szCs w:val="22"/>
                                <w:lang w:val="es-ES_tradnl"/>
                              </w:rPr>
                              <w:t xml:space="preserve">INFORME </w:t>
                            </w:r>
                            <w:r w:rsidRPr="00365E52">
                              <w:rPr>
                                <w:rFonts w:ascii="Cambria" w:hAnsi="Cambria" w:cs="Arial"/>
                                <w:b/>
                                <w:bCs/>
                                <w:color w:val="0D0D0D"/>
                                <w:sz w:val="36"/>
                                <w:szCs w:val="40"/>
                                <w:lang w:val="es-ES_tradnl"/>
                              </w:rPr>
                              <w:t>No.</w:t>
                            </w:r>
                            <w:r w:rsidRPr="00365E52">
                              <w:rPr>
                                <w:rFonts w:ascii="Cambria" w:hAnsi="Cambria" w:cs="Arial"/>
                                <w:b/>
                                <w:bCs/>
                                <w:color w:val="0D0D0D"/>
                                <w:sz w:val="36"/>
                                <w:szCs w:val="22"/>
                                <w:lang w:val="es-ES_tradnl"/>
                              </w:rPr>
                              <w:t xml:space="preserve"> </w:t>
                            </w:r>
                            <w:r w:rsidR="00D84767">
                              <w:rPr>
                                <w:rFonts w:ascii="Cambria" w:hAnsi="Cambria" w:cs="Arial"/>
                                <w:b/>
                                <w:bCs/>
                                <w:color w:val="0D0D0D"/>
                                <w:sz w:val="36"/>
                                <w:szCs w:val="22"/>
                                <w:lang w:val="es-ES_tradnl"/>
                              </w:rPr>
                              <w:t>121</w:t>
                            </w:r>
                            <w:r w:rsidRPr="00365E52">
                              <w:rPr>
                                <w:rFonts w:ascii="Cambria" w:hAnsi="Cambria" w:cs="Arial"/>
                                <w:b/>
                                <w:bCs/>
                                <w:color w:val="0D0D0D"/>
                                <w:sz w:val="36"/>
                                <w:szCs w:val="22"/>
                                <w:lang w:val="es-ES_tradnl"/>
                              </w:rPr>
                              <w:t>/20</w:t>
                            </w:r>
                          </w:p>
                          <w:p w:rsidR="0037742A" w:rsidRPr="00365E52" w:rsidRDefault="0037742A"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65E52">
                              <w:rPr>
                                <w:rFonts w:ascii="Cambria" w:hAnsi="Cambria" w:cs="Arial"/>
                                <w:b/>
                                <w:color w:val="0D0D0D"/>
                                <w:sz w:val="36"/>
                                <w:szCs w:val="22"/>
                                <w:lang w:val="es-ES_tradnl"/>
                              </w:rPr>
                              <w:t>PETICIÓN 1133-11</w:t>
                            </w:r>
                          </w:p>
                          <w:p w:rsidR="0037742A" w:rsidRPr="00365E52" w:rsidRDefault="0037742A"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65E52">
                              <w:rPr>
                                <w:rFonts w:ascii="Cambria" w:hAnsi="Cambria" w:cs="Arial"/>
                                <w:color w:val="0D0D0D"/>
                                <w:szCs w:val="22"/>
                                <w:lang w:val="es-ES_tradnl"/>
                              </w:rPr>
                              <w:t xml:space="preserve">INFORME DE </w:t>
                            </w:r>
                            <w:r w:rsidRPr="0027159B">
                              <w:rPr>
                                <w:rFonts w:ascii="Cambria" w:hAnsi="Cambria" w:cs="Arial"/>
                                <w:color w:val="0D0D0D"/>
                                <w:szCs w:val="22"/>
                                <w:lang w:val="es-ES_tradnl"/>
                              </w:rPr>
                              <w:t>ADMISIBILIDAD</w:t>
                            </w:r>
                          </w:p>
                          <w:p w:rsidR="0037742A" w:rsidRPr="00365E52" w:rsidRDefault="0037742A"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rsidR="0037742A" w:rsidRPr="00365E52" w:rsidRDefault="0037742A"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lang w:val="es-ES_tradnl"/>
                              </w:rPr>
                            </w:pPr>
                            <w:r w:rsidRPr="00365E52">
                              <w:rPr>
                                <w:rFonts w:ascii="Cambria" w:hAnsi="Cambria" w:cs="Arial"/>
                                <w:lang w:val="es-PA" w:eastAsia="es-ES"/>
                              </w:rPr>
                              <w:t>MARIO URIBE ESCOBAR</w:t>
                            </w:r>
                          </w:p>
                          <w:p w:rsidR="0037742A" w:rsidRPr="00365E52" w:rsidRDefault="0037742A"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65E52">
                              <w:rPr>
                                <w:rFonts w:ascii="Cambria" w:hAnsi="Cambria" w:cs="Arial"/>
                                <w:color w:val="0D0D0D"/>
                                <w:szCs w:val="22"/>
                                <w:lang w:val="es-ES_tradnl"/>
                              </w:rPr>
                              <w:t>COLOMBIA</w:t>
                            </w:r>
                          </w:p>
                          <w:p w:rsidR="0037742A" w:rsidRPr="00365E52" w:rsidRDefault="0037742A"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37742A" w:rsidRPr="00365E52" w:rsidRDefault="0037742A"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365E52">
                        <w:rPr>
                          <w:rFonts w:ascii="Cambria" w:hAnsi="Cambria" w:cs="Arial"/>
                          <w:b/>
                          <w:bCs/>
                          <w:color w:val="0D0D0D"/>
                          <w:sz w:val="36"/>
                          <w:szCs w:val="22"/>
                          <w:lang w:val="es-ES_tradnl"/>
                        </w:rPr>
                        <w:t xml:space="preserve">INFORME </w:t>
                      </w:r>
                      <w:r w:rsidRPr="00365E52">
                        <w:rPr>
                          <w:rFonts w:ascii="Cambria" w:hAnsi="Cambria" w:cs="Arial"/>
                          <w:b/>
                          <w:bCs/>
                          <w:color w:val="0D0D0D"/>
                          <w:sz w:val="36"/>
                          <w:szCs w:val="40"/>
                          <w:lang w:val="es-ES_tradnl"/>
                        </w:rPr>
                        <w:t>No.</w:t>
                      </w:r>
                      <w:r w:rsidRPr="00365E52">
                        <w:rPr>
                          <w:rFonts w:ascii="Cambria" w:hAnsi="Cambria" w:cs="Arial"/>
                          <w:b/>
                          <w:bCs/>
                          <w:color w:val="0D0D0D"/>
                          <w:sz w:val="36"/>
                          <w:szCs w:val="22"/>
                          <w:lang w:val="es-ES_tradnl"/>
                        </w:rPr>
                        <w:t xml:space="preserve"> </w:t>
                      </w:r>
                      <w:r w:rsidR="00D84767">
                        <w:rPr>
                          <w:rFonts w:ascii="Cambria" w:hAnsi="Cambria" w:cs="Arial"/>
                          <w:b/>
                          <w:bCs/>
                          <w:color w:val="0D0D0D"/>
                          <w:sz w:val="36"/>
                          <w:szCs w:val="22"/>
                          <w:lang w:val="es-ES_tradnl"/>
                        </w:rPr>
                        <w:t>121</w:t>
                      </w:r>
                      <w:r w:rsidRPr="00365E52">
                        <w:rPr>
                          <w:rFonts w:ascii="Cambria" w:hAnsi="Cambria" w:cs="Arial"/>
                          <w:b/>
                          <w:bCs/>
                          <w:color w:val="0D0D0D"/>
                          <w:sz w:val="36"/>
                          <w:szCs w:val="22"/>
                          <w:lang w:val="es-ES_tradnl"/>
                        </w:rPr>
                        <w:t>/20</w:t>
                      </w:r>
                    </w:p>
                    <w:p w:rsidR="0037742A" w:rsidRPr="00365E52" w:rsidRDefault="0037742A"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365E52">
                        <w:rPr>
                          <w:rFonts w:ascii="Cambria" w:hAnsi="Cambria" w:cs="Arial"/>
                          <w:b/>
                          <w:color w:val="0D0D0D"/>
                          <w:sz w:val="36"/>
                          <w:szCs w:val="22"/>
                          <w:lang w:val="es-ES_tradnl"/>
                        </w:rPr>
                        <w:t>PETICIÓN 1133-11</w:t>
                      </w:r>
                    </w:p>
                    <w:p w:rsidR="0037742A" w:rsidRPr="00365E52" w:rsidRDefault="0037742A"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365E52">
                        <w:rPr>
                          <w:rFonts w:ascii="Cambria" w:hAnsi="Cambria" w:cs="Arial"/>
                          <w:color w:val="0D0D0D"/>
                          <w:szCs w:val="22"/>
                          <w:lang w:val="es-ES_tradnl"/>
                        </w:rPr>
                        <w:t xml:space="preserve">INFORME DE </w:t>
                      </w:r>
                      <w:r w:rsidRPr="0027159B">
                        <w:rPr>
                          <w:rFonts w:ascii="Cambria" w:hAnsi="Cambria" w:cs="Arial"/>
                          <w:color w:val="0D0D0D"/>
                          <w:szCs w:val="22"/>
                          <w:lang w:val="es-ES_tradnl"/>
                        </w:rPr>
                        <w:t>ADMISIBILIDAD</w:t>
                      </w:r>
                    </w:p>
                    <w:p w:rsidR="0037742A" w:rsidRPr="00365E52" w:rsidRDefault="0037742A"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bookmarkEnd w:id="1"/>
                    <w:p w:rsidR="0037742A" w:rsidRPr="00365E52" w:rsidRDefault="0037742A"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lang w:val="es-ES_tradnl"/>
                        </w:rPr>
                      </w:pPr>
                      <w:r w:rsidRPr="00365E52">
                        <w:rPr>
                          <w:rFonts w:ascii="Cambria" w:hAnsi="Cambria" w:cs="Arial"/>
                          <w:lang w:val="es-PA" w:eastAsia="es-ES"/>
                        </w:rPr>
                        <w:t>MARIO URIBE ESCOBAR</w:t>
                      </w:r>
                    </w:p>
                    <w:p w:rsidR="0037742A" w:rsidRPr="00365E52" w:rsidRDefault="0037742A"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365E52">
                        <w:rPr>
                          <w:rFonts w:ascii="Cambria" w:hAnsi="Cambria" w:cs="Arial"/>
                          <w:color w:val="0D0D0D"/>
                          <w:szCs w:val="22"/>
                          <w:lang w:val="es-ES_tradnl"/>
                        </w:rPr>
                        <w:t>COLOMBIA</w:t>
                      </w:r>
                    </w:p>
                    <w:p w:rsidR="0037742A" w:rsidRPr="00365E52" w:rsidRDefault="0037742A"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742A" w:rsidRPr="00365E52" w:rsidRDefault="0037742A"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65E52">
                              <w:rPr>
                                <w:rFonts w:ascii="Calibri" w:hAnsi="Calibri"/>
                                <w:color w:val="FFFFFF"/>
                                <w:sz w:val="22"/>
                                <w:lang w:val="pt-BR"/>
                              </w:rPr>
                              <w:t>OEA/Ser.L/V/II.</w:t>
                            </w:r>
                          </w:p>
                          <w:p w:rsidR="0037742A" w:rsidRPr="00365E52" w:rsidRDefault="0037742A"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65E52">
                              <w:rPr>
                                <w:rFonts w:ascii="Calibri" w:hAnsi="Calibri"/>
                                <w:color w:val="FFFFFF"/>
                                <w:sz w:val="22"/>
                                <w:lang w:val="pt-BR"/>
                              </w:rPr>
                              <w:t xml:space="preserve">Doc. </w:t>
                            </w:r>
                            <w:r w:rsidR="00D84767">
                              <w:rPr>
                                <w:rFonts w:ascii="Calibri" w:hAnsi="Calibri"/>
                                <w:color w:val="FFFFFF"/>
                                <w:sz w:val="22"/>
                                <w:lang w:val="pt-BR"/>
                              </w:rPr>
                              <w:t>131</w:t>
                            </w:r>
                          </w:p>
                          <w:p w:rsidR="0037742A" w:rsidRPr="00365E52" w:rsidRDefault="00D8476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Pr>
                                <w:rFonts w:ascii="Calibri" w:hAnsi="Calibri"/>
                                <w:color w:val="FFFFFF"/>
                                <w:sz w:val="22"/>
                                <w:lang w:val="es-VE"/>
                              </w:rPr>
                              <w:t>27</w:t>
                            </w:r>
                            <w:r w:rsidR="0037742A" w:rsidRPr="00365E52">
                              <w:rPr>
                                <w:rFonts w:ascii="Calibri" w:hAnsi="Calibri"/>
                                <w:color w:val="FFFFFF"/>
                                <w:sz w:val="22"/>
                                <w:lang w:val="es-VE"/>
                              </w:rPr>
                              <w:t xml:space="preserve"> </w:t>
                            </w:r>
                            <w:r>
                              <w:rPr>
                                <w:rFonts w:ascii="Calibri" w:hAnsi="Calibri"/>
                                <w:color w:val="FFFFFF"/>
                                <w:sz w:val="22"/>
                                <w:lang w:val="es-VE"/>
                              </w:rPr>
                              <w:t>abril</w:t>
                            </w:r>
                            <w:r w:rsidR="0037742A" w:rsidRPr="00365E52">
                              <w:rPr>
                                <w:rFonts w:ascii="Calibri" w:hAnsi="Calibri"/>
                                <w:color w:val="FFFFFF"/>
                                <w:sz w:val="22"/>
                                <w:lang w:val="es-VE"/>
                              </w:rPr>
                              <w:t xml:space="preserve">  2020</w:t>
                            </w:r>
                          </w:p>
                          <w:p w:rsidR="0037742A" w:rsidRPr="00365E52" w:rsidRDefault="0037742A"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sidRPr="00365E52">
                              <w:rPr>
                                <w:rFonts w:ascii="Calibri" w:hAnsi="Calibri"/>
                                <w:color w:val="FFFFFF"/>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37742A" w:rsidRPr="00365E52" w:rsidRDefault="0037742A"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65E52">
                        <w:rPr>
                          <w:rFonts w:ascii="Calibri" w:hAnsi="Calibri"/>
                          <w:color w:val="FFFFFF"/>
                          <w:sz w:val="22"/>
                          <w:lang w:val="pt-BR"/>
                        </w:rPr>
                        <w:t>OEA/Ser.L/V/II.</w:t>
                      </w:r>
                    </w:p>
                    <w:p w:rsidR="0037742A" w:rsidRPr="00365E52" w:rsidRDefault="0037742A"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365E52">
                        <w:rPr>
                          <w:rFonts w:ascii="Calibri" w:hAnsi="Calibri"/>
                          <w:color w:val="FFFFFF"/>
                          <w:sz w:val="22"/>
                          <w:lang w:val="pt-BR"/>
                        </w:rPr>
                        <w:t xml:space="preserve">Doc. </w:t>
                      </w:r>
                      <w:r w:rsidR="00D84767">
                        <w:rPr>
                          <w:rFonts w:ascii="Calibri" w:hAnsi="Calibri"/>
                          <w:color w:val="FFFFFF"/>
                          <w:sz w:val="22"/>
                          <w:lang w:val="pt-BR"/>
                        </w:rPr>
                        <w:t>131</w:t>
                      </w:r>
                    </w:p>
                    <w:p w:rsidR="0037742A" w:rsidRPr="00365E52" w:rsidRDefault="00D84767"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Pr>
                          <w:rFonts w:ascii="Calibri" w:hAnsi="Calibri"/>
                          <w:color w:val="FFFFFF"/>
                          <w:sz w:val="22"/>
                          <w:lang w:val="es-VE"/>
                        </w:rPr>
                        <w:t>27</w:t>
                      </w:r>
                      <w:r w:rsidR="0037742A" w:rsidRPr="00365E52">
                        <w:rPr>
                          <w:rFonts w:ascii="Calibri" w:hAnsi="Calibri"/>
                          <w:color w:val="FFFFFF"/>
                          <w:sz w:val="22"/>
                          <w:lang w:val="es-VE"/>
                        </w:rPr>
                        <w:t xml:space="preserve"> </w:t>
                      </w:r>
                      <w:r>
                        <w:rPr>
                          <w:rFonts w:ascii="Calibri" w:hAnsi="Calibri"/>
                          <w:color w:val="FFFFFF"/>
                          <w:sz w:val="22"/>
                          <w:lang w:val="es-VE"/>
                        </w:rPr>
                        <w:t>abril</w:t>
                      </w:r>
                      <w:r w:rsidR="0037742A" w:rsidRPr="00365E52">
                        <w:rPr>
                          <w:rFonts w:ascii="Calibri" w:hAnsi="Calibri"/>
                          <w:color w:val="FFFFFF"/>
                          <w:sz w:val="22"/>
                          <w:lang w:val="es-VE"/>
                        </w:rPr>
                        <w:t xml:space="preserve">  2020</w:t>
                      </w:r>
                    </w:p>
                    <w:p w:rsidR="0037742A" w:rsidRPr="00365E52" w:rsidRDefault="0037742A"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VE"/>
                        </w:rPr>
                      </w:pPr>
                      <w:r w:rsidRPr="00365E52">
                        <w:rPr>
                          <w:rFonts w:ascii="Calibri" w:hAnsi="Calibri"/>
                          <w:color w:val="FFFFFF"/>
                          <w:sz w:val="22"/>
                          <w:lang w:val="es-VE"/>
                        </w:rPr>
                        <w:t>Original: español</w:t>
                      </w:r>
                    </w:p>
                  </w:txbxContent>
                </v:textbox>
              </v:shape>
            </w:pict>
          </mc:Fallback>
        </mc:AlternateContent>
      </w: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D4419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742A" w:rsidRPr="00365E52" w:rsidRDefault="0037742A" w:rsidP="00D84767">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r w:rsidRPr="00365E52">
                              <w:rPr>
                                <w:rFonts w:ascii="Cambria" w:hAnsi="Cambria"/>
                                <w:color w:val="0D0D0D"/>
                                <w:sz w:val="18"/>
                                <w:szCs w:val="20"/>
                                <w:lang w:val="es-ES"/>
                              </w:rPr>
                              <w:t xml:space="preserve">Aprobado </w:t>
                            </w:r>
                            <w:r w:rsidR="00D84767">
                              <w:rPr>
                                <w:rFonts w:ascii="Cambria" w:hAnsi="Cambria"/>
                                <w:color w:val="0D0D0D"/>
                                <w:sz w:val="18"/>
                                <w:szCs w:val="20"/>
                                <w:lang w:val="es-ES"/>
                              </w:rPr>
                              <w:t xml:space="preserve">electrónicamente </w:t>
                            </w:r>
                            <w:r w:rsidRPr="00365E52">
                              <w:rPr>
                                <w:rFonts w:ascii="Cambria" w:hAnsi="Cambria"/>
                                <w:color w:val="0D0D0D"/>
                                <w:sz w:val="18"/>
                                <w:szCs w:val="20"/>
                                <w:lang w:val="es-ES"/>
                              </w:rPr>
                              <w:t xml:space="preserve">por la Comisión </w:t>
                            </w:r>
                            <w:r w:rsidR="00D84767">
                              <w:rPr>
                                <w:rFonts w:ascii="Cambria" w:hAnsi="Cambria"/>
                                <w:color w:val="0D0D0D"/>
                                <w:sz w:val="18"/>
                                <w:szCs w:val="20"/>
                                <w:lang w:val="es-ES"/>
                              </w:rPr>
                              <w:t>el 27 de abril de 2020</w:t>
                            </w:r>
                            <w:r w:rsidR="008A1BEF">
                              <w:rPr>
                                <w:rFonts w:ascii="Cambria" w:hAnsi="Cambria"/>
                                <w:color w:val="0D0D0D"/>
                                <w:sz w:val="18"/>
                                <w:szCs w:val="20"/>
                                <w:lang w:val="es-ES"/>
                              </w:rPr>
                              <w:t>.</w:t>
                            </w:r>
                            <w:r w:rsidR="00D84767">
                              <w:rPr>
                                <w:rFonts w:ascii="Cambria" w:hAnsi="Cambria"/>
                                <w:color w:val="0D0D0D"/>
                                <w:sz w:val="18"/>
                                <w:szCs w:val="20"/>
                                <w:lang w:val="es-ES"/>
                              </w:rPr>
                              <w:t xml:space="preserve"> </w:t>
                            </w:r>
                          </w:p>
                          <w:p w:rsidR="0037742A" w:rsidRPr="00365E52" w:rsidRDefault="0037742A"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37742A" w:rsidRPr="00365E52" w:rsidRDefault="0037742A" w:rsidP="00D84767">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r w:rsidRPr="00365E52">
                        <w:rPr>
                          <w:rFonts w:ascii="Cambria" w:hAnsi="Cambria"/>
                          <w:color w:val="0D0D0D"/>
                          <w:sz w:val="18"/>
                          <w:szCs w:val="20"/>
                          <w:lang w:val="es-ES"/>
                        </w:rPr>
                        <w:t xml:space="preserve">Aprobado </w:t>
                      </w:r>
                      <w:r w:rsidR="00D84767">
                        <w:rPr>
                          <w:rFonts w:ascii="Cambria" w:hAnsi="Cambria"/>
                          <w:color w:val="0D0D0D"/>
                          <w:sz w:val="18"/>
                          <w:szCs w:val="20"/>
                          <w:lang w:val="es-ES"/>
                        </w:rPr>
                        <w:t xml:space="preserve">electrónicamente </w:t>
                      </w:r>
                      <w:r w:rsidRPr="00365E52">
                        <w:rPr>
                          <w:rFonts w:ascii="Cambria" w:hAnsi="Cambria"/>
                          <w:color w:val="0D0D0D"/>
                          <w:sz w:val="18"/>
                          <w:szCs w:val="20"/>
                          <w:lang w:val="es-ES"/>
                        </w:rPr>
                        <w:t xml:space="preserve">por la Comisión </w:t>
                      </w:r>
                      <w:r w:rsidR="00D84767">
                        <w:rPr>
                          <w:rFonts w:ascii="Cambria" w:hAnsi="Cambria"/>
                          <w:color w:val="0D0D0D"/>
                          <w:sz w:val="18"/>
                          <w:szCs w:val="20"/>
                          <w:lang w:val="es-ES"/>
                        </w:rPr>
                        <w:t>el 27 de abril de 2020</w:t>
                      </w:r>
                      <w:r w:rsidR="008A1BEF">
                        <w:rPr>
                          <w:rFonts w:ascii="Cambria" w:hAnsi="Cambria"/>
                          <w:color w:val="0D0D0D"/>
                          <w:sz w:val="18"/>
                          <w:szCs w:val="20"/>
                          <w:lang w:val="es-ES"/>
                        </w:rPr>
                        <w:t>.</w:t>
                      </w:r>
                      <w:r w:rsidR="00D84767">
                        <w:rPr>
                          <w:rFonts w:ascii="Cambria" w:hAnsi="Cambria"/>
                          <w:color w:val="0D0D0D"/>
                          <w:sz w:val="18"/>
                          <w:szCs w:val="20"/>
                          <w:lang w:val="es-ES"/>
                        </w:rPr>
                        <w:t xml:space="preserve"> </w:t>
                      </w:r>
                    </w:p>
                    <w:p w:rsidR="0037742A" w:rsidRPr="00365E52" w:rsidRDefault="0037742A"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Pr="0090270B" w:rsidRDefault="00D4419B"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742A" w:rsidRPr="00365E52" w:rsidRDefault="0037742A"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65E52">
                              <w:rPr>
                                <w:rFonts w:ascii="Cambria" w:hAnsi="Cambria"/>
                                <w:b/>
                                <w:color w:val="595959"/>
                                <w:sz w:val="18"/>
                                <w:szCs w:val="18"/>
                                <w:lang w:val="pt-BR"/>
                              </w:rPr>
                              <w:t>Citar como:</w:t>
                            </w:r>
                            <w:r w:rsidRPr="00365E52">
                              <w:rPr>
                                <w:rFonts w:ascii="Cambria" w:hAnsi="Cambria"/>
                                <w:color w:val="595959"/>
                                <w:sz w:val="18"/>
                                <w:szCs w:val="18"/>
                                <w:lang w:val="pt-BR"/>
                              </w:rPr>
                              <w:t xml:space="preserve"> CIDH, Informe No. </w:t>
                            </w:r>
                            <w:r w:rsidR="00D84767" w:rsidRPr="00D84767">
                              <w:rPr>
                                <w:rFonts w:ascii="Cambria" w:hAnsi="Cambria"/>
                                <w:color w:val="595959"/>
                                <w:sz w:val="18"/>
                                <w:szCs w:val="18"/>
                                <w:lang w:val="pt-BR"/>
                              </w:rPr>
                              <w:t>121</w:t>
                            </w:r>
                            <w:r w:rsidRPr="00D84767">
                              <w:rPr>
                                <w:rFonts w:ascii="Cambria" w:hAnsi="Cambria"/>
                                <w:color w:val="595959"/>
                                <w:sz w:val="18"/>
                                <w:szCs w:val="18"/>
                                <w:lang w:val="pt-BR"/>
                              </w:rPr>
                              <w:t xml:space="preserve">/20. </w:t>
                            </w:r>
                            <w:proofErr w:type="spellStart"/>
                            <w:r w:rsidRPr="00365E52">
                              <w:rPr>
                                <w:rFonts w:ascii="Cambria" w:hAnsi="Cambria"/>
                                <w:color w:val="595959"/>
                                <w:sz w:val="18"/>
                                <w:szCs w:val="18"/>
                                <w:lang w:val="es-ES_tradnl"/>
                              </w:rPr>
                              <w:t>Petici</w:t>
                            </w:r>
                            <w:r w:rsidRPr="00365E52">
                              <w:rPr>
                                <w:rFonts w:ascii="Cambria" w:hAnsi="Cambria"/>
                                <w:color w:val="595959"/>
                                <w:sz w:val="18"/>
                                <w:szCs w:val="18"/>
                                <w:lang w:val="es-ES"/>
                              </w:rPr>
                              <w:t>ón</w:t>
                            </w:r>
                            <w:proofErr w:type="spellEnd"/>
                            <w:r w:rsidRPr="00365E52">
                              <w:rPr>
                                <w:rFonts w:ascii="Cambria" w:hAnsi="Cambria"/>
                                <w:color w:val="595959"/>
                                <w:sz w:val="18"/>
                                <w:szCs w:val="18"/>
                                <w:lang w:val="es-ES"/>
                              </w:rPr>
                              <w:t xml:space="preserve"> 1133-11. </w:t>
                            </w:r>
                            <w:r w:rsidR="00D84767">
                              <w:rPr>
                                <w:rFonts w:ascii="Cambria" w:hAnsi="Cambria"/>
                                <w:color w:val="595959"/>
                                <w:sz w:val="18"/>
                                <w:szCs w:val="18"/>
                                <w:lang w:val="es-ES"/>
                              </w:rPr>
                              <w:t>A</w:t>
                            </w:r>
                            <w:proofErr w:type="spellStart"/>
                            <w:r w:rsidRPr="00365E52">
                              <w:rPr>
                                <w:rFonts w:ascii="Cambria" w:hAnsi="Cambria"/>
                                <w:color w:val="595959"/>
                                <w:sz w:val="18"/>
                                <w:szCs w:val="18"/>
                                <w:lang w:val="es-ES_tradnl"/>
                              </w:rPr>
                              <w:t>dmisibilidad</w:t>
                            </w:r>
                            <w:proofErr w:type="spellEnd"/>
                            <w:r w:rsidRPr="00365E52">
                              <w:rPr>
                                <w:rFonts w:ascii="Cambria" w:hAnsi="Cambria"/>
                                <w:color w:val="595959"/>
                                <w:sz w:val="18"/>
                                <w:szCs w:val="18"/>
                                <w:lang w:val="es-ES_tradnl"/>
                              </w:rPr>
                              <w:t xml:space="preserve">. Mario Uribe Escobar. Colombia. </w:t>
                            </w:r>
                            <w:r w:rsidR="00D84767">
                              <w:rPr>
                                <w:rFonts w:ascii="Cambria" w:hAnsi="Cambria"/>
                                <w:color w:val="595959"/>
                                <w:sz w:val="18"/>
                                <w:szCs w:val="18"/>
                                <w:lang w:val="es-ES"/>
                              </w:rPr>
                              <w:t>27 de abril de 2020</w:t>
                            </w:r>
                            <w:r w:rsidRPr="00365E52">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37742A" w:rsidRPr="00365E52" w:rsidRDefault="0037742A"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365E52">
                        <w:rPr>
                          <w:rFonts w:ascii="Cambria" w:hAnsi="Cambria"/>
                          <w:b/>
                          <w:color w:val="595959"/>
                          <w:sz w:val="18"/>
                          <w:szCs w:val="18"/>
                          <w:lang w:val="pt-BR"/>
                        </w:rPr>
                        <w:t>Citar como:</w:t>
                      </w:r>
                      <w:r w:rsidRPr="00365E52">
                        <w:rPr>
                          <w:rFonts w:ascii="Cambria" w:hAnsi="Cambria"/>
                          <w:color w:val="595959"/>
                          <w:sz w:val="18"/>
                          <w:szCs w:val="18"/>
                          <w:lang w:val="pt-BR"/>
                        </w:rPr>
                        <w:t xml:space="preserve"> CIDH, Informe No. </w:t>
                      </w:r>
                      <w:r w:rsidR="00D84767" w:rsidRPr="00D84767">
                        <w:rPr>
                          <w:rFonts w:ascii="Cambria" w:hAnsi="Cambria"/>
                          <w:color w:val="595959"/>
                          <w:sz w:val="18"/>
                          <w:szCs w:val="18"/>
                          <w:lang w:val="pt-BR"/>
                        </w:rPr>
                        <w:t>121</w:t>
                      </w:r>
                      <w:r w:rsidRPr="00D84767">
                        <w:rPr>
                          <w:rFonts w:ascii="Cambria" w:hAnsi="Cambria"/>
                          <w:color w:val="595959"/>
                          <w:sz w:val="18"/>
                          <w:szCs w:val="18"/>
                          <w:lang w:val="pt-BR"/>
                        </w:rPr>
                        <w:t xml:space="preserve">/20. </w:t>
                      </w:r>
                      <w:proofErr w:type="spellStart"/>
                      <w:r w:rsidRPr="00365E52">
                        <w:rPr>
                          <w:rFonts w:ascii="Cambria" w:hAnsi="Cambria"/>
                          <w:color w:val="595959"/>
                          <w:sz w:val="18"/>
                          <w:szCs w:val="18"/>
                          <w:lang w:val="es-ES_tradnl"/>
                        </w:rPr>
                        <w:t>Petici</w:t>
                      </w:r>
                      <w:r w:rsidRPr="00365E52">
                        <w:rPr>
                          <w:rFonts w:ascii="Cambria" w:hAnsi="Cambria"/>
                          <w:color w:val="595959"/>
                          <w:sz w:val="18"/>
                          <w:szCs w:val="18"/>
                          <w:lang w:val="es-ES"/>
                        </w:rPr>
                        <w:t>ón</w:t>
                      </w:r>
                      <w:proofErr w:type="spellEnd"/>
                      <w:r w:rsidRPr="00365E52">
                        <w:rPr>
                          <w:rFonts w:ascii="Cambria" w:hAnsi="Cambria"/>
                          <w:color w:val="595959"/>
                          <w:sz w:val="18"/>
                          <w:szCs w:val="18"/>
                          <w:lang w:val="es-ES"/>
                        </w:rPr>
                        <w:t xml:space="preserve"> 1133-11. </w:t>
                      </w:r>
                      <w:r w:rsidR="00D84767">
                        <w:rPr>
                          <w:rFonts w:ascii="Cambria" w:hAnsi="Cambria"/>
                          <w:color w:val="595959"/>
                          <w:sz w:val="18"/>
                          <w:szCs w:val="18"/>
                          <w:lang w:val="es-ES"/>
                        </w:rPr>
                        <w:t>A</w:t>
                      </w:r>
                      <w:proofErr w:type="spellStart"/>
                      <w:r w:rsidRPr="00365E52">
                        <w:rPr>
                          <w:rFonts w:ascii="Cambria" w:hAnsi="Cambria"/>
                          <w:color w:val="595959"/>
                          <w:sz w:val="18"/>
                          <w:szCs w:val="18"/>
                          <w:lang w:val="es-ES_tradnl"/>
                        </w:rPr>
                        <w:t>dmisibilidad</w:t>
                      </w:r>
                      <w:proofErr w:type="spellEnd"/>
                      <w:r w:rsidRPr="00365E52">
                        <w:rPr>
                          <w:rFonts w:ascii="Cambria" w:hAnsi="Cambria"/>
                          <w:color w:val="595959"/>
                          <w:sz w:val="18"/>
                          <w:szCs w:val="18"/>
                          <w:lang w:val="es-ES_tradnl"/>
                        </w:rPr>
                        <w:t xml:space="preserve">. Mario Uribe Escobar. Colombia. </w:t>
                      </w:r>
                      <w:r w:rsidR="00D84767">
                        <w:rPr>
                          <w:rFonts w:ascii="Cambria" w:hAnsi="Cambria"/>
                          <w:color w:val="595959"/>
                          <w:sz w:val="18"/>
                          <w:szCs w:val="18"/>
                          <w:lang w:val="es-ES"/>
                        </w:rPr>
                        <w:t>27 de abril de 2020</w:t>
                      </w:r>
                      <w:r w:rsidRPr="00365E52">
                        <w:rPr>
                          <w:rFonts w:ascii="Cambria" w:hAnsi="Cambria"/>
                          <w:color w:val="595959"/>
                          <w:sz w:val="18"/>
                          <w:szCs w:val="18"/>
                          <w:lang w:val="es-ES"/>
                        </w:rPr>
                        <w:t>.</w:t>
                      </w:r>
                    </w:p>
                  </w:txbxContent>
                </v:textbox>
              </v:shape>
            </w:pict>
          </mc:Fallback>
        </mc:AlternateContent>
      </w:r>
    </w:p>
    <w:p w:rsidR="0037742A" w:rsidRPr="0090270B" w:rsidRDefault="0037742A"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37742A" w:rsidRDefault="00D4419B"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7742A" w:rsidRPr="00365E52" w:rsidRDefault="008A1BEF"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49120" cy="475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49120" cy="4756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37742A" w:rsidRPr="00365E52" w:rsidRDefault="008A1BEF"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49120" cy="475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49120" cy="47561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742A" w:rsidRPr="00365E52" w:rsidRDefault="0037742A"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365E52">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37742A" w:rsidRPr="00365E52" w:rsidRDefault="0037742A"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365E52">
                        <w:rPr>
                          <w:rFonts w:ascii="Calibri" w:hAnsi="Calibri"/>
                          <w:b/>
                          <w:color w:val="FFFFFF"/>
                          <w:lang w:val="pt-BR"/>
                        </w:rPr>
                        <w:t>www.cidh.org</w:t>
                      </w:r>
                    </w:p>
                  </w:txbxContent>
                </v:textbox>
              </v:shape>
            </w:pict>
          </mc:Fallback>
        </mc:AlternateContent>
      </w:r>
    </w:p>
    <w:p w:rsidR="0037742A" w:rsidRDefault="0037742A"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sectPr w:rsidR="0037742A"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r>
        <w:rPr>
          <w:rFonts w:ascii="Cambria" w:hAnsi="Cambria"/>
          <w:b/>
          <w:sz w:val="20"/>
          <w:lang w:val="es-ES_tradnl"/>
        </w:rPr>
        <w:tab/>
      </w:r>
    </w:p>
    <w:p w:rsidR="0037742A" w:rsidRPr="000419AD" w:rsidRDefault="0037742A" w:rsidP="004A6A54">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0419AD">
        <w:rPr>
          <w:rFonts w:ascii="Cambria" w:hAnsi="Cambria"/>
          <w:b/>
          <w:bCs/>
          <w:sz w:val="20"/>
          <w:szCs w:val="20"/>
          <w:lang w:val="es-ES"/>
        </w:rPr>
        <w:lastRenderedPageBreak/>
        <w:t>I.</w:t>
      </w:r>
      <w:r w:rsidRPr="000419AD">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37742A" w:rsidTr="00365E52">
        <w:tc>
          <w:tcPr>
            <w:tcW w:w="3600" w:type="dxa"/>
            <w:tcBorders>
              <w:top w:val="single" w:sz="4" w:space="0" w:color="auto"/>
            </w:tcBorders>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65E52">
              <w:rPr>
                <w:rFonts w:ascii="Cambria" w:hAnsi="Cambria"/>
                <w:b/>
                <w:bCs/>
                <w:color w:val="FFFFFF"/>
                <w:sz w:val="20"/>
                <w:szCs w:val="20"/>
              </w:rPr>
              <w:t xml:space="preserve">Parte </w:t>
            </w:r>
            <w:proofErr w:type="spellStart"/>
            <w:r w:rsidRPr="00365E52">
              <w:rPr>
                <w:rFonts w:ascii="Cambria" w:hAnsi="Cambria"/>
                <w:b/>
                <w:bCs/>
                <w:color w:val="FFFFFF"/>
                <w:sz w:val="20"/>
                <w:szCs w:val="20"/>
              </w:rPr>
              <w:t>peticionaria</w:t>
            </w:r>
            <w:proofErr w:type="spellEnd"/>
            <w:r w:rsidRPr="00365E52">
              <w:rPr>
                <w:rFonts w:ascii="Cambria" w:hAnsi="Cambria"/>
                <w:b/>
                <w:bCs/>
                <w:color w:val="FFFFFF"/>
                <w:sz w:val="20"/>
                <w:szCs w:val="20"/>
              </w:rPr>
              <w:t>:</w:t>
            </w:r>
          </w:p>
        </w:tc>
        <w:tc>
          <w:tcPr>
            <w:tcW w:w="5760" w:type="dxa"/>
            <w:tcBorders>
              <w:top w:val="single" w:sz="4" w:space="0" w:color="auto"/>
            </w:tcBorders>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65E52">
              <w:rPr>
                <w:rFonts w:ascii="Cambria" w:hAnsi="Cambria"/>
                <w:bCs/>
                <w:sz w:val="20"/>
                <w:szCs w:val="20"/>
              </w:rPr>
              <w:t xml:space="preserve">Ricardo Cifuentes </w:t>
            </w:r>
            <w:smartTag w:uri="urn:schemas-microsoft-com:office:smarttags" w:element="City">
              <w:smartTag w:uri="urn:schemas-microsoft-com:office:smarttags" w:element="place">
                <w:r w:rsidRPr="00365E52">
                  <w:rPr>
                    <w:rFonts w:ascii="Cambria" w:hAnsi="Cambria"/>
                    <w:bCs/>
                    <w:sz w:val="20"/>
                    <w:szCs w:val="20"/>
                  </w:rPr>
                  <w:t>Salamanca</w:t>
                </w:r>
              </w:smartTag>
            </w:smartTag>
          </w:p>
        </w:tc>
      </w:tr>
      <w:tr w:rsidR="0037742A" w:rsidRPr="001E49E7" w:rsidTr="00365E52">
        <w:tc>
          <w:tcPr>
            <w:tcW w:w="3600" w:type="dxa"/>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365E52">
              <w:rPr>
                <w:rFonts w:ascii="Cambria" w:hAnsi="Cambria"/>
                <w:b/>
                <w:bCs/>
                <w:color w:val="FFFFFF"/>
                <w:sz w:val="20"/>
                <w:szCs w:val="20"/>
              </w:rPr>
              <w:t>Presunta</w:t>
            </w:r>
            <w:proofErr w:type="spellEnd"/>
            <w:r w:rsidRPr="00365E52">
              <w:rPr>
                <w:rFonts w:ascii="Cambria" w:hAnsi="Cambria"/>
                <w:b/>
                <w:bCs/>
                <w:color w:val="FFFFFF"/>
                <w:sz w:val="20"/>
                <w:szCs w:val="20"/>
              </w:rPr>
              <w:t xml:space="preserve"> </w:t>
            </w:r>
            <w:proofErr w:type="spellStart"/>
            <w:r w:rsidRPr="00365E52">
              <w:rPr>
                <w:rFonts w:ascii="Cambria" w:hAnsi="Cambria"/>
                <w:b/>
                <w:bCs/>
                <w:color w:val="FFFFFF"/>
                <w:sz w:val="20"/>
                <w:szCs w:val="20"/>
              </w:rPr>
              <w:t>víctima</w:t>
            </w:r>
            <w:proofErr w:type="spellEnd"/>
            <w:r w:rsidRPr="00365E52">
              <w:rPr>
                <w:rFonts w:ascii="Cambria" w:hAnsi="Cambria"/>
                <w:b/>
                <w:bCs/>
                <w:color w:val="FFFFFF"/>
                <w:sz w:val="20"/>
                <w:szCs w:val="20"/>
              </w:rPr>
              <w:t>:</w:t>
            </w:r>
          </w:p>
        </w:tc>
        <w:tc>
          <w:tcPr>
            <w:tcW w:w="5760" w:type="dxa"/>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65E52">
              <w:rPr>
                <w:rFonts w:ascii="Cambria" w:hAnsi="Cambria"/>
                <w:bCs/>
                <w:sz w:val="20"/>
                <w:szCs w:val="20"/>
              </w:rPr>
              <w:t>Mario Uribe Escobar</w:t>
            </w:r>
          </w:p>
        </w:tc>
      </w:tr>
      <w:tr w:rsidR="0037742A" w:rsidTr="00365E52">
        <w:tc>
          <w:tcPr>
            <w:tcW w:w="3600" w:type="dxa"/>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65E52">
              <w:rPr>
                <w:rFonts w:ascii="Cambria" w:hAnsi="Cambria"/>
                <w:b/>
                <w:bCs/>
                <w:color w:val="FFFFFF"/>
                <w:sz w:val="20"/>
                <w:szCs w:val="20"/>
              </w:rPr>
              <w:t xml:space="preserve">Estado </w:t>
            </w:r>
            <w:proofErr w:type="spellStart"/>
            <w:r w:rsidRPr="00365E52">
              <w:rPr>
                <w:rFonts w:ascii="Cambria" w:hAnsi="Cambria"/>
                <w:b/>
                <w:bCs/>
                <w:color w:val="FFFFFF"/>
                <w:sz w:val="20"/>
                <w:szCs w:val="20"/>
              </w:rPr>
              <w:t>denunciado</w:t>
            </w:r>
            <w:proofErr w:type="spellEnd"/>
            <w:r w:rsidRPr="00365E52">
              <w:rPr>
                <w:rFonts w:ascii="Cambria" w:hAnsi="Cambria"/>
                <w:b/>
                <w:bCs/>
                <w:color w:val="FFFFFF"/>
                <w:sz w:val="20"/>
                <w:szCs w:val="20"/>
              </w:rPr>
              <w:t>:</w:t>
            </w:r>
          </w:p>
        </w:tc>
        <w:tc>
          <w:tcPr>
            <w:tcW w:w="5760" w:type="dxa"/>
            <w:vAlign w:val="center"/>
          </w:tcPr>
          <w:p w:rsidR="0037742A" w:rsidRPr="00365E52" w:rsidRDefault="0037742A" w:rsidP="00BE2291">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r w:rsidRPr="00365E52">
              <w:rPr>
                <w:rFonts w:ascii="Cambria" w:hAnsi="Cambria"/>
                <w:bCs/>
                <w:sz w:val="20"/>
                <w:szCs w:val="20"/>
              </w:rPr>
              <w:t>Colombia</w:t>
            </w:r>
          </w:p>
        </w:tc>
      </w:tr>
      <w:tr w:rsidR="0037742A" w:rsidRPr="008A1BEF" w:rsidTr="00365E52">
        <w:tc>
          <w:tcPr>
            <w:tcW w:w="3600" w:type="dxa"/>
            <w:tcBorders>
              <w:bottom w:val="single" w:sz="4" w:space="0" w:color="auto"/>
            </w:tcBorders>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365E52">
              <w:rPr>
                <w:rFonts w:ascii="Cambria" w:hAnsi="Cambria"/>
                <w:b/>
                <w:bCs/>
                <w:color w:val="FFFFFF"/>
                <w:sz w:val="20"/>
                <w:szCs w:val="20"/>
              </w:rPr>
              <w:t xml:space="preserve">Derechos </w:t>
            </w:r>
            <w:proofErr w:type="spellStart"/>
            <w:r w:rsidRPr="00365E52">
              <w:rPr>
                <w:rFonts w:ascii="Cambria" w:hAnsi="Cambria"/>
                <w:b/>
                <w:bCs/>
                <w:color w:val="FFFFFF"/>
                <w:sz w:val="20"/>
                <w:szCs w:val="20"/>
              </w:rPr>
              <w:t>invocados</w:t>
            </w:r>
            <w:proofErr w:type="spellEnd"/>
            <w:r w:rsidRPr="00365E52">
              <w:rPr>
                <w:rFonts w:ascii="Cambria" w:hAnsi="Cambria"/>
                <w:b/>
                <w:bCs/>
                <w:color w:val="FFFFFF"/>
                <w:sz w:val="20"/>
                <w:szCs w:val="20"/>
              </w:rPr>
              <w:t>:</w:t>
            </w:r>
          </w:p>
        </w:tc>
        <w:tc>
          <w:tcPr>
            <w:tcW w:w="5760" w:type="dxa"/>
            <w:tcBorders>
              <w:bottom w:val="single" w:sz="4" w:space="0" w:color="auto"/>
            </w:tcBorders>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ambria" w:hAnsi="Cambria" w:cs="Cambria"/>
                <w:sz w:val="20"/>
                <w:szCs w:val="20"/>
                <w:lang w:val="es-VE" w:eastAsia="es-ES"/>
              </w:rPr>
            </w:pPr>
            <w:proofErr w:type="spellStart"/>
            <w:r w:rsidRPr="00365E52">
              <w:rPr>
                <w:rFonts w:ascii="Cambria" w:hAnsi="Cambria"/>
                <w:bCs/>
                <w:sz w:val="20"/>
                <w:szCs w:val="20"/>
                <w:lang w:val="es-VE"/>
              </w:rPr>
              <w:t>Artίculos</w:t>
            </w:r>
            <w:proofErr w:type="spellEnd"/>
            <w:r w:rsidRPr="00365E52">
              <w:rPr>
                <w:rFonts w:ascii="Cambria" w:hAnsi="Cambria"/>
                <w:bCs/>
                <w:sz w:val="20"/>
                <w:szCs w:val="20"/>
                <w:lang w:val="es-VE"/>
              </w:rPr>
              <w:t xml:space="preserve"> </w:t>
            </w:r>
            <w:r w:rsidRPr="00365E52">
              <w:rPr>
                <w:rFonts w:ascii="Cambria" w:hAnsi="Cambria" w:cs="Arial"/>
                <w:sz w:val="20"/>
                <w:szCs w:val="20"/>
                <w:lang w:val="es-VE" w:eastAsia="es-ES"/>
              </w:rPr>
              <w:t>5 (Derecho a la integridad personal), 7 (Derecho a la libertad personal), 8 (</w:t>
            </w:r>
            <w:proofErr w:type="spellStart"/>
            <w:r w:rsidRPr="00365E52">
              <w:rPr>
                <w:rFonts w:ascii="Cambria" w:hAnsi="Cambria" w:cs="Arial"/>
                <w:sz w:val="20"/>
                <w:szCs w:val="20"/>
                <w:lang w:val="es-VE" w:eastAsia="es-ES"/>
              </w:rPr>
              <w:t>Garantias</w:t>
            </w:r>
            <w:proofErr w:type="spellEnd"/>
            <w:r w:rsidRPr="00365E52">
              <w:rPr>
                <w:rFonts w:ascii="Cambria" w:hAnsi="Cambria" w:cs="Arial"/>
                <w:sz w:val="20"/>
                <w:szCs w:val="20"/>
                <w:lang w:val="es-VE" w:eastAsia="es-ES"/>
              </w:rPr>
              <w:t xml:space="preserve"> judiciales), 9 (Principio de legalidad y de retroactividad), 21 (Derecho a la propiedad privada) 23 (derechos políticos), 24 (igualdad ante la ley) y 25 (protección judicial) </w:t>
            </w:r>
            <w:r w:rsidRPr="00365E52">
              <w:rPr>
                <w:rFonts w:ascii="Cambria" w:hAnsi="Cambria"/>
                <w:bCs/>
                <w:sz w:val="20"/>
                <w:szCs w:val="20"/>
                <w:lang w:val="es-VE"/>
              </w:rPr>
              <w:t xml:space="preserve">de la </w:t>
            </w:r>
            <w:proofErr w:type="spellStart"/>
            <w:r w:rsidRPr="00365E52">
              <w:rPr>
                <w:rFonts w:ascii="Cambria" w:hAnsi="Cambria"/>
                <w:bCs/>
                <w:sz w:val="20"/>
                <w:szCs w:val="20"/>
                <w:lang w:val="es-VE"/>
              </w:rPr>
              <w:t>Convenciόn</w:t>
            </w:r>
            <w:proofErr w:type="spellEnd"/>
            <w:r w:rsidRPr="00365E52">
              <w:rPr>
                <w:rFonts w:ascii="Cambria" w:hAnsi="Cambria"/>
                <w:bCs/>
                <w:sz w:val="20"/>
                <w:szCs w:val="20"/>
                <w:lang w:val="es-VE"/>
              </w:rPr>
              <w:t xml:space="preserve"> Americana sobre Derechos Humanos</w:t>
            </w:r>
            <w:r w:rsidRPr="00365E52">
              <w:rPr>
                <w:rStyle w:val="FootnoteReference"/>
                <w:rFonts w:ascii="Cambria" w:hAnsi="Cambria"/>
                <w:bCs/>
                <w:sz w:val="20"/>
                <w:szCs w:val="20"/>
                <w:lang w:val="es-VE"/>
              </w:rPr>
              <w:footnoteReference w:id="2"/>
            </w:r>
            <w:r w:rsidRPr="00365E52">
              <w:rPr>
                <w:rFonts w:ascii="Cambria" w:hAnsi="Cambria"/>
                <w:bCs/>
                <w:sz w:val="20"/>
                <w:szCs w:val="20"/>
                <w:lang w:val="es-VE"/>
              </w:rPr>
              <w:t>.</w:t>
            </w:r>
            <w:r w:rsidRPr="00365E52">
              <w:rPr>
                <w:rFonts w:ascii="Cambria" w:hAnsi="Cambria" w:cs="Arial"/>
                <w:sz w:val="20"/>
                <w:szCs w:val="20"/>
                <w:lang w:val="es-VE" w:eastAsia="es-ES"/>
              </w:rPr>
              <w:t xml:space="preserve">; </w:t>
            </w:r>
            <w:r w:rsidRPr="00365E52">
              <w:rPr>
                <w:rFonts w:ascii="Cambria" w:hAnsi="Cambria" w:cs="Cambria"/>
                <w:sz w:val="20"/>
                <w:szCs w:val="20"/>
                <w:lang w:val="es-VE" w:eastAsia="es-ES"/>
              </w:rPr>
              <w:t>en relación con sus artículos 1.1 (obligación de respetar los derechos) y 2 (deber de adoptar disposiciones de derecho interno)</w:t>
            </w:r>
            <w:r w:rsidRPr="00365E52">
              <w:rPr>
                <w:rFonts w:ascii="Cambria" w:hAnsi="Cambria"/>
                <w:bCs/>
                <w:sz w:val="20"/>
                <w:szCs w:val="20"/>
                <w:lang w:val="es-VE"/>
              </w:rPr>
              <w:t xml:space="preserve"> </w:t>
            </w:r>
          </w:p>
        </w:tc>
      </w:tr>
    </w:tbl>
    <w:p w:rsidR="0037742A" w:rsidRPr="00E4118C" w:rsidRDefault="0037742A"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4C2312">
        <w:rPr>
          <w:rFonts w:ascii="Cambria" w:hAnsi="Cambria"/>
          <w:b/>
          <w:bCs/>
          <w:sz w:val="20"/>
          <w:szCs w:val="20"/>
          <w:lang w:val="es-ES"/>
        </w:rPr>
        <w:t>II.</w:t>
      </w:r>
      <w:r w:rsidRPr="004C2312">
        <w:rPr>
          <w:rFonts w:ascii="Cambria" w:hAnsi="Cambria"/>
          <w:b/>
          <w:bCs/>
          <w:sz w:val="20"/>
          <w:szCs w:val="20"/>
          <w:lang w:val="es-ES"/>
        </w:rPr>
        <w:tab/>
        <w:t>TRÁMITE ANTE LA CIDH</w:t>
      </w:r>
      <w:r w:rsidRPr="008E3BFE">
        <w:rPr>
          <w:rStyle w:val="FootnoteReference"/>
          <w:rFonts w:ascii="Cambria" w:hAnsi="Cambria"/>
          <w:b/>
          <w:sz w:val="20"/>
          <w:szCs w:val="20"/>
        </w:rPr>
        <w:footnoteReference w:id="3"/>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37742A" w:rsidRPr="00AB5D04" w:rsidTr="00365E52">
        <w:tc>
          <w:tcPr>
            <w:tcW w:w="3600" w:type="dxa"/>
            <w:tcBorders>
              <w:top w:val="single" w:sz="4" w:space="0" w:color="auto"/>
            </w:tcBorders>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65E52">
              <w:rPr>
                <w:rFonts w:ascii="Cambria" w:hAnsi="Cambria"/>
                <w:b/>
                <w:bCs/>
                <w:color w:val="FFFFFF"/>
                <w:sz w:val="20"/>
                <w:szCs w:val="20"/>
                <w:lang w:val="es-ES"/>
              </w:rPr>
              <w:t>Presentación de la petición:</w:t>
            </w:r>
          </w:p>
        </w:tc>
        <w:tc>
          <w:tcPr>
            <w:tcW w:w="5760" w:type="dxa"/>
            <w:tcBorders>
              <w:top w:val="single" w:sz="4" w:space="0" w:color="auto"/>
            </w:tcBorders>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65E52">
              <w:rPr>
                <w:rFonts w:ascii="Cambria" w:hAnsi="Cambria"/>
                <w:bCs/>
                <w:sz w:val="20"/>
                <w:szCs w:val="20"/>
                <w:lang w:val="es-ES"/>
              </w:rPr>
              <w:t>22 de agosto de 2011</w:t>
            </w:r>
          </w:p>
        </w:tc>
      </w:tr>
      <w:tr w:rsidR="0037742A" w:rsidRPr="0090285C" w:rsidTr="00365E52">
        <w:tc>
          <w:tcPr>
            <w:tcW w:w="3600" w:type="dxa"/>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65E52">
              <w:rPr>
                <w:rFonts w:ascii="Cambria" w:hAnsi="Cambria"/>
                <w:b/>
                <w:bCs/>
                <w:color w:val="FFFFFF"/>
                <w:sz w:val="20"/>
                <w:szCs w:val="20"/>
                <w:lang w:val="es-ES"/>
              </w:rPr>
              <w:t>Información adicional recibida durante la etapa de estudio:</w:t>
            </w:r>
          </w:p>
        </w:tc>
        <w:tc>
          <w:tcPr>
            <w:tcW w:w="5760" w:type="dxa"/>
            <w:vAlign w:val="center"/>
          </w:tcPr>
          <w:p w:rsidR="0037742A" w:rsidRPr="00365E52" w:rsidRDefault="0037742A" w:rsidP="00A92FBA">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AR"/>
              </w:rPr>
            </w:pPr>
            <w:r w:rsidRPr="00365E52">
              <w:rPr>
                <w:rFonts w:ascii="Cambria" w:hAnsi="Cambria"/>
                <w:bCs/>
                <w:sz w:val="20"/>
                <w:szCs w:val="20"/>
                <w:lang w:val="es-AR"/>
              </w:rPr>
              <w:t>28 de noviembre de 2012</w:t>
            </w:r>
          </w:p>
        </w:tc>
      </w:tr>
      <w:tr w:rsidR="0037742A" w:rsidRPr="00CF560A" w:rsidTr="00365E52">
        <w:tc>
          <w:tcPr>
            <w:tcW w:w="3600" w:type="dxa"/>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65E52">
              <w:rPr>
                <w:rFonts w:ascii="Cambria" w:hAnsi="Cambria"/>
                <w:b/>
                <w:color w:val="FFFFFF"/>
                <w:sz w:val="20"/>
                <w:szCs w:val="20"/>
                <w:lang w:val="es-ES"/>
              </w:rPr>
              <w:t>Notificación de la petición al Estado:</w:t>
            </w:r>
          </w:p>
        </w:tc>
        <w:tc>
          <w:tcPr>
            <w:tcW w:w="5760" w:type="dxa"/>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65E52">
              <w:rPr>
                <w:rFonts w:ascii="Cambria" w:hAnsi="Cambria"/>
                <w:bCs/>
                <w:sz w:val="20"/>
                <w:szCs w:val="20"/>
                <w:lang w:val="es-ES"/>
              </w:rPr>
              <w:t>17 de diciembre de 2015</w:t>
            </w:r>
          </w:p>
        </w:tc>
      </w:tr>
      <w:tr w:rsidR="0037742A" w:rsidRPr="0078718D" w:rsidTr="00365E52">
        <w:tc>
          <w:tcPr>
            <w:tcW w:w="3600" w:type="dxa"/>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65E52">
              <w:rPr>
                <w:rFonts w:ascii="Cambria" w:hAnsi="Cambria"/>
                <w:b/>
                <w:color w:val="FFFFFF"/>
                <w:sz w:val="20"/>
                <w:szCs w:val="20"/>
                <w:lang w:val="es-ES"/>
              </w:rPr>
              <w:t>Primera respuesta del Estado:</w:t>
            </w:r>
          </w:p>
        </w:tc>
        <w:tc>
          <w:tcPr>
            <w:tcW w:w="5760" w:type="dxa"/>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65E52">
              <w:rPr>
                <w:rFonts w:ascii="Cambria" w:hAnsi="Cambria"/>
                <w:bCs/>
                <w:sz w:val="20"/>
                <w:szCs w:val="20"/>
                <w:lang w:val="es-ES"/>
              </w:rPr>
              <w:t>17 de marzo de 2017</w:t>
            </w:r>
          </w:p>
        </w:tc>
      </w:tr>
      <w:tr w:rsidR="0037742A" w:rsidRPr="008A1BEF" w:rsidTr="00365E52">
        <w:tc>
          <w:tcPr>
            <w:tcW w:w="3600" w:type="dxa"/>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65E52">
              <w:rPr>
                <w:rFonts w:ascii="Cambria" w:hAnsi="Cambria"/>
                <w:b/>
                <w:bCs/>
                <w:color w:val="FFFFFF"/>
                <w:sz w:val="20"/>
                <w:szCs w:val="20"/>
                <w:lang w:val="es-ES"/>
              </w:rPr>
              <w:t>Observaciones adicionales de la parte peticionaria:</w:t>
            </w:r>
          </w:p>
        </w:tc>
        <w:tc>
          <w:tcPr>
            <w:tcW w:w="5760" w:type="dxa"/>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65E52">
              <w:rPr>
                <w:rFonts w:ascii="Cambria" w:hAnsi="Cambria"/>
                <w:bCs/>
                <w:sz w:val="20"/>
                <w:szCs w:val="20"/>
                <w:lang w:val="es-ES"/>
              </w:rPr>
              <w:t>30 de agosto de 2017 y 4 de septiembre de 2018</w:t>
            </w:r>
          </w:p>
        </w:tc>
      </w:tr>
      <w:tr w:rsidR="0037742A" w:rsidRPr="008A1BEF" w:rsidTr="00365E52">
        <w:tc>
          <w:tcPr>
            <w:tcW w:w="3600" w:type="dxa"/>
            <w:tcBorders>
              <w:bottom w:val="single" w:sz="4" w:space="0" w:color="auto"/>
            </w:tcBorders>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proofErr w:type="spellStart"/>
            <w:r w:rsidRPr="00365E52">
              <w:rPr>
                <w:rFonts w:ascii="Cambria" w:hAnsi="Cambria"/>
                <w:b/>
                <w:bCs/>
                <w:color w:val="FFFFFF"/>
                <w:sz w:val="20"/>
                <w:szCs w:val="20"/>
              </w:rPr>
              <w:t>Observaciones</w:t>
            </w:r>
            <w:proofErr w:type="spellEnd"/>
            <w:r w:rsidRPr="00365E52">
              <w:rPr>
                <w:rFonts w:ascii="Cambria" w:hAnsi="Cambria"/>
                <w:b/>
                <w:bCs/>
                <w:color w:val="FFFFFF"/>
                <w:sz w:val="20"/>
                <w:szCs w:val="20"/>
              </w:rPr>
              <w:t xml:space="preserve"> </w:t>
            </w:r>
            <w:proofErr w:type="spellStart"/>
            <w:r w:rsidRPr="00365E52">
              <w:rPr>
                <w:rFonts w:ascii="Cambria" w:hAnsi="Cambria"/>
                <w:b/>
                <w:bCs/>
                <w:color w:val="FFFFFF"/>
                <w:sz w:val="20"/>
                <w:szCs w:val="20"/>
              </w:rPr>
              <w:t>adicionales</w:t>
            </w:r>
            <w:proofErr w:type="spellEnd"/>
            <w:r w:rsidRPr="00365E52">
              <w:rPr>
                <w:rFonts w:ascii="Cambria" w:hAnsi="Cambria"/>
                <w:b/>
                <w:bCs/>
                <w:color w:val="FFFFFF"/>
                <w:sz w:val="20"/>
                <w:szCs w:val="20"/>
              </w:rPr>
              <w:t xml:space="preserve"> del Estado:</w:t>
            </w:r>
          </w:p>
        </w:tc>
        <w:tc>
          <w:tcPr>
            <w:tcW w:w="5760" w:type="dxa"/>
            <w:tcBorders>
              <w:bottom w:val="single" w:sz="4" w:space="0" w:color="auto"/>
            </w:tcBorders>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65E52">
              <w:rPr>
                <w:rFonts w:ascii="Cambria" w:hAnsi="Cambria"/>
                <w:bCs/>
                <w:sz w:val="20"/>
                <w:szCs w:val="20"/>
                <w:lang w:val="es-ES"/>
              </w:rPr>
              <w:t>8 de mayo y 18 de octubre de 2018</w:t>
            </w:r>
          </w:p>
        </w:tc>
      </w:tr>
    </w:tbl>
    <w:p w:rsidR="0037742A" w:rsidRPr="003239B8" w:rsidRDefault="0037742A"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3239B8">
        <w:rPr>
          <w:rFonts w:ascii="Cambria" w:hAnsi="Cambria"/>
          <w:b/>
          <w:bCs/>
          <w:sz w:val="20"/>
          <w:szCs w:val="20"/>
          <w:lang w:val="es-ES"/>
        </w:rPr>
        <w:t xml:space="preserve">III. </w:t>
      </w:r>
      <w:r w:rsidRPr="003239B8">
        <w:rPr>
          <w:rFonts w:ascii="Cambria" w:hAnsi="Cambria"/>
          <w:b/>
          <w:bCs/>
          <w:sz w:val="20"/>
          <w:szCs w:val="20"/>
          <w:lang w:val="es-ES"/>
        </w:rPr>
        <w:tab/>
        <w:t>COMPETENCIA</w:t>
      </w:r>
      <w:r>
        <w:rPr>
          <w:rFonts w:ascii="Cambria" w:hAnsi="Cambria"/>
          <w:b/>
          <w:bCs/>
          <w:sz w:val="20"/>
          <w:szCs w:val="20"/>
          <w:lang w:val="es-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2"/>
        <w:gridCol w:w="5680"/>
      </w:tblGrid>
      <w:tr w:rsidR="0037742A" w:rsidRPr="00540F17" w:rsidTr="00365E52">
        <w:trPr>
          <w:cantSplit/>
        </w:trPr>
        <w:tc>
          <w:tcPr>
            <w:tcW w:w="3600" w:type="dxa"/>
            <w:tcBorders>
              <w:top w:val="single" w:sz="4" w:space="0" w:color="auto"/>
            </w:tcBorders>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proofErr w:type="spellStart"/>
            <w:r w:rsidRPr="00365E52">
              <w:rPr>
                <w:rFonts w:ascii="Cambria" w:hAnsi="Cambria"/>
                <w:b/>
                <w:bCs/>
                <w:color w:val="FFFFFF"/>
                <w:sz w:val="20"/>
                <w:szCs w:val="20"/>
              </w:rPr>
              <w:t>Competencia</w:t>
            </w:r>
            <w:proofErr w:type="spellEnd"/>
            <w:r w:rsidRPr="00365E52">
              <w:rPr>
                <w:rFonts w:ascii="Cambria" w:hAnsi="Cambria"/>
                <w:b/>
                <w:bCs/>
                <w:i/>
                <w:color w:val="FFFFFF"/>
                <w:sz w:val="20"/>
                <w:szCs w:val="20"/>
              </w:rPr>
              <w:t xml:space="preserve"> </w:t>
            </w:r>
            <w:proofErr w:type="spellStart"/>
            <w:r w:rsidRPr="00365E52">
              <w:rPr>
                <w:rFonts w:ascii="Cambria" w:hAnsi="Cambria"/>
                <w:b/>
                <w:bCs/>
                <w:i/>
                <w:color w:val="FFFFFF"/>
                <w:sz w:val="20"/>
                <w:szCs w:val="20"/>
              </w:rPr>
              <w:t>Ratione</w:t>
            </w:r>
            <w:proofErr w:type="spellEnd"/>
            <w:r w:rsidRPr="00365E52">
              <w:rPr>
                <w:rFonts w:ascii="Cambria" w:hAnsi="Cambria"/>
                <w:b/>
                <w:bCs/>
                <w:i/>
                <w:color w:val="FFFFFF"/>
                <w:sz w:val="20"/>
                <w:szCs w:val="20"/>
              </w:rPr>
              <w:t xml:space="preserve"> personae:</w:t>
            </w:r>
          </w:p>
        </w:tc>
        <w:tc>
          <w:tcPr>
            <w:tcW w:w="5760" w:type="dxa"/>
            <w:tcBorders>
              <w:top w:val="single" w:sz="4" w:space="0" w:color="auto"/>
            </w:tcBorders>
            <w:vAlign w:val="center"/>
          </w:tcPr>
          <w:p w:rsidR="0037742A" w:rsidRPr="00365E52" w:rsidRDefault="0037742A"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proofErr w:type="spellStart"/>
            <w:r w:rsidRPr="00365E52">
              <w:rPr>
                <w:rFonts w:ascii="Cambria" w:hAnsi="Cambria"/>
                <w:bCs/>
                <w:sz w:val="20"/>
                <w:szCs w:val="20"/>
              </w:rPr>
              <w:t>Sί</w:t>
            </w:r>
            <w:proofErr w:type="spellEnd"/>
          </w:p>
        </w:tc>
      </w:tr>
      <w:tr w:rsidR="0037742A" w:rsidRPr="00540F17" w:rsidTr="00365E52">
        <w:trPr>
          <w:cantSplit/>
        </w:trPr>
        <w:tc>
          <w:tcPr>
            <w:tcW w:w="3600" w:type="dxa"/>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365E52">
              <w:rPr>
                <w:rFonts w:ascii="Cambria" w:hAnsi="Cambria"/>
                <w:b/>
                <w:bCs/>
                <w:color w:val="FFFFFF"/>
                <w:sz w:val="20"/>
                <w:szCs w:val="20"/>
              </w:rPr>
              <w:t>Competencia</w:t>
            </w:r>
            <w:proofErr w:type="spellEnd"/>
            <w:r w:rsidRPr="00365E52">
              <w:rPr>
                <w:rFonts w:ascii="Cambria" w:hAnsi="Cambria"/>
                <w:b/>
                <w:bCs/>
                <w:i/>
                <w:color w:val="FFFFFF"/>
                <w:sz w:val="20"/>
                <w:szCs w:val="20"/>
              </w:rPr>
              <w:t xml:space="preserve"> </w:t>
            </w:r>
            <w:proofErr w:type="spellStart"/>
            <w:r w:rsidRPr="00365E52">
              <w:rPr>
                <w:rFonts w:ascii="Cambria" w:hAnsi="Cambria"/>
                <w:b/>
                <w:bCs/>
                <w:i/>
                <w:color w:val="FFFFFF"/>
                <w:sz w:val="20"/>
                <w:szCs w:val="20"/>
              </w:rPr>
              <w:t>Ratione</w:t>
            </w:r>
            <w:proofErr w:type="spellEnd"/>
            <w:r w:rsidRPr="00365E52">
              <w:rPr>
                <w:rFonts w:ascii="Cambria" w:hAnsi="Cambria"/>
                <w:b/>
                <w:bCs/>
                <w:i/>
                <w:color w:val="FFFFFF"/>
                <w:sz w:val="20"/>
                <w:szCs w:val="20"/>
              </w:rPr>
              <w:t xml:space="preserve"> loci</w:t>
            </w:r>
            <w:r w:rsidRPr="00365E52">
              <w:rPr>
                <w:rFonts w:ascii="Cambria" w:hAnsi="Cambria"/>
                <w:b/>
                <w:bCs/>
                <w:color w:val="FFFFFF"/>
                <w:sz w:val="20"/>
                <w:szCs w:val="20"/>
              </w:rPr>
              <w:t>:</w:t>
            </w:r>
          </w:p>
        </w:tc>
        <w:tc>
          <w:tcPr>
            <w:tcW w:w="5760" w:type="dxa"/>
            <w:vAlign w:val="center"/>
          </w:tcPr>
          <w:p w:rsidR="0037742A" w:rsidRPr="00365E52" w:rsidRDefault="0037742A"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proofErr w:type="spellStart"/>
            <w:r w:rsidRPr="00365E52">
              <w:rPr>
                <w:rFonts w:ascii="Cambria" w:hAnsi="Cambria"/>
                <w:bCs/>
                <w:sz w:val="20"/>
                <w:szCs w:val="20"/>
              </w:rPr>
              <w:t>Sί</w:t>
            </w:r>
            <w:proofErr w:type="spellEnd"/>
          </w:p>
        </w:tc>
      </w:tr>
      <w:tr w:rsidR="0037742A" w:rsidRPr="00540F17" w:rsidTr="00365E52">
        <w:trPr>
          <w:cantSplit/>
        </w:trPr>
        <w:tc>
          <w:tcPr>
            <w:tcW w:w="3600" w:type="dxa"/>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365E52">
              <w:rPr>
                <w:rFonts w:ascii="Cambria" w:hAnsi="Cambria"/>
                <w:b/>
                <w:bCs/>
                <w:color w:val="FFFFFF"/>
                <w:sz w:val="20"/>
                <w:szCs w:val="20"/>
              </w:rPr>
              <w:t>Competencia</w:t>
            </w:r>
            <w:proofErr w:type="spellEnd"/>
            <w:r w:rsidRPr="00365E52">
              <w:rPr>
                <w:rFonts w:ascii="Cambria" w:hAnsi="Cambria"/>
                <w:b/>
                <w:bCs/>
                <w:i/>
                <w:color w:val="FFFFFF"/>
                <w:sz w:val="20"/>
                <w:szCs w:val="20"/>
              </w:rPr>
              <w:t xml:space="preserve"> </w:t>
            </w:r>
            <w:proofErr w:type="spellStart"/>
            <w:r w:rsidRPr="00365E52">
              <w:rPr>
                <w:rFonts w:ascii="Cambria" w:hAnsi="Cambria"/>
                <w:b/>
                <w:bCs/>
                <w:i/>
                <w:color w:val="FFFFFF"/>
                <w:sz w:val="20"/>
                <w:szCs w:val="20"/>
              </w:rPr>
              <w:t>Ratione</w:t>
            </w:r>
            <w:proofErr w:type="spellEnd"/>
            <w:r w:rsidRPr="00365E52">
              <w:rPr>
                <w:rFonts w:ascii="Cambria" w:hAnsi="Cambria"/>
                <w:b/>
                <w:bCs/>
                <w:i/>
                <w:color w:val="FFFFFF"/>
                <w:sz w:val="20"/>
                <w:szCs w:val="20"/>
              </w:rPr>
              <w:t xml:space="preserve"> </w:t>
            </w:r>
            <w:proofErr w:type="spellStart"/>
            <w:r w:rsidRPr="00365E52">
              <w:rPr>
                <w:rFonts w:ascii="Cambria" w:hAnsi="Cambria"/>
                <w:b/>
                <w:bCs/>
                <w:i/>
                <w:color w:val="FFFFFF"/>
                <w:sz w:val="20"/>
                <w:szCs w:val="20"/>
              </w:rPr>
              <w:t>temporis</w:t>
            </w:r>
            <w:proofErr w:type="spellEnd"/>
            <w:r w:rsidRPr="00365E52">
              <w:rPr>
                <w:rFonts w:ascii="Cambria" w:hAnsi="Cambria"/>
                <w:b/>
                <w:bCs/>
                <w:color w:val="FFFFFF"/>
                <w:sz w:val="20"/>
                <w:szCs w:val="20"/>
              </w:rPr>
              <w:t>:</w:t>
            </w:r>
          </w:p>
        </w:tc>
        <w:tc>
          <w:tcPr>
            <w:tcW w:w="5760" w:type="dxa"/>
            <w:vAlign w:val="center"/>
          </w:tcPr>
          <w:p w:rsidR="0037742A" w:rsidRPr="00365E52" w:rsidRDefault="0037742A" w:rsidP="00F524A3">
            <w:pPr>
              <w:pBdr>
                <w:top w:val="none" w:sz="0" w:space="0" w:color="auto"/>
                <w:left w:val="none" w:sz="0" w:space="0" w:color="auto"/>
                <w:bottom w:val="none" w:sz="0" w:space="0" w:color="auto"/>
                <w:right w:val="none" w:sz="0" w:space="0" w:color="auto"/>
                <w:bar w:val="none" w:sz="0" w:color="auto"/>
              </w:pBdr>
              <w:rPr>
                <w:bCs/>
                <w:sz w:val="20"/>
                <w:szCs w:val="20"/>
              </w:rPr>
            </w:pPr>
            <w:proofErr w:type="spellStart"/>
            <w:r w:rsidRPr="00365E52">
              <w:rPr>
                <w:rFonts w:ascii="Cambria" w:hAnsi="Cambria"/>
                <w:bCs/>
                <w:sz w:val="20"/>
                <w:szCs w:val="20"/>
              </w:rPr>
              <w:t>Sί</w:t>
            </w:r>
            <w:proofErr w:type="spellEnd"/>
          </w:p>
        </w:tc>
      </w:tr>
      <w:tr w:rsidR="0037742A" w:rsidRPr="008A1BEF" w:rsidTr="00365E52">
        <w:trPr>
          <w:cantSplit/>
        </w:trPr>
        <w:tc>
          <w:tcPr>
            <w:tcW w:w="3600" w:type="dxa"/>
            <w:tcBorders>
              <w:bottom w:val="single" w:sz="4" w:space="0" w:color="auto"/>
            </w:tcBorders>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365E52">
              <w:rPr>
                <w:rFonts w:ascii="Cambria" w:hAnsi="Cambria"/>
                <w:b/>
                <w:bCs/>
                <w:color w:val="FFFFFF"/>
                <w:sz w:val="20"/>
                <w:szCs w:val="20"/>
              </w:rPr>
              <w:t>Competencia</w:t>
            </w:r>
            <w:proofErr w:type="spellEnd"/>
            <w:r w:rsidRPr="00365E52">
              <w:rPr>
                <w:rFonts w:ascii="Cambria" w:hAnsi="Cambria"/>
                <w:b/>
                <w:bCs/>
                <w:i/>
                <w:color w:val="FFFFFF"/>
                <w:sz w:val="20"/>
                <w:szCs w:val="20"/>
              </w:rPr>
              <w:t xml:space="preserve"> </w:t>
            </w:r>
            <w:proofErr w:type="spellStart"/>
            <w:r w:rsidRPr="00365E52">
              <w:rPr>
                <w:rFonts w:ascii="Cambria" w:hAnsi="Cambria"/>
                <w:b/>
                <w:bCs/>
                <w:i/>
                <w:color w:val="FFFFFF"/>
                <w:sz w:val="20"/>
                <w:szCs w:val="20"/>
              </w:rPr>
              <w:t>Ratione</w:t>
            </w:r>
            <w:proofErr w:type="spellEnd"/>
            <w:r w:rsidRPr="00365E52">
              <w:rPr>
                <w:rFonts w:ascii="Cambria" w:hAnsi="Cambria"/>
                <w:b/>
                <w:bCs/>
                <w:i/>
                <w:color w:val="FFFFFF"/>
                <w:sz w:val="20"/>
                <w:szCs w:val="20"/>
              </w:rPr>
              <w:t xml:space="preserve"> </w:t>
            </w:r>
            <w:proofErr w:type="spellStart"/>
            <w:r w:rsidRPr="00365E52">
              <w:rPr>
                <w:rFonts w:ascii="Cambria" w:hAnsi="Cambria"/>
                <w:b/>
                <w:bCs/>
                <w:i/>
                <w:color w:val="FFFFFF"/>
                <w:sz w:val="20"/>
                <w:szCs w:val="20"/>
              </w:rPr>
              <w:t>materiae</w:t>
            </w:r>
            <w:proofErr w:type="spellEnd"/>
            <w:r w:rsidRPr="00365E52">
              <w:rPr>
                <w:rFonts w:ascii="Cambria" w:hAnsi="Cambria"/>
                <w:b/>
                <w:bCs/>
                <w:color w:val="FFFFFF"/>
                <w:sz w:val="20"/>
                <w:szCs w:val="20"/>
              </w:rPr>
              <w:t>:</w:t>
            </w:r>
          </w:p>
        </w:tc>
        <w:tc>
          <w:tcPr>
            <w:tcW w:w="5760" w:type="dxa"/>
            <w:tcBorders>
              <w:bottom w:val="single" w:sz="4" w:space="0" w:color="auto"/>
            </w:tcBorders>
            <w:vAlign w:val="center"/>
          </w:tcPr>
          <w:p w:rsidR="0037742A" w:rsidRPr="00365E52" w:rsidRDefault="0037742A" w:rsidP="00365E52">
            <w:pPr>
              <w:pStyle w:val="Default"/>
              <w:jc w:val="both"/>
              <w:rPr>
                <w:sz w:val="20"/>
                <w:szCs w:val="20"/>
                <w:lang w:val="es-VE"/>
              </w:rPr>
            </w:pPr>
            <w:r w:rsidRPr="00365E52">
              <w:rPr>
                <w:sz w:val="20"/>
                <w:szCs w:val="20"/>
                <w:lang w:val="es-VE"/>
              </w:rPr>
              <w:t xml:space="preserve">Sí, Convención Americana (depósito del instrumento realizado el 31 de julio de 1973) </w:t>
            </w:r>
          </w:p>
        </w:tc>
      </w:tr>
    </w:tbl>
    <w:p w:rsidR="0037742A" w:rsidRPr="003239B8" w:rsidRDefault="0037742A"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3239B8">
        <w:rPr>
          <w:rFonts w:ascii="Cambria" w:hAnsi="Cambria"/>
          <w:b/>
          <w:bCs/>
          <w:sz w:val="20"/>
          <w:szCs w:val="20"/>
          <w:lang w:val="es-ES"/>
        </w:rPr>
        <w:t xml:space="preserve">IV. </w:t>
      </w:r>
      <w:r w:rsidRPr="003239B8">
        <w:rPr>
          <w:rFonts w:ascii="Cambria" w:hAnsi="Cambria"/>
          <w:b/>
          <w:bCs/>
          <w:sz w:val="20"/>
          <w:szCs w:val="20"/>
          <w:lang w:val="es-ES"/>
        </w:rPr>
        <w:tab/>
        <w:t>DUPLICACIÓN</w:t>
      </w:r>
      <w:r w:rsidRPr="003239B8">
        <w:rPr>
          <w:rFonts w:ascii="Cambria" w:hAnsi="Cambria"/>
          <w:b/>
          <w:bCs/>
          <w:color w:val="FFFFFF"/>
          <w:sz w:val="20"/>
          <w:szCs w:val="20"/>
          <w:lang w:val="es-ES"/>
        </w:rPr>
        <w:t xml:space="preserve"> </w:t>
      </w:r>
      <w:r w:rsidRPr="003239B8">
        <w:rPr>
          <w:rFonts w:ascii="Cambria" w:hAnsi="Cambria"/>
          <w:b/>
          <w:bCs/>
          <w:sz w:val="20"/>
          <w:szCs w:val="20"/>
          <w:lang w:val="es-ES"/>
        </w:rPr>
        <w:t>DE PROCEDIMIENTOS Y COSA JUZGADA</w:t>
      </w:r>
      <w:r w:rsidRPr="003239B8">
        <w:rPr>
          <w:rFonts w:ascii="Cambria" w:hAnsi="Cambria"/>
          <w:b/>
          <w:bCs/>
          <w:i/>
          <w:sz w:val="20"/>
          <w:szCs w:val="20"/>
          <w:lang w:val="es-ES"/>
        </w:rPr>
        <w:t xml:space="preserve"> </w:t>
      </w:r>
      <w:r w:rsidRPr="003239B8">
        <w:rPr>
          <w:rFonts w:ascii="Cambria" w:hAnsi="Cambria"/>
          <w:b/>
          <w:bCs/>
          <w:sz w:val="20"/>
          <w:szCs w:val="20"/>
          <w:lang w:val="es-ES"/>
        </w:rPr>
        <w:t>INTERNACIONAL</w:t>
      </w:r>
      <w:r>
        <w:rPr>
          <w:rFonts w:ascii="Cambria" w:hAnsi="Cambria"/>
          <w:b/>
          <w:bCs/>
          <w:sz w:val="20"/>
          <w:szCs w:val="20"/>
          <w:lang w:val="es-ES"/>
        </w:rPr>
        <w:t xml:space="preserve">, </w:t>
      </w:r>
      <w:r w:rsidRPr="003239B8">
        <w:rPr>
          <w:rFonts w:ascii="Cambria" w:hAnsi="Cambria"/>
          <w:b/>
          <w:bCs/>
          <w:sz w:val="20"/>
          <w:szCs w:val="20"/>
          <w:lang w:val="es-ES"/>
        </w:rPr>
        <w:t xml:space="preserve"> CARACTERIZACIÓN, </w:t>
      </w:r>
      <w:r w:rsidRPr="003239B8">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4"/>
        <w:gridCol w:w="5678"/>
      </w:tblGrid>
      <w:tr w:rsidR="0037742A" w:rsidRPr="00CF560A" w:rsidTr="00365E52">
        <w:trPr>
          <w:cantSplit/>
        </w:trPr>
        <w:tc>
          <w:tcPr>
            <w:tcW w:w="3600" w:type="dxa"/>
            <w:tcBorders>
              <w:top w:val="single" w:sz="4" w:space="0" w:color="auto"/>
            </w:tcBorders>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65E52">
              <w:rPr>
                <w:rFonts w:ascii="Cambria" w:hAnsi="Cambria"/>
                <w:b/>
                <w:bCs/>
                <w:color w:val="FFFFFF"/>
                <w:sz w:val="20"/>
                <w:szCs w:val="20"/>
                <w:lang w:val="es-ES"/>
              </w:rPr>
              <w:t>Duplicación de procedimientos y cosa juzgada internacional:</w:t>
            </w:r>
          </w:p>
        </w:tc>
        <w:tc>
          <w:tcPr>
            <w:tcW w:w="5760" w:type="dxa"/>
            <w:tcBorders>
              <w:top w:val="single" w:sz="4" w:space="0" w:color="auto"/>
            </w:tcBorders>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365E52">
              <w:rPr>
                <w:rFonts w:ascii="Cambria" w:hAnsi="Cambria"/>
                <w:bCs/>
                <w:sz w:val="20"/>
                <w:szCs w:val="20"/>
                <w:lang w:val="es-ES"/>
              </w:rPr>
              <w:t>No</w:t>
            </w:r>
          </w:p>
        </w:tc>
      </w:tr>
      <w:tr w:rsidR="0037742A" w:rsidRPr="008A1BEF" w:rsidTr="00365E52">
        <w:trPr>
          <w:cantSplit/>
        </w:trPr>
        <w:tc>
          <w:tcPr>
            <w:tcW w:w="3600" w:type="dxa"/>
            <w:tcBorders>
              <w:top w:val="single" w:sz="4" w:space="0" w:color="auto"/>
            </w:tcBorders>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365E52">
              <w:rPr>
                <w:rFonts w:ascii="Cambria" w:hAnsi="Cambria"/>
                <w:b/>
                <w:bCs/>
                <w:color w:val="FFFFFF"/>
                <w:sz w:val="20"/>
                <w:szCs w:val="20"/>
              </w:rPr>
              <w:t xml:space="preserve">Derechos </w:t>
            </w:r>
            <w:proofErr w:type="spellStart"/>
            <w:r w:rsidRPr="00365E52">
              <w:rPr>
                <w:rFonts w:ascii="Cambria" w:hAnsi="Cambria"/>
                <w:b/>
                <w:bCs/>
                <w:color w:val="FFFFFF"/>
                <w:sz w:val="20"/>
                <w:szCs w:val="20"/>
              </w:rPr>
              <w:t>declarados</w:t>
            </w:r>
            <w:proofErr w:type="spellEnd"/>
            <w:r w:rsidRPr="00365E52">
              <w:rPr>
                <w:rFonts w:ascii="Cambria" w:hAnsi="Cambria"/>
                <w:b/>
                <w:bCs/>
                <w:color w:val="FFFFFF"/>
                <w:sz w:val="20"/>
                <w:szCs w:val="20"/>
              </w:rPr>
              <w:t xml:space="preserve"> </w:t>
            </w:r>
            <w:proofErr w:type="spellStart"/>
            <w:r w:rsidRPr="00365E52">
              <w:rPr>
                <w:rFonts w:ascii="Cambria" w:hAnsi="Cambria"/>
                <w:b/>
                <w:bCs/>
                <w:color w:val="FFFFFF"/>
                <w:sz w:val="20"/>
                <w:szCs w:val="20"/>
              </w:rPr>
              <w:t>admisibles</w:t>
            </w:r>
            <w:proofErr w:type="spellEnd"/>
            <w:r w:rsidRPr="00365E52">
              <w:rPr>
                <w:rFonts w:ascii="Cambria" w:hAnsi="Cambria"/>
                <w:b/>
                <w:bCs/>
                <w:i/>
                <w:color w:val="FFFFFF"/>
                <w:sz w:val="20"/>
                <w:szCs w:val="20"/>
              </w:rPr>
              <w:t>:</w:t>
            </w:r>
          </w:p>
        </w:tc>
        <w:tc>
          <w:tcPr>
            <w:tcW w:w="5760" w:type="dxa"/>
            <w:vAlign w:val="center"/>
          </w:tcPr>
          <w:p w:rsidR="0037742A" w:rsidRPr="00365E52" w:rsidRDefault="0037742A" w:rsidP="00A85B8F">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VE"/>
              </w:rPr>
            </w:pPr>
            <w:r w:rsidRPr="00E55B27">
              <w:rPr>
                <w:rFonts w:ascii="Cambria" w:hAnsi="Cambria" w:cs="Arial"/>
                <w:sz w:val="20"/>
                <w:szCs w:val="20"/>
                <w:lang w:val="es-VE" w:eastAsia="es-ES"/>
              </w:rPr>
              <w:t>Artículos 7 (Derecho a la libertad personal), 8 (</w:t>
            </w:r>
            <w:proofErr w:type="spellStart"/>
            <w:r w:rsidRPr="00E55B27">
              <w:rPr>
                <w:rFonts w:ascii="Cambria" w:hAnsi="Cambria" w:cs="Arial"/>
                <w:sz w:val="20"/>
                <w:szCs w:val="20"/>
                <w:lang w:val="es-VE" w:eastAsia="es-ES"/>
              </w:rPr>
              <w:t>Garantias</w:t>
            </w:r>
            <w:proofErr w:type="spellEnd"/>
            <w:r w:rsidRPr="00E55B27">
              <w:rPr>
                <w:rFonts w:ascii="Cambria" w:hAnsi="Cambria" w:cs="Arial"/>
                <w:sz w:val="20"/>
                <w:szCs w:val="20"/>
                <w:lang w:val="es-VE" w:eastAsia="es-ES"/>
              </w:rPr>
              <w:t xml:space="preserve"> judiciales), 21 (</w:t>
            </w:r>
            <w:r w:rsidR="00A85B8F">
              <w:rPr>
                <w:rFonts w:ascii="Cambria" w:hAnsi="Cambria" w:cs="Arial"/>
                <w:sz w:val="20"/>
                <w:szCs w:val="20"/>
                <w:lang w:val="es-VE" w:eastAsia="es-ES"/>
              </w:rPr>
              <w:t xml:space="preserve">Derecho a la propiedad privada). </w:t>
            </w:r>
            <w:r w:rsidRPr="00E55B27">
              <w:rPr>
                <w:rFonts w:ascii="Cambria" w:hAnsi="Cambria" w:cs="Arial"/>
                <w:sz w:val="20"/>
                <w:szCs w:val="20"/>
                <w:lang w:val="es-VE" w:eastAsia="es-ES"/>
              </w:rPr>
              <w:t xml:space="preserve">24 (igualdad ante la ley) y 25 (protección judicial) </w:t>
            </w:r>
            <w:r w:rsidRPr="00E55B27">
              <w:rPr>
                <w:rFonts w:ascii="Cambria" w:hAnsi="Cambria"/>
                <w:bCs/>
                <w:sz w:val="20"/>
                <w:szCs w:val="20"/>
                <w:lang w:val="es-VE"/>
              </w:rPr>
              <w:t xml:space="preserve">de la </w:t>
            </w:r>
            <w:proofErr w:type="spellStart"/>
            <w:r w:rsidRPr="00E55B27">
              <w:rPr>
                <w:rFonts w:ascii="Cambria" w:hAnsi="Cambria"/>
                <w:bCs/>
                <w:sz w:val="20"/>
                <w:szCs w:val="20"/>
                <w:lang w:val="es-VE"/>
              </w:rPr>
              <w:t>Convenciόn</w:t>
            </w:r>
            <w:proofErr w:type="spellEnd"/>
            <w:r>
              <w:rPr>
                <w:rFonts w:ascii="Cambria" w:hAnsi="Cambria"/>
                <w:bCs/>
                <w:sz w:val="20"/>
                <w:szCs w:val="20"/>
                <w:lang w:val="es-VE"/>
              </w:rPr>
              <w:t xml:space="preserve"> Americana</w:t>
            </w:r>
            <w:r>
              <w:rPr>
                <w:rFonts w:ascii="Cambria" w:hAnsi="Cambria" w:cs="Arial"/>
                <w:sz w:val="20"/>
                <w:szCs w:val="20"/>
                <w:lang w:val="es-VE" w:eastAsia="es-ES"/>
              </w:rPr>
              <w:t>,</w:t>
            </w:r>
            <w:r w:rsidRPr="00E55B27">
              <w:rPr>
                <w:rFonts w:ascii="Cambria" w:hAnsi="Cambria" w:cs="Arial"/>
                <w:sz w:val="20"/>
                <w:szCs w:val="20"/>
                <w:lang w:val="es-VE" w:eastAsia="es-ES"/>
              </w:rPr>
              <w:t xml:space="preserve"> </w:t>
            </w:r>
            <w:r w:rsidRPr="00E55B27">
              <w:rPr>
                <w:rFonts w:ascii="Cambria" w:hAnsi="Cambria" w:cs="Cambria"/>
                <w:sz w:val="20"/>
                <w:szCs w:val="20"/>
                <w:lang w:val="es-VE" w:eastAsia="es-ES"/>
              </w:rPr>
              <w:t>en relación con sus artículos 1.1 (obligación de respetar los derechos) y 2 (deber de adoptar disposiciones de derecho interno)</w:t>
            </w:r>
          </w:p>
        </w:tc>
      </w:tr>
      <w:tr w:rsidR="0037742A" w:rsidRPr="00430CF9" w:rsidTr="00365E52">
        <w:trPr>
          <w:cantSplit/>
        </w:trPr>
        <w:tc>
          <w:tcPr>
            <w:tcW w:w="3600" w:type="dxa"/>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365E52">
              <w:rPr>
                <w:rFonts w:ascii="Cambria" w:hAnsi="Cambria"/>
                <w:b/>
                <w:bCs/>
                <w:color w:val="FFFFFF"/>
                <w:sz w:val="20"/>
                <w:szCs w:val="20"/>
                <w:lang w:val="es-ES"/>
              </w:rPr>
              <w:t>Agotamiento de recursos internos o procedencia de una excepción:</w:t>
            </w:r>
          </w:p>
        </w:tc>
        <w:tc>
          <w:tcPr>
            <w:tcW w:w="5760" w:type="dxa"/>
            <w:vAlign w:val="center"/>
          </w:tcPr>
          <w:p w:rsidR="0037742A" w:rsidRPr="00365E52" w:rsidRDefault="0037742A" w:rsidP="00F524A3">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E55B27">
              <w:rPr>
                <w:rFonts w:ascii="Cambria" w:hAnsi="Cambria"/>
                <w:bCs/>
                <w:sz w:val="20"/>
                <w:szCs w:val="20"/>
                <w:lang w:val="es-PA"/>
              </w:rPr>
              <w:t xml:space="preserve">Sí, </w:t>
            </w:r>
            <w:r w:rsidRPr="00E55B27">
              <w:rPr>
                <w:rFonts w:ascii="Cambria" w:hAnsi="Cambria" w:cs="Arial"/>
                <w:sz w:val="20"/>
                <w:szCs w:val="20"/>
                <w:lang w:val="es-VE" w:eastAsia="es-ES"/>
              </w:rPr>
              <w:t>26 de febrero de 2011</w:t>
            </w:r>
          </w:p>
        </w:tc>
      </w:tr>
      <w:tr w:rsidR="0037742A" w:rsidRPr="0027159B" w:rsidTr="00365E52">
        <w:trPr>
          <w:cantSplit/>
        </w:trPr>
        <w:tc>
          <w:tcPr>
            <w:tcW w:w="3600" w:type="dxa"/>
            <w:tcBorders>
              <w:bottom w:val="single" w:sz="4" w:space="0" w:color="auto"/>
            </w:tcBorders>
            <w:shd w:val="clear" w:color="auto" w:fill="386294"/>
            <w:vAlign w:val="center"/>
          </w:tcPr>
          <w:p w:rsidR="0037742A" w:rsidRPr="00365E52" w:rsidRDefault="0037742A" w:rsidP="00365E52">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PA"/>
              </w:rPr>
            </w:pPr>
            <w:r w:rsidRPr="00365E52">
              <w:rPr>
                <w:rFonts w:ascii="Cambria" w:hAnsi="Cambria"/>
                <w:b/>
                <w:bCs/>
                <w:color w:val="FFFFFF"/>
                <w:sz w:val="20"/>
                <w:szCs w:val="20"/>
                <w:lang w:val="es-PA"/>
              </w:rPr>
              <w:t>Presentación dentro de plazo:</w:t>
            </w:r>
          </w:p>
        </w:tc>
        <w:tc>
          <w:tcPr>
            <w:tcW w:w="5760" w:type="dxa"/>
            <w:tcBorders>
              <w:bottom w:val="single" w:sz="4" w:space="0" w:color="auto"/>
            </w:tcBorders>
            <w:vAlign w:val="center"/>
          </w:tcPr>
          <w:p w:rsidR="0037742A" w:rsidRPr="00365E52" w:rsidRDefault="0037742A" w:rsidP="00F524A3">
            <w:pPr>
              <w:pBdr>
                <w:top w:val="none" w:sz="0" w:space="0" w:color="auto"/>
                <w:left w:val="none" w:sz="0" w:space="0" w:color="auto"/>
                <w:bottom w:val="none" w:sz="0" w:space="0" w:color="auto"/>
                <w:right w:val="none" w:sz="0" w:space="0" w:color="auto"/>
                <w:bar w:val="none" w:sz="0" w:color="auto"/>
              </w:pBdr>
              <w:rPr>
                <w:bCs/>
                <w:sz w:val="20"/>
                <w:szCs w:val="20"/>
                <w:lang w:val="es-PA"/>
              </w:rPr>
            </w:pPr>
            <w:r w:rsidRPr="00E55B27">
              <w:rPr>
                <w:rFonts w:ascii="Cambria" w:hAnsi="Cambria"/>
                <w:bCs/>
                <w:sz w:val="20"/>
                <w:szCs w:val="20"/>
                <w:lang w:val="es-ES"/>
              </w:rPr>
              <w:t>Sí, 22 de agosto de 2011</w:t>
            </w:r>
          </w:p>
        </w:tc>
      </w:tr>
    </w:tbl>
    <w:p w:rsidR="00CB7D6C" w:rsidRDefault="00CB7D6C"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lang w:val="es-UY"/>
        </w:rPr>
      </w:pPr>
    </w:p>
    <w:p w:rsidR="0037742A" w:rsidRDefault="0037742A"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lang w:val="es-UY"/>
        </w:rPr>
      </w:pPr>
      <w:r>
        <w:rPr>
          <w:rFonts w:ascii="Cambria" w:hAnsi="Cambria"/>
          <w:b/>
          <w:sz w:val="20"/>
          <w:szCs w:val="20"/>
          <w:lang w:val="es-UY"/>
        </w:rPr>
        <w:lastRenderedPageBreak/>
        <w:t xml:space="preserve">V. </w:t>
      </w:r>
      <w:r>
        <w:rPr>
          <w:rFonts w:ascii="Cambria" w:hAnsi="Cambria"/>
          <w:b/>
          <w:sz w:val="20"/>
          <w:szCs w:val="20"/>
          <w:lang w:val="es-UY"/>
        </w:rPr>
        <w:tab/>
        <w:t xml:space="preserve">HECHOS ALEGADOS </w:t>
      </w:r>
    </w:p>
    <w:p w:rsidR="0037742A" w:rsidRPr="0078718D" w:rsidRDefault="0037742A" w:rsidP="00781E7C">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Ricardo Cifuentes Salamanca (en adelante “el peticionario”) denuncia presuntas violaciones a los derechos humanos de Mario Uribe Escobar (en adelante “la presunta víctima”) alegando que este ocupaba una posición de congresista y que la Corte Suprema inició una investigación penal en su contra, luego de lo que la presunta víctima renunció a su cargo y la Corte Suprema remitió el caso a la justicia ordinaria por considerar, según era su criterio reiterado en ese momento, que había perdido competencia ante la renuncia. Denuncia que luego de que el proceso había avanzado en la justicia ordinaria la Corte Suprema cambió de criterio para considerar que retenía competencia para investigar y juzgar congresistas incluso luego de que estos hubiesen renunciado a su cargo; y que ilícitamente le aplicó de manera retroactiva este nuevo criterio a la presunta víctima juzgándolo y condenándolo en base al expediente adelantado en la justicia ordinaria, el cual debiera haberse considerado nulo de aceptarse el nuevo criterio. En adición reclama que el proceso ante la Corte Suprema de Justicia no cumple con los estándares de la Convención Americana por ser der instancia única y por no existir separación entre las funciones de juzgamiento e instrucción.</w:t>
      </w:r>
    </w:p>
    <w:p w:rsidR="0037742A" w:rsidRPr="00653312" w:rsidRDefault="0037742A" w:rsidP="00781E7C">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UY"/>
        </w:rPr>
      </w:pPr>
      <w:r w:rsidRPr="00781E7C">
        <w:rPr>
          <w:rFonts w:ascii="Cambria" w:hAnsi="Cambria" w:cs="Arial"/>
          <w:sz w:val="20"/>
          <w:szCs w:val="20"/>
          <w:lang w:val="es-VE" w:eastAsia="es-ES"/>
        </w:rPr>
        <w:t>El</w:t>
      </w:r>
      <w:r>
        <w:rPr>
          <w:rFonts w:ascii="Cambria" w:hAnsi="Cambria" w:cs="Arial"/>
          <w:sz w:val="20"/>
          <w:szCs w:val="20"/>
          <w:lang w:val="es-VE" w:eastAsia="es-ES"/>
        </w:rPr>
        <w:t xml:space="preserve"> peticionario relata que </w:t>
      </w:r>
      <w:r w:rsidRPr="00781E7C">
        <w:rPr>
          <w:rFonts w:ascii="Cambria" w:hAnsi="Cambria" w:cs="Arial"/>
          <w:sz w:val="20"/>
          <w:szCs w:val="20"/>
          <w:lang w:val="es-VE" w:eastAsia="es-ES"/>
        </w:rPr>
        <w:t>el 10 de Julio de 2007, la Sala de Casación Penal de la Corte Suprema de Justicia, decidió abrir in</w:t>
      </w:r>
      <w:r>
        <w:rPr>
          <w:rFonts w:ascii="Cambria" w:hAnsi="Cambria" w:cs="Arial"/>
          <w:sz w:val="20"/>
          <w:szCs w:val="20"/>
          <w:lang w:val="es-VE" w:eastAsia="es-ES"/>
        </w:rPr>
        <w:t>dagación preliminar en contra de</w:t>
      </w:r>
      <w:r w:rsidRPr="00781E7C">
        <w:rPr>
          <w:rFonts w:ascii="Cambria" w:hAnsi="Cambria" w:cs="Arial"/>
          <w:sz w:val="20"/>
          <w:szCs w:val="20"/>
          <w:lang w:val="es-VE" w:eastAsia="es-ES"/>
        </w:rPr>
        <w:t xml:space="preserve"> la presunta víctima</w:t>
      </w:r>
      <w:r>
        <w:rPr>
          <w:rFonts w:ascii="Cambria" w:hAnsi="Cambria" w:cs="Arial"/>
          <w:sz w:val="20"/>
          <w:szCs w:val="20"/>
          <w:lang w:val="es-VE" w:eastAsia="es-ES"/>
        </w:rPr>
        <w:t>, quien en ese entonces ocupaba un cargo de congresista. Indica que la presunta víctima renunció a dicho cargo resultando en que la Sala Penal de la Corte, aplicando la que era su línea jurisprudencial en ese momento,</w:t>
      </w:r>
      <w:r w:rsidRPr="00781E7C">
        <w:rPr>
          <w:rFonts w:ascii="Cambria" w:hAnsi="Cambria" w:cs="Arial"/>
          <w:sz w:val="20"/>
          <w:szCs w:val="20"/>
          <w:lang w:val="es-VE" w:eastAsia="es-ES"/>
        </w:rPr>
        <w:t xml:space="preserve"> </w:t>
      </w:r>
      <w:r>
        <w:rPr>
          <w:rFonts w:ascii="Cambria" w:hAnsi="Cambria" w:cs="Arial"/>
          <w:sz w:val="20"/>
          <w:szCs w:val="20"/>
          <w:lang w:val="es-VE" w:eastAsia="es-ES"/>
        </w:rPr>
        <w:t>remitiera el 10 de octubre de 2007</w:t>
      </w:r>
      <w:r w:rsidRPr="00781E7C">
        <w:rPr>
          <w:rFonts w:ascii="Cambria" w:hAnsi="Cambria" w:cs="Arial"/>
          <w:sz w:val="20"/>
          <w:szCs w:val="20"/>
          <w:lang w:val="es-VE" w:eastAsia="es-ES"/>
        </w:rPr>
        <w:t xml:space="preserve"> el proceso a l</w:t>
      </w:r>
      <w:r>
        <w:rPr>
          <w:rFonts w:ascii="Cambria" w:hAnsi="Cambria" w:cs="Arial"/>
          <w:sz w:val="20"/>
          <w:szCs w:val="20"/>
          <w:lang w:val="es-VE" w:eastAsia="es-ES"/>
        </w:rPr>
        <w:t xml:space="preserve">a Fiscalía General de la Nación considerando que había perdido competencia sobre la presunta víctima a raíz de su renuncia. Luego, el 5 de diciembre de 2007 un fiscal delegado ante la Corte escuchó a la presunta víctima en diligencia de indagatoria y el 21 de abril de 2008 se dictó medida de aseguramiento de detención preventiva en su contra como probable autor del delito de concierto para delinquir agravado. Señala que el 19 de agosto de 2008 el </w:t>
      </w:r>
      <w:proofErr w:type="spellStart"/>
      <w:r>
        <w:rPr>
          <w:rFonts w:ascii="Cambria" w:hAnsi="Cambria" w:cs="Arial"/>
          <w:sz w:val="20"/>
          <w:szCs w:val="20"/>
          <w:lang w:val="es-VE" w:eastAsia="es-ES"/>
        </w:rPr>
        <w:t>Vicefiscal</w:t>
      </w:r>
      <w:proofErr w:type="spellEnd"/>
      <w:r>
        <w:rPr>
          <w:rFonts w:ascii="Cambria" w:hAnsi="Cambria" w:cs="Arial"/>
          <w:sz w:val="20"/>
          <w:szCs w:val="20"/>
          <w:lang w:val="es-VE" w:eastAsia="es-ES"/>
        </w:rPr>
        <w:t xml:space="preserve"> General de la Nación revocó la medida de aseguramiento por considerar que no existía merito probatorio y que el 12 de junio de 2009 la Fiscalía cerró la investigación quedando el asunto para calificar.</w:t>
      </w:r>
    </w:p>
    <w:p w:rsidR="0037742A" w:rsidRPr="005660B9" w:rsidRDefault="0037742A" w:rsidP="00781E7C">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UY"/>
        </w:rPr>
      </w:pPr>
      <w:r>
        <w:rPr>
          <w:rFonts w:ascii="Cambria" w:hAnsi="Cambria" w:cs="Arial"/>
          <w:sz w:val="20"/>
          <w:szCs w:val="20"/>
          <w:lang w:val="es-VE" w:eastAsia="es-ES"/>
        </w:rPr>
        <w:t>Continúa relatando que el 1 de septiembre de 2009 la Sala Penal de la Corte Suprema de Justicia emitió un auto en el que cambió su jurisprudencia con respecto a los trámites adelantados contra congresistas por el delito de concierto para delinquir agravado que hubiesen renunciado a su condición foral. Indica, que mientras la jurisprudencia hasta ese momento había sido declinar competencia a favor de la justicia ordinaria en esos casos, la Corte pasó a considerar que en dichos casos retenía competencia pese a la renuncia del procesado por tratarse de delitos vinculados al ejercicio del cargo. Señala que el 21 de septiembre de 2009 la Fiscalía remitió el expediente que había adelantado contra la presunta víctima a la Corte Suprema por razones de competencia. Luego, el 30 de septiembre de 2009 la Corte asumió conocimiento del proceso lo que fue impugnado de nulidad por el Procurador Delegado, negándose la petición y reafirmándose la decisión el 16 de diciembre de 2009 al negarse el recurso de reposición interpuesto contra dicha denegatoria. Alega que con base a la investigación que había adelantado la Fiscalía el 24 de febrero de 2010 acusó a la presunta víctima como presunto autor del delito de concierto para delinquir para promover grupos ilegales. Posteriormente el 27 de abril de 2010 mientras se llevaba a cabo la audiencia preparatoria la defensa del acusado solicitó la nulidad de lo actuado por considerar errado el criterio utilizado por la Corte para sustentar su competencia, solicitud que fue desestimada por la Sala quien procedió a convocar la audiencia de juzgamiento. El 21 de febrero de 2011 la Sala condenó a la presunta víctima por el punible de concierto para promover grupos armados al margen de la ley imponiéndole pena de 90 meses de prisión e inhabilitación para funciones públicas por el mismo lapso y multa de 6500 salarios mínimos legales mensuales vigentes. Señala que la decisión final fue notificada a la presunta víctima el 26 de febrero de 2011.</w:t>
      </w:r>
    </w:p>
    <w:p w:rsidR="0037742A" w:rsidRPr="007C7024" w:rsidRDefault="0037742A" w:rsidP="00781E7C">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 xml:space="preserve">El peticionario alega que la Corte actuó ilícitamente pues aplicó a la presunta víctima un procedimiento, reasumir competencia sobre un asunto con respecto al cual ya la había declinado, el cual no estaba previsto en la ley. También sostiene que la reasunción de competencia por parte de la Corte fue contraria al principio de legalidad previsto en el artículo 9 de la Convención Americana. Destaca que en el caso de la presunta víctima y en otros en que, ante circunstancias similares, la Corte también reasumió competencia luego de haberla declinado se produjeron salvamentos de voto en los que integrantes de la Corte expresaron posturas tales como que: dado que no había variado la ley la Corte no podía variar por un mero cambio de criterio una regla de competencia que ya había definido; que el cambio de jurisprudencia solo debía aplicar para el caso en </w:t>
      </w:r>
      <w:r>
        <w:rPr>
          <w:rFonts w:ascii="Cambria" w:hAnsi="Cambria"/>
          <w:sz w:val="20"/>
          <w:szCs w:val="20"/>
          <w:lang w:val="es-UY"/>
        </w:rPr>
        <w:lastRenderedPageBreak/>
        <w:t xml:space="preserve">que se adoptó y a futuro, no en casos con respecto a los cuales la Corte ya había declinado la competencia; y que la Corte luego de haber adoptado una posición sobre su competencia en un caso no podía variarla en el mismo caso sin un hecho sobreviniente que lo justificara. Agrega que, de considerarse que la Corte retenía su competencia privativa sobre la presunta víctima, las diligencias y pruebas adelantadas en la justicia ordinaria y que fueron utilizadas por la Corte para condenarla estarían viciadas de nulidad. </w:t>
      </w:r>
    </w:p>
    <w:p w:rsidR="0037742A" w:rsidRPr="009756B8" w:rsidRDefault="0037742A" w:rsidP="00781E7C">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UY"/>
        </w:rPr>
      </w:pPr>
      <w:r>
        <w:rPr>
          <w:rFonts w:ascii="Cambria" w:hAnsi="Cambria" w:cs="Arial"/>
          <w:sz w:val="20"/>
          <w:szCs w:val="20"/>
          <w:lang w:val="es-UY" w:eastAsia="es-ES"/>
        </w:rPr>
        <w:t xml:space="preserve">Denuncia además que el proceso que se le siguió a la presunta víctima ante la Sala Penal de la Corte Suprema no preveía la separación de las funciones de investigación y juzgamiento estando la formulación de la acusación, la sentencia y la condena a cargo de los mismos jueces. Considera que esto contraviene el derecho a un juez imparcial pues luego de emitir un criterio al formular la acusación los jueces no se pueden considerar imparciales para juzgar al imputado. De igual manera, alega que el proceso contravino la garantía prevista en el artículo 8.2(h) de la Convención Americana por ser de única instancia. Argumenta que la posibilidad de impugnar la decisión mediante recurso extraordinario de revisión o mediante acción de tutela no satisface la garantía de doble instancia en materia penal porque estos recursos tienen presupuestos muy específicos y limitados para su procedencia y porque la facultad de la Corte Constitucional para seleccionar sentencias de tutela para revisión es puramente discrecional. Señala que la situación de la presunta víctima no se enmarcaba en ninguno de los presupuestos del recurso de revisión y que a esta le fue rechazada la acción de tutela por la Corte Suprema de Justicia, luego de lo que la Corte Constitucional no seleccionó la decisión para revisión. Sostiene que la mera posibilidad de que la sentencia que profirió su condena pudiera haber sido examinada por la Corte Constitucional mediante la acción de tutela, cuando de hecho no lo fue, no implica que se le haya respetado el derecho a la doble instancia a la presunta víctima. </w:t>
      </w:r>
    </w:p>
    <w:p w:rsidR="0037742A" w:rsidRPr="005660B9" w:rsidRDefault="0037742A" w:rsidP="00781E7C">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UY"/>
        </w:rPr>
      </w:pPr>
      <w:r>
        <w:rPr>
          <w:rFonts w:ascii="Cambria" w:hAnsi="Cambria" w:cs="Arial"/>
          <w:sz w:val="20"/>
          <w:szCs w:val="20"/>
          <w:lang w:val="es-UY" w:eastAsia="es-ES"/>
        </w:rPr>
        <w:t xml:space="preserve">   En adición</w:t>
      </w:r>
      <w:r>
        <w:rPr>
          <w:rFonts w:ascii="Cambria" w:hAnsi="Cambria" w:cs="Arial"/>
          <w:sz w:val="20"/>
          <w:szCs w:val="20"/>
          <w:lang w:val="es-VE" w:eastAsia="es-ES"/>
        </w:rPr>
        <w:t xml:space="preserve"> sostiene que la condena proferida contra la presunta víctima fue injusta puesto que se fundamentó en las declaraciones de un testigo que no cuenta con credibilidad por haber incurrido en múltiples contradicciones, remisiones a terceros y dudas sobre temas importantes. También alega que la declaración de este testigo no debió ser tomada en cuenta porque no pudo ser contrainterrogado por la defensa vulnerándose los derechos a la defensa y a la contradicción de la prueba. Resalta que el Procurador del Ministerio Público había solicitado a la Sala que se absolviera a la presunta víctima. Denuncia demás que el proceso adelantado contra la presunta víctima no solo conllevó a que se le privara injustamente de su libertad sino que le cercenó su patrimonio moral y su buen nombre, y se le impuso una multa pecuniaria con la finalidad de dejarlo a él ya su familia en la indigencia. Agrega que la presunta víctima no agotó la acción de reparación directa porque la misma implicaba un trámite que pudiera demorar alrededor de 15 años y la demanda hubiese estado en todo caso destinada al fracaso pues la condena fue en base en la normatividad constitucional vigente y la jurisprudencia unísona de las altas cortes domésticas que ha avalado los juicios de única instancia para congresistas. </w:t>
      </w:r>
    </w:p>
    <w:p w:rsidR="0037742A" w:rsidRDefault="0037742A" w:rsidP="0009231E">
      <w:pPr>
        <w:pStyle w:val="Default"/>
        <w:numPr>
          <w:ilvl w:val="0"/>
          <w:numId w:val="55"/>
        </w:numPr>
        <w:jc w:val="both"/>
        <w:rPr>
          <w:rFonts w:ascii="Cambria" w:hAnsi="Cambria"/>
          <w:sz w:val="20"/>
          <w:szCs w:val="20"/>
          <w:lang w:val="es-ES"/>
        </w:rPr>
      </w:pPr>
      <w:r w:rsidRPr="00B64CD5">
        <w:rPr>
          <w:rFonts w:ascii="Cambria" w:hAnsi="Cambria"/>
          <w:sz w:val="20"/>
          <w:szCs w:val="20"/>
          <w:lang w:val="es-VE"/>
        </w:rPr>
        <w:t>El Estado</w:t>
      </w:r>
      <w:r>
        <w:rPr>
          <w:rFonts w:ascii="Cambria" w:hAnsi="Cambria"/>
          <w:sz w:val="20"/>
          <w:szCs w:val="20"/>
          <w:lang w:val="es-VE"/>
        </w:rPr>
        <w:t>, por su parte, solicita que la petición sea inadmitida con fundamento en el artículo 47 de la Convención Americana por que los hechos planteados en ella no caracterizan violaciones a los derechos humanos. Señala</w:t>
      </w:r>
      <w:r w:rsidRPr="00B64CD5">
        <w:rPr>
          <w:rFonts w:ascii="Cambria" w:hAnsi="Cambria"/>
          <w:sz w:val="20"/>
          <w:szCs w:val="20"/>
          <w:lang w:val="es-VE"/>
        </w:rPr>
        <w:t xml:space="preserve"> que en los procesos penales especiales para fu</w:t>
      </w:r>
      <w:r>
        <w:rPr>
          <w:rFonts w:ascii="Cambria" w:hAnsi="Cambria"/>
          <w:sz w:val="20"/>
          <w:szCs w:val="20"/>
          <w:lang w:val="es-VE"/>
        </w:rPr>
        <w:t>ncionarios aforados que se tram</w:t>
      </w:r>
      <w:r w:rsidRPr="00B64CD5">
        <w:rPr>
          <w:rFonts w:ascii="Cambria" w:hAnsi="Cambria"/>
          <w:sz w:val="20"/>
          <w:szCs w:val="20"/>
          <w:lang w:val="es-VE"/>
        </w:rPr>
        <w:t>iten ante tribunales de cierre de la jurisdicción, la garantía de recurrir el fallo se honra con la consagración</w:t>
      </w:r>
      <w:r>
        <w:rPr>
          <w:rFonts w:ascii="Cambria" w:hAnsi="Cambria"/>
          <w:sz w:val="20"/>
          <w:szCs w:val="20"/>
          <w:lang w:val="es-VE"/>
        </w:rPr>
        <w:t xml:space="preserve"> de </w:t>
      </w:r>
      <w:r w:rsidRPr="00B64CD5">
        <w:rPr>
          <w:rFonts w:ascii="Cambria" w:hAnsi="Cambria"/>
          <w:sz w:val="20"/>
          <w:szCs w:val="20"/>
          <w:lang w:val="es-VE"/>
        </w:rPr>
        <w:t>un recurso judicial que permita la revisión del fallo y la protección de los derechos del condenado, sin que se exija de manera estricta que este recurso sea conocido y resuelto por un superior jerárquico</w:t>
      </w:r>
      <w:r>
        <w:rPr>
          <w:rFonts w:ascii="Cambria" w:hAnsi="Cambria"/>
          <w:sz w:val="20"/>
          <w:szCs w:val="20"/>
          <w:lang w:val="es-VE"/>
        </w:rPr>
        <w:t xml:space="preserve">. Sostiene que </w:t>
      </w:r>
      <w:r w:rsidRPr="0063011E">
        <w:rPr>
          <w:rFonts w:ascii="Cambria" w:hAnsi="Cambria"/>
          <w:sz w:val="20"/>
          <w:szCs w:val="20"/>
          <w:lang w:val="es-VE"/>
        </w:rPr>
        <w:t xml:space="preserve">el principio de doble instancia no es absoluto y puede ser sometido a restricciones evaluadas </w:t>
      </w:r>
      <w:r>
        <w:rPr>
          <w:rFonts w:ascii="Cambria" w:hAnsi="Cambria"/>
          <w:sz w:val="20"/>
          <w:szCs w:val="20"/>
          <w:lang w:val="es-VE"/>
        </w:rPr>
        <w:t>para</w:t>
      </w:r>
      <w:r w:rsidRPr="0063011E">
        <w:rPr>
          <w:rFonts w:ascii="Cambria" w:hAnsi="Cambria"/>
          <w:sz w:val="20"/>
          <w:szCs w:val="20"/>
          <w:lang w:val="es-VE"/>
        </w:rPr>
        <w:t xml:space="preserve"> la razonabilidad y la proporcionalidad</w:t>
      </w:r>
      <w:r>
        <w:rPr>
          <w:rFonts w:ascii="Cambria" w:hAnsi="Cambria"/>
          <w:sz w:val="20"/>
          <w:szCs w:val="20"/>
          <w:lang w:val="es-VE"/>
        </w:rPr>
        <w:t>. A</w:t>
      </w:r>
      <w:r w:rsidRPr="00514686">
        <w:rPr>
          <w:rFonts w:ascii="Cambria" w:hAnsi="Cambria"/>
          <w:sz w:val="20"/>
          <w:szCs w:val="20"/>
          <w:lang w:val="es-ES"/>
        </w:rPr>
        <w:t xml:space="preserve">firma que el derecho de impugnación no se satisface únicamente a través del recurso de apelación, sino </w:t>
      </w:r>
      <w:r>
        <w:rPr>
          <w:rFonts w:ascii="Cambria" w:hAnsi="Cambria"/>
          <w:sz w:val="20"/>
          <w:szCs w:val="20"/>
          <w:lang w:val="es-ES"/>
        </w:rPr>
        <w:t xml:space="preserve">que también puede serlo </w:t>
      </w:r>
      <w:r w:rsidRPr="00514686">
        <w:rPr>
          <w:rFonts w:ascii="Cambria" w:hAnsi="Cambria"/>
          <w:sz w:val="20"/>
          <w:szCs w:val="20"/>
          <w:lang w:val="es-ES"/>
        </w:rPr>
        <w:t>a través de otro</w:t>
      </w:r>
      <w:r>
        <w:rPr>
          <w:rFonts w:ascii="Cambria" w:hAnsi="Cambria"/>
          <w:sz w:val="20"/>
          <w:szCs w:val="20"/>
          <w:lang w:val="es-ES"/>
        </w:rPr>
        <w:t>s</w:t>
      </w:r>
      <w:r w:rsidRPr="00514686">
        <w:rPr>
          <w:rFonts w:ascii="Cambria" w:hAnsi="Cambria"/>
          <w:sz w:val="20"/>
          <w:szCs w:val="20"/>
          <w:lang w:val="es-ES"/>
        </w:rPr>
        <w:t xml:space="preserve"> mecanismo</w:t>
      </w:r>
      <w:r>
        <w:rPr>
          <w:rFonts w:ascii="Cambria" w:hAnsi="Cambria"/>
          <w:sz w:val="20"/>
          <w:szCs w:val="20"/>
          <w:lang w:val="es-ES"/>
        </w:rPr>
        <w:t>s</w:t>
      </w:r>
      <w:r w:rsidRPr="00514686">
        <w:rPr>
          <w:rFonts w:ascii="Cambria" w:hAnsi="Cambria"/>
          <w:sz w:val="20"/>
          <w:szCs w:val="20"/>
          <w:lang w:val="es-ES"/>
        </w:rPr>
        <w:t xml:space="preserve"> como la acción de tutela contra providencias judiciales o la acción de revisión,</w:t>
      </w:r>
      <w:r>
        <w:rPr>
          <w:rFonts w:ascii="Cambria" w:hAnsi="Cambria"/>
          <w:sz w:val="20"/>
          <w:szCs w:val="20"/>
          <w:lang w:val="es-ES"/>
        </w:rPr>
        <w:t xml:space="preserve"> las</w:t>
      </w:r>
      <w:r w:rsidRPr="00514686">
        <w:rPr>
          <w:rFonts w:ascii="Cambria" w:hAnsi="Cambria"/>
          <w:sz w:val="20"/>
          <w:szCs w:val="20"/>
          <w:lang w:val="es-ES"/>
        </w:rPr>
        <w:t xml:space="preserve"> cual</w:t>
      </w:r>
      <w:r>
        <w:rPr>
          <w:rFonts w:ascii="Cambria" w:hAnsi="Cambria"/>
          <w:sz w:val="20"/>
          <w:szCs w:val="20"/>
          <w:lang w:val="es-ES"/>
        </w:rPr>
        <w:t>es</w:t>
      </w:r>
      <w:r w:rsidRPr="00514686">
        <w:rPr>
          <w:rFonts w:ascii="Cambria" w:hAnsi="Cambria"/>
          <w:sz w:val="20"/>
          <w:szCs w:val="20"/>
          <w:lang w:val="es-ES"/>
        </w:rPr>
        <w:t xml:space="preserve"> son vías procesales adecuadas efectivas para el ejercicio del derecho a la impugnación.</w:t>
      </w:r>
      <w:r>
        <w:rPr>
          <w:rFonts w:ascii="Cambria" w:hAnsi="Cambria"/>
          <w:sz w:val="20"/>
          <w:szCs w:val="20"/>
          <w:lang w:val="es-ES"/>
        </w:rPr>
        <w:t xml:space="preserve"> Alega que los recursos de revisión y tutela con complementarios en relación a la garantía de poder recurrir el fallo condenatorio; por lo que en casos como el de la presunta víctima que no se enmarcan en los supuestos de procedencia del recurso de revisión, la garantía de recurrir el fallo condenatorio se ve satisfecha con el recurso de tutela. Destaca además que el fuero especial otorgado a los congresistas es un elemento esencial del sistema de pesos y contrapesos de los poderes del Estado Colombiano. </w:t>
      </w:r>
    </w:p>
    <w:p w:rsidR="0037742A" w:rsidRDefault="0037742A" w:rsidP="00953D75">
      <w:pPr>
        <w:pStyle w:val="Default"/>
        <w:ind w:left="720"/>
        <w:jc w:val="both"/>
        <w:rPr>
          <w:rFonts w:ascii="Cambria" w:hAnsi="Cambria"/>
          <w:sz w:val="20"/>
          <w:szCs w:val="20"/>
          <w:lang w:val="es-ES"/>
        </w:rPr>
      </w:pPr>
    </w:p>
    <w:p w:rsidR="0037742A" w:rsidRDefault="0037742A" w:rsidP="0009231E">
      <w:pPr>
        <w:pStyle w:val="Default"/>
        <w:numPr>
          <w:ilvl w:val="0"/>
          <w:numId w:val="55"/>
        </w:numPr>
        <w:jc w:val="both"/>
        <w:rPr>
          <w:rFonts w:ascii="Cambria" w:hAnsi="Cambria"/>
          <w:sz w:val="20"/>
          <w:szCs w:val="20"/>
          <w:lang w:val="es-ES"/>
        </w:rPr>
      </w:pPr>
      <w:r>
        <w:rPr>
          <w:rFonts w:ascii="Cambria" w:hAnsi="Cambria"/>
          <w:sz w:val="20"/>
          <w:szCs w:val="20"/>
          <w:lang w:val="es-ES"/>
        </w:rPr>
        <w:t xml:space="preserve">Indica que la supuesta violación al principio de imparcialidad denunciada por la presunta víctima es consecuencia del tipo de proceso penal inquisitivo adoptado por la Sala Penal de la Corte Suprema y que Colombia no está obligada por el derecho internacional a transformar su legislación procesal penal </w:t>
      </w:r>
      <w:r>
        <w:rPr>
          <w:rFonts w:ascii="Cambria" w:hAnsi="Cambria"/>
          <w:sz w:val="20"/>
          <w:szCs w:val="20"/>
          <w:lang w:val="es-ES"/>
        </w:rPr>
        <w:lastRenderedPageBreak/>
        <w:t xml:space="preserve">doméstica hacia la adopción de un determinado tipo de sistema penal. Por estas razones, considera que los argumentos del peticionario relacionados con la incorreción del sistema adoptado no resultan suficientes para que se </w:t>
      </w:r>
      <w:proofErr w:type="spellStart"/>
      <w:r>
        <w:rPr>
          <w:rFonts w:ascii="Cambria" w:hAnsi="Cambria"/>
          <w:sz w:val="20"/>
          <w:szCs w:val="20"/>
          <w:lang w:val="es-ES"/>
        </w:rPr>
        <w:t>de</w:t>
      </w:r>
      <w:proofErr w:type="spellEnd"/>
      <w:r>
        <w:rPr>
          <w:rFonts w:ascii="Cambria" w:hAnsi="Cambria"/>
          <w:sz w:val="20"/>
          <w:szCs w:val="20"/>
          <w:lang w:val="es-ES"/>
        </w:rPr>
        <w:t xml:space="preserve"> por cumplido el requisito de caracterización; requiriéndose una valoración en cada caso respecto a si la actuación del juez se ajustó a la garantía de imparcialidad. Resalta que la Corte Constitucional ha examinado y concluido la constitucionalidad y convencionalidad de los procesos penales especiales adelantados por la Corte Suprema de Justicia, tal y como el que se le siguió a la presunta víctima. Señala además que la sentencia proferida contra la presunta víctima se encontró debidamente fundamentada en el acervo probatorio obrante y que el peticionario no ha cumplido con la carga mínima de sustanciación con respecto a sus denuncias de supuestas violaciones a los derechos a la integridad personal, libertad personal y propiedad privada. </w:t>
      </w:r>
    </w:p>
    <w:p w:rsidR="0037742A" w:rsidRDefault="0037742A" w:rsidP="0009231E">
      <w:pPr>
        <w:pStyle w:val="Default"/>
        <w:ind w:left="720"/>
        <w:jc w:val="both"/>
        <w:rPr>
          <w:rFonts w:ascii="Cambria" w:hAnsi="Cambria"/>
          <w:sz w:val="20"/>
          <w:szCs w:val="20"/>
          <w:lang w:val="es-ES"/>
        </w:rPr>
      </w:pPr>
    </w:p>
    <w:p w:rsidR="0037742A" w:rsidRDefault="0037742A" w:rsidP="005F7664">
      <w:pPr>
        <w:pStyle w:val="Default"/>
        <w:numPr>
          <w:ilvl w:val="0"/>
          <w:numId w:val="55"/>
        </w:numPr>
        <w:jc w:val="both"/>
        <w:rPr>
          <w:rFonts w:ascii="Cambria" w:hAnsi="Cambria"/>
          <w:sz w:val="20"/>
          <w:szCs w:val="20"/>
          <w:lang w:val="es-ES"/>
        </w:rPr>
      </w:pPr>
      <w:r w:rsidRPr="005F7664">
        <w:rPr>
          <w:rFonts w:ascii="Cambria" w:hAnsi="Cambria"/>
          <w:sz w:val="20"/>
          <w:szCs w:val="20"/>
          <w:lang w:val="es-ES"/>
        </w:rPr>
        <w:t>Alega también que la existencia de un cambio legítimo de un precedente judicial y su aplicación a un proceso en curso no constituye violación al principio de</w:t>
      </w:r>
      <w:r>
        <w:rPr>
          <w:rFonts w:ascii="Cambria" w:hAnsi="Cambria"/>
          <w:sz w:val="20"/>
          <w:szCs w:val="20"/>
          <w:lang w:val="es-ES"/>
        </w:rPr>
        <w:t xml:space="preserve"> legalidad y de retroactividad ni a las garantías judiciales</w:t>
      </w:r>
      <w:r w:rsidRPr="005F7664">
        <w:rPr>
          <w:rFonts w:ascii="Cambria" w:hAnsi="Cambria"/>
          <w:sz w:val="20"/>
          <w:szCs w:val="20"/>
          <w:lang w:val="es-ES"/>
        </w:rPr>
        <w:t xml:space="preserve"> </w:t>
      </w:r>
      <w:r>
        <w:rPr>
          <w:rFonts w:ascii="Cambria" w:hAnsi="Cambria"/>
          <w:sz w:val="20"/>
          <w:szCs w:val="20"/>
          <w:lang w:val="es-ES"/>
        </w:rPr>
        <w:t>pues no se afectó una situación jurídica consolidada. Destaca que los tribunales nacionales han reconocido que “si el tribunal reinterpreta una norma desarrollada en jurisprudencia anterior, el acusado tiene el deber de soportar tal situación, pues conforme a su sentido, la nueva interpretación no es una punición o agravación retroactiva, sino la realización de una voluntad de la ley que ya existía desde siempre pero solo ahora ha sido correctamente reconocida”. De igual manera, resalta que sistema doméstico permite que los tribunales de máxima instancia de las distintas jurisdicciones varíen sus criterios jurisprudenciales siempre y cuando motiven debidamente sus razones para ello. Sala que en el caso de la presunta víctima la Sala rechazó los recursos de reposición interpuestos por la Fiscalía y por la defensa mediante decisiones debidamente razonadas. Agrega que la posibilidad de variar criterios jurisprudenciales ya sentados es una exigencia para la evolución del derecho las sociedades democráticas.</w:t>
      </w:r>
    </w:p>
    <w:p w:rsidR="0037742A" w:rsidRDefault="0037742A" w:rsidP="00953D75">
      <w:pPr>
        <w:pStyle w:val="Default"/>
        <w:ind w:left="720"/>
        <w:jc w:val="both"/>
        <w:rPr>
          <w:rFonts w:ascii="Cambria" w:hAnsi="Cambria"/>
          <w:sz w:val="20"/>
          <w:szCs w:val="20"/>
          <w:lang w:val="es-ES"/>
        </w:rPr>
      </w:pPr>
    </w:p>
    <w:p w:rsidR="0037742A" w:rsidRPr="00953D75" w:rsidRDefault="0037742A" w:rsidP="005F7664">
      <w:pPr>
        <w:pStyle w:val="Default"/>
        <w:numPr>
          <w:ilvl w:val="0"/>
          <w:numId w:val="55"/>
        </w:numPr>
        <w:jc w:val="both"/>
        <w:rPr>
          <w:rFonts w:ascii="Cambria" w:hAnsi="Cambria"/>
          <w:sz w:val="20"/>
          <w:szCs w:val="20"/>
          <w:lang w:val="es-ES"/>
        </w:rPr>
      </w:pPr>
      <w:r>
        <w:rPr>
          <w:rFonts w:ascii="Cambria" w:hAnsi="Cambria"/>
          <w:sz w:val="20"/>
          <w:szCs w:val="20"/>
          <w:lang w:val="es-ES"/>
        </w:rPr>
        <w:t>En adición, considera que la petición debe ser inadmitida por no cumplir con el requisito de agotamiento de los recursos internos en los términos del artículo 46.1(a) de la Convención Americana. Indica que el peticionario no agotó la acción de reparación directa por actos del legislador que es procedente en casos en que el ejercicio de la función legislativa del Estado cause a una persona un daño que no está en el deber jurídico de soportar. Alega que esta acción hubiese sido idónea para que el peticionario planteara sus reclamaciones y obtuviera reparación por los defectos que alega existen en la estructura constitucional del proceso penal especial para congresistas relacionados con la falta de una doble instancia y de separación entre las funciones de juzgamiento e investigación. Destaca que la declaratoria de inconstitucionalidad de una norma no es prerrequisito para que proceda una acción de reparación directa por daños causados por ella. De igual manera, señala que la acción de tutela contra providencias judiciales era un mecanismo adecuado y efectivo para que la presunta víctima recurriera la sentencia condenatoria. Resalta que las causas de procedencia de la acción de tutela contra sentencia judicial incluyen los defectos fácticos, sustantivos y orgánicos; por lo que el peticionario hubiera podido usar esta acción para plantear sus reclamaciones con respecto a que el tribunal que lo condenó no era el competente o que el mismo incurrió en errores en la valoración de la prueba o en la aplicación del derecho. Sostiene que, aunque el peticionario presentó argumentos con respecto a una acción de tutela instaurada a nombre de la presunta víctima contra la sentencia proferida en su contra por la Sala Penal de la Corte Suprema de Justicia, dicho recurso no fue agotado conforme lo establecido por el Estado mediante sus bases de datos oficiales</w:t>
      </w:r>
    </w:p>
    <w:p w:rsidR="0037742A" w:rsidRPr="003F7854" w:rsidRDefault="0037742A" w:rsidP="003F785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Arial" w:hAnsi="Arial" w:cs="Arial"/>
          <w:sz w:val="16"/>
          <w:szCs w:val="16"/>
          <w:lang w:val="es-VE" w:eastAsia="es-ES"/>
        </w:rPr>
      </w:pPr>
    </w:p>
    <w:p w:rsidR="0037742A" w:rsidRPr="00F7221F" w:rsidRDefault="0037742A" w:rsidP="00F7221F">
      <w:pPr>
        <w:pBdr>
          <w:top w:val="none" w:sz="0" w:space="0" w:color="auto"/>
          <w:left w:val="none" w:sz="0" w:space="0" w:color="auto"/>
          <w:bottom w:val="none" w:sz="0" w:space="0" w:color="auto"/>
          <w:right w:val="none" w:sz="0" w:space="0" w:color="auto"/>
          <w:bar w:val="none" w:sz="0" w:color="auto"/>
        </w:pBdr>
        <w:suppressAutoHyphens/>
        <w:spacing w:after="240"/>
        <w:ind w:left="720"/>
        <w:jc w:val="both"/>
        <w:rPr>
          <w:rFonts w:ascii="Cambria" w:hAnsi="Cambria"/>
          <w:sz w:val="20"/>
          <w:szCs w:val="20"/>
          <w:lang w:val="es-UY"/>
        </w:rPr>
      </w:pPr>
      <w:r w:rsidRPr="00CC38B7">
        <w:rPr>
          <w:rFonts w:ascii="Cambria" w:hAnsi="Cambria" w:cs="Cambria"/>
          <w:b/>
          <w:bCs/>
          <w:color w:val="000000"/>
          <w:sz w:val="20"/>
          <w:szCs w:val="20"/>
          <w:u w:color="000000"/>
          <w:lang w:val="es-ES" w:eastAsia="es-ES"/>
        </w:rPr>
        <w:t>VI.</w:t>
      </w:r>
      <w:r w:rsidRPr="00CC38B7">
        <w:rPr>
          <w:rFonts w:ascii="Cambria" w:hAnsi="Cambria" w:cs="Cambria"/>
          <w:b/>
          <w:bCs/>
          <w:color w:val="000000"/>
          <w:sz w:val="20"/>
          <w:szCs w:val="20"/>
          <w:u w:color="000000"/>
          <w:lang w:val="es-ES" w:eastAsia="es-ES"/>
        </w:rPr>
        <w:tab/>
      </w:r>
      <w:r w:rsidRPr="00CC38B7">
        <w:rPr>
          <w:rFonts w:ascii="Cambria" w:hAnsi="Cambria"/>
          <w:b/>
          <w:bCs/>
          <w:sz w:val="20"/>
          <w:szCs w:val="20"/>
          <w:lang w:val="es-ES_tradnl"/>
        </w:rPr>
        <w:t xml:space="preserve">ANÁLISIS DE </w:t>
      </w:r>
      <w:r w:rsidRPr="00CC38B7">
        <w:rPr>
          <w:rFonts w:ascii="Cambria" w:hAnsi="Cambria"/>
          <w:b/>
          <w:sz w:val="20"/>
          <w:szCs w:val="20"/>
          <w:lang w:val="es-ES"/>
        </w:rPr>
        <w:t>AGOTAMIENTO DE LOS RECURSOS INTERNOS Y PLAZO DE PRESENTACIÓN</w:t>
      </w:r>
      <w:r w:rsidRPr="00CC38B7">
        <w:rPr>
          <w:rFonts w:ascii="Cambria" w:hAnsi="Cambria" w:cs="Cambria"/>
          <w:b/>
          <w:bCs/>
          <w:color w:val="000000"/>
          <w:sz w:val="20"/>
          <w:szCs w:val="20"/>
          <w:u w:color="000000"/>
          <w:lang w:val="es-ES" w:eastAsia="es-ES"/>
        </w:rPr>
        <w:t xml:space="preserve"> </w:t>
      </w:r>
    </w:p>
    <w:p w:rsidR="0037742A" w:rsidRPr="00BA7A1C" w:rsidRDefault="0037742A" w:rsidP="001D0112">
      <w:pPr>
        <w:pStyle w:val="Default"/>
        <w:numPr>
          <w:ilvl w:val="0"/>
          <w:numId w:val="55"/>
        </w:numPr>
        <w:jc w:val="both"/>
        <w:rPr>
          <w:rFonts w:ascii="Cambria" w:hAnsi="Cambria" w:cs="Arial"/>
          <w:sz w:val="20"/>
          <w:szCs w:val="20"/>
          <w:lang w:val="es-VE"/>
        </w:rPr>
      </w:pPr>
      <w:r>
        <w:rPr>
          <w:rFonts w:ascii="Cambria" w:hAnsi="Cambria"/>
          <w:sz w:val="20"/>
          <w:szCs w:val="20"/>
          <w:lang w:val="es-ES"/>
        </w:rPr>
        <w:t>La Comisión observa que el peticionario ha indicado que la acción de reparación directa no constituía un recurso efectivo para el caso de la presunta víctima y que la acción de tutela fue interpuesta pero resultó inefectiva en la práctica porque fue rechazada por la Corte Suprema y no seleccionada para revisión por la Corte Constitucional. De igual manera, toma nota que el Estado sostiene que tanto la acción de reparación directa por actos del legislador como la acción de tutela contra providencia judicial eran recursos adecuados y efectivos que debieron ser agotados por la presunta víctima y no lo fueron.</w:t>
      </w:r>
    </w:p>
    <w:p w:rsidR="0037742A" w:rsidRPr="000F2A0E" w:rsidRDefault="0037742A" w:rsidP="00BA7A1C">
      <w:pPr>
        <w:pStyle w:val="Default"/>
        <w:ind w:left="720"/>
        <w:jc w:val="both"/>
        <w:rPr>
          <w:rFonts w:ascii="Cambria" w:hAnsi="Cambria" w:cs="Arial"/>
          <w:sz w:val="20"/>
          <w:szCs w:val="20"/>
          <w:lang w:val="es-VE"/>
        </w:rPr>
      </w:pPr>
    </w:p>
    <w:p w:rsidR="0037742A" w:rsidRPr="009D0FAE" w:rsidRDefault="0037742A" w:rsidP="001D0112">
      <w:pPr>
        <w:pStyle w:val="Default"/>
        <w:numPr>
          <w:ilvl w:val="0"/>
          <w:numId w:val="55"/>
        </w:numPr>
        <w:jc w:val="both"/>
        <w:rPr>
          <w:rFonts w:ascii="Cambria" w:hAnsi="Cambria" w:cs="Arial"/>
          <w:sz w:val="20"/>
          <w:szCs w:val="20"/>
          <w:lang w:val="es-VE"/>
        </w:rPr>
      </w:pPr>
      <w:r>
        <w:rPr>
          <w:rFonts w:ascii="Cambria" w:hAnsi="Cambria" w:cs="Arial"/>
          <w:sz w:val="20"/>
          <w:szCs w:val="20"/>
          <w:lang w:val="es-VE"/>
        </w:rPr>
        <w:t xml:space="preserve">Dada las alegaciones de las partes, la Comisión considera pertinente recordar su criterio sostenido según el cual </w:t>
      </w:r>
      <w:r w:rsidRPr="00FC2B4A">
        <w:rPr>
          <w:rFonts w:ascii="Cambria" w:hAnsi="Cambria" w:cs="Calibri"/>
          <w:sz w:val="20"/>
          <w:szCs w:val="20"/>
          <w:lang w:val="es-ES_tradnl"/>
        </w:rPr>
        <w:t xml:space="preserve">vez que un Estado alega la falta de agotamiento de los recursos internos por parte de los peticionarios, tiene la carga de identificar cuáles serían los recursos a agotarse y demostrar que los recursos </w:t>
      </w:r>
      <w:r w:rsidRPr="00FC2B4A">
        <w:rPr>
          <w:rFonts w:ascii="Cambria" w:hAnsi="Cambria" w:cs="Calibri"/>
          <w:sz w:val="20"/>
          <w:szCs w:val="20"/>
          <w:lang w:val="es-ES_tradnl"/>
        </w:rPr>
        <w:lastRenderedPageBreak/>
        <w:t>que no han sido agotados resultan “adecuados” para subsanar la violación alegada, vale decir que la función de esos recursos dentro del sistema del derecho interno es idónea para proteger la situación jurídica infringida</w:t>
      </w:r>
      <w:r w:rsidRPr="00FC2B4A">
        <w:rPr>
          <w:rStyle w:val="FootnoteReference"/>
          <w:rFonts w:ascii="Cambria" w:hAnsi="Cambria" w:cs="Calibri"/>
          <w:sz w:val="20"/>
          <w:szCs w:val="20"/>
        </w:rPr>
        <w:footnoteReference w:id="4"/>
      </w:r>
      <w:r>
        <w:rPr>
          <w:rFonts w:ascii="Cambria" w:hAnsi="Cambria" w:cs="Calibri"/>
          <w:sz w:val="20"/>
          <w:szCs w:val="20"/>
          <w:lang w:val="es-ES_tradnl"/>
        </w:rPr>
        <w:t>. De igual manera, sus criterios respecto a que p</w:t>
      </w:r>
      <w:r w:rsidRPr="00FC2B4A">
        <w:rPr>
          <w:rFonts w:ascii="Cambria" w:hAnsi="Cambria" w:cs="Calibri"/>
          <w:sz w:val="20"/>
          <w:szCs w:val="20"/>
          <w:lang w:val="es-ES_tradnl"/>
        </w:rPr>
        <w:t>ara efectos de determinar la vía procesal adecuada en el ordenamiento interno la Comisión considera necesario establecer, preliminarmente, el objeto de la petición presentada a su conocimiento</w:t>
      </w:r>
      <w:r w:rsidRPr="00FC2B4A">
        <w:rPr>
          <w:rStyle w:val="FootnoteReference"/>
          <w:rFonts w:ascii="Cambria" w:hAnsi="Cambria" w:cs="Calibri"/>
          <w:sz w:val="20"/>
          <w:szCs w:val="20"/>
        </w:rPr>
        <w:footnoteReference w:id="5"/>
      </w:r>
      <w:r>
        <w:rPr>
          <w:rFonts w:ascii="Cambria" w:hAnsi="Cambria" w:cs="Calibri"/>
          <w:sz w:val="20"/>
          <w:szCs w:val="20"/>
          <w:lang w:val="es-ES_tradnl"/>
        </w:rPr>
        <w:t xml:space="preserve"> y a que no es exigible el agotamiento de los recursos que sean ineficaces por no tener perspectivas razonables de éxito</w:t>
      </w:r>
      <w:r w:rsidRPr="00FC2B4A">
        <w:rPr>
          <w:rStyle w:val="FootnoteReference"/>
          <w:rFonts w:ascii="Cambria" w:hAnsi="Cambria" w:cs="Calibri"/>
          <w:sz w:val="20"/>
          <w:szCs w:val="20"/>
        </w:rPr>
        <w:footnoteReference w:id="6"/>
      </w:r>
      <w:r w:rsidRPr="00FC2B4A">
        <w:rPr>
          <w:rFonts w:ascii="Cambria" w:hAnsi="Cambria" w:cs="Calibri"/>
          <w:sz w:val="20"/>
          <w:szCs w:val="20"/>
          <w:lang w:val="es-ES_tradnl"/>
        </w:rPr>
        <w:t>.</w:t>
      </w:r>
      <w:r>
        <w:rPr>
          <w:rFonts w:ascii="Cambria" w:hAnsi="Cambria" w:cs="Calibri"/>
          <w:sz w:val="20"/>
          <w:szCs w:val="20"/>
          <w:lang w:val="es-ES_tradnl"/>
        </w:rPr>
        <w:t xml:space="preserve"> </w:t>
      </w:r>
    </w:p>
    <w:p w:rsidR="0037742A" w:rsidRDefault="0037742A" w:rsidP="009D0FAE">
      <w:pPr>
        <w:pStyle w:val="ListParagraph"/>
        <w:pBdr>
          <w:top w:val="none" w:sz="0" w:space="0" w:color="auto"/>
          <w:left w:val="none" w:sz="0" w:space="0" w:color="auto"/>
          <w:bottom w:val="none" w:sz="0" w:space="0" w:color="auto"/>
          <w:right w:val="none" w:sz="0" w:space="0" w:color="auto"/>
          <w:bar w:val="none" w:sz="0" w:color="auto"/>
        </w:pBdr>
        <w:rPr>
          <w:rFonts w:cs="Arial"/>
          <w:sz w:val="20"/>
          <w:szCs w:val="20"/>
          <w:lang w:val="es-VE"/>
        </w:rPr>
      </w:pPr>
    </w:p>
    <w:p w:rsidR="0037742A" w:rsidRDefault="0037742A" w:rsidP="001D0112">
      <w:pPr>
        <w:pStyle w:val="Default"/>
        <w:numPr>
          <w:ilvl w:val="0"/>
          <w:numId w:val="55"/>
        </w:numPr>
        <w:jc w:val="both"/>
        <w:rPr>
          <w:rFonts w:ascii="Cambria" w:hAnsi="Cambria" w:cs="Arial"/>
          <w:sz w:val="20"/>
          <w:szCs w:val="20"/>
          <w:lang w:val="es-VE"/>
        </w:rPr>
      </w:pPr>
      <w:r>
        <w:rPr>
          <w:rFonts w:ascii="Cambria" w:hAnsi="Cambria" w:cs="Arial"/>
          <w:sz w:val="20"/>
          <w:szCs w:val="20"/>
          <w:lang w:val="es-VE"/>
        </w:rPr>
        <w:t xml:space="preserve">La Comisión toma nota que el Estado ha indicado las razones por las que considera que la acción de reparación directa por actos del legislador hubiese sido un recurso adecuado para que la presunta víctima planteara sus reclamaciones a nivel interno. El peticionario ha alegado que dicha acción hubiese estado destinada al fracaso dado que la jurisprudencia doméstica había avalado reiteradamente la constitucionalidad y convencionalidad de la instancia única y la no separación de las funciones de investigación y juzgamiento en los procesos penales especiales contra congresistas. Dicha aseveración del peticionario es avalada por la información aportada por el Estado quien también </w:t>
      </w:r>
      <w:r w:rsidR="00D4419B">
        <w:rPr>
          <w:rFonts w:ascii="Cambria" w:hAnsi="Cambria" w:cs="Arial"/>
          <w:sz w:val="20"/>
          <w:szCs w:val="20"/>
          <w:lang w:val="es-VE"/>
        </w:rPr>
        <w:t>h</w:t>
      </w:r>
      <w:r>
        <w:rPr>
          <w:rFonts w:ascii="Cambria" w:hAnsi="Cambria" w:cs="Arial"/>
          <w:sz w:val="20"/>
          <w:szCs w:val="20"/>
          <w:lang w:val="es-VE"/>
        </w:rPr>
        <w:t xml:space="preserve">a hecho referencia a los criterios sostenidos de los tribunales domésticos sobre estos puntos. En adición la Comisión observa que la pretensión principal de la presunta víctima era obtener la revocación de la condena penal en su contra lo que no era alcanzable mediante la acción de reparación directa. Por estas razones, la Comisión considera que la acción de reparación directa no constituía un recurso idóneo cuyo agotamiento podía ser exigido a la presunta víctima. </w:t>
      </w:r>
    </w:p>
    <w:p w:rsidR="0037742A" w:rsidRDefault="0037742A" w:rsidP="00581E72">
      <w:pPr>
        <w:pStyle w:val="Default"/>
        <w:ind w:left="720"/>
        <w:jc w:val="both"/>
        <w:rPr>
          <w:rFonts w:ascii="Cambria" w:hAnsi="Cambria" w:cs="Arial"/>
          <w:sz w:val="20"/>
          <w:szCs w:val="20"/>
          <w:lang w:val="es-VE"/>
        </w:rPr>
      </w:pPr>
    </w:p>
    <w:p w:rsidR="0037742A" w:rsidRDefault="0037742A" w:rsidP="00797AFC">
      <w:pPr>
        <w:pStyle w:val="Default"/>
        <w:ind w:firstLine="720"/>
        <w:jc w:val="both"/>
        <w:rPr>
          <w:rFonts w:ascii="Cambria" w:hAnsi="Cambria" w:cs="Arial"/>
          <w:sz w:val="20"/>
          <w:szCs w:val="20"/>
          <w:lang w:val="es-VE"/>
        </w:rPr>
      </w:pPr>
      <w:r w:rsidRPr="00797AFC">
        <w:rPr>
          <w:rFonts w:ascii="Cambria" w:hAnsi="Cambria" w:cs="Arial"/>
          <w:sz w:val="20"/>
          <w:szCs w:val="20"/>
          <w:lang w:val="es-VE"/>
        </w:rPr>
        <w:t>14.  Con respecto a la acción de tutela, la Comisión toma nota que existe controversia entre las partes respecto a si este recurso fue agotado. La Comisión también observa que se desprende del expediente que ya existía un reiterado criterio jurisprudencial doméstico en el sentido de que la falta de una segunda instancia o de separación entre las funciones de investigación o juzgamiento en los procesos penales especiales contra personas aforadas no constituían violaciones a derechos constitucionales ni convencionales. Por esta razón, la Comisión estima que dicha acción no tenía probabilidades reales de éxito con respecto a las reclamaciones de la parte peticionaria relacionadas con estos puntos. El Estado ha indicado que algunas de las reclamaciones del peticionario entre ellas las referentes a la falta de competencia de la Corte Suprema de Justicia para juzgarlo, encajaban en las causales de procedencia de la acción de tutel</w:t>
      </w:r>
      <w:r>
        <w:rPr>
          <w:rFonts w:ascii="Cambria" w:hAnsi="Cambria" w:cs="Arial"/>
          <w:sz w:val="20"/>
          <w:szCs w:val="20"/>
          <w:lang w:val="es-VE"/>
        </w:rPr>
        <w:t>a contra sentencias judicia</w:t>
      </w:r>
      <w:r w:rsidRPr="00E55B27">
        <w:rPr>
          <w:rFonts w:ascii="Cambria" w:hAnsi="Cambria" w:cs="Arial"/>
          <w:sz w:val="20"/>
          <w:szCs w:val="20"/>
          <w:lang w:val="es-VE"/>
        </w:rPr>
        <w:t xml:space="preserve">les. En relación a este punto, la Comisión recuerda que ya </w:t>
      </w:r>
      <w:r w:rsidRPr="00E55B27">
        <w:rPr>
          <w:rFonts w:ascii="Cambria" w:hAnsi="Cambria" w:cs="Calibri"/>
          <w:sz w:val="20"/>
          <w:szCs w:val="20"/>
          <w:lang w:val="es-ES_tradnl"/>
        </w:rPr>
        <w:t>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E55B27">
        <w:rPr>
          <w:rStyle w:val="FootnoteReference"/>
          <w:rFonts w:ascii="Cambria" w:hAnsi="Cambria" w:cs="Calibri"/>
          <w:sz w:val="20"/>
          <w:szCs w:val="20"/>
          <w:lang w:val="es-ES_tradnl"/>
        </w:rPr>
        <w:footnoteReference w:id="7"/>
      </w:r>
      <w:r w:rsidRPr="00E55B27">
        <w:rPr>
          <w:rFonts w:ascii="Cambria" w:hAnsi="Cambria" w:cs="Calibri"/>
          <w:sz w:val="20"/>
          <w:szCs w:val="20"/>
          <w:lang w:val="es-ES_tradnl"/>
        </w:rPr>
        <w:t>. En el presente caso la Comisión valora que las reclamaciones de la presunta</w:t>
      </w:r>
      <w:r w:rsidRPr="00E55B27">
        <w:rPr>
          <w:rFonts w:ascii="Cambria" w:hAnsi="Cambria" w:cs="Arial"/>
          <w:sz w:val="20"/>
          <w:szCs w:val="20"/>
          <w:lang w:val="es-VE"/>
        </w:rPr>
        <w:t xml:space="preserve"> víctima respecto a la falta de competencia de la Corte Suprema para juzgarlo fueron planteadas por la vía ordinaria durante el desarrollo del proceso penal. Por esta razón considera, como ya lo ha hecho en un caso de similar naturaleza, que el requisito de agotamiento de los recursos internos no exige que la presunta víctima hubiese también acudido extraordinariamente a la vía constitucional</w:t>
      </w:r>
      <w:r w:rsidRPr="00E55B27">
        <w:rPr>
          <w:rStyle w:val="FootnoteReference"/>
          <w:rFonts w:ascii="Cambria" w:hAnsi="Cambria"/>
          <w:sz w:val="20"/>
          <w:szCs w:val="20"/>
          <w:lang w:val="es-VE"/>
        </w:rPr>
        <w:footnoteReference w:id="8"/>
      </w:r>
      <w:r w:rsidRPr="00E55B27">
        <w:rPr>
          <w:rFonts w:ascii="Cambria" w:hAnsi="Cambria" w:cs="Arial"/>
          <w:sz w:val="20"/>
          <w:szCs w:val="20"/>
          <w:lang w:val="es-VE"/>
        </w:rPr>
        <w:t>.</w:t>
      </w:r>
    </w:p>
    <w:p w:rsidR="0037742A" w:rsidRDefault="0037742A" w:rsidP="00797AFC">
      <w:pPr>
        <w:pStyle w:val="Default"/>
        <w:ind w:firstLine="720"/>
        <w:jc w:val="both"/>
        <w:rPr>
          <w:rFonts w:ascii="Cambria" w:hAnsi="Cambria" w:cs="Arial"/>
          <w:sz w:val="20"/>
          <w:szCs w:val="20"/>
          <w:lang w:val="es-VE"/>
        </w:rPr>
      </w:pPr>
    </w:p>
    <w:p w:rsidR="0037742A" w:rsidRDefault="0037742A" w:rsidP="00797AFC">
      <w:pPr>
        <w:pStyle w:val="Default"/>
        <w:ind w:firstLine="720"/>
        <w:jc w:val="both"/>
        <w:rPr>
          <w:rFonts w:ascii="Cambria" w:hAnsi="Cambria" w:cs="Arial"/>
          <w:sz w:val="20"/>
          <w:szCs w:val="20"/>
          <w:lang w:val="es-VE"/>
        </w:rPr>
      </w:pPr>
      <w:r w:rsidRPr="00E55B27">
        <w:rPr>
          <w:rFonts w:ascii="Cambria" w:hAnsi="Cambria" w:cs="Arial"/>
          <w:sz w:val="20"/>
          <w:szCs w:val="20"/>
          <w:lang w:val="es-VE"/>
        </w:rPr>
        <w:t xml:space="preserve">15. Por las razones expuestas y dado que la decisión final fue notificada a la presunta víctima el </w:t>
      </w:r>
      <w:r w:rsidRPr="00E55B27">
        <w:rPr>
          <w:rFonts w:ascii="Cambria" w:hAnsi="Cambria" w:cs="Arial"/>
          <w:sz w:val="20"/>
          <w:szCs w:val="20"/>
          <w:lang w:val="es-VE" w:eastAsia="es-ES"/>
        </w:rPr>
        <w:t>26 de febrero de 2011</w:t>
      </w:r>
      <w:r w:rsidRPr="00E55B27">
        <w:rPr>
          <w:rFonts w:ascii="Cambria" w:hAnsi="Cambria" w:cs="Arial"/>
          <w:sz w:val="20"/>
          <w:szCs w:val="20"/>
          <w:lang w:val="es-VE"/>
        </w:rPr>
        <w:t xml:space="preserve"> y la petición presentada el </w:t>
      </w:r>
      <w:r w:rsidRPr="00E55B27">
        <w:rPr>
          <w:rFonts w:ascii="Cambria" w:hAnsi="Cambria"/>
          <w:bCs/>
          <w:sz w:val="20"/>
          <w:szCs w:val="20"/>
          <w:lang w:val="es-ES"/>
        </w:rPr>
        <w:t>22 de agosto de 2011,</w:t>
      </w:r>
      <w:r w:rsidRPr="00E55B27">
        <w:rPr>
          <w:rFonts w:ascii="Cambria" w:hAnsi="Cambria" w:cs="Arial"/>
          <w:sz w:val="20"/>
          <w:szCs w:val="20"/>
          <w:lang w:val="es-VE"/>
        </w:rPr>
        <w:t xml:space="preserve">  la Comisión concluye que la presente petición cumple con los requisitos del artículo 46.1(a) y (b) de la Convención Americana.</w:t>
      </w:r>
    </w:p>
    <w:p w:rsidR="0037742A" w:rsidRPr="00E47C3F" w:rsidRDefault="0037742A" w:rsidP="00D835F3">
      <w:pPr>
        <w:pStyle w:val="Default"/>
        <w:ind w:left="720"/>
        <w:jc w:val="both"/>
        <w:rPr>
          <w:rFonts w:ascii="Cambria" w:hAnsi="Cambria" w:cs="Arial"/>
          <w:sz w:val="20"/>
          <w:szCs w:val="20"/>
          <w:lang w:val="es-VE"/>
        </w:rPr>
      </w:pPr>
    </w:p>
    <w:p w:rsidR="0037742A" w:rsidRDefault="0037742A" w:rsidP="00E051BD">
      <w:pPr>
        <w:pStyle w:val="Default"/>
        <w:ind w:left="720"/>
        <w:rPr>
          <w:rFonts w:ascii="Cambria" w:hAnsi="Cambria"/>
          <w:b/>
          <w:bCs/>
          <w:sz w:val="20"/>
          <w:szCs w:val="20"/>
          <w:lang w:val="es-UY"/>
        </w:rPr>
      </w:pPr>
      <w:r>
        <w:rPr>
          <w:rFonts w:ascii="Cambria" w:hAnsi="Cambria"/>
          <w:b/>
          <w:bCs/>
          <w:sz w:val="20"/>
          <w:szCs w:val="20"/>
          <w:lang w:val="es-ES"/>
        </w:rPr>
        <w:t>VII.</w:t>
      </w:r>
      <w:r>
        <w:rPr>
          <w:rFonts w:ascii="Cambria" w:hAnsi="Cambria"/>
          <w:b/>
          <w:bCs/>
          <w:sz w:val="20"/>
          <w:szCs w:val="20"/>
          <w:lang w:val="es-ES"/>
        </w:rPr>
        <w:tab/>
      </w:r>
      <w:r w:rsidRPr="00151C27">
        <w:rPr>
          <w:rFonts w:ascii="Cambria" w:hAnsi="Cambria"/>
          <w:b/>
          <w:bCs/>
          <w:sz w:val="20"/>
          <w:szCs w:val="20"/>
          <w:lang w:val="es-ES_tradnl"/>
        </w:rPr>
        <w:t xml:space="preserve">ANÁLISIS DE </w:t>
      </w:r>
      <w:r w:rsidRPr="003239B8">
        <w:rPr>
          <w:rFonts w:ascii="Cambria" w:hAnsi="Cambria"/>
          <w:b/>
          <w:bCs/>
          <w:sz w:val="20"/>
          <w:szCs w:val="20"/>
          <w:lang w:val="es-ES"/>
        </w:rPr>
        <w:t xml:space="preserve">CARACTERIZACIÓN </w:t>
      </w:r>
      <w:r w:rsidRPr="0063685A">
        <w:rPr>
          <w:rFonts w:ascii="Cambria" w:hAnsi="Cambria"/>
          <w:b/>
          <w:bCs/>
          <w:sz w:val="20"/>
          <w:szCs w:val="20"/>
          <w:lang w:val="es-UY"/>
        </w:rPr>
        <w:t>DE LOS HECHOS ALEGADOS</w:t>
      </w:r>
    </w:p>
    <w:p w:rsidR="0037742A" w:rsidRDefault="0037742A" w:rsidP="00D835F3">
      <w:pPr>
        <w:pStyle w:val="Default"/>
        <w:ind w:left="720"/>
        <w:jc w:val="both"/>
        <w:rPr>
          <w:rFonts w:ascii="Cambria" w:hAnsi="Cambria" w:cs="Arial"/>
          <w:sz w:val="20"/>
          <w:szCs w:val="20"/>
          <w:lang w:val="es-VE"/>
        </w:rPr>
      </w:pPr>
    </w:p>
    <w:p w:rsidR="0037742A" w:rsidRPr="00E55B27" w:rsidRDefault="0037742A" w:rsidP="0036243D">
      <w:pPr>
        <w:pStyle w:val="Default"/>
        <w:numPr>
          <w:ilvl w:val="0"/>
          <w:numId w:val="59"/>
        </w:numPr>
        <w:jc w:val="both"/>
        <w:rPr>
          <w:rFonts w:ascii="Cambria" w:hAnsi="Cambria" w:cs="Arial"/>
          <w:sz w:val="20"/>
          <w:szCs w:val="20"/>
          <w:lang w:val="es-VE"/>
        </w:rPr>
      </w:pPr>
      <w:r w:rsidRPr="00E55B27">
        <w:rPr>
          <w:rFonts w:ascii="Cambria" w:hAnsi="Cambria" w:cs="Arial"/>
          <w:sz w:val="20"/>
          <w:szCs w:val="20"/>
          <w:lang w:val="es-VE"/>
        </w:rPr>
        <w:t xml:space="preserve">La Comisión observa que la presente petición incluye alegaciones con respecto a: (1) que la Corte Suprema utilizó la figura del cambio de precedente para reasumir competencia sobre el proceso penal </w:t>
      </w:r>
      <w:r w:rsidRPr="00E55B27">
        <w:rPr>
          <w:rFonts w:ascii="Cambria" w:hAnsi="Cambria" w:cs="Arial"/>
          <w:sz w:val="20"/>
          <w:szCs w:val="20"/>
          <w:lang w:val="es-VE"/>
        </w:rPr>
        <w:lastRenderedPageBreak/>
        <w:t xml:space="preserve">adelantado contra la presunta víctima y sustraerlo del conocimiento de la justicia ordinaria, pese a que no existía norma legal que la facultara para decidir unilateralmente reasumir competencia sobre un asunto con respecto al cual ya la había declinado; (2) </w:t>
      </w:r>
      <w:r>
        <w:rPr>
          <w:color w:val="auto"/>
          <w:sz w:val="20"/>
          <w:szCs w:val="20"/>
          <w:lang w:val="es-VE"/>
        </w:rPr>
        <w:t>que la Corte Suprema ilícitamente emitió su condena con base en diligencias actuadas en la justicia ordinaria a pesar de que su nueva postura jurisprudencial sostenía que estas no eran competentes para juzgar o investigar a la presunta víctima</w:t>
      </w:r>
      <w:r w:rsidRPr="00E55B27">
        <w:rPr>
          <w:rFonts w:ascii="Cambria" w:hAnsi="Cambria" w:cs="Arial"/>
          <w:sz w:val="20"/>
          <w:szCs w:val="20"/>
          <w:lang w:val="es-VE"/>
        </w:rPr>
        <w:t xml:space="preserve">; (3) </w:t>
      </w:r>
      <w:r>
        <w:rPr>
          <w:color w:val="auto"/>
          <w:sz w:val="20"/>
          <w:szCs w:val="20"/>
          <w:lang w:val="es-VE"/>
        </w:rPr>
        <w:t xml:space="preserve">que la presunta víctima no tuvo acceso a un recurso efectivo contra la sentencia condenatoria </w:t>
      </w:r>
      <w:r w:rsidRPr="00E55B27">
        <w:rPr>
          <w:rFonts w:ascii="Cambria" w:hAnsi="Cambria" w:cs="Arial"/>
          <w:sz w:val="20"/>
          <w:szCs w:val="20"/>
          <w:lang w:val="es-VE"/>
        </w:rPr>
        <w:t xml:space="preserve">y (4) que la presunta víctima fue condenado por un tribunal que no se podía considerar imparcial por estar integrado por las mismas personas que realizaron la investigación y la formulación de cargos en su contra. </w:t>
      </w:r>
    </w:p>
    <w:p w:rsidR="0037742A" w:rsidRPr="00E55B27" w:rsidRDefault="0037742A" w:rsidP="00D835F3">
      <w:pPr>
        <w:pStyle w:val="Default"/>
        <w:ind w:left="720"/>
        <w:jc w:val="both"/>
        <w:rPr>
          <w:rFonts w:ascii="Cambria" w:hAnsi="Cambria" w:cs="Arial"/>
          <w:sz w:val="20"/>
          <w:szCs w:val="20"/>
          <w:lang w:val="es-VE"/>
        </w:rPr>
      </w:pPr>
    </w:p>
    <w:p w:rsidR="0037742A" w:rsidRPr="00E55B27" w:rsidRDefault="0037742A" w:rsidP="00532DCD">
      <w:p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E55B27">
        <w:rPr>
          <w:rFonts w:ascii="Cambria" w:hAnsi="Cambria" w:cs="Arial"/>
          <w:sz w:val="20"/>
          <w:szCs w:val="20"/>
          <w:lang w:val="es-VE"/>
        </w:rPr>
        <w:tab/>
        <w:t xml:space="preserve">17. </w:t>
      </w:r>
      <w:r w:rsidRPr="00E55B27">
        <w:rPr>
          <w:rFonts w:ascii="Cambria" w:hAnsi="Cambria" w:cs="Arial"/>
          <w:sz w:val="20"/>
          <w:szCs w:val="20"/>
          <w:lang w:val="es-VE"/>
        </w:rPr>
        <w:tab/>
        <w:t xml:space="preserve">Ante alegaciones de esta naturaleza la Comisión considera pertinente recordar que </w:t>
      </w:r>
      <w:r w:rsidRPr="00E55B27">
        <w:rPr>
          <w:rFonts w:ascii="Cambria" w:hAnsi="Cambria"/>
          <w:sz w:val="20"/>
          <w:szCs w:val="20"/>
          <w:lang w:val="es-PA"/>
        </w:rPr>
        <w:t xml:space="preserve">la Corte Interamericana ha </w:t>
      </w:r>
      <w:r>
        <w:rPr>
          <w:rFonts w:ascii="Cambria" w:hAnsi="Cambria"/>
          <w:sz w:val="20"/>
          <w:szCs w:val="20"/>
          <w:lang w:val="es-PA"/>
        </w:rPr>
        <w:t>concluido que</w:t>
      </w:r>
      <w:r w:rsidRPr="00E55B27">
        <w:rPr>
          <w:rFonts w:ascii="Cambria" w:hAnsi="Cambria"/>
          <w:sz w:val="20"/>
          <w:szCs w:val="20"/>
          <w:lang w:val="es-PA"/>
        </w:rPr>
        <w:t xml:space="preserve"> “</w:t>
      </w:r>
      <w:r w:rsidRPr="00E55B27">
        <w:rPr>
          <w:rFonts w:ascii="Cambria" w:hAnsi="Cambria"/>
          <w:sz w:val="20"/>
          <w:szCs w:val="20"/>
          <w:lang w:val="es-ES"/>
        </w:rPr>
        <w:t>el fuero no necesariamente entra en colisión con el derecho al juez natural, si aquél se halla expresamente establecido y definido por el Poder Legislativo y atiende a una finalidad legítima, como antes se manifestó. De esta forma, no solo se respeta el derecho en cuestión, sino que el juez de fuero se convierte en el juez natural del aforado. Si, por el contrario, la ley no consagra el fuero y este es establecido por el Ejecutivo o por el propio Poder Judicial, distrayéndose así al individuo del tribunal que la ley consagra como su juez natural, se vería vulnerado el derecho a ser juzgado por un juez competente”</w:t>
      </w:r>
      <w:r w:rsidRPr="00E55B27">
        <w:rPr>
          <w:rStyle w:val="FootnoteReference"/>
          <w:rFonts w:ascii="Cambria" w:hAnsi="Cambria" w:cs="Cambria"/>
          <w:sz w:val="20"/>
          <w:szCs w:val="20"/>
          <w:lang w:val="es-ES"/>
        </w:rPr>
        <w:footnoteReference w:id="9"/>
      </w:r>
      <w:r w:rsidRPr="00E55B27">
        <w:rPr>
          <w:rFonts w:ascii="Cambria" w:hAnsi="Cambria"/>
          <w:sz w:val="20"/>
          <w:szCs w:val="20"/>
          <w:lang w:val="es-ES"/>
        </w:rPr>
        <w:t>.</w:t>
      </w:r>
      <w:r>
        <w:rPr>
          <w:rFonts w:ascii="Cambria" w:hAnsi="Cambria"/>
          <w:sz w:val="20"/>
          <w:szCs w:val="20"/>
          <w:lang w:val="es-ES"/>
        </w:rPr>
        <w:t xml:space="preserve"> </w:t>
      </w:r>
      <w:r>
        <w:rPr>
          <w:sz w:val="20"/>
          <w:szCs w:val="20"/>
          <w:lang w:val="es-ES"/>
        </w:rPr>
        <w:t xml:space="preserve">De igual manera, que la Corte Interamericana ha reconocido que </w:t>
      </w:r>
      <w:r w:rsidRPr="00B93C13">
        <w:rPr>
          <w:sz w:val="20"/>
          <w:szCs w:val="20"/>
          <w:lang w:val="es-ES"/>
        </w:rPr>
        <w:t>“la designación del máximo órgano de justicia, a efectos del juzgamiento penal de altos funcionarios públicos, no es per se, contraria al artículo 8.2(h) de la Convención Americana”</w:t>
      </w:r>
      <w:r w:rsidRPr="00E0702A">
        <w:rPr>
          <w:rStyle w:val="FootnoteReference"/>
          <w:sz w:val="20"/>
          <w:szCs w:val="20"/>
          <w:lang w:val="es-PA"/>
        </w:rPr>
        <w:t xml:space="preserve"> </w:t>
      </w:r>
      <w:r>
        <w:rPr>
          <w:rStyle w:val="FootnoteReference"/>
          <w:rFonts w:ascii="Cambria" w:hAnsi="Cambria"/>
          <w:sz w:val="20"/>
          <w:szCs w:val="20"/>
          <w:lang w:val="es-PA"/>
        </w:rPr>
        <w:footnoteReference w:id="10"/>
      </w:r>
      <w:r>
        <w:rPr>
          <w:sz w:val="20"/>
          <w:szCs w:val="20"/>
          <w:lang w:val="es-PA"/>
        </w:rPr>
        <w:t xml:space="preserve">, </w:t>
      </w:r>
      <w:r w:rsidRPr="009830D7">
        <w:rPr>
          <w:sz w:val="20"/>
          <w:szCs w:val="20"/>
          <w:lang w:val="es-ES"/>
        </w:rPr>
        <w:t>pero advertido que</w:t>
      </w:r>
      <w:r>
        <w:rPr>
          <w:sz w:val="20"/>
          <w:szCs w:val="20"/>
          <w:lang w:val="es-ES"/>
        </w:rPr>
        <w:t xml:space="preserve"> </w:t>
      </w:r>
      <w:r w:rsidRPr="009830D7">
        <w:rPr>
          <w:sz w:val="20"/>
          <w:szCs w:val="20"/>
          <w:lang w:val="es-ES"/>
        </w:rPr>
        <w:t>“el rango del tribunal que juzga no puede garantizar que el fallo en instancia única será dictado sin errores o vicios</w:t>
      </w:r>
      <w:r>
        <w:rPr>
          <w:lang w:val="es-ES"/>
        </w:rPr>
        <w:t>”</w:t>
      </w:r>
      <w:r w:rsidRPr="00E0702A">
        <w:rPr>
          <w:rStyle w:val="FootnoteReference"/>
          <w:sz w:val="20"/>
          <w:szCs w:val="20"/>
          <w:lang w:val="es-PA"/>
        </w:rPr>
        <w:t xml:space="preserve"> </w:t>
      </w:r>
      <w:r>
        <w:rPr>
          <w:rStyle w:val="FootnoteReference"/>
          <w:rFonts w:ascii="Cambria" w:hAnsi="Cambria"/>
          <w:sz w:val="20"/>
          <w:szCs w:val="20"/>
          <w:lang w:val="es-PA"/>
        </w:rPr>
        <w:footnoteReference w:id="11"/>
      </w:r>
      <w:r>
        <w:rPr>
          <w:sz w:val="20"/>
          <w:szCs w:val="20"/>
          <w:lang w:val="es-ES"/>
        </w:rPr>
        <w:t xml:space="preserve">, y ratificado para estos casos </w:t>
      </w:r>
      <w:r w:rsidRPr="009830D7">
        <w:rPr>
          <w:sz w:val="20"/>
          <w:szCs w:val="20"/>
          <w:lang w:val="es-ES"/>
        </w:rPr>
        <w:t>“la importancia de la existencia de un recurso que permita la revisión de una sentencia condenatoria”</w:t>
      </w:r>
      <w:r w:rsidRPr="00E71FC3">
        <w:rPr>
          <w:rStyle w:val="FootnoteReference"/>
          <w:rFonts w:ascii="Cambria" w:hAnsi="Cambria"/>
          <w:sz w:val="20"/>
          <w:szCs w:val="20"/>
          <w:lang w:val="es-PA"/>
        </w:rPr>
        <w:t xml:space="preserve"> </w:t>
      </w:r>
      <w:r>
        <w:rPr>
          <w:rStyle w:val="FootnoteReference"/>
          <w:rFonts w:ascii="Cambria" w:hAnsi="Cambria"/>
          <w:sz w:val="20"/>
          <w:szCs w:val="20"/>
          <w:lang w:val="es-PA"/>
        </w:rPr>
        <w:footnoteReference w:id="12"/>
      </w:r>
      <w:r>
        <w:rPr>
          <w:sz w:val="20"/>
          <w:szCs w:val="20"/>
          <w:lang w:val="es-ES"/>
        </w:rPr>
        <w:t xml:space="preserve">. En adición, </w:t>
      </w:r>
      <w:r w:rsidRPr="00E55B27">
        <w:rPr>
          <w:rFonts w:ascii="Cambria" w:hAnsi="Cambria"/>
          <w:sz w:val="20"/>
          <w:szCs w:val="20"/>
          <w:lang w:val="es-ES"/>
        </w:rPr>
        <w:t>que la Corte Interamericana ha indicado que “</w:t>
      </w:r>
      <w:r w:rsidRPr="00E55B27">
        <w:rPr>
          <w:rFonts w:ascii="Cambria" w:hAnsi="Cambria"/>
          <w:sz w:val="20"/>
          <w:szCs w:val="20"/>
          <w:lang w:val="es-PA"/>
        </w:rPr>
        <w:t>la imparcialidad exige que el juez que interviene en una contienda particular se aproxime a los hechos de la causa careciendo, de manera subjetiva, de todo prejuicio y, asimismo, ofreciendo garantías suficientes de índole objetiva que permitan desterrar toda duda que el justiciable o la comunidad puedan albergar respecto de la ausencia de imparcialidad”</w:t>
      </w:r>
      <w:r w:rsidRPr="00E55B27">
        <w:rPr>
          <w:rStyle w:val="FootnoteReference"/>
          <w:rFonts w:ascii="Cambria" w:hAnsi="Cambria"/>
          <w:sz w:val="20"/>
          <w:szCs w:val="20"/>
          <w:lang w:val="es-PA"/>
        </w:rPr>
        <w:footnoteReference w:id="13"/>
      </w:r>
      <w:r w:rsidRPr="00E55B27">
        <w:rPr>
          <w:rFonts w:ascii="Cambria" w:hAnsi="Cambria"/>
          <w:sz w:val="20"/>
          <w:szCs w:val="20"/>
          <w:lang w:val="es-PA"/>
        </w:rPr>
        <w:t xml:space="preserve">. </w:t>
      </w:r>
    </w:p>
    <w:p w:rsidR="0037742A" w:rsidRPr="00E55B27" w:rsidRDefault="0037742A" w:rsidP="0036243D">
      <w:pPr>
        <w:pStyle w:val="Default"/>
        <w:numPr>
          <w:ilvl w:val="0"/>
          <w:numId w:val="60"/>
        </w:numPr>
        <w:jc w:val="both"/>
        <w:rPr>
          <w:rFonts w:ascii="Cambria" w:hAnsi="Cambria" w:cs="Arial"/>
          <w:sz w:val="20"/>
          <w:szCs w:val="20"/>
          <w:lang w:val="es-VE"/>
        </w:rPr>
      </w:pPr>
      <w:r w:rsidRPr="00E55B27">
        <w:rPr>
          <w:rFonts w:ascii="Cambria" w:hAnsi="Cambria" w:cs="Arial"/>
          <w:sz w:val="20"/>
          <w:szCs w:val="20"/>
          <w:lang w:val="es-VE"/>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 hechos alegados, de corroborarse como ciertos, podrían caracterizar violaciones a los artículos </w:t>
      </w:r>
      <w:r w:rsidRPr="00E55B27">
        <w:rPr>
          <w:rFonts w:ascii="Cambria" w:hAnsi="Cambria" w:cs="Arial"/>
          <w:sz w:val="20"/>
          <w:szCs w:val="20"/>
          <w:lang w:val="es-VE" w:eastAsia="es-ES"/>
        </w:rPr>
        <w:t xml:space="preserve">7 (Derecho a la libertad personal), 8 (Garantías judiciales), 21 (Derecho a la propiedad privada), 24 (igualdad ante la ley) y 25 (protección judicial) </w:t>
      </w:r>
      <w:r w:rsidRPr="00E55B27">
        <w:rPr>
          <w:rFonts w:ascii="Cambria" w:hAnsi="Cambria"/>
          <w:bCs/>
          <w:sz w:val="20"/>
          <w:szCs w:val="20"/>
          <w:lang w:val="es-VE"/>
        </w:rPr>
        <w:t xml:space="preserve">de la </w:t>
      </w:r>
      <w:proofErr w:type="spellStart"/>
      <w:r w:rsidRPr="00E55B27">
        <w:rPr>
          <w:rFonts w:ascii="Cambria" w:hAnsi="Cambria"/>
          <w:bCs/>
          <w:sz w:val="20"/>
          <w:szCs w:val="20"/>
          <w:lang w:val="es-VE"/>
        </w:rPr>
        <w:t>Convenciόn</w:t>
      </w:r>
      <w:proofErr w:type="spellEnd"/>
      <w:r w:rsidRPr="00E55B27">
        <w:rPr>
          <w:rFonts w:ascii="Cambria" w:hAnsi="Cambria"/>
          <w:bCs/>
          <w:sz w:val="20"/>
          <w:szCs w:val="20"/>
          <w:lang w:val="es-VE"/>
        </w:rPr>
        <w:t xml:space="preserve"> Americana</w:t>
      </w:r>
      <w:r>
        <w:rPr>
          <w:rFonts w:ascii="Cambria" w:hAnsi="Cambria" w:cs="Arial"/>
          <w:sz w:val="20"/>
          <w:szCs w:val="20"/>
          <w:lang w:val="es-VE" w:eastAsia="es-ES"/>
        </w:rPr>
        <w:t>,</w:t>
      </w:r>
      <w:r w:rsidRPr="00E55B27">
        <w:rPr>
          <w:rFonts w:ascii="Cambria" w:hAnsi="Cambria" w:cs="Arial"/>
          <w:sz w:val="20"/>
          <w:szCs w:val="20"/>
          <w:lang w:val="es-VE" w:eastAsia="es-ES"/>
        </w:rPr>
        <w:t xml:space="preserve"> </w:t>
      </w:r>
      <w:r w:rsidRPr="00E55B27">
        <w:rPr>
          <w:rFonts w:ascii="Cambria" w:hAnsi="Cambria" w:cs="Cambria"/>
          <w:sz w:val="20"/>
          <w:szCs w:val="20"/>
          <w:lang w:val="es-VE" w:eastAsia="es-ES"/>
        </w:rPr>
        <w:t>en relación con sus artículos 1.1 (obligación de respetar los derechos) y 2 (deber de adoptar disposiciones de derecho interno)</w:t>
      </w:r>
      <w:r>
        <w:rPr>
          <w:rFonts w:ascii="Cambria" w:hAnsi="Cambria" w:cs="Cambria"/>
          <w:sz w:val="20"/>
          <w:szCs w:val="20"/>
          <w:lang w:val="es-VE" w:eastAsia="es-ES"/>
        </w:rPr>
        <w:t>.</w:t>
      </w:r>
    </w:p>
    <w:p w:rsidR="0037742A" w:rsidRDefault="0037742A" w:rsidP="00B62DA5">
      <w:pPr>
        <w:pStyle w:val="Default"/>
        <w:ind w:left="720"/>
        <w:jc w:val="both"/>
        <w:rPr>
          <w:rFonts w:ascii="Cambria" w:hAnsi="Cambria" w:cs="Arial"/>
          <w:sz w:val="20"/>
          <w:szCs w:val="20"/>
          <w:highlight w:val="yellow"/>
          <w:lang w:val="es-VE"/>
        </w:rPr>
      </w:pPr>
    </w:p>
    <w:p w:rsidR="0037742A" w:rsidRPr="00CE4CC9" w:rsidRDefault="0037742A" w:rsidP="0036243D">
      <w:pPr>
        <w:pStyle w:val="Default"/>
        <w:numPr>
          <w:ilvl w:val="0"/>
          <w:numId w:val="60"/>
        </w:numPr>
        <w:jc w:val="both"/>
        <w:rPr>
          <w:rFonts w:ascii="Cambria" w:hAnsi="Cambria" w:cs="Arial"/>
          <w:sz w:val="20"/>
          <w:szCs w:val="20"/>
          <w:lang w:val="es-VE"/>
        </w:rPr>
      </w:pPr>
      <w:r w:rsidRPr="00CE4CC9">
        <w:rPr>
          <w:rFonts w:ascii="Cambria" w:hAnsi="Cambria" w:cs="Arial"/>
          <w:sz w:val="20"/>
          <w:szCs w:val="20"/>
          <w:lang w:val="es-VE"/>
        </w:rPr>
        <w:t>En cuanto las alegadas violaciones a los artículo 5 (integridad personal)</w:t>
      </w:r>
      <w:r>
        <w:rPr>
          <w:rFonts w:ascii="Cambria" w:hAnsi="Cambria" w:cs="Arial"/>
          <w:sz w:val="20"/>
          <w:szCs w:val="20"/>
          <w:lang w:val="es-VE"/>
        </w:rPr>
        <w:t>, 9 (principio de legalidad y de retroactividad)</w:t>
      </w:r>
      <w:r w:rsidRPr="00CE4CC9">
        <w:rPr>
          <w:rFonts w:ascii="Cambria" w:hAnsi="Cambria" w:cs="Arial"/>
          <w:sz w:val="20"/>
          <w:szCs w:val="20"/>
          <w:lang w:val="es-VE"/>
        </w:rPr>
        <w:t xml:space="preserve"> y 23 (derechos políticos) de la Convención Am</w:t>
      </w:r>
      <w:r>
        <w:rPr>
          <w:rFonts w:ascii="Cambria" w:hAnsi="Cambria" w:cs="Arial"/>
          <w:sz w:val="20"/>
          <w:szCs w:val="20"/>
          <w:lang w:val="es-VE"/>
        </w:rPr>
        <w:t xml:space="preserve">ericana la Comisión estima que </w:t>
      </w:r>
      <w:r w:rsidRPr="00CE4CC9">
        <w:rPr>
          <w:rFonts w:ascii="Cambria" w:hAnsi="Cambria" w:cs="Arial"/>
          <w:sz w:val="20"/>
          <w:szCs w:val="20"/>
          <w:lang w:val="es-VE"/>
        </w:rPr>
        <w:t xml:space="preserve">la parte peticionaria no ha aportado ni se desprenden del expedientes elementos o sustento suficiente que le permitan considerar </w:t>
      </w:r>
      <w:r w:rsidRPr="00CE4CC9">
        <w:rPr>
          <w:rFonts w:ascii="Cambria" w:hAnsi="Cambria" w:cs="Arial"/>
          <w:i/>
          <w:sz w:val="20"/>
          <w:szCs w:val="20"/>
          <w:lang w:val="es-VE"/>
        </w:rPr>
        <w:t>prima facie</w:t>
      </w:r>
      <w:r w:rsidRPr="00CE4CC9">
        <w:rPr>
          <w:rFonts w:ascii="Cambria" w:hAnsi="Cambria" w:cs="Arial"/>
          <w:sz w:val="20"/>
          <w:szCs w:val="20"/>
          <w:lang w:val="es-VE"/>
        </w:rPr>
        <w:t xml:space="preserve"> la posibilidad de su violación. </w:t>
      </w:r>
    </w:p>
    <w:p w:rsidR="0037742A" w:rsidRPr="00504F0F" w:rsidRDefault="0037742A" w:rsidP="00C42AC5">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bCs/>
          <w:color w:val="auto"/>
          <w:sz w:val="20"/>
          <w:szCs w:val="20"/>
          <w:lang w:val="es-ES"/>
        </w:rPr>
      </w:pPr>
      <w:r w:rsidRPr="00504F0F">
        <w:rPr>
          <w:b/>
          <w:bCs/>
          <w:color w:val="auto"/>
          <w:sz w:val="20"/>
          <w:szCs w:val="20"/>
          <w:lang w:val="es-ES"/>
        </w:rPr>
        <w:t xml:space="preserve">VIII. </w:t>
      </w:r>
      <w:r w:rsidRPr="00504F0F">
        <w:rPr>
          <w:b/>
          <w:bCs/>
          <w:color w:val="auto"/>
          <w:sz w:val="20"/>
          <w:szCs w:val="20"/>
          <w:lang w:val="es-ES"/>
        </w:rPr>
        <w:tab/>
        <w:t>DECISIÓN</w:t>
      </w:r>
    </w:p>
    <w:p w:rsidR="0037742A" w:rsidRPr="00ED6875" w:rsidRDefault="0037742A" w:rsidP="0036243D">
      <w:pPr>
        <w:numPr>
          <w:ilvl w:val="0"/>
          <w:numId w:val="61"/>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ED6875">
        <w:rPr>
          <w:rFonts w:ascii="Cambria" w:hAnsi="Cambria"/>
          <w:sz w:val="20"/>
          <w:szCs w:val="20"/>
          <w:lang w:val="es-ES"/>
        </w:rPr>
        <w:t>Declarar admisible la presente petición en relac</w:t>
      </w:r>
      <w:r w:rsidR="00A85B8F">
        <w:rPr>
          <w:rFonts w:ascii="Cambria" w:hAnsi="Cambria"/>
          <w:sz w:val="20"/>
          <w:szCs w:val="20"/>
          <w:lang w:val="es-ES"/>
        </w:rPr>
        <w:t xml:space="preserve">ión con los artículos 7, 8, 21, </w:t>
      </w:r>
      <w:r w:rsidRPr="00ED6875">
        <w:rPr>
          <w:rFonts w:ascii="Cambria" w:hAnsi="Cambria"/>
          <w:sz w:val="20"/>
          <w:szCs w:val="20"/>
          <w:lang w:val="es-ES"/>
        </w:rPr>
        <w:t>24 y 25 de la Convención Americana en relación con sus artículos 1.1. y 2</w:t>
      </w:r>
      <w:r w:rsidR="00F7727F">
        <w:rPr>
          <w:rStyle w:val="FootnoteReference"/>
          <w:rFonts w:ascii="Cambria" w:hAnsi="Cambria"/>
          <w:sz w:val="20"/>
          <w:szCs w:val="20"/>
          <w:lang w:val="es-ES"/>
        </w:rPr>
        <w:footnoteReference w:id="14"/>
      </w:r>
      <w:r w:rsidRPr="00ED6875">
        <w:rPr>
          <w:rFonts w:ascii="Cambria" w:hAnsi="Cambria"/>
          <w:sz w:val="20"/>
          <w:szCs w:val="20"/>
          <w:lang w:val="es-ES"/>
        </w:rPr>
        <w:t xml:space="preserve">. </w:t>
      </w:r>
    </w:p>
    <w:p w:rsidR="0037742A" w:rsidRPr="00ED6875" w:rsidRDefault="0037742A" w:rsidP="0036243D">
      <w:pPr>
        <w:numPr>
          <w:ilvl w:val="0"/>
          <w:numId w:val="61"/>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ED6875">
        <w:rPr>
          <w:rFonts w:ascii="Cambria" w:hAnsi="Cambria"/>
          <w:sz w:val="20"/>
          <w:szCs w:val="20"/>
          <w:lang w:val="es-ES"/>
        </w:rPr>
        <w:lastRenderedPageBreak/>
        <w:t>Declarar inadmisible la pres</w:t>
      </w:r>
      <w:r w:rsidR="00FC7CE3">
        <w:rPr>
          <w:rFonts w:ascii="Cambria" w:hAnsi="Cambria"/>
          <w:sz w:val="20"/>
          <w:szCs w:val="20"/>
          <w:lang w:val="es-ES"/>
        </w:rPr>
        <w:t>ente petición en relación con los</w:t>
      </w:r>
      <w:r w:rsidRPr="00ED6875">
        <w:rPr>
          <w:rFonts w:ascii="Cambria" w:hAnsi="Cambria"/>
          <w:sz w:val="20"/>
          <w:szCs w:val="20"/>
          <w:lang w:val="es-ES"/>
        </w:rPr>
        <w:t xml:space="preserve"> artículo</w:t>
      </w:r>
      <w:r w:rsidR="00FC7CE3">
        <w:rPr>
          <w:rFonts w:ascii="Cambria" w:hAnsi="Cambria"/>
          <w:sz w:val="20"/>
          <w:szCs w:val="20"/>
          <w:lang w:val="es-ES"/>
        </w:rPr>
        <w:t>s</w:t>
      </w:r>
      <w:r w:rsidRPr="00ED6875">
        <w:rPr>
          <w:rFonts w:ascii="Cambria" w:hAnsi="Cambria"/>
          <w:sz w:val="20"/>
          <w:szCs w:val="20"/>
          <w:lang w:val="es-ES"/>
        </w:rPr>
        <w:t xml:space="preserve"> 5</w:t>
      </w:r>
      <w:r>
        <w:rPr>
          <w:rFonts w:ascii="Cambria" w:hAnsi="Cambria"/>
          <w:sz w:val="20"/>
          <w:szCs w:val="20"/>
          <w:lang w:val="es-ES"/>
        </w:rPr>
        <w:t>, 9 y 23</w:t>
      </w:r>
      <w:r w:rsidRPr="00ED6875">
        <w:rPr>
          <w:rFonts w:ascii="Cambria" w:hAnsi="Cambria"/>
          <w:sz w:val="20"/>
          <w:szCs w:val="20"/>
          <w:lang w:val="es-ES"/>
        </w:rPr>
        <w:t xml:space="preserve"> de la Convención Americana.</w:t>
      </w:r>
    </w:p>
    <w:p w:rsidR="0037742A" w:rsidRDefault="0037742A" w:rsidP="0036243D">
      <w:pPr>
        <w:numPr>
          <w:ilvl w:val="0"/>
          <w:numId w:val="61"/>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ED6875">
        <w:rPr>
          <w:rFonts w:ascii="Cambria" w:hAnsi="Cambria"/>
          <w:sz w:val="20"/>
          <w:szCs w:val="20"/>
          <w:lang w:val="es-ES"/>
        </w:rPr>
        <w:t>Notificar a las partes la presente decisión; continuar con el análisis del fondo de la cuestión y</w:t>
      </w:r>
      <w:r w:rsidRPr="009B7794">
        <w:rPr>
          <w:rFonts w:ascii="Cambria" w:hAnsi="Cambria"/>
          <w:sz w:val="20"/>
          <w:szCs w:val="20"/>
          <w:lang w:val="es-ES"/>
        </w:rPr>
        <w:t xml:space="preserve"> publicar esta decisión e incluirla en su Informe Anual a la Asamblea General de la Organización de los Estados Americanos.</w:t>
      </w:r>
    </w:p>
    <w:p w:rsidR="0037742A" w:rsidRDefault="00D84767" w:rsidP="00D84767">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días 27 del mes de abril de 2020. (Firmado): Joel Hernández, Presidente; Antonia Urrejola, Primera Vicepresidenta; Esmeralda E. Arosemena Bernal de </w:t>
      </w:r>
      <w:proofErr w:type="spellStart"/>
      <w:r>
        <w:rPr>
          <w:rFonts w:ascii="Cambria" w:hAnsi="Cambria"/>
          <w:sz w:val="20"/>
          <w:szCs w:val="20"/>
          <w:lang w:val="es-ES"/>
        </w:rPr>
        <w:t>Troitiño</w:t>
      </w:r>
      <w:proofErr w:type="spellEnd"/>
      <w:r>
        <w:rPr>
          <w:rFonts w:ascii="Cambria" w:hAnsi="Cambria"/>
          <w:sz w:val="20"/>
          <w:szCs w:val="20"/>
          <w:lang w:val="es-ES"/>
        </w:rPr>
        <w:t xml:space="preserve">, Julissa Mantilla Falcón y </w:t>
      </w:r>
      <w:proofErr w:type="spellStart"/>
      <w:r>
        <w:rPr>
          <w:rFonts w:ascii="Cambria" w:hAnsi="Cambria"/>
          <w:sz w:val="20"/>
          <w:szCs w:val="20"/>
          <w:lang w:val="es-ES"/>
        </w:rPr>
        <w:t>Stuardo</w:t>
      </w:r>
      <w:proofErr w:type="spellEnd"/>
      <w:r>
        <w:rPr>
          <w:rFonts w:ascii="Cambria" w:hAnsi="Cambria"/>
          <w:sz w:val="20"/>
          <w:szCs w:val="20"/>
          <w:lang w:val="es-ES"/>
        </w:rPr>
        <w:t xml:space="preserve"> </w:t>
      </w:r>
      <w:proofErr w:type="spellStart"/>
      <w:r>
        <w:rPr>
          <w:rFonts w:ascii="Cambria" w:hAnsi="Cambria"/>
          <w:sz w:val="20"/>
          <w:szCs w:val="20"/>
          <w:lang w:val="es-ES"/>
        </w:rPr>
        <w:t>Raló</w:t>
      </w:r>
      <w:proofErr w:type="spellEnd"/>
      <w:r>
        <w:rPr>
          <w:rFonts w:ascii="Cambria" w:hAnsi="Cambria"/>
          <w:sz w:val="20"/>
          <w:szCs w:val="20"/>
          <w:lang w:val="es-ES"/>
        </w:rPr>
        <w:t xml:space="preserve"> Orellana, Miembros de la Comisión. </w:t>
      </w:r>
    </w:p>
    <w:p w:rsidR="00BE2291" w:rsidRDefault="00BE2291" w:rsidP="00BE2291">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p>
    <w:p w:rsidR="0037742A" w:rsidRPr="008403E5" w:rsidRDefault="0037742A" w:rsidP="00EB1D53">
      <w:p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p>
    <w:sectPr w:rsidR="0037742A" w:rsidRPr="008403E5"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14E" w:rsidRDefault="0055214E">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55214E" w:rsidRDefault="0055214E">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08" w:rsidRDefault="00FE6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2A" w:rsidRPr="00934A2C" w:rsidRDefault="0037742A">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E6808">
      <w:rPr>
        <w:noProof/>
        <w:sz w:val="16"/>
        <w:szCs w:val="22"/>
      </w:rPr>
      <w:t>3</w:t>
    </w:r>
    <w:r w:rsidRPr="00934A2C">
      <w:rPr>
        <w:sz w:val="16"/>
        <w:szCs w:val="22"/>
      </w:rPr>
      <w:fldChar w:fldCharType="end"/>
    </w:r>
  </w:p>
  <w:p w:rsidR="0037742A" w:rsidRDefault="0037742A">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2A" w:rsidRPr="00934A2C" w:rsidRDefault="0037742A">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37742A" w:rsidRDefault="0037742A">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14E" w:rsidRPr="000F35ED" w:rsidRDefault="0055214E">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55214E" w:rsidRPr="000F35ED" w:rsidRDefault="0055214E"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55214E" w:rsidRPr="000F35ED" w:rsidRDefault="0055214E"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r>
        <w:rPr>
          <w:sz w:val="16"/>
          <w:szCs w:val="16"/>
        </w:rPr>
        <w:t>c</w:t>
      </w:r>
      <w:r w:rsidRPr="000F35ED">
        <w:rPr>
          <w:sz w:val="16"/>
          <w:szCs w:val="16"/>
        </w:rPr>
        <w:t>ontinuación</w:t>
      </w:r>
      <w:proofErr w:type="spellEnd"/>
      <w:r>
        <w:rPr>
          <w:sz w:val="16"/>
          <w:szCs w:val="16"/>
        </w:rPr>
        <w:t>]</w:t>
      </w:r>
    </w:p>
  </w:footnote>
  <w:footnote w:type="continuationNotice" w:id="1">
    <w:p w:rsidR="0055214E" w:rsidRPr="000F35ED" w:rsidRDefault="0055214E"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w:t>
      </w:r>
      <w:proofErr w:type="gramStart"/>
      <w:r>
        <w:rPr>
          <w:rFonts w:ascii="Cambria" w:hAnsi="Cambria"/>
          <w:sz w:val="16"/>
          <w:szCs w:val="16"/>
          <w:lang w:val="es-ES"/>
        </w:rPr>
        <w:t>c</w:t>
      </w:r>
      <w:r w:rsidRPr="000F35ED">
        <w:rPr>
          <w:rFonts w:ascii="Cambria" w:hAnsi="Cambria"/>
          <w:sz w:val="16"/>
          <w:szCs w:val="16"/>
          <w:lang w:val="es-ES"/>
        </w:rPr>
        <w:t>ontinúa</w:t>
      </w:r>
      <w:proofErr w:type="gramEnd"/>
      <w:r w:rsidRPr="000F35ED">
        <w:rPr>
          <w:rFonts w:ascii="Cambria" w:hAnsi="Cambria"/>
          <w:sz w:val="16"/>
          <w:szCs w:val="16"/>
          <w:lang w:val="es-ES"/>
        </w:rPr>
        <w:t>…</w:t>
      </w:r>
      <w:r>
        <w:rPr>
          <w:rFonts w:ascii="Cambria" w:hAnsi="Cambria"/>
          <w:sz w:val="16"/>
          <w:szCs w:val="16"/>
          <w:lang w:val="es-ES"/>
        </w:rPr>
        <w:t>]</w:t>
      </w:r>
    </w:p>
  </w:footnote>
  <w:footnote w:id="2">
    <w:p w:rsidR="0037742A" w:rsidRPr="00D4419B" w:rsidRDefault="0037742A" w:rsidP="00BE2291">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27159B">
        <w:rPr>
          <w:rStyle w:val="FootnoteReference"/>
          <w:rFonts w:ascii="Cambria" w:hAnsi="Cambria"/>
          <w:sz w:val="16"/>
          <w:szCs w:val="16"/>
        </w:rPr>
        <w:footnoteRef/>
      </w:r>
      <w:r w:rsidRPr="0027159B">
        <w:rPr>
          <w:rFonts w:ascii="Cambria" w:hAnsi="Cambria"/>
          <w:sz w:val="16"/>
          <w:szCs w:val="16"/>
          <w:lang w:val="es-VE"/>
        </w:rPr>
        <w:t xml:space="preserve"> En adelante, “Convención” o “Convención Americana.”  </w:t>
      </w:r>
    </w:p>
  </w:footnote>
  <w:footnote w:id="3">
    <w:p w:rsidR="0037742A" w:rsidRPr="00D4419B" w:rsidRDefault="0037742A" w:rsidP="00BE2291">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27159B">
        <w:rPr>
          <w:rStyle w:val="FootnoteReference"/>
          <w:rFonts w:ascii="Cambria" w:hAnsi="Cambria"/>
          <w:sz w:val="16"/>
          <w:szCs w:val="16"/>
        </w:rPr>
        <w:footnoteRef/>
      </w:r>
      <w:r w:rsidRPr="0027159B">
        <w:rPr>
          <w:rFonts w:ascii="Cambria" w:hAnsi="Cambria"/>
          <w:sz w:val="16"/>
          <w:szCs w:val="16"/>
          <w:lang w:val="es-ES"/>
        </w:rPr>
        <w:t xml:space="preserve"> Las observaciones de cada parte fueron debidamente trasladadas a la parte contraria.</w:t>
      </w:r>
    </w:p>
  </w:footnote>
  <w:footnote w:id="4">
    <w:p w:rsidR="0037742A" w:rsidRPr="00F7727F" w:rsidRDefault="0037742A" w:rsidP="009D0FAE">
      <w:pPr>
        <w:pStyle w:val="FootnoteText"/>
        <w:pBdr>
          <w:top w:val="none" w:sz="0" w:space="0" w:color="auto"/>
          <w:left w:val="none" w:sz="0" w:space="0" w:color="auto"/>
          <w:bottom w:val="none" w:sz="0" w:space="0" w:color="auto"/>
          <w:right w:val="none" w:sz="0" w:space="0" w:color="auto"/>
          <w:bar w:val="none" w:sz="0" w:color="auto"/>
        </w:pBdr>
        <w:jc w:val="both"/>
        <w:rPr>
          <w:lang w:val="es-U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26/16</w:t>
      </w:r>
      <w:r>
        <w:rPr>
          <w:rFonts w:ascii="Cambria" w:hAnsi="Cambria"/>
          <w:sz w:val="16"/>
          <w:szCs w:val="16"/>
          <w:lang w:val="es-ES"/>
        </w:rPr>
        <w:t>, Petición 932-03</w:t>
      </w:r>
      <w:r w:rsidRPr="006132CC">
        <w:rPr>
          <w:rFonts w:ascii="Cambria" w:hAnsi="Cambria"/>
          <w:sz w:val="16"/>
          <w:szCs w:val="16"/>
          <w:lang w:val="es-ES"/>
        </w:rPr>
        <w:t>. Inadmisibilidad. Rómulo Jonás Ponce Santamaría. Perú. 15 de abril de 2016, párr.</w:t>
      </w:r>
      <w:r w:rsidRPr="006132CC">
        <w:rPr>
          <w:rFonts w:ascii="Cambria" w:hAnsi="Cambria"/>
          <w:sz w:val="16"/>
          <w:szCs w:val="16"/>
          <w:lang w:val="es-ES_tradnl"/>
        </w:rPr>
        <w:t xml:space="preserve"> 25.</w:t>
      </w:r>
    </w:p>
  </w:footnote>
  <w:footnote w:id="5">
    <w:p w:rsidR="0037742A" w:rsidRPr="00F7727F" w:rsidRDefault="0037742A" w:rsidP="00901EC6">
      <w:pPr>
        <w:pBdr>
          <w:top w:val="none" w:sz="0" w:space="0" w:color="auto"/>
          <w:left w:val="none" w:sz="0" w:space="0" w:color="auto"/>
          <w:bottom w:val="none" w:sz="0" w:space="0" w:color="auto"/>
          <w:right w:val="none" w:sz="0" w:space="0" w:color="auto"/>
          <w:bar w:val="none" w:sz="0" w:color="auto"/>
        </w:pBdr>
        <w:ind w:firstLine="720"/>
        <w:contextualSpacing/>
        <w:jc w:val="both"/>
        <w:rPr>
          <w:lang w:val="es-US"/>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56/08</w:t>
      </w:r>
      <w:r>
        <w:rPr>
          <w:rFonts w:ascii="Cambria" w:hAnsi="Cambria" w:cs="Calibri"/>
          <w:sz w:val="16"/>
          <w:szCs w:val="16"/>
          <w:lang w:val="es-ES_tradnl"/>
        </w:rPr>
        <w:t>, Petición 11.602</w:t>
      </w:r>
      <w:r w:rsidRPr="006132CC">
        <w:rPr>
          <w:rFonts w:ascii="Cambria" w:hAnsi="Cambria" w:cs="Calibri"/>
          <w:sz w:val="16"/>
          <w:szCs w:val="16"/>
          <w:lang w:val="es-ES_tradnl"/>
        </w:rPr>
        <w:t xml:space="preserve">. Admisibilidad. </w:t>
      </w:r>
      <w:r>
        <w:rPr>
          <w:rFonts w:ascii="Cambria" w:hAnsi="Cambria" w:cs="Calibri"/>
          <w:sz w:val="16"/>
          <w:szCs w:val="16"/>
          <w:lang w:val="es-ES_tradnl"/>
        </w:rPr>
        <w:t>Trabajadores despedidos d</w:t>
      </w:r>
      <w:r w:rsidRPr="004247BC">
        <w:rPr>
          <w:rFonts w:ascii="Cambria" w:hAnsi="Cambria" w:cs="Calibri"/>
          <w:sz w:val="16"/>
          <w:szCs w:val="16"/>
          <w:lang w:val="es-ES_tradnl"/>
        </w:rPr>
        <w:t>e</w:t>
      </w:r>
      <w:r>
        <w:rPr>
          <w:rFonts w:ascii="Cambria" w:hAnsi="Cambria" w:cs="Calibri"/>
          <w:sz w:val="16"/>
          <w:szCs w:val="16"/>
          <w:lang w:val="es-ES_tradnl"/>
        </w:rPr>
        <w:t xml:space="preserve"> Petróleos Del Perú (Petroperú) </w:t>
      </w:r>
      <w:r w:rsidRPr="004247BC">
        <w:rPr>
          <w:rFonts w:ascii="Cambria" w:hAnsi="Cambria" w:cs="Calibri"/>
          <w:sz w:val="16"/>
          <w:szCs w:val="16"/>
          <w:lang w:val="es-ES_tradnl"/>
        </w:rPr>
        <w:t xml:space="preserve">Zona Noroeste </w:t>
      </w:r>
      <w:r>
        <w:rPr>
          <w:rFonts w:ascii="Cambria" w:hAnsi="Cambria" w:cs="Calibri"/>
          <w:sz w:val="16"/>
          <w:szCs w:val="16"/>
          <w:lang w:val="es-ES_tradnl"/>
        </w:rPr>
        <w:t>–</w:t>
      </w:r>
      <w:r w:rsidRPr="004247BC">
        <w:rPr>
          <w:rFonts w:ascii="Cambria" w:hAnsi="Cambria" w:cs="Calibri"/>
          <w:sz w:val="16"/>
          <w:szCs w:val="16"/>
          <w:lang w:val="es-ES_tradnl"/>
        </w:rPr>
        <w:t xml:space="preserve"> Talara</w:t>
      </w:r>
      <w:r>
        <w:rPr>
          <w:rFonts w:ascii="Cambria" w:hAnsi="Cambria" w:cs="Calibri"/>
          <w:sz w:val="16"/>
          <w:szCs w:val="16"/>
          <w:lang w:val="es-ES_tradnl"/>
        </w:rPr>
        <w:t>.</w:t>
      </w:r>
      <w:r w:rsidRPr="006132CC">
        <w:rPr>
          <w:rFonts w:ascii="Cambria" w:hAnsi="Cambria" w:cs="Calibri"/>
          <w:sz w:val="16"/>
          <w:szCs w:val="16"/>
          <w:lang w:val="es-ES_tradnl"/>
        </w:rPr>
        <w:t xml:space="preserve"> Perú</w:t>
      </w:r>
      <w:r>
        <w:rPr>
          <w:rFonts w:ascii="Cambria" w:hAnsi="Cambria" w:cs="Calibri"/>
          <w:sz w:val="16"/>
          <w:szCs w:val="16"/>
          <w:lang w:val="es-ES_tradnl"/>
        </w:rPr>
        <w:t>.</w:t>
      </w:r>
      <w:r w:rsidRPr="006132CC">
        <w:rPr>
          <w:rFonts w:ascii="Cambria" w:hAnsi="Cambria" w:cs="Calibri"/>
          <w:sz w:val="16"/>
          <w:szCs w:val="16"/>
          <w:lang w:val="es-ES_tradnl"/>
        </w:rPr>
        <w:t xml:space="preserve"> 24 de julio de 2008, párr. 58.</w:t>
      </w:r>
    </w:p>
  </w:footnote>
  <w:footnote w:id="6">
    <w:p w:rsidR="0037742A" w:rsidRPr="00F7727F" w:rsidRDefault="0037742A" w:rsidP="00901EC6">
      <w:pPr>
        <w:pBdr>
          <w:top w:val="none" w:sz="0" w:space="0" w:color="auto"/>
          <w:left w:val="none" w:sz="0" w:space="0" w:color="auto"/>
          <w:bottom w:val="none" w:sz="0" w:space="0" w:color="auto"/>
          <w:right w:val="none" w:sz="0" w:space="0" w:color="auto"/>
          <w:bar w:val="none" w:sz="0" w:color="auto"/>
        </w:pBdr>
        <w:ind w:firstLine="720"/>
        <w:contextualSpacing/>
        <w:jc w:val="both"/>
        <w:rPr>
          <w:lang w:val="es-US"/>
        </w:rPr>
      </w:pPr>
      <w:r w:rsidRPr="006132CC">
        <w:rPr>
          <w:rStyle w:val="FootnoteReference"/>
          <w:rFonts w:ascii="Cambria" w:hAnsi="Cambria" w:cs="Calibri"/>
          <w:sz w:val="16"/>
          <w:szCs w:val="16"/>
        </w:rPr>
        <w:footnoteRef/>
      </w:r>
      <w:r>
        <w:rPr>
          <w:rFonts w:ascii="Cambria" w:hAnsi="Cambria" w:cs="Calibri"/>
          <w:sz w:val="16"/>
          <w:szCs w:val="16"/>
          <w:lang w:val="es-ES"/>
        </w:rPr>
        <w:t xml:space="preserve">  CIDH,</w:t>
      </w:r>
      <w:r w:rsidRPr="006132CC">
        <w:rPr>
          <w:rFonts w:ascii="Cambria" w:hAnsi="Cambria" w:cs="Calibri"/>
          <w:sz w:val="16"/>
          <w:szCs w:val="16"/>
          <w:lang w:val="es-ES"/>
        </w:rPr>
        <w:t xml:space="preserve"> </w:t>
      </w:r>
      <w:r w:rsidRPr="006132CC">
        <w:rPr>
          <w:rFonts w:ascii="Cambria" w:hAnsi="Cambria" w:cs="Calibri"/>
          <w:sz w:val="16"/>
          <w:szCs w:val="16"/>
          <w:lang w:val="es-ES_tradnl"/>
        </w:rPr>
        <w:t>Informe No. 18/12</w:t>
      </w:r>
      <w:r>
        <w:rPr>
          <w:rFonts w:ascii="Cambria" w:hAnsi="Cambria" w:cs="Calibri"/>
          <w:sz w:val="16"/>
          <w:szCs w:val="16"/>
          <w:lang w:val="es-ES_tradnl"/>
        </w:rPr>
        <w:t>, Petición 161-06</w:t>
      </w:r>
      <w:r w:rsidRPr="006132CC">
        <w:rPr>
          <w:rFonts w:ascii="Cambria" w:hAnsi="Cambria" w:cs="Calibri"/>
          <w:sz w:val="16"/>
          <w:szCs w:val="16"/>
          <w:lang w:val="es-ES_tradnl"/>
        </w:rPr>
        <w:t xml:space="preserve">. Admisibilidad. Adolescentes condenados a cadena </w:t>
      </w:r>
      <w:proofErr w:type="gramStart"/>
      <w:r w:rsidRPr="006132CC">
        <w:rPr>
          <w:rFonts w:ascii="Cambria" w:hAnsi="Cambria" w:cs="Calibri"/>
          <w:sz w:val="16"/>
          <w:szCs w:val="16"/>
          <w:lang w:val="es-ES_tradnl"/>
        </w:rPr>
        <w:t>perpetua</w:t>
      </w:r>
      <w:proofErr w:type="gramEnd"/>
      <w:r w:rsidRPr="006132CC">
        <w:rPr>
          <w:rFonts w:ascii="Cambria" w:hAnsi="Cambria" w:cs="Calibri"/>
          <w:sz w:val="16"/>
          <w:szCs w:val="16"/>
          <w:lang w:val="es-ES_tradnl"/>
        </w:rPr>
        <w:t xml:space="preserve"> sin libertad condicional. Estado Unidos. 20 de marzo de 2012, párr. 47.</w:t>
      </w:r>
    </w:p>
  </w:footnote>
  <w:footnote w:id="7">
    <w:p w:rsidR="0037742A" w:rsidRPr="00F7727F" w:rsidRDefault="0037742A" w:rsidP="002813D6">
      <w:pPr>
        <w:pStyle w:val="FootnoteText"/>
        <w:pBdr>
          <w:top w:val="none" w:sz="0" w:space="0" w:color="auto"/>
          <w:left w:val="none" w:sz="0" w:space="0" w:color="auto"/>
          <w:bottom w:val="none" w:sz="0" w:space="0" w:color="auto"/>
          <w:right w:val="none" w:sz="0" w:space="0" w:color="auto"/>
          <w:bar w:val="none" w:sz="0" w:color="auto"/>
        </w:pBdr>
        <w:jc w:val="both"/>
        <w:rPr>
          <w:lang w:val="es-US"/>
        </w:rPr>
      </w:pPr>
      <w:r w:rsidRPr="006132CC">
        <w:rPr>
          <w:rFonts w:ascii="Cambria" w:hAnsi="Cambria" w:cs="Calibri"/>
          <w:sz w:val="16"/>
          <w:szCs w:val="16"/>
          <w:lang w:val="es-ES"/>
        </w:rPr>
        <w:tab/>
      </w:r>
      <w:r w:rsidRPr="006132CC">
        <w:rPr>
          <w:rStyle w:val="FootnoteReference"/>
          <w:rFonts w:ascii="Cambria" w:hAnsi="Cambria" w:cs="Calibri"/>
        </w:rPr>
        <w:footnoteRef/>
      </w:r>
      <w:r w:rsidRPr="006132CC">
        <w:rPr>
          <w:rFonts w:ascii="Cambria" w:hAnsi="Cambria" w:cs="Calibri"/>
          <w:sz w:val="16"/>
          <w:szCs w:val="16"/>
          <w:lang w:val="es-ES"/>
        </w:rPr>
        <w:t xml:space="preserve"> CIDH, Informe No. 16/18</w:t>
      </w:r>
      <w:r>
        <w:rPr>
          <w:rFonts w:ascii="Cambria" w:hAnsi="Cambria" w:cs="Calibri"/>
          <w:sz w:val="16"/>
          <w:szCs w:val="16"/>
          <w:lang w:val="es-ES"/>
        </w:rPr>
        <w:t>, Petición 884-07</w:t>
      </w:r>
      <w:r w:rsidRPr="006132CC">
        <w:rPr>
          <w:rFonts w:ascii="Cambria" w:hAnsi="Cambria" w:cs="Calibri"/>
          <w:sz w:val="16"/>
          <w:szCs w:val="16"/>
          <w:lang w:val="es-ES"/>
        </w:rPr>
        <w:t>. Admisibilidad. Victoria Piedad Palacios Tejada de Saavedra. Perú. 24 de febrero de 2018, párr. 12.</w:t>
      </w:r>
    </w:p>
  </w:footnote>
  <w:footnote w:id="8">
    <w:p w:rsidR="0037742A" w:rsidRPr="00D4419B" w:rsidRDefault="0037742A" w:rsidP="001412E0">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PA"/>
        </w:rPr>
      </w:pPr>
      <w:r w:rsidRPr="001412E0">
        <w:rPr>
          <w:rStyle w:val="FootnoteReference"/>
          <w:rFonts w:ascii="Cambria" w:hAnsi="Cambria"/>
          <w:sz w:val="16"/>
          <w:szCs w:val="16"/>
        </w:rPr>
        <w:footnoteRef/>
      </w:r>
      <w:r w:rsidRPr="001412E0">
        <w:rPr>
          <w:rFonts w:ascii="Cambria" w:hAnsi="Cambria"/>
          <w:sz w:val="16"/>
          <w:szCs w:val="16"/>
          <w:lang w:val="es-ES"/>
        </w:rPr>
        <w:t xml:space="preserve"> CIDH, Informe No. 25/07, Petición 1419-04. Admisibilidad. </w:t>
      </w:r>
      <w:proofErr w:type="spellStart"/>
      <w:r w:rsidRPr="001412E0">
        <w:rPr>
          <w:rFonts w:ascii="Cambria" w:hAnsi="Cambria"/>
          <w:sz w:val="16"/>
          <w:szCs w:val="16"/>
          <w:lang w:val="es-ES"/>
        </w:rPr>
        <w:t>Hanny</w:t>
      </w:r>
      <w:proofErr w:type="spellEnd"/>
      <w:r w:rsidRPr="001412E0">
        <w:rPr>
          <w:rFonts w:ascii="Cambria" w:hAnsi="Cambria"/>
          <w:sz w:val="16"/>
          <w:szCs w:val="16"/>
          <w:lang w:val="es-ES"/>
        </w:rPr>
        <w:t xml:space="preserve"> </w:t>
      </w:r>
      <w:proofErr w:type="spellStart"/>
      <w:r w:rsidRPr="001412E0">
        <w:rPr>
          <w:rFonts w:ascii="Cambria" w:hAnsi="Cambria"/>
          <w:sz w:val="16"/>
          <w:szCs w:val="16"/>
          <w:lang w:val="es-ES"/>
        </w:rPr>
        <w:t>Fahmy</w:t>
      </w:r>
      <w:proofErr w:type="spellEnd"/>
      <w:r w:rsidRPr="001412E0">
        <w:rPr>
          <w:rFonts w:ascii="Cambria" w:hAnsi="Cambria"/>
          <w:sz w:val="16"/>
          <w:szCs w:val="16"/>
          <w:lang w:val="es-ES"/>
        </w:rPr>
        <w:t xml:space="preserve">. Costa Rica. 9 de marzo de 2007. </w:t>
      </w:r>
      <w:proofErr w:type="spellStart"/>
      <w:r w:rsidRPr="001412E0">
        <w:rPr>
          <w:rFonts w:ascii="Cambria" w:hAnsi="Cambria"/>
          <w:sz w:val="16"/>
          <w:szCs w:val="16"/>
          <w:lang w:val="es-ES"/>
        </w:rPr>
        <w:t>párr</w:t>
      </w:r>
      <w:proofErr w:type="spellEnd"/>
      <w:r w:rsidRPr="001412E0">
        <w:rPr>
          <w:rFonts w:ascii="Cambria" w:hAnsi="Cambria"/>
          <w:sz w:val="16"/>
          <w:szCs w:val="16"/>
          <w:lang w:val="es-ES"/>
        </w:rPr>
        <w:t xml:space="preserve"> 50. </w:t>
      </w:r>
    </w:p>
  </w:footnote>
  <w:footnote w:id="9">
    <w:p w:rsidR="0037742A" w:rsidRPr="00F7727F" w:rsidRDefault="0037742A" w:rsidP="00E55B27">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US"/>
        </w:rPr>
      </w:pPr>
      <w:r w:rsidRPr="009B7B39">
        <w:rPr>
          <w:rStyle w:val="FootnoteReference"/>
          <w:rFonts w:ascii="Cambria" w:hAnsi="Cambria"/>
          <w:sz w:val="16"/>
          <w:szCs w:val="16"/>
        </w:rPr>
        <w:footnoteRef/>
      </w:r>
      <w:r w:rsidRPr="00F7727F">
        <w:rPr>
          <w:rFonts w:ascii="Cambria" w:hAnsi="Cambria"/>
          <w:sz w:val="16"/>
          <w:szCs w:val="16"/>
          <w:lang w:val="pt-BR"/>
        </w:rPr>
        <w:t xml:space="preserve"> </w:t>
      </w:r>
      <w:r w:rsidRPr="00F7727F">
        <w:rPr>
          <w:rFonts w:ascii="Cambria" w:hAnsi="Cambria"/>
          <w:sz w:val="16"/>
          <w:szCs w:val="16"/>
          <w:lang w:val="pt-BR"/>
        </w:rPr>
        <w:t xml:space="preserve">Corte IDH Caso Barreto Leiva vs. Venezuela. </w:t>
      </w:r>
      <w:r w:rsidRPr="009B7B39">
        <w:rPr>
          <w:rFonts w:ascii="Cambria" w:hAnsi="Cambria"/>
          <w:sz w:val="16"/>
          <w:szCs w:val="16"/>
          <w:lang w:val="es-ES"/>
        </w:rPr>
        <w:t>Fondo, Reparaciones y Costas. Sentencia de 17 de noviembre d</w:t>
      </w:r>
      <w:r>
        <w:rPr>
          <w:rFonts w:ascii="Cambria" w:hAnsi="Cambria"/>
          <w:sz w:val="16"/>
          <w:szCs w:val="16"/>
          <w:lang w:val="es-ES"/>
        </w:rPr>
        <w:t>e 2009, Serie C No. 206 párr. 77.</w:t>
      </w:r>
    </w:p>
  </w:footnote>
  <w:footnote w:id="10">
    <w:p w:rsidR="0037742A" w:rsidRPr="00F7727F" w:rsidRDefault="0037742A" w:rsidP="00E55B27">
      <w:pPr>
        <w:pStyle w:val="FootnoteText"/>
        <w:pBdr>
          <w:top w:val="none" w:sz="0" w:space="0" w:color="auto"/>
          <w:left w:val="none" w:sz="0" w:space="0" w:color="auto"/>
          <w:bottom w:val="none" w:sz="0" w:space="0" w:color="auto"/>
          <w:right w:val="none" w:sz="0" w:space="0" w:color="auto"/>
          <w:bar w:val="none" w:sz="0" w:color="auto"/>
        </w:pBdr>
        <w:ind w:firstLine="720"/>
        <w:rPr>
          <w:lang w:val="pt-BR"/>
        </w:rPr>
      </w:pPr>
      <w:r w:rsidRPr="00D92B1C">
        <w:rPr>
          <w:rStyle w:val="FootnoteReference"/>
          <w:rFonts w:ascii="Cambria" w:hAnsi="Cambria"/>
          <w:sz w:val="16"/>
          <w:szCs w:val="16"/>
        </w:rPr>
        <w:footnoteRef/>
      </w:r>
      <w:r w:rsidRPr="006047D1">
        <w:rPr>
          <w:rFonts w:ascii="Cambria" w:hAnsi="Cambria"/>
          <w:sz w:val="16"/>
          <w:szCs w:val="16"/>
          <w:lang w:val="pt-BR"/>
        </w:rPr>
        <w:t xml:space="preserve"> </w:t>
      </w:r>
      <w:r w:rsidRPr="006047D1">
        <w:rPr>
          <w:rFonts w:ascii="Cambria" w:hAnsi="Cambria"/>
          <w:sz w:val="16"/>
          <w:szCs w:val="16"/>
          <w:lang w:val="pt-BR"/>
        </w:rPr>
        <w:t xml:space="preserve">Corte IDH. Caso Liakat Ali Alibux vs. Suriname. </w:t>
      </w:r>
      <w:r w:rsidRPr="00D92B1C">
        <w:rPr>
          <w:rFonts w:ascii="Cambria" w:hAnsi="Cambria"/>
          <w:sz w:val="16"/>
          <w:szCs w:val="16"/>
          <w:lang w:val="es-PA"/>
        </w:rPr>
        <w:t xml:space="preserve">Excepción Preliminar, Fondo, Reparaciones y Costas. </w:t>
      </w:r>
      <w:r w:rsidRPr="00F7727F">
        <w:rPr>
          <w:rFonts w:ascii="Cambria" w:hAnsi="Cambria"/>
          <w:sz w:val="16"/>
          <w:szCs w:val="16"/>
          <w:lang w:val="pt-BR"/>
        </w:rPr>
        <w:t>Sentencia de 30 de enero de 2014 (“Corte IDH Sentencia Liakat Ali Alibux”), párr. 88.</w:t>
      </w:r>
    </w:p>
  </w:footnote>
  <w:footnote w:id="11">
    <w:p w:rsidR="0037742A" w:rsidRPr="00F7727F" w:rsidRDefault="0037742A" w:rsidP="00E55B27">
      <w:pPr>
        <w:pStyle w:val="FootnoteText"/>
        <w:pBdr>
          <w:top w:val="none" w:sz="0" w:space="0" w:color="auto"/>
          <w:left w:val="none" w:sz="0" w:space="0" w:color="auto"/>
          <w:bottom w:val="none" w:sz="0" w:space="0" w:color="auto"/>
          <w:right w:val="none" w:sz="0" w:space="0" w:color="auto"/>
          <w:bar w:val="none" w:sz="0" w:color="auto"/>
        </w:pBdr>
        <w:ind w:firstLine="720"/>
        <w:rPr>
          <w:lang w:val="pt-BR"/>
        </w:rPr>
      </w:pPr>
      <w:r w:rsidRPr="00D92B1C">
        <w:rPr>
          <w:rStyle w:val="FootnoteReference"/>
          <w:rFonts w:ascii="Cambria" w:hAnsi="Cambria"/>
          <w:sz w:val="16"/>
          <w:szCs w:val="16"/>
        </w:rPr>
        <w:footnoteRef/>
      </w:r>
      <w:r w:rsidRPr="00F7727F">
        <w:rPr>
          <w:rFonts w:ascii="Cambria" w:hAnsi="Cambria"/>
          <w:sz w:val="16"/>
          <w:szCs w:val="16"/>
          <w:lang w:val="pt-BR"/>
        </w:rPr>
        <w:t xml:space="preserve"> </w:t>
      </w:r>
      <w:r w:rsidRPr="00F7727F">
        <w:rPr>
          <w:rFonts w:ascii="Cambria" w:hAnsi="Cambria"/>
          <w:sz w:val="16"/>
          <w:szCs w:val="16"/>
          <w:lang w:val="pt-BR"/>
        </w:rPr>
        <w:t xml:space="preserve">Corte </w:t>
      </w:r>
      <w:r w:rsidRPr="00F7727F">
        <w:rPr>
          <w:rFonts w:ascii="Cambria" w:hAnsi="Cambria"/>
          <w:sz w:val="16"/>
          <w:szCs w:val="16"/>
          <w:lang w:val="pt-BR"/>
        </w:rPr>
        <w:t>IDH Sentencia Liakat Ali Alibux, párr. 103.</w:t>
      </w:r>
    </w:p>
  </w:footnote>
  <w:footnote w:id="12">
    <w:p w:rsidR="0037742A" w:rsidRPr="00D4419B" w:rsidRDefault="0037742A" w:rsidP="00E55B27">
      <w:pPr>
        <w:pStyle w:val="FootnoteText"/>
        <w:pBdr>
          <w:top w:val="none" w:sz="0" w:space="0" w:color="auto"/>
          <w:left w:val="none" w:sz="0" w:space="0" w:color="auto"/>
          <w:bottom w:val="none" w:sz="0" w:space="0" w:color="auto"/>
          <w:right w:val="none" w:sz="0" w:space="0" w:color="auto"/>
          <w:bar w:val="none" w:sz="0" w:color="auto"/>
        </w:pBdr>
        <w:ind w:firstLine="720"/>
        <w:rPr>
          <w:lang w:val="es-PA"/>
        </w:rPr>
      </w:pPr>
      <w:r w:rsidRPr="00D92B1C">
        <w:rPr>
          <w:rStyle w:val="FootnoteReference"/>
          <w:rFonts w:ascii="Cambria" w:hAnsi="Cambria"/>
          <w:sz w:val="16"/>
          <w:szCs w:val="16"/>
        </w:rPr>
        <w:footnoteRef/>
      </w:r>
      <w:r w:rsidRPr="00F7727F">
        <w:rPr>
          <w:rFonts w:ascii="Cambria" w:hAnsi="Cambria"/>
          <w:sz w:val="16"/>
          <w:szCs w:val="16"/>
          <w:lang w:val="pt-BR"/>
        </w:rPr>
        <w:t xml:space="preserve"> </w:t>
      </w:r>
      <w:r w:rsidRPr="00F7727F">
        <w:rPr>
          <w:rFonts w:ascii="Cambria" w:hAnsi="Cambria"/>
          <w:sz w:val="16"/>
          <w:szCs w:val="16"/>
          <w:lang w:val="pt-BR"/>
        </w:rPr>
        <w:t xml:space="preserve">Corte </w:t>
      </w:r>
      <w:r w:rsidRPr="00F7727F">
        <w:rPr>
          <w:rFonts w:ascii="Cambria" w:hAnsi="Cambria"/>
          <w:sz w:val="16"/>
          <w:szCs w:val="16"/>
          <w:lang w:val="pt-BR"/>
        </w:rPr>
        <w:t xml:space="preserve">IDH Sentencia Liakat Ali Alibux, párr. </w:t>
      </w:r>
      <w:r>
        <w:rPr>
          <w:rFonts w:ascii="Cambria" w:hAnsi="Cambria"/>
          <w:sz w:val="16"/>
          <w:szCs w:val="16"/>
          <w:lang w:val="es-PA"/>
        </w:rPr>
        <w:t>104.</w:t>
      </w:r>
    </w:p>
  </w:footnote>
  <w:footnote w:id="13">
    <w:p w:rsidR="0037742A" w:rsidRPr="00F7727F" w:rsidRDefault="0037742A" w:rsidP="00B62DA5">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US"/>
        </w:rPr>
      </w:pPr>
      <w:r w:rsidRPr="00B62DA5">
        <w:rPr>
          <w:rStyle w:val="FootnoteReference"/>
          <w:rFonts w:ascii="Cambria" w:hAnsi="Cambria"/>
          <w:color w:val="auto"/>
          <w:sz w:val="16"/>
          <w:szCs w:val="16"/>
        </w:rPr>
        <w:footnoteRef/>
      </w:r>
      <w:r w:rsidRPr="00B62DA5">
        <w:rPr>
          <w:rFonts w:ascii="Cambria" w:hAnsi="Cambria"/>
          <w:color w:val="auto"/>
          <w:sz w:val="16"/>
          <w:szCs w:val="16"/>
          <w:lang w:val="es-PA"/>
        </w:rPr>
        <w:t xml:space="preserve"> Corte I.D.H., Caso </w:t>
      </w:r>
      <w:proofErr w:type="spellStart"/>
      <w:r w:rsidRPr="00B62DA5">
        <w:rPr>
          <w:rFonts w:ascii="Cambria" w:hAnsi="Cambria"/>
          <w:color w:val="auto"/>
          <w:sz w:val="16"/>
          <w:szCs w:val="16"/>
          <w:lang w:val="es-PA"/>
        </w:rPr>
        <w:t>Apitz</w:t>
      </w:r>
      <w:proofErr w:type="spellEnd"/>
      <w:r w:rsidRPr="00B62DA5">
        <w:rPr>
          <w:rFonts w:ascii="Cambria" w:hAnsi="Cambria"/>
          <w:color w:val="auto"/>
          <w:sz w:val="16"/>
          <w:szCs w:val="16"/>
          <w:lang w:val="es-PA"/>
        </w:rPr>
        <w:t xml:space="preserve"> Barbera y otros (“Corte Primera de lo Contencioso Administrativo”) Vs. Venezuela. Excepción Preliminar, Fondo, Reparaciones y Costas. Sentencia de 5 de agosto de 2008. </w:t>
      </w:r>
      <w:r w:rsidRPr="00E55B27">
        <w:rPr>
          <w:rFonts w:ascii="Cambria" w:hAnsi="Cambria"/>
          <w:color w:val="auto"/>
          <w:sz w:val="16"/>
          <w:szCs w:val="16"/>
          <w:lang w:val="es-ES"/>
        </w:rPr>
        <w:t>Serie C No. 182, párr. 56.</w:t>
      </w:r>
    </w:p>
  </w:footnote>
  <w:footnote w:id="14">
    <w:p w:rsidR="00F7727F" w:rsidRPr="00F7727F" w:rsidRDefault="00F7727F" w:rsidP="00F7727F">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auto"/>
          <w:sz w:val="16"/>
          <w:szCs w:val="16"/>
          <w:lang w:val="es-PA"/>
        </w:rPr>
      </w:pPr>
      <w:r w:rsidRPr="00D84767">
        <w:rPr>
          <w:rStyle w:val="FootnoteReference"/>
          <w:rFonts w:ascii="Cambria" w:hAnsi="Cambria"/>
          <w:color w:val="auto"/>
          <w:sz w:val="16"/>
          <w:szCs w:val="16"/>
        </w:rPr>
        <w:footnoteRef/>
      </w:r>
      <w:r w:rsidRPr="00F7727F">
        <w:rPr>
          <w:lang w:val="es-US"/>
        </w:rPr>
        <w:t xml:space="preserve"> </w:t>
      </w:r>
      <w:r w:rsidRPr="00F7727F">
        <w:rPr>
          <w:rFonts w:ascii="Cambria" w:hAnsi="Cambria"/>
          <w:color w:val="auto"/>
          <w:sz w:val="16"/>
          <w:szCs w:val="16"/>
          <w:lang w:val="es-PA"/>
        </w:rPr>
        <w:t xml:space="preserve">En fecha 9 de noviembre de 2020, la Secretaría Ejecutiva de la CIDH rectifica el error involuntario advertido en el presente informe, modificando la expresión “Declarar admisible la presente petición en relación con los artículos 7, 8, 21, 23, 24 y 25 de la Convención Americana en relación con sus artículos 1.1. y 2” en los términos que ahora constan en el mismo, conforme a la decisión adoptada por la Comisión en su momento.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2A" w:rsidRDefault="0037742A" w:rsidP="00F524A3">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37742A" w:rsidRDefault="00377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2A" w:rsidRDefault="00D4419B" w:rsidP="00A50FCF">
    <w:pPr>
      <w:pStyle w:val="Header"/>
      <w:tabs>
        <w:tab w:val="clear" w:pos="4320"/>
        <w:tab w:val="clear" w:pos="8640"/>
      </w:tabs>
      <w:jc w:val="center"/>
      <w:rPr>
        <w:sz w:val="22"/>
        <w:szCs w:val="22"/>
      </w:rPr>
    </w:pPr>
    <w:r>
      <w:rPr>
        <w:noProof/>
        <w:sz w:val="22"/>
        <w:szCs w:val="22"/>
      </w:rPr>
      <w:drawing>
        <wp:inline distT="0" distB="0" distL="0" distR="0">
          <wp:extent cx="1952625" cy="10477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rsidR="0037742A" w:rsidRPr="00EC7D62" w:rsidRDefault="0055214E"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08" w:rsidRDefault="00FE6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4E5F"/>
    <w:multiLevelType w:val="hybridMultilevel"/>
    <w:tmpl w:val="C3205ACA"/>
    <w:lvl w:ilvl="0" w:tplc="59AA5854">
      <w:start w:val="16"/>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AA7E17AC"/>
    <w:lvl w:ilvl="0" w:tplc="8EEEDFA6">
      <w:start w:val="1"/>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7385B60"/>
    <w:multiLevelType w:val="hybridMultilevel"/>
    <w:tmpl w:val="8422796E"/>
    <w:lvl w:ilvl="0" w:tplc="AC3047C2">
      <w:start w:val="15"/>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F60244D"/>
    <w:multiLevelType w:val="hybridMultilevel"/>
    <w:tmpl w:val="91DC24B4"/>
    <w:lvl w:ilvl="0" w:tplc="043478A8">
      <w:start w:val="18"/>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15:restartNumberingAfterBreak="0">
    <w:nsid w:val="51D76239"/>
    <w:multiLevelType w:val="multilevel"/>
    <w:tmpl w:val="AA7E17AC"/>
    <w:lvl w:ilvl="0">
      <w:start w:val="1"/>
      <w:numFmt w:val="decimal"/>
      <w:lvlText w:val="%1."/>
      <w:lvlJc w:val="left"/>
      <w:pPr>
        <w:tabs>
          <w:tab w:val="num" w:pos="720"/>
        </w:tabs>
        <w:ind w:firstLine="720"/>
      </w:pPr>
      <w:rPr>
        <w:rFonts w:cs="Times New Roman" w:hint="default"/>
        <w:b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7" w15:restartNumberingAfterBreak="0">
    <w:nsid w:val="5DAA001E"/>
    <w:multiLevelType w:val="hybridMultilevel"/>
    <w:tmpl w:val="7862AFFA"/>
    <w:lvl w:ilvl="0" w:tplc="5B20707C">
      <w:start w:val="1"/>
      <w:numFmt w:val="decimal"/>
      <w:lvlText w:val="%1."/>
      <w:lvlJc w:val="left"/>
      <w:pPr>
        <w:tabs>
          <w:tab w:val="num" w:pos="720"/>
        </w:tabs>
        <w:ind w:firstLine="720"/>
      </w:pPr>
      <w:rPr>
        <w:rFonts w:cs="Times New Roman" w:hint="default"/>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4" w15:restartNumberingAfterBreak="0">
    <w:nsid w:val="77EC680E"/>
    <w:multiLevelType w:val="hybridMultilevel"/>
    <w:tmpl w:val="68562832"/>
    <w:lvl w:ilvl="0" w:tplc="60643A90">
      <w:start w:val="16"/>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6"/>
  </w:num>
  <w:num w:numId="4">
    <w:abstractNumId w:val="23"/>
  </w:num>
  <w:num w:numId="5">
    <w:abstractNumId w:val="49"/>
  </w:num>
  <w:num w:numId="6">
    <w:abstractNumId w:val="28"/>
  </w:num>
  <w:num w:numId="7">
    <w:abstractNumId w:val="7"/>
  </w:num>
  <w:num w:numId="8">
    <w:abstractNumId w:val="18"/>
  </w:num>
  <w:num w:numId="9">
    <w:abstractNumId w:val="43"/>
  </w:num>
  <w:num w:numId="10">
    <w:abstractNumId w:val="1"/>
  </w:num>
  <w:num w:numId="11">
    <w:abstractNumId w:val="37"/>
  </w:num>
  <w:num w:numId="12">
    <w:abstractNumId w:val="38"/>
  </w:num>
  <w:num w:numId="13">
    <w:abstractNumId w:val="45"/>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8"/>
  </w:num>
  <w:num w:numId="42">
    <w:abstractNumId w:val="50"/>
  </w:num>
  <w:num w:numId="43">
    <w:abstractNumId w:val="51"/>
  </w:num>
  <w:num w:numId="44">
    <w:abstractNumId w:val="53"/>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2"/>
  </w:num>
  <w:num w:numId="52">
    <w:abstractNumId w:val="41"/>
  </w:num>
  <w:num w:numId="53">
    <w:abstractNumId w:val="52"/>
  </w:num>
  <w:num w:numId="54">
    <w:abstractNumId w:val="46"/>
  </w:num>
  <w:num w:numId="55">
    <w:abstractNumId w:val="5"/>
  </w:num>
  <w:num w:numId="56">
    <w:abstractNumId w:val="44"/>
  </w:num>
  <w:num w:numId="57">
    <w:abstractNumId w:val="16"/>
  </w:num>
  <w:num w:numId="58">
    <w:abstractNumId w:val="0"/>
  </w:num>
  <w:num w:numId="59">
    <w:abstractNumId w:val="54"/>
  </w:num>
  <w:num w:numId="60">
    <w:abstractNumId w:val="21"/>
  </w:num>
  <w:num w:numId="61">
    <w:abstractNumId w:val="47"/>
  </w:num>
  <w:num w:numId="62">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384"/>
    <w:rsid w:val="00000CDA"/>
    <w:rsid w:val="00006E1F"/>
    <w:rsid w:val="000070D7"/>
    <w:rsid w:val="00007F6A"/>
    <w:rsid w:val="0001423C"/>
    <w:rsid w:val="00015B5D"/>
    <w:rsid w:val="0001788C"/>
    <w:rsid w:val="0002403C"/>
    <w:rsid w:val="00024DED"/>
    <w:rsid w:val="000337EF"/>
    <w:rsid w:val="00033F92"/>
    <w:rsid w:val="00034211"/>
    <w:rsid w:val="000406EF"/>
    <w:rsid w:val="00040C3A"/>
    <w:rsid w:val="00040FFC"/>
    <w:rsid w:val="000419AD"/>
    <w:rsid w:val="000433C9"/>
    <w:rsid w:val="00053097"/>
    <w:rsid w:val="00057651"/>
    <w:rsid w:val="0006460B"/>
    <w:rsid w:val="000716C5"/>
    <w:rsid w:val="00075E23"/>
    <w:rsid w:val="000771ED"/>
    <w:rsid w:val="00077C36"/>
    <w:rsid w:val="000830F3"/>
    <w:rsid w:val="00086443"/>
    <w:rsid w:val="00087E8A"/>
    <w:rsid w:val="0009231E"/>
    <w:rsid w:val="0009344A"/>
    <w:rsid w:val="000A109C"/>
    <w:rsid w:val="000A392E"/>
    <w:rsid w:val="000A3DC8"/>
    <w:rsid w:val="000A575F"/>
    <w:rsid w:val="000A7028"/>
    <w:rsid w:val="000B490E"/>
    <w:rsid w:val="000C537B"/>
    <w:rsid w:val="000C6080"/>
    <w:rsid w:val="000D00DB"/>
    <w:rsid w:val="000D10DB"/>
    <w:rsid w:val="000D15F1"/>
    <w:rsid w:val="000D1A44"/>
    <w:rsid w:val="000D67B1"/>
    <w:rsid w:val="000E31EC"/>
    <w:rsid w:val="000E5EB5"/>
    <w:rsid w:val="000E5F49"/>
    <w:rsid w:val="000E660A"/>
    <w:rsid w:val="000E7BA9"/>
    <w:rsid w:val="000F1317"/>
    <w:rsid w:val="000F2A0E"/>
    <w:rsid w:val="000F35ED"/>
    <w:rsid w:val="000F50B3"/>
    <w:rsid w:val="000F7CA4"/>
    <w:rsid w:val="001007EE"/>
    <w:rsid w:val="00107131"/>
    <w:rsid w:val="0010736F"/>
    <w:rsid w:val="00113A49"/>
    <w:rsid w:val="00113F73"/>
    <w:rsid w:val="00121CC2"/>
    <w:rsid w:val="00124FD0"/>
    <w:rsid w:val="00126EFD"/>
    <w:rsid w:val="0012722C"/>
    <w:rsid w:val="001310C3"/>
    <w:rsid w:val="00133EE5"/>
    <w:rsid w:val="001412E0"/>
    <w:rsid w:val="0014234F"/>
    <w:rsid w:val="0014362F"/>
    <w:rsid w:val="00143C8D"/>
    <w:rsid w:val="00151C27"/>
    <w:rsid w:val="00153568"/>
    <w:rsid w:val="0015756A"/>
    <w:rsid w:val="00157F3E"/>
    <w:rsid w:val="001613F6"/>
    <w:rsid w:val="00164F04"/>
    <w:rsid w:val="00165E08"/>
    <w:rsid w:val="00167A34"/>
    <w:rsid w:val="00174DFB"/>
    <w:rsid w:val="00181439"/>
    <w:rsid w:val="001843CF"/>
    <w:rsid w:val="00186271"/>
    <w:rsid w:val="001927AB"/>
    <w:rsid w:val="00192BA0"/>
    <w:rsid w:val="001947F6"/>
    <w:rsid w:val="001A645B"/>
    <w:rsid w:val="001A7870"/>
    <w:rsid w:val="001B3A00"/>
    <w:rsid w:val="001B690F"/>
    <w:rsid w:val="001C160D"/>
    <w:rsid w:val="001C1B41"/>
    <w:rsid w:val="001C4D80"/>
    <w:rsid w:val="001C5C39"/>
    <w:rsid w:val="001C5C7F"/>
    <w:rsid w:val="001C7989"/>
    <w:rsid w:val="001D0112"/>
    <w:rsid w:val="001D2706"/>
    <w:rsid w:val="001D65EF"/>
    <w:rsid w:val="001D7A59"/>
    <w:rsid w:val="001D7CD5"/>
    <w:rsid w:val="001E2524"/>
    <w:rsid w:val="001E259C"/>
    <w:rsid w:val="001E49E7"/>
    <w:rsid w:val="001F1FA3"/>
    <w:rsid w:val="001F7201"/>
    <w:rsid w:val="002004C1"/>
    <w:rsid w:val="00206ACE"/>
    <w:rsid w:val="002167C8"/>
    <w:rsid w:val="00220FBB"/>
    <w:rsid w:val="0022230A"/>
    <w:rsid w:val="00223A29"/>
    <w:rsid w:val="00223FAC"/>
    <w:rsid w:val="002250A3"/>
    <w:rsid w:val="00235217"/>
    <w:rsid w:val="00246185"/>
    <w:rsid w:val="0024644B"/>
    <w:rsid w:val="00246D1F"/>
    <w:rsid w:val="00247403"/>
    <w:rsid w:val="00247542"/>
    <w:rsid w:val="00255D98"/>
    <w:rsid w:val="00266B3E"/>
    <w:rsid w:val="00266B61"/>
    <w:rsid w:val="0026710F"/>
    <w:rsid w:val="0026712A"/>
    <w:rsid w:val="00267903"/>
    <w:rsid w:val="002704DB"/>
    <w:rsid w:val="0027159B"/>
    <w:rsid w:val="002813D6"/>
    <w:rsid w:val="0028269C"/>
    <w:rsid w:val="002845DA"/>
    <w:rsid w:val="0028742F"/>
    <w:rsid w:val="00295FBB"/>
    <w:rsid w:val="002A0AAE"/>
    <w:rsid w:val="002A4111"/>
    <w:rsid w:val="002A4CDC"/>
    <w:rsid w:val="002A541B"/>
    <w:rsid w:val="002A5820"/>
    <w:rsid w:val="002B0DD2"/>
    <w:rsid w:val="002B4131"/>
    <w:rsid w:val="002B5062"/>
    <w:rsid w:val="002B5209"/>
    <w:rsid w:val="002B6003"/>
    <w:rsid w:val="002B7408"/>
    <w:rsid w:val="002D11B1"/>
    <w:rsid w:val="002D2B26"/>
    <w:rsid w:val="002D3296"/>
    <w:rsid w:val="002D56D6"/>
    <w:rsid w:val="002D7EA2"/>
    <w:rsid w:val="002E05CC"/>
    <w:rsid w:val="002E187C"/>
    <w:rsid w:val="002E2945"/>
    <w:rsid w:val="002E6596"/>
    <w:rsid w:val="002F2EE3"/>
    <w:rsid w:val="002F3C64"/>
    <w:rsid w:val="002F644E"/>
    <w:rsid w:val="002F75F5"/>
    <w:rsid w:val="00301C5B"/>
    <w:rsid w:val="00302733"/>
    <w:rsid w:val="003062E3"/>
    <w:rsid w:val="00310EED"/>
    <w:rsid w:val="00311A84"/>
    <w:rsid w:val="00313E94"/>
    <w:rsid w:val="00314078"/>
    <w:rsid w:val="0031535D"/>
    <w:rsid w:val="003225BB"/>
    <w:rsid w:val="003239B8"/>
    <w:rsid w:val="00331304"/>
    <w:rsid w:val="0033169F"/>
    <w:rsid w:val="003377E6"/>
    <w:rsid w:val="00342A24"/>
    <w:rsid w:val="003433A8"/>
    <w:rsid w:val="00344977"/>
    <w:rsid w:val="00346C95"/>
    <w:rsid w:val="003553AB"/>
    <w:rsid w:val="00356185"/>
    <w:rsid w:val="00360380"/>
    <w:rsid w:val="0036243D"/>
    <w:rsid w:val="003635E5"/>
    <w:rsid w:val="0036505C"/>
    <w:rsid w:val="00365E52"/>
    <w:rsid w:val="00367F3E"/>
    <w:rsid w:val="0037257F"/>
    <w:rsid w:val="00372A1A"/>
    <w:rsid w:val="0037519E"/>
    <w:rsid w:val="0037742A"/>
    <w:rsid w:val="0038030F"/>
    <w:rsid w:val="00382507"/>
    <w:rsid w:val="003847C1"/>
    <w:rsid w:val="0038651A"/>
    <w:rsid w:val="00386CF0"/>
    <w:rsid w:val="003935D7"/>
    <w:rsid w:val="00396D28"/>
    <w:rsid w:val="00397F8E"/>
    <w:rsid w:val="003A0F36"/>
    <w:rsid w:val="003A202D"/>
    <w:rsid w:val="003B2755"/>
    <w:rsid w:val="003B5513"/>
    <w:rsid w:val="003B70FB"/>
    <w:rsid w:val="003C36AE"/>
    <w:rsid w:val="003C3C05"/>
    <w:rsid w:val="003C676B"/>
    <w:rsid w:val="003C6830"/>
    <w:rsid w:val="003D228D"/>
    <w:rsid w:val="003D2FD8"/>
    <w:rsid w:val="003D3BC2"/>
    <w:rsid w:val="003D7C8E"/>
    <w:rsid w:val="003E36D2"/>
    <w:rsid w:val="003E6BE1"/>
    <w:rsid w:val="003E6CA1"/>
    <w:rsid w:val="003F0BF9"/>
    <w:rsid w:val="003F25F9"/>
    <w:rsid w:val="003F65DA"/>
    <w:rsid w:val="003F7854"/>
    <w:rsid w:val="00400C84"/>
    <w:rsid w:val="00401920"/>
    <w:rsid w:val="004022A8"/>
    <w:rsid w:val="004065A8"/>
    <w:rsid w:val="00407DFE"/>
    <w:rsid w:val="00407F81"/>
    <w:rsid w:val="0041472D"/>
    <w:rsid w:val="00414C13"/>
    <w:rsid w:val="00415C22"/>
    <w:rsid w:val="004165C2"/>
    <w:rsid w:val="004247BC"/>
    <w:rsid w:val="00424E62"/>
    <w:rsid w:val="00427575"/>
    <w:rsid w:val="00427717"/>
    <w:rsid w:val="00430CF9"/>
    <w:rsid w:val="0043204B"/>
    <w:rsid w:val="00432C88"/>
    <w:rsid w:val="0043512C"/>
    <w:rsid w:val="00441ECB"/>
    <w:rsid w:val="00445193"/>
    <w:rsid w:val="00447346"/>
    <w:rsid w:val="00453596"/>
    <w:rsid w:val="00454F61"/>
    <w:rsid w:val="004573C4"/>
    <w:rsid w:val="004611D5"/>
    <w:rsid w:val="00462C1B"/>
    <w:rsid w:val="00463B95"/>
    <w:rsid w:val="00463D2F"/>
    <w:rsid w:val="00467B7E"/>
    <w:rsid w:val="00473BB4"/>
    <w:rsid w:val="00477592"/>
    <w:rsid w:val="00477A92"/>
    <w:rsid w:val="00482064"/>
    <w:rsid w:val="004839D7"/>
    <w:rsid w:val="00486F1C"/>
    <w:rsid w:val="00491509"/>
    <w:rsid w:val="00491FF0"/>
    <w:rsid w:val="0049419D"/>
    <w:rsid w:val="00495071"/>
    <w:rsid w:val="004A32E4"/>
    <w:rsid w:val="004A44C5"/>
    <w:rsid w:val="004A6A54"/>
    <w:rsid w:val="004A729F"/>
    <w:rsid w:val="004B7215"/>
    <w:rsid w:val="004C1590"/>
    <w:rsid w:val="004C20D2"/>
    <w:rsid w:val="004C2312"/>
    <w:rsid w:val="004C4376"/>
    <w:rsid w:val="004C4B62"/>
    <w:rsid w:val="004C54C9"/>
    <w:rsid w:val="004D1777"/>
    <w:rsid w:val="004D2DC3"/>
    <w:rsid w:val="004D4ABA"/>
    <w:rsid w:val="004D6025"/>
    <w:rsid w:val="004E021E"/>
    <w:rsid w:val="004E2649"/>
    <w:rsid w:val="004E5942"/>
    <w:rsid w:val="004F14A9"/>
    <w:rsid w:val="004F458E"/>
    <w:rsid w:val="004F7B5B"/>
    <w:rsid w:val="00500664"/>
    <w:rsid w:val="00501399"/>
    <w:rsid w:val="005016B4"/>
    <w:rsid w:val="00504007"/>
    <w:rsid w:val="00504F0F"/>
    <w:rsid w:val="0050633D"/>
    <w:rsid w:val="00507BC4"/>
    <w:rsid w:val="005128E4"/>
    <w:rsid w:val="00512E84"/>
    <w:rsid w:val="005133DB"/>
    <w:rsid w:val="0051380C"/>
    <w:rsid w:val="00513BDD"/>
    <w:rsid w:val="00514686"/>
    <w:rsid w:val="00514EEE"/>
    <w:rsid w:val="00517FF0"/>
    <w:rsid w:val="00520841"/>
    <w:rsid w:val="00522F51"/>
    <w:rsid w:val="00525560"/>
    <w:rsid w:val="005262B1"/>
    <w:rsid w:val="00532DCD"/>
    <w:rsid w:val="00534F45"/>
    <w:rsid w:val="00537490"/>
    <w:rsid w:val="00540F17"/>
    <w:rsid w:val="00544C49"/>
    <w:rsid w:val="00550CD6"/>
    <w:rsid w:val="005516A1"/>
    <w:rsid w:val="0055214E"/>
    <w:rsid w:val="005579FD"/>
    <w:rsid w:val="00563557"/>
    <w:rsid w:val="005660B9"/>
    <w:rsid w:val="00566CD4"/>
    <w:rsid w:val="00567E2F"/>
    <w:rsid w:val="00572CEE"/>
    <w:rsid w:val="0057402A"/>
    <w:rsid w:val="005771D0"/>
    <w:rsid w:val="00580746"/>
    <w:rsid w:val="00581E72"/>
    <w:rsid w:val="00586CE6"/>
    <w:rsid w:val="0059191A"/>
    <w:rsid w:val="00591E92"/>
    <w:rsid w:val="005921FF"/>
    <w:rsid w:val="005924AD"/>
    <w:rsid w:val="005924FE"/>
    <w:rsid w:val="00594C65"/>
    <w:rsid w:val="00595F30"/>
    <w:rsid w:val="005A24ED"/>
    <w:rsid w:val="005A24F9"/>
    <w:rsid w:val="005A37EC"/>
    <w:rsid w:val="005A6D0E"/>
    <w:rsid w:val="005B285A"/>
    <w:rsid w:val="005B2A97"/>
    <w:rsid w:val="005B52B0"/>
    <w:rsid w:val="005B6806"/>
    <w:rsid w:val="005C0092"/>
    <w:rsid w:val="005C4225"/>
    <w:rsid w:val="005D0CA4"/>
    <w:rsid w:val="005F051A"/>
    <w:rsid w:val="005F0DAD"/>
    <w:rsid w:val="005F0F33"/>
    <w:rsid w:val="005F15A2"/>
    <w:rsid w:val="005F579D"/>
    <w:rsid w:val="005F61BE"/>
    <w:rsid w:val="005F7664"/>
    <w:rsid w:val="00600812"/>
    <w:rsid w:val="00600DEB"/>
    <w:rsid w:val="00603BA1"/>
    <w:rsid w:val="006047D1"/>
    <w:rsid w:val="00605365"/>
    <w:rsid w:val="00607A0B"/>
    <w:rsid w:val="006132CC"/>
    <w:rsid w:val="00613CD0"/>
    <w:rsid w:val="00613D10"/>
    <w:rsid w:val="00621E1C"/>
    <w:rsid w:val="00622E05"/>
    <w:rsid w:val="00624257"/>
    <w:rsid w:val="0062639C"/>
    <w:rsid w:val="00627C9F"/>
    <w:rsid w:val="0063011E"/>
    <w:rsid w:val="00630BD4"/>
    <w:rsid w:val="006311E9"/>
    <w:rsid w:val="00632354"/>
    <w:rsid w:val="006325B3"/>
    <w:rsid w:val="0063685A"/>
    <w:rsid w:val="00641CBA"/>
    <w:rsid w:val="00642810"/>
    <w:rsid w:val="00643279"/>
    <w:rsid w:val="00645F00"/>
    <w:rsid w:val="00650AF1"/>
    <w:rsid w:val="006514ED"/>
    <w:rsid w:val="00652333"/>
    <w:rsid w:val="00653312"/>
    <w:rsid w:val="00657D63"/>
    <w:rsid w:val="00662EC7"/>
    <w:rsid w:val="0066449E"/>
    <w:rsid w:val="00664C7D"/>
    <w:rsid w:val="006655C5"/>
    <w:rsid w:val="00670D03"/>
    <w:rsid w:val="006713EB"/>
    <w:rsid w:val="00675483"/>
    <w:rsid w:val="0068009E"/>
    <w:rsid w:val="00691488"/>
    <w:rsid w:val="00692219"/>
    <w:rsid w:val="00695A16"/>
    <w:rsid w:val="006A1215"/>
    <w:rsid w:val="006A17D2"/>
    <w:rsid w:val="006A4A39"/>
    <w:rsid w:val="006A73E6"/>
    <w:rsid w:val="006B1647"/>
    <w:rsid w:val="006B2D5C"/>
    <w:rsid w:val="006B3DB0"/>
    <w:rsid w:val="006C1B3E"/>
    <w:rsid w:val="006C2923"/>
    <w:rsid w:val="006C397B"/>
    <w:rsid w:val="006C4EB1"/>
    <w:rsid w:val="006C6056"/>
    <w:rsid w:val="006C6114"/>
    <w:rsid w:val="006D0D5E"/>
    <w:rsid w:val="006D192E"/>
    <w:rsid w:val="006D5423"/>
    <w:rsid w:val="006D5ED0"/>
    <w:rsid w:val="006D633D"/>
    <w:rsid w:val="006D7152"/>
    <w:rsid w:val="006E0166"/>
    <w:rsid w:val="006E60DC"/>
    <w:rsid w:val="006E7B34"/>
    <w:rsid w:val="006F2ED2"/>
    <w:rsid w:val="006F7679"/>
    <w:rsid w:val="007013E6"/>
    <w:rsid w:val="00702DF4"/>
    <w:rsid w:val="00704735"/>
    <w:rsid w:val="0070697F"/>
    <w:rsid w:val="007076D2"/>
    <w:rsid w:val="00711E24"/>
    <w:rsid w:val="00716324"/>
    <w:rsid w:val="00720EED"/>
    <w:rsid w:val="0072199C"/>
    <w:rsid w:val="00722528"/>
    <w:rsid w:val="00722C9F"/>
    <w:rsid w:val="00722E31"/>
    <w:rsid w:val="007239AE"/>
    <w:rsid w:val="007243A4"/>
    <w:rsid w:val="007253B8"/>
    <w:rsid w:val="00727168"/>
    <w:rsid w:val="00730CB3"/>
    <w:rsid w:val="0073486C"/>
    <w:rsid w:val="00735369"/>
    <w:rsid w:val="00736E34"/>
    <w:rsid w:val="0073741F"/>
    <w:rsid w:val="007424BE"/>
    <w:rsid w:val="00744777"/>
    <w:rsid w:val="007447C1"/>
    <w:rsid w:val="0074608C"/>
    <w:rsid w:val="00754F01"/>
    <w:rsid w:val="007550F0"/>
    <w:rsid w:val="00755D7F"/>
    <w:rsid w:val="007564E7"/>
    <w:rsid w:val="007578CB"/>
    <w:rsid w:val="00761729"/>
    <w:rsid w:val="00762BD0"/>
    <w:rsid w:val="0076643F"/>
    <w:rsid w:val="00774F93"/>
    <w:rsid w:val="00776A99"/>
    <w:rsid w:val="007774A4"/>
    <w:rsid w:val="00777896"/>
    <w:rsid w:val="00777F63"/>
    <w:rsid w:val="00781C96"/>
    <w:rsid w:val="00781E7C"/>
    <w:rsid w:val="00782808"/>
    <w:rsid w:val="007856C3"/>
    <w:rsid w:val="0078718D"/>
    <w:rsid w:val="00791931"/>
    <w:rsid w:val="00795906"/>
    <w:rsid w:val="00797AFC"/>
    <w:rsid w:val="007A3483"/>
    <w:rsid w:val="007A41FF"/>
    <w:rsid w:val="007A5817"/>
    <w:rsid w:val="007B05C4"/>
    <w:rsid w:val="007B3E9F"/>
    <w:rsid w:val="007B4636"/>
    <w:rsid w:val="007B60E9"/>
    <w:rsid w:val="007B6CC3"/>
    <w:rsid w:val="007B7341"/>
    <w:rsid w:val="007B76D3"/>
    <w:rsid w:val="007C0269"/>
    <w:rsid w:val="007C26AE"/>
    <w:rsid w:val="007C3334"/>
    <w:rsid w:val="007C5F6E"/>
    <w:rsid w:val="007C7024"/>
    <w:rsid w:val="007D0183"/>
    <w:rsid w:val="007D1971"/>
    <w:rsid w:val="007D2B98"/>
    <w:rsid w:val="007D6BBC"/>
    <w:rsid w:val="007D7148"/>
    <w:rsid w:val="007E1C29"/>
    <w:rsid w:val="007E21BC"/>
    <w:rsid w:val="007E3700"/>
    <w:rsid w:val="007E4495"/>
    <w:rsid w:val="007E7C82"/>
    <w:rsid w:val="007F1F83"/>
    <w:rsid w:val="007F588D"/>
    <w:rsid w:val="007F5AAA"/>
    <w:rsid w:val="00801BE0"/>
    <w:rsid w:val="008034E0"/>
    <w:rsid w:val="00803F1C"/>
    <w:rsid w:val="0080600E"/>
    <w:rsid w:val="0081589B"/>
    <w:rsid w:val="008171DA"/>
    <w:rsid w:val="00817612"/>
    <w:rsid w:val="00820215"/>
    <w:rsid w:val="00820732"/>
    <w:rsid w:val="0082172A"/>
    <w:rsid w:val="008238C2"/>
    <w:rsid w:val="00826005"/>
    <w:rsid w:val="008271E6"/>
    <w:rsid w:val="00831549"/>
    <w:rsid w:val="008338A4"/>
    <w:rsid w:val="00834D49"/>
    <w:rsid w:val="0083747C"/>
    <w:rsid w:val="00837C45"/>
    <w:rsid w:val="008403E5"/>
    <w:rsid w:val="00844730"/>
    <w:rsid w:val="008457C2"/>
    <w:rsid w:val="00846D2E"/>
    <w:rsid w:val="00854FBD"/>
    <w:rsid w:val="00857A82"/>
    <w:rsid w:val="008646E4"/>
    <w:rsid w:val="00865FA0"/>
    <w:rsid w:val="00870129"/>
    <w:rsid w:val="00873836"/>
    <w:rsid w:val="00875FA7"/>
    <w:rsid w:val="0088168E"/>
    <w:rsid w:val="00884A98"/>
    <w:rsid w:val="00885737"/>
    <w:rsid w:val="00890650"/>
    <w:rsid w:val="008919E0"/>
    <w:rsid w:val="00897E12"/>
    <w:rsid w:val="008A1BEF"/>
    <w:rsid w:val="008A4C14"/>
    <w:rsid w:val="008A7E0F"/>
    <w:rsid w:val="008B12F5"/>
    <w:rsid w:val="008C4D23"/>
    <w:rsid w:val="008D768D"/>
    <w:rsid w:val="008E1653"/>
    <w:rsid w:val="008E3759"/>
    <w:rsid w:val="008E3BFE"/>
    <w:rsid w:val="008F0678"/>
    <w:rsid w:val="008F12CE"/>
    <w:rsid w:val="008F1912"/>
    <w:rsid w:val="008F2441"/>
    <w:rsid w:val="008F3137"/>
    <w:rsid w:val="008F3521"/>
    <w:rsid w:val="00900587"/>
    <w:rsid w:val="00901EC6"/>
    <w:rsid w:val="0090270B"/>
    <w:rsid w:val="0090285C"/>
    <w:rsid w:val="009041DC"/>
    <w:rsid w:val="00904528"/>
    <w:rsid w:val="0090453A"/>
    <w:rsid w:val="00904EEB"/>
    <w:rsid w:val="009126BC"/>
    <w:rsid w:val="00914CD0"/>
    <w:rsid w:val="00915054"/>
    <w:rsid w:val="00917B5A"/>
    <w:rsid w:val="00920A58"/>
    <w:rsid w:val="00920A8C"/>
    <w:rsid w:val="00934A2C"/>
    <w:rsid w:val="00936FAC"/>
    <w:rsid w:val="00937FB3"/>
    <w:rsid w:val="00944021"/>
    <w:rsid w:val="00953D75"/>
    <w:rsid w:val="00957D66"/>
    <w:rsid w:val="009657EB"/>
    <w:rsid w:val="009665A1"/>
    <w:rsid w:val="0096706E"/>
    <w:rsid w:val="00973662"/>
    <w:rsid w:val="00974491"/>
    <w:rsid w:val="009756B8"/>
    <w:rsid w:val="00975C4E"/>
    <w:rsid w:val="009763F0"/>
    <w:rsid w:val="00977196"/>
    <w:rsid w:val="00980491"/>
    <w:rsid w:val="00981144"/>
    <w:rsid w:val="00981FBA"/>
    <w:rsid w:val="009830D7"/>
    <w:rsid w:val="009857EE"/>
    <w:rsid w:val="00992F9E"/>
    <w:rsid w:val="00997BC5"/>
    <w:rsid w:val="009A4F41"/>
    <w:rsid w:val="009A5026"/>
    <w:rsid w:val="009B1A39"/>
    <w:rsid w:val="009B381B"/>
    <w:rsid w:val="009B5848"/>
    <w:rsid w:val="009B5F66"/>
    <w:rsid w:val="009B6FA6"/>
    <w:rsid w:val="009B7794"/>
    <w:rsid w:val="009B7B39"/>
    <w:rsid w:val="009C7A79"/>
    <w:rsid w:val="009D07EA"/>
    <w:rsid w:val="009D0FAE"/>
    <w:rsid w:val="009D1753"/>
    <w:rsid w:val="009D2C29"/>
    <w:rsid w:val="009D3AB4"/>
    <w:rsid w:val="009D51C5"/>
    <w:rsid w:val="009D7611"/>
    <w:rsid w:val="009E0B61"/>
    <w:rsid w:val="009E2517"/>
    <w:rsid w:val="009E53DE"/>
    <w:rsid w:val="009E67B2"/>
    <w:rsid w:val="009F44F5"/>
    <w:rsid w:val="00A05E82"/>
    <w:rsid w:val="00A11212"/>
    <w:rsid w:val="00A11E44"/>
    <w:rsid w:val="00A16EC1"/>
    <w:rsid w:val="00A20DB6"/>
    <w:rsid w:val="00A32431"/>
    <w:rsid w:val="00A328B3"/>
    <w:rsid w:val="00A32C39"/>
    <w:rsid w:val="00A339FC"/>
    <w:rsid w:val="00A3565A"/>
    <w:rsid w:val="00A3704E"/>
    <w:rsid w:val="00A410A4"/>
    <w:rsid w:val="00A431C9"/>
    <w:rsid w:val="00A500E0"/>
    <w:rsid w:val="00A50FCF"/>
    <w:rsid w:val="00A528D1"/>
    <w:rsid w:val="00A53C7E"/>
    <w:rsid w:val="00A5784D"/>
    <w:rsid w:val="00A610CD"/>
    <w:rsid w:val="00A6435C"/>
    <w:rsid w:val="00A64DCB"/>
    <w:rsid w:val="00A66E88"/>
    <w:rsid w:val="00A758AA"/>
    <w:rsid w:val="00A8196D"/>
    <w:rsid w:val="00A84BAC"/>
    <w:rsid w:val="00A8555F"/>
    <w:rsid w:val="00A85B8F"/>
    <w:rsid w:val="00A9096D"/>
    <w:rsid w:val="00A92507"/>
    <w:rsid w:val="00A92661"/>
    <w:rsid w:val="00A92FBA"/>
    <w:rsid w:val="00A93BC7"/>
    <w:rsid w:val="00A95551"/>
    <w:rsid w:val="00A96937"/>
    <w:rsid w:val="00A977BE"/>
    <w:rsid w:val="00AA09A2"/>
    <w:rsid w:val="00AA3F80"/>
    <w:rsid w:val="00AA4598"/>
    <w:rsid w:val="00AA54AE"/>
    <w:rsid w:val="00AA6A05"/>
    <w:rsid w:val="00AA7996"/>
    <w:rsid w:val="00AB19B3"/>
    <w:rsid w:val="00AB5957"/>
    <w:rsid w:val="00AB5D04"/>
    <w:rsid w:val="00AC19CB"/>
    <w:rsid w:val="00AD124E"/>
    <w:rsid w:val="00AD58D6"/>
    <w:rsid w:val="00AE19FB"/>
    <w:rsid w:val="00AE5488"/>
    <w:rsid w:val="00AE55D2"/>
    <w:rsid w:val="00AE5E85"/>
    <w:rsid w:val="00AE6AE2"/>
    <w:rsid w:val="00AE6F91"/>
    <w:rsid w:val="00AF38C8"/>
    <w:rsid w:val="00AF5571"/>
    <w:rsid w:val="00AF7204"/>
    <w:rsid w:val="00B00E37"/>
    <w:rsid w:val="00B01B2F"/>
    <w:rsid w:val="00B02429"/>
    <w:rsid w:val="00B0351D"/>
    <w:rsid w:val="00B05DDB"/>
    <w:rsid w:val="00B07341"/>
    <w:rsid w:val="00B163F0"/>
    <w:rsid w:val="00B1654F"/>
    <w:rsid w:val="00B215BE"/>
    <w:rsid w:val="00B24D7E"/>
    <w:rsid w:val="00B30539"/>
    <w:rsid w:val="00B314DB"/>
    <w:rsid w:val="00B361F2"/>
    <w:rsid w:val="00B367D3"/>
    <w:rsid w:val="00B3718B"/>
    <w:rsid w:val="00B43AD5"/>
    <w:rsid w:val="00B4632A"/>
    <w:rsid w:val="00B46893"/>
    <w:rsid w:val="00B53000"/>
    <w:rsid w:val="00B530F1"/>
    <w:rsid w:val="00B62DA5"/>
    <w:rsid w:val="00B64CD5"/>
    <w:rsid w:val="00B67625"/>
    <w:rsid w:val="00B71122"/>
    <w:rsid w:val="00B75AC3"/>
    <w:rsid w:val="00B84334"/>
    <w:rsid w:val="00B84409"/>
    <w:rsid w:val="00B8701A"/>
    <w:rsid w:val="00B90432"/>
    <w:rsid w:val="00B93C13"/>
    <w:rsid w:val="00BA276C"/>
    <w:rsid w:val="00BA311C"/>
    <w:rsid w:val="00BA7A1C"/>
    <w:rsid w:val="00BB1657"/>
    <w:rsid w:val="00BB306F"/>
    <w:rsid w:val="00BB3CF4"/>
    <w:rsid w:val="00BB5EA5"/>
    <w:rsid w:val="00BC0583"/>
    <w:rsid w:val="00BC2AE8"/>
    <w:rsid w:val="00BD1591"/>
    <w:rsid w:val="00BD4B89"/>
    <w:rsid w:val="00BD5922"/>
    <w:rsid w:val="00BD5E69"/>
    <w:rsid w:val="00BD61ED"/>
    <w:rsid w:val="00BE2291"/>
    <w:rsid w:val="00BE3664"/>
    <w:rsid w:val="00BE5912"/>
    <w:rsid w:val="00BE7AA1"/>
    <w:rsid w:val="00BF02CB"/>
    <w:rsid w:val="00BF5214"/>
    <w:rsid w:val="00BF6FD8"/>
    <w:rsid w:val="00BF7C2B"/>
    <w:rsid w:val="00C03680"/>
    <w:rsid w:val="00C054DF"/>
    <w:rsid w:val="00C10222"/>
    <w:rsid w:val="00C20A16"/>
    <w:rsid w:val="00C21762"/>
    <w:rsid w:val="00C21FEF"/>
    <w:rsid w:val="00C22D5E"/>
    <w:rsid w:val="00C23335"/>
    <w:rsid w:val="00C2348C"/>
    <w:rsid w:val="00C24543"/>
    <w:rsid w:val="00C25166"/>
    <w:rsid w:val="00C256A2"/>
    <w:rsid w:val="00C30AA5"/>
    <w:rsid w:val="00C30CD3"/>
    <w:rsid w:val="00C31A8A"/>
    <w:rsid w:val="00C33B09"/>
    <w:rsid w:val="00C34491"/>
    <w:rsid w:val="00C42159"/>
    <w:rsid w:val="00C42657"/>
    <w:rsid w:val="00C42AC5"/>
    <w:rsid w:val="00C44D51"/>
    <w:rsid w:val="00C4630A"/>
    <w:rsid w:val="00C50F90"/>
    <w:rsid w:val="00C51515"/>
    <w:rsid w:val="00C5416B"/>
    <w:rsid w:val="00C559E8"/>
    <w:rsid w:val="00C5660B"/>
    <w:rsid w:val="00C62BEB"/>
    <w:rsid w:val="00C66B72"/>
    <w:rsid w:val="00C74006"/>
    <w:rsid w:val="00C76002"/>
    <w:rsid w:val="00C80E3E"/>
    <w:rsid w:val="00C82EDF"/>
    <w:rsid w:val="00C84977"/>
    <w:rsid w:val="00C84A30"/>
    <w:rsid w:val="00C87AC4"/>
    <w:rsid w:val="00C9051A"/>
    <w:rsid w:val="00C94627"/>
    <w:rsid w:val="00C9567A"/>
    <w:rsid w:val="00C96267"/>
    <w:rsid w:val="00CA38A1"/>
    <w:rsid w:val="00CA76B4"/>
    <w:rsid w:val="00CB212D"/>
    <w:rsid w:val="00CB2660"/>
    <w:rsid w:val="00CB2A8B"/>
    <w:rsid w:val="00CB7D6C"/>
    <w:rsid w:val="00CC38B7"/>
    <w:rsid w:val="00CC5E90"/>
    <w:rsid w:val="00CC798E"/>
    <w:rsid w:val="00CD046C"/>
    <w:rsid w:val="00CD63EC"/>
    <w:rsid w:val="00CE076C"/>
    <w:rsid w:val="00CE42D9"/>
    <w:rsid w:val="00CE4CC9"/>
    <w:rsid w:val="00CE5199"/>
    <w:rsid w:val="00CE6459"/>
    <w:rsid w:val="00CE66D5"/>
    <w:rsid w:val="00CE7775"/>
    <w:rsid w:val="00CF0D5F"/>
    <w:rsid w:val="00CF4FD7"/>
    <w:rsid w:val="00CF560A"/>
    <w:rsid w:val="00CF637A"/>
    <w:rsid w:val="00CF7A44"/>
    <w:rsid w:val="00D059DE"/>
    <w:rsid w:val="00D05ABD"/>
    <w:rsid w:val="00D05EB6"/>
    <w:rsid w:val="00D13FCE"/>
    <w:rsid w:val="00D15007"/>
    <w:rsid w:val="00D20C30"/>
    <w:rsid w:val="00D25A9E"/>
    <w:rsid w:val="00D277C7"/>
    <w:rsid w:val="00D30639"/>
    <w:rsid w:val="00D306D1"/>
    <w:rsid w:val="00D30800"/>
    <w:rsid w:val="00D339AD"/>
    <w:rsid w:val="00D34786"/>
    <w:rsid w:val="00D34EC8"/>
    <w:rsid w:val="00D35BCF"/>
    <w:rsid w:val="00D37BFC"/>
    <w:rsid w:val="00D4145E"/>
    <w:rsid w:val="00D4419B"/>
    <w:rsid w:val="00D47A8E"/>
    <w:rsid w:val="00D5254B"/>
    <w:rsid w:val="00D52D14"/>
    <w:rsid w:val="00D52FD6"/>
    <w:rsid w:val="00D54BFE"/>
    <w:rsid w:val="00D576A3"/>
    <w:rsid w:val="00D610A1"/>
    <w:rsid w:val="00D712D3"/>
    <w:rsid w:val="00D71422"/>
    <w:rsid w:val="00D71544"/>
    <w:rsid w:val="00D72DC6"/>
    <w:rsid w:val="00D7558D"/>
    <w:rsid w:val="00D8146F"/>
    <w:rsid w:val="00D81D92"/>
    <w:rsid w:val="00D835F3"/>
    <w:rsid w:val="00D84767"/>
    <w:rsid w:val="00D876F9"/>
    <w:rsid w:val="00D90EF0"/>
    <w:rsid w:val="00D92B1C"/>
    <w:rsid w:val="00D96037"/>
    <w:rsid w:val="00D97C8E"/>
    <w:rsid w:val="00DA2C16"/>
    <w:rsid w:val="00DA4FCD"/>
    <w:rsid w:val="00DA5739"/>
    <w:rsid w:val="00DA58AD"/>
    <w:rsid w:val="00DA7B5F"/>
    <w:rsid w:val="00DB2C06"/>
    <w:rsid w:val="00DB3C08"/>
    <w:rsid w:val="00DB686E"/>
    <w:rsid w:val="00DC11E7"/>
    <w:rsid w:val="00DC4262"/>
    <w:rsid w:val="00DC5F5C"/>
    <w:rsid w:val="00DC7023"/>
    <w:rsid w:val="00DC769A"/>
    <w:rsid w:val="00DC7E31"/>
    <w:rsid w:val="00DD0D22"/>
    <w:rsid w:val="00DD3D86"/>
    <w:rsid w:val="00DD4AD2"/>
    <w:rsid w:val="00DD59EB"/>
    <w:rsid w:val="00DE19D9"/>
    <w:rsid w:val="00DE1C60"/>
    <w:rsid w:val="00DE226D"/>
    <w:rsid w:val="00DE3503"/>
    <w:rsid w:val="00DF18C5"/>
    <w:rsid w:val="00DF1CB4"/>
    <w:rsid w:val="00DF1EC4"/>
    <w:rsid w:val="00DF35E6"/>
    <w:rsid w:val="00E0340B"/>
    <w:rsid w:val="00E034D3"/>
    <w:rsid w:val="00E04A90"/>
    <w:rsid w:val="00E04B2D"/>
    <w:rsid w:val="00E051BD"/>
    <w:rsid w:val="00E0551F"/>
    <w:rsid w:val="00E0682B"/>
    <w:rsid w:val="00E0702A"/>
    <w:rsid w:val="00E17331"/>
    <w:rsid w:val="00E1759A"/>
    <w:rsid w:val="00E20D35"/>
    <w:rsid w:val="00E219C7"/>
    <w:rsid w:val="00E30D9D"/>
    <w:rsid w:val="00E30E64"/>
    <w:rsid w:val="00E31038"/>
    <w:rsid w:val="00E32153"/>
    <w:rsid w:val="00E32A24"/>
    <w:rsid w:val="00E4118C"/>
    <w:rsid w:val="00E42E8C"/>
    <w:rsid w:val="00E43157"/>
    <w:rsid w:val="00E43199"/>
    <w:rsid w:val="00E44981"/>
    <w:rsid w:val="00E461CE"/>
    <w:rsid w:val="00E47C3F"/>
    <w:rsid w:val="00E50317"/>
    <w:rsid w:val="00E50F45"/>
    <w:rsid w:val="00E53336"/>
    <w:rsid w:val="00E53DE5"/>
    <w:rsid w:val="00E55B27"/>
    <w:rsid w:val="00E62846"/>
    <w:rsid w:val="00E6420B"/>
    <w:rsid w:val="00E71FC3"/>
    <w:rsid w:val="00E720CA"/>
    <w:rsid w:val="00E75583"/>
    <w:rsid w:val="00E84EB5"/>
    <w:rsid w:val="00E85662"/>
    <w:rsid w:val="00E8789F"/>
    <w:rsid w:val="00E91272"/>
    <w:rsid w:val="00E97B71"/>
    <w:rsid w:val="00EA00C8"/>
    <w:rsid w:val="00EA045A"/>
    <w:rsid w:val="00EA2A3D"/>
    <w:rsid w:val="00EA37F3"/>
    <w:rsid w:val="00EA3D34"/>
    <w:rsid w:val="00EA46A3"/>
    <w:rsid w:val="00EA473B"/>
    <w:rsid w:val="00EA67E2"/>
    <w:rsid w:val="00EA7F38"/>
    <w:rsid w:val="00EB1D53"/>
    <w:rsid w:val="00EB28B6"/>
    <w:rsid w:val="00EB454D"/>
    <w:rsid w:val="00EC1C7C"/>
    <w:rsid w:val="00EC1D23"/>
    <w:rsid w:val="00EC3FD3"/>
    <w:rsid w:val="00EC4967"/>
    <w:rsid w:val="00EC6D1A"/>
    <w:rsid w:val="00EC7D62"/>
    <w:rsid w:val="00ED549D"/>
    <w:rsid w:val="00ED6875"/>
    <w:rsid w:val="00ED76BE"/>
    <w:rsid w:val="00EE00E9"/>
    <w:rsid w:val="00EE17B0"/>
    <w:rsid w:val="00EE28FC"/>
    <w:rsid w:val="00EF0671"/>
    <w:rsid w:val="00EF50A3"/>
    <w:rsid w:val="00EF619B"/>
    <w:rsid w:val="00F00B55"/>
    <w:rsid w:val="00F0176A"/>
    <w:rsid w:val="00F01D9C"/>
    <w:rsid w:val="00F02AD1"/>
    <w:rsid w:val="00F14E2B"/>
    <w:rsid w:val="00F216AF"/>
    <w:rsid w:val="00F253CC"/>
    <w:rsid w:val="00F26BCA"/>
    <w:rsid w:val="00F2763F"/>
    <w:rsid w:val="00F27B60"/>
    <w:rsid w:val="00F33ADF"/>
    <w:rsid w:val="00F37106"/>
    <w:rsid w:val="00F43AA9"/>
    <w:rsid w:val="00F519CF"/>
    <w:rsid w:val="00F51ED8"/>
    <w:rsid w:val="00F524A3"/>
    <w:rsid w:val="00F56BA5"/>
    <w:rsid w:val="00F60E22"/>
    <w:rsid w:val="00F61FAD"/>
    <w:rsid w:val="00F650AC"/>
    <w:rsid w:val="00F7221F"/>
    <w:rsid w:val="00F7727F"/>
    <w:rsid w:val="00F809C6"/>
    <w:rsid w:val="00F81395"/>
    <w:rsid w:val="00F81BB8"/>
    <w:rsid w:val="00F847A2"/>
    <w:rsid w:val="00F8754D"/>
    <w:rsid w:val="00F917D1"/>
    <w:rsid w:val="00F91F8B"/>
    <w:rsid w:val="00F9653B"/>
    <w:rsid w:val="00F96DCF"/>
    <w:rsid w:val="00FA0F06"/>
    <w:rsid w:val="00FA3357"/>
    <w:rsid w:val="00FA36AD"/>
    <w:rsid w:val="00FA6837"/>
    <w:rsid w:val="00FA6C71"/>
    <w:rsid w:val="00FA7C8F"/>
    <w:rsid w:val="00FB1F13"/>
    <w:rsid w:val="00FB62CF"/>
    <w:rsid w:val="00FC2B4A"/>
    <w:rsid w:val="00FC7CE3"/>
    <w:rsid w:val="00FD3C3B"/>
    <w:rsid w:val="00FD7800"/>
    <w:rsid w:val="00FE07DD"/>
    <w:rsid w:val="00FE427E"/>
    <w:rsid w:val="00FE6808"/>
    <w:rsid w:val="00FE6B45"/>
    <w:rsid w:val="00FE720A"/>
    <w:rsid w:val="00FE7971"/>
    <w:rsid w:val="00FE79C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1C"/>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BA311C"/>
    <w:rPr>
      <w:rFonts w:cs="Times New Roman"/>
      <w:u w:val="single"/>
    </w:rPr>
  </w:style>
  <w:style w:type="paragraph" w:customStyle="1" w:styleId="Cabeceraypie">
    <w:name w:val="Cabecera y pie"/>
    <w:uiPriority w:val="99"/>
    <w:rsid w:val="00BA311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BA311C"/>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BA311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BA311C"/>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A84BAC"/>
    <w:rPr>
      <w:rFonts w:cs="Times New Roman"/>
      <w:sz w:val="24"/>
      <w:szCs w:val="24"/>
      <w:lang w:val="en-US" w:eastAsia="en-US"/>
    </w:rPr>
  </w:style>
  <w:style w:type="paragraph" w:styleId="ListParagraph">
    <w:name w:val="List Paragraph"/>
    <w:basedOn w:val="Normal"/>
    <w:uiPriority w:val="99"/>
    <w:qFormat/>
    <w:rsid w:val="00BA311C"/>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t,C"/>
    <w:basedOn w:val="Normal"/>
    <w:link w:val="FootnoteTextChar2"/>
    <w:uiPriority w:val="99"/>
    <w:rsid w:val="00BA311C"/>
    <w:rPr>
      <w:rFonts w:ascii="Calibri" w:hAnsi="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sid w:val="00A84BAC"/>
    <w:rPr>
      <w:rFonts w:cs="Times New Roman"/>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norm"/>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autoSpaceDE w:val="0"/>
      <w:autoSpaceDN w:val="0"/>
      <w:adjustRightInd w:val="0"/>
    </w:pPr>
    <w:rPr>
      <w:rFonts w:eastAsia="Times New Roman"/>
      <w:color w:val="000000"/>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771ED"/>
    <w:rPr>
      <w:rFonts w:cs="Times New Roman"/>
      <w:sz w:val="16"/>
      <w:szCs w:val="16"/>
    </w:rPr>
  </w:style>
  <w:style w:type="paragraph" w:styleId="CommentText">
    <w:name w:val="annotation text"/>
    <w:basedOn w:val="Normal"/>
    <w:link w:val="CommentTextChar"/>
    <w:uiPriority w:val="99"/>
    <w:semiHidden/>
    <w:rsid w:val="000771ED"/>
    <w:rPr>
      <w:sz w:val="20"/>
      <w:szCs w:val="20"/>
    </w:rPr>
  </w:style>
  <w:style w:type="character" w:customStyle="1" w:styleId="CommentTextChar">
    <w:name w:val="Comment Text Char"/>
    <w:basedOn w:val="DefaultParagraphFont"/>
    <w:link w:val="CommentText"/>
    <w:uiPriority w:val="99"/>
    <w:semiHidden/>
    <w:locked/>
    <w:rsid w:val="000771ED"/>
    <w:rPr>
      <w:rFonts w:cs="Times New Roman"/>
      <w:lang w:val="en-US" w:eastAsia="en-US"/>
    </w:rPr>
  </w:style>
  <w:style w:type="paragraph" w:styleId="CommentSubject">
    <w:name w:val="annotation subject"/>
    <w:basedOn w:val="CommentText"/>
    <w:next w:val="CommentText"/>
    <w:link w:val="CommentSubjectChar"/>
    <w:uiPriority w:val="99"/>
    <w:semiHidden/>
    <w:rsid w:val="000771ED"/>
    <w:rPr>
      <w:b/>
      <w:bCs/>
    </w:rPr>
  </w:style>
  <w:style w:type="character" w:customStyle="1" w:styleId="CommentSubjectChar">
    <w:name w:val="Comment Subject Char"/>
    <w:basedOn w:val="CommentTextChar"/>
    <w:link w:val="CommentSubject"/>
    <w:uiPriority w:val="99"/>
    <w:semiHidden/>
    <w:locked/>
    <w:rsid w:val="000771ED"/>
    <w:rPr>
      <w:rFonts w:cs="Times New Roman"/>
      <w:b/>
      <w:bCs/>
      <w:lang w:val="en-US" w:eastAsia="en-US"/>
    </w:rPr>
  </w:style>
  <w:style w:type="character" w:customStyle="1" w:styleId="FootnoteTextCharCharCharCharCharCar">
    <w:name w:val="Footnote Text Char Char Char Char Char Car"/>
    <w:aliases w:val="Footnote Text Char Char Char Char Car,FA Fu Car,Footnote reference Car,Footnote Text Char Char Char Car,Footnote Text Cha Car,FA Fußnotentext Car,FA Fuﬂnotentext Car,Texto nota pie Car Car,ft Car,C Car"/>
    <w:basedOn w:val="DefaultParagraphFont"/>
    <w:uiPriority w:val="99"/>
    <w:rsid w:val="002813D6"/>
    <w:rPr>
      <w:rFonts w:cs="Times New Roman"/>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532DCD"/>
    <w:rPr>
      <w:rFonts w:ascii="Calibri" w:hAnsi="Calibri"/>
      <w:color w:val="000000"/>
      <w:u w:color="000000"/>
      <w:lang w:val="en-US"/>
    </w:rPr>
  </w:style>
  <w:style w:type="numbering" w:customStyle="1" w:styleId="List16">
    <w:name w:val="List 16"/>
    <w:rsid w:val="003F4C67"/>
    <w:pPr>
      <w:numPr>
        <w:numId w:val="10"/>
      </w:numPr>
    </w:pPr>
  </w:style>
  <w:style w:type="numbering" w:customStyle="1" w:styleId="List36">
    <w:name w:val="List 36"/>
    <w:rsid w:val="003F4C67"/>
    <w:pPr>
      <w:numPr>
        <w:numId w:val="14"/>
      </w:numPr>
    </w:pPr>
  </w:style>
  <w:style w:type="numbering" w:customStyle="1" w:styleId="List25">
    <w:name w:val="List 25"/>
    <w:rsid w:val="003F4C67"/>
    <w:pPr>
      <w:numPr>
        <w:numId w:val="15"/>
      </w:numPr>
    </w:pPr>
  </w:style>
  <w:style w:type="numbering" w:customStyle="1" w:styleId="List1">
    <w:name w:val="List 1"/>
    <w:rsid w:val="003F4C67"/>
    <w:pPr>
      <w:numPr>
        <w:numId w:val="1"/>
      </w:numPr>
    </w:pPr>
  </w:style>
  <w:style w:type="numbering" w:customStyle="1" w:styleId="List11">
    <w:name w:val="List 11"/>
    <w:rsid w:val="003F4C67"/>
    <w:pPr>
      <w:numPr>
        <w:numId w:val="7"/>
      </w:numPr>
    </w:pPr>
  </w:style>
  <w:style w:type="numbering" w:customStyle="1" w:styleId="List15">
    <w:name w:val="List 15"/>
    <w:rsid w:val="003F4C67"/>
    <w:pPr>
      <w:numPr>
        <w:numId w:val="16"/>
      </w:numPr>
    </w:pPr>
  </w:style>
  <w:style w:type="numbering" w:customStyle="1" w:styleId="List14">
    <w:name w:val="List 14"/>
    <w:rsid w:val="003F4C67"/>
    <w:pPr>
      <w:numPr>
        <w:numId w:val="17"/>
      </w:numPr>
    </w:pPr>
  </w:style>
  <w:style w:type="numbering" w:customStyle="1" w:styleId="List23">
    <w:name w:val="List 23"/>
    <w:rsid w:val="003F4C67"/>
    <w:pPr>
      <w:numPr>
        <w:numId w:val="18"/>
      </w:numPr>
    </w:pPr>
  </w:style>
  <w:style w:type="numbering" w:customStyle="1" w:styleId="List19">
    <w:name w:val="List 19"/>
    <w:rsid w:val="003F4C67"/>
    <w:pPr>
      <w:numPr>
        <w:numId w:val="19"/>
      </w:numPr>
    </w:pPr>
  </w:style>
  <w:style w:type="numbering" w:customStyle="1" w:styleId="List45">
    <w:name w:val="List 45"/>
    <w:rsid w:val="003F4C67"/>
    <w:pPr>
      <w:numPr>
        <w:numId w:val="20"/>
      </w:numPr>
    </w:pPr>
  </w:style>
  <w:style w:type="numbering" w:customStyle="1" w:styleId="List40">
    <w:name w:val="List 40"/>
    <w:rsid w:val="003F4C67"/>
    <w:pPr>
      <w:numPr>
        <w:numId w:val="21"/>
      </w:numPr>
    </w:pPr>
  </w:style>
  <w:style w:type="numbering" w:customStyle="1" w:styleId="List9">
    <w:name w:val="List 9"/>
    <w:rsid w:val="003F4C67"/>
    <w:pPr>
      <w:numPr>
        <w:numId w:val="22"/>
      </w:numPr>
    </w:pPr>
  </w:style>
  <w:style w:type="numbering" w:customStyle="1" w:styleId="List43">
    <w:name w:val="List 43"/>
    <w:rsid w:val="003F4C67"/>
    <w:pPr>
      <w:numPr>
        <w:numId w:val="23"/>
      </w:numPr>
    </w:pPr>
  </w:style>
  <w:style w:type="numbering" w:customStyle="1" w:styleId="List46">
    <w:name w:val="List 46"/>
    <w:rsid w:val="003F4C67"/>
    <w:pPr>
      <w:numPr>
        <w:numId w:val="24"/>
      </w:numPr>
    </w:pPr>
  </w:style>
  <w:style w:type="numbering" w:customStyle="1" w:styleId="List35">
    <w:name w:val="List 35"/>
    <w:rsid w:val="003F4C67"/>
    <w:pPr>
      <w:numPr>
        <w:numId w:val="8"/>
      </w:numPr>
    </w:pPr>
  </w:style>
  <w:style w:type="numbering" w:customStyle="1" w:styleId="List17">
    <w:name w:val="List 17"/>
    <w:rsid w:val="003F4C67"/>
    <w:pPr>
      <w:numPr>
        <w:numId w:val="25"/>
      </w:numPr>
    </w:pPr>
  </w:style>
  <w:style w:type="numbering" w:customStyle="1" w:styleId="List33">
    <w:name w:val="List 33"/>
    <w:rsid w:val="003F4C67"/>
    <w:pPr>
      <w:numPr>
        <w:numId w:val="26"/>
      </w:numPr>
    </w:pPr>
  </w:style>
  <w:style w:type="numbering" w:customStyle="1" w:styleId="List7">
    <w:name w:val="List 7"/>
    <w:rsid w:val="003F4C67"/>
    <w:pPr>
      <w:numPr>
        <w:numId w:val="4"/>
      </w:numPr>
    </w:pPr>
  </w:style>
  <w:style w:type="numbering" w:customStyle="1" w:styleId="List18">
    <w:name w:val="List 18"/>
    <w:rsid w:val="003F4C67"/>
    <w:pPr>
      <w:numPr>
        <w:numId w:val="27"/>
      </w:numPr>
    </w:pPr>
  </w:style>
  <w:style w:type="numbering" w:customStyle="1" w:styleId="List22">
    <w:name w:val="List 22"/>
    <w:rsid w:val="003F4C67"/>
    <w:pPr>
      <w:numPr>
        <w:numId w:val="28"/>
      </w:numPr>
    </w:pPr>
  </w:style>
  <w:style w:type="numbering" w:customStyle="1" w:styleId="List47">
    <w:name w:val="List 47"/>
    <w:rsid w:val="003F4C67"/>
    <w:pPr>
      <w:numPr>
        <w:numId w:val="29"/>
      </w:numPr>
    </w:pPr>
  </w:style>
  <w:style w:type="numbering" w:customStyle="1" w:styleId="List28">
    <w:name w:val="List 28"/>
    <w:rsid w:val="003F4C67"/>
    <w:pPr>
      <w:numPr>
        <w:numId w:val="30"/>
      </w:numPr>
    </w:pPr>
  </w:style>
  <w:style w:type="numbering" w:customStyle="1" w:styleId="List10">
    <w:name w:val="List 10"/>
    <w:rsid w:val="003F4C67"/>
    <w:pPr>
      <w:numPr>
        <w:numId w:val="6"/>
      </w:numPr>
    </w:pPr>
  </w:style>
  <w:style w:type="numbering" w:customStyle="1" w:styleId="List0">
    <w:name w:val="List 0"/>
    <w:rsid w:val="003F4C67"/>
    <w:pPr>
      <w:numPr>
        <w:numId w:val="31"/>
      </w:numPr>
    </w:pPr>
  </w:style>
  <w:style w:type="numbering" w:customStyle="1" w:styleId="List30">
    <w:name w:val="List 30"/>
    <w:rsid w:val="003F4C67"/>
    <w:pPr>
      <w:numPr>
        <w:numId w:val="32"/>
      </w:numPr>
    </w:pPr>
  </w:style>
  <w:style w:type="numbering" w:customStyle="1" w:styleId="List29">
    <w:name w:val="List 29"/>
    <w:rsid w:val="003F4C67"/>
    <w:pPr>
      <w:numPr>
        <w:numId w:val="34"/>
      </w:numPr>
    </w:pPr>
  </w:style>
  <w:style w:type="numbering" w:customStyle="1" w:styleId="List38">
    <w:name w:val="List 38"/>
    <w:rsid w:val="003F4C67"/>
    <w:pPr>
      <w:numPr>
        <w:numId w:val="35"/>
      </w:numPr>
    </w:pPr>
  </w:style>
  <w:style w:type="numbering" w:customStyle="1" w:styleId="List12">
    <w:name w:val="List 12"/>
    <w:rsid w:val="003F4C67"/>
    <w:pPr>
      <w:numPr>
        <w:numId w:val="36"/>
      </w:numPr>
    </w:pPr>
  </w:style>
  <w:style w:type="numbering" w:customStyle="1" w:styleId="List50">
    <w:name w:val="List 50"/>
    <w:rsid w:val="003F4C67"/>
    <w:pPr>
      <w:numPr>
        <w:numId w:val="37"/>
      </w:numPr>
    </w:pPr>
  </w:style>
  <w:style w:type="numbering" w:customStyle="1" w:styleId="List34">
    <w:name w:val="List 34"/>
    <w:rsid w:val="003F4C67"/>
    <w:pPr>
      <w:numPr>
        <w:numId w:val="11"/>
      </w:numPr>
    </w:pPr>
  </w:style>
  <w:style w:type="numbering" w:customStyle="1" w:styleId="List42">
    <w:name w:val="List 42"/>
    <w:rsid w:val="003F4C67"/>
    <w:pPr>
      <w:numPr>
        <w:numId w:val="12"/>
      </w:numPr>
    </w:pPr>
  </w:style>
  <w:style w:type="numbering" w:customStyle="1" w:styleId="List49">
    <w:name w:val="List 49"/>
    <w:rsid w:val="003F4C67"/>
    <w:pPr>
      <w:numPr>
        <w:numId w:val="39"/>
      </w:numPr>
    </w:pPr>
  </w:style>
  <w:style w:type="numbering" w:customStyle="1" w:styleId="List44">
    <w:name w:val="List 44"/>
    <w:rsid w:val="003F4C67"/>
    <w:pPr>
      <w:numPr>
        <w:numId w:val="40"/>
      </w:numPr>
    </w:pPr>
  </w:style>
  <w:style w:type="numbering" w:customStyle="1" w:styleId="List21">
    <w:name w:val="List 21"/>
    <w:rsid w:val="003F4C67"/>
    <w:pPr>
      <w:numPr>
        <w:numId w:val="52"/>
      </w:numPr>
    </w:pPr>
  </w:style>
  <w:style w:type="numbering" w:customStyle="1" w:styleId="List52">
    <w:name w:val="List 52"/>
    <w:rsid w:val="003F4C67"/>
    <w:pPr>
      <w:numPr>
        <w:numId w:val="9"/>
      </w:numPr>
    </w:pPr>
  </w:style>
  <w:style w:type="numbering" w:customStyle="1" w:styleId="List24">
    <w:name w:val="List 24"/>
    <w:rsid w:val="003F4C67"/>
    <w:pPr>
      <w:numPr>
        <w:numId w:val="13"/>
      </w:numPr>
    </w:pPr>
  </w:style>
  <w:style w:type="numbering" w:customStyle="1" w:styleId="List51">
    <w:name w:val="List 51"/>
    <w:rsid w:val="003F4C67"/>
    <w:pPr>
      <w:numPr>
        <w:numId w:val="54"/>
      </w:numPr>
    </w:pPr>
  </w:style>
  <w:style w:type="numbering" w:customStyle="1" w:styleId="List27">
    <w:name w:val="List 27"/>
    <w:rsid w:val="003F4C67"/>
    <w:pPr>
      <w:numPr>
        <w:numId w:val="41"/>
      </w:numPr>
    </w:pPr>
  </w:style>
  <w:style w:type="numbering" w:customStyle="1" w:styleId="List8">
    <w:name w:val="List 8"/>
    <w:rsid w:val="003F4C67"/>
    <w:pPr>
      <w:numPr>
        <w:numId w:val="5"/>
      </w:numPr>
    </w:pPr>
  </w:style>
  <w:style w:type="numbering" w:customStyle="1" w:styleId="List13">
    <w:name w:val="List 13"/>
    <w:rsid w:val="003F4C67"/>
    <w:pPr>
      <w:numPr>
        <w:numId w:val="42"/>
      </w:numPr>
    </w:pPr>
  </w:style>
  <w:style w:type="numbering" w:customStyle="1" w:styleId="List20">
    <w:name w:val="List 20"/>
    <w:rsid w:val="003F4C67"/>
    <w:pPr>
      <w:numPr>
        <w:numId w:val="43"/>
      </w:numPr>
    </w:pPr>
  </w:style>
  <w:style w:type="numbering" w:customStyle="1" w:styleId="List41">
    <w:name w:val="List 41"/>
    <w:rsid w:val="003F4C67"/>
    <w:pPr>
      <w:numPr>
        <w:numId w:val="44"/>
      </w:numPr>
    </w:pPr>
  </w:style>
  <w:style w:type="numbering" w:customStyle="1" w:styleId="List31">
    <w:name w:val="List 31"/>
    <w:rsid w:val="003F4C67"/>
    <w:pPr>
      <w:numPr>
        <w:numId w:val="45"/>
      </w:numPr>
    </w:pPr>
  </w:style>
  <w:style w:type="numbering" w:customStyle="1" w:styleId="List6">
    <w:name w:val="List 6"/>
    <w:rsid w:val="003F4C67"/>
    <w:pPr>
      <w:numPr>
        <w:numId w:val="3"/>
      </w:numPr>
    </w:pPr>
  </w:style>
  <w:style w:type="numbering" w:customStyle="1" w:styleId="List39">
    <w:name w:val="List 39"/>
    <w:rsid w:val="003F4C67"/>
    <w:pPr>
      <w:numPr>
        <w:numId w:val="46"/>
      </w:numPr>
    </w:pPr>
  </w:style>
  <w:style w:type="numbering" w:customStyle="1" w:styleId="List37">
    <w:name w:val="List 37"/>
    <w:rsid w:val="003F4C67"/>
    <w:pPr>
      <w:numPr>
        <w:numId w:val="47"/>
      </w:numPr>
    </w:pPr>
  </w:style>
  <w:style w:type="numbering" w:customStyle="1" w:styleId="List32">
    <w:name w:val="List 32"/>
    <w:rsid w:val="003F4C67"/>
    <w:pPr>
      <w:numPr>
        <w:numId w:val="48"/>
      </w:numPr>
    </w:pPr>
  </w:style>
  <w:style w:type="numbering" w:customStyle="1" w:styleId="List26">
    <w:name w:val="List 26"/>
    <w:rsid w:val="003F4C67"/>
    <w:pPr>
      <w:numPr>
        <w:numId w:val="49"/>
      </w:numPr>
    </w:pPr>
  </w:style>
  <w:style w:type="numbering" w:customStyle="1" w:styleId="List48">
    <w:name w:val="List 48"/>
    <w:rsid w:val="003F4C67"/>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43163">
      <w:marLeft w:val="0"/>
      <w:marRight w:val="0"/>
      <w:marTop w:val="0"/>
      <w:marBottom w:val="0"/>
      <w:divBdr>
        <w:top w:val="none" w:sz="0" w:space="0" w:color="auto"/>
        <w:left w:val="none" w:sz="0" w:space="0" w:color="auto"/>
        <w:bottom w:val="none" w:sz="0" w:space="0" w:color="auto"/>
        <w:right w:val="none" w:sz="0" w:space="0" w:color="auto"/>
      </w:divBdr>
    </w:div>
    <w:div w:id="1398043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D33A5-8CDE-4629-897C-84F35169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3936</Words>
  <Characters>22439</Characters>
  <Application>Microsoft Office Word</Application>
  <DocSecurity>0</DocSecurity>
  <Lines>186</Lines>
  <Paragraphs>52</Paragraphs>
  <ScaleCrop>false</ScaleCrop>
  <Company/>
  <LinksUpToDate>false</LinksUpToDate>
  <CharactersWithSpaces>26323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121/20</dc:title>
  <dc:subject/>
  <dc:creator/>
  <cp:keywords/>
  <dc:description/>
  <cp:lastModifiedBy/>
  <cp:revision>1</cp:revision>
  <dcterms:created xsi:type="dcterms:W3CDTF">2020-11-11T12:47:00Z</dcterms:created>
  <dcterms:modified xsi:type="dcterms:W3CDTF">2020-11-11T12:47:00Z</dcterms:modified>
</cp:coreProperties>
</file>