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884A5B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514D6">
                              <w:rPr>
                                <w:rFonts w:asciiTheme="majorHAnsi" w:hAnsiTheme="majorHAnsi" w:cs="Arial"/>
                                <w:b/>
                                <w:bCs/>
                                <w:color w:val="0D0D0D" w:themeColor="text1" w:themeTint="F2"/>
                                <w:sz w:val="36"/>
                                <w:szCs w:val="22"/>
                                <w:lang w:val="es-ES_tradnl"/>
                              </w:rPr>
                              <w:t xml:space="preserve"> 150</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7082A06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4F73">
                              <w:rPr>
                                <w:rFonts w:asciiTheme="majorHAnsi" w:hAnsiTheme="majorHAnsi" w:cs="Arial"/>
                                <w:b/>
                                <w:color w:val="0D0D0D" w:themeColor="text1" w:themeTint="F2"/>
                                <w:sz w:val="36"/>
                                <w:szCs w:val="22"/>
                                <w:lang w:val="es-ES_tradnl"/>
                              </w:rPr>
                              <w:t>1693</w:t>
                            </w:r>
                            <w:r w:rsidR="00246D1F" w:rsidRPr="004E2649">
                              <w:rPr>
                                <w:rFonts w:asciiTheme="majorHAnsi" w:hAnsiTheme="majorHAnsi" w:cs="Arial"/>
                                <w:b/>
                                <w:color w:val="0D0D0D" w:themeColor="text1" w:themeTint="F2"/>
                                <w:sz w:val="36"/>
                                <w:szCs w:val="22"/>
                                <w:lang w:val="es-ES_tradnl"/>
                              </w:rPr>
                              <w:t>-</w:t>
                            </w:r>
                            <w:r w:rsidR="00076A8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BA7F8F3"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076A84">
                              <w:rPr>
                                <w:rFonts w:asciiTheme="majorHAnsi" w:hAnsiTheme="majorHAnsi" w:cs="Arial"/>
                                <w:color w:val="0D0D0D" w:themeColor="text1" w:themeTint="F2"/>
                                <w:szCs w:val="22"/>
                                <w:lang w:val="es-ES_tradnl"/>
                              </w:rPr>
                              <w:t>JOSÉ SEGUNDO FLORES ROJAS</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884A5B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514D6">
                        <w:rPr>
                          <w:rFonts w:asciiTheme="majorHAnsi" w:hAnsiTheme="majorHAnsi" w:cs="Arial"/>
                          <w:b/>
                          <w:bCs/>
                          <w:color w:val="0D0D0D" w:themeColor="text1" w:themeTint="F2"/>
                          <w:sz w:val="36"/>
                          <w:szCs w:val="22"/>
                          <w:lang w:val="es-ES_tradnl"/>
                        </w:rPr>
                        <w:t xml:space="preserve"> 150</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7082A06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4F73">
                        <w:rPr>
                          <w:rFonts w:asciiTheme="majorHAnsi" w:hAnsiTheme="majorHAnsi" w:cs="Arial"/>
                          <w:b/>
                          <w:color w:val="0D0D0D" w:themeColor="text1" w:themeTint="F2"/>
                          <w:sz w:val="36"/>
                          <w:szCs w:val="22"/>
                          <w:lang w:val="es-ES_tradnl"/>
                        </w:rPr>
                        <w:t>1693</w:t>
                      </w:r>
                      <w:r w:rsidR="00246D1F" w:rsidRPr="004E2649">
                        <w:rPr>
                          <w:rFonts w:asciiTheme="majorHAnsi" w:hAnsiTheme="majorHAnsi" w:cs="Arial"/>
                          <w:b/>
                          <w:color w:val="0D0D0D" w:themeColor="text1" w:themeTint="F2"/>
                          <w:sz w:val="36"/>
                          <w:szCs w:val="22"/>
                          <w:lang w:val="es-ES_tradnl"/>
                        </w:rPr>
                        <w:t>-</w:t>
                      </w:r>
                      <w:r w:rsidR="00076A8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BA7F8F3"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076A84">
                        <w:rPr>
                          <w:rFonts w:asciiTheme="majorHAnsi" w:hAnsiTheme="majorHAnsi" w:cs="Arial"/>
                          <w:color w:val="0D0D0D" w:themeColor="text1" w:themeTint="F2"/>
                          <w:szCs w:val="22"/>
                          <w:lang w:val="es-ES_tradnl"/>
                        </w:rPr>
                        <w:t>JOSÉ SEGUNDO FLORES ROJAS</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D62FCBF" w:rsidR="00627C9F" w:rsidRPr="00935F06" w:rsidRDefault="004514D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D6DBD46" w:rsidR="00627C9F" w:rsidRPr="00935F06" w:rsidRDefault="004514D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160</w:t>
                            </w:r>
                          </w:p>
                          <w:p w14:paraId="69373ED2" w14:textId="74059BB9" w:rsidR="00627C9F" w:rsidRPr="00B16B79" w:rsidRDefault="004514D6"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9 junio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D62FCBF" w:rsidR="00627C9F" w:rsidRPr="00935F06" w:rsidRDefault="004514D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D6DBD46" w:rsidR="00627C9F" w:rsidRPr="00935F06" w:rsidRDefault="004514D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160</w:t>
                      </w:r>
                    </w:p>
                    <w:p w14:paraId="69373ED2" w14:textId="74059BB9" w:rsidR="00627C9F" w:rsidRPr="00B16B79" w:rsidRDefault="004514D6"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9 junio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57D522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514D6">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4514D6">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16279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57D522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514D6">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4514D6">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16279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F706D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4514D6" w:rsidRPr="004514D6">
                              <w:rPr>
                                <w:rFonts w:asciiTheme="majorHAnsi" w:hAnsiTheme="majorHAnsi"/>
                                <w:color w:val="595959" w:themeColor="text1" w:themeTint="A6"/>
                                <w:sz w:val="18"/>
                                <w:szCs w:val="18"/>
                                <w:lang w:val="pt-BR"/>
                              </w:rPr>
                              <w:t>150</w:t>
                            </w:r>
                            <w:r w:rsidR="007B05C4" w:rsidRPr="004514D6">
                              <w:rPr>
                                <w:rFonts w:asciiTheme="majorHAnsi" w:hAnsiTheme="majorHAnsi"/>
                                <w:color w:val="595959" w:themeColor="text1" w:themeTint="A6"/>
                                <w:sz w:val="18"/>
                                <w:szCs w:val="18"/>
                                <w:lang w:val="pt-BR"/>
                              </w:rPr>
                              <w:t>/</w:t>
                            </w:r>
                            <w:r w:rsidR="004514D6" w:rsidRPr="004514D6">
                              <w:rPr>
                                <w:rFonts w:asciiTheme="majorHAnsi" w:hAnsiTheme="majorHAnsi"/>
                                <w:color w:val="595959" w:themeColor="text1" w:themeTint="A6"/>
                                <w:sz w:val="18"/>
                                <w:szCs w:val="18"/>
                                <w:lang w:val="pt-BR"/>
                              </w:rPr>
                              <w:t>20</w:t>
                            </w:r>
                            <w:r w:rsidR="00D03715" w:rsidRPr="004514D6">
                              <w:rPr>
                                <w:rFonts w:asciiTheme="majorHAnsi" w:hAnsiTheme="majorHAnsi"/>
                                <w:color w:val="595959" w:themeColor="text1" w:themeTint="A6"/>
                                <w:sz w:val="18"/>
                                <w:szCs w:val="18"/>
                                <w:lang w:val="pt-BR"/>
                              </w:rPr>
                              <w:t>.</w:t>
                            </w:r>
                            <w:r w:rsidR="00214755" w:rsidRPr="004514D6">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084F73">
                              <w:rPr>
                                <w:rFonts w:asciiTheme="majorHAnsi" w:hAnsiTheme="majorHAnsi"/>
                                <w:color w:val="595959" w:themeColor="text1" w:themeTint="A6"/>
                                <w:sz w:val="18"/>
                                <w:szCs w:val="18"/>
                                <w:lang w:val="es-ES_tradnl"/>
                              </w:rPr>
                              <w:t>1693</w:t>
                            </w:r>
                            <w:r w:rsidR="00076A84">
                              <w:rPr>
                                <w:rFonts w:asciiTheme="majorHAnsi" w:hAnsiTheme="majorHAnsi"/>
                                <w:color w:val="595959" w:themeColor="text1" w:themeTint="A6"/>
                                <w:sz w:val="18"/>
                                <w:szCs w:val="18"/>
                                <w:lang w:val="es-ES_tradnl"/>
                              </w:rPr>
                              <w:t>-11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CC7E94">
                              <w:rPr>
                                <w:rFonts w:ascii="Cambria" w:hAnsi="Cambria"/>
                                <w:bCs/>
                                <w:color w:val="595959" w:themeColor="text1" w:themeTint="A6"/>
                                <w:sz w:val="18"/>
                                <w:szCs w:val="18"/>
                                <w:lang w:val="es-ES"/>
                              </w:rPr>
                              <w:t>Familia</w:t>
                            </w:r>
                            <w:r w:rsidR="00076A84" w:rsidRPr="00CC7E94">
                              <w:rPr>
                                <w:rFonts w:ascii="Cambria" w:hAnsi="Cambria"/>
                                <w:bCs/>
                                <w:color w:val="595959" w:themeColor="text1" w:themeTint="A6"/>
                                <w:sz w:val="18"/>
                                <w:szCs w:val="18"/>
                                <w:lang w:val="es-ES"/>
                              </w:rPr>
                              <w:t>res de José Segundo Flores Rojas</w:t>
                            </w:r>
                            <w:r w:rsidRPr="003C59E4">
                              <w:rPr>
                                <w:rFonts w:asciiTheme="majorHAnsi" w:hAnsiTheme="majorHAnsi"/>
                                <w:color w:val="595959" w:themeColor="text1" w:themeTint="A6"/>
                                <w:sz w:val="18"/>
                                <w:szCs w:val="18"/>
                                <w:lang w:val="es-ES_tradnl"/>
                              </w:rPr>
                              <w:t>.</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514D6">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F706D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4514D6" w:rsidRPr="004514D6">
                        <w:rPr>
                          <w:rFonts w:asciiTheme="majorHAnsi" w:hAnsiTheme="majorHAnsi"/>
                          <w:color w:val="595959" w:themeColor="text1" w:themeTint="A6"/>
                          <w:sz w:val="18"/>
                          <w:szCs w:val="18"/>
                          <w:lang w:val="pt-BR"/>
                        </w:rPr>
                        <w:t>150</w:t>
                      </w:r>
                      <w:r w:rsidR="007B05C4" w:rsidRPr="004514D6">
                        <w:rPr>
                          <w:rFonts w:asciiTheme="majorHAnsi" w:hAnsiTheme="majorHAnsi"/>
                          <w:color w:val="595959" w:themeColor="text1" w:themeTint="A6"/>
                          <w:sz w:val="18"/>
                          <w:szCs w:val="18"/>
                          <w:lang w:val="pt-BR"/>
                        </w:rPr>
                        <w:t>/</w:t>
                      </w:r>
                      <w:r w:rsidR="004514D6" w:rsidRPr="004514D6">
                        <w:rPr>
                          <w:rFonts w:asciiTheme="majorHAnsi" w:hAnsiTheme="majorHAnsi"/>
                          <w:color w:val="595959" w:themeColor="text1" w:themeTint="A6"/>
                          <w:sz w:val="18"/>
                          <w:szCs w:val="18"/>
                          <w:lang w:val="pt-BR"/>
                        </w:rPr>
                        <w:t>20</w:t>
                      </w:r>
                      <w:r w:rsidR="00D03715" w:rsidRPr="004514D6">
                        <w:rPr>
                          <w:rFonts w:asciiTheme="majorHAnsi" w:hAnsiTheme="majorHAnsi"/>
                          <w:color w:val="595959" w:themeColor="text1" w:themeTint="A6"/>
                          <w:sz w:val="18"/>
                          <w:szCs w:val="18"/>
                          <w:lang w:val="pt-BR"/>
                        </w:rPr>
                        <w:t>.</w:t>
                      </w:r>
                      <w:r w:rsidR="00214755" w:rsidRPr="004514D6">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084F73">
                        <w:rPr>
                          <w:rFonts w:asciiTheme="majorHAnsi" w:hAnsiTheme="majorHAnsi"/>
                          <w:color w:val="595959" w:themeColor="text1" w:themeTint="A6"/>
                          <w:sz w:val="18"/>
                          <w:szCs w:val="18"/>
                          <w:lang w:val="es-ES_tradnl"/>
                        </w:rPr>
                        <w:t>1693</w:t>
                      </w:r>
                      <w:r w:rsidR="00076A84">
                        <w:rPr>
                          <w:rFonts w:asciiTheme="majorHAnsi" w:hAnsiTheme="majorHAnsi"/>
                          <w:color w:val="595959" w:themeColor="text1" w:themeTint="A6"/>
                          <w:sz w:val="18"/>
                          <w:szCs w:val="18"/>
                          <w:lang w:val="es-ES_tradnl"/>
                        </w:rPr>
                        <w:t>-11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CC7E94">
                        <w:rPr>
                          <w:rFonts w:ascii="Cambria" w:hAnsi="Cambria"/>
                          <w:bCs/>
                          <w:color w:val="595959" w:themeColor="text1" w:themeTint="A6"/>
                          <w:sz w:val="18"/>
                          <w:szCs w:val="18"/>
                          <w:lang w:val="es-ES"/>
                        </w:rPr>
                        <w:t>Familia</w:t>
                      </w:r>
                      <w:r w:rsidR="00076A84" w:rsidRPr="00CC7E94">
                        <w:rPr>
                          <w:rFonts w:ascii="Cambria" w:hAnsi="Cambria"/>
                          <w:bCs/>
                          <w:color w:val="595959" w:themeColor="text1" w:themeTint="A6"/>
                          <w:sz w:val="18"/>
                          <w:szCs w:val="18"/>
                          <w:lang w:val="es-ES"/>
                        </w:rPr>
                        <w:t>res de José Segundo Flores Rojas</w:t>
                      </w:r>
                      <w:r w:rsidRPr="003C59E4">
                        <w:rPr>
                          <w:rFonts w:asciiTheme="majorHAnsi" w:hAnsiTheme="majorHAnsi"/>
                          <w:color w:val="595959" w:themeColor="text1" w:themeTint="A6"/>
                          <w:sz w:val="18"/>
                          <w:szCs w:val="18"/>
                          <w:lang w:val="es-ES_tradnl"/>
                        </w:rPr>
                        <w:t>.</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514D6">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2551F7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EF1C027" w:rsidR="00D72DC6" w:rsidRPr="00D72DC6" w:rsidRDefault="00162797" w:rsidP="00F02AD1">
                            <w:pPr>
                              <w:rPr>
                                <w:color w:val="FFFFFF" w:themeColor="background1"/>
                                <w14:textFill>
                                  <w14:noFill/>
                                </w14:textFill>
                              </w:rPr>
                            </w:pPr>
                            <w:r>
                              <w:rPr>
                                <w:noProof/>
                                <w:color w:val="FFFFFF" w:themeColor="background1"/>
                              </w:rPr>
                              <w:drawing>
                                <wp:inline distT="0" distB="0" distL="0" distR="0" wp14:anchorId="3B65639F" wp14:editId="0CA9CAD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EF1C027" w:rsidR="00D72DC6" w:rsidRPr="00D72DC6" w:rsidRDefault="00162797" w:rsidP="00F02AD1">
                      <w:pPr>
                        <w:rPr>
                          <w:color w:val="FFFFFF" w:themeColor="background1"/>
                          <w14:textFill>
                            <w14:noFill/>
                          </w14:textFill>
                        </w:rPr>
                      </w:pPr>
                      <w:r>
                        <w:rPr>
                          <w:noProof/>
                          <w:color w:val="FFFFFF" w:themeColor="background1"/>
                        </w:rPr>
                        <w:drawing>
                          <wp:inline distT="0" distB="0" distL="0" distR="0" wp14:anchorId="3B65639F" wp14:editId="0CA9CAD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elson Caucoto Pereira</w:t>
            </w:r>
            <w:r w:rsidR="00D34B76">
              <w:rPr>
                <w:rStyle w:val="FootnoteReference"/>
                <w:rFonts w:ascii="Cambria" w:hAnsi="Cambria"/>
                <w:bCs/>
                <w:sz w:val="19"/>
                <w:szCs w:val="19"/>
                <w:lang w:val="es-ES"/>
              </w:rPr>
              <w:footnoteReference w:id="2"/>
            </w:r>
          </w:p>
        </w:tc>
      </w:tr>
      <w:tr w:rsidR="003239B8" w:rsidRPr="00D84E6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246F35"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1C3CBEAC"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076A84">
              <w:rPr>
                <w:rFonts w:ascii="Cambria" w:hAnsi="Cambria"/>
                <w:bCs/>
                <w:sz w:val="19"/>
                <w:szCs w:val="19"/>
                <w:lang w:val="es-ES"/>
              </w:rPr>
              <w:t>José Segundo Flores Rojas</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D84E64"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77654326" w:rsidR="00223A29" w:rsidRPr="0019517D" w:rsidRDefault="00BF514A" w:rsidP="000B5953">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 xml:space="preserve">y 2 (deber de adoptar </w:t>
            </w:r>
            <w:r w:rsidR="000B5953">
              <w:rPr>
                <w:rFonts w:ascii="Cambria" w:hAnsi="Cambria"/>
                <w:bCs/>
                <w:sz w:val="19"/>
                <w:szCs w:val="19"/>
                <w:lang w:val="es-ES"/>
              </w:rPr>
              <w:t>disposiciones</w:t>
            </w:r>
            <w:r w:rsidR="000535D1" w:rsidRPr="0019517D">
              <w:rPr>
                <w:rFonts w:ascii="Cambria" w:hAnsi="Cambria"/>
                <w:bCs/>
                <w:sz w:val="19"/>
                <w:szCs w:val="19"/>
                <w:lang w:val="es-ES"/>
              </w:rPr>
              <w:t xml:space="preserve">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136E1DBD" w:rsidR="004C2312" w:rsidRPr="00ED70FC" w:rsidRDefault="00076A84" w:rsidP="002625EA">
            <w:pPr>
              <w:jc w:val="both"/>
              <w:rPr>
                <w:rFonts w:ascii="Cambria" w:hAnsi="Cambria"/>
                <w:bCs/>
                <w:sz w:val="19"/>
                <w:szCs w:val="19"/>
                <w:lang w:val="es-ES"/>
              </w:rPr>
            </w:pPr>
            <w:r>
              <w:rPr>
                <w:rFonts w:ascii="Cambria" w:hAnsi="Cambria"/>
                <w:bCs/>
                <w:sz w:val="19"/>
                <w:szCs w:val="19"/>
                <w:lang w:val="es-ES"/>
              </w:rPr>
              <w:t>26 de noviembre de 2011</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123E30CD" w:rsidR="004C2312" w:rsidRPr="00ED70FC" w:rsidRDefault="006A5C49" w:rsidP="00E479A2">
            <w:pPr>
              <w:jc w:val="both"/>
              <w:rPr>
                <w:rFonts w:ascii="Cambria" w:hAnsi="Cambria"/>
                <w:bCs/>
                <w:sz w:val="19"/>
                <w:szCs w:val="19"/>
                <w:lang w:val="es-ES"/>
              </w:rPr>
            </w:pPr>
            <w:r>
              <w:rPr>
                <w:rFonts w:ascii="Cambria" w:hAnsi="Cambria"/>
                <w:bCs/>
                <w:sz w:val="19"/>
                <w:szCs w:val="19"/>
                <w:lang w:val="es-ES"/>
              </w:rPr>
              <w:t>5 de julio de 2017</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02BEA164" w:rsidR="00F06354" w:rsidRPr="00ED70FC" w:rsidRDefault="00AB2701" w:rsidP="00F06354">
            <w:pPr>
              <w:jc w:val="both"/>
              <w:rPr>
                <w:rFonts w:ascii="Cambria" w:hAnsi="Cambria"/>
                <w:bCs/>
                <w:sz w:val="19"/>
                <w:szCs w:val="19"/>
                <w:lang w:val="es-ES"/>
              </w:rPr>
            </w:pPr>
            <w:r>
              <w:rPr>
                <w:rFonts w:ascii="Cambria" w:hAnsi="Cambria"/>
                <w:bCs/>
                <w:sz w:val="19"/>
                <w:szCs w:val="19"/>
                <w:lang w:val="es-ES"/>
              </w:rPr>
              <w:t xml:space="preserve">31 de octubre de 2017 </w:t>
            </w:r>
          </w:p>
        </w:tc>
      </w:tr>
      <w:tr w:rsidR="00F06354" w:rsidRPr="00AB2701"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7F584CE4" w:rsidR="00F06354" w:rsidRPr="007D4106" w:rsidRDefault="00AB2701" w:rsidP="00AB2701">
            <w:pPr>
              <w:jc w:val="both"/>
              <w:rPr>
                <w:rFonts w:ascii="Cambria" w:hAnsi="Cambria"/>
                <w:bCs/>
                <w:sz w:val="19"/>
                <w:szCs w:val="19"/>
                <w:lang w:val="es-ES"/>
              </w:rPr>
            </w:pPr>
            <w:r>
              <w:rPr>
                <w:rFonts w:ascii="Cambria" w:hAnsi="Cambria"/>
                <w:bCs/>
                <w:sz w:val="19"/>
                <w:szCs w:val="19"/>
                <w:lang w:val="es-ES"/>
              </w:rPr>
              <w:t>2</w:t>
            </w:r>
            <w:r w:rsidR="003C59E4">
              <w:rPr>
                <w:rFonts w:ascii="Cambria" w:hAnsi="Cambria"/>
                <w:bCs/>
                <w:sz w:val="19"/>
                <w:szCs w:val="19"/>
                <w:lang w:val="es-ES"/>
              </w:rPr>
              <w:t>9</w:t>
            </w:r>
            <w:r>
              <w:rPr>
                <w:rFonts w:ascii="Cambria" w:hAnsi="Cambria"/>
                <w:bCs/>
                <w:sz w:val="19"/>
                <w:szCs w:val="19"/>
                <w:lang w:val="es-ES"/>
              </w:rPr>
              <w:t xml:space="preserve"> de enero </w:t>
            </w:r>
            <w:r w:rsidR="00E479A2" w:rsidRPr="007D4106">
              <w:rPr>
                <w:rFonts w:ascii="Cambria" w:hAnsi="Cambria"/>
                <w:bCs/>
                <w:sz w:val="19"/>
                <w:szCs w:val="19"/>
                <w:lang w:val="es-ES"/>
              </w:rPr>
              <w:t>de 2018</w:t>
            </w:r>
          </w:p>
        </w:tc>
      </w:tr>
      <w:tr w:rsidR="002932CC" w:rsidRPr="00AB2701" w14:paraId="5854428F" w14:textId="77777777" w:rsidTr="00954B82">
        <w:tc>
          <w:tcPr>
            <w:tcW w:w="2790" w:type="dxa"/>
            <w:tcBorders>
              <w:top w:val="single" w:sz="6" w:space="0" w:color="auto"/>
              <w:bottom w:val="single" w:sz="6" w:space="0" w:color="auto"/>
            </w:tcBorders>
            <w:shd w:val="clear" w:color="auto" w:fill="386294"/>
            <w:vAlign w:val="center"/>
          </w:tcPr>
          <w:p w14:paraId="5D2D6584" w14:textId="48E21B08" w:rsidR="002932CC" w:rsidRPr="00EE0CAD" w:rsidRDefault="002932CC" w:rsidP="002932CC">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319C6826" w14:textId="33B5BD78" w:rsidR="002932CC" w:rsidRDefault="002932CC" w:rsidP="002932CC">
            <w:pPr>
              <w:jc w:val="both"/>
              <w:rPr>
                <w:rFonts w:ascii="Cambria" w:hAnsi="Cambria"/>
                <w:bCs/>
                <w:sz w:val="19"/>
                <w:szCs w:val="19"/>
                <w:lang w:val="es-ES"/>
              </w:rPr>
            </w:pPr>
            <w:r>
              <w:rPr>
                <w:rFonts w:ascii="Cambria" w:hAnsi="Cambria"/>
                <w:bCs/>
                <w:sz w:val="19"/>
                <w:szCs w:val="19"/>
                <w:lang w:val="es-ES"/>
              </w:rPr>
              <w:t>18 de abril de 2017</w:t>
            </w:r>
          </w:p>
        </w:tc>
      </w:tr>
      <w:tr w:rsidR="002932CC" w:rsidRPr="00AB2701" w14:paraId="72AE115B" w14:textId="77777777" w:rsidTr="00954B82">
        <w:tc>
          <w:tcPr>
            <w:tcW w:w="2790" w:type="dxa"/>
            <w:tcBorders>
              <w:top w:val="single" w:sz="6" w:space="0" w:color="auto"/>
              <w:bottom w:val="single" w:sz="6" w:space="0" w:color="auto"/>
            </w:tcBorders>
            <w:shd w:val="clear" w:color="auto" w:fill="386294"/>
            <w:vAlign w:val="center"/>
          </w:tcPr>
          <w:p w14:paraId="64ECCA25" w14:textId="2533D694" w:rsidR="002932CC" w:rsidRPr="00EE0CAD" w:rsidRDefault="002932CC" w:rsidP="002932CC">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Respuesta a la advertencia de archivo</w:t>
            </w:r>
          </w:p>
        </w:tc>
        <w:tc>
          <w:tcPr>
            <w:tcW w:w="6570" w:type="dxa"/>
            <w:vAlign w:val="center"/>
          </w:tcPr>
          <w:p w14:paraId="6B13D3B7" w14:textId="047F0D7F" w:rsidR="002932CC" w:rsidRDefault="002932CC" w:rsidP="002932CC">
            <w:pPr>
              <w:jc w:val="both"/>
              <w:rPr>
                <w:rFonts w:ascii="Cambria" w:hAnsi="Cambria"/>
                <w:bCs/>
                <w:sz w:val="19"/>
                <w:szCs w:val="19"/>
                <w:lang w:val="es-ES"/>
              </w:rPr>
            </w:pPr>
            <w:r>
              <w:rPr>
                <w:rFonts w:ascii="Cambria" w:hAnsi="Cambria"/>
                <w:bCs/>
                <w:sz w:val="19"/>
                <w:szCs w:val="19"/>
                <w:lang w:val="es-ES"/>
              </w:rPr>
              <w:t>20 de abril de 2017</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r w:rsidRPr="00ED70FC">
              <w:rPr>
                <w:rFonts w:ascii="Cambria" w:hAnsi="Cambria"/>
                <w:bCs/>
                <w:i/>
                <w:color w:val="FFFFFF" w:themeColor="background1"/>
                <w:sz w:val="19"/>
                <w:szCs w:val="19"/>
                <w:lang w:val="es-ES"/>
              </w:rPr>
              <w:t>Ratione personae</w:t>
            </w:r>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temporis</w:t>
            </w:r>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D84E64"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materiae</w:t>
            </w:r>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D84E64"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D84E64"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12294D3E" w:rsidR="00214755" w:rsidRPr="00AF05D4" w:rsidRDefault="00214755" w:rsidP="006A5C49">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6A5C49">
              <w:rPr>
                <w:rFonts w:asciiTheme="majorHAnsi" w:hAnsiTheme="majorHAnsi"/>
                <w:sz w:val="19"/>
                <w:szCs w:val="19"/>
                <w:lang w:val="es-MX"/>
              </w:rPr>
              <w:t>26 de mayo de 2011</w:t>
            </w:r>
          </w:p>
        </w:tc>
      </w:tr>
      <w:tr w:rsidR="00214755" w:rsidRPr="00D84E64"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000C69D5"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6A5C49">
              <w:rPr>
                <w:rFonts w:asciiTheme="majorHAnsi" w:hAnsiTheme="majorHAnsi"/>
                <w:sz w:val="19"/>
                <w:szCs w:val="19"/>
                <w:lang w:val="es-MX"/>
              </w:rPr>
              <w:t>26 de noviembre de 2011</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759D4234" w:rsidR="007D4106" w:rsidRPr="00C66E45"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6A5C49">
        <w:rPr>
          <w:sz w:val="20"/>
          <w:szCs w:val="20"/>
          <w:lang w:val="es-ES"/>
        </w:rPr>
        <w:t>José Segundo Flores Rojas</w:t>
      </w:r>
      <w:r w:rsidRPr="00781854">
        <w:rPr>
          <w:sz w:val="20"/>
          <w:szCs w:val="20"/>
          <w:lang w:val="es-ES"/>
        </w:rPr>
        <w:t xml:space="preserve"> (o en adelante “presunta víctima”) por los daños causados por su detención extrajudicial y posterior desaparición </w:t>
      </w:r>
      <w:r w:rsidRPr="00C66E45">
        <w:rPr>
          <w:sz w:val="20"/>
          <w:szCs w:val="20"/>
          <w:lang w:val="es-ES"/>
        </w:rPr>
        <w:t xml:space="preserve">forzada, </w:t>
      </w:r>
      <w:r w:rsidR="00087017" w:rsidRPr="00C66E45">
        <w:rPr>
          <w:sz w:val="20"/>
          <w:szCs w:val="20"/>
          <w:lang w:val="es-ES"/>
        </w:rPr>
        <w:t xml:space="preserve">así como </w:t>
      </w:r>
      <w:r w:rsidRPr="00C66E45">
        <w:rPr>
          <w:sz w:val="20"/>
          <w:szCs w:val="20"/>
          <w:lang w:val="es-ES"/>
        </w:rPr>
        <w:t>violación a las garantías judiciales y al derecho a la protección judicial en el marco de los procedimientos civiles</w:t>
      </w:r>
      <w:r w:rsidR="001761CF" w:rsidRPr="00C66E45">
        <w:rPr>
          <w:sz w:val="20"/>
          <w:szCs w:val="20"/>
          <w:lang w:val="es-ES"/>
        </w:rPr>
        <w:t>, constituyendo denegación de justicia</w:t>
      </w:r>
      <w:r w:rsidRPr="00C66E45">
        <w:rPr>
          <w:sz w:val="20"/>
          <w:szCs w:val="20"/>
          <w:lang w:val="es-ES"/>
        </w:rPr>
        <w:t>.</w:t>
      </w:r>
      <w:r w:rsidR="007D4106" w:rsidRPr="00C66E45">
        <w:rPr>
          <w:sz w:val="20"/>
          <w:szCs w:val="20"/>
          <w:lang w:val="es-ES"/>
        </w:rPr>
        <w:t xml:space="preserve"> </w:t>
      </w:r>
    </w:p>
    <w:p w14:paraId="02947C49" w14:textId="19AACD87" w:rsidR="00996D90" w:rsidRPr="00C66E45" w:rsidRDefault="002F7F5F"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66E45">
        <w:rPr>
          <w:rFonts w:ascii="Cambria" w:hAnsi="Cambria"/>
          <w:sz w:val="20"/>
          <w:szCs w:val="20"/>
          <w:lang w:val="es-ES"/>
        </w:rPr>
        <w:t xml:space="preserve">El peticionario </w:t>
      </w:r>
      <w:r w:rsidR="00EE0CAD" w:rsidRPr="00C66E45">
        <w:rPr>
          <w:rFonts w:ascii="Cambria" w:hAnsi="Cambria"/>
          <w:sz w:val="20"/>
          <w:szCs w:val="20"/>
          <w:lang w:val="es-ES"/>
        </w:rPr>
        <w:t>alega</w:t>
      </w:r>
      <w:r w:rsidRPr="00C66E45">
        <w:rPr>
          <w:rStyle w:val="FootnoteReference"/>
          <w:rFonts w:ascii="Cambria" w:hAnsi="Cambria"/>
          <w:sz w:val="20"/>
          <w:szCs w:val="20"/>
          <w:lang w:val="es-ES"/>
        </w:rPr>
        <w:footnoteReference w:id="7"/>
      </w:r>
      <w:r w:rsidR="00037B69" w:rsidRPr="00C66E45">
        <w:rPr>
          <w:rFonts w:ascii="Cambria" w:hAnsi="Cambria"/>
          <w:sz w:val="20"/>
          <w:szCs w:val="20"/>
          <w:lang w:val="es-ES"/>
        </w:rPr>
        <w:t xml:space="preserve"> que </w:t>
      </w:r>
      <w:r w:rsidR="00050A02" w:rsidRPr="00C66E45">
        <w:rPr>
          <w:rFonts w:ascii="Cambria" w:hAnsi="Cambria"/>
          <w:sz w:val="20"/>
          <w:szCs w:val="20"/>
          <w:lang w:val="es-ES"/>
        </w:rPr>
        <w:t>la presunta víctima</w:t>
      </w:r>
      <w:r w:rsidR="00DB34CD" w:rsidRPr="00C66E45">
        <w:rPr>
          <w:rFonts w:ascii="Cambria" w:hAnsi="Cambria"/>
          <w:sz w:val="20"/>
          <w:szCs w:val="20"/>
          <w:lang w:val="es-ES"/>
        </w:rPr>
        <w:t>, militante del Partido Comunista,</w:t>
      </w:r>
      <w:r w:rsidR="00050A02" w:rsidRPr="00C66E45">
        <w:rPr>
          <w:rFonts w:ascii="Cambria" w:hAnsi="Cambria"/>
          <w:sz w:val="20"/>
          <w:szCs w:val="20"/>
          <w:lang w:val="es-ES"/>
        </w:rPr>
        <w:t xml:space="preserve"> fue detenida </w:t>
      </w:r>
      <w:r w:rsidR="00CA4B0E" w:rsidRPr="00C66E45">
        <w:rPr>
          <w:rFonts w:asciiTheme="majorHAnsi" w:hAnsiTheme="majorHAnsi"/>
          <w:sz w:val="20"/>
          <w:szCs w:val="20"/>
          <w:lang w:val="es-ES"/>
        </w:rPr>
        <w:t xml:space="preserve">en su domicilio </w:t>
      </w:r>
      <w:r w:rsidR="006A5C49" w:rsidRPr="00C66E45">
        <w:rPr>
          <w:rFonts w:asciiTheme="majorHAnsi" w:hAnsiTheme="majorHAnsi"/>
          <w:sz w:val="20"/>
          <w:szCs w:val="20"/>
          <w:lang w:val="es-ES"/>
        </w:rPr>
        <w:t xml:space="preserve">el 22 de agosto de 1974 por 10 militares, sin orden </w:t>
      </w:r>
      <w:r w:rsidR="008E6959" w:rsidRPr="00C66E45">
        <w:rPr>
          <w:rFonts w:asciiTheme="majorHAnsi" w:hAnsiTheme="majorHAnsi"/>
          <w:sz w:val="20"/>
          <w:szCs w:val="20"/>
          <w:lang w:val="es-ES"/>
        </w:rPr>
        <w:t xml:space="preserve">judicial </w:t>
      </w:r>
      <w:r w:rsidR="006A5C49" w:rsidRPr="00C66E45">
        <w:rPr>
          <w:rFonts w:asciiTheme="majorHAnsi" w:hAnsiTheme="majorHAnsi"/>
          <w:sz w:val="20"/>
          <w:szCs w:val="20"/>
          <w:lang w:val="es-ES"/>
        </w:rPr>
        <w:t xml:space="preserve">de detención o de allanamiento, junto a otros vecinos del sector, para luego ser conducidos a la Escuela Militar. Desde ese día se desconoce su </w:t>
      </w:r>
      <w:r w:rsidR="006A5C49" w:rsidRPr="00C66E45">
        <w:rPr>
          <w:rFonts w:asciiTheme="majorHAnsi" w:hAnsiTheme="majorHAnsi"/>
          <w:sz w:val="20"/>
          <w:szCs w:val="20"/>
          <w:lang w:val="es-ES"/>
        </w:rPr>
        <w:lastRenderedPageBreak/>
        <w:t>paradero. Agrega que el gobierno entregó un informe a la Cruz Roja Internacional señalando que la presunta víctima vivía en Antofagasta, pero se</w:t>
      </w:r>
      <w:r w:rsidR="008E6959" w:rsidRPr="00C66E45">
        <w:rPr>
          <w:rFonts w:asciiTheme="majorHAnsi" w:hAnsiTheme="majorHAnsi"/>
          <w:sz w:val="20"/>
          <w:szCs w:val="20"/>
          <w:lang w:val="es-ES"/>
        </w:rPr>
        <w:t xml:space="preserve"> comprobó que se trataba de otra persona con el mismo nombre</w:t>
      </w:r>
      <w:r w:rsidR="008A1997" w:rsidRPr="00C66E45">
        <w:rPr>
          <w:rFonts w:asciiTheme="majorHAnsi" w:hAnsiTheme="majorHAnsi"/>
          <w:sz w:val="20"/>
          <w:szCs w:val="20"/>
          <w:lang w:val="es-ES"/>
        </w:rPr>
        <w:t>.</w:t>
      </w:r>
      <w:r w:rsidR="006A5C49" w:rsidRPr="00C66E45">
        <w:rPr>
          <w:rFonts w:asciiTheme="majorHAnsi" w:hAnsiTheme="majorHAnsi"/>
          <w:sz w:val="20"/>
          <w:szCs w:val="20"/>
          <w:lang w:val="es-ES"/>
        </w:rPr>
        <w:t xml:space="preserve"> </w:t>
      </w:r>
    </w:p>
    <w:p w14:paraId="0848B627" w14:textId="5B9F9CAA" w:rsidR="00416A7F" w:rsidRDefault="0071444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66E45">
        <w:rPr>
          <w:rFonts w:ascii="Cambria" w:hAnsi="Cambria"/>
          <w:sz w:val="20"/>
          <w:szCs w:val="20"/>
          <w:lang w:val="es-ES"/>
        </w:rPr>
        <w:t xml:space="preserve">El </w:t>
      </w:r>
      <w:r w:rsidR="006A5C49" w:rsidRPr="00C66E45">
        <w:rPr>
          <w:rFonts w:ascii="Cambria" w:hAnsi="Cambria"/>
          <w:sz w:val="20"/>
          <w:szCs w:val="20"/>
          <w:lang w:val="es-ES"/>
        </w:rPr>
        <w:t xml:space="preserve">26 de septiembre de 1974 se presentó un recurso de amparo que fue declarado </w:t>
      </w:r>
      <w:r w:rsidR="00A56BD1" w:rsidRPr="00C66E45">
        <w:rPr>
          <w:rFonts w:ascii="Cambria" w:hAnsi="Cambria"/>
          <w:sz w:val="20"/>
          <w:szCs w:val="20"/>
          <w:lang w:val="es-ES"/>
        </w:rPr>
        <w:t xml:space="preserve">sin lugar </w:t>
      </w:r>
      <w:r w:rsidR="005674B7" w:rsidRPr="00C66E45">
        <w:rPr>
          <w:rFonts w:ascii="Cambria" w:hAnsi="Cambria"/>
          <w:sz w:val="20"/>
          <w:szCs w:val="20"/>
          <w:lang w:val="es-ES"/>
        </w:rPr>
        <w:t>ante</w:t>
      </w:r>
      <w:r w:rsidR="006A5C49" w:rsidRPr="00C66E45">
        <w:rPr>
          <w:rFonts w:ascii="Cambria" w:hAnsi="Cambria"/>
          <w:sz w:val="20"/>
          <w:szCs w:val="20"/>
          <w:lang w:val="es-ES"/>
        </w:rPr>
        <w:t xml:space="preserve"> un informe negativo del Ministerio del Interior</w:t>
      </w:r>
      <w:r w:rsidR="00C66E45" w:rsidRPr="00C66E45">
        <w:rPr>
          <w:rFonts w:ascii="Cambria" w:hAnsi="Cambria"/>
          <w:sz w:val="20"/>
          <w:szCs w:val="20"/>
          <w:lang w:val="es-ES"/>
        </w:rPr>
        <w:t xml:space="preserve"> en cuanto al paradero de la</w:t>
      </w:r>
      <w:r w:rsidR="00C66E45">
        <w:rPr>
          <w:rFonts w:ascii="Cambria" w:hAnsi="Cambria"/>
          <w:sz w:val="20"/>
          <w:szCs w:val="20"/>
          <w:lang w:val="es-ES"/>
        </w:rPr>
        <w:t xml:space="preserve"> presunta víctima</w:t>
      </w:r>
      <w:r w:rsidR="00C67F47">
        <w:rPr>
          <w:rFonts w:ascii="Cambria" w:hAnsi="Cambria"/>
          <w:sz w:val="20"/>
          <w:szCs w:val="20"/>
          <w:lang w:val="es-ES"/>
        </w:rPr>
        <w:t>.</w:t>
      </w:r>
      <w:r w:rsidR="006A5C49">
        <w:rPr>
          <w:rFonts w:ascii="Cambria" w:hAnsi="Cambria"/>
          <w:sz w:val="20"/>
          <w:szCs w:val="20"/>
          <w:lang w:val="es-ES"/>
        </w:rPr>
        <w:t xml:space="preserve"> </w:t>
      </w:r>
      <w:r w:rsidR="00C67F47">
        <w:rPr>
          <w:rFonts w:ascii="Cambria" w:hAnsi="Cambria"/>
          <w:sz w:val="20"/>
          <w:szCs w:val="20"/>
          <w:lang w:val="es-ES"/>
        </w:rPr>
        <w:t>L</w:t>
      </w:r>
      <w:r w:rsidR="006A5C49">
        <w:rPr>
          <w:rFonts w:ascii="Cambria" w:hAnsi="Cambria"/>
          <w:sz w:val="20"/>
          <w:szCs w:val="20"/>
          <w:lang w:val="es-ES"/>
        </w:rPr>
        <w:t xml:space="preserve">os antecedentes fueron </w:t>
      </w:r>
      <w:r w:rsidR="00C67F47">
        <w:rPr>
          <w:rFonts w:ascii="Cambria" w:hAnsi="Cambria"/>
          <w:sz w:val="20"/>
          <w:szCs w:val="20"/>
          <w:lang w:val="es-ES"/>
        </w:rPr>
        <w:t>enton</w:t>
      </w:r>
      <w:r w:rsidR="00047488">
        <w:rPr>
          <w:rFonts w:ascii="Cambria" w:hAnsi="Cambria"/>
          <w:sz w:val="20"/>
          <w:szCs w:val="20"/>
          <w:lang w:val="es-ES"/>
        </w:rPr>
        <w:t xml:space="preserve">ces </w:t>
      </w:r>
      <w:r w:rsidR="006A5C49">
        <w:rPr>
          <w:rFonts w:ascii="Cambria" w:hAnsi="Cambria"/>
          <w:sz w:val="20"/>
          <w:szCs w:val="20"/>
          <w:lang w:val="es-ES"/>
        </w:rPr>
        <w:t xml:space="preserve">remitidos al Sexto Juzgado del Crimen con orden de investigar por presunta desgracia. </w:t>
      </w:r>
      <w:r w:rsidR="00580148">
        <w:rPr>
          <w:rFonts w:ascii="Cambria" w:hAnsi="Cambria"/>
          <w:sz w:val="20"/>
          <w:szCs w:val="20"/>
          <w:lang w:val="es-ES"/>
        </w:rPr>
        <w:t>Sin embargo, la causa fue sobreseída temporalmente e</w:t>
      </w:r>
      <w:r w:rsidR="006A5C49">
        <w:rPr>
          <w:rFonts w:ascii="Cambria" w:hAnsi="Cambria"/>
          <w:sz w:val="20"/>
          <w:szCs w:val="20"/>
          <w:lang w:val="es-ES"/>
        </w:rPr>
        <w:t>l 9 de septiembre de 1976. El 11 de octubre de 1977 se solicitó la reapertura del sumario y nueva</w:t>
      </w:r>
      <w:r w:rsidR="00DB34CD">
        <w:rPr>
          <w:rFonts w:ascii="Cambria" w:hAnsi="Cambria"/>
          <w:sz w:val="20"/>
          <w:szCs w:val="20"/>
          <w:lang w:val="es-ES"/>
        </w:rPr>
        <w:t>s</w:t>
      </w:r>
      <w:r w:rsidR="006A5C49">
        <w:rPr>
          <w:rFonts w:ascii="Cambria" w:hAnsi="Cambria"/>
          <w:sz w:val="20"/>
          <w:szCs w:val="20"/>
          <w:lang w:val="es-ES"/>
        </w:rPr>
        <w:t xml:space="preserve"> diligencias</w:t>
      </w:r>
      <w:r w:rsidR="00662B2C">
        <w:rPr>
          <w:rFonts w:ascii="Cambria" w:hAnsi="Cambria"/>
          <w:sz w:val="20"/>
          <w:szCs w:val="20"/>
          <w:lang w:val="es-ES"/>
        </w:rPr>
        <w:t>,</w:t>
      </w:r>
      <w:r w:rsidR="006A5C49">
        <w:rPr>
          <w:rFonts w:ascii="Cambria" w:hAnsi="Cambria"/>
          <w:sz w:val="20"/>
          <w:szCs w:val="20"/>
          <w:lang w:val="es-ES"/>
        </w:rPr>
        <w:t xml:space="preserve"> lo que fue concedido el 21 de octubre del mismo </w:t>
      </w:r>
      <w:r w:rsidR="00DB34CD">
        <w:rPr>
          <w:rFonts w:ascii="Cambria" w:hAnsi="Cambria"/>
          <w:sz w:val="20"/>
          <w:szCs w:val="20"/>
          <w:lang w:val="es-ES"/>
        </w:rPr>
        <w:t>año</w:t>
      </w:r>
      <w:r w:rsidR="006A5C49">
        <w:rPr>
          <w:rFonts w:ascii="Cambria" w:hAnsi="Cambria"/>
          <w:sz w:val="20"/>
          <w:szCs w:val="20"/>
          <w:lang w:val="es-ES"/>
        </w:rPr>
        <w:t xml:space="preserve">, </w:t>
      </w:r>
      <w:r w:rsidR="00662B2C">
        <w:rPr>
          <w:rFonts w:ascii="Cambria" w:hAnsi="Cambria"/>
          <w:sz w:val="20"/>
          <w:szCs w:val="20"/>
          <w:lang w:val="es-ES"/>
        </w:rPr>
        <w:t>ordenándose</w:t>
      </w:r>
      <w:r w:rsidR="006A5C49">
        <w:rPr>
          <w:rFonts w:ascii="Cambria" w:hAnsi="Cambria"/>
          <w:sz w:val="20"/>
          <w:szCs w:val="20"/>
          <w:lang w:val="es-ES"/>
        </w:rPr>
        <w:t xml:space="preserve"> oficios a la Central Nacional de Inteligencia y otras instituciones, todos con respuestas negativas</w:t>
      </w:r>
      <w:r w:rsidR="00662B2C">
        <w:rPr>
          <w:rFonts w:ascii="Cambria" w:hAnsi="Cambria"/>
          <w:sz w:val="20"/>
          <w:szCs w:val="20"/>
          <w:lang w:val="es-ES"/>
        </w:rPr>
        <w:t>. P</w:t>
      </w:r>
      <w:r w:rsidR="00DB34CD">
        <w:rPr>
          <w:rFonts w:ascii="Cambria" w:hAnsi="Cambria"/>
          <w:sz w:val="20"/>
          <w:szCs w:val="20"/>
          <w:lang w:val="es-ES"/>
        </w:rPr>
        <w:t>or lo</w:t>
      </w:r>
      <w:r w:rsidR="00662B2C">
        <w:rPr>
          <w:rFonts w:ascii="Cambria" w:hAnsi="Cambria"/>
          <w:sz w:val="20"/>
          <w:szCs w:val="20"/>
          <w:lang w:val="es-ES"/>
        </w:rPr>
        <w:t xml:space="preserve"> tanto,</w:t>
      </w:r>
      <w:r w:rsidR="00DB34CD">
        <w:rPr>
          <w:rFonts w:ascii="Cambria" w:hAnsi="Cambria"/>
          <w:sz w:val="20"/>
          <w:szCs w:val="20"/>
          <w:lang w:val="es-ES"/>
        </w:rPr>
        <w:t xml:space="preserve"> en mayo de 1978 se dictó el sobreseimiento de la causa.</w:t>
      </w:r>
      <w:r w:rsidR="00416A7F" w:rsidRPr="00416A7F">
        <w:rPr>
          <w:rFonts w:ascii="Cambria" w:hAnsi="Cambria"/>
          <w:sz w:val="20"/>
          <w:szCs w:val="20"/>
          <w:lang w:val="es-ES"/>
        </w:rPr>
        <w:t xml:space="preserve"> </w:t>
      </w:r>
    </w:p>
    <w:p w14:paraId="57972C0A" w14:textId="530B3459" w:rsidR="003D5EA8" w:rsidRPr="00454B04"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DB34CD">
        <w:rPr>
          <w:rFonts w:ascii="Cambria" w:hAnsi="Cambria"/>
          <w:sz w:val="20"/>
          <w:szCs w:val="20"/>
          <w:lang w:val="es-ES"/>
        </w:rPr>
        <w:t xml:space="preserve">11 de septiembre de 2002 </w:t>
      </w:r>
      <w:r>
        <w:rPr>
          <w:rFonts w:ascii="Cambria" w:hAnsi="Cambria"/>
          <w:sz w:val="20"/>
          <w:szCs w:val="20"/>
          <w:lang w:val="es-ES"/>
        </w:rPr>
        <w:t>se inici</w:t>
      </w:r>
      <w:r w:rsidR="00FA3CA9">
        <w:rPr>
          <w:rFonts w:ascii="Cambria" w:hAnsi="Cambria"/>
          <w:sz w:val="20"/>
          <w:szCs w:val="20"/>
          <w:lang w:val="es-ES"/>
        </w:rPr>
        <w:t>ó la</w:t>
      </w:r>
      <w:r>
        <w:rPr>
          <w:rFonts w:ascii="Cambria" w:hAnsi="Cambria"/>
          <w:sz w:val="20"/>
          <w:szCs w:val="20"/>
          <w:lang w:val="es-ES"/>
        </w:rPr>
        <w:t xml:space="preserve"> causa civil en el 7</w:t>
      </w:r>
      <w:r w:rsidR="00EA67B7">
        <w:rPr>
          <w:rFonts w:ascii="Cambria" w:hAnsi="Cambria"/>
          <w:sz w:val="20"/>
          <w:szCs w:val="20"/>
          <w:vertAlign w:val="superscript"/>
          <w:lang w:val="es-ES"/>
        </w:rPr>
        <w:t>o</w:t>
      </w:r>
      <w:r>
        <w:rPr>
          <w:rFonts w:ascii="Cambria" w:hAnsi="Cambria"/>
          <w:sz w:val="20"/>
          <w:szCs w:val="20"/>
          <w:lang w:val="es-ES"/>
        </w:rPr>
        <w:t xml:space="preserve"> Juzgado Civil de Santiago, cuya sentencia se dict</w:t>
      </w:r>
      <w:r w:rsidR="00FA3CA9">
        <w:rPr>
          <w:rFonts w:ascii="Cambria" w:hAnsi="Cambria"/>
          <w:sz w:val="20"/>
          <w:szCs w:val="20"/>
          <w:lang w:val="es-ES"/>
        </w:rPr>
        <w:t>ó</w:t>
      </w:r>
      <w:r>
        <w:rPr>
          <w:rFonts w:ascii="Cambria" w:hAnsi="Cambria"/>
          <w:sz w:val="20"/>
          <w:szCs w:val="20"/>
          <w:lang w:val="es-ES"/>
        </w:rPr>
        <w:t xml:space="preserve"> el </w:t>
      </w:r>
      <w:r w:rsidR="00DB34CD">
        <w:rPr>
          <w:rFonts w:ascii="Cambria" w:hAnsi="Cambria"/>
          <w:sz w:val="20"/>
          <w:szCs w:val="20"/>
          <w:lang w:val="es-ES"/>
        </w:rPr>
        <w:t>31 de mayo de 2004 acogiendo</w:t>
      </w:r>
      <w:r>
        <w:rPr>
          <w:rFonts w:ascii="Cambria" w:hAnsi="Cambria"/>
          <w:sz w:val="20"/>
          <w:szCs w:val="20"/>
          <w:lang w:val="es-ES"/>
        </w:rPr>
        <w:t xml:space="preserve"> la pretensión de los </w:t>
      </w:r>
      <w:r w:rsidR="00EA67B7">
        <w:rPr>
          <w:rFonts w:ascii="Cambria" w:hAnsi="Cambria"/>
          <w:sz w:val="20"/>
          <w:szCs w:val="20"/>
          <w:lang w:val="es-ES"/>
        </w:rPr>
        <w:t>familiares de la presunta víctima</w:t>
      </w:r>
      <w:r>
        <w:rPr>
          <w:rFonts w:ascii="Cambria" w:hAnsi="Cambria"/>
          <w:sz w:val="20"/>
          <w:szCs w:val="20"/>
          <w:lang w:val="es-ES"/>
        </w:rPr>
        <w:t xml:space="preserve"> a una in</w:t>
      </w:r>
      <w:r w:rsidR="007D4106">
        <w:rPr>
          <w:rFonts w:ascii="Cambria" w:hAnsi="Cambria"/>
          <w:sz w:val="20"/>
          <w:szCs w:val="20"/>
          <w:lang w:val="es-ES"/>
        </w:rPr>
        <w:t>demnización por e</w:t>
      </w:r>
      <w:r w:rsidR="00DB34CD">
        <w:rPr>
          <w:rFonts w:ascii="Cambria" w:hAnsi="Cambria"/>
          <w:sz w:val="20"/>
          <w:szCs w:val="20"/>
          <w:lang w:val="es-ES"/>
        </w:rPr>
        <w:t>l daño causado</w:t>
      </w:r>
      <w:r w:rsidR="007D4106">
        <w:rPr>
          <w:rFonts w:ascii="Cambria" w:hAnsi="Cambria"/>
          <w:sz w:val="20"/>
          <w:szCs w:val="20"/>
          <w:lang w:val="es-ES"/>
        </w:rPr>
        <w:t>.</w:t>
      </w:r>
      <w:r>
        <w:rPr>
          <w:rFonts w:ascii="Cambria" w:hAnsi="Cambria"/>
          <w:sz w:val="20"/>
          <w:szCs w:val="20"/>
          <w:lang w:val="es-ES"/>
        </w:rPr>
        <w:t xml:space="preserve"> </w:t>
      </w:r>
      <w:r w:rsidR="00DB34CD">
        <w:rPr>
          <w:rFonts w:ascii="Cambria" w:hAnsi="Cambria"/>
          <w:sz w:val="20"/>
          <w:szCs w:val="20"/>
          <w:lang w:val="es-ES"/>
        </w:rPr>
        <w:t>En sentencia del 4 de julio de 2008</w:t>
      </w:r>
      <w:r w:rsidR="00393274">
        <w:rPr>
          <w:rFonts w:ascii="Cambria" w:hAnsi="Cambria"/>
          <w:sz w:val="20"/>
          <w:szCs w:val="20"/>
          <w:lang w:val="es-ES"/>
        </w:rPr>
        <w:t xml:space="preserve"> l</w:t>
      </w:r>
      <w:r>
        <w:rPr>
          <w:rFonts w:ascii="Cambria" w:hAnsi="Cambria"/>
          <w:sz w:val="20"/>
          <w:szCs w:val="20"/>
          <w:lang w:val="es-ES"/>
        </w:rPr>
        <w:t xml:space="preserve">a Corte </w:t>
      </w:r>
      <w:r w:rsidR="00DB34CD">
        <w:rPr>
          <w:rFonts w:ascii="Cambria" w:hAnsi="Cambria"/>
          <w:sz w:val="20"/>
          <w:szCs w:val="20"/>
          <w:lang w:val="es-ES"/>
        </w:rPr>
        <w:t>de Apelaciones de Santiago confirm</w:t>
      </w:r>
      <w:r w:rsidR="00FA3CA9">
        <w:rPr>
          <w:rFonts w:ascii="Cambria" w:hAnsi="Cambria"/>
          <w:sz w:val="20"/>
          <w:szCs w:val="20"/>
          <w:lang w:val="es-ES"/>
        </w:rPr>
        <w:t>ó</w:t>
      </w:r>
      <w:r>
        <w:rPr>
          <w:rFonts w:ascii="Cambria" w:hAnsi="Cambria"/>
          <w:sz w:val="20"/>
          <w:szCs w:val="20"/>
          <w:lang w:val="es-ES"/>
        </w:rPr>
        <w:t xml:space="preserve"> </w:t>
      </w:r>
      <w:r w:rsidR="00393274">
        <w:rPr>
          <w:rFonts w:ascii="Cambria" w:hAnsi="Cambria"/>
          <w:sz w:val="20"/>
          <w:szCs w:val="20"/>
          <w:lang w:val="es-ES"/>
        </w:rPr>
        <w:t>la</w:t>
      </w:r>
      <w:r>
        <w:rPr>
          <w:rFonts w:ascii="Cambria" w:hAnsi="Cambria"/>
          <w:sz w:val="20"/>
          <w:szCs w:val="20"/>
          <w:lang w:val="es-ES"/>
        </w:rPr>
        <w:t xml:space="preserve"> sentencia de primera instancia</w:t>
      </w:r>
      <w:r w:rsidR="00FA3CA9">
        <w:rPr>
          <w:rFonts w:ascii="Cambria" w:hAnsi="Cambria"/>
          <w:sz w:val="20"/>
          <w:szCs w:val="20"/>
          <w:lang w:val="es-ES"/>
        </w:rPr>
        <w:t>,</w:t>
      </w:r>
      <w:r>
        <w:rPr>
          <w:rFonts w:ascii="Cambria" w:hAnsi="Cambria"/>
          <w:sz w:val="20"/>
          <w:szCs w:val="20"/>
          <w:lang w:val="es-ES"/>
        </w:rPr>
        <w:t xml:space="preserve"> obligando al Estado a </w:t>
      </w:r>
      <w:r w:rsidR="00724891">
        <w:rPr>
          <w:rFonts w:ascii="Cambria" w:hAnsi="Cambria"/>
          <w:sz w:val="20"/>
          <w:szCs w:val="20"/>
          <w:lang w:val="es-ES"/>
        </w:rPr>
        <w:t xml:space="preserve">indemnizar. Contra este fallo el </w:t>
      </w:r>
      <w:r w:rsidR="001B2709">
        <w:rPr>
          <w:rFonts w:ascii="Cambria" w:hAnsi="Cambria"/>
          <w:sz w:val="20"/>
          <w:szCs w:val="20"/>
          <w:lang w:val="es-ES"/>
        </w:rPr>
        <w:t xml:space="preserve">Fisco de Chile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DB34CD">
        <w:rPr>
          <w:rFonts w:ascii="Cambria" w:hAnsi="Cambria"/>
          <w:sz w:val="20"/>
          <w:szCs w:val="20"/>
          <w:lang w:val="es-ES"/>
        </w:rPr>
        <w:t>el 9 de mayo de 2011 la Corte acogió la tesis del Fisco respecto a la prescripción de las acciones civiles alegadas</w:t>
      </w:r>
      <w:r w:rsidR="00FA3CA9">
        <w:rPr>
          <w:rFonts w:ascii="Cambria" w:hAnsi="Cambria"/>
          <w:sz w:val="20"/>
          <w:szCs w:val="20"/>
          <w:lang w:val="es-ES"/>
        </w:rPr>
        <w:t>,</w:t>
      </w:r>
      <w:r w:rsidR="00724891">
        <w:rPr>
          <w:rFonts w:ascii="Cambria" w:hAnsi="Cambria"/>
          <w:sz w:val="20"/>
          <w:szCs w:val="20"/>
          <w:lang w:val="es-ES"/>
        </w:rPr>
        <w:t xml:space="preserve"> </w:t>
      </w:r>
      <w:r w:rsidR="00FA3CA9">
        <w:rPr>
          <w:rFonts w:ascii="Cambria" w:hAnsi="Cambria"/>
          <w:sz w:val="20"/>
          <w:szCs w:val="20"/>
          <w:lang w:val="es-ES"/>
        </w:rPr>
        <w:t>revocándose</w:t>
      </w:r>
      <w:r w:rsidR="00724891">
        <w:rPr>
          <w:rFonts w:ascii="Cambria" w:hAnsi="Cambria"/>
          <w:sz w:val="20"/>
          <w:szCs w:val="20"/>
          <w:lang w:val="es-ES"/>
        </w:rPr>
        <w:t xml:space="preserve"> el fal</w:t>
      </w:r>
      <w:r w:rsidR="00DB34CD">
        <w:rPr>
          <w:rFonts w:ascii="Cambria" w:hAnsi="Cambria"/>
          <w:sz w:val="20"/>
          <w:szCs w:val="20"/>
          <w:lang w:val="es-ES"/>
        </w:rPr>
        <w:t>lo que concedía la indemnización</w:t>
      </w:r>
      <w:r w:rsidR="00AE7F18">
        <w:rPr>
          <w:rFonts w:ascii="Cambria" w:hAnsi="Cambria"/>
          <w:sz w:val="20"/>
          <w:szCs w:val="20"/>
          <w:lang w:val="es-ES"/>
        </w:rPr>
        <w:t>.</w:t>
      </w:r>
      <w:r w:rsidR="00DB34CD">
        <w:rPr>
          <w:rFonts w:ascii="Cambria" w:hAnsi="Cambria"/>
          <w:sz w:val="20"/>
          <w:szCs w:val="20"/>
          <w:lang w:val="es-ES"/>
        </w:rPr>
        <w:t xml:space="preserve"> Con fecha 26 de mayo</w:t>
      </w:r>
      <w:r w:rsidR="00AB2701">
        <w:rPr>
          <w:rFonts w:ascii="Cambria" w:hAnsi="Cambria"/>
          <w:sz w:val="20"/>
          <w:szCs w:val="20"/>
          <w:lang w:val="es-ES"/>
        </w:rPr>
        <w:t xml:space="preserve"> de 2011</w:t>
      </w:r>
      <w:r w:rsidR="00724891">
        <w:rPr>
          <w:rFonts w:ascii="Cambria" w:hAnsi="Cambria"/>
          <w:sz w:val="20"/>
          <w:szCs w:val="20"/>
          <w:lang w:val="es-ES"/>
        </w:rPr>
        <w:t xml:space="preserve"> se dict</w:t>
      </w:r>
      <w:r w:rsidR="00FA3CA9">
        <w:rPr>
          <w:rFonts w:ascii="Cambria" w:hAnsi="Cambria"/>
          <w:sz w:val="20"/>
          <w:szCs w:val="20"/>
          <w:lang w:val="es-ES"/>
        </w:rPr>
        <w:t>ó</w:t>
      </w:r>
      <w:r w:rsidR="00724891">
        <w:rPr>
          <w:rFonts w:ascii="Cambria" w:hAnsi="Cambria"/>
          <w:sz w:val="20"/>
          <w:szCs w:val="20"/>
          <w:lang w:val="es-ES"/>
        </w:rPr>
        <w:t xml:space="preserve"> el “cúmplase” por parte del Juzgado Civil de primera instancia. </w:t>
      </w:r>
      <w:r>
        <w:rPr>
          <w:rFonts w:ascii="Cambria" w:hAnsi="Cambria"/>
          <w:sz w:val="20"/>
          <w:szCs w:val="20"/>
          <w:lang w:val="es-ES"/>
        </w:rPr>
        <w:t xml:space="preserve"> </w:t>
      </w:r>
    </w:p>
    <w:p w14:paraId="571DAAA4" w14:textId="16854838" w:rsidR="00202B0A" w:rsidRDefault="00202B0A" w:rsidP="001B5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A51C7">
        <w:rPr>
          <w:rFonts w:ascii="Cambria" w:hAnsi="Cambria"/>
          <w:sz w:val="20"/>
          <w:szCs w:val="20"/>
          <w:lang w:val="es-ES"/>
        </w:rPr>
        <w:t xml:space="preserve">Por su parte, el Estado señala </w:t>
      </w:r>
      <w:r w:rsidR="00562FAB" w:rsidRPr="005A51C7">
        <w:rPr>
          <w:rFonts w:ascii="Cambria" w:hAnsi="Cambria"/>
          <w:sz w:val="20"/>
          <w:szCs w:val="20"/>
          <w:lang w:val="es-ES"/>
        </w:rPr>
        <w:t>que,</w:t>
      </w:r>
      <w:r w:rsidRPr="005A51C7">
        <w:rPr>
          <w:rFonts w:ascii="Cambria" w:hAnsi="Cambria"/>
          <w:sz w:val="20"/>
          <w:szCs w:val="20"/>
          <w:lang w:val="es-ES"/>
        </w:rPr>
        <w:t xml:space="preserve"> </w:t>
      </w:r>
      <w:r w:rsidR="001B5141">
        <w:rPr>
          <w:rFonts w:ascii="Cambria" w:hAnsi="Cambria"/>
          <w:sz w:val="20"/>
          <w:szCs w:val="20"/>
          <w:lang w:val="es-ES"/>
        </w:rPr>
        <w:t xml:space="preserve">en </w:t>
      </w:r>
      <w:r w:rsidR="001B5141" w:rsidRPr="001B5141">
        <w:rPr>
          <w:rFonts w:ascii="Cambria" w:hAnsi="Cambria"/>
          <w:sz w:val="20"/>
          <w:szCs w:val="20"/>
          <w:lang w:val="es-ES"/>
        </w:rPr>
        <w:t xml:space="preserve">cuanto a la alegación de falta de reparación civil, </w:t>
      </w:r>
      <w:r w:rsidR="00E50345">
        <w:rPr>
          <w:rFonts w:ascii="Cambria" w:hAnsi="Cambria"/>
          <w:sz w:val="20"/>
          <w:szCs w:val="20"/>
          <w:lang w:val="es-ES"/>
        </w:rPr>
        <w:t>n</w:t>
      </w:r>
      <w:r w:rsidR="001B5141">
        <w:rPr>
          <w:rFonts w:ascii="Cambria" w:hAnsi="Cambria"/>
          <w:sz w:val="20"/>
          <w:szCs w:val="20"/>
          <w:lang w:val="es-ES"/>
        </w:rPr>
        <w:t>o</w:t>
      </w:r>
      <w:r w:rsidR="00E50345">
        <w:rPr>
          <w:rFonts w:ascii="Cambria" w:hAnsi="Cambria"/>
          <w:sz w:val="20"/>
          <w:szCs w:val="20"/>
          <w:lang w:val="es-ES"/>
        </w:rPr>
        <w:t xml:space="preserve"> </w:t>
      </w:r>
      <w:r w:rsidR="001B5141">
        <w:rPr>
          <w:rFonts w:ascii="Cambria" w:hAnsi="Cambria"/>
          <w:sz w:val="20"/>
          <w:szCs w:val="20"/>
          <w:lang w:val="es-ES"/>
        </w:rPr>
        <w:t>tiene</w:t>
      </w:r>
      <w:r w:rsidR="001B5141" w:rsidRPr="001B5141">
        <w:rPr>
          <w:rFonts w:ascii="Cambria" w:hAnsi="Cambria"/>
          <w:sz w:val="20"/>
          <w:szCs w:val="20"/>
          <w:lang w:val="es-ES"/>
        </w:rPr>
        <w:t xml:space="preserve"> reparos que plantear relativos al cumplimiento de los requisitos de forma</w:t>
      </w:r>
      <w:r w:rsidRPr="00ED70FC">
        <w:rPr>
          <w:rFonts w:ascii="Cambria" w:hAnsi="Cambria"/>
          <w:sz w:val="20"/>
          <w:szCs w:val="20"/>
          <w:lang w:val="es-ES"/>
        </w:rPr>
        <w:t>, sin perjuicio de las observaciones sobre el fondo que pueda hacer en la oportunidad que corresponda.</w:t>
      </w:r>
      <w:r w:rsidR="00FF0D54" w:rsidRPr="00ED70FC">
        <w:rPr>
          <w:rFonts w:ascii="Cambria" w:hAnsi="Cambria"/>
          <w:sz w:val="20"/>
          <w:szCs w:val="20"/>
          <w:lang w:val="es-ES"/>
        </w:rPr>
        <w:t xml:space="preserve"> </w:t>
      </w:r>
      <w:r w:rsidR="00DB34CD">
        <w:rPr>
          <w:rFonts w:ascii="Cambria" w:hAnsi="Cambria"/>
          <w:sz w:val="20"/>
          <w:szCs w:val="20"/>
          <w:lang w:val="es-ES"/>
        </w:rPr>
        <w:t xml:space="preserve">No obstante, en materia penal el Estado señala que existe una causa en estado sumario y solicita, en razón del principio de subsidiariedad o complementariedad reconocido en la Convención, que la petición se declare inadmisible en lo referente a la parte penal por falta de agotamiento de los recursos de jurisdicción interna.  </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446831FE"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 las presuntas víctimas derivada de la desaparición</w:t>
      </w:r>
      <w:r w:rsidR="00DB34CD">
        <w:rPr>
          <w:rFonts w:ascii="Cambria" w:hAnsi="Cambria"/>
          <w:sz w:val="20"/>
          <w:szCs w:val="20"/>
          <w:lang w:val="es-ES"/>
        </w:rPr>
        <w:t xml:space="preserve"> de José Segundo Flores Rojas</w:t>
      </w:r>
      <w:r w:rsidRPr="003D225D">
        <w:rPr>
          <w:rFonts w:ascii="Cambria" w:hAnsi="Cambria"/>
          <w:sz w:val="20"/>
          <w:szCs w:val="20"/>
          <w:lang w:val="es-ES"/>
        </w:rPr>
        <w:t xml:space="preserve">, cuya demanda civil fue rechazadas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AA6515">
        <w:rPr>
          <w:rFonts w:ascii="Cambria" w:hAnsi="Cambria"/>
          <w:sz w:val="20"/>
          <w:szCs w:val="20"/>
          <w:lang w:val="es-ES"/>
        </w:rPr>
        <w:t>civil</w:t>
      </w:r>
      <w:r w:rsidR="00393274">
        <w:rPr>
          <w:rFonts w:ascii="Cambria" w:hAnsi="Cambria"/>
          <w:sz w:val="20"/>
          <w:szCs w:val="20"/>
          <w:lang w:val="es-ES"/>
        </w:rPr>
        <w:t xml:space="preserve"> se inició la causa el </w:t>
      </w:r>
      <w:r w:rsidR="00DB34CD">
        <w:rPr>
          <w:rFonts w:ascii="Cambria" w:hAnsi="Cambria"/>
          <w:sz w:val="20"/>
          <w:szCs w:val="20"/>
          <w:lang w:val="es-ES"/>
        </w:rPr>
        <w:t xml:space="preserve">11 de septiembre de 2002 </w:t>
      </w:r>
      <w:r w:rsidR="00393274">
        <w:rPr>
          <w:rFonts w:ascii="Cambria" w:hAnsi="Cambria"/>
          <w:sz w:val="20"/>
          <w:szCs w:val="20"/>
          <w:lang w:val="es-ES"/>
        </w:rPr>
        <w:t>ante el 7</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DB34CD">
        <w:rPr>
          <w:rFonts w:ascii="Cambria" w:hAnsi="Cambria"/>
          <w:sz w:val="20"/>
          <w:szCs w:val="20"/>
          <w:lang w:val="es-ES"/>
        </w:rPr>
        <w:t xml:space="preserve">26 de mayo de 2011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DB34CD">
        <w:rPr>
          <w:rFonts w:ascii="Cambria" w:hAnsi="Cambria"/>
          <w:sz w:val="20"/>
          <w:szCs w:val="20"/>
          <w:lang w:val="es-ES"/>
        </w:rPr>
        <w:t>9 de mayo de 2011</w:t>
      </w:r>
      <w:r w:rsidR="00F5774E">
        <w:rPr>
          <w:rFonts w:ascii="Cambria" w:hAnsi="Cambria"/>
          <w:sz w:val="20"/>
          <w:szCs w:val="20"/>
          <w:lang w:val="es-ES"/>
        </w:rPr>
        <w:t>,</w:t>
      </w:r>
      <w:r w:rsidR="00DB34CD">
        <w:rPr>
          <w:rFonts w:ascii="Cambria" w:hAnsi="Cambria"/>
          <w:sz w:val="20"/>
          <w:szCs w:val="20"/>
          <w:lang w:val="es-ES"/>
        </w:rPr>
        <w:t xml:space="preserve"> </w:t>
      </w:r>
      <w:r w:rsidR="00393274">
        <w:rPr>
          <w:rFonts w:ascii="Cambria" w:hAnsi="Cambria"/>
          <w:sz w:val="20"/>
          <w:szCs w:val="20"/>
          <w:lang w:val="es-ES"/>
        </w:rPr>
        <w:t>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4810C1">
        <w:rPr>
          <w:rFonts w:ascii="Cambria" w:hAnsi="Cambria"/>
          <w:sz w:val="20"/>
          <w:szCs w:val="20"/>
          <w:lang w:val="es-ES"/>
        </w:rPr>
        <w:t xml:space="preserve"> a una indemnización</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7FB35FE8"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DB34CD">
        <w:rPr>
          <w:rFonts w:ascii="Cambria" w:hAnsi="Cambria"/>
          <w:sz w:val="20"/>
          <w:szCs w:val="20"/>
          <w:lang w:val="es-ES"/>
        </w:rPr>
        <w:t xml:space="preserve"> 26 de noviembre de 2011</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595F7E3A" w:rsidR="000B0579" w:rsidRDefault="003C160C">
      <w:pPr>
        <w:pStyle w:val="ListParagraph"/>
        <w:numPr>
          <w:ilvl w:val="0"/>
          <w:numId w:val="103"/>
        </w:numPr>
        <w:jc w:val="both"/>
        <w:rPr>
          <w:sz w:val="20"/>
          <w:szCs w:val="20"/>
          <w:lang w:val="es-ES"/>
        </w:rPr>
      </w:pPr>
      <w:r w:rsidRPr="0032474F">
        <w:rPr>
          <w:color w:val="auto"/>
          <w:sz w:val="20"/>
          <w:szCs w:val="20"/>
          <w:lang w:val="es-ES"/>
        </w:rPr>
        <w:t xml:space="preserve">La Comisión observa que los familiares de la presunta víctima tuvieron acceso a los recursos previstos en la legislación chilena y que el asunto fue analizado y resuelto en el ámbito interno incluso por la Corte Suprema, su más alta instancia judicial. Sin embargo, la petición incluye alegatos con respecto a la falta de indemnización a los familiares de la presunta víctima por su secuestro y </w:t>
      </w:r>
      <w:r>
        <w:rPr>
          <w:color w:val="auto"/>
          <w:sz w:val="20"/>
          <w:szCs w:val="20"/>
          <w:lang w:val="es-ES"/>
        </w:rPr>
        <w:t>desaparición forzada</w:t>
      </w:r>
      <w:r w:rsidRPr="0032474F">
        <w:rPr>
          <w:color w:val="auto"/>
          <w:sz w:val="20"/>
          <w:szCs w:val="20"/>
          <w:lang w:val="es-ES"/>
        </w:rPr>
        <w:t>, en aplicación judicial de la prescripción en materia civil.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garantizar el derecho de las víctimas a ser reparadas, y por ello no debería aplicarse en tales circunstancias</w:t>
      </w:r>
      <w:r w:rsidRPr="0032474F">
        <w:rPr>
          <w:rStyle w:val="FootnoteReference"/>
          <w:color w:val="auto"/>
          <w:sz w:val="20"/>
          <w:szCs w:val="20"/>
          <w:lang w:val="es-ES"/>
        </w:rPr>
        <w:footnoteReference w:id="8"/>
      </w:r>
      <w:r w:rsidRPr="0032474F">
        <w:rPr>
          <w:color w:val="auto"/>
          <w:sz w:val="20"/>
          <w:szCs w:val="20"/>
          <w:lang w:val="es-ES"/>
        </w:rPr>
        <w:t xml:space="preserve">.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Teniendo en cuenta lo anterior, la CIDH considera que los alegatos de la parte peticionaria no resultan manifiestamente infundadas y requieren </w:t>
      </w:r>
      <w:r w:rsidRPr="0032474F">
        <w:rPr>
          <w:color w:val="auto"/>
          <w:sz w:val="20"/>
          <w:szCs w:val="20"/>
          <w:lang w:val="es-ES"/>
        </w:rPr>
        <w:lastRenderedPageBreak/>
        <w:t>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32474F">
        <w:rPr>
          <w:rStyle w:val="FootnoteReference"/>
          <w:color w:val="auto"/>
          <w:sz w:val="20"/>
          <w:szCs w:val="20"/>
          <w:lang w:val="es-ES"/>
        </w:rPr>
        <w:footnoteReference w:id="9"/>
      </w:r>
      <w:r w:rsidRPr="0032474F">
        <w:rPr>
          <w:color w:val="auto"/>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5C1F71DE"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DB34CD" w:rsidRPr="00CC3E13">
        <w:rPr>
          <w:rFonts w:ascii="Cambria" w:hAnsi="Cambria"/>
          <w:bCs/>
          <w:sz w:val="20"/>
          <w:szCs w:val="20"/>
          <w:lang w:val="es-ES"/>
        </w:rPr>
        <w:t xml:space="preserve">2; </w:t>
      </w:r>
      <w:r w:rsidR="00DB34CD" w:rsidRPr="00CC3E13">
        <w:rPr>
          <w:rFonts w:asciiTheme="majorHAnsi" w:hAnsiTheme="majorHAnsi"/>
          <w:sz w:val="20"/>
          <w:szCs w:val="20"/>
          <w:lang w:val="es-ES"/>
        </w:rPr>
        <w:t>y</w:t>
      </w:r>
    </w:p>
    <w:p w14:paraId="7CD4DFBD" w14:textId="1F0898F2"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181FA21D" w14:textId="4BF00B78" w:rsidR="004514D6" w:rsidRPr="00A37B82" w:rsidRDefault="004514D6" w:rsidP="004514D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E23198">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09AF5F9" w14:textId="77777777" w:rsidR="004514D6" w:rsidRPr="00A37B82" w:rsidRDefault="004514D6" w:rsidP="004514D6">
      <w:pPr>
        <w:suppressAutoHyphens/>
        <w:ind w:firstLine="720"/>
        <w:jc w:val="both"/>
        <w:rPr>
          <w:rFonts w:asciiTheme="majorHAnsi" w:hAnsiTheme="majorHAnsi" w:cs="Arial"/>
          <w:noProof/>
          <w:spacing w:val="-2"/>
          <w:sz w:val="20"/>
          <w:szCs w:val="20"/>
          <w:lang w:val="es-CL"/>
        </w:rPr>
      </w:pPr>
    </w:p>
    <w:sectPr w:rsidR="004514D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F5BC" w14:textId="77777777" w:rsidR="00246F35" w:rsidRDefault="00246F35">
      <w:r>
        <w:separator/>
      </w:r>
    </w:p>
  </w:endnote>
  <w:endnote w:type="continuationSeparator" w:id="0">
    <w:p w14:paraId="289DE0C3" w14:textId="77777777" w:rsidR="00246F35" w:rsidRDefault="0024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E3BDA" w14:textId="77777777" w:rsidR="00D84E64" w:rsidRDefault="00D84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E92DA3A"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4E64">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3079" w14:textId="77777777" w:rsidR="00246F35" w:rsidRPr="000F35ED" w:rsidRDefault="00246F3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600DCA" w14:textId="77777777" w:rsidR="00246F35" w:rsidRPr="000F35ED" w:rsidRDefault="00246F35" w:rsidP="000F35ED">
      <w:pPr>
        <w:rPr>
          <w:rFonts w:asciiTheme="majorHAnsi" w:hAnsiTheme="majorHAnsi"/>
          <w:sz w:val="16"/>
          <w:szCs w:val="16"/>
        </w:rPr>
      </w:pPr>
      <w:r w:rsidRPr="000F35ED">
        <w:rPr>
          <w:rFonts w:asciiTheme="majorHAnsi" w:hAnsiTheme="majorHAnsi"/>
          <w:sz w:val="16"/>
          <w:szCs w:val="16"/>
        </w:rPr>
        <w:separator/>
      </w:r>
    </w:p>
    <w:p w14:paraId="28FDE376" w14:textId="77777777" w:rsidR="00246F35" w:rsidRPr="000F35ED" w:rsidRDefault="00246F3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A8E7239" w14:textId="77777777" w:rsidR="00246F35" w:rsidRPr="000F35ED" w:rsidRDefault="00246F3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2AE8555A" w:rsidR="00D34B76" w:rsidRPr="00CC7E94" w:rsidRDefault="004514D6" w:rsidP="00CC7E94">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CC7E94">
        <w:rPr>
          <w:rStyle w:val="FootnoteReference"/>
          <w:rFonts w:asciiTheme="majorHAnsi" w:hAnsiTheme="majorHAnsi"/>
          <w:sz w:val="16"/>
          <w:szCs w:val="16"/>
        </w:rPr>
        <w:footnoteRef/>
      </w:r>
      <w:r w:rsidR="00D34B76" w:rsidRPr="00CC7E94">
        <w:rPr>
          <w:rFonts w:asciiTheme="majorHAnsi" w:hAnsiTheme="majorHAnsi"/>
          <w:sz w:val="16"/>
          <w:szCs w:val="16"/>
          <w:lang w:val="es-MX"/>
        </w:rPr>
        <w:t xml:space="preserve"> </w:t>
      </w:r>
      <w:r w:rsidR="00214755" w:rsidRPr="00CC7E94">
        <w:rPr>
          <w:rFonts w:asciiTheme="majorHAnsi" w:hAnsiTheme="majorHAnsi"/>
          <w:sz w:val="16"/>
          <w:szCs w:val="16"/>
          <w:lang w:val="es-MX"/>
        </w:rPr>
        <w:t xml:space="preserve">La petición fue presentada inicialmente también por Franz </w:t>
      </w:r>
      <w:proofErr w:type="spellStart"/>
      <w:r w:rsidR="00214755" w:rsidRPr="00CC7E94">
        <w:rPr>
          <w:rFonts w:asciiTheme="majorHAnsi" w:hAnsiTheme="majorHAnsi"/>
          <w:sz w:val="16"/>
          <w:szCs w:val="16"/>
          <w:lang w:val="es-MX"/>
        </w:rPr>
        <w:t>Moller</w:t>
      </w:r>
      <w:proofErr w:type="spellEnd"/>
      <w:r w:rsidR="00214755" w:rsidRPr="00CC7E94">
        <w:rPr>
          <w:rFonts w:asciiTheme="majorHAnsi" w:hAnsiTheme="majorHAnsi"/>
          <w:sz w:val="16"/>
          <w:szCs w:val="16"/>
          <w:lang w:val="es-MX"/>
        </w:rPr>
        <w:t xml:space="preserve"> Morris, pero mediante comunicación de fecha 26 de septiembre de 2017, indicó que renunciaba a ser peticionario</w:t>
      </w:r>
      <w:r w:rsidR="00D34B76" w:rsidRPr="00CC7E94">
        <w:rPr>
          <w:rFonts w:asciiTheme="majorHAnsi" w:hAnsiTheme="majorHAnsi"/>
          <w:sz w:val="16"/>
          <w:szCs w:val="16"/>
          <w:lang w:val="es-MX"/>
        </w:rPr>
        <w:t>.</w:t>
      </w:r>
    </w:p>
  </w:footnote>
  <w:footnote w:id="3">
    <w:p w14:paraId="45B5C617" w14:textId="688DB394" w:rsidR="00201E85" w:rsidRPr="00CC7E94" w:rsidRDefault="004514D6" w:rsidP="00CC7E94">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CC7E94">
        <w:rPr>
          <w:rStyle w:val="FootnoteReference"/>
          <w:rFonts w:asciiTheme="majorHAnsi" w:hAnsiTheme="majorHAnsi"/>
          <w:sz w:val="16"/>
          <w:szCs w:val="16"/>
        </w:rPr>
        <w:footnoteRef/>
      </w:r>
      <w:r w:rsidR="00C7589C" w:rsidRPr="00CC7E94">
        <w:rPr>
          <w:rFonts w:asciiTheme="majorHAnsi" w:hAnsiTheme="majorHAnsi"/>
          <w:sz w:val="16"/>
          <w:szCs w:val="16"/>
          <w:lang w:val="es-MX"/>
        </w:rPr>
        <w:t xml:space="preserve"> </w:t>
      </w:r>
      <w:r w:rsidR="006A5C49" w:rsidRPr="00CC7E94">
        <w:rPr>
          <w:rFonts w:asciiTheme="majorHAnsi" w:hAnsiTheme="majorHAnsi"/>
          <w:sz w:val="16"/>
          <w:szCs w:val="16"/>
          <w:lang w:val="es-MX"/>
        </w:rPr>
        <w:t xml:space="preserve">Carlos Antonio Flores Gálvez, hijo de la presunta víctima y Julia Eliana Gálvez Bascuñán, cónyuge de la presunta víctima. </w:t>
      </w:r>
    </w:p>
  </w:footnote>
  <w:footnote w:id="4">
    <w:p w14:paraId="06C1BEFA" w14:textId="6C0D8D0C" w:rsidR="004A6A54" w:rsidRPr="00CC7E94" w:rsidRDefault="004514D6" w:rsidP="00CC7E94">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4A6A54" w:rsidRPr="00CC7E94">
        <w:rPr>
          <w:rStyle w:val="FootnoteReference"/>
          <w:rFonts w:asciiTheme="majorHAnsi" w:hAnsiTheme="majorHAnsi"/>
          <w:color w:val="auto"/>
          <w:sz w:val="16"/>
          <w:szCs w:val="16"/>
        </w:rPr>
        <w:footnoteRef/>
      </w:r>
      <w:r w:rsidR="004A6A54" w:rsidRPr="00CC7E94">
        <w:rPr>
          <w:rFonts w:asciiTheme="majorHAnsi" w:hAnsiTheme="majorHAnsi"/>
          <w:color w:val="auto"/>
          <w:sz w:val="16"/>
          <w:szCs w:val="16"/>
          <w:lang w:val="es-ES"/>
        </w:rPr>
        <w:t xml:space="preserve"> </w:t>
      </w:r>
      <w:r w:rsidR="00D62438" w:rsidRPr="00CC7E94">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CC7E94">
        <w:rPr>
          <w:rFonts w:asciiTheme="majorHAnsi" w:hAnsiTheme="majorHAnsi"/>
          <w:color w:val="auto"/>
          <w:sz w:val="16"/>
          <w:szCs w:val="16"/>
          <w:lang w:val="es-ES"/>
        </w:rPr>
        <w:t>.</w:t>
      </w:r>
    </w:p>
  </w:footnote>
  <w:footnote w:id="5">
    <w:p w14:paraId="215EEB52" w14:textId="355F916E" w:rsidR="00BF514A" w:rsidRPr="00CC7E94" w:rsidRDefault="004514D6" w:rsidP="00CC7E94">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CC7E94">
        <w:rPr>
          <w:rStyle w:val="FootnoteReference"/>
          <w:rFonts w:asciiTheme="majorHAnsi" w:hAnsiTheme="majorHAnsi"/>
          <w:sz w:val="16"/>
          <w:szCs w:val="16"/>
        </w:rPr>
        <w:footnoteRef/>
      </w:r>
      <w:r w:rsidR="00BF514A" w:rsidRPr="00CC7E94">
        <w:rPr>
          <w:rFonts w:asciiTheme="majorHAnsi" w:hAnsiTheme="majorHAnsi"/>
          <w:sz w:val="16"/>
          <w:szCs w:val="16"/>
          <w:lang w:val="es-ES"/>
        </w:rPr>
        <w:t xml:space="preserve"> En adelante “la Convención Americana” o “la Convención”.</w:t>
      </w:r>
    </w:p>
  </w:footnote>
  <w:footnote w:id="6">
    <w:p w14:paraId="79F07139" w14:textId="7967B961" w:rsidR="008E3BFE" w:rsidRPr="00CC7E94" w:rsidRDefault="004514D6" w:rsidP="00CC7E94">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CC7E94">
        <w:rPr>
          <w:rStyle w:val="FootnoteReference"/>
          <w:rFonts w:asciiTheme="majorHAnsi" w:hAnsiTheme="majorHAnsi"/>
          <w:sz w:val="16"/>
          <w:szCs w:val="16"/>
        </w:rPr>
        <w:footnoteRef/>
      </w:r>
      <w:r w:rsidR="008E3BFE" w:rsidRPr="00CC7E94">
        <w:rPr>
          <w:rFonts w:asciiTheme="majorHAnsi" w:hAnsiTheme="majorHAnsi"/>
          <w:sz w:val="16"/>
          <w:szCs w:val="16"/>
          <w:lang w:val="es-ES"/>
        </w:rPr>
        <w:t xml:space="preserve"> Las observaciones de cada parte fueron debidamente trasladadas a la parte contraria.</w:t>
      </w:r>
    </w:p>
  </w:footnote>
  <w:footnote w:id="7">
    <w:p w14:paraId="184C98A7" w14:textId="59D2D084" w:rsidR="002F7F5F" w:rsidRPr="00CC7E94" w:rsidRDefault="004514D6" w:rsidP="00CC7E94">
      <w:pPr>
        <w:pStyle w:val="FootnoteText"/>
        <w:jc w:val="both"/>
        <w:rPr>
          <w:lang w:val="es-MX"/>
        </w:rPr>
      </w:pPr>
      <w:r>
        <w:rPr>
          <w:rFonts w:asciiTheme="majorHAnsi" w:hAnsiTheme="majorHAnsi"/>
          <w:sz w:val="16"/>
          <w:szCs w:val="16"/>
          <w:lang w:val="es-MX"/>
        </w:rPr>
        <w:tab/>
      </w:r>
      <w:r w:rsidR="002F7F5F" w:rsidRPr="00CC7E94">
        <w:rPr>
          <w:rStyle w:val="FootnoteReference"/>
          <w:rFonts w:asciiTheme="majorHAnsi" w:hAnsiTheme="majorHAnsi"/>
          <w:sz w:val="16"/>
          <w:szCs w:val="16"/>
        </w:rPr>
        <w:footnoteRef/>
      </w:r>
      <w:r w:rsidR="002F7F5F" w:rsidRPr="00CC7E94">
        <w:rPr>
          <w:rFonts w:asciiTheme="majorHAnsi" w:hAnsiTheme="majorHAnsi"/>
          <w:sz w:val="16"/>
          <w:szCs w:val="16"/>
          <w:lang w:val="es-MX"/>
        </w:rPr>
        <w:t xml:space="preserve"> El peticionario basó su relato y los hechos denunciados en esta petición en el informe</w:t>
      </w:r>
      <w:r w:rsidR="00CC7E94" w:rsidRPr="00CC7E94">
        <w:rPr>
          <w:rFonts w:asciiTheme="majorHAnsi" w:hAnsiTheme="majorHAnsi"/>
          <w:sz w:val="16"/>
          <w:szCs w:val="16"/>
          <w:lang w:val="es-MX"/>
        </w:rPr>
        <w:t xml:space="preserve"> de la Comisión Nacional de Verdad y Reconciliación (Informe</w:t>
      </w:r>
      <w:r w:rsidR="002F7F5F" w:rsidRPr="00CC7E94">
        <w:rPr>
          <w:rFonts w:asciiTheme="majorHAnsi" w:hAnsiTheme="majorHAnsi"/>
          <w:sz w:val="16"/>
          <w:szCs w:val="16"/>
          <w:lang w:val="es-MX"/>
        </w:rPr>
        <w:t xml:space="preserve"> </w:t>
      </w:r>
      <w:proofErr w:type="spellStart"/>
      <w:r w:rsidR="002F7F5F" w:rsidRPr="00CC7E94">
        <w:rPr>
          <w:rFonts w:asciiTheme="majorHAnsi" w:hAnsiTheme="majorHAnsi"/>
          <w:sz w:val="16"/>
          <w:szCs w:val="16"/>
          <w:lang w:val="es-MX"/>
        </w:rPr>
        <w:t>Rettig</w:t>
      </w:r>
      <w:proofErr w:type="spellEnd"/>
      <w:r w:rsidR="00CC7E94" w:rsidRPr="00CC7E94">
        <w:rPr>
          <w:rFonts w:asciiTheme="majorHAnsi" w:hAnsiTheme="majorHAnsi"/>
          <w:sz w:val="16"/>
          <w:szCs w:val="16"/>
          <w:lang w:val="es-MX"/>
        </w:rPr>
        <w:t>)</w:t>
      </w:r>
      <w:r w:rsidR="002F7F5F" w:rsidRPr="00CC7E94">
        <w:rPr>
          <w:rFonts w:asciiTheme="majorHAnsi" w:hAnsiTheme="majorHAnsi"/>
          <w:sz w:val="16"/>
          <w:szCs w:val="16"/>
          <w:lang w:val="es-MX"/>
        </w:rPr>
        <w:t>.</w:t>
      </w:r>
    </w:p>
  </w:footnote>
  <w:footnote w:id="8">
    <w:p w14:paraId="7EF2834A" w14:textId="1FF4A379" w:rsidR="003C160C" w:rsidRPr="00A022F8" w:rsidRDefault="004514D6" w:rsidP="003C160C">
      <w:pPr>
        <w:pStyle w:val="FootnoteText"/>
        <w:jc w:val="both"/>
        <w:rPr>
          <w:rFonts w:ascii="Cambria" w:hAnsi="Cambria"/>
          <w:sz w:val="16"/>
          <w:szCs w:val="16"/>
          <w:lang w:val="fr-CA"/>
        </w:rPr>
      </w:pPr>
      <w:r>
        <w:rPr>
          <w:rFonts w:ascii="Cambria" w:hAnsi="Cambria"/>
          <w:sz w:val="16"/>
          <w:szCs w:val="16"/>
          <w:lang w:val="es-MX"/>
        </w:rPr>
        <w:tab/>
      </w:r>
      <w:r w:rsidR="003C160C" w:rsidRPr="00A022F8">
        <w:rPr>
          <w:rStyle w:val="FootnoteReference"/>
          <w:rFonts w:ascii="Cambria" w:hAnsi="Cambria"/>
          <w:sz w:val="16"/>
          <w:szCs w:val="16"/>
        </w:rPr>
        <w:footnoteRef/>
      </w:r>
      <w:r w:rsidR="003C160C" w:rsidRPr="00A022F8">
        <w:rPr>
          <w:rFonts w:ascii="Cambria" w:hAnsi="Cambria"/>
          <w:sz w:val="16"/>
          <w:szCs w:val="16"/>
          <w:lang w:val="es-MX"/>
        </w:rPr>
        <w:t xml:space="preserve"> CIDH, Informe No. 52/16, Caso 12.521. Fondo. Maria Laura Ordenes Guerra y otros. Chile. 30 de noviembre de 2016, párr. 134; ver igualmente CIDH, Informe No. 5/19, Petición 1560-08. Admisibilidad. Juan Paredes Barrientos y Familia. Chile. 31 de enero de 2019; Corte IDH, Caso Órdenes Guerra y otros vs. Chile, Sentencia de 29 de noviembre de 2018 (Fondo, Reparaciones y Costas), párr. </w:t>
      </w:r>
      <w:r w:rsidR="003C160C" w:rsidRPr="00A022F8">
        <w:rPr>
          <w:rFonts w:ascii="Cambria" w:hAnsi="Cambria"/>
          <w:sz w:val="16"/>
          <w:szCs w:val="16"/>
        </w:rPr>
        <w:t>89.</w:t>
      </w:r>
    </w:p>
  </w:footnote>
  <w:footnote w:id="9">
    <w:p w14:paraId="38A39955" w14:textId="09167CBA" w:rsidR="003C160C" w:rsidRPr="00A022F8" w:rsidRDefault="004514D6" w:rsidP="003C160C">
      <w:pPr>
        <w:pStyle w:val="FootnoteText"/>
        <w:jc w:val="both"/>
        <w:rPr>
          <w:rFonts w:ascii="Cambria" w:hAnsi="Cambria"/>
          <w:sz w:val="16"/>
          <w:szCs w:val="16"/>
          <w:lang w:val="fr-CA"/>
        </w:rPr>
      </w:pPr>
      <w:r>
        <w:rPr>
          <w:rFonts w:ascii="Cambria" w:hAnsi="Cambria"/>
          <w:sz w:val="16"/>
          <w:szCs w:val="16"/>
          <w:lang w:val="es-MX"/>
        </w:rPr>
        <w:tab/>
      </w:r>
      <w:r w:rsidR="003C160C" w:rsidRPr="00A022F8">
        <w:rPr>
          <w:rStyle w:val="FootnoteReference"/>
          <w:rFonts w:ascii="Cambria" w:hAnsi="Cambria"/>
          <w:sz w:val="16"/>
          <w:szCs w:val="16"/>
        </w:rPr>
        <w:footnoteRef/>
      </w:r>
      <w:r w:rsidR="003C160C" w:rsidRPr="00A022F8">
        <w:rPr>
          <w:rFonts w:ascii="Cambria" w:hAnsi="Cambria"/>
          <w:sz w:val="16"/>
          <w:szCs w:val="16"/>
          <w:lang w:val="es-MX"/>
        </w:rPr>
        <w:t xml:space="preserve"> Ver CIDH, Informe No. 152/17. Admisibilidad. Hugo Tomás Martínez Guillén y Otros. Chile. 30 de noviembre de 2017; y CIDH, Informe No. 5/19, Petición 1560-08. Admisibilidad. </w:t>
      </w:r>
      <w:r w:rsidR="003C160C" w:rsidRPr="00A022F8">
        <w:rPr>
          <w:rFonts w:ascii="Cambria" w:hAnsi="Cambria"/>
          <w:sz w:val="16"/>
          <w:szCs w:val="16"/>
        </w:rPr>
        <w:t xml:space="preserve">Juan Paredes Barrientos y </w:t>
      </w:r>
      <w:proofErr w:type="spellStart"/>
      <w:r w:rsidR="003C160C" w:rsidRPr="00A022F8">
        <w:rPr>
          <w:rFonts w:ascii="Cambria" w:hAnsi="Cambria"/>
          <w:sz w:val="16"/>
          <w:szCs w:val="16"/>
        </w:rPr>
        <w:t>Familia</w:t>
      </w:r>
      <w:proofErr w:type="spellEnd"/>
      <w:r w:rsidR="003C160C" w:rsidRPr="00A022F8">
        <w:rPr>
          <w:rFonts w:ascii="Cambria" w:hAnsi="Cambria"/>
          <w:sz w:val="16"/>
          <w:szCs w:val="16"/>
        </w:rPr>
        <w:t xml:space="preserve">. Chile. 31 de </w:t>
      </w:r>
      <w:proofErr w:type="spellStart"/>
      <w:r w:rsidR="003C160C" w:rsidRPr="00A022F8">
        <w:rPr>
          <w:rFonts w:ascii="Cambria" w:hAnsi="Cambria"/>
          <w:sz w:val="16"/>
          <w:szCs w:val="16"/>
        </w:rPr>
        <w:t>enero</w:t>
      </w:r>
      <w:proofErr w:type="spellEnd"/>
      <w:r w:rsidR="003C160C" w:rsidRPr="00A022F8">
        <w:rPr>
          <w:rFonts w:ascii="Cambria" w:hAnsi="Cambria"/>
          <w:sz w:val="16"/>
          <w:szCs w:val="16"/>
        </w:rPr>
        <w:t xml:space="preserv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46F35"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3897" w14:textId="77777777" w:rsidR="00D84E64" w:rsidRDefault="00D84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47488"/>
    <w:rsid w:val="00050A02"/>
    <w:rsid w:val="000535D1"/>
    <w:rsid w:val="000716C5"/>
    <w:rsid w:val="00075E23"/>
    <w:rsid w:val="00076A84"/>
    <w:rsid w:val="00084F73"/>
    <w:rsid w:val="00087017"/>
    <w:rsid w:val="00090CA4"/>
    <w:rsid w:val="0009344A"/>
    <w:rsid w:val="000A3254"/>
    <w:rsid w:val="000A392E"/>
    <w:rsid w:val="000A575F"/>
    <w:rsid w:val="000B0579"/>
    <w:rsid w:val="000B4E5A"/>
    <w:rsid w:val="000B5953"/>
    <w:rsid w:val="000C1933"/>
    <w:rsid w:val="000C1C69"/>
    <w:rsid w:val="000C1D52"/>
    <w:rsid w:val="000D10DB"/>
    <w:rsid w:val="000E0841"/>
    <w:rsid w:val="000E2789"/>
    <w:rsid w:val="000E5EB5"/>
    <w:rsid w:val="000F1C1E"/>
    <w:rsid w:val="000F35ED"/>
    <w:rsid w:val="000F5101"/>
    <w:rsid w:val="00107131"/>
    <w:rsid w:val="0010736F"/>
    <w:rsid w:val="00111A8A"/>
    <w:rsid w:val="00113F73"/>
    <w:rsid w:val="00121CC2"/>
    <w:rsid w:val="00126373"/>
    <w:rsid w:val="00127AF2"/>
    <w:rsid w:val="00127B2C"/>
    <w:rsid w:val="00131D8B"/>
    <w:rsid w:val="00133EE5"/>
    <w:rsid w:val="00136E3D"/>
    <w:rsid w:val="00143EFE"/>
    <w:rsid w:val="001479C0"/>
    <w:rsid w:val="0015330B"/>
    <w:rsid w:val="00160299"/>
    <w:rsid w:val="00162797"/>
    <w:rsid w:val="00167A34"/>
    <w:rsid w:val="001761CF"/>
    <w:rsid w:val="00177EEF"/>
    <w:rsid w:val="001811F7"/>
    <w:rsid w:val="00187378"/>
    <w:rsid w:val="00187408"/>
    <w:rsid w:val="0019517D"/>
    <w:rsid w:val="001A7870"/>
    <w:rsid w:val="001B2709"/>
    <w:rsid w:val="001B36D5"/>
    <w:rsid w:val="001B3A00"/>
    <w:rsid w:val="001B5141"/>
    <w:rsid w:val="001C1B41"/>
    <w:rsid w:val="001C22CD"/>
    <w:rsid w:val="001C6E86"/>
    <w:rsid w:val="001C77FC"/>
    <w:rsid w:val="001D65EF"/>
    <w:rsid w:val="001E0500"/>
    <w:rsid w:val="001E419E"/>
    <w:rsid w:val="001E49E7"/>
    <w:rsid w:val="001F271B"/>
    <w:rsid w:val="001F7201"/>
    <w:rsid w:val="00201E85"/>
    <w:rsid w:val="00202B0A"/>
    <w:rsid w:val="00202C77"/>
    <w:rsid w:val="00203BD4"/>
    <w:rsid w:val="00204931"/>
    <w:rsid w:val="00214755"/>
    <w:rsid w:val="002155A7"/>
    <w:rsid w:val="00223A29"/>
    <w:rsid w:val="002250A3"/>
    <w:rsid w:val="00231294"/>
    <w:rsid w:val="00235217"/>
    <w:rsid w:val="00235741"/>
    <w:rsid w:val="00241BF2"/>
    <w:rsid w:val="002441DA"/>
    <w:rsid w:val="0024534C"/>
    <w:rsid w:val="00246D1F"/>
    <w:rsid w:val="00246F35"/>
    <w:rsid w:val="00247403"/>
    <w:rsid w:val="00247542"/>
    <w:rsid w:val="00260F5B"/>
    <w:rsid w:val="00266B61"/>
    <w:rsid w:val="0026712A"/>
    <w:rsid w:val="002704DB"/>
    <w:rsid w:val="00274BF4"/>
    <w:rsid w:val="00277BDA"/>
    <w:rsid w:val="00281B8D"/>
    <w:rsid w:val="00285743"/>
    <w:rsid w:val="002932CC"/>
    <w:rsid w:val="0029575A"/>
    <w:rsid w:val="002A0AAE"/>
    <w:rsid w:val="002A304F"/>
    <w:rsid w:val="002A3053"/>
    <w:rsid w:val="002A5820"/>
    <w:rsid w:val="002B2C87"/>
    <w:rsid w:val="002C3350"/>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C95"/>
    <w:rsid w:val="00351155"/>
    <w:rsid w:val="00351B9E"/>
    <w:rsid w:val="00355316"/>
    <w:rsid w:val="003558D2"/>
    <w:rsid w:val="00356185"/>
    <w:rsid w:val="00360380"/>
    <w:rsid w:val="00361EFF"/>
    <w:rsid w:val="00362393"/>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160C"/>
    <w:rsid w:val="003C2531"/>
    <w:rsid w:val="003C59E4"/>
    <w:rsid w:val="003C676B"/>
    <w:rsid w:val="003D0A55"/>
    <w:rsid w:val="003D225D"/>
    <w:rsid w:val="003D3BC2"/>
    <w:rsid w:val="003D5EA8"/>
    <w:rsid w:val="003E1AD8"/>
    <w:rsid w:val="003E673E"/>
    <w:rsid w:val="003E6CA1"/>
    <w:rsid w:val="003E6D8B"/>
    <w:rsid w:val="003F2A8F"/>
    <w:rsid w:val="004015D9"/>
    <w:rsid w:val="00405929"/>
    <w:rsid w:val="004065A8"/>
    <w:rsid w:val="004165C2"/>
    <w:rsid w:val="00416A7F"/>
    <w:rsid w:val="00417C80"/>
    <w:rsid w:val="00421739"/>
    <w:rsid w:val="00422DA9"/>
    <w:rsid w:val="00423172"/>
    <w:rsid w:val="004304AD"/>
    <w:rsid w:val="00432B8C"/>
    <w:rsid w:val="00441ECB"/>
    <w:rsid w:val="00445193"/>
    <w:rsid w:val="00447333"/>
    <w:rsid w:val="00447CCF"/>
    <w:rsid w:val="004514D6"/>
    <w:rsid w:val="00454B04"/>
    <w:rsid w:val="004565BA"/>
    <w:rsid w:val="0045707F"/>
    <w:rsid w:val="00462C1B"/>
    <w:rsid w:val="00467B7E"/>
    <w:rsid w:val="0047127C"/>
    <w:rsid w:val="00473BB4"/>
    <w:rsid w:val="00477592"/>
    <w:rsid w:val="004810C1"/>
    <w:rsid w:val="00484D16"/>
    <w:rsid w:val="00486F1C"/>
    <w:rsid w:val="0049419D"/>
    <w:rsid w:val="004A59CC"/>
    <w:rsid w:val="004A6A54"/>
    <w:rsid w:val="004A6EF1"/>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F6D03"/>
    <w:rsid w:val="00501399"/>
    <w:rsid w:val="00501652"/>
    <w:rsid w:val="0050633D"/>
    <w:rsid w:val="00507BC4"/>
    <w:rsid w:val="005128E4"/>
    <w:rsid w:val="005133DB"/>
    <w:rsid w:val="00520703"/>
    <w:rsid w:val="005229A4"/>
    <w:rsid w:val="00525560"/>
    <w:rsid w:val="005328A7"/>
    <w:rsid w:val="005415E6"/>
    <w:rsid w:val="00541D91"/>
    <w:rsid w:val="00544216"/>
    <w:rsid w:val="00544C49"/>
    <w:rsid w:val="005516A1"/>
    <w:rsid w:val="0055456A"/>
    <w:rsid w:val="00560CE3"/>
    <w:rsid w:val="00562FAB"/>
    <w:rsid w:val="00563557"/>
    <w:rsid w:val="005674B7"/>
    <w:rsid w:val="00567A1A"/>
    <w:rsid w:val="0057402A"/>
    <w:rsid w:val="00574881"/>
    <w:rsid w:val="00574CB7"/>
    <w:rsid w:val="005753FB"/>
    <w:rsid w:val="0057566F"/>
    <w:rsid w:val="00576A70"/>
    <w:rsid w:val="005771D0"/>
    <w:rsid w:val="00580148"/>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B98"/>
    <w:rsid w:val="005F4E06"/>
    <w:rsid w:val="00600DEB"/>
    <w:rsid w:val="00601DD9"/>
    <w:rsid w:val="0060313F"/>
    <w:rsid w:val="00623420"/>
    <w:rsid w:val="006277DE"/>
    <w:rsid w:val="00627C9F"/>
    <w:rsid w:val="006311E9"/>
    <w:rsid w:val="00632354"/>
    <w:rsid w:val="00642810"/>
    <w:rsid w:val="00647756"/>
    <w:rsid w:val="006509DA"/>
    <w:rsid w:val="006519B7"/>
    <w:rsid w:val="00652333"/>
    <w:rsid w:val="00660AE7"/>
    <w:rsid w:val="00662B2C"/>
    <w:rsid w:val="0068009E"/>
    <w:rsid w:val="006819E9"/>
    <w:rsid w:val="00686471"/>
    <w:rsid w:val="00690AAB"/>
    <w:rsid w:val="00691BBE"/>
    <w:rsid w:val="00692219"/>
    <w:rsid w:val="006A17D2"/>
    <w:rsid w:val="006A3AE4"/>
    <w:rsid w:val="006A4D5D"/>
    <w:rsid w:val="006A5C49"/>
    <w:rsid w:val="006A70DA"/>
    <w:rsid w:val="006A73E6"/>
    <w:rsid w:val="006B2D5C"/>
    <w:rsid w:val="006C4EB1"/>
    <w:rsid w:val="006C7AE8"/>
    <w:rsid w:val="006E0166"/>
    <w:rsid w:val="006E4FDC"/>
    <w:rsid w:val="006E7B34"/>
    <w:rsid w:val="006F2F1D"/>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53794"/>
    <w:rsid w:val="007570CD"/>
    <w:rsid w:val="0076643F"/>
    <w:rsid w:val="007751BE"/>
    <w:rsid w:val="00777F63"/>
    <w:rsid w:val="00781854"/>
    <w:rsid w:val="007852B5"/>
    <w:rsid w:val="007941B3"/>
    <w:rsid w:val="007A2F19"/>
    <w:rsid w:val="007A5817"/>
    <w:rsid w:val="007A7945"/>
    <w:rsid w:val="007B05C4"/>
    <w:rsid w:val="007B0A00"/>
    <w:rsid w:val="007B35F8"/>
    <w:rsid w:val="007B60E9"/>
    <w:rsid w:val="007B6CC3"/>
    <w:rsid w:val="007C3334"/>
    <w:rsid w:val="007C402A"/>
    <w:rsid w:val="007C5911"/>
    <w:rsid w:val="007D2B98"/>
    <w:rsid w:val="007D4106"/>
    <w:rsid w:val="007D7C02"/>
    <w:rsid w:val="007E21BC"/>
    <w:rsid w:val="007E3A8D"/>
    <w:rsid w:val="007E58FE"/>
    <w:rsid w:val="007E7C82"/>
    <w:rsid w:val="007F588D"/>
    <w:rsid w:val="00802748"/>
    <w:rsid w:val="00803F1C"/>
    <w:rsid w:val="0080600E"/>
    <w:rsid w:val="00806FBB"/>
    <w:rsid w:val="00817612"/>
    <w:rsid w:val="0082682E"/>
    <w:rsid w:val="008338A4"/>
    <w:rsid w:val="00834D49"/>
    <w:rsid w:val="00836A5A"/>
    <w:rsid w:val="00836D82"/>
    <w:rsid w:val="00837C45"/>
    <w:rsid w:val="008411F0"/>
    <w:rsid w:val="00844730"/>
    <w:rsid w:val="008457C2"/>
    <w:rsid w:val="00845EF6"/>
    <w:rsid w:val="00854BC5"/>
    <w:rsid w:val="008561B9"/>
    <w:rsid w:val="00856ECA"/>
    <w:rsid w:val="00857A82"/>
    <w:rsid w:val="00870539"/>
    <w:rsid w:val="00871526"/>
    <w:rsid w:val="00873836"/>
    <w:rsid w:val="00875A9E"/>
    <w:rsid w:val="008778AD"/>
    <w:rsid w:val="00882969"/>
    <w:rsid w:val="00885737"/>
    <w:rsid w:val="00890650"/>
    <w:rsid w:val="0089300F"/>
    <w:rsid w:val="00895E19"/>
    <w:rsid w:val="00897E12"/>
    <w:rsid w:val="008A0F81"/>
    <w:rsid w:val="008A1997"/>
    <w:rsid w:val="008A7E0F"/>
    <w:rsid w:val="008B12F5"/>
    <w:rsid w:val="008B5932"/>
    <w:rsid w:val="008C10F1"/>
    <w:rsid w:val="008C5751"/>
    <w:rsid w:val="008D768D"/>
    <w:rsid w:val="008E328A"/>
    <w:rsid w:val="008E3759"/>
    <w:rsid w:val="008E3BFE"/>
    <w:rsid w:val="008E64ED"/>
    <w:rsid w:val="008E6959"/>
    <w:rsid w:val="008E7900"/>
    <w:rsid w:val="008F1912"/>
    <w:rsid w:val="0090270B"/>
    <w:rsid w:val="009041DC"/>
    <w:rsid w:val="0091381C"/>
    <w:rsid w:val="00917B5A"/>
    <w:rsid w:val="00920874"/>
    <w:rsid w:val="00920A58"/>
    <w:rsid w:val="00920A8C"/>
    <w:rsid w:val="00934A2C"/>
    <w:rsid w:val="00935F06"/>
    <w:rsid w:val="00936942"/>
    <w:rsid w:val="00937B3A"/>
    <w:rsid w:val="00941B3B"/>
    <w:rsid w:val="00943C8E"/>
    <w:rsid w:val="00954B82"/>
    <w:rsid w:val="0095500C"/>
    <w:rsid w:val="00962436"/>
    <w:rsid w:val="0096706E"/>
    <w:rsid w:val="00967678"/>
    <w:rsid w:val="00974491"/>
    <w:rsid w:val="00975C4E"/>
    <w:rsid w:val="00981FBA"/>
    <w:rsid w:val="00996D90"/>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691C"/>
    <w:rsid w:val="00A11E44"/>
    <w:rsid w:val="00A145B6"/>
    <w:rsid w:val="00A16B7B"/>
    <w:rsid w:val="00A22397"/>
    <w:rsid w:val="00A26886"/>
    <w:rsid w:val="00A328B3"/>
    <w:rsid w:val="00A50FCF"/>
    <w:rsid w:val="00A528D1"/>
    <w:rsid w:val="00A56BD1"/>
    <w:rsid w:val="00A610CD"/>
    <w:rsid w:val="00A62508"/>
    <w:rsid w:val="00A625E0"/>
    <w:rsid w:val="00A74947"/>
    <w:rsid w:val="00A758AA"/>
    <w:rsid w:val="00A800EA"/>
    <w:rsid w:val="00A82C5D"/>
    <w:rsid w:val="00A8681B"/>
    <w:rsid w:val="00A93FE6"/>
    <w:rsid w:val="00A97404"/>
    <w:rsid w:val="00AA04D9"/>
    <w:rsid w:val="00AA09A2"/>
    <w:rsid w:val="00AA1FC9"/>
    <w:rsid w:val="00AA247F"/>
    <w:rsid w:val="00AA45EE"/>
    <w:rsid w:val="00AA6515"/>
    <w:rsid w:val="00AA7996"/>
    <w:rsid w:val="00AB2701"/>
    <w:rsid w:val="00AB39E7"/>
    <w:rsid w:val="00AC19CB"/>
    <w:rsid w:val="00AC49BB"/>
    <w:rsid w:val="00AC55B0"/>
    <w:rsid w:val="00AC6154"/>
    <w:rsid w:val="00AD1886"/>
    <w:rsid w:val="00AE5488"/>
    <w:rsid w:val="00AE6F91"/>
    <w:rsid w:val="00AE7F18"/>
    <w:rsid w:val="00AF05D4"/>
    <w:rsid w:val="00AF0F3D"/>
    <w:rsid w:val="00AF4C02"/>
    <w:rsid w:val="00AF5571"/>
    <w:rsid w:val="00AF6D17"/>
    <w:rsid w:val="00B02959"/>
    <w:rsid w:val="00B06B4E"/>
    <w:rsid w:val="00B07341"/>
    <w:rsid w:val="00B16B79"/>
    <w:rsid w:val="00B202B5"/>
    <w:rsid w:val="00B30539"/>
    <w:rsid w:val="00B314DB"/>
    <w:rsid w:val="00B31FAB"/>
    <w:rsid w:val="00B361F2"/>
    <w:rsid w:val="00B3718B"/>
    <w:rsid w:val="00B37ED8"/>
    <w:rsid w:val="00B42859"/>
    <w:rsid w:val="00B4632A"/>
    <w:rsid w:val="00B5067D"/>
    <w:rsid w:val="00B530F1"/>
    <w:rsid w:val="00B56DA5"/>
    <w:rsid w:val="00B736AF"/>
    <w:rsid w:val="00B82FC6"/>
    <w:rsid w:val="00B97946"/>
    <w:rsid w:val="00BA276C"/>
    <w:rsid w:val="00BA5544"/>
    <w:rsid w:val="00BB1B05"/>
    <w:rsid w:val="00BB306F"/>
    <w:rsid w:val="00BB3FBD"/>
    <w:rsid w:val="00BB709A"/>
    <w:rsid w:val="00BC6CD0"/>
    <w:rsid w:val="00BD2D61"/>
    <w:rsid w:val="00BD4B89"/>
    <w:rsid w:val="00BD5922"/>
    <w:rsid w:val="00BD76D9"/>
    <w:rsid w:val="00BF02CB"/>
    <w:rsid w:val="00BF514A"/>
    <w:rsid w:val="00BF6FD8"/>
    <w:rsid w:val="00BF775D"/>
    <w:rsid w:val="00C03680"/>
    <w:rsid w:val="00C054DF"/>
    <w:rsid w:val="00C10AFC"/>
    <w:rsid w:val="00C21562"/>
    <w:rsid w:val="00C21762"/>
    <w:rsid w:val="00C21FEF"/>
    <w:rsid w:val="00C2229D"/>
    <w:rsid w:val="00C24543"/>
    <w:rsid w:val="00C256A2"/>
    <w:rsid w:val="00C35A26"/>
    <w:rsid w:val="00C46104"/>
    <w:rsid w:val="00C51515"/>
    <w:rsid w:val="00C53910"/>
    <w:rsid w:val="00C5660B"/>
    <w:rsid w:val="00C56854"/>
    <w:rsid w:val="00C5788A"/>
    <w:rsid w:val="00C66B72"/>
    <w:rsid w:val="00C66E45"/>
    <w:rsid w:val="00C67F47"/>
    <w:rsid w:val="00C7589C"/>
    <w:rsid w:val="00C764E1"/>
    <w:rsid w:val="00C87AC4"/>
    <w:rsid w:val="00C938F8"/>
    <w:rsid w:val="00C9567A"/>
    <w:rsid w:val="00CA48A3"/>
    <w:rsid w:val="00CA4B0E"/>
    <w:rsid w:val="00CB212D"/>
    <w:rsid w:val="00CB2660"/>
    <w:rsid w:val="00CB4D27"/>
    <w:rsid w:val="00CB52EB"/>
    <w:rsid w:val="00CC3E13"/>
    <w:rsid w:val="00CC5DE9"/>
    <w:rsid w:val="00CC5E90"/>
    <w:rsid w:val="00CC6DEA"/>
    <w:rsid w:val="00CC6E35"/>
    <w:rsid w:val="00CC7E94"/>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60F3"/>
    <w:rsid w:val="00D461AB"/>
    <w:rsid w:val="00D47A8E"/>
    <w:rsid w:val="00D51BDD"/>
    <w:rsid w:val="00D52D14"/>
    <w:rsid w:val="00D55256"/>
    <w:rsid w:val="00D5551D"/>
    <w:rsid w:val="00D62438"/>
    <w:rsid w:val="00D63926"/>
    <w:rsid w:val="00D64647"/>
    <w:rsid w:val="00D712D3"/>
    <w:rsid w:val="00D71422"/>
    <w:rsid w:val="00D72DC6"/>
    <w:rsid w:val="00D73A49"/>
    <w:rsid w:val="00D73F5E"/>
    <w:rsid w:val="00D7558D"/>
    <w:rsid w:val="00D77503"/>
    <w:rsid w:val="00D81D92"/>
    <w:rsid w:val="00D84E64"/>
    <w:rsid w:val="00D876F9"/>
    <w:rsid w:val="00D877B6"/>
    <w:rsid w:val="00DA009E"/>
    <w:rsid w:val="00DA7B5F"/>
    <w:rsid w:val="00DB20DA"/>
    <w:rsid w:val="00DB34CD"/>
    <w:rsid w:val="00DB3D5F"/>
    <w:rsid w:val="00DC11E7"/>
    <w:rsid w:val="00DC3CAB"/>
    <w:rsid w:val="00DC46AF"/>
    <w:rsid w:val="00DC7023"/>
    <w:rsid w:val="00DC769A"/>
    <w:rsid w:val="00DD3D86"/>
    <w:rsid w:val="00DD3F6C"/>
    <w:rsid w:val="00DD619C"/>
    <w:rsid w:val="00DE12F0"/>
    <w:rsid w:val="00DE32FE"/>
    <w:rsid w:val="00DE6C92"/>
    <w:rsid w:val="00DF1EC4"/>
    <w:rsid w:val="00DF295D"/>
    <w:rsid w:val="00DF2C49"/>
    <w:rsid w:val="00E01943"/>
    <w:rsid w:val="00E0340B"/>
    <w:rsid w:val="00E04A90"/>
    <w:rsid w:val="00E0551F"/>
    <w:rsid w:val="00E062AE"/>
    <w:rsid w:val="00E170D0"/>
    <w:rsid w:val="00E219C7"/>
    <w:rsid w:val="00E23117"/>
    <w:rsid w:val="00E23198"/>
    <w:rsid w:val="00E26CCA"/>
    <w:rsid w:val="00E31586"/>
    <w:rsid w:val="00E4118C"/>
    <w:rsid w:val="00E43157"/>
    <w:rsid w:val="00E461CE"/>
    <w:rsid w:val="00E479A2"/>
    <w:rsid w:val="00E50345"/>
    <w:rsid w:val="00E55DFC"/>
    <w:rsid w:val="00E70EF2"/>
    <w:rsid w:val="00E720CA"/>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24BF"/>
    <w:rsid w:val="00F157A3"/>
    <w:rsid w:val="00F20214"/>
    <w:rsid w:val="00F21A08"/>
    <w:rsid w:val="00F25323"/>
    <w:rsid w:val="00F253CC"/>
    <w:rsid w:val="00F332EF"/>
    <w:rsid w:val="00F37106"/>
    <w:rsid w:val="00F40618"/>
    <w:rsid w:val="00F42E88"/>
    <w:rsid w:val="00F4378E"/>
    <w:rsid w:val="00F50554"/>
    <w:rsid w:val="00F519CF"/>
    <w:rsid w:val="00F56BA5"/>
    <w:rsid w:val="00F5774E"/>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62CF"/>
    <w:rsid w:val="00FB74DE"/>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08556E"/>
    <w:rsid w:val="00183B6F"/>
    <w:rsid w:val="001C40BF"/>
    <w:rsid w:val="00200821"/>
    <w:rsid w:val="002468A0"/>
    <w:rsid w:val="00286414"/>
    <w:rsid w:val="002C698B"/>
    <w:rsid w:val="002E6F38"/>
    <w:rsid w:val="002F2141"/>
    <w:rsid w:val="00394049"/>
    <w:rsid w:val="003B3016"/>
    <w:rsid w:val="00461F91"/>
    <w:rsid w:val="004F2DF8"/>
    <w:rsid w:val="005B055E"/>
    <w:rsid w:val="005B6D86"/>
    <w:rsid w:val="005D3162"/>
    <w:rsid w:val="005F168B"/>
    <w:rsid w:val="005F72A0"/>
    <w:rsid w:val="006E2B51"/>
    <w:rsid w:val="0075404D"/>
    <w:rsid w:val="008B131D"/>
    <w:rsid w:val="008E3184"/>
    <w:rsid w:val="00942213"/>
    <w:rsid w:val="0097453C"/>
    <w:rsid w:val="00977110"/>
    <w:rsid w:val="009A1B5A"/>
    <w:rsid w:val="009A261B"/>
    <w:rsid w:val="00A311DF"/>
    <w:rsid w:val="00A86042"/>
    <w:rsid w:val="00AA67AB"/>
    <w:rsid w:val="00AC15A4"/>
    <w:rsid w:val="00B0336C"/>
    <w:rsid w:val="00B45959"/>
    <w:rsid w:val="00BD5B4D"/>
    <w:rsid w:val="00C11833"/>
    <w:rsid w:val="00C35D17"/>
    <w:rsid w:val="00C56634"/>
    <w:rsid w:val="00C64484"/>
    <w:rsid w:val="00C72C46"/>
    <w:rsid w:val="00CC1166"/>
    <w:rsid w:val="00D1626E"/>
    <w:rsid w:val="00D46351"/>
    <w:rsid w:val="00D55AA6"/>
    <w:rsid w:val="00D73C04"/>
    <w:rsid w:val="00D84C02"/>
    <w:rsid w:val="00DD65ED"/>
    <w:rsid w:val="00E02BDB"/>
    <w:rsid w:val="00E77140"/>
    <w:rsid w:val="00E907ED"/>
    <w:rsid w:val="00E96FD4"/>
    <w:rsid w:val="00EC5ECB"/>
    <w:rsid w:val="00EC7B7B"/>
    <w:rsid w:val="00EE133D"/>
    <w:rsid w:val="00EE5A1E"/>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A184-AD2A-4E87-86C9-8F9CE0E5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150/20</dc:title>
  <dc:creator/>
  <cp:lastModifiedBy/>
  <cp:revision>1</cp:revision>
  <dcterms:created xsi:type="dcterms:W3CDTF">2020-07-22T12:21:00Z</dcterms:created>
  <dcterms:modified xsi:type="dcterms:W3CDTF">2020-07-22T12:21:00Z</dcterms:modified>
</cp:coreProperties>
</file>