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F4CE6" w14:textId="77777777" w:rsidR="00040C3A" w:rsidRPr="007607D3" w:rsidRDefault="00D306D1" w:rsidP="00627C9F">
      <w:pPr>
        <w:jc w:val="both"/>
        <w:rPr>
          <w:rFonts w:asciiTheme="majorHAnsi" w:hAnsiTheme="majorHAnsi" w:cs="Univers"/>
          <w:b/>
          <w:bCs/>
          <w:sz w:val="22"/>
          <w:szCs w:val="22"/>
          <w:lang w:val="es-ES_tradnl"/>
        </w:rPr>
      </w:pPr>
      <w:r w:rsidRPr="007607D3">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0C302FC" wp14:editId="5456288E">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1D8B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7607D3">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85EB378" wp14:editId="3417C66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A0AA33" w14:textId="77777777" w:rsidR="009D3775" w:rsidRDefault="009D3775" w:rsidP="00AE5488">
                            <w:r>
                              <w:rPr>
                                <w:noProof/>
                              </w:rPr>
                              <w:drawing>
                                <wp:inline distT="0" distB="0" distL="0" distR="0" wp14:anchorId="055591DD" wp14:editId="3EC971C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EB37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8A0AA33" w14:textId="77777777" w:rsidR="009D3775" w:rsidRDefault="009D3775" w:rsidP="00AE5488">
                      <w:r>
                        <w:rPr>
                          <w:noProof/>
                        </w:rPr>
                        <w:drawing>
                          <wp:inline distT="0" distB="0" distL="0" distR="0" wp14:anchorId="055591DD" wp14:editId="3EC971C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2145FE7B" w14:textId="77777777" w:rsidR="00040C3A" w:rsidRPr="007607D3" w:rsidRDefault="00040C3A" w:rsidP="00040C3A">
      <w:pPr>
        <w:tabs>
          <w:tab w:val="center" w:pos="5400"/>
        </w:tabs>
        <w:suppressAutoHyphens/>
        <w:jc w:val="both"/>
        <w:rPr>
          <w:rFonts w:asciiTheme="majorHAnsi" w:hAnsiTheme="majorHAnsi"/>
          <w:sz w:val="22"/>
          <w:szCs w:val="22"/>
          <w:lang w:val="es-ES"/>
        </w:rPr>
      </w:pPr>
    </w:p>
    <w:p w14:paraId="15406FF4" w14:textId="77777777" w:rsidR="00040C3A" w:rsidRPr="007607D3" w:rsidRDefault="00040C3A" w:rsidP="00040C3A">
      <w:pPr>
        <w:tabs>
          <w:tab w:val="center" w:pos="5400"/>
        </w:tabs>
        <w:suppressAutoHyphens/>
        <w:jc w:val="both"/>
        <w:rPr>
          <w:rFonts w:asciiTheme="majorHAnsi" w:hAnsiTheme="majorHAnsi"/>
          <w:sz w:val="22"/>
          <w:szCs w:val="22"/>
          <w:lang w:val="es-ES"/>
        </w:rPr>
      </w:pPr>
    </w:p>
    <w:p w14:paraId="6413B11D" w14:textId="77777777" w:rsidR="005128E4" w:rsidRPr="007607D3" w:rsidRDefault="005128E4" w:rsidP="00040C3A">
      <w:pPr>
        <w:tabs>
          <w:tab w:val="center" w:pos="5400"/>
        </w:tabs>
        <w:suppressAutoHyphens/>
        <w:rPr>
          <w:rFonts w:asciiTheme="majorHAnsi" w:hAnsiTheme="majorHAnsi"/>
          <w:sz w:val="22"/>
          <w:szCs w:val="22"/>
          <w:lang w:val="es-ES_tradnl"/>
        </w:rPr>
      </w:pPr>
    </w:p>
    <w:p w14:paraId="627E9EB1" w14:textId="77777777" w:rsidR="005128E4" w:rsidRPr="007607D3" w:rsidRDefault="005128E4" w:rsidP="00040C3A">
      <w:pPr>
        <w:tabs>
          <w:tab w:val="center" w:pos="5400"/>
        </w:tabs>
        <w:suppressAutoHyphens/>
        <w:rPr>
          <w:rFonts w:asciiTheme="majorHAnsi" w:hAnsiTheme="majorHAnsi"/>
          <w:sz w:val="22"/>
          <w:szCs w:val="22"/>
          <w:lang w:val="es-ES_tradnl"/>
        </w:rPr>
      </w:pPr>
    </w:p>
    <w:p w14:paraId="2E9AE17D" w14:textId="77777777" w:rsidR="005128E4" w:rsidRPr="007607D3" w:rsidRDefault="005128E4" w:rsidP="00040C3A">
      <w:pPr>
        <w:tabs>
          <w:tab w:val="center" w:pos="5400"/>
        </w:tabs>
        <w:suppressAutoHyphens/>
        <w:rPr>
          <w:rFonts w:asciiTheme="majorHAnsi" w:hAnsiTheme="majorHAnsi"/>
          <w:sz w:val="22"/>
          <w:szCs w:val="22"/>
          <w:lang w:val="es-ES_tradnl"/>
        </w:rPr>
      </w:pPr>
    </w:p>
    <w:p w14:paraId="06C9558D" w14:textId="77777777" w:rsidR="00040C3A" w:rsidRPr="007607D3" w:rsidRDefault="00040C3A" w:rsidP="005128E4">
      <w:pPr>
        <w:tabs>
          <w:tab w:val="center" w:pos="5400"/>
        </w:tabs>
        <w:suppressAutoHyphens/>
        <w:jc w:val="center"/>
        <w:rPr>
          <w:rFonts w:asciiTheme="majorHAnsi" w:hAnsiTheme="majorHAnsi"/>
          <w:sz w:val="22"/>
          <w:szCs w:val="22"/>
          <w:lang w:val="es-ES_tradnl"/>
        </w:rPr>
      </w:pPr>
    </w:p>
    <w:p w14:paraId="74E3AD3B" w14:textId="77777777" w:rsidR="00040C3A" w:rsidRPr="007607D3" w:rsidRDefault="00040C3A" w:rsidP="005128E4">
      <w:pPr>
        <w:tabs>
          <w:tab w:val="center" w:pos="5400"/>
        </w:tabs>
        <w:suppressAutoHyphens/>
        <w:jc w:val="center"/>
        <w:rPr>
          <w:rFonts w:asciiTheme="majorHAnsi" w:hAnsiTheme="majorHAnsi"/>
          <w:sz w:val="22"/>
          <w:szCs w:val="22"/>
          <w:lang w:val="es-ES_tradnl"/>
        </w:rPr>
      </w:pPr>
    </w:p>
    <w:p w14:paraId="5D799450" w14:textId="77777777" w:rsidR="005B52B0" w:rsidRPr="007607D3" w:rsidRDefault="005B52B0" w:rsidP="005128E4">
      <w:pPr>
        <w:tabs>
          <w:tab w:val="center" w:pos="5400"/>
        </w:tabs>
        <w:suppressAutoHyphens/>
        <w:jc w:val="center"/>
        <w:rPr>
          <w:rFonts w:asciiTheme="majorHAnsi" w:hAnsiTheme="majorHAnsi"/>
          <w:sz w:val="22"/>
          <w:szCs w:val="22"/>
          <w:lang w:val="es-ES_tradnl"/>
        </w:rPr>
      </w:pPr>
    </w:p>
    <w:p w14:paraId="1C3B9FD9" w14:textId="77777777" w:rsidR="005B52B0" w:rsidRPr="007607D3" w:rsidRDefault="005B52B0" w:rsidP="005128E4">
      <w:pPr>
        <w:tabs>
          <w:tab w:val="center" w:pos="5400"/>
        </w:tabs>
        <w:suppressAutoHyphens/>
        <w:jc w:val="center"/>
        <w:rPr>
          <w:rFonts w:asciiTheme="majorHAnsi" w:hAnsiTheme="majorHAnsi"/>
          <w:sz w:val="22"/>
          <w:szCs w:val="22"/>
          <w:lang w:val="es-ES_tradnl"/>
        </w:rPr>
      </w:pPr>
    </w:p>
    <w:p w14:paraId="3670190E" w14:textId="77777777" w:rsidR="005B52B0" w:rsidRPr="007607D3" w:rsidRDefault="005B52B0" w:rsidP="005128E4">
      <w:pPr>
        <w:tabs>
          <w:tab w:val="center" w:pos="5400"/>
        </w:tabs>
        <w:suppressAutoHyphens/>
        <w:jc w:val="center"/>
        <w:rPr>
          <w:rFonts w:asciiTheme="majorHAnsi" w:hAnsiTheme="majorHAnsi"/>
          <w:sz w:val="22"/>
          <w:szCs w:val="22"/>
          <w:lang w:val="es-ES_tradnl"/>
        </w:rPr>
      </w:pPr>
    </w:p>
    <w:p w14:paraId="057E0408" w14:textId="77777777" w:rsidR="00040C3A" w:rsidRPr="007607D3" w:rsidRDefault="00040C3A" w:rsidP="00040C3A">
      <w:pPr>
        <w:tabs>
          <w:tab w:val="center" w:pos="5400"/>
        </w:tabs>
        <w:suppressAutoHyphens/>
        <w:jc w:val="center"/>
        <w:rPr>
          <w:rFonts w:asciiTheme="majorHAnsi" w:hAnsiTheme="majorHAnsi"/>
          <w:sz w:val="22"/>
          <w:szCs w:val="22"/>
          <w:lang w:val="es-ES_tradnl"/>
        </w:rPr>
      </w:pPr>
    </w:p>
    <w:p w14:paraId="4E6D677E" w14:textId="77777777" w:rsidR="00040C3A" w:rsidRPr="007607D3" w:rsidRDefault="00040C3A" w:rsidP="00040C3A">
      <w:pPr>
        <w:tabs>
          <w:tab w:val="center" w:pos="5400"/>
        </w:tabs>
        <w:suppressAutoHyphens/>
        <w:jc w:val="center"/>
        <w:rPr>
          <w:rFonts w:asciiTheme="majorHAnsi" w:hAnsiTheme="majorHAnsi"/>
          <w:sz w:val="22"/>
          <w:szCs w:val="22"/>
          <w:lang w:val="es-ES_tradnl"/>
        </w:rPr>
      </w:pPr>
    </w:p>
    <w:p w14:paraId="56283CA4" w14:textId="77777777" w:rsidR="00040C3A" w:rsidRPr="007607D3" w:rsidRDefault="003D3BC2" w:rsidP="00040C3A">
      <w:pPr>
        <w:tabs>
          <w:tab w:val="center" w:pos="5400"/>
        </w:tabs>
        <w:suppressAutoHyphens/>
        <w:jc w:val="center"/>
        <w:rPr>
          <w:rFonts w:asciiTheme="majorHAnsi" w:hAnsiTheme="majorHAnsi"/>
          <w:sz w:val="22"/>
          <w:szCs w:val="22"/>
          <w:lang w:val="es-ES_tradnl"/>
        </w:rPr>
      </w:pPr>
      <w:r w:rsidRPr="007607D3">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F234605" wp14:editId="5741F72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C4FB56" w14:textId="28E1551F" w:rsidR="009D3775" w:rsidRPr="00E82D96" w:rsidRDefault="009D3775" w:rsidP="00997BC5">
                            <w:pPr>
                              <w:spacing w:line="276" w:lineRule="auto"/>
                              <w:rPr>
                                <w:rFonts w:asciiTheme="majorHAnsi" w:hAnsiTheme="majorHAnsi" w:cs="Arial"/>
                                <w:b/>
                                <w:bCs/>
                                <w:color w:val="0D0D0D" w:themeColor="text1" w:themeTint="F2"/>
                                <w:sz w:val="36"/>
                                <w:szCs w:val="22"/>
                                <w:lang w:val="es-VE"/>
                              </w:rPr>
                            </w:pPr>
                            <w:r w:rsidRPr="00E82D96">
                              <w:rPr>
                                <w:rFonts w:asciiTheme="majorHAnsi" w:hAnsiTheme="majorHAnsi" w:cs="Arial"/>
                                <w:b/>
                                <w:bCs/>
                                <w:color w:val="0D0D0D" w:themeColor="text1" w:themeTint="F2"/>
                                <w:sz w:val="36"/>
                                <w:szCs w:val="22"/>
                                <w:lang w:val="es-VE"/>
                              </w:rPr>
                              <w:t xml:space="preserve">INFORME </w:t>
                            </w:r>
                            <w:r w:rsidRPr="00E82D96">
                              <w:rPr>
                                <w:rFonts w:asciiTheme="majorHAnsi" w:hAnsiTheme="majorHAnsi" w:cs="Arial"/>
                                <w:b/>
                                <w:bCs/>
                                <w:color w:val="0D0D0D" w:themeColor="text1" w:themeTint="F2"/>
                                <w:sz w:val="36"/>
                                <w:szCs w:val="40"/>
                                <w:lang w:val="es-VE"/>
                              </w:rPr>
                              <w:t>No.</w:t>
                            </w:r>
                            <w:r w:rsidRPr="00E82D96">
                              <w:rPr>
                                <w:rFonts w:asciiTheme="majorHAnsi" w:hAnsiTheme="majorHAnsi" w:cs="Arial"/>
                                <w:b/>
                                <w:bCs/>
                                <w:color w:val="0D0D0D" w:themeColor="text1" w:themeTint="F2"/>
                                <w:sz w:val="36"/>
                                <w:szCs w:val="22"/>
                                <w:lang w:val="es-VE"/>
                              </w:rPr>
                              <w:t xml:space="preserve"> </w:t>
                            </w:r>
                            <w:r w:rsidR="00F43EEB">
                              <w:rPr>
                                <w:rFonts w:asciiTheme="majorHAnsi" w:hAnsiTheme="majorHAnsi" w:cs="Arial"/>
                                <w:b/>
                                <w:bCs/>
                                <w:color w:val="0D0D0D" w:themeColor="text1" w:themeTint="F2"/>
                                <w:sz w:val="36"/>
                                <w:szCs w:val="22"/>
                                <w:lang w:val="es-VE"/>
                              </w:rPr>
                              <w:t>31</w:t>
                            </w:r>
                            <w:r w:rsidRPr="00E82D96">
                              <w:rPr>
                                <w:rFonts w:asciiTheme="majorHAnsi" w:hAnsiTheme="majorHAnsi" w:cs="Arial"/>
                                <w:b/>
                                <w:bCs/>
                                <w:color w:val="0D0D0D" w:themeColor="text1" w:themeTint="F2"/>
                                <w:sz w:val="36"/>
                                <w:szCs w:val="22"/>
                                <w:lang w:val="es-VE"/>
                              </w:rPr>
                              <w:t>/</w:t>
                            </w:r>
                            <w:r w:rsidR="00F43EEB">
                              <w:rPr>
                                <w:rFonts w:asciiTheme="majorHAnsi" w:hAnsiTheme="majorHAnsi" w:cs="Arial"/>
                                <w:b/>
                                <w:bCs/>
                                <w:color w:val="0D0D0D" w:themeColor="text1" w:themeTint="F2"/>
                                <w:sz w:val="36"/>
                                <w:szCs w:val="22"/>
                                <w:lang w:val="es-VE"/>
                              </w:rPr>
                              <w:t>20</w:t>
                            </w:r>
                          </w:p>
                          <w:p w14:paraId="64EAC711" w14:textId="77777777" w:rsidR="009D3775" w:rsidRPr="00E82D96" w:rsidRDefault="009D3775" w:rsidP="00997BC5">
                            <w:pPr>
                              <w:spacing w:line="276" w:lineRule="auto"/>
                              <w:rPr>
                                <w:rFonts w:asciiTheme="majorHAnsi" w:hAnsiTheme="majorHAnsi" w:cs="Arial"/>
                                <w:b/>
                                <w:color w:val="0D0D0D" w:themeColor="text1" w:themeTint="F2"/>
                                <w:sz w:val="36"/>
                                <w:szCs w:val="22"/>
                                <w:lang w:val="es-VE"/>
                              </w:rPr>
                            </w:pPr>
                            <w:r w:rsidRPr="00E82D96">
                              <w:rPr>
                                <w:rFonts w:asciiTheme="majorHAnsi" w:hAnsiTheme="majorHAnsi" w:cs="Arial"/>
                                <w:b/>
                                <w:color w:val="0D0D0D" w:themeColor="text1" w:themeTint="F2"/>
                                <w:sz w:val="36"/>
                                <w:szCs w:val="22"/>
                                <w:lang w:val="es-VE"/>
                              </w:rPr>
                              <w:t>CASO 12.332</w:t>
                            </w:r>
                          </w:p>
                          <w:p w14:paraId="1DE3B331" w14:textId="77777777" w:rsidR="009D3775" w:rsidRPr="00E82D96" w:rsidRDefault="009D3775" w:rsidP="009765CF">
                            <w:pPr>
                              <w:spacing w:line="276" w:lineRule="auto"/>
                              <w:rPr>
                                <w:rFonts w:asciiTheme="majorHAnsi" w:hAnsiTheme="majorHAnsi" w:cs="Arial"/>
                                <w:color w:val="0D0D0D" w:themeColor="text1" w:themeTint="F2"/>
                                <w:szCs w:val="22"/>
                                <w:lang w:val="es-VE"/>
                              </w:rPr>
                            </w:pPr>
                            <w:r w:rsidRPr="00E82D96">
                              <w:rPr>
                                <w:rFonts w:asciiTheme="majorHAnsi" w:hAnsiTheme="majorHAnsi" w:cs="Arial"/>
                                <w:color w:val="0D0D0D" w:themeColor="text1" w:themeTint="F2"/>
                                <w:szCs w:val="22"/>
                                <w:lang w:val="es-VE"/>
                              </w:rPr>
                              <w:t>INFORME DE FONDO (PUBLICACI</w:t>
                            </w:r>
                            <w:r>
                              <w:rPr>
                                <w:rFonts w:asciiTheme="majorHAnsi" w:hAnsiTheme="majorHAnsi" w:cs="Arial"/>
                                <w:color w:val="0D0D0D" w:themeColor="text1" w:themeTint="F2"/>
                                <w:szCs w:val="22"/>
                                <w:lang w:val="es-VE"/>
                              </w:rPr>
                              <w:t>ÓN</w:t>
                            </w:r>
                            <w:r w:rsidRPr="00E82D96">
                              <w:rPr>
                                <w:rFonts w:asciiTheme="majorHAnsi" w:hAnsiTheme="majorHAnsi" w:cs="Arial"/>
                                <w:color w:val="0D0D0D" w:themeColor="text1" w:themeTint="F2"/>
                                <w:szCs w:val="22"/>
                                <w:lang w:val="es-VE"/>
                              </w:rPr>
                              <w:t>)</w:t>
                            </w:r>
                          </w:p>
                          <w:p w14:paraId="435E1460" w14:textId="77777777" w:rsidR="009D3775" w:rsidRPr="00E82D96" w:rsidRDefault="009D3775" w:rsidP="00997BC5">
                            <w:pPr>
                              <w:spacing w:line="276" w:lineRule="auto"/>
                              <w:rPr>
                                <w:rFonts w:asciiTheme="majorHAnsi" w:hAnsiTheme="majorHAnsi" w:cs="Arial"/>
                                <w:color w:val="0D0D0D" w:themeColor="text1" w:themeTint="F2"/>
                                <w:szCs w:val="22"/>
                                <w:lang w:val="es-VE"/>
                              </w:rPr>
                            </w:pPr>
                            <w:bookmarkStart w:id="0" w:name="_ftnref1"/>
                          </w:p>
                          <w:p w14:paraId="0B407BD9" w14:textId="77777777" w:rsidR="009D3775" w:rsidRPr="0071368B" w:rsidRDefault="009D3775" w:rsidP="00997BC5">
                            <w:pPr>
                              <w:spacing w:line="276" w:lineRule="auto"/>
                              <w:rPr>
                                <w:rFonts w:asciiTheme="majorHAnsi" w:hAnsiTheme="majorHAnsi" w:cs="Arial"/>
                                <w:color w:val="0D0D0D" w:themeColor="text1" w:themeTint="F2"/>
                                <w:szCs w:val="22"/>
                                <w:lang w:val="pt-BR"/>
                              </w:rPr>
                            </w:pPr>
                            <w:r w:rsidRPr="0071368B">
                              <w:rPr>
                                <w:rFonts w:asciiTheme="majorHAnsi" w:hAnsiTheme="majorHAnsi" w:cs="Arial"/>
                                <w:color w:val="0D0D0D" w:themeColor="text1" w:themeTint="F2"/>
                                <w:szCs w:val="22"/>
                                <w:lang w:val="pt-BR"/>
                              </w:rPr>
                              <w:t xml:space="preserve">MARGARIDA MARIA </w:t>
                            </w:r>
                            <w:r w:rsidRPr="006A5BAB">
                              <w:rPr>
                                <w:rFonts w:asciiTheme="majorHAnsi" w:hAnsiTheme="majorHAnsi" w:cs="Arial"/>
                                <w:color w:val="0D0D0D" w:themeColor="text1" w:themeTint="F2"/>
                                <w:szCs w:val="22"/>
                                <w:lang w:val="pt-BR"/>
                              </w:rPr>
                              <w:t>ALVES Y FAMILIARES</w:t>
                            </w:r>
                          </w:p>
                          <w:bookmarkEnd w:id="0"/>
                          <w:p w14:paraId="43DBE68F" w14:textId="77777777" w:rsidR="009D3775" w:rsidRPr="00E82D96" w:rsidRDefault="009D3775" w:rsidP="00997BC5">
                            <w:pPr>
                              <w:spacing w:line="276" w:lineRule="auto"/>
                              <w:rPr>
                                <w:rFonts w:asciiTheme="majorHAnsi" w:hAnsiTheme="majorHAnsi" w:cs="Arial"/>
                                <w:color w:val="0D0D0D" w:themeColor="text1" w:themeTint="F2"/>
                                <w:szCs w:val="22"/>
                                <w:lang w:val="pt-BR"/>
                              </w:rPr>
                            </w:pPr>
                            <w:r w:rsidRPr="00E82D96">
                              <w:rPr>
                                <w:rFonts w:asciiTheme="majorHAnsi" w:hAnsiTheme="majorHAnsi" w:cs="Arial"/>
                                <w:color w:val="0D0D0D" w:themeColor="text1" w:themeTint="F2"/>
                                <w:szCs w:val="22"/>
                                <w:lang w:val="pt-BR"/>
                              </w:rPr>
                              <w:t>BRASIL</w:t>
                            </w:r>
                          </w:p>
                          <w:p w14:paraId="6628D4AA" w14:textId="77777777" w:rsidR="009D3775" w:rsidRPr="00E82D96" w:rsidRDefault="009D3775"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3460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09C4FB56" w14:textId="28E1551F" w:rsidR="009D3775" w:rsidRPr="00E82D96" w:rsidRDefault="009D3775" w:rsidP="00997BC5">
                      <w:pPr>
                        <w:spacing w:line="276" w:lineRule="auto"/>
                        <w:rPr>
                          <w:rFonts w:asciiTheme="majorHAnsi" w:hAnsiTheme="majorHAnsi" w:cs="Arial"/>
                          <w:b/>
                          <w:bCs/>
                          <w:color w:val="0D0D0D" w:themeColor="text1" w:themeTint="F2"/>
                          <w:sz w:val="36"/>
                          <w:szCs w:val="22"/>
                          <w:lang w:val="es-VE"/>
                        </w:rPr>
                      </w:pPr>
                      <w:r w:rsidRPr="00E82D96">
                        <w:rPr>
                          <w:rFonts w:asciiTheme="majorHAnsi" w:hAnsiTheme="majorHAnsi" w:cs="Arial"/>
                          <w:b/>
                          <w:bCs/>
                          <w:color w:val="0D0D0D" w:themeColor="text1" w:themeTint="F2"/>
                          <w:sz w:val="36"/>
                          <w:szCs w:val="22"/>
                          <w:lang w:val="es-VE"/>
                        </w:rPr>
                        <w:t xml:space="preserve">INFORME </w:t>
                      </w:r>
                      <w:r w:rsidRPr="00E82D96">
                        <w:rPr>
                          <w:rFonts w:asciiTheme="majorHAnsi" w:hAnsiTheme="majorHAnsi" w:cs="Arial"/>
                          <w:b/>
                          <w:bCs/>
                          <w:color w:val="0D0D0D" w:themeColor="text1" w:themeTint="F2"/>
                          <w:sz w:val="36"/>
                          <w:szCs w:val="40"/>
                          <w:lang w:val="es-VE"/>
                        </w:rPr>
                        <w:t>No.</w:t>
                      </w:r>
                      <w:r w:rsidRPr="00E82D96">
                        <w:rPr>
                          <w:rFonts w:asciiTheme="majorHAnsi" w:hAnsiTheme="majorHAnsi" w:cs="Arial"/>
                          <w:b/>
                          <w:bCs/>
                          <w:color w:val="0D0D0D" w:themeColor="text1" w:themeTint="F2"/>
                          <w:sz w:val="36"/>
                          <w:szCs w:val="22"/>
                          <w:lang w:val="es-VE"/>
                        </w:rPr>
                        <w:t xml:space="preserve"> </w:t>
                      </w:r>
                      <w:r w:rsidR="00F43EEB">
                        <w:rPr>
                          <w:rFonts w:asciiTheme="majorHAnsi" w:hAnsiTheme="majorHAnsi" w:cs="Arial"/>
                          <w:b/>
                          <w:bCs/>
                          <w:color w:val="0D0D0D" w:themeColor="text1" w:themeTint="F2"/>
                          <w:sz w:val="36"/>
                          <w:szCs w:val="22"/>
                          <w:lang w:val="es-VE"/>
                        </w:rPr>
                        <w:t>31</w:t>
                      </w:r>
                      <w:r w:rsidRPr="00E82D96">
                        <w:rPr>
                          <w:rFonts w:asciiTheme="majorHAnsi" w:hAnsiTheme="majorHAnsi" w:cs="Arial"/>
                          <w:b/>
                          <w:bCs/>
                          <w:color w:val="0D0D0D" w:themeColor="text1" w:themeTint="F2"/>
                          <w:sz w:val="36"/>
                          <w:szCs w:val="22"/>
                          <w:lang w:val="es-VE"/>
                        </w:rPr>
                        <w:t>/</w:t>
                      </w:r>
                      <w:r w:rsidR="00F43EEB">
                        <w:rPr>
                          <w:rFonts w:asciiTheme="majorHAnsi" w:hAnsiTheme="majorHAnsi" w:cs="Arial"/>
                          <w:b/>
                          <w:bCs/>
                          <w:color w:val="0D0D0D" w:themeColor="text1" w:themeTint="F2"/>
                          <w:sz w:val="36"/>
                          <w:szCs w:val="22"/>
                          <w:lang w:val="es-VE"/>
                        </w:rPr>
                        <w:t>20</w:t>
                      </w:r>
                    </w:p>
                    <w:p w14:paraId="64EAC711" w14:textId="77777777" w:rsidR="009D3775" w:rsidRPr="00E82D96" w:rsidRDefault="009D3775" w:rsidP="00997BC5">
                      <w:pPr>
                        <w:spacing w:line="276" w:lineRule="auto"/>
                        <w:rPr>
                          <w:rFonts w:asciiTheme="majorHAnsi" w:hAnsiTheme="majorHAnsi" w:cs="Arial"/>
                          <w:b/>
                          <w:color w:val="0D0D0D" w:themeColor="text1" w:themeTint="F2"/>
                          <w:sz w:val="36"/>
                          <w:szCs w:val="22"/>
                          <w:lang w:val="es-VE"/>
                        </w:rPr>
                      </w:pPr>
                      <w:r w:rsidRPr="00E82D96">
                        <w:rPr>
                          <w:rFonts w:asciiTheme="majorHAnsi" w:hAnsiTheme="majorHAnsi" w:cs="Arial"/>
                          <w:b/>
                          <w:color w:val="0D0D0D" w:themeColor="text1" w:themeTint="F2"/>
                          <w:sz w:val="36"/>
                          <w:szCs w:val="22"/>
                          <w:lang w:val="es-VE"/>
                        </w:rPr>
                        <w:t>CASO 12.332</w:t>
                      </w:r>
                    </w:p>
                    <w:p w14:paraId="1DE3B331" w14:textId="77777777" w:rsidR="009D3775" w:rsidRPr="00E82D96" w:rsidRDefault="009D3775" w:rsidP="009765CF">
                      <w:pPr>
                        <w:spacing w:line="276" w:lineRule="auto"/>
                        <w:rPr>
                          <w:rFonts w:asciiTheme="majorHAnsi" w:hAnsiTheme="majorHAnsi" w:cs="Arial"/>
                          <w:color w:val="0D0D0D" w:themeColor="text1" w:themeTint="F2"/>
                          <w:szCs w:val="22"/>
                          <w:lang w:val="es-VE"/>
                        </w:rPr>
                      </w:pPr>
                      <w:r w:rsidRPr="00E82D96">
                        <w:rPr>
                          <w:rFonts w:asciiTheme="majorHAnsi" w:hAnsiTheme="majorHAnsi" w:cs="Arial"/>
                          <w:color w:val="0D0D0D" w:themeColor="text1" w:themeTint="F2"/>
                          <w:szCs w:val="22"/>
                          <w:lang w:val="es-VE"/>
                        </w:rPr>
                        <w:t>INFORME DE FONDO (PUBLICACI</w:t>
                      </w:r>
                      <w:r>
                        <w:rPr>
                          <w:rFonts w:asciiTheme="majorHAnsi" w:hAnsiTheme="majorHAnsi" w:cs="Arial"/>
                          <w:color w:val="0D0D0D" w:themeColor="text1" w:themeTint="F2"/>
                          <w:szCs w:val="22"/>
                          <w:lang w:val="es-VE"/>
                        </w:rPr>
                        <w:t>ÓN</w:t>
                      </w:r>
                      <w:r w:rsidRPr="00E82D96">
                        <w:rPr>
                          <w:rFonts w:asciiTheme="majorHAnsi" w:hAnsiTheme="majorHAnsi" w:cs="Arial"/>
                          <w:color w:val="0D0D0D" w:themeColor="text1" w:themeTint="F2"/>
                          <w:szCs w:val="22"/>
                          <w:lang w:val="es-VE"/>
                        </w:rPr>
                        <w:t>)</w:t>
                      </w:r>
                    </w:p>
                    <w:p w14:paraId="435E1460" w14:textId="77777777" w:rsidR="009D3775" w:rsidRPr="00E82D96" w:rsidRDefault="009D3775" w:rsidP="00997BC5">
                      <w:pPr>
                        <w:spacing w:line="276" w:lineRule="auto"/>
                        <w:rPr>
                          <w:rFonts w:asciiTheme="majorHAnsi" w:hAnsiTheme="majorHAnsi" w:cs="Arial"/>
                          <w:color w:val="0D0D0D" w:themeColor="text1" w:themeTint="F2"/>
                          <w:szCs w:val="22"/>
                          <w:lang w:val="es-VE"/>
                        </w:rPr>
                      </w:pPr>
                      <w:bookmarkStart w:id="1" w:name="_ftnref1"/>
                    </w:p>
                    <w:p w14:paraId="0B407BD9" w14:textId="77777777" w:rsidR="009D3775" w:rsidRPr="0071368B" w:rsidRDefault="009D3775" w:rsidP="00997BC5">
                      <w:pPr>
                        <w:spacing w:line="276" w:lineRule="auto"/>
                        <w:rPr>
                          <w:rFonts w:asciiTheme="majorHAnsi" w:hAnsiTheme="majorHAnsi" w:cs="Arial"/>
                          <w:color w:val="0D0D0D" w:themeColor="text1" w:themeTint="F2"/>
                          <w:szCs w:val="22"/>
                          <w:lang w:val="pt-BR"/>
                        </w:rPr>
                      </w:pPr>
                      <w:r w:rsidRPr="0071368B">
                        <w:rPr>
                          <w:rFonts w:asciiTheme="majorHAnsi" w:hAnsiTheme="majorHAnsi" w:cs="Arial"/>
                          <w:color w:val="0D0D0D" w:themeColor="text1" w:themeTint="F2"/>
                          <w:szCs w:val="22"/>
                          <w:lang w:val="pt-BR"/>
                        </w:rPr>
                        <w:t xml:space="preserve">MARGARIDA MARIA </w:t>
                      </w:r>
                      <w:r w:rsidRPr="006A5BAB">
                        <w:rPr>
                          <w:rFonts w:asciiTheme="majorHAnsi" w:hAnsiTheme="majorHAnsi" w:cs="Arial"/>
                          <w:color w:val="0D0D0D" w:themeColor="text1" w:themeTint="F2"/>
                          <w:szCs w:val="22"/>
                          <w:lang w:val="pt-BR"/>
                        </w:rPr>
                        <w:t>ALVES Y FAMILIARES</w:t>
                      </w:r>
                    </w:p>
                    <w:bookmarkEnd w:id="1"/>
                    <w:p w14:paraId="43DBE68F" w14:textId="77777777" w:rsidR="009D3775" w:rsidRPr="00E82D96" w:rsidRDefault="009D3775" w:rsidP="00997BC5">
                      <w:pPr>
                        <w:spacing w:line="276" w:lineRule="auto"/>
                        <w:rPr>
                          <w:rFonts w:asciiTheme="majorHAnsi" w:hAnsiTheme="majorHAnsi" w:cs="Arial"/>
                          <w:color w:val="0D0D0D" w:themeColor="text1" w:themeTint="F2"/>
                          <w:szCs w:val="22"/>
                          <w:lang w:val="pt-BR"/>
                        </w:rPr>
                      </w:pPr>
                      <w:r w:rsidRPr="00E82D96">
                        <w:rPr>
                          <w:rFonts w:asciiTheme="majorHAnsi" w:hAnsiTheme="majorHAnsi" w:cs="Arial"/>
                          <w:color w:val="0D0D0D" w:themeColor="text1" w:themeTint="F2"/>
                          <w:szCs w:val="22"/>
                          <w:lang w:val="pt-BR"/>
                        </w:rPr>
                        <w:t>BRASIL</w:t>
                      </w:r>
                    </w:p>
                    <w:p w14:paraId="6628D4AA" w14:textId="77777777" w:rsidR="009D3775" w:rsidRPr="00E82D96" w:rsidRDefault="009D3775" w:rsidP="007A5817">
                      <w:pPr>
                        <w:rPr>
                          <w:color w:val="0D0D0D" w:themeColor="text1" w:themeTint="F2"/>
                          <w:lang w:val="pt-BR"/>
                        </w:rPr>
                      </w:pPr>
                    </w:p>
                  </w:txbxContent>
                </v:textbox>
              </v:shape>
            </w:pict>
          </mc:Fallback>
        </mc:AlternateContent>
      </w:r>
      <w:r w:rsidR="004E2649" w:rsidRPr="007607D3">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8B42628" wp14:editId="522897D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50561E" w14:textId="77777777" w:rsidR="009D3775" w:rsidRPr="00FB4233" w:rsidRDefault="009D3775" w:rsidP="007A5817">
                            <w:pPr>
                              <w:spacing w:line="276" w:lineRule="auto"/>
                              <w:jc w:val="right"/>
                              <w:rPr>
                                <w:rFonts w:asciiTheme="minorHAnsi" w:hAnsiTheme="minorHAnsi"/>
                                <w:color w:val="FFFFFF" w:themeColor="background1"/>
                                <w:sz w:val="22"/>
                                <w:lang w:val="es-US"/>
                              </w:rPr>
                            </w:pPr>
                            <w:r w:rsidRPr="00FB4233">
                              <w:rPr>
                                <w:rFonts w:asciiTheme="minorHAnsi" w:hAnsiTheme="minorHAnsi"/>
                                <w:color w:val="FFFFFF" w:themeColor="background1"/>
                                <w:sz w:val="22"/>
                                <w:lang w:val="es-US"/>
                              </w:rPr>
                              <w:t>OEA/Ser.L/V/II</w:t>
                            </w:r>
                          </w:p>
                          <w:p w14:paraId="38048581" w14:textId="77777777" w:rsidR="009D3775" w:rsidRPr="00FB4233" w:rsidRDefault="009D3775" w:rsidP="007A5817">
                            <w:pPr>
                              <w:spacing w:line="276" w:lineRule="auto"/>
                              <w:jc w:val="right"/>
                              <w:rPr>
                                <w:rFonts w:asciiTheme="minorHAnsi" w:hAnsiTheme="minorHAnsi"/>
                                <w:color w:val="FFFFFF" w:themeColor="background1"/>
                                <w:sz w:val="22"/>
                                <w:lang w:val="es-US"/>
                              </w:rPr>
                            </w:pPr>
                            <w:r w:rsidRPr="00FB4233">
                              <w:rPr>
                                <w:rFonts w:asciiTheme="minorHAnsi" w:hAnsiTheme="minorHAnsi"/>
                                <w:color w:val="FFFFFF" w:themeColor="background1"/>
                                <w:sz w:val="22"/>
                                <w:lang w:val="es-US"/>
                              </w:rPr>
                              <w:t xml:space="preserve">Doc. </w:t>
                            </w:r>
                            <w:r w:rsidR="00030D19">
                              <w:rPr>
                                <w:rFonts w:asciiTheme="minorHAnsi" w:hAnsiTheme="minorHAnsi"/>
                                <w:color w:val="FFFFFF" w:themeColor="background1"/>
                                <w:sz w:val="22"/>
                                <w:lang w:val="es-US"/>
                              </w:rPr>
                              <w:t>41</w:t>
                            </w:r>
                          </w:p>
                          <w:p w14:paraId="20828014" w14:textId="77777777" w:rsidR="009D3775" w:rsidRPr="000F280F" w:rsidRDefault="00030D19" w:rsidP="007A581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 xml:space="preserve">26 de abril </w:t>
                            </w:r>
                            <w:r w:rsidR="009D3775">
                              <w:rPr>
                                <w:rFonts w:asciiTheme="minorHAnsi" w:hAnsiTheme="minorHAnsi"/>
                                <w:color w:val="FFFFFF" w:themeColor="background1"/>
                                <w:sz w:val="22"/>
                                <w:lang w:val="es-VE"/>
                              </w:rPr>
                              <w:t>20</w:t>
                            </w:r>
                            <w:r>
                              <w:rPr>
                                <w:rFonts w:asciiTheme="minorHAnsi" w:hAnsiTheme="minorHAnsi"/>
                                <w:color w:val="FFFFFF" w:themeColor="background1"/>
                                <w:sz w:val="22"/>
                                <w:lang w:val="es-VE"/>
                              </w:rPr>
                              <w:t>20</w:t>
                            </w:r>
                          </w:p>
                          <w:p w14:paraId="49784D6A" w14:textId="77777777" w:rsidR="009D3775" w:rsidRPr="00030D19" w:rsidRDefault="009D3775" w:rsidP="007A5817">
                            <w:pPr>
                              <w:spacing w:line="276" w:lineRule="auto"/>
                              <w:jc w:val="right"/>
                              <w:rPr>
                                <w:rFonts w:asciiTheme="minorHAnsi" w:hAnsiTheme="minorHAnsi"/>
                                <w:color w:val="FFFFFF" w:themeColor="background1"/>
                                <w:sz w:val="22"/>
                                <w:lang w:val="es-ES"/>
                              </w:rPr>
                            </w:pPr>
                            <w:r w:rsidRPr="00D60218">
                              <w:rPr>
                                <w:rFonts w:asciiTheme="minorHAnsi" w:hAnsiTheme="minorHAnsi"/>
                                <w:color w:val="FFFFFF" w:themeColor="background1"/>
                                <w:sz w:val="22"/>
                                <w:lang w:val="es-VE"/>
                              </w:rPr>
                              <w:t xml:space="preserve">Original: </w:t>
                            </w:r>
                            <w:r w:rsidR="00030D19">
                              <w:rPr>
                                <w:rFonts w:asciiTheme="minorHAnsi" w:hAnsiTheme="minorHAnsi"/>
                                <w:color w:val="FFFFFF" w:themeColor="background1"/>
                                <w:sz w:val="22"/>
                                <w:lang w:val="es-VE"/>
                              </w:rPr>
                              <w:t>portugu</w:t>
                            </w:r>
                            <w:r w:rsidR="00030D19">
                              <w:rPr>
                                <w:rFonts w:asciiTheme="minorHAnsi" w:hAnsiTheme="minorHAnsi"/>
                                <w:color w:val="FFFFFF" w:themeColor="background1"/>
                                <w:sz w:val="22"/>
                                <w:lang w:val="es-ES"/>
                              </w:rPr>
                              <w: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4262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F50561E" w14:textId="77777777" w:rsidR="009D3775" w:rsidRPr="00FB4233" w:rsidRDefault="009D3775" w:rsidP="007A5817">
                      <w:pPr>
                        <w:spacing w:line="276" w:lineRule="auto"/>
                        <w:jc w:val="right"/>
                        <w:rPr>
                          <w:rFonts w:asciiTheme="minorHAnsi" w:hAnsiTheme="minorHAnsi"/>
                          <w:color w:val="FFFFFF" w:themeColor="background1"/>
                          <w:sz w:val="22"/>
                          <w:lang w:val="es-US"/>
                        </w:rPr>
                      </w:pPr>
                      <w:r w:rsidRPr="00FB4233">
                        <w:rPr>
                          <w:rFonts w:asciiTheme="minorHAnsi" w:hAnsiTheme="minorHAnsi"/>
                          <w:color w:val="FFFFFF" w:themeColor="background1"/>
                          <w:sz w:val="22"/>
                          <w:lang w:val="es-US"/>
                        </w:rPr>
                        <w:t>OEA/Ser.L/V/II</w:t>
                      </w:r>
                    </w:p>
                    <w:p w14:paraId="38048581" w14:textId="77777777" w:rsidR="009D3775" w:rsidRPr="00FB4233" w:rsidRDefault="009D3775" w:rsidP="007A5817">
                      <w:pPr>
                        <w:spacing w:line="276" w:lineRule="auto"/>
                        <w:jc w:val="right"/>
                        <w:rPr>
                          <w:rFonts w:asciiTheme="minorHAnsi" w:hAnsiTheme="minorHAnsi"/>
                          <w:color w:val="FFFFFF" w:themeColor="background1"/>
                          <w:sz w:val="22"/>
                          <w:lang w:val="es-US"/>
                        </w:rPr>
                      </w:pPr>
                      <w:r w:rsidRPr="00FB4233">
                        <w:rPr>
                          <w:rFonts w:asciiTheme="minorHAnsi" w:hAnsiTheme="minorHAnsi"/>
                          <w:color w:val="FFFFFF" w:themeColor="background1"/>
                          <w:sz w:val="22"/>
                          <w:lang w:val="es-US"/>
                        </w:rPr>
                        <w:t xml:space="preserve">Doc. </w:t>
                      </w:r>
                      <w:r w:rsidR="00030D19">
                        <w:rPr>
                          <w:rFonts w:asciiTheme="minorHAnsi" w:hAnsiTheme="minorHAnsi"/>
                          <w:color w:val="FFFFFF" w:themeColor="background1"/>
                          <w:sz w:val="22"/>
                          <w:lang w:val="es-US"/>
                        </w:rPr>
                        <w:t>41</w:t>
                      </w:r>
                    </w:p>
                    <w:p w14:paraId="20828014" w14:textId="77777777" w:rsidR="009D3775" w:rsidRPr="000F280F" w:rsidRDefault="00030D19" w:rsidP="007A581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 xml:space="preserve">26 de abril </w:t>
                      </w:r>
                      <w:r w:rsidR="009D3775">
                        <w:rPr>
                          <w:rFonts w:asciiTheme="minorHAnsi" w:hAnsiTheme="minorHAnsi"/>
                          <w:color w:val="FFFFFF" w:themeColor="background1"/>
                          <w:sz w:val="22"/>
                          <w:lang w:val="es-VE"/>
                        </w:rPr>
                        <w:t>20</w:t>
                      </w:r>
                      <w:r>
                        <w:rPr>
                          <w:rFonts w:asciiTheme="minorHAnsi" w:hAnsiTheme="minorHAnsi"/>
                          <w:color w:val="FFFFFF" w:themeColor="background1"/>
                          <w:sz w:val="22"/>
                          <w:lang w:val="es-VE"/>
                        </w:rPr>
                        <w:t>20</w:t>
                      </w:r>
                    </w:p>
                    <w:p w14:paraId="49784D6A" w14:textId="77777777" w:rsidR="009D3775" w:rsidRPr="00030D19" w:rsidRDefault="009D3775" w:rsidP="007A5817">
                      <w:pPr>
                        <w:spacing w:line="276" w:lineRule="auto"/>
                        <w:jc w:val="right"/>
                        <w:rPr>
                          <w:rFonts w:asciiTheme="minorHAnsi" w:hAnsiTheme="minorHAnsi"/>
                          <w:color w:val="FFFFFF" w:themeColor="background1"/>
                          <w:sz w:val="22"/>
                          <w:lang w:val="es-ES"/>
                        </w:rPr>
                      </w:pPr>
                      <w:r w:rsidRPr="00D60218">
                        <w:rPr>
                          <w:rFonts w:asciiTheme="minorHAnsi" w:hAnsiTheme="minorHAnsi"/>
                          <w:color w:val="FFFFFF" w:themeColor="background1"/>
                          <w:sz w:val="22"/>
                          <w:lang w:val="es-VE"/>
                        </w:rPr>
                        <w:t xml:space="preserve">Original: </w:t>
                      </w:r>
                      <w:r w:rsidR="00030D19">
                        <w:rPr>
                          <w:rFonts w:asciiTheme="minorHAnsi" w:hAnsiTheme="minorHAnsi"/>
                          <w:color w:val="FFFFFF" w:themeColor="background1"/>
                          <w:sz w:val="22"/>
                          <w:lang w:val="es-VE"/>
                        </w:rPr>
                        <w:t>portugu</w:t>
                      </w:r>
                      <w:r w:rsidR="00030D19">
                        <w:rPr>
                          <w:rFonts w:asciiTheme="minorHAnsi" w:hAnsiTheme="minorHAnsi"/>
                          <w:color w:val="FFFFFF" w:themeColor="background1"/>
                          <w:sz w:val="22"/>
                          <w:lang w:val="es-ES"/>
                        </w:rPr>
                        <w:t>és</w:t>
                      </w:r>
                    </w:p>
                  </w:txbxContent>
                </v:textbox>
              </v:shape>
            </w:pict>
          </mc:Fallback>
        </mc:AlternateContent>
      </w:r>
    </w:p>
    <w:p w14:paraId="60AB40AF" w14:textId="77777777" w:rsidR="00040C3A" w:rsidRPr="007607D3" w:rsidRDefault="00040C3A" w:rsidP="00040C3A">
      <w:pPr>
        <w:tabs>
          <w:tab w:val="center" w:pos="5400"/>
        </w:tabs>
        <w:suppressAutoHyphens/>
        <w:jc w:val="center"/>
        <w:rPr>
          <w:rFonts w:asciiTheme="majorHAnsi" w:hAnsiTheme="majorHAnsi"/>
          <w:sz w:val="22"/>
          <w:szCs w:val="22"/>
          <w:lang w:val="es-ES_tradnl"/>
        </w:rPr>
      </w:pPr>
    </w:p>
    <w:p w14:paraId="24DD6300" w14:textId="77777777" w:rsidR="00040C3A" w:rsidRPr="007607D3" w:rsidRDefault="00040C3A" w:rsidP="00040C3A">
      <w:pPr>
        <w:tabs>
          <w:tab w:val="center" w:pos="5400"/>
        </w:tabs>
        <w:suppressAutoHyphens/>
        <w:jc w:val="center"/>
        <w:rPr>
          <w:rFonts w:asciiTheme="majorHAnsi" w:hAnsiTheme="majorHAnsi"/>
          <w:sz w:val="22"/>
          <w:szCs w:val="22"/>
          <w:lang w:val="es-ES_tradnl"/>
        </w:rPr>
      </w:pPr>
    </w:p>
    <w:p w14:paraId="5C2BC047" w14:textId="77777777" w:rsidR="00040C3A" w:rsidRPr="007607D3" w:rsidRDefault="00040C3A" w:rsidP="00040C3A">
      <w:pPr>
        <w:tabs>
          <w:tab w:val="center" w:pos="5400"/>
        </w:tabs>
        <w:suppressAutoHyphens/>
        <w:jc w:val="center"/>
        <w:rPr>
          <w:rFonts w:asciiTheme="majorHAnsi" w:hAnsiTheme="majorHAnsi" w:cs="Arial"/>
          <w:sz w:val="22"/>
          <w:szCs w:val="22"/>
          <w:lang w:val="es-ES_tradnl"/>
        </w:rPr>
      </w:pPr>
    </w:p>
    <w:p w14:paraId="157C565C" w14:textId="77777777" w:rsidR="00040C3A" w:rsidRPr="007607D3" w:rsidRDefault="00040C3A" w:rsidP="00040C3A">
      <w:pPr>
        <w:tabs>
          <w:tab w:val="center" w:pos="5400"/>
        </w:tabs>
        <w:suppressAutoHyphens/>
        <w:jc w:val="center"/>
        <w:rPr>
          <w:rFonts w:asciiTheme="majorHAnsi" w:hAnsiTheme="majorHAnsi"/>
          <w:sz w:val="22"/>
          <w:szCs w:val="22"/>
          <w:lang w:val="es-ES_tradnl"/>
        </w:rPr>
      </w:pPr>
    </w:p>
    <w:p w14:paraId="5E09D6D8" w14:textId="77777777" w:rsidR="00040C3A" w:rsidRPr="007607D3" w:rsidRDefault="00040C3A" w:rsidP="00040C3A">
      <w:pPr>
        <w:tabs>
          <w:tab w:val="center" w:pos="5400"/>
        </w:tabs>
        <w:suppressAutoHyphens/>
        <w:jc w:val="center"/>
        <w:rPr>
          <w:rFonts w:asciiTheme="majorHAnsi" w:hAnsiTheme="majorHAnsi"/>
          <w:sz w:val="22"/>
          <w:szCs w:val="22"/>
          <w:lang w:val="es-ES_tradnl"/>
        </w:rPr>
      </w:pPr>
    </w:p>
    <w:p w14:paraId="3A840AFD" w14:textId="77777777" w:rsidR="00040C3A" w:rsidRPr="007607D3" w:rsidRDefault="00040C3A" w:rsidP="00040C3A">
      <w:pPr>
        <w:tabs>
          <w:tab w:val="center" w:pos="5400"/>
        </w:tabs>
        <w:suppressAutoHyphens/>
        <w:jc w:val="center"/>
        <w:rPr>
          <w:rFonts w:asciiTheme="majorHAnsi" w:hAnsiTheme="majorHAnsi"/>
          <w:sz w:val="22"/>
          <w:szCs w:val="22"/>
          <w:lang w:val="es-ES_tradnl"/>
        </w:rPr>
      </w:pPr>
    </w:p>
    <w:p w14:paraId="76A662AD" w14:textId="77777777" w:rsidR="00040C3A" w:rsidRPr="007607D3" w:rsidRDefault="00040C3A" w:rsidP="00040C3A">
      <w:pPr>
        <w:tabs>
          <w:tab w:val="center" w:pos="5400"/>
        </w:tabs>
        <w:suppressAutoHyphens/>
        <w:jc w:val="center"/>
        <w:rPr>
          <w:rFonts w:asciiTheme="majorHAnsi" w:hAnsiTheme="majorHAnsi"/>
          <w:sz w:val="22"/>
          <w:szCs w:val="22"/>
          <w:lang w:val="es-ES_tradnl"/>
        </w:rPr>
      </w:pPr>
    </w:p>
    <w:p w14:paraId="68246DB9" w14:textId="77777777" w:rsidR="005128E4" w:rsidRPr="007607D3" w:rsidRDefault="005128E4" w:rsidP="00040C3A">
      <w:pPr>
        <w:tabs>
          <w:tab w:val="center" w:pos="5400"/>
        </w:tabs>
        <w:suppressAutoHyphens/>
        <w:jc w:val="center"/>
        <w:rPr>
          <w:rFonts w:asciiTheme="majorHAnsi" w:hAnsiTheme="majorHAnsi"/>
          <w:sz w:val="22"/>
          <w:szCs w:val="22"/>
          <w:lang w:val="es-ES_tradnl"/>
        </w:rPr>
      </w:pPr>
    </w:p>
    <w:p w14:paraId="58923B2E" w14:textId="77777777" w:rsidR="00040C3A" w:rsidRPr="007607D3" w:rsidRDefault="00040C3A" w:rsidP="00040C3A">
      <w:pPr>
        <w:tabs>
          <w:tab w:val="center" w:pos="5400"/>
        </w:tabs>
        <w:suppressAutoHyphens/>
        <w:jc w:val="center"/>
        <w:rPr>
          <w:rFonts w:asciiTheme="majorHAnsi" w:hAnsiTheme="majorHAnsi"/>
          <w:sz w:val="22"/>
          <w:szCs w:val="22"/>
          <w:lang w:val="es-ES_tradnl"/>
        </w:rPr>
      </w:pPr>
    </w:p>
    <w:p w14:paraId="7CF53FE7" w14:textId="77777777" w:rsidR="005128E4" w:rsidRPr="007607D3" w:rsidRDefault="005128E4" w:rsidP="00040C3A">
      <w:pPr>
        <w:tabs>
          <w:tab w:val="center" w:pos="5400"/>
        </w:tabs>
        <w:suppressAutoHyphens/>
        <w:jc w:val="center"/>
        <w:rPr>
          <w:rFonts w:asciiTheme="majorHAnsi" w:hAnsiTheme="majorHAnsi"/>
          <w:sz w:val="22"/>
          <w:szCs w:val="22"/>
          <w:lang w:val="es-ES_tradnl"/>
        </w:rPr>
      </w:pPr>
    </w:p>
    <w:p w14:paraId="67A18C35" w14:textId="77777777" w:rsidR="005128E4" w:rsidRPr="007607D3" w:rsidRDefault="005128E4" w:rsidP="00040C3A">
      <w:pPr>
        <w:tabs>
          <w:tab w:val="center" w:pos="5400"/>
        </w:tabs>
        <w:suppressAutoHyphens/>
        <w:jc w:val="center"/>
        <w:rPr>
          <w:rFonts w:asciiTheme="majorHAnsi" w:hAnsiTheme="majorHAnsi"/>
          <w:sz w:val="22"/>
          <w:szCs w:val="22"/>
          <w:lang w:val="es-ES_tradnl"/>
        </w:rPr>
      </w:pPr>
    </w:p>
    <w:p w14:paraId="3B8CC0DE" w14:textId="77777777" w:rsidR="005128E4" w:rsidRPr="007607D3" w:rsidRDefault="005128E4" w:rsidP="00040C3A">
      <w:pPr>
        <w:tabs>
          <w:tab w:val="center" w:pos="5400"/>
        </w:tabs>
        <w:suppressAutoHyphens/>
        <w:jc w:val="center"/>
        <w:rPr>
          <w:rFonts w:asciiTheme="majorHAnsi" w:hAnsiTheme="majorHAnsi"/>
          <w:sz w:val="22"/>
          <w:szCs w:val="22"/>
          <w:lang w:val="es-ES_tradnl"/>
        </w:rPr>
      </w:pPr>
    </w:p>
    <w:p w14:paraId="21CFE8E8" w14:textId="77777777" w:rsidR="00040C3A" w:rsidRPr="007607D3" w:rsidRDefault="00040C3A" w:rsidP="00040C3A">
      <w:pPr>
        <w:tabs>
          <w:tab w:val="center" w:pos="5400"/>
        </w:tabs>
        <w:suppressAutoHyphens/>
        <w:jc w:val="center"/>
        <w:rPr>
          <w:rFonts w:asciiTheme="majorHAnsi" w:hAnsiTheme="majorHAnsi"/>
          <w:sz w:val="22"/>
          <w:szCs w:val="22"/>
          <w:lang w:val="es-ES_tradnl"/>
        </w:rPr>
      </w:pPr>
    </w:p>
    <w:p w14:paraId="4026C11B" w14:textId="77777777" w:rsidR="00040C3A" w:rsidRPr="007607D3" w:rsidRDefault="00040C3A" w:rsidP="00040C3A">
      <w:pPr>
        <w:tabs>
          <w:tab w:val="center" w:pos="5400"/>
        </w:tabs>
        <w:suppressAutoHyphens/>
        <w:jc w:val="center"/>
        <w:rPr>
          <w:rFonts w:asciiTheme="majorHAnsi" w:hAnsiTheme="majorHAnsi"/>
          <w:sz w:val="22"/>
          <w:szCs w:val="22"/>
          <w:lang w:val="es-ES_tradnl"/>
        </w:rPr>
      </w:pPr>
    </w:p>
    <w:p w14:paraId="29CB04D2" w14:textId="77777777" w:rsidR="00A50FCF" w:rsidRPr="007607D3" w:rsidRDefault="00A50FCF" w:rsidP="00040C3A">
      <w:pPr>
        <w:tabs>
          <w:tab w:val="center" w:pos="5400"/>
        </w:tabs>
        <w:suppressAutoHyphens/>
        <w:jc w:val="center"/>
        <w:rPr>
          <w:rFonts w:asciiTheme="majorHAnsi" w:hAnsiTheme="majorHAnsi"/>
          <w:sz w:val="18"/>
          <w:szCs w:val="22"/>
          <w:lang w:val="es-ES_tradnl"/>
        </w:rPr>
      </w:pPr>
    </w:p>
    <w:p w14:paraId="6C84C839" w14:textId="77777777" w:rsidR="00A50FCF" w:rsidRPr="007607D3" w:rsidRDefault="00A50FCF" w:rsidP="00040C3A">
      <w:pPr>
        <w:tabs>
          <w:tab w:val="center" w:pos="5400"/>
        </w:tabs>
        <w:suppressAutoHyphens/>
        <w:jc w:val="center"/>
        <w:rPr>
          <w:rFonts w:asciiTheme="majorHAnsi" w:hAnsiTheme="majorHAnsi"/>
          <w:sz w:val="18"/>
          <w:szCs w:val="22"/>
          <w:lang w:val="es-ES_tradnl"/>
        </w:rPr>
      </w:pPr>
    </w:p>
    <w:p w14:paraId="3D022E0A" w14:textId="77777777" w:rsidR="00A50FCF" w:rsidRPr="007607D3" w:rsidRDefault="00A50FCF" w:rsidP="00040C3A">
      <w:pPr>
        <w:tabs>
          <w:tab w:val="center" w:pos="5400"/>
        </w:tabs>
        <w:suppressAutoHyphens/>
        <w:jc w:val="center"/>
        <w:rPr>
          <w:rFonts w:asciiTheme="majorHAnsi" w:hAnsiTheme="majorHAnsi"/>
          <w:sz w:val="18"/>
          <w:szCs w:val="22"/>
          <w:lang w:val="es-ES_tradnl"/>
        </w:rPr>
      </w:pPr>
    </w:p>
    <w:p w14:paraId="17AD0EE0" w14:textId="77777777" w:rsidR="00A50FCF" w:rsidRPr="007607D3" w:rsidRDefault="00A50FCF" w:rsidP="00040C3A">
      <w:pPr>
        <w:tabs>
          <w:tab w:val="center" w:pos="5400"/>
        </w:tabs>
        <w:suppressAutoHyphens/>
        <w:jc w:val="center"/>
        <w:rPr>
          <w:rFonts w:asciiTheme="majorHAnsi" w:hAnsiTheme="majorHAnsi"/>
          <w:sz w:val="18"/>
          <w:szCs w:val="22"/>
          <w:lang w:val="es-ES_tradnl"/>
        </w:rPr>
      </w:pPr>
    </w:p>
    <w:p w14:paraId="652067A9" w14:textId="77777777" w:rsidR="00A50FCF" w:rsidRPr="007607D3" w:rsidRDefault="00A50FCF" w:rsidP="00040C3A">
      <w:pPr>
        <w:tabs>
          <w:tab w:val="center" w:pos="5400"/>
        </w:tabs>
        <w:suppressAutoHyphens/>
        <w:jc w:val="center"/>
        <w:rPr>
          <w:rFonts w:asciiTheme="majorHAnsi" w:hAnsiTheme="majorHAnsi"/>
          <w:sz w:val="18"/>
          <w:szCs w:val="22"/>
          <w:lang w:val="es-ES_tradnl"/>
        </w:rPr>
      </w:pPr>
    </w:p>
    <w:p w14:paraId="2735B8C1" w14:textId="77777777" w:rsidR="00A50FCF" w:rsidRPr="007607D3" w:rsidRDefault="00A50FCF" w:rsidP="00040C3A">
      <w:pPr>
        <w:tabs>
          <w:tab w:val="center" w:pos="5400"/>
        </w:tabs>
        <w:suppressAutoHyphens/>
        <w:jc w:val="center"/>
        <w:rPr>
          <w:rFonts w:asciiTheme="majorHAnsi" w:hAnsiTheme="majorHAnsi"/>
          <w:sz w:val="18"/>
          <w:szCs w:val="22"/>
          <w:lang w:val="es-ES_tradnl"/>
        </w:rPr>
      </w:pPr>
    </w:p>
    <w:p w14:paraId="52FD8F57" w14:textId="77777777" w:rsidR="00A50FCF" w:rsidRPr="007607D3" w:rsidRDefault="00A50FCF" w:rsidP="00040C3A">
      <w:pPr>
        <w:tabs>
          <w:tab w:val="center" w:pos="5400"/>
        </w:tabs>
        <w:suppressAutoHyphens/>
        <w:jc w:val="center"/>
        <w:rPr>
          <w:rFonts w:asciiTheme="majorHAnsi" w:hAnsiTheme="majorHAnsi"/>
          <w:sz w:val="18"/>
          <w:szCs w:val="22"/>
          <w:lang w:val="es-ES_tradnl"/>
        </w:rPr>
      </w:pPr>
    </w:p>
    <w:p w14:paraId="6470E487" w14:textId="77777777" w:rsidR="00A50FCF" w:rsidRPr="007607D3" w:rsidRDefault="00A50FCF" w:rsidP="00040C3A">
      <w:pPr>
        <w:tabs>
          <w:tab w:val="center" w:pos="5400"/>
        </w:tabs>
        <w:suppressAutoHyphens/>
        <w:jc w:val="center"/>
        <w:rPr>
          <w:rFonts w:asciiTheme="majorHAnsi" w:hAnsiTheme="majorHAnsi"/>
          <w:sz w:val="18"/>
          <w:szCs w:val="22"/>
          <w:lang w:val="es-ES_tradnl"/>
        </w:rPr>
      </w:pPr>
    </w:p>
    <w:p w14:paraId="59FC0CC5" w14:textId="77777777" w:rsidR="00A50FCF" w:rsidRPr="007607D3" w:rsidRDefault="00A50FCF" w:rsidP="00040C3A">
      <w:pPr>
        <w:tabs>
          <w:tab w:val="center" w:pos="5400"/>
        </w:tabs>
        <w:suppressAutoHyphens/>
        <w:jc w:val="center"/>
        <w:rPr>
          <w:rFonts w:asciiTheme="majorHAnsi" w:hAnsiTheme="majorHAnsi"/>
          <w:sz w:val="18"/>
          <w:szCs w:val="22"/>
          <w:lang w:val="es-ES_tradnl"/>
        </w:rPr>
      </w:pPr>
    </w:p>
    <w:p w14:paraId="3582D9D4" w14:textId="77777777" w:rsidR="00A50FCF" w:rsidRPr="007607D3" w:rsidRDefault="00A50FCF" w:rsidP="00040C3A">
      <w:pPr>
        <w:tabs>
          <w:tab w:val="center" w:pos="5400"/>
        </w:tabs>
        <w:suppressAutoHyphens/>
        <w:jc w:val="center"/>
        <w:rPr>
          <w:rFonts w:asciiTheme="majorHAnsi" w:hAnsiTheme="majorHAnsi"/>
          <w:sz w:val="18"/>
          <w:szCs w:val="22"/>
          <w:lang w:val="es-ES_tradnl"/>
        </w:rPr>
      </w:pPr>
    </w:p>
    <w:p w14:paraId="77EB61F2" w14:textId="77777777" w:rsidR="00A50FCF" w:rsidRPr="007607D3" w:rsidRDefault="00A50FCF" w:rsidP="00040C3A">
      <w:pPr>
        <w:tabs>
          <w:tab w:val="center" w:pos="5400"/>
        </w:tabs>
        <w:suppressAutoHyphens/>
        <w:jc w:val="center"/>
        <w:rPr>
          <w:rFonts w:asciiTheme="majorHAnsi" w:hAnsiTheme="majorHAnsi"/>
          <w:sz w:val="18"/>
          <w:szCs w:val="22"/>
          <w:lang w:val="es-ES_tradnl"/>
        </w:rPr>
      </w:pPr>
    </w:p>
    <w:p w14:paraId="1C196924" w14:textId="77777777" w:rsidR="00A50FCF" w:rsidRPr="007607D3" w:rsidRDefault="00A50FCF" w:rsidP="00040C3A">
      <w:pPr>
        <w:tabs>
          <w:tab w:val="center" w:pos="5400"/>
        </w:tabs>
        <w:suppressAutoHyphens/>
        <w:jc w:val="center"/>
        <w:rPr>
          <w:rFonts w:asciiTheme="majorHAnsi" w:hAnsiTheme="majorHAnsi"/>
          <w:sz w:val="18"/>
          <w:szCs w:val="22"/>
          <w:lang w:val="es-ES_tradnl"/>
        </w:rPr>
      </w:pPr>
    </w:p>
    <w:p w14:paraId="15E35708" w14:textId="77777777" w:rsidR="00A50FCF" w:rsidRPr="007607D3" w:rsidRDefault="00A50FCF" w:rsidP="00040C3A">
      <w:pPr>
        <w:tabs>
          <w:tab w:val="center" w:pos="5400"/>
        </w:tabs>
        <w:suppressAutoHyphens/>
        <w:jc w:val="center"/>
        <w:rPr>
          <w:rFonts w:asciiTheme="majorHAnsi" w:hAnsiTheme="majorHAnsi"/>
          <w:sz w:val="18"/>
          <w:szCs w:val="22"/>
          <w:lang w:val="es-ES_tradnl"/>
        </w:rPr>
      </w:pPr>
    </w:p>
    <w:p w14:paraId="4D8E9649" w14:textId="77777777" w:rsidR="00A50FCF" w:rsidRPr="007607D3" w:rsidRDefault="00A50FCF" w:rsidP="00040C3A">
      <w:pPr>
        <w:tabs>
          <w:tab w:val="center" w:pos="5400"/>
        </w:tabs>
        <w:suppressAutoHyphens/>
        <w:jc w:val="center"/>
        <w:rPr>
          <w:rFonts w:asciiTheme="majorHAnsi" w:hAnsiTheme="majorHAnsi"/>
          <w:sz w:val="18"/>
          <w:szCs w:val="22"/>
          <w:lang w:val="es-ES_tradnl"/>
        </w:rPr>
      </w:pPr>
    </w:p>
    <w:p w14:paraId="72285A30" w14:textId="77777777" w:rsidR="00A50FCF" w:rsidRPr="007607D3" w:rsidRDefault="0090270B" w:rsidP="00040C3A">
      <w:pPr>
        <w:tabs>
          <w:tab w:val="center" w:pos="5400"/>
        </w:tabs>
        <w:suppressAutoHyphens/>
        <w:jc w:val="center"/>
        <w:rPr>
          <w:rFonts w:asciiTheme="majorHAnsi" w:hAnsiTheme="majorHAnsi"/>
          <w:sz w:val="18"/>
          <w:szCs w:val="22"/>
          <w:lang w:val="es-ES_tradnl"/>
        </w:rPr>
      </w:pPr>
      <w:r w:rsidRPr="007607D3">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A55B545" wp14:editId="451811A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57EB22" w14:textId="77777777" w:rsidR="009D3775" w:rsidRPr="00F040C7" w:rsidRDefault="009D3775" w:rsidP="00F040C7">
                            <w:pPr>
                              <w:tabs>
                                <w:tab w:val="center" w:pos="5400"/>
                              </w:tabs>
                              <w:suppressAutoHyphens/>
                              <w:spacing w:before="60"/>
                              <w:rPr>
                                <w:rFonts w:asciiTheme="majorHAnsi" w:hAnsiTheme="majorHAnsi"/>
                                <w:color w:val="0D0D0D" w:themeColor="text1" w:themeTint="F2"/>
                                <w:sz w:val="18"/>
                                <w:szCs w:val="20"/>
                                <w:lang w:val="es-ES"/>
                              </w:rPr>
                            </w:pPr>
                            <w:r w:rsidRPr="00890650">
                              <w:rPr>
                                <w:rFonts w:asciiTheme="majorHAnsi" w:hAnsiTheme="majorHAnsi"/>
                                <w:color w:val="0D0D0D" w:themeColor="text1" w:themeTint="F2"/>
                                <w:sz w:val="18"/>
                                <w:szCs w:val="20"/>
                                <w:lang w:val="es-ES"/>
                              </w:rPr>
                              <w:t>Aprobado por la Comisión e</w:t>
                            </w:r>
                            <w:r w:rsidR="00F040C7">
                              <w:rPr>
                                <w:rFonts w:asciiTheme="majorHAnsi" w:hAnsiTheme="majorHAnsi"/>
                                <w:color w:val="0D0D0D" w:themeColor="text1" w:themeTint="F2"/>
                                <w:sz w:val="18"/>
                                <w:szCs w:val="20"/>
                                <w:lang w:val="es-ES"/>
                              </w:rPr>
                              <w:t>lectrónicamente</w:t>
                            </w:r>
                            <w:r>
                              <w:rPr>
                                <w:rFonts w:asciiTheme="majorHAnsi" w:hAnsiTheme="majorHAnsi"/>
                                <w:color w:val="0D0D0D" w:themeColor="text1" w:themeTint="F2"/>
                                <w:sz w:val="18"/>
                                <w:szCs w:val="20"/>
                                <w:lang w:val="es-ES"/>
                              </w:rPr>
                              <w:t xml:space="preserve"> el </w:t>
                            </w:r>
                            <w:r w:rsidR="00F040C7">
                              <w:rPr>
                                <w:rFonts w:asciiTheme="majorHAnsi" w:hAnsiTheme="majorHAnsi"/>
                                <w:color w:val="0D0D0D" w:themeColor="text1" w:themeTint="F2"/>
                                <w:sz w:val="18"/>
                                <w:szCs w:val="20"/>
                                <w:lang w:val="es-ES"/>
                              </w:rPr>
                              <w:t>26</w:t>
                            </w:r>
                            <w:r>
                              <w:rPr>
                                <w:rFonts w:asciiTheme="majorHAnsi" w:hAnsiTheme="majorHAnsi"/>
                                <w:color w:val="0D0D0D" w:themeColor="text1" w:themeTint="F2"/>
                                <w:sz w:val="18"/>
                                <w:szCs w:val="20"/>
                                <w:lang w:val="es-ES"/>
                              </w:rPr>
                              <w:t xml:space="preserve"> de </w:t>
                            </w:r>
                            <w:r w:rsidR="00F040C7">
                              <w:rPr>
                                <w:rFonts w:asciiTheme="majorHAnsi" w:hAnsiTheme="majorHAnsi"/>
                                <w:color w:val="0D0D0D" w:themeColor="text1" w:themeTint="F2"/>
                                <w:sz w:val="18"/>
                                <w:szCs w:val="20"/>
                                <w:lang w:val="es-ES"/>
                              </w:rPr>
                              <w:t>abril</w:t>
                            </w:r>
                            <w:r w:rsidRPr="00890650">
                              <w:rPr>
                                <w:rFonts w:asciiTheme="majorHAnsi" w:hAnsiTheme="majorHAnsi"/>
                                <w:color w:val="0D0D0D" w:themeColor="text1" w:themeTint="F2"/>
                                <w:sz w:val="18"/>
                                <w:szCs w:val="20"/>
                                <w:lang w:val="es-ES"/>
                              </w:rPr>
                              <w:t xml:space="preserve"> de 20</w:t>
                            </w:r>
                            <w:r w:rsidR="00F040C7">
                              <w:rPr>
                                <w:rFonts w:asciiTheme="majorHAnsi" w:hAnsiTheme="majorHAnsi"/>
                                <w:color w:val="0D0D0D" w:themeColor="text1" w:themeTint="F2"/>
                                <w:sz w:val="18"/>
                                <w:szCs w:val="20"/>
                                <w:lang w:val="es-ES"/>
                              </w:rPr>
                              <w:t>20</w:t>
                            </w:r>
                            <w:r>
                              <w:rPr>
                                <w:rFonts w:asciiTheme="majorHAnsi" w:hAnsiTheme="majorHAnsi" w:cs="Univers"/>
                                <w:color w:val="0D0D0D" w:themeColor="text1" w:themeTint="F2"/>
                                <w:sz w:val="18"/>
                                <w:szCs w:val="20"/>
                                <w:lang w:val="es-ES_tradnl"/>
                              </w:rPr>
                              <w:t>.</w:t>
                            </w:r>
                          </w:p>
                          <w:p w14:paraId="7DE4317E" w14:textId="77777777" w:rsidR="009D3775" w:rsidRPr="00890650" w:rsidRDefault="009D3775" w:rsidP="00DD3D86">
                            <w:pPr>
                              <w:tabs>
                                <w:tab w:val="center" w:pos="5400"/>
                              </w:tabs>
                              <w:suppressAutoHyphens/>
                              <w:spacing w:before="60"/>
                              <w:rPr>
                                <w:rFonts w:asciiTheme="majorHAnsi" w:hAnsiTheme="majorHAnsi"/>
                                <w:color w:val="0D0D0D" w:themeColor="text1" w:themeTint="F2"/>
                                <w:sz w:val="18"/>
                                <w:szCs w:val="22"/>
                                <w:lang w:val="es-ES"/>
                              </w:rPr>
                            </w:pPr>
                          </w:p>
                          <w:p w14:paraId="364BAD2E" w14:textId="77777777" w:rsidR="009D3775" w:rsidRPr="007A5817" w:rsidRDefault="009D3775" w:rsidP="00247403">
                            <w:pPr>
                              <w:tabs>
                                <w:tab w:val="center" w:pos="5400"/>
                              </w:tabs>
                              <w:suppressAutoHyphens/>
                              <w:spacing w:before="60"/>
                              <w:rPr>
                                <w:rFonts w:asciiTheme="minorHAnsi" w:hAnsiTheme="minorHAnsi" w:cs="Univers"/>
                                <w:color w:val="0D0D0D" w:themeColor="text1" w:themeTint="F2"/>
                                <w:sz w:val="20"/>
                                <w:szCs w:val="20"/>
                                <w:lang w:val="es-ES"/>
                              </w:rPr>
                            </w:pPr>
                          </w:p>
                          <w:p w14:paraId="103F81AD" w14:textId="77777777" w:rsidR="009D3775" w:rsidRPr="00167A34" w:rsidRDefault="009D3775"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5B545"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E57EB22" w14:textId="77777777" w:rsidR="009D3775" w:rsidRPr="00F040C7" w:rsidRDefault="009D3775" w:rsidP="00F040C7">
                      <w:pPr>
                        <w:tabs>
                          <w:tab w:val="center" w:pos="5400"/>
                        </w:tabs>
                        <w:suppressAutoHyphens/>
                        <w:spacing w:before="60"/>
                        <w:rPr>
                          <w:rFonts w:asciiTheme="majorHAnsi" w:hAnsiTheme="majorHAnsi"/>
                          <w:color w:val="0D0D0D" w:themeColor="text1" w:themeTint="F2"/>
                          <w:sz w:val="18"/>
                          <w:szCs w:val="20"/>
                          <w:lang w:val="es-ES"/>
                        </w:rPr>
                      </w:pPr>
                      <w:r w:rsidRPr="00890650">
                        <w:rPr>
                          <w:rFonts w:asciiTheme="majorHAnsi" w:hAnsiTheme="majorHAnsi"/>
                          <w:color w:val="0D0D0D" w:themeColor="text1" w:themeTint="F2"/>
                          <w:sz w:val="18"/>
                          <w:szCs w:val="20"/>
                          <w:lang w:val="es-ES"/>
                        </w:rPr>
                        <w:t>Aprobado por la Comisión e</w:t>
                      </w:r>
                      <w:r w:rsidR="00F040C7">
                        <w:rPr>
                          <w:rFonts w:asciiTheme="majorHAnsi" w:hAnsiTheme="majorHAnsi"/>
                          <w:color w:val="0D0D0D" w:themeColor="text1" w:themeTint="F2"/>
                          <w:sz w:val="18"/>
                          <w:szCs w:val="20"/>
                          <w:lang w:val="es-ES"/>
                        </w:rPr>
                        <w:t>lectrónicamente</w:t>
                      </w:r>
                      <w:r>
                        <w:rPr>
                          <w:rFonts w:asciiTheme="majorHAnsi" w:hAnsiTheme="majorHAnsi"/>
                          <w:color w:val="0D0D0D" w:themeColor="text1" w:themeTint="F2"/>
                          <w:sz w:val="18"/>
                          <w:szCs w:val="20"/>
                          <w:lang w:val="es-ES"/>
                        </w:rPr>
                        <w:t xml:space="preserve"> el </w:t>
                      </w:r>
                      <w:r w:rsidR="00F040C7">
                        <w:rPr>
                          <w:rFonts w:asciiTheme="majorHAnsi" w:hAnsiTheme="majorHAnsi"/>
                          <w:color w:val="0D0D0D" w:themeColor="text1" w:themeTint="F2"/>
                          <w:sz w:val="18"/>
                          <w:szCs w:val="20"/>
                          <w:lang w:val="es-ES"/>
                        </w:rPr>
                        <w:t>26</w:t>
                      </w:r>
                      <w:r>
                        <w:rPr>
                          <w:rFonts w:asciiTheme="majorHAnsi" w:hAnsiTheme="majorHAnsi"/>
                          <w:color w:val="0D0D0D" w:themeColor="text1" w:themeTint="F2"/>
                          <w:sz w:val="18"/>
                          <w:szCs w:val="20"/>
                          <w:lang w:val="es-ES"/>
                        </w:rPr>
                        <w:t xml:space="preserve"> de </w:t>
                      </w:r>
                      <w:r w:rsidR="00F040C7">
                        <w:rPr>
                          <w:rFonts w:asciiTheme="majorHAnsi" w:hAnsiTheme="majorHAnsi"/>
                          <w:color w:val="0D0D0D" w:themeColor="text1" w:themeTint="F2"/>
                          <w:sz w:val="18"/>
                          <w:szCs w:val="20"/>
                          <w:lang w:val="es-ES"/>
                        </w:rPr>
                        <w:t>abril</w:t>
                      </w:r>
                      <w:r w:rsidRPr="00890650">
                        <w:rPr>
                          <w:rFonts w:asciiTheme="majorHAnsi" w:hAnsiTheme="majorHAnsi"/>
                          <w:color w:val="0D0D0D" w:themeColor="text1" w:themeTint="F2"/>
                          <w:sz w:val="18"/>
                          <w:szCs w:val="20"/>
                          <w:lang w:val="es-ES"/>
                        </w:rPr>
                        <w:t xml:space="preserve"> de 20</w:t>
                      </w:r>
                      <w:r w:rsidR="00F040C7">
                        <w:rPr>
                          <w:rFonts w:asciiTheme="majorHAnsi" w:hAnsiTheme="majorHAnsi"/>
                          <w:color w:val="0D0D0D" w:themeColor="text1" w:themeTint="F2"/>
                          <w:sz w:val="18"/>
                          <w:szCs w:val="20"/>
                          <w:lang w:val="es-ES"/>
                        </w:rPr>
                        <w:t>20</w:t>
                      </w:r>
                      <w:r>
                        <w:rPr>
                          <w:rFonts w:asciiTheme="majorHAnsi" w:hAnsiTheme="majorHAnsi" w:cs="Univers"/>
                          <w:color w:val="0D0D0D" w:themeColor="text1" w:themeTint="F2"/>
                          <w:sz w:val="18"/>
                          <w:szCs w:val="20"/>
                          <w:lang w:val="es-ES_tradnl"/>
                        </w:rPr>
                        <w:t>.</w:t>
                      </w:r>
                    </w:p>
                    <w:p w14:paraId="7DE4317E" w14:textId="77777777" w:rsidR="009D3775" w:rsidRPr="00890650" w:rsidRDefault="009D3775" w:rsidP="00DD3D86">
                      <w:pPr>
                        <w:tabs>
                          <w:tab w:val="center" w:pos="5400"/>
                        </w:tabs>
                        <w:suppressAutoHyphens/>
                        <w:spacing w:before="60"/>
                        <w:rPr>
                          <w:rFonts w:asciiTheme="majorHAnsi" w:hAnsiTheme="majorHAnsi"/>
                          <w:color w:val="0D0D0D" w:themeColor="text1" w:themeTint="F2"/>
                          <w:sz w:val="18"/>
                          <w:szCs w:val="22"/>
                          <w:lang w:val="es-ES"/>
                        </w:rPr>
                      </w:pPr>
                    </w:p>
                    <w:p w14:paraId="364BAD2E" w14:textId="77777777" w:rsidR="009D3775" w:rsidRPr="007A5817" w:rsidRDefault="009D3775" w:rsidP="00247403">
                      <w:pPr>
                        <w:tabs>
                          <w:tab w:val="center" w:pos="5400"/>
                        </w:tabs>
                        <w:suppressAutoHyphens/>
                        <w:spacing w:before="60"/>
                        <w:rPr>
                          <w:rFonts w:asciiTheme="minorHAnsi" w:hAnsiTheme="minorHAnsi" w:cs="Univers"/>
                          <w:color w:val="0D0D0D" w:themeColor="text1" w:themeTint="F2"/>
                          <w:sz w:val="20"/>
                          <w:szCs w:val="20"/>
                          <w:lang w:val="es-ES"/>
                        </w:rPr>
                      </w:pPr>
                    </w:p>
                    <w:p w14:paraId="103F81AD" w14:textId="77777777" w:rsidR="009D3775" w:rsidRPr="00167A34" w:rsidRDefault="009D3775"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118E451" w14:textId="77777777" w:rsidR="00A50FCF" w:rsidRPr="007607D3" w:rsidRDefault="00A50FCF" w:rsidP="00040C3A">
      <w:pPr>
        <w:tabs>
          <w:tab w:val="center" w:pos="5400"/>
        </w:tabs>
        <w:suppressAutoHyphens/>
        <w:jc w:val="center"/>
        <w:rPr>
          <w:rFonts w:asciiTheme="majorHAnsi" w:hAnsiTheme="majorHAnsi"/>
          <w:sz w:val="18"/>
          <w:szCs w:val="22"/>
          <w:lang w:val="es-ES_tradnl"/>
        </w:rPr>
      </w:pPr>
    </w:p>
    <w:p w14:paraId="02FBBB17" w14:textId="77777777" w:rsidR="00A50FCF" w:rsidRPr="007607D3" w:rsidRDefault="00A50FCF" w:rsidP="00040C3A">
      <w:pPr>
        <w:tabs>
          <w:tab w:val="center" w:pos="5400"/>
        </w:tabs>
        <w:suppressAutoHyphens/>
        <w:jc w:val="center"/>
        <w:rPr>
          <w:rFonts w:asciiTheme="majorHAnsi" w:hAnsiTheme="majorHAnsi"/>
          <w:sz w:val="18"/>
          <w:szCs w:val="22"/>
          <w:lang w:val="es-ES_tradnl"/>
        </w:rPr>
      </w:pPr>
    </w:p>
    <w:p w14:paraId="0E4515A9" w14:textId="77777777" w:rsidR="00A50FCF" w:rsidRPr="007607D3" w:rsidRDefault="00A50FCF" w:rsidP="00040C3A">
      <w:pPr>
        <w:tabs>
          <w:tab w:val="center" w:pos="5400"/>
        </w:tabs>
        <w:suppressAutoHyphens/>
        <w:jc w:val="center"/>
        <w:rPr>
          <w:rFonts w:asciiTheme="majorHAnsi" w:hAnsiTheme="majorHAnsi"/>
          <w:sz w:val="18"/>
          <w:szCs w:val="22"/>
          <w:lang w:val="es-ES_tradnl"/>
        </w:rPr>
      </w:pPr>
    </w:p>
    <w:p w14:paraId="0B5C9FA2" w14:textId="77777777" w:rsidR="00A50FCF" w:rsidRPr="007607D3" w:rsidRDefault="00A50FCF" w:rsidP="00040C3A">
      <w:pPr>
        <w:tabs>
          <w:tab w:val="center" w:pos="5400"/>
        </w:tabs>
        <w:suppressAutoHyphens/>
        <w:jc w:val="center"/>
        <w:rPr>
          <w:rFonts w:asciiTheme="majorHAnsi" w:hAnsiTheme="majorHAnsi"/>
          <w:sz w:val="18"/>
          <w:szCs w:val="22"/>
          <w:lang w:val="es-ES_tradnl"/>
        </w:rPr>
      </w:pPr>
    </w:p>
    <w:p w14:paraId="7B64CCE9" w14:textId="77777777" w:rsidR="00A50FCF" w:rsidRPr="007607D3" w:rsidRDefault="0090270B" w:rsidP="00040C3A">
      <w:pPr>
        <w:tabs>
          <w:tab w:val="center" w:pos="5400"/>
        </w:tabs>
        <w:suppressAutoHyphens/>
        <w:jc w:val="center"/>
        <w:rPr>
          <w:rFonts w:asciiTheme="majorHAnsi" w:hAnsiTheme="majorHAnsi"/>
          <w:sz w:val="18"/>
          <w:szCs w:val="22"/>
          <w:lang w:val="es-ES_tradnl"/>
        </w:rPr>
      </w:pPr>
      <w:r w:rsidRPr="007607D3">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476AEC32" wp14:editId="6BF4058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87DB83" w14:textId="77777777" w:rsidR="009D3775" w:rsidRPr="00E82D96" w:rsidRDefault="009D3775" w:rsidP="00113F73">
                            <w:pPr>
                              <w:spacing w:line="276" w:lineRule="auto"/>
                              <w:rPr>
                                <w:rFonts w:asciiTheme="majorHAnsi" w:hAnsiTheme="majorHAnsi"/>
                                <w:color w:val="595959" w:themeColor="text1" w:themeTint="A6"/>
                                <w:sz w:val="18"/>
                                <w:szCs w:val="18"/>
                                <w:lang w:val="es-VE"/>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Pr="007F22A8">
                              <w:rPr>
                                <w:rFonts w:asciiTheme="majorHAnsi" w:hAnsiTheme="majorHAnsi"/>
                                <w:color w:val="595959" w:themeColor="text1" w:themeTint="A6"/>
                                <w:sz w:val="18"/>
                                <w:szCs w:val="18"/>
                                <w:lang w:val="pt-BR"/>
                              </w:rPr>
                              <w:t xml:space="preserve"> </w:t>
                            </w:r>
                            <w:r w:rsidR="00F040C7">
                              <w:rPr>
                                <w:rFonts w:asciiTheme="majorHAnsi" w:hAnsiTheme="majorHAnsi"/>
                                <w:color w:val="595959" w:themeColor="text1" w:themeTint="A6"/>
                                <w:sz w:val="18"/>
                                <w:szCs w:val="18"/>
                                <w:lang w:val="pt-BR"/>
                              </w:rPr>
                              <w:t>31</w:t>
                            </w:r>
                            <w:r>
                              <w:rPr>
                                <w:rFonts w:asciiTheme="majorHAnsi" w:hAnsiTheme="majorHAnsi"/>
                                <w:color w:val="595959" w:themeColor="text1" w:themeTint="A6"/>
                                <w:sz w:val="18"/>
                                <w:szCs w:val="18"/>
                                <w:lang w:val="pt-BR"/>
                              </w:rPr>
                              <w:t>/</w:t>
                            </w:r>
                            <w:r w:rsidR="00F040C7">
                              <w:rPr>
                                <w:rFonts w:asciiTheme="majorHAnsi" w:hAnsiTheme="majorHAnsi"/>
                                <w:color w:val="595959" w:themeColor="text1" w:themeTint="A6"/>
                                <w:sz w:val="18"/>
                                <w:szCs w:val="18"/>
                                <w:lang w:val="pt-BR"/>
                              </w:rPr>
                              <w:t>20</w:t>
                            </w:r>
                            <w:r w:rsidRPr="00DD5079">
                              <w:rPr>
                                <w:rFonts w:asciiTheme="majorHAnsi" w:hAnsiTheme="majorHAnsi"/>
                                <w:color w:val="595959" w:themeColor="text1" w:themeTint="A6"/>
                                <w:sz w:val="18"/>
                                <w:szCs w:val="18"/>
                                <w:lang w:val="pt-BR"/>
                              </w:rPr>
                              <w:t xml:space="preserve">, Caso 12.332. </w:t>
                            </w:r>
                            <w:r w:rsidRPr="00E82D96">
                              <w:rPr>
                                <w:rFonts w:asciiTheme="majorHAnsi" w:hAnsiTheme="majorHAnsi"/>
                                <w:color w:val="595959" w:themeColor="text1" w:themeTint="A6"/>
                                <w:sz w:val="18"/>
                                <w:szCs w:val="18"/>
                                <w:lang w:val="es-VE"/>
                              </w:rPr>
                              <w:t xml:space="preserve">Fondo (Publicación). Margarida Maria Alves y familiares. Brasil. </w:t>
                            </w:r>
                            <w:r w:rsidR="00F040C7">
                              <w:rPr>
                                <w:rFonts w:asciiTheme="majorHAnsi" w:hAnsiTheme="majorHAnsi"/>
                                <w:color w:val="595959" w:themeColor="text1" w:themeTint="A6"/>
                                <w:sz w:val="18"/>
                                <w:szCs w:val="18"/>
                                <w:lang w:val="es-VE"/>
                              </w:rPr>
                              <w:t>26</w:t>
                            </w:r>
                            <w:r w:rsidRPr="00E82D96">
                              <w:rPr>
                                <w:rFonts w:asciiTheme="majorHAnsi" w:hAnsiTheme="majorHAnsi"/>
                                <w:color w:val="595959" w:themeColor="text1" w:themeTint="A6"/>
                                <w:sz w:val="18"/>
                                <w:szCs w:val="18"/>
                                <w:lang w:val="es-VE"/>
                              </w:rPr>
                              <w:t xml:space="preserve"> de </w:t>
                            </w:r>
                            <w:r w:rsidR="00F040C7">
                              <w:rPr>
                                <w:rFonts w:asciiTheme="majorHAnsi" w:hAnsiTheme="majorHAnsi"/>
                                <w:color w:val="595959" w:themeColor="text1" w:themeTint="A6"/>
                                <w:sz w:val="18"/>
                                <w:szCs w:val="18"/>
                                <w:lang w:val="es-VE"/>
                              </w:rPr>
                              <w:t>abril</w:t>
                            </w:r>
                            <w:r>
                              <w:rPr>
                                <w:rFonts w:asciiTheme="majorHAnsi" w:hAnsiTheme="majorHAnsi"/>
                                <w:color w:val="595959" w:themeColor="text1" w:themeTint="A6"/>
                                <w:sz w:val="18"/>
                                <w:szCs w:val="18"/>
                                <w:lang w:val="es-VE"/>
                              </w:rPr>
                              <w:t xml:space="preserve"> de 20</w:t>
                            </w:r>
                            <w:r w:rsidR="00F040C7">
                              <w:rPr>
                                <w:rFonts w:asciiTheme="majorHAnsi" w:hAnsiTheme="majorHAnsi"/>
                                <w:color w:val="595959" w:themeColor="text1" w:themeTint="A6"/>
                                <w:sz w:val="18"/>
                                <w:szCs w:val="18"/>
                                <w:lang w:val="es-VE"/>
                              </w:rPr>
                              <w:t>20</w:t>
                            </w:r>
                            <w:r w:rsidRPr="00E82D96">
                              <w:rPr>
                                <w:rFonts w:asciiTheme="majorHAnsi" w:hAnsiTheme="majorHAnsi"/>
                                <w:color w:val="595959" w:themeColor="text1" w:themeTint="A6"/>
                                <w:sz w:val="18"/>
                                <w:szCs w:val="18"/>
                                <w:lang w:val="es-V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AEC32"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1587DB83" w14:textId="77777777" w:rsidR="009D3775" w:rsidRPr="00E82D96" w:rsidRDefault="009D3775" w:rsidP="00113F73">
                      <w:pPr>
                        <w:spacing w:line="276" w:lineRule="auto"/>
                        <w:rPr>
                          <w:rFonts w:asciiTheme="majorHAnsi" w:hAnsiTheme="majorHAnsi"/>
                          <w:color w:val="595959" w:themeColor="text1" w:themeTint="A6"/>
                          <w:sz w:val="18"/>
                          <w:szCs w:val="18"/>
                          <w:lang w:val="es-VE"/>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Pr="007F22A8">
                        <w:rPr>
                          <w:rFonts w:asciiTheme="majorHAnsi" w:hAnsiTheme="majorHAnsi"/>
                          <w:color w:val="595959" w:themeColor="text1" w:themeTint="A6"/>
                          <w:sz w:val="18"/>
                          <w:szCs w:val="18"/>
                          <w:lang w:val="pt-BR"/>
                        </w:rPr>
                        <w:t xml:space="preserve"> </w:t>
                      </w:r>
                      <w:r w:rsidR="00F040C7">
                        <w:rPr>
                          <w:rFonts w:asciiTheme="majorHAnsi" w:hAnsiTheme="majorHAnsi"/>
                          <w:color w:val="595959" w:themeColor="text1" w:themeTint="A6"/>
                          <w:sz w:val="18"/>
                          <w:szCs w:val="18"/>
                          <w:lang w:val="pt-BR"/>
                        </w:rPr>
                        <w:t>31</w:t>
                      </w:r>
                      <w:r>
                        <w:rPr>
                          <w:rFonts w:asciiTheme="majorHAnsi" w:hAnsiTheme="majorHAnsi"/>
                          <w:color w:val="595959" w:themeColor="text1" w:themeTint="A6"/>
                          <w:sz w:val="18"/>
                          <w:szCs w:val="18"/>
                          <w:lang w:val="pt-BR"/>
                        </w:rPr>
                        <w:t>/</w:t>
                      </w:r>
                      <w:r w:rsidR="00F040C7">
                        <w:rPr>
                          <w:rFonts w:asciiTheme="majorHAnsi" w:hAnsiTheme="majorHAnsi"/>
                          <w:color w:val="595959" w:themeColor="text1" w:themeTint="A6"/>
                          <w:sz w:val="18"/>
                          <w:szCs w:val="18"/>
                          <w:lang w:val="pt-BR"/>
                        </w:rPr>
                        <w:t>20</w:t>
                      </w:r>
                      <w:r w:rsidRPr="00DD5079">
                        <w:rPr>
                          <w:rFonts w:asciiTheme="majorHAnsi" w:hAnsiTheme="majorHAnsi"/>
                          <w:color w:val="595959" w:themeColor="text1" w:themeTint="A6"/>
                          <w:sz w:val="18"/>
                          <w:szCs w:val="18"/>
                          <w:lang w:val="pt-BR"/>
                        </w:rPr>
                        <w:t xml:space="preserve">, Caso 12.332. </w:t>
                      </w:r>
                      <w:r w:rsidRPr="00E82D96">
                        <w:rPr>
                          <w:rFonts w:asciiTheme="majorHAnsi" w:hAnsiTheme="majorHAnsi"/>
                          <w:color w:val="595959" w:themeColor="text1" w:themeTint="A6"/>
                          <w:sz w:val="18"/>
                          <w:szCs w:val="18"/>
                          <w:lang w:val="es-VE"/>
                        </w:rPr>
                        <w:t xml:space="preserve">Fondo (Publicación). Margarida Maria Alves y familiares. Brasil. </w:t>
                      </w:r>
                      <w:r w:rsidR="00F040C7">
                        <w:rPr>
                          <w:rFonts w:asciiTheme="majorHAnsi" w:hAnsiTheme="majorHAnsi"/>
                          <w:color w:val="595959" w:themeColor="text1" w:themeTint="A6"/>
                          <w:sz w:val="18"/>
                          <w:szCs w:val="18"/>
                          <w:lang w:val="es-VE"/>
                        </w:rPr>
                        <w:t>26</w:t>
                      </w:r>
                      <w:r w:rsidRPr="00E82D96">
                        <w:rPr>
                          <w:rFonts w:asciiTheme="majorHAnsi" w:hAnsiTheme="majorHAnsi"/>
                          <w:color w:val="595959" w:themeColor="text1" w:themeTint="A6"/>
                          <w:sz w:val="18"/>
                          <w:szCs w:val="18"/>
                          <w:lang w:val="es-VE"/>
                        </w:rPr>
                        <w:t xml:space="preserve"> de </w:t>
                      </w:r>
                      <w:r w:rsidR="00F040C7">
                        <w:rPr>
                          <w:rFonts w:asciiTheme="majorHAnsi" w:hAnsiTheme="majorHAnsi"/>
                          <w:color w:val="595959" w:themeColor="text1" w:themeTint="A6"/>
                          <w:sz w:val="18"/>
                          <w:szCs w:val="18"/>
                          <w:lang w:val="es-VE"/>
                        </w:rPr>
                        <w:t>abril</w:t>
                      </w:r>
                      <w:r>
                        <w:rPr>
                          <w:rFonts w:asciiTheme="majorHAnsi" w:hAnsiTheme="majorHAnsi"/>
                          <w:color w:val="595959" w:themeColor="text1" w:themeTint="A6"/>
                          <w:sz w:val="18"/>
                          <w:szCs w:val="18"/>
                          <w:lang w:val="es-VE"/>
                        </w:rPr>
                        <w:t xml:space="preserve"> de 20</w:t>
                      </w:r>
                      <w:r w:rsidR="00F040C7">
                        <w:rPr>
                          <w:rFonts w:asciiTheme="majorHAnsi" w:hAnsiTheme="majorHAnsi"/>
                          <w:color w:val="595959" w:themeColor="text1" w:themeTint="A6"/>
                          <w:sz w:val="18"/>
                          <w:szCs w:val="18"/>
                          <w:lang w:val="es-VE"/>
                        </w:rPr>
                        <w:t>20</w:t>
                      </w:r>
                      <w:r w:rsidRPr="00E82D96">
                        <w:rPr>
                          <w:rFonts w:asciiTheme="majorHAnsi" w:hAnsiTheme="majorHAnsi"/>
                          <w:color w:val="595959" w:themeColor="text1" w:themeTint="A6"/>
                          <w:sz w:val="18"/>
                          <w:szCs w:val="18"/>
                          <w:lang w:val="es-VE"/>
                        </w:rPr>
                        <w:t xml:space="preserve">. </w:t>
                      </w:r>
                    </w:p>
                  </w:txbxContent>
                </v:textbox>
              </v:shape>
            </w:pict>
          </mc:Fallback>
        </mc:AlternateContent>
      </w:r>
    </w:p>
    <w:p w14:paraId="6515F649" w14:textId="77777777" w:rsidR="00A50FCF" w:rsidRPr="007607D3" w:rsidRDefault="00A50FCF" w:rsidP="00040C3A">
      <w:pPr>
        <w:tabs>
          <w:tab w:val="center" w:pos="5400"/>
        </w:tabs>
        <w:suppressAutoHyphens/>
        <w:jc w:val="center"/>
        <w:rPr>
          <w:rFonts w:asciiTheme="majorHAnsi" w:hAnsiTheme="majorHAnsi"/>
          <w:sz w:val="18"/>
          <w:szCs w:val="22"/>
          <w:lang w:val="es-ES_tradnl"/>
        </w:rPr>
      </w:pPr>
    </w:p>
    <w:p w14:paraId="1696413D" w14:textId="77777777" w:rsidR="0090270B" w:rsidRPr="007607D3" w:rsidRDefault="00D306D1" w:rsidP="005516A1">
      <w:pPr>
        <w:tabs>
          <w:tab w:val="center" w:pos="5400"/>
        </w:tabs>
        <w:suppressAutoHyphens/>
        <w:jc w:val="center"/>
        <w:rPr>
          <w:rFonts w:asciiTheme="majorHAnsi" w:hAnsiTheme="majorHAnsi"/>
          <w:b/>
          <w:sz w:val="20"/>
          <w:lang w:val="es-ES_tradnl"/>
        </w:rPr>
      </w:pPr>
      <w:r w:rsidRPr="007607D3">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B857500" wp14:editId="19E629D7">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E5FBEF" w14:textId="77777777" w:rsidR="009D3775" w:rsidRPr="00D72DC6" w:rsidRDefault="009D3775"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11F86E2" wp14:editId="41867BE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57500"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5AE5FBEF" w14:textId="77777777" w:rsidR="009D3775" w:rsidRPr="00D72DC6" w:rsidRDefault="009D3775"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11F86E2" wp14:editId="41867BE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7607D3">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2DDFD05C" wp14:editId="7E49162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0D881E" w14:textId="77777777" w:rsidR="009D3775" w:rsidRPr="004B7EB6" w:rsidRDefault="009D377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FD05C"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250D881E" w14:textId="77777777" w:rsidR="009D3775" w:rsidRPr="004B7EB6" w:rsidRDefault="009D377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D517829" w14:textId="77777777" w:rsidR="0070697F" w:rsidRPr="007607D3" w:rsidRDefault="0070697F" w:rsidP="005516A1">
      <w:pPr>
        <w:tabs>
          <w:tab w:val="center" w:pos="5400"/>
        </w:tabs>
        <w:suppressAutoHyphens/>
        <w:jc w:val="center"/>
        <w:rPr>
          <w:rFonts w:asciiTheme="majorHAnsi" w:hAnsiTheme="majorHAnsi"/>
          <w:b/>
          <w:sz w:val="20"/>
          <w:lang w:val="es-ES_tradnl"/>
        </w:rPr>
        <w:sectPr w:rsidR="0070697F" w:rsidRPr="007607D3"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597B7CCF" w14:textId="77777777" w:rsidR="0070697F" w:rsidRPr="007607D3" w:rsidRDefault="0070697F" w:rsidP="00120B6A">
      <w:pPr>
        <w:tabs>
          <w:tab w:val="center" w:pos="5400"/>
        </w:tabs>
        <w:suppressAutoHyphens/>
        <w:spacing w:line="276" w:lineRule="auto"/>
        <w:rPr>
          <w:rFonts w:asciiTheme="majorHAnsi" w:hAnsiTheme="majorHAnsi"/>
          <w:sz w:val="20"/>
          <w:szCs w:val="20"/>
          <w:lang w:val="pt-BR"/>
        </w:rPr>
      </w:pPr>
    </w:p>
    <w:sdt>
      <w:sdtPr>
        <w:rPr>
          <w:rFonts w:ascii="Times New Roman" w:eastAsia="Arial Unicode MS" w:hAnsi="Times New Roman" w:cs="Times New Roman"/>
          <w:b w:val="0"/>
          <w:bCs w:val="0"/>
          <w:color w:val="auto"/>
          <w:sz w:val="20"/>
          <w:szCs w:val="20"/>
          <w:bdr w:val="nil"/>
          <w:lang w:eastAsia="en-US"/>
        </w:rPr>
        <w:id w:val="2143993344"/>
        <w:docPartObj>
          <w:docPartGallery w:val="Table of Contents"/>
          <w:docPartUnique/>
        </w:docPartObj>
      </w:sdtPr>
      <w:sdtEndPr>
        <w:rPr>
          <w:noProof/>
        </w:rPr>
      </w:sdtEndPr>
      <w:sdtContent>
        <w:p w14:paraId="716FE8B6" w14:textId="77777777" w:rsidR="00560837" w:rsidRPr="00361A4F" w:rsidRDefault="00560837">
          <w:pPr>
            <w:pStyle w:val="TOCHeading"/>
            <w:rPr>
              <w:sz w:val="20"/>
              <w:szCs w:val="20"/>
            </w:rPr>
          </w:pPr>
        </w:p>
        <w:p w14:paraId="1B2DF1F1" w14:textId="38C3EB04" w:rsidR="00303FF6" w:rsidRDefault="00560837">
          <w:pPr>
            <w:pStyle w:val="TOC1"/>
            <w:rPr>
              <w:rFonts w:asciiTheme="minorHAnsi" w:eastAsiaTheme="minorEastAsia" w:hAnsiTheme="minorHAnsi" w:cstheme="minorBidi"/>
              <w:b w:val="0"/>
              <w:sz w:val="22"/>
              <w:szCs w:val="22"/>
              <w:bdr w:val="none" w:sz="0" w:space="0" w:color="auto"/>
              <w:lang w:val="en-US"/>
            </w:rPr>
          </w:pPr>
          <w:r w:rsidRPr="00361A4F">
            <w:fldChar w:fldCharType="begin"/>
          </w:r>
          <w:r w:rsidRPr="00361A4F">
            <w:instrText xml:space="preserve"> TOC \o "1-3" \h \z \u </w:instrText>
          </w:r>
          <w:r w:rsidRPr="00361A4F">
            <w:fldChar w:fldCharType="separate"/>
          </w:r>
          <w:hyperlink w:anchor="_Toc86071584" w:history="1">
            <w:r w:rsidR="00303FF6" w:rsidRPr="00A3035A">
              <w:rPr>
                <w:rStyle w:val="Hyperlink"/>
                <w:lang w:val="pt-BR"/>
              </w:rPr>
              <w:t>I.</w:t>
            </w:r>
            <w:r w:rsidR="00303FF6">
              <w:rPr>
                <w:rFonts w:asciiTheme="minorHAnsi" w:eastAsiaTheme="minorEastAsia" w:hAnsiTheme="minorHAnsi" w:cstheme="minorBidi"/>
                <w:b w:val="0"/>
                <w:sz w:val="22"/>
                <w:szCs w:val="22"/>
                <w:bdr w:val="none" w:sz="0" w:space="0" w:color="auto"/>
                <w:lang w:val="en-US"/>
              </w:rPr>
              <w:tab/>
            </w:r>
            <w:r w:rsidR="00303FF6" w:rsidRPr="00A3035A">
              <w:rPr>
                <w:rStyle w:val="Hyperlink"/>
                <w:lang w:val="pt-BR"/>
              </w:rPr>
              <w:t>RESUMEN</w:t>
            </w:r>
            <w:r w:rsidR="00303FF6">
              <w:rPr>
                <w:webHidden/>
              </w:rPr>
              <w:tab/>
            </w:r>
            <w:r w:rsidR="00303FF6">
              <w:rPr>
                <w:webHidden/>
              </w:rPr>
              <w:fldChar w:fldCharType="begin"/>
            </w:r>
            <w:r w:rsidR="00303FF6">
              <w:rPr>
                <w:webHidden/>
              </w:rPr>
              <w:instrText xml:space="preserve"> PAGEREF _Toc86071584 \h </w:instrText>
            </w:r>
            <w:r w:rsidR="00303FF6">
              <w:rPr>
                <w:webHidden/>
              </w:rPr>
            </w:r>
            <w:r w:rsidR="00303FF6">
              <w:rPr>
                <w:webHidden/>
              </w:rPr>
              <w:fldChar w:fldCharType="separate"/>
            </w:r>
            <w:r w:rsidR="00825923">
              <w:rPr>
                <w:webHidden/>
              </w:rPr>
              <w:t>3</w:t>
            </w:r>
            <w:r w:rsidR="00303FF6">
              <w:rPr>
                <w:webHidden/>
              </w:rPr>
              <w:fldChar w:fldCharType="end"/>
            </w:r>
          </w:hyperlink>
        </w:p>
        <w:p w14:paraId="4CA76452" w14:textId="2431890F" w:rsidR="00303FF6" w:rsidRDefault="00825923">
          <w:pPr>
            <w:pStyle w:val="TOC1"/>
            <w:rPr>
              <w:rFonts w:asciiTheme="minorHAnsi" w:eastAsiaTheme="minorEastAsia" w:hAnsiTheme="minorHAnsi" w:cstheme="minorBidi"/>
              <w:b w:val="0"/>
              <w:sz w:val="22"/>
              <w:szCs w:val="22"/>
              <w:bdr w:val="none" w:sz="0" w:space="0" w:color="auto"/>
              <w:lang w:val="en-US"/>
            </w:rPr>
          </w:pPr>
          <w:hyperlink w:anchor="_Toc86071585" w:history="1">
            <w:r w:rsidR="00303FF6" w:rsidRPr="00A3035A">
              <w:rPr>
                <w:rStyle w:val="Hyperlink"/>
              </w:rPr>
              <w:t>II.</w:t>
            </w:r>
            <w:r w:rsidR="00303FF6">
              <w:rPr>
                <w:rFonts w:asciiTheme="minorHAnsi" w:eastAsiaTheme="minorEastAsia" w:hAnsiTheme="minorHAnsi" w:cstheme="minorBidi"/>
                <w:b w:val="0"/>
                <w:sz w:val="22"/>
                <w:szCs w:val="22"/>
                <w:bdr w:val="none" w:sz="0" w:space="0" w:color="auto"/>
                <w:lang w:val="en-US"/>
              </w:rPr>
              <w:tab/>
            </w:r>
            <w:r w:rsidR="00303FF6" w:rsidRPr="00A3035A">
              <w:rPr>
                <w:rStyle w:val="Hyperlink"/>
              </w:rPr>
              <w:t>ALEGATOS DE LAS PARTES</w:t>
            </w:r>
            <w:r w:rsidR="00303FF6">
              <w:rPr>
                <w:webHidden/>
              </w:rPr>
              <w:tab/>
            </w:r>
            <w:r w:rsidR="00303FF6">
              <w:rPr>
                <w:webHidden/>
              </w:rPr>
              <w:fldChar w:fldCharType="begin"/>
            </w:r>
            <w:r w:rsidR="00303FF6">
              <w:rPr>
                <w:webHidden/>
              </w:rPr>
              <w:instrText xml:space="preserve"> PAGEREF _Toc86071585 \h </w:instrText>
            </w:r>
            <w:r w:rsidR="00303FF6">
              <w:rPr>
                <w:webHidden/>
              </w:rPr>
            </w:r>
            <w:r w:rsidR="00303FF6">
              <w:rPr>
                <w:webHidden/>
              </w:rPr>
              <w:fldChar w:fldCharType="separate"/>
            </w:r>
            <w:r>
              <w:rPr>
                <w:webHidden/>
              </w:rPr>
              <w:t>3</w:t>
            </w:r>
            <w:r w:rsidR="00303FF6">
              <w:rPr>
                <w:webHidden/>
              </w:rPr>
              <w:fldChar w:fldCharType="end"/>
            </w:r>
          </w:hyperlink>
        </w:p>
        <w:p w14:paraId="4CC0795A" w14:textId="5BCA6E50" w:rsidR="00303FF6" w:rsidRDefault="00825923">
          <w:pPr>
            <w:pStyle w:val="TOC2"/>
            <w:rPr>
              <w:rFonts w:asciiTheme="minorHAnsi" w:eastAsiaTheme="minorEastAsia" w:hAnsiTheme="minorHAnsi" w:cstheme="minorBidi"/>
              <w:noProof/>
              <w:sz w:val="22"/>
              <w:szCs w:val="22"/>
              <w:bdr w:val="none" w:sz="0" w:space="0" w:color="auto"/>
            </w:rPr>
          </w:pPr>
          <w:hyperlink w:anchor="_Toc86071586" w:history="1">
            <w:r w:rsidR="00303FF6" w:rsidRPr="00A3035A">
              <w:rPr>
                <w:rStyle w:val="Hyperlink"/>
                <w:rFonts w:asciiTheme="majorHAnsi" w:hAnsiTheme="majorHAnsi"/>
                <w:noProof/>
                <w:lang w:val="es-VE"/>
              </w:rPr>
              <w:t>A.</w:t>
            </w:r>
            <w:r w:rsidR="00303FF6">
              <w:rPr>
                <w:rFonts w:asciiTheme="minorHAnsi" w:eastAsiaTheme="minorEastAsia" w:hAnsiTheme="minorHAnsi" w:cstheme="minorBidi"/>
                <w:noProof/>
                <w:sz w:val="22"/>
                <w:szCs w:val="22"/>
                <w:bdr w:val="none" w:sz="0" w:space="0" w:color="auto"/>
              </w:rPr>
              <w:tab/>
            </w:r>
            <w:r w:rsidR="00303FF6" w:rsidRPr="00A3035A">
              <w:rPr>
                <w:rStyle w:val="Hyperlink"/>
                <w:rFonts w:asciiTheme="majorHAnsi" w:hAnsiTheme="majorHAnsi"/>
                <w:noProof/>
                <w:lang w:val="es-VE"/>
              </w:rPr>
              <w:t>Posición de los peticionarios</w:t>
            </w:r>
            <w:r w:rsidR="00303FF6">
              <w:rPr>
                <w:noProof/>
                <w:webHidden/>
              </w:rPr>
              <w:tab/>
            </w:r>
            <w:r w:rsidR="00303FF6">
              <w:rPr>
                <w:noProof/>
                <w:webHidden/>
              </w:rPr>
              <w:fldChar w:fldCharType="begin"/>
            </w:r>
            <w:r w:rsidR="00303FF6">
              <w:rPr>
                <w:noProof/>
                <w:webHidden/>
              </w:rPr>
              <w:instrText xml:space="preserve"> PAGEREF _Toc86071586 \h </w:instrText>
            </w:r>
            <w:r w:rsidR="00303FF6">
              <w:rPr>
                <w:noProof/>
                <w:webHidden/>
              </w:rPr>
            </w:r>
            <w:r w:rsidR="00303FF6">
              <w:rPr>
                <w:noProof/>
                <w:webHidden/>
              </w:rPr>
              <w:fldChar w:fldCharType="separate"/>
            </w:r>
            <w:r>
              <w:rPr>
                <w:noProof/>
                <w:webHidden/>
              </w:rPr>
              <w:t>3</w:t>
            </w:r>
            <w:r w:rsidR="00303FF6">
              <w:rPr>
                <w:noProof/>
                <w:webHidden/>
              </w:rPr>
              <w:fldChar w:fldCharType="end"/>
            </w:r>
          </w:hyperlink>
        </w:p>
        <w:p w14:paraId="0EFC4A30" w14:textId="39D1EF15" w:rsidR="00303FF6" w:rsidRDefault="00825923">
          <w:pPr>
            <w:pStyle w:val="TOC2"/>
            <w:rPr>
              <w:rFonts w:asciiTheme="minorHAnsi" w:eastAsiaTheme="minorEastAsia" w:hAnsiTheme="minorHAnsi" w:cstheme="minorBidi"/>
              <w:noProof/>
              <w:sz w:val="22"/>
              <w:szCs w:val="22"/>
              <w:bdr w:val="none" w:sz="0" w:space="0" w:color="auto"/>
            </w:rPr>
          </w:pPr>
          <w:hyperlink w:anchor="_Toc86071587" w:history="1">
            <w:r w:rsidR="00303FF6" w:rsidRPr="00A3035A">
              <w:rPr>
                <w:rStyle w:val="Hyperlink"/>
                <w:rFonts w:asciiTheme="majorHAnsi" w:hAnsiTheme="majorHAnsi"/>
                <w:noProof/>
              </w:rPr>
              <w:t>B.</w:t>
            </w:r>
            <w:r w:rsidR="00303FF6">
              <w:rPr>
                <w:rFonts w:asciiTheme="minorHAnsi" w:eastAsiaTheme="minorEastAsia" w:hAnsiTheme="minorHAnsi" w:cstheme="minorBidi"/>
                <w:noProof/>
                <w:sz w:val="22"/>
                <w:szCs w:val="22"/>
                <w:bdr w:val="none" w:sz="0" w:space="0" w:color="auto"/>
              </w:rPr>
              <w:tab/>
            </w:r>
            <w:r w:rsidR="00303FF6" w:rsidRPr="00A3035A">
              <w:rPr>
                <w:rStyle w:val="Hyperlink"/>
                <w:rFonts w:asciiTheme="majorHAnsi" w:hAnsiTheme="majorHAnsi"/>
                <w:noProof/>
              </w:rPr>
              <w:t>Posición del Estado</w:t>
            </w:r>
            <w:r w:rsidR="00303FF6">
              <w:rPr>
                <w:noProof/>
                <w:webHidden/>
              </w:rPr>
              <w:tab/>
            </w:r>
            <w:r w:rsidR="00303FF6">
              <w:rPr>
                <w:noProof/>
                <w:webHidden/>
              </w:rPr>
              <w:fldChar w:fldCharType="begin"/>
            </w:r>
            <w:r w:rsidR="00303FF6">
              <w:rPr>
                <w:noProof/>
                <w:webHidden/>
              </w:rPr>
              <w:instrText xml:space="preserve"> PAGEREF _Toc86071587 \h </w:instrText>
            </w:r>
            <w:r w:rsidR="00303FF6">
              <w:rPr>
                <w:noProof/>
                <w:webHidden/>
              </w:rPr>
            </w:r>
            <w:r w:rsidR="00303FF6">
              <w:rPr>
                <w:noProof/>
                <w:webHidden/>
              </w:rPr>
              <w:fldChar w:fldCharType="separate"/>
            </w:r>
            <w:r>
              <w:rPr>
                <w:noProof/>
                <w:webHidden/>
              </w:rPr>
              <w:t>4</w:t>
            </w:r>
            <w:r w:rsidR="00303FF6">
              <w:rPr>
                <w:noProof/>
                <w:webHidden/>
              </w:rPr>
              <w:fldChar w:fldCharType="end"/>
            </w:r>
          </w:hyperlink>
        </w:p>
        <w:p w14:paraId="7FB6DAC4" w14:textId="036F1E83" w:rsidR="00303FF6" w:rsidRDefault="00825923">
          <w:pPr>
            <w:pStyle w:val="TOC1"/>
            <w:rPr>
              <w:rFonts w:asciiTheme="minorHAnsi" w:eastAsiaTheme="minorEastAsia" w:hAnsiTheme="minorHAnsi" w:cstheme="minorBidi"/>
              <w:b w:val="0"/>
              <w:sz w:val="22"/>
              <w:szCs w:val="22"/>
              <w:bdr w:val="none" w:sz="0" w:space="0" w:color="auto"/>
              <w:lang w:val="en-US"/>
            </w:rPr>
          </w:pPr>
          <w:hyperlink w:anchor="_Toc86071588" w:history="1">
            <w:r w:rsidR="00303FF6" w:rsidRPr="00A3035A">
              <w:rPr>
                <w:rStyle w:val="Hyperlink"/>
              </w:rPr>
              <w:t>III.</w:t>
            </w:r>
            <w:r w:rsidR="00303FF6">
              <w:rPr>
                <w:rFonts w:asciiTheme="minorHAnsi" w:eastAsiaTheme="minorEastAsia" w:hAnsiTheme="minorHAnsi" w:cstheme="minorBidi"/>
                <w:b w:val="0"/>
                <w:sz w:val="22"/>
                <w:szCs w:val="22"/>
                <w:bdr w:val="none" w:sz="0" w:space="0" w:color="auto"/>
                <w:lang w:val="en-US"/>
              </w:rPr>
              <w:tab/>
            </w:r>
            <w:r w:rsidR="00303FF6" w:rsidRPr="00A3035A">
              <w:rPr>
                <w:rStyle w:val="Hyperlink"/>
              </w:rPr>
              <w:t>DETERMINACIONES FÁCTICAS</w:t>
            </w:r>
            <w:r w:rsidR="00303FF6">
              <w:rPr>
                <w:webHidden/>
              </w:rPr>
              <w:tab/>
            </w:r>
            <w:r w:rsidR="00303FF6">
              <w:rPr>
                <w:webHidden/>
              </w:rPr>
              <w:fldChar w:fldCharType="begin"/>
            </w:r>
            <w:r w:rsidR="00303FF6">
              <w:rPr>
                <w:webHidden/>
              </w:rPr>
              <w:instrText xml:space="preserve"> PAGEREF _Toc86071588 \h </w:instrText>
            </w:r>
            <w:r w:rsidR="00303FF6">
              <w:rPr>
                <w:webHidden/>
              </w:rPr>
            </w:r>
            <w:r w:rsidR="00303FF6">
              <w:rPr>
                <w:webHidden/>
              </w:rPr>
              <w:fldChar w:fldCharType="separate"/>
            </w:r>
            <w:r>
              <w:rPr>
                <w:webHidden/>
              </w:rPr>
              <w:t>5</w:t>
            </w:r>
            <w:r w:rsidR="00303FF6">
              <w:rPr>
                <w:webHidden/>
              </w:rPr>
              <w:fldChar w:fldCharType="end"/>
            </w:r>
          </w:hyperlink>
        </w:p>
        <w:p w14:paraId="24F38E69" w14:textId="5FD68C96" w:rsidR="00303FF6" w:rsidRDefault="00825923">
          <w:pPr>
            <w:pStyle w:val="TOC2"/>
            <w:rPr>
              <w:rFonts w:asciiTheme="minorHAnsi" w:eastAsiaTheme="minorEastAsia" w:hAnsiTheme="minorHAnsi" w:cstheme="minorBidi"/>
              <w:noProof/>
              <w:sz w:val="22"/>
              <w:szCs w:val="22"/>
              <w:bdr w:val="none" w:sz="0" w:space="0" w:color="auto"/>
            </w:rPr>
          </w:pPr>
          <w:hyperlink w:anchor="_Toc86071589" w:history="1">
            <w:r w:rsidR="00303FF6" w:rsidRPr="00A3035A">
              <w:rPr>
                <w:rStyle w:val="Hyperlink"/>
                <w:rFonts w:ascii="Cambria" w:hAnsi="Cambria"/>
                <w:noProof/>
                <w:lang w:val="es-CO"/>
              </w:rPr>
              <w:t>A.</w:t>
            </w:r>
            <w:r w:rsidR="00303FF6">
              <w:rPr>
                <w:rFonts w:asciiTheme="minorHAnsi" w:eastAsiaTheme="minorEastAsia" w:hAnsiTheme="minorHAnsi" w:cstheme="minorBidi"/>
                <w:noProof/>
                <w:sz w:val="22"/>
                <w:szCs w:val="22"/>
                <w:bdr w:val="none" w:sz="0" w:space="0" w:color="auto"/>
              </w:rPr>
              <w:tab/>
            </w:r>
            <w:r w:rsidR="00303FF6" w:rsidRPr="00A3035A">
              <w:rPr>
                <w:rStyle w:val="Hyperlink"/>
                <w:rFonts w:ascii="Cambria" w:hAnsi="Cambria"/>
                <w:noProof/>
                <w:lang w:val="es-CO"/>
              </w:rPr>
              <w:t>Contexto de violencia contra defensoras y defensores de derechos laborales en el ámbito rural al momento de los hechos incluyendo el nordeste de Brasil</w:t>
            </w:r>
            <w:r w:rsidR="00303FF6">
              <w:rPr>
                <w:noProof/>
                <w:webHidden/>
              </w:rPr>
              <w:tab/>
            </w:r>
            <w:r w:rsidR="00303FF6">
              <w:rPr>
                <w:noProof/>
                <w:webHidden/>
              </w:rPr>
              <w:fldChar w:fldCharType="begin"/>
            </w:r>
            <w:r w:rsidR="00303FF6">
              <w:rPr>
                <w:noProof/>
                <w:webHidden/>
              </w:rPr>
              <w:instrText xml:space="preserve"> PAGEREF _Toc86071589 \h </w:instrText>
            </w:r>
            <w:r w:rsidR="00303FF6">
              <w:rPr>
                <w:noProof/>
                <w:webHidden/>
              </w:rPr>
            </w:r>
            <w:r w:rsidR="00303FF6">
              <w:rPr>
                <w:noProof/>
                <w:webHidden/>
              </w:rPr>
              <w:fldChar w:fldCharType="separate"/>
            </w:r>
            <w:r>
              <w:rPr>
                <w:noProof/>
                <w:webHidden/>
              </w:rPr>
              <w:t>5</w:t>
            </w:r>
            <w:r w:rsidR="00303FF6">
              <w:rPr>
                <w:noProof/>
                <w:webHidden/>
              </w:rPr>
              <w:fldChar w:fldCharType="end"/>
            </w:r>
          </w:hyperlink>
        </w:p>
        <w:p w14:paraId="2EAB19B4" w14:textId="52A94B56" w:rsidR="00303FF6" w:rsidRDefault="00825923">
          <w:pPr>
            <w:pStyle w:val="TOC2"/>
            <w:rPr>
              <w:rFonts w:asciiTheme="minorHAnsi" w:eastAsiaTheme="minorEastAsia" w:hAnsiTheme="minorHAnsi" w:cstheme="minorBidi"/>
              <w:noProof/>
              <w:sz w:val="22"/>
              <w:szCs w:val="22"/>
              <w:bdr w:val="none" w:sz="0" w:space="0" w:color="auto"/>
            </w:rPr>
          </w:pPr>
          <w:hyperlink w:anchor="_Toc86071590" w:history="1">
            <w:r w:rsidR="00303FF6" w:rsidRPr="00A3035A">
              <w:rPr>
                <w:rStyle w:val="Hyperlink"/>
                <w:rFonts w:ascii="Cambria" w:hAnsi="Cambria"/>
                <w:noProof/>
                <w:lang w:val="es-CO"/>
              </w:rPr>
              <w:t>B.</w:t>
            </w:r>
            <w:r w:rsidR="00303FF6">
              <w:rPr>
                <w:rFonts w:asciiTheme="minorHAnsi" w:eastAsiaTheme="minorEastAsia" w:hAnsiTheme="minorHAnsi" w:cstheme="minorBidi"/>
                <w:noProof/>
                <w:sz w:val="22"/>
                <w:szCs w:val="22"/>
                <w:bdr w:val="none" w:sz="0" w:space="0" w:color="auto"/>
              </w:rPr>
              <w:tab/>
            </w:r>
            <w:r w:rsidR="00303FF6" w:rsidRPr="00A3035A">
              <w:rPr>
                <w:rStyle w:val="Hyperlink"/>
                <w:rFonts w:ascii="Cambria" w:hAnsi="Cambria"/>
                <w:noProof/>
                <w:lang w:val="es-CO"/>
              </w:rPr>
              <w:t>Sobre Margarida Maria Alves, su trabajo en defensa de los derechos de los trabajadores rurales y amenazas y agresiones previas a su muerte</w:t>
            </w:r>
            <w:r w:rsidR="00303FF6">
              <w:rPr>
                <w:noProof/>
                <w:webHidden/>
              </w:rPr>
              <w:tab/>
            </w:r>
            <w:r w:rsidR="00303FF6">
              <w:rPr>
                <w:noProof/>
                <w:webHidden/>
              </w:rPr>
              <w:fldChar w:fldCharType="begin"/>
            </w:r>
            <w:r w:rsidR="00303FF6">
              <w:rPr>
                <w:noProof/>
                <w:webHidden/>
              </w:rPr>
              <w:instrText xml:space="preserve"> PAGEREF _Toc86071590 \h </w:instrText>
            </w:r>
            <w:r w:rsidR="00303FF6">
              <w:rPr>
                <w:noProof/>
                <w:webHidden/>
              </w:rPr>
            </w:r>
            <w:r w:rsidR="00303FF6">
              <w:rPr>
                <w:noProof/>
                <w:webHidden/>
              </w:rPr>
              <w:fldChar w:fldCharType="separate"/>
            </w:r>
            <w:r>
              <w:rPr>
                <w:noProof/>
                <w:webHidden/>
              </w:rPr>
              <w:t>7</w:t>
            </w:r>
            <w:r w:rsidR="00303FF6">
              <w:rPr>
                <w:noProof/>
                <w:webHidden/>
              </w:rPr>
              <w:fldChar w:fldCharType="end"/>
            </w:r>
          </w:hyperlink>
        </w:p>
        <w:p w14:paraId="7505D3C5" w14:textId="2057A58F" w:rsidR="00303FF6" w:rsidRDefault="00825923">
          <w:pPr>
            <w:pStyle w:val="TOC2"/>
            <w:rPr>
              <w:rFonts w:asciiTheme="minorHAnsi" w:eastAsiaTheme="minorEastAsia" w:hAnsiTheme="minorHAnsi" w:cstheme="minorBidi"/>
              <w:noProof/>
              <w:sz w:val="22"/>
              <w:szCs w:val="22"/>
              <w:bdr w:val="none" w:sz="0" w:space="0" w:color="auto"/>
            </w:rPr>
          </w:pPr>
          <w:hyperlink w:anchor="_Toc86071591" w:history="1">
            <w:r w:rsidR="00303FF6" w:rsidRPr="00A3035A">
              <w:rPr>
                <w:rStyle w:val="Hyperlink"/>
                <w:rFonts w:ascii="Cambria" w:hAnsi="Cambria"/>
                <w:noProof/>
                <w:lang w:val="es-CO"/>
              </w:rPr>
              <w:t>C.</w:t>
            </w:r>
            <w:r w:rsidR="00303FF6">
              <w:rPr>
                <w:rFonts w:asciiTheme="minorHAnsi" w:eastAsiaTheme="minorEastAsia" w:hAnsiTheme="minorHAnsi" w:cstheme="minorBidi"/>
                <w:noProof/>
                <w:sz w:val="22"/>
                <w:szCs w:val="22"/>
                <w:bdr w:val="none" w:sz="0" w:space="0" w:color="auto"/>
              </w:rPr>
              <w:tab/>
            </w:r>
            <w:r w:rsidR="00303FF6" w:rsidRPr="00A3035A">
              <w:rPr>
                <w:rStyle w:val="Hyperlink"/>
                <w:rFonts w:ascii="Cambria" w:hAnsi="Cambria"/>
                <w:noProof/>
                <w:lang w:val="es-CO"/>
              </w:rPr>
              <w:t>La muerte de la presunta víctima</w:t>
            </w:r>
            <w:r w:rsidR="00303FF6">
              <w:rPr>
                <w:noProof/>
                <w:webHidden/>
              </w:rPr>
              <w:tab/>
            </w:r>
            <w:r w:rsidR="00303FF6">
              <w:rPr>
                <w:noProof/>
                <w:webHidden/>
              </w:rPr>
              <w:fldChar w:fldCharType="begin"/>
            </w:r>
            <w:r w:rsidR="00303FF6">
              <w:rPr>
                <w:noProof/>
                <w:webHidden/>
              </w:rPr>
              <w:instrText xml:space="preserve"> PAGEREF _Toc86071591 \h </w:instrText>
            </w:r>
            <w:r w:rsidR="00303FF6">
              <w:rPr>
                <w:noProof/>
                <w:webHidden/>
              </w:rPr>
            </w:r>
            <w:r w:rsidR="00303FF6">
              <w:rPr>
                <w:noProof/>
                <w:webHidden/>
              </w:rPr>
              <w:fldChar w:fldCharType="separate"/>
            </w:r>
            <w:r>
              <w:rPr>
                <w:noProof/>
                <w:webHidden/>
              </w:rPr>
              <w:t>8</w:t>
            </w:r>
            <w:r w:rsidR="00303FF6">
              <w:rPr>
                <w:noProof/>
                <w:webHidden/>
              </w:rPr>
              <w:fldChar w:fldCharType="end"/>
            </w:r>
          </w:hyperlink>
        </w:p>
        <w:p w14:paraId="7B9A3468" w14:textId="3DA89EA6" w:rsidR="00303FF6" w:rsidRDefault="00825923">
          <w:pPr>
            <w:pStyle w:val="TOC2"/>
            <w:rPr>
              <w:rFonts w:asciiTheme="minorHAnsi" w:eastAsiaTheme="minorEastAsia" w:hAnsiTheme="minorHAnsi" w:cstheme="minorBidi"/>
              <w:noProof/>
              <w:sz w:val="22"/>
              <w:szCs w:val="22"/>
              <w:bdr w:val="none" w:sz="0" w:space="0" w:color="auto"/>
            </w:rPr>
          </w:pPr>
          <w:hyperlink w:anchor="_Toc86071592" w:history="1">
            <w:r w:rsidR="00303FF6" w:rsidRPr="00A3035A">
              <w:rPr>
                <w:rStyle w:val="Hyperlink"/>
                <w:rFonts w:ascii="Cambria" w:hAnsi="Cambria"/>
                <w:noProof/>
                <w:lang w:val="es-CO"/>
              </w:rPr>
              <w:t>D.</w:t>
            </w:r>
            <w:r w:rsidR="00303FF6">
              <w:rPr>
                <w:rFonts w:asciiTheme="minorHAnsi" w:eastAsiaTheme="minorEastAsia" w:hAnsiTheme="minorHAnsi" w:cstheme="minorBidi"/>
                <w:noProof/>
                <w:sz w:val="22"/>
                <w:szCs w:val="22"/>
                <w:bdr w:val="none" w:sz="0" w:space="0" w:color="auto"/>
              </w:rPr>
              <w:tab/>
            </w:r>
            <w:r w:rsidR="00303FF6" w:rsidRPr="00A3035A">
              <w:rPr>
                <w:rStyle w:val="Hyperlink"/>
                <w:rFonts w:ascii="Cambria" w:hAnsi="Cambria"/>
                <w:noProof/>
                <w:lang w:val="es-CO"/>
              </w:rPr>
              <w:t>Los procesos internos para investigar la muerte de la presunta víctima</w:t>
            </w:r>
            <w:r w:rsidR="00303FF6">
              <w:rPr>
                <w:noProof/>
                <w:webHidden/>
              </w:rPr>
              <w:tab/>
            </w:r>
            <w:r w:rsidR="00303FF6">
              <w:rPr>
                <w:noProof/>
                <w:webHidden/>
              </w:rPr>
              <w:fldChar w:fldCharType="begin"/>
            </w:r>
            <w:r w:rsidR="00303FF6">
              <w:rPr>
                <w:noProof/>
                <w:webHidden/>
              </w:rPr>
              <w:instrText xml:space="preserve"> PAGEREF _Toc86071592 \h </w:instrText>
            </w:r>
            <w:r w:rsidR="00303FF6">
              <w:rPr>
                <w:noProof/>
                <w:webHidden/>
              </w:rPr>
            </w:r>
            <w:r w:rsidR="00303FF6">
              <w:rPr>
                <w:noProof/>
                <w:webHidden/>
              </w:rPr>
              <w:fldChar w:fldCharType="separate"/>
            </w:r>
            <w:r>
              <w:rPr>
                <w:noProof/>
                <w:webHidden/>
              </w:rPr>
              <w:t>10</w:t>
            </w:r>
            <w:r w:rsidR="00303FF6">
              <w:rPr>
                <w:noProof/>
                <w:webHidden/>
              </w:rPr>
              <w:fldChar w:fldCharType="end"/>
            </w:r>
          </w:hyperlink>
        </w:p>
        <w:p w14:paraId="65D9861F" w14:textId="56A9DCED" w:rsidR="00303FF6" w:rsidRDefault="00825923">
          <w:pPr>
            <w:pStyle w:val="TOC3"/>
            <w:tabs>
              <w:tab w:val="left" w:pos="2160"/>
            </w:tabs>
            <w:rPr>
              <w:rFonts w:asciiTheme="minorHAnsi" w:eastAsiaTheme="minorEastAsia" w:hAnsiTheme="minorHAnsi" w:cstheme="minorBidi"/>
              <w:noProof/>
              <w:sz w:val="22"/>
              <w:szCs w:val="22"/>
              <w:bdr w:val="none" w:sz="0" w:space="0" w:color="auto"/>
            </w:rPr>
          </w:pPr>
          <w:hyperlink w:anchor="_Toc86071593" w:history="1">
            <w:r w:rsidR="00303FF6" w:rsidRPr="00A3035A">
              <w:rPr>
                <w:rStyle w:val="Hyperlink"/>
                <w:rFonts w:asciiTheme="majorHAnsi" w:hAnsiTheme="majorHAnsi"/>
                <w:noProof/>
                <w:lang w:val="es-CO"/>
              </w:rPr>
              <w:t>1.</w:t>
            </w:r>
            <w:r w:rsidR="00303FF6">
              <w:rPr>
                <w:rFonts w:asciiTheme="minorHAnsi" w:eastAsiaTheme="minorEastAsia" w:hAnsiTheme="minorHAnsi" w:cstheme="minorBidi"/>
                <w:noProof/>
                <w:sz w:val="22"/>
                <w:szCs w:val="22"/>
                <w:bdr w:val="none" w:sz="0" w:space="0" w:color="auto"/>
              </w:rPr>
              <w:tab/>
            </w:r>
            <w:r w:rsidR="00303FF6" w:rsidRPr="00A3035A">
              <w:rPr>
                <w:rStyle w:val="Hyperlink"/>
                <w:rFonts w:asciiTheme="majorHAnsi" w:hAnsiTheme="majorHAnsi"/>
                <w:noProof/>
                <w:lang w:val="es-CO"/>
              </w:rPr>
              <w:t>Investigaciones realizadas por la Policía Civil</w:t>
            </w:r>
            <w:r w:rsidR="00303FF6">
              <w:rPr>
                <w:noProof/>
                <w:webHidden/>
              </w:rPr>
              <w:tab/>
            </w:r>
            <w:r w:rsidR="00303FF6">
              <w:rPr>
                <w:noProof/>
                <w:webHidden/>
              </w:rPr>
              <w:fldChar w:fldCharType="begin"/>
            </w:r>
            <w:r w:rsidR="00303FF6">
              <w:rPr>
                <w:noProof/>
                <w:webHidden/>
              </w:rPr>
              <w:instrText xml:space="preserve"> PAGEREF _Toc86071593 \h </w:instrText>
            </w:r>
            <w:r w:rsidR="00303FF6">
              <w:rPr>
                <w:noProof/>
                <w:webHidden/>
              </w:rPr>
            </w:r>
            <w:r w:rsidR="00303FF6">
              <w:rPr>
                <w:noProof/>
                <w:webHidden/>
              </w:rPr>
              <w:fldChar w:fldCharType="separate"/>
            </w:r>
            <w:r>
              <w:rPr>
                <w:noProof/>
                <w:webHidden/>
              </w:rPr>
              <w:t>10</w:t>
            </w:r>
            <w:r w:rsidR="00303FF6">
              <w:rPr>
                <w:noProof/>
                <w:webHidden/>
              </w:rPr>
              <w:fldChar w:fldCharType="end"/>
            </w:r>
          </w:hyperlink>
        </w:p>
        <w:p w14:paraId="64FB3557" w14:textId="42BBB271" w:rsidR="00303FF6" w:rsidRDefault="00825923">
          <w:pPr>
            <w:pStyle w:val="TOC3"/>
            <w:tabs>
              <w:tab w:val="left" w:pos="2160"/>
            </w:tabs>
            <w:rPr>
              <w:rFonts w:asciiTheme="minorHAnsi" w:eastAsiaTheme="minorEastAsia" w:hAnsiTheme="minorHAnsi" w:cstheme="minorBidi"/>
              <w:noProof/>
              <w:sz w:val="22"/>
              <w:szCs w:val="22"/>
              <w:bdr w:val="none" w:sz="0" w:space="0" w:color="auto"/>
            </w:rPr>
          </w:pPr>
          <w:hyperlink w:anchor="_Toc86071594" w:history="1">
            <w:r w:rsidR="00303FF6" w:rsidRPr="00A3035A">
              <w:rPr>
                <w:rStyle w:val="Hyperlink"/>
                <w:rFonts w:asciiTheme="majorHAnsi" w:hAnsiTheme="majorHAnsi"/>
                <w:noProof/>
                <w:lang w:val="es-CO"/>
              </w:rPr>
              <w:t>2.</w:t>
            </w:r>
            <w:r w:rsidR="00303FF6">
              <w:rPr>
                <w:rFonts w:asciiTheme="minorHAnsi" w:eastAsiaTheme="minorEastAsia" w:hAnsiTheme="minorHAnsi" w:cstheme="minorBidi"/>
                <w:noProof/>
                <w:sz w:val="22"/>
                <w:szCs w:val="22"/>
                <w:bdr w:val="none" w:sz="0" w:space="0" w:color="auto"/>
              </w:rPr>
              <w:tab/>
            </w:r>
            <w:r w:rsidR="00303FF6" w:rsidRPr="00A3035A">
              <w:rPr>
                <w:rStyle w:val="Hyperlink"/>
                <w:rFonts w:asciiTheme="majorHAnsi" w:hAnsiTheme="majorHAnsi"/>
                <w:noProof/>
                <w:lang w:val="es-CO"/>
              </w:rPr>
              <w:t>El expediente judicial 003.1983.0000067 (1983)</w:t>
            </w:r>
            <w:r w:rsidR="00303FF6">
              <w:rPr>
                <w:noProof/>
                <w:webHidden/>
              </w:rPr>
              <w:tab/>
            </w:r>
            <w:r w:rsidR="00303FF6">
              <w:rPr>
                <w:noProof/>
                <w:webHidden/>
              </w:rPr>
              <w:fldChar w:fldCharType="begin"/>
            </w:r>
            <w:r w:rsidR="00303FF6">
              <w:rPr>
                <w:noProof/>
                <w:webHidden/>
              </w:rPr>
              <w:instrText xml:space="preserve"> PAGEREF _Toc86071594 \h </w:instrText>
            </w:r>
            <w:r w:rsidR="00303FF6">
              <w:rPr>
                <w:noProof/>
                <w:webHidden/>
              </w:rPr>
            </w:r>
            <w:r w:rsidR="00303FF6">
              <w:rPr>
                <w:noProof/>
                <w:webHidden/>
              </w:rPr>
              <w:fldChar w:fldCharType="separate"/>
            </w:r>
            <w:r>
              <w:rPr>
                <w:noProof/>
                <w:webHidden/>
              </w:rPr>
              <w:t>11</w:t>
            </w:r>
            <w:r w:rsidR="00303FF6">
              <w:rPr>
                <w:noProof/>
                <w:webHidden/>
              </w:rPr>
              <w:fldChar w:fldCharType="end"/>
            </w:r>
          </w:hyperlink>
        </w:p>
        <w:p w14:paraId="143A41E5" w14:textId="27B59847" w:rsidR="00303FF6" w:rsidRDefault="00825923">
          <w:pPr>
            <w:pStyle w:val="TOC3"/>
            <w:tabs>
              <w:tab w:val="left" w:pos="2160"/>
            </w:tabs>
            <w:rPr>
              <w:rFonts w:asciiTheme="minorHAnsi" w:eastAsiaTheme="minorEastAsia" w:hAnsiTheme="minorHAnsi" w:cstheme="minorBidi"/>
              <w:noProof/>
              <w:sz w:val="22"/>
              <w:szCs w:val="22"/>
              <w:bdr w:val="none" w:sz="0" w:space="0" w:color="auto"/>
            </w:rPr>
          </w:pPr>
          <w:hyperlink w:anchor="_Toc86071595" w:history="1">
            <w:r w:rsidR="00303FF6" w:rsidRPr="00A3035A">
              <w:rPr>
                <w:rStyle w:val="Hyperlink"/>
                <w:rFonts w:asciiTheme="majorHAnsi" w:hAnsiTheme="majorHAnsi"/>
                <w:noProof/>
                <w:lang w:val="es-CO"/>
              </w:rPr>
              <w:t>3.</w:t>
            </w:r>
            <w:r w:rsidR="00303FF6">
              <w:rPr>
                <w:rFonts w:asciiTheme="minorHAnsi" w:eastAsiaTheme="minorEastAsia" w:hAnsiTheme="minorHAnsi" w:cstheme="minorBidi"/>
                <w:noProof/>
                <w:sz w:val="22"/>
                <w:szCs w:val="22"/>
                <w:bdr w:val="none" w:sz="0" w:space="0" w:color="auto"/>
              </w:rPr>
              <w:tab/>
            </w:r>
            <w:r w:rsidR="00303FF6" w:rsidRPr="00A3035A">
              <w:rPr>
                <w:rStyle w:val="Hyperlink"/>
                <w:rFonts w:asciiTheme="majorHAnsi" w:hAnsiTheme="majorHAnsi"/>
                <w:noProof/>
                <w:lang w:val="es-CO"/>
              </w:rPr>
              <w:t>Investigación complementaria con base en el testimonio de Maria do Socorro Neves</w:t>
            </w:r>
            <w:r w:rsidR="00303FF6">
              <w:rPr>
                <w:noProof/>
                <w:webHidden/>
              </w:rPr>
              <w:tab/>
            </w:r>
            <w:r w:rsidR="00303FF6">
              <w:rPr>
                <w:noProof/>
                <w:webHidden/>
              </w:rPr>
              <w:fldChar w:fldCharType="begin"/>
            </w:r>
            <w:r w:rsidR="00303FF6">
              <w:rPr>
                <w:noProof/>
                <w:webHidden/>
              </w:rPr>
              <w:instrText xml:space="preserve"> PAGEREF _Toc86071595 \h </w:instrText>
            </w:r>
            <w:r w:rsidR="00303FF6">
              <w:rPr>
                <w:noProof/>
                <w:webHidden/>
              </w:rPr>
            </w:r>
            <w:r w:rsidR="00303FF6">
              <w:rPr>
                <w:noProof/>
                <w:webHidden/>
              </w:rPr>
              <w:fldChar w:fldCharType="separate"/>
            </w:r>
            <w:r>
              <w:rPr>
                <w:noProof/>
                <w:webHidden/>
              </w:rPr>
              <w:t>14</w:t>
            </w:r>
            <w:r w:rsidR="00303FF6">
              <w:rPr>
                <w:noProof/>
                <w:webHidden/>
              </w:rPr>
              <w:fldChar w:fldCharType="end"/>
            </w:r>
          </w:hyperlink>
        </w:p>
        <w:p w14:paraId="19FEA843" w14:textId="1145105C" w:rsidR="00303FF6" w:rsidRDefault="00825923">
          <w:pPr>
            <w:pStyle w:val="TOC3"/>
            <w:tabs>
              <w:tab w:val="left" w:pos="2160"/>
            </w:tabs>
            <w:rPr>
              <w:rFonts w:asciiTheme="minorHAnsi" w:eastAsiaTheme="minorEastAsia" w:hAnsiTheme="minorHAnsi" w:cstheme="minorBidi"/>
              <w:noProof/>
              <w:sz w:val="22"/>
              <w:szCs w:val="22"/>
              <w:bdr w:val="none" w:sz="0" w:space="0" w:color="auto"/>
            </w:rPr>
          </w:pPr>
          <w:hyperlink w:anchor="_Toc86071596" w:history="1">
            <w:r w:rsidR="00303FF6" w:rsidRPr="00A3035A">
              <w:rPr>
                <w:rStyle w:val="Hyperlink"/>
                <w:rFonts w:asciiTheme="majorHAnsi" w:hAnsiTheme="majorHAnsi"/>
                <w:noProof/>
                <w:lang w:val="es-CO"/>
              </w:rPr>
              <w:t>4.</w:t>
            </w:r>
            <w:r w:rsidR="00303FF6">
              <w:rPr>
                <w:rFonts w:asciiTheme="minorHAnsi" w:eastAsiaTheme="minorEastAsia" w:hAnsiTheme="minorHAnsi" w:cstheme="minorBidi"/>
                <w:noProof/>
                <w:sz w:val="22"/>
                <w:szCs w:val="22"/>
                <w:bdr w:val="none" w:sz="0" w:space="0" w:color="auto"/>
              </w:rPr>
              <w:tab/>
            </w:r>
            <w:r w:rsidR="00303FF6" w:rsidRPr="00A3035A">
              <w:rPr>
                <w:rStyle w:val="Hyperlink"/>
                <w:rFonts w:asciiTheme="majorHAnsi" w:hAnsiTheme="majorHAnsi"/>
                <w:noProof/>
                <w:lang w:val="es-CO"/>
              </w:rPr>
              <w:t>El juicio 003.1995.0001432 (1995)</w:t>
            </w:r>
            <w:r w:rsidR="00303FF6">
              <w:rPr>
                <w:noProof/>
                <w:webHidden/>
              </w:rPr>
              <w:tab/>
            </w:r>
            <w:r w:rsidR="00303FF6">
              <w:rPr>
                <w:noProof/>
                <w:webHidden/>
              </w:rPr>
              <w:fldChar w:fldCharType="begin"/>
            </w:r>
            <w:r w:rsidR="00303FF6">
              <w:rPr>
                <w:noProof/>
                <w:webHidden/>
              </w:rPr>
              <w:instrText xml:space="preserve"> PAGEREF _Toc86071596 \h </w:instrText>
            </w:r>
            <w:r w:rsidR="00303FF6">
              <w:rPr>
                <w:noProof/>
                <w:webHidden/>
              </w:rPr>
            </w:r>
            <w:r w:rsidR="00303FF6">
              <w:rPr>
                <w:noProof/>
                <w:webHidden/>
              </w:rPr>
              <w:fldChar w:fldCharType="separate"/>
            </w:r>
            <w:r>
              <w:rPr>
                <w:noProof/>
                <w:webHidden/>
              </w:rPr>
              <w:t>16</w:t>
            </w:r>
            <w:r w:rsidR="00303FF6">
              <w:rPr>
                <w:noProof/>
                <w:webHidden/>
              </w:rPr>
              <w:fldChar w:fldCharType="end"/>
            </w:r>
          </w:hyperlink>
        </w:p>
        <w:p w14:paraId="5989E369" w14:textId="61594188" w:rsidR="00303FF6" w:rsidRDefault="00825923">
          <w:pPr>
            <w:pStyle w:val="TOC3"/>
            <w:tabs>
              <w:tab w:val="left" w:pos="2160"/>
            </w:tabs>
            <w:rPr>
              <w:rFonts w:asciiTheme="minorHAnsi" w:eastAsiaTheme="minorEastAsia" w:hAnsiTheme="minorHAnsi" w:cstheme="minorBidi"/>
              <w:noProof/>
              <w:sz w:val="22"/>
              <w:szCs w:val="22"/>
              <w:bdr w:val="none" w:sz="0" w:space="0" w:color="auto"/>
            </w:rPr>
          </w:pPr>
          <w:hyperlink w:anchor="_Toc86071597" w:history="1">
            <w:r w:rsidR="00303FF6" w:rsidRPr="00A3035A">
              <w:rPr>
                <w:rStyle w:val="Hyperlink"/>
                <w:rFonts w:asciiTheme="majorHAnsi" w:hAnsiTheme="majorHAnsi"/>
                <w:noProof/>
                <w:lang w:val="es-CO"/>
              </w:rPr>
              <w:t>5.</w:t>
            </w:r>
            <w:r w:rsidR="00303FF6">
              <w:rPr>
                <w:rFonts w:asciiTheme="minorHAnsi" w:eastAsiaTheme="minorEastAsia" w:hAnsiTheme="minorHAnsi" w:cstheme="minorBidi"/>
                <w:noProof/>
                <w:sz w:val="22"/>
                <w:szCs w:val="22"/>
                <w:bdr w:val="none" w:sz="0" w:space="0" w:color="auto"/>
              </w:rPr>
              <w:tab/>
            </w:r>
            <w:r w:rsidR="00303FF6" w:rsidRPr="00A3035A">
              <w:rPr>
                <w:rStyle w:val="Hyperlink"/>
                <w:rFonts w:asciiTheme="majorHAnsi" w:hAnsiTheme="majorHAnsi"/>
                <w:noProof/>
                <w:lang w:val="es-CO"/>
              </w:rPr>
              <w:t>El informe del Consejo de Defensa de los derechos de la persona humana</w:t>
            </w:r>
            <w:r w:rsidR="00303FF6">
              <w:rPr>
                <w:noProof/>
                <w:webHidden/>
              </w:rPr>
              <w:tab/>
            </w:r>
            <w:r w:rsidR="00303FF6">
              <w:rPr>
                <w:noProof/>
                <w:webHidden/>
              </w:rPr>
              <w:fldChar w:fldCharType="begin"/>
            </w:r>
            <w:r w:rsidR="00303FF6">
              <w:rPr>
                <w:noProof/>
                <w:webHidden/>
              </w:rPr>
              <w:instrText xml:space="preserve"> PAGEREF _Toc86071597 \h </w:instrText>
            </w:r>
            <w:r w:rsidR="00303FF6">
              <w:rPr>
                <w:noProof/>
                <w:webHidden/>
              </w:rPr>
            </w:r>
            <w:r w:rsidR="00303FF6">
              <w:rPr>
                <w:noProof/>
                <w:webHidden/>
              </w:rPr>
              <w:fldChar w:fldCharType="separate"/>
            </w:r>
            <w:r>
              <w:rPr>
                <w:noProof/>
                <w:webHidden/>
              </w:rPr>
              <w:t>17</w:t>
            </w:r>
            <w:r w:rsidR="00303FF6">
              <w:rPr>
                <w:noProof/>
                <w:webHidden/>
              </w:rPr>
              <w:fldChar w:fldCharType="end"/>
            </w:r>
          </w:hyperlink>
        </w:p>
        <w:p w14:paraId="19E62184" w14:textId="39EFE40E" w:rsidR="00303FF6" w:rsidRDefault="00825923">
          <w:pPr>
            <w:pStyle w:val="TOC1"/>
            <w:rPr>
              <w:rFonts w:asciiTheme="minorHAnsi" w:eastAsiaTheme="minorEastAsia" w:hAnsiTheme="minorHAnsi" w:cstheme="minorBidi"/>
              <w:b w:val="0"/>
              <w:sz w:val="22"/>
              <w:szCs w:val="22"/>
              <w:bdr w:val="none" w:sz="0" w:space="0" w:color="auto"/>
              <w:lang w:val="en-US"/>
            </w:rPr>
          </w:pPr>
          <w:hyperlink w:anchor="_Toc86071598" w:history="1">
            <w:r w:rsidR="00303FF6" w:rsidRPr="00A3035A">
              <w:rPr>
                <w:rStyle w:val="Hyperlink"/>
                <w:rFonts w:eastAsia="Times New Roman"/>
                <w:lang w:val="es-ES_tradnl"/>
              </w:rPr>
              <w:t>IV.</w:t>
            </w:r>
            <w:r w:rsidR="00303FF6">
              <w:rPr>
                <w:rFonts w:asciiTheme="minorHAnsi" w:eastAsiaTheme="minorEastAsia" w:hAnsiTheme="minorHAnsi" w:cstheme="minorBidi"/>
                <w:b w:val="0"/>
                <w:sz w:val="22"/>
                <w:szCs w:val="22"/>
                <w:bdr w:val="none" w:sz="0" w:space="0" w:color="auto"/>
                <w:lang w:val="en-US"/>
              </w:rPr>
              <w:tab/>
            </w:r>
            <w:r w:rsidR="00303FF6" w:rsidRPr="00A3035A">
              <w:rPr>
                <w:rStyle w:val="Hyperlink"/>
                <w:rFonts w:eastAsia="Times New Roman"/>
                <w:lang w:val="es-ES_tradnl"/>
              </w:rPr>
              <w:t>ANÁLISIS DE DERECHO</w:t>
            </w:r>
            <w:r w:rsidR="00303FF6">
              <w:rPr>
                <w:webHidden/>
              </w:rPr>
              <w:tab/>
            </w:r>
            <w:r w:rsidR="00303FF6">
              <w:rPr>
                <w:webHidden/>
              </w:rPr>
              <w:fldChar w:fldCharType="begin"/>
            </w:r>
            <w:r w:rsidR="00303FF6">
              <w:rPr>
                <w:webHidden/>
              </w:rPr>
              <w:instrText xml:space="preserve"> PAGEREF _Toc86071598 \h </w:instrText>
            </w:r>
            <w:r w:rsidR="00303FF6">
              <w:rPr>
                <w:webHidden/>
              </w:rPr>
            </w:r>
            <w:r w:rsidR="00303FF6">
              <w:rPr>
                <w:webHidden/>
              </w:rPr>
              <w:fldChar w:fldCharType="separate"/>
            </w:r>
            <w:r>
              <w:rPr>
                <w:webHidden/>
              </w:rPr>
              <w:t>18</w:t>
            </w:r>
            <w:r w:rsidR="00303FF6">
              <w:rPr>
                <w:webHidden/>
              </w:rPr>
              <w:fldChar w:fldCharType="end"/>
            </w:r>
          </w:hyperlink>
        </w:p>
        <w:p w14:paraId="2CA08DC9" w14:textId="5DED301C" w:rsidR="00303FF6" w:rsidRDefault="00825923">
          <w:pPr>
            <w:pStyle w:val="TOC2"/>
            <w:rPr>
              <w:rFonts w:asciiTheme="minorHAnsi" w:eastAsiaTheme="minorEastAsia" w:hAnsiTheme="minorHAnsi" w:cstheme="minorBidi"/>
              <w:noProof/>
              <w:sz w:val="22"/>
              <w:szCs w:val="22"/>
              <w:bdr w:val="none" w:sz="0" w:space="0" w:color="auto"/>
            </w:rPr>
          </w:pPr>
          <w:hyperlink w:anchor="_Toc86071599" w:history="1">
            <w:r w:rsidR="00303FF6" w:rsidRPr="00A3035A">
              <w:rPr>
                <w:rStyle w:val="Hyperlink"/>
                <w:rFonts w:ascii="Cambria" w:hAnsi="Cambria"/>
                <w:noProof/>
                <w:lang w:val="es-ES" w:eastAsia="es-ES"/>
              </w:rPr>
              <w:t>A.</w:t>
            </w:r>
            <w:r w:rsidR="00303FF6">
              <w:rPr>
                <w:rFonts w:asciiTheme="minorHAnsi" w:eastAsiaTheme="minorEastAsia" w:hAnsiTheme="minorHAnsi" w:cstheme="minorBidi"/>
                <w:noProof/>
                <w:sz w:val="22"/>
                <w:szCs w:val="22"/>
                <w:bdr w:val="none" w:sz="0" w:space="0" w:color="auto"/>
              </w:rPr>
              <w:tab/>
            </w:r>
            <w:r w:rsidR="00303FF6" w:rsidRPr="00A3035A">
              <w:rPr>
                <w:rStyle w:val="Hyperlink"/>
                <w:rFonts w:ascii="Cambria" w:hAnsi="Cambria"/>
                <w:noProof/>
                <w:lang w:val="es-ES" w:eastAsia="es-ES"/>
              </w:rPr>
              <w:t>Derecho de justicia (Artículo XVIII de la Declaración Americana), y derecho a las garantías judiciales y protección judicial (Artículos 8.1 y 25.1 de la Convención Americana)</w:t>
            </w:r>
            <w:r w:rsidR="00303FF6">
              <w:rPr>
                <w:noProof/>
                <w:webHidden/>
              </w:rPr>
              <w:tab/>
            </w:r>
            <w:r w:rsidR="00303FF6">
              <w:rPr>
                <w:noProof/>
                <w:webHidden/>
              </w:rPr>
              <w:fldChar w:fldCharType="begin"/>
            </w:r>
            <w:r w:rsidR="00303FF6">
              <w:rPr>
                <w:noProof/>
                <w:webHidden/>
              </w:rPr>
              <w:instrText xml:space="preserve"> PAGEREF _Toc86071599 \h </w:instrText>
            </w:r>
            <w:r w:rsidR="00303FF6">
              <w:rPr>
                <w:noProof/>
                <w:webHidden/>
              </w:rPr>
            </w:r>
            <w:r w:rsidR="00303FF6">
              <w:rPr>
                <w:noProof/>
                <w:webHidden/>
              </w:rPr>
              <w:fldChar w:fldCharType="separate"/>
            </w:r>
            <w:r>
              <w:rPr>
                <w:noProof/>
                <w:webHidden/>
              </w:rPr>
              <w:t>18</w:t>
            </w:r>
            <w:r w:rsidR="00303FF6">
              <w:rPr>
                <w:noProof/>
                <w:webHidden/>
              </w:rPr>
              <w:fldChar w:fldCharType="end"/>
            </w:r>
          </w:hyperlink>
        </w:p>
        <w:p w14:paraId="266C20C7" w14:textId="277CE50D" w:rsidR="00303FF6" w:rsidRDefault="00825923">
          <w:pPr>
            <w:pStyle w:val="TOC3"/>
            <w:tabs>
              <w:tab w:val="left" w:pos="2160"/>
            </w:tabs>
            <w:rPr>
              <w:rFonts w:asciiTheme="minorHAnsi" w:eastAsiaTheme="minorEastAsia" w:hAnsiTheme="minorHAnsi" w:cstheme="minorBidi"/>
              <w:noProof/>
              <w:sz w:val="22"/>
              <w:szCs w:val="22"/>
              <w:bdr w:val="none" w:sz="0" w:space="0" w:color="auto"/>
            </w:rPr>
          </w:pPr>
          <w:hyperlink w:anchor="_Toc86071600" w:history="1">
            <w:r w:rsidR="00303FF6" w:rsidRPr="00A3035A">
              <w:rPr>
                <w:rStyle w:val="Hyperlink"/>
                <w:rFonts w:asciiTheme="majorHAnsi" w:hAnsiTheme="majorHAnsi"/>
                <w:noProof/>
                <w:lang w:val="es-ES_tradnl"/>
              </w:rPr>
              <w:t>1.</w:t>
            </w:r>
            <w:r w:rsidR="00303FF6">
              <w:rPr>
                <w:rFonts w:asciiTheme="minorHAnsi" w:eastAsiaTheme="minorEastAsia" w:hAnsiTheme="minorHAnsi" w:cstheme="minorBidi"/>
                <w:noProof/>
                <w:sz w:val="22"/>
                <w:szCs w:val="22"/>
                <w:bdr w:val="none" w:sz="0" w:space="0" w:color="auto"/>
              </w:rPr>
              <w:tab/>
            </w:r>
            <w:r w:rsidR="00303FF6" w:rsidRPr="00A3035A">
              <w:rPr>
                <w:rStyle w:val="Hyperlink"/>
                <w:rFonts w:asciiTheme="majorHAnsi" w:hAnsiTheme="majorHAnsi"/>
                <w:noProof/>
                <w:lang w:val="es-ES_tradnl"/>
              </w:rPr>
              <w:t>Consideraciones generales</w:t>
            </w:r>
            <w:r w:rsidR="00303FF6">
              <w:rPr>
                <w:noProof/>
                <w:webHidden/>
              </w:rPr>
              <w:tab/>
            </w:r>
            <w:r w:rsidR="00303FF6">
              <w:rPr>
                <w:noProof/>
                <w:webHidden/>
              </w:rPr>
              <w:fldChar w:fldCharType="begin"/>
            </w:r>
            <w:r w:rsidR="00303FF6">
              <w:rPr>
                <w:noProof/>
                <w:webHidden/>
              </w:rPr>
              <w:instrText xml:space="preserve"> PAGEREF _Toc86071600 \h </w:instrText>
            </w:r>
            <w:r w:rsidR="00303FF6">
              <w:rPr>
                <w:noProof/>
                <w:webHidden/>
              </w:rPr>
            </w:r>
            <w:r w:rsidR="00303FF6">
              <w:rPr>
                <w:noProof/>
                <w:webHidden/>
              </w:rPr>
              <w:fldChar w:fldCharType="separate"/>
            </w:r>
            <w:r>
              <w:rPr>
                <w:noProof/>
                <w:webHidden/>
              </w:rPr>
              <w:t>18</w:t>
            </w:r>
            <w:r w:rsidR="00303FF6">
              <w:rPr>
                <w:noProof/>
                <w:webHidden/>
              </w:rPr>
              <w:fldChar w:fldCharType="end"/>
            </w:r>
          </w:hyperlink>
        </w:p>
        <w:p w14:paraId="1D323415" w14:textId="3113E432" w:rsidR="00303FF6" w:rsidRDefault="00825923">
          <w:pPr>
            <w:pStyle w:val="TOC3"/>
            <w:tabs>
              <w:tab w:val="left" w:pos="2160"/>
            </w:tabs>
            <w:rPr>
              <w:rFonts w:asciiTheme="minorHAnsi" w:eastAsiaTheme="minorEastAsia" w:hAnsiTheme="minorHAnsi" w:cstheme="minorBidi"/>
              <w:noProof/>
              <w:sz w:val="22"/>
              <w:szCs w:val="22"/>
              <w:bdr w:val="none" w:sz="0" w:space="0" w:color="auto"/>
            </w:rPr>
          </w:pPr>
          <w:hyperlink w:anchor="_Toc86071601" w:history="1">
            <w:r w:rsidR="00303FF6" w:rsidRPr="00A3035A">
              <w:rPr>
                <w:rStyle w:val="Hyperlink"/>
                <w:rFonts w:asciiTheme="majorHAnsi" w:hAnsiTheme="majorHAnsi"/>
                <w:noProof/>
                <w:lang w:val="es-ES_tradnl"/>
              </w:rPr>
              <w:t>2.</w:t>
            </w:r>
            <w:r w:rsidR="00303FF6">
              <w:rPr>
                <w:rFonts w:asciiTheme="minorHAnsi" w:eastAsiaTheme="minorEastAsia" w:hAnsiTheme="minorHAnsi" w:cstheme="minorBidi"/>
                <w:noProof/>
                <w:sz w:val="22"/>
                <w:szCs w:val="22"/>
                <w:bdr w:val="none" w:sz="0" w:space="0" w:color="auto"/>
              </w:rPr>
              <w:tab/>
            </w:r>
            <w:r w:rsidR="00303FF6" w:rsidRPr="00A3035A">
              <w:rPr>
                <w:rStyle w:val="Hyperlink"/>
                <w:rFonts w:asciiTheme="majorHAnsi" w:hAnsiTheme="majorHAnsi"/>
                <w:noProof/>
                <w:lang w:val="es-ES_tradnl"/>
              </w:rPr>
              <w:t>Análisis del presente caso</w:t>
            </w:r>
            <w:r w:rsidR="00303FF6">
              <w:rPr>
                <w:noProof/>
                <w:webHidden/>
              </w:rPr>
              <w:tab/>
            </w:r>
            <w:r w:rsidR="00303FF6">
              <w:rPr>
                <w:noProof/>
                <w:webHidden/>
              </w:rPr>
              <w:fldChar w:fldCharType="begin"/>
            </w:r>
            <w:r w:rsidR="00303FF6">
              <w:rPr>
                <w:noProof/>
                <w:webHidden/>
              </w:rPr>
              <w:instrText xml:space="preserve"> PAGEREF _Toc86071601 \h </w:instrText>
            </w:r>
            <w:r w:rsidR="00303FF6">
              <w:rPr>
                <w:noProof/>
                <w:webHidden/>
              </w:rPr>
            </w:r>
            <w:r w:rsidR="00303FF6">
              <w:rPr>
                <w:noProof/>
                <w:webHidden/>
              </w:rPr>
              <w:fldChar w:fldCharType="separate"/>
            </w:r>
            <w:r>
              <w:rPr>
                <w:noProof/>
                <w:webHidden/>
              </w:rPr>
              <w:t>20</w:t>
            </w:r>
            <w:r w:rsidR="00303FF6">
              <w:rPr>
                <w:noProof/>
                <w:webHidden/>
              </w:rPr>
              <w:fldChar w:fldCharType="end"/>
            </w:r>
          </w:hyperlink>
        </w:p>
        <w:p w14:paraId="2A04CF8A" w14:textId="48340DE6" w:rsidR="00303FF6" w:rsidRDefault="00825923">
          <w:pPr>
            <w:pStyle w:val="TOC2"/>
            <w:rPr>
              <w:rFonts w:asciiTheme="minorHAnsi" w:eastAsiaTheme="minorEastAsia" w:hAnsiTheme="minorHAnsi" w:cstheme="minorBidi"/>
              <w:noProof/>
              <w:sz w:val="22"/>
              <w:szCs w:val="22"/>
              <w:bdr w:val="none" w:sz="0" w:space="0" w:color="auto"/>
            </w:rPr>
          </w:pPr>
          <w:hyperlink w:anchor="_Toc86071602" w:history="1">
            <w:r w:rsidR="00303FF6" w:rsidRPr="00A3035A">
              <w:rPr>
                <w:rStyle w:val="Hyperlink"/>
                <w:rFonts w:ascii="Cambria" w:hAnsi="Cambria"/>
                <w:noProof/>
                <w:lang w:val="es-ES" w:eastAsia="es-ES"/>
              </w:rPr>
              <w:t>B.</w:t>
            </w:r>
            <w:r w:rsidR="00303FF6">
              <w:rPr>
                <w:rFonts w:asciiTheme="minorHAnsi" w:eastAsiaTheme="minorEastAsia" w:hAnsiTheme="minorHAnsi" w:cstheme="minorBidi"/>
                <w:noProof/>
                <w:sz w:val="22"/>
                <w:szCs w:val="22"/>
                <w:bdr w:val="none" w:sz="0" w:space="0" w:color="auto"/>
              </w:rPr>
              <w:tab/>
            </w:r>
            <w:r w:rsidR="00303FF6" w:rsidRPr="00A3035A">
              <w:rPr>
                <w:rStyle w:val="Hyperlink"/>
                <w:rFonts w:ascii="Cambria" w:hAnsi="Cambria"/>
                <w:noProof/>
                <w:lang w:val="es-ES" w:eastAsia="es-ES"/>
              </w:rPr>
              <w:t>Derecho a la vida (artículo I de la Declaración Americana de los Derechos y Deberes del Hombre)</w:t>
            </w:r>
            <w:r w:rsidR="00303FF6">
              <w:rPr>
                <w:noProof/>
                <w:webHidden/>
              </w:rPr>
              <w:tab/>
            </w:r>
            <w:r w:rsidR="00303FF6">
              <w:rPr>
                <w:noProof/>
                <w:webHidden/>
              </w:rPr>
              <w:fldChar w:fldCharType="begin"/>
            </w:r>
            <w:r w:rsidR="00303FF6">
              <w:rPr>
                <w:noProof/>
                <w:webHidden/>
              </w:rPr>
              <w:instrText xml:space="preserve"> PAGEREF _Toc86071602 \h </w:instrText>
            </w:r>
            <w:r w:rsidR="00303FF6">
              <w:rPr>
                <w:noProof/>
                <w:webHidden/>
              </w:rPr>
            </w:r>
            <w:r w:rsidR="00303FF6">
              <w:rPr>
                <w:noProof/>
                <w:webHidden/>
              </w:rPr>
              <w:fldChar w:fldCharType="separate"/>
            </w:r>
            <w:r>
              <w:rPr>
                <w:noProof/>
                <w:webHidden/>
              </w:rPr>
              <w:t>23</w:t>
            </w:r>
            <w:r w:rsidR="00303FF6">
              <w:rPr>
                <w:noProof/>
                <w:webHidden/>
              </w:rPr>
              <w:fldChar w:fldCharType="end"/>
            </w:r>
          </w:hyperlink>
        </w:p>
        <w:p w14:paraId="159AA6AB" w14:textId="55813711" w:rsidR="00303FF6" w:rsidRDefault="00825923">
          <w:pPr>
            <w:pStyle w:val="TOC3"/>
            <w:tabs>
              <w:tab w:val="left" w:pos="2160"/>
            </w:tabs>
            <w:rPr>
              <w:rFonts w:asciiTheme="minorHAnsi" w:eastAsiaTheme="minorEastAsia" w:hAnsiTheme="minorHAnsi" w:cstheme="minorBidi"/>
              <w:noProof/>
              <w:sz w:val="22"/>
              <w:szCs w:val="22"/>
              <w:bdr w:val="none" w:sz="0" w:space="0" w:color="auto"/>
            </w:rPr>
          </w:pPr>
          <w:hyperlink w:anchor="_Toc86071603" w:history="1">
            <w:r w:rsidR="00303FF6" w:rsidRPr="00A3035A">
              <w:rPr>
                <w:rStyle w:val="Hyperlink"/>
                <w:rFonts w:ascii="Cambria" w:hAnsi="Cambria"/>
                <w:noProof/>
                <w:lang w:val="es-ES_tradnl"/>
              </w:rPr>
              <w:t>1.</w:t>
            </w:r>
            <w:r w:rsidR="00303FF6">
              <w:rPr>
                <w:rFonts w:asciiTheme="minorHAnsi" w:eastAsiaTheme="minorEastAsia" w:hAnsiTheme="minorHAnsi" w:cstheme="minorBidi"/>
                <w:noProof/>
                <w:sz w:val="22"/>
                <w:szCs w:val="22"/>
                <w:bdr w:val="none" w:sz="0" w:space="0" w:color="auto"/>
              </w:rPr>
              <w:tab/>
            </w:r>
            <w:r w:rsidR="00303FF6" w:rsidRPr="00A3035A">
              <w:rPr>
                <w:rStyle w:val="Hyperlink"/>
                <w:rFonts w:ascii="Cambria" w:hAnsi="Cambria"/>
                <w:noProof/>
                <w:lang w:val="es-ES_tradnl"/>
              </w:rPr>
              <w:t>Consideraciones Generales</w:t>
            </w:r>
            <w:r w:rsidR="00303FF6">
              <w:rPr>
                <w:noProof/>
                <w:webHidden/>
              </w:rPr>
              <w:tab/>
            </w:r>
            <w:r w:rsidR="00303FF6">
              <w:rPr>
                <w:noProof/>
                <w:webHidden/>
              </w:rPr>
              <w:fldChar w:fldCharType="begin"/>
            </w:r>
            <w:r w:rsidR="00303FF6">
              <w:rPr>
                <w:noProof/>
                <w:webHidden/>
              </w:rPr>
              <w:instrText xml:space="preserve"> PAGEREF _Toc86071603 \h </w:instrText>
            </w:r>
            <w:r w:rsidR="00303FF6">
              <w:rPr>
                <w:noProof/>
                <w:webHidden/>
              </w:rPr>
            </w:r>
            <w:r w:rsidR="00303FF6">
              <w:rPr>
                <w:noProof/>
                <w:webHidden/>
              </w:rPr>
              <w:fldChar w:fldCharType="separate"/>
            </w:r>
            <w:r>
              <w:rPr>
                <w:noProof/>
                <w:webHidden/>
              </w:rPr>
              <w:t>23</w:t>
            </w:r>
            <w:r w:rsidR="00303FF6">
              <w:rPr>
                <w:noProof/>
                <w:webHidden/>
              </w:rPr>
              <w:fldChar w:fldCharType="end"/>
            </w:r>
          </w:hyperlink>
        </w:p>
        <w:p w14:paraId="68F8B72D" w14:textId="49CD28A4" w:rsidR="00303FF6" w:rsidRDefault="00825923">
          <w:pPr>
            <w:pStyle w:val="TOC3"/>
            <w:tabs>
              <w:tab w:val="left" w:pos="2160"/>
            </w:tabs>
            <w:rPr>
              <w:rFonts w:asciiTheme="minorHAnsi" w:eastAsiaTheme="minorEastAsia" w:hAnsiTheme="minorHAnsi" w:cstheme="minorBidi"/>
              <w:noProof/>
              <w:sz w:val="22"/>
              <w:szCs w:val="22"/>
              <w:bdr w:val="none" w:sz="0" w:space="0" w:color="auto"/>
            </w:rPr>
          </w:pPr>
          <w:hyperlink w:anchor="_Toc86071604" w:history="1">
            <w:r w:rsidR="00303FF6" w:rsidRPr="00A3035A">
              <w:rPr>
                <w:rStyle w:val="Hyperlink"/>
                <w:rFonts w:ascii="Cambria" w:hAnsi="Cambria"/>
                <w:noProof/>
                <w:lang w:val="es-ES_tradnl"/>
              </w:rPr>
              <w:t>2.</w:t>
            </w:r>
            <w:r w:rsidR="00303FF6">
              <w:rPr>
                <w:rFonts w:asciiTheme="minorHAnsi" w:eastAsiaTheme="minorEastAsia" w:hAnsiTheme="minorHAnsi" w:cstheme="minorBidi"/>
                <w:noProof/>
                <w:sz w:val="22"/>
                <w:szCs w:val="22"/>
                <w:bdr w:val="none" w:sz="0" w:space="0" w:color="auto"/>
              </w:rPr>
              <w:tab/>
            </w:r>
            <w:r w:rsidR="00303FF6" w:rsidRPr="00A3035A">
              <w:rPr>
                <w:rStyle w:val="Hyperlink"/>
                <w:rFonts w:ascii="Cambria" w:hAnsi="Cambria"/>
                <w:noProof/>
                <w:lang w:val="es-ES_tradnl"/>
              </w:rPr>
              <w:t>Análisis del presente caso</w:t>
            </w:r>
            <w:r w:rsidR="00303FF6">
              <w:rPr>
                <w:noProof/>
                <w:webHidden/>
              </w:rPr>
              <w:tab/>
            </w:r>
            <w:r w:rsidR="00303FF6">
              <w:rPr>
                <w:noProof/>
                <w:webHidden/>
              </w:rPr>
              <w:fldChar w:fldCharType="begin"/>
            </w:r>
            <w:r w:rsidR="00303FF6">
              <w:rPr>
                <w:noProof/>
                <w:webHidden/>
              </w:rPr>
              <w:instrText xml:space="preserve"> PAGEREF _Toc86071604 \h </w:instrText>
            </w:r>
            <w:r w:rsidR="00303FF6">
              <w:rPr>
                <w:noProof/>
                <w:webHidden/>
              </w:rPr>
            </w:r>
            <w:r w:rsidR="00303FF6">
              <w:rPr>
                <w:noProof/>
                <w:webHidden/>
              </w:rPr>
              <w:fldChar w:fldCharType="separate"/>
            </w:r>
            <w:r>
              <w:rPr>
                <w:noProof/>
                <w:webHidden/>
              </w:rPr>
              <w:t>24</w:t>
            </w:r>
            <w:r w:rsidR="00303FF6">
              <w:rPr>
                <w:noProof/>
                <w:webHidden/>
              </w:rPr>
              <w:fldChar w:fldCharType="end"/>
            </w:r>
          </w:hyperlink>
        </w:p>
        <w:p w14:paraId="28981703" w14:textId="48E6FFDE" w:rsidR="00303FF6" w:rsidRDefault="00825923">
          <w:pPr>
            <w:pStyle w:val="TOC2"/>
            <w:rPr>
              <w:rFonts w:asciiTheme="minorHAnsi" w:eastAsiaTheme="minorEastAsia" w:hAnsiTheme="minorHAnsi" w:cstheme="minorBidi"/>
              <w:noProof/>
              <w:sz w:val="22"/>
              <w:szCs w:val="22"/>
              <w:bdr w:val="none" w:sz="0" w:space="0" w:color="auto"/>
            </w:rPr>
          </w:pPr>
          <w:hyperlink w:anchor="_Toc86071605" w:history="1">
            <w:r w:rsidR="00303FF6" w:rsidRPr="00A3035A">
              <w:rPr>
                <w:rStyle w:val="Hyperlink"/>
                <w:rFonts w:ascii="Cambria" w:hAnsi="Cambria"/>
                <w:noProof/>
                <w:lang w:val="es-ES" w:eastAsia="es-ES"/>
              </w:rPr>
              <w:t>C.</w:t>
            </w:r>
            <w:r w:rsidR="00303FF6">
              <w:rPr>
                <w:rFonts w:asciiTheme="minorHAnsi" w:eastAsiaTheme="minorEastAsia" w:hAnsiTheme="minorHAnsi" w:cstheme="minorBidi"/>
                <w:noProof/>
                <w:sz w:val="22"/>
                <w:szCs w:val="22"/>
                <w:bdr w:val="none" w:sz="0" w:space="0" w:color="auto"/>
              </w:rPr>
              <w:tab/>
            </w:r>
            <w:r w:rsidR="00303FF6" w:rsidRPr="00A3035A">
              <w:rPr>
                <w:rStyle w:val="Hyperlink"/>
                <w:rFonts w:ascii="Cambria" w:hAnsi="Cambria"/>
                <w:noProof/>
                <w:lang w:val="es-ES" w:eastAsia="es-ES"/>
              </w:rPr>
              <w:t>Derecho de asociación (artículo XXII de la Declaración Americana de los Derechos y Deberes del Hombre )</w:t>
            </w:r>
            <w:r w:rsidR="00303FF6">
              <w:rPr>
                <w:noProof/>
                <w:webHidden/>
              </w:rPr>
              <w:tab/>
            </w:r>
            <w:r w:rsidR="00303FF6">
              <w:rPr>
                <w:noProof/>
                <w:webHidden/>
              </w:rPr>
              <w:fldChar w:fldCharType="begin"/>
            </w:r>
            <w:r w:rsidR="00303FF6">
              <w:rPr>
                <w:noProof/>
                <w:webHidden/>
              </w:rPr>
              <w:instrText xml:space="preserve"> PAGEREF _Toc86071605 \h </w:instrText>
            </w:r>
            <w:r w:rsidR="00303FF6">
              <w:rPr>
                <w:noProof/>
                <w:webHidden/>
              </w:rPr>
            </w:r>
            <w:r w:rsidR="00303FF6">
              <w:rPr>
                <w:noProof/>
                <w:webHidden/>
              </w:rPr>
              <w:fldChar w:fldCharType="separate"/>
            </w:r>
            <w:r>
              <w:rPr>
                <w:noProof/>
                <w:webHidden/>
              </w:rPr>
              <w:t>25</w:t>
            </w:r>
            <w:r w:rsidR="00303FF6">
              <w:rPr>
                <w:noProof/>
                <w:webHidden/>
              </w:rPr>
              <w:fldChar w:fldCharType="end"/>
            </w:r>
          </w:hyperlink>
        </w:p>
        <w:p w14:paraId="6DB78383" w14:textId="5BF5AA15" w:rsidR="00303FF6" w:rsidRDefault="00825923">
          <w:pPr>
            <w:pStyle w:val="TOC2"/>
            <w:rPr>
              <w:rFonts w:asciiTheme="minorHAnsi" w:eastAsiaTheme="minorEastAsia" w:hAnsiTheme="minorHAnsi" w:cstheme="minorBidi"/>
              <w:noProof/>
              <w:sz w:val="22"/>
              <w:szCs w:val="22"/>
              <w:bdr w:val="none" w:sz="0" w:space="0" w:color="auto"/>
            </w:rPr>
          </w:pPr>
          <w:hyperlink w:anchor="_Toc86071606" w:history="1">
            <w:r w:rsidR="00303FF6" w:rsidRPr="00A3035A">
              <w:rPr>
                <w:rStyle w:val="Hyperlink"/>
                <w:rFonts w:ascii="Cambria" w:hAnsi="Cambria"/>
                <w:noProof/>
                <w:lang w:val="es-ES" w:eastAsia="es-ES"/>
              </w:rPr>
              <w:t>D.</w:t>
            </w:r>
            <w:r w:rsidR="00303FF6">
              <w:rPr>
                <w:rFonts w:asciiTheme="minorHAnsi" w:eastAsiaTheme="minorEastAsia" w:hAnsiTheme="minorHAnsi" w:cstheme="minorBidi"/>
                <w:noProof/>
                <w:sz w:val="22"/>
                <w:szCs w:val="22"/>
                <w:bdr w:val="none" w:sz="0" w:space="0" w:color="auto"/>
              </w:rPr>
              <w:tab/>
            </w:r>
            <w:r w:rsidR="00303FF6" w:rsidRPr="00A3035A">
              <w:rPr>
                <w:rStyle w:val="Hyperlink"/>
                <w:rFonts w:ascii="Cambria" w:hAnsi="Cambria"/>
                <w:noProof/>
                <w:lang w:val="es-ES" w:eastAsia="es-ES"/>
              </w:rPr>
              <w:t>Derecho a la integridad personal (artículo I de la Declaración Americana de los Derechos y Deberes del Hombre y artículo 5 de la Convención Americana)</w:t>
            </w:r>
            <w:r w:rsidR="00303FF6">
              <w:rPr>
                <w:noProof/>
                <w:webHidden/>
              </w:rPr>
              <w:tab/>
            </w:r>
            <w:r w:rsidR="00303FF6">
              <w:rPr>
                <w:noProof/>
                <w:webHidden/>
              </w:rPr>
              <w:fldChar w:fldCharType="begin"/>
            </w:r>
            <w:r w:rsidR="00303FF6">
              <w:rPr>
                <w:noProof/>
                <w:webHidden/>
              </w:rPr>
              <w:instrText xml:space="preserve"> PAGEREF _Toc86071606 \h </w:instrText>
            </w:r>
            <w:r w:rsidR="00303FF6">
              <w:rPr>
                <w:noProof/>
                <w:webHidden/>
              </w:rPr>
            </w:r>
            <w:r w:rsidR="00303FF6">
              <w:rPr>
                <w:noProof/>
                <w:webHidden/>
              </w:rPr>
              <w:fldChar w:fldCharType="separate"/>
            </w:r>
            <w:r>
              <w:rPr>
                <w:noProof/>
                <w:webHidden/>
              </w:rPr>
              <w:t>27</w:t>
            </w:r>
            <w:r w:rsidR="00303FF6">
              <w:rPr>
                <w:noProof/>
                <w:webHidden/>
              </w:rPr>
              <w:fldChar w:fldCharType="end"/>
            </w:r>
          </w:hyperlink>
        </w:p>
        <w:p w14:paraId="343D25FC" w14:textId="381BAB0B" w:rsidR="00303FF6" w:rsidRDefault="00825923">
          <w:pPr>
            <w:pStyle w:val="TOC1"/>
            <w:rPr>
              <w:rFonts w:asciiTheme="minorHAnsi" w:eastAsiaTheme="minorEastAsia" w:hAnsiTheme="minorHAnsi" w:cstheme="minorBidi"/>
              <w:b w:val="0"/>
              <w:sz w:val="22"/>
              <w:szCs w:val="22"/>
              <w:bdr w:val="none" w:sz="0" w:space="0" w:color="auto"/>
              <w:lang w:val="en-US"/>
            </w:rPr>
          </w:pPr>
          <w:hyperlink w:anchor="_Toc86071607" w:history="1">
            <w:r w:rsidR="00303FF6" w:rsidRPr="00A3035A">
              <w:rPr>
                <w:rStyle w:val="Hyperlink"/>
                <w:rFonts w:ascii="Cambria" w:hAnsi="Cambria"/>
                <w:lang w:val="es-ES"/>
              </w:rPr>
              <w:t>V.</w:t>
            </w:r>
            <w:r w:rsidR="00303FF6">
              <w:rPr>
                <w:rFonts w:asciiTheme="minorHAnsi" w:eastAsiaTheme="minorEastAsia" w:hAnsiTheme="minorHAnsi" w:cstheme="minorBidi"/>
                <w:b w:val="0"/>
                <w:sz w:val="22"/>
                <w:szCs w:val="22"/>
                <w:bdr w:val="none" w:sz="0" w:space="0" w:color="auto"/>
                <w:lang w:val="en-US"/>
              </w:rPr>
              <w:tab/>
            </w:r>
            <w:r w:rsidR="00303FF6" w:rsidRPr="00A3035A">
              <w:rPr>
                <w:rStyle w:val="Hyperlink"/>
                <w:rFonts w:eastAsia="Times New Roman"/>
                <w:lang w:val="es-ES_tradnl"/>
              </w:rPr>
              <w:t>CONCLUSIONES</w:t>
            </w:r>
            <w:r w:rsidR="00303FF6">
              <w:rPr>
                <w:webHidden/>
              </w:rPr>
              <w:tab/>
            </w:r>
            <w:r w:rsidR="00303FF6">
              <w:rPr>
                <w:webHidden/>
              </w:rPr>
              <w:fldChar w:fldCharType="begin"/>
            </w:r>
            <w:r w:rsidR="00303FF6">
              <w:rPr>
                <w:webHidden/>
              </w:rPr>
              <w:instrText xml:space="preserve"> PAGEREF _Toc86071607 \h </w:instrText>
            </w:r>
            <w:r w:rsidR="00303FF6">
              <w:rPr>
                <w:webHidden/>
              </w:rPr>
            </w:r>
            <w:r w:rsidR="00303FF6">
              <w:rPr>
                <w:webHidden/>
              </w:rPr>
              <w:fldChar w:fldCharType="separate"/>
            </w:r>
            <w:r>
              <w:rPr>
                <w:webHidden/>
              </w:rPr>
              <w:t>27</w:t>
            </w:r>
            <w:r w:rsidR="00303FF6">
              <w:rPr>
                <w:webHidden/>
              </w:rPr>
              <w:fldChar w:fldCharType="end"/>
            </w:r>
          </w:hyperlink>
        </w:p>
        <w:p w14:paraId="28E715E1" w14:textId="2426E1BB" w:rsidR="00303FF6" w:rsidRDefault="00825923">
          <w:pPr>
            <w:pStyle w:val="TOC1"/>
            <w:rPr>
              <w:rFonts w:asciiTheme="minorHAnsi" w:eastAsiaTheme="minorEastAsia" w:hAnsiTheme="minorHAnsi" w:cstheme="minorBidi"/>
              <w:b w:val="0"/>
              <w:sz w:val="22"/>
              <w:szCs w:val="22"/>
              <w:bdr w:val="none" w:sz="0" w:space="0" w:color="auto"/>
              <w:lang w:val="en-US"/>
            </w:rPr>
          </w:pPr>
          <w:hyperlink w:anchor="_Toc86071608" w:history="1">
            <w:r w:rsidR="00303FF6" w:rsidRPr="00A3035A">
              <w:rPr>
                <w:rStyle w:val="Hyperlink"/>
                <w:rFonts w:eastAsia="Times New Roman"/>
                <w:lang w:val="es-ES_tradnl"/>
              </w:rPr>
              <w:t>VI.</w:t>
            </w:r>
            <w:r w:rsidR="00303FF6">
              <w:rPr>
                <w:rFonts w:asciiTheme="minorHAnsi" w:eastAsiaTheme="minorEastAsia" w:hAnsiTheme="minorHAnsi" w:cstheme="minorBidi"/>
                <w:b w:val="0"/>
                <w:sz w:val="22"/>
                <w:szCs w:val="22"/>
                <w:bdr w:val="none" w:sz="0" w:space="0" w:color="auto"/>
                <w:lang w:val="en-US"/>
              </w:rPr>
              <w:tab/>
            </w:r>
            <w:r w:rsidR="00303FF6" w:rsidRPr="00A3035A">
              <w:rPr>
                <w:rStyle w:val="Hyperlink"/>
                <w:rFonts w:eastAsia="Times New Roman"/>
                <w:lang w:val="es-ES_tradnl"/>
              </w:rPr>
              <w:t>INFORME No. 133/17</w:t>
            </w:r>
            <w:r w:rsidR="00303FF6">
              <w:rPr>
                <w:webHidden/>
              </w:rPr>
              <w:tab/>
            </w:r>
            <w:r w:rsidR="00303FF6">
              <w:rPr>
                <w:webHidden/>
              </w:rPr>
              <w:fldChar w:fldCharType="begin"/>
            </w:r>
            <w:r w:rsidR="00303FF6">
              <w:rPr>
                <w:webHidden/>
              </w:rPr>
              <w:instrText xml:space="preserve"> PAGEREF _Toc86071608 \h </w:instrText>
            </w:r>
            <w:r w:rsidR="00303FF6">
              <w:rPr>
                <w:webHidden/>
              </w:rPr>
            </w:r>
            <w:r w:rsidR="00303FF6">
              <w:rPr>
                <w:webHidden/>
              </w:rPr>
              <w:fldChar w:fldCharType="separate"/>
            </w:r>
            <w:r>
              <w:rPr>
                <w:webHidden/>
              </w:rPr>
              <w:t>27</w:t>
            </w:r>
            <w:r w:rsidR="00303FF6">
              <w:rPr>
                <w:webHidden/>
              </w:rPr>
              <w:fldChar w:fldCharType="end"/>
            </w:r>
          </w:hyperlink>
        </w:p>
        <w:p w14:paraId="443F30B4" w14:textId="7B0F9FA8" w:rsidR="00303FF6" w:rsidRDefault="00825923">
          <w:pPr>
            <w:pStyle w:val="TOC1"/>
            <w:rPr>
              <w:rFonts w:asciiTheme="minorHAnsi" w:eastAsiaTheme="minorEastAsia" w:hAnsiTheme="minorHAnsi" w:cstheme="minorBidi"/>
              <w:b w:val="0"/>
              <w:sz w:val="22"/>
              <w:szCs w:val="22"/>
              <w:bdr w:val="none" w:sz="0" w:space="0" w:color="auto"/>
              <w:lang w:val="en-US"/>
            </w:rPr>
          </w:pPr>
          <w:hyperlink w:anchor="_Toc86071609" w:history="1">
            <w:r w:rsidR="00303FF6" w:rsidRPr="00A3035A">
              <w:rPr>
                <w:rStyle w:val="Hyperlink"/>
                <w:rFonts w:eastAsia="Times New Roman"/>
                <w:lang w:val="es-ES_tradnl"/>
              </w:rPr>
              <w:t>VII.</w:t>
            </w:r>
            <w:r w:rsidR="00303FF6">
              <w:rPr>
                <w:rFonts w:asciiTheme="minorHAnsi" w:eastAsiaTheme="minorEastAsia" w:hAnsiTheme="minorHAnsi" w:cstheme="minorBidi"/>
                <w:b w:val="0"/>
                <w:sz w:val="22"/>
                <w:szCs w:val="22"/>
                <w:bdr w:val="none" w:sz="0" w:space="0" w:color="auto"/>
                <w:lang w:val="en-US"/>
              </w:rPr>
              <w:tab/>
            </w:r>
            <w:r w:rsidR="00303FF6" w:rsidRPr="00A3035A">
              <w:rPr>
                <w:rStyle w:val="Hyperlink"/>
                <w:rFonts w:eastAsia="Times New Roman"/>
                <w:lang w:val="es-ES_tradnl"/>
              </w:rPr>
              <w:t>ACTUACIONES POSTERIORES AL INFORME No. 133/17</w:t>
            </w:r>
            <w:r w:rsidR="00303FF6">
              <w:rPr>
                <w:webHidden/>
              </w:rPr>
              <w:tab/>
            </w:r>
            <w:r w:rsidR="00303FF6">
              <w:rPr>
                <w:webHidden/>
              </w:rPr>
              <w:fldChar w:fldCharType="begin"/>
            </w:r>
            <w:r w:rsidR="00303FF6">
              <w:rPr>
                <w:webHidden/>
              </w:rPr>
              <w:instrText xml:space="preserve"> PAGEREF _Toc86071609 \h </w:instrText>
            </w:r>
            <w:r w:rsidR="00303FF6">
              <w:rPr>
                <w:webHidden/>
              </w:rPr>
            </w:r>
            <w:r w:rsidR="00303FF6">
              <w:rPr>
                <w:webHidden/>
              </w:rPr>
              <w:fldChar w:fldCharType="separate"/>
            </w:r>
            <w:r>
              <w:rPr>
                <w:webHidden/>
              </w:rPr>
              <w:t>28</w:t>
            </w:r>
            <w:r w:rsidR="00303FF6">
              <w:rPr>
                <w:webHidden/>
              </w:rPr>
              <w:fldChar w:fldCharType="end"/>
            </w:r>
          </w:hyperlink>
        </w:p>
        <w:p w14:paraId="473C4CAC" w14:textId="6AA81DB6" w:rsidR="00303FF6" w:rsidRDefault="00825923">
          <w:pPr>
            <w:pStyle w:val="TOC1"/>
            <w:rPr>
              <w:rFonts w:asciiTheme="minorHAnsi" w:eastAsiaTheme="minorEastAsia" w:hAnsiTheme="minorHAnsi" w:cstheme="minorBidi"/>
              <w:b w:val="0"/>
              <w:sz w:val="22"/>
              <w:szCs w:val="22"/>
              <w:bdr w:val="none" w:sz="0" w:space="0" w:color="auto"/>
              <w:lang w:val="en-US"/>
            </w:rPr>
          </w:pPr>
          <w:hyperlink w:anchor="_Toc86071610" w:history="1">
            <w:r w:rsidR="00303FF6" w:rsidRPr="00A3035A">
              <w:rPr>
                <w:rStyle w:val="Hyperlink"/>
                <w:rFonts w:eastAsia="Times New Roman"/>
                <w:lang w:val="es-ES_tradnl"/>
              </w:rPr>
              <w:t>VIII.</w:t>
            </w:r>
            <w:r w:rsidR="00303FF6">
              <w:rPr>
                <w:rFonts w:asciiTheme="minorHAnsi" w:eastAsiaTheme="minorEastAsia" w:hAnsiTheme="minorHAnsi" w:cstheme="minorBidi"/>
                <w:b w:val="0"/>
                <w:sz w:val="22"/>
                <w:szCs w:val="22"/>
                <w:bdr w:val="none" w:sz="0" w:space="0" w:color="auto"/>
                <w:lang w:val="en-US"/>
              </w:rPr>
              <w:tab/>
            </w:r>
            <w:r w:rsidR="00303FF6" w:rsidRPr="00A3035A">
              <w:rPr>
                <w:rStyle w:val="Hyperlink"/>
                <w:rFonts w:eastAsia="Times New Roman"/>
                <w:lang w:val="es-ES_tradnl"/>
              </w:rPr>
              <w:t>INFORME No. 120/18 E INFORMACIÓN SOBRE CUMPLIMIENTO</w:t>
            </w:r>
            <w:r w:rsidR="00303FF6">
              <w:rPr>
                <w:webHidden/>
              </w:rPr>
              <w:tab/>
            </w:r>
            <w:r w:rsidR="00303FF6">
              <w:rPr>
                <w:webHidden/>
              </w:rPr>
              <w:fldChar w:fldCharType="begin"/>
            </w:r>
            <w:r w:rsidR="00303FF6">
              <w:rPr>
                <w:webHidden/>
              </w:rPr>
              <w:instrText xml:space="preserve"> PAGEREF _Toc86071610 \h </w:instrText>
            </w:r>
            <w:r w:rsidR="00303FF6">
              <w:rPr>
                <w:webHidden/>
              </w:rPr>
            </w:r>
            <w:r w:rsidR="00303FF6">
              <w:rPr>
                <w:webHidden/>
              </w:rPr>
              <w:fldChar w:fldCharType="separate"/>
            </w:r>
            <w:r>
              <w:rPr>
                <w:webHidden/>
              </w:rPr>
              <w:t>30</w:t>
            </w:r>
            <w:r w:rsidR="00303FF6">
              <w:rPr>
                <w:webHidden/>
              </w:rPr>
              <w:fldChar w:fldCharType="end"/>
            </w:r>
          </w:hyperlink>
        </w:p>
        <w:p w14:paraId="6F562FCF" w14:textId="70303DD9" w:rsidR="00303FF6" w:rsidRDefault="00825923">
          <w:pPr>
            <w:pStyle w:val="TOC1"/>
            <w:rPr>
              <w:rFonts w:asciiTheme="minorHAnsi" w:eastAsiaTheme="minorEastAsia" w:hAnsiTheme="minorHAnsi" w:cstheme="minorBidi"/>
              <w:b w:val="0"/>
              <w:sz w:val="22"/>
              <w:szCs w:val="22"/>
              <w:bdr w:val="none" w:sz="0" w:space="0" w:color="auto"/>
              <w:lang w:val="en-US"/>
            </w:rPr>
          </w:pPr>
          <w:hyperlink w:anchor="_Toc86071611" w:history="1">
            <w:r w:rsidR="00303FF6" w:rsidRPr="00A3035A">
              <w:rPr>
                <w:rStyle w:val="Hyperlink"/>
                <w:rFonts w:eastAsia="Times New Roman"/>
                <w:lang w:val="es-ES_tradnl"/>
              </w:rPr>
              <w:t>IX.</w:t>
            </w:r>
            <w:r w:rsidR="00303FF6">
              <w:rPr>
                <w:rFonts w:asciiTheme="minorHAnsi" w:eastAsiaTheme="minorEastAsia" w:hAnsiTheme="minorHAnsi" w:cstheme="minorBidi"/>
                <w:b w:val="0"/>
                <w:sz w:val="22"/>
                <w:szCs w:val="22"/>
                <w:bdr w:val="none" w:sz="0" w:space="0" w:color="auto"/>
                <w:lang w:val="en-US"/>
              </w:rPr>
              <w:tab/>
            </w:r>
            <w:r w:rsidR="00303FF6" w:rsidRPr="00A3035A">
              <w:rPr>
                <w:rStyle w:val="Hyperlink"/>
                <w:rFonts w:eastAsia="Times New Roman"/>
                <w:lang w:val="es-ES_tradnl"/>
              </w:rPr>
              <w:t>CONCLUSIONES Y RECOMENDACIONES FINALES</w:t>
            </w:r>
            <w:r w:rsidR="00303FF6">
              <w:rPr>
                <w:webHidden/>
              </w:rPr>
              <w:tab/>
            </w:r>
            <w:r w:rsidR="00303FF6">
              <w:rPr>
                <w:webHidden/>
              </w:rPr>
              <w:fldChar w:fldCharType="begin"/>
            </w:r>
            <w:r w:rsidR="00303FF6">
              <w:rPr>
                <w:webHidden/>
              </w:rPr>
              <w:instrText xml:space="preserve"> PAGEREF _Toc86071611 \h </w:instrText>
            </w:r>
            <w:r w:rsidR="00303FF6">
              <w:rPr>
                <w:webHidden/>
              </w:rPr>
            </w:r>
            <w:r w:rsidR="00303FF6">
              <w:rPr>
                <w:webHidden/>
              </w:rPr>
              <w:fldChar w:fldCharType="separate"/>
            </w:r>
            <w:r>
              <w:rPr>
                <w:webHidden/>
              </w:rPr>
              <w:t>32</w:t>
            </w:r>
            <w:r w:rsidR="00303FF6">
              <w:rPr>
                <w:webHidden/>
              </w:rPr>
              <w:fldChar w:fldCharType="end"/>
            </w:r>
          </w:hyperlink>
        </w:p>
        <w:p w14:paraId="5875036C" w14:textId="70EE1038" w:rsidR="00303FF6" w:rsidRDefault="00825923">
          <w:pPr>
            <w:pStyle w:val="TOC1"/>
            <w:rPr>
              <w:rFonts w:asciiTheme="minorHAnsi" w:eastAsiaTheme="minorEastAsia" w:hAnsiTheme="minorHAnsi" w:cstheme="minorBidi"/>
              <w:b w:val="0"/>
              <w:sz w:val="22"/>
              <w:szCs w:val="22"/>
              <w:bdr w:val="none" w:sz="0" w:space="0" w:color="auto"/>
              <w:lang w:val="en-US"/>
            </w:rPr>
          </w:pPr>
          <w:hyperlink w:anchor="_Toc86071612" w:history="1">
            <w:r w:rsidR="00303FF6" w:rsidRPr="00A3035A">
              <w:rPr>
                <w:rStyle w:val="Hyperlink"/>
                <w:rFonts w:eastAsia="MS Mincho"/>
                <w:lang w:val="es-ES" w:eastAsia="ar-SA"/>
              </w:rPr>
              <w:t>X.</w:t>
            </w:r>
            <w:r w:rsidR="00303FF6">
              <w:rPr>
                <w:rFonts w:asciiTheme="minorHAnsi" w:eastAsiaTheme="minorEastAsia" w:hAnsiTheme="minorHAnsi" w:cstheme="minorBidi"/>
                <w:b w:val="0"/>
                <w:sz w:val="22"/>
                <w:szCs w:val="22"/>
                <w:bdr w:val="none" w:sz="0" w:space="0" w:color="auto"/>
                <w:lang w:val="en-US"/>
              </w:rPr>
              <w:tab/>
            </w:r>
            <w:r w:rsidR="00303FF6" w:rsidRPr="00A3035A">
              <w:rPr>
                <w:rStyle w:val="Hyperlink"/>
                <w:rFonts w:eastAsia="MS Mincho"/>
                <w:lang w:val="es-ES" w:eastAsia="ar-SA"/>
              </w:rPr>
              <w:t>NOTIFICACIÓN</w:t>
            </w:r>
            <w:r w:rsidR="00303FF6">
              <w:rPr>
                <w:webHidden/>
              </w:rPr>
              <w:tab/>
            </w:r>
            <w:r w:rsidR="00303FF6">
              <w:rPr>
                <w:webHidden/>
              </w:rPr>
              <w:fldChar w:fldCharType="begin"/>
            </w:r>
            <w:r w:rsidR="00303FF6">
              <w:rPr>
                <w:webHidden/>
              </w:rPr>
              <w:instrText xml:space="preserve"> PAGEREF _Toc86071612 \h </w:instrText>
            </w:r>
            <w:r w:rsidR="00303FF6">
              <w:rPr>
                <w:webHidden/>
              </w:rPr>
            </w:r>
            <w:r w:rsidR="00303FF6">
              <w:rPr>
                <w:webHidden/>
              </w:rPr>
              <w:fldChar w:fldCharType="separate"/>
            </w:r>
            <w:r>
              <w:rPr>
                <w:webHidden/>
              </w:rPr>
              <w:t>33</w:t>
            </w:r>
            <w:r w:rsidR="00303FF6">
              <w:rPr>
                <w:webHidden/>
              </w:rPr>
              <w:fldChar w:fldCharType="end"/>
            </w:r>
          </w:hyperlink>
        </w:p>
        <w:p w14:paraId="5853380A" w14:textId="1C111D61" w:rsidR="00560837" w:rsidRPr="007607D3" w:rsidRDefault="00560837">
          <w:pPr>
            <w:rPr>
              <w:rFonts w:asciiTheme="majorHAnsi" w:hAnsiTheme="majorHAnsi"/>
              <w:sz w:val="20"/>
              <w:szCs w:val="20"/>
            </w:rPr>
          </w:pPr>
          <w:r w:rsidRPr="00361A4F">
            <w:rPr>
              <w:rFonts w:asciiTheme="majorHAnsi" w:hAnsiTheme="majorHAnsi"/>
              <w:b/>
              <w:bCs/>
              <w:noProof/>
              <w:sz w:val="20"/>
              <w:szCs w:val="20"/>
            </w:rPr>
            <w:fldChar w:fldCharType="end"/>
          </w:r>
        </w:p>
      </w:sdtContent>
    </w:sdt>
    <w:p w14:paraId="0B99CD59" w14:textId="543D959D" w:rsidR="00303FF6" w:rsidRDefault="00303FF6">
      <w:pPr>
        <w:rPr>
          <w:rFonts w:asciiTheme="majorHAnsi" w:hAnsiTheme="majorHAnsi"/>
          <w:sz w:val="20"/>
          <w:szCs w:val="20"/>
          <w:lang w:val="pt-BR"/>
        </w:rPr>
      </w:pPr>
      <w:r>
        <w:rPr>
          <w:rFonts w:asciiTheme="majorHAnsi" w:hAnsiTheme="majorHAnsi"/>
          <w:sz w:val="20"/>
          <w:szCs w:val="20"/>
          <w:lang w:val="pt-BR"/>
        </w:rPr>
        <w:br w:type="page"/>
      </w:r>
    </w:p>
    <w:p w14:paraId="59A1871E" w14:textId="77777777" w:rsidR="008D768D" w:rsidRPr="007607D3" w:rsidRDefault="008D768D" w:rsidP="001D65EF">
      <w:pPr>
        <w:tabs>
          <w:tab w:val="center" w:pos="5400"/>
        </w:tabs>
        <w:suppressAutoHyphens/>
        <w:spacing w:line="276" w:lineRule="auto"/>
        <w:rPr>
          <w:rFonts w:asciiTheme="majorHAnsi" w:hAnsiTheme="majorHAnsi"/>
          <w:sz w:val="20"/>
          <w:szCs w:val="20"/>
          <w:lang w:val="pt-BR"/>
        </w:rPr>
      </w:pPr>
    </w:p>
    <w:p w14:paraId="26679086" w14:textId="4C39CEBA" w:rsidR="00722C9F" w:rsidRPr="007607D3" w:rsidRDefault="00E82D96" w:rsidP="00722C9F">
      <w:pPr>
        <w:tabs>
          <w:tab w:val="center" w:pos="5400"/>
        </w:tabs>
        <w:suppressAutoHyphens/>
        <w:spacing w:line="276" w:lineRule="auto"/>
        <w:jc w:val="center"/>
        <w:rPr>
          <w:rFonts w:asciiTheme="majorHAnsi" w:hAnsiTheme="majorHAnsi"/>
          <w:b/>
          <w:sz w:val="18"/>
          <w:szCs w:val="20"/>
          <w:lang w:val="pt-BR"/>
        </w:rPr>
      </w:pPr>
      <w:r>
        <w:rPr>
          <w:rFonts w:asciiTheme="majorHAnsi" w:hAnsiTheme="majorHAnsi"/>
          <w:b/>
          <w:sz w:val="18"/>
          <w:szCs w:val="20"/>
          <w:lang w:val="pt-BR"/>
        </w:rPr>
        <w:t xml:space="preserve">INFORME No. </w:t>
      </w:r>
      <w:r w:rsidR="00F43EEB">
        <w:rPr>
          <w:rFonts w:asciiTheme="majorHAnsi" w:hAnsiTheme="majorHAnsi"/>
          <w:b/>
          <w:sz w:val="18"/>
          <w:szCs w:val="20"/>
          <w:lang w:val="pt-BR"/>
        </w:rPr>
        <w:t>31/20</w:t>
      </w:r>
    </w:p>
    <w:p w14:paraId="6E201934" w14:textId="77777777" w:rsidR="00722C9F" w:rsidRPr="007607D3" w:rsidRDefault="00315C45" w:rsidP="00722C9F">
      <w:pPr>
        <w:tabs>
          <w:tab w:val="center" w:pos="5400"/>
        </w:tabs>
        <w:suppressAutoHyphens/>
        <w:spacing w:line="276" w:lineRule="auto"/>
        <w:jc w:val="center"/>
        <w:rPr>
          <w:rFonts w:asciiTheme="majorHAnsi" w:hAnsiTheme="majorHAnsi"/>
          <w:b/>
          <w:sz w:val="18"/>
          <w:szCs w:val="20"/>
          <w:lang w:val="pt-BR"/>
        </w:rPr>
      </w:pPr>
      <w:r w:rsidRPr="007607D3">
        <w:rPr>
          <w:rFonts w:asciiTheme="majorHAnsi" w:hAnsiTheme="majorHAnsi"/>
          <w:b/>
          <w:sz w:val="18"/>
          <w:szCs w:val="20"/>
          <w:lang w:val="pt-BR"/>
        </w:rPr>
        <w:t xml:space="preserve"> CASO 12.332</w:t>
      </w:r>
    </w:p>
    <w:p w14:paraId="6073C664" w14:textId="77777777" w:rsidR="00722C9F" w:rsidRPr="007607D3" w:rsidRDefault="00722C9F" w:rsidP="00315C45">
      <w:pPr>
        <w:tabs>
          <w:tab w:val="center" w:pos="5400"/>
        </w:tabs>
        <w:suppressAutoHyphens/>
        <w:spacing w:line="276" w:lineRule="auto"/>
        <w:jc w:val="center"/>
        <w:rPr>
          <w:rFonts w:asciiTheme="majorHAnsi" w:hAnsiTheme="majorHAnsi"/>
          <w:sz w:val="18"/>
          <w:szCs w:val="20"/>
          <w:lang w:val="pt-BR"/>
        </w:rPr>
      </w:pPr>
      <w:r w:rsidRPr="007607D3">
        <w:rPr>
          <w:rFonts w:asciiTheme="majorHAnsi" w:hAnsiTheme="majorHAnsi"/>
          <w:sz w:val="18"/>
          <w:szCs w:val="20"/>
          <w:lang w:val="pt-BR"/>
        </w:rPr>
        <w:t xml:space="preserve">INFORME DE FONDO </w:t>
      </w:r>
      <w:r w:rsidR="004D1484">
        <w:rPr>
          <w:rFonts w:asciiTheme="majorHAnsi" w:hAnsiTheme="majorHAnsi"/>
          <w:sz w:val="18"/>
          <w:szCs w:val="20"/>
          <w:lang w:val="pt-BR"/>
        </w:rPr>
        <w:t>(PUBLICACION)</w:t>
      </w:r>
    </w:p>
    <w:p w14:paraId="548ED6C0" w14:textId="77777777" w:rsidR="00722C9F" w:rsidRPr="007607D3" w:rsidRDefault="00315C45" w:rsidP="00722C9F">
      <w:pPr>
        <w:tabs>
          <w:tab w:val="center" w:pos="5400"/>
        </w:tabs>
        <w:suppressAutoHyphens/>
        <w:spacing w:line="276" w:lineRule="auto"/>
        <w:jc w:val="center"/>
        <w:rPr>
          <w:rFonts w:asciiTheme="majorHAnsi" w:hAnsiTheme="majorHAnsi"/>
          <w:sz w:val="18"/>
          <w:szCs w:val="20"/>
          <w:lang w:val="pt-BR"/>
        </w:rPr>
      </w:pPr>
      <w:r w:rsidRPr="007607D3">
        <w:rPr>
          <w:rFonts w:asciiTheme="majorHAnsi" w:hAnsiTheme="majorHAnsi"/>
          <w:sz w:val="18"/>
          <w:szCs w:val="20"/>
          <w:lang w:val="pt-BR"/>
        </w:rPr>
        <w:t>MARGARIDA MARIA ALVES</w:t>
      </w:r>
      <w:r w:rsidR="001C4389" w:rsidRPr="007607D3">
        <w:rPr>
          <w:rFonts w:asciiTheme="majorHAnsi" w:hAnsiTheme="majorHAnsi"/>
          <w:sz w:val="18"/>
          <w:szCs w:val="20"/>
          <w:lang w:val="pt-BR"/>
        </w:rPr>
        <w:t xml:space="preserve"> Y FAMILIARES </w:t>
      </w:r>
    </w:p>
    <w:p w14:paraId="06D15739" w14:textId="77777777" w:rsidR="00722C9F" w:rsidRPr="007607D3" w:rsidRDefault="00315C45" w:rsidP="00722C9F">
      <w:pPr>
        <w:tabs>
          <w:tab w:val="center" w:pos="5400"/>
        </w:tabs>
        <w:suppressAutoHyphens/>
        <w:spacing w:line="276" w:lineRule="auto"/>
        <w:jc w:val="center"/>
        <w:rPr>
          <w:rFonts w:asciiTheme="majorHAnsi" w:hAnsiTheme="majorHAnsi"/>
          <w:sz w:val="18"/>
          <w:szCs w:val="20"/>
          <w:lang w:val="pt-BR"/>
        </w:rPr>
      </w:pPr>
      <w:r w:rsidRPr="007607D3">
        <w:rPr>
          <w:rFonts w:asciiTheme="majorHAnsi" w:hAnsiTheme="majorHAnsi"/>
          <w:sz w:val="18"/>
          <w:szCs w:val="20"/>
          <w:lang w:val="pt-BR"/>
        </w:rPr>
        <w:t>BRASIL</w:t>
      </w:r>
      <w:r w:rsidR="00872E93" w:rsidRPr="007607D3">
        <w:rPr>
          <w:rStyle w:val="FootnoteReference"/>
          <w:rFonts w:asciiTheme="majorHAnsi" w:hAnsiTheme="majorHAnsi"/>
          <w:sz w:val="18"/>
          <w:szCs w:val="20"/>
          <w:lang w:val="es-ES_tradnl"/>
        </w:rPr>
        <w:footnoteReference w:id="2"/>
      </w:r>
    </w:p>
    <w:p w14:paraId="280BE686" w14:textId="77777777" w:rsidR="00DF1EC4" w:rsidRDefault="004D1484" w:rsidP="00DF1EC4">
      <w:pPr>
        <w:tabs>
          <w:tab w:val="center" w:pos="4680"/>
          <w:tab w:val="left" w:pos="6511"/>
        </w:tabs>
        <w:jc w:val="center"/>
        <w:rPr>
          <w:rFonts w:ascii="Cambria" w:hAnsi="Cambria" w:cs="Calibri"/>
          <w:sz w:val="20"/>
          <w:szCs w:val="20"/>
          <w:lang w:val="pt-BR"/>
        </w:rPr>
      </w:pPr>
      <w:r>
        <w:rPr>
          <w:rFonts w:ascii="Cambria" w:hAnsi="Cambria" w:cs="Calibri"/>
          <w:sz w:val="20"/>
          <w:szCs w:val="20"/>
          <w:lang w:val="pt-BR"/>
        </w:rPr>
        <w:t>FECHA</w:t>
      </w:r>
    </w:p>
    <w:p w14:paraId="6B975AB9" w14:textId="77777777" w:rsidR="004D1484" w:rsidRPr="007607D3" w:rsidRDefault="004D1484" w:rsidP="00DF1EC4">
      <w:pPr>
        <w:tabs>
          <w:tab w:val="center" w:pos="4680"/>
          <w:tab w:val="left" w:pos="6511"/>
        </w:tabs>
        <w:jc w:val="center"/>
        <w:rPr>
          <w:rFonts w:ascii="Cambria" w:hAnsi="Cambria" w:cs="Calibri"/>
          <w:sz w:val="20"/>
          <w:szCs w:val="20"/>
          <w:lang w:val="pt-BR"/>
        </w:rPr>
      </w:pPr>
    </w:p>
    <w:p w14:paraId="28806651" w14:textId="77777777" w:rsidR="00315C45" w:rsidRPr="004C786B" w:rsidRDefault="00315C45" w:rsidP="00D55F74">
      <w:pPr>
        <w:pStyle w:val="Heading1"/>
        <w:keepLines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4050"/>
        </w:tabs>
        <w:spacing w:before="0"/>
        <w:rPr>
          <w:color w:val="auto"/>
          <w:sz w:val="20"/>
          <w:szCs w:val="20"/>
          <w:lang w:val="pt-BR"/>
        </w:rPr>
      </w:pPr>
      <w:bookmarkStart w:id="2" w:name="_Toc370840743"/>
      <w:bookmarkStart w:id="3" w:name="_Toc370840839"/>
      <w:bookmarkStart w:id="4" w:name="_Toc423514405"/>
      <w:bookmarkStart w:id="5" w:name="_Toc433115981"/>
      <w:bookmarkStart w:id="6" w:name="_Toc444958124"/>
      <w:bookmarkStart w:id="7" w:name="_Toc462148259"/>
      <w:bookmarkStart w:id="8" w:name="_Toc86071584"/>
      <w:r w:rsidRPr="004C786B">
        <w:rPr>
          <w:color w:val="auto"/>
          <w:sz w:val="20"/>
          <w:szCs w:val="20"/>
          <w:lang w:val="pt-BR"/>
        </w:rPr>
        <w:t>RESU</w:t>
      </w:r>
      <w:bookmarkEnd w:id="2"/>
      <w:bookmarkEnd w:id="3"/>
      <w:bookmarkEnd w:id="4"/>
      <w:bookmarkEnd w:id="5"/>
      <w:bookmarkEnd w:id="6"/>
      <w:bookmarkEnd w:id="7"/>
      <w:r w:rsidRPr="004C786B">
        <w:rPr>
          <w:color w:val="auto"/>
          <w:sz w:val="20"/>
          <w:szCs w:val="20"/>
          <w:lang w:val="pt-BR"/>
        </w:rPr>
        <w:t>MEN</w:t>
      </w:r>
      <w:bookmarkEnd w:id="8"/>
    </w:p>
    <w:p w14:paraId="60E1F5AF" w14:textId="77777777" w:rsidR="00315C45" w:rsidRPr="004C786B" w:rsidRDefault="00315C45" w:rsidP="00315C4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Calibri" w:hAnsi="Cambria"/>
          <w:sz w:val="20"/>
          <w:szCs w:val="20"/>
          <w:lang w:val="pt-BR"/>
        </w:rPr>
      </w:pPr>
    </w:p>
    <w:p w14:paraId="579B269F" w14:textId="77777777" w:rsidR="00315C45" w:rsidRPr="007607D3" w:rsidRDefault="00315C45" w:rsidP="000C1B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Arial"/>
          <w:sz w:val="20"/>
          <w:szCs w:val="20"/>
          <w:lang w:val="es-VE"/>
        </w:rPr>
      </w:pPr>
      <w:r w:rsidRPr="00120B6A">
        <w:rPr>
          <w:rFonts w:ascii="Cambria" w:hAnsi="Cambria"/>
          <w:sz w:val="20"/>
          <w:szCs w:val="20"/>
          <w:lang w:val="es-VE"/>
        </w:rPr>
        <w:t xml:space="preserve">El 17 de octubre de </w:t>
      </w:r>
      <w:r w:rsidRPr="007607D3">
        <w:rPr>
          <w:rFonts w:ascii="Cambria" w:hAnsi="Cambria"/>
          <w:sz w:val="20"/>
          <w:szCs w:val="20"/>
          <w:lang w:val="es-ES_tradnl"/>
        </w:rPr>
        <w:t xml:space="preserve">2000 la Comisión Interamericana de Derechos Humanos (en adelante “la Comisión”, “la Comisión Interamericana” o “la CIDH”) recibió una petición </w:t>
      </w:r>
      <w:r w:rsidR="007D57A8" w:rsidRPr="007607D3">
        <w:rPr>
          <w:rFonts w:ascii="Cambria" w:hAnsi="Cambria"/>
          <w:sz w:val="20"/>
          <w:szCs w:val="20"/>
          <w:lang w:val="es-ES_tradnl"/>
        </w:rPr>
        <w:t>presentada por el Gabinete de Asesoría Jurídica a las Organizacion</w:t>
      </w:r>
      <w:r w:rsidRPr="007607D3">
        <w:rPr>
          <w:rFonts w:ascii="Cambria" w:hAnsi="Cambria"/>
          <w:sz w:val="20"/>
          <w:szCs w:val="20"/>
          <w:lang w:val="es-ES_tradnl"/>
        </w:rPr>
        <w:t>es Populares (GAJOP), el Centro p</w:t>
      </w:r>
      <w:r w:rsidR="007D57A8" w:rsidRPr="007607D3">
        <w:rPr>
          <w:rFonts w:ascii="Cambria" w:hAnsi="Cambria"/>
          <w:sz w:val="20"/>
          <w:szCs w:val="20"/>
          <w:lang w:val="es-ES_tradnl"/>
        </w:rPr>
        <w:t>or la Justicia y el</w:t>
      </w:r>
      <w:r w:rsidRPr="007607D3">
        <w:rPr>
          <w:rFonts w:ascii="Cambria" w:hAnsi="Cambria"/>
          <w:sz w:val="20"/>
          <w:szCs w:val="20"/>
          <w:lang w:val="es-ES_tradnl"/>
        </w:rPr>
        <w:t xml:space="preserve"> Derecho Internacional (CEJIL), el Movim</w:t>
      </w:r>
      <w:r w:rsidR="007D57A8" w:rsidRPr="007607D3">
        <w:rPr>
          <w:rFonts w:ascii="Cambria" w:hAnsi="Cambria"/>
          <w:sz w:val="20"/>
          <w:szCs w:val="20"/>
          <w:lang w:val="es-ES_tradnl"/>
        </w:rPr>
        <w:t>i</w:t>
      </w:r>
      <w:r w:rsidRPr="007607D3">
        <w:rPr>
          <w:rFonts w:ascii="Cambria" w:hAnsi="Cambria"/>
          <w:sz w:val="20"/>
          <w:szCs w:val="20"/>
          <w:lang w:val="es-ES_tradnl"/>
        </w:rPr>
        <w:t>ento Nacional de Derechos Humanos</w:t>
      </w:r>
      <w:r w:rsidR="007D57A8" w:rsidRPr="007607D3">
        <w:rPr>
          <w:rFonts w:ascii="Cambria" w:hAnsi="Cambria"/>
          <w:sz w:val="20"/>
          <w:szCs w:val="20"/>
          <w:lang w:val="es-ES_tradnl"/>
        </w:rPr>
        <w:t xml:space="preserve"> (MNDH), la Comisión Pastoral de la Tie</w:t>
      </w:r>
      <w:r w:rsidRPr="007607D3">
        <w:rPr>
          <w:rFonts w:ascii="Cambria" w:hAnsi="Cambria"/>
          <w:sz w:val="20"/>
          <w:szCs w:val="20"/>
          <w:lang w:val="es-ES_tradnl"/>
        </w:rPr>
        <w:t>rra (CPT) y la Fundación de Defe</w:t>
      </w:r>
      <w:r w:rsidR="007D57A8" w:rsidRPr="007607D3">
        <w:rPr>
          <w:rFonts w:ascii="Cambria" w:hAnsi="Cambria"/>
          <w:sz w:val="20"/>
          <w:szCs w:val="20"/>
          <w:lang w:val="es-ES_tradnl"/>
        </w:rPr>
        <w:t>n</w:t>
      </w:r>
      <w:r w:rsidRPr="007607D3">
        <w:rPr>
          <w:rFonts w:ascii="Cambria" w:hAnsi="Cambria"/>
          <w:sz w:val="20"/>
          <w:szCs w:val="20"/>
          <w:lang w:val="es-ES_tradnl"/>
        </w:rPr>
        <w:t xml:space="preserve">sa de los Derechos Humanos Margarida Maria Alves (FDDH-MMA) (en adelante “los peticionarios") en la cual se alega la responsabilidad internacional de la República Federativa de Brasil (en adelante “el Estado”, “el Estado brasileño” o “Brasil”) </w:t>
      </w:r>
      <w:r w:rsidR="00B92AF5" w:rsidRPr="007607D3">
        <w:rPr>
          <w:rFonts w:ascii="Cambria" w:hAnsi="Cambria"/>
          <w:sz w:val="20"/>
          <w:szCs w:val="20"/>
          <w:lang w:val="es-ES_tradnl"/>
        </w:rPr>
        <w:t xml:space="preserve">por violaciones de derechos humanos cometidas en </w:t>
      </w:r>
      <w:r w:rsidR="000C1B2C" w:rsidRPr="007607D3">
        <w:rPr>
          <w:rFonts w:ascii="Cambria" w:hAnsi="Cambria"/>
          <w:sz w:val="20"/>
          <w:szCs w:val="20"/>
          <w:lang w:val="es-ES_tradnl"/>
        </w:rPr>
        <w:t>perjuicio de Margarida Maria Alves</w:t>
      </w:r>
      <w:r w:rsidR="00B92AF5" w:rsidRPr="007607D3">
        <w:rPr>
          <w:rFonts w:ascii="Cambria" w:hAnsi="Cambria"/>
          <w:sz w:val="20"/>
          <w:szCs w:val="20"/>
          <w:lang w:val="es-ES_tradnl"/>
        </w:rPr>
        <w:t xml:space="preserve"> y sus familiares. </w:t>
      </w:r>
      <w:r w:rsidR="000C1B2C" w:rsidRPr="007607D3">
        <w:rPr>
          <w:rFonts w:ascii="Cambria" w:hAnsi="Cambria"/>
          <w:sz w:val="20"/>
          <w:szCs w:val="20"/>
          <w:lang w:val="es-ES_tradnl"/>
        </w:rPr>
        <w:t xml:space="preserve"> </w:t>
      </w:r>
    </w:p>
    <w:p w14:paraId="762578C0" w14:textId="77777777" w:rsidR="000C1B2C" w:rsidRPr="007607D3" w:rsidRDefault="000C1B2C" w:rsidP="000C1B2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jc w:val="both"/>
        <w:rPr>
          <w:rFonts w:ascii="Cambria" w:hAnsi="Cambria" w:cs="Arial"/>
          <w:sz w:val="20"/>
          <w:szCs w:val="20"/>
          <w:lang w:val="es-VE"/>
        </w:rPr>
      </w:pPr>
    </w:p>
    <w:p w14:paraId="16965989" w14:textId="77777777" w:rsidR="00F53BDD" w:rsidRPr="007607D3" w:rsidRDefault="006310B6" w:rsidP="00F53B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lang w:val="es-VE"/>
        </w:rPr>
      </w:pPr>
      <w:r w:rsidRPr="007607D3">
        <w:rPr>
          <w:rFonts w:ascii="Cambria" w:eastAsia="Calibri" w:hAnsi="Cambria"/>
          <w:sz w:val="20"/>
          <w:szCs w:val="20"/>
          <w:lang w:val="es-VE"/>
        </w:rPr>
        <w:t>La Comisión aprobó el informe de admisibilidad No. 9/08 el 5 de marzo de 2008</w:t>
      </w:r>
      <w:r w:rsidR="00F53BDD" w:rsidRPr="007607D3">
        <w:rPr>
          <w:rFonts w:ascii="Cambria" w:eastAsia="Calibri" w:hAnsi="Cambria"/>
          <w:sz w:val="20"/>
          <w:szCs w:val="20"/>
          <w:vertAlign w:val="superscript"/>
          <w:lang w:val="es-CO"/>
        </w:rPr>
        <w:footnoteReference w:id="3"/>
      </w:r>
      <w:r w:rsidR="00F53BDD" w:rsidRPr="007607D3">
        <w:rPr>
          <w:rFonts w:ascii="Cambria" w:eastAsia="Calibri" w:hAnsi="Cambria"/>
          <w:sz w:val="20"/>
          <w:szCs w:val="20"/>
          <w:lang w:val="es-VE"/>
        </w:rPr>
        <w:t xml:space="preserve">. </w:t>
      </w:r>
      <w:r w:rsidR="00F53BDD" w:rsidRPr="007607D3">
        <w:rPr>
          <w:rFonts w:ascii="Cambria" w:eastAsia="Calibri" w:hAnsi="Cambria"/>
          <w:sz w:val="20"/>
          <w:szCs w:val="20"/>
          <w:lang w:val="es-CO"/>
        </w:rPr>
        <w:t>El 31 de marzo de 2008 la Comisión notificó dicho informe a las partes y se puso a</w:t>
      </w:r>
      <w:r w:rsidR="005F10F8" w:rsidRPr="007607D3">
        <w:rPr>
          <w:rFonts w:ascii="Cambria" w:eastAsia="Calibri" w:hAnsi="Cambria"/>
          <w:sz w:val="20"/>
          <w:szCs w:val="20"/>
          <w:lang w:val="es-CO"/>
        </w:rPr>
        <w:t xml:space="preserve"> su</w:t>
      </w:r>
      <w:r w:rsidR="00F53BDD" w:rsidRPr="007607D3">
        <w:rPr>
          <w:rFonts w:ascii="Cambria" w:eastAsia="Calibri" w:hAnsi="Cambria"/>
          <w:sz w:val="20"/>
          <w:szCs w:val="20"/>
          <w:lang w:val="es-CO"/>
        </w:rPr>
        <w:t xml:space="preserve"> disposición a fin de llegar a una solución amistosa. Las partes contaron con los plazos reglamentarios para presentar sus observaciones adicionales sobre el fondo. Toda la información fue debidamente trasladada entre las partes. </w:t>
      </w:r>
    </w:p>
    <w:p w14:paraId="20F592F2" w14:textId="77777777" w:rsidR="006310B6" w:rsidRPr="007607D3" w:rsidRDefault="006310B6" w:rsidP="00F53BDD">
      <w:pPr>
        <w:rPr>
          <w:rFonts w:eastAsia="Calibri"/>
          <w:sz w:val="20"/>
          <w:szCs w:val="20"/>
          <w:lang w:val="es-CO"/>
        </w:rPr>
      </w:pPr>
    </w:p>
    <w:p w14:paraId="08130DE8" w14:textId="77777777" w:rsidR="00315C45" w:rsidRPr="007607D3" w:rsidRDefault="00315C45"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lang w:val="es-VE"/>
        </w:rPr>
      </w:pPr>
      <w:r w:rsidRPr="007607D3">
        <w:rPr>
          <w:rFonts w:ascii="Cambria" w:eastAsia="Calibri" w:hAnsi="Cambria"/>
          <w:sz w:val="20"/>
          <w:szCs w:val="20"/>
          <w:lang w:val="es-CO"/>
        </w:rPr>
        <w:t>Los peticionarios denunciaron el asesinato de la presunta víc</w:t>
      </w:r>
      <w:r w:rsidR="007D57A8" w:rsidRPr="007607D3">
        <w:rPr>
          <w:rFonts w:ascii="Cambria" w:eastAsia="Calibri" w:hAnsi="Cambria"/>
          <w:sz w:val="20"/>
          <w:szCs w:val="20"/>
          <w:lang w:val="es-CO"/>
        </w:rPr>
        <w:t>tima, Margarida Maria Alves, quien</w:t>
      </w:r>
      <w:r w:rsidR="0023192B" w:rsidRPr="007607D3">
        <w:rPr>
          <w:rFonts w:ascii="Cambria" w:eastAsia="Calibri" w:hAnsi="Cambria"/>
          <w:sz w:val="20"/>
          <w:szCs w:val="20"/>
          <w:lang w:val="es-CO"/>
        </w:rPr>
        <w:t xml:space="preserve"> ejercía el puesto de Presidenta</w:t>
      </w:r>
      <w:r w:rsidRPr="007607D3">
        <w:rPr>
          <w:rFonts w:ascii="Cambria" w:eastAsia="Calibri" w:hAnsi="Cambria"/>
          <w:sz w:val="20"/>
          <w:szCs w:val="20"/>
          <w:lang w:val="es-CO"/>
        </w:rPr>
        <w:t xml:space="preserve"> del Sindicato de los Traba</w:t>
      </w:r>
      <w:r w:rsidR="0023192B" w:rsidRPr="007607D3">
        <w:rPr>
          <w:rFonts w:ascii="Cambria" w:eastAsia="Calibri" w:hAnsi="Cambria"/>
          <w:sz w:val="20"/>
          <w:szCs w:val="20"/>
          <w:lang w:val="es-CO"/>
        </w:rPr>
        <w:t xml:space="preserve">jadores Rurales de Alagoa Grande, en </w:t>
      </w:r>
      <w:r w:rsidR="005F10F8" w:rsidRPr="007607D3">
        <w:rPr>
          <w:rFonts w:ascii="Cambria" w:eastAsia="Calibri" w:hAnsi="Cambria"/>
          <w:sz w:val="20"/>
          <w:szCs w:val="20"/>
          <w:lang w:val="es-CO"/>
        </w:rPr>
        <w:t xml:space="preserve">el Estado </w:t>
      </w:r>
      <w:r w:rsidRPr="007607D3">
        <w:rPr>
          <w:rFonts w:ascii="Cambria" w:eastAsia="Calibri" w:hAnsi="Cambria"/>
          <w:sz w:val="20"/>
          <w:szCs w:val="20"/>
          <w:lang w:val="es-CO"/>
        </w:rPr>
        <w:t>de Paraíba, Brasil, el</w:t>
      </w:r>
      <w:r w:rsidR="00E159DB" w:rsidRPr="007607D3">
        <w:rPr>
          <w:rFonts w:ascii="Cambria" w:eastAsia="Calibri" w:hAnsi="Cambria"/>
          <w:sz w:val="20"/>
          <w:szCs w:val="20"/>
          <w:lang w:val="es-CO"/>
        </w:rPr>
        <w:t xml:space="preserve"> 12 de agosto de 1983. </w:t>
      </w:r>
      <w:r w:rsidRPr="007607D3">
        <w:rPr>
          <w:rFonts w:ascii="Cambria" w:eastAsia="Calibri" w:hAnsi="Cambria"/>
          <w:sz w:val="20"/>
          <w:szCs w:val="20"/>
          <w:lang w:val="es-CO"/>
        </w:rPr>
        <w:t>Según afirmaron, el crimen fue motivado por la participación de Margarida Maria Alves en la lucha por los derechos de los trabajadores rurales de la región.</w:t>
      </w:r>
      <w:r w:rsidRPr="007607D3">
        <w:rPr>
          <w:rFonts w:ascii="Cambria" w:eastAsia="Calibri" w:hAnsi="Cambria"/>
          <w:sz w:val="20"/>
          <w:szCs w:val="20"/>
          <w:lang w:val="es-VE"/>
        </w:rPr>
        <w:t xml:space="preserve"> </w:t>
      </w:r>
      <w:r w:rsidR="007F1826" w:rsidRPr="007607D3">
        <w:rPr>
          <w:rFonts w:ascii="Cambria" w:eastAsia="Calibri" w:hAnsi="Cambria"/>
          <w:sz w:val="20"/>
          <w:szCs w:val="20"/>
          <w:lang w:val="es-CO"/>
        </w:rPr>
        <w:t>Afirmaron</w:t>
      </w:r>
      <w:r w:rsidRPr="007607D3">
        <w:rPr>
          <w:rFonts w:ascii="Cambria" w:eastAsia="Calibri" w:hAnsi="Cambria"/>
          <w:sz w:val="20"/>
          <w:szCs w:val="20"/>
          <w:lang w:val="es-CO"/>
        </w:rPr>
        <w:t xml:space="preserve"> que </w:t>
      </w:r>
      <w:r w:rsidR="0071368B" w:rsidRPr="007607D3">
        <w:rPr>
          <w:rFonts w:ascii="Cambria" w:eastAsia="Calibri" w:hAnsi="Cambria"/>
          <w:sz w:val="20"/>
          <w:szCs w:val="20"/>
          <w:lang w:val="es-CO"/>
        </w:rPr>
        <w:t>hubo</w:t>
      </w:r>
      <w:r w:rsidRPr="007607D3">
        <w:rPr>
          <w:rFonts w:ascii="Cambria" w:eastAsia="Calibri" w:hAnsi="Cambria"/>
          <w:sz w:val="20"/>
          <w:szCs w:val="20"/>
          <w:lang w:val="es-CO"/>
        </w:rPr>
        <w:t xml:space="preserve"> participación directa de agentes estatales en el hecho de su </w:t>
      </w:r>
      <w:r w:rsidR="00243065" w:rsidRPr="007607D3">
        <w:rPr>
          <w:rFonts w:ascii="Cambria" w:eastAsia="Calibri" w:hAnsi="Cambria"/>
          <w:sz w:val="20"/>
          <w:szCs w:val="20"/>
          <w:lang w:val="es-CO"/>
        </w:rPr>
        <w:t xml:space="preserve">muerte. Refirieron </w:t>
      </w:r>
      <w:r w:rsidRPr="007607D3">
        <w:rPr>
          <w:rFonts w:ascii="Cambria" w:eastAsia="Calibri" w:hAnsi="Cambria"/>
          <w:sz w:val="20"/>
          <w:szCs w:val="20"/>
          <w:lang w:val="es-CO"/>
        </w:rPr>
        <w:t xml:space="preserve">que </w:t>
      </w:r>
      <w:r w:rsidR="006D24F9" w:rsidRPr="007607D3">
        <w:rPr>
          <w:rFonts w:ascii="Cambria" w:eastAsia="Calibri" w:hAnsi="Cambria"/>
          <w:sz w:val="20"/>
          <w:szCs w:val="20"/>
          <w:lang w:val="es-CO"/>
        </w:rPr>
        <w:t xml:space="preserve">los </w:t>
      </w:r>
      <w:r w:rsidR="0071368B" w:rsidRPr="007607D3">
        <w:rPr>
          <w:rFonts w:ascii="Cambria" w:eastAsia="Calibri" w:hAnsi="Cambria"/>
          <w:sz w:val="20"/>
          <w:szCs w:val="20"/>
          <w:lang w:val="es-CO"/>
        </w:rPr>
        <w:t>hechos</w:t>
      </w:r>
      <w:r w:rsidRPr="007607D3">
        <w:rPr>
          <w:rFonts w:ascii="Cambria" w:eastAsia="Calibri" w:hAnsi="Cambria"/>
          <w:sz w:val="20"/>
          <w:szCs w:val="20"/>
          <w:lang w:val="es-CO"/>
        </w:rPr>
        <w:t xml:space="preserve"> permanecen </w:t>
      </w:r>
      <w:r w:rsidR="0071368B" w:rsidRPr="007607D3">
        <w:rPr>
          <w:rFonts w:ascii="Cambria" w:eastAsia="Calibri" w:hAnsi="Cambria"/>
          <w:sz w:val="20"/>
          <w:szCs w:val="20"/>
          <w:lang w:val="es-CO"/>
        </w:rPr>
        <w:t>en</w:t>
      </w:r>
      <w:r w:rsidRPr="007607D3">
        <w:rPr>
          <w:rFonts w:ascii="Cambria" w:eastAsia="Calibri" w:hAnsi="Cambria"/>
          <w:sz w:val="20"/>
          <w:szCs w:val="20"/>
          <w:lang w:val="es-CO"/>
        </w:rPr>
        <w:t xml:space="preserve"> la impunidad.</w:t>
      </w:r>
      <w:r w:rsidRPr="007607D3">
        <w:rPr>
          <w:rFonts w:ascii="Cambria" w:eastAsia="Calibri" w:hAnsi="Cambria"/>
          <w:sz w:val="20"/>
          <w:szCs w:val="20"/>
          <w:lang w:val="es-VE"/>
        </w:rPr>
        <w:t xml:space="preserve"> </w:t>
      </w:r>
    </w:p>
    <w:p w14:paraId="5E093567" w14:textId="77777777" w:rsidR="00315C45" w:rsidRPr="007607D3" w:rsidRDefault="00315C45" w:rsidP="00315C45">
      <w:pPr>
        <w:pStyle w:val="ListParagraph"/>
        <w:rPr>
          <w:rFonts w:eastAsia="Calibri"/>
          <w:sz w:val="20"/>
          <w:szCs w:val="20"/>
          <w:lang w:val="es-VE"/>
        </w:rPr>
      </w:pPr>
    </w:p>
    <w:p w14:paraId="22528C22" w14:textId="77777777" w:rsidR="007F1826" w:rsidRPr="007607D3" w:rsidRDefault="0071368B"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lang w:val="es-CO"/>
        </w:rPr>
      </w:pPr>
      <w:r w:rsidRPr="007607D3">
        <w:rPr>
          <w:rFonts w:ascii="Cambria" w:eastAsia="Calibri" w:hAnsi="Cambria"/>
          <w:sz w:val="20"/>
          <w:szCs w:val="20"/>
          <w:lang w:val="es-CO"/>
        </w:rPr>
        <w:t xml:space="preserve"> El Estado argumentó que se encuentra</w:t>
      </w:r>
      <w:r w:rsidR="00315C45" w:rsidRPr="007607D3">
        <w:rPr>
          <w:rFonts w:ascii="Cambria" w:eastAsia="Calibri" w:hAnsi="Cambria"/>
          <w:sz w:val="20"/>
          <w:szCs w:val="20"/>
          <w:lang w:val="es-CO"/>
        </w:rPr>
        <w:t xml:space="preserve"> cumpliendo con los estándares internac</w:t>
      </w:r>
      <w:r w:rsidRPr="007607D3">
        <w:rPr>
          <w:rFonts w:ascii="Cambria" w:eastAsia="Calibri" w:hAnsi="Cambria"/>
          <w:sz w:val="20"/>
          <w:szCs w:val="20"/>
          <w:lang w:val="es-CO"/>
        </w:rPr>
        <w:t xml:space="preserve">ionales </w:t>
      </w:r>
      <w:r w:rsidR="007F1826" w:rsidRPr="007607D3">
        <w:rPr>
          <w:rFonts w:ascii="Cambria" w:eastAsia="Calibri" w:hAnsi="Cambria"/>
          <w:sz w:val="20"/>
          <w:szCs w:val="20"/>
          <w:lang w:val="es-CO"/>
        </w:rPr>
        <w:t>para proteger a la</w:t>
      </w:r>
      <w:r w:rsidRPr="007607D3">
        <w:rPr>
          <w:rFonts w:ascii="Cambria" w:eastAsia="Calibri" w:hAnsi="Cambria"/>
          <w:sz w:val="20"/>
          <w:szCs w:val="20"/>
          <w:lang w:val="es-CO"/>
        </w:rPr>
        <w:t>s</w:t>
      </w:r>
      <w:r w:rsidR="007F1826" w:rsidRPr="007607D3">
        <w:rPr>
          <w:rFonts w:ascii="Cambria" w:eastAsia="Calibri" w:hAnsi="Cambria"/>
          <w:sz w:val="20"/>
          <w:szCs w:val="20"/>
          <w:lang w:val="es-CO"/>
        </w:rPr>
        <w:t xml:space="preserve"> y los</w:t>
      </w:r>
      <w:r w:rsidRPr="007607D3">
        <w:rPr>
          <w:rFonts w:ascii="Cambria" w:eastAsia="Calibri" w:hAnsi="Cambria"/>
          <w:sz w:val="20"/>
          <w:szCs w:val="20"/>
          <w:lang w:val="es-CO"/>
        </w:rPr>
        <w:t xml:space="preserve"> defensores de derechos humanos y prevenir la violencia agraria. </w:t>
      </w:r>
      <w:r w:rsidR="007F1826" w:rsidRPr="007607D3">
        <w:rPr>
          <w:rFonts w:ascii="Cambria" w:eastAsia="Calibri" w:hAnsi="Cambria"/>
          <w:sz w:val="20"/>
          <w:szCs w:val="20"/>
          <w:lang w:val="es-CO"/>
        </w:rPr>
        <w:t>Indicó</w:t>
      </w:r>
      <w:r w:rsidR="00315C45" w:rsidRPr="007607D3">
        <w:rPr>
          <w:rFonts w:ascii="Cambria" w:eastAsia="Calibri" w:hAnsi="Cambria"/>
          <w:sz w:val="20"/>
          <w:szCs w:val="20"/>
          <w:lang w:val="es-CO"/>
        </w:rPr>
        <w:t xml:space="preserve"> </w:t>
      </w:r>
      <w:r w:rsidR="007F1826" w:rsidRPr="007607D3">
        <w:rPr>
          <w:rFonts w:ascii="Cambria" w:eastAsia="Calibri" w:hAnsi="Cambria"/>
          <w:sz w:val="20"/>
          <w:szCs w:val="20"/>
          <w:lang w:val="es-CO"/>
        </w:rPr>
        <w:t xml:space="preserve">que está en proceso de implementación de cambios en lo que concierne a seguridad pública así como al poder judicial de </w:t>
      </w:r>
      <w:r w:rsidR="00AB6D06" w:rsidRPr="007607D3">
        <w:rPr>
          <w:rFonts w:ascii="Cambria" w:eastAsia="Calibri" w:hAnsi="Cambria"/>
          <w:sz w:val="20"/>
          <w:szCs w:val="20"/>
          <w:lang w:val="es-CO"/>
        </w:rPr>
        <w:t>Estado</w:t>
      </w:r>
      <w:r w:rsidR="007F22A8" w:rsidRPr="007607D3">
        <w:rPr>
          <w:rFonts w:ascii="Cambria" w:eastAsia="Calibri" w:hAnsi="Cambria"/>
          <w:sz w:val="20"/>
          <w:szCs w:val="20"/>
          <w:lang w:val="es-CO"/>
        </w:rPr>
        <w:t xml:space="preserve"> donde ocurrieron los hechos. </w:t>
      </w:r>
      <w:r w:rsidR="007F1826" w:rsidRPr="007607D3">
        <w:rPr>
          <w:rFonts w:ascii="Cambria" w:eastAsia="Calibri" w:hAnsi="Cambria"/>
          <w:sz w:val="20"/>
          <w:szCs w:val="20"/>
          <w:lang w:val="es-CO"/>
        </w:rPr>
        <w:t xml:space="preserve">Añadió que ha promovido acciones concretas de reparación a favor del hijo de la presunta víctima y de reparación simbólica para la memoria de Margarida Maria Alves. </w:t>
      </w:r>
    </w:p>
    <w:p w14:paraId="53D6B46A" w14:textId="77777777" w:rsidR="007F1826" w:rsidRPr="007607D3" w:rsidRDefault="007F1826" w:rsidP="007F1826">
      <w:pPr>
        <w:pStyle w:val="ListParagraph"/>
        <w:rPr>
          <w:rFonts w:eastAsia="Calibri"/>
          <w:sz w:val="20"/>
          <w:szCs w:val="20"/>
          <w:lang w:val="es-CO"/>
        </w:rPr>
      </w:pPr>
    </w:p>
    <w:p w14:paraId="6ED42BF5" w14:textId="77777777" w:rsidR="001C61B2" w:rsidRPr="007607D3" w:rsidRDefault="00F53BDD"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lang w:val="es-CO"/>
        </w:rPr>
      </w:pPr>
      <w:r w:rsidRPr="007607D3">
        <w:rPr>
          <w:rFonts w:ascii="Cambria" w:eastAsia="Calibri" w:hAnsi="Cambria"/>
          <w:sz w:val="20"/>
          <w:szCs w:val="20"/>
          <w:lang w:val="es-CO"/>
        </w:rPr>
        <w:t xml:space="preserve">Con base en las determinaciones de hecho y de derecho, </w:t>
      </w:r>
      <w:r w:rsidR="007F1826" w:rsidRPr="007607D3">
        <w:rPr>
          <w:rFonts w:ascii="Cambria" w:eastAsia="Calibri" w:hAnsi="Cambria"/>
          <w:sz w:val="20"/>
          <w:szCs w:val="20"/>
          <w:lang w:val="es-CO"/>
        </w:rPr>
        <w:t xml:space="preserve">la Comisión Interamericana concluyó que el Estado brasileño es responsable por la violación de los derechos consagrados en los artículos </w:t>
      </w:r>
      <w:r w:rsidR="001C61B2" w:rsidRPr="007607D3">
        <w:rPr>
          <w:rFonts w:ascii="Cambria" w:eastAsia="Calibri" w:hAnsi="Cambria"/>
          <w:sz w:val="20"/>
          <w:szCs w:val="20"/>
          <w:lang w:val="es-CO"/>
        </w:rPr>
        <w:t>I (derecho a la vida</w:t>
      </w:r>
      <w:r w:rsidR="00E159DB" w:rsidRPr="007607D3">
        <w:rPr>
          <w:rFonts w:ascii="Cambria" w:eastAsia="Calibri" w:hAnsi="Cambria"/>
          <w:sz w:val="20"/>
          <w:szCs w:val="20"/>
          <w:lang w:val="es-CO"/>
        </w:rPr>
        <w:t xml:space="preserve"> e integridad personal</w:t>
      </w:r>
      <w:r w:rsidR="001C61B2" w:rsidRPr="007607D3">
        <w:rPr>
          <w:rFonts w:ascii="Cambria" w:eastAsia="Calibri" w:hAnsi="Cambria"/>
          <w:sz w:val="20"/>
          <w:szCs w:val="20"/>
          <w:lang w:val="es-CO"/>
        </w:rPr>
        <w:t>)</w:t>
      </w:r>
      <w:r w:rsidR="00E159DB" w:rsidRPr="007607D3">
        <w:rPr>
          <w:rFonts w:ascii="Cambria" w:eastAsia="Calibri" w:hAnsi="Cambria"/>
          <w:sz w:val="20"/>
          <w:szCs w:val="20"/>
          <w:lang w:val="es-CO"/>
        </w:rPr>
        <w:t xml:space="preserve">, </w:t>
      </w:r>
      <w:r w:rsidR="00315C45" w:rsidRPr="007607D3">
        <w:rPr>
          <w:rFonts w:ascii="Cambria" w:eastAsia="Calibri" w:hAnsi="Cambria"/>
          <w:sz w:val="20"/>
          <w:szCs w:val="20"/>
          <w:lang w:val="es-CO"/>
        </w:rPr>
        <w:t xml:space="preserve">XVIII (derecho a la justicia), XXII (derecho de asociación) de </w:t>
      </w:r>
      <w:r w:rsidR="00315C45" w:rsidRPr="007607D3">
        <w:rPr>
          <w:rFonts w:ascii="Cambria" w:hAnsi="Cambria"/>
          <w:color w:val="000000"/>
          <w:sz w:val="20"/>
          <w:szCs w:val="20"/>
          <w:lang w:val="es-CO"/>
        </w:rPr>
        <w:t xml:space="preserve">la </w:t>
      </w:r>
      <w:r w:rsidR="00315C45" w:rsidRPr="007607D3">
        <w:rPr>
          <w:rFonts w:ascii="Cambria" w:eastAsia="Calibri" w:hAnsi="Cambria"/>
          <w:sz w:val="20"/>
          <w:szCs w:val="20"/>
          <w:lang w:val="es-CO"/>
        </w:rPr>
        <w:t>Declaración Americana de los</w:t>
      </w:r>
      <w:r w:rsidR="001311DC" w:rsidRPr="007607D3">
        <w:rPr>
          <w:rFonts w:ascii="Cambria" w:eastAsia="Calibri" w:hAnsi="Cambria"/>
          <w:sz w:val="20"/>
          <w:szCs w:val="20"/>
          <w:lang w:val="es-CO"/>
        </w:rPr>
        <w:t xml:space="preserve"> Derechos y Deberes del Hombre</w:t>
      </w:r>
      <w:r w:rsidR="00026AEA" w:rsidRPr="007607D3">
        <w:rPr>
          <w:rFonts w:ascii="Cambria" w:eastAsia="Calibri" w:hAnsi="Cambria"/>
          <w:sz w:val="20"/>
          <w:szCs w:val="20"/>
          <w:lang w:val="es-CO"/>
        </w:rPr>
        <w:t xml:space="preserve"> (en adelante “la Declaración Americana”)</w:t>
      </w:r>
      <w:r w:rsidR="001311DC" w:rsidRPr="007607D3">
        <w:rPr>
          <w:rFonts w:ascii="Cambria" w:eastAsia="Calibri" w:hAnsi="Cambria"/>
          <w:sz w:val="20"/>
          <w:szCs w:val="20"/>
          <w:lang w:val="es-CO"/>
        </w:rPr>
        <w:t xml:space="preserve">, </w:t>
      </w:r>
      <w:r w:rsidR="00E159DB" w:rsidRPr="007607D3">
        <w:rPr>
          <w:rFonts w:ascii="Cambria" w:eastAsia="Calibri" w:hAnsi="Cambria"/>
          <w:sz w:val="20"/>
          <w:szCs w:val="20"/>
          <w:lang w:val="es-CO"/>
        </w:rPr>
        <w:t xml:space="preserve">5 (integridad personal), </w:t>
      </w:r>
      <w:r w:rsidR="00315C45" w:rsidRPr="007607D3">
        <w:rPr>
          <w:rFonts w:ascii="Cambria" w:eastAsia="Calibri" w:hAnsi="Cambria"/>
          <w:sz w:val="20"/>
          <w:szCs w:val="20"/>
          <w:lang w:val="es-CO"/>
        </w:rPr>
        <w:t>8</w:t>
      </w:r>
      <w:r w:rsidR="004120F0" w:rsidRPr="007607D3">
        <w:rPr>
          <w:rFonts w:ascii="Cambria" w:eastAsia="Calibri" w:hAnsi="Cambria"/>
          <w:sz w:val="20"/>
          <w:szCs w:val="20"/>
          <w:lang w:val="es-CO"/>
        </w:rPr>
        <w:t>.1 (garantías judiciales),</w:t>
      </w:r>
      <w:r w:rsidR="00E159DB" w:rsidRPr="007607D3">
        <w:rPr>
          <w:rFonts w:ascii="Cambria" w:eastAsia="Calibri" w:hAnsi="Cambria"/>
          <w:sz w:val="20"/>
          <w:szCs w:val="20"/>
          <w:lang w:val="es-CO"/>
        </w:rPr>
        <w:t xml:space="preserve"> </w:t>
      </w:r>
      <w:r w:rsidR="00315C45" w:rsidRPr="007607D3">
        <w:rPr>
          <w:rFonts w:ascii="Cambria" w:eastAsia="Calibri" w:hAnsi="Cambria"/>
          <w:sz w:val="20"/>
          <w:szCs w:val="20"/>
          <w:lang w:val="es-CO"/>
        </w:rPr>
        <w:t>25</w:t>
      </w:r>
      <w:r w:rsidR="004120F0" w:rsidRPr="007607D3">
        <w:rPr>
          <w:rFonts w:ascii="Cambria" w:eastAsia="Calibri" w:hAnsi="Cambria"/>
          <w:sz w:val="20"/>
          <w:szCs w:val="20"/>
          <w:lang w:val="es-CO"/>
        </w:rPr>
        <w:t>.1</w:t>
      </w:r>
      <w:r w:rsidR="00315C45" w:rsidRPr="007607D3">
        <w:rPr>
          <w:rFonts w:ascii="Cambria" w:eastAsia="Calibri" w:hAnsi="Cambria"/>
          <w:sz w:val="20"/>
          <w:szCs w:val="20"/>
          <w:lang w:val="es-CO"/>
        </w:rPr>
        <w:t xml:space="preserve"> (protección judicial) de la Convención Americana</w:t>
      </w:r>
      <w:r w:rsidR="00E159DB" w:rsidRPr="007607D3">
        <w:rPr>
          <w:rFonts w:ascii="Cambria" w:eastAsia="Calibri" w:hAnsi="Cambria"/>
          <w:sz w:val="20"/>
          <w:szCs w:val="20"/>
          <w:lang w:val="es-CO"/>
        </w:rPr>
        <w:t xml:space="preserve"> </w:t>
      </w:r>
      <w:r w:rsidR="00C507F5" w:rsidRPr="007607D3">
        <w:rPr>
          <w:rFonts w:ascii="Cambria" w:eastAsia="Calibri" w:hAnsi="Cambria"/>
          <w:sz w:val="20"/>
          <w:szCs w:val="20"/>
          <w:lang w:val="es-CO"/>
        </w:rPr>
        <w:t>sobre Derechos Humanos (en adelante “la Convención Americana”)</w:t>
      </w:r>
      <w:r w:rsidR="00476A77" w:rsidRPr="007607D3">
        <w:rPr>
          <w:rFonts w:ascii="Cambria" w:eastAsia="Calibri" w:hAnsi="Cambria"/>
          <w:sz w:val="20"/>
          <w:szCs w:val="20"/>
          <w:lang w:val="es-CO"/>
        </w:rPr>
        <w:t xml:space="preserve"> </w:t>
      </w:r>
      <w:r w:rsidR="00E159DB" w:rsidRPr="007607D3">
        <w:rPr>
          <w:rFonts w:ascii="Cambria" w:eastAsia="Calibri" w:hAnsi="Cambria"/>
          <w:sz w:val="20"/>
          <w:szCs w:val="20"/>
          <w:lang w:val="es-CO"/>
        </w:rPr>
        <w:t>en relación con el artículo 1.1 del mismo instrumento</w:t>
      </w:r>
      <w:r w:rsidR="00315C45" w:rsidRPr="007607D3">
        <w:rPr>
          <w:rFonts w:ascii="Cambria" w:eastAsia="Calibri" w:hAnsi="Cambria"/>
          <w:sz w:val="20"/>
          <w:szCs w:val="20"/>
          <w:lang w:val="es-CO"/>
        </w:rPr>
        <w:t xml:space="preserve">, </w:t>
      </w:r>
      <w:r w:rsidR="001C61B2" w:rsidRPr="007607D3">
        <w:rPr>
          <w:rFonts w:ascii="Cambria" w:eastAsia="Calibri" w:hAnsi="Cambria"/>
          <w:sz w:val="20"/>
          <w:szCs w:val="20"/>
          <w:lang w:val="es-CO"/>
        </w:rPr>
        <w:t>en perjuicio de Margarida Maria Alves, así como de sus familiares</w:t>
      </w:r>
      <w:r w:rsidR="00CA6CF8" w:rsidRPr="007607D3">
        <w:rPr>
          <w:rFonts w:ascii="Cambria" w:eastAsia="Calibri" w:hAnsi="Cambria"/>
          <w:sz w:val="20"/>
          <w:szCs w:val="20"/>
          <w:lang w:val="es-CO"/>
        </w:rPr>
        <w:t xml:space="preserve">, en los términos especificados a lo largo del presente informe. </w:t>
      </w:r>
      <w:r w:rsidR="001C61B2" w:rsidRPr="007607D3">
        <w:rPr>
          <w:rFonts w:ascii="Cambria" w:eastAsia="Calibri" w:hAnsi="Cambria"/>
          <w:sz w:val="20"/>
          <w:szCs w:val="20"/>
          <w:lang w:val="es-CO"/>
        </w:rPr>
        <w:t xml:space="preserve">En consecuencia, la Comisión formuló las recomendaciones respectivas. </w:t>
      </w:r>
    </w:p>
    <w:p w14:paraId="5CA753F5" w14:textId="77777777" w:rsidR="00315C45" w:rsidRPr="007607D3" w:rsidRDefault="00315C45" w:rsidP="00315C45">
      <w:pPr>
        <w:rPr>
          <w:lang w:val="es-VE"/>
        </w:rPr>
      </w:pPr>
    </w:p>
    <w:p w14:paraId="1A4CC4E2" w14:textId="77777777" w:rsidR="00315C45" w:rsidRPr="007607D3" w:rsidRDefault="00F53BDD" w:rsidP="00315C45">
      <w:pPr>
        <w:pStyle w:val="Heading1"/>
        <w:keepLines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0"/>
        <w:rPr>
          <w:color w:val="auto"/>
          <w:sz w:val="20"/>
          <w:szCs w:val="20"/>
          <w:lang w:val="es-CO"/>
        </w:rPr>
      </w:pPr>
      <w:bookmarkStart w:id="9" w:name="_Toc86071585"/>
      <w:r w:rsidRPr="007607D3">
        <w:rPr>
          <w:color w:val="auto"/>
          <w:sz w:val="20"/>
          <w:szCs w:val="20"/>
          <w:lang w:val="es-CO"/>
        </w:rPr>
        <w:t>ALEGATOS</w:t>
      </w:r>
      <w:r w:rsidR="00315C45" w:rsidRPr="007607D3">
        <w:rPr>
          <w:color w:val="auto"/>
          <w:sz w:val="20"/>
          <w:szCs w:val="20"/>
          <w:lang w:val="es-CO"/>
        </w:rPr>
        <w:t xml:space="preserve"> DE LAS PARTES</w:t>
      </w:r>
      <w:bookmarkEnd w:id="9"/>
    </w:p>
    <w:p w14:paraId="0E29D4A4" w14:textId="77777777" w:rsidR="00315C45" w:rsidRPr="007607D3" w:rsidRDefault="00315C45" w:rsidP="009779F9">
      <w:pPr>
        <w:pStyle w:val="Heading2"/>
        <w:numPr>
          <w:ilvl w:val="0"/>
          <w:numId w:val="60"/>
        </w:numPr>
        <w:ind w:firstLine="0"/>
        <w:rPr>
          <w:rFonts w:asciiTheme="majorHAnsi" w:hAnsiTheme="majorHAnsi"/>
          <w:i w:val="0"/>
          <w:sz w:val="20"/>
          <w:szCs w:val="20"/>
          <w:lang w:val="es-VE"/>
        </w:rPr>
      </w:pPr>
      <w:bookmarkStart w:id="10" w:name="_Toc86071586"/>
      <w:r w:rsidRPr="007607D3">
        <w:rPr>
          <w:rFonts w:asciiTheme="majorHAnsi" w:hAnsiTheme="majorHAnsi"/>
          <w:i w:val="0"/>
          <w:sz w:val="20"/>
          <w:szCs w:val="20"/>
          <w:lang w:val="es-VE"/>
        </w:rPr>
        <w:t>Posición de los peticionarios</w:t>
      </w:r>
      <w:bookmarkEnd w:id="10"/>
    </w:p>
    <w:p w14:paraId="75CF5671" w14:textId="77777777" w:rsidR="00315C45" w:rsidRPr="007607D3" w:rsidRDefault="00315C45" w:rsidP="00315C4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lang w:val="es-VE"/>
        </w:rPr>
      </w:pPr>
    </w:p>
    <w:p w14:paraId="2E34161A" w14:textId="77777777" w:rsidR="00AB6D06" w:rsidRPr="007607D3" w:rsidRDefault="00315C45"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lang w:val="es-CO"/>
        </w:rPr>
      </w:pPr>
      <w:r w:rsidRPr="007607D3">
        <w:rPr>
          <w:rFonts w:ascii="Cambria" w:eastAsia="Calibri" w:hAnsi="Cambria"/>
          <w:sz w:val="20"/>
          <w:szCs w:val="20"/>
          <w:lang w:val="es-CO"/>
        </w:rPr>
        <w:lastRenderedPageBreak/>
        <w:t>Los peticionarios alegaron que Margarida Maria</w:t>
      </w:r>
      <w:r w:rsidR="008305C0" w:rsidRPr="007607D3">
        <w:rPr>
          <w:rFonts w:ascii="Cambria" w:eastAsia="Calibri" w:hAnsi="Cambria"/>
          <w:sz w:val="20"/>
          <w:szCs w:val="20"/>
          <w:lang w:val="es-CO"/>
        </w:rPr>
        <w:t xml:space="preserve"> Alves, Presidenta</w:t>
      </w:r>
      <w:r w:rsidR="00626FA8" w:rsidRPr="007607D3">
        <w:rPr>
          <w:rFonts w:ascii="Cambria" w:eastAsia="Calibri" w:hAnsi="Cambria"/>
          <w:sz w:val="20"/>
          <w:szCs w:val="20"/>
          <w:lang w:val="es-CO"/>
        </w:rPr>
        <w:t xml:space="preserve"> del Sindicato de lo</w:t>
      </w:r>
      <w:r w:rsidRPr="007607D3">
        <w:rPr>
          <w:rFonts w:ascii="Cambria" w:eastAsia="Calibri" w:hAnsi="Cambria"/>
          <w:sz w:val="20"/>
          <w:szCs w:val="20"/>
          <w:lang w:val="es-CO"/>
        </w:rPr>
        <w:t>s Traba</w:t>
      </w:r>
      <w:r w:rsidR="00626FA8" w:rsidRPr="007607D3">
        <w:rPr>
          <w:rFonts w:ascii="Cambria" w:eastAsia="Calibri" w:hAnsi="Cambria"/>
          <w:sz w:val="20"/>
          <w:szCs w:val="20"/>
          <w:lang w:val="es-CO"/>
        </w:rPr>
        <w:t>jadores Rurales</w:t>
      </w:r>
      <w:r w:rsidRPr="007607D3">
        <w:rPr>
          <w:rFonts w:ascii="Cambria" w:eastAsia="Calibri" w:hAnsi="Cambria"/>
          <w:sz w:val="20"/>
          <w:szCs w:val="20"/>
          <w:lang w:val="es-CO"/>
        </w:rPr>
        <w:t xml:space="preserve"> de Alagoa Grande, Paraíba, Brasil, fue asesinada </w:t>
      </w:r>
      <w:r w:rsidR="00CC7842" w:rsidRPr="007607D3">
        <w:rPr>
          <w:rFonts w:ascii="Cambria" w:eastAsia="Calibri" w:hAnsi="Cambria"/>
          <w:sz w:val="20"/>
          <w:szCs w:val="20"/>
          <w:lang w:val="es-CO"/>
        </w:rPr>
        <w:t>el</w:t>
      </w:r>
      <w:r w:rsidRPr="007607D3">
        <w:rPr>
          <w:rFonts w:ascii="Cambria" w:eastAsia="Calibri" w:hAnsi="Cambria"/>
          <w:sz w:val="20"/>
          <w:szCs w:val="20"/>
          <w:lang w:val="es-CO"/>
        </w:rPr>
        <w:t xml:space="preserve"> 12 de agosto de 1983 </w:t>
      </w:r>
      <w:r w:rsidR="00CC7842" w:rsidRPr="007607D3">
        <w:rPr>
          <w:rFonts w:ascii="Cambria" w:eastAsia="Calibri" w:hAnsi="Cambria"/>
          <w:sz w:val="20"/>
          <w:szCs w:val="20"/>
          <w:lang w:val="es-CO"/>
        </w:rPr>
        <w:t>tras recibir</w:t>
      </w:r>
      <w:r w:rsidRPr="007607D3">
        <w:rPr>
          <w:rFonts w:ascii="Cambria" w:eastAsia="Calibri" w:hAnsi="Cambria"/>
          <w:sz w:val="20"/>
          <w:szCs w:val="20"/>
          <w:lang w:val="es-CO"/>
        </w:rPr>
        <w:t xml:space="preserve"> diversas amenazas en razón de su actuación como l</w:t>
      </w:r>
      <w:r w:rsidR="004C4C4A" w:rsidRPr="007607D3">
        <w:rPr>
          <w:rFonts w:ascii="Cambria" w:eastAsia="Calibri" w:hAnsi="Cambria"/>
          <w:sz w:val="20"/>
          <w:szCs w:val="20"/>
          <w:lang w:val="es-CO"/>
        </w:rPr>
        <w:t>i</w:t>
      </w:r>
      <w:r w:rsidRPr="007607D3">
        <w:rPr>
          <w:rFonts w:ascii="Cambria" w:eastAsia="Calibri" w:hAnsi="Cambria"/>
          <w:sz w:val="20"/>
          <w:szCs w:val="20"/>
          <w:lang w:val="es-CO"/>
        </w:rPr>
        <w:t>der</w:t>
      </w:r>
      <w:r w:rsidR="004C4C4A" w:rsidRPr="007607D3">
        <w:rPr>
          <w:rFonts w:ascii="Cambria" w:eastAsia="Calibri" w:hAnsi="Cambria"/>
          <w:sz w:val="20"/>
          <w:szCs w:val="20"/>
          <w:lang w:val="es-CO"/>
        </w:rPr>
        <w:t>esa</w:t>
      </w:r>
      <w:r w:rsidRPr="007607D3">
        <w:rPr>
          <w:rFonts w:ascii="Cambria" w:eastAsia="Calibri" w:hAnsi="Cambria"/>
          <w:sz w:val="20"/>
          <w:szCs w:val="20"/>
          <w:lang w:val="es-CO"/>
        </w:rPr>
        <w:t xml:space="preserve"> comunitaria en la citada región.</w:t>
      </w:r>
      <w:r w:rsidR="00AB6D06" w:rsidRPr="007607D3">
        <w:rPr>
          <w:rFonts w:ascii="Cambria" w:eastAsia="Calibri" w:hAnsi="Cambria"/>
          <w:sz w:val="20"/>
          <w:szCs w:val="20"/>
          <w:lang w:val="es-CO"/>
        </w:rPr>
        <w:t xml:space="preserve"> Refirieron al respecto que a eso de las 18:00 horas, un individuo se presentó a la casa de la presunta víctima y le preguntó si ella era “Margarida” y tras contestar esta con la afirmativa,  retiró un arma de fuego de una bolsa grande de tejido que portaba y disparó contra esta. </w:t>
      </w:r>
    </w:p>
    <w:p w14:paraId="1F40B066" w14:textId="77777777" w:rsidR="00AB6D06" w:rsidRPr="007607D3" w:rsidRDefault="00AB6D06" w:rsidP="00AB6D0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Calibri" w:hAnsi="Cambria"/>
          <w:sz w:val="20"/>
          <w:szCs w:val="20"/>
          <w:lang w:val="es-CO"/>
        </w:rPr>
      </w:pPr>
    </w:p>
    <w:p w14:paraId="0FBC0170" w14:textId="77777777" w:rsidR="000C687E" w:rsidRPr="007607D3" w:rsidRDefault="00CC7842"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lang w:val="es-CO"/>
        </w:rPr>
      </w:pPr>
      <w:r w:rsidRPr="007607D3">
        <w:rPr>
          <w:rFonts w:ascii="Cambria" w:eastAsia="Calibri" w:hAnsi="Cambria"/>
          <w:sz w:val="20"/>
          <w:szCs w:val="20"/>
          <w:lang w:val="es-CO"/>
        </w:rPr>
        <w:t xml:space="preserve">Indicaron que </w:t>
      </w:r>
      <w:r w:rsidR="00315C45" w:rsidRPr="007607D3">
        <w:rPr>
          <w:rFonts w:ascii="Cambria" w:eastAsia="Calibri" w:hAnsi="Cambria"/>
          <w:sz w:val="20"/>
          <w:szCs w:val="20"/>
          <w:lang w:val="es-CO"/>
        </w:rPr>
        <w:t xml:space="preserve">Margarida Maria Alves promovía campañas de </w:t>
      </w:r>
      <w:r w:rsidR="00054FCA" w:rsidRPr="007607D3">
        <w:rPr>
          <w:rFonts w:ascii="Cambria" w:eastAsia="Calibri" w:hAnsi="Cambria"/>
          <w:sz w:val="20"/>
          <w:szCs w:val="20"/>
          <w:lang w:val="es-CO"/>
        </w:rPr>
        <w:t>promoción</w:t>
      </w:r>
      <w:r w:rsidRPr="007607D3">
        <w:rPr>
          <w:rFonts w:ascii="Cambria" w:eastAsia="Calibri" w:hAnsi="Cambria"/>
          <w:sz w:val="20"/>
          <w:szCs w:val="20"/>
          <w:lang w:val="es-CO"/>
        </w:rPr>
        <w:t xml:space="preserve"> </w:t>
      </w:r>
      <w:r w:rsidR="00315C45" w:rsidRPr="007607D3">
        <w:rPr>
          <w:rFonts w:ascii="Cambria" w:eastAsia="Calibri" w:hAnsi="Cambria"/>
          <w:sz w:val="20"/>
          <w:szCs w:val="20"/>
          <w:lang w:val="es-CO"/>
        </w:rPr>
        <w:t xml:space="preserve">de derechos laborales, lo que llevó a la </w:t>
      </w:r>
      <w:r w:rsidRPr="007607D3">
        <w:rPr>
          <w:rFonts w:ascii="Cambria" w:eastAsia="Calibri" w:hAnsi="Cambria"/>
          <w:sz w:val="20"/>
          <w:szCs w:val="20"/>
          <w:lang w:val="es-CO"/>
        </w:rPr>
        <w:t>presentación</w:t>
      </w:r>
      <w:r w:rsidR="00315C45" w:rsidRPr="007607D3">
        <w:rPr>
          <w:rFonts w:ascii="Cambria" w:eastAsia="Calibri" w:hAnsi="Cambria"/>
          <w:sz w:val="20"/>
          <w:szCs w:val="20"/>
          <w:lang w:val="es-CO"/>
        </w:rPr>
        <w:t xml:space="preserve"> de más de 73 reclamaciones de esa naturaleza </w:t>
      </w:r>
      <w:r w:rsidRPr="007607D3">
        <w:rPr>
          <w:rFonts w:ascii="Cambria" w:eastAsia="Calibri" w:hAnsi="Cambria"/>
          <w:sz w:val="20"/>
          <w:szCs w:val="20"/>
          <w:lang w:val="es-CO"/>
        </w:rPr>
        <w:t>en contra de propietarios de tierras y agro negocios ante el Poder Judicial</w:t>
      </w:r>
      <w:r w:rsidR="004B32AE" w:rsidRPr="007607D3">
        <w:rPr>
          <w:rFonts w:ascii="Cambria" w:eastAsia="Calibri" w:hAnsi="Cambria"/>
          <w:sz w:val="20"/>
          <w:szCs w:val="20"/>
          <w:lang w:val="es-CO"/>
        </w:rPr>
        <w:t>.</w:t>
      </w:r>
    </w:p>
    <w:p w14:paraId="3A8FEAFF" w14:textId="77777777" w:rsidR="000C687E" w:rsidRPr="007607D3" w:rsidRDefault="000C687E" w:rsidP="000C687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Calibri" w:hAnsi="Cambria"/>
          <w:sz w:val="20"/>
          <w:szCs w:val="20"/>
          <w:lang w:val="es-CO"/>
        </w:rPr>
      </w:pPr>
    </w:p>
    <w:p w14:paraId="3E371327" w14:textId="77777777" w:rsidR="000C687E" w:rsidRPr="007607D3" w:rsidRDefault="004B32AE"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lang w:val="es-CO"/>
        </w:rPr>
      </w:pPr>
      <w:r w:rsidRPr="007607D3">
        <w:rPr>
          <w:rFonts w:ascii="Cambria" w:eastAsia="Calibri" w:hAnsi="Cambria"/>
          <w:sz w:val="20"/>
          <w:szCs w:val="20"/>
          <w:lang w:val="es-CO"/>
        </w:rPr>
        <w:t xml:space="preserve">Indicaron que las investigaciones del asesinato de la presunta víctima fueron deficientes. </w:t>
      </w:r>
      <w:r w:rsidR="00352E6C" w:rsidRPr="007607D3">
        <w:rPr>
          <w:rFonts w:ascii="Cambria" w:eastAsia="Calibri" w:hAnsi="Cambria"/>
          <w:sz w:val="20"/>
          <w:szCs w:val="20"/>
          <w:lang w:val="es-CO"/>
        </w:rPr>
        <w:t xml:space="preserve"> Refirieron que en un primer momento la Policía Civil </w:t>
      </w:r>
      <w:r w:rsidR="004F53C3" w:rsidRPr="007607D3">
        <w:rPr>
          <w:rFonts w:ascii="Cambria" w:eastAsia="Calibri" w:hAnsi="Cambria"/>
          <w:sz w:val="20"/>
          <w:szCs w:val="20"/>
          <w:lang w:val="es-CO"/>
        </w:rPr>
        <w:t>identificó la participación de cuatro personas, pero tres de estas se encontraban prófugas, por lo que el expediente penal en su contra quedó suspendido h</w:t>
      </w:r>
      <w:r w:rsidR="00054FCA" w:rsidRPr="007607D3">
        <w:rPr>
          <w:rFonts w:ascii="Cambria" w:eastAsia="Calibri" w:hAnsi="Cambria"/>
          <w:sz w:val="20"/>
          <w:szCs w:val="20"/>
          <w:lang w:val="es-CO"/>
        </w:rPr>
        <w:t xml:space="preserve">asta que prescribió la acción. </w:t>
      </w:r>
      <w:r w:rsidR="004F53C3" w:rsidRPr="007607D3">
        <w:rPr>
          <w:rFonts w:ascii="Cambria" w:eastAsia="Calibri" w:hAnsi="Cambria"/>
          <w:sz w:val="20"/>
          <w:szCs w:val="20"/>
          <w:lang w:val="es-CO"/>
        </w:rPr>
        <w:t>En cuanto a la</w:t>
      </w:r>
      <w:r w:rsidR="00E00E5F" w:rsidRPr="007607D3">
        <w:rPr>
          <w:rFonts w:ascii="Cambria" w:eastAsia="Calibri" w:hAnsi="Cambria"/>
          <w:sz w:val="20"/>
          <w:szCs w:val="20"/>
          <w:lang w:val="es-CO"/>
        </w:rPr>
        <w:t xml:space="preserve"> cuarta persona, h</w:t>
      </w:r>
      <w:r w:rsidR="008305C0" w:rsidRPr="007607D3">
        <w:rPr>
          <w:rFonts w:ascii="Cambria" w:eastAsia="Calibri" w:hAnsi="Cambria"/>
          <w:sz w:val="20"/>
          <w:szCs w:val="20"/>
          <w:lang w:val="es-CO"/>
        </w:rPr>
        <w:t xml:space="preserve">ijo de un terrateniente local, </w:t>
      </w:r>
      <w:r w:rsidR="00054FCA" w:rsidRPr="007607D3">
        <w:rPr>
          <w:rFonts w:ascii="Cambria" w:eastAsia="Calibri" w:hAnsi="Cambria"/>
          <w:sz w:val="20"/>
          <w:szCs w:val="20"/>
          <w:lang w:val="es-CO"/>
        </w:rPr>
        <w:t xml:space="preserve">refirieron que este </w:t>
      </w:r>
      <w:r w:rsidR="00E00E5F" w:rsidRPr="007607D3">
        <w:rPr>
          <w:rFonts w:ascii="Cambria" w:eastAsia="Calibri" w:hAnsi="Cambria"/>
          <w:sz w:val="20"/>
          <w:szCs w:val="20"/>
          <w:lang w:val="es-CO"/>
        </w:rPr>
        <w:t xml:space="preserve">fue juzgado y declarado inocente por un Tribunal de Jurados en 1988. </w:t>
      </w:r>
    </w:p>
    <w:p w14:paraId="61E682D4" w14:textId="77777777" w:rsidR="000C687E" w:rsidRPr="007607D3" w:rsidRDefault="000C687E" w:rsidP="000C687E">
      <w:pPr>
        <w:pStyle w:val="ListParagraph"/>
        <w:rPr>
          <w:rFonts w:eastAsia="Calibri"/>
          <w:sz w:val="20"/>
          <w:szCs w:val="20"/>
          <w:lang w:val="es-CO"/>
        </w:rPr>
      </w:pPr>
    </w:p>
    <w:p w14:paraId="6335D9AD" w14:textId="77777777" w:rsidR="000C687E" w:rsidRPr="007607D3" w:rsidRDefault="00E00E5F"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lang w:val="es-CO"/>
        </w:rPr>
      </w:pPr>
      <w:r w:rsidRPr="007607D3">
        <w:rPr>
          <w:rFonts w:ascii="Cambria" w:eastAsia="Calibri" w:hAnsi="Cambria"/>
          <w:sz w:val="20"/>
          <w:szCs w:val="20"/>
          <w:lang w:val="es-CO"/>
        </w:rPr>
        <w:t xml:space="preserve">Refirieron que con posterioridad se iniciaron nuevas investigaciones </w:t>
      </w:r>
      <w:r w:rsidR="00317A0B" w:rsidRPr="007607D3">
        <w:rPr>
          <w:rFonts w:ascii="Cambria" w:eastAsia="Calibri" w:hAnsi="Cambria"/>
          <w:sz w:val="20"/>
          <w:szCs w:val="20"/>
          <w:lang w:val="es-CO"/>
        </w:rPr>
        <w:t xml:space="preserve">por un testimonio de la viuda </w:t>
      </w:r>
      <w:r w:rsidR="00475DA8" w:rsidRPr="007607D3">
        <w:rPr>
          <w:rFonts w:ascii="Cambria" w:eastAsia="Calibri" w:hAnsi="Cambria"/>
          <w:sz w:val="20"/>
          <w:szCs w:val="20"/>
          <w:lang w:val="es-CO"/>
        </w:rPr>
        <w:t xml:space="preserve">de una persona que habría participado en el crimen, quien </w:t>
      </w:r>
      <w:r w:rsidR="008305C0" w:rsidRPr="007607D3">
        <w:rPr>
          <w:rFonts w:ascii="Cambria" w:eastAsia="Calibri" w:hAnsi="Cambria"/>
          <w:sz w:val="20"/>
          <w:szCs w:val="20"/>
          <w:lang w:val="es-CO"/>
        </w:rPr>
        <w:t>atribuyó</w:t>
      </w:r>
      <w:r w:rsidR="00475DA8" w:rsidRPr="007607D3">
        <w:rPr>
          <w:rFonts w:ascii="Cambria" w:eastAsia="Calibri" w:hAnsi="Cambria"/>
          <w:sz w:val="20"/>
          <w:szCs w:val="20"/>
          <w:lang w:val="es-CO"/>
        </w:rPr>
        <w:t xml:space="preserve"> la muerte de </w:t>
      </w:r>
      <w:r w:rsidR="00054FCA" w:rsidRPr="007607D3">
        <w:rPr>
          <w:rFonts w:ascii="Cambria" w:eastAsia="Calibri" w:hAnsi="Cambria"/>
          <w:sz w:val="20"/>
          <w:szCs w:val="20"/>
          <w:lang w:val="es-CO"/>
        </w:rPr>
        <w:t xml:space="preserve">la presunta víctima a un grupo </w:t>
      </w:r>
      <w:r w:rsidR="00475DA8" w:rsidRPr="007607D3">
        <w:rPr>
          <w:rFonts w:ascii="Cambria" w:eastAsia="Calibri" w:hAnsi="Cambria"/>
          <w:sz w:val="20"/>
          <w:szCs w:val="20"/>
          <w:lang w:val="es-CO"/>
        </w:rPr>
        <w:t xml:space="preserve">político llamado “Grupo da Várzea” compuesto de terratenientes, diputados estaduales y federales, y agentes estatales de seguridad pública. </w:t>
      </w:r>
      <w:r w:rsidR="009F1A71" w:rsidRPr="007607D3">
        <w:rPr>
          <w:rFonts w:ascii="Cambria" w:eastAsia="Calibri" w:hAnsi="Cambria"/>
          <w:sz w:val="20"/>
          <w:szCs w:val="20"/>
          <w:lang w:val="es-CO"/>
        </w:rPr>
        <w:t>Indicaron que miembros del “Grupo da Várzea”</w:t>
      </w:r>
      <w:r w:rsidR="009C76C1" w:rsidRPr="007607D3">
        <w:rPr>
          <w:rFonts w:ascii="Cambria" w:eastAsia="Calibri" w:hAnsi="Cambria"/>
          <w:sz w:val="20"/>
          <w:szCs w:val="20"/>
          <w:lang w:val="es-CO"/>
        </w:rPr>
        <w:t xml:space="preserve"> fueron denunciados en 1995 y en 1997 se declaró la prescripción respecto de uno de los autores materiales. Agregaron que respecto de dos de los presuntos autores intelectuales, no se inició ningún procedimiento hasta el año 2000, fecha en la que ya habían fallecido.</w:t>
      </w:r>
    </w:p>
    <w:p w14:paraId="23ECB9CF" w14:textId="77777777" w:rsidR="000C687E" w:rsidRPr="007607D3" w:rsidRDefault="000C687E" w:rsidP="000C687E">
      <w:pPr>
        <w:pStyle w:val="ListParagraph"/>
        <w:rPr>
          <w:rFonts w:eastAsia="Calibri"/>
          <w:sz w:val="20"/>
          <w:szCs w:val="20"/>
          <w:lang w:val="es-CO"/>
        </w:rPr>
      </w:pPr>
    </w:p>
    <w:p w14:paraId="4BA10C9F" w14:textId="77777777" w:rsidR="000C687E" w:rsidRPr="007607D3" w:rsidRDefault="009C76C1"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lang w:val="es-CO"/>
        </w:rPr>
      </w:pPr>
      <w:r w:rsidRPr="007607D3">
        <w:rPr>
          <w:rFonts w:ascii="Cambria" w:eastAsia="Calibri" w:hAnsi="Cambria"/>
          <w:sz w:val="20"/>
          <w:szCs w:val="20"/>
          <w:lang w:val="es-CO"/>
        </w:rPr>
        <w:t xml:space="preserve">Indicaron que el proceso continuó únicamente respecto de una persona, la cual fue juzgada y absuelta por un Tribunal de Jurados en el 2001. </w:t>
      </w:r>
    </w:p>
    <w:p w14:paraId="7C6E021B" w14:textId="77777777" w:rsidR="000C687E" w:rsidRPr="007607D3" w:rsidRDefault="000C687E" w:rsidP="000C687E">
      <w:pPr>
        <w:pStyle w:val="ListParagraph"/>
        <w:rPr>
          <w:sz w:val="20"/>
          <w:szCs w:val="20"/>
          <w:lang w:val="es-CO"/>
        </w:rPr>
      </w:pPr>
    </w:p>
    <w:p w14:paraId="2353B78D" w14:textId="77777777" w:rsidR="000C687E" w:rsidRPr="007607D3" w:rsidRDefault="000E4D16"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lang w:val="es-CO"/>
        </w:rPr>
      </w:pPr>
      <w:r w:rsidRPr="007607D3">
        <w:rPr>
          <w:rFonts w:ascii="Cambria" w:hAnsi="Cambria"/>
          <w:sz w:val="20"/>
          <w:szCs w:val="20"/>
          <w:lang w:val="es-CO"/>
        </w:rPr>
        <w:t>En cuanto al derecho, los pet</w:t>
      </w:r>
      <w:r w:rsidR="003E0160" w:rsidRPr="007607D3">
        <w:rPr>
          <w:rFonts w:ascii="Cambria" w:hAnsi="Cambria"/>
          <w:sz w:val="20"/>
          <w:szCs w:val="20"/>
          <w:lang w:val="es-CO"/>
        </w:rPr>
        <w:t xml:space="preserve">icionarios argumentaron que se violó el </w:t>
      </w:r>
      <w:r w:rsidR="003E0160" w:rsidRPr="007607D3">
        <w:rPr>
          <w:rFonts w:ascii="Cambria" w:hAnsi="Cambria"/>
          <w:b/>
          <w:sz w:val="20"/>
          <w:szCs w:val="20"/>
          <w:lang w:val="es-CO"/>
        </w:rPr>
        <w:t>derecho a la vida</w:t>
      </w:r>
      <w:r w:rsidR="00626FA8" w:rsidRPr="007607D3">
        <w:rPr>
          <w:rFonts w:ascii="Cambria" w:hAnsi="Cambria"/>
          <w:b/>
          <w:sz w:val="20"/>
          <w:szCs w:val="20"/>
          <w:lang w:val="es-CO"/>
        </w:rPr>
        <w:t>,</w:t>
      </w:r>
      <w:r w:rsidR="00862854" w:rsidRPr="007607D3">
        <w:rPr>
          <w:rFonts w:ascii="Cambria" w:hAnsi="Cambria"/>
          <w:b/>
          <w:sz w:val="20"/>
          <w:szCs w:val="20"/>
          <w:lang w:val="es-CO"/>
        </w:rPr>
        <w:t xml:space="preserve"> </w:t>
      </w:r>
      <w:r w:rsidR="00862854" w:rsidRPr="007607D3">
        <w:rPr>
          <w:rFonts w:ascii="Cambria" w:hAnsi="Cambria"/>
          <w:sz w:val="20"/>
          <w:szCs w:val="20"/>
          <w:lang w:val="es-CO"/>
        </w:rPr>
        <w:t xml:space="preserve">tanto de manera directa por la intervención de agentes estatales en el asesinato de la presunta víctima, así como por la falta de investigación seria y diligente de su muerte. </w:t>
      </w:r>
    </w:p>
    <w:p w14:paraId="5DB56BDF" w14:textId="77777777" w:rsidR="000C687E" w:rsidRPr="007607D3" w:rsidRDefault="000C687E" w:rsidP="000C687E">
      <w:pPr>
        <w:pStyle w:val="ListParagraph"/>
        <w:rPr>
          <w:sz w:val="20"/>
          <w:szCs w:val="20"/>
          <w:lang w:val="es-CO"/>
        </w:rPr>
      </w:pPr>
    </w:p>
    <w:p w14:paraId="13F82713" w14:textId="77777777" w:rsidR="000C687E" w:rsidRPr="007607D3" w:rsidRDefault="00862854"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lang w:val="es-CO"/>
        </w:rPr>
      </w:pPr>
      <w:r w:rsidRPr="007607D3">
        <w:rPr>
          <w:rFonts w:ascii="Cambria" w:hAnsi="Cambria"/>
          <w:sz w:val="20"/>
          <w:szCs w:val="20"/>
          <w:lang w:val="es-CO"/>
        </w:rPr>
        <w:t xml:space="preserve">Argumentaron la violación de los </w:t>
      </w:r>
      <w:r w:rsidRPr="007607D3">
        <w:rPr>
          <w:rFonts w:ascii="Cambria" w:hAnsi="Cambria"/>
          <w:b/>
          <w:sz w:val="20"/>
          <w:szCs w:val="20"/>
          <w:lang w:val="es-CO"/>
        </w:rPr>
        <w:t>derechos a las garantías judiciales y protección judicial</w:t>
      </w:r>
      <w:r w:rsidRPr="007607D3">
        <w:rPr>
          <w:rFonts w:ascii="Cambria" w:hAnsi="Cambria"/>
          <w:sz w:val="20"/>
          <w:szCs w:val="20"/>
          <w:lang w:val="es-CO"/>
        </w:rPr>
        <w:t xml:space="preserve"> por la falta de investigación y sanción a los responsables de la muerte de la presunta víctima dentro de un plazo razonable. Agregaron que el caso no presenta un grado alto de dificultad jurídica que justifique la demora y que la misma tiene que ver con la falta de debida diligencia estatal. </w:t>
      </w:r>
    </w:p>
    <w:p w14:paraId="31FFCE4F" w14:textId="77777777" w:rsidR="000C687E" w:rsidRPr="007607D3" w:rsidRDefault="000C687E" w:rsidP="000C687E">
      <w:pPr>
        <w:pStyle w:val="ListParagraph"/>
        <w:rPr>
          <w:rFonts w:eastAsia="Calibri"/>
          <w:sz w:val="20"/>
          <w:szCs w:val="20"/>
          <w:lang w:val="es-CO"/>
        </w:rPr>
      </w:pPr>
    </w:p>
    <w:p w14:paraId="3D9A6E56" w14:textId="77777777" w:rsidR="00315C45" w:rsidRPr="007607D3" w:rsidRDefault="00315C45"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lang w:val="es-CO"/>
        </w:rPr>
      </w:pPr>
      <w:r w:rsidRPr="007607D3">
        <w:rPr>
          <w:rFonts w:ascii="Cambria" w:eastAsia="Calibri" w:hAnsi="Cambria"/>
          <w:sz w:val="20"/>
          <w:szCs w:val="20"/>
          <w:lang w:val="es-CO"/>
        </w:rPr>
        <w:t xml:space="preserve">Los peticionarios también se refirieron a algunos argumentos presentados por el Estado. </w:t>
      </w:r>
      <w:r w:rsidR="00650002" w:rsidRPr="007607D3">
        <w:rPr>
          <w:rFonts w:ascii="Cambria" w:eastAsia="Calibri" w:hAnsi="Cambria"/>
          <w:sz w:val="20"/>
          <w:szCs w:val="20"/>
          <w:lang w:val="es-CO"/>
        </w:rPr>
        <w:t xml:space="preserve"> Particularmente, en cuanto al ar</w:t>
      </w:r>
      <w:r w:rsidR="008C300A" w:rsidRPr="007607D3">
        <w:rPr>
          <w:rFonts w:ascii="Cambria" w:eastAsia="Calibri" w:hAnsi="Cambria"/>
          <w:sz w:val="20"/>
          <w:szCs w:val="20"/>
          <w:lang w:val="es-CO"/>
        </w:rPr>
        <w:t>gumento del Estado de que realizó diversos homenajes en memoria de Margarida Maria Alves, refirieron que ello no se corresponde con la realidad ya que dichos tributos son iniciativa del “</w:t>
      </w:r>
      <w:r w:rsidRPr="007607D3">
        <w:rPr>
          <w:rFonts w:ascii="Cambria" w:eastAsia="Calibri" w:hAnsi="Cambria"/>
          <w:sz w:val="20"/>
          <w:szCs w:val="20"/>
          <w:lang w:val="es-CO"/>
        </w:rPr>
        <w:t>Movimento Sindical de Trabalhadores y Trabalhadoras Rurais (MSTTR)</w:t>
      </w:r>
      <w:r w:rsidR="008C300A" w:rsidRPr="007607D3">
        <w:rPr>
          <w:rFonts w:ascii="Cambria" w:eastAsia="Calibri" w:hAnsi="Cambria"/>
          <w:sz w:val="20"/>
          <w:szCs w:val="20"/>
          <w:lang w:val="es-CO"/>
        </w:rPr>
        <w:t>”</w:t>
      </w:r>
      <w:r w:rsidRPr="007607D3">
        <w:rPr>
          <w:rFonts w:ascii="Cambria" w:eastAsia="Calibri" w:hAnsi="Cambria"/>
          <w:sz w:val="20"/>
          <w:szCs w:val="20"/>
          <w:lang w:val="es-CO"/>
        </w:rPr>
        <w:t xml:space="preserve">, </w:t>
      </w:r>
      <w:r w:rsidR="008C300A" w:rsidRPr="007607D3">
        <w:rPr>
          <w:rFonts w:ascii="Cambria" w:eastAsia="Calibri" w:hAnsi="Cambria"/>
          <w:sz w:val="20"/>
          <w:szCs w:val="20"/>
          <w:lang w:val="es-CO"/>
        </w:rPr>
        <w:t>y repudiaron la tentativa del Estado de apropiarse de esa actividad de la sociedad civil, originada precisamente en protesta a la conducta mostrada por el Estado en el caso.</w:t>
      </w:r>
    </w:p>
    <w:p w14:paraId="6887B793" w14:textId="77777777" w:rsidR="00103CE6" w:rsidRPr="007607D3" w:rsidRDefault="00315C45" w:rsidP="009779F9">
      <w:pPr>
        <w:pStyle w:val="Heading2"/>
        <w:numPr>
          <w:ilvl w:val="0"/>
          <w:numId w:val="60"/>
        </w:numPr>
        <w:ind w:firstLine="0"/>
        <w:rPr>
          <w:rFonts w:asciiTheme="majorHAnsi" w:hAnsiTheme="majorHAnsi"/>
          <w:i w:val="0"/>
          <w:sz w:val="20"/>
          <w:szCs w:val="20"/>
        </w:rPr>
      </w:pPr>
      <w:bookmarkStart w:id="11" w:name="_Toc86071587"/>
      <w:r w:rsidRPr="007607D3">
        <w:rPr>
          <w:rFonts w:asciiTheme="majorHAnsi" w:hAnsiTheme="majorHAnsi"/>
          <w:i w:val="0"/>
          <w:sz w:val="20"/>
          <w:szCs w:val="20"/>
        </w:rPr>
        <w:t>Posición del Estado</w:t>
      </w:r>
      <w:bookmarkEnd w:id="11"/>
    </w:p>
    <w:p w14:paraId="399A768B" w14:textId="77777777" w:rsidR="00103CE6" w:rsidRPr="007607D3" w:rsidRDefault="00103CE6" w:rsidP="00103CE6"/>
    <w:p w14:paraId="75C27ACD" w14:textId="77777777" w:rsidR="000C687E" w:rsidRPr="007607D3" w:rsidRDefault="00FC60D6"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lang w:val="es-CO"/>
        </w:rPr>
      </w:pPr>
      <w:r w:rsidRPr="007607D3">
        <w:rPr>
          <w:rFonts w:ascii="Cambria" w:eastAsia="Calibri" w:hAnsi="Cambria"/>
          <w:sz w:val="20"/>
          <w:szCs w:val="20"/>
          <w:lang w:val="es-CO"/>
        </w:rPr>
        <w:t>El Estado brasileño no se refirió a los hechos sino</w:t>
      </w:r>
      <w:r w:rsidR="00FF57A3" w:rsidRPr="007607D3">
        <w:rPr>
          <w:rFonts w:ascii="Cambria" w:eastAsia="Calibri" w:hAnsi="Cambria"/>
          <w:sz w:val="20"/>
          <w:szCs w:val="20"/>
          <w:lang w:val="es-CO"/>
        </w:rPr>
        <w:t xml:space="preserve"> que </w:t>
      </w:r>
      <w:r w:rsidR="003A748E" w:rsidRPr="007607D3">
        <w:rPr>
          <w:rFonts w:ascii="Cambria" w:eastAsia="Calibri" w:hAnsi="Cambria"/>
          <w:sz w:val="20"/>
          <w:szCs w:val="20"/>
          <w:lang w:val="es-CO"/>
        </w:rPr>
        <w:t xml:space="preserve">informó acerca de una serie de medidas para reparar a los familiares de la presunta víctima y honrar </w:t>
      </w:r>
      <w:r w:rsidR="009236ED" w:rsidRPr="007607D3">
        <w:rPr>
          <w:rFonts w:ascii="Cambria" w:eastAsia="Calibri" w:hAnsi="Cambria"/>
          <w:sz w:val="20"/>
          <w:szCs w:val="20"/>
          <w:lang w:val="es-CO"/>
        </w:rPr>
        <w:t>su</w:t>
      </w:r>
      <w:r w:rsidR="003A748E" w:rsidRPr="007607D3">
        <w:rPr>
          <w:rFonts w:ascii="Cambria" w:eastAsia="Calibri" w:hAnsi="Cambria"/>
          <w:sz w:val="20"/>
          <w:szCs w:val="20"/>
          <w:lang w:val="es-CO"/>
        </w:rPr>
        <w:t xml:space="preserve"> memoria, así como enmendar la demora </w:t>
      </w:r>
      <w:r w:rsidR="009236ED" w:rsidRPr="007607D3">
        <w:rPr>
          <w:rFonts w:ascii="Cambria" w:eastAsia="Calibri" w:hAnsi="Cambria"/>
          <w:sz w:val="20"/>
          <w:szCs w:val="20"/>
          <w:lang w:val="es-CO"/>
        </w:rPr>
        <w:t xml:space="preserve">en los procesos. </w:t>
      </w:r>
    </w:p>
    <w:p w14:paraId="40EDEF2D" w14:textId="77777777" w:rsidR="000C687E" w:rsidRPr="007607D3" w:rsidRDefault="000C687E" w:rsidP="000C687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Calibri" w:hAnsi="Cambria"/>
          <w:sz w:val="20"/>
          <w:szCs w:val="20"/>
          <w:lang w:val="es-CO"/>
        </w:rPr>
      </w:pPr>
    </w:p>
    <w:p w14:paraId="02FD6FFC" w14:textId="77777777" w:rsidR="003E4617" w:rsidRPr="007607D3" w:rsidRDefault="0016650E" w:rsidP="003E46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lang w:val="es-CO"/>
        </w:rPr>
      </w:pPr>
      <w:r w:rsidRPr="007607D3">
        <w:rPr>
          <w:rFonts w:ascii="Cambria" w:hAnsi="Cambria"/>
          <w:sz w:val="20"/>
          <w:szCs w:val="20"/>
          <w:lang w:val="es-CO"/>
        </w:rPr>
        <w:t xml:space="preserve">En particular </w:t>
      </w:r>
      <w:r w:rsidR="00683DB1" w:rsidRPr="007607D3">
        <w:rPr>
          <w:rFonts w:ascii="Cambria" w:hAnsi="Cambria"/>
          <w:sz w:val="20"/>
          <w:szCs w:val="20"/>
          <w:lang w:val="es-CO"/>
        </w:rPr>
        <w:t xml:space="preserve">refirió que llevó a cabo una reunión </w:t>
      </w:r>
      <w:r w:rsidR="00471DD8" w:rsidRPr="007607D3">
        <w:rPr>
          <w:rFonts w:ascii="Cambria" w:hAnsi="Cambria"/>
          <w:sz w:val="20"/>
          <w:szCs w:val="20"/>
          <w:lang w:val="es-CO"/>
        </w:rPr>
        <w:t xml:space="preserve">inter-ministerial </w:t>
      </w:r>
      <w:r w:rsidR="00315C45" w:rsidRPr="007607D3">
        <w:rPr>
          <w:rFonts w:ascii="Cambria" w:hAnsi="Cambria"/>
          <w:sz w:val="20"/>
          <w:lang w:val="es-CO"/>
        </w:rPr>
        <w:t>presidida por el Veedor</w:t>
      </w:r>
      <w:r w:rsidR="00656512" w:rsidRPr="007607D3">
        <w:rPr>
          <w:rFonts w:ascii="Cambria" w:hAnsi="Cambria"/>
          <w:sz w:val="20"/>
          <w:lang w:val="es-CO"/>
        </w:rPr>
        <w:t xml:space="preserve"> Agrario</w:t>
      </w:r>
      <w:r w:rsidR="00315C45" w:rsidRPr="007607D3">
        <w:rPr>
          <w:rFonts w:ascii="Cambria" w:hAnsi="Cambria"/>
          <w:sz w:val="20"/>
          <w:lang w:val="es-CO"/>
        </w:rPr>
        <w:t xml:space="preserve"> Nacional (Ouvidor Agr</w:t>
      </w:r>
      <w:r w:rsidR="00103CE6" w:rsidRPr="007607D3">
        <w:rPr>
          <w:rFonts w:ascii="Cambria" w:hAnsi="Cambria"/>
          <w:sz w:val="20"/>
          <w:lang w:val="es-CO"/>
        </w:rPr>
        <w:t>ário Nacional) del Minist</w:t>
      </w:r>
      <w:r w:rsidR="00BA3A01" w:rsidRPr="007607D3">
        <w:rPr>
          <w:rFonts w:ascii="Cambria" w:hAnsi="Cambria"/>
          <w:sz w:val="20"/>
          <w:lang w:val="es-CO"/>
        </w:rPr>
        <w:t>e</w:t>
      </w:r>
      <w:r w:rsidR="00103CE6" w:rsidRPr="007607D3">
        <w:rPr>
          <w:rFonts w:ascii="Cambria" w:hAnsi="Cambria"/>
          <w:sz w:val="20"/>
          <w:lang w:val="es-CO"/>
        </w:rPr>
        <w:t>rio de</w:t>
      </w:r>
      <w:r w:rsidR="00315C45" w:rsidRPr="007607D3">
        <w:rPr>
          <w:rFonts w:ascii="Cambria" w:hAnsi="Cambria"/>
          <w:sz w:val="20"/>
          <w:lang w:val="es-CO"/>
        </w:rPr>
        <w:t xml:space="preserve"> Des</w:t>
      </w:r>
      <w:r w:rsidR="00103CE6" w:rsidRPr="007607D3">
        <w:rPr>
          <w:rFonts w:ascii="Cambria" w:hAnsi="Cambria"/>
          <w:sz w:val="20"/>
          <w:lang w:val="es-CO"/>
        </w:rPr>
        <w:t>arrollo Agra</w:t>
      </w:r>
      <w:r w:rsidR="00315C45" w:rsidRPr="007607D3">
        <w:rPr>
          <w:rFonts w:ascii="Cambria" w:hAnsi="Cambria"/>
          <w:sz w:val="20"/>
          <w:lang w:val="es-CO"/>
        </w:rPr>
        <w:t xml:space="preserve">rio (OAN) y </w:t>
      </w:r>
      <w:r w:rsidR="008305C0" w:rsidRPr="007607D3">
        <w:rPr>
          <w:rFonts w:ascii="Cambria" w:hAnsi="Cambria"/>
          <w:sz w:val="20"/>
          <w:lang w:val="es-CO"/>
        </w:rPr>
        <w:t xml:space="preserve">el </w:t>
      </w:r>
      <w:r w:rsidR="00315C45" w:rsidRPr="007607D3">
        <w:rPr>
          <w:rFonts w:ascii="Cambria" w:hAnsi="Cambria"/>
          <w:sz w:val="20"/>
          <w:lang w:val="es-CO"/>
        </w:rPr>
        <w:t xml:space="preserve">Presidente </w:t>
      </w:r>
      <w:r w:rsidR="008305C0" w:rsidRPr="007607D3">
        <w:rPr>
          <w:rFonts w:ascii="Cambria" w:hAnsi="Cambria"/>
          <w:sz w:val="20"/>
          <w:lang w:val="es-CO"/>
        </w:rPr>
        <w:t xml:space="preserve"> de la</w:t>
      </w:r>
      <w:r w:rsidR="00103CE6" w:rsidRPr="007607D3">
        <w:rPr>
          <w:rFonts w:ascii="Cambria" w:hAnsi="Cambria"/>
          <w:sz w:val="20"/>
          <w:lang w:val="es-CO"/>
        </w:rPr>
        <w:t xml:space="preserve"> Comisión Nacional de Combate a la</w:t>
      </w:r>
      <w:r w:rsidR="00315C45" w:rsidRPr="007607D3">
        <w:rPr>
          <w:rFonts w:ascii="Cambria" w:hAnsi="Cambria"/>
          <w:sz w:val="20"/>
          <w:lang w:val="es-CO"/>
        </w:rPr>
        <w:t xml:space="preserve"> </w:t>
      </w:r>
      <w:r w:rsidR="00103CE6" w:rsidRPr="007607D3">
        <w:rPr>
          <w:rFonts w:ascii="Cambria" w:hAnsi="Cambria"/>
          <w:sz w:val="20"/>
          <w:lang w:val="es-CO"/>
        </w:rPr>
        <w:t xml:space="preserve">Violencia en el </w:t>
      </w:r>
      <w:r w:rsidR="00315C45" w:rsidRPr="007607D3">
        <w:rPr>
          <w:rFonts w:ascii="Cambria" w:hAnsi="Cambria"/>
          <w:sz w:val="20"/>
          <w:lang w:val="es-CO"/>
        </w:rPr>
        <w:t>Campo (CNCVC) para discutir posibilidades de colaboración en el caso presentado</w:t>
      </w:r>
      <w:r w:rsidR="00471DD8" w:rsidRPr="007607D3">
        <w:rPr>
          <w:rFonts w:ascii="Cambria" w:hAnsi="Cambria"/>
          <w:sz w:val="20"/>
          <w:lang w:val="es-CO"/>
        </w:rPr>
        <w:t>, en donde se coordinó una misión a João Pessoa</w:t>
      </w:r>
      <w:r w:rsidR="00801D1A" w:rsidRPr="007607D3">
        <w:rPr>
          <w:rFonts w:ascii="Cambria" w:hAnsi="Cambria"/>
          <w:sz w:val="20"/>
          <w:lang w:val="es-CO"/>
        </w:rPr>
        <w:t>,</w:t>
      </w:r>
      <w:r w:rsidR="00471DD8" w:rsidRPr="007607D3">
        <w:rPr>
          <w:rFonts w:ascii="Cambria" w:hAnsi="Cambria"/>
          <w:sz w:val="20"/>
          <w:lang w:val="es-CO"/>
        </w:rPr>
        <w:t xml:space="preserve"> Estado de Para</w:t>
      </w:r>
      <w:r w:rsidR="00BA3A01" w:rsidRPr="007607D3">
        <w:rPr>
          <w:rFonts w:ascii="Cambria" w:hAnsi="Cambria"/>
          <w:sz w:val="20"/>
          <w:lang w:val="es-CO"/>
        </w:rPr>
        <w:t>í</w:t>
      </w:r>
      <w:r w:rsidR="00471DD8" w:rsidRPr="007607D3">
        <w:rPr>
          <w:rFonts w:ascii="Cambria" w:hAnsi="Cambria"/>
          <w:sz w:val="20"/>
          <w:lang w:val="es-CO"/>
        </w:rPr>
        <w:t>ba. I</w:t>
      </w:r>
      <w:r w:rsidR="008305C0" w:rsidRPr="007607D3">
        <w:rPr>
          <w:rFonts w:ascii="Cambria" w:hAnsi="Cambria"/>
          <w:sz w:val="20"/>
          <w:lang w:val="es-CO"/>
        </w:rPr>
        <w:t xml:space="preserve">ndicó que derivado </w:t>
      </w:r>
      <w:r w:rsidR="008305C0" w:rsidRPr="007607D3">
        <w:rPr>
          <w:rFonts w:ascii="Cambria" w:hAnsi="Cambria"/>
          <w:sz w:val="20"/>
          <w:lang w:val="es-CO"/>
        </w:rPr>
        <w:lastRenderedPageBreak/>
        <w:t>de la visita</w:t>
      </w:r>
      <w:r w:rsidR="00471DD8" w:rsidRPr="007607D3">
        <w:rPr>
          <w:rFonts w:ascii="Cambria" w:hAnsi="Cambria"/>
          <w:sz w:val="20"/>
          <w:lang w:val="es-CO"/>
        </w:rPr>
        <w:t xml:space="preserve">, se asumieron los siguientes compromisos: </w:t>
      </w:r>
      <w:r w:rsidR="00315C45" w:rsidRPr="007607D3">
        <w:rPr>
          <w:rFonts w:ascii="Cambria" w:hAnsi="Cambria"/>
          <w:sz w:val="20"/>
          <w:lang w:val="es-CO"/>
        </w:rPr>
        <w:t xml:space="preserve">i) la designación </w:t>
      </w:r>
      <w:r w:rsidR="00103CE6" w:rsidRPr="007607D3">
        <w:rPr>
          <w:rFonts w:ascii="Cambria" w:hAnsi="Cambria"/>
          <w:sz w:val="20"/>
          <w:lang w:val="es-CO"/>
        </w:rPr>
        <w:t>por parte del Secreta</w:t>
      </w:r>
      <w:r w:rsidR="00471DD8" w:rsidRPr="007607D3">
        <w:rPr>
          <w:rFonts w:ascii="Cambria" w:hAnsi="Cambria"/>
          <w:sz w:val="20"/>
          <w:lang w:val="es-CO"/>
        </w:rPr>
        <w:t>rio de Segur</w:t>
      </w:r>
      <w:r w:rsidR="00103CE6" w:rsidRPr="007607D3">
        <w:rPr>
          <w:rFonts w:ascii="Cambria" w:hAnsi="Cambria"/>
          <w:sz w:val="20"/>
          <w:lang w:val="es-CO"/>
        </w:rPr>
        <w:t>idad</w:t>
      </w:r>
      <w:r w:rsidR="00471DD8" w:rsidRPr="007607D3">
        <w:rPr>
          <w:rFonts w:ascii="Cambria" w:hAnsi="Cambria"/>
          <w:sz w:val="20"/>
          <w:lang w:val="es-CO"/>
        </w:rPr>
        <w:t xml:space="preserve"> Pública estadual </w:t>
      </w:r>
      <w:r w:rsidR="00315C45" w:rsidRPr="007607D3">
        <w:rPr>
          <w:rFonts w:ascii="Cambria" w:hAnsi="Cambria"/>
          <w:sz w:val="20"/>
          <w:lang w:val="es-CO"/>
        </w:rPr>
        <w:t>de un delegado de la Policía Civil para cuestiones de tierra en</w:t>
      </w:r>
      <w:r w:rsidR="00471DD8" w:rsidRPr="007607D3">
        <w:rPr>
          <w:rFonts w:ascii="Cambria" w:hAnsi="Cambria"/>
          <w:sz w:val="20"/>
          <w:lang w:val="es-CO"/>
        </w:rPr>
        <w:t xml:space="preserve"> Paraíba; </w:t>
      </w:r>
      <w:r w:rsidR="00315C45" w:rsidRPr="007607D3">
        <w:rPr>
          <w:rFonts w:ascii="Cambria" w:hAnsi="Cambria"/>
          <w:sz w:val="20"/>
          <w:lang w:val="es-CO"/>
        </w:rPr>
        <w:t>ii) la designación</w:t>
      </w:r>
      <w:r w:rsidR="00103CE6" w:rsidRPr="007607D3">
        <w:rPr>
          <w:rFonts w:ascii="Cambria" w:hAnsi="Cambria"/>
          <w:sz w:val="20"/>
          <w:lang w:val="es-CO"/>
        </w:rPr>
        <w:t xml:space="preserve"> por parte del Procurador General de Justicia de </w:t>
      </w:r>
      <w:r w:rsidR="00471DD8" w:rsidRPr="007607D3">
        <w:rPr>
          <w:rFonts w:ascii="Cambria" w:hAnsi="Cambria"/>
          <w:sz w:val="20"/>
          <w:lang w:val="es-CO"/>
        </w:rPr>
        <w:t>Paraíba</w:t>
      </w:r>
      <w:r w:rsidR="00315C45" w:rsidRPr="007607D3">
        <w:rPr>
          <w:rFonts w:ascii="Cambria" w:hAnsi="Cambria"/>
          <w:sz w:val="20"/>
          <w:lang w:val="es-CO"/>
        </w:rPr>
        <w:t xml:space="preserve"> de un promotor de justicia</w:t>
      </w:r>
      <w:r w:rsidR="00471DD8" w:rsidRPr="007607D3">
        <w:rPr>
          <w:rFonts w:ascii="Cambria" w:hAnsi="Cambria"/>
          <w:sz w:val="20"/>
          <w:lang w:val="es-CO"/>
        </w:rPr>
        <w:t xml:space="preserve"> agrario;</w:t>
      </w:r>
      <w:r w:rsidR="00315C45" w:rsidRPr="007607D3">
        <w:rPr>
          <w:rFonts w:ascii="Cambria" w:hAnsi="Cambria"/>
          <w:sz w:val="20"/>
          <w:lang w:val="es-CO"/>
        </w:rPr>
        <w:t xml:space="preserve"> además de un defensor público agrario, por parte del Defensor</w:t>
      </w:r>
      <w:r w:rsidR="00471DD8" w:rsidRPr="007607D3">
        <w:rPr>
          <w:rFonts w:ascii="Cambria" w:hAnsi="Cambria"/>
          <w:sz w:val="20"/>
          <w:lang w:val="es-CO"/>
        </w:rPr>
        <w:t xml:space="preserve"> Público Ge</w:t>
      </w:r>
      <w:r w:rsidR="00103CE6" w:rsidRPr="007607D3">
        <w:rPr>
          <w:rFonts w:ascii="Cambria" w:hAnsi="Cambria"/>
          <w:sz w:val="20"/>
          <w:lang w:val="es-CO"/>
        </w:rPr>
        <w:t>ne</w:t>
      </w:r>
      <w:r w:rsidR="00656512" w:rsidRPr="007607D3">
        <w:rPr>
          <w:rFonts w:ascii="Cambria" w:hAnsi="Cambria"/>
          <w:sz w:val="20"/>
          <w:lang w:val="es-CO"/>
        </w:rPr>
        <w:t>ral de</w:t>
      </w:r>
      <w:r w:rsidR="00471DD8" w:rsidRPr="007607D3">
        <w:rPr>
          <w:rFonts w:ascii="Cambria" w:hAnsi="Cambria"/>
          <w:sz w:val="20"/>
          <w:lang w:val="es-CO"/>
        </w:rPr>
        <w:t xml:space="preserve"> Paraíba;</w:t>
      </w:r>
      <w:r w:rsidR="00F85648" w:rsidRPr="007607D3">
        <w:rPr>
          <w:rFonts w:ascii="Cambria" w:hAnsi="Cambria"/>
          <w:sz w:val="20"/>
          <w:lang w:val="es-CO"/>
        </w:rPr>
        <w:t xml:space="preserve"> y</w:t>
      </w:r>
      <w:r w:rsidR="00471DD8" w:rsidRPr="007607D3">
        <w:rPr>
          <w:rFonts w:ascii="Cambria" w:hAnsi="Cambria"/>
          <w:sz w:val="20"/>
          <w:lang w:val="es-CO"/>
        </w:rPr>
        <w:t xml:space="preserve"> iii)</w:t>
      </w:r>
      <w:r w:rsidR="00315C45" w:rsidRPr="007607D3">
        <w:rPr>
          <w:rFonts w:ascii="Cambria" w:hAnsi="Cambria"/>
          <w:sz w:val="20"/>
          <w:lang w:val="es-CO"/>
        </w:rPr>
        <w:t xml:space="preserve"> la creación por parte del Comandante Ge</w:t>
      </w:r>
      <w:r w:rsidR="00103CE6" w:rsidRPr="007607D3">
        <w:rPr>
          <w:rFonts w:ascii="Cambria" w:hAnsi="Cambria"/>
          <w:sz w:val="20"/>
          <w:lang w:val="es-CO"/>
        </w:rPr>
        <w:t>neral de</w:t>
      </w:r>
      <w:r w:rsidR="00315C45" w:rsidRPr="007607D3">
        <w:rPr>
          <w:rFonts w:ascii="Cambria" w:hAnsi="Cambria"/>
          <w:sz w:val="20"/>
          <w:lang w:val="es-CO"/>
        </w:rPr>
        <w:t xml:space="preserve"> </w:t>
      </w:r>
      <w:r w:rsidR="00656512" w:rsidRPr="007607D3">
        <w:rPr>
          <w:rFonts w:ascii="Cambria" w:hAnsi="Cambria"/>
          <w:sz w:val="20"/>
          <w:lang w:val="es-CO"/>
        </w:rPr>
        <w:t>Policía</w:t>
      </w:r>
      <w:r w:rsidR="00103CE6" w:rsidRPr="007607D3">
        <w:rPr>
          <w:rFonts w:ascii="Cambria" w:hAnsi="Cambria"/>
          <w:sz w:val="20"/>
          <w:lang w:val="es-CO"/>
        </w:rPr>
        <w:t xml:space="preserve"> Militar de</w:t>
      </w:r>
      <w:r w:rsidR="00471DD8" w:rsidRPr="007607D3">
        <w:rPr>
          <w:rFonts w:ascii="Cambria" w:hAnsi="Cambria"/>
          <w:sz w:val="20"/>
          <w:lang w:val="es-CO"/>
        </w:rPr>
        <w:t xml:space="preserve"> Paraíba de una patrulla rural comunitaria.</w:t>
      </w:r>
    </w:p>
    <w:p w14:paraId="4FBDD9D5" w14:textId="77777777" w:rsidR="00F85648" w:rsidRPr="007607D3" w:rsidRDefault="00F85648" w:rsidP="00AD7E8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lang w:val="es-CO"/>
        </w:rPr>
      </w:pPr>
    </w:p>
    <w:p w14:paraId="415A9E91" w14:textId="77777777" w:rsidR="000D3681" w:rsidRPr="007607D3" w:rsidRDefault="00801D1A" w:rsidP="001309D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lang w:val="es-CO"/>
        </w:rPr>
      </w:pPr>
      <w:r w:rsidRPr="007607D3">
        <w:rPr>
          <w:rFonts w:ascii="Cambria" w:hAnsi="Cambria"/>
          <w:sz w:val="20"/>
          <w:szCs w:val="20"/>
          <w:lang w:val="es-CO"/>
        </w:rPr>
        <w:t xml:space="preserve">Refirió que </w:t>
      </w:r>
      <w:r w:rsidR="00111D95" w:rsidRPr="007607D3">
        <w:rPr>
          <w:rFonts w:ascii="Cambria" w:hAnsi="Cambria"/>
          <w:sz w:val="20"/>
          <w:szCs w:val="20"/>
          <w:lang w:val="es-CO"/>
        </w:rPr>
        <w:t xml:space="preserve">el </w:t>
      </w:r>
      <w:r w:rsidR="00103CE6" w:rsidRPr="007607D3">
        <w:rPr>
          <w:rFonts w:asciiTheme="majorHAnsi" w:hAnsiTheme="majorHAnsi"/>
          <w:sz w:val="20"/>
          <w:lang w:val="es-CO"/>
        </w:rPr>
        <w:t>Consej</w:t>
      </w:r>
      <w:r w:rsidR="00111D95" w:rsidRPr="007607D3">
        <w:rPr>
          <w:rFonts w:asciiTheme="majorHAnsi" w:hAnsiTheme="majorHAnsi"/>
          <w:sz w:val="20"/>
          <w:lang w:val="es-CO"/>
        </w:rPr>
        <w:t>o de Defe</w:t>
      </w:r>
      <w:r w:rsidR="00103CE6" w:rsidRPr="007607D3">
        <w:rPr>
          <w:rFonts w:asciiTheme="majorHAnsi" w:hAnsiTheme="majorHAnsi"/>
          <w:sz w:val="20"/>
          <w:lang w:val="es-CO"/>
        </w:rPr>
        <w:t>nsa de</w:t>
      </w:r>
      <w:r w:rsidR="00111D95" w:rsidRPr="007607D3">
        <w:rPr>
          <w:rFonts w:asciiTheme="majorHAnsi" w:hAnsiTheme="majorHAnsi"/>
          <w:sz w:val="20"/>
          <w:lang w:val="es-CO"/>
        </w:rPr>
        <w:t xml:space="preserve"> D</w:t>
      </w:r>
      <w:r w:rsidR="00103CE6" w:rsidRPr="007607D3">
        <w:rPr>
          <w:rFonts w:asciiTheme="majorHAnsi" w:hAnsiTheme="majorHAnsi"/>
          <w:sz w:val="20"/>
          <w:lang w:val="es-CO"/>
        </w:rPr>
        <w:t>erechos de la</w:t>
      </w:r>
      <w:r w:rsidR="00111D95" w:rsidRPr="007607D3">
        <w:rPr>
          <w:rFonts w:asciiTheme="majorHAnsi" w:hAnsiTheme="majorHAnsi"/>
          <w:sz w:val="20"/>
          <w:lang w:val="es-CO"/>
        </w:rPr>
        <w:t xml:space="preserve"> </w:t>
      </w:r>
      <w:r w:rsidR="00103CE6" w:rsidRPr="007607D3">
        <w:rPr>
          <w:rFonts w:asciiTheme="majorHAnsi" w:hAnsiTheme="majorHAnsi"/>
          <w:sz w:val="20"/>
          <w:lang w:val="es-CO"/>
        </w:rPr>
        <w:t>Persona</w:t>
      </w:r>
      <w:r w:rsidR="00111D95" w:rsidRPr="007607D3">
        <w:rPr>
          <w:rFonts w:asciiTheme="majorHAnsi" w:hAnsiTheme="majorHAnsi"/>
          <w:sz w:val="20"/>
          <w:lang w:val="es-CO"/>
        </w:rPr>
        <w:t xml:space="preserve"> Humana, un órgano estatal, realizó un acompañamiento al proceso que se seguía en contra de uno de los supuestos autores del delito, y presentó un informe en el 2001 concluyendo que el homicidio encajaba en el modelo clásico de “ejecución encomendada” o “pistola</w:t>
      </w:r>
      <w:r w:rsidR="00B77399" w:rsidRPr="007607D3">
        <w:rPr>
          <w:rFonts w:asciiTheme="majorHAnsi" w:hAnsiTheme="majorHAnsi"/>
          <w:sz w:val="20"/>
          <w:lang w:val="es-CO"/>
        </w:rPr>
        <w:t>je</w:t>
      </w:r>
      <w:r w:rsidR="00111D95" w:rsidRPr="007607D3">
        <w:rPr>
          <w:rFonts w:asciiTheme="majorHAnsi" w:hAnsiTheme="majorHAnsi"/>
          <w:sz w:val="20"/>
          <w:lang w:val="es-CO"/>
        </w:rPr>
        <w:t xml:space="preserve">” </w:t>
      </w:r>
      <w:r w:rsidR="0007377E" w:rsidRPr="007607D3">
        <w:rPr>
          <w:rFonts w:asciiTheme="majorHAnsi" w:hAnsiTheme="majorHAnsi"/>
          <w:sz w:val="20"/>
          <w:lang w:val="es-CO"/>
        </w:rPr>
        <w:t xml:space="preserve">y que se encontraba relacionado con la lucha por la tierra y el “coronelismo” vigente en la región en el momento de los hechos. </w:t>
      </w:r>
      <w:r w:rsidR="000D3681" w:rsidRPr="007607D3">
        <w:rPr>
          <w:rFonts w:asciiTheme="majorHAnsi" w:hAnsiTheme="majorHAnsi"/>
          <w:sz w:val="20"/>
          <w:lang w:val="es-CO"/>
        </w:rPr>
        <w:t xml:space="preserve"> También refirió que dicho órgano indicó que “las fuerzas de atraso que </w:t>
      </w:r>
      <w:r w:rsidR="009975A6" w:rsidRPr="007607D3">
        <w:rPr>
          <w:rFonts w:asciiTheme="majorHAnsi" w:hAnsiTheme="majorHAnsi"/>
          <w:sz w:val="20"/>
          <w:lang w:val="es-CO"/>
        </w:rPr>
        <w:t>caracterizan a ese</w:t>
      </w:r>
      <w:r w:rsidR="000D3681" w:rsidRPr="007607D3">
        <w:rPr>
          <w:rFonts w:asciiTheme="majorHAnsi" w:hAnsiTheme="majorHAnsi"/>
          <w:sz w:val="20"/>
          <w:lang w:val="es-CO"/>
        </w:rPr>
        <w:t xml:space="preserve"> coronelismo rural ciertamente influyeron en la constatación del hecho, en la demora del proceso penal y de los juicios”. </w:t>
      </w:r>
    </w:p>
    <w:p w14:paraId="4C81F784" w14:textId="77777777" w:rsidR="0090449D" w:rsidRPr="007607D3" w:rsidRDefault="0090449D" w:rsidP="0090449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Cambria" w:hAnsi="Cambria"/>
          <w:sz w:val="20"/>
          <w:szCs w:val="20"/>
          <w:lang w:val="es-CO"/>
        </w:rPr>
      </w:pPr>
    </w:p>
    <w:p w14:paraId="310170CD" w14:textId="77777777" w:rsidR="0090449D" w:rsidRPr="007607D3" w:rsidRDefault="0090449D" w:rsidP="009044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 xml:space="preserve">Agregó que el mismo órgano reconoció deficiencias en la investigación realizada en contra de Aguinaldo Veloso Borges </w:t>
      </w:r>
      <w:r w:rsidR="00D0132F" w:rsidRPr="007607D3">
        <w:rPr>
          <w:rFonts w:ascii="Cambria" w:hAnsi="Cambria"/>
          <w:sz w:val="20"/>
          <w:szCs w:val="20"/>
          <w:lang w:val="es-CO"/>
        </w:rPr>
        <w:t>refiriendo</w:t>
      </w:r>
      <w:r w:rsidRPr="007607D3">
        <w:rPr>
          <w:rFonts w:ascii="Cambria" w:hAnsi="Cambria"/>
          <w:sz w:val="20"/>
          <w:szCs w:val="20"/>
          <w:lang w:val="es-CO"/>
        </w:rPr>
        <w:t xml:space="preserve"> la “fragilidad de la prueba formada en el proceso </w:t>
      </w:r>
      <w:r w:rsidR="00D0132F" w:rsidRPr="007607D3">
        <w:rPr>
          <w:rFonts w:ascii="Cambria" w:hAnsi="Cambria"/>
          <w:sz w:val="20"/>
          <w:szCs w:val="20"/>
          <w:lang w:val="es-CO"/>
        </w:rPr>
        <w:t>penal</w:t>
      </w:r>
      <w:r w:rsidRPr="007607D3">
        <w:rPr>
          <w:rFonts w:ascii="Cambria" w:hAnsi="Cambria"/>
          <w:sz w:val="20"/>
          <w:szCs w:val="20"/>
          <w:lang w:val="es-CO"/>
        </w:rPr>
        <w:t>, posiblemente por deficiencias y omisiones anteriores en la conducción de la investigación policial y en la instrucción criminal. Así, los hechos ampliamente divulgados sobre la supuesta responsabilidad del hacendado fallecido Aguinaldo Veloso Borges por la muerte de Margarita Maria Alves no se reflejaron en la instrucción criminal y no fueron corroborados por indicios suficientes para configurar su responsabilidad penal</w:t>
      </w:r>
      <w:r w:rsidR="00D0132F" w:rsidRPr="007607D3">
        <w:rPr>
          <w:rFonts w:ascii="Cambria" w:hAnsi="Cambria"/>
          <w:sz w:val="20"/>
          <w:szCs w:val="20"/>
          <w:lang w:val="es-CO"/>
        </w:rPr>
        <w:t>”</w:t>
      </w:r>
      <w:r w:rsidRPr="007607D3">
        <w:rPr>
          <w:rFonts w:ascii="Cambria" w:hAnsi="Cambria"/>
          <w:sz w:val="20"/>
          <w:szCs w:val="20"/>
          <w:lang w:val="es-CO"/>
        </w:rPr>
        <w:t>.</w:t>
      </w:r>
    </w:p>
    <w:p w14:paraId="1F5126E4" w14:textId="77777777" w:rsidR="0090449D" w:rsidRPr="007607D3" w:rsidRDefault="0090449D" w:rsidP="0090449D">
      <w:pPr>
        <w:rPr>
          <w:sz w:val="20"/>
          <w:szCs w:val="20"/>
          <w:lang w:val="es-CO"/>
        </w:rPr>
      </w:pPr>
    </w:p>
    <w:p w14:paraId="074DB812" w14:textId="77777777" w:rsidR="003E4617" w:rsidRPr="007607D3" w:rsidRDefault="00D07486"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lang w:val="es-CO"/>
        </w:rPr>
      </w:pPr>
      <w:r w:rsidRPr="007607D3">
        <w:rPr>
          <w:rFonts w:ascii="Cambria" w:hAnsi="Cambria"/>
          <w:sz w:val="20"/>
          <w:szCs w:val="20"/>
          <w:lang w:val="es-CO"/>
        </w:rPr>
        <w:t>Indicó que la Asesoría Jurídica de la Se</w:t>
      </w:r>
      <w:r w:rsidR="00C37C88" w:rsidRPr="007607D3">
        <w:rPr>
          <w:rFonts w:ascii="Cambria" w:hAnsi="Cambria"/>
          <w:sz w:val="20"/>
          <w:szCs w:val="20"/>
          <w:lang w:val="es-CO"/>
        </w:rPr>
        <w:t>cretarí</w:t>
      </w:r>
      <w:r w:rsidRPr="007607D3">
        <w:rPr>
          <w:rFonts w:ascii="Cambria" w:hAnsi="Cambria"/>
          <w:sz w:val="20"/>
          <w:szCs w:val="20"/>
          <w:lang w:val="es-CO"/>
        </w:rPr>
        <w:t xml:space="preserve">a de Derechos Humanos de la Presidencia de la República promovió la deducción de eventuales responsabilidades civiles administrativas de los servidores públicos involucrados en la investigación. Asimismo, en 2013 se acordó que el Ministerio Público iniciaría acciones para determinar responsabilidades de funcionarios por la demora injustificada del proceso. </w:t>
      </w:r>
    </w:p>
    <w:p w14:paraId="4B9B49B4" w14:textId="77777777" w:rsidR="003E4617" w:rsidRPr="007607D3" w:rsidRDefault="003E4617" w:rsidP="003E4617">
      <w:pPr>
        <w:pStyle w:val="ListParagraph"/>
        <w:rPr>
          <w:sz w:val="20"/>
          <w:szCs w:val="20"/>
          <w:lang w:val="es-CO"/>
        </w:rPr>
      </w:pPr>
    </w:p>
    <w:p w14:paraId="1F675CF4" w14:textId="77777777" w:rsidR="003E4617" w:rsidRPr="007607D3" w:rsidRDefault="00335B51"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lang w:val="es-CO"/>
        </w:rPr>
      </w:pPr>
      <w:r w:rsidRPr="007607D3">
        <w:rPr>
          <w:rFonts w:ascii="Cambria" w:hAnsi="Cambria"/>
          <w:sz w:val="20"/>
          <w:szCs w:val="20"/>
          <w:lang w:val="es-CO"/>
        </w:rPr>
        <w:t>Informó que ha adoptado una serie</w:t>
      </w:r>
      <w:r w:rsidR="001B085B" w:rsidRPr="007607D3">
        <w:rPr>
          <w:rFonts w:ascii="Cambria" w:hAnsi="Cambria"/>
          <w:sz w:val="20"/>
          <w:szCs w:val="20"/>
          <w:lang w:val="es-CO"/>
        </w:rPr>
        <w:t xml:space="preserve"> de </w:t>
      </w:r>
      <w:r w:rsidR="008C5017" w:rsidRPr="007607D3">
        <w:rPr>
          <w:rFonts w:ascii="Cambria" w:hAnsi="Cambria"/>
          <w:sz w:val="20"/>
          <w:szCs w:val="20"/>
          <w:lang w:val="es-CO"/>
        </w:rPr>
        <w:t xml:space="preserve">medidas </w:t>
      </w:r>
      <w:r w:rsidR="00054FCA" w:rsidRPr="007607D3">
        <w:rPr>
          <w:rFonts w:ascii="Cambria" w:hAnsi="Cambria"/>
          <w:sz w:val="20"/>
          <w:szCs w:val="20"/>
          <w:lang w:val="es-CO"/>
        </w:rPr>
        <w:t>con el objetivo de</w:t>
      </w:r>
      <w:r w:rsidR="008C5017" w:rsidRPr="007607D3">
        <w:rPr>
          <w:rFonts w:ascii="Cambria" w:hAnsi="Cambria"/>
          <w:sz w:val="20"/>
          <w:szCs w:val="20"/>
          <w:lang w:val="es-CO"/>
        </w:rPr>
        <w:t xml:space="preserve"> reparar los daños ocasionados a la presunta víctima y sus familiares. En concreto, refirió que se puso en contacto con el hijo de la presunta v</w:t>
      </w:r>
      <w:r w:rsidR="0076215D" w:rsidRPr="007607D3">
        <w:rPr>
          <w:rFonts w:ascii="Cambria" w:hAnsi="Cambria"/>
          <w:sz w:val="20"/>
          <w:szCs w:val="20"/>
          <w:lang w:val="es-CO"/>
        </w:rPr>
        <w:t>íctima, y lo pre-registró</w:t>
      </w:r>
      <w:r w:rsidR="008C5017" w:rsidRPr="007607D3">
        <w:rPr>
          <w:rFonts w:ascii="Cambria" w:hAnsi="Cambria"/>
          <w:sz w:val="20"/>
          <w:szCs w:val="20"/>
          <w:lang w:val="es-CO"/>
        </w:rPr>
        <w:t xml:space="preserve"> como beneficiario en un proceso de desposesión de un terreno</w:t>
      </w:r>
      <w:r w:rsidR="00CE1E74" w:rsidRPr="007607D3">
        <w:rPr>
          <w:rFonts w:ascii="Cambria" w:hAnsi="Cambria"/>
          <w:sz w:val="20"/>
          <w:szCs w:val="20"/>
          <w:lang w:val="es-CO"/>
        </w:rPr>
        <w:t xml:space="preserve"> (Fazenda Tanques) propiedad de dos personas sospechosas de participar</w:t>
      </w:r>
      <w:r w:rsidR="008C5017" w:rsidRPr="007607D3">
        <w:rPr>
          <w:rFonts w:ascii="Cambria" w:hAnsi="Cambria"/>
          <w:sz w:val="20"/>
          <w:szCs w:val="20"/>
          <w:lang w:val="es-CO"/>
        </w:rPr>
        <w:t xml:space="preserve"> en el asesinato de la presunta v</w:t>
      </w:r>
      <w:r w:rsidR="0076215D" w:rsidRPr="007607D3">
        <w:rPr>
          <w:rFonts w:ascii="Cambria" w:hAnsi="Cambria"/>
          <w:sz w:val="20"/>
          <w:szCs w:val="20"/>
          <w:lang w:val="es-CO"/>
        </w:rPr>
        <w:t>íctima</w:t>
      </w:r>
      <w:r w:rsidR="00CE1E74" w:rsidRPr="007607D3">
        <w:rPr>
          <w:rFonts w:ascii="Cambria" w:hAnsi="Cambria"/>
          <w:sz w:val="20"/>
          <w:szCs w:val="20"/>
          <w:lang w:val="es-CO"/>
        </w:rPr>
        <w:t>, Aguinaldo Veloso Borjes y Antonio Carlos Coutinho Reges</w:t>
      </w:r>
      <w:r w:rsidR="0076215D" w:rsidRPr="007607D3">
        <w:rPr>
          <w:rFonts w:ascii="Cambria" w:hAnsi="Cambria"/>
          <w:sz w:val="20"/>
          <w:szCs w:val="20"/>
          <w:lang w:val="es-CO"/>
        </w:rPr>
        <w:t>.</w:t>
      </w:r>
      <w:r w:rsidR="008C5017" w:rsidRPr="007607D3">
        <w:rPr>
          <w:rFonts w:ascii="Cambria" w:hAnsi="Cambria"/>
          <w:sz w:val="20"/>
          <w:szCs w:val="20"/>
          <w:lang w:val="es-CO"/>
        </w:rPr>
        <w:t xml:space="preserve"> </w:t>
      </w:r>
    </w:p>
    <w:p w14:paraId="5B65B8F5" w14:textId="77777777" w:rsidR="003E4617" w:rsidRPr="007607D3" w:rsidRDefault="003E4617" w:rsidP="003E4617">
      <w:pPr>
        <w:pStyle w:val="ListParagraph"/>
        <w:rPr>
          <w:rFonts w:eastAsia="Calibri"/>
          <w:sz w:val="20"/>
          <w:szCs w:val="20"/>
          <w:lang w:val="es-CO"/>
        </w:rPr>
      </w:pPr>
    </w:p>
    <w:p w14:paraId="6875714F" w14:textId="77777777" w:rsidR="003E4617" w:rsidRPr="007607D3" w:rsidRDefault="0076215D" w:rsidP="003E46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lang w:val="es-CO"/>
        </w:rPr>
      </w:pPr>
      <w:r w:rsidRPr="007607D3">
        <w:rPr>
          <w:rFonts w:ascii="Cambria" w:eastAsia="Calibri" w:hAnsi="Cambria"/>
          <w:sz w:val="20"/>
          <w:szCs w:val="20"/>
          <w:lang w:val="es-CO"/>
        </w:rPr>
        <w:t xml:space="preserve">Por otra parte, resaltó la necesidad de reparación simbólica </w:t>
      </w:r>
      <w:r w:rsidR="00F22F7A" w:rsidRPr="007607D3">
        <w:rPr>
          <w:rFonts w:ascii="Cambria" w:eastAsia="Calibri" w:hAnsi="Cambria"/>
          <w:sz w:val="20"/>
          <w:szCs w:val="20"/>
          <w:lang w:val="es-CO"/>
        </w:rPr>
        <w:t>e indicó que desde hace varios años participa con la sociedad civil en diversos homenajes a Margarida Maria Alves tales como la “Marcha de las Margaridas”</w:t>
      </w:r>
      <w:r w:rsidR="00F2558C" w:rsidRPr="007607D3">
        <w:rPr>
          <w:rFonts w:ascii="Cambria" w:eastAsia="Calibri" w:hAnsi="Cambria"/>
          <w:sz w:val="20"/>
          <w:szCs w:val="20"/>
          <w:lang w:val="es-CO"/>
        </w:rPr>
        <w:t xml:space="preserve"> </w:t>
      </w:r>
      <w:r w:rsidR="00F22F7A" w:rsidRPr="007607D3">
        <w:rPr>
          <w:rFonts w:ascii="Cambria" w:eastAsia="Calibri" w:hAnsi="Cambria"/>
          <w:sz w:val="20"/>
          <w:szCs w:val="20"/>
          <w:lang w:val="es-CO"/>
        </w:rPr>
        <w:t>que busca el reconocimiento del trabajo de las mujeres del campo, apoyando con divulgación así como con convenios financieros. También indicó que instituyó el</w:t>
      </w:r>
      <w:r w:rsidR="00F22F7A" w:rsidRPr="007607D3">
        <w:rPr>
          <w:rFonts w:ascii="Cambria" w:hAnsi="Cambria"/>
          <w:sz w:val="20"/>
          <w:lang w:val="es-CO"/>
        </w:rPr>
        <w:t xml:space="preserve"> </w:t>
      </w:r>
      <w:r w:rsidR="007D407C" w:rsidRPr="007607D3">
        <w:rPr>
          <w:rFonts w:ascii="Cambria" w:hAnsi="Cambria"/>
          <w:sz w:val="20"/>
          <w:lang w:val="es-CO"/>
        </w:rPr>
        <w:t>“</w:t>
      </w:r>
      <w:r w:rsidR="00315C45" w:rsidRPr="007607D3">
        <w:rPr>
          <w:rFonts w:ascii="Cambria" w:hAnsi="Cambria"/>
          <w:sz w:val="20"/>
          <w:lang w:val="es-CO"/>
        </w:rPr>
        <w:t>Prêmio Margarida Alves</w:t>
      </w:r>
      <w:r w:rsidR="007D407C" w:rsidRPr="007607D3">
        <w:rPr>
          <w:rFonts w:ascii="Cambria" w:hAnsi="Cambria"/>
          <w:sz w:val="20"/>
          <w:lang w:val="es-CO"/>
        </w:rPr>
        <w:t xml:space="preserve"> de Estudos Rurais e de Gênero” que promueve la igualdad de género en el campo</w:t>
      </w:r>
      <w:r w:rsidR="00315C45" w:rsidRPr="007607D3">
        <w:rPr>
          <w:rFonts w:ascii="Cambria" w:hAnsi="Cambria"/>
          <w:sz w:val="20"/>
          <w:lang w:val="es-CO"/>
        </w:rPr>
        <w:t xml:space="preserve">; el </w:t>
      </w:r>
      <w:r w:rsidR="007D407C" w:rsidRPr="007607D3">
        <w:rPr>
          <w:rFonts w:ascii="Cambria" w:hAnsi="Cambria"/>
          <w:sz w:val="20"/>
          <w:lang w:val="es-CO"/>
        </w:rPr>
        <w:t>“</w:t>
      </w:r>
      <w:r w:rsidR="00315C45" w:rsidRPr="007607D3">
        <w:rPr>
          <w:rFonts w:ascii="Cambria" w:hAnsi="Cambria"/>
          <w:sz w:val="20"/>
          <w:lang w:val="es-CO"/>
        </w:rPr>
        <w:t>Projeto Margaridas</w:t>
      </w:r>
      <w:r w:rsidR="00D0132F" w:rsidRPr="007607D3">
        <w:rPr>
          <w:rFonts w:ascii="Cambria" w:hAnsi="Cambria"/>
          <w:sz w:val="20"/>
          <w:lang w:val="es-CO"/>
        </w:rPr>
        <w:t>”</w:t>
      </w:r>
      <w:r w:rsidR="007D407C" w:rsidRPr="007607D3">
        <w:rPr>
          <w:rFonts w:ascii="Cambria" w:hAnsi="Cambria"/>
          <w:sz w:val="20"/>
          <w:lang w:val="es-CO"/>
        </w:rPr>
        <w:t>, el</w:t>
      </w:r>
      <w:r w:rsidR="00315C45" w:rsidRPr="007607D3">
        <w:rPr>
          <w:rFonts w:ascii="Cambria" w:hAnsi="Cambria"/>
          <w:sz w:val="20"/>
          <w:lang w:val="es-CO"/>
        </w:rPr>
        <w:t xml:space="preserve"> </w:t>
      </w:r>
      <w:r w:rsidR="007D407C" w:rsidRPr="007607D3">
        <w:rPr>
          <w:rFonts w:ascii="Cambria" w:hAnsi="Cambria"/>
          <w:sz w:val="20"/>
          <w:lang w:val="es-CO"/>
        </w:rPr>
        <w:t>“</w:t>
      </w:r>
      <w:r w:rsidR="00315C45" w:rsidRPr="007607D3">
        <w:rPr>
          <w:rFonts w:ascii="Cambria" w:hAnsi="Cambria"/>
          <w:sz w:val="20"/>
          <w:lang w:val="es-CO"/>
        </w:rPr>
        <w:t>Projeto Direito à Memória e Verdade de la Secretaria de Direitos Humanos</w:t>
      </w:r>
      <w:r w:rsidR="007D407C" w:rsidRPr="007607D3">
        <w:rPr>
          <w:rFonts w:ascii="Cambria" w:hAnsi="Cambria"/>
          <w:sz w:val="20"/>
          <w:lang w:val="es-CO"/>
        </w:rPr>
        <w:t>”</w:t>
      </w:r>
      <w:r w:rsidR="00315C45" w:rsidRPr="007607D3">
        <w:rPr>
          <w:rFonts w:ascii="Cambria" w:hAnsi="Cambria"/>
          <w:sz w:val="20"/>
          <w:lang w:val="es-CO"/>
        </w:rPr>
        <w:t xml:space="preserve">, </w:t>
      </w:r>
      <w:r w:rsidR="007D407C" w:rsidRPr="007607D3">
        <w:rPr>
          <w:rFonts w:ascii="Cambria" w:hAnsi="Cambria"/>
          <w:sz w:val="20"/>
          <w:lang w:val="es-CO"/>
        </w:rPr>
        <w:t>y efectuó el lanzamiento del libro</w:t>
      </w:r>
      <w:r w:rsidR="00315C45" w:rsidRPr="007607D3">
        <w:rPr>
          <w:rFonts w:ascii="Cambria" w:hAnsi="Cambria"/>
          <w:sz w:val="20"/>
          <w:lang w:val="es-CO"/>
        </w:rPr>
        <w:t xml:space="preserve"> “Camponeses mortos e desaparecidos: excluídos da justiça de transição”, que destaca la historia de la presunta víctima</w:t>
      </w:r>
      <w:r w:rsidR="007D407C" w:rsidRPr="007607D3">
        <w:rPr>
          <w:rFonts w:ascii="Cambria" w:hAnsi="Cambria"/>
          <w:sz w:val="20"/>
          <w:lang w:val="es-CO"/>
        </w:rPr>
        <w:t>.</w:t>
      </w:r>
    </w:p>
    <w:p w14:paraId="7C88C986" w14:textId="77777777" w:rsidR="009B2166" w:rsidRPr="007607D3" w:rsidRDefault="009B2166" w:rsidP="009B216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lang w:val="es-CO"/>
        </w:rPr>
      </w:pPr>
    </w:p>
    <w:p w14:paraId="26A8141D" w14:textId="77777777" w:rsidR="003E4617" w:rsidRPr="007607D3" w:rsidRDefault="000E3FE6"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lang w:val="es-CO"/>
        </w:rPr>
      </w:pPr>
      <w:r w:rsidRPr="007607D3">
        <w:rPr>
          <w:rFonts w:ascii="Cambria" w:eastAsia="Calibri" w:hAnsi="Cambria"/>
          <w:sz w:val="20"/>
          <w:szCs w:val="20"/>
          <w:lang w:val="es-CO"/>
        </w:rPr>
        <w:t xml:space="preserve">También informó que realizó gestiones para que la familia reciba una indemnización, y se realice tanto un pedido de disculpas públicas como un reconocimiento de la responsabilidad del Estado por la demora procesal </w:t>
      </w:r>
      <w:r w:rsidR="008C4C7D" w:rsidRPr="007607D3">
        <w:rPr>
          <w:rFonts w:ascii="Cambria" w:eastAsia="Calibri" w:hAnsi="Cambria"/>
          <w:sz w:val="20"/>
          <w:szCs w:val="20"/>
          <w:lang w:val="es-CO"/>
        </w:rPr>
        <w:t>en el caso.</w:t>
      </w:r>
      <w:r w:rsidR="00872E93" w:rsidRPr="007607D3">
        <w:rPr>
          <w:rFonts w:ascii="Cambria" w:eastAsia="Calibri" w:hAnsi="Cambria"/>
          <w:sz w:val="20"/>
          <w:szCs w:val="20"/>
          <w:lang w:val="es-CO"/>
        </w:rPr>
        <w:t xml:space="preserve"> El Estado no informó</w:t>
      </w:r>
      <w:r w:rsidR="00872E93" w:rsidRPr="007607D3">
        <w:rPr>
          <w:rFonts w:ascii="Cambria" w:eastAsia="Calibri" w:hAnsi="Cambria"/>
          <w:sz w:val="20"/>
          <w:szCs w:val="20"/>
          <w:lang w:val="es-VE"/>
        </w:rPr>
        <w:t xml:space="preserve"> posteriormente sobre medidas concretas al respecto. </w:t>
      </w:r>
    </w:p>
    <w:p w14:paraId="19186EE2" w14:textId="77777777" w:rsidR="003E4617" w:rsidRPr="007607D3" w:rsidRDefault="003E4617" w:rsidP="003E4617">
      <w:pPr>
        <w:pStyle w:val="ListParagraph"/>
        <w:rPr>
          <w:rFonts w:eastAsia="Calibri"/>
          <w:sz w:val="20"/>
          <w:szCs w:val="20"/>
          <w:lang w:val="es-CO"/>
        </w:rPr>
      </w:pPr>
    </w:p>
    <w:p w14:paraId="59629F7A" w14:textId="77777777" w:rsidR="00315C45" w:rsidRPr="007607D3" w:rsidRDefault="008C4C7D"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lang w:val="es-CO"/>
        </w:rPr>
      </w:pPr>
      <w:r w:rsidRPr="007607D3">
        <w:rPr>
          <w:rFonts w:ascii="Cambria" w:eastAsia="Calibri" w:hAnsi="Cambria"/>
          <w:sz w:val="20"/>
          <w:szCs w:val="20"/>
          <w:lang w:val="es-CO"/>
        </w:rPr>
        <w:t xml:space="preserve"> Finalmente, indicó que se creó el Programa de Protección para Defensores de Derechos Humanos a fin de prevenir atentados en su contra, e</w:t>
      </w:r>
      <w:r w:rsidR="009E2717" w:rsidRPr="007607D3">
        <w:rPr>
          <w:rFonts w:ascii="Cambria" w:eastAsia="Calibri" w:hAnsi="Cambria"/>
          <w:sz w:val="20"/>
          <w:szCs w:val="20"/>
          <w:lang w:val="es-CO"/>
        </w:rPr>
        <w:t>l cual</w:t>
      </w:r>
      <w:r w:rsidRPr="007607D3">
        <w:rPr>
          <w:rFonts w:ascii="Cambria" w:eastAsia="Calibri" w:hAnsi="Cambria"/>
          <w:sz w:val="20"/>
          <w:szCs w:val="20"/>
          <w:lang w:val="es-CO"/>
        </w:rPr>
        <w:t xml:space="preserve"> incluye la coordinación entre órganos y entidades gubernamentales y civiles para que se resuelvan controversias.</w:t>
      </w:r>
    </w:p>
    <w:p w14:paraId="378D012F" w14:textId="77777777" w:rsidR="00AA70A5" w:rsidRPr="007607D3" w:rsidRDefault="00AA70A5" w:rsidP="00AA70A5">
      <w:pPr>
        <w:rPr>
          <w:lang w:val="es-CO"/>
        </w:rPr>
      </w:pPr>
    </w:p>
    <w:p w14:paraId="37733733" w14:textId="77777777" w:rsidR="00AA70A5" w:rsidRPr="007607D3" w:rsidRDefault="00AA70A5" w:rsidP="00AA70A5">
      <w:pPr>
        <w:pStyle w:val="Heading1"/>
        <w:keepLines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0"/>
        <w:rPr>
          <w:color w:val="auto"/>
          <w:lang w:val="es-CO"/>
        </w:rPr>
      </w:pPr>
      <w:bookmarkStart w:id="12" w:name="_Toc86071588"/>
      <w:r w:rsidRPr="007607D3">
        <w:rPr>
          <w:color w:val="auto"/>
          <w:sz w:val="20"/>
          <w:szCs w:val="20"/>
          <w:lang w:val="es-CO"/>
        </w:rPr>
        <w:t>DETERMINACIONES FÁCTICAS</w:t>
      </w:r>
      <w:bookmarkEnd w:id="12"/>
    </w:p>
    <w:p w14:paraId="5A19722C" w14:textId="77777777" w:rsidR="00AA70A5" w:rsidRPr="007607D3" w:rsidRDefault="00AA70A5" w:rsidP="00592D32">
      <w:pPr>
        <w:pStyle w:val="Heading2"/>
        <w:numPr>
          <w:ilvl w:val="0"/>
          <w:numId w:val="59"/>
        </w:numPr>
        <w:ind w:left="1440" w:hanging="720"/>
        <w:rPr>
          <w:rFonts w:ascii="Cambria" w:hAnsi="Cambria"/>
          <w:i w:val="0"/>
          <w:sz w:val="20"/>
          <w:szCs w:val="20"/>
          <w:lang w:val="es-CO"/>
        </w:rPr>
      </w:pPr>
      <w:bookmarkStart w:id="13" w:name="_Toc86071589"/>
      <w:r w:rsidRPr="007607D3">
        <w:rPr>
          <w:rFonts w:ascii="Cambria" w:hAnsi="Cambria"/>
          <w:i w:val="0"/>
          <w:sz w:val="20"/>
          <w:szCs w:val="20"/>
          <w:lang w:val="es-CO"/>
        </w:rPr>
        <w:t>Contexto de violencia contra defensoras y defensores de derechos laborales</w:t>
      </w:r>
      <w:r w:rsidR="009C5F74" w:rsidRPr="007607D3">
        <w:rPr>
          <w:rFonts w:ascii="Cambria" w:hAnsi="Cambria"/>
          <w:i w:val="0"/>
          <w:sz w:val="20"/>
          <w:szCs w:val="20"/>
          <w:lang w:val="es-CO"/>
        </w:rPr>
        <w:t xml:space="preserve"> en el ámbito rural </w:t>
      </w:r>
      <w:r w:rsidRPr="007607D3">
        <w:rPr>
          <w:rFonts w:ascii="Cambria" w:hAnsi="Cambria"/>
          <w:i w:val="0"/>
          <w:sz w:val="20"/>
          <w:szCs w:val="20"/>
          <w:lang w:val="es-CO"/>
        </w:rPr>
        <w:t>al momento de los hechos</w:t>
      </w:r>
      <w:r w:rsidR="009C5F74" w:rsidRPr="007607D3">
        <w:rPr>
          <w:rFonts w:ascii="Cambria" w:hAnsi="Cambria"/>
          <w:i w:val="0"/>
          <w:sz w:val="20"/>
          <w:szCs w:val="20"/>
          <w:lang w:val="es-CO"/>
        </w:rPr>
        <w:t xml:space="preserve"> incluyendo el nordeste de Brasil</w:t>
      </w:r>
      <w:bookmarkEnd w:id="13"/>
    </w:p>
    <w:p w14:paraId="1D3DE93D" w14:textId="77777777" w:rsidR="00AA70A5" w:rsidRPr="007607D3" w:rsidRDefault="00AA70A5" w:rsidP="00AA70A5">
      <w:pPr>
        <w:rPr>
          <w:lang w:val="es-CO"/>
        </w:rPr>
      </w:pPr>
    </w:p>
    <w:p w14:paraId="6B29882C" w14:textId="77777777" w:rsidR="00AA70A5" w:rsidRPr="007607D3"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7607D3">
        <w:rPr>
          <w:rFonts w:ascii="Cambria" w:eastAsia="Calibri" w:hAnsi="Cambria"/>
          <w:sz w:val="20"/>
          <w:szCs w:val="20"/>
          <w:lang w:val="es-CO"/>
        </w:rPr>
        <w:lastRenderedPageBreak/>
        <w:t xml:space="preserve">La CIDH y otros organismos nacionales e internacionales han constatado la existencia de un contexto de violaciones a los derechos humanos de sindicalistas y trabajadores agrarios en el </w:t>
      </w:r>
      <w:r w:rsidRPr="007607D3">
        <w:rPr>
          <w:rFonts w:ascii="Cambria" w:hAnsi="Cambria"/>
          <w:sz w:val="20"/>
          <w:szCs w:val="20"/>
          <w:lang w:val="es-CO"/>
        </w:rPr>
        <w:t>norte y n</w:t>
      </w:r>
      <w:r w:rsidRPr="007607D3">
        <w:rPr>
          <w:rFonts w:ascii="Cambria" w:eastAsia="Calibri" w:hAnsi="Cambria"/>
          <w:sz w:val="20"/>
          <w:szCs w:val="20"/>
          <w:lang w:val="es-CO"/>
        </w:rPr>
        <w:t xml:space="preserve">ordeste de Brasil, durante la década de los ochentas y noventas, </w:t>
      </w:r>
      <w:r w:rsidRPr="007607D3">
        <w:rPr>
          <w:rFonts w:ascii="Cambria" w:hAnsi="Cambria"/>
          <w:sz w:val="20"/>
          <w:szCs w:val="20"/>
          <w:lang w:val="es-CO"/>
        </w:rPr>
        <w:t xml:space="preserve">relacionados </w:t>
      </w:r>
      <w:r w:rsidRPr="007607D3">
        <w:rPr>
          <w:rFonts w:ascii="Cambria" w:eastAsia="Calibri" w:hAnsi="Cambria"/>
          <w:sz w:val="20"/>
          <w:szCs w:val="20"/>
          <w:lang w:val="es-CO"/>
        </w:rPr>
        <w:t>con conflictos de tierras</w:t>
      </w:r>
      <w:r w:rsidRPr="007607D3">
        <w:rPr>
          <w:rFonts w:ascii="Cambria" w:hAnsi="Cambria"/>
          <w:sz w:val="20"/>
          <w:szCs w:val="20"/>
          <w:vertAlign w:val="superscript"/>
          <w:lang w:val="es-ES"/>
        </w:rPr>
        <w:footnoteReference w:id="4"/>
      </w:r>
      <w:r w:rsidRPr="007607D3">
        <w:rPr>
          <w:rFonts w:ascii="Cambria" w:hAnsi="Cambria"/>
          <w:sz w:val="20"/>
          <w:szCs w:val="20"/>
          <w:lang w:val="es-CO"/>
        </w:rPr>
        <w:t>.  La CIDH ha indicado que tanto la población como muchas autoridades atribuyen las violaciones a los derechos humanos a “la inacción, negligencia e incapacidad del sistema policial y judicial, y a las obvias conexiones entre los delincuentes con las autoridades de los distintos poderes”</w:t>
      </w:r>
      <w:r w:rsidRPr="007607D3">
        <w:rPr>
          <w:rFonts w:ascii="Cambria" w:hAnsi="Cambria"/>
          <w:sz w:val="20"/>
          <w:szCs w:val="20"/>
          <w:vertAlign w:val="superscript"/>
          <w:lang w:val="es-CO"/>
        </w:rPr>
        <w:footnoteReference w:id="5"/>
      </w:r>
      <w:r w:rsidRPr="007607D3">
        <w:rPr>
          <w:rFonts w:ascii="Cambria" w:hAnsi="Cambria"/>
          <w:sz w:val="20"/>
          <w:szCs w:val="20"/>
          <w:lang w:val="es-CO"/>
        </w:rPr>
        <w:t>.</w:t>
      </w:r>
    </w:p>
    <w:p w14:paraId="3359F6F9" w14:textId="77777777" w:rsidR="00AA70A5" w:rsidRPr="007607D3" w:rsidRDefault="00AA70A5" w:rsidP="00AA70A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1D647305" w14:textId="77777777" w:rsidR="00AA70A5" w:rsidRPr="007607D3"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Por su parte, Amnistía Internacional, en su informe de 1983, llamó la atención de las autoridades brasileñas por la falta de investigación de numerosos casos de asesinatos de miembros de sindicatos y activistas de derechos humanos en áreas rurales</w:t>
      </w:r>
      <w:r w:rsidRPr="007607D3">
        <w:rPr>
          <w:rStyle w:val="FootnoteReference"/>
          <w:rFonts w:ascii="Cambria" w:hAnsi="Cambria"/>
          <w:sz w:val="20"/>
          <w:szCs w:val="20"/>
          <w:lang w:val="es-CO"/>
        </w:rPr>
        <w:footnoteReference w:id="6"/>
      </w:r>
      <w:r w:rsidRPr="007607D3">
        <w:rPr>
          <w:rFonts w:ascii="Cambria" w:hAnsi="Cambria"/>
          <w:sz w:val="20"/>
          <w:szCs w:val="20"/>
          <w:lang w:val="es-CO"/>
        </w:rPr>
        <w:t>. Asimismo, en 1984 la misma organización llamó la atención por el gran número de asesinatos de personas relacionadas al movimiento sindical rural, y resaltó la aparente aquiescencia de autoridades locales con los perpetradores, mostrada por la falta de investigación de los crímenes, y citó el caso de Margarida Maria Alves como un ejemplo de ese contexto</w:t>
      </w:r>
      <w:r w:rsidRPr="007607D3">
        <w:rPr>
          <w:rStyle w:val="FootnoteReference"/>
          <w:rFonts w:ascii="Cambria" w:hAnsi="Cambria"/>
          <w:sz w:val="20"/>
          <w:szCs w:val="20"/>
          <w:lang w:val="es-CO"/>
        </w:rPr>
        <w:footnoteReference w:id="7"/>
      </w:r>
      <w:r w:rsidRPr="007607D3">
        <w:rPr>
          <w:rFonts w:ascii="Cambria" w:hAnsi="Cambria"/>
          <w:sz w:val="20"/>
          <w:szCs w:val="20"/>
          <w:lang w:val="es-CO"/>
        </w:rPr>
        <w:t>. La misma problemática fue denunciada por dicha organización en 1985</w:t>
      </w:r>
      <w:r w:rsidRPr="007607D3">
        <w:rPr>
          <w:rStyle w:val="FootnoteReference"/>
          <w:rFonts w:ascii="Cambria" w:hAnsi="Cambria"/>
          <w:sz w:val="20"/>
          <w:szCs w:val="20"/>
          <w:lang w:val="es-CO"/>
        </w:rPr>
        <w:footnoteReference w:id="8"/>
      </w:r>
      <w:r w:rsidRPr="007607D3">
        <w:rPr>
          <w:rFonts w:ascii="Cambria" w:hAnsi="Cambria"/>
          <w:sz w:val="20"/>
          <w:szCs w:val="20"/>
          <w:lang w:val="es-CO"/>
        </w:rPr>
        <w:t xml:space="preserve"> y en 1990</w:t>
      </w:r>
      <w:r w:rsidR="009B2166" w:rsidRPr="007607D3">
        <w:rPr>
          <w:rFonts w:ascii="Cambria" w:hAnsi="Cambria"/>
          <w:sz w:val="20"/>
          <w:szCs w:val="20"/>
          <w:lang w:val="es-CO"/>
        </w:rPr>
        <w:t>,</w:t>
      </w:r>
      <w:r w:rsidRPr="007607D3">
        <w:rPr>
          <w:rFonts w:ascii="Cambria" w:hAnsi="Cambria"/>
          <w:sz w:val="20"/>
          <w:szCs w:val="20"/>
          <w:lang w:val="es-CO"/>
        </w:rPr>
        <w:t xml:space="preserve"> que se enfocó en la región nordeste de Brasil</w:t>
      </w:r>
      <w:r w:rsidRPr="007607D3">
        <w:rPr>
          <w:rStyle w:val="FootnoteReference"/>
          <w:rFonts w:ascii="Cambria" w:hAnsi="Cambria"/>
          <w:sz w:val="20"/>
          <w:szCs w:val="20"/>
          <w:lang w:val="es-CO"/>
        </w:rPr>
        <w:footnoteReference w:id="9"/>
      </w:r>
      <w:r w:rsidRPr="007607D3">
        <w:rPr>
          <w:rFonts w:ascii="Cambria" w:hAnsi="Cambria"/>
          <w:sz w:val="20"/>
          <w:szCs w:val="20"/>
          <w:lang w:val="es-CO"/>
        </w:rPr>
        <w:t xml:space="preserve">. </w:t>
      </w:r>
    </w:p>
    <w:p w14:paraId="319D4203" w14:textId="77777777" w:rsidR="00AA70A5" w:rsidRPr="007607D3" w:rsidRDefault="00AA70A5" w:rsidP="00AA70A5">
      <w:pPr>
        <w:pStyle w:val="ListParagraph"/>
        <w:rPr>
          <w:sz w:val="20"/>
          <w:szCs w:val="20"/>
          <w:lang w:val="es-VE"/>
        </w:rPr>
      </w:pPr>
    </w:p>
    <w:p w14:paraId="78FA3398" w14:textId="77777777" w:rsidR="00AA70A5" w:rsidRPr="007607D3"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7607D3">
        <w:rPr>
          <w:rFonts w:ascii="Cambria" w:hAnsi="Cambria"/>
          <w:sz w:val="20"/>
          <w:szCs w:val="20"/>
          <w:lang w:val="es-VE"/>
        </w:rPr>
        <w:t xml:space="preserve">Asimismo, Human Rights Watch, en su informe </w:t>
      </w:r>
      <w:r w:rsidRPr="007607D3">
        <w:rPr>
          <w:rFonts w:ascii="Cambria" w:hAnsi="Cambria"/>
          <w:sz w:val="20"/>
          <w:szCs w:val="20"/>
          <w:lang w:val="es-CO"/>
        </w:rPr>
        <w:t xml:space="preserve">“La lucha por la tierra en Brasil – Violencia rural continua” de 1992, indicó que la violencia rural es un problema crónico, agravado por la falta de diligencia estatal en investigar los casos registrados. Según dicho informe, de los 1681 asesinatos de trabajadores rurales catalogados por la Comisión Pastoral de la Tierra desde el 1 de enero de 1964 hasta el 31 de enero de 1992, sólo </w:t>
      </w:r>
      <w:r w:rsidR="00405B71" w:rsidRPr="007607D3">
        <w:rPr>
          <w:rFonts w:ascii="Cambria" w:hAnsi="Cambria"/>
          <w:sz w:val="20"/>
          <w:szCs w:val="20"/>
          <w:lang w:val="es-CO"/>
        </w:rPr>
        <w:t>26</w:t>
      </w:r>
      <w:r w:rsidRPr="007607D3">
        <w:rPr>
          <w:rFonts w:ascii="Cambria" w:hAnsi="Cambria"/>
          <w:sz w:val="20"/>
          <w:szCs w:val="20"/>
          <w:lang w:val="es-CO"/>
        </w:rPr>
        <w:t xml:space="preserve"> casos fueron llevados a juicio, con el resultado de </w:t>
      </w:r>
      <w:r w:rsidR="00405B71" w:rsidRPr="007607D3">
        <w:rPr>
          <w:rFonts w:ascii="Cambria" w:hAnsi="Cambria"/>
          <w:sz w:val="20"/>
          <w:szCs w:val="20"/>
          <w:lang w:val="es-CO"/>
        </w:rPr>
        <w:t>15</w:t>
      </w:r>
      <w:r w:rsidRPr="007607D3">
        <w:rPr>
          <w:rFonts w:ascii="Cambria" w:hAnsi="Cambria"/>
          <w:sz w:val="20"/>
          <w:szCs w:val="20"/>
          <w:lang w:val="es-CO"/>
        </w:rPr>
        <w:t xml:space="preserve"> condenas</w:t>
      </w:r>
      <w:r w:rsidRPr="007607D3">
        <w:rPr>
          <w:rStyle w:val="FootnoteReference"/>
          <w:rFonts w:ascii="Cambria" w:hAnsi="Cambria"/>
          <w:sz w:val="20"/>
          <w:szCs w:val="20"/>
          <w:lang w:val="es-CO"/>
        </w:rPr>
        <w:footnoteReference w:id="10"/>
      </w:r>
      <w:r w:rsidRPr="007607D3">
        <w:rPr>
          <w:rFonts w:ascii="Cambria" w:hAnsi="Cambria"/>
          <w:sz w:val="20"/>
          <w:szCs w:val="20"/>
          <w:lang w:val="es-CO"/>
        </w:rPr>
        <w:t>.</w:t>
      </w:r>
    </w:p>
    <w:p w14:paraId="319A4B80" w14:textId="77777777" w:rsidR="00AA70A5" w:rsidRPr="007607D3" w:rsidRDefault="00AA70A5" w:rsidP="00AA70A5">
      <w:pPr>
        <w:pStyle w:val="ListParagraph"/>
        <w:rPr>
          <w:sz w:val="20"/>
          <w:szCs w:val="20"/>
          <w:lang w:val="es-VE"/>
        </w:rPr>
      </w:pPr>
    </w:p>
    <w:p w14:paraId="074F3BF4" w14:textId="77777777" w:rsidR="00AA70A5" w:rsidRPr="007607D3"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7607D3">
        <w:rPr>
          <w:rFonts w:ascii="Cambria" w:hAnsi="Cambria"/>
          <w:sz w:val="20"/>
          <w:szCs w:val="20"/>
          <w:lang w:val="es-VE"/>
        </w:rPr>
        <w:t>L</w:t>
      </w:r>
      <w:r w:rsidRPr="007607D3">
        <w:rPr>
          <w:rFonts w:ascii="Cambria" w:hAnsi="Cambria"/>
          <w:sz w:val="20"/>
          <w:szCs w:val="20"/>
          <w:lang w:val="es-CO"/>
        </w:rPr>
        <w:t>a Comisión hace notar que conforme a distintos medios de información pública, en el período entre 1980 y 1983 fueron asesinados 28 agricultores</w:t>
      </w:r>
      <w:r w:rsidRPr="007607D3">
        <w:rPr>
          <w:rFonts w:ascii="Cambria" w:hAnsi="Cambria"/>
          <w:sz w:val="20"/>
          <w:szCs w:val="20"/>
          <w:vertAlign w:val="superscript"/>
        </w:rPr>
        <w:footnoteReference w:id="11"/>
      </w:r>
      <w:r w:rsidRPr="007607D3">
        <w:rPr>
          <w:rFonts w:ascii="Cambria" w:hAnsi="Cambria"/>
          <w:sz w:val="20"/>
          <w:szCs w:val="20"/>
          <w:lang w:val="es-CO"/>
        </w:rPr>
        <w:t xml:space="preserve"> solamente en el </w:t>
      </w:r>
      <w:r w:rsidR="00B32A58" w:rsidRPr="007607D3">
        <w:rPr>
          <w:rFonts w:ascii="Cambria" w:hAnsi="Cambria"/>
          <w:sz w:val="20"/>
          <w:szCs w:val="20"/>
          <w:lang w:val="es-CO"/>
        </w:rPr>
        <w:t>n</w:t>
      </w:r>
      <w:r w:rsidRPr="007607D3">
        <w:rPr>
          <w:rFonts w:ascii="Cambria" w:hAnsi="Cambria"/>
          <w:sz w:val="20"/>
          <w:szCs w:val="20"/>
          <w:lang w:val="es-CO"/>
        </w:rPr>
        <w:t xml:space="preserve">ordeste del </w:t>
      </w:r>
      <w:r w:rsidR="00B32A58" w:rsidRPr="007607D3">
        <w:rPr>
          <w:rFonts w:ascii="Cambria" w:hAnsi="Cambria"/>
          <w:sz w:val="20"/>
          <w:szCs w:val="20"/>
          <w:lang w:val="es-CO"/>
        </w:rPr>
        <w:t>p</w:t>
      </w:r>
      <w:r w:rsidRPr="007607D3">
        <w:rPr>
          <w:rFonts w:ascii="Cambria" w:hAnsi="Cambria"/>
          <w:sz w:val="20"/>
          <w:szCs w:val="20"/>
          <w:lang w:val="es-CO"/>
        </w:rPr>
        <w:t xml:space="preserve">aís, presuntamente por orden de terratenientes locales relacionados con las principales actividades económicas de sus estados. </w:t>
      </w:r>
    </w:p>
    <w:p w14:paraId="05BBB9F0" w14:textId="77777777" w:rsidR="00AA70A5" w:rsidRPr="007607D3" w:rsidRDefault="00AA70A5" w:rsidP="00AA70A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0DD8EBCE" w14:textId="77777777" w:rsidR="00AA70A5" w:rsidRPr="007607D3"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La CIDH ha indicado que en Brasil las personas que promueven y lideran las reivindicaciones relacionadas con los derechos de trabajadores rurales sufren hechos de violencia que están dirigidos a causar temor generalizado y</w:t>
      </w:r>
      <w:r w:rsidR="00412362" w:rsidRPr="007607D3">
        <w:rPr>
          <w:rFonts w:ascii="Cambria" w:hAnsi="Cambria"/>
          <w:sz w:val="20"/>
          <w:szCs w:val="20"/>
          <w:lang w:val="es-CO"/>
        </w:rPr>
        <w:t>,</w:t>
      </w:r>
      <w:r w:rsidRPr="007607D3">
        <w:rPr>
          <w:rFonts w:ascii="Cambria" w:hAnsi="Cambria"/>
          <w:sz w:val="20"/>
          <w:szCs w:val="20"/>
          <w:lang w:val="es-CO"/>
        </w:rPr>
        <w:t xml:space="preserve"> por consiguiente, desanimar a las demás defensoras y defensores de derechos humanos, así como a atemorizar y silenciar las denuncias, reclamos y reivindicaciones de las víctimas. La Comisión ha referido que la estrecha relación entre los determinadores de los crímenes y estructuras locales de poder ha garantizado la impunidad en casi la totalidad de los casos de violencia rural en Brasil</w:t>
      </w:r>
      <w:r w:rsidRPr="007607D3">
        <w:rPr>
          <w:rStyle w:val="FootnoteReference"/>
          <w:rFonts w:ascii="Cambria" w:hAnsi="Cambria"/>
          <w:sz w:val="20"/>
          <w:szCs w:val="20"/>
          <w:lang w:val="es-CO"/>
        </w:rPr>
        <w:footnoteReference w:id="12"/>
      </w:r>
      <w:r w:rsidRPr="007607D3">
        <w:rPr>
          <w:rFonts w:ascii="Cambria" w:hAnsi="Cambria"/>
          <w:sz w:val="20"/>
          <w:szCs w:val="20"/>
          <w:lang w:val="es-CO"/>
        </w:rPr>
        <w:t xml:space="preserve">. </w:t>
      </w:r>
    </w:p>
    <w:p w14:paraId="55DAF97A" w14:textId="77777777" w:rsidR="00AA70A5" w:rsidRPr="007607D3" w:rsidRDefault="00AA70A5" w:rsidP="00AA70A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4CA1ADA3" w14:textId="77777777" w:rsidR="009B2166" w:rsidRPr="007607D3"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lang w:val="es-VE"/>
        </w:rPr>
      </w:pPr>
      <w:r w:rsidRPr="007607D3">
        <w:rPr>
          <w:rFonts w:ascii="Cambria" w:hAnsi="Cambria"/>
          <w:sz w:val="20"/>
          <w:szCs w:val="20"/>
          <w:lang w:val="es-CO"/>
        </w:rPr>
        <w:t xml:space="preserve">La Comisión también toma nota </w:t>
      </w:r>
      <w:r w:rsidR="009B2166" w:rsidRPr="007607D3">
        <w:rPr>
          <w:rFonts w:ascii="Cambria" w:hAnsi="Cambria"/>
          <w:sz w:val="20"/>
          <w:szCs w:val="20"/>
          <w:lang w:val="es-CO"/>
        </w:rPr>
        <w:t>d</w:t>
      </w:r>
      <w:r w:rsidRPr="007607D3">
        <w:rPr>
          <w:rFonts w:ascii="Cambria" w:hAnsi="Cambria"/>
          <w:sz w:val="20"/>
          <w:szCs w:val="20"/>
          <w:lang w:val="es-CO"/>
        </w:rPr>
        <w:t xml:space="preserve">el Informe de 2013 de la Secretaría de Derechos Humanos de la Presidencia de la República titulado “Camponeses Mortos E Desaparecidos: </w:t>
      </w:r>
      <w:r w:rsidRPr="007607D3">
        <w:rPr>
          <w:rFonts w:ascii="Cambria" w:hAnsi="Cambria" w:cs="Cambria-Bold"/>
          <w:bCs/>
          <w:sz w:val="20"/>
          <w:szCs w:val="20"/>
          <w:lang w:val="es-CO"/>
        </w:rPr>
        <w:t>Excluídos da Justiça de Transição”, el cual documentó el asesinato de 75 sindicalistas entre 1961 a 1988 en Brasil, incluyendo a Margarida Maria Alves, refiriendo que fue asesinada el 12 de agosto de 1983 por “pistoleiros” contratados por grandes “fazendeiros”. El informe señala también que la amplitud territorial y temporal en la que los delitos fueron cometidos, solamente se explica por la participación u omisión de las instituciones del Estado</w:t>
      </w:r>
      <w:r w:rsidRPr="007607D3">
        <w:rPr>
          <w:rStyle w:val="FootnoteReference"/>
          <w:rFonts w:ascii="Cambria" w:hAnsi="Cambria" w:cs="Cambria-Bold"/>
          <w:bCs/>
          <w:sz w:val="20"/>
          <w:szCs w:val="20"/>
          <w:lang w:val="es-CO"/>
        </w:rPr>
        <w:footnoteReference w:id="13"/>
      </w:r>
      <w:r w:rsidRPr="007607D3">
        <w:rPr>
          <w:rFonts w:ascii="Cambria" w:hAnsi="Cambria" w:cs="Cambria-Bold"/>
          <w:bCs/>
          <w:sz w:val="20"/>
          <w:szCs w:val="20"/>
          <w:lang w:val="es-CO"/>
        </w:rPr>
        <w:t>.</w:t>
      </w:r>
    </w:p>
    <w:p w14:paraId="718F2AC4" w14:textId="77777777" w:rsidR="009B2166" w:rsidRPr="007607D3" w:rsidRDefault="009B2166" w:rsidP="009B2166">
      <w:pPr>
        <w:pStyle w:val="ListParagraph"/>
        <w:rPr>
          <w:rFonts w:cs="Cambria-Bold"/>
          <w:bCs/>
          <w:sz w:val="20"/>
          <w:szCs w:val="20"/>
          <w:lang w:val="es-CO"/>
        </w:rPr>
      </w:pPr>
    </w:p>
    <w:p w14:paraId="1C689844" w14:textId="77777777" w:rsidR="00AA70A5" w:rsidRPr="007607D3"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lang w:val="es-VE"/>
        </w:rPr>
      </w:pPr>
      <w:r w:rsidRPr="007607D3">
        <w:rPr>
          <w:rFonts w:ascii="Cambria" w:hAnsi="Cambria" w:cs="Cambria-Bold"/>
          <w:bCs/>
          <w:sz w:val="20"/>
          <w:szCs w:val="20"/>
          <w:lang w:val="es-CO"/>
        </w:rPr>
        <w:lastRenderedPageBreak/>
        <w:t xml:space="preserve"> El informe final de 2014 de la “</w:t>
      </w:r>
      <w:r w:rsidRPr="007607D3">
        <w:rPr>
          <w:rFonts w:ascii="Cambria" w:hAnsi="Cambria"/>
          <w:sz w:val="20"/>
          <w:szCs w:val="20"/>
          <w:lang w:val="es-VE"/>
        </w:rPr>
        <w:t>Comissão Camponesa da Verdade (CCV)”, órgano conformado por diversas organizaciones cuyo trabajo fue auxiliar de la Comisión Nacional de</w:t>
      </w:r>
      <w:r w:rsidR="006B6453" w:rsidRPr="007607D3">
        <w:rPr>
          <w:rFonts w:ascii="Cambria" w:hAnsi="Cambria"/>
          <w:sz w:val="20"/>
          <w:szCs w:val="20"/>
          <w:lang w:val="es-VE"/>
        </w:rPr>
        <w:t xml:space="preserve"> la Verdad de </w:t>
      </w:r>
      <w:r w:rsidRPr="007607D3">
        <w:rPr>
          <w:rFonts w:ascii="Cambria" w:hAnsi="Cambria"/>
          <w:sz w:val="20"/>
          <w:szCs w:val="20"/>
          <w:lang w:val="es-VE"/>
        </w:rPr>
        <w:t>Brasil</w:t>
      </w:r>
      <w:r w:rsidRPr="007607D3">
        <w:rPr>
          <w:rStyle w:val="FootnoteReference"/>
          <w:rFonts w:ascii="Cambria" w:hAnsi="Cambria"/>
          <w:sz w:val="20"/>
          <w:szCs w:val="20"/>
          <w:lang w:val="es-VE"/>
        </w:rPr>
        <w:footnoteReference w:id="14"/>
      </w:r>
      <w:r w:rsidRPr="007607D3">
        <w:rPr>
          <w:rFonts w:ascii="Cambria" w:hAnsi="Cambria"/>
          <w:sz w:val="20"/>
          <w:szCs w:val="20"/>
          <w:lang w:val="es-VE"/>
        </w:rPr>
        <w:t xml:space="preserve"> también document</w:t>
      </w:r>
      <w:r w:rsidR="005E3FAA" w:rsidRPr="007607D3">
        <w:rPr>
          <w:rFonts w:ascii="Cambria" w:hAnsi="Cambria"/>
          <w:sz w:val="20"/>
          <w:szCs w:val="20"/>
          <w:lang w:val="es-VE"/>
        </w:rPr>
        <w:t>ó</w:t>
      </w:r>
      <w:r w:rsidRPr="007607D3">
        <w:rPr>
          <w:rFonts w:ascii="Cambria" w:hAnsi="Cambria"/>
          <w:sz w:val="20"/>
          <w:szCs w:val="20"/>
          <w:lang w:val="es-VE"/>
        </w:rPr>
        <w:t xml:space="preserve"> el asesinato de la presunta víctima</w:t>
      </w:r>
      <w:r w:rsidR="005E3FAA" w:rsidRPr="007607D3">
        <w:rPr>
          <w:rFonts w:ascii="Cambria" w:hAnsi="Cambria"/>
          <w:sz w:val="20"/>
          <w:szCs w:val="20"/>
          <w:lang w:val="es-VE"/>
        </w:rPr>
        <w:t xml:space="preserve"> en el marco de este contexto de violencia</w:t>
      </w:r>
      <w:r w:rsidRPr="007607D3">
        <w:rPr>
          <w:rStyle w:val="FootnoteReference"/>
          <w:rFonts w:ascii="Cambria" w:hAnsi="Cambria"/>
          <w:sz w:val="20"/>
          <w:szCs w:val="20"/>
          <w:lang w:val="es-VE"/>
        </w:rPr>
        <w:footnoteReference w:id="15"/>
      </w:r>
      <w:r w:rsidRPr="007607D3">
        <w:rPr>
          <w:rFonts w:ascii="Cambria" w:hAnsi="Cambria"/>
          <w:sz w:val="20"/>
          <w:szCs w:val="20"/>
          <w:lang w:val="es-VE"/>
        </w:rPr>
        <w:t xml:space="preserve">.  </w:t>
      </w:r>
    </w:p>
    <w:p w14:paraId="73A6344E" w14:textId="77777777" w:rsidR="00AA70A5" w:rsidRPr="007607D3" w:rsidRDefault="00AA70A5" w:rsidP="00AA70A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libri" w:hAnsi="Calibri"/>
          <w:sz w:val="22"/>
          <w:szCs w:val="22"/>
          <w:lang w:val="es-VE"/>
        </w:rPr>
      </w:pPr>
    </w:p>
    <w:p w14:paraId="4A3178BD" w14:textId="77777777" w:rsidR="00AA70A5" w:rsidRPr="007607D3"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Finalmente, el Informe Final de la Comisión Parlamentaria de Investigación destinada a continuar las investigaciones del delito de “pistolaje” en las regiones centro-oeste y norte especialmente en la zona conocida como “Bico do Papagaio” documentó el caso de Margarida Maria Alves indicando que el móvil del mismo fue su defensa de las causas de los trabajadores e instó al Ministerio Público y a la Procuraduría General del Estado para investigar el delito</w:t>
      </w:r>
      <w:r w:rsidRPr="007607D3">
        <w:rPr>
          <w:rStyle w:val="FootnoteReference"/>
          <w:rFonts w:ascii="Cambria" w:hAnsi="Cambria" w:cs="Courier"/>
          <w:color w:val="212121"/>
          <w:sz w:val="20"/>
          <w:szCs w:val="20"/>
          <w:bdr w:val="none" w:sz="0" w:space="0" w:color="auto"/>
          <w:lang w:val="es-ES"/>
        </w:rPr>
        <w:footnoteReference w:id="16"/>
      </w:r>
      <w:r w:rsidRPr="007607D3">
        <w:rPr>
          <w:rFonts w:ascii="Cambria" w:hAnsi="Cambria"/>
          <w:sz w:val="20"/>
          <w:szCs w:val="20"/>
          <w:lang w:val="es-CO"/>
        </w:rPr>
        <w:t xml:space="preserve">. </w:t>
      </w:r>
    </w:p>
    <w:p w14:paraId="66F1D3C8" w14:textId="77777777" w:rsidR="00AA70A5" w:rsidRPr="007607D3" w:rsidRDefault="00AA70A5" w:rsidP="00AD7E89">
      <w:pPr>
        <w:pStyle w:val="Heading2"/>
        <w:numPr>
          <w:ilvl w:val="0"/>
          <w:numId w:val="59"/>
        </w:numPr>
        <w:ind w:left="1440" w:hanging="720"/>
        <w:jc w:val="both"/>
        <w:rPr>
          <w:rFonts w:ascii="Cambria" w:hAnsi="Cambria"/>
          <w:i w:val="0"/>
          <w:sz w:val="20"/>
          <w:szCs w:val="20"/>
          <w:lang w:val="es-CO"/>
        </w:rPr>
      </w:pPr>
      <w:bookmarkStart w:id="14" w:name="_Toc86071590"/>
      <w:r w:rsidRPr="007607D3">
        <w:rPr>
          <w:rFonts w:ascii="Cambria" w:hAnsi="Cambria"/>
          <w:i w:val="0"/>
          <w:sz w:val="20"/>
          <w:szCs w:val="20"/>
          <w:lang w:val="es-CO"/>
        </w:rPr>
        <w:t>Sobre Margarida Maria Alves</w:t>
      </w:r>
      <w:r w:rsidR="006A46E5" w:rsidRPr="007607D3">
        <w:rPr>
          <w:rFonts w:ascii="Cambria" w:hAnsi="Cambria"/>
          <w:i w:val="0"/>
          <w:sz w:val="20"/>
          <w:szCs w:val="20"/>
          <w:lang w:val="es-CO"/>
        </w:rPr>
        <w:t xml:space="preserve">, </w:t>
      </w:r>
      <w:r w:rsidRPr="007607D3">
        <w:rPr>
          <w:rFonts w:ascii="Cambria" w:hAnsi="Cambria"/>
          <w:i w:val="0"/>
          <w:sz w:val="20"/>
          <w:szCs w:val="20"/>
          <w:lang w:val="es-CO"/>
        </w:rPr>
        <w:t>su trabajo en defensa de los derechos de los trabajadores rurales</w:t>
      </w:r>
      <w:r w:rsidR="00AC0C17" w:rsidRPr="007607D3">
        <w:rPr>
          <w:rFonts w:ascii="Cambria" w:hAnsi="Cambria"/>
          <w:i w:val="0"/>
          <w:sz w:val="20"/>
          <w:szCs w:val="20"/>
          <w:lang w:val="es-CO"/>
        </w:rPr>
        <w:t xml:space="preserve"> y amenazas y agresiones previas a su muerte</w:t>
      </w:r>
      <w:bookmarkEnd w:id="14"/>
    </w:p>
    <w:p w14:paraId="665699CA" w14:textId="77777777" w:rsidR="00AA70A5" w:rsidRPr="007607D3" w:rsidRDefault="00AA70A5" w:rsidP="00AA70A5">
      <w:pPr>
        <w:rPr>
          <w:lang w:val="es-CO"/>
        </w:rPr>
      </w:pPr>
    </w:p>
    <w:p w14:paraId="2356B712" w14:textId="77777777" w:rsidR="00AA70A5" w:rsidRPr="007607D3" w:rsidRDefault="00AA70A5" w:rsidP="000D7B1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lang w:val="es-CO"/>
        </w:rPr>
      </w:pPr>
      <w:r w:rsidRPr="007607D3">
        <w:rPr>
          <w:rFonts w:ascii="Cambria" w:hAnsi="Cambria" w:cs="Cambria-Bold"/>
          <w:bCs/>
          <w:sz w:val="20"/>
          <w:szCs w:val="20"/>
          <w:lang w:val="es-CO"/>
        </w:rPr>
        <w:t>Margarida Maria Alves nació en 1933. Al momento de los hechos tenía 50 años de edad y promovía campañas en favor de los derechos de los trabajadores rurales en la región de Alagoa Grande, Paraíba</w:t>
      </w:r>
      <w:r w:rsidRPr="007607D3">
        <w:rPr>
          <w:rFonts w:ascii="Cambria" w:hAnsi="Cambria" w:cs="Cambria-Bold"/>
          <w:bCs/>
          <w:sz w:val="20"/>
          <w:szCs w:val="20"/>
          <w:vertAlign w:val="superscript"/>
          <w:lang w:val="es-CO"/>
        </w:rPr>
        <w:footnoteReference w:id="17"/>
      </w:r>
      <w:r w:rsidRPr="007607D3">
        <w:rPr>
          <w:rFonts w:ascii="Cambria" w:hAnsi="Cambria" w:cs="Cambria-Bold"/>
          <w:bCs/>
          <w:sz w:val="20"/>
          <w:szCs w:val="20"/>
          <w:lang w:val="es-CO"/>
        </w:rPr>
        <w:t xml:space="preserve">. </w:t>
      </w:r>
      <w:r w:rsidRPr="007607D3">
        <w:rPr>
          <w:rFonts w:ascii="Cambria" w:hAnsi="Cambria"/>
          <w:sz w:val="20"/>
          <w:szCs w:val="20"/>
          <w:lang w:val="es-CO"/>
        </w:rPr>
        <w:t xml:space="preserve">Según consta en el expediente del caso, sus familiares son: i) su esposo Severino Cassemiro Alves quien falleció en agosto de 2012; ii) su hijo </w:t>
      </w:r>
      <w:r w:rsidRPr="007607D3">
        <w:rPr>
          <w:rFonts w:ascii="Cambria" w:eastAsia="Calibri" w:hAnsi="Cambria"/>
          <w:sz w:val="20"/>
          <w:szCs w:val="20"/>
          <w:lang w:val="es-CO"/>
        </w:rPr>
        <w:t>José de Arimatéia Alves;</w:t>
      </w:r>
      <w:r w:rsidR="000D7B11" w:rsidRPr="007607D3">
        <w:rPr>
          <w:rFonts w:ascii="Cambria" w:eastAsia="Calibri" w:hAnsi="Cambria"/>
          <w:sz w:val="20"/>
          <w:szCs w:val="20"/>
          <w:lang w:val="es-CO"/>
        </w:rPr>
        <w:t xml:space="preserve"> y</w:t>
      </w:r>
      <w:r w:rsidRPr="007607D3">
        <w:rPr>
          <w:rFonts w:ascii="Cambria" w:eastAsia="Calibri" w:hAnsi="Cambria"/>
          <w:sz w:val="20"/>
          <w:szCs w:val="20"/>
          <w:lang w:val="es-CO"/>
        </w:rPr>
        <w:t xml:space="preserve"> iii) su hermana Joaquina Maria Marinho.</w:t>
      </w:r>
    </w:p>
    <w:p w14:paraId="50B9FB77" w14:textId="77777777" w:rsidR="00AA70A5" w:rsidRPr="007607D3" w:rsidRDefault="00AA70A5" w:rsidP="00AA70A5">
      <w:pPr>
        <w:pStyle w:val="ListParagraph"/>
        <w:rPr>
          <w:rFonts w:eastAsia="Calibri"/>
          <w:sz w:val="20"/>
          <w:szCs w:val="20"/>
          <w:lang w:val="es-CO"/>
        </w:rPr>
      </w:pPr>
    </w:p>
    <w:p w14:paraId="09F0DA7A" w14:textId="77777777" w:rsidR="00AA70A5" w:rsidRPr="007607D3"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 xml:space="preserve">Ambas partes refirieron que el trabajo de la presunta víctima </w:t>
      </w:r>
      <w:r w:rsidR="00AD69D4" w:rsidRPr="007607D3">
        <w:rPr>
          <w:rFonts w:ascii="Cambria" w:hAnsi="Cambria"/>
          <w:sz w:val="20"/>
          <w:szCs w:val="20"/>
          <w:lang w:val="es-CO"/>
        </w:rPr>
        <w:t>fue muy reconocido</w:t>
      </w:r>
      <w:r w:rsidRPr="007607D3">
        <w:rPr>
          <w:rFonts w:ascii="Cambria" w:hAnsi="Cambria"/>
          <w:sz w:val="20"/>
          <w:szCs w:val="20"/>
          <w:lang w:val="es-VE"/>
        </w:rPr>
        <w:t xml:space="preserve"> en la región, tanto por autoridades federales como locales. </w:t>
      </w:r>
    </w:p>
    <w:p w14:paraId="77FA306A" w14:textId="77777777" w:rsidR="00AA70A5" w:rsidRPr="007607D3" w:rsidRDefault="00AA70A5" w:rsidP="00AA70A5">
      <w:pPr>
        <w:pStyle w:val="ListParagraph"/>
        <w:jc w:val="both"/>
        <w:rPr>
          <w:rFonts w:cs="Times New Roman"/>
          <w:sz w:val="20"/>
          <w:szCs w:val="20"/>
          <w:lang w:val="es-CO"/>
        </w:rPr>
      </w:pPr>
    </w:p>
    <w:p w14:paraId="54205841" w14:textId="77777777" w:rsidR="00AA70A5" w:rsidRPr="007607D3" w:rsidRDefault="000D7B11"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C</w:t>
      </w:r>
      <w:r w:rsidR="00AA70A5" w:rsidRPr="007607D3">
        <w:rPr>
          <w:rFonts w:ascii="Cambria" w:hAnsi="Cambria"/>
          <w:sz w:val="20"/>
          <w:szCs w:val="20"/>
          <w:lang w:val="es-CO"/>
        </w:rPr>
        <w:t>onsta en el expediente</w:t>
      </w:r>
      <w:r w:rsidRPr="007607D3">
        <w:rPr>
          <w:rFonts w:ascii="Cambria" w:hAnsi="Cambria"/>
          <w:sz w:val="20"/>
          <w:szCs w:val="20"/>
          <w:lang w:val="es-CO"/>
        </w:rPr>
        <w:t xml:space="preserve"> que</w:t>
      </w:r>
      <w:r w:rsidR="00AA70A5" w:rsidRPr="007607D3">
        <w:rPr>
          <w:rFonts w:ascii="Cambria" w:hAnsi="Cambria"/>
          <w:sz w:val="20"/>
          <w:szCs w:val="20"/>
          <w:lang w:val="es-CO"/>
        </w:rPr>
        <w:t xml:space="preserve"> antes de su muerte la presunta víctima recibió una serie de amenazas. Al respecto, miembros del sindicato indicaron que fue amenazada por un diputado estadual indicándole que no iniciara acciones laborales</w:t>
      </w:r>
      <w:r w:rsidR="00AA70A5" w:rsidRPr="007607D3">
        <w:rPr>
          <w:rStyle w:val="FootnoteReference"/>
          <w:rFonts w:ascii="Cambria" w:hAnsi="Cambria"/>
          <w:sz w:val="20"/>
          <w:szCs w:val="20"/>
          <w:lang w:val="es-CO"/>
        </w:rPr>
        <w:footnoteReference w:id="18"/>
      </w:r>
      <w:r w:rsidR="00333C3A" w:rsidRPr="007607D3">
        <w:rPr>
          <w:rFonts w:ascii="Cambria" w:hAnsi="Cambria"/>
          <w:sz w:val="20"/>
          <w:szCs w:val="20"/>
          <w:lang w:val="es-CO"/>
        </w:rPr>
        <w:t>.</w:t>
      </w:r>
      <w:r w:rsidR="00AA70A5" w:rsidRPr="007607D3">
        <w:rPr>
          <w:rFonts w:ascii="Cambria" w:hAnsi="Cambria"/>
          <w:sz w:val="20"/>
          <w:szCs w:val="20"/>
          <w:lang w:val="es-CO"/>
        </w:rPr>
        <w:t xml:space="preserve"> </w:t>
      </w:r>
      <w:r w:rsidR="00333C3A" w:rsidRPr="007607D3">
        <w:rPr>
          <w:rFonts w:ascii="Cambria" w:hAnsi="Cambria"/>
          <w:sz w:val="20"/>
          <w:szCs w:val="20"/>
          <w:lang w:val="es-CO"/>
        </w:rPr>
        <w:t>L</w:t>
      </w:r>
      <w:r w:rsidR="00AA70A5" w:rsidRPr="007607D3">
        <w:rPr>
          <w:rFonts w:ascii="Cambria" w:hAnsi="Cambria"/>
          <w:sz w:val="20"/>
          <w:szCs w:val="20"/>
          <w:lang w:val="es-CO"/>
        </w:rPr>
        <w:t xml:space="preserve">os peticionarios refirieron que sufrió agresiones por parte del dueño de un ingenio un año antes de su </w:t>
      </w:r>
      <w:r w:rsidR="009B2166" w:rsidRPr="007607D3">
        <w:rPr>
          <w:rFonts w:ascii="Cambria" w:hAnsi="Cambria"/>
          <w:sz w:val="20"/>
          <w:szCs w:val="20"/>
          <w:lang w:val="es-CO"/>
        </w:rPr>
        <w:t>muerte</w:t>
      </w:r>
      <w:r w:rsidR="00AA70A5" w:rsidRPr="007607D3">
        <w:rPr>
          <w:rStyle w:val="FootnoteReference"/>
          <w:rFonts w:ascii="Cambria" w:hAnsi="Cambria"/>
          <w:sz w:val="20"/>
          <w:szCs w:val="20"/>
          <w:lang w:val="es-CO"/>
        </w:rPr>
        <w:footnoteReference w:id="19"/>
      </w:r>
      <w:r w:rsidR="00333C3A" w:rsidRPr="007607D3">
        <w:rPr>
          <w:rFonts w:ascii="Cambria" w:hAnsi="Cambria"/>
          <w:sz w:val="20"/>
          <w:szCs w:val="20"/>
          <w:lang w:val="es-CO"/>
        </w:rPr>
        <w:t>.</w:t>
      </w:r>
      <w:r w:rsidR="00AA70A5" w:rsidRPr="007607D3">
        <w:rPr>
          <w:rFonts w:ascii="Cambria" w:hAnsi="Cambria"/>
          <w:sz w:val="20"/>
          <w:szCs w:val="20"/>
          <w:lang w:val="es-CO"/>
        </w:rPr>
        <w:t xml:space="preserve">  </w:t>
      </w:r>
      <w:r w:rsidR="00333C3A" w:rsidRPr="007607D3">
        <w:rPr>
          <w:rFonts w:ascii="Cambria" w:hAnsi="Cambria"/>
          <w:sz w:val="20"/>
          <w:szCs w:val="20"/>
          <w:lang w:val="es-CO"/>
        </w:rPr>
        <w:t>O</w:t>
      </w:r>
      <w:r w:rsidR="00AA70A5" w:rsidRPr="007607D3">
        <w:rPr>
          <w:rFonts w:ascii="Cambria" w:hAnsi="Cambria"/>
          <w:sz w:val="20"/>
          <w:szCs w:val="20"/>
          <w:lang w:val="es-CO"/>
        </w:rPr>
        <w:t>tras personas refirieron que fue amenazada por el “Grupo de Varzea”</w:t>
      </w:r>
      <w:r w:rsidR="003D52AC" w:rsidRPr="007607D3">
        <w:rPr>
          <w:rFonts w:ascii="Cambria" w:hAnsi="Cambria"/>
          <w:sz w:val="20"/>
          <w:szCs w:val="20"/>
          <w:lang w:val="es-CO"/>
        </w:rPr>
        <w:t xml:space="preserve"> que, como se indicó en la sección anterior, era reconocido por tratarse de</w:t>
      </w:r>
      <w:r w:rsidR="00AA70A5" w:rsidRPr="007607D3">
        <w:rPr>
          <w:rFonts w:ascii="Cambria" w:hAnsi="Cambria"/>
          <w:sz w:val="20"/>
          <w:szCs w:val="20"/>
          <w:lang w:val="es-CO"/>
        </w:rPr>
        <w:t xml:space="preserve"> un grupo político, económico conformado por diputados estaduales y federales, agentes de seguridad pública, terratenientes y otras personas</w:t>
      </w:r>
      <w:r w:rsidR="00AA70A5" w:rsidRPr="007607D3">
        <w:rPr>
          <w:rStyle w:val="FootnoteReference"/>
          <w:rFonts w:ascii="Cambria" w:hAnsi="Cambria"/>
          <w:sz w:val="20"/>
          <w:szCs w:val="20"/>
          <w:lang w:val="es-CO"/>
        </w:rPr>
        <w:footnoteReference w:id="20"/>
      </w:r>
      <w:r w:rsidR="00AA70A5" w:rsidRPr="007607D3">
        <w:rPr>
          <w:rFonts w:ascii="Cambria" w:hAnsi="Cambria"/>
          <w:sz w:val="20"/>
          <w:szCs w:val="20"/>
          <w:lang w:val="es-CO"/>
        </w:rPr>
        <w:t>.</w:t>
      </w:r>
    </w:p>
    <w:p w14:paraId="77E6984A" w14:textId="77777777" w:rsidR="000D7B11" w:rsidRPr="007607D3" w:rsidRDefault="000D7B11" w:rsidP="00AD7E8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646D578D" w14:textId="77777777" w:rsidR="002E2BF9" w:rsidRPr="007607D3"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lang w:val="es-VE"/>
        </w:rPr>
      </w:pPr>
      <w:r w:rsidRPr="007607D3">
        <w:rPr>
          <w:rFonts w:ascii="Cambria" w:hAnsi="Cambria"/>
          <w:sz w:val="20"/>
          <w:szCs w:val="20"/>
          <w:lang w:val="es-VE"/>
        </w:rPr>
        <w:t>Asimismo, Severino Cassemiro Alves</w:t>
      </w:r>
      <w:r w:rsidR="008E5748" w:rsidRPr="007607D3">
        <w:rPr>
          <w:rFonts w:ascii="Cambria" w:hAnsi="Cambria"/>
          <w:sz w:val="20"/>
          <w:szCs w:val="20"/>
          <w:lang w:val="es-VE"/>
        </w:rPr>
        <w:t xml:space="preserve">, esposo de </w:t>
      </w:r>
      <w:r w:rsidRPr="007607D3">
        <w:rPr>
          <w:rFonts w:ascii="Cambria" w:hAnsi="Cambria"/>
          <w:sz w:val="20"/>
          <w:szCs w:val="20"/>
          <w:lang w:val="es-VE"/>
        </w:rPr>
        <w:t xml:space="preserve"> Margarida Maria Alves</w:t>
      </w:r>
      <w:r w:rsidR="008E5748" w:rsidRPr="007607D3">
        <w:rPr>
          <w:rFonts w:ascii="Cambria" w:hAnsi="Cambria"/>
          <w:sz w:val="20"/>
          <w:szCs w:val="20"/>
          <w:lang w:val="es-VE"/>
        </w:rPr>
        <w:t xml:space="preserve"> indicó que ella </w:t>
      </w:r>
      <w:r w:rsidRPr="007607D3">
        <w:rPr>
          <w:rFonts w:ascii="Cambria" w:hAnsi="Cambria"/>
          <w:sz w:val="20"/>
          <w:szCs w:val="20"/>
          <w:lang w:val="es-CO"/>
        </w:rPr>
        <w:t>ya había sido objeto de amenazas por algunos terratenientes, quienes afirmaban que la sindicalista tenía sus días contados</w:t>
      </w:r>
      <w:r w:rsidRPr="007607D3">
        <w:rPr>
          <w:rStyle w:val="FootnoteReference"/>
          <w:rFonts w:ascii="Cambria" w:hAnsi="Cambria"/>
          <w:sz w:val="20"/>
          <w:szCs w:val="20"/>
          <w:lang w:val="es-CO"/>
        </w:rPr>
        <w:footnoteReference w:id="21"/>
      </w:r>
      <w:r w:rsidRPr="007607D3">
        <w:rPr>
          <w:rFonts w:ascii="Cambria" w:hAnsi="Cambria"/>
          <w:sz w:val="20"/>
          <w:szCs w:val="20"/>
          <w:lang w:val="es-CO"/>
        </w:rPr>
        <w:t xml:space="preserve">. </w:t>
      </w:r>
      <w:r w:rsidR="002E2BF9" w:rsidRPr="007607D3">
        <w:rPr>
          <w:rFonts w:ascii="Cambria" w:hAnsi="Cambria"/>
          <w:sz w:val="20"/>
          <w:szCs w:val="20"/>
          <w:lang w:val="es-CO"/>
        </w:rPr>
        <w:t>Luiz Silva,  quien</w:t>
      </w:r>
      <w:r w:rsidR="002E2BF9" w:rsidRPr="007607D3">
        <w:rPr>
          <w:rFonts w:ascii="Cambria" w:hAnsi="Cambria"/>
          <w:sz w:val="20"/>
          <w:szCs w:val="20"/>
          <w:lang w:val="es-VE"/>
        </w:rPr>
        <w:t xml:space="preserve"> para la fecha de los hechos se desempeñaba  como Presidente del Sindicato de Trabajadores Rurales de la ciudad de San Sebastián de Umbuzeiro y Director del Centro de Educación y  Cultura </w:t>
      </w:r>
      <w:r w:rsidR="002E2BF9" w:rsidRPr="007607D3">
        <w:rPr>
          <w:rFonts w:ascii="Cambria" w:hAnsi="Cambria"/>
          <w:sz w:val="20"/>
          <w:szCs w:val="20"/>
          <w:lang w:val="es-VE"/>
        </w:rPr>
        <w:lastRenderedPageBreak/>
        <w:t>de los Trabajadores Rurales, declaró que el día anterior al asesinato de la presunta víctima, esta participó en una reunión del centro en donde comunicó a todos que estaba siendo objeto de amenazas</w:t>
      </w:r>
      <w:r w:rsidR="002E2BF9" w:rsidRPr="007607D3">
        <w:rPr>
          <w:rStyle w:val="FootnoteReference"/>
          <w:rFonts w:ascii="Cambria" w:hAnsi="Cambria"/>
          <w:sz w:val="20"/>
          <w:szCs w:val="20"/>
          <w:lang w:val="es-CO"/>
        </w:rPr>
        <w:footnoteReference w:id="22"/>
      </w:r>
      <w:r w:rsidR="002E2BF9" w:rsidRPr="007607D3">
        <w:rPr>
          <w:rFonts w:ascii="Cambria" w:hAnsi="Cambria"/>
          <w:sz w:val="20"/>
          <w:szCs w:val="20"/>
          <w:lang w:val="es-VE"/>
        </w:rPr>
        <w:t>.</w:t>
      </w:r>
    </w:p>
    <w:p w14:paraId="51C4A20D" w14:textId="77777777" w:rsidR="002E2BF9" w:rsidRPr="007607D3" w:rsidRDefault="002E2BF9" w:rsidP="002E2BF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lang w:val="es-VE"/>
        </w:rPr>
      </w:pPr>
    </w:p>
    <w:p w14:paraId="7F89A0CA" w14:textId="77777777" w:rsidR="00AA70A5" w:rsidRPr="007607D3"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lang w:val="es-VE"/>
        </w:rPr>
      </w:pPr>
      <w:r w:rsidRPr="007607D3">
        <w:rPr>
          <w:rFonts w:ascii="Cambria" w:hAnsi="Cambria"/>
          <w:sz w:val="20"/>
          <w:szCs w:val="20"/>
          <w:lang w:val="es-CO"/>
        </w:rPr>
        <w:t>Según declaró Severino Barbosa Sobrinho, habitante de Alagoa Grande, un guardia de la hacienda del hijo de Aguinaldo Veloso Borges, terrateniente y entonces diputado federal</w:t>
      </w:r>
      <w:r w:rsidR="008E5748" w:rsidRPr="007607D3">
        <w:rPr>
          <w:rFonts w:ascii="Cambria" w:hAnsi="Cambria"/>
          <w:sz w:val="20"/>
          <w:szCs w:val="20"/>
          <w:lang w:val="es-CO"/>
        </w:rPr>
        <w:t xml:space="preserve"> y que era identificado como miembro del “Grupo de Varzea”,</w:t>
      </w:r>
      <w:r w:rsidRPr="007607D3">
        <w:rPr>
          <w:rFonts w:ascii="Cambria" w:hAnsi="Cambria"/>
          <w:sz w:val="20"/>
          <w:szCs w:val="20"/>
          <w:lang w:val="es-CO"/>
        </w:rPr>
        <w:t xml:space="preserve"> afirmó nueve días antes de la muerte de la presunta víctima que tendría “una vida muy corta” por haber provocado a Aguinaldo Veloso Borges con denuncias a la fiscalía acerca de irregularidades ocurridas en su usina de caña de azúcar y su pretensión de que “se pague a los trabajadores sus derechos”</w:t>
      </w:r>
      <w:r w:rsidRPr="007607D3">
        <w:rPr>
          <w:rStyle w:val="FootnoteReference"/>
          <w:rFonts w:ascii="Cambria" w:hAnsi="Cambria"/>
          <w:sz w:val="20"/>
          <w:szCs w:val="20"/>
          <w:lang w:val="es-CO"/>
        </w:rPr>
        <w:footnoteReference w:id="23"/>
      </w:r>
      <w:r w:rsidRPr="007607D3">
        <w:rPr>
          <w:rFonts w:ascii="Cambria" w:hAnsi="Cambria"/>
          <w:sz w:val="20"/>
          <w:szCs w:val="20"/>
          <w:lang w:val="es-CO"/>
        </w:rPr>
        <w:t xml:space="preserve">. </w:t>
      </w:r>
    </w:p>
    <w:p w14:paraId="5DEA5DF1" w14:textId="77777777" w:rsidR="00AA70A5" w:rsidRPr="007607D3" w:rsidRDefault="00AA70A5" w:rsidP="00AA70A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lang w:val="es-VE"/>
        </w:rPr>
      </w:pPr>
    </w:p>
    <w:p w14:paraId="0322CA6F" w14:textId="77777777" w:rsidR="00AA70A5" w:rsidRPr="007607D3"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7607D3">
        <w:rPr>
          <w:rFonts w:ascii="Cambria" w:hAnsi="Cambria"/>
          <w:sz w:val="20"/>
          <w:szCs w:val="20"/>
          <w:lang w:val="es-VE"/>
        </w:rPr>
        <w:t xml:space="preserve">Evani Serafim da Silva, trabajadora de la usina de João Carlos de Melo, </w:t>
      </w:r>
      <w:r w:rsidR="008E5748" w:rsidRPr="007607D3">
        <w:rPr>
          <w:rFonts w:ascii="Cambria" w:hAnsi="Cambria"/>
          <w:sz w:val="20"/>
          <w:szCs w:val="20"/>
          <w:lang w:val="es-VE"/>
        </w:rPr>
        <w:t>otro</w:t>
      </w:r>
      <w:r w:rsidRPr="007607D3">
        <w:rPr>
          <w:rFonts w:ascii="Cambria" w:hAnsi="Cambria"/>
          <w:sz w:val="20"/>
          <w:szCs w:val="20"/>
          <w:lang w:val="es-VE"/>
        </w:rPr>
        <w:t xml:space="preserve"> presunto integrante del Grupo de Várzea, afirmó haber sido agredida físicamente por Fernando Antônio Pereira Cruz de Melo, hijo de su patrón, después de que acudió al Sindicato de Trabajadores Rurales para obtener un remedio para su hija. Indicó que su supuesto agresor le dijo que si volvía a tener contacto con Margarida Maria Alves, las mataría a las dos</w:t>
      </w:r>
      <w:r w:rsidRPr="007607D3">
        <w:rPr>
          <w:rFonts w:ascii="Cambria" w:hAnsi="Cambria"/>
          <w:sz w:val="20"/>
          <w:szCs w:val="20"/>
          <w:vertAlign w:val="superscript"/>
          <w:lang w:val="es-VE"/>
        </w:rPr>
        <w:footnoteReference w:id="24"/>
      </w:r>
      <w:r w:rsidRPr="007607D3">
        <w:rPr>
          <w:rFonts w:ascii="Cambria" w:hAnsi="Cambria"/>
          <w:sz w:val="20"/>
          <w:szCs w:val="20"/>
          <w:lang w:val="es-VE"/>
        </w:rPr>
        <w:t>.</w:t>
      </w:r>
    </w:p>
    <w:p w14:paraId="68BCBCAB" w14:textId="77777777" w:rsidR="002E2BF9" w:rsidRPr="007607D3" w:rsidRDefault="002E2BF9" w:rsidP="002E2BF9">
      <w:pPr>
        <w:pStyle w:val="ListParagraph"/>
        <w:rPr>
          <w:sz w:val="20"/>
          <w:szCs w:val="20"/>
          <w:lang w:val="es-VE"/>
        </w:rPr>
      </w:pPr>
    </w:p>
    <w:p w14:paraId="2B9EDCBE" w14:textId="77777777" w:rsidR="002E2BF9" w:rsidRPr="007607D3" w:rsidRDefault="002E2BF9" w:rsidP="002E2B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Según consta en información de público conocimiento la presunta víctima denunció ante la policía en mayo de 1983 que estaba sufriendo amenazas de los dueños del ingenio Ribeiro y de otros ingenios</w:t>
      </w:r>
      <w:r w:rsidRPr="007607D3">
        <w:rPr>
          <w:rStyle w:val="FootnoteReference"/>
          <w:rFonts w:ascii="Cambria" w:hAnsi="Cambria"/>
          <w:sz w:val="20"/>
          <w:szCs w:val="20"/>
          <w:lang w:val="es-CO"/>
        </w:rPr>
        <w:footnoteReference w:id="25"/>
      </w:r>
      <w:r w:rsidRPr="007607D3">
        <w:rPr>
          <w:rFonts w:ascii="Cambria" w:hAnsi="Cambria"/>
          <w:sz w:val="20"/>
          <w:szCs w:val="20"/>
          <w:lang w:val="es-CO"/>
        </w:rPr>
        <w:t xml:space="preserve">. </w:t>
      </w:r>
    </w:p>
    <w:p w14:paraId="08872FBB" w14:textId="77777777" w:rsidR="002E2BF9" w:rsidRPr="007607D3" w:rsidRDefault="002E2BF9" w:rsidP="002E2BF9">
      <w:pPr>
        <w:tabs>
          <w:tab w:val="left" w:pos="1440"/>
        </w:tabs>
        <w:ind w:left="720"/>
        <w:jc w:val="both"/>
        <w:rPr>
          <w:rFonts w:ascii="Cambria" w:hAnsi="Cambria"/>
          <w:sz w:val="20"/>
          <w:szCs w:val="20"/>
          <w:lang w:val="es-CO"/>
        </w:rPr>
      </w:pPr>
    </w:p>
    <w:p w14:paraId="453ED015" w14:textId="77777777" w:rsidR="002E2BF9" w:rsidRPr="007607D3" w:rsidRDefault="002E2BF9" w:rsidP="002E2B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Por otra parte, según información de público conocimiento, el 1 de mayo de 1983 en su discurso del día del trabajador en la plaza pública de Sapé-PB</w:t>
      </w:r>
      <w:r w:rsidRPr="007607D3">
        <w:rPr>
          <w:rStyle w:val="FootnoteReference"/>
          <w:rFonts w:ascii="Cambria" w:hAnsi="Cambria"/>
          <w:sz w:val="20"/>
          <w:szCs w:val="20"/>
          <w:lang w:val="es-CO"/>
        </w:rPr>
        <w:footnoteReference w:id="26"/>
      </w:r>
      <w:r w:rsidRPr="007607D3">
        <w:rPr>
          <w:rFonts w:ascii="Cambria" w:hAnsi="Cambria"/>
          <w:sz w:val="20"/>
          <w:szCs w:val="20"/>
          <w:lang w:val="es-CO"/>
        </w:rPr>
        <w:t xml:space="preserve"> denunció que estaba siendo objeto de amenazas</w:t>
      </w:r>
      <w:r w:rsidRPr="007607D3">
        <w:rPr>
          <w:rStyle w:val="FootnoteReference"/>
          <w:rFonts w:ascii="Cambria" w:hAnsi="Cambria"/>
          <w:sz w:val="20"/>
          <w:szCs w:val="20"/>
          <w:lang w:val="es-CO"/>
        </w:rPr>
        <w:footnoteReference w:id="27"/>
      </w:r>
      <w:r w:rsidRPr="007607D3">
        <w:rPr>
          <w:rFonts w:ascii="Cambria" w:hAnsi="Cambria"/>
          <w:sz w:val="20"/>
          <w:szCs w:val="20"/>
          <w:lang w:val="es-CO"/>
        </w:rPr>
        <w:t xml:space="preserve">. </w:t>
      </w:r>
    </w:p>
    <w:p w14:paraId="15C1837B" w14:textId="77777777" w:rsidR="002E2BF9" w:rsidRPr="007607D3" w:rsidRDefault="002E2BF9" w:rsidP="002E2BF9">
      <w:pPr>
        <w:pStyle w:val="ListParagraph"/>
        <w:rPr>
          <w:sz w:val="20"/>
          <w:szCs w:val="20"/>
          <w:lang w:val="es-CO"/>
        </w:rPr>
      </w:pPr>
    </w:p>
    <w:p w14:paraId="3BDDD4F5" w14:textId="77777777" w:rsidR="002E2BF9" w:rsidRPr="007607D3" w:rsidRDefault="002E2BF9" w:rsidP="002E2B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7607D3">
        <w:rPr>
          <w:rFonts w:ascii="Cambria" w:hAnsi="Cambria" w:cs="Cambria-Bold"/>
          <w:bCs/>
          <w:sz w:val="20"/>
          <w:szCs w:val="20"/>
          <w:lang w:val="es-CO"/>
        </w:rPr>
        <w:t>Según el informe  final de la “</w:t>
      </w:r>
      <w:r w:rsidRPr="007607D3">
        <w:rPr>
          <w:rFonts w:ascii="Cambria" w:hAnsi="Cambria"/>
          <w:sz w:val="20"/>
          <w:szCs w:val="20"/>
          <w:lang w:val="es-VE"/>
        </w:rPr>
        <w:t>Comissão Camponesa da Verdade (CCV)”, antes de su muerte, Margarida Alves había sido víctima de constantes amenazas con el fin de hacerla dejar de actuar en el Sindicato de Trabajadores. El referido informe indica que:</w:t>
      </w:r>
    </w:p>
    <w:p w14:paraId="483F9B96" w14:textId="77777777" w:rsidR="002E2BF9" w:rsidRPr="007607D3" w:rsidRDefault="002E2BF9" w:rsidP="002E2BF9">
      <w:pPr>
        <w:pStyle w:val="ListParagraph"/>
        <w:rPr>
          <w:rFonts w:cs="Arial"/>
          <w:color w:val="212121"/>
          <w:sz w:val="20"/>
          <w:szCs w:val="20"/>
          <w:shd w:val="clear" w:color="auto" w:fill="FFFFFF"/>
          <w:lang w:val="es-VE"/>
        </w:rPr>
      </w:pPr>
    </w:p>
    <w:p w14:paraId="4B40A880" w14:textId="77777777" w:rsidR="00AA70A5" w:rsidRPr="007607D3" w:rsidRDefault="002E2BF9" w:rsidP="002E2BF9">
      <w:pPr>
        <w:tabs>
          <w:tab w:val="left" w:pos="1440"/>
        </w:tabs>
        <w:ind w:left="720"/>
        <w:jc w:val="both"/>
        <w:rPr>
          <w:rFonts w:ascii="Cambria" w:hAnsi="Cambria"/>
          <w:sz w:val="20"/>
          <w:szCs w:val="20"/>
          <w:lang w:val="es-VE"/>
        </w:rPr>
      </w:pPr>
      <w:r w:rsidRPr="007607D3">
        <w:rPr>
          <w:rFonts w:ascii="Cambria" w:hAnsi="Cambria" w:cs="Arial"/>
          <w:sz w:val="20"/>
          <w:szCs w:val="20"/>
          <w:shd w:val="clear" w:color="auto" w:fill="FFFFFF"/>
          <w:lang w:val="es-VE"/>
        </w:rPr>
        <w:t>Las amenazas fueron comunicadas a las autor</w:t>
      </w:r>
      <w:r w:rsidR="00AD69D4" w:rsidRPr="007607D3">
        <w:rPr>
          <w:rFonts w:ascii="Cambria" w:hAnsi="Cambria" w:cs="Arial"/>
          <w:sz w:val="20"/>
          <w:szCs w:val="20"/>
          <w:shd w:val="clear" w:color="auto" w:fill="FFFFFF"/>
          <w:lang w:val="es-VE"/>
        </w:rPr>
        <w:t>idades y divulgadas por Margarid</w:t>
      </w:r>
      <w:r w:rsidRPr="007607D3">
        <w:rPr>
          <w:rFonts w:ascii="Cambria" w:hAnsi="Cambria" w:cs="Arial"/>
          <w:sz w:val="20"/>
          <w:szCs w:val="20"/>
          <w:shd w:val="clear" w:color="auto" w:fill="FFFFFF"/>
          <w:lang w:val="es-VE"/>
        </w:rPr>
        <w:t>a durante las actividades de la organización sindical y en la prensa. La autoría de las amenazas era atribuida al conocido Grupo de Várzea (…) que poseía mucho poder político en el Estado de Paraíba</w:t>
      </w:r>
      <w:r w:rsidRPr="007607D3">
        <w:rPr>
          <w:rStyle w:val="FootnoteReference"/>
          <w:rFonts w:ascii="Cambria" w:hAnsi="Cambria" w:cs="Arial"/>
          <w:sz w:val="20"/>
          <w:szCs w:val="20"/>
          <w:shd w:val="clear" w:color="auto" w:fill="FFFFFF"/>
          <w:lang w:val="es-VE"/>
        </w:rPr>
        <w:footnoteReference w:id="28"/>
      </w:r>
      <w:r w:rsidRPr="007607D3">
        <w:rPr>
          <w:rFonts w:ascii="Cambria" w:hAnsi="Cambria" w:cs="Arial"/>
          <w:sz w:val="20"/>
          <w:szCs w:val="20"/>
          <w:shd w:val="clear" w:color="auto" w:fill="FFFFFF"/>
          <w:lang w:val="es-VE"/>
        </w:rPr>
        <w:t xml:space="preserve">. </w:t>
      </w:r>
    </w:p>
    <w:p w14:paraId="0A8D1CA1" w14:textId="77777777" w:rsidR="00AA70A5" w:rsidRPr="007607D3" w:rsidRDefault="00AA70A5" w:rsidP="00AA70A5">
      <w:pPr>
        <w:pStyle w:val="ListParagraph"/>
        <w:ind w:left="0"/>
        <w:rPr>
          <w:sz w:val="20"/>
          <w:szCs w:val="20"/>
          <w:lang w:val="es-CO"/>
        </w:rPr>
      </w:pPr>
    </w:p>
    <w:p w14:paraId="62901611" w14:textId="77777777" w:rsidR="00AA70A5" w:rsidRPr="007607D3" w:rsidRDefault="00412229"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 xml:space="preserve">El Estado no informó ni </w:t>
      </w:r>
      <w:r w:rsidR="00AA70A5" w:rsidRPr="007607D3">
        <w:rPr>
          <w:rFonts w:ascii="Cambria" w:hAnsi="Cambria"/>
          <w:sz w:val="20"/>
          <w:szCs w:val="20"/>
          <w:lang w:val="es-CO"/>
        </w:rPr>
        <w:t xml:space="preserve">consta en el expediente que </w:t>
      </w:r>
      <w:r w:rsidRPr="007607D3">
        <w:rPr>
          <w:rFonts w:ascii="Cambria" w:hAnsi="Cambria"/>
          <w:sz w:val="20"/>
          <w:szCs w:val="20"/>
          <w:lang w:val="es-CO"/>
        </w:rPr>
        <w:t>se hubiera dado seguimiento alguno a dicha información antes de la muerte para identificar fuentes de riesgo y brindarle protección</w:t>
      </w:r>
      <w:r w:rsidR="00AA70A5" w:rsidRPr="007607D3">
        <w:rPr>
          <w:rFonts w:ascii="Cambria" w:hAnsi="Cambria"/>
          <w:sz w:val="20"/>
          <w:szCs w:val="20"/>
          <w:lang w:val="es-CO"/>
        </w:rPr>
        <w:t xml:space="preserve">. </w:t>
      </w:r>
    </w:p>
    <w:p w14:paraId="4CAB7240" w14:textId="77777777" w:rsidR="00AA70A5" w:rsidRPr="007607D3" w:rsidRDefault="00AA70A5" w:rsidP="00AA70A5">
      <w:pPr>
        <w:pStyle w:val="Heading2"/>
        <w:numPr>
          <w:ilvl w:val="0"/>
          <w:numId w:val="59"/>
        </w:numPr>
        <w:ind w:firstLine="0"/>
        <w:rPr>
          <w:rFonts w:ascii="Cambria" w:hAnsi="Cambria"/>
          <w:i w:val="0"/>
          <w:sz w:val="20"/>
          <w:szCs w:val="20"/>
          <w:lang w:val="es-CO"/>
        </w:rPr>
      </w:pPr>
      <w:bookmarkStart w:id="15" w:name="_Toc86071591"/>
      <w:r w:rsidRPr="007607D3">
        <w:rPr>
          <w:rFonts w:ascii="Cambria" w:hAnsi="Cambria"/>
          <w:i w:val="0"/>
          <w:sz w:val="20"/>
          <w:szCs w:val="20"/>
          <w:lang w:val="es-CO"/>
        </w:rPr>
        <w:t>La muerte de la presunta víctima</w:t>
      </w:r>
      <w:bookmarkEnd w:id="15"/>
    </w:p>
    <w:p w14:paraId="684AE68D" w14:textId="77777777" w:rsidR="00AA70A5" w:rsidRPr="007607D3" w:rsidRDefault="00AA70A5" w:rsidP="00AA70A5">
      <w:pPr>
        <w:pStyle w:val="ListParagraph"/>
        <w:ind w:left="360"/>
        <w:jc w:val="both"/>
        <w:rPr>
          <w:rFonts w:cs="Times New Roman"/>
          <w:sz w:val="20"/>
          <w:szCs w:val="20"/>
          <w:lang w:val="es-CO"/>
        </w:rPr>
      </w:pPr>
    </w:p>
    <w:p w14:paraId="1C7B9F3E" w14:textId="77777777" w:rsidR="00AA70A5" w:rsidRDefault="008B4BF4"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 xml:space="preserve">Es </w:t>
      </w:r>
      <w:r w:rsidR="00AA70A5" w:rsidRPr="007607D3">
        <w:rPr>
          <w:rFonts w:ascii="Cambria" w:hAnsi="Cambria"/>
          <w:sz w:val="20"/>
          <w:szCs w:val="20"/>
          <w:lang w:val="es-CO"/>
        </w:rPr>
        <w:t>un hecho no controvertido que la presunta víctima falleció el 12 de agosto de 1983 luego que un individuo le dispar</w:t>
      </w:r>
      <w:r w:rsidRPr="007607D3">
        <w:rPr>
          <w:rFonts w:ascii="Cambria" w:hAnsi="Cambria"/>
          <w:sz w:val="20"/>
          <w:szCs w:val="20"/>
          <w:lang w:val="es-CO"/>
        </w:rPr>
        <w:t>ara</w:t>
      </w:r>
      <w:r w:rsidR="00AA70A5" w:rsidRPr="007607D3">
        <w:rPr>
          <w:rFonts w:ascii="Cambria" w:hAnsi="Cambria"/>
          <w:sz w:val="20"/>
          <w:szCs w:val="20"/>
          <w:lang w:val="es-CO"/>
        </w:rPr>
        <w:t xml:space="preserve"> en varias ocasiones en el rostro con un arma de fuego, siendo encontradas seis esferas de municiones de plomo en su cráneo</w:t>
      </w:r>
      <w:r w:rsidR="00AA70A5" w:rsidRPr="007607D3">
        <w:rPr>
          <w:rStyle w:val="FootnoteReference"/>
          <w:rFonts w:ascii="Cambria" w:hAnsi="Cambria"/>
          <w:sz w:val="20"/>
          <w:szCs w:val="20"/>
          <w:lang w:val="es-CO"/>
        </w:rPr>
        <w:footnoteReference w:id="29"/>
      </w:r>
      <w:r w:rsidR="00AA70A5" w:rsidRPr="007607D3">
        <w:rPr>
          <w:rFonts w:ascii="Cambria" w:hAnsi="Cambria"/>
          <w:sz w:val="20"/>
          <w:szCs w:val="20"/>
          <w:lang w:val="es-CO"/>
        </w:rPr>
        <w:t>.</w:t>
      </w:r>
    </w:p>
    <w:p w14:paraId="4D98D634" w14:textId="77777777" w:rsidR="006A5BAB" w:rsidRPr="007607D3" w:rsidRDefault="006A5BAB" w:rsidP="006A5BA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7B5E6A12" w14:textId="77777777" w:rsidR="00AA70A5" w:rsidRPr="007607D3"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libri" w:hAnsi="Calibri"/>
          <w:sz w:val="20"/>
          <w:szCs w:val="20"/>
          <w:lang w:val="es-CO"/>
        </w:rPr>
      </w:pPr>
      <w:r w:rsidRPr="007607D3">
        <w:rPr>
          <w:rFonts w:ascii="Cambria" w:hAnsi="Cambria"/>
          <w:sz w:val="20"/>
          <w:szCs w:val="20"/>
          <w:lang w:val="es-CO"/>
        </w:rPr>
        <w:lastRenderedPageBreak/>
        <w:t>En cuanto a las circunstancias del hecho, el asesinato ocurrió a las 18:00 horas en el interior de su casa</w:t>
      </w:r>
      <w:r w:rsidRPr="007607D3">
        <w:rPr>
          <w:rStyle w:val="FootnoteReference"/>
          <w:rFonts w:ascii="Cambria" w:hAnsi="Cambria"/>
          <w:sz w:val="20"/>
          <w:szCs w:val="20"/>
          <w:lang w:val="es-CO"/>
        </w:rPr>
        <w:footnoteReference w:id="30"/>
      </w:r>
      <w:r w:rsidRPr="007607D3">
        <w:rPr>
          <w:rFonts w:ascii="Cambria" w:hAnsi="Cambria"/>
          <w:sz w:val="20"/>
          <w:szCs w:val="20"/>
          <w:lang w:val="es-CO"/>
        </w:rPr>
        <w:t xml:space="preserve">. </w:t>
      </w:r>
      <w:r w:rsidRPr="007607D3">
        <w:rPr>
          <w:sz w:val="20"/>
          <w:szCs w:val="20"/>
          <w:lang w:val="es-CO"/>
        </w:rPr>
        <w:t xml:space="preserve"> </w:t>
      </w:r>
      <w:r w:rsidRPr="007607D3">
        <w:rPr>
          <w:rFonts w:ascii="Cambria" w:hAnsi="Cambria"/>
          <w:sz w:val="20"/>
          <w:szCs w:val="20"/>
          <w:lang w:val="es-CO"/>
        </w:rPr>
        <w:t>La presunta víctima fue abordada por un “pistolero” quien le preguntó si ella era “Margarida” y tras contestar con la afirmativa, el pistolero retiró un arma de fuego de la bolsa grande de tejido que portaba y disparó contra la presunta víctima</w:t>
      </w:r>
      <w:r w:rsidRPr="007607D3">
        <w:rPr>
          <w:rStyle w:val="FootnoteReference"/>
          <w:rFonts w:ascii="Cambria" w:hAnsi="Cambria"/>
          <w:sz w:val="20"/>
          <w:szCs w:val="20"/>
          <w:lang w:val="es-CO"/>
        </w:rPr>
        <w:footnoteReference w:id="31"/>
      </w:r>
      <w:r w:rsidRPr="007607D3">
        <w:rPr>
          <w:rFonts w:ascii="Cambria" w:hAnsi="Cambria"/>
          <w:sz w:val="20"/>
          <w:szCs w:val="20"/>
          <w:lang w:val="es-CO"/>
        </w:rPr>
        <w:t xml:space="preserve">. </w:t>
      </w:r>
    </w:p>
    <w:p w14:paraId="701824EE" w14:textId="77777777" w:rsidR="00AA70A5" w:rsidRPr="007607D3" w:rsidRDefault="00AA70A5" w:rsidP="00AA70A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694DA9FB" w14:textId="77777777" w:rsidR="00AA70A5" w:rsidRPr="007607D3"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El hijo de la presunta víctima, José de Arimatéia Alves, quien entonces tenía ocho años de edad, refirió que “aún hoy visualizo el cuerpo ensangrentado de mi madre, trauma este qué cargo conmigo muy fuertemente”</w:t>
      </w:r>
      <w:r w:rsidRPr="007607D3">
        <w:rPr>
          <w:rStyle w:val="FootnoteReference"/>
          <w:rFonts w:ascii="Cambria" w:hAnsi="Cambria"/>
          <w:sz w:val="20"/>
          <w:szCs w:val="20"/>
          <w:lang w:val="es-CO"/>
        </w:rPr>
        <w:footnoteReference w:id="32"/>
      </w:r>
      <w:r w:rsidRPr="007607D3">
        <w:rPr>
          <w:rFonts w:ascii="Cambria" w:hAnsi="Cambria"/>
          <w:sz w:val="20"/>
          <w:szCs w:val="20"/>
          <w:lang w:val="es-CO"/>
        </w:rPr>
        <w:t>. Agregó que: “m</w:t>
      </w:r>
      <w:r w:rsidRPr="007607D3">
        <w:rPr>
          <w:rFonts w:ascii="Cambria" w:hAnsi="Cambria" w:cs="Courier"/>
          <w:sz w:val="20"/>
          <w:szCs w:val="20"/>
          <w:bdr w:val="none" w:sz="0" w:space="0" w:color="auto"/>
          <w:lang w:val="es-ES"/>
        </w:rPr>
        <w:t>e acuerdo de la persecución que yo y mi padre teníamos en la época, el miedo, el pavor de ser las próximas víctimas. Crecí con un deseo muy grande de venganza, me volví adicto al alcohol, y por un tiempo en mi vida quise renunciar a vivir, no tuve apoyo ni orientación psicológica de nadie, llevo conmigo las profundas marcas de este episodio horrible de mi vida”</w:t>
      </w:r>
      <w:r w:rsidRPr="007607D3">
        <w:rPr>
          <w:rStyle w:val="FootnoteReference"/>
          <w:rFonts w:ascii="Cambria" w:hAnsi="Cambria"/>
          <w:sz w:val="20"/>
          <w:szCs w:val="20"/>
          <w:lang w:val="es-CO"/>
        </w:rPr>
        <w:t xml:space="preserve"> </w:t>
      </w:r>
      <w:r w:rsidRPr="007607D3">
        <w:rPr>
          <w:rStyle w:val="FootnoteReference"/>
          <w:rFonts w:ascii="Cambria" w:hAnsi="Cambria"/>
          <w:sz w:val="20"/>
          <w:szCs w:val="20"/>
          <w:lang w:val="es-CO"/>
        </w:rPr>
        <w:footnoteReference w:id="33"/>
      </w:r>
      <w:r w:rsidRPr="007607D3">
        <w:rPr>
          <w:rFonts w:ascii="Cambria" w:hAnsi="Cambria" w:cs="Courier"/>
          <w:sz w:val="20"/>
          <w:szCs w:val="20"/>
          <w:bdr w:val="none" w:sz="0" w:space="0" w:color="auto"/>
          <w:lang w:val="es-ES"/>
        </w:rPr>
        <w:t xml:space="preserve">. </w:t>
      </w:r>
    </w:p>
    <w:p w14:paraId="637EF532" w14:textId="77777777" w:rsidR="00AA70A5" w:rsidRPr="007607D3" w:rsidRDefault="00AA70A5" w:rsidP="00AA70A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18917867" w14:textId="77777777" w:rsidR="00AA70A5" w:rsidRPr="007607D3"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Varios vecinos, como Ivaldo Fernandes Chaves</w:t>
      </w:r>
      <w:r w:rsidRPr="007607D3">
        <w:rPr>
          <w:rStyle w:val="FootnoteReference"/>
          <w:rFonts w:ascii="Cambria" w:hAnsi="Cambria"/>
          <w:sz w:val="20"/>
          <w:szCs w:val="20"/>
          <w:lang w:val="es-CO"/>
        </w:rPr>
        <w:footnoteReference w:id="34"/>
      </w:r>
      <w:r w:rsidRPr="007607D3">
        <w:rPr>
          <w:rFonts w:ascii="Cambria" w:hAnsi="Cambria"/>
          <w:sz w:val="20"/>
          <w:szCs w:val="20"/>
          <w:lang w:val="es-CO"/>
        </w:rPr>
        <w:t xml:space="preserve"> y Natanael Marinho</w:t>
      </w:r>
      <w:r w:rsidRPr="007607D3">
        <w:rPr>
          <w:rStyle w:val="FootnoteReference"/>
          <w:rFonts w:ascii="Cambria" w:hAnsi="Cambria"/>
          <w:sz w:val="20"/>
          <w:szCs w:val="20"/>
          <w:lang w:val="es-CO"/>
        </w:rPr>
        <w:footnoteReference w:id="35"/>
      </w:r>
      <w:r w:rsidRPr="007607D3">
        <w:rPr>
          <w:rFonts w:ascii="Cambria" w:hAnsi="Cambria"/>
          <w:sz w:val="20"/>
          <w:szCs w:val="20"/>
          <w:lang w:val="es-CO"/>
        </w:rPr>
        <w:t>, refirieron que tras escuchar el disparo con arma de fuego, se dirigieron a la vivienda de la presunta víctima, y pudieron ver al asesino mientras este se daba a la fuga</w:t>
      </w:r>
      <w:r w:rsidR="00AD69D4" w:rsidRPr="007607D3">
        <w:rPr>
          <w:rFonts w:ascii="Cambria" w:hAnsi="Cambria"/>
          <w:sz w:val="20"/>
          <w:szCs w:val="20"/>
          <w:lang w:val="es-CO"/>
        </w:rPr>
        <w:t xml:space="preserve"> con otras personas que lo esperaban en un vehículo</w:t>
      </w:r>
      <w:r w:rsidRPr="007607D3">
        <w:rPr>
          <w:rStyle w:val="FootnoteReference"/>
          <w:rFonts w:ascii="Cambria" w:hAnsi="Cambria"/>
          <w:sz w:val="20"/>
          <w:szCs w:val="20"/>
          <w:lang w:val="es-CO"/>
        </w:rPr>
        <w:footnoteReference w:id="36"/>
      </w:r>
      <w:r w:rsidRPr="007607D3">
        <w:rPr>
          <w:rFonts w:ascii="Cambria" w:hAnsi="Cambria"/>
          <w:sz w:val="20"/>
          <w:szCs w:val="20"/>
          <w:lang w:val="es-CO"/>
        </w:rPr>
        <w:t xml:space="preserve">. </w:t>
      </w:r>
    </w:p>
    <w:p w14:paraId="1FC4B6DA" w14:textId="77777777" w:rsidR="00AA70A5" w:rsidRPr="007607D3" w:rsidRDefault="00AA70A5" w:rsidP="00AA70A5">
      <w:pPr>
        <w:pStyle w:val="ListParagraph"/>
        <w:ind w:left="0"/>
        <w:rPr>
          <w:sz w:val="20"/>
          <w:szCs w:val="20"/>
          <w:lang w:val="es-CO"/>
        </w:rPr>
      </w:pPr>
    </w:p>
    <w:p w14:paraId="58A77BD8" w14:textId="77777777" w:rsidR="00AA70A5" w:rsidRPr="007607D3"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Según consta en la denuncia que el Ministerio Público presentó ante el Poder Judicial de Paraíba, el asesino de la presunta víctima habría escapado en un carro Opala de color rojo, matrícula EX0690, de la localidad de Nova Cruz, estado de Rio Grande do Norte, acompañado de otras dos personas quienes le esperaban en el vehículo. Conforme al Ministerio Público, uno de esos tres individuos sería</w:t>
      </w:r>
      <w:r w:rsidRPr="007607D3">
        <w:rPr>
          <w:rFonts w:ascii="Cambria" w:hAnsi="Cambria"/>
          <w:sz w:val="20"/>
          <w:szCs w:val="20"/>
          <w:lang w:val="es-VE"/>
        </w:rPr>
        <w:t xml:space="preserve"> Amauri José do Rego</w:t>
      </w:r>
      <w:r w:rsidRPr="007607D3">
        <w:rPr>
          <w:rStyle w:val="FootnoteReference"/>
          <w:rFonts w:ascii="Cambria" w:hAnsi="Cambria"/>
          <w:sz w:val="20"/>
          <w:szCs w:val="20"/>
          <w:lang w:val="es-CO"/>
        </w:rPr>
        <w:footnoteReference w:id="37"/>
      </w:r>
      <w:r w:rsidRPr="007607D3">
        <w:rPr>
          <w:rFonts w:ascii="Cambria" w:hAnsi="Cambria"/>
          <w:sz w:val="20"/>
          <w:szCs w:val="20"/>
          <w:lang w:val="es-VE"/>
        </w:rPr>
        <w:t xml:space="preserve">. </w:t>
      </w:r>
      <w:r w:rsidRPr="007607D3">
        <w:rPr>
          <w:rFonts w:ascii="Cambria" w:hAnsi="Cambria"/>
          <w:sz w:val="20"/>
          <w:szCs w:val="20"/>
          <w:lang w:val="es-CO"/>
        </w:rPr>
        <w:t>Con posterioridad, la investigación policial concluyó que se trataba de una matrícula “fría” o falsa, es decir que el número de matrícula correspondía a otro vehículo</w:t>
      </w:r>
      <w:r w:rsidRPr="007607D3">
        <w:rPr>
          <w:rStyle w:val="FootnoteReference"/>
          <w:rFonts w:ascii="Cambria" w:hAnsi="Cambria"/>
          <w:sz w:val="20"/>
          <w:szCs w:val="20"/>
          <w:lang w:val="es-CO"/>
        </w:rPr>
        <w:footnoteReference w:id="38"/>
      </w:r>
      <w:r w:rsidRPr="007607D3">
        <w:rPr>
          <w:rFonts w:ascii="Cambria" w:hAnsi="Cambria"/>
          <w:sz w:val="20"/>
          <w:szCs w:val="20"/>
          <w:lang w:val="es-CO"/>
        </w:rPr>
        <w:t>.</w:t>
      </w:r>
    </w:p>
    <w:p w14:paraId="2C470595" w14:textId="77777777" w:rsidR="00AA70A5" w:rsidRPr="007607D3" w:rsidRDefault="00AA70A5" w:rsidP="00AA70A5">
      <w:pPr>
        <w:pStyle w:val="ListParagraph"/>
        <w:ind w:left="0"/>
        <w:rPr>
          <w:sz w:val="20"/>
          <w:szCs w:val="20"/>
          <w:lang w:val="es-CO"/>
        </w:rPr>
      </w:pPr>
    </w:p>
    <w:p w14:paraId="3BADDF20" w14:textId="77777777" w:rsidR="00AA70A5" w:rsidRPr="007607D3" w:rsidRDefault="000D7F6D"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lang w:val="es-VE"/>
        </w:rPr>
      </w:pPr>
      <w:r w:rsidRPr="007607D3">
        <w:rPr>
          <w:rFonts w:ascii="Cambria" w:hAnsi="Cambria"/>
          <w:sz w:val="20"/>
          <w:szCs w:val="20"/>
          <w:lang w:val="es-CO"/>
        </w:rPr>
        <w:t>M</w:t>
      </w:r>
      <w:r w:rsidR="00AA70A5" w:rsidRPr="007607D3">
        <w:rPr>
          <w:rFonts w:ascii="Cambria" w:hAnsi="Cambria"/>
          <w:sz w:val="20"/>
          <w:szCs w:val="20"/>
          <w:lang w:val="es-CO"/>
        </w:rPr>
        <w:t>arinete da Fonseca Chavez, testigo ocular de los hechos, indicó que el vehículo en el que se transportaban los asesinos de la presunta víctima, estuvo transitando enfrente de la casa de la presunta víctima el día anterior, llegando a pasar por allí tres veces</w:t>
      </w:r>
      <w:r w:rsidR="00AA70A5" w:rsidRPr="007607D3">
        <w:rPr>
          <w:rStyle w:val="FootnoteReference"/>
          <w:rFonts w:ascii="Cambria" w:hAnsi="Cambria"/>
          <w:sz w:val="20"/>
          <w:szCs w:val="20"/>
          <w:lang w:val="es-CO"/>
        </w:rPr>
        <w:footnoteReference w:id="39"/>
      </w:r>
      <w:r w:rsidR="00AA70A5" w:rsidRPr="007607D3">
        <w:rPr>
          <w:rFonts w:ascii="Cambria" w:hAnsi="Cambria"/>
          <w:sz w:val="20"/>
          <w:szCs w:val="20"/>
          <w:lang w:val="es-CO"/>
        </w:rPr>
        <w:t>.</w:t>
      </w:r>
      <w:r w:rsidR="00AA70A5" w:rsidRPr="007607D3">
        <w:rPr>
          <w:lang w:val="es-VE"/>
        </w:rPr>
        <w:t xml:space="preserve"> </w:t>
      </w:r>
      <w:r w:rsidR="00AA70A5" w:rsidRPr="007607D3">
        <w:rPr>
          <w:rFonts w:ascii="Cambria" w:hAnsi="Cambria"/>
          <w:sz w:val="20"/>
          <w:szCs w:val="20"/>
          <w:lang w:val="es-CO"/>
        </w:rPr>
        <w:t>El esposo de la presunta víctima, confirmó lo declarado por Marinete da Fonseca</w:t>
      </w:r>
      <w:r w:rsidR="00AA70A5" w:rsidRPr="007607D3">
        <w:rPr>
          <w:rStyle w:val="FootnoteReference"/>
          <w:rFonts w:ascii="Cambria" w:hAnsi="Cambria"/>
          <w:sz w:val="20"/>
          <w:szCs w:val="20"/>
          <w:lang w:val="es-CO"/>
        </w:rPr>
        <w:footnoteReference w:id="40"/>
      </w:r>
      <w:r w:rsidR="00AA70A5" w:rsidRPr="007607D3">
        <w:rPr>
          <w:rFonts w:ascii="Cambria" w:hAnsi="Cambria"/>
          <w:sz w:val="20"/>
          <w:szCs w:val="20"/>
          <w:lang w:val="es-CO"/>
        </w:rPr>
        <w:t>.</w:t>
      </w:r>
    </w:p>
    <w:p w14:paraId="185598BB" w14:textId="77777777" w:rsidR="00AA70A5" w:rsidRPr="007607D3" w:rsidRDefault="00AA70A5" w:rsidP="00AA70A5">
      <w:pPr>
        <w:pStyle w:val="ListParagraph"/>
        <w:rPr>
          <w:sz w:val="20"/>
          <w:szCs w:val="20"/>
          <w:lang w:val="es-CO"/>
        </w:rPr>
      </w:pPr>
    </w:p>
    <w:p w14:paraId="26D10A10" w14:textId="77777777" w:rsidR="00AA70A5" w:rsidRPr="007607D3"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7607D3">
        <w:rPr>
          <w:rFonts w:ascii="Cambria" w:hAnsi="Cambria"/>
          <w:sz w:val="20"/>
          <w:szCs w:val="20"/>
          <w:lang w:val="es-VE"/>
        </w:rPr>
        <w:t xml:space="preserve">El Arzobispo Marcelo Pinto Carvalheira declaró que al día siguiente del asesinato de la presunta víctima se comentaba en la ciudad que quienes ordenaron el asesinato eran </w:t>
      </w:r>
      <w:r w:rsidRPr="007607D3">
        <w:rPr>
          <w:rFonts w:ascii="Cambria" w:hAnsi="Cambria"/>
          <w:sz w:val="20"/>
          <w:szCs w:val="20"/>
          <w:lang w:val="es-CO"/>
        </w:rPr>
        <w:t>Aguinaldo Veloso Borges, su yerno José Buarque de Gusmão y otros integrantes del “Grupo da Várzea”</w:t>
      </w:r>
      <w:r w:rsidRPr="007607D3">
        <w:rPr>
          <w:rStyle w:val="FootnoteReference"/>
          <w:rFonts w:ascii="Cambria" w:hAnsi="Cambria"/>
          <w:sz w:val="20"/>
          <w:szCs w:val="20"/>
          <w:lang w:val="es-CO"/>
        </w:rPr>
        <w:footnoteReference w:id="41"/>
      </w:r>
      <w:r w:rsidRPr="007607D3">
        <w:rPr>
          <w:rFonts w:ascii="Cambria" w:hAnsi="Cambria"/>
          <w:sz w:val="20"/>
          <w:szCs w:val="20"/>
          <w:lang w:val="es-CO"/>
        </w:rPr>
        <w:t>.</w:t>
      </w:r>
    </w:p>
    <w:p w14:paraId="3C7BD045" w14:textId="77777777" w:rsidR="00AA70A5" w:rsidRPr="007607D3" w:rsidRDefault="00AA70A5" w:rsidP="00AA70A5">
      <w:pPr>
        <w:pStyle w:val="ListParagraph"/>
        <w:rPr>
          <w:sz w:val="20"/>
          <w:szCs w:val="20"/>
          <w:lang w:val="es-CO"/>
        </w:rPr>
      </w:pPr>
    </w:p>
    <w:p w14:paraId="74F1B357" w14:textId="77777777" w:rsidR="00AA70A5" w:rsidRPr="007607D3"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lastRenderedPageBreak/>
        <w:t>Varios testimonios refirieron que los autores del crimen serían Antonio de Almeida Regis y los hermanos Amaro y Amauri José do Rego</w:t>
      </w:r>
      <w:r w:rsidRPr="007607D3">
        <w:rPr>
          <w:rStyle w:val="FootnoteReference"/>
          <w:rFonts w:ascii="Cambria" w:hAnsi="Cambria"/>
          <w:sz w:val="20"/>
          <w:szCs w:val="20"/>
          <w:lang w:val="es-CO"/>
        </w:rPr>
        <w:footnoteReference w:id="42"/>
      </w:r>
      <w:r w:rsidRPr="007607D3">
        <w:rPr>
          <w:rFonts w:ascii="Cambria" w:hAnsi="Cambria"/>
          <w:sz w:val="20"/>
          <w:szCs w:val="20"/>
          <w:lang w:val="es-CO"/>
        </w:rPr>
        <w:t xml:space="preserve"> y que tras cometer el delito estas personas escaparon rumbo al pueblo de Rio Tinto donde cenaron con la amante de Amauri José do Rego. Refirieron que dichas personas recibieron la cantidad de quinientos mil cruzeiros, una escopeta y un automóvil Opala de color rojo vino para cometer el crimen</w:t>
      </w:r>
      <w:r w:rsidRPr="007607D3">
        <w:rPr>
          <w:rStyle w:val="FootnoteReference"/>
          <w:rFonts w:ascii="Cambria" w:hAnsi="Cambria"/>
          <w:sz w:val="20"/>
          <w:szCs w:val="20"/>
          <w:lang w:val="es-CO"/>
        </w:rPr>
        <w:footnoteReference w:id="43"/>
      </w:r>
      <w:r w:rsidRPr="007607D3">
        <w:rPr>
          <w:rFonts w:ascii="Cambria" w:hAnsi="Cambria"/>
          <w:sz w:val="20"/>
          <w:szCs w:val="20"/>
          <w:lang w:val="es-CO"/>
        </w:rPr>
        <w:t xml:space="preserve">. </w:t>
      </w:r>
    </w:p>
    <w:p w14:paraId="777A0D5C" w14:textId="77777777" w:rsidR="00AA70A5" w:rsidRPr="007607D3" w:rsidRDefault="00AA70A5" w:rsidP="00AA70A5">
      <w:pPr>
        <w:pStyle w:val="ListParagraph"/>
        <w:ind w:left="0"/>
        <w:rPr>
          <w:sz w:val="20"/>
          <w:szCs w:val="20"/>
          <w:lang w:val="es-CO"/>
        </w:rPr>
      </w:pPr>
    </w:p>
    <w:p w14:paraId="205F6CE6" w14:textId="77777777" w:rsidR="00AA70A5" w:rsidRPr="007607D3"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Así por ejemplo, el 17 de octubre de 1983 rindió declaración Djailton Hugo dos Santos, en la cual afirmó haber visto a Amauri José do Rego en la víspera del crimen en la ciudad de Alagoa Grande, acompañado por Antonio Carlos Coutinho Regis y a bordo de un vehículo Opala color rojo</w:t>
      </w:r>
      <w:r w:rsidRPr="007607D3">
        <w:rPr>
          <w:rStyle w:val="FootnoteReference"/>
          <w:rFonts w:ascii="Cambria" w:hAnsi="Cambria"/>
          <w:sz w:val="20"/>
          <w:szCs w:val="20"/>
          <w:lang w:val="es-CO"/>
        </w:rPr>
        <w:footnoteReference w:id="44"/>
      </w:r>
      <w:r w:rsidRPr="007607D3">
        <w:rPr>
          <w:rFonts w:ascii="Cambria" w:hAnsi="Cambria"/>
          <w:sz w:val="20"/>
          <w:szCs w:val="20"/>
          <w:lang w:val="es-CO"/>
        </w:rPr>
        <w:t>.  Manoel Josué de Barros declaró el 22 de noviembre de 1983 que Amauri José Do Rego y su hermano Amaro José do Rego, vendieron un vehículo marca Opala color rojo vino y adquirieron un nuevo vehículo en la ciudad de Nazaré da Mata</w:t>
      </w:r>
      <w:r w:rsidRPr="007607D3">
        <w:rPr>
          <w:rStyle w:val="FootnoteReference"/>
          <w:rFonts w:ascii="Cambria" w:hAnsi="Cambria"/>
          <w:sz w:val="20"/>
          <w:szCs w:val="20"/>
          <w:lang w:val="es-CO"/>
        </w:rPr>
        <w:footnoteReference w:id="45"/>
      </w:r>
      <w:r w:rsidRPr="007607D3">
        <w:rPr>
          <w:rFonts w:ascii="Cambria" w:hAnsi="Cambria"/>
          <w:sz w:val="20"/>
          <w:szCs w:val="20"/>
          <w:lang w:val="es-CO"/>
        </w:rPr>
        <w:t xml:space="preserve">. </w:t>
      </w:r>
    </w:p>
    <w:p w14:paraId="07E16B61" w14:textId="77777777" w:rsidR="00AA70A5" w:rsidRPr="007607D3" w:rsidRDefault="00AA70A5" w:rsidP="00AA70A5">
      <w:pPr>
        <w:pStyle w:val="ListParagraph"/>
        <w:rPr>
          <w:sz w:val="20"/>
          <w:szCs w:val="20"/>
          <w:lang w:val="es-VE"/>
        </w:rPr>
      </w:pPr>
    </w:p>
    <w:p w14:paraId="6DE12813" w14:textId="77777777" w:rsidR="003E10E6" w:rsidRPr="007607D3" w:rsidRDefault="00AA70A5"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7607D3">
        <w:rPr>
          <w:rFonts w:ascii="Cambria" w:hAnsi="Cambria"/>
          <w:sz w:val="20"/>
          <w:szCs w:val="20"/>
          <w:lang w:val="es-VE"/>
        </w:rPr>
        <w:t>Josirene Mendes de Oliveira Rego, esposa de Amauri José do Rego, rindió su declaración el 6 de diciembre de 1983, indicando que su esposo tenía la intención de escapar de la ciudad, ya que le llamó a la casa donde vivía y le indicó que jamás volvería, y que ella podía volver a casarse. Agregó que le pareció raro que le dijera todo aquello por teléfono pero después de haber leído en los periódicos acerca de su participación en la muerte de una mujer de Alagoa Grande llamada Margarida, comprendió todo</w:t>
      </w:r>
      <w:r w:rsidRPr="007607D3">
        <w:rPr>
          <w:rStyle w:val="FootnoteReference"/>
          <w:rFonts w:ascii="Cambria" w:hAnsi="Cambria"/>
          <w:sz w:val="20"/>
          <w:szCs w:val="20"/>
          <w:lang w:val="es-CO"/>
        </w:rPr>
        <w:footnoteReference w:id="46"/>
      </w:r>
      <w:r w:rsidRPr="007607D3">
        <w:rPr>
          <w:rFonts w:ascii="Cambria" w:hAnsi="Cambria"/>
          <w:sz w:val="20"/>
          <w:szCs w:val="20"/>
          <w:lang w:val="es-CO"/>
        </w:rPr>
        <w:t>.</w:t>
      </w:r>
    </w:p>
    <w:p w14:paraId="71CB57D0" w14:textId="77777777" w:rsidR="003E10E6" w:rsidRPr="007607D3" w:rsidRDefault="003E10E6" w:rsidP="003E10E6">
      <w:pPr>
        <w:pStyle w:val="Heading2"/>
        <w:numPr>
          <w:ilvl w:val="0"/>
          <w:numId w:val="59"/>
        </w:numPr>
        <w:ind w:firstLine="0"/>
        <w:rPr>
          <w:rFonts w:ascii="Cambria" w:hAnsi="Cambria"/>
          <w:i w:val="0"/>
          <w:sz w:val="20"/>
          <w:szCs w:val="20"/>
          <w:lang w:val="es-CO"/>
        </w:rPr>
      </w:pPr>
      <w:bookmarkStart w:id="16" w:name="_Toc86071592"/>
      <w:r w:rsidRPr="007607D3">
        <w:rPr>
          <w:rFonts w:ascii="Cambria" w:hAnsi="Cambria"/>
          <w:i w:val="0"/>
          <w:sz w:val="20"/>
          <w:szCs w:val="20"/>
          <w:lang w:val="es-CO"/>
        </w:rPr>
        <w:t>Los procesos internos para investigar la muerte de la presunta víctima</w:t>
      </w:r>
      <w:bookmarkEnd w:id="16"/>
    </w:p>
    <w:p w14:paraId="20F4AA98" w14:textId="77777777" w:rsidR="003E10E6" w:rsidRPr="007607D3" w:rsidRDefault="003E10E6" w:rsidP="00AD7E89">
      <w:pPr>
        <w:ind w:left="720"/>
        <w:jc w:val="both"/>
        <w:rPr>
          <w:sz w:val="20"/>
          <w:szCs w:val="20"/>
          <w:lang w:val="es-CO"/>
        </w:rPr>
      </w:pPr>
    </w:p>
    <w:p w14:paraId="65414F93" w14:textId="77777777" w:rsidR="003E10E6" w:rsidRPr="007607D3" w:rsidRDefault="003E10E6" w:rsidP="003E10E6">
      <w:pPr>
        <w:pStyle w:val="Heading3"/>
        <w:numPr>
          <w:ilvl w:val="1"/>
          <w:numId w:val="54"/>
        </w:numPr>
        <w:tabs>
          <w:tab w:val="clear" w:pos="1800"/>
          <w:tab w:val="num" w:pos="1440"/>
        </w:tabs>
        <w:ind w:hanging="1080"/>
        <w:rPr>
          <w:rFonts w:asciiTheme="majorHAnsi" w:hAnsiTheme="majorHAnsi"/>
          <w:sz w:val="20"/>
          <w:szCs w:val="20"/>
          <w:lang w:val="es-CO"/>
        </w:rPr>
      </w:pPr>
      <w:bookmarkStart w:id="17" w:name="_Toc86071593"/>
      <w:r w:rsidRPr="007607D3">
        <w:rPr>
          <w:rFonts w:asciiTheme="majorHAnsi" w:hAnsiTheme="majorHAnsi"/>
          <w:sz w:val="20"/>
          <w:szCs w:val="20"/>
          <w:lang w:val="es-CO"/>
        </w:rPr>
        <w:t>Investigaciones realizadas por la Policía Civil</w:t>
      </w:r>
      <w:bookmarkEnd w:id="17"/>
    </w:p>
    <w:p w14:paraId="1596A9C0" w14:textId="77777777" w:rsidR="003E10E6" w:rsidRPr="007607D3" w:rsidRDefault="003E10E6" w:rsidP="003E10E6">
      <w:pPr>
        <w:pStyle w:val="ListParagraph"/>
        <w:jc w:val="both"/>
        <w:rPr>
          <w:rFonts w:cs="Times New Roman"/>
          <w:sz w:val="20"/>
          <w:szCs w:val="20"/>
          <w:lang w:val="es-CO"/>
        </w:rPr>
      </w:pPr>
    </w:p>
    <w:p w14:paraId="4FFADB14" w14:textId="77777777" w:rsidR="003E10E6" w:rsidRPr="007607D3" w:rsidRDefault="003E10E6" w:rsidP="000D481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El 31 de octubre de 1983 la Policía Civil del estado de Paraíba inició una investigación</w:t>
      </w:r>
      <w:r w:rsidR="004844A3" w:rsidRPr="007607D3">
        <w:rPr>
          <w:rFonts w:ascii="Cambria" w:hAnsi="Cambria"/>
          <w:sz w:val="20"/>
          <w:szCs w:val="20"/>
          <w:lang w:val="es-CO"/>
        </w:rPr>
        <w:t xml:space="preserve"> </w:t>
      </w:r>
      <w:r w:rsidRPr="007607D3">
        <w:rPr>
          <w:rFonts w:ascii="Cambria" w:hAnsi="Cambria"/>
          <w:sz w:val="20"/>
          <w:szCs w:val="20"/>
          <w:lang w:val="es-CO"/>
        </w:rPr>
        <w:t>procediendo a realizar una serie de diligencias y recibir declaraciones testimoniales</w:t>
      </w:r>
      <w:r w:rsidR="004844A3" w:rsidRPr="007607D3">
        <w:rPr>
          <w:rStyle w:val="FootnoteReference"/>
          <w:rFonts w:ascii="Cambria" w:hAnsi="Cambria"/>
          <w:sz w:val="20"/>
          <w:szCs w:val="20"/>
          <w:lang w:val="es-CO"/>
        </w:rPr>
        <w:footnoteReference w:id="47"/>
      </w:r>
      <w:r w:rsidRPr="007607D3">
        <w:rPr>
          <w:rFonts w:ascii="Cambria" w:hAnsi="Cambria"/>
          <w:sz w:val="20"/>
          <w:szCs w:val="20"/>
          <w:lang w:val="es-CO"/>
        </w:rPr>
        <w:t xml:space="preserve">. </w:t>
      </w:r>
      <w:r w:rsidR="00597139" w:rsidRPr="007607D3">
        <w:rPr>
          <w:rFonts w:ascii="Cambria" w:hAnsi="Cambria"/>
          <w:sz w:val="20"/>
          <w:szCs w:val="20"/>
          <w:lang w:val="es-CO"/>
        </w:rPr>
        <w:t>S</w:t>
      </w:r>
      <w:r w:rsidRPr="007607D3">
        <w:rPr>
          <w:rFonts w:ascii="Cambria" w:hAnsi="Cambria"/>
          <w:sz w:val="20"/>
          <w:szCs w:val="20"/>
          <w:lang w:val="es-CO"/>
        </w:rPr>
        <w:t>e determinó que la matricula fijada al carro utilizado por los perpetradores era una matrícula “fría” o adulterada</w:t>
      </w:r>
      <w:r w:rsidRPr="007607D3">
        <w:rPr>
          <w:rStyle w:val="FootnoteReference"/>
          <w:rFonts w:ascii="Cambria" w:hAnsi="Cambria"/>
          <w:sz w:val="20"/>
          <w:szCs w:val="20"/>
          <w:lang w:val="es-CO"/>
        </w:rPr>
        <w:footnoteReference w:id="48"/>
      </w:r>
      <w:r w:rsidRPr="007607D3">
        <w:rPr>
          <w:rFonts w:ascii="Cambria" w:hAnsi="Cambria"/>
          <w:sz w:val="20"/>
          <w:szCs w:val="20"/>
          <w:lang w:val="es-CO"/>
        </w:rPr>
        <w:t>.</w:t>
      </w:r>
    </w:p>
    <w:p w14:paraId="65B36E2C" w14:textId="77777777" w:rsidR="003E10E6" w:rsidRPr="007607D3" w:rsidRDefault="003E10E6" w:rsidP="003E10E6">
      <w:pPr>
        <w:pStyle w:val="ListParagraph"/>
        <w:rPr>
          <w:sz w:val="20"/>
          <w:szCs w:val="20"/>
          <w:lang w:val="es-CO"/>
        </w:rPr>
      </w:pPr>
    </w:p>
    <w:p w14:paraId="2F967B02" w14:textId="77777777" w:rsidR="003E10E6" w:rsidRPr="007607D3"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 xml:space="preserve">El 3 de septiembre de 1983 rindió declaración Aguinaldo Veloso Borges, quien </w:t>
      </w:r>
      <w:r w:rsidR="00852FF0" w:rsidRPr="007607D3">
        <w:rPr>
          <w:rFonts w:ascii="Cambria" w:hAnsi="Cambria"/>
          <w:sz w:val="20"/>
          <w:szCs w:val="20"/>
          <w:lang w:val="es-CO"/>
        </w:rPr>
        <w:t xml:space="preserve">indicó </w:t>
      </w:r>
      <w:r w:rsidRPr="007607D3">
        <w:rPr>
          <w:rFonts w:ascii="Cambria" w:hAnsi="Cambria"/>
          <w:sz w:val="20"/>
          <w:szCs w:val="20"/>
          <w:lang w:val="es-CO"/>
        </w:rPr>
        <w:t>que no conocía a Margarida Maria Alves y que nunca tuvo relación directa o indirecta con ella</w:t>
      </w:r>
      <w:r w:rsidRPr="007607D3">
        <w:rPr>
          <w:rStyle w:val="FootnoteReference"/>
          <w:rFonts w:ascii="Cambria" w:hAnsi="Cambria"/>
          <w:sz w:val="20"/>
          <w:szCs w:val="20"/>
          <w:lang w:val="es-CO"/>
        </w:rPr>
        <w:footnoteReference w:id="49"/>
      </w:r>
      <w:r w:rsidRPr="007607D3">
        <w:rPr>
          <w:rFonts w:ascii="Cambria" w:hAnsi="Cambria"/>
          <w:sz w:val="20"/>
          <w:szCs w:val="20"/>
          <w:lang w:val="es-CO"/>
        </w:rPr>
        <w:t xml:space="preserve">.  </w:t>
      </w:r>
    </w:p>
    <w:p w14:paraId="3AF9BA38" w14:textId="77777777" w:rsidR="003E10E6" w:rsidRPr="007607D3" w:rsidRDefault="003E10E6" w:rsidP="003E10E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es-CO"/>
        </w:rPr>
      </w:pPr>
    </w:p>
    <w:p w14:paraId="1969BC8E" w14:textId="77777777" w:rsidR="003E10E6" w:rsidRPr="007607D3"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El 13 de septiembre de 1983 se amplió el plazo de la investigación</w:t>
      </w:r>
      <w:r w:rsidRPr="007607D3">
        <w:rPr>
          <w:rStyle w:val="FootnoteReference"/>
          <w:rFonts w:ascii="Cambria" w:hAnsi="Cambria"/>
          <w:sz w:val="20"/>
          <w:szCs w:val="20"/>
          <w:lang w:val="es-CO"/>
        </w:rPr>
        <w:footnoteReference w:id="50"/>
      </w:r>
      <w:r w:rsidRPr="007607D3">
        <w:rPr>
          <w:rFonts w:ascii="Cambria" w:hAnsi="Cambria"/>
          <w:sz w:val="20"/>
          <w:szCs w:val="20"/>
          <w:lang w:val="es-CO"/>
        </w:rPr>
        <w:t xml:space="preserve">. El 29 de septiembre de 1983 se procedió a la captura de diversas personas que encajaban en las descripciones referidas por los </w:t>
      </w:r>
      <w:r w:rsidRPr="007607D3">
        <w:rPr>
          <w:rFonts w:ascii="Cambria" w:hAnsi="Cambria"/>
          <w:sz w:val="20"/>
          <w:szCs w:val="20"/>
          <w:lang w:val="es-CO"/>
        </w:rPr>
        <w:lastRenderedPageBreak/>
        <w:t>testigos</w:t>
      </w:r>
      <w:r w:rsidRPr="007607D3">
        <w:rPr>
          <w:rStyle w:val="FootnoteReference"/>
          <w:rFonts w:ascii="Cambria" w:hAnsi="Cambria"/>
          <w:sz w:val="20"/>
          <w:szCs w:val="20"/>
          <w:lang w:val="es-CO"/>
        </w:rPr>
        <w:footnoteReference w:id="51"/>
      </w:r>
      <w:r w:rsidRPr="007607D3">
        <w:rPr>
          <w:rFonts w:ascii="Cambria" w:hAnsi="Cambria"/>
          <w:sz w:val="20"/>
          <w:szCs w:val="20"/>
          <w:lang w:val="es-CO"/>
        </w:rPr>
        <w:t>. Los sospechosos fueron sometidos a reconocimiento por parte de testigos oculares, sin embargo por no ser reconocidos como presuntos autores</w:t>
      </w:r>
      <w:r w:rsidRPr="007607D3">
        <w:rPr>
          <w:rStyle w:val="FootnoteReference"/>
          <w:rFonts w:ascii="Cambria" w:hAnsi="Cambria"/>
          <w:sz w:val="20"/>
          <w:szCs w:val="20"/>
          <w:lang w:val="es-CO"/>
        </w:rPr>
        <w:footnoteReference w:id="52"/>
      </w:r>
      <w:r w:rsidRPr="007607D3">
        <w:rPr>
          <w:rFonts w:ascii="Cambria" w:hAnsi="Cambria"/>
          <w:sz w:val="20"/>
          <w:szCs w:val="20"/>
          <w:lang w:val="es-CO"/>
        </w:rPr>
        <w:t xml:space="preserve"> se procedió a su liberación</w:t>
      </w:r>
      <w:r w:rsidRPr="007607D3">
        <w:rPr>
          <w:rStyle w:val="FootnoteReference"/>
          <w:rFonts w:ascii="Cambria" w:hAnsi="Cambria"/>
          <w:sz w:val="20"/>
          <w:szCs w:val="20"/>
          <w:lang w:val="es-CO"/>
        </w:rPr>
        <w:footnoteReference w:id="53"/>
      </w:r>
      <w:r w:rsidRPr="007607D3">
        <w:rPr>
          <w:rFonts w:ascii="Cambria" w:hAnsi="Cambria"/>
          <w:sz w:val="20"/>
          <w:szCs w:val="20"/>
          <w:lang w:val="es-CO"/>
        </w:rPr>
        <w:t>.</w:t>
      </w:r>
    </w:p>
    <w:p w14:paraId="08734EA2" w14:textId="77777777" w:rsidR="003E10E6" w:rsidRPr="007607D3" w:rsidRDefault="003E10E6" w:rsidP="003E10E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4A9C556C" w14:textId="77777777" w:rsidR="003E10E6" w:rsidRPr="007607D3"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El 8 de noviembre de 1983 se amplió nuevamente el plazo de investigación. La Policía entonces giró su atención al grupo formado por Amauri José do Rego, Amaro José do Rego y una tercera persona conocida como “Toinho” o “José”, además de Antônio Carlos Coutinho Régis, presunto autor intelectual</w:t>
      </w:r>
      <w:r w:rsidRPr="007607D3">
        <w:rPr>
          <w:rStyle w:val="FootnoteReference"/>
          <w:rFonts w:ascii="Cambria" w:hAnsi="Cambria"/>
          <w:sz w:val="20"/>
          <w:szCs w:val="20"/>
          <w:lang w:val="es-CO"/>
        </w:rPr>
        <w:footnoteReference w:id="54"/>
      </w:r>
      <w:r w:rsidRPr="007607D3">
        <w:rPr>
          <w:rFonts w:ascii="Cambria" w:hAnsi="Cambria"/>
          <w:sz w:val="20"/>
          <w:szCs w:val="20"/>
          <w:lang w:val="es-CO"/>
        </w:rPr>
        <w:t>.</w:t>
      </w:r>
    </w:p>
    <w:p w14:paraId="6A85EF64" w14:textId="77777777" w:rsidR="003E10E6" w:rsidRPr="007607D3" w:rsidRDefault="003E10E6" w:rsidP="003E10E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2F3DC365" w14:textId="77777777" w:rsidR="003E10E6" w:rsidRPr="007607D3"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lang w:val="es-VE"/>
        </w:rPr>
      </w:pPr>
      <w:r w:rsidRPr="007607D3">
        <w:rPr>
          <w:rFonts w:ascii="Cambria" w:hAnsi="Cambria"/>
          <w:sz w:val="20"/>
          <w:szCs w:val="20"/>
          <w:lang w:val="es-CO"/>
        </w:rPr>
        <w:t>La investigación policial concluyó el 8 de diciembre de 1983 que los autores materiales del homicidio de Margarida Maria Alves eran Amauri José do Rego, Amaro José do Rego, “Toinho” o “José” (no identificado) y Antônio Carlos Coutinho Regis (como autor intelectual) y ordenó la detención preventiva de dichas personas</w:t>
      </w:r>
      <w:r w:rsidRPr="007607D3">
        <w:rPr>
          <w:rFonts w:ascii="Cambria" w:hAnsi="Cambria"/>
          <w:sz w:val="20"/>
          <w:szCs w:val="20"/>
          <w:vertAlign w:val="superscript"/>
          <w:lang w:val="es-CO"/>
        </w:rPr>
        <w:footnoteReference w:id="55"/>
      </w:r>
      <w:r w:rsidR="008066E9" w:rsidRPr="007607D3">
        <w:rPr>
          <w:rFonts w:ascii="Cambria" w:hAnsi="Cambria"/>
          <w:sz w:val="20"/>
          <w:szCs w:val="20"/>
          <w:lang w:val="es-CO"/>
        </w:rPr>
        <w:t>.</w:t>
      </w:r>
      <w:r w:rsidRPr="007607D3">
        <w:rPr>
          <w:rFonts w:ascii="Cambria" w:hAnsi="Cambria"/>
          <w:sz w:val="20"/>
          <w:szCs w:val="20"/>
          <w:lang w:val="es-CO"/>
        </w:rPr>
        <w:t xml:space="preserve"> </w:t>
      </w:r>
      <w:r w:rsidR="008066E9" w:rsidRPr="007607D3">
        <w:rPr>
          <w:rFonts w:ascii="Cambria" w:hAnsi="Cambria"/>
          <w:sz w:val="20"/>
          <w:szCs w:val="20"/>
          <w:lang w:val="es-CO"/>
        </w:rPr>
        <w:t>S</w:t>
      </w:r>
      <w:r w:rsidRPr="007607D3">
        <w:rPr>
          <w:rFonts w:ascii="Cambria" w:hAnsi="Cambria"/>
          <w:sz w:val="20"/>
          <w:szCs w:val="20"/>
          <w:lang w:val="es-CO"/>
        </w:rPr>
        <w:t>in embargo no fue posible la localización de</w:t>
      </w:r>
      <w:r w:rsidR="008066E9" w:rsidRPr="007607D3">
        <w:rPr>
          <w:rFonts w:ascii="Cambria" w:hAnsi="Cambria"/>
          <w:sz w:val="20"/>
          <w:szCs w:val="20"/>
          <w:lang w:val="es-CO"/>
        </w:rPr>
        <w:t xml:space="preserve"> </w:t>
      </w:r>
      <w:r w:rsidR="009F5F14" w:rsidRPr="007607D3">
        <w:rPr>
          <w:rFonts w:ascii="Cambria" w:hAnsi="Cambria"/>
          <w:sz w:val="20"/>
          <w:szCs w:val="20"/>
          <w:lang w:val="es-CO"/>
        </w:rPr>
        <w:t>los</w:t>
      </w:r>
      <w:r w:rsidR="004C07E3" w:rsidRPr="007607D3">
        <w:rPr>
          <w:rFonts w:ascii="Cambria" w:hAnsi="Cambria"/>
          <w:sz w:val="20"/>
          <w:szCs w:val="20"/>
          <w:lang w:val="es-CO"/>
        </w:rPr>
        <w:t xml:space="preserve"> </w:t>
      </w:r>
      <w:r w:rsidRPr="007607D3">
        <w:rPr>
          <w:rFonts w:ascii="Cambria" w:hAnsi="Cambria"/>
          <w:sz w:val="20"/>
          <w:szCs w:val="20"/>
          <w:lang w:val="es-CO"/>
        </w:rPr>
        <w:t>autores materiales</w:t>
      </w:r>
      <w:r w:rsidRPr="007607D3">
        <w:rPr>
          <w:rFonts w:ascii="Cambria" w:hAnsi="Cambria"/>
          <w:sz w:val="20"/>
          <w:szCs w:val="20"/>
          <w:vertAlign w:val="superscript"/>
          <w:lang w:val="es-CO"/>
        </w:rPr>
        <w:footnoteReference w:id="56"/>
      </w:r>
      <w:r w:rsidRPr="007607D3">
        <w:rPr>
          <w:rFonts w:ascii="Cambria" w:hAnsi="Cambria"/>
          <w:sz w:val="20"/>
          <w:szCs w:val="20"/>
          <w:lang w:val="es-CO"/>
        </w:rPr>
        <w:t xml:space="preserve">. En dicho informe se señala que: </w:t>
      </w:r>
    </w:p>
    <w:p w14:paraId="6F7DBB07" w14:textId="77777777" w:rsidR="003E10E6" w:rsidRPr="007607D3" w:rsidRDefault="003E10E6" w:rsidP="003E10E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lang w:val="es-VE"/>
        </w:rPr>
      </w:pPr>
    </w:p>
    <w:p w14:paraId="457CE45E" w14:textId="77777777" w:rsidR="003E10E6" w:rsidRPr="007607D3" w:rsidRDefault="003E10E6" w:rsidP="003E10E6">
      <w:pPr>
        <w:pStyle w:val="ListParagraph"/>
        <w:jc w:val="both"/>
        <w:rPr>
          <w:rFonts w:eastAsia="Times New Roman" w:cs="Courier New"/>
          <w:color w:val="auto"/>
          <w:sz w:val="20"/>
          <w:szCs w:val="20"/>
          <w:bdr w:val="none" w:sz="0" w:space="0" w:color="auto"/>
          <w:lang w:val="es-CO"/>
        </w:rPr>
      </w:pPr>
      <w:r w:rsidRPr="007607D3">
        <w:rPr>
          <w:color w:val="auto"/>
          <w:sz w:val="20"/>
          <w:szCs w:val="20"/>
          <w:lang w:val="es-VE"/>
        </w:rPr>
        <w:t xml:space="preserve">(…)sobran las pruebas según las cuales </w:t>
      </w:r>
      <w:r w:rsidRPr="007607D3">
        <w:rPr>
          <w:rFonts w:eastAsia="Times New Roman" w:cs="Courier New"/>
          <w:color w:val="auto"/>
          <w:sz w:val="20"/>
          <w:szCs w:val="20"/>
          <w:bdr w:val="none" w:sz="0" w:space="0" w:color="auto"/>
          <w:lang w:val="es-ES"/>
        </w:rPr>
        <w:t xml:space="preserve">Amauri José del Rego, estuvo en la ciudad de Alagoa Grande por lo menos en la víspera del crimen; que es de su propiedad un vehículo Opala color rojo-vino, con idénticas características al utilizado para cometer el crimen (…); las declaraciones que se refieren a que portaba una escopeta calibre 12, envuelta en una bolsa de estopa, condiciones idénticas en que se utilizó el arma a la hora del crimen; </w:t>
      </w:r>
      <w:r w:rsidR="0000590C" w:rsidRPr="007607D3">
        <w:rPr>
          <w:rFonts w:eastAsia="Times New Roman" w:cs="Courier New"/>
          <w:color w:val="auto"/>
          <w:sz w:val="20"/>
          <w:szCs w:val="20"/>
          <w:bdr w:val="none" w:sz="0" w:space="0" w:color="auto"/>
          <w:lang w:val="es-ES"/>
        </w:rPr>
        <w:t>l</w:t>
      </w:r>
      <w:r w:rsidRPr="007607D3">
        <w:rPr>
          <w:rFonts w:eastAsia="Times New Roman" w:cs="Courier New"/>
          <w:color w:val="auto"/>
          <w:sz w:val="20"/>
          <w:szCs w:val="20"/>
          <w:bdr w:val="none" w:sz="0" w:space="0" w:color="auto"/>
          <w:lang w:val="es-ES"/>
        </w:rPr>
        <w:t xml:space="preserve">a narrativa de los testigos (...) que afirman que el individuo Toinho indicó que el grupo había recibido la cantidad de quinientos mil cruceros para la práctica del crimen (…). En cuanto a la participación de Antonio Carlos Coutinho Regis, además de haber sido visto en la ciudad de Alagoa Grande en la víspera del hecho en compañía de Amauri, pesa contra él los testimonios de fls 99 a100, que afirman que el mismo vehículo, era ocupado por dos personas, asimismo que en la víspera del crimen, durante la mañana, estuvo en la casa de la hacienda del padre </w:t>
      </w:r>
      <w:r w:rsidR="004C07E3" w:rsidRPr="007607D3">
        <w:rPr>
          <w:rFonts w:eastAsia="Times New Roman" w:cs="Courier New"/>
          <w:color w:val="auto"/>
          <w:sz w:val="20"/>
          <w:szCs w:val="20"/>
          <w:bdr w:val="none" w:sz="0" w:space="0" w:color="auto"/>
          <w:lang w:val="es-ES"/>
        </w:rPr>
        <w:t xml:space="preserve">del </w:t>
      </w:r>
      <w:r w:rsidRPr="007607D3">
        <w:rPr>
          <w:rFonts w:eastAsia="Times New Roman" w:cs="Courier New"/>
          <w:color w:val="auto"/>
          <w:sz w:val="20"/>
          <w:szCs w:val="20"/>
          <w:bdr w:val="none" w:sz="0" w:space="0" w:color="auto"/>
          <w:lang w:val="es-ES"/>
        </w:rPr>
        <w:t>acusado (…)</w:t>
      </w:r>
      <w:r w:rsidRPr="007607D3">
        <w:rPr>
          <w:color w:val="auto"/>
          <w:sz w:val="20"/>
          <w:szCs w:val="20"/>
          <w:vertAlign w:val="superscript"/>
          <w:lang w:val="es-CO"/>
        </w:rPr>
        <w:footnoteReference w:id="57"/>
      </w:r>
      <w:r w:rsidRPr="007607D3">
        <w:rPr>
          <w:rFonts w:eastAsia="Times New Roman" w:cs="Courier New"/>
          <w:color w:val="auto"/>
          <w:sz w:val="20"/>
          <w:szCs w:val="20"/>
          <w:bdr w:val="none" w:sz="0" w:space="0" w:color="auto"/>
          <w:lang w:val="es-CO"/>
        </w:rPr>
        <w:t>.</w:t>
      </w:r>
    </w:p>
    <w:p w14:paraId="6351C87B" w14:textId="77777777" w:rsidR="003E10E6" w:rsidRPr="007607D3" w:rsidRDefault="003E10E6" w:rsidP="003E10E6">
      <w:pPr>
        <w:pStyle w:val="Heading3"/>
        <w:numPr>
          <w:ilvl w:val="1"/>
          <w:numId w:val="54"/>
        </w:numPr>
        <w:tabs>
          <w:tab w:val="clear" w:pos="1800"/>
          <w:tab w:val="num" w:pos="1440"/>
        </w:tabs>
        <w:ind w:hanging="1080"/>
        <w:rPr>
          <w:rFonts w:asciiTheme="majorHAnsi" w:hAnsiTheme="majorHAnsi"/>
          <w:sz w:val="20"/>
          <w:szCs w:val="20"/>
          <w:lang w:val="es-CO"/>
        </w:rPr>
      </w:pPr>
      <w:bookmarkStart w:id="18" w:name="_Toc86071594"/>
      <w:r w:rsidRPr="007607D3">
        <w:rPr>
          <w:rFonts w:asciiTheme="majorHAnsi" w:hAnsiTheme="majorHAnsi"/>
          <w:sz w:val="20"/>
          <w:szCs w:val="20"/>
          <w:lang w:val="es-CO"/>
        </w:rPr>
        <w:t>El expediente judicial 003.1983.0000067 (1983)</w:t>
      </w:r>
      <w:bookmarkEnd w:id="18"/>
    </w:p>
    <w:p w14:paraId="53850AD2" w14:textId="77777777" w:rsidR="003E10E6" w:rsidRPr="007607D3" w:rsidRDefault="003E10E6" w:rsidP="003E10E6">
      <w:pPr>
        <w:pStyle w:val="ListParagraph"/>
        <w:ind w:left="360" w:firstLine="720"/>
        <w:jc w:val="both"/>
        <w:rPr>
          <w:rFonts w:cs="Times New Roman"/>
          <w:sz w:val="20"/>
          <w:szCs w:val="20"/>
          <w:lang w:val="es-CO"/>
        </w:rPr>
      </w:pPr>
    </w:p>
    <w:p w14:paraId="31FD08F6" w14:textId="77777777" w:rsidR="003E10E6" w:rsidRPr="007607D3" w:rsidRDefault="003E10E6" w:rsidP="00AD7E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En seguimiento a la investigación policial, el 22 de diciembre de 1983 el Ministerio Público presentó denuncia en contra de Amauri José do Rego, Amaro José do Rego y Antônio Carlos Coutinho Regis “Carlinhos”, por el delito de asesinato, en calidad de autores materiales</w:t>
      </w:r>
      <w:r w:rsidRPr="007607D3">
        <w:rPr>
          <w:rStyle w:val="FootnoteReference"/>
          <w:rFonts w:ascii="Cambria" w:hAnsi="Cambria"/>
          <w:sz w:val="20"/>
          <w:szCs w:val="20"/>
          <w:lang w:val="es-CO"/>
        </w:rPr>
        <w:footnoteReference w:id="58"/>
      </w:r>
      <w:r w:rsidRPr="007607D3">
        <w:rPr>
          <w:rFonts w:ascii="Cambria" w:hAnsi="Cambria"/>
          <w:sz w:val="20"/>
          <w:szCs w:val="20"/>
          <w:lang w:val="es-CO"/>
        </w:rPr>
        <w:t xml:space="preserve">, no obstante el proceso judicial en contra de Amauri José do Rego y Amaro José do Rego quedó suspendido porque ambos se encontraban </w:t>
      </w:r>
      <w:r w:rsidRPr="007607D3">
        <w:rPr>
          <w:rFonts w:ascii="Cambria" w:hAnsi="Cambria"/>
          <w:sz w:val="20"/>
          <w:szCs w:val="20"/>
          <w:lang w:val="es-CO"/>
        </w:rPr>
        <w:lastRenderedPageBreak/>
        <w:t>prófugos</w:t>
      </w:r>
      <w:r w:rsidRPr="007607D3">
        <w:rPr>
          <w:rStyle w:val="FootnoteReference"/>
          <w:rFonts w:ascii="Cambria" w:hAnsi="Cambria"/>
          <w:sz w:val="20"/>
          <w:szCs w:val="20"/>
          <w:lang w:val="es-CO"/>
        </w:rPr>
        <w:footnoteReference w:id="59"/>
      </w:r>
      <w:r w:rsidRPr="007607D3">
        <w:rPr>
          <w:rFonts w:ascii="Cambria" w:hAnsi="Cambria"/>
          <w:sz w:val="20"/>
          <w:szCs w:val="20"/>
          <w:lang w:val="es-CO"/>
        </w:rPr>
        <w:t xml:space="preserve">. Entre 1985 y 1999 fueron expedidas varias órdenes de detención en contra de </w:t>
      </w:r>
      <w:r w:rsidRPr="007607D3">
        <w:rPr>
          <w:rFonts w:ascii="Cambria" w:hAnsi="Cambria"/>
          <w:sz w:val="20"/>
          <w:szCs w:val="20"/>
          <w:lang w:val="es-VE"/>
        </w:rPr>
        <w:t>Amauri José do Rego</w:t>
      </w:r>
      <w:r w:rsidRPr="007607D3">
        <w:rPr>
          <w:rStyle w:val="FootnoteReference"/>
          <w:rFonts w:ascii="Cambria" w:hAnsi="Cambria"/>
          <w:sz w:val="20"/>
          <w:szCs w:val="20"/>
          <w:lang w:val="es-CO"/>
        </w:rPr>
        <w:footnoteReference w:id="60"/>
      </w:r>
      <w:r w:rsidRPr="007607D3">
        <w:rPr>
          <w:rFonts w:ascii="Cambria" w:hAnsi="Cambria"/>
          <w:sz w:val="20"/>
          <w:szCs w:val="20"/>
          <w:lang w:val="es-VE"/>
        </w:rPr>
        <w:t xml:space="preserve"> y Amaro José do Rego</w:t>
      </w:r>
      <w:r w:rsidRPr="007607D3">
        <w:rPr>
          <w:rStyle w:val="FootnoteReference"/>
          <w:rFonts w:ascii="Cambria" w:hAnsi="Cambria"/>
          <w:sz w:val="20"/>
          <w:szCs w:val="20"/>
          <w:lang w:val="es-CO"/>
        </w:rPr>
        <w:footnoteReference w:id="61"/>
      </w:r>
      <w:r w:rsidRPr="007607D3">
        <w:rPr>
          <w:rFonts w:ascii="Cambria" w:hAnsi="Cambria"/>
          <w:sz w:val="20"/>
          <w:szCs w:val="20"/>
          <w:lang w:val="es-VE"/>
        </w:rPr>
        <w:t>.</w:t>
      </w:r>
    </w:p>
    <w:p w14:paraId="534D83B5" w14:textId="77777777" w:rsidR="003E10E6" w:rsidRPr="007607D3" w:rsidRDefault="003E10E6" w:rsidP="003E10E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5FC29563" w14:textId="77777777" w:rsidR="00E2165C" w:rsidRPr="007607D3" w:rsidRDefault="003E10E6" w:rsidP="006E72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El 5 de julio de 1988 el Tribunal de Jurados  absolvió al señor Antônio Carlos Coutinho Régis al considerar que no tuvo ninguna participación en el crimen</w:t>
      </w:r>
      <w:r w:rsidRPr="007607D3">
        <w:rPr>
          <w:rFonts w:ascii="Cambria" w:hAnsi="Cambria"/>
          <w:sz w:val="20"/>
          <w:szCs w:val="20"/>
          <w:vertAlign w:val="superscript"/>
          <w:lang w:val="es-CO"/>
        </w:rPr>
        <w:footnoteReference w:id="62"/>
      </w:r>
      <w:r w:rsidRPr="007607D3">
        <w:rPr>
          <w:rFonts w:ascii="Cambria" w:hAnsi="Cambria"/>
          <w:sz w:val="20"/>
          <w:szCs w:val="20"/>
          <w:lang w:val="es-CO"/>
        </w:rPr>
        <w:t>. Según consta en la decisión, el Tribunal no detalló las razones por las que se consideraba inocente al acusado</w:t>
      </w:r>
      <w:r w:rsidRPr="007607D3">
        <w:rPr>
          <w:rStyle w:val="FootnoteReference"/>
          <w:rFonts w:ascii="Cambria" w:hAnsi="Cambria"/>
          <w:sz w:val="20"/>
          <w:szCs w:val="20"/>
          <w:lang w:val="es-CO"/>
        </w:rPr>
        <w:footnoteReference w:id="63"/>
      </w:r>
      <w:r w:rsidRPr="007607D3">
        <w:rPr>
          <w:rFonts w:ascii="Cambria" w:hAnsi="Cambria"/>
          <w:sz w:val="20"/>
          <w:szCs w:val="20"/>
          <w:lang w:val="es-CO"/>
        </w:rPr>
        <w:t>.</w:t>
      </w:r>
      <w:r w:rsidR="006E7253" w:rsidRPr="007607D3">
        <w:rPr>
          <w:rFonts w:ascii="Cambria" w:hAnsi="Cambria"/>
          <w:sz w:val="20"/>
          <w:szCs w:val="20"/>
          <w:lang w:val="es-CO"/>
        </w:rPr>
        <w:t xml:space="preserve"> </w:t>
      </w:r>
      <w:r w:rsidRPr="007607D3">
        <w:rPr>
          <w:rFonts w:ascii="Cambria" w:hAnsi="Cambria"/>
          <w:sz w:val="20"/>
          <w:szCs w:val="20"/>
          <w:lang w:val="es-CO"/>
        </w:rPr>
        <w:t>El 7 de julio de 1988 el Ministerio Público presentó recurso de apelación en contra de dicha decisión, argumentando que es contraria a las pruebas que obran en el expediente, por lo que solicitó un nuevo juicio con otro Consejo de Sentencia</w:t>
      </w:r>
      <w:r w:rsidRPr="007607D3">
        <w:rPr>
          <w:rFonts w:ascii="Cambria" w:hAnsi="Cambria"/>
          <w:sz w:val="20"/>
          <w:szCs w:val="20"/>
          <w:vertAlign w:val="superscript"/>
          <w:lang w:val="es-CO"/>
        </w:rPr>
        <w:footnoteReference w:id="64"/>
      </w:r>
      <w:r w:rsidRPr="007607D3">
        <w:rPr>
          <w:rFonts w:ascii="Cambria" w:hAnsi="Cambria"/>
          <w:sz w:val="20"/>
          <w:szCs w:val="20"/>
          <w:lang w:val="es-CO"/>
        </w:rPr>
        <w:t>.</w:t>
      </w:r>
    </w:p>
    <w:p w14:paraId="46E9E09D" w14:textId="77777777" w:rsidR="003E10E6" w:rsidRPr="007607D3" w:rsidRDefault="003E10E6" w:rsidP="00AD7E8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r w:rsidRPr="007607D3">
        <w:rPr>
          <w:rFonts w:ascii="Cambria" w:hAnsi="Cambria"/>
          <w:sz w:val="20"/>
          <w:szCs w:val="20"/>
          <w:lang w:val="es-CO"/>
        </w:rPr>
        <w:t xml:space="preserve"> </w:t>
      </w:r>
    </w:p>
    <w:p w14:paraId="155AC539" w14:textId="77777777" w:rsidR="003E10E6" w:rsidRPr="007607D3"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 xml:space="preserve">El 17 de mayo de 1990 el Tribunal de Justicia de Paraíba declaró con lugar el recurso,  indicando </w:t>
      </w:r>
      <w:r w:rsidR="009123D9" w:rsidRPr="007607D3">
        <w:rPr>
          <w:rFonts w:ascii="Cambria" w:hAnsi="Cambria"/>
          <w:sz w:val="20"/>
          <w:szCs w:val="20"/>
          <w:lang w:val="es-CO"/>
        </w:rPr>
        <w:t xml:space="preserve">que la decisión </w:t>
      </w:r>
      <w:r w:rsidRPr="007607D3">
        <w:rPr>
          <w:rFonts w:ascii="Cambria" w:hAnsi="Cambria"/>
          <w:sz w:val="20"/>
          <w:szCs w:val="20"/>
          <w:lang w:val="es-CO"/>
        </w:rPr>
        <w:t>es contraria frontalmente a los testimonios y colisiona con el acervo probatorio que convence absolutamente de la co-autoría del acusado negada por el jurado. En virtud de ello ordenó que el acusado Antônio Carlos Coutinho Régis fuera sometido a un nuevo juicio ante un Tribunal de Jurados</w:t>
      </w:r>
      <w:r w:rsidRPr="007607D3">
        <w:rPr>
          <w:rStyle w:val="FootnoteReference"/>
          <w:rFonts w:ascii="Cambria" w:hAnsi="Cambria"/>
          <w:sz w:val="20"/>
          <w:szCs w:val="20"/>
          <w:lang w:val="es-CO"/>
        </w:rPr>
        <w:footnoteReference w:id="65"/>
      </w:r>
      <w:r w:rsidRPr="007607D3">
        <w:rPr>
          <w:rFonts w:ascii="Cambria" w:hAnsi="Cambria"/>
          <w:sz w:val="20"/>
          <w:szCs w:val="20"/>
          <w:lang w:val="es-CO"/>
        </w:rPr>
        <w:t xml:space="preserve">. </w:t>
      </w:r>
    </w:p>
    <w:p w14:paraId="564CDB8B" w14:textId="77777777" w:rsidR="003E10E6" w:rsidRPr="007607D3" w:rsidRDefault="003E10E6" w:rsidP="003E10E6">
      <w:pPr>
        <w:tabs>
          <w:tab w:val="left" w:pos="1440"/>
        </w:tabs>
        <w:jc w:val="both"/>
        <w:rPr>
          <w:rFonts w:ascii="Cambria" w:hAnsi="Cambria"/>
          <w:sz w:val="20"/>
          <w:szCs w:val="20"/>
          <w:lang w:val="es-CO"/>
        </w:rPr>
      </w:pPr>
    </w:p>
    <w:p w14:paraId="5D8F5A68" w14:textId="77777777" w:rsidR="003E10E6" w:rsidRPr="007607D3"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lang w:val="es-CO"/>
        </w:rPr>
      </w:pPr>
      <w:r w:rsidRPr="007607D3">
        <w:rPr>
          <w:rFonts w:ascii="Cambria" w:hAnsi="Cambria"/>
          <w:sz w:val="20"/>
          <w:szCs w:val="20"/>
          <w:lang w:val="es-CO"/>
        </w:rPr>
        <w:t>Con posterioridad, el esposo de la presunta víctima solicitó trasladar el caso ante otro jurado, alegando que los miembros del jurado estarían bajo la influencia del acusado Antônio Carlos Coutinho Régis y su familia</w:t>
      </w:r>
      <w:r w:rsidRPr="007607D3">
        <w:rPr>
          <w:rStyle w:val="FootnoteReference"/>
          <w:rFonts w:ascii="Cambria" w:hAnsi="Cambria"/>
          <w:sz w:val="20"/>
          <w:szCs w:val="20"/>
          <w:lang w:val="es-CO"/>
        </w:rPr>
        <w:footnoteReference w:id="66"/>
      </w:r>
      <w:r w:rsidRPr="007607D3">
        <w:rPr>
          <w:rFonts w:ascii="Cambria" w:hAnsi="Cambria"/>
          <w:sz w:val="20"/>
          <w:szCs w:val="20"/>
          <w:lang w:val="es-CO"/>
        </w:rPr>
        <w:t xml:space="preserve"> y que “ha</w:t>
      </w:r>
      <w:r w:rsidR="002E2BF9" w:rsidRPr="007607D3">
        <w:rPr>
          <w:rFonts w:ascii="Cambria" w:hAnsi="Cambria"/>
          <w:sz w:val="20"/>
          <w:szCs w:val="20"/>
          <w:lang w:val="es-CO"/>
        </w:rPr>
        <w:t>y cierto consenso entre los int</w:t>
      </w:r>
      <w:r w:rsidRPr="007607D3">
        <w:rPr>
          <w:rFonts w:ascii="Cambria" w:hAnsi="Cambria"/>
          <w:sz w:val="20"/>
          <w:szCs w:val="20"/>
          <w:lang w:val="es-CO"/>
        </w:rPr>
        <w:t>egrantes del jurado de que el reo, por tener una participación de menos importancia, debería ser declarado inocente nuevamente”</w:t>
      </w:r>
      <w:r w:rsidRPr="007607D3">
        <w:rPr>
          <w:rStyle w:val="FootnoteReference"/>
          <w:rFonts w:ascii="Cambria" w:hAnsi="Cambria"/>
          <w:sz w:val="20"/>
          <w:szCs w:val="20"/>
          <w:lang w:val="es-CO"/>
        </w:rPr>
        <w:footnoteReference w:id="67"/>
      </w:r>
      <w:r w:rsidRPr="007607D3">
        <w:rPr>
          <w:rFonts w:ascii="Cambria" w:eastAsia="Times New Roman" w:hAnsi="Cambria" w:cs="Courier New"/>
          <w:sz w:val="20"/>
          <w:szCs w:val="20"/>
          <w:bdr w:val="none" w:sz="0" w:space="0" w:color="auto"/>
          <w:lang w:val="es-ES"/>
        </w:rPr>
        <w:t>.</w:t>
      </w:r>
    </w:p>
    <w:p w14:paraId="5F8C2BBC" w14:textId="77777777" w:rsidR="003E10E6" w:rsidRPr="007607D3" w:rsidRDefault="003E10E6" w:rsidP="003E10E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1F76B0FA" w14:textId="77777777" w:rsidR="003E10E6" w:rsidRPr="007607D3"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El 25 de septiembre de 1991 se denegó la solicitud de Severino Cassemiro Alves indicándose que el pedido se bas</w:t>
      </w:r>
      <w:r w:rsidR="0067116C" w:rsidRPr="007607D3">
        <w:rPr>
          <w:rFonts w:ascii="Cambria" w:hAnsi="Cambria"/>
          <w:sz w:val="20"/>
          <w:szCs w:val="20"/>
          <w:lang w:val="es-CO"/>
        </w:rPr>
        <w:t>ó</w:t>
      </w:r>
      <w:r w:rsidRPr="007607D3">
        <w:rPr>
          <w:rFonts w:ascii="Cambria" w:hAnsi="Cambria"/>
          <w:sz w:val="20"/>
          <w:szCs w:val="20"/>
          <w:lang w:val="es-CO"/>
        </w:rPr>
        <w:t xml:space="preserve"> en meras conjeturas provenientes supuestamente del juez de la causa, sin embargo dicho juez descartó las declaraciones atribuidas a su persona sobre la parcialidad del jurado</w:t>
      </w:r>
      <w:r w:rsidRPr="007607D3">
        <w:rPr>
          <w:rStyle w:val="FootnoteReference"/>
          <w:rFonts w:ascii="Cambria" w:hAnsi="Cambria"/>
          <w:sz w:val="20"/>
          <w:szCs w:val="20"/>
          <w:lang w:val="es-CO"/>
        </w:rPr>
        <w:footnoteReference w:id="68"/>
      </w:r>
      <w:r w:rsidRPr="007607D3">
        <w:rPr>
          <w:rFonts w:ascii="Cambria" w:hAnsi="Cambria"/>
          <w:sz w:val="20"/>
          <w:szCs w:val="20"/>
          <w:lang w:val="es-CO"/>
        </w:rPr>
        <w:t>.</w:t>
      </w:r>
    </w:p>
    <w:p w14:paraId="27702CF4" w14:textId="77777777" w:rsidR="003E10E6" w:rsidRPr="007607D3" w:rsidRDefault="003E10E6" w:rsidP="003E10E6">
      <w:pPr>
        <w:pStyle w:val="ListParagraph"/>
        <w:rPr>
          <w:sz w:val="20"/>
          <w:szCs w:val="20"/>
          <w:lang w:val="es-CO"/>
        </w:rPr>
      </w:pPr>
    </w:p>
    <w:p w14:paraId="15796715" w14:textId="77777777" w:rsidR="003E10E6" w:rsidRPr="007607D3" w:rsidRDefault="00AA7EA9"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 xml:space="preserve">De la información disponible del expediente </w:t>
      </w:r>
      <w:r w:rsidR="002801CF" w:rsidRPr="007607D3">
        <w:rPr>
          <w:rFonts w:ascii="Cambria" w:hAnsi="Cambria"/>
          <w:sz w:val="20"/>
          <w:szCs w:val="20"/>
          <w:lang w:val="es-CO"/>
        </w:rPr>
        <w:t xml:space="preserve">surge que </w:t>
      </w:r>
      <w:r w:rsidR="003E10E6" w:rsidRPr="007607D3">
        <w:rPr>
          <w:rFonts w:ascii="Cambria" w:hAnsi="Cambria"/>
          <w:sz w:val="20"/>
          <w:szCs w:val="20"/>
          <w:lang w:val="es-VE"/>
        </w:rPr>
        <w:t xml:space="preserve">durante un período de casi cuatro años, no se registró ninguna actividad procesal. </w:t>
      </w:r>
    </w:p>
    <w:p w14:paraId="6D744D52" w14:textId="77777777" w:rsidR="003E10E6" w:rsidRPr="007607D3"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lastRenderedPageBreak/>
        <w:t xml:space="preserve">El 13 de julio de 1995 la Presidencia del Tribunal de Justicia de Paraíba </w:t>
      </w:r>
      <w:r w:rsidR="00084EE1" w:rsidRPr="007607D3">
        <w:rPr>
          <w:rFonts w:ascii="Cambria" w:hAnsi="Cambria"/>
          <w:sz w:val="20"/>
          <w:szCs w:val="20"/>
          <w:lang w:val="es-CO"/>
        </w:rPr>
        <w:t xml:space="preserve">asumió </w:t>
      </w:r>
      <w:r w:rsidRPr="007607D3">
        <w:rPr>
          <w:rFonts w:ascii="Cambria" w:hAnsi="Cambria"/>
          <w:sz w:val="20"/>
          <w:szCs w:val="20"/>
          <w:lang w:val="es-CO"/>
        </w:rPr>
        <w:t xml:space="preserve">el juicio a fin de examinar las razones por las cuales </w:t>
      </w:r>
      <w:r w:rsidR="00084EE1" w:rsidRPr="007607D3">
        <w:rPr>
          <w:rFonts w:ascii="Cambria" w:hAnsi="Cambria"/>
          <w:sz w:val="20"/>
          <w:szCs w:val="20"/>
          <w:lang w:val="es-CO"/>
        </w:rPr>
        <w:t xml:space="preserve">estaba </w:t>
      </w:r>
      <w:r w:rsidRPr="007607D3">
        <w:rPr>
          <w:rFonts w:ascii="Cambria" w:hAnsi="Cambria"/>
          <w:sz w:val="20"/>
          <w:szCs w:val="20"/>
          <w:lang w:val="es-CO"/>
        </w:rPr>
        <w:t>paralizado – lo cual habría ocurrido en función del atraso por parte de un juez de la Comarca de Alagoa Grande</w:t>
      </w:r>
      <w:r w:rsidRPr="007607D3">
        <w:rPr>
          <w:rStyle w:val="FootnoteReference"/>
          <w:rFonts w:ascii="Cambria" w:hAnsi="Cambria"/>
          <w:sz w:val="20"/>
          <w:szCs w:val="20"/>
          <w:lang w:val="es-CO"/>
        </w:rPr>
        <w:footnoteReference w:id="69"/>
      </w:r>
      <w:r w:rsidRPr="007607D3">
        <w:rPr>
          <w:rFonts w:ascii="Cambria" w:hAnsi="Cambria"/>
          <w:sz w:val="20"/>
          <w:szCs w:val="20"/>
          <w:lang w:val="es-CO"/>
        </w:rPr>
        <w:t xml:space="preserve">. </w:t>
      </w:r>
    </w:p>
    <w:p w14:paraId="21C72193" w14:textId="77777777" w:rsidR="003E10E6" w:rsidRPr="007607D3" w:rsidRDefault="003E10E6" w:rsidP="003E10E6">
      <w:pPr>
        <w:rPr>
          <w:rFonts w:ascii="Cambria" w:hAnsi="Cambria"/>
          <w:sz w:val="20"/>
          <w:szCs w:val="20"/>
          <w:lang w:val="es-CO"/>
        </w:rPr>
      </w:pPr>
    </w:p>
    <w:p w14:paraId="6F5FD5B2" w14:textId="77777777" w:rsidR="003E10E6" w:rsidRPr="007607D3"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El 17 de julio de 1995 el Presidente del Tribunal de Justicia de Paraíba indicó que:  “(..) tras revisar los autos del proceso, constaté que, evidentemente, el Juez del hecho, el Dr. Gutemberg Cardoso Pereira, bajo el pálido argumento de exceso de servicio forense en la Comarca, no despacha el proceso identificado en el epígrafe, hace un año y cuatro meses”</w:t>
      </w:r>
      <w:r w:rsidRPr="007607D3">
        <w:rPr>
          <w:rStyle w:val="FootnoteReference"/>
          <w:rFonts w:ascii="Cambria" w:hAnsi="Cambria"/>
          <w:sz w:val="20"/>
          <w:szCs w:val="20"/>
          <w:lang w:val="es-CO"/>
        </w:rPr>
        <w:footnoteReference w:id="70"/>
      </w:r>
      <w:r w:rsidRPr="007607D3">
        <w:rPr>
          <w:rFonts w:ascii="Cambria" w:hAnsi="Cambria"/>
          <w:sz w:val="20"/>
          <w:szCs w:val="20"/>
          <w:lang w:val="es-CO"/>
        </w:rPr>
        <w:t>. Agregó que “una ampliación de denuncia, contra, apenas dos reos, ofrecida el 5 de marzo de 1994, hasta la fecha no fue recibida por el Juez”</w:t>
      </w:r>
      <w:r w:rsidRPr="007607D3">
        <w:rPr>
          <w:rStyle w:val="FootnoteReference"/>
          <w:rFonts w:ascii="Cambria" w:hAnsi="Cambria"/>
          <w:sz w:val="20"/>
          <w:szCs w:val="20"/>
          <w:lang w:val="es-CO"/>
        </w:rPr>
        <w:t xml:space="preserve"> </w:t>
      </w:r>
      <w:r w:rsidRPr="007607D3">
        <w:rPr>
          <w:rStyle w:val="FootnoteReference"/>
          <w:rFonts w:ascii="Cambria" w:hAnsi="Cambria"/>
          <w:sz w:val="20"/>
          <w:szCs w:val="20"/>
          <w:lang w:val="es-CO"/>
        </w:rPr>
        <w:footnoteReference w:id="71"/>
      </w:r>
      <w:r w:rsidRPr="007607D3">
        <w:rPr>
          <w:rFonts w:ascii="Cambria" w:hAnsi="Cambria"/>
          <w:sz w:val="20"/>
          <w:szCs w:val="20"/>
          <w:lang w:val="es-CO"/>
        </w:rPr>
        <w:t>.</w:t>
      </w:r>
    </w:p>
    <w:p w14:paraId="4A9610F0" w14:textId="77777777" w:rsidR="003E10E6" w:rsidRPr="007607D3" w:rsidRDefault="003E10E6" w:rsidP="003E10E6">
      <w:pPr>
        <w:tabs>
          <w:tab w:val="left" w:pos="1440"/>
        </w:tabs>
        <w:jc w:val="both"/>
        <w:rPr>
          <w:rFonts w:ascii="Cambria" w:hAnsi="Cambria"/>
          <w:sz w:val="20"/>
          <w:szCs w:val="20"/>
          <w:lang w:val="es-CO"/>
        </w:rPr>
      </w:pPr>
    </w:p>
    <w:p w14:paraId="7A14AA04" w14:textId="77777777" w:rsidR="003E10E6" w:rsidRPr="007607D3"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El 1 de agosto de 1995 el Juez Gutemberg Cardoso se refirió al atraso en el expediente, indicando que 1994 era año electoral y que “durante el periodo electoral que por fuerza de la ley goza de privilegio, la justicia común prácticamente se paraliza, permitiendo apenas la tramitación de los procesos concernientes a personas privadas de libertad, demandas de alimentos y pedidos preliminares”</w:t>
      </w:r>
      <w:r w:rsidRPr="007607D3">
        <w:rPr>
          <w:rStyle w:val="FootnoteReference"/>
          <w:rFonts w:ascii="Cambria" w:hAnsi="Cambria"/>
          <w:sz w:val="20"/>
          <w:szCs w:val="20"/>
          <w:lang w:val="es-CO"/>
        </w:rPr>
        <w:footnoteReference w:id="72"/>
      </w:r>
      <w:r w:rsidRPr="007607D3">
        <w:rPr>
          <w:rFonts w:ascii="Cambria" w:hAnsi="Cambria"/>
          <w:sz w:val="20"/>
          <w:szCs w:val="20"/>
          <w:lang w:val="es-CO"/>
        </w:rPr>
        <w:t>. Agregó que tras finalizar el año electoral “este magistrado dio preferencia a las causas de los más necesitados</w:t>
      </w:r>
      <w:r w:rsidR="00D03691" w:rsidRPr="007607D3">
        <w:rPr>
          <w:rFonts w:ascii="Cambria" w:hAnsi="Cambria"/>
          <w:sz w:val="20"/>
          <w:szCs w:val="20"/>
          <w:lang w:val="es-CO"/>
        </w:rPr>
        <w:t>”</w:t>
      </w:r>
      <w:r w:rsidRPr="007607D3">
        <w:rPr>
          <w:rStyle w:val="FootnoteReference"/>
          <w:rFonts w:ascii="Cambria" w:hAnsi="Cambria"/>
          <w:sz w:val="20"/>
          <w:szCs w:val="20"/>
          <w:lang w:val="es-CO"/>
        </w:rPr>
        <w:footnoteReference w:id="73"/>
      </w:r>
      <w:r w:rsidRPr="007607D3">
        <w:rPr>
          <w:rFonts w:ascii="Cambria" w:hAnsi="Cambria"/>
          <w:sz w:val="20"/>
          <w:szCs w:val="20"/>
          <w:lang w:val="es-CO"/>
        </w:rPr>
        <w:t>. Indicó que además existe la dificultad técnica de que no está claro si es posible ampliar una denuncia incluyendo nuevos acusados, ya existiendo una sentencia en el proceso</w:t>
      </w:r>
      <w:r w:rsidRPr="007607D3">
        <w:rPr>
          <w:rStyle w:val="FootnoteReference"/>
          <w:rFonts w:ascii="Cambria" w:hAnsi="Cambria"/>
          <w:sz w:val="20"/>
          <w:szCs w:val="20"/>
          <w:lang w:val="es-CO"/>
        </w:rPr>
        <w:footnoteReference w:id="74"/>
      </w:r>
      <w:r w:rsidRPr="007607D3">
        <w:rPr>
          <w:rFonts w:ascii="Cambria" w:hAnsi="Cambria"/>
          <w:sz w:val="20"/>
          <w:szCs w:val="20"/>
          <w:lang w:val="es-CO"/>
        </w:rPr>
        <w:t xml:space="preserve">. </w:t>
      </w:r>
    </w:p>
    <w:p w14:paraId="05CB4BB3" w14:textId="77777777" w:rsidR="003E10E6" w:rsidRPr="007607D3" w:rsidRDefault="003E10E6" w:rsidP="003E10E6">
      <w:pPr>
        <w:pStyle w:val="ListParagraph"/>
        <w:rPr>
          <w:sz w:val="20"/>
          <w:szCs w:val="20"/>
          <w:lang w:val="es-CO"/>
        </w:rPr>
      </w:pPr>
    </w:p>
    <w:p w14:paraId="6323C966" w14:textId="77777777" w:rsidR="003E10E6" w:rsidRPr="007607D3"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El 2 de agosto de 1995 el referido tribunal optó por instaurar un nuevo proceso judicial – teniendo en cuenta que la sentencia de los dos acusados de la primera acción ya se había dictado desde hace más de diez años</w:t>
      </w:r>
      <w:r w:rsidRPr="007607D3">
        <w:rPr>
          <w:rStyle w:val="FootnoteReference"/>
          <w:rFonts w:ascii="Cambria" w:hAnsi="Cambria"/>
          <w:sz w:val="20"/>
          <w:szCs w:val="20"/>
          <w:lang w:val="es-CO"/>
        </w:rPr>
        <w:footnoteReference w:id="75"/>
      </w:r>
      <w:r w:rsidRPr="007607D3">
        <w:rPr>
          <w:rFonts w:ascii="Cambria" w:hAnsi="Cambria"/>
          <w:sz w:val="20"/>
          <w:szCs w:val="20"/>
          <w:lang w:val="es-CO"/>
        </w:rPr>
        <w:t xml:space="preserve">. </w:t>
      </w:r>
    </w:p>
    <w:p w14:paraId="6EF230CF" w14:textId="77777777" w:rsidR="003E10E6" w:rsidRPr="007607D3" w:rsidRDefault="003E10E6" w:rsidP="003E10E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5C475E79" w14:textId="77777777" w:rsidR="003E10E6" w:rsidRPr="007607D3"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El 8 de agosto de 1995 el Juez de la Comarca de Alagoa Grande resolvió a través de un oficio que “es completamente inadmisible que las órdenes de detención decreta</w:t>
      </w:r>
      <w:r w:rsidR="00811395" w:rsidRPr="007607D3">
        <w:rPr>
          <w:rFonts w:ascii="Cambria" w:hAnsi="Cambria"/>
          <w:sz w:val="20"/>
          <w:szCs w:val="20"/>
          <w:lang w:val="es-CO"/>
        </w:rPr>
        <w:t>da</w:t>
      </w:r>
      <w:r w:rsidRPr="007607D3">
        <w:rPr>
          <w:rFonts w:ascii="Cambria" w:hAnsi="Cambria"/>
          <w:sz w:val="20"/>
          <w:szCs w:val="20"/>
          <w:lang w:val="es-CO"/>
        </w:rPr>
        <w:t>s en diciembre de 1985, contra los acusados Amaro y Amauri José do Rego, estén sin renovación desde entonces, lo cual debe ocurrir anualmente. Se renuevan los mandatos de detención, debiendo renovarse de ahora en adelante, cada año, remitiéndose copia a las autoridades competentes”. Después de esto, ordenó que “abra vista al MP (…) con este proceso casi listo para un nuevo juicio desde el 29.10.91, sin cualquier decisión”</w:t>
      </w:r>
      <w:r w:rsidRPr="007607D3">
        <w:rPr>
          <w:rStyle w:val="FootnoteReference"/>
          <w:rFonts w:ascii="Cambria" w:hAnsi="Cambria"/>
          <w:sz w:val="20"/>
          <w:szCs w:val="20"/>
          <w:lang w:val="es-CO"/>
        </w:rPr>
        <w:footnoteReference w:id="76"/>
      </w:r>
      <w:r w:rsidRPr="007607D3">
        <w:rPr>
          <w:rFonts w:ascii="Cambria" w:hAnsi="Cambria"/>
          <w:sz w:val="20"/>
          <w:szCs w:val="20"/>
          <w:lang w:val="es-CO"/>
        </w:rPr>
        <w:t xml:space="preserve">. </w:t>
      </w:r>
    </w:p>
    <w:p w14:paraId="390029BD" w14:textId="77777777" w:rsidR="003E10E6" w:rsidRPr="007607D3" w:rsidRDefault="003E10E6" w:rsidP="003E10E6">
      <w:pPr>
        <w:pStyle w:val="ListParagraph"/>
        <w:rPr>
          <w:sz w:val="20"/>
          <w:szCs w:val="20"/>
          <w:lang w:val="es-CO"/>
        </w:rPr>
      </w:pPr>
    </w:p>
    <w:p w14:paraId="564E1312" w14:textId="77777777" w:rsidR="003E10E6" w:rsidRPr="007607D3"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 xml:space="preserve">A continuación se describen las investigaciones complementarias así como el nuevo proceso judicial. </w:t>
      </w:r>
    </w:p>
    <w:p w14:paraId="0C3E8A76" w14:textId="77777777" w:rsidR="003E10E6" w:rsidRPr="007607D3" w:rsidRDefault="003E10E6" w:rsidP="003E10E6">
      <w:pPr>
        <w:pStyle w:val="ListParagraph"/>
        <w:rPr>
          <w:sz w:val="20"/>
          <w:szCs w:val="20"/>
          <w:lang w:val="es-CO"/>
        </w:rPr>
      </w:pPr>
    </w:p>
    <w:p w14:paraId="56527A14" w14:textId="77777777" w:rsidR="003E10E6" w:rsidRPr="007607D3"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En agosto de 1995 se solicitó la separación del juez a cargo del caso</w:t>
      </w:r>
      <w:r w:rsidRPr="007607D3">
        <w:rPr>
          <w:rStyle w:val="FootnoteReference"/>
          <w:rFonts w:ascii="Cambria" w:hAnsi="Cambria"/>
          <w:sz w:val="20"/>
          <w:szCs w:val="20"/>
          <w:lang w:val="es-CO"/>
        </w:rPr>
        <w:footnoteReference w:id="77"/>
      </w:r>
      <w:r w:rsidRPr="007607D3">
        <w:rPr>
          <w:rFonts w:ascii="Cambria" w:hAnsi="Cambria"/>
          <w:sz w:val="20"/>
          <w:szCs w:val="20"/>
          <w:lang w:val="es-CO"/>
        </w:rPr>
        <w:t>, sin embargo, según informaron los peticionarios, dicha solicitud fue declarada improcedente por el Superior Tribunal de Justicia</w:t>
      </w:r>
      <w:r w:rsidRPr="007607D3">
        <w:rPr>
          <w:rStyle w:val="FootnoteReference"/>
          <w:rFonts w:ascii="Cambria" w:hAnsi="Cambria"/>
          <w:sz w:val="20"/>
          <w:szCs w:val="20"/>
          <w:lang w:val="es-CO"/>
        </w:rPr>
        <w:footnoteReference w:id="78"/>
      </w:r>
      <w:r w:rsidRPr="007607D3">
        <w:rPr>
          <w:rFonts w:ascii="Cambria" w:hAnsi="Cambria"/>
          <w:sz w:val="20"/>
          <w:szCs w:val="20"/>
          <w:lang w:val="es-CO"/>
        </w:rPr>
        <w:t>. En 1995 en el marco del proceso se realizaron una serie de solicitudes de información para dar con el paradero de Amaro José do Rego y Amauri José do Rego,</w:t>
      </w:r>
      <w:r w:rsidR="00B66AE6" w:rsidRPr="007607D3">
        <w:rPr>
          <w:rFonts w:ascii="Cambria" w:hAnsi="Cambria"/>
          <w:sz w:val="20"/>
          <w:szCs w:val="20"/>
          <w:lang w:val="es-CO"/>
        </w:rPr>
        <w:t xml:space="preserve"> pero </w:t>
      </w:r>
      <w:r w:rsidRPr="007607D3">
        <w:rPr>
          <w:rFonts w:ascii="Cambria" w:hAnsi="Cambria"/>
          <w:sz w:val="20"/>
          <w:szCs w:val="20"/>
          <w:lang w:val="es-CO"/>
        </w:rPr>
        <w:t>las mismas fueron infructuosas</w:t>
      </w:r>
      <w:r w:rsidRPr="007607D3">
        <w:rPr>
          <w:rStyle w:val="FootnoteReference"/>
          <w:rFonts w:ascii="Cambria" w:hAnsi="Cambria"/>
          <w:sz w:val="20"/>
          <w:szCs w:val="20"/>
          <w:lang w:val="es-CO"/>
        </w:rPr>
        <w:footnoteReference w:id="79"/>
      </w:r>
      <w:r w:rsidRPr="007607D3">
        <w:rPr>
          <w:rFonts w:ascii="Cambria" w:hAnsi="Cambria"/>
          <w:sz w:val="20"/>
          <w:szCs w:val="20"/>
          <w:lang w:val="es-CO"/>
        </w:rPr>
        <w:t>.</w:t>
      </w:r>
    </w:p>
    <w:p w14:paraId="3522275C" w14:textId="77777777" w:rsidR="003E10E6" w:rsidRPr="007607D3"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lastRenderedPageBreak/>
        <w:t xml:space="preserve">El 3 de septiembre de 1998 Antônio Carlos Coutinho Régis fue nuevamente juzgado por el Tribunal de Jurados, </w:t>
      </w:r>
      <w:r w:rsidR="00072FC2" w:rsidRPr="007607D3">
        <w:rPr>
          <w:rFonts w:ascii="Cambria" w:hAnsi="Cambria"/>
          <w:sz w:val="20"/>
          <w:szCs w:val="20"/>
          <w:lang w:val="es-CO"/>
        </w:rPr>
        <w:t xml:space="preserve">siendo </w:t>
      </w:r>
      <w:r w:rsidRPr="007607D3">
        <w:rPr>
          <w:rFonts w:ascii="Cambria" w:hAnsi="Cambria"/>
          <w:sz w:val="20"/>
          <w:szCs w:val="20"/>
          <w:lang w:val="es-CO"/>
        </w:rPr>
        <w:t>nuevamente absuelto, por decisión unánime</w:t>
      </w:r>
      <w:r w:rsidRPr="007607D3">
        <w:rPr>
          <w:rStyle w:val="FootnoteReference"/>
          <w:rFonts w:ascii="Cambria" w:hAnsi="Cambria"/>
          <w:sz w:val="20"/>
          <w:szCs w:val="20"/>
          <w:lang w:val="es-CO"/>
        </w:rPr>
        <w:footnoteReference w:id="80"/>
      </w:r>
      <w:r w:rsidRPr="007607D3">
        <w:rPr>
          <w:rFonts w:ascii="Cambria" w:hAnsi="Cambria"/>
          <w:sz w:val="20"/>
          <w:szCs w:val="20"/>
          <w:lang w:val="es-CO"/>
        </w:rPr>
        <w:t xml:space="preserve">. </w:t>
      </w:r>
    </w:p>
    <w:p w14:paraId="7A4CC2F2" w14:textId="77777777" w:rsidR="003B42CF" w:rsidRPr="007607D3" w:rsidRDefault="003B42CF" w:rsidP="00AD7E8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es-CO"/>
        </w:rPr>
      </w:pPr>
    </w:p>
    <w:p w14:paraId="6DDFA58A" w14:textId="77777777" w:rsidR="003B42CF" w:rsidRPr="007607D3" w:rsidRDefault="003B42CF" w:rsidP="003B42C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lang w:val="es-VE"/>
        </w:rPr>
      </w:pPr>
      <w:r w:rsidRPr="007607D3">
        <w:rPr>
          <w:rFonts w:ascii="Cambria" w:hAnsi="Cambria"/>
          <w:sz w:val="20"/>
          <w:szCs w:val="20"/>
          <w:lang w:val="es-VE"/>
        </w:rPr>
        <w:t>El 30 de diciembre de 1999 el Juez Gutemberg se refirió a la situación del expediente luego de que fue removido del conocimiento del caso indicando que todo está en la misma situación “ningún juzgado, ningún condenado, ningún absuelto”</w:t>
      </w:r>
      <w:r w:rsidRPr="007607D3">
        <w:rPr>
          <w:rStyle w:val="FootnoteReference"/>
          <w:rFonts w:ascii="Cambria" w:hAnsi="Cambria"/>
          <w:sz w:val="20"/>
          <w:szCs w:val="20"/>
          <w:lang w:val="es-CO"/>
        </w:rPr>
        <w:footnoteReference w:id="81"/>
      </w:r>
      <w:r w:rsidRPr="007607D3">
        <w:rPr>
          <w:rFonts w:ascii="Cambria" w:hAnsi="Cambria"/>
          <w:sz w:val="20"/>
          <w:szCs w:val="20"/>
          <w:lang w:val="es-VE"/>
        </w:rPr>
        <w:t xml:space="preserve">. </w:t>
      </w:r>
    </w:p>
    <w:p w14:paraId="37DE8111" w14:textId="77777777" w:rsidR="003E10E6" w:rsidRPr="007607D3" w:rsidRDefault="003E10E6" w:rsidP="00455EFD">
      <w:pPr>
        <w:rPr>
          <w:sz w:val="20"/>
          <w:szCs w:val="20"/>
          <w:lang w:val="es-CO"/>
        </w:rPr>
      </w:pPr>
    </w:p>
    <w:p w14:paraId="6E0A2C3C" w14:textId="77777777" w:rsidR="003E10E6" w:rsidRPr="007607D3"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 xml:space="preserve">Con posterioridad en el año 2003, fueron sucesivamente renovadas las órdenes de detención contra </w:t>
      </w:r>
      <w:r w:rsidRPr="007607D3">
        <w:rPr>
          <w:rFonts w:ascii="Cambria" w:hAnsi="Cambria"/>
          <w:sz w:val="20"/>
          <w:szCs w:val="20"/>
          <w:lang w:val="es-VE"/>
        </w:rPr>
        <w:t>Amauri José do Rego</w:t>
      </w:r>
      <w:r w:rsidRPr="007607D3">
        <w:rPr>
          <w:rStyle w:val="FootnoteReference"/>
          <w:rFonts w:ascii="Cambria" w:hAnsi="Cambria"/>
          <w:sz w:val="20"/>
          <w:szCs w:val="20"/>
          <w:lang w:val="es-CO"/>
        </w:rPr>
        <w:footnoteReference w:id="82"/>
      </w:r>
      <w:r w:rsidRPr="007607D3">
        <w:rPr>
          <w:rFonts w:ascii="Cambria" w:hAnsi="Cambria"/>
          <w:sz w:val="20"/>
          <w:szCs w:val="20"/>
          <w:lang w:val="es-VE"/>
        </w:rPr>
        <w:t xml:space="preserve"> y Amaro José do Rego</w:t>
      </w:r>
      <w:r w:rsidRPr="007607D3">
        <w:rPr>
          <w:rStyle w:val="FootnoteReference"/>
          <w:rFonts w:ascii="Cambria" w:hAnsi="Cambria"/>
          <w:sz w:val="20"/>
          <w:szCs w:val="20"/>
          <w:lang w:val="es-CO"/>
        </w:rPr>
        <w:footnoteReference w:id="83"/>
      </w:r>
      <w:r w:rsidRPr="007607D3">
        <w:rPr>
          <w:rFonts w:ascii="Cambria" w:hAnsi="Cambria"/>
          <w:sz w:val="20"/>
          <w:szCs w:val="20"/>
          <w:lang w:val="es-VE"/>
        </w:rPr>
        <w:t>.</w:t>
      </w:r>
    </w:p>
    <w:p w14:paraId="174FE971" w14:textId="77777777" w:rsidR="003E10E6" w:rsidRPr="007607D3" w:rsidRDefault="003E10E6" w:rsidP="003E10E6">
      <w:pPr>
        <w:tabs>
          <w:tab w:val="left" w:pos="1440"/>
        </w:tabs>
        <w:jc w:val="both"/>
        <w:rPr>
          <w:sz w:val="22"/>
          <w:szCs w:val="22"/>
          <w:lang w:val="es-VE"/>
        </w:rPr>
      </w:pPr>
    </w:p>
    <w:p w14:paraId="6FBB6066" w14:textId="77777777" w:rsidR="003E10E6" w:rsidRPr="007607D3" w:rsidRDefault="0092336D"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Del expediente surge que e</w:t>
      </w:r>
      <w:r w:rsidR="003E10E6" w:rsidRPr="007607D3">
        <w:rPr>
          <w:rFonts w:ascii="Cambria" w:hAnsi="Cambria"/>
          <w:sz w:val="20"/>
          <w:szCs w:val="20"/>
          <w:lang w:val="es-CO"/>
        </w:rPr>
        <w:t xml:space="preserve">ntre 2007 y noviembre de 2009 no se registró actividad procesal. </w:t>
      </w:r>
    </w:p>
    <w:p w14:paraId="026E2CC8" w14:textId="77777777" w:rsidR="003E10E6" w:rsidRPr="007607D3" w:rsidRDefault="003E10E6" w:rsidP="003E10E6">
      <w:pPr>
        <w:pStyle w:val="ListParagraph"/>
        <w:rPr>
          <w:sz w:val="20"/>
          <w:szCs w:val="20"/>
          <w:lang w:val="es-CO"/>
        </w:rPr>
      </w:pPr>
    </w:p>
    <w:p w14:paraId="57B8B4B8" w14:textId="77777777" w:rsidR="003E10E6" w:rsidRPr="007607D3"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El 10 de diciembre de 2009 se declaró la prescripción del juicio contra Amauri José do Rego y Amaro José do Rego</w:t>
      </w:r>
      <w:r w:rsidRPr="007607D3">
        <w:rPr>
          <w:rStyle w:val="FootnoteReference"/>
          <w:rFonts w:ascii="Cambria" w:hAnsi="Cambria"/>
          <w:sz w:val="20"/>
          <w:szCs w:val="20"/>
          <w:lang w:val="es-CO"/>
        </w:rPr>
        <w:footnoteReference w:id="84"/>
      </w:r>
      <w:r w:rsidRPr="007607D3">
        <w:rPr>
          <w:rFonts w:ascii="Cambria" w:hAnsi="Cambria"/>
          <w:sz w:val="20"/>
          <w:szCs w:val="20"/>
          <w:lang w:val="es-CO"/>
        </w:rPr>
        <w:t>. Por consiguiente, el expediente judicial fue archivado</w:t>
      </w:r>
      <w:r w:rsidRPr="007607D3">
        <w:rPr>
          <w:rStyle w:val="FootnoteReference"/>
          <w:rFonts w:ascii="Cambria" w:hAnsi="Cambria"/>
          <w:sz w:val="20"/>
          <w:szCs w:val="20"/>
          <w:lang w:val="es-CO"/>
        </w:rPr>
        <w:footnoteReference w:id="85"/>
      </w:r>
      <w:r w:rsidRPr="007607D3">
        <w:rPr>
          <w:rFonts w:ascii="Cambria" w:hAnsi="Cambria"/>
          <w:sz w:val="20"/>
          <w:szCs w:val="20"/>
          <w:lang w:val="es-CO"/>
        </w:rPr>
        <w:t>.</w:t>
      </w:r>
    </w:p>
    <w:p w14:paraId="63F9DC4C" w14:textId="77777777" w:rsidR="003E10E6" w:rsidRPr="007607D3" w:rsidRDefault="003E10E6" w:rsidP="003E10E6">
      <w:pPr>
        <w:pStyle w:val="Heading3"/>
        <w:numPr>
          <w:ilvl w:val="1"/>
          <w:numId w:val="54"/>
        </w:numPr>
        <w:tabs>
          <w:tab w:val="clear" w:pos="1800"/>
          <w:tab w:val="num" w:pos="1440"/>
        </w:tabs>
        <w:ind w:hanging="1080"/>
        <w:rPr>
          <w:sz w:val="20"/>
          <w:szCs w:val="20"/>
          <w:lang w:val="es-CO"/>
        </w:rPr>
      </w:pPr>
      <w:bookmarkStart w:id="19" w:name="_Toc86071595"/>
      <w:r w:rsidRPr="007607D3">
        <w:rPr>
          <w:rFonts w:asciiTheme="majorHAnsi" w:hAnsiTheme="majorHAnsi"/>
          <w:sz w:val="20"/>
          <w:szCs w:val="20"/>
          <w:lang w:val="es-CO"/>
        </w:rPr>
        <w:t>Investigación complementaria con base en el testimonio de Maria do Socorro Neves</w:t>
      </w:r>
      <w:bookmarkEnd w:id="19"/>
      <w:r w:rsidRPr="007607D3">
        <w:rPr>
          <w:rFonts w:asciiTheme="majorHAnsi" w:hAnsiTheme="majorHAnsi"/>
          <w:sz w:val="20"/>
          <w:szCs w:val="20"/>
          <w:lang w:val="es-CO"/>
        </w:rPr>
        <w:t xml:space="preserve"> </w:t>
      </w:r>
    </w:p>
    <w:p w14:paraId="03853E35" w14:textId="77777777" w:rsidR="003E10E6" w:rsidRPr="007607D3" w:rsidRDefault="003E10E6" w:rsidP="003E10E6">
      <w:pPr>
        <w:rPr>
          <w:lang w:val="es-CO"/>
        </w:rPr>
      </w:pPr>
    </w:p>
    <w:p w14:paraId="29B02EA1" w14:textId="77777777" w:rsidR="003E10E6" w:rsidRPr="007607D3"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El 1 de agosto de 1986 rindió testimonio ante la Policía Civil de Alagoa Grande, Maria Do Socorro Neves de Araújo, esposa de Severino de Genésio supuestamente involucrado en la comisión del delito en contra de la presunta víctima</w:t>
      </w:r>
      <w:r w:rsidRPr="007607D3">
        <w:rPr>
          <w:rFonts w:ascii="Cambria" w:hAnsi="Cambria"/>
          <w:sz w:val="20"/>
          <w:szCs w:val="20"/>
          <w:vertAlign w:val="superscript"/>
          <w:lang w:val="es-CO"/>
        </w:rPr>
        <w:footnoteReference w:id="86"/>
      </w:r>
      <w:r w:rsidRPr="007607D3">
        <w:rPr>
          <w:rFonts w:ascii="Cambria" w:hAnsi="Cambria"/>
          <w:sz w:val="20"/>
          <w:szCs w:val="20"/>
          <w:lang w:val="es-CO"/>
        </w:rPr>
        <w:t xml:space="preserve">. Dicha persona declaró que el asesinato fue planeado por el Grupo de Várzea. Asimismo, refirió que su esposo acompañó a Edmar Paes de Araújo, un terrateniente y al soldado Betâneo Carneiro dos Santos hasta la casa de Margarida </w:t>
      </w:r>
      <w:r w:rsidRPr="007607D3">
        <w:rPr>
          <w:rFonts w:ascii="Cambria" w:eastAsia="Calibri" w:hAnsi="Cambria"/>
          <w:sz w:val="20"/>
          <w:szCs w:val="20"/>
          <w:lang w:val="es-CO"/>
        </w:rPr>
        <w:t>Maria Alves</w:t>
      </w:r>
      <w:r w:rsidRPr="007607D3">
        <w:rPr>
          <w:rFonts w:ascii="Cambria" w:hAnsi="Cambria"/>
          <w:sz w:val="20"/>
          <w:szCs w:val="20"/>
          <w:lang w:val="es-CO"/>
        </w:rPr>
        <w:t xml:space="preserve"> en la noche anterior a su asesinato a bordo de un </w:t>
      </w:r>
      <w:r w:rsidRPr="007607D3">
        <w:rPr>
          <w:rFonts w:ascii="Cambria" w:hAnsi="Cambria"/>
          <w:sz w:val="20"/>
          <w:szCs w:val="20"/>
          <w:lang w:val="es-CO"/>
        </w:rPr>
        <w:lastRenderedPageBreak/>
        <w:t>carro Opala rojo</w:t>
      </w:r>
      <w:r w:rsidRPr="007607D3">
        <w:rPr>
          <w:rStyle w:val="FootnoteReference"/>
          <w:rFonts w:ascii="Cambria" w:hAnsi="Cambria"/>
          <w:sz w:val="20"/>
          <w:szCs w:val="20"/>
          <w:lang w:val="es-CO"/>
        </w:rPr>
        <w:footnoteReference w:id="87"/>
      </w:r>
      <w:r w:rsidRPr="007607D3">
        <w:rPr>
          <w:rFonts w:ascii="Cambria" w:hAnsi="Cambria"/>
          <w:sz w:val="20"/>
          <w:szCs w:val="20"/>
          <w:lang w:val="es-CO"/>
        </w:rPr>
        <w:t>.  Por otra parte, indicó que cuando su esposo comenzó a hablar del asesinato fue amenazado por Edmar Paes de Araújo quien le dijo que se callara o “podía mandarlo a quemar”. Refirió que  su esposo fue encontrado muerto fuera de su carro el 13 de enero de 1986</w:t>
      </w:r>
      <w:r w:rsidRPr="007607D3">
        <w:rPr>
          <w:rStyle w:val="FootnoteReference"/>
          <w:rFonts w:ascii="Cambria" w:hAnsi="Cambria"/>
          <w:sz w:val="20"/>
          <w:szCs w:val="20"/>
          <w:lang w:val="es-CO"/>
        </w:rPr>
        <w:footnoteReference w:id="88"/>
      </w:r>
      <w:r w:rsidRPr="007607D3">
        <w:rPr>
          <w:rFonts w:ascii="Cambria" w:hAnsi="Cambria"/>
          <w:sz w:val="20"/>
          <w:szCs w:val="20"/>
          <w:lang w:val="es-CO"/>
        </w:rPr>
        <w:t xml:space="preserve">.  </w:t>
      </w:r>
    </w:p>
    <w:p w14:paraId="66F992E1" w14:textId="77777777" w:rsidR="003E10E6" w:rsidRPr="007607D3" w:rsidRDefault="003E10E6" w:rsidP="003E10E6">
      <w:pPr>
        <w:tabs>
          <w:tab w:val="left" w:pos="1440"/>
          <w:tab w:val="num" w:pos="2040"/>
        </w:tabs>
        <w:ind w:left="720"/>
        <w:jc w:val="both"/>
        <w:rPr>
          <w:rFonts w:ascii="Cambria" w:hAnsi="Cambria"/>
          <w:sz w:val="20"/>
          <w:szCs w:val="20"/>
          <w:lang w:val="es-CO"/>
        </w:rPr>
      </w:pPr>
    </w:p>
    <w:p w14:paraId="0F84AB04" w14:textId="77777777" w:rsidR="003E10E6" w:rsidRPr="007607D3"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Indicó en dicho testimonio que el Sargento Aldenis Cunha la buscó para decirle que el asesinato de su esposo había sido una “quema de archivos”, y que Bet</w:t>
      </w:r>
      <w:r w:rsidR="005E2512" w:rsidRPr="007607D3">
        <w:rPr>
          <w:rFonts w:ascii="Cambria" w:hAnsi="Cambria"/>
          <w:sz w:val="20"/>
          <w:szCs w:val="20"/>
          <w:lang w:val="es-CO"/>
        </w:rPr>
        <w:t>â</w:t>
      </w:r>
      <w:r w:rsidRPr="007607D3">
        <w:rPr>
          <w:rFonts w:ascii="Cambria" w:hAnsi="Cambria"/>
          <w:sz w:val="20"/>
          <w:szCs w:val="20"/>
          <w:lang w:val="es-CO"/>
        </w:rPr>
        <w:t>neo Carneiro fue el responsable de su asesinato</w:t>
      </w:r>
      <w:r w:rsidRPr="007607D3">
        <w:rPr>
          <w:rStyle w:val="FootnoteReference"/>
          <w:rFonts w:ascii="Cambria" w:hAnsi="Cambria"/>
          <w:sz w:val="20"/>
          <w:szCs w:val="20"/>
          <w:lang w:val="es-CO"/>
        </w:rPr>
        <w:footnoteReference w:id="89"/>
      </w:r>
      <w:r w:rsidR="002031E7" w:rsidRPr="007607D3">
        <w:rPr>
          <w:rFonts w:ascii="Cambria" w:hAnsi="Cambria"/>
          <w:sz w:val="20"/>
          <w:szCs w:val="20"/>
          <w:lang w:val="es-CO"/>
        </w:rPr>
        <w:t>.</w:t>
      </w:r>
      <w:r w:rsidRPr="007607D3">
        <w:rPr>
          <w:rFonts w:ascii="Cambria" w:hAnsi="Cambria"/>
          <w:sz w:val="20"/>
          <w:szCs w:val="20"/>
          <w:lang w:val="es-CO"/>
        </w:rPr>
        <w:t xml:space="preserve"> Según información de público conocimiento, en julio de 1986 el sargento Aldenis Cunha Lima fue asesinado</w:t>
      </w:r>
      <w:r w:rsidRPr="007607D3">
        <w:rPr>
          <w:rStyle w:val="FootnoteReference"/>
          <w:rFonts w:ascii="Cambria" w:hAnsi="Cambria"/>
          <w:sz w:val="20"/>
          <w:szCs w:val="20"/>
          <w:lang w:val="es-CO"/>
        </w:rPr>
        <w:footnoteReference w:id="90"/>
      </w:r>
      <w:r w:rsidRPr="007607D3">
        <w:rPr>
          <w:rFonts w:ascii="Cambria" w:hAnsi="Cambria"/>
          <w:sz w:val="20"/>
          <w:szCs w:val="20"/>
          <w:lang w:val="es-CO"/>
        </w:rPr>
        <w:t>.   Edmar Paes de Araújo falleció en 1986</w:t>
      </w:r>
      <w:r w:rsidRPr="007607D3">
        <w:rPr>
          <w:rStyle w:val="FootnoteReference"/>
          <w:rFonts w:ascii="Cambria" w:hAnsi="Cambria"/>
          <w:sz w:val="20"/>
          <w:szCs w:val="20"/>
          <w:lang w:val="es-CO"/>
        </w:rPr>
        <w:footnoteReference w:id="91"/>
      </w:r>
      <w:r w:rsidRPr="007607D3">
        <w:rPr>
          <w:rFonts w:ascii="Cambria" w:hAnsi="Cambria"/>
          <w:sz w:val="20"/>
          <w:szCs w:val="20"/>
          <w:lang w:val="es-CO"/>
        </w:rPr>
        <w:t>.</w:t>
      </w:r>
    </w:p>
    <w:p w14:paraId="6FA173CB" w14:textId="77777777" w:rsidR="003E10E6" w:rsidRPr="007607D3" w:rsidRDefault="003E10E6" w:rsidP="003E10E6">
      <w:pPr>
        <w:tabs>
          <w:tab w:val="left" w:pos="1440"/>
          <w:tab w:val="num" w:pos="2040"/>
        </w:tabs>
        <w:jc w:val="both"/>
        <w:rPr>
          <w:rFonts w:ascii="Cambria" w:hAnsi="Cambria"/>
          <w:sz w:val="20"/>
          <w:szCs w:val="20"/>
          <w:lang w:val="es-CO"/>
        </w:rPr>
      </w:pPr>
    </w:p>
    <w:p w14:paraId="1FE42D8E" w14:textId="77777777" w:rsidR="007C10F0" w:rsidRPr="007607D3" w:rsidRDefault="003E10E6" w:rsidP="007C10F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En virtud de dicho testimonio, el 31 de octubre de 1991 por solicitud del Ministerio Público se realizaron nuevas investigaciones en la forma de autos complementar</w:t>
      </w:r>
      <w:r w:rsidR="00373806" w:rsidRPr="007607D3">
        <w:rPr>
          <w:rFonts w:ascii="Cambria" w:hAnsi="Cambria"/>
          <w:sz w:val="20"/>
          <w:szCs w:val="20"/>
          <w:lang w:val="es-CO"/>
        </w:rPr>
        <w:t>ios</w:t>
      </w:r>
      <w:r w:rsidRPr="007607D3">
        <w:rPr>
          <w:rFonts w:ascii="Cambria" w:hAnsi="Cambria"/>
          <w:sz w:val="20"/>
          <w:szCs w:val="20"/>
          <w:lang w:val="es-CO"/>
        </w:rPr>
        <w:t xml:space="preserve"> a la Investigación Policial 023/83, de 31 de octubre de 1991</w:t>
      </w:r>
      <w:r w:rsidRPr="007607D3">
        <w:rPr>
          <w:rFonts w:ascii="Cambria" w:hAnsi="Cambria"/>
          <w:sz w:val="20"/>
          <w:szCs w:val="20"/>
          <w:vertAlign w:val="superscript"/>
          <w:lang w:val="es-CO"/>
        </w:rPr>
        <w:footnoteReference w:id="92"/>
      </w:r>
      <w:r w:rsidRPr="007607D3">
        <w:rPr>
          <w:rFonts w:ascii="Cambria" w:hAnsi="Cambria"/>
          <w:sz w:val="20"/>
          <w:szCs w:val="20"/>
          <w:lang w:val="es-CO"/>
        </w:rPr>
        <w:t>.</w:t>
      </w:r>
    </w:p>
    <w:p w14:paraId="0FB46F57" w14:textId="77777777" w:rsidR="007C10F0" w:rsidRPr="007607D3" w:rsidRDefault="007C10F0" w:rsidP="007C10F0">
      <w:pPr>
        <w:pStyle w:val="ListParagraph"/>
        <w:rPr>
          <w:sz w:val="20"/>
          <w:szCs w:val="20"/>
          <w:lang w:val="es-CO"/>
        </w:rPr>
      </w:pPr>
    </w:p>
    <w:p w14:paraId="18200C6A" w14:textId="77777777" w:rsidR="003E10E6" w:rsidRPr="007607D3" w:rsidRDefault="003E10E6" w:rsidP="007C10F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El 9 de septiembre de 1991 rindió declaración Luiz Silva, trabajador vinculado a la Central Única de los Trabajadores quien refirió que en la época del crimen se dio una reunión entre Aguinaldo Veloso Borges, Zito Buarque</w:t>
      </w:r>
      <w:r w:rsidR="005C4D72" w:rsidRPr="007607D3">
        <w:rPr>
          <w:rFonts w:ascii="Cambria" w:hAnsi="Cambria"/>
          <w:sz w:val="20"/>
          <w:szCs w:val="20"/>
          <w:lang w:val="es-CO"/>
        </w:rPr>
        <w:t xml:space="preserve"> (su yerno)</w:t>
      </w:r>
      <w:r w:rsidRPr="007607D3">
        <w:rPr>
          <w:rFonts w:ascii="Cambria" w:hAnsi="Cambria"/>
          <w:sz w:val="20"/>
          <w:szCs w:val="20"/>
          <w:lang w:val="es-CO"/>
        </w:rPr>
        <w:t xml:space="preserve">, Edmar Paes de Araújo (conocido como Maizinho), Branco Pereira  y Antonio de Almeida Régis, en la que se planificó el asesinato de Margarida Maria Alves. Refirió que Mazinho y Zito Buarque fueron los articuladores del crimen y que Severino de Genésio, algún tiempo después del crimen recibía dinero de Mazinho y de Zito Buarque y que cuando dejaron de darle dinero, este comenzó a beber y amenazar con contar todo lo que sabía del delito, hasta ser eliminado por el soldado </w:t>
      </w:r>
      <w:r w:rsidR="0054002A" w:rsidRPr="007607D3">
        <w:rPr>
          <w:rFonts w:ascii="Cambria" w:hAnsi="Cambria"/>
          <w:sz w:val="20"/>
          <w:szCs w:val="20"/>
          <w:lang w:val="es-CO"/>
        </w:rPr>
        <w:t>Betânio</w:t>
      </w:r>
      <w:r w:rsidRPr="007607D3">
        <w:rPr>
          <w:rFonts w:ascii="Cambria" w:hAnsi="Cambria"/>
          <w:sz w:val="20"/>
          <w:szCs w:val="20"/>
          <w:lang w:val="es-CO"/>
        </w:rPr>
        <w:t>, por orden de Mazinho</w:t>
      </w:r>
      <w:r w:rsidRPr="007607D3">
        <w:rPr>
          <w:rStyle w:val="FootnoteReference"/>
          <w:rFonts w:ascii="Cambria" w:hAnsi="Cambria"/>
          <w:sz w:val="20"/>
          <w:szCs w:val="20"/>
          <w:lang w:val="es-CO"/>
        </w:rPr>
        <w:footnoteReference w:id="93"/>
      </w:r>
      <w:r w:rsidRPr="007607D3">
        <w:rPr>
          <w:rFonts w:ascii="Cambria" w:hAnsi="Cambria"/>
          <w:sz w:val="20"/>
          <w:szCs w:val="20"/>
          <w:lang w:val="es-CO"/>
        </w:rPr>
        <w:t>. En similar sentido declararon otras personas</w:t>
      </w:r>
      <w:r w:rsidRPr="007607D3">
        <w:rPr>
          <w:rStyle w:val="FootnoteReference"/>
          <w:rFonts w:ascii="Cambria" w:hAnsi="Cambria"/>
          <w:sz w:val="20"/>
          <w:szCs w:val="20"/>
          <w:lang w:val="es-CO"/>
        </w:rPr>
        <w:footnoteReference w:id="94"/>
      </w:r>
      <w:r w:rsidRPr="007607D3">
        <w:rPr>
          <w:rFonts w:ascii="Cambria" w:hAnsi="Cambria"/>
          <w:sz w:val="20"/>
          <w:szCs w:val="20"/>
          <w:lang w:val="es-CO"/>
        </w:rPr>
        <w:t>.</w:t>
      </w:r>
    </w:p>
    <w:p w14:paraId="2088EDA4" w14:textId="77777777" w:rsidR="003E10E6" w:rsidRPr="007607D3" w:rsidRDefault="003E10E6" w:rsidP="003E10E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es-CO"/>
        </w:rPr>
      </w:pPr>
    </w:p>
    <w:p w14:paraId="401169B8" w14:textId="77777777" w:rsidR="003E10E6" w:rsidRPr="007607D3"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 xml:space="preserve">Consta también la declaración de Genilson Jorge Santos, funcionario municipal que trabajaba en la Delegación </w:t>
      </w:r>
      <w:r w:rsidR="00A05C18" w:rsidRPr="007607D3">
        <w:rPr>
          <w:rFonts w:ascii="Cambria" w:hAnsi="Cambria"/>
          <w:sz w:val="20"/>
          <w:szCs w:val="20"/>
          <w:lang w:val="es-CO"/>
        </w:rPr>
        <w:t>d</w:t>
      </w:r>
      <w:r w:rsidRPr="007607D3">
        <w:rPr>
          <w:rFonts w:ascii="Cambria" w:hAnsi="Cambria"/>
          <w:sz w:val="20"/>
          <w:szCs w:val="20"/>
          <w:lang w:val="es-CO"/>
        </w:rPr>
        <w:t>el soldado Betâneo Carneiro dos Santos a la época de los hechos</w:t>
      </w:r>
      <w:r w:rsidRPr="007607D3">
        <w:rPr>
          <w:rStyle w:val="FootnoteReference"/>
          <w:rFonts w:ascii="Cambria" w:hAnsi="Cambria"/>
          <w:sz w:val="20"/>
          <w:szCs w:val="20"/>
          <w:lang w:val="es-CO"/>
        </w:rPr>
        <w:footnoteReference w:id="95"/>
      </w:r>
      <w:r w:rsidR="00A05C18" w:rsidRPr="007607D3">
        <w:rPr>
          <w:rFonts w:ascii="Cambria" w:hAnsi="Cambria"/>
          <w:sz w:val="20"/>
          <w:szCs w:val="20"/>
          <w:lang w:val="es-CO"/>
        </w:rPr>
        <w:t xml:space="preserve"> </w:t>
      </w:r>
      <w:r w:rsidRPr="007607D3">
        <w:rPr>
          <w:rFonts w:ascii="Cambria" w:hAnsi="Cambria"/>
          <w:sz w:val="20"/>
          <w:szCs w:val="20"/>
          <w:lang w:val="es-CO"/>
        </w:rPr>
        <w:t>quien indicó que el soldado Betâneo Carneiro dos Santos y</w:t>
      </w:r>
      <w:r w:rsidR="004E00EA" w:rsidRPr="007607D3">
        <w:rPr>
          <w:rFonts w:ascii="Cambria" w:hAnsi="Cambria"/>
          <w:sz w:val="20"/>
          <w:szCs w:val="20"/>
          <w:lang w:val="es-CO"/>
        </w:rPr>
        <w:t xml:space="preserve"> el Sargento Aldenis Cunha Lima</w:t>
      </w:r>
      <w:r w:rsidRPr="007607D3">
        <w:rPr>
          <w:rFonts w:ascii="Cambria" w:hAnsi="Cambria"/>
          <w:sz w:val="20"/>
          <w:szCs w:val="20"/>
          <w:lang w:val="es-CO"/>
        </w:rPr>
        <w:t xml:space="preserve"> estaban involucrados en la muerte de la líder campesina Margarida Maria Alves</w:t>
      </w:r>
      <w:r w:rsidRPr="007607D3">
        <w:rPr>
          <w:rStyle w:val="FootnoteReference"/>
          <w:rFonts w:ascii="Cambria" w:hAnsi="Cambria"/>
          <w:sz w:val="20"/>
          <w:szCs w:val="20"/>
          <w:lang w:val="es-CO"/>
        </w:rPr>
        <w:footnoteReference w:id="96"/>
      </w:r>
      <w:r w:rsidRPr="007607D3">
        <w:rPr>
          <w:rFonts w:ascii="Cambria" w:hAnsi="Cambria"/>
          <w:sz w:val="20"/>
          <w:szCs w:val="20"/>
          <w:lang w:val="es-CO"/>
        </w:rPr>
        <w:t>.</w:t>
      </w:r>
    </w:p>
    <w:p w14:paraId="77119A12" w14:textId="77777777" w:rsidR="003E10E6" w:rsidRPr="007607D3" w:rsidRDefault="003E10E6" w:rsidP="003E10E6">
      <w:pPr>
        <w:pStyle w:val="ListParagraph"/>
        <w:rPr>
          <w:sz w:val="20"/>
          <w:szCs w:val="20"/>
          <w:lang w:val="es-CO"/>
        </w:rPr>
      </w:pPr>
    </w:p>
    <w:p w14:paraId="7950A9C2" w14:textId="77777777" w:rsidR="003E10E6" w:rsidRPr="007607D3"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 xml:space="preserve">El 31 de octubre de 1991 la investigación 023/83 concluyó que </w:t>
      </w:r>
      <w:r w:rsidR="008C10AE" w:rsidRPr="007607D3">
        <w:rPr>
          <w:rFonts w:ascii="Cambria" w:hAnsi="Cambria"/>
          <w:sz w:val="20"/>
          <w:szCs w:val="20"/>
          <w:lang w:val="es-CO"/>
        </w:rPr>
        <w:t xml:space="preserve">quienes ordenaron </w:t>
      </w:r>
      <w:r w:rsidRPr="007607D3">
        <w:rPr>
          <w:rFonts w:ascii="Cambria" w:hAnsi="Cambria"/>
          <w:sz w:val="20"/>
          <w:szCs w:val="20"/>
          <w:lang w:val="es-CO"/>
        </w:rPr>
        <w:t>el asesinato de la presunta víctima fueron Aguinaldo Veloso Borges y su yerno José Buarque de Gusmão Neto, propietarios de la Usina Tanques. Solamente el último fue procesado, ya que Aguinaldo Veloso Borges falleció en 1990</w:t>
      </w:r>
      <w:r w:rsidRPr="007607D3">
        <w:rPr>
          <w:rStyle w:val="FootnoteReference"/>
          <w:rFonts w:ascii="Cambria" w:hAnsi="Cambria"/>
          <w:sz w:val="20"/>
          <w:szCs w:val="20"/>
          <w:lang w:val="es-CO"/>
        </w:rPr>
        <w:footnoteReference w:id="97"/>
      </w:r>
      <w:r w:rsidRPr="007607D3">
        <w:rPr>
          <w:rFonts w:ascii="Cambria" w:hAnsi="Cambria"/>
          <w:sz w:val="20"/>
          <w:szCs w:val="20"/>
          <w:lang w:val="es-CO"/>
        </w:rPr>
        <w:t xml:space="preserve">. </w:t>
      </w:r>
    </w:p>
    <w:p w14:paraId="268D762F" w14:textId="77777777" w:rsidR="003E10E6" w:rsidRPr="007607D3" w:rsidRDefault="003E10E6" w:rsidP="003E10E6">
      <w:pPr>
        <w:pStyle w:val="ListParagraph"/>
        <w:rPr>
          <w:sz w:val="20"/>
          <w:szCs w:val="20"/>
          <w:lang w:val="es-CO"/>
        </w:rPr>
      </w:pPr>
    </w:p>
    <w:p w14:paraId="1BFBA28C" w14:textId="77777777" w:rsidR="003E10E6" w:rsidRPr="007607D3"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El 12 de diciembre de 1991 el Delegado de Policía Civil emitió un Informe Final sobre la investigación concluyendo que “Margarida Maria Alves fue ejecutada por el soldado y pistolero</w:t>
      </w:r>
      <w:r w:rsidR="007C10F0" w:rsidRPr="007607D3">
        <w:rPr>
          <w:rFonts w:ascii="Cambria" w:hAnsi="Cambria"/>
          <w:sz w:val="20"/>
          <w:szCs w:val="20"/>
          <w:lang w:val="es-CO"/>
        </w:rPr>
        <w:t xml:space="preserve"> Betânio </w:t>
      </w:r>
      <w:r w:rsidRPr="007607D3">
        <w:rPr>
          <w:rFonts w:ascii="Cambria" w:hAnsi="Cambria"/>
          <w:sz w:val="20"/>
          <w:szCs w:val="20"/>
          <w:lang w:val="es-CO"/>
        </w:rPr>
        <w:t>Carneiro dos Santos, siendo auxiliado por el comerciante Severino Carneiro de Araujo, uno o dos pistoleros, bajo la orden de  Aguinaldo Veloso Borges y su yerno José Buarque de Gusmão Neto”</w:t>
      </w:r>
      <w:r w:rsidRPr="007607D3">
        <w:rPr>
          <w:rStyle w:val="FootnoteReference"/>
          <w:rFonts w:ascii="Cambria" w:hAnsi="Cambria"/>
          <w:sz w:val="20"/>
          <w:szCs w:val="20"/>
          <w:lang w:val="es-CO"/>
        </w:rPr>
        <w:footnoteReference w:id="98"/>
      </w:r>
      <w:r w:rsidRPr="007607D3">
        <w:rPr>
          <w:rFonts w:ascii="Cambria" w:hAnsi="Cambria"/>
          <w:sz w:val="20"/>
          <w:szCs w:val="20"/>
          <w:lang w:val="es-CO"/>
        </w:rPr>
        <w:t xml:space="preserve">. </w:t>
      </w:r>
    </w:p>
    <w:p w14:paraId="1F97948D" w14:textId="77777777" w:rsidR="003E10E6" w:rsidRPr="007607D3" w:rsidRDefault="003E10E6" w:rsidP="00FB6E71">
      <w:pPr>
        <w:pStyle w:val="Heading3"/>
        <w:numPr>
          <w:ilvl w:val="1"/>
          <w:numId w:val="54"/>
        </w:numPr>
        <w:tabs>
          <w:tab w:val="clear" w:pos="1800"/>
          <w:tab w:val="num" w:pos="1440"/>
        </w:tabs>
        <w:ind w:hanging="1080"/>
        <w:rPr>
          <w:rFonts w:asciiTheme="majorHAnsi" w:hAnsiTheme="majorHAnsi"/>
          <w:sz w:val="20"/>
          <w:szCs w:val="20"/>
          <w:lang w:val="es-CO"/>
        </w:rPr>
      </w:pPr>
      <w:bookmarkStart w:id="20" w:name="_Toc86071596"/>
      <w:r w:rsidRPr="007607D3">
        <w:rPr>
          <w:rFonts w:asciiTheme="majorHAnsi" w:hAnsiTheme="majorHAnsi"/>
          <w:sz w:val="20"/>
          <w:szCs w:val="20"/>
          <w:lang w:val="es-CO"/>
        </w:rPr>
        <w:lastRenderedPageBreak/>
        <w:t>El juicio 003.1995.0001432 (1995)</w:t>
      </w:r>
      <w:bookmarkEnd w:id="20"/>
    </w:p>
    <w:p w14:paraId="152AA7D6" w14:textId="77777777" w:rsidR="00FB6E71" w:rsidRPr="007607D3" w:rsidRDefault="00FB6E71" w:rsidP="00FB6E71">
      <w:pPr>
        <w:rPr>
          <w:lang w:val="es-CO"/>
        </w:rPr>
      </w:pPr>
    </w:p>
    <w:p w14:paraId="20758294" w14:textId="77777777" w:rsidR="003E10E6" w:rsidRPr="007607D3" w:rsidRDefault="003E10E6" w:rsidP="00AD7E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El 1 de agosto de 1995 el Ministerio Público denunció al soldado Betâneo Carneiro dos Santos, como autor material, y a José Buarque de Gusmão, como autor intelectual del homicidio de Margarida Maria Alves</w:t>
      </w:r>
      <w:r w:rsidRPr="007607D3">
        <w:rPr>
          <w:rStyle w:val="FootnoteReference"/>
          <w:rFonts w:ascii="Cambria" w:hAnsi="Cambria"/>
          <w:sz w:val="20"/>
          <w:szCs w:val="20"/>
          <w:lang w:val="es-CO"/>
        </w:rPr>
        <w:footnoteReference w:id="99"/>
      </w:r>
      <w:r w:rsidRPr="007607D3">
        <w:rPr>
          <w:rFonts w:ascii="Cambria" w:hAnsi="Cambria"/>
          <w:sz w:val="20"/>
          <w:szCs w:val="20"/>
          <w:lang w:val="es-CO"/>
        </w:rPr>
        <w:t>.</w:t>
      </w:r>
      <w:r w:rsidR="00FC29C4" w:rsidRPr="007607D3">
        <w:rPr>
          <w:rFonts w:ascii="Cambria" w:hAnsi="Cambria"/>
          <w:sz w:val="20"/>
          <w:szCs w:val="20"/>
          <w:lang w:val="es-CO"/>
        </w:rPr>
        <w:t xml:space="preserve"> </w:t>
      </w:r>
      <w:r w:rsidRPr="007607D3">
        <w:rPr>
          <w:rFonts w:ascii="Cambria" w:hAnsi="Cambria"/>
          <w:sz w:val="20"/>
          <w:szCs w:val="20"/>
          <w:lang w:val="es-CO"/>
        </w:rPr>
        <w:t>El 8 de agosto de 1995 fue decretada</w:t>
      </w:r>
      <w:r w:rsidR="00FC29C4" w:rsidRPr="007607D3">
        <w:rPr>
          <w:rFonts w:ascii="Cambria" w:hAnsi="Cambria"/>
          <w:sz w:val="20"/>
          <w:szCs w:val="20"/>
          <w:lang w:val="es-CO"/>
        </w:rPr>
        <w:t xml:space="preserve"> su</w:t>
      </w:r>
      <w:r w:rsidRPr="007607D3">
        <w:rPr>
          <w:rFonts w:ascii="Cambria" w:hAnsi="Cambria"/>
          <w:sz w:val="20"/>
          <w:szCs w:val="20"/>
          <w:lang w:val="es-CO"/>
        </w:rPr>
        <w:t xml:space="preserve"> prisión preventiva</w:t>
      </w:r>
      <w:r w:rsidRPr="007607D3">
        <w:rPr>
          <w:rStyle w:val="FootnoteReference"/>
          <w:rFonts w:ascii="Cambria" w:hAnsi="Cambria"/>
          <w:sz w:val="20"/>
          <w:szCs w:val="20"/>
          <w:lang w:val="es-CO"/>
        </w:rPr>
        <w:footnoteReference w:id="100"/>
      </w:r>
      <w:r w:rsidR="00FC29C4" w:rsidRPr="007607D3">
        <w:rPr>
          <w:rFonts w:ascii="Cambria" w:hAnsi="Cambria"/>
          <w:sz w:val="20"/>
          <w:szCs w:val="20"/>
          <w:lang w:val="es-CO"/>
        </w:rPr>
        <w:t xml:space="preserve"> y el </w:t>
      </w:r>
      <w:r w:rsidRPr="007607D3">
        <w:rPr>
          <w:rFonts w:ascii="Cambria" w:hAnsi="Cambria"/>
          <w:sz w:val="20"/>
          <w:szCs w:val="20"/>
          <w:lang w:val="es-CO"/>
        </w:rPr>
        <w:t>15 de marzo de 1996 se determinó someter</w:t>
      </w:r>
      <w:r w:rsidR="0042171A" w:rsidRPr="007607D3">
        <w:rPr>
          <w:rFonts w:ascii="Cambria" w:hAnsi="Cambria"/>
          <w:sz w:val="20"/>
          <w:szCs w:val="20"/>
          <w:lang w:val="es-CO"/>
        </w:rPr>
        <w:t xml:space="preserve">los </w:t>
      </w:r>
      <w:r w:rsidRPr="007607D3">
        <w:rPr>
          <w:rFonts w:ascii="Cambria" w:hAnsi="Cambria"/>
          <w:sz w:val="20"/>
          <w:szCs w:val="20"/>
          <w:lang w:val="es-CO"/>
        </w:rPr>
        <w:t>a juicio</w:t>
      </w:r>
      <w:r w:rsidRPr="007607D3">
        <w:rPr>
          <w:rStyle w:val="FootnoteReference"/>
          <w:rFonts w:ascii="Cambria" w:hAnsi="Cambria"/>
          <w:sz w:val="20"/>
          <w:szCs w:val="20"/>
          <w:lang w:val="es-CO"/>
        </w:rPr>
        <w:footnoteReference w:id="101"/>
      </w:r>
      <w:r w:rsidRPr="007607D3">
        <w:rPr>
          <w:rFonts w:ascii="Cambria" w:hAnsi="Cambria"/>
          <w:sz w:val="20"/>
          <w:szCs w:val="20"/>
          <w:lang w:val="es-CO"/>
        </w:rPr>
        <w:t xml:space="preserve">. </w:t>
      </w:r>
    </w:p>
    <w:p w14:paraId="571F2654" w14:textId="77777777" w:rsidR="003E10E6" w:rsidRPr="007607D3" w:rsidRDefault="003E10E6" w:rsidP="003E10E6">
      <w:pPr>
        <w:tabs>
          <w:tab w:val="left" w:pos="1440"/>
          <w:tab w:val="num" w:pos="2040"/>
        </w:tabs>
        <w:jc w:val="both"/>
        <w:rPr>
          <w:rFonts w:ascii="Cambria" w:hAnsi="Cambria"/>
          <w:sz w:val="20"/>
          <w:szCs w:val="20"/>
          <w:lang w:val="es-CO"/>
        </w:rPr>
      </w:pPr>
    </w:p>
    <w:p w14:paraId="610E580E" w14:textId="77777777" w:rsidR="003E10E6" w:rsidRPr="007607D3"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Consta en el expediente que la Cámara Penal del Tribunal de Justicia de Paraíba decidió, por unanimidad, trasladar el juicio de José Buarque al Primer Tribunal de Jurados de la Comarca de la Capital, tomando en cuenta que el Juez Ricardo Vital de Almeida, magistrado sustituto de la Comarca indicó que “el acusado y sus aliados están trabajando en una relación de 80 nombres, para posibles miembros del jurado. Todo ello, influenciará la independencia e imparcialidad del Jurado”</w:t>
      </w:r>
      <w:r w:rsidRPr="007607D3">
        <w:rPr>
          <w:rStyle w:val="FootnoteReference"/>
          <w:rFonts w:ascii="Cambria" w:hAnsi="Cambria"/>
          <w:sz w:val="20"/>
          <w:szCs w:val="20"/>
          <w:lang w:val="es-CO"/>
        </w:rPr>
        <w:footnoteReference w:id="102"/>
      </w:r>
      <w:r w:rsidRPr="007607D3">
        <w:rPr>
          <w:rFonts w:ascii="Cambria" w:hAnsi="Cambria"/>
          <w:sz w:val="20"/>
          <w:szCs w:val="20"/>
          <w:lang w:val="es-CO"/>
        </w:rPr>
        <w:t xml:space="preserve">. </w:t>
      </w:r>
    </w:p>
    <w:p w14:paraId="7E54EE5E" w14:textId="77777777" w:rsidR="003E10E6" w:rsidRPr="007607D3" w:rsidRDefault="003E10E6" w:rsidP="003E10E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es-CO"/>
        </w:rPr>
      </w:pPr>
    </w:p>
    <w:p w14:paraId="1B4991D3" w14:textId="77777777" w:rsidR="003E10E6" w:rsidRPr="007607D3"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El 23 de abril de 1996 el Superior Tribunal de Justicia determinó aplicar la prescripción respecto del soldado Betâneo Carneiro dos Santos</w:t>
      </w:r>
      <w:r w:rsidRPr="007607D3">
        <w:rPr>
          <w:rStyle w:val="FootnoteReference"/>
          <w:rFonts w:ascii="Cambria" w:hAnsi="Cambria"/>
          <w:sz w:val="20"/>
          <w:szCs w:val="20"/>
          <w:lang w:val="es-CO"/>
        </w:rPr>
        <w:footnoteReference w:id="103"/>
      </w:r>
      <w:r w:rsidRPr="007607D3">
        <w:rPr>
          <w:rFonts w:ascii="Cambria" w:hAnsi="Cambria"/>
          <w:sz w:val="20"/>
          <w:szCs w:val="20"/>
          <w:lang w:val="es-CO"/>
        </w:rPr>
        <w:t xml:space="preserve">. </w:t>
      </w:r>
    </w:p>
    <w:p w14:paraId="706C00EC" w14:textId="77777777" w:rsidR="003E10E6" w:rsidRPr="007607D3" w:rsidRDefault="003E10E6" w:rsidP="003E10E6">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jc w:val="both"/>
        <w:rPr>
          <w:rFonts w:ascii="Cambria" w:hAnsi="Cambria"/>
          <w:sz w:val="20"/>
          <w:szCs w:val="20"/>
          <w:lang w:val="es-CO"/>
        </w:rPr>
      </w:pPr>
    </w:p>
    <w:p w14:paraId="7A6C638E" w14:textId="77777777" w:rsidR="003E10E6" w:rsidRPr="007607D3"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Consta en el expediente que el procesado Jose Buarque de Gusmao Neto impugnó la decisión de someterlo a juicio</w:t>
      </w:r>
      <w:r w:rsidR="00FA6818" w:rsidRPr="007607D3">
        <w:rPr>
          <w:rFonts w:ascii="Cambria" w:hAnsi="Cambria"/>
          <w:sz w:val="20"/>
          <w:szCs w:val="20"/>
          <w:lang w:val="es-CO"/>
        </w:rPr>
        <w:t xml:space="preserve"> y que e</w:t>
      </w:r>
      <w:r w:rsidRPr="007607D3">
        <w:rPr>
          <w:rFonts w:ascii="Cambria" w:hAnsi="Cambria"/>
          <w:sz w:val="20"/>
          <w:szCs w:val="20"/>
          <w:lang w:val="es-CO"/>
        </w:rPr>
        <w:t>l 24 de septiembre de 1998 la Cámara Penal del Tribunal de Justicia del Estado de Paraíba denegó la impugnación, al estimar que no existían fundamentos para conceder la apelación</w:t>
      </w:r>
      <w:r w:rsidRPr="007607D3">
        <w:rPr>
          <w:rStyle w:val="FootnoteReference"/>
          <w:rFonts w:ascii="Cambria" w:hAnsi="Cambria"/>
          <w:sz w:val="20"/>
          <w:szCs w:val="20"/>
          <w:lang w:val="es-CO"/>
        </w:rPr>
        <w:footnoteReference w:id="104"/>
      </w:r>
      <w:r w:rsidRPr="007607D3">
        <w:rPr>
          <w:rFonts w:ascii="Cambria" w:hAnsi="Cambria"/>
          <w:sz w:val="20"/>
          <w:szCs w:val="20"/>
          <w:lang w:val="es-CO"/>
        </w:rPr>
        <w:t xml:space="preserve">.  </w:t>
      </w:r>
    </w:p>
    <w:p w14:paraId="2B342850" w14:textId="77777777" w:rsidR="003E10E6" w:rsidRPr="007607D3" w:rsidRDefault="003E10E6" w:rsidP="003E10E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es-CO"/>
        </w:rPr>
      </w:pPr>
    </w:p>
    <w:p w14:paraId="0AFB43EE" w14:textId="77777777" w:rsidR="003E10E6" w:rsidRPr="007607D3"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El 1 de noviembre de 2000 se escogió a los 21 miembros del Jurado a través de un sorteo</w:t>
      </w:r>
      <w:r w:rsidRPr="007607D3">
        <w:rPr>
          <w:rStyle w:val="FootnoteReference"/>
          <w:rFonts w:ascii="Cambria" w:hAnsi="Cambria"/>
          <w:sz w:val="20"/>
          <w:szCs w:val="20"/>
          <w:lang w:val="es-CO"/>
        </w:rPr>
        <w:footnoteReference w:id="105"/>
      </w:r>
      <w:r w:rsidRPr="007607D3">
        <w:rPr>
          <w:rFonts w:ascii="Cambria" w:hAnsi="Cambria"/>
          <w:sz w:val="20"/>
          <w:szCs w:val="20"/>
          <w:lang w:val="es-CO"/>
        </w:rPr>
        <w:t xml:space="preserve">. </w:t>
      </w:r>
    </w:p>
    <w:p w14:paraId="6469C425" w14:textId="77777777" w:rsidR="003E10E6" w:rsidRPr="007607D3" w:rsidRDefault="003E10E6" w:rsidP="003E10E6">
      <w:pPr>
        <w:pStyle w:val="ListParagraph"/>
        <w:rPr>
          <w:rFonts w:cs="Courier"/>
          <w:color w:val="212121"/>
          <w:sz w:val="20"/>
          <w:szCs w:val="20"/>
          <w:bdr w:val="none" w:sz="0" w:space="0" w:color="auto"/>
          <w:lang w:val="es-ES"/>
        </w:rPr>
      </w:pPr>
    </w:p>
    <w:p w14:paraId="4896B29B" w14:textId="77777777" w:rsidR="003E10E6" w:rsidRPr="007607D3"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lang w:val="es-CO"/>
        </w:rPr>
      </w:pPr>
      <w:r w:rsidRPr="007607D3">
        <w:rPr>
          <w:rFonts w:ascii="Cambria" w:hAnsi="Cambria" w:cs="Courier"/>
          <w:sz w:val="20"/>
          <w:szCs w:val="20"/>
          <w:bdr w:val="none" w:sz="0" w:space="0" w:color="auto"/>
          <w:lang w:val="es-ES"/>
        </w:rPr>
        <w:t>El 2 de agosto de 2000 un juez declaró la prescripción de la acción penal a favor de Joao Carlos de Melo, quien tenía una investigación policial abierta como partícipe de la muerte de Margarida Maria Alves, dado que el sindicado tenía más de 70 años y el artículo 109 del Código Penal establecía que para el delito en cuestión la prescripción opera en veinte años que se reducen a la mitad cuando en la fecha de la sentencia el sindicado tiene más de 70 años, y en este caso el hecho ocurrió hace casi 17 años</w:t>
      </w:r>
      <w:r w:rsidRPr="007607D3">
        <w:rPr>
          <w:rStyle w:val="FootnoteReference"/>
          <w:rFonts w:ascii="Cambria" w:hAnsi="Cambria"/>
          <w:sz w:val="20"/>
          <w:szCs w:val="20"/>
          <w:lang w:val="es-CO"/>
        </w:rPr>
        <w:footnoteReference w:id="106"/>
      </w:r>
      <w:r w:rsidRPr="007607D3">
        <w:rPr>
          <w:rFonts w:ascii="Cambria" w:hAnsi="Cambria" w:cs="Courier"/>
          <w:sz w:val="20"/>
          <w:szCs w:val="20"/>
          <w:bdr w:val="none" w:sz="0" w:space="0" w:color="auto"/>
          <w:lang w:val="es-ES"/>
        </w:rPr>
        <w:t xml:space="preserve">. </w:t>
      </w:r>
    </w:p>
    <w:p w14:paraId="584EC51D" w14:textId="77777777" w:rsidR="003E10E6" w:rsidRPr="007607D3" w:rsidRDefault="003E10E6" w:rsidP="003E10E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es-CO"/>
        </w:rPr>
      </w:pPr>
    </w:p>
    <w:p w14:paraId="60ECDD73" w14:textId="77777777" w:rsidR="003E10E6" w:rsidRPr="007607D3"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lang w:val="es-VE"/>
        </w:rPr>
      </w:pPr>
      <w:r w:rsidRPr="007607D3">
        <w:rPr>
          <w:rFonts w:ascii="Cambria" w:hAnsi="Cambria"/>
          <w:sz w:val="20"/>
          <w:szCs w:val="20"/>
          <w:lang w:val="es-CO"/>
        </w:rPr>
        <w:t>El 18 de junio de 2001 el único acusado restante, José Buarque de Gusmão, fue declarado inocente por el Tribunal de Jurados por cinco votos a dos, al considerar como cierta la versión negativa de autoría traída por la defensa</w:t>
      </w:r>
      <w:r w:rsidRPr="007607D3">
        <w:rPr>
          <w:rStyle w:val="FootnoteReference"/>
          <w:rFonts w:ascii="Cambria" w:hAnsi="Cambria"/>
          <w:sz w:val="20"/>
          <w:szCs w:val="20"/>
          <w:lang w:val="es-CO"/>
        </w:rPr>
        <w:footnoteReference w:id="107"/>
      </w:r>
      <w:r w:rsidRPr="007607D3">
        <w:rPr>
          <w:rFonts w:ascii="Cambria" w:hAnsi="Cambria"/>
          <w:sz w:val="20"/>
          <w:szCs w:val="20"/>
          <w:lang w:val="es-CO"/>
        </w:rPr>
        <w:t xml:space="preserve">. </w:t>
      </w:r>
    </w:p>
    <w:p w14:paraId="79F85E8A" w14:textId="77777777" w:rsidR="003E10E6" w:rsidRPr="007607D3" w:rsidRDefault="003E10E6" w:rsidP="003E10E6">
      <w:pPr>
        <w:pStyle w:val="ListParagraph"/>
        <w:rPr>
          <w:lang w:val="es-VE"/>
        </w:rPr>
      </w:pPr>
    </w:p>
    <w:p w14:paraId="484FC533" w14:textId="77777777" w:rsidR="003E10E6" w:rsidRPr="007607D3"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lang w:val="es-VE"/>
        </w:rPr>
      </w:pPr>
      <w:r w:rsidRPr="007607D3">
        <w:rPr>
          <w:rFonts w:ascii="Cambria" w:hAnsi="Cambria"/>
          <w:sz w:val="20"/>
          <w:szCs w:val="20"/>
          <w:lang w:val="es-VE"/>
        </w:rPr>
        <w:t>El 22 de junio de 2001 el Ministerio Público recurrió la decisión, alegando que esta era c</w:t>
      </w:r>
      <w:r w:rsidRPr="007607D3">
        <w:rPr>
          <w:rFonts w:ascii="Cambria" w:hAnsi="Cambria"/>
          <w:sz w:val="20"/>
          <w:szCs w:val="20"/>
          <w:lang w:val="es-CO"/>
        </w:rPr>
        <w:t>ontraria a las pruebas de los autos, indicando que en un testimonio consta que el acusado confesó haber participado en el delito y que fue responsable por la contratación y pago de los autores intelectuales. Agregó que</w:t>
      </w:r>
      <w:r w:rsidRPr="007607D3">
        <w:rPr>
          <w:rFonts w:ascii="Cambria" w:eastAsia="Times New Roman" w:hAnsi="Cambria" w:cs="Courier New"/>
          <w:sz w:val="20"/>
          <w:szCs w:val="20"/>
          <w:bdr w:val="none" w:sz="0" w:space="0" w:color="auto"/>
          <w:lang w:val="es-ES"/>
        </w:rPr>
        <w:t xml:space="preserve"> “no existe otra versión en los autos además de la conclusión lógica de que el apelado concurrió, al menos en forma de autor intelectual, a la muerte de Margarida Maria Alves y por esta participación necesita ser castigado</w:t>
      </w:r>
      <w:r w:rsidRPr="007607D3">
        <w:rPr>
          <w:rFonts w:ascii="inherit" w:eastAsia="Times New Roman" w:hAnsi="inherit" w:cs="Courier New"/>
          <w:color w:val="212121"/>
          <w:sz w:val="20"/>
          <w:szCs w:val="20"/>
          <w:bdr w:val="none" w:sz="0" w:space="0" w:color="auto"/>
          <w:lang w:val="es-ES"/>
        </w:rPr>
        <w:t>”</w:t>
      </w:r>
      <w:r w:rsidRPr="007607D3">
        <w:rPr>
          <w:rStyle w:val="FootnoteReference"/>
          <w:rFonts w:ascii="Cambria" w:hAnsi="Cambria"/>
          <w:sz w:val="20"/>
          <w:szCs w:val="20"/>
          <w:lang w:val="es-CO"/>
        </w:rPr>
        <w:footnoteReference w:id="108"/>
      </w:r>
      <w:r w:rsidRPr="007607D3">
        <w:rPr>
          <w:rFonts w:ascii="Cambria" w:hAnsi="Cambria"/>
          <w:sz w:val="20"/>
          <w:szCs w:val="20"/>
          <w:lang w:val="es-CO"/>
        </w:rPr>
        <w:t xml:space="preserve">. </w:t>
      </w:r>
    </w:p>
    <w:p w14:paraId="374D131D" w14:textId="77777777" w:rsidR="003E10E6" w:rsidRPr="007607D3" w:rsidRDefault="003E10E6" w:rsidP="003E10E6">
      <w:pPr>
        <w:tabs>
          <w:tab w:val="left" w:pos="1440"/>
          <w:tab w:val="num" w:pos="2040"/>
        </w:tabs>
        <w:jc w:val="both"/>
        <w:rPr>
          <w:rFonts w:ascii="Calibri" w:hAnsi="Calibri"/>
          <w:sz w:val="22"/>
          <w:szCs w:val="22"/>
          <w:lang w:val="es-VE"/>
        </w:rPr>
      </w:pPr>
    </w:p>
    <w:p w14:paraId="22E3145B" w14:textId="77777777" w:rsidR="003E10E6" w:rsidRPr="007607D3"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lang w:val="es-VE"/>
        </w:rPr>
      </w:pPr>
      <w:r w:rsidRPr="007607D3">
        <w:rPr>
          <w:rFonts w:ascii="Cambria" w:hAnsi="Cambria"/>
          <w:sz w:val="20"/>
          <w:szCs w:val="20"/>
          <w:lang w:val="es-VE"/>
        </w:rPr>
        <w:t>El 20 de diciembre de 2001 la Cámara Penal del Tribunal de Justicia de Paraíba declaró con lugar el recurso del Ministerio Público y ordenó la realización de un nuevo juicio por estimar que la decisión emitida es contraria a la prueba que obra en el expediente</w:t>
      </w:r>
      <w:r w:rsidRPr="007607D3">
        <w:rPr>
          <w:rStyle w:val="FootnoteReference"/>
          <w:rFonts w:ascii="Cambria" w:hAnsi="Cambria"/>
          <w:sz w:val="20"/>
          <w:szCs w:val="20"/>
          <w:lang w:val="es-CO"/>
        </w:rPr>
        <w:footnoteReference w:id="109"/>
      </w:r>
      <w:r w:rsidRPr="007607D3">
        <w:rPr>
          <w:rFonts w:ascii="Cambria" w:hAnsi="Cambria"/>
          <w:sz w:val="20"/>
          <w:szCs w:val="20"/>
          <w:lang w:val="es-CO"/>
        </w:rPr>
        <w:t>.</w:t>
      </w:r>
    </w:p>
    <w:p w14:paraId="7C90B235" w14:textId="77777777" w:rsidR="003E10E6" w:rsidRPr="007607D3" w:rsidRDefault="003E10E6" w:rsidP="003E10E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libri" w:hAnsi="Calibri"/>
          <w:sz w:val="22"/>
          <w:szCs w:val="22"/>
          <w:lang w:val="es-VE"/>
        </w:rPr>
      </w:pPr>
    </w:p>
    <w:p w14:paraId="5611A293" w14:textId="77777777" w:rsidR="003E10E6" w:rsidRPr="007607D3"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sz w:val="20"/>
          <w:szCs w:val="20"/>
          <w:lang w:val="es-CO"/>
        </w:rPr>
      </w:pPr>
      <w:r w:rsidRPr="007607D3">
        <w:rPr>
          <w:rFonts w:ascii="Cambria" w:hAnsi="Cambria"/>
          <w:sz w:val="20"/>
          <w:szCs w:val="20"/>
          <w:lang w:val="es-VE"/>
        </w:rPr>
        <w:t xml:space="preserve">El 9 de abril de 2002 el procesado planteó un hábeas corpus solicitando la suspensión del curso de la acción penal y del nuevo juicio </w:t>
      </w:r>
      <w:r w:rsidR="007C10F0" w:rsidRPr="007607D3">
        <w:rPr>
          <w:rFonts w:ascii="Cambria" w:hAnsi="Cambria"/>
          <w:sz w:val="20"/>
          <w:szCs w:val="20"/>
          <w:lang w:val="es-VE"/>
        </w:rPr>
        <w:t xml:space="preserve"> programado, hasta </w:t>
      </w:r>
      <w:r w:rsidRPr="007607D3">
        <w:rPr>
          <w:rFonts w:ascii="Cambria" w:hAnsi="Cambria"/>
          <w:sz w:val="20"/>
          <w:szCs w:val="20"/>
          <w:lang w:val="es-VE"/>
        </w:rPr>
        <w:t>que no se resolviese el recurso.</w:t>
      </w:r>
    </w:p>
    <w:p w14:paraId="7D96BD09" w14:textId="77777777" w:rsidR="003E10E6" w:rsidRPr="007607D3" w:rsidRDefault="003E10E6" w:rsidP="003E10E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sz w:val="20"/>
          <w:szCs w:val="20"/>
          <w:lang w:val="es-CO"/>
        </w:rPr>
      </w:pPr>
    </w:p>
    <w:p w14:paraId="1ADF0818" w14:textId="77777777" w:rsidR="003E10E6" w:rsidRPr="007607D3"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El 12 de noviembre de 2002 el Superior Tribunal de Justicia ordenó el restablecimiento de la decisión del Tribunal de Jurados de junio de 2001, que había absuelto al acusado</w:t>
      </w:r>
      <w:r w:rsidRPr="007607D3">
        <w:rPr>
          <w:rStyle w:val="FootnoteReference"/>
          <w:rFonts w:ascii="Cambria" w:hAnsi="Cambria"/>
          <w:sz w:val="20"/>
          <w:szCs w:val="20"/>
          <w:lang w:val="es-CO"/>
        </w:rPr>
        <w:footnoteReference w:id="110"/>
      </w:r>
      <w:r w:rsidRPr="007607D3">
        <w:rPr>
          <w:rFonts w:ascii="Cambria" w:hAnsi="Cambria"/>
          <w:sz w:val="20"/>
          <w:szCs w:val="20"/>
          <w:lang w:val="es-CO"/>
        </w:rPr>
        <w:t>. El Tribunal indicó que había dos versiones acerca de lo ocurrido, siendo una de ellas la que planteaba la inexistencia de elementos que sustentasen la participación del acusado en el delito, lo que significaría que la decisión del Tribunal de Jurados acogió la versión más verosímil, no habiendo arbitrariedad a ser cuestionada</w:t>
      </w:r>
      <w:r w:rsidRPr="007607D3">
        <w:rPr>
          <w:rStyle w:val="FootnoteReference"/>
          <w:rFonts w:ascii="Cambria" w:hAnsi="Cambria"/>
          <w:sz w:val="20"/>
          <w:szCs w:val="20"/>
          <w:lang w:val="es-CO"/>
        </w:rPr>
        <w:footnoteReference w:id="111"/>
      </w:r>
      <w:r w:rsidRPr="007607D3">
        <w:rPr>
          <w:rFonts w:ascii="Cambria" w:hAnsi="Cambria"/>
          <w:sz w:val="20"/>
          <w:szCs w:val="20"/>
          <w:lang w:val="es-CO"/>
        </w:rPr>
        <w:t>.</w:t>
      </w:r>
    </w:p>
    <w:p w14:paraId="79464413" w14:textId="77777777" w:rsidR="003E10E6" w:rsidRPr="007607D3" w:rsidRDefault="003E10E6" w:rsidP="003E10E6">
      <w:pPr>
        <w:pStyle w:val="ListParagraph"/>
        <w:rPr>
          <w:sz w:val="20"/>
          <w:szCs w:val="20"/>
          <w:lang w:val="es-CO"/>
        </w:rPr>
      </w:pPr>
    </w:p>
    <w:p w14:paraId="17AE986C" w14:textId="77777777" w:rsidR="003E10E6" w:rsidRPr="007607D3"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sz w:val="20"/>
          <w:szCs w:val="20"/>
          <w:lang w:val="es-CO"/>
        </w:rPr>
      </w:pPr>
      <w:r w:rsidRPr="007607D3">
        <w:rPr>
          <w:rFonts w:ascii="Cambria" w:hAnsi="Cambria"/>
          <w:sz w:val="20"/>
          <w:szCs w:val="20"/>
          <w:lang w:val="es-CO"/>
        </w:rPr>
        <w:t>Con posterioridad, el Ministerio Público Federal interpuso un recurso extraordinario en contra de dicha decisión, el cual fue declarado inadmisible el 13 de marzo de 2003</w:t>
      </w:r>
      <w:r w:rsidRPr="007607D3">
        <w:rPr>
          <w:rStyle w:val="FootnoteReference"/>
          <w:rFonts w:ascii="Cambria" w:hAnsi="Cambria"/>
          <w:sz w:val="20"/>
          <w:szCs w:val="20"/>
          <w:lang w:val="es-CO"/>
        </w:rPr>
        <w:footnoteReference w:id="112"/>
      </w:r>
      <w:r w:rsidRPr="007607D3">
        <w:rPr>
          <w:rFonts w:ascii="Cambria" w:hAnsi="Cambria"/>
          <w:sz w:val="20"/>
          <w:szCs w:val="20"/>
          <w:lang w:val="es-CO"/>
        </w:rPr>
        <w:t>.</w:t>
      </w:r>
      <w:r w:rsidRPr="007607D3">
        <w:rPr>
          <w:sz w:val="20"/>
          <w:szCs w:val="20"/>
          <w:lang w:val="es-CO"/>
        </w:rPr>
        <w:t xml:space="preserve"> </w:t>
      </w:r>
      <w:r w:rsidRPr="007607D3">
        <w:rPr>
          <w:rFonts w:ascii="Cambria" w:hAnsi="Cambria"/>
          <w:sz w:val="20"/>
          <w:szCs w:val="20"/>
          <w:lang w:val="es-CO"/>
        </w:rPr>
        <w:t>El 2 de septiembre de 2003 los autos fueron archivados permanentemente</w:t>
      </w:r>
      <w:r w:rsidRPr="007607D3">
        <w:rPr>
          <w:rStyle w:val="FootnoteReference"/>
          <w:rFonts w:ascii="Cambria" w:hAnsi="Cambria"/>
          <w:sz w:val="20"/>
          <w:szCs w:val="20"/>
          <w:lang w:val="es-CO"/>
        </w:rPr>
        <w:footnoteReference w:id="113"/>
      </w:r>
      <w:r w:rsidRPr="007607D3">
        <w:rPr>
          <w:rFonts w:ascii="Cambria" w:hAnsi="Cambria"/>
          <w:sz w:val="20"/>
          <w:szCs w:val="20"/>
          <w:lang w:val="es-CO"/>
        </w:rPr>
        <w:t>.</w:t>
      </w:r>
    </w:p>
    <w:p w14:paraId="201A231B" w14:textId="77777777" w:rsidR="00EA1EFF" w:rsidRPr="007607D3" w:rsidRDefault="003E10E6" w:rsidP="00EA1EFF">
      <w:pPr>
        <w:pStyle w:val="Heading3"/>
        <w:numPr>
          <w:ilvl w:val="1"/>
          <w:numId w:val="54"/>
        </w:numPr>
        <w:tabs>
          <w:tab w:val="clear" w:pos="1800"/>
          <w:tab w:val="num" w:pos="1440"/>
        </w:tabs>
        <w:ind w:hanging="1080"/>
        <w:rPr>
          <w:rFonts w:asciiTheme="majorHAnsi" w:hAnsiTheme="majorHAnsi"/>
          <w:sz w:val="20"/>
          <w:szCs w:val="20"/>
          <w:lang w:val="es-CO"/>
        </w:rPr>
      </w:pPr>
      <w:bookmarkStart w:id="21" w:name="_Toc86071597"/>
      <w:r w:rsidRPr="007607D3">
        <w:rPr>
          <w:rFonts w:asciiTheme="majorHAnsi" w:hAnsiTheme="majorHAnsi"/>
          <w:sz w:val="20"/>
          <w:szCs w:val="20"/>
          <w:lang w:val="es-CO"/>
        </w:rPr>
        <w:t>El informe del Consejo de Defensa de los derechos de la persona humana</w:t>
      </w:r>
      <w:bookmarkEnd w:id="21"/>
      <w:r w:rsidRPr="007607D3">
        <w:rPr>
          <w:rFonts w:asciiTheme="majorHAnsi" w:hAnsiTheme="majorHAnsi"/>
          <w:sz w:val="20"/>
          <w:szCs w:val="20"/>
          <w:lang w:val="es-CO"/>
        </w:rPr>
        <w:t xml:space="preserve"> </w:t>
      </w:r>
    </w:p>
    <w:p w14:paraId="25C17B4E" w14:textId="77777777" w:rsidR="00EA1EFF" w:rsidRPr="007607D3" w:rsidRDefault="00EA1EFF" w:rsidP="00EA1EFF">
      <w:pPr>
        <w:rPr>
          <w:lang w:val="es-CO"/>
        </w:rPr>
      </w:pPr>
    </w:p>
    <w:p w14:paraId="0AA43788" w14:textId="77777777" w:rsidR="003E10E6" w:rsidRPr="007607D3"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El 22 de agosto de 2001 el Consejo de Defensa de los derechos de la persona humana del Ministerio de Justicia de Brasil presentó un informe respecto de su acompañamiento al proceso en contra de los supuestos autores intelectuales de la muerte de la presunta víctima</w:t>
      </w:r>
      <w:r w:rsidRPr="007607D3">
        <w:rPr>
          <w:rStyle w:val="FootnoteReference"/>
          <w:rFonts w:ascii="Cambria" w:hAnsi="Cambria" w:cs="Courier"/>
          <w:color w:val="212121"/>
          <w:sz w:val="20"/>
          <w:szCs w:val="20"/>
          <w:bdr w:val="none" w:sz="0" w:space="0" w:color="auto"/>
          <w:lang w:val="es-ES"/>
        </w:rPr>
        <w:footnoteReference w:id="114"/>
      </w:r>
      <w:r w:rsidRPr="007607D3">
        <w:rPr>
          <w:rFonts w:ascii="Cambria" w:hAnsi="Cambria"/>
          <w:sz w:val="20"/>
          <w:szCs w:val="20"/>
          <w:lang w:val="es-CO"/>
        </w:rPr>
        <w:t>.</w:t>
      </w:r>
    </w:p>
    <w:p w14:paraId="58F307DD" w14:textId="77777777" w:rsidR="003E10E6" w:rsidRPr="007607D3" w:rsidRDefault="003E10E6" w:rsidP="003E10E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Cambria" w:hAnsi="Cambria"/>
          <w:sz w:val="20"/>
          <w:szCs w:val="20"/>
          <w:lang w:val="es-CO"/>
        </w:rPr>
      </w:pPr>
    </w:p>
    <w:p w14:paraId="7E81909C" w14:textId="77777777" w:rsidR="003E10E6" w:rsidRPr="007607D3"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En dicho informe indicó que “el homicidio cuya perpetración obedeció al clásico modelo de ejecución encomendada o “pistolaje” fue desde luego atribuida a la lucha por la tierra y al coronelismo entonces vigente en el sistema fundiario nordestino”. Refirió que “las fuerzas de atraso que caracterizaron al coronelismo rural ciertamente influyeron en la comprobación del hecho, en la demora insoportable de la conclusión del proceso criminal y de los juicios”</w:t>
      </w:r>
      <w:r w:rsidRPr="007607D3">
        <w:rPr>
          <w:rStyle w:val="FootnoteReference"/>
          <w:rFonts w:ascii="Cambria" w:hAnsi="Cambria" w:cs="Courier"/>
          <w:color w:val="212121"/>
          <w:sz w:val="20"/>
          <w:szCs w:val="20"/>
          <w:bdr w:val="none" w:sz="0" w:space="0" w:color="auto"/>
          <w:lang w:val="es-ES"/>
        </w:rPr>
        <w:t xml:space="preserve"> </w:t>
      </w:r>
      <w:r w:rsidRPr="007607D3">
        <w:rPr>
          <w:rStyle w:val="FootnoteReference"/>
          <w:rFonts w:ascii="Cambria" w:hAnsi="Cambria" w:cs="Courier"/>
          <w:color w:val="212121"/>
          <w:sz w:val="20"/>
          <w:szCs w:val="20"/>
          <w:bdr w:val="none" w:sz="0" w:space="0" w:color="auto"/>
          <w:lang w:val="es-ES"/>
        </w:rPr>
        <w:footnoteReference w:id="115"/>
      </w:r>
      <w:r w:rsidRPr="007607D3">
        <w:rPr>
          <w:rFonts w:ascii="Cambria" w:hAnsi="Cambria"/>
          <w:sz w:val="20"/>
          <w:szCs w:val="20"/>
          <w:lang w:val="es-CO"/>
        </w:rPr>
        <w:t xml:space="preserve">. </w:t>
      </w:r>
    </w:p>
    <w:p w14:paraId="4B959D05" w14:textId="77777777" w:rsidR="00274829" w:rsidRPr="007607D3" w:rsidRDefault="00274829" w:rsidP="0027482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es-CO"/>
        </w:rPr>
      </w:pPr>
    </w:p>
    <w:p w14:paraId="45B59578" w14:textId="77777777" w:rsidR="003E10E6" w:rsidRPr="007607D3"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lang w:val="es-CO"/>
        </w:rPr>
      </w:pPr>
      <w:r w:rsidRPr="007607D3">
        <w:rPr>
          <w:rFonts w:ascii="Cambria" w:hAnsi="Cambria"/>
          <w:sz w:val="20"/>
          <w:szCs w:val="20"/>
          <w:lang w:val="es-CO"/>
        </w:rPr>
        <w:t xml:space="preserve">Tal informe también indica que “fue hasta diecisiete años después del crimen que se realizó el juicio del médico y ganadero </w:t>
      </w:r>
      <w:r w:rsidRPr="007607D3">
        <w:rPr>
          <w:rFonts w:ascii="Cambria" w:hAnsi="Cambria" w:cs="Courier"/>
          <w:sz w:val="20"/>
          <w:szCs w:val="20"/>
          <w:bdr w:val="none" w:sz="0" w:space="0" w:color="auto"/>
          <w:lang w:val="es-VE"/>
        </w:rPr>
        <w:t xml:space="preserve">José Buarque de Gusmao Neto ("Zito Buarque") acusado como autor intelectual de asesinato (el otro acusado de ser autor intelectual, el terrateniente Aguinaldo Veloso Borges, suegro de Zito, falleció). Finalmente se reconoció “la </w:t>
      </w:r>
      <w:r w:rsidRPr="007607D3">
        <w:rPr>
          <w:rFonts w:ascii="Cambria" w:hAnsi="Cambria" w:cs="Courier"/>
          <w:sz w:val="20"/>
          <w:szCs w:val="20"/>
          <w:bdr w:val="none" w:sz="0" w:space="0" w:color="auto"/>
          <w:lang w:val="es-ES"/>
        </w:rPr>
        <w:t>fragilidad de la prueba formada en el proceso criminal, posiblemente por deficiencias (omisiones) anteriores en la conducción de la investigación policial y en la instrucción criminal” y se indicó que “la versión popular sobre el homicidio, centrada en la personalidad del hacendado fallecido Aguinaldo Veloso Borges (suegro del acusado), que le valió la atribución de otros crímenes de mando de homicidio, no se reflejó en la instrucción criminal y no logró establecer la configuración de indicios suficientes para configurar como procedente la imputación objeto de juicio”</w:t>
      </w:r>
      <w:r w:rsidRPr="007607D3">
        <w:rPr>
          <w:rStyle w:val="FootnoteReference"/>
          <w:rFonts w:ascii="Cambria" w:hAnsi="Cambria" w:cs="Courier"/>
          <w:sz w:val="20"/>
          <w:szCs w:val="20"/>
          <w:bdr w:val="none" w:sz="0" w:space="0" w:color="auto"/>
          <w:lang w:val="es-ES"/>
        </w:rPr>
        <w:footnoteReference w:id="116"/>
      </w:r>
      <w:r w:rsidRPr="007607D3">
        <w:rPr>
          <w:rFonts w:ascii="Cambria" w:hAnsi="Cambria" w:cs="Courier"/>
          <w:sz w:val="20"/>
          <w:szCs w:val="20"/>
          <w:bdr w:val="none" w:sz="0" w:space="0" w:color="auto"/>
          <w:lang w:val="es-ES"/>
        </w:rPr>
        <w:t>.</w:t>
      </w:r>
    </w:p>
    <w:p w14:paraId="6233EF76" w14:textId="77777777" w:rsidR="00340F63" w:rsidRPr="007607D3" w:rsidRDefault="00340F63" w:rsidP="00F244F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cs="Calibri"/>
          <w:color w:val="808080" w:themeColor="background1" w:themeShade="80"/>
          <w:sz w:val="20"/>
          <w:szCs w:val="20"/>
          <w:lang w:val="es-ES"/>
        </w:rPr>
      </w:pPr>
    </w:p>
    <w:p w14:paraId="7D767E05" w14:textId="77777777" w:rsidR="006B5A8F" w:rsidRPr="007607D3" w:rsidRDefault="006B5A8F" w:rsidP="006B5A8F">
      <w:pPr>
        <w:pStyle w:val="Heading1"/>
        <w:keepLines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0"/>
        <w:rPr>
          <w:rFonts w:eastAsia="Times New Roman" w:cs="Times New Roman"/>
          <w:bCs w:val="0"/>
          <w:color w:val="auto"/>
          <w:sz w:val="20"/>
          <w:szCs w:val="20"/>
          <w:bdr w:val="none" w:sz="0" w:space="0" w:color="auto"/>
          <w:lang w:val="es-ES_tradnl"/>
        </w:rPr>
      </w:pPr>
      <w:bookmarkStart w:id="22" w:name="_Toc86071598"/>
      <w:r w:rsidRPr="007607D3">
        <w:rPr>
          <w:rFonts w:eastAsia="Times New Roman" w:cs="Times New Roman"/>
          <w:bCs w:val="0"/>
          <w:color w:val="auto"/>
          <w:sz w:val="20"/>
          <w:szCs w:val="20"/>
          <w:bdr w:val="none" w:sz="0" w:space="0" w:color="auto"/>
          <w:lang w:val="es-ES_tradnl"/>
        </w:rPr>
        <w:lastRenderedPageBreak/>
        <w:t>ANÁLISIS DE DERECHO</w:t>
      </w:r>
      <w:bookmarkEnd w:id="22"/>
    </w:p>
    <w:p w14:paraId="45CD8532" w14:textId="77777777" w:rsidR="006B5A8F" w:rsidRPr="007607D3" w:rsidRDefault="006B5A8F" w:rsidP="006B5A8F">
      <w:pPr>
        <w:jc w:val="both"/>
        <w:rPr>
          <w:rFonts w:ascii="Cambria" w:hAnsi="Cambria"/>
          <w:b/>
          <w:sz w:val="20"/>
          <w:szCs w:val="20"/>
          <w:lang w:val="es-ES"/>
        </w:rPr>
      </w:pPr>
    </w:p>
    <w:p w14:paraId="787BA0E8" w14:textId="77777777" w:rsidR="006B5A8F" w:rsidRPr="007607D3" w:rsidRDefault="006B5A8F"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lang w:val="es-ES"/>
        </w:rPr>
      </w:pPr>
      <w:r w:rsidRPr="007607D3">
        <w:rPr>
          <w:rFonts w:ascii="Cambria" w:hAnsi="Cambria"/>
          <w:sz w:val="20"/>
          <w:szCs w:val="20"/>
          <w:lang w:val="es-ES"/>
        </w:rPr>
        <w:t xml:space="preserve">La Comisión </w:t>
      </w:r>
      <w:r w:rsidR="00753917" w:rsidRPr="007607D3">
        <w:rPr>
          <w:rFonts w:ascii="Cambria" w:hAnsi="Cambria"/>
          <w:sz w:val="20"/>
          <w:szCs w:val="20"/>
          <w:lang w:val="es-ES"/>
        </w:rPr>
        <w:t xml:space="preserve">destaca </w:t>
      </w:r>
      <w:r w:rsidRPr="007607D3">
        <w:rPr>
          <w:rFonts w:ascii="Cambria" w:hAnsi="Cambria"/>
          <w:sz w:val="20"/>
          <w:szCs w:val="20"/>
          <w:lang w:val="es-ES"/>
        </w:rPr>
        <w:t xml:space="preserve">que </w:t>
      </w:r>
      <w:r w:rsidR="00122412" w:rsidRPr="007607D3">
        <w:rPr>
          <w:rFonts w:ascii="Cambria" w:hAnsi="Cambria"/>
          <w:sz w:val="20"/>
          <w:szCs w:val="20"/>
          <w:lang w:val="es-ES"/>
        </w:rPr>
        <w:t xml:space="preserve">un grupo de </w:t>
      </w:r>
      <w:r w:rsidRPr="007607D3">
        <w:rPr>
          <w:rFonts w:ascii="Cambria" w:hAnsi="Cambria"/>
          <w:sz w:val="20"/>
          <w:szCs w:val="20"/>
          <w:lang w:val="es-ES"/>
        </w:rPr>
        <w:t>hechos del presente caso, como la muerte de Margarida Maria Alves el 12 de agosto de 1983, y una parte de la</w:t>
      </w:r>
      <w:r w:rsidR="00122412" w:rsidRPr="007607D3">
        <w:rPr>
          <w:rFonts w:ascii="Cambria" w:hAnsi="Cambria"/>
          <w:sz w:val="20"/>
          <w:szCs w:val="20"/>
          <w:lang w:val="es-ES"/>
        </w:rPr>
        <w:t>s</w:t>
      </w:r>
      <w:r w:rsidRPr="007607D3">
        <w:rPr>
          <w:rFonts w:ascii="Cambria" w:hAnsi="Cambria"/>
          <w:sz w:val="20"/>
          <w:szCs w:val="20"/>
          <w:lang w:val="es-ES"/>
        </w:rPr>
        <w:t xml:space="preserve"> investigaci</w:t>
      </w:r>
      <w:r w:rsidR="00122412" w:rsidRPr="007607D3">
        <w:rPr>
          <w:rFonts w:ascii="Cambria" w:hAnsi="Cambria"/>
          <w:sz w:val="20"/>
          <w:szCs w:val="20"/>
          <w:lang w:val="es-ES"/>
        </w:rPr>
        <w:t>o</w:t>
      </w:r>
      <w:r w:rsidRPr="007607D3">
        <w:rPr>
          <w:rFonts w:ascii="Cambria" w:hAnsi="Cambria"/>
          <w:sz w:val="20"/>
          <w:szCs w:val="20"/>
          <w:lang w:val="es-ES"/>
        </w:rPr>
        <w:t>n</w:t>
      </w:r>
      <w:r w:rsidR="00122412" w:rsidRPr="007607D3">
        <w:rPr>
          <w:rFonts w:ascii="Cambria" w:hAnsi="Cambria"/>
          <w:sz w:val="20"/>
          <w:szCs w:val="20"/>
          <w:lang w:val="es-ES"/>
        </w:rPr>
        <w:t>es</w:t>
      </w:r>
      <w:r w:rsidRPr="007607D3">
        <w:rPr>
          <w:rFonts w:ascii="Cambria" w:hAnsi="Cambria"/>
          <w:sz w:val="20"/>
          <w:szCs w:val="20"/>
          <w:lang w:val="es-ES"/>
        </w:rPr>
        <w:t xml:space="preserve"> </w:t>
      </w:r>
      <w:r w:rsidR="00122412" w:rsidRPr="007607D3">
        <w:rPr>
          <w:rFonts w:ascii="Cambria" w:hAnsi="Cambria"/>
          <w:sz w:val="20"/>
          <w:szCs w:val="20"/>
          <w:lang w:val="es-ES"/>
        </w:rPr>
        <w:t xml:space="preserve">ocurrieron </w:t>
      </w:r>
      <w:r w:rsidRPr="007607D3">
        <w:rPr>
          <w:rFonts w:ascii="Cambria" w:hAnsi="Cambria"/>
          <w:sz w:val="20"/>
          <w:szCs w:val="20"/>
          <w:lang w:val="es-ES"/>
        </w:rPr>
        <w:t xml:space="preserve">antes que Brasil </w:t>
      </w:r>
      <w:r w:rsidR="00B263AE" w:rsidRPr="007607D3">
        <w:rPr>
          <w:rFonts w:ascii="Cambria" w:hAnsi="Cambria"/>
          <w:sz w:val="20"/>
          <w:szCs w:val="20"/>
          <w:lang w:val="es-ES"/>
        </w:rPr>
        <w:t>se adhiriera</w:t>
      </w:r>
      <w:r w:rsidRPr="007607D3">
        <w:rPr>
          <w:rFonts w:ascii="Cambria" w:hAnsi="Cambria"/>
          <w:sz w:val="20"/>
          <w:szCs w:val="20"/>
          <w:lang w:val="es-ES"/>
        </w:rPr>
        <w:t xml:space="preserve"> la Convención Americana, el </w:t>
      </w:r>
      <w:r w:rsidR="00B263AE" w:rsidRPr="007607D3">
        <w:rPr>
          <w:rFonts w:ascii="Cambria" w:hAnsi="Cambria"/>
          <w:sz w:val="20"/>
          <w:szCs w:val="20"/>
          <w:lang w:val="es-ES"/>
        </w:rPr>
        <w:t>25</w:t>
      </w:r>
      <w:r w:rsidRPr="007607D3">
        <w:rPr>
          <w:rFonts w:ascii="Cambria" w:hAnsi="Cambria"/>
          <w:sz w:val="20"/>
          <w:szCs w:val="20"/>
          <w:lang w:val="es-ES"/>
        </w:rPr>
        <w:t xml:space="preserve"> de </w:t>
      </w:r>
      <w:r w:rsidR="00B263AE" w:rsidRPr="007607D3">
        <w:rPr>
          <w:rFonts w:ascii="Cambria" w:hAnsi="Cambria"/>
          <w:sz w:val="20"/>
          <w:szCs w:val="20"/>
          <w:lang w:val="es-ES"/>
        </w:rPr>
        <w:t>septiembre</w:t>
      </w:r>
      <w:r w:rsidRPr="007607D3">
        <w:rPr>
          <w:rFonts w:ascii="Cambria" w:hAnsi="Cambria"/>
          <w:sz w:val="20"/>
          <w:szCs w:val="20"/>
          <w:lang w:val="es-ES"/>
        </w:rPr>
        <w:t xml:space="preserve"> de 1992. En virtud de ello, para efectos de determinar la responsabilidad del Estado, la Comisión tomará en cuenta tanto la Declaración Americana como la Convención Americana. </w:t>
      </w:r>
    </w:p>
    <w:p w14:paraId="39D8EB01" w14:textId="77777777" w:rsidR="006B5A8F" w:rsidRPr="007607D3" w:rsidRDefault="006B5A8F" w:rsidP="006B5A8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es-ES"/>
        </w:rPr>
      </w:pPr>
    </w:p>
    <w:p w14:paraId="51BC4F9E" w14:textId="77777777" w:rsidR="006B5A8F" w:rsidRPr="007607D3" w:rsidRDefault="006B5A8F" w:rsidP="00AC451B">
      <w:pPr>
        <w:pStyle w:val="Heading2"/>
        <w:numPr>
          <w:ilvl w:val="0"/>
          <w:numId w:val="61"/>
        </w:numPr>
        <w:spacing w:before="0" w:after="0"/>
        <w:ind w:left="1440" w:hanging="720"/>
        <w:jc w:val="both"/>
        <w:rPr>
          <w:rFonts w:ascii="Cambria" w:hAnsi="Cambria" w:cs="Times New Roman"/>
          <w:bCs w:val="0"/>
          <w:i w:val="0"/>
          <w:iCs w:val="0"/>
          <w:sz w:val="20"/>
          <w:szCs w:val="20"/>
          <w:lang w:val="es-ES" w:eastAsia="es-ES"/>
        </w:rPr>
      </w:pPr>
      <w:bookmarkStart w:id="23" w:name="_Toc86071599"/>
      <w:r w:rsidRPr="007607D3">
        <w:rPr>
          <w:rFonts w:ascii="Cambria" w:hAnsi="Cambria" w:cs="Times New Roman"/>
          <w:bCs w:val="0"/>
          <w:i w:val="0"/>
          <w:iCs w:val="0"/>
          <w:sz w:val="20"/>
          <w:szCs w:val="20"/>
          <w:lang w:val="es-ES" w:eastAsia="es-ES"/>
        </w:rPr>
        <w:t>Derecho de justicia (Artículo XVIII</w:t>
      </w:r>
      <w:r w:rsidRPr="007607D3">
        <w:rPr>
          <w:rStyle w:val="FootnoteReference"/>
          <w:rFonts w:ascii="Cambria" w:eastAsia="Trebuchet MS" w:hAnsi="Cambria" w:cs="Times New Roman"/>
          <w:bCs w:val="0"/>
          <w:i w:val="0"/>
          <w:iCs w:val="0"/>
          <w:sz w:val="20"/>
          <w:szCs w:val="20"/>
          <w:lang w:val="es-ES" w:eastAsia="es-ES"/>
        </w:rPr>
        <w:footnoteReference w:id="117"/>
      </w:r>
      <w:r w:rsidRPr="007607D3">
        <w:rPr>
          <w:rFonts w:ascii="Cambria" w:hAnsi="Cambria" w:cs="Times New Roman"/>
          <w:bCs w:val="0"/>
          <w:i w:val="0"/>
          <w:iCs w:val="0"/>
          <w:sz w:val="20"/>
          <w:szCs w:val="20"/>
          <w:lang w:val="es-ES" w:eastAsia="es-ES"/>
        </w:rPr>
        <w:t xml:space="preserve"> de la Declaración Americana), y derecho a las garantías judiciales y protección judicial (Artículos 8.1</w:t>
      </w:r>
      <w:r w:rsidRPr="007607D3">
        <w:rPr>
          <w:rStyle w:val="FootnoteReference"/>
          <w:rFonts w:ascii="Cambria" w:eastAsia="Trebuchet MS" w:hAnsi="Cambria" w:cs="Times New Roman"/>
          <w:bCs w:val="0"/>
          <w:i w:val="0"/>
          <w:iCs w:val="0"/>
          <w:sz w:val="20"/>
          <w:szCs w:val="20"/>
          <w:lang w:val="es-ES" w:eastAsia="es-ES"/>
        </w:rPr>
        <w:footnoteReference w:id="118"/>
      </w:r>
      <w:r w:rsidRPr="007607D3">
        <w:rPr>
          <w:rFonts w:ascii="Cambria" w:hAnsi="Cambria" w:cs="Times New Roman"/>
          <w:bCs w:val="0"/>
          <w:i w:val="0"/>
          <w:iCs w:val="0"/>
          <w:sz w:val="20"/>
          <w:szCs w:val="20"/>
          <w:lang w:val="es-ES" w:eastAsia="es-ES"/>
        </w:rPr>
        <w:t xml:space="preserve"> y 25.1</w:t>
      </w:r>
      <w:r w:rsidRPr="007607D3">
        <w:rPr>
          <w:rStyle w:val="FootnoteReference"/>
          <w:rFonts w:ascii="Cambria" w:eastAsia="Trebuchet MS" w:hAnsi="Cambria" w:cs="Times New Roman"/>
          <w:bCs w:val="0"/>
          <w:i w:val="0"/>
          <w:iCs w:val="0"/>
          <w:sz w:val="20"/>
          <w:szCs w:val="20"/>
          <w:lang w:val="es-ES" w:eastAsia="es-ES"/>
        </w:rPr>
        <w:footnoteReference w:id="119"/>
      </w:r>
      <w:r w:rsidRPr="007607D3">
        <w:rPr>
          <w:rFonts w:ascii="Cambria" w:hAnsi="Cambria" w:cs="Times New Roman"/>
          <w:bCs w:val="0"/>
          <w:i w:val="0"/>
          <w:iCs w:val="0"/>
          <w:sz w:val="20"/>
          <w:szCs w:val="20"/>
          <w:lang w:val="es-ES" w:eastAsia="es-ES"/>
        </w:rPr>
        <w:t xml:space="preserve"> de la Convención Americana)</w:t>
      </w:r>
      <w:bookmarkEnd w:id="23"/>
      <w:r w:rsidRPr="007607D3">
        <w:rPr>
          <w:rFonts w:ascii="Cambria" w:hAnsi="Cambria" w:cs="Times New Roman"/>
          <w:bCs w:val="0"/>
          <w:i w:val="0"/>
          <w:iCs w:val="0"/>
          <w:sz w:val="20"/>
          <w:szCs w:val="20"/>
          <w:lang w:val="es-ES" w:eastAsia="es-ES"/>
        </w:rPr>
        <w:t xml:space="preserve"> </w:t>
      </w:r>
    </w:p>
    <w:p w14:paraId="40473A76" w14:textId="77777777" w:rsidR="006B5A8F" w:rsidRPr="007607D3" w:rsidRDefault="006B5A8F" w:rsidP="007863AC">
      <w:pPr>
        <w:pStyle w:val="Heading3"/>
        <w:numPr>
          <w:ilvl w:val="0"/>
          <w:numId w:val="62"/>
        </w:numPr>
        <w:ind w:left="1440" w:hanging="720"/>
        <w:rPr>
          <w:sz w:val="20"/>
          <w:szCs w:val="20"/>
          <w:lang w:val="es-ES_tradnl"/>
        </w:rPr>
      </w:pPr>
      <w:bookmarkStart w:id="24" w:name="_Toc86071600"/>
      <w:r w:rsidRPr="007607D3">
        <w:rPr>
          <w:rFonts w:asciiTheme="majorHAnsi" w:hAnsiTheme="majorHAnsi"/>
          <w:sz w:val="20"/>
          <w:szCs w:val="20"/>
          <w:lang w:val="es-ES_tradnl"/>
        </w:rPr>
        <w:t>Consideraciones generales</w:t>
      </w:r>
      <w:bookmarkEnd w:id="24"/>
      <w:r w:rsidRPr="007607D3">
        <w:rPr>
          <w:rFonts w:asciiTheme="majorHAnsi" w:hAnsiTheme="majorHAnsi"/>
          <w:sz w:val="20"/>
          <w:szCs w:val="20"/>
          <w:lang w:val="es-ES_tradnl"/>
        </w:rPr>
        <w:t xml:space="preserve"> </w:t>
      </w:r>
    </w:p>
    <w:p w14:paraId="079AA773" w14:textId="77777777" w:rsidR="006B5A8F" w:rsidRPr="007607D3" w:rsidRDefault="006B5A8F" w:rsidP="006B5A8F">
      <w:pPr>
        <w:rPr>
          <w:lang w:val="es-ES_tradnl"/>
        </w:rPr>
      </w:pPr>
    </w:p>
    <w:p w14:paraId="53168D71" w14:textId="77777777" w:rsidR="006B5A8F" w:rsidRPr="007607D3" w:rsidRDefault="006B5A8F" w:rsidP="00EA1EF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lang w:val="es-ES"/>
        </w:rPr>
      </w:pPr>
      <w:r w:rsidRPr="007607D3">
        <w:rPr>
          <w:rFonts w:ascii="Cambria" w:hAnsi="Cambria"/>
          <w:sz w:val="20"/>
          <w:szCs w:val="20"/>
          <w:lang w:val="es-AR"/>
        </w:rPr>
        <w:t>La CIDH ha indicado que</w:t>
      </w:r>
      <w:r w:rsidRPr="007607D3">
        <w:rPr>
          <w:rFonts w:ascii="Cambria" w:hAnsi="Cambria"/>
          <w:sz w:val="20"/>
          <w:szCs w:val="20"/>
          <w:lang w:val="es-ES"/>
        </w:rPr>
        <w:t xml:space="preserve"> el </w:t>
      </w:r>
      <w:r w:rsidRPr="007607D3">
        <w:rPr>
          <w:rFonts w:ascii="Cambria" w:hAnsi="Cambria"/>
          <w:bCs/>
          <w:iCs/>
          <w:sz w:val="20"/>
          <w:szCs w:val="20"/>
          <w:lang w:val="es-ES" w:eastAsia="es-ES"/>
        </w:rPr>
        <w:t xml:space="preserve">derecho de justicia contenido en el artículo XVIII de la Declaración Americana </w:t>
      </w:r>
      <w:r w:rsidRPr="007607D3">
        <w:rPr>
          <w:rFonts w:ascii="Cambria" w:hAnsi="Cambria"/>
          <w:sz w:val="20"/>
          <w:szCs w:val="20"/>
          <w:lang w:val="es-AR"/>
        </w:rPr>
        <w:t>es similar en su alcance al derecho a la protección judicial contenido en el artículo 25 de la Convención Americana, y comprende el derecho de toda persona a comparecer ante un tribunal cuando se ha violado alguno de sus derechos, a obtener una investigación a cargo de un tribunal competente, imparcial e independiente, así como el derecho a obtener reparaciones por el daño sufrido</w:t>
      </w:r>
      <w:r w:rsidRPr="007607D3">
        <w:rPr>
          <w:rFonts w:ascii="Cambria" w:hAnsi="Cambria" w:cs="Arial"/>
          <w:sz w:val="20"/>
          <w:szCs w:val="20"/>
          <w:vertAlign w:val="superscript"/>
        </w:rPr>
        <w:footnoteReference w:id="120"/>
      </w:r>
      <w:r w:rsidRPr="007607D3">
        <w:rPr>
          <w:rFonts w:ascii="Cambria" w:hAnsi="Cambria"/>
          <w:sz w:val="20"/>
          <w:szCs w:val="20"/>
          <w:lang w:val="es-ES"/>
        </w:rPr>
        <w:t>.</w:t>
      </w:r>
    </w:p>
    <w:p w14:paraId="233CF767" w14:textId="77777777" w:rsidR="00685B16" w:rsidRPr="007607D3" w:rsidRDefault="00685B16" w:rsidP="00EB620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Cambria" w:hAnsi="Cambria"/>
          <w:sz w:val="20"/>
          <w:szCs w:val="20"/>
          <w:lang w:val="es-ES"/>
        </w:rPr>
      </w:pPr>
    </w:p>
    <w:p w14:paraId="74EBEB9A" w14:textId="77777777" w:rsidR="006B5A8F" w:rsidRPr="007607D3" w:rsidRDefault="006B5A8F"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lang w:val="es-ES"/>
        </w:rPr>
      </w:pPr>
      <w:r w:rsidRPr="007607D3">
        <w:rPr>
          <w:rFonts w:ascii="Cambria" w:hAnsi="Cambria"/>
          <w:sz w:val="20"/>
          <w:szCs w:val="20"/>
          <w:lang w:val="es-ES"/>
        </w:rPr>
        <w:t>De acuerdo a la Corte Interamericana, el derecho a las garantías judiciales implica que toda persona que ha sufrido una violación a sus derechos humanos “tiene derecho a obtener de los órganos competentes del Estado el esclarecimiento de los hechos violatorios y el establecimiento de las responsabilidades correspondientes, a través de la investigación y el juzgamiento”</w:t>
      </w:r>
      <w:r w:rsidRPr="007607D3">
        <w:rPr>
          <w:rStyle w:val="FootnoteReference"/>
          <w:rFonts w:ascii="Cambria" w:hAnsi="Cambria"/>
          <w:sz w:val="20"/>
          <w:szCs w:val="20"/>
          <w:lang w:val="es-ES"/>
        </w:rPr>
        <w:footnoteReference w:id="121"/>
      </w:r>
      <w:r w:rsidRPr="007607D3">
        <w:rPr>
          <w:rFonts w:ascii="Cambria" w:hAnsi="Cambria"/>
          <w:sz w:val="20"/>
          <w:szCs w:val="20"/>
          <w:lang w:val="es-ES"/>
        </w:rPr>
        <w:t>. Por su parte, el derecho a la protección judicial “obliga al Estado a garantizar a toda persona el acceso a la administración de justicia y, en particular, a un recurso rápido y sencillo para lograr, entre otros resultados, que los responsables de las violaciones de los derechos humanos sean juzgados y para obtener una reparación por el daño sufrido”</w:t>
      </w:r>
      <w:r w:rsidRPr="007607D3">
        <w:rPr>
          <w:rStyle w:val="FootnoteReference"/>
          <w:rFonts w:ascii="Cambria" w:hAnsi="Cambria"/>
          <w:sz w:val="20"/>
          <w:szCs w:val="20"/>
          <w:lang w:val="es-ES"/>
        </w:rPr>
        <w:footnoteReference w:id="122"/>
      </w:r>
      <w:r w:rsidRPr="007607D3">
        <w:rPr>
          <w:rFonts w:ascii="Cambria" w:hAnsi="Cambria"/>
          <w:sz w:val="20"/>
          <w:szCs w:val="20"/>
          <w:lang w:val="es-ES"/>
        </w:rPr>
        <w:t xml:space="preserve">.  </w:t>
      </w:r>
      <w:r w:rsidRPr="007607D3">
        <w:rPr>
          <w:rFonts w:ascii="Cambria" w:hAnsi="Cambria"/>
          <w:spacing w:val="-2"/>
          <w:sz w:val="20"/>
          <w:szCs w:val="20"/>
          <w:lang w:val="es-CR"/>
        </w:rPr>
        <w:t>Así, el deber de investigar</w:t>
      </w:r>
      <w:r w:rsidR="005039BD" w:rsidRPr="007607D3">
        <w:rPr>
          <w:rFonts w:ascii="Cambria" w:hAnsi="Cambria"/>
          <w:spacing w:val="-2"/>
          <w:sz w:val="20"/>
          <w:szCs w:val="20"/>
          <w:lang w:val="es-CR"/>
        </w:rPr>
        <w:t xml:space="preserve"> exigible en el presente caso</w:t>
      </w:r>
      <w:r w:rsidRPr="007607D3">
        <w:rPr>
          <w:rFonts w:ascii="Cambria" w:hAnsi="Cambria"/>
          <w:spacing w:val="-2"/>
          <w:sz w:val="20"/>
          <w:szCs w:val="20"/>
          <w:lang w:val="es-CR"/>
        </w:rPr>
        <w:t xml:space="preserve"> emana tanto del artículo XVIII de la Declaración Americana, como de los artículos 8 y 25 de la Convención Americana.</w:t>
      </w:r>
    </w:p>
    <w:p w14:paraId="19BA7433" w14:textId="77777777" w:rsidR="006B5A8F" w:rsidRPr="007607D3" w:rsidRDefault="006B5A8F" w:rsidP="006B5A8F">
      <w:pPr>
        <w:pStyle w:val="ListParagraph"/>
        <w:rPr>
          <w:sz w:val="20"/>
          <w:szCs w:val="20"/>
          <w:lang w:val="es-ES"/>
        </w:rPr>
      </w:pPr>
    </w:p>
    <w:p w14:paraId="210888BE" w14:textId="77777777" w:rsidR="006B5A8F" w:rsidRPr="007607D3" w:rsidRDefault="006B5A8F"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pacing w:val="-2"/>
          <w:sz w:val="20"/>
          <w:szCs w:val="20"/>
          <w:lang w:val="es-CR"/>
        </w:rPr>
      </w:pPr>
      <w:r w:rsidRPr="007607D3">
        <w:rPr>
          <w:rFonts w:ascii="Cambria" w:hAnsi="Cambria"/>
          <w:sz w:val="20"/>
          <w:szCs w:val="20"/>
          <w:lang w:val="es-ES"/>
        </w:rPr>
        <w:t>Dicho deber de investigar es una obligación de medios y no de resultado que debe ser asumida por el Estado como una obligación jurídica propia y no como una simple formalidad condenada de antemano a ser infructuosa</w:t>
      </w:r>
      <w:r w:rsidRPr="007607D3">
        <w:rPr>
          <w:rStyle w:val="FootnoteReference"/>
          <w:rFonts w:ascii="Cambria" w:hAnsi="Cambria"/>
          <w:sz w:val="20"/>
          <w:szCs w:val="20"/>
          <w:lang w:val="es-ES_tradnl"/>
        </w:rPr>
        <w:footnoteReference w:id="123"/>
      </w:r>
      <w:r w:rsidRPr="007607D3">
        <w:rPr>
          <w:rFonts w:ascii="Cambria" w:hAnsi="Cambria"/>
          <w:spacing w:val="-2"/>
          <w:sz w:val="20"/>
          <w:szCs w:val="20"/>
          <w:lang w:val="es-CR"/>
        </w:rPr>
        <w:t>, o como una mera gestión de intereses particulares, que dependa de la iniciativa procesal de las víctimas o de sus familiares o de la aportación privada de elementos probatorios</w:t>
      </w:r>
      <w:r w:rsidRPr="007607D3">
        <w:rPr>
          <w:rFonts w:ascii="Cambria" w:hAnsi="Cambria"/>
          <w:spacing w:val="-2"/>
          <w:sz w:val="20"/>
          <w:szCs w:val="20"/>
          <w:vertAlign w:val="superscript"/>
          <w:lang w:val="es-CR"/>
        </w:rPr>
        <w:footnoteReference w:id="124"/>
      </w:r>
      <w:r w:rsidRPr="007607D3">
        <w:rPr>
          <w:rFonts w:ascii="Cambria" w:hAnsi="Cambria"/>
          <w:spacing w:val="-2"/>
          <w:sz w:val="20"/>
          <w:szCs w:val="20"/>
          <w:lang w:val="es-CR"/>
        </w:rPr>
        <w:t xml:space="preserve">. </w:t>
      </w:r>
    </w:p>
    <w:p w14:paraId="5F72AE0C" w14:textId="77777777" w:rsidR="006B5A8F" w:rsidRPr="007607D3" w:rsidRDefault="006B5A8F" w:rsidP="006B5A8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pacing w:val="-2"/>
          <w:sz w:val="20"/>
          <w:szCs w:val="20"/>
          <w:lang w:val="es-CR"/>
        </w:rPr>
      </w:pPr>
    </w:p>
    <w:p w14:paraId="4D8BF812" w14:textId="77777777" w:rsidR="006B5A8F" w:rsidRPr="007607D3" w:rsidRDefault="006B5A8F"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pacing w:val="-2"/>
          <w:sz w:val="20"/>
          <w:szCs w:val="20"/>
          <w:lang w:val="es-CR"/>
        </w:rPr>
      </w:pPr>
      <w:r w:rsidRPr="007607D3">
        <w:rPr>
          <w:rFonts w:ascii="Cambria" w:hAnsi="Cambria"/>
          <w:sz w:val="20"/>
          <w:szCs w:val="20"/>
          <w:lang w:val="es-ES"/>
        </w:rPr>
        <w:t xml:space="preserve">La CIDH recuerda que la obligación de investigar y sancionar todo hecho que implique violación de los derechos protegidos por la Convención requiere que se castigue no sólo a los autores materiales de los hechos violatorios de derechos humanos, sino también </w:t>
      </w:r>
      <w:r w:rsidRPr="007607D3">
        <w:rPr>
          <w:rFonts w:ascii="Cambria" w:hAnsi="Cambria"/>
          <w:sz w:val="20"/>
          <w:szCs w:val="20"/>
          <w:lang w:val="es-UY"/>
        </w:rPr>
        <w:t>a los autores intelectuales de tales hechos y a los encubridores</w:t>
      </w:r>
      <w:r w:rsidRPr="007607D3">
        <w:rPr>
          <w:rStyle w:val="FootnoteReference"/>
          <w:rFonts w:ascii="Cambria" w:hAnsi="Cambria"/>
          <w:sz w:val="20"/>
          <w:szCs w:val="20"/>
          <w:lang w:val="es-UY"/>
        </w:rPr>
        <w:footnoteReference w:id="125"/>
      </w:r>
      <w:r w:rsidRPr="007607D3">
        <w:rPr>
          <w:rFonts w:ascii="Cambria" w:hAnsi="Cambria"/>
          <w:sz w:val="20"/>
          <w:szCs w:val="20"/>
          <w:lang w:val="es-UY"/>
        </w:rPr>
        <w:t xml:space="preserve">. </w:t>
      </w:r>
      <w:r w:rsidRPr="007607D3">
        <w:rPr>
          <w:rFonts w:ascii="Cambria" w:hAnsi="Cambria"/>
          <w:sz w:val="20"/>
          <w:szCs w:val="20"/>
          <w:lang w:val="es-ES"/>
        </w:rPr>
        <w:t xml:space="preserve">Ello encuentra su fundamento en el derecho a la verdad de los familiares de la víctima, el cual implica obtener de los órganos competentes del Estado el esclarecimiento </w:t>
      </w:r>
      <w:r w:rsidRPr="007607D3">
        <w:rPr>
          <w:rFonts w:ascii="Cambria" w:hAnsi="Cambria"/>
          <w:sz w:val="20"/>
          <w:szCs w:val="20"/>
          <w:lang w:val="es-AR"/>
        </w:rPr>
        <w:t>de los hechos violatorios, así como el castigo de todas las personas responsables</w:t>
      </w:r>
      <w:r w:rsidRPr="007607D3">
        <w:rPr>
          <w:rStyle w:val="FootnoteReference"/>
          <w:rFonts w:ascii="Cambria" w:hAnsi="Cambria"/>
          <w:sz w:val="20"/>
          <w:szCs w:val="20"/>
        </w:rPr>
        <w:footnoteReference w:id="126"/>
      </w:r>
      <w:r w:rsidRPr="007607D3">
        <w:rPr>
          <w:rFonts w:ascii="Cambria" w:hAnsi="Cambria"/>
          <w:sz w:val="20"/>
          <w:szCs w:val="20"/>
          <w:lang w:val="es-AR"/>
        </w:rPr>
        <w:t xml:space="preserve">, </w:t>
      </w:r>
      <w:r w:rsidRPr="007607D3">
        <w:rPr>
          <w:rFonts w:ascii="Cambria" w:hAnsi="Cambria"/>
          <w:sz w:val="20"/>
          <w:szCs w:val="20"/>
          <w:lang w:val="es-ES"/>
        </w:rPr>
        <w:t>involucrando a toda institución estatal</w:t>
      </w:r>
      <w:r w:rsidRPr="007607D3">
        <w:rPr>
          <w:rFonts w:ascii="Cambria" w:hAnsi="Cambria"/>
          <w:sz w:val="20"/>
          <w:szCs w:val="20"/>
          <w:vertAlign w:val="superscript"/>
        </w:rPr>
        <w:footnoteReference w:id="127"/>
      </w:r>
      <w:r w:rsidRPr="007607D3">
        <w:rPr>
          <w:rFonts w:ascii="Cambria" w:hAnsi="Cambria"/>
          <w:sz w:val="20"/>
          <w:szCs w:val="20"/>
          <w:lang w:val="es-AR"/>
        </w:rPr>
        <w:t>.</w:t>
      </w:r>
    </w:p>
    <w:p w14:paraId="0DB8B218" w14:textId="77777777" w:rsidR="006B5A8F" w:rsidRPr="007607D3" w:rsidRDefault="006B5A8F" w:rsidP="006B5A8F">
      <w:pPr>
        <w:pStyle w:val="ListParagraph"/>
        <w:rPr>
          <w:spacing w:val="-2"/>
          <w:sz w:val="20"/>
          <w:szCs w:val="20"/>
          <w:lang w:val="es-CR"/>
        </w:rPr>
      </w:pPr>
    </w:p>
    <w:p w14:paraId="0194F73F" w14:textId="77777777" w:rsidR="006B5A8F" w:rsidRPr="007607D3" w:rsidRDefault="006B5A8F"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pacing w:val="-2"/>
          <w:sz w:val="20"/>
          <w:szCs w:val="20"/>
          <w:lang w:val="es-CR"/>
        </w:rPr>
      </w:pPr>
      <w:r w:rsidRPr="007607D3">
        <w:rPr>
          <w:rFonts w:ascii="Cambria" w:hAnsi="Cambria"/>
          <w:spacing w:val="-2"/>
          <w:sz w:val="20"/>
          <w:szCs w:val="20"/>
          <w:lang w:val="es-CR"/>
        </w:rPr>
        <w:t>La obligación de investigar y sancionar debe realizarse con debida diligencia, lo cual implica que “</w:t>
      </w:r>
      <w:r w:rsidRPr="007607D3">
        <w:rPr>
          <w:rFonts w:ascii="Cambria" w:hAnsi="Cambria"/>
          <w:sz w:val="20"/>
          <w:szCs w:val="20"/>
          <w:lang w:val="es-ES"/>
        </w:rPr>
        <w:t>cada acto estatal que conforma el proceso investigativo, así como la investigación en su totalidad, debe estar orientado hacía una finalidad específica, la determinación de la verdad y la investigación, persecución, captura, enjuiciamiento, y en su caso, la sanción de los responsables de los hechos”</w:t>
      </w:r>
      <w:r w:rsidRPr="007607D3">
        <w:rPr>
          <w:rStyle w:val="FootnoteReference"/>
          <w:rFonts w:ascii="Cambria" w:hAnsi="Cambria"/>
          <w:sz w:val="20"/>
          <w:szCs w:val="20"/>
          <w:lang w:val="es-ES"/>
        </w:rPr>
        <w:footnoteReference w:id="128"/>
      </w:r>
      <w:r w:rsidRPr="007607D3">
        <w:rPr>
          <w:rFonts w:ascii="Cambria" w:hAnsi="Cambria"/>
          <w:spacing w:val="-2"/>
          <w:sz w:val="20"/>
          <w:szCs w:val="20"/>
          <w:lang w:val="es-CR"/>
        </w:rPr>
        <w:t>, especialmente cuando están o puedan estar involucrados agentes estatales</w:t>
      </w:r>
      <w:r w:rsidRPr="007607D3">
        <w:rPr>
          <w:rFonts w:ascii="Cambria" w:hAnsi="Cambria"/>
          <w:spacing w:val="-2"/>
          <w:sz w:val="20"/>
          <w:szCs w:val="20"/>
          <w:vertAlign w:val="superscript"/>
          <w:lang w:val="es-CR"/>
        </w:rPr>
        <w:footnoteReference w:id="129"/>
      </w:r>
      <w:r w:rsidRPr="007607D3">
        <w:rPr>
          <w:rFonts w:ascii="Cambria" w:hAnsi="Cambria"/>
          <w:sz w:val="20"/>
          <w:szCs w:val="20"/>
          <w:lang w:val="es-ES"/>
        </w:rPr>
        <w:t xml:space="preserve">. </w:t>
      </w:r>
      <w:r w:rsidRPr="007607D3">
        <w:rPr>
          <w:rFonts w:ascii="Cambria" w:hAnsi="Cambria" w:cs="Arial"/>
          <w:sz w:val="20"/>
          <w:szCs w:val="20"/>
          <w:lang w:val="es-VE"/>
        </w:rPr>
        <w:t xml:space="preserve">A </w:t>
      </w:r>
      <w:r w:rsidRPr="007607D3">
        <w:rPr>
          <w:rFonts w:ascii="Cambria" w:hAnsi="Cambria"/>
          <w:sz w:val="20"/>
          <w:szCs w:val="20"/>
          <w:lang w:val="es-MX"/>
        </w:rPr>
        <w:t xml:space="preserve">ese respecto, el Estado tiene que </w:t>
      </w:r>
      <w:r w:rsidRPr="007607D3">
        <w:rPr>
          <w:rFonts w:ascii="Cambria" w:hAnsi="Cambria"/>
          <w:spacing w:val="-2"/>
          <w:sz w:val="20"/>
          <w:szCs w:val="20"/>
          <w:lang w:val="es-MX"/>
        </w:rPr>
        <w:t>demostrar que ha realizado una investigación inmediata, exhaustiva, seria e imparcial</w:t>
      </w:r>
      <w:r w:rsidRPr="007607D3">
        <w:rPr>
          <w:rStyle w:val="FootnoteReference"/>
          <w:rFonts w:ascii="Cambria" w:hAnsi="Cambria"/>
          <w:sz w:val="20"/>
          <w:szCs w:val="20"/>
          <w:lang w:val="es-ES"/>
        </w:rPr>
        <w:footnoteReference w:id="130"/>
      </w:r>
      <w:r w:rsidRPr="007607D3">
        <w:rPr>
          <w:rFonts w:ascii="Cambria" w:hAnsi="Cambria"/>
          <w:spacing w:val="-2"/>
          <w:sz w:val="20"/>
          <w:szCs w:val="20"/>
          <w:lang w:val="es-MX"/>
        </w:rPr>
        <w:t>,</w:t>
      </w:r>
      <w:r w:rsidRPr="007607D3">
        <w:rPr>
          <w:rFonts w:ascii="Cambria" w:hAnsi="Cambria"/>
          <w:sz w:val="20"/>
          <w:szCs w:val="20"/>
          <w:lang w:val="es-MX"/>
        </w:rPr>
        <w:t xml:space="preserve"> la cual debe estar orientada a explorar </w:t>
      </w:r>
      <w:r w:rsidRPr="007607D3">
        <w:rPr>
          <w:rFonts w:ascii="Cambria" w:hAnsi="Cambria"/>
          <w:sz w:val="20"/>
          <w:szCs w:val="20"/>
          <w:lang w:val="es-ES"/>
        </w:rPr>
        <w:t>todas</w:t>
      </w:r>
      <w:r w:rsidRPr="007607D3">
        <w:rPr>
          <w:rFonts w:ascii="Cambria" w:hAnsi="Cambria"/>
          <w:sz w:val="20"/>
          <w:szCs w:val="20"/>
          <w:lang w:val="es-MX"/>
        </w:rPr>
        <w:t xml:space="preserve"> las líneas investigativas posibles</w:t>
      </w:r>
      <w:r w:rsidRPr="007607D3">
        <w:rPr>
          <w:rStyle w:val="FootnoteReference"/>
          <w:rFonts w:ascii="Cambria" w:hAnsi="Cambria" w:cs="Arial"/>
          <w:sz w:val="20"/>
          <w:szCs w:val="20"/>
          <w:lang w:val="es-ES"/>
        </w:rPr>
        <w:footnoteReference w:id="131"/>
      </w:r>
      <w:r w:rsidRPr="007607D3">
        <w:rPr>
          <w:rFonts w:ascii="Cambria" w:hAnsi="Cambria"/>
          <w:sz w:val="20"/>
          <w:szCs w:val="20"/>
          <w:lang w:val="es-MX"/>
        </w:rPr>
        <w:t>. E</w:t>
      </w:r>
      <w:r w:rsidRPr="007607D3">
        <w:rPr>
          <w:rFonts w:ascii="Cambria" w:hAnsi="Cambria"/>
          <w:sz w:val="20"/>
          <w:szCs w:val="20"/>
          <w:lang w:val="es-CO"/>
        </w:rPr>
        <w:t>l Estado puede ser responsable por no “ordenar, practicar o valorar pruebas” que pueden ser fundamentales para el debido esclarecimiento de los hechos</w:t>
      </w:r>
      <w:r w:rsidRPr="007607D3">
        <w:rPr>
          <w:rStyle w:val="FootnoteReference"/>
          <w:rFonts w:ascii="Cambria" w:hAnsi="Cambria"/>
          <w:sz w:val="20"/>
          <w:szCs w:val="20"/>
          <w:lang w:val="es-CO"/>
        </w:rPr>
        <w:footnoteReference w:id="132"/>
      </w:r>
      <w:r w:rsidRPr="007607D3">
        <w:rPr>
          <w:rFonts w:ascii="Cambria" w:hAnsi="Cambria"/>
          <w:sz w:val="20"/>
          <w:szCs w:val="20"/>
          <w:lang w:val="es-CO"/>
        </w:rPr>
        <w:t>.</w:t>
      </w:r>
    </w:p>
    <w:p w14:paraId="4ADDEC06" w14:textId="77777777" w:rsidR="006B5A8F" w:rsidRPr="007607D3" w:rsidRDefault="006B5A8F" w:rsidP="006B5A8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pacing w:val="-2"/>
          <w:sz w:val="20"/>
          <w:szCs w:val="20"/>
          <w:lang w:val="es-CR"/>
        </w:rPr>
      </w:pPr>
    </w:p>
    <w:p w14:paraId="3EB48E9A" w14:textId="77777777" w:rsidR="006B5A8F" w:rsidRPr="007607D3" w:rsidRDefault="006B5A8F" w:rsidP="001C015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lang w:val="es-ES"/>
        </w:rPr>
      </w:pPr>
      <w:r w:rsidRPr="007607D3">
        <w:rPr>
          <w:rFonts w:ascii="Cambria" w:hAnsi="Cambria"/>
          <w:sz w:val="20"/>
          <w:szCs w:val="20"/>
          <w:lang w:val="es-ES"/>
        </w:rPr>
        <w:t>La Comisión ha estimado que como parte de la debida diligencia requerida en investigaciones sobre violaciones a los derechos de un defensor</w:t>
      </w:r>
      <w:r w:rsidR="005E7131" w:rsidRPr="007607D3">
        <w:rPr>
          <w:rFonts w:ascii="Cambria" w:hAnsi="Cambria"/>
          <w:sz w:val="20"/>
          <w:szCs w:val="20"/>
          <w:lang w:val="es-ES"/>
        </w:rPr>
        <w:t xml:space="preserve"> o defensora de derechos humanos,</w:t>
      </w:r>
      <w:r w:rsidRPr="007607D3">
        <w:rPr>
          <w:rFonts w:ascii="Cambria" w:hAnsi="Cambria"/>
          <w:sz w:val="20"/>
          <w:szCs w:val="20"/>
          <w:lang w:val="es-ES"/>
        </w:rPr>
        <w:t xml:space="preserve"> la autoridad debe tomar en cuenta la actividad de </w:t>
      </w:r>
      <w:r w:rsidR="00584CEE" w:rsidRPr="007607D3">
        <w:rPr>
          <w:rFonts w:ascii="Cambria" w:hAnsi="Cambria"/>
          <w:sz w:val="20"/>
          <w:szCs w:val="20"/>
          <w:lang w:val="es-ES"/>
        </w:rPr>
        <w:t xml:space="preserve">esta persona </w:t>
      </w:r>
      <w:r w:rsidRPr="007607D3">
        <w:rPr>
          <w:rFonts w:ascii="Cambria" w:hAnsi="Cambria"/>
          <w:sz w:val="20"/>
          <w:szCs w:val="20"/>
          <w:lang w:val="es-ES"/>
        </w:rPr>
        <w:t>para identificar los intereses que podrían haber sido afectados en el ejercicio de la misma y así poder establecer líneas de investigación e hipótesis del</w:t>
      </w:r>
      <w:r w:rsidR="00FC2E22" w:rsidRPr="007607D3">
        <w:rPr>
          <w:rFonts w:ascii="Cambria" w:hAnsi="Cambria"/>
          <w:sz w:val="20"/>
          <w:szCs w:val="20"/>
          <w:lang w:val="es-ES"/>
        </w:rPr>
        <w:t xml:space="preserve"> </w:t>
      </w:r>
      <w:r w:rsidRPr="007607D3">
        <w:rPr>
          <w:rFonts w:ascii="Cambria" w:hAnsi="Cambria"/>
          <w:sz w:val="20"/>
          <w:szCs w:val="20"/>
          <w:lang w:val="es-ES"/>
        </w:rPr>
        <w:t>delito. La Comisión ha indicado que el medio más eficaz para proteger a las defensoras y defensores de derechos humanos en el hemisferio es investigar los actos de violencia en su contra y sancionar a los responsables</w:t>
      </w:r>
      <w:r w:rsidRPr="007607D3">
        <w:rPr>
          <w:rStyle w:val="FootnoteReference"/>
          <w:rFonts w:ascii="Cambria" w:hAnsi="Cambria"/>
          <w:sz w:val="20"/>
          <w:szCs w:val="20"/>
          <w:lang w:val="es-ES"/>
        </w:rPr>
        <w:footnoteReference w:id="133"/>
      </w:r>
      <w:r w:rsidRPr="007607D3">
        <w:rPr>
          <w:rFonts w:ascii="Cambria" w:hAnsi="Cambria"/>
          <w:sz w:val="20"/>
          <w:szCs w:val="20"/>
          <w:lang w:val="es-ES"/>
        </w:rPr>
        <w:t>.</w:t>
      </w:r>
    </w:p>
    <w:p w14:paraId="2FCF88E1" w14:textId="77777777" w:rsidR="006B5A8F" w:rsidRPr="007607D3" w:rsidRDefault="006B5A8F"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1980"/>
          <w:tab w:val="num" w:pos="2040"/>
        </w:tabs>
        <w:ind w:left="0" w:firstLine="720"/>
        <w:jc w:val="both"/>
        <w:rPr>
          <w:rFonts w:ascii="Cambria" w:hAnsi="Cambria"/>
          <w:sz w:val="20"/>
          <w:szCs w:val="20"/>
          <w:lang w:val="es-ES"/>
        </w:rPr>
      </w:pPr>
      <w:r w:rsidRPr="007607D3">
        <w:rPr>
          <w:rFonts w:ascii="Cambria" w:hAnsi="Cambria"/>
          <w:sz w:val="20"/>
          <w:szCs w:val="20"/>
          <w:lang w:val="es-ES"/>
        </w:rPr>
        <w:t>En su jurisprudencia en materia de impunidad, la Corte Interamericana ha resaltado la importancia de establecer líneas lógicas de investigación con base en las pruebas y evidencias recolectadas durante el proceso</w:t>
      </w:r>
      <w:r w:rsidRPr="007607D3">
        <w:rPr>
          <w:rFonts w:ascii="Cambria" w:hAnsi="Cambria"/>
          <w:sz w:val="20"/>
          <w:szCs w:val="20"/>
          <w:vertAlign w:val="superscript"/>
          <w:lang w:val="es-ES"/>
        </w:rPr>
        <w:footnoteReference w:id="134"/>
      </w:r>
      <w:r w:rsidRPr="007607D3">
        <w:rPr>
          <w:rFonts w:ascii="Cambria" w:hAnsi="Cambria"/>
          <w:sz w:val="20"/>
          <w:szCs w:val="20"/>
          <w:lang w:val="es-ES"/>
        </w:rPr>
        <w:t>. En casos relacionados con privaciones arbitrarias de la vida, la Corte ha indicado que es imprescindible analizar las estructuras de poder que las permitieron, diseñaron y ejecutaron intelectual y materialmente, así como de las personas o grupos que estaban interesados o se beneficiarían del crimen, pues ello puede permitir la generación de hipótesis y líneas de investigación.  Por ello, no se trata sólo del análisis de un crimen de manera aislada, sino inserto en un contexto que proporcione los elementos necesarios para comprender su estructura de operación</w:t>
      </w:r>
      <w:r w:rsidRPr="007607D3">
        <w:rPr>
          <w:rStyle w:val="FootnoteReference"/>
          <w:rFonts w:ascii="Cambria" w:hAnsi="Cambria"/>
          <w:sz w:val="20"/>
          <w:szCs w:val="20"/>
          <w:lang w:val="es-PE"/>
        </w:rPr>
        <w:footnoteReference w:id="135"/>
      </w:r>
      <w:r w:rsidRPr="007607D3">
        <w:rPr>
          <w:rFonts w:ascii="Cambria" w:hAnsi="Cambria"/>
          <w:sz w:val="20"/>
          <w:szCs w:val="20"/>
          <w:lang w:val="es-PE"/>
        </w:rPr>
        <w:t>.</w:t>
      </w:r>
    </w:p>
    <w:p w14:paraId="47C2FEE6" w14:textId="77777777" w:rsidR="006B5A8F" w:rsidRPr="007607D3" w:rsidRDefault="006B5A8F" w:rsidP="006B5A8F">
      <w:pPr>
        <w:pStyle w:val="ListParagraph"/>
        <w:rPr>
          <w:spacing w:val="-2"/>
          <w:sz w:val="20"/>
          <w:szCs w:val="20"/>
          <w:lang w:val="es-ES"/>
        </w:rPr>
      </w:pPr>
    </w:p>
    <w:p w14:paraId="1EB98B42" w14:textId="77777777" w:rsidR="006B5A8F" w:rsidRPr="007607D3" w:rsidRDefault="006B5A8F"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1980"/>
          <w:tab w:val="num" w:pos="2040"/>
        </w:tabs>
        <w:ind w:left="0" w:firstLine="720"/>
        <w:jc w:val="both"/>
        <w:rPr>
          <w:rFonts w:ascii="Cambria" w:hAnsi="Cambria"/>
          <w:sz w:val="20"/>
          <w:szCs w:val="20"/>
          <w:lang w:val="es-ES"/>
        </w:rPr>
      </w:pPr>
      <w:r w:rsidRPr="007607D3">
        <w:rPr>
          <w:rFonts w:ascii="Cambria" w:hAnsi="Cambria"/>
          <w:spacing w:val="-2"/>
          <w:sz w:val="20"/>
          <w:szCs w:val="20"/>
          <w:lang w:val="es-CR"/>
        </w:rPr>
        <w:t xml:space="preserve">Por otra parte, en relación con los obstáculos en las investigaciones, la CIDH ha indicado que </w:t>
      </w:r>
      <w:r w:rsidRPr="007607D3">
        <w:rPr>
          <w:rFonts w:ascii="Cambria" w:hAnsi="Cambria"/>
          <w:sz w:val="20"/>
          <w:szCs w:val="20"/>
          <w:lang w:val="es-ES"/>
        </w:rPr>
        <w:t>la existencia de actos de obstrucción de justicia, trabas o falta de colaboración de las autoridades que hayan impedido o estén impidiendo el esclarecimiento de la causa, constituyen una violación al derecho a las garantías judiciales</w:t>
      </w:r>
      <w:r w:rsidRPr="007607D3">
        <w:rPr>
          <w:rStyle w:val="FootnoteReference"/>
          <w:rFonts w:ascii="Cambria" w:hAnsi="Cambria"/>
          <w:sz w:val="20"/>
          <w:szCs w:val="20"/>
          <w:lang w:val="es-ES"/>
        </w:rPr>
        <w:footnoteReference w:id="136"/>
      </w:r>
      <w:r w:rsidRPr="007607D3">
        <w:rPr>
          <w:rFonts w:ascii="Cambria" w:hAnsi="Cambria"/>
          <w:sz w:val="20"/>
          <w:szCs w:val="20"/>
          <w:lang w:val="es-ES"/>
        </w:rPr>
        <w:t xml:space="preserve">. </w:t>
      </w:r>
    </w:p>
    <w:p w14:paraId="4F202450" w14:textId="77777777" w:rsidR="006B5A8F" w:rsidRPr="007607D3" w:rsidRDefault="006B5A8F" w:rsidP="006B5A8F">
      <w:pPr>
        <w:pStyle w:val="ListParagraph"/>
        <w:ind w:left="0"/>
        <w:rPr>
          <w:sz w:val="20"/>
          <w:szCs w:val="20"/>
          <w:lang w:val="es-ES"/>
        </w:rPr>
      </w:pPr>
    </w:p>
    <w:p w14:paraId="1F1DF9E4" w14:textId="77777777" w:rsidR="006B5A8F" w:rsidRPr="007607D3" w:rsidRDefault="006B5A8F"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1980"/>
          <w:tab w:val="num" w:pos="2040"/>
        </w:tabs>
        <w:ind w:left="0" w:firstLine="720"/>
        <w:jc w:val="both"/>
        <w:rPr>
          <w:rFonts w:ascii="Cambria" w:hAnsi="Cambria"/>
          <w:sz w:val="20"/>
          <w:szCs w:val="20"/>
          <w:lang w:val="es-ES"/>
        </w:rPr>
      </w:pPr>
      <w:r w:rsidRPr="007607D3">
        <w:rPr>
          <w:rFonts w:ascii="Cambria" w:hAnsi="Cambria"/>
          <w:sz w:val="20"/>
          <w:szCs w:val="20"/>
          <w:lang w:val="es-ES"/>
        </w:rPr>
        <w:t>Finalmente, la CIDH recuerda que el derecho de acceso a la justicia no se agota con el trámite de los procesos internos, sino que este debe además asegurar, en tiempo razonable, el derecho de las presuntas víctimas o sus familiares a que se haga todo lo necesario para conocer la verdad de lo sucedido y para que se sancione a los eventuales responsables.  La jurisprudencia reiterada del sistema interamericano ha considerado cuatro aspectos para determinar el cumplimiento de la regla del plazo razonable: i) la complejidad del asunto; ii) la conducta de las autoridades; iii) la actividad procesal del interesado y iv) la afectación generada en la situación jurídica de la persona involucrada en el proceso</w:t>
      </w:r>
      <w:r w:rsidRPr="007607D3">
        <w:rPr>
          <w:rStyle w:val="FootnoteReference"/>
          <w:rFonts w:ascii="Cambria" w:hAnsi="Cambria"/>
          <w:sz w:val="20"/>
          <w:szCs w:val="20"/>
          <w:lang w:val="es-ES"/>
        </w:rPr>
        <w:footnoteReference w:id="137"/>
      </w:r>
      <w:r w:rsidRPr="007607D3">
        <w:rPr>
          <w:rFonts w:ascii="Cambria" w:hAnsi="Cambria"/>
          <w:sz w:val="20"/>
          <w:szCs w:val="20"/>
          <w:lang w:val="es-ES"/>
        </w:rPr>
        <w:t xml:space="preserve">. </w:t>
      </w:r>
    </w:p>
    <w:p w14:paraId="5C0857B9" w14:textId="77777777" w:rsidR="006B5A8F" w:rsidRPr="007607D3" w:rsidRDefault="006B5A8F" w:rsidP="006B5A8F">
      <w:pPr>
        <w:pStyle w:val="ListParagraph"/>
        <w:rPr>
          <w:sz w:val="20"/>
          <w:szCs w:val="20"/>
          <w:lang w:val="es-ES"/>
        </w:rPr>
      </w:pPr>
    </w:p>
    <w:p w14:paraId="471A4161" w14:textId="77777777" w:rsidR="006B5A8F" w:rsidRPr="007607D3" w:rsidRDefault="006B5A8F"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1980"/>
          <w:tab w:val="num" w:pos="2040"/>
        </w:tabs>
        <w:ind w:left="0" w:firstLine="720"/>
        <w:jc w:val="both"/>
        <w:rPr>
          <w:rFonts w:ascii="Cambria" w:hAnsi="Cambria"/>
          <w:sz w:val="20"/>
          <w:szCs w:val="20"/>
          <w:lang w:val="es-ES"/>
        </w:rPr>
      </w:pPr>
      <w:r w:rsidRPr="007607D3">
        <w:rPr>
          <w:rFonts w:ascii="Cambria" w:hAnsi="Cambria"/>
          <w:sz w:val="20"/>
          <w:szCs w:val="20"/>
          <w:lang w:val="es-ES"/>
        </w:rPr>
        <w:t>La CIDH ha indicado que el retardo en el desarrollo de la investigación no puede justificarse en razón de la complejidad del asunto cuando i) hay individualización de posibles autores; ii) consta la existencia de testigos; y iii) existen posibles líneas de investigación. A fin de que un argumento de complejidad sea procedente, no es suficiente con que los Estados invoquen en términos genéricos la complejidad de un asunto. Es necesario que se presente información específica que vincule en cada caso la complejidad con la demora</w:t>
      </w:r>
      <w:r w:rsidRPr="007607D3">
        <w:rPr>
          <w:rStyle w:val="FootnoteReference"/>
          <w:rFonts w:ascii="Cambria" w:hAnsi="Cambria"/>
          <w:sz w:val="20"/>
          <w:szCs w:val="20"/>
          <w:lang w:val="es-ES"/>
        </w:rPr>
        <w:footnoteReference w:id="138"/>
      </w:r>
      <w:r w:rsidRPr="007607D3">
        <w:rPr>
          <w:rFonts w:ascii="Cambria" w:hAnsi="Cambria"/>
          <w:sz w:val="20"/>
          <w:szCs w:val="20"/>
          <w:lang w:val="es-ES"/>
        </w:rPr>
        <w:t xml:space="preserve">.  </w:t>
      </w:r>
    </w:p>
    <w:p w14:paraId="554AF2AA" w14:textId="77777777" w:rsidR="006B5A8F" w:rsidRPr="007607D3" w:rsidRDefault="006B5A8F" w:rsidP="006B5A8F">
      <w:pPr>
        <w:pStyle w:val="Heading3"/>
        <w:numPr>
          <w:ilvl w:val="0"/>
          <w:numId w:val="62"/>
        </w:numPr>
        <w:ind w:left="1350" w:hanging="630"/>
        <w:rPr>
          <w:rFonts w:asciiTheme="majorHAnsi" w:hAnsiTheme="majorHAnsi"/>
          <w:i/>
          <w:sz w:val="20"/>
          <w:szCs w:val="20"/>
          <w:lang w:val="es-ES_tradnl"/>
        </w:rPr>
      </w:pPr>
      <w:bookmarkStart w:id="25" w:name="_Toc86071601"/>
      <w:r w:rsidRPr="007607D3">
        <w:rPr>
          <w:rFonts w:asciiTheme="majorHAnsi" w:hAnsiTheme="majorHAnsi"/>
          <w:sz w:val="20"/>
          <w:szCs w:val="20"/>
          <w:lang w:val="es-ES_tradnl"/>
        </w:rPr>
        <w:t>Análisis del presente caso</w:t>
      </w:r>
      <w:bookmarkEnd w:id="25"/>
    </w:p>
    <w:p w14:paraId="374C4816" w14:textId="77777777" w:rsidR="006B5A8F" w:rsidRPr="007607D3" w:rsidRDefault="006B5A8F" w:rsidP="006B5A8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1980"/>
          <w:tab w:val="num" w:pos="2040"/>
        </w:tabs>
        <w:ind w:left="360"/>
        <w:jc w:val="both"/>
        <w:rPr>
          <w:rFonts w:ascii="Cambria" w:hAnsi="Cambria"/>
          <w:sz w:val="20"/>
          <w:szCs w:val="20"/>
          <w:lang w:val="es-ES"/>
        </w:rPr>
      </w:pPr>
    </w:p>
    <w:p w14:paraId="04765627" w14:textId="77777777" w:rsidR="003068B7" w:rsidRPr="007607D3" w:rsidRDefault="006B5A8F"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1980"/>
          <w:tab w:val="num" w:pos="2040"/>
        </w:tabs>
        <w:ind w:left="0" w:firstLine="720"/>
        <w:jc w:val="both"/>
        <w:rPr>
          <w:rFonts w:ascii="Cambria" w:hAnsi="Cambria"/>
          <w:sz w:val="20"/>
          <w:szCs w:val="20"/>
          <w:lang w:val="es-ES"/>
        </w:rPr>
      </w:pPr>
      <w:r w:rsidRPr="007607D3">
        <w:rPr>
          <w:rFonts w:ascii="Cambria" w:hAnsi="Cambria"/>
          <w:sz w:val="20"/>
          <w:szCs w:val="20"/>
          <w:lang w:val="es-ES"/>
        </w:rPr>
        <w:t xml:space="preserve">En primer lugar, </w:t>
      </w:r>
      <w:r w:rsidR="004D08A7" w:rsidRPr="007607D3">
        <w:rPr>
          <w:rFonts w:ascii="Cambria" w:hAnsi="Cambria"/>
          <w:sz w:val="20"/>
          <w:szCs w:val="20"/>
          <w:lang w:val="es-ES"/>
        </w:rPr>
        <w:t xml:space="preserve">conforme a los estándares citados, </w:t>
      </w:r>
      <w:r w:rsidRPr="007607D3">
        <w:rPr>
          <w:rFonts w:ascii="Cambria" w:hAnsi="Cambria"/>
          <w:sz w:val="20"/>
          <w:szCs w:val="20"/>
          <w:lang w:val="es-ES"/>
        </w:rPr>
        <w:t>tratándose de</w:t>
      </w:r>
      <w:r w:rsidR="004D08A7" w:rsidRPr="007607D3">
        <w:rPr>
          <w:rFonts w:ascii="Cambria" w:hAnsi="Cambria"/>
          <w:sz w:val="20"/>
          <w:szCs w:val="20"/>
          <w:lang w:val="es-ES"/>
        </w:rPr>
        <w:t xml:space="preserve">l asesinato de un defensor o una defensora de </w:t>
      </w:r>
      <w:r w:rsidRPr="007607D3">
        <w:rPr>
          <w:rFonts w:ascii="Cambria" w:hAnsi="Cambria"/>
          <w:sz w:val="20"/>
          <w:szCs w:val="20"/>
          <w:lang w:val="es-ES"/>
        </w:rPr>
        <w:t>derechos humanos, las autoridades deben tomar en cuenta si</w:t>
      </w:r>
      <w:r w:rsidR="004D08A7" w:rsidRPr="007607D3">
        <w:rPr>
          <w:rFonts w:ascii="Cambria" w:hAnsi="Cambria"/>
          <w:sz w:val="20"/>
          <w:szCs w:val="20"/>
          <w:lang w:val="es-ES"/>
        </w:rPr>
        <w:t xml:space="preserve"> </w:t>
      </w:r>
      <w:r w:rsidRPr="007607D3">
        <w:rPr>
          <w:rFonts w:ascii="Cambria" w:hAnsi="Cambria"/>
          <w:sz w:val="20"/>
          <w:szCs w:val="20"/>
          <w:lang w:val="es-ES"/>
        </w:rPr>
        <w:t xml:space="preserve"> </w:t>
      </w:r>
      <w:r w:rsidR="004D08A7" w:rsidRPr="007607D3">
        <w:rPr>
          <w:rFonts w:ascii="Cambria" w:hAnsi="Cambria"/>
          <w:sz w:val="20"/>
          <w:szCs w:val="20"/>
          <w:lang w:val="es-ES"/>
        </w:rPr>
        <w:t>el hecho fue</w:t>
      </w:r>
      <w:r w:rsidRPr="007607D3">
        <w:rPr>
          <w:rFonts w:ascii="Cambria" w:hAnsi="Cambria"/>
          <w:sz w:val="20"/>
          <w:szCs w:val="20"/>
          <w:lang w:val="es-ES"/>
        </w:rPr>
        <w:t xml:space="preserve"> producto de su actividad para establecer líneas de investigación e hipótesis del delito. En el presente caso desde </w:t>
      </w:r>
      <w:r w:rsidR="00AF2B57" w:rsidRPr="007607D3">
        <w:rPr>
          <w:rFonts w:ascii="Cambria" w:hAnsi="Cambria"/>
          <w:sz w:val="20"/>
          <w:szCs w:val="20"/>
          <w:lang w:val="es-ES"/>
        </w:rPr>
        <w:t xml:space="preserve">el </w:t>
      </w:r>
      <w:r w:rsidRPr="007607D3">
        <w:rPr>
          <w:rFonts w:ascii="Cambria" w:hAnsi="Cambria"/>
          <w:sz w:val="20"/>
          <w:szCs w:val="20"/>
          <w:lang w:val="es-ES"/>
        </w:rPr>
        <w:t xml:space="preserve">inicio de las investigaciones, tomando en cuenta el contexto, las amenazas previas y los testimonios de varias personas, surgió que el asesinato de la presunta víctima </w:t>
      </w:r>
      <w:r w:rsidR="004D08A7" w:rsidRPr="007607D3">
        <w:rPr>
          <w:rFonts w:ascii="Cambria" w:hAnsi="Cambria"/>
          <w:sz w:val="20"/>
          <w:szCs w:val="20"/>
          <w:lang w:val="es-ES"/>
        </w:rPr>
        <w:t xml:space="preserve">pudo ser </w:t>
      </w:r>
      <w:r w:rsidRPr="007607D3">
        <w:rPr>
          <w:rFonts w:ascii="Cambria" w:hAnsi="Cambria"/>
          <w:sz w:val="20"/>
          <w:szCs w:val="20"/>
          <w:lang w:val="es-ES"/>
        </w:rPr>
        <w:t xml:space="preserve">una represalia a su trabajo </w:t>
      </w:r>
      <w:r w:rsidR="004D08A7" w:rsidRPr="007607D3">
        <w:rPr>
          <w:rFonts w:ascii="Cambria" w:hAnsi="Cambria"/>
          <w:sz w:val="20"/>
          <w:szCs w:val="20"/>
          <w:lang w:val="es-ES"/>
        </w:rPr>
        <w:t>de</w:t>
      </w:r>
      <w:r w:rsidRPr="007607D3">
        <w:rPr>
          <w:rFonts w:ascii="Cambria" w:hAnsi="Cambria"/>
          <w:sz w:val="20"/>
          <w:szCs w:val="20"/>
          <w:lang w:val="es-ES"/>
        </w:rPr>
        <w:t xml:space="preserve"> defensa de los trabajadores</w:t>
      </w:r>
      <w:r w:rsidR="004D08A7" w:rsidRPr="007607D3">
        <w:rPr>
          <w:rFonts w:ascii="Cambria" w:hAnsi="Cambria"/>
          <w:sz w:val="20"/>
          <w:szCs w:val="20"/>
          <w:lang w:val="es-ES"/>
        </w:rPr>
        <w:t xml:space="preserve"> rurales. </w:t>
      </w:r>
    </w:p>
    <w:p w14:paraId="4AD3C7B2" w14:textId="77777777" w:rsidR="003068B7" w:rsidRPr="007607D3" w:rsidRDefault="003068B7" w:rsidP="003068B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1980"/>
          <w:tab w:val="num" w:pos="2040"/>
        </w:tabs>
        <w:ind w:left="720"/>
        <w:jc w:val="both"/>
        <w:rPr>
          <w:rFonts w:ascii="Cambria" w:hAnsi="Cambria"/>
          <w:sz w:val="20"/>
          <w:szCs w:val="20"/>
          <w:lang w:val="es-ES"/>
        </w:rPr>
      </w:pPr>
    </w:p>
    <w:p w14:paraId="39A0D3FA" w14:textId="77777777" w:rsidR="00B471C8" w:rsidRPr="007607D3" w:rsidRDefault="006B5A8F"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1980"/>
          <w:tab w:val="num" w:pos="2040"/>
        </w:tabs>
        <w:ind w:left="0" w:firstLine="720"/>
        <w:jc w:val="both"/>
        <w:rPr>
          <w:rFonts w:ascii="Cambria" w:hAnsi="Cambria"/>
          <w:sz w:val="20"/>
          <w:szCs w:val="20"/>
          <w:lang w:val="es-ES"/>
        </w:rPr>
      </w:pPr>
      <w:r w:rsidRPr="007607D3">
        <w:rPr>
          <w:rFonts w:ascii="Cambria" w:hAnsi="Cambria"/>
          <w:sz w:val="20"/>
          <w:szCs w:val="20"/>
          <w:lang w:val="es-ES"/>
        </w:rPr>
        <w:t xml:space="preserve"> </w:t>
      </w:r>
      <w:r w:rsidR="003068B7" w:rsidRPr="007607D3">
        <w:rPr>
          <w:rFonts w:ascii="Cambria" w:hAnsi="Cambria"/>
          <w:sz w:val="20"/>
          <w:szCs w:val="20"/>
          <w:lang w:val="es-ES"/>
        </w:rPr>
        <w:t xml:space="preserve">La Comisión observa que, en términos generales, no surge del expediente que las autoridades a cargo de la investigación hubieran </w:t>
      </w:r>
      <w:r w:rsidR="00CA2134" w:rsidRPr="007607D3">
        <w:rPr>
          <w:rFonts w:ascii="Cambria" w:hAnsi="Cambria"/>
          <w:sz w:val="20"/>
          <w:szCs w:val="20"/>
          <w:lang w:val="es-ES"/>
        </w:rPr>
        <w:t xml:space="preserve">buscado información sobre las actividades de Margarida María Alves, incluyendo, entre otras, las acciones laborales que había iniciado y que afectaban los intereses de terratenientes en la zona. De esta manera, no se indagó precisamente sobre cuáles intereses podría haber </w:t>
      </w:r>
      <w:r w:rsidR="007C10F0" w:rsidRPr="007607D3">
        <w:rPr>
          <w:rFonts w:ascii="Cambria" w:hAnsi="Cambria"/>
          <w:sz w:val="20"/>
          <w:szCs w:val="20"/>
          <w:lang w:val="es-ES"/>
        </w:rPr>
        <w:t>afectado</w:t>
      </w:r>
      <w:r w:rsidR="00CA2134" w:rsidRPr="007607D3">
        <w:rPr>
          <w:rFonts w:ascii="Cambria" w:hAnsi="Cambria"/>
          <w:sz w:val="20"/>
          <w:szCs w:val="20"/>
          <w:lang w:val="es-ES"/>
        </w:rPr>
        <w:t xml:space="preserve"> la señora Alves </w:t>
      </w:r>
      <w:r w:rsidR="00B471C8" w:rsidRPr="007607D3">
        <w:rPr>
          <w:rFonts w:ascii="Cambria" w:hAnsi="Cambria"/>
          <w:sz w:val="20"/>
          <w:szCs w:val="20"/>
          <w:lang w:val="es-ES"/>
        </w:rPr>
        <w:t>con sus actividades de defe</w:t>
      </w:r>
      <w:r w:rsidR="00C778F0" w:rsidRPr="007607D3">
        <w:rPr>
          <w:rFonts w:ascii="Cambria" w:hAnsi="Cambria"/>
          <w:sz w:val="20"/>
          <w:szCs w:val="20"/>
          <w:lang w:val="es-ES"/>
        </w:rPr>
        <w:t xml:space="preserve">nsa de los trabajadores rurales, de forma que se pudieran diseñar y agotar líneas de investigación sobre la posible autoría intelectual que fueran consistentes con el contexto y con las actividades de la defensora. </w:t>
      </w:r>
    </w:p>
    <w:p w14:paraId="69F0EF44" w14:textId="77777777" w:rsidR="0079366A" w:rsidRPr="007607D3" w:rsidRDefault="0079366A" w:rsidP="0079366A">
      <w:pPr>
        <w:pStyle w:val="ListParagraph"/>
        <w:rPr>
          <w:sz w:val="20"/>
          <w:szCs w:val="20"/>
          <w:lang w:val="es-ES"/>
        </w:rPr>
      </w:pPr>
    </w:p>
    <w:p w14:paraId="5B17EE8D" w14:textId="77777777" w:rsidR="007C10F0" w:rsidRPr="007607D3" w:rsidRDefault="00AF2B57" w:rsidP="007C10F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1980"/>
          <w:tab w:val="num" w:pos="2040"/>
        </w:tabs>
        <w:ind w:left="0" w:firstLine="720"/>
        <w:jc w:val="both"/>
        <w:rPr>
          <w:rFonts w:ascii="Cambria" w:hAnsi="Cambria"/>
          <w:sz w:val="20"/>
          <w:szCs w:val="20"/>
          <w:lang w:val="es-ES"/>
        </w:rPr>
      </w:pPr>
      <w:r w:rsidRPr="007607D3">
        <w:rPr>
          <w:rFonts w:ascii="Cambria" w:hAnsi="Cambria"/>
          <w:sz w:val="20"/>
          <w:szCs w:val="20"/>
          <w:lang w:val="es-ES"/>
        </w:rPr>
        <w:t>Además de esta omisión general, la Comisión nota que la posible participaci</w:t>
      </w:r>
      <w:r w:rsidR="009923C9" w:rsidRPr="007607D3">
        <w:rPr>
          <w:rFonts w:ascii="Cambria" w:hAnsi="Cambria"/>
          <w:sz w:val="20"/>
          <w:szCs w:val="20"/>
          <w:lang w:val="es-ES"/>
        </w:rPr>
        <w:t>ón de miembros del Grupo de Várzea, incluyendo a Aguinaldo Veloso Borges</w:t>
      </w:r>
      <w:r w:rsidR="00BF26F3" w:rsidRPr="007607D3">
        <w:rPr>
          <w:rFonts w:ascii="Cambria" w:hAnsi="Cambria"/>
          <w:sz w:val="20"/>
          <w:szCs w:val="20"/>
          <w:lang w:val="es-ES"/>
        </w:rPr>
        <w:t>, no fue investigada de ma</w:t>
      </w:r>
      <w:r w:rsidR="00E06D14" w:rsidRPr="007607D3">
        <w:rPr>
          <w:rFonts w:ascii="Cambria" w:hAnsi="Cambria"/>
          <w:sz w:val="20"/>
          <w:szCs w:val="20"/>
          <w:lang w:val="es-ES"/>
        </w:rPr>
        <w:t xml:space="preserve">nera diligente y a profundidad. Del expediente no se desprende una investigación </w:t>
      </w:r>
      <w:r w:rsidR="00F85B49" w:rsidRPr="007607D3">
        <w:rPr>
          <w:rFonts w:ascii="Cambria" w:hAnsi="Cambria"/>
          <w:sz w:val="20"/>
          <w:szCs w:val="20"/>
          <w:lang w:val="es-ES"/>
        </w:rPr>
        <w:t xml:space="preserve">profunda </w:t>
      </w:r>
      <w:r w:rsidR="00E06D14" w:rsidRPr="007607D3">
        <w:rPr>
          <w:rFonts w:ascii="Cambria" w:hAnsi="Cambria"/>
          <w:sz w:val="20"/>
          <w:szCs w:val="20"/>
          <w:lang w:val="es-ES"/>
        </w:rPr>
        <w:t>sobre la existencia de este grupo, su conformación, sus actividades y sus modalidades de actuaci</w:t>
      </w:r>
      <w:r w:rsidR="00F45E65" w:rsidRPr="007607D3">
        <w:rPr>
          <w:rFonts w:ascii="Cambria" w:hAnsi="Cambria"/>
          <w:sz w:val="20"/>
          <w:szCs w:val="20"/>
          <w:lang w:val="es-ES"/>
        </w:rPr>
        <w:t>ón</w:t>
      </w:r>
      <w:r w:rsidR="00F85B49" w:rsidRPr="007607D3">
        <w:rPr>
          <w:rFonts w:ascii="Cambria" w:hAnsi="Cambria"/>
          <w:sz w:val="20"/>
          <w:szCs w:val="20"/>
          <w:lang w:val="es-ES"/>
        </w:rPr>
        <w:t xml:space="preserve">, de forma que </w:t>
      </w:r>
      <w:r w:rsidR="00432B07" w:rsidRPr="007607D3">
        <w:rPr>
          <w:rFonts w:ascii="Cambria" w:hAnsi="Cambria"/>
          <w:sz w:val="20"/>
          <w:szCs w:val="20"/>
          <w:lang w:val="es-ES"/>
        </w:rPr>
        <w:t xml:space="preserve">al menos parte de la investigación estuviera dirigida a </w:t>
      </w:r>
      <w:r w:rsidR="00F45E65" w:rsidRPr="007607D3">
        <w:rPr>
          <w:rFonts w:ascii="Cambria" w:hAnsi="Cambria"/>
          <w:sz w:val="20"/>
          <w:szCs w:val="20"/>
          <w:lang w:val="es-ES"/>
        </w:rPr>
        <w:t>desentrañar estructuras de poder</w:t>
      </w:r>
      <w:r w:rsidR="00F85B49" w:rsidRPr="007607D3">
        <w:rPr>
          <w:rFonts w:ascii="Cambria" w:hAnsi="Cambria"/>
          <w:sz w:val="20"/>
          <w:szCs w:val="20"/>
          <w:lang w:val="es-ES"/>
        </w:rPr>
        <w:t xml:space="preserve"> posiblemente</w:t>
      </w:r>
      <w:r w:rsidR="00F45E65" w:rsidRPr="007607D3">
        <w:rPr>
          <w:rFonts w:ascii="Cambria" w:hAnsi="Cambria"/>
          <w:sz w:val="20"/>
          <w:szCs w:val="20"/>
          <w:lang w:val="es-ES"/>
        </w:rPr>
        <w:t xml:space="preserve"> </w:t>
      </w:r>
      <w:r w:rsidR="00CD12AE" w:rsidRPr="007607D3">
        <w:rPr>
          <w:rFonts w:ascii="Cambria" w:hAnsi="Cambria"/>
          <w:sz w:val="20"/>
          <w:szCs w:val="20"/>
          <w:lang w:val="es-ES"/>
        </w:rPr>
        <w:t xml:space="preserve">vinculadas </w:t>
      </w:r>
      <w:r w:rsidR="004B3C6B" w:rsidRPr="007607D3">
        <w:rPr>
          <w:rFonts w:ascii="Cambria" w:hAnsi="Cambria"/>
          <w:sz w:val="20"/>
          <w:szCs w:val="20"/>
          <w:lang w:val="es-ES"/>
        </w:rPr>
        <w:t>con el</w:t>
      </w:r>
      <w:r w:rsidR="00CD12AE" w:rsidRPr="007607D3">
        <w:rPr>
          <w:rFonts w:ascii="Cambria" w:hAnsi="Cambria"/>
          <w:sz w:val="20"/>
          <w:szCs w:val="20"/>
          <w:lang w:val="es-ES"/>
        </w:rPr>
        <w:t xml:space="preserve"> asesinato de Margarida Mar</w:t>
      </w:r>
      <w:r w:rsidR="00432B07" w:rsidRPr="007607D3">
        <w:rPr>
          <w:rFonts w:ascii="Cambria" w:hAnsi="Cambria"/>
          <w:sz w:val="20"/>
          <w:szCs w:val="20"/>
          <w:lang w:val="es-ES"/>
        </w:rPr>
        <w:t>ía Alves, no obstante existían diversos indicios al respecto.</w:t>
      </w:r>
      <w:r w:rsidR="00CD12AE" w:rsidRPr="007607D3">
        <w:rPr>
          <w:rFonts w:ascii="Cambria" w:hAnsi="Cambria"/>
          <w:sz w:val="20"/>
          <w:szCs w:val="20"/>
          <w:lang w:val="es-ES"/>
        </w:rPr>
        <w:t xml:space="preserve">  </w:t>
      </w:r>
    </w:p>
    <w:p w14:paraId="402771D0" w14:textId="77777777" w:rsidR="007C10F0" w:rsidRPr="007607D3" w:rsidRDefault="007C10F0" w:rsidP="007C10F0">
      <w:pPr>
        <w:pStyle w:val="ListParagraph"/>
        <w:rPr>
          <w:sz w:val="20"/>
          <w:szCs w:val="20"/>
          <w:lang w:val="es-ES"/>
        </w:rPr>
      </w:pPr>
    </w:p>
    <w:p w14:paraId="44460331" w14:textId="77777777" w:rsidR="00845611" w:rsidRPr="007607D3" w:rsidRDefault="00845611" w:rsidP="007C10F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1980"/>
          <w:tab w:val="num" w:pos="2040"/>
        </w:tabs>
        <w:ind w:left="0" w:firstLine="720"/>
        <w:jc w:val="both"/>
        <w:rPr>
          <w:rFonts w:ascii="Cambria" w:hAnsi="Cambria"/>
          <w:sz w:val="20"/>
          <w:szCs w:val="20"/>
          <w:lang w:val="es-ES"/>
        </w:rPr>
      </w:pPr>
      <w:r w:rsidRPr="007607D3">
        <w:rPr>
          <w:rFonts w:ascii="Cambria" w:hAnsi="Cambria"/>
          <w:sz w:val="20"/>
          <w:szCs w:val="20"/>
          <w:lang w:val="es-ES"/>
        </w:rPr>
        <w:t xml:space="preserve">La Comisión destaca que este tipo de investigación era exigible no sólo por la calidad de defensora de derechos humanos de la señora Alves, sino también porque surgió el posible involucramiento de agentes estatales de diferentes niveles, desde </w:t>
      </w:r>
      <w:r w:rsidR="0039619F" w:rsidRPr="007607D3">
        <w:rPr>
          <w:rFonts w:ascii="Cambria" w:hAnsi="Cambria"/>
          <w:sz w:val="20"/>
          <w:szCs w:val="20"/>
          <w:lang w:val="es-ES"/>
        </w:rPr>
        <w:t>un d</w:t>
      </w:r>
      <w:r w:rsidRPr="007607D3">
        <w:rPr>
          <w:rFonts w:ascii="Cambria" w:hAnsi="Cambria"/>
          <w:sz w:val="20"/>
          <w:szCs w:val="20"/>
          <w:lang w:val="es-ES"/>
        </w:rPr>
        <w:t xml:space="preserve">iputado </w:t>
      </w:r>
      <w:r w:rsidR="0039619F" w:rsidRPr="007607D3">
        <w:rPr>
          <w:rFonts w:ascii="Cambria" w:hAnsi="Cambria"/>
          <w:sz w:val="20"/>
          <w:szCs w:val="20"/>
          <w:lang w:val="es-ES"/>
        </w:rPr>
        <w:t xml:space="preserve">federal – Aguinaldo Veloso Borges – </w:t>
      </w:r>
      <w:r w:rsidRPr="007607D3">
        <w:rPr>
          <w:rFonts w:ascii="Cambria" w:hAnsi="Cambria"/>
          <w:sz w:val="20"/>
          <w:szCs w:val="20"/>
          <w:lang w:val="es-ES"/>
        </w:rPr>
        <w:t>hasta un soldado</w:t>
      </w:r>
      <w:r w:rsidR="007C10F0" w:rsidRPr="007607D3">
        <w:rPr>
          <w:rFonts w:ascii="Cambria" w:hAnsi="Cambria"/>
          <w:sz w:val="20"/>
          <w:szCs w:val="20"/>
          <w:lang w:val="es-ES"/>
        </w:rPr>
        <w:t xml:space="preserve"> – </w:t>
      </w:r>
      <w:r w:rsidR="00895FA1" w:rsidRPr="007607D3">
        <w:rPr>
          <w:rFonts w:ascii="Cambria" w:hAnsi="Cambria"/>
          <w:sz w:val="20"/>
          <w:szCs w:val="20"/>
          <w:lang w:val="es-ES"/>
        </w:rPr>
        <w:t>Betâne</w:t>
      </w:r>
      <w:r w:rsidR="007C10F0" w:rsidRPr="007607D3">
        <w:rPr>
          <w:rFonts w:ascii="Cambria" w:hAnsi="Cambria"/>
          <w:sz w:val="20"/>
          <w:szCs w:val="20"/>
          <w:lang w:val="es-ES"/>
        </w:rPr>
        <w:t>o</w:t>
      </w:r>
      <w:r w:rsidR="00325DDE" w:rsidRPr="007607D3">
        <w:rPr>
          <w:rFonts w:ascii="Cambria" w:hAnsi="Cambria"/>
          <w:sz w:val="20"/>
          <w:szCs w:val="20"/>
          <w:lang w:val="es-ES"/>
        </w:rPr>
        <w:t xml:space="preserve"> Carneiro </w:t>
      </w:r>
      <w:r w:rsidR="00AC2411" w:rsidRPr="007607D3">
        <w:rPr>
          <w:rFonts w:ascii="Cambria" w:hAnsi="Cambria"/>
          <w:sz w:val="20"/>
          <w:szCs w:val="20"/>
          <w:lang w:val="es-ES"/>
        </w:rPr>
        <w:t>–</w:t>
      </w:r>
      <w:r w:rsidR="00325DDE" w:rsidRPr="007607D3">
        <w:rPr>
          <w:rFonts w:ascii="Cambria" w:hAnsi="Cambria"/>
          <w:sz w:val="20"/>
          <w:szCs w:val="20"/>
          <w:lang w:val="es-ES"/>
        </w:rPr>
        <w:t xml:space="preserve"> </w:t>
      </w:r>
      <w:r w:rsidRPr="007607D3">
        <w:rPr>
          <w:rFonts w:ascii="Cambria" w:hAnsi="Cambria"/>
          <w:sz w:val="20"/>
          <w:szCs w:val="20"/>
          <w:lang w:val="es-ES"/>
        </w:rPr>
        <w:t>y</w:t>
      </w:r>
      <w:r w:rsidR="00AC2411" w:rsidRPr="007607D3">
        <w:rPr>
          <w:rFonts w:ascii="Cambria" w:hAnsi="Cambria"/>
          <w:sz w:val="20"/>
          <w:szCs w:val="20"/>
          <w:lang w:val="es-ES"/>
        </w:rPr>
        <w:t xml:space="preserve"> </w:t>
      </w:r>
      <w:r w:rsidRPr="007607D3">
        <w:rPr>
          <w:rFonts w:ascii="Cambria" w:hAnsi="Cambria"/>
          <w:sz w:val="20"/>
          <w:szCs w:val="20"/>
          <w:lang w:val="es-ES"/>
        </w:rPr>
        <w:t>un sargento</w:t>
      </w:r>
      <w:r w:rsidR="00325DDE" w:rsidRPr="007607D3">
        <w:rPr>
          <w:rFonts w:ascii="Cambria" w:hAnsi="Cambria"/>
          <w:sz w:val="20"/>
          <w:szCs w:val="20"/>
          <w:lang w:val="es-ES"/>
        </w:rPr>
        <w:t xml:space="preserve"> – Aldenis Cunha Lima</w:t>
      </w:r>
      <w:r w:rsidRPr="007607D3">
        <w:rPr>
          <w:rFonts w:ascii="Cambria" w:hAnsi="Cambria"/>
          <w:sz w:val="20"/>
          <w:szCs w:val="20"/>
          <w:lang w:val="es-ES"/>
        </w:rPr>
        <w:t xml:space="preserve">. </w:t>
      </w:r>
    </w:p>
    <w:p w14:paraId="4CF54558" w14:textId="77777777" w:rsidR="006B5A8F" w:rsidRPr="007607D3" w:rsidRDefault="006B5A8F" w:rsidP="00304C2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1980"/>
          <w:tab w:val="num" w:pos="2040"/>
        </w:tabs>
        <w:jc w:val="both"/>
        <w:rPr>
          <w:rFonts w:ascii="Cambria" w:hAnsi="Cambria"/>
          <w:sz w:val="20"/>
          <w:szCs w:val="20"/>
          <w:lang w:val="es-ES"/>
        </w:rPr>
      </w:pPr>
    </w:p>
    <w:p w14:paraId="787212F0" w14:textId="77777777" w:rsidR="006B5A8F" w:rsidRPr="007607D3" w:rsidRDefault="00C7157A"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1980"/>
          <w:tab w:val="num" w:pos="2040"/>
        </w:tabs>
        <w:ind w:left="0" w:firstLine="720"/>
        <w:jc w:val="both"/>
        <w:rPr>
          <w:rFonts w:ascii="Cambria" w:hAnsi="Cambria"/>
          <w:sz w:val="20"/>
          <w:szCs w:val="20"/>
          <w:lang w:val="es-ES"/>
        </w:rPr>
      </w:pPr>
      <w:r w:rsidRPr="007607D3">
        <w:rPr>
          <w:rFonts w:ascii="Cambria" w:hAnsi="Cambria"/>
          <w:sz w:val="20"/>
          <w:szCs w:val="20"/>
          <w:lang w:val="es-ES"/>
        </w:rPr>
        <w:lastRenderedPageBreak/>
        <w:t xml:space="preserve">En cuanto a Aguinaldo Veloso Borges y a pesar de que su nombre surgió desde el inicio, no </w:t>
      </w:r>
      <w:r w:rsidR="006B5A8F" w:rsidRPr="007607D3">
        <w:rPr>
          <w:rFonts w:ascii="Cambria" w:hAnsi="Cambria"/>
          <w:sz w:val="20"/>
          <w:szCs w:val="20"/>
          <w:lang w:val="es-ES"/>
        </w:rPr>
        <w:t>fue</w:t>
      </w:r>
      <w:r w:rsidRPr="007607D3">
        <w:rPr>
          <w:rFonts w:ascii="Cambria" w:hAnsi="Cambria"/>
          <w:sz w:val="20"/>
          <w:szCs w:val="20"/>
          <w:lang w:val="es-ES"/>
        </w:rPr>
        <w:t xml:space="preserve"> sino</w:t>
      </w:r>
      <w:r w:rsidR="006B5A8F" w:rsidRPr="007607D3">
        <w:rPr>
          <w:rFonts w:ascii="Cambria" w:hAnsi="Cambria"/>
          <w:sz w:val="20"/>
          <w:szCs w:val="20"/>
          <w:lang w:val="es-ES"/>
        </w:rPr>
        <w:t xml:space="preserve"> hasta 1991 que a través de una investigación se concluyó </w:t>
      </w:r>
      <w:r w:rsidR="00895FA1" w:rsidRPr="007607D3">
        <w:rPr>
          <w:rFonts w:ascii="Cambria" w:hAnsi="Cambria"/>
          <w:sz w:val="20"/>
          <w:szCs w:val="20"/>
          <w:lang w:val="es-ES"/>
        </w:rPr>
        <w:t>su</w:t>
      </w:r>
      <w:r w:rsidR="006B5A8F" w:rsidRPr="007607D3">
        <w:rPr>
          <w:rFonts w:ascii="Cambria" w:hAnsi="Cambria"/>
          <w:sz w:val="20"/>
          <w:szCs w:val="20"/>
          <w:lang w:val="es-ES"/>
        </w:rPr>
        <w:t xml:space="preserve"> participación en los hechos, es decir más de 7 años después y</w:t>
      </w:r>
      <w:r w:rsidR="00593A96" w:rsidRPr="007607D3">
        <w:rPr>
          <w:rFonts w:ascii="Cambria" w:hAnsi="Cambria"/>
          <w:sz w:val="20"/>
          <w:szCs w:val="20"/>
          <w:lang w:val="es-ES"/>
        </w:rPr>
        <w:t xml:space="preserve"> cuando el presunto responsable </w:t>
      </w:r>
      <w:r w:rsidR="006B5A8F" w:rsidRPr="007607D3">
        <w:rPr>
          <w:rFonts w:ascii="Cambria" w:hAnsi="Cambria"/>
          <w:sz w:val="20"/>
          <w:szCs w:val="20"/>
          <w:lang w:val="es-ES"/>
        </w:rPr>
        <w:t xml:space="preserve">ya había fallecido. </w:t>
      </w:r>
      <w:r w:rsidR="00B5492A" w:rsidRPr="007607D3">
        <w:rPr>
          <w:rFonts w:ascii="Cambria" w:hAnsi="Cambria"/>
          <w:sz w:val="20"/>
          <w:szCs w:val="20"/>
          <w:lang w:val="es-ES"/>
        </w:rPr>
        <w:t xml:space="preserve">Sobre este punto, la CIDH nota que </w:t>
      </w:r>
      <w:r w:rsidR="006B5A8F" w:rsidRPr="007607D3">
        <w:rPr>
          <w:rFonts w:ascii="Cambria" w:hAnsi="Cambria"/>
          <w:sz w:val="20"/>
          <w:szCs w:val="20"/>
          <w:lang w:val="es-ES"/>
        </w:rPr>
        <w:t xml:space="preserve">el Consejo de Defensa de los Derechos de la Persona Humana del Ministerio de Justicia de Brasil que dio seguimiento al proceso, indicó que la versión popular sobre el homicidio centrado en Aguinaldo Veloso Borges no se reflejó en la instrucción criminal.  </w:t>
      </w:r>
      <w:r w:rsidR="00B82575" w:rsidRPr="007607D3">
        <w:rPr>
          <w:rFonts w:ascii="Cambria" w:hAnsi="Cambria"/>
          <w:sz w:val="20"/>
          <w:szCs w:val="20"/>
          <w:lang w:val="es-ES"/>
        </w:rPr>
        <w:t xml:space="preserve">En cuanto al soldado y al sargento, </w:t>
      </w:r>
      <w:r w:rsidR="00FE2BCE" w:rsidRPr="007607D3">
        <w:rPr>
          <w:rFonts w:ascii="Cambria" w:hAnsi="Cambria"/>
          <w:sz w:val="20"/>
          <w:szCs w:val="20"/>
          <w:lang w:val="es-ES"/>
        </w:rPr>
        <w:t xml:space="preserve">la Comisión observa que el primero fue beneficiado por la figura de la prescripción </w:t>
      </w:r>
      <w:r w:rsidR="008925D9" w:rsidRPr="007607D3">
        <w:rPr>
          <w:rFonts w:ascii="Cambria" w:hAnsi="Cambria"/>
          <w:sz w:val="20"/>
          <w:szCs w:val="20"/>
          <w:lang w:val="es-ES"/>
        </w:rPr>
        <w:t xml:space="preserve">sin que su posible responsabilidad fuese investigada diligentemente; y el segundo fue asesinado, existiendo elementos que apuntarían a que ello se debió a sus dichos sobre lo sucedido a Margarida Maria Alves. </w:t>
      </w:r>
    </w:p>
    <w:p w14:paraId="4B4D7673" w14:textId="77777777" w:rsidR="006B5A8F" w:rsidRPr="007607D3" w:rsidRDefault="006B5A8F" w:rsidP="006B5A8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1980"/>
          <w:tab w:val="num" w:pos="2040"/>
        </w:tabs>
        <w:ind w:left="720"/>
        <w:jc w:val="both"/>
        <w:rPr>
          <w:rFonts w:ascii="Cambria" w:hAnsi="Cambria"/>
          <w:sz w:val="20"/>
          <w:szCs w:val="20"/>
          <w:lang w:val="es-ES"/>
        </w:rPr>
      </w:pPr>
    </w:p>
    <w:p w14:paraId="75C5FDF4" w14:textId="77777777" w:rsidR="006B5A8F" w:rsidRPr="007607D3" w:rsidRDefault="00A661D2" w:rsidP="001C015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1980"/>
          <w:tab w:val="num" w:pos="2040"/>
        </w:tabs>
        <w:ind w:left="0" w:firstLine="720"/>
        <w:jc w:val="both"/>
        <w:rPr>
          <w:rFonts w:ascii="Cambria" w:hAnsi="Cambria"/>
          <w:sz w:val="20"/>
          <w:szCs w:val="20"/>
          <w:lang w:val="es-ES"/>
        </w:rPr>
      </w:pPr>
      <w:r w:rsidRPr="007607D3">
        <w:rPr>
          <w:rFonts w:ascii="Cambria" w:hAnsi="Cambria"/>
          <w:sz w:val="20"/>
          <w:szCs w:val="20"/>
          <w:lang w:val="es-ES"/>
        </w:rPr>
        <w:t>En suma, l</w:t>
      </w:r>
      <w:r w:rsidR="006B5A8F" w:rsidRPr="007607D3">
        <w:rPr>
          <w:rFonts w:ascii="Cambria" w:hAnsi="Cambria"/>
          <w:sz w:val="20"/>
          <w:szCs w:val="20"/>
          <w:lang w:val="es-ES"/>
        </w:rPr>
        <w:t>a Comisión estima que el Estado no investigó</w:t>
      </w:r>
      <w:r w:rsidRPr="007607D3">
        <w:rPr>
          <w:rFonts w:ascii="Cambria" w:hAnsi="Cambria"/>
          <w:sz w:val="20"/>
          <w:szCs w:val="20"/>
          <w:lang w:val="es-ES"/>
        </w:rPr>
        <w:t xml:space="preserve"> diligentemente las posibles autorías </w:t>
      </w:r>
      <w:r w:rsidR="008D1483" w:rsidRPr="007607D3">
        <w:rPr>
          <w:rFonts w:ascii="Cambria" w:hAnsi="Cambria"/>
          <w:sz w:val="20"/>
          <w:szCs w:val="20"/>
          <w:lang w:val="es-ES"/>
        </w:rPr>
        <w:t xml:space="preserve">intelectuales del asesinato, incluyendo las actividades realizadas por la señora Alves y los posibles intereses involucrados, </w:t>
      </w:r>
      <w:r w:rsidR="00FB1F62" w:rsidRPr="007607D3">
        <w:rPr>
          <w:rFonts w:ascii="Cambria" w:hAnsi="Cambria"/>
          <w:sz w:val="20"/>
          <w:szCs w:val="20"/>
          <w:lang w:val="es-ES"/>
        </w:rPr>
        <w:t>las</w:t>
      </w:r>
      <w:r w:rsidR="008D1483" w:rsidRPr="007607D3">
        <w:rPr>
          <w:rFonts w:ascii="Cambria" w:hAnsi="Cambria"/>
          <w:sz w:val="20"/>
          <w:szCs w:val="20"/>
          <w:lang w:val="es-ES"/>
        </w:rPr>
        <w:t xml:space="preserve"> estructuras de poder asociadas al </w:t>
      </w:r>
      <w:r w:rsidR="00FB1F62" w:rsidRPr="007607D3">
        <w:rPr>
          <w:rFonts w:ascii="Cambria" w:hAnsi="Cambria"/>
          <w:sz w:val="20"/>
          <w:szCs w:val="20"/>
          <w:lang w:val="es-ES"/>
        </w:rPr>
        <w:t xml:space="preserve">grupo de Várzea ni la posible participación de agentes estatales. </w:t>
      </w:r>
    </w:p>
    <w:p w14:paraId="47AC7439" w14:textId="77777777" w:rsidR="001C0156" w:rsidRPr="007607D3" w:rsidRDefault="001C0156" w:rsidP="001C015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1980"/>
          <w:tab w:val="num" w:pos="2040"/>
        </w:tabs>
        <w:jc w:val="both"/>
        <w:rPr>
          <w:rFonts w:ascii="Cambria" w:hAnsi="Cambria"/>
          <w:sz w:val="20"/>
          <w:szCs w:val="20"/>
          <w:lang w:val="es-ES"/>
        </w:rPr>
      </w:pPr>
    </w:p>
    <w:p w14:paraId="3DF38ED7" w14:textId="77777777" w:rsidR="006B5A8F" w:rsidRPr="007607D3" w:rsidRDefault="00A84DC5"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1980"/>
          <w:tab w:val="num" w:pos="2040"/>
        </w:tabs>
        <w:ind w:left="0" w:firstLine="720"/>
        <w:jc w:val="both"/>
        <w:rPr>
          <w:rFonts w:ascii="Cambria" w:hAnsi="Cambria"/>
          <w:sz w:val="20"/>
          <w:szCs w:val="20"/>
          <w:lang w:val="es-ES"/>
        </w:rPr>
      </w:pPr>
      <w:r w:rsidRPr="007607D3">
        <w:rPr>
          <w:rFonts w:ascii="Cambria" w:hAnsi="Cambria"/>
          <w:sz w:val="20"/>
          <w:szCs w:val="20"/>
          <w:lang w:val="es-ES"/>
        </w:rPr>
        <w:t xml:space="preserve">En segundo lugar y respecto de la autoría material, </w:t>
      </w:r>
      <w:r w:rsidR="006B5A8F" w:rsidRPr="007607D3">
        <w:rPr>
          <w:rFonts w:ascii="Cambria" w:hAnsi="Cambria"/>
          <w:sz w:val="20"/>
          <w:szCs w:val="20"/>
          <w:lang w:val="es-ES"/>
        </w:rPr>
        <w:t xml:space="preserve">la investigación policial concluyó en 1983 que los autores materiales del delito eran Amauri José do Rego, Amaro José do Rego y </w:t>
      </w:r>
      <w:r w:rsidR="00895FA1" w:rsidRPr="007607D3">
        <w:rPr>
          <w:rFonts w:ascii="Cambria" w:hAnsi="Cambria"/>
          <w:sz w:val="20"/>
          <w:szCs w:val="20"/>
          <w:lang w:val="es-ES"/>
        </w:rPr>
        <w:t>Antonio de Almeida Regis</w:t>
      </w:r>
      <w:r w:rsidR="006B5A8F" w:rsidRPr="007607D3">
        <w:rPr>
          <w:rFonts w:ascii="Cambria" w:hAnsi="Cambria"/>
          <w:sz w:val="20"/>
          <w:szCs w:val="20"/>
          <w:lang w:val="es-ES"/>
        </w:rPr>
        <w:t>. Respecto de los primeros dos, dado que se dieron a la fuga, se suspendió la investigación en su contra y en 2009 fueron favorecidos con la prescripción. Al respecto, la CIDH hace notar que si bien el Estado giró diversas órdenes de detención en su contra  y efectuó solicitudes de información</w:t>
      </w:r>
      <w:r w:rsidR="00895FA1" w:rsidRPr="007607D3">
        <w:rPr>
          <w:rFonts w:ascii="Cambria" w:hAnsi="Cambria"/>
          <w:sz w:val="20"/>
          <w:szCs w:val="20"/>
          <w:lang w:val="es-ES"/>
        </w:rPr>
        <w:t xml:space="preserve">, </w:t>
      </w:r>
      <w:r w:rsidR="006B5A8F" w:rsidRPr="007607D3">
        <w:rPr>
          <w:rFonts w:ascii="Cambria" w:hAnsi="Cambria"/>
          <w:sz w:val="20"/>
          <w:szCs w:val="20"/>
          <w:lang w:val="es-ES"/>
        </w:rPr>
        <w:t>en  1995 el Juez de la Comarca de Alagoa Grande hizo notar que sus órdenes de detención estuvieron sin renovación por más de 10 años desde 1985, lo cual le resultó “inadmisible” porque deben renovarse anualmente.</w:t>
      </w:r>
      <w:r w:rsidR="0047414D" w:rsidRPr="007607D3">
        <w:rPr>
          <w:rFonts w:ascii="Cambria" w:hAnsi="Cambria"/>
          <w:sz w:val="20"/>
          <w:szCs w:val="20"/>
          <w:lang w:val="es-ES"/>
        </w:rPr>
        <w:t xml:space="preserve"> De la información disponible no se desprende que entre 1983 y 2009 que se declaró la prescripción, el Estado hubiera adoptado, con la debida diligencia, todas las </w:t>
      </w:r>
      <w:r w:rsidR="00895FA1" w:rsidRPr="007607D3">
        <w:rPr>
          <w:rFonts w:ascii="Cambria" w:hAnsi="Cambria"/>
          <w:sz w:val="20"/>
          <w:szCs w:val="20"/>
          <w:lang w:val="es-ES"/>
        </w:rPr>
        <w:t xml:space="preserve">medidas serias o concretas </w:t>
      </w:r>
      <w:r w:rsidR="0047414D" w:rsidRPr="007607D3">
        <w:rPr>
          <w:rFonts w:ascii="Cambria" w:hAnsi="Cambria"/>
          <w:sz w:val="20"/>
          <w:szCs w:val="20"/>
          <w:lang w:val="es-ES"/>
        </w:rPr>
        <w:t xml:space="preserve">para dar con el paradero de los presuntos autores materiales. </w:t>
      </w:r>
    </w:p>
    <w:p w14:paraId="43BBA9AB" w14:textId="77777777" w:rsidR="00CC6BDF" w:rsidRPr="007607D3" w:rsidRDefault="00CC6BDF" w:rsidP="00CC6BD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1980"/>
          <w:tab w:val="num" w:pos="2040"/>
        </w:tabs>
        <w:jc w:val="both"/>
        <w:rPr>
          <w:rFonts w:ascii="Cambria" w:hAnsi="Cambria"/>
          <w:sz w:val="20"/>
          <w:szCs w:val="20"/>
          <w:lang w:val="es-ES"/>
        </w:rPr>
      </w:pPr>
    </w:p>
    <w:p w14:paraId="1168DD9D" w14:textId="77777777" w:rsidR="00895FA1" w:rsidRPr="007607D3" w:rsidRDefault="006B5A8F" w:rsidP="00895FA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1980"/>
          <w:tab w:val="num" w:pos="2040"/>
        </w:tabs>
        <w:ind w:left="0" w:firstLine="720"/>
        <w:jc w:val="both"/>
        <w:rPr>
          <w:rFonts w:ascii="Cambria" w:hAnsi="Cambria"/>
          <w:sz w:val="20"/>
          <w:szCs w:val="20"/>
          <w:lang w:val="es-ES"/>
        </w:rPr>
      </w:pPr>
      <w:r w:rsidRPr="007607D3">
        <w:rPr>
          <w:rFonts w:ascii="Cambria" w:hAnsi="Cambria"/>
          <w:sz w:val="20"/>
          <w:szCs w:val="20"/>
          <w:lang w:val="es-ES"/>
        </w:rPr>
        <w:t xml:space="preserve">La Comisión estima que la prescripción tiene por objeto garantizar la seguridad jurídica e imponer límites temporales al poder punitivo del Estado, pero si un Estado no realiza gestiones </w:t>
      </w:r>
      <w:r w:rsidR="003C5E5C" w:rsidRPr="007607D3">
        <w:rPr>
          <w:rFonts w:ascii="Cambria" w:hAnsi="Cambria"/>
          <w:sz w:val="20"/>
          <w:szCs w:val="20"/>
          <w:lang w:val="es-ES"/>
        </w:rPr>
        <w:t xml:space="preserve">diligentes </w:t>
      </w:r>
      <w:r w:rsidRPr="007607D3">
        <w:rPr>
          <w:rFonts w:ascii="Cambria" w:hAnsi="Cambria"/>
          <w:sz w:val="20"/>
          <w:szCs w:val="20"/>
          <w:lang w:val="es-ES"/>
        </w:rPr>
        <w:t xml:space="preserve">para dar con el paradero de una persona prófuga en </w:t>
      </w:r>
      <w:r w:rsidR="003C5E5C" w:rsidRPr="007607D3">
        <w:rPr>
          <w:rFonts w:ascii="Cambria" w:hAnsi="Cambria"/>
          <w:sz w:val="20"/>
          <w:szCs w:val="20"/>
          <w:lang w:val="es-ES"/>
        </w:rPr>
        <w:t xml:space="preserve">casos de violaciones de derechos humanos que deben ser impulsados </w:t>
      </w:r>
      <w:r w:rsidRPr="007607D3">
        <w:rPr>
          <w:rFonts w:ascii="Cambria" w:hAnsi="Cambria"/>
          <w:sz w:val="20"/>
          <w:szCs w:val="20"/>
          <w:lang w:val="es-ES"/>
        </w:rPr>
        <w:t>de oficio y luego declara la prescripción en su favor, entonces dicha figura</w:t>
      </w:r>
      <w:r w:rsidR="003C5E5C" w:rsidRPr="007607D3">
        <w:rPr>
          <w:rFonts w:ascii="Cambria" w:hAnsi="Cambria"/>
          <w:sz w:val="20"/>
          <w:szCs w:val="20"/>
          <w:lang w:val="es-ES"/>
        </w:rPr>
        <w:t xml:space="preserve"> se convierte en un factor de impunidad atribuible al Estado.</w:t>
      </w:r>
      <w:r w:rsidRPr="007607D3">
        <w:rPr>
          <w:rFonts w:ascii="Cambria" w:hAnsi="Cambria"/>
          <w:sz w:val="20"/>
          <w:szCs w:val="20"/>
          <w:lang w:val="es-ES"/>
        </w:rPr>
        <w:t xml:space="preserve"> La Comisión resalta que en la legislación de diversos países la prescripción penal se interrumpe por la fuga del imputado, en la medida en que esta imposibilita la persecución penal</w:t>
      </w:r>
      <w:r w:rsidRPr="007607D3">
        <w:rPr>
          <w:rStyle w:val="FootnoteReference"/>
          <w:rFonts w:ascii="Cambria" w:hAnsi="Cambria"/>
          <w:sz w:val="20"/>
          <w:szCs w:val="20"/>
          <w:lang w:val="es-ES"/>
        </w:rPr>
        <w:footnoteReference w:id="139"/>
      </w:r>
      <w:r w:rsidRPr="007607D3">
        <w:rPr>
          <w:rFonts w:ascii="Cambria" w:hAnsi="Cambria"/>
          <w:sz w:val="20"/>
          <w:szCs w:val="20"/>
          <w:lang w:val="es-ES"/>
        </w:rPr>
        <w:t xml:space="preserve">. </w:t>
      </w:r>
    </w:p>
    <w:p w14:paraId="7F0A975D" w14:textId="77777777" w:rsidR="00895FA1" w:rsidRPr="007607D3" w:rsidRDefault="00895FA1" w:rsidP="00895FA1">
      <w:pPr>
        <w:pStyle w:val="ListParagraph"/>
        <w:rPr>
          <w:sz w:val="20"/>
          <w:szCs w:val="20"/>
          <w:lang w:val="es-ES"/>
        </w:rPr>
      </w:pPr>
    </w:p>
    <w:p w14:paraId="545DC7FD" w14:textId="77777777" w:rsidR="006B5A8F" w:rsidRPr="007607D3" w:rsidRDefault="00FE17F4" w:rsidP="00895FA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1980"/>
          <w:tab w:val="num" w:pos="2040"/>
        </w:tabs>
        <w:ind w:left="0" w:firstLine="720"/>
        <w:jc w:val="both"/>
        <w:rPr>
          <w:rFonts w:ascii="Cambria" w:hAnsi="Cambria"/>
          <w:sz w:val="20"/>
          <w:szCs w:val="20"/>
          <w:lang w:val="es-ES"/>
        </w:rPr>
      </w:pPr>
      <w:r w:rsidRPr="007607D3">
        <w:rPr>
          <w:rFonts w:ascii="Cambria" w:hAnsi="Cambria"/>
          <w:sz w:val="20"/>
          <w:szCs w:val="20"/>
          <w:lang w:val="es-ES"/>
        </w:rPr>
        <w:t xml:space="preserve">En tercer lugar, </w:t>
      </w:r>
      <w:r w:rsidR="006B5A8F" w:rsidRPr="007607D3">
        <w:rPr>
          <w:rFonts w:ascii="Cambria" w:hAnsi="Cambria"/>
          <w:sz w:val="20"/>
          <w:szCs w:val="20"/>
          <w:lang w:val="es-ES"/>
        </w:rPr>
        <w:t>las investigaciones complementarias basadas en el testimonio de Maria Do Socorro Neves rendido en 1986, quien identificó a otros posibles sospechosos del delito</w:t>
      </w:r>
      <w:r w:rsidR="000060B6" w:rsidRPr="007607D3">
        <w:rPr>
          <w:rFonts w:ascii="Cambria" w:hAnsi="Cambria"/>
          <w:sz w:val="20"/>
          <w:szCs w:val="20"/>
          <w:lang w:val="es-ES"/>
        </w:rPr>
        <w:t>,</w:t>
      </w:r>
      <w:r w:rsidR="006B5A8F" w:rsidRPr="007607D3">
        <w:rPr>
          <w:rFonts w:ascii="Cambria" w:hAnsi="Cambria"/>
          <w:sz w:val="20"/>
          <w:szCs w:val="20"/>
          <w:lang w:val="es-ES"/>
        </w:rPr>
        <w:t xml:space="preserve"> fueron iniciadas </w:t>
      </w:r>
      <w:r w:rsidR="000060B6" w:rsidRPr="007607D3">
        <w:rPr>
          <w:rFonts w:ascii="Cambria" w:hAnsi="Cambria"/>
          <w:sz w:val="20"/>
          <w:szCs w:val="20"/>
          <w:lang w:val="es-ES"/>
        </w:rPr>
        <w:t>cinco</w:t>
      </w:r>
      <w:r w:rsidR="006B5A8F" w:rsidRPr="007607D3">
        <w:rPr>
          <w:rFonts w:ascii="Cambria" w:hAnsi="Cambria"/>
          <w:sz w:val="20"/>
          <w:szCs w:val="20"/>
          <w:lang w:val="es-ES"/>
        </w:rPr>
        <w:t xml:space="preserve"> años después de la declaración, cuando dos de los sospechosos ya habían fallecido. Asimismo, fue hasta 1995, </w:t>
      </w:r>
      <w:r w:rsidR="000060B6" w:rsidRPr="007607D3">
        <w:rPr>
          <w:rFonts w:ascii="Cambria" w:hAnsi="Cambria"/>
          <w:sz w:val="20"/>
          <w:szCs w:val="20"/>
          <w:lang w:val="es-ES"/>
        </w:rPr>
        <w:t>nueve</w:t>
      </w:r>
      <w:r w:rsidR="006B5A8F" w:rsidRPr="007607D3">
        <w:rPr>
          <w:rFonts w:ascii="Cambria" w:hAnsi="Cambria"/>
          <w:sz w:val="20"/>
          <w:szCs w:val="20"/>
          <w:lang w:val="es-ES"/>
        </w:rPr>
        <w:t xml:space="preserve"> años después de la declaración mencionada que dos personas</w:t>
      </w:r>
      <w:r w:rsidR="002A2C38" w:rsidRPr="007607D3">
        <w:rPr>
          <w:rFonts w:ascii="Cambria" w:hAnsi="Cambria"/>
          <w:sz w:val="20"/>
          <w:szCs w:val="20"/>
          <w:lang w:val="es-ES"/>
        </w:rPr>
        <w:t xml:space="preserve"> -</w:t>
      </w:r>
      <w:r w:rsidR="006B5A8F" w:rsidRPr="007607D3">
        <w:rPr>
          <w:rFonts w:ascii="Cambria" w:hAnsi="Cambria"/>
          <w:sz w:val="20"/>
          <w:szCs w:val="20"/>
          <w:lang w:val="es-ES"/>
        </w:rPr>
        <w:t xml:space="preserve"> </w:t>
      </w:r>
      <w:r w:rsidR="002A2C38" w:rsidRPr="007607D3">
        <w:rPr>
          <w:rFonts w:ascii="Cambria" w:hAnsi="Cambria"/>
          <w:sz w:val="20"/>
          <w:szCs w:val="20"/>
          <w:lang w:val="es-ES"/>
        </w:rPr>
        <w:t xml:space="preserve">el soldado </w:t>
      </w:r>
      <w:r w:rsidR="00895FA1" w:rsidRPr="007607D3">
        <w:rPr>
          <w:rFonts w:ascii="Cambria" w:hAnsi="Cambria"/>
          <w:sz w:val="20"/>
          <w:szCs w:val="20"/>
          <w:lang w:val="es-ES"/>
        </w:rPr>
        <w:t>Betâneo</w:t>
      </w:r>
      <w:r w:rsidR="006B5A8F" w:rsidRPr="007607D3">
        <w:rPr>
          <w:rFonts w:ascii="Cambria" w:hAnsi="Cambria"/>
          <w:sz w:val="20"/>
          <w:szCs w:val="20"/>
          <w:lang w:val="es-ES"/>
        </w:rPr>
        <w:t xml:space="preserve"> Carneiro Dos Santos</w:t>
      </w:r>
      <w:r w:rsidR="002A2C38" w:rsidRPr="007607D3">
        <w:rPr>
          <w:rFonts w:ascii="Cambria" w:hAnsi="Cambria"/>
          <w:sz w:val="20"/>
          <w:szCs w:val="20"/>
          <w:lang w:val="es-ES"/>
        </w:rPr>
        <w:t xml:space="preserve"> </w:t>
      </w:r>
      <w:r w:rsidR="006B5A8F" w:rsidRPr="007607D3">
        <w:rPr>
          <w:rFonts w:ascii="Cambria" w:hAnsi="Cambria"/>
          <w:sz w:val="20"/>
          <w:szCs w:val="20"/>
          <w:lang w:val="es-ES"/>
        </w:rPr>
        <w:t>y José Buarque de Gusmao</w:t>
      </w:r>
      <w:r w:rsidR="002A2C38" w:rsidRPr="007607D3">
        <w:rPr>
          <w:rFonts w:ascii="Cambria" w:hAnsi="Cambria"/>
          <w:sz w:val="20"/>
          <w:szCs w:val="20"/>
          <w:lang w:val="es-ES"/>
        </w:rPr>
        <w:t xml:space="preserve">, yerno del diputado federal y terrateniente ya mencionado - </w:t>
      </w:r>
      <w:r w:rsidR="006B5A8F" w:rsidRPr="007607D3">
        <w:rPr>
          <w:rFonts w:ascii="Cambria" w:hAnsi="Cambria"/>
          <w:sz w:val="20"/>
          <w:szCs w:val="20"/>
          <w:lang w:val="es-ES"/>
        </w:rPr>
        <w:t>fueron denunciadas penalmente por el Ministerio Público</w:t>
      </w:r>
      <w:r w:rsidR="002A2C38" w:rsidRPr="007607D3">
        <w:rPr>
          <w:rFonts w:ascii="Cambria" w:hAnsi="Cambria"/>
          <w:sz w:val="20"/>
          <w:szCs w:val="20"/>
          <w:lang w:val="es-ES"/>
        </w:rPr>
        <w:t xml:space="preserve">. En el caso del soldado Dos Santos, se declaró la </w:t>
      </w:r>
      <w:r w:rsidR="006B5A8F" w:rsidRPr="007607D3">
        <w:rPr>
          <w:rFonts w:ascii="Cambria" w:hAnsi="Cambria"/>
          <w:sz w:val="20"/>
          <w:szCs w:val="20"/>
          <w:lang w:val="es-ES"/>
        </w:rPr>
        <w:t>prescripción</w:t>
      </w:r>
      <w:r w:rsidR="002A2C38" w:rsidRPr="007607D3">
        <w:rPr>
          <w:rFonts w:ascii="Cambria" w:hAnsi="Cambria"/>
          <w:sz w:val="20"/>
          <w:szCs w:val="20"/>
          <w:lang w:val="es-ES"/>
        </w:rPr>
        <w:t xml:space="preserve"> en 1996, sin que, además de los nueve años de demora ya mencionados, no se desprende que hubiese sido investigado con la debida diligencia. </w:t>
      </w:r>
      <w:r w:rsidR="006B5A8F" w:rsidRPr="007607D3">
        <w:rPr>
          <w:rFonts w:ascii="Cambria" w:hAnsi="Cambria"/>
          <w:sz w:val="20"/>
          <w:szCs w:val="20"/>
          <w:lang w:val="es-ES"/>
        </w:rPr>
        <w:t xml:space="preserve"> </w:t>
      </w:r>
    </w:p>
    <w:p w14:paraId="2CCE22D5" w14:textId="77777777" w:rsidR="006B5A8F" w:rsidRPr="007607D3" w:rsidRDefault="006B5A8F" w:rsidP="006B5A8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1980"/>
          <w:tab w:val="num" w:pos="2040"/>
        </w:tabs>
        <w:jc w:val="both"/>
        <w:rPr>
          <w:rFonts w:ascii="Cambria" w:hAnsi="Cambria"/>
          <w:sz w:val="20"/>
          <w:szCs w:val="20"/>
          <w:lang w:val="es-ES"/>
        </w:rPr>
      </w:pPr>
    </w:p>
    <w:p w14:paraId="7B1B0AC2" w14:textId="77777777" w:rsidR="006B49A7" w:rsidRPr="007607D3" w:rsidRDefault="002A2C38" w:rsidP="00C403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1980"/>
          <w:tab w:val="num" w:pos="2040"/>
        </w:tabs>
        <w:ind w:left="0" w:firstLine="720"/>
        <w:jc w:val="both"/>
        <w:rPr>
          <w:lang w:val="es-ES"/>
        </w:rPr>
      </w:pPr>
      <w:r w:rsidRPr="007607D3">
        <w:rPr>
          <w:rFonts w:ascii="Cambria" w:hAnsi="Cambria"/>
          <w:sz w:val="20"/>
          <w:szCs w:val="20"/>
          <w:lang w:val="es-ES"/>
        </w:rPr>
        <w:t>Por su parte, José Buarque de Gusmao</w:t>
      </w:r>
      <w:r w:rsidR="004E7225" w:rsidRPr="007607D3">
        <w:rPr>
          <w:rFonts w:ascii="Cambria" w:hAnsi="Cambria"/>
          <w:sz w:val="20"/>
          <w:szCs w:val="20"/>
          <w:lang w:val="es-ES"/>
        </w:rPr>
        <w:t>, fue absuelto por un tribunal de jurados en 2001. L</w:t>
      </w:r>
      <w:r w:rsidR="006B5A8F" w:rsidRPr="007607D3">
        <w:rPr>
          <w:rFonts w:ascii="Cambria" w:hAnsi="Cambria"/>
          <w:sz w:val="20"/>
          <w:szCs w:val="20"/>
          <w:lang w:val="es-ES"/>
        </w:rPr>
        <w:t xml:space="preserve">a Comisión destaca que </w:t>
      </w:r>
      <w:r w:rsidR="004E7225" w:rsidRPr="007607D3">
        <w:rPr>
          <w:rFonts w:ascii="Cambria" w:hAnsi="Cambria"/>
          <w:sz w:val="20"/>
          <w:szCs w:val="20"/>
          <w:lang w:val="es-ES"/>
        </w:rPr>
        <w:t>del expediente surgen graves sospechas sobre la imparcialidad de los jurados populares</w:t>
      </w:r>
      <w:r w:rsidR="00C403D8" w:rsidRPr="007607D3">
        <w:rPr>
          <w:rFonts w:ascii="Cambria" w:hAnsi="Cambria"/>
          <w:sz w:val="20"/>
          <w:szCs w:val="20"/>
          <w:lang w:val="es-ES"/>
        </w:rPr>
        <w:t xml:space="preserve"> tanto en el caso de José Buarque de Gusmao como de Antonio Carlos Coutinho Regis </w:t>
      </w:r>
      <w:r w:rsidR="003A22A0" w:rsidRPr="007607D3">
        <w:rPr>
          <w:rFonts w:ascii="Cambria" w:hAnsi="Cambria"/>
          <w:sz w:val="20"/>
          <w:szCs w:val="20"/>
          <w:lang w:val="es-ES"/>
        </w:rPr>
        <w:t>por dos</w:t>
      </w:r>
      <w:r w:rsidR="006B5A8F" w:rsidRPr="007607D3">
        <w:rPr>
          <w:rFonts w:ascii="Cambria" w:hAnsi="Cambria"/>
          <w:sz w:val="20"/>
          <w:szCs w:val="20"/>
          <w:lang w:val="es-ES"/>
        </w:rPr>
        <w:t xml:space="preserve"> </w:t>
      </w:r>
      <w:r w:rsidR="00C403D8" w:rsidRPr="007607D3">
        <w:rPr>
          <w:rFonts w:ascii="Cambria" w:hAnsi="Cambria"/>
          <w:sz w:val="20"/>
          <w:szCs w:val="20"/>
          <w:lang w:val="es-ES"/>
        </w:rPr>
        <w:t>razones</w:t>
      </w:r>
      <w:r w:rsidR="006B5A8F" w:rsidRPr="007607D3">
        <w:rPr>
          <w:rFonts w:ascii="Cambria" w:hAnsi="Cambria"/>
          <w:sz w:val="20"/>
          <w:szCs w:val="20"/>
          <w:lang w:val="es-ES"/>
        </w:rPr>
        <w:t>: i) exist</w:t>
      </w:r>
      <w:r w:rsidR="00C403D8" w:rsidRPr="007607D3">
        <w:rPr>
          <w:rFonts w:ascii="Cambria" w:hAnsi="Cambria"/>
          <w:sz w:val="20"/>
          <w:szCs w:val="20"/>
          <w:lang w:val="es-ES"/>
        </w:rPr>
        <w:t>en</w:t>
      </w:r>
      <w:r w:rsidR="006B5A8F" w:rsidRPr="007607D3">
        <w:rPr>
          <w:rFonts w:ascii="Cambria" w:hAnsi="Cambria"/>
          <w:sz w:val="20"/>
          <w:szCs w:val="20"/>
          <w:lang w:val="es-ES"/>
        </w:rPr>
        <w:t xml:space="preserve"> indicios de presiones externas al jurado;</w:t>
      </w:r>
      <w:r w:rsidR="00C403D8" w:rsidRPr="007607D3">
        <w:rPr>
          <w:rFonts w:ascii="Cambria" w:hAnsi="Cambria"/>
          <w:sz w:val="20"/>
          <w:szCs w:val="20"/>
          <w:lang w:val="es-ES"/>
        </w:rPr>
        <w:t xml:space="preserve"> y</w:t>
      </w:r>
      <w:r w:rsidR="003A22A0" w:rsidRPr="007607D3">
        <w:rPr>
          <w:rFonts w:ascii="Cambria" w:hAnsi="Cambria"/>
          <w:sz w:val="20"/>
          <w:szCs w:val="20"/>
          <w:lang w:val="es-ES"/>
        </w:rPr>
        <w:t xml:space="preserve"> </w:t>
      </w:r>
      <w:r w:rsidR="006B5A8F" w:rsidRPr="007607D3">
        <w:rPr>
          <w:rFonts w:ascii="Cambria" w:hAnsi="Cambria"/>
          <w:sz w:val="20"/>
          <w:szCs w:val="20"/>
          <w:lang w:val="es-ES"/>
        </w:rPr>
        <w:t xml:space="preserve">ii) tanto la fiscalía como el tribunal de primera instancia consideraron que las decisiones por las que se absolvió a los acusados, eran contrarias a la prueba que obraba en el expediente. </w:t>
      </w:r>
      <w:r w:rsidR="00872E93" w:rsidRPr="007607D3">
        <w:rPr>
          <w:rFonts w:ascii="Cambria" w:hAnsi="Cambria"/>
          <w:sz w:val="20"/>
          <w:szCs w:val="20"/>
          <w:lang w:val="es-ES"/>
        </w:rPr>
        <w:t xml:space="preserve">La CIDH toma en cuenta adicionalmente que los indicios consistentes y concretos de involucramiento en el homicidio no están analizados con una debida motivación. </w:t>
      </w:r>
    </w:p>
    <w:p w14:paraId="5778BC52" w14:textId="77777777" w:rsidR="006B49A7" w:rsidRPr="007607D3" w:rsidRDefault="006B49A7" w:rsidP="006B49A7">
      <w:pPr>
        <w:pStyle w:val="ListParagraph"/>
        <w:rPr>
          <w:sz w:val="20"/>
          <w:szCs w:val="20"/>
          <w:lang w:val="es-ES"/>
        </w:rPr>
      </w:pPr>
    </w:p>
    <w:p w14:paraId="4DDD7BC4" w14:textId="77777777" w:rsidR="006B5A8F" w:rsidRPr="007607D3" w:rsidRDefault="006B49A7" w:rsidP="00C403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1980"/>
          <w:tab w:val="num" w:pos="2040"/>
        </w:tabs>
        <w:ind w:left="0" w:firstLine="720"/>
        <w:jc w:val="both"/>
        <w:rPr>
          <w:lang w:val="es-ES"/>
        </w:rPr>
      </w:pPr>
      <w:r w:rsidRPr="007607D3">
        <w:rPr>
          <w:rFonts w:ascii="Cambria" w:hAnsi="Cambria"/>
          <w:sz w:val="20"/>
          <w:szCs w:val="20"/>
          <w:lang w:val="es-ES"/>
        </w:rPr>
        <w:t xml:space="preserve">Así, </w:t>
      </w:r>
      <w:r w:rsidR="006B5A8F" w:rsidRPr="007607D3">
        <w:rPr>
          <w:rFonts w:ascii="Cambria" w:hAnsi="Cambria"/>
          <w:sz w:val="20"/>
          <w:szCs w:val="20"/>
          <w:lang w:val="es-ES"/>
        </w:rPr>
        <w:t xml:space="preserve">tras la absolución de Antonio Carlos Coutinho Regis el 5 de julio de 1988, el Ministerio Público apeló la decisión por ser contraria al acervo probatorio, y la misma fue anulada por el Tribunal de Justicia de Paraíba el 17 de mayo de 1990 por la misma razón.  El esposo de la presunta víctima solicitó trasladar </w:t>
      </w:r>
      <w:r w:rsidR="006B5A8F" w:rsidRPr="007607D3">
        <w:rPr>
          <w:rFonts w:ascii="Cambria" w:hAnsi="Cambria"/>
          <w:sz w:val="20"/>
          <w:szCs w:val="20"/>
          <w:lang w:val="es-ES"/>
        </w:rPr>
        <w:lastRenderedPageBreak/>
        <w:t>el caso ante otro jurado para el nuevo juicio tomando en cuenta que luego de tener una discusión con el juez de la causa</w:t>
      </w:r>
      <w:r w:rsidR="00550DB6" w:rsidRPr="007607D3">
        <w:rPr>
          <w:rFonts w:ascii="Cambria" w:hAnsi="Cambria"/>
          <w:sz w:val="20"/>
          <w:szCs w:val="20"/>
          <w:lang w:val="es-ES"/>
        </w:rPr>
        <w:t>,</w:t>
      </w:r>
      <w:r w:rsidR="006B5A8F" w:rsidRPr="007607D3">
        <w:rPr>
          <w:rFonts w:ascii="Cambria" w:hAnsi="Cambria"/>
          <w:sz w:val="20"/>
          <w:szCs w:val="20"/>
          <w:lang w:val="es-ES"/>
        </w:rPr>
        <w:t xml:space="preserve"> tomó conocimiento de que “hay cierto consenso entre los integrantes del Jurado de que el reo, por tener una participación de menos importancia, debería ser absuelto nuevamente”. El acusado fue nuevamente absuelto el 3 de septiembre de 1998, tras una decisión sin motivación.</w:t>
      </w:r>
    </w:p>
    <w:p w14:paraId="44E1F036" w14:textId="77777777" w:rsidR="006B5A8F" w:rsidRPr="007607D3" w:rsidRDefault="006B5A8F" w:rsidP="006B5A8F">
      <w:pPr>
        <w:pStyle w:val="ListParagraph"/>
        <w:rPr>
          <w:lang w:val="es-ES"/>
        </w:rPr>
      </w:pPr>
    </w:p>
    <w:p w14:paraId="2AC91193" w14:textId="77777777" w:rsidR="00651EC2" w:rsidRPr="007607D3" w:rsidRDefault="006B5A8F" w:rsidP="00651E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1980"/>
          <w:tab w:val="num" w:pos="2040"/>
        </w:tabs>
        <w:ind w:left="0" w:firstLine="720"/>
        <w:jc w:val="both"/>
        <w:rPr>
          <w:rFonts w:ascii="Cambria" w:hAnsi="Cambria"/>
          <w:sz w:val="20"/>
          <w:szCs w:val="20"/>
          <w:lang w:val="es-ES"/>
        </w:rPr>
      </w:pPr>
      <w:r w:rsidRPr="007607D3">
        <w:rPr>
          <w:rFonts w:ascii="Cambria" w:hAnsi="Cambria"/>
          <w:sz w:val="20"/>
          <w:szCs w:val="20"/>
          <w:lang w:val="es-ES"/>
        </w:rPr>
        <w:t>Con respecto a Jose Buarque de Gusmao, la CIDH nota que este fue absuelto el 18 de junio de 2001, y al igual que en el caso anterior, el Ministerio Público apeló la decisión por ser contraria a la prueba,  criterio que también compartió la Cámara Pena</w:t>
      </w:r>
      <w:r w:rsidR="00055403" w:rsidRPr="007607D3">
        <w:rPr>
          <w:rFonts w:ascii="Cambria" w:hAnsi="Cambria"/>
          <w:sz w:val="20"/>
          <w:szCs w:val="20"/>
          <w:lang w:val="es-ES"/>
        </w:rPr>
        <w:t>l</w:t>
      </w:r>
      <w:r w:rsidR="000F21F5" w:rsidRPr="007607D3">
        <w:rPr>
          <w:rFonts w:ascii="Cambria" w:hAnsi="Cambria"/>
          <w:sz w:val="20"/>
          <w:szCs w:val="20"/>
          <w:lang w:val="es-ES"/>
        </w:rPr>
        <w:t xml:space="preserve"> </w:t>
      </w:r>
      <w:r w:rsidRPr="007607D3">
        <w:rPr>
          <w:rFonts w:ascii="Cambria" w:hAnsi="Cambria"/>
          <w:sz w:val="20"/>
          <w:szCs w:val="20"/>
          <w:lang w:val="es-ES"/>
        </w:rPr>
        <w:t>del Tribunal de Justicia de Paraíba, no obstante la decisión quedó en firme por decisión del Superior Tribunal de Justicia.  La Comisión también resalta que en este caso, un juez denunció que es un hecho público y notorio que el acusado y sus aliados est</w:t>
      </w:r>
      <w:r w:rsidR="00312934" w:rsidRPr="007607D3">
        <w:rPr>
          <w:rFonts w:ascii="Cambria" w:hAnsi="Cambria"/>
          <w:sz w:val="20"/>
          <w:szCs w:val="20"/>
          <w:lang w:val="es-ES"/>
        </w:rPr>
        <w:t>aban</w:t>
      </w:r>
      <w:r w:rsidRPr="007607D3">
        <w:rPr>
          <w:rFonts w:ascii="Cambria" w:hAnsi="Cambria"/>
          <w:sz w:val="20"/>
          <w:szCs w:val="20"/>
          <w:lang w:val="es-ES"/>
        </w:rPr>
        <w:t xml:space="preserve"> trabajando en una relación de 80 nombres para posibles miembros del jurado, lo cual </w:t>
      </w:r>
      <w:r w:rsidR="00423C64" w:rsidRPr="007607D3">
        <w:rPr>
          <w:rFonts w:ascii="Cambria" w:hAnsi="Cambria"/>
          <w:sz w:val="20"/>
          <w:szCs w:val="20"/>
          <w:lang w:val="es-ES"/>
        </w:rPr>
        <w:t>fue tomado en cuenta como base para</w:t>
      </w:r>
      <w:r w:rsidRPr="007607D3">
        <w:rPr>
          <w:rFonts w:ascii="Cambria" w:hAnsi="Cambria"/>
          <w:sz w:val="20"/>
          <w:szCs w:val="20"/>
          <w:lang w:val="es-ES"/>
        </w:rPr>
        <w:t xml:space="preserve"> trasladar el juicio al Primer Tribunal de Jurados de la Comarca de la Capital. La Comisión </w:t>
      </w:r>
      <w:r w:rsidR="00312934" w:rsidRPr="007607D3">
        <w:rPr>
          <w:rFonts w:ascii="Cambria" w:hAnsi="Cambria"/>
          <w:sz w:val="20"/>
          <w:szCs w:val="20"/>
          <w:lang w:val="es-ES"/>
        </w:rPr>
        <w:t xml:space="preserve">destaca </w:t>
      </w:r>
      <w:r w:rsidRPr="007607D3">
        <w:rPr>
          <w:rFonts w:ascii="Cambria" w:hAnsi="Cambria"/>
          <w:sz w:val="20"/>
          <w:szCs w:val="20"/>
          <w:lang w:val="es-ES"/>
        </w:rPr>
        <w:t xml:space="preserve">que la decisión de absolución carece de motivación. </w:t>
      </w:r>
      <w:r w:rsidR="008F3C10" w:rsidRPr="007607D3">
        <w:rPr>
          <w:rFonts w:ascii="Cambria" w:hAnsi="Cambria"/>
          <w:sz w:val="20"/>
          <w:szCs w:val="20"/>
          <w:lang w:val="es-ES"/>
        </w:rPr>
        <w:t xml:space="preserve">El Estado no ofreció explicación alguna sobre estas situaciones y del expediente surge que tampoco fueron investigadas. </w:t>
      </w:r>
      <w:r w:rsidR="00D67191" w:rsidRPr="007607D3">
        <w:rPr>
          <w:rFonts w:ascii="Cambria" w:hAnsi="Cambria"/>
          <w:sz w:val="20"/>
          <w:szCs w:val="20"/>
          <w:lang w:val="es-ES"/>
        </w:rPr>
        <w:t xml:space="preserve">En ese sentido, no se disiparon las fuertes sospechas sobre presiones al jurado y consecuente falta de imparcialidad. </w:t>
      </w:r>
    </w:p>
    <w:p w14:paraId="7EB3F297" w14:textId="77777777" w:rsidR="00651EC2" w:rsidRPr="007607D3" w:rsidRDefault="00651EC2" w:rsidP="00651EC2">
      <w:pPr>
        <w:pStyle w:val="ListParagraph"/>
        <w:rPr>
          <w:sz w:val="20"/>
          <w:szCs w:val="20"/>
          <w:lang w:val="es-ES"/>
        </w:rPr>
      </w:pPr>
    </w:p>
    <w:p w14:paraId="586E81EA" w14:textId="77777777" w:rsidR="006B5A8F" w:rsidRPr="007607D3" w:rsidRDefault="0035419F" w:rsidP="00651E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1980"/>
          <w:tab w:val="num" w:pos="2040"/>
        </w:tabs>
        <w:ind w:left="0" w:firstLine="720"/>
        <w:jc w:val="both"/>
        <w:rPr>
          <w:rFonts w:ascii="Cambria" w:hAnsi="Cambria"/>
          <w:sz w:val="20"/>
          <w:szCs w:val="20"/>
          <w:lang w:val="es-ES"/>
        </w:rPr>
      </w:pPr>
      <w:r w:rsidRPr="007607D3">
        <w:rPr>
          <w:rFonts w:ascii="Cambria" w:hAnsi="Cambria"/>
          <w:sz w:val="20"/>
          <w:szCs w:val="20"/>
          <w:lang w:val="es-ES"/>
        </w:rPr>
        <w:t>En cuarto lugar, l</w:t>
      </w:r>
      <w:r w:rsidR="006B5A8F" w:rsidRPr="007607D3">
        <w:rPr>
          <w:rFonts w:ascii="Cambria" w:hAnsi="Cambria"/>
          <w:sz w:val="20"/>
          <w:szCs w:val="20"/>
          <w:lang w:val="es-ES"/>
        </w:rPr>
        <w:t>a CIDH recuerda que el Consejo de Defensa de los Derechos de la Persona Humana del Ministerio de Justicia de Brasil, re</w:t>
      </w:r>
      <w:r w:rsidR="006B5A8F" w:rsidRPr="007607D3">
        <w:rPr>
          <w:rFonts w:ascii="Cambria" w:hAnsi="Cambria"/>
          <w:sz w:val="18"/>
          <w:szCs w:val="20"/>
          <w:lang w:val="es-ES"/>
        </w:rPr>
        <w:t>c</w:t>
      </w:r>
      <w:r w:rsidR="006B5A8F" w:rsidRPr="007607D3">
        <w:rPr>
          <w:rFonts w:ascii="Cambria" w:hAnsi="Cambria"/>
          <w:sz w:val="20"/>
          <w:szCs w:val="20"/>
          <w:lang w:val="es-ES"/>
        </w:rPr>
        <w:t xml:space="preserve">onoció </w:t>
      </w:r>
      <w:r w:rsidRPr="007607D3">
        <w:rPr>
          <w:rFonts w:ascii="Cambria" w:hAnsi="Cambria"/>
          <w:sz w:val="20"/>
          <w:szCs w:val="20"/>
          <w:lang w:val="es-ES"/>
        </w:rPr>
        <w:t xml:space="preserve">la existencia de </w:t>
      </w:r>
      <w:r w:rsidR="006B5A8F" w:rsidRPr="007607D3">
        <w:rPr>
          <w:rFonts w:ascii="Cambria" w:hAnsi="Cambria"/>
          <w:sz w:val="20"/>
          <w:szCs w:val="20"/>
          <w:lang w:val="es-ES"/>
        </w:rPr>
        <w:t xml:space="preserve">faltas al deber de debida diligencia en el marco de los procesos internos. Dicho Consejo refirió que el supuesto autor intelectual del delito, José Buarque de Guzmao Neto, fue enjuiciado 17 años después de los hechos y también se refirió a “la fragilidad de la prueba en el proceso penal, posiblemente por deficiencias en la investigación policial y en la instrucción criminal", y reconoció la existencia de “fuerzas de atraso” que influyeron en la demora del proceso, la conclusión del proceso criminal y de los juicios. </w:t>
      </w:r>
    </w:p>
    <w:p w14:paraId="227ADFFA" w14:textId="77777777" w:rsidR="009A4AF6" w:rsidRPr="007607D3" w:rsidRDefault="009A4AF6" w:rsidP="009A4AF6">
      <w:pPr>
        <w:pStyle w:val="ListParagraph"/>
        <w:rPr>
          <w:sz w:val="20"/>
          <w:szCs w:val="20"/>
          <w:lang w:val="es-ES"/>
        </w:rPr>
      </w:pPr>
    </w:p>
    <w:p w14:paraId="5EEF37DC" w14:textId="77777777" w:rsidR="00C159F5" w:rsidRPr="007607D3" w:rsidRDefault="009A4AF6" w:rsidP="00C159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1980"/>
          <w:tab w:val="num" w:pos="2040"/>
        </w:tabs>
        <w:ind w:left="0" w:firstLine="720"/>
        <w:jc w:val="both"/>
        <w:rPr>
          <w:rFonts w:ascii="Cambria" w:hAnsi="Cambria"/>
          <w:sz w:val="20"/>
          <w:szCs w:val="20"/>
          <w:lang w:val="es-ES"/>
        </w:rPr>
      </w:pPr>
      <w:r w:rsidRPr="007607D3">
        <w:rPr>
          <w:rFonts w:ascii="Cambria" w:hAnsi="Cambria"/>
          <w:sz w:val="20"/>
          <w:szCs w:val="20"/>
          <w:lang w:val="es-ES"/>
        </w:rPr>
        <w:t xml:space="preserve">En quinto lugar y en cuanto al plazo razonable, </w:t>
      </w:r>
      <w:r w:rsidR="00C159F5" w:rsidRPr="007607D3">
        <w:rPr>
          <w:rFonts w:ascii="Cambria" w:hAnsi="Cambria"/>
          <w:sz w:val="20"/>
          <w:szCs w:val="20"/>
          <w:lang w:val="es-ES"/>
        </w:rPr>
        <w:t xml:space="preserve">desde que ocurrieron los hechos del caso, el 12 de agosto de 1983 han transcurrido más de 34 años sin que el Estado haya esclarecido el asesinato, identificado a los responsables e impuesto las sanciones respectivas. Como se indicó en la sección anterior, esta situación tuvo lugar como consecuencia de la falta de debida diligencia en las investigaciones y procesos debido a múltiples factores. La Comisión considera que este plazo es en sí mismo irrazonable y que del expediente surge claramente que los elementos de complejidad, actuación de las autoridades y actuación de los familiares, no logran explicar ni menos justificar dicho plazo excesivo. </w:t>
      </w:r>
    </w:p>
    <w:p w14:paraId="1A3EDC0D" w14:textId="77777777" w:rsidR="00C159F5" w:rsidRPr="007607D3" w:rsidRDefault="00C159F5" w:rsidP="00C159F5">
      <w:pPr>
        <w:pStyle w:val="ListParagraph"/>
        <w:rPr>
          <w:sz w:val="20"/>
          <w:szCs w:val="20"/>
          <w:lang w:val="es-ES"/>
        </w:rPr>
      </w:pPr>
    </w:p>
    <w:p w14:paraId="788C8C20" w14:textId="77777777" w:rsidR="006B5A8F" w:rsidRPr="006A5BAB" w:rsidRDefault="00C159F5"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1980"/>
          <w:tab w:val="num" w:pos="2040"/>
        </w:tabs>
        <w:ind w:left="0" w:firstLine="720"/>
        <w:jc w:val="both"/>
        <w:rPr>
          <w:rFonts w:ascii="Cambria" w:hAnsi="Cambria"/>
          <w:sz w:val="20"/>
          <w:szCs w:val="20"/>
          <w:lang w:val="es-ES"/>
        </w:rPr>
      </w:pPr>
      <w:r w:rsidRPr="007607D3">
        <w:rPr>
          <w:rFonts w:ascii="Cambria" w:hAnsi="Cambria"/>
          <w:sz w:val="20"/>
          <w:szCs w:val="20"/>
          <w:lang w:val="es-ES"/>
        </w:rPr>
        <w:t>Además, la Comisión destaca que con respecto al cua</w:t>
      </w:r>
      <w:r w:rsidR="00651EC2" w:rsidRPr="007607D3">
        <w:rPr>
          <w:rFonts w:ascii="Cambria" w:hAnsi="Cambria"/>
          <w:sz w:val="20"/>
          <w:szCs w:val="20"/>
          <w:lang w:val="es-ES"/>
        </w:rPr>
        <w:t>r</w:t>
      </w:r>
      <w:r w:rsidRPr="007607D3">
        <w:rPr>
          <w:rFonts w:ascii="Cambria" w:hAnsi="Cambria"/>
          <w:sz w:val="20"/>
          <w:szCs w:val="20"/>
          <w:lang w:val="es-ES"/>
        </w:rPr>
        <w:t>to elemento, relacionado con la afectación generada en la situación jurídica respectiva el asesinato de una defensora de derechos humanos y la situación de impunidad posterior no tiene un impacto solamente a nivel familiar, sino también un efecto amedrentador en el colectivo de defensoras y defensores, quienes por miedo a sufrir represalias o ataques similares p</w:t>
      </w:r>
      <w:r w:rsidR="00651EC2" w:rsidRPr="007607D3">
        <w:rPr>
          <w:rFonts w:ascii="Cambria" w:hAnsi="Cambria"/>
          <w:sz w:val="20"/>
          <w:szCs w:val="20"/>
          <w:lang w:val="es-ES"/>
        </w:rPr>
        <w:t>odrían</w:t>
      </w:r>
      <w:r w:rsidRPr="007607D3">
        <w:rPr>
          <w:rFonts w:ascii="Cambria" w:hAnsi="Cambria"/>
          <w:sz w:val="20"/>
          <w:szCs w:val="20"/>
          <w:lang w:val="es-ES"/>
        </w:rPr>
        <w:t xml:space="preserve"> llegar a abstenerse de realizar sus tareas de promoción y protección de los derechos humanos, lo cual repercute en la sociedad en general.</w:t>
      </w:r>
      <w:r w:rsidR="00212D34" w:rsidRPr="007607D3">
        <w:rPr>
          <w:rFonts w:ascii="Cambria" w:hAnsi="Cambria"/>
          <w:sz w:val="20"/>
          <w:szCs w:val="20"/>
          <w:lang w:val="es-ES"/>
        </w:rPr>
        <w:t xml:space="preserve"> </w:t>
      </w:r>
      <w:r w:rsidR="002C4915" w:rsidRPr="007607D3">
        <w:rPr>
          <w:rFonts w:ascii="Cambria" w:hAnsi="Cambria"/>
          <w:sz w:val="20"/>
          <w:szCs w:val="20"/>
          <w:lang w:val="es-ES"/>
        </w:rPr>
        <w:t>Esto resulta aún m</w:t>
      </w:r>
      <w:r w:rsidR="00AB5B85" w:rsidRPr="007607D3">
        <w:rPr>
          <w:rFonts w:ascii="Cambria" w:hAnsi="Cambria"/>
          <w:sz w:val="20"/>
          <w:szCs w:val="20"/>
          <w:lang w:val="es-ES"/>
        </w:rPr>
        <w:t>ás grave cuando, como se indicó en la sección de contexto, la situación de impunidad del asesinato de Margarida María Alves no constituye un hecho aislado sino que se enmarca en un contexto de impunidad alarmante</w:t>
      </w:r>
      <w:r w:rsidR="00651EC2" w:rsidRPr="007607D3">
        <w:rPr>
          <w:rFonts w:ascii="Cambria" w:hAnsi="Cambria"/>
          <w:sz w:val="20"/>
          <w:szCs w:val="20"/>
          <w:lang w:val="es-ES"/>
        </w:rPr>
        <w:t xml:space="preserve"> durante los años ochenta y noventa</w:t>
      </w:r>
      <w:r w:rsidR="00AB5B85" w:rsidRPr="007607D3">
        <w:rPr>
          <w:rFonts w:ascii="Cambria" w:hAnsi="Cambria"/>
          <w:sz w:val="20"/>
          <w:szCs w:val="20"/>
          <w:lang w:val="es-ES"/>
        </w:rPr>
        <w:t xml:space="preserve"> que convierte al Estado en tolerante de este tipo de actos. </w:t>
      </w:r>
    </w:p>
    <w:p w14:paraId="42E8AAAD" w14:textId="77777777" w:rsidR="006B5A8F" w:rsidRPr="007607D3" w:rsidRDefault="006B5A8F" w:rsidP="00651E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1980"/>
          <w:tab w:val="num" w:pos="2040"/>
        </w:tabs>
        <w:ind w:left="0" w:firstLine="720"/>
        <w:jc w:val="both"/>
        <w:rPr>
          <w:rFonts w:ascii="Cambria" w:hAnsi="Cambria"/>
          <w:sz w:val="20"/>
          <w:szCs w:val="20"/>
          <w:lang w:val="es-ES"/>
        </w:rPr>
      </w:pPr>
      <w:r w:rsidRPr="007607D3">
        <w:rPr>
          <w:rFonts w:ascii="Cambria" w:hAnsi="Cambria"/>
          <w:sz w:val="20"/>
          <w:szCs w:val="20"/>
          <w:lang w:val="es-ES"/>
        </w:rPr>
        <w:t xml:space="preserve">La Comisión observa que </w:t>
      </w:r>
      <w:r w:rsidR="00F019AF" w:rsidRPr="007607D3">
        <w:rPr>
          <w:rFonts w:ascii="Cambria" w:hAnsi="Cambria"/>
          <w:sz w:val="20"/>
          <w:szCs w:val="20"/>
          <w:lang w:val="es-ES"/>
        </w:rPr>
        <w:t xml:space="preserve">todos los elementos descritos </w:t>
      </w:r>
      <w:r w:rsidRPr="007607D3">
        <w:rPr>
          <w:rFonts w:ascii="Cambria" w:hAnsi="Cambria"/>
          <w:sz w:val="20"/>
          <w:szCs w:val="20"/>
          <w:lang w:val="es-ES"/>
        </w:rPr>
        <w:t>comprueba</w:t>
      </w:r>
      <w:r w:rsidR="00F019AF" w:rsidRPr="007607D3">
        <w:rPr>
          <w:rFonts w:ascii="Cambria" w:hAnsi="Cambria"/>
          <w:sz w:val="20"/>
          <w:szCs w:val="20"/>
          <w:lang w:val="es-ES"/>
        </w:rPr>
        <w:t>n</w:t>
      </w:r>
      <w:r w:rsidRPr="007607D3">
        <w:rPr>
          <w:rFonts w:ascii="Cambria" w:hAnsi="Cambria"/>
          <w:sz w:val="20"/>
          <w:szCs w:val="20"/>
          <w:lang w:val="es-ES"/>
        </w:rPr>
        <w:t xml:space="preserve"> que los actos estatales en el proceso investigativo no estaban orientados a la determinación de la verdad y la sanción de los responsables</w:t>
      </w:r>
      <w:r w:rsidR="00670490" w:rsidRPr="007607D3">
        <w:rPr>
          <w:rFonts w:ascii="Cambria" w:hAnsi="Cambria"/>
          <w:sz w:val="20"/>
          <w:szCs w:val="20"/>
          <w:lang w:val="es-ES"/>
        </w:rPr>
        <w:t xml:space="preserve"> materiales e intelectuales </w:t>
      </w:r>
      <w:r w:rsidRPr="007607D3">
        <w:rPr>
          <w:rFonts w:ascii="Cambria" w:hAnsi="Cambria"/>
          <w:sz w:val="20"/>
          <w:szCs w:val="20"/>
          <w:lang w:val="es-ES"/>
        </w:rPr>
        <w:t>de los hechos</w:t>
      </w:r>
      <w:r w:rsidR="00AB6B27" w:rsidRPr="007607D3">
        <w:rPr>
          <w:rFonts w:ascii="Cambria" w:hAnsi="Cambria"/>
          <w:sz w:val="20"/>
          <w:szCs w:val="20"/>
          <w:lang w:val="es-ES"/>
        </w:rPr>
        <w:t xml:space="preserve">, y </w:t>
      </w:r>
      <w:r w:rsidR="00651EC2" w:rsidRPr="007607D3">
        <w:rPr>
          <w:rFonts w:ascii="Cambria" w:hAnsi="Cambria"/>
          <w:sz w:val="20"/>
          <w:szCs w:val="20"/>
          <w:lang w:val="es-ES"/>
        </w:rPr>
        <w:t xml:space="preserve">al contrario contribuyeron directamente a la situación </w:t>
      </w:r>
      <w:r w:rsidR="00AB6B27" w:rsidRPr="007607D3">
        <w:rPr>
          <w:rFonts w:ascii="Cambria" w:hAnsi="Cambria"/>
          <w:sz w:val="20"/>
          <w:szCs w:val="20"/>
          <w:lang w:val="es-ES"/>
        </w:rPr>
        <w:t xml:space="preserve">de impunidad. </w:t>
      </w:r>
      <w:r w:rsidRPr="007607D3">
        <w:rPr>
          <w:rFonts w:ascii="Cambria" w:hAnsi="Cambria"/>
          <w:sz w:val="20"/>
          <w:szCs w:val="20"/>
          <w:lang w:val="es-ES"/>
        </w:rPr>
        <w:t>La CIDH recuerda que en el marco de los procesos internos</w:t>
      </w:r>
      <w:r w:rsidR="00AB6B27" w:rsidRPr="007607D3">
        <w:rPr>
          <w:rFonts w:ascii="Cambria" w:hAnsi="Cambria"/>
          <w:sz w:val="20"/>
          <w:szCs w:val="20"/>
          <w:lang w:val="es-ES"/>
        </w:rPr>
        <w:t xml:space="preserve"> que tuvieron las serias deficiencias analizadas,</w:t>
      </w:r>
      <w:r w:rsidRPr="007607D3">
        <w:rPr>
          <w:rFonts w:ascii="Cambria" w:hAnsi="Cambria"/>
          <w:sz w:val="20"/>
          <w:szCs w:val="20"/>
          <w:lang w:val="es-ES"/>
        </w:rPr>
        <w:t xml:space="preserve"> </w:t>
      </w:r>
      <w:r w:rsidR="00AB6B27" w:rsidRPr="007607D3">
        <w:rPr>
          <w:rFonts w:ascii="Cambria" w:hAnsi="Cambria"/>
          <w:sz w:val="20"/>
          <w:szCs w:val="20"/>
          <w:lang w:val="es-ES"/>
        </w:rPr>
        <w:t>cuatro</w:t>
      </w:r>
      <w:r w:rsidRPr="007607D3">
        <w:rPr>
          <w:rFonts w:ascii="Cambria" w:hAnsi="Cambria"/>
          <w:sz w:val="20"/>
          <w:szCs w:val="20"/>
          <w:lang w:val="es-ES"/>
        </w:rPr>
        <w:t xml:space="preserve"> personas fueron beneficiadas con la prescripción, </w:t>
      </w:r>
      <w:r w:rsidR="00AB6B27" w:rsidRPr="007607D3">
        <w:rPr>
          <w:rFonts w:ascii="Cambria" w:hAnsi="Cambria"/>
          <w:sz w:val="20"/>
          <w:szCs w:val="20"/>
          <w:lang w:val="es-ES"/>
        </w:rPr>
        <w:t>dos</w:t>
      </w:r>
      <w:r w:rsidRPr="007607D3">
        <w:rPr>
          <w:rFonts w:ascii="Cambria" w:hAnsi="Cambria"/>
          <w:sz w:val="20"/>
          <w:szCs w:val="20"/>
          <w:lang w:val="es-ES"/>
        </w:rPr>
        <w:t xml:space="preserve"> personas fallecieron antes de ser sometidas a proceso y </w:t>
      </w:r>
      <w:r w:rsidR="00AB6B27" w:rsidRPr="007607D3">
        <w:rPr>
          <w:rFonts w:ascii="Cambria" w:hAnsi="Cambria"/>
          <w:sz w:val="20"/>
          <w:szCs w:val="20"/>
          <w:lang w:val="es-ES"/>
        </w:rPr>
        <w:t>dos</w:t>
      </w:r>
      <w:r w:rsidRPr="007607D3">
        <w:rPr>
          <w:rFonts w:ascii="Cambria" w:hAnsi="Cambria"/>
          <w:sz w:val="20"/>
          <w:szCs w:val="20"/>
          <w:lang w:val="es-ES"/>
        </w:rPr>
        <w:t xml:space="preserve"> personas fueron absueltas. </w:t>
      </w:r>
    </w:p>
    <w:p w14:paraId="72E87CD8" w14:textId="77777777" w:rsidR="006B5A8F" w:rsidRPr="007607D3" w:rsidRDefault="006B5A8F" w:rsidP="006B5A8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1980"/>
          <w:tab w:val="num" w:pos="2040"/>
        </w:tabs>
        <w:jc w:val="both"/>
        <w:rPr>
          <w:rFonts w:ascii="Cambria" w:hAnsi="Cambria"/>
          <w:sz w:val="20"/>
          <w:szCs w:val="20"/>
          <w:lang w:val="es-ES"/>
        </w:rPr>
      </w:pPr>
    </w:p>
    <w:p w14:paraId="5C0A6E0B" w14:textId="77777777" w:rsidR="006B5A8F" w:rsidRPr="007607D3" w:rsidRDefault="00690F47"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lang w:val="es-ES"/>
        </w:rPr>
      </w:pPr>
      <w:r w:rsidRPr="007607D3">
        <w:rPr>
          <w:rFonts w:ascii="Cambria" w:hAnsi="Cambria"/>
          <w:sz w:val="20"/>
          <w:szCs w:val="20"/>
          <w:lang w:val="es-ES"/>
        </w:rPr>
        <w:t>En virtud de las anteriores consideraciones, la Comisión concluye que el Estado no investigó el asesina</w:t>
      </w:r>
      <w:r w:rsidR="005820A2" w:rsidRPr="007607D3">
        <w:rPr>
          <w:rFonts w:ascii="Cambria" w:hAnsi="Cambria"/>
          <w:sz w:val="20"/>
          <w:szCs w:val="20"/>
          <w:lang w:val="es-ES"/>
        </w:rPr>
        <w:t>t</w:t>
      </w:r>
      <w:r w:rsidRPr="007607D3">
        <w:rPr>
          <w:rFonts w:ascii="Cambria" w:hAnsi="Cambria"/>
          <w:sz w:val="20"/>
          <w:szCs w:val="20"/>
          <w:lang w:val="es-ES"/>
        </w:rPr>
        <w:t xml:space="preserve">o de Margarida María Alves con la debida diligencia y, por lo tanto, es responsable por la violación de </w:t>
      </w:r>
      <w:r w:rsidR="006B5A8F" w:rsidRPr="007607D3">
        <w:rPr>
          <w:rFonts w:ascii="Cambria" w:hAnsi="Cambria"/>
          <w:sz w:val="20"/>
          <w:szCs w:val="20"/>
          <w:lang w:val="es-ES"/>
        </w:rPr>
        <w:t xml:space="preserve">los derechos establecidos en los </w:t>
      </w:r>
      <w:r w:rsidR="006B5A8F" w:rsidRPr="007607D3">
        <w:rPr>
          <w:rFonts w:ascii="Cambria" w:hAnsi="Cambria"/>
          <w:sz w:val="20"/>
          <w:szCs w:val="20"/>
          <w:lang w:val="es-ES_tradnl"/>
        </w:rPr>
        <w:t xml:space="preserve">artículos XVIII de la Declaración Americana, y 8.1 y 25.1 de la Convención Americana, en relación al artículo 1.1 del mismo instrumento, en perjuicio de sus familiares identificados en el presente informe. </w:t>
      </w:r>
    </w:p>
    <w:p w14:paraId="172C7457" w14:textId="77777777" w:rsidR="006B5A8F" w:rsidRPr="007607D3" w:rsidRDefault="006B5A8F" w:rsidP="009E3E49">
      <w:pPr>
        <w:rPr>
          <w:sz w:val="20"/>
          <w:szCs w:val="20"/>
          <w:lang w:val="es-ES"/>
        </w:rPr>
      </w:pPr>
    </w:p>
    <w:p w14:paraId="1F77E701" w14:textId="77777777" w:rsidR="002C022F" w:rsidRPr="007607D3" w:rsidRDefault="006B5A8F" w:rsidP="002C022F">
      <w:pPr>
        <w:pStyle w:val="Heading2"/>
        <w:numPr>
          <w:ilvl w:val="0"/>
          <w:numId w:val="61"/>
        </w:numPr>
        <w:spacing w:before="0" w:after="0"/>
        <w:ind w:firstLine="0"/>
        <w:jc w:val="both"/>
        <w:rPr>
          <w:rFonts w:ascii="Cambria" w:hAnsi="Cambria" w:cs="Times New Roman"/>
          <w:bCs w:val="0"/>
          <w:i w:val="0"/>
          <w:iCs w:val="0"/>
          <w:sz w:val="20"/>
          <w:szCs w:val="20"/>
          <w:lang w:val="es-ES" w:eastAsia="es-ES"/>
        </w:rPr>
      </w:pPr>
      <w:bookmarkStart w:id="26" w:name="_Toc86071602"/>
      <w:r w:rsidRPr="007607D3">
        <w:rPr>
          <w:rFonts w:ascii="Cambria" w:hAnsi="Cambria" w:cs="Times New Roman"/>
          <w:bCs w:val="0"/>
          <w:i w:val="0"/>
          <w:iCs w:val="0"/>
          <w:sz w:val="20"/>
          <w:szCs w:val="20"/>
          <w:lang w:val="es-ES" w:eastAsia="es-ES"/>
        </w:rPr>
        <w:lastRenderedPageBreak/>
        <w:t>Derecho a la vida (artículo I de la Declaración Americana de los Derechos y Deberes del Hombre</w:t>
      </w:r>
      <w:r w:rsidRPr="007607D3">
        <w:rPr>
          <w:rStyle w:val="FootnoteReference"/>
          <w:rFonts w:ascii="Cambria" w:eastAsia="Trebuchet MS" w:hAnsi="Cambria" w:cs="Times New Roman"/>
          <w:bCs w:val="0"/>
          <w:i w:val="0"/>
          <w:iCs w:val="0"/>
          <w:sz w:val="20"/>
          <w:szCs w:val="20"/>
          <w:lang w:val="es-ES" w:eastAsia="es-ES"/>
        </w:rPr>
        <w:footnoteReference w:id="140"/>
      </w:r>
      <w:r w:rsidRPr="007607D3">
        <w:rPr>
          <w:rFonts w:ascii="Cambria" w:hAnsi="Cambria" w:cs="Times New Roman"/>
          <w:bCs w:val="0"/>
          <w:i w:val="0"/>
          <w:iCs w:val="0"/>
          <w:sz w:val="20"/>
          <w:szCs w:val="20"/>
          <w:lang w:val="es-ES" w:eastAsia="es-ES"/>
        </w:rPr>
        <w:t>)</w:t>
      </w:r>
      <w:bookmarkEnd w:id="26"/>
      <w:r w:rsidRPr="007607D3">
        <w:rPr>
          <w:rFonts w:ascii="Cambria" w:hAnsi="Cambria" w:cs="Times New Roman"/>
          <w:bCs w:val="0"/>
          <w:i w:val="0"/>
          <w:iCs w:val="0"/>
          <w:sz w:val="20"/>
          <w:szCs w:val="20"/>
          <w:lang w:val="es-ES" w:eastAsia="es-ES"/>
        </w:rPr>
        <w:t xml:space="preserve"> </w:t>
      </w:r>
    </w:p>
    <w:p w14:paraId="55E5CA15" w14:textId="77777777" w:rsidR="002C022F" w:rsidRPr="007607D3" w:rsidRDefault="002C022F" w:rsidP="002C022F">
      <w:pPr>
        <w:pStyle w:val="Heading3"/>
        <w:numPr>
          <w:ilvl w:val="0"/>
          <w:numId w:val="63"/>
        </w:numPr>
        <w:ind w:left="1350" w:hanging="630"/>
        <w:rPr>
          <w:rFonts w:ascii="Cambria" w:hAnsi="Cambria"/>
          <w:sz w:val="20"/>
          <w:szCs w:val="20"/>
          <w:lang w:val="es-ES_tradnl"/>
        </w:rPr>
      </w:pPr>
      <w:bookmarkStart w:id="27" w:name="_Toc86071603"/>
      <w:r w:rsidRPr="007607D3">
        <w:rPr>
          <w:rFonts w:ascii="Cambria" w:hAnsi="Cambria"/>
          <w:sz w:val="20"/>
          <w:szCs w:val="20"/>
          <w:lang w:val="es-ES_tradnl"/>
        </w:rPr>
        <w:t>Consideraciones Generales</w:t>
      </w:r>
      <w:bookmarkEnd w:id="27"/>
    </w:p>
    <w:p w14:paraId="6B8674B9" w14:textId="77777777" w:rsidR="002C022F" w:rsidRPr="007607D3" w:rsidRDefault="002C022F" w:rsidP="002C022F">
      <w:pPr>
        <w:rPr>
          <w:lang w:val="es-ES_tradnl"/>
        </w:rPr>
      </w:pPr>
    </w:p>
    <w:p w14:paraId="2038C908" w14:textId="77777777" w:rsidR="002C022F" w:rsidRPr="007607D3" w:rsidRDefault="002C022F" w:rsidP="002C02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lang w:val="es-ES" w:eastAsia="es-ES"/>
        </w:rPr>
      </w:pPr>
      <w:r w:rsidRPr="007607D3">
        <w:rPr>
          <w:rFonts w:ascii="Cambria" w:hAnsi="Cambria"/>
          <w:sz w:val="20"/>
          <w:szCs w:val="20"/>
          <w:lang w:val="es-ES" w:eastAsia="es-ES"/>
        </w:rPr>
        <w:t>Tanto la Comisión como la Corte Interamericana han sostenido que el derecho a la vida juega un papel fundamental en la Convención Americana, por ser el presupuesto esencial para el ejercicio de los demás derechos. La observancia del derecho a la vida, no sólo presupone que ninguna persona sea privada de su vida arbitrariamente (obligación negativa), sino que además requiere que los Estados adopten todas las medidas apropiadas para proteger y preservar el derecho a la vida (obligación positiva), conforme al deber de garantizar el pleno y libre ejercicio de los derechos de todas las personas bajo su jurisdicción</w:t>
      </w:r>
      <w:r w:rsidRPr="007607D3">
        <w:rPr>
          <w:rStyle w:val="FootnoteReference"/>
          <w:rFonts w:ascii="Cambria" w:hAnsi="Cambria"/>
          <w:sz w:val="20"/>
          <w:szCs w:val="20"/>
          <w:lang w:val="es-ES" w:eastAsia="es-ES"/>
        </w:rPr>
        <w:footnoteReference w:id="141"/>
      </w:r>
      <w:r w:rsidRPr="007607D3">
        <w:rPr>
          <w:rFonts w:ascii="Cambria" w:hAnsi="Cambria"/>
          <w:sz w:val="20"/>
          <w:szCs w:val="20"/>
          <w:lang w:val="es-ES" w:eastAsia="es-ES"/>
        </w:rPr>
        <w:t>.</w:t>
      </w:r>
      <w:r w:rsidR="00142644" w:rsidRPr="007607D3">
        <w:rPr>
          <w:rFonts w:ascii="Cambria" w:hAnsi="Cambria"/>
          <w:sz w:val="20"/>
          <w:szCs w:val="20"/>
          <w:lang w:val="es-ES" w:eastAsia="es-ES"/>
        </w:rPr>
        <w:t xml:space="preserve"> </w:t>
      </w:r>
      <w:r w:rsidR="0087692F" w:rsidRPr="007607D3">
        <w:rPr>
          <w:rFonts w:ascii="Cambria" w:hAnsi="Cambria"/>
          <w:sz w:val="20"/>
          <w:szCs w:val="20"/>
          <w:lang w:val="es-ES" w:eastAsia="es-ES"/>
        </w:rPr>
        <w:t xml:space="preserve"> La responsabilidad del Estado se extiende, entre otras, a la violación del derecho a la vida resultante de la acción u omisión de los agentes del Estado</w:t>
      </w:r>
      <w:r w:rsidR="0087692F" w:rsidRPr="007607D3">
        <w:rPr>
          <w:rStyle w:val="FootnoteReference"/>
          <w:rFonts w:ascii="Cambria" w:hAnsi="Cambria"/>
          <w:sz w:val="20"/>
          <w:szCs w:val="20"/>
          <w:lang w:val="es-ES" w:eastAsia="es-ES"/>
        </w:rPr>
        <w:footnoteReference w:id="142"/>
      </w:r>
      <w:r w:rsidR="0087692F" w:rsidRPr="007607D3">
        <w:rPr>
          <w:rFonts w:ascii="Cambria" w:hAnsi="Cambria"/>
          <w:sz w:val="20"/>
          <w:szCs w:val="20"/>
          <w:lang w:val="es-ES" w:eastAsia="es-ES"/>
        </w:rPr>
        <w:t xml:space="preserve">. </w:t>
      </w:r>
    </w:p>
    <w:p w14:paraId="3D84FA12" w14:textId="77777777" w:rsidR="002C022F" w:rsidRPr="007607D3" w:rsidRDefault="002C022F" w:rsidP="00142644">
      <w:pPr>
        <w:rPr>
          <w:sz w:val="20"/>
          <w:szCs w:val="20"/>
          <w:lang w:val="es-ES"/>
        </w:rPr>
      </w:pPr>
    </w:p>
    <w:p w14:paraId="317A46ED" w14:textId="77777777" w:rsidR="002C022F" w:rsidRPr="007607D3" w:rsidRDefault="002C022F" w:rsidP="002C02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lang w:val="es-ES" w:eastAsia="es-ES"/>
        </w:rPr>
      </w:pPr>
      <w:r w:rsidRPr="007607D3">
        <w:rPr>
          <w:rFonts w:ascii="Cambria" w:hAnsi="Cambria"/>
          <w:sz w:val="20"/>
          <w:szCs w:val="20"/>
          <w:lang w:val="es-ES" w:eastAsia="es-ES"/>
        </w:rPr>
        <w:t xml:space="preserve">La  jurisprudencia </w:t>
      </w:r>
      <w:r w:rsidRPr="007607D3">
        <w:rPr>
          <w:rFonts w:ascii="Cambria" w:hAnsi="Cambria"/>
          <w:sz w:val="20"/>
          <w:szCs w:val="20"/>
          <w:lang w:val="es-ES"/>
        </w:rPr>
        <w:t>interamericana ha indicado que el deber de investigar debe verse reforzado cuando existen indicios de participación de agentes estatales</w:t>
      </w:r>
      <w:r w:rsidRPr="007607D3">
        <w:rPr>
          <w:rStyle w:val="FootnoteReference"/>
          <w:rFonts w:ascii="Cambria" w:hAnsi="Cambria"/>
          <w:sz w:val="20"/>
          <w:szCs w:val="20"/>
          <w:lang w:val="es-ES"/>
        </w:rPr>
        <w:footnoteReference w:id="143"/>
      </w:r>
      <w:r w:rsidRPr="007607D3">
        <w:rPr>
          <w:rFonts w:ascii="Cambria" w:hAnsi="Cambria"/>
          <w:sz w:val="20"/>
          <w:szCs w:val="20"/>
          <w:lang w:val="es-ES"/>
        </w:rPr>
        <w:t xml:space="preserve">. Sobre este extremo, la Corte Europea de Derechos Humanos indicó que: </w:t>
      </w:r>
    </w:p>
    <w:p w14:paraId="3AFFC964" w14:textId="77777777" w:rsidR="002C022F" w:rsidRPr="007607D3" w:rsidRDefault="002C022F" w:rsidP="00A2683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es-ES" w:eastAsia="es-ES"/>
        </w:rPr>
      </w:pPr>
    </w:p>
    <w:p w14:paraId="01DDCC43" w14:textId="77777777" w:rsidR="002C022F" w:rsidRDefault="002C022F" w:rsidP="00EE7D33">
      <w:pPr>
        <w:pStyle w:val="BodyTextIndent"/>
        <w:tabs>
          <w:tab w:val="left" w:pos="810"/>
          <w:tab w:val="left" w:pos="1440"/>
        </w:tabs>
        <w:ind w:left="720" w:right="720" w:firstLine="0"/>
        <w:jc w:val="both"/>
        <w:rPr>
          <w:rFonts w:ascii="Cambria" w:hAnsi="Cambria"/>
          <w:sz w:val="20"/>
          <w:szCs w:val="20"/>
        </w:rPr>
      </w:pPr>
      <w:r w:rsidRPr="007607D3">
        <w:rPr>
          <w:rFonts w:ascii="Cambria" w:hAnsi="Cambria"/>
          <w:sz w:val="20"/>
          <w:szCs w:val="20"/>
        </w:rPr>
        <w:t xml:space="preserve">la obligación del Estado de proteger el derecho a la vida requiere por implicación que debe haber alguna forma de investigación oficial efectiva cuando algún individuo ha sido asesinado como resultado del uso de la fuerza. Dichas investigaciones deben llevarse a cabo […] sin considerar si los perpetradores son agentes del Estado o terceras personas. Sin embargo, cuando se alega el involucramiento de agentes o cuerpos del Estado pueden aplicar requerimientos específicos sobre la efectividad de la investigación. (…) </w:t>
      </w:r>
      <w:r w:rsidRPr="007607D3">
        <w:rPr>
          <w:rFonts w:ascii="Cambria" w:hAnsi="Cambria"/>
          <w:sz w:val="20"/>
          <w:szCs w:val="20"/>
          <w:lang w:val="es-ES"/>
        </w:rPr>
        <w:t>El propósito esencial de dicha investigación es asegurar la implementación efectiva de las leyes internas que protegen el derecho a la vida, y asegurar, en aquellos casos que involucren agentes del Estado, su rendición de cuentas por las muertes bajo su responsabilidad (traducción de la Secretaría)</w:t>
      </w:r>
      <w:r w:rsidRPr="007607D3">
        <w:rPr>
          <w:rStyle w:val="FootnoteReference"/>
          <w:rFonts w:ascii="Cambria" w:hAnsi="Cambria"/>
          <w:sz w:val="20"/>
          <w:szCs w:val="20"/>
        </w:rPr>
        <w:footnoteReference w:id="144"/>
      </w:r>
      <w:r w:rsidRPr="007607D3">
        <w:rPr>
          <w:rFonts w:ascii="Cambria" w:hAnsi="Cambria"/>
          <w:sz w:val="20"/>
          <w:szCs w:val="20"/>
        </w:rPr>
        <w:t>.</w:t>
      </w:r>
    </w:p>
    <w:p w14:paraId="34F1CC08" w14:textId="77777777" w:rsidR="006A5BAB" w:rsidRPr="007607D3" w:rsidRDefault="006A5BAB" w:rsidP="00EE7D33">
      <w:pPr>
        <w:pStyle w:val="BodyTextIndent"/>
        <w:tabs>
          <w:tab w:val="left" w:pos="810"/>
          <w:tab w:val="left" w:pos="1440"/>
        </w:tabs>
        <w:ind w:left="720" w:right="720" w:firstLine="0"/>
        <w:jc w:val="both"/>
        <w:rPr>
          <w:rFonts w:ascii="Cambria" w:hAnsi="Cambria"/>
          <w:sz w:val="20"/>
          <w:szCs w:val="20"/>
        </w:rPr>
      </w:pPr>
    </w:p>
    <w:p w14:paraId="3B2D1066" w14:textId="77777777" w:rsidR="002C022F" w:rsidRPr="007607D3" w:rsidRDefault="002C022F" w:rsidP="002C02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350"/>
          <w:tab w:val="left" w:pos="1440"/>
          <w:tab w:val="num" w:pos="2040"/>
        </w:tabs>
        <w:ind w:left="0" w:firstLine="720"/>
        <w:jc w:val="both"/>
        <w:rPr>
          <w:rFonts w:ascii="Cambria" w:hAnsi="Cambria"/>
          <w:sz w:val="20"/>
          <w:szCs w:val="20"/>
          <w:lang w:val="es-ES"/>
        </w:rPr>
      </w:pPr>
      <w:r w:rsidRPr="007607D3">
        <w:rPr>
          <w:rFonts w:ascii="Cambria" w:hAnsi="Cambria"/>
          <w:sz w:val="20"/>
          <w:szCs w:val="20"/>
          <w:lang w:val="es-ES"/>
        </w:rPr>
        <w:t>La Comisión reitera que ante indicios de esta naturaleza, que implicarían una atribución directa de responsabilidad internacional al Estado, corresponde a las autoridades a cargo de la investigación desplegar todos los esfuerzos necesarios para esclarecer las posibles responsabilidades o vínculos de autoridades estatales en una violación del derecho a la vida</w:t>
      </w:r>
      <w:r w:rsidRPr="007607D3">
        <w:rPr>
          <w:rStyle w:val="FootnoteReference"/>
          <w:rFonts w:ascii="Cambria" w:hAnsi="Cambria"/>
          <w:sz w:val="20"/>
          <w:szCs w:val="20"/>
          <w:lang w:val="es-ES"/>
        </w:rPr>
        <w:footnoteReference w:id="145"/>
      </w:r>
      <w:r w:rsidRPr="007607D3">
        <w:rPr>
          <w:rFonts w:ascii="Cambria" w:hAnsi="Cambria"/>
          <w:sz w:val="20"/>
          <w:szCs w:val="20"/>
          <w:lang w:val="es-ES"/>
        </w:rPr>
        <w:t xml:space="preserve">.  De esta manera, recae sobre el Estado efectuar una investigación minuciosa, seria y diligente para determinar la veracidad o desvirtuar los indicios de participación de agentes estatales.  </w:t>
      </w:r>
    </w:p>
    <w:p w14:paraId="4ADADA18" w14:textId="77777777" w:rsidR="002C022F" w:rsidRPr="007607D3" w:rsidRDefault="002C022F" w:rsidP="002C022F">
      <w:pPr>
        <w:pStyle w:val="ListParagraph"/>
        <w:tabs>
          <w:tab w:val="left" w:pos="1440"/>
        </w:tabs>
        <w:rPr>
          <w:sz w:val="20"/>
          <w:szCs w:val="20"/>
          <w:lang w:val="es-ES"/>
        </w:rPr>
      </w:pPr>
    </w:p>
    <w:p w14:paraId="48ED97AB" w14:textId="77777777" w:rsidR="002C022F" w:rsidRPr="007607D3" w:rsidRDefault="002C022F" w:rsidP="002C02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350"/>
          <w:tab w:val="left" w:pos="1440"/>
          <w:tab w:val="num" w:pos="2040"/>
        </w:tabs>
        <w:ind w:left="0" w:firstLine="720"/>
        <w:jc w:val="both"/>
        <w:rPr>
          <w:rFonts w:ascii="Cambria" w:hAnsi="Cambria"/>
          <w:sz w:val="20"/>
          <w:szCs w:val="20"/>
          <w:lang w:val="es-ES"/>
        </w:rPr>
      </w:pPr>
      <w:r w:rsidRPr="007607D3">
        <w:rPr>
          <w:rFonts w:ascii="Cambria" w:hAnsi="Cambria"/>
          <w:sz w:val="20"/>
          <w:szCs w:val="20"/>
          <w:lang w:val="es-ES"/>
        </w:rPr>
        <w:t>En relación con este deber, la Corte ha señalado que en casos de muertes violentas donde existen indicios sobre la participación de agentes estatales, el Estado debe adoptar todas las medidas necesarias para determinar las responsabilidades individuales correspondientes</w:t>
      </w:r>
      <w:r w:rsidRPr="007607D3">
        <w:rPr>
          <w:rStyle w:val="FootnoteReference"/>
          <w:rFonts w:ascii="Cambria" w:hAnsi="Cambria"/>
          <w:sz w:val="20"/>
          <w:szCs w:val="20"/>
          <w:lang w:val="es-ES"/>
        </w:rPr>
        <w:footnoteReference w:id="146"/>
      </w:r>
      <w:r w:rsidRPr="007607D3">
        <w:rPr>
          <w:rFonts w:ascii="Cambria" w:hAnsi="Cambria"/>
          <w:sz w:val="20"/>
          <w:szCs w:val="20"/>
          <w:lang w:val="es-ES"/>
        </w:rPr>
        <w:t>. La Corte ha considerado que en casos donde ello no sucede, resulta:</w:t>
      </w:r>
    </w:p>
    <w:p w14:paraId="5DE069DD" w14:textId="77777777" w:rsidR="002C022F" w:rsidRPr="007607D3" w:rsidRDefault="002C022F" w:rsidP="002C022F">
      <w:pPr>
        <w:pStyle w:val="ListParagraph"/>
        <w:tabs>
          <w:tab w:val="left" w:pos="1440"/>
        </w:tabs>
        <w:rPr>
          <w:sz w:val="20"/>
          <w:szCs w:val="20"/>
          <w:lang w:val="es-ES"/>
        </w:rPr>
      </w:pPr>
    </w:p>
    <w:p w14:paraId="054A2EF6" w14:textId="77777777" w:rsidR="002C022F" w:rsidRPr="007607D3" w:rsidRDefault="002C022F" w:rsidP="002C022F">
      <w:pPr>
        <w:pStyle w:val="BodyTextIndent"/>
        <w:tabs>
          <w:tab w:val="left" w:pos="810"/>
          <w:tab w:val="left" w:pos="1440"/>
          <w:tab w:val="left" w:pos="8640"/>
        </w:tabs>
        <w:ind w:left="720" w:right="720" w:firstLine="0"/>
        <w:jc w:val="both"/>
        <w:rPr>
          <w:rFonts w:ascii="Cambria" w:hAnsi="Cambria"/>
          <w:sz w:val="20"/>
          <w:szCs w:val="20"/>
          <w:lang w:val="es-ES"/>
        </w:rPr>
      </w:pPr>
      <w:r w:rsidRPr="007607D3">
        <w:rPr>
          <w:rFonts w:ascii="Cambria" w:hAnsi="Cambria"/>
          <w:sz w:val="20"/>
          <w:szCs w:val="20"/>
          <w:lang w:val="es-ES"/>
        </w:rPr>
        <w:lastRenderedPageBreak/>
        <w:t>(…) razonable otorgar valor probatorio a la serie de indicios que surgen del expediente (…) sobre la participación de agentes estatales en estos hechos, en particular de aquellos manejados por los propios órganos estatales encargados de la investigación que no han sido desvirtuados por el Estado. Concluir lo contrario implicaría permitir al Estado ampararse en la negligencia e inefectividad de la investigación penal para sustraerse de su responsabilidad por la violación del artículo 4.1 de la Convención</w:t>
      </w:r>
      <w:r w:rsidRPr="007607D3">
        <w:rPr>
          <w:rStyle w:val="FootnoteReference"/>
          <w:rFonts w:ascii="Cambria" w:hAnsi="Cambria"/>
          <w:sz w:val="20"/>
          <w:szCs w:val="20"/>
          <w:lang w:val="es-ES"/>
        </w:rPr>
        <w:footnoteReference w:id="147"/>
      </w:r>
      <w:r w:rsidRPr="007607D3">
        <w:rPr>
          <w:rFonts w:ascii="Cambria" w:hAnsi="Cambria"/>
          <w:sz w:val="20"/>
          <w:szCs w:val="20"/>
          <w:lang w:val="es-ES"/>
        </w:rPr>
        <w:t xml:space="preserve">. </w:t>
      </w:r>
      <w:r w:rsidRPr="007607D3">
        <w:rPr>
          <w:rFonts w:ascii="Cambria" w:hAnsi="Cambria"/>
          <w:sz w:val="20"/>
          <w:szCs w:val="20"/>
          <w:lang w:val="es-ES"/>
        </w:rPr>
        <w:cr/>
      </w:r>
    </w:p>
    <w:p w14:paraId="09F84785" w14:textId="77777777" w:rsidR="002C022F" w:rsidRPr="007607D3" w:rsidRDefault="002C022F" w:rsidP="002C02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350"/>
          <w:tab w:val="left" w:pos="1440"/>
          <w:tab w:val="num" w:pos="2040"/>
        </w:tabs>
        <w:ind w:left="0" w:firstLine="720"/>
        <w:jc w:val="both"/>
        <w:rPr>
          <w:rFonts w:ascii="Cambria" w:hAnsi="Cambria"/>
          <w:sz w:val="20"/>
          <w:szCs w:val="20"/>
          <w:lang w:val="es-ES"/>
        </w:rPr>
      </w:pPr>
      <w:r w:rsidRPr="007607D3">
        <w:rPr>
          <w:rFonts w:ascii="Cambria" w:hAnsi="Cambria"/>
          <w:sz w:val="20"/>
          <w:szCs w:val="20"/>
          <w:lang w:val="es-ES"/>
        </w:rPr>
        <w:t xml:space="preserve">Igualmente, la Corte ha reiterado que la falta de investigación de alegadas afectaciones cometidas a una persona cuando existen indicios de participación de agentes estatales, “impide que el Estado presente una explicación satisfactoria y convincente de los </w:t>
      </w:r>
      <w:r w:rsidRPr="007607D3">
        <w:rPr>
          <w:rFonts w:ascii="Cambria" w:hAnsi="Cambria" w:cs="Arial"/>
          <w:sz w:val="20"/>
          <w:szCs w:val="20"/>
          <w:lang w:val="es-ES"/>
        </w:rPr>
        <w:t>[hechos]</w:t>
      </w:r>
      <w:r w:rsidRPr="007607D3">
        <w:rPr>
          <w:rFonts w:ascii="Cambria" w:hAnsi="Cambria"/>
          <w:sz w:val="20"/>
          <w:szCs w:val="20"/>
          <w:lang w:val="es-ES"/>
        </w:rPr>
        <w:t xml:space="preserve"> alegados y desvirtuar las alegaciones sobre su responsabilidad, mediante elementos probatorios adecuados”</w:t>
      </w:r>
      <w:r w:rsidRPr="007607D3">
        <w:rPr>
          <w:rStyle w:val="FootnoteReference"/>
          <w:rFonts w:ascii="Cambria" w:hAnsi="Cambria"/>
          <w:sz w:val="20"/>
          <w:szCs w:val="20"/>
          <w:lang w:val="es-ES"/>
        </w:rPr>
        <w:t xml:space="preserve"> </w:t>
      </w:r>
      <w:r w:rsidRPr="007607D3">
        <w:rPr>
          <w:rStyle w:val="FootnoteReference"/>
          <w:rFonts w:ascii="Cambria" w:hAnsi="Cambria"/>
          <w:sz w:val="20"/>
          <w:szCs w:val="20"/>
          <w:lang w:val="es-ES"/>
        </w:rPr>
        <w:footnoteReference w:id="148"/>
      </w:r>
      <w:r w:rsidRPr="007607D3">
        <w:rPr>
          <w:rFonts w:ascii="Cambria" w:hAnsi="Cambria"/>
          <w:sz w:val="20"/>
          <w:szCs w:val="20"/>
          <w:lang w:val="es-ES"/>
        </w:rPr>
        <w:t>. De esta forma, la Corte ha tomado dicha falta de esclarecimiento como un factor a tomar en cuenta para acreditar la alegada afectación y la consecuente responsabilidad internacional</w:t>
      </w:r>
      <w:r w:rsidRPr="007607D3">
        <w:rPr>
          <w:rStyle w:val="FootnoteReference"/>
          <w:rFonts w:ascii="Cambria" w:hAnsi="Cambria"/>
          <w:sz w:val="20"/>
          <w:szCs w:val="20"/>
          <w:lang w:val="es-ES"/>
        </w:rPr>
        <w:footnoteReference w:id="149"/>
      </w:r>
      <w:r w:rsidRPr="007607D3">
        <w:rPr>
          <w:rFonts w:ascii="Cambria" w:hAnsi="Cambria"/>
          <w:sz w:val="20"/>
          <w:szCs w:val="20"/>
          <w:lang w:val="es-ES"/>
        </w:rPr>
        <w:t>.</w:t>
      </w:r>
    </w:p>
    <w:p w14:paraId="14DC7CFB" w14:textId="77777777" w:rsidR="002C022F" w:rsidRPr="007607D3" w:rsidRDefault="002C022F" w:rsidP="002C022F">
      <w:pPr>
        <w:tabs>
          <w:tab w:val="num" w:pos="1350"/>
          <w:tab w:val="left" w:pos="1440"/>
          <w:tab w:val="num" w:pos="2040"/>
        </w:tabs>
        <w:ind w:left="720"/>
        <w:jc w:val="both"/>
        <w:rPr>
          <w:rFonts w:ascii="Cambria" w:hAnsi="Cambria"/>
          <w:sz w:val="20"/>
          <w:szCs w:val="20"/>
          <w:lang w:val="es-ES"/>
        </w:rPr>
      </w:pPr>
    </w:p>
    <w:p w14:paraId="69B35D7B" w14:textId="77777777" w:rsidR="002C022F" w:rsidRPr="007607D3" w:rsidRDefault="002C022F" w:rsidP="00E51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350"/>
          <w:tab w:val="left" w:pos="1440"/>
          <w:tab w:val="num" w:pos="2040"/>
        </w:tabs>
        <w:ind w:left="0" w:firstLine="720"/>
        <w:jc w:val="both"/>
        <w:rPr>
          <w:rFonts w:ascii="Cambria" w:hAnsi="Cambria"/>
          <w:sz w:val="20"/>
          <w:szCs w:val="20"/>
          <w:lang w:val="es-ES"/>
        </w:rPr>
      </w:pPr>
      <w:r w:rsidRPr="007607D3">
        <w:rPr>
          <w:rFonts w:ascii="Cambria" w:hAnsi="Cambria"/>
          <w:sz w:val="20"/>
          <w:szCs w:val="20"/>
          <w:lang w:val="es-ES"/>
        </w:rPr>
        <w:t xml:space="preserve">Por otra parte, la Comisión recuerda </w:t>
      </w:r>
      <w:r w:rsidRPr="007607D3">
        <w:rPr>
          <w:rFonts w:ascii="Cambria" w:hAnsi="Cambria"/>
          <w:sz w:val="20"/>
          <w:szCs w:val="20"/>
          <w:lang w:val="es-ES_tradnl"/>
        </w:rPr>
        <w:t xml:space="preserve">que la responsabilidad de los Estados de actuar con debida diligencia frente a violaciones de derechos humanos se </w:t>
      </w:r>
      <w:r w:rsidR="00EE7D33" w:rsidRPr="007607D3">
        <w:rPr>
          <w:rFonts w:ascii="Cambria" w:hAnsi="Cambria"/>
          <w:sz w:val="20"/>
          <w:szCs w:val="20"/>
          <w:lang w:val="es-ES_tradnl"/>
        </w:rPr>
        <w:t xml:space="preserve">puede </w:t>
      </w:r>
      <w:r w:rsidRPr="007607D3">
        <w:rPr>
          <w:rFonts w:ascii="Cambria" w:hAnsi="Cambria"/>
          <w:sz w:val="20"/>
          <w:szCs w:val="20"/>
          <w:lang w:val="es-ES_tradnl"/>
        </w:rPr>
        <w:t>ext</w:t>
      </w:r>
      <w:r w:rsidR="00EE7D33" w:rsidRPr="007607D3">
        <w:rPr>
          <w:rFonts w:ascii="Cambria" w:hAnsi="Cambria"/>
          <w:sz w:val="20"/>
          <w:szCs w:val="20"/>
          <w:lang w:val="es-ES_tradnl"/>
        </w:rPr>
        <w:t>ender</w:t>
      </w:r>
      <w:r w:rsidRPr="007607D3">
        <w:rPr>
          <w:rFonts w:ascii="Cambria" w:hAnsi="Cambria"/>
          <w:sz w:val="20"/>
          <w:szCs w:val="20"/>
          <w:lang w:val="es-ES_tradnl"/>
        </w:rPr>
        <w:t xml:space="preserve"> a las acciones de actores no estatales</w:t>
      </w:r>
      <w:r w:rsidRPr="007607D3">
        <w:rPr>
          <w:rStyle w:val="FootnoteReference"/>
          <w:rFonts w:ascii="Cambria" w:hAnsi="Cambria"/>
          <w:sz w:val="20"/>
          <w:szCs w:val="20"/>
          <w:lang w:val="es-ES_tradnl"/>
        </w:rPr>
        <w:footnoteReference w:id="150"/>
      </w:r>
      <w:r w:rsidRPr="007607D3">
        <w:rPr>
          <w:rFonts w:ascii="Cambria" w:hAnsi="Cambria"/>
          <w:sz w:val="20"/>
          <w:szCs w:val="20"/>
          <w:lang w:val="es-ES_tradnl"/>
        </w:rPr>
        <w:t xml:space="preserve">. </w:t>
      </w:r>
      <w:r w:rsidR="00EE7D33" w:rsidRPr="007607D3">
        <w:rPr>
          <w:rFonts w:ascii="Cambria" w:hAnsi="Cambria"/>
          <w:sz w:val="20"/>
          <w:szCs w:val="20"/>
          <w:lang w:val="es-ES"/>
        </w:rPr>
        <w:t>L</w:t>
      </w:r>
      <w:r w:rsidRPr="007607D3">
        <w:rPr>
          <w:rFonts w:ascii="Cambria" w:hAnsi="Cambria"/>
          <w:sz w:val="20"/>
          <w:szCs w:val="20"/>
          <w:lang w:val="es-ES"/>
        </w:rPr>
        <w:t>a Corte ha establecido que un Estado no puede ser responsable por “cualquier violación de derechos humanos cometida entre particulares dentro de su jurisdicción”</w:t>
      </w:r>
      <w:r w:rsidR="00EE7D33" w:rsidRPr="007607D3">
        <w:rPr>
          <w:rFonts w:ascii="Cambria" w:hAnsi="Cambria"/>
          <w:sz w:val="20"/>
          <w:szCs w:val="20"/>
          <w:lang w:val="es-ES"/>
        </w:rPr>
        <w:t>.</w:t>
      </w:r>
      <w:r w:rsidRPr="007607D3">
        <w:rPr>
          <w:rFonts w:ascii="Cambria" w:hAnsi="Cambria"/>
          <w:sz w:val="20"/>
          <w:szCs w:val="20"/>
          <w:lang w:val="es-ES"/>
        </w:rPr>
        <w:t xml:space="preserve"> </w:t>
      </w:r>
      <w:r w:rsidR="00EE7D33" w:rsidRPr="007607D3">
        <w:rPr>
          <w:rFonts w:ascii="Cambria" w:hAnsi="Cambria"/>
          <w:sz w:val="20"/>
          <w:szCs w:val="20"/>
          <w:lang w:val="es-ES"/>
        </w:rPr>
        <w:t xml:space="preserve">Tanto la Comisión como la Corte han analizado las circunstancias en las cuales el Estado está obligado a tomar medidas de prevención y protección, indicando que estas se encuentran </w:t>
      </w:r>
      <w:r w:rsidR="00E518D5" w:rsidRPr="007607D3">
        <w:rPr>
          <w:rFonts w:ascii="Cambria" w:hAnsi="Cambria"/>
          <w:sz w:val="20"/>
          <w:szCs w:val="20"/>
          <w:lang w:val="es-ES"/>
        </w:rPr>
        <w:t>condicionadas</w:t>
      </w:r>
      <w:r w:rsidRPr="007607D3">
        <w:rPr>
          <w:rFonts w:ascii="Cambria" w:hAnsi="Cambria"/>
          <w:sz w:val="20"/>
          <w:szCs w:val="20"/>
          <w:lang w:val="es-ES"/>
        </w:rPr>
        <w:t xml:space="preserve"> al conocimiento de una situación de riesgo real e inmediato para un individuo o grupo de individuos determinado y a las posibilidades razonables de prevenir o evitar ese riesgo</w:t>
      </w:r>
      <w:r w:rsidRPr="007607D3">
        <w:rPr>
          <w:rStyle w:val="FootnoteReference"/>
          <w:rFonts w:ascii="Cambria" w:hAnsi="Cambria"/>
          <w:sz w:val="20"/>
          <w:szCs w:val="20"/>
          <w:lang w:val="es-ES"/>
        </w:rPr>
        <w:footnoteReference w:id="151"/>
      </w:r>
      <w:r w:rsidRPr="007607D3">
        <w:rPr>
          <w:rFonts w:ascii="Cambria" w:hAnsi="Cambria"/>
          <w:sz w:val="20"/>
          <w:szCs w:val="20"/>
          <w:lang w:val="es-ES"/>
        </w:rPr>
        <w:t>.</w:t>
      </w:r>
    </w:p>
    <w:p w14:paraId="21162FA5" w14:textId="77777777" w:rsidR="002C022F" w:rsidRPr="007607D3" w:rsidRDefault="002C022F" w:rsidP="002C022F">
      <w:pPr>
        <w:pStyle w:val="Heading3"/>
        <w:numPr>
          <w:ilvl w:val="0"/>
          <w:numId w:val="63"/>
        </w:numPr>
        <w:ind w:left="1350" w:hanging="630"/>
        <w:rPr>
          <w:rFonts w:ascii="Cambria" w:hAnsi="Cambria"/>
          <w:sz w:val="20"/>
          <w:szCs w:val="20"/>
          <w:lang w:val="es-ES_tradnl"/>
        </w:rPr>
      </w:pPr>
      <w:bookmarkStart w:id="28" w:name="_Toc86071604"/>
      <w:r w:rsidRPr="007607D3">
        <w:rPr>
          <w:rFonts w:ascii="Cambria" w:hAnsi="Cambria"/>
          <w:sz w:val="20"/>
          <w:szCs w:val="20"/>
          <w:lang w:val="es-ES_tradnl"/>
        </w:rPr>
        <w:t>Análisis del presente caso</w:t>
      </w:r>
      <w:bookmarkEnd w:id="28"/>
    </w:p>
    <w:p w14:paraId="6B2E9F5C" w14:textId="77777777" w:rsidR="002C022F" w:rsidRPr="007607D3" w:rsidRDefault="002C022F" w:rsidP="002C022F">
      <w:pPr>
        <w:rPr>
          <w:lang w:val="es-ES_tradnl"/>
        </w:rPr>
      </w:pPr>
    </w:p>
    <w:p w14:paraId="76A48521" w14:textId="77777777" w:rsidR="002C022F" w:rsidRPr="007607D3" w:rsidRDefault="002C022F" w:rsidP="002C02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350"/>
          <w:tab w:val="left" w:pos="1440"/>
          <w:tab w:val="num" w:pos="2040"/>
        </w:tabs>
        <w:ind w:left="0" w:firstLine="720"/>
        <w:jc w:val="both"/>
        <w:rPr>
          <w:rFonts w:ascii="Cambria" w:hAnsi="Cambria"/>
          <w:color w:val="FF0000"/>
          <w:sz w:val="20"/>
          <w:szCs w:val="20"/>
          <w:lang w:val="es-ES"/>
        </w:rPr>
      </w:pPr>
      <w:r w:rsidRPr="007607D3">
        <w:rPr>
          <w:rFonts w:ascii="Cambria" w:hAnsi="Cambria"/>
          <w:sz w:val="20"/>
          <w:szCs w:val="20"/>
          <w:lang w:val="es-ES"/>
        </w:rPr>
        <w:t>La Comisión observa que en el presente caso existen una serie de elementos probatorios que apuntan a la participación</w:t>
      </w:r>
      <w:r w:rsidR="00E518D5" w:rsidRPr="007607D3">
        <w:rPr>
          <w:rFonts w:ascii="Cambria" w:hAnsi="Cambria"/>
          <w:sz w:val="20"/>
          <w:szCs w:val="20"/>
          <w:lang w:val="es-ES"/>
        </w:rPr>
        <w:t xml:space="preserve"> de agentes</w:t>
      </w:r>
      <w:r w:rsidRPr="007607D3">
        <w:rPr>
          <w:rFonts w:ascii="Cambria" w:hAnsi="Cambria"/>
          <w:sz w:val="20"/>
          <w:szCs w:val="20"/>
          <w:lang w:val="es-ES"/>
        </w:rPr>
        <w:t xml:space="preserve"> estatal</w:t>
      </w:r>
      <w:r w:rsidR="00E518D5" w:rsidRPr="007607D3">
        <w:rPr>
          <w:rFonts w:ascii="Cambria" w:hAnsi="Cambria"/>
          <w:sz w:val="20"/>
          <w:szCs w:val="20"/>
          <w:lang w:val="es-ES"/>
        </w:rPr>
        <w:t>es</w:t>
      </w:r>
      <w:r w:rsidRPr="007607D3">
        <w:rPr>
          <w:rFonts w:ascii="Cambria" w:hAnsi="Cambria"/>
          <w:sz w:val="20"/>
          <w:szCs w:val="20"/>
          <w:lang w:val="es-ES"/>
        </w:rPr>
        <w:t xml:space="preserve"> en el asesinato de la presunta víctima. </w:t>
      </w:r>
    </w:p>
    <w:p w14:paraId="209434CE" w14:textId="77777777" w:rsidR="002C022F" w:rsidRPr="007607D3" w:rsidRDefault="002C022F" w:rsidP="002C022F">
      <w:pPr>
        <w:pStyle w:val="ListParagraph"/>
        <w:rPr>
          <w:color w:val="FF0000"/>
          <w:sz w:val="20"/>
          <w:szCs w:val="20"/>
          <w:lang w:val="es-ES"/>
        </w:rPr>
      </w:pPr>
    </w:p>
    <w:p w14:paraId="70BA9960" w14:textId="77777777" w:rsidR="002C022F" w:rsidRPr="007607D3" w:rsidRDefault="002C022F" w:rsidP="002C02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350"/>
          <w:tab w:val="left" w:pos="1440"/>
          <w:tab w:val="num" w:pos="2040"/>
        </w:tabs>
        <w:ind w:left="0" w:firstLine="720"/>
        <w:jc w:val="both"/>
        <w:rPr>
          <w:rFonts w:ascii="Cambria" w:hAnsi="Cambria"/>
          <w:color w:val="FF0000"/>
          <w:sz w:val="20"/>
          <w:szCs w:val="20"/>
          <w:lang w:val="es-ES"/>
        </w:rPr>
      </w:pPr>
      <w:r w:rsidRPr="007607D3">
        <w:rPr>
          <w:rFonts w:ascii="Cambria" w:hAnsi="Cambria"/>
          <w:sz w:val="20"/>
          <w:szCs w:val="20"/>
          <w:lang w:val="es-ES"/>
        </w:rPr>
        <w:t>En primer lugar la Comisión se remite a lo ya indicado en las secciones anteriores, sobre la</w:t>
      </w:r>
      <w:r w:rsidR="00E518D5" w:rsidRPr="007607D3">
        <w:rPr>
          <w:rFonts w:ascii="Cambria" w:hAnsi="Cambria"/>
          <w:sz w:val="20"/>
          <w:szCs w:val="20"/>
          <w:lang w:val="es-ES"/>
        </w:rPr>
        <w:t xml:space="preserve"> falta de debida diligencia y los actos y las omisiones que tenían como consecuencia</w:t>
      </w:r>
      <w:r w:rsidRPr="007607D3">
        <w:rPr>
          <w:rFonts w:ascii="Cambria" w:hAnsi="Cambria"/>
          <w:sz w:val="20"/>
          <w:szCs w:val="20"/>
          <w:lang w:val="es-ES"/>
        </w:rPr>
        <w:t xml:space="preserve"> procurar la impunidad del caso en el marco de las investigaciones a nivel interno. </w:t>
      </w:r>
    </w:p>
    <w:p w14:paraId="419AF036" w14:textId="77777777" w:rsidR="002C022F" w:rsidRPr="007607D3" w:rsidRDefault="002C022F" w:rsidP="002C022F">
      <w:pPr>
        <w:rPr>
          <w:sz w:val="20"/>
          <w:szCs w:val="20"/>
          <w:lang w:val="es-ES"/>
        </w:rPr>
      </w:pPr>
    </w:p>
    <w:p w14:paraId="6FFE16AA" w14:textId="77777777" w:rsidR="002C022F" w:rsidRPr="007607D3" w:rsidRDefault="002C022F" w:rsidP="002C02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350"/>
          <w:tab w:val="left" w:pos="1440"/>
          <w:tab w:val="num" w:pos="2040"/>
        </w:tabs>
        <w:ind w:left="0" w:firstLine="720"/>
        <w:jc w:val="both"/>
        <w:rPr>
          <w:rFonts w:ascii="Cambria" w:hAnsi="Cambria"/>
          <w:sz w:val="20"/>
          <w:szCs w:val="20"/>
          <w:lang w:val="es-ES"/>
        </w:rPr>
      </w:pPr>
      <w:r w:rsidRPr="007607D3">
        <w:rPr>
          <w:rFonts w:ascii="Cambria" w:hAnsi="Cambria"/>
          <w:sz w:val="20"/>
          <w:szCs w:val="20"/>
          <w:lang w:val="es-ES"/>
        </w:rPr>
        <w:t>En segundo lugar, la Comisión resalta el contexto general de violencia contra sindicalistas y defensoras y defensores de derechos laborales en el momento en el que ocurrieron los hechos, y que vario</w:t>
      </w:r>
      <w:r w:rsidR="00E518D5" w:rsidRPr="007607D3">
        <w:rPr>
          <w:rFonts w:ascii="Cambria" w:hAnsi="Cambria"/>
          <w:sz w:val="20"/>
          <w:szCs w:val="20"/>
          <w:lang w:val="es-ES"/>
        </w:rPr>
        <w:t>s organismos internacionales habían</w:t>
      </w:r>
      <w:r w:rsidRPr="007607D3">
        <w:rPr>
          <w:rFonts w:ascii="Cambria" w:hAnsi="Cambria"/>
          <w:sz w:val="20"/>
          <w:szCs w:val="20"/>
          <w:lang w:val="es-ES"/>
        </w:rPr>
        <w:t xml:space="preserve"> apuntado a la aquiescencia</w:t>
      </w:r>
      <w:r w:rsidR="00E518D5" w:rsidRPr="007607D3">
        <w:rPr>
          <w:rFonts w:ascii="Cambria" w:hAnsi="Cambria"/>
          <w:sz w:val="20"/>
          <w:szCs w:val="20"/>
          <w:lang w:val="es-ES"/>
        </w:rPr>
        <w:t xml:space="preserve"> y en ciertos casos participación</w:t>
      </w:r>
      <w:r w:rsidRPr="007607D3">
        <w:rPr>
          <w:rFonts w:ascii="Cambria" w:hAnsi="Cambria"/>
          <w:sz w:val="20"/>
          <w:szCs w:val="20"/>
          <w:lang w:val="es-ES"/>
        </w:rPr>
        <w:t xml:space="preserve"> de autoridades locales en los asesinatos de dichas personas.  </w:t>
      </w:r>
    </w:p>
    <w:p w14:paraId="01B869CE" w14:textId="77777777" w:rsidR="002C022F" w:rsidRPr="007607D3" w:rsidRDefault="002C022F" w:rsidP="002C022F">
      <w:pPr>
        <w:pStyle w:val="ListParagraph"/>
        <w:rPr>
          <w:color w:val="auto"/>
          <w:sz w:val="20"/>
          <w:szCs w:val="20"/>
          <w:lang w:val="es-ES"/>
        </w:rPr>
      </w:pPr>
    </w:p>
    <w:p w14:paraId="1ABFA2A2" w14:textId="77777777" w:rsidR="002C022F" w:rsidRPr="007607D3" w:rsidRDefault="002C022F" w:rsidP="002C02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350"/>
          <w:tab w:val="left" w:pos="1440"/>
          <w:tab w:val="num" w:pos="2040"/>
        </w:tabs>
        <w:ind w:left="0" w:firstLine="720"/>
        <w:jc w:val="both"/>
        <w:rPr>
          <w:rFonts w:ascii="Cambria" w:hAnsi="Cambria"/>
          <w:sz w:val="20"/>
          <w:szCs w:val="20"/>
          <w:lang w:val="es-ES"/>
        </w:rPr>
      </w:pPr>
      <w:r w:rsidRPr="007607D3">
        <w:rPr>
          <w:rFonts w:ascii="Cambria" w:hAnsi="Cambria"/>
          <w:sz w:val="20"/>
          <w:szCs w:val="20"/>
          <w:lang w:val="es-ES"/>
        </w:rPr>
        <w:t xml:space="preserve">En tercer lugar, tal como se indicó en la sección anterior, el informe del 2013 de la Secretaría de Derechos Humanos de la Presidencia de la República titulado </w:t>
      </w:r>
      <w:r w:rsidRPr="007607D3">
        <w:rPr>
          <w:rFonts w:ascii="Cambria" w:hAnsi="Cambria"/>
          <w:sz w:val="20"/>
          <w:lang w:val="es-VE"/>
        </w:rPr>
        <w:t xml:space="preserve">“Camponeses mortos e desaparecidos: excluídos da justiça de transição” documentó 75 asesinatos de sindicalistas entre 1961 y 1988, incluyendo a la presunta víctima, e indicó que la amplitud territorial en la que los delitos fueron cometidos solamente se explica por la participación u omisión de las instituciones del Estado. Asimismo, dicho informe relató que Margarida Maria Alves denunciaba a “a los señores del ingenio del llamado “Grupo da Várzea”. Dicho grupo, como se indicó con anterioridad, estaba compuesto </w:t>
      </w:r>
      <w:r w:rsidRPr="007607D3">
        <w:rPr>
          <w:rFonts w:ascii="Cambria" w:eastAsia="Calibri" w:hAnsi="Cambria"/>
          <w:sz w:val="20"/>
          <w:szCs w:val="20"/>
          <w:lang w:val="es-CO"/>
        </w:rPr>
        <w:t>de terratenientes, diputados estaduales y federales, y agentes estatales de seguridad pública.</w:t>
      </w:r>
      <w:r w:rsidRPr="007607D3">
        <w:rPr>
          <w:rFonts w:ascii="Cambria" w:hAnsi="Cambria"/>
          <w:sz w:val="20"/>
          <w:szCs w:val="20"/>
          <w:lang w:val="es-ES"/>
        </w:rPr>
        <w:t xml:space="preserve"> La Comisión resalta que según algunos testimonios, tanto la presunta víctima como pobladores de Alagoa Grande, atribuían las amenazas que </w:t>
      </w:r>
      <w:r w:rsidR="00E518D5" w:rsidRPr="007607D3">
        <w:rPr>
          <w:rFonts w:ascii="Cambria" w:hAnsi="Cambria"/>
          <w:sz w:val="20"/>
          <w:szCs w:val="20"/>
          <w:lang w:val="es-ES"/>
        </w:rPr>
        <w:t>ella</w:t>
      </w:r>
      <w:r w:rsidRPr="007607D3">
        <w:rPr>
          <w:rFonts w:ascii="Cambria" w:hAnsi="Cambria"/>
          <w:sz w:val="20"/>
          <w:szCs w:val="20"/>
          <w:lang w:val="es-ES"/>
        </w:rPr>
        <w:t xml:space="preserve"> sufrió antes de su muerte al </w:t>
      </w:r>
      <w:r w:rsidRPr="007607D3">
        <w:rPr>
          <w:rFonts w:ascii="Cambria" w:hAnsi="Cambria"/>
          <w:sz w:val="20"/>
          <w:lang w:val="es-VE"/>
        </w:rPr>
        <w:t>“Grupo da Várzea”.</w:t>
      </w:r>
    </w:p>
    <w:p w14:paraId="44CEED6E" w14:textId="77777777" w:rsidR="002C022F" w:rsidRPr="007607D3" w:rsidRDefault="002C022F" w:rsidP="002C022F">
      <w:pPr>
        <w:pStyle w:val="ListParagraph"/>
        <w:rPr>
          <w:sz w:val="20"/>
          <w:szCs w:val="20"/>
          <w:lang w:val="es-ES"/>
        </w:rPr>
      </w:pPr>
    </w:p>
    <w:p w14:paraId="517777DE" w14:textId="77777777" w:rsidR="002C022F" w:rsidRPr="007607D3" w:rsidRDefault="002C022F" w:rsidP="002C02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350"/>
          <w:tab w:val="left" w:pos="1440"/>
          <w:tab w:val="num" w:pos="2040"/>
        </w:tabs>
        <w:ind w:left="0" w:firstLine="720"/>
        <w:jc w:val="both"/>
        <w:rPr>
          <w:rFonts w:ascii="Cambria" w:hAnsi="Cambria"/>
          <w:sz w:val="20"/>
          <w:szCs w:val="20"/>
          <w:lang w:val="es-ES"/>
        </w:rPr>
      </w:pPr>
      <w:r w:rsidRPr="007607D3">
        <w:rPr>
          <w:rFonts w:ascii="Cambria" w:hAnsi="Cambria"/>
          <w:sz w:val="20"/>
          <w:szCs w:val="20"/>
          <w:lang w:val="es-ES"/>
        </w:rPr>
        <w:t xml:space="preserve">En cuarto lugar, en el marco del proceso interno surgieron varios testimonios que apuntan a que el asesinato de la presunta víctima fue ordenado por el </w:t>
      </w:r>
      <w:r w:rsidRPr="007607D3">
        <w:rPr>
          <w:rFonts w:ascii="Cambria" w:hAnsi="Cambria"/>
          <w:sz w:val="20"/>
          <w:lang w:val="es-VE"/>
        </w:rPr>
        <w:t xml:space="preserve">“Grupo da Várzea”, </w:t>
      </w:r>
      <w:r w:rsidR="00E518D5" w:rsidRPr="007607D3">
        <w:rPr>
          <w:rFonts w:ascii="Cambria" w:hAnsi="Cambria"/>
          <w:sz w:val="20"/>
          <w:lang w:val="es-VE"/>
        </w:rPr>
        <w:t>y/</w:t>
      </w:r>
      <w:r w:rsidRPr="007607D3">
        <w:rPr>
          <w:rFonts w:ascii="Cambria" w:hAnsi="Cambria"/>
          <w:sz w:val="20"/>
          <w:lang w:val="es-VE"/>
        </w:rPr>
        <w:t>o a que en el asesinato de la presunta víctima intervinieron agentes estatales.</w:t>
      </w:r>
    </w:p>
    <w:p w14:paraId="6F3E507E" w14:textId="77777777" w:rsidR="002C022F" w:rsidRPr="007607D3" w:rsidRDefault="002C022F" w:rsidP="002C022F">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jc w:val="both"/>
        <w:rPr>
          <w:rFonts w:ascii="Cambria" w:hAnsi="Cambria"/>
          <w:sz w:val="20"/>
          <w:szCs w:val="20"/>
          <w:lang w:val="es-ES"/>
        </w:rPr>
      </w:pPr>
    </w:p>
    <w:p w14:paraId="44A2F19A" w14:textId="77777777" w:rsidR="002C022F" w:rsidRPr="007607D3" w:rsidRDefault="002C022F" w:rsidP="002C02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350"/>
          <w:tab w:val="left" w:pos="1440"/>
          <w:tab w:val="num" w:pos="2040"/>
        </w:tabs>
        <w:ind w:left="0" w:firstLine="720"/>
        <w:jc w:val="both"/>
        <w:rPr>
          <w:rFonts w:ascii="Cambria" w:hAnsi="Cambria"/>
          <w:sz w:val="20"/>
          <w:szCs w:val="20"/>
          <w:lang w:val="es-ES"/>
        </w:rPr>
      </w:pPr>
      <w:r w:rsidRPr="007607D3">
        <w:rPr>
          <w:rFonts w:ascii="Cambria" w:hAnsi="Cambria"/>
          <w:sz w:val="20"/>
          <w:szCs w:val="20"/>
          <w:lang w:val="es-ES"/>
        </w:rPr>
        <w:t>Asimismo, diversos testimonios vincularon a agentes estatales. En particular:</w:t>
      </w:r>
    </w:p>
    <w:p w14:paraId="3A1B764A" w14:textId="77777777" w:rsidR="002C022F" w:rsidRPr="007607D3" w:rsidRDefault="002C022F" w:rsidP="002C022F">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720"/>
        <w:jc w:val="both"/>
        <w:rPr>
          <w:rFonts w:ascii="Cambria" w:hAnsi="Cambria"/>
          <w:sz w:val="20"/>
          <w:szCs w:val="20"/>
          <w:lang w:val="es-ES"/>
        </w:rPr>
      </w:pPr>
    </w:p>
    <w:p w14:paraId="4A95CA73" w14:textId="77777777" w:rsidR="002C022F" w:rsidRPr="007607D3" w:rsidRDefault="002C022F" w:rsidP="002C022F">
      <w:pPr>
        <w:pStyle w:val="ListParagraph"/>
        <w:jc w:val="both"/>
        <w:rPr>
          <w:sz w:val="20"/>
          <w:lang w:val="es-VE"/>
        </w:rPr>
      </w:pPr>
      <w:r w:rsidRPr="007607D3">
        <w:rPr>
          <w:sz w:val="20"/>
          <w:szCs w:val="20"/>
          <w:lang w:val="es-ES"/>
        </w:rPr>
        <w:t>-</w:t>
      </w:r>
      <w:r w:rsidRPr="007607D3">
        <w:rPr>
          <w:sz w:val="20"/>
          <w:lang w:val="es-VE"/>
        </w:rPr>
        <w:t>El Arzobispo Marcelo Pinto declaró que quienes ordenaron el asesinato de la presunta víctima eran Aguinaldo Veloso (un  diputado federal) y otros integrantes del “Grupo da Várzea”.</w:t>
      </w:r>
    </w:p>
    <w:p w14:paraId="6F84883F" w14:textId="77777777" w:rsidR="002C022F" w:rsidRPr="007607D3" w:rsidRDefault="002C022F" w:rsidP="002C022F">
      <w:pPr>
        <w:pStyle w:val="ListParagraph"/>
        <w:jc w:val="both"/>
        <w:rPr>
          <w:sz w:val="20"/>
          <w:lang w:val="es-VE"/>
        </w:rPr>
      </w:pPr>
      <w:r w:rsidRPr="007607D3">
        <w:rPr>
          <w:sz w:val="20"/>
          <w:lang w:val="es-VE"/>
        </w:rPr>
        <w:t xml:space="preserve">-Maria do Socorro Neves, esposa de Severino de Genésio supuestamente involucrado en el crimen, y que después fue asesinado, declaró que el asesinato de Margarida Maria Alves fue planeado por el Grupo de Várzea y que en el participaron Aguinaldo Veloso, un soldado que trabajaba en la Delegación del Pueblo de Remígio, Paraíba llamado Betâneo Carneiro dos Santos y otras personas. Indicó que su esposo fue asesinado por el soldado Betâneo Carneriro dos Santos por haber contado lo que sabía al Sargento Aldenis Cunha. El soldado Aldenis Cunha también fue asesinado con posterioridad. </w:t>
      </w:r>
    </w:p>
    <w:p w14:paraId="4A6BDD5C" w14:textId="77777777" w:rsidR="002C022F" w:rsidRPr="007607D3" w:rsidRDefault="002C022F" w:rsidP="002C022F">
      <w:pPr>
        <w:pStyle w:val="ListParagraph"/>
        <w:jc w:val="both"/>
        <w:rPr>
          <w:sz w:val="20"/>
          <w:lang w:val="es-VE"/>
        </w:rPr>
      </w:pPr>
      <w:r w:rsidRPr="007607D3">
        <w:rPr>
          <w:sz w:val="20"/>
          <w:lang w:val="es-VE"/>
        </w:rPr>
        <w:t xml:space="preserve">-Genilson Jorge dos Santos, funcionario municipal de la Delegación en la que trabajaba el soldado Betâneo Carneiro dos Santos a la época de los hechos declaró que el soldado Betâneo Carneiro dos Santos y el Sargento Aldenis Cunha Lima estaban involucrados en el crimen. </w:t>
      </w:r>
    </w:p>
    <w:p w14:paraId="2717F1A8" w14:textId="77777777" w:rsidR="002C022F" w:rsidRPr="007607D3" w:rsidRDefault="002C022F" w:rsidP="002C022F">
      <w:pPr>
        <w:jc w:val="both"/>
        <w:rPr>
          <w:sz w:val="20"/>
          <w:lang w:val="es-VE"/>
        </w:rPr>
      </w:pPr>
    </w:p>
    <w:p w14:paraId="5C9E8EB3" w14:textId="77777777" w:rsidR="002C022F" w:rsidRPr="007607D3" w:rsidRDefault="002C022F" w:rsidP="002C02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350"/>
          <w:tab w:val="left" w:pos="1440"/>
          <w:tab w:val="num" w:pos="2040"/>
        </w:tabs>
        <w:ind w:left="0" w:firstLine="720"/>
        <w:jc w:val="both"/>
        <w:rPr>
          <w:rFonts w:ascii="Cambria" w:hAnsi="Cambria"/>
          <w:sz w:val="20"/>
          <w:szCs w:val="20"/>
          <w:lang w:val="es-ES"/>
        </w:rPr>
      </w:pPr>
      <w:r w:rsidRPr="007607D3">
        <w:rPr>
          <w:rFonts w:ascii="Cambria" w:hAnsi="Cambria"/>
          <w:sz w:val="20"/>
          <w:szCs w:val="20"/>
          <w:lang w:val="es-ES"/>
        </w:rPr>
        <w:t xml:space="preserve">La Comisión estima que todos estos elementos tomados en su conjunto permiten concluir que existió participación estatal en la muerte de Margarida Maria Alves.  La Comisión recuerda adicionalmente que el Estado no cumplió con realizar una investigación con debida diligencia y como se analizó con anterioridad, las autoridades judiciales no analizaron y determinaron con seriedad la participación directa, aquiescencia o colaboración de agentes estatales en la comisión del delito. </w:t>
      </w:r>
    </w:p>
    <w:p w14:paraId="49D54C9B" w14:textId="77777777" w:rsidR="002C022F" w:rsidRPr="007607D3" w:rsidRDefault="002C022F" w:rsidP="002C022F">
      <w:pPr>
        <w:tabs>
          <w:tab w:val="num" w:pos="1350"/>
          <w:tab w:val="left" w:pos="1440"/>
          <w:tab w:val="num" w:pos="2040"/>
        </w:tabs>
        <w:ind w:left="720"/>
        <w:jc w:val="both"/>
        <w:rPr>
          <w:rFonts w:ascii="Cambria" w:hAnsi="Cambria"/>
          <w:sz w:val="20"/>
          <w:szCs w:val="20"/>
          <w:lang w:val="es-ES"/>
        </w:rPr>
      </w:pPr>
    </w:p>
    <w:p w14:paraId="16E8BF83" w14:textId="77777777" w:rsidR="002C022F" w:rsidRPr="007607D3" w:rsidRDefault="002C022F" w:rsidP="002C02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350"/>
          <w:tab w:val="left" w:pos="1440"/>
          <w:tab w:val="num" w:pos="2040"/>
        </w:tabs>
        <w:ind w:left="0" w:firstLine="720"/>
        <w:jc w:val="both"/>
        <w:rPr>
          <w:rFonts w:ascii="Cambria" w:eastAsia="Calibri" w:hAnsi="Cambria"/>
          <w:sz w:val="20"/>
          <w:szCs w:val="20"/>
          <w:lang w:val="es-ES"/>
        </w:rPr>
      </w:pPr>
      <w:r w:rsidRPr="007607D3">
        <w:rPr>
          <w:rFonts w:ascii="Cambria" w:hAnsi="Cambria"/>
          <w:sz w:val="20"/>
          <w:szCs w:val="20"/>
          <w:lang w:val="es-ES"/>
        </w:rPr>
        <w:t>Por otra parte, la Comisión hace notar que existen múltiples elementos que demuestran que el Estado tenía conocimiento de la situación de riesgo de la presunta víctima previo a su muerte.  La Comisión remite al</w:t>
      </w:r>
      <w:r w:rsidRPr="007607D3">
        <w:rPr>
          <w:rFonts w:ascii="Cambria" w:eastAsia="Times New Roman" w:hAnsi="Cambria"/>
          <w:sz w:val="20"/>
          <w:szCs w:val="20"/>
          <w:lang w:val="es-ES"/>
        </w:rPr>
        <w:t xml:space="preserve"> grave contexto de violaciones de derechos humanos contra defensoras y defensores de derechos laborales en el nordeste de Brasil, que incluía asesinatos, que se describió en la sección de hechos probados, y hace notar que la presunta víctima sufrió una serie de agresiones y amenazas previas a su muerte, las cuales denunció ante autoridades estatales. En particular, consta que denunció públicamente que terratenientes la habían amenazado. Asimismo, conforme a los peticionarios, un año antes de su muerte, la presunta víctima denunció ante la Delegación de Policía de Alagoa Grande que ella y su hijo habían sufrido agresiones por part</w:t>
      </w:r>
      <w:r w:rsidR="00E518D5" w:rsidRPr="007607D3">
        <w:rPr>
          <w:rFonts w:ascii="Cambria" w:eastAsia="Times New Roman" w:hAnsi="Cambria"/>
          <w:sz w:val="20"/>
          <w:szCs w:val="20"/>
          <w:lang w:val="es-ES"/>
        </w:rPr>
        <w:t xml:space="preserve">e del dueño del </w:t>
      </w:r>
      <w:r w:rsidRPr="007607D3">
        <w:rPr>
          <w:rFonts w:ascii="Cambria" w:eastAsia="Times New Roman" w:hAnsi="Cambria"/>
          <w:sz w:val="20"/>
          <w:szCs w:val="20"/>
          <w:lang w:val="es-ES"/>
        </w:rPr>
        <w:t>Ingenio Riberio. Ante la Comisión, el Estado no controvirtió que tuvo dicho conocimiento, específicamente la información relativa a las denuncias de las amenazas.</w:t>
      </w:r>
    </w:p>
    <w:p w14:paraId="7A07B8F6" w14:textId="77777777" w:rsidR="002C022F" w:rsidRPr="007607D3" w:rsidRDefault="002C022F" w:rsidP="002C022F">
      <w:pPr>
        <w:pStyle w:val="ListParagraph"/>
        <w:rPr>
          <w:sz w:val="20"/>
          <w:szCs w:val="20"/>
          <w:lang w:val="es-ES"/>
        </w:rPr>
      </w:pPr>
    </w:p>
    <w:p w14:paraId="154FB44C" w14:textId="77777777" w:rsidR="002C022F" w:rsidRPr="007607D3" w:rsidRDefault="00A2683F" w:rsidP="002C02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350"/>
          <w:tab w:val="left" w:pos="1440"/>
          <w:tab w:val="num" w:pos="2040"/>
        </w:tabs>
        <w:ind w:left="0" w:firstLine="720"/>
        <w:jc w:val="both"/>
        <w:rPr>
          <w:rFonts w:ascii="Cambria" w:hAnsi="Cambria"/>
          <w:sz w:val="20"/>
          <w:szCs w:val="20"/>
          <w:lang w:val="es-ES"/>
        </w:rPr>
      </w:pPr>
      <w:r w:rsidRPr="007607D3">
        <w:rPr>
          <w:rFonts w:ascii="Cambria" w:hAnsi="Cambria"/>
          <w:sz w:val="20"/>
          <w:szCs w:val="20"/>
          <w:lang w:val="es-ES"/>
        </w:rPr>
        <w:t xml:space="preserve">La Comisión considera </w:t>
      </w:r>
      <w:r w:rsidR="002C022F" w:rsidRPr="007607D3">
        <w:rPr>
          <w:rFonts w:ascii="Cambria" w:eastAsia="Times New Roman" w:hAnsi="Cambria"/>
          <w:sz w:val="20"/>
          <w:szCs w:val="20"/>
          <w:lang w:val="es-ES"/>
        </w:rPr>
        <w:t>que los elementos anteriores tomados en su conjunto permiten concluir que el Estado brasileño tuvo o debió tener conocimiento de una situación de riesgo real e inminente para Margarida Maria Alves y que no adoptó medida alguna para protegerla frente al riesgo en que se encontraba y evitar su materialización</w:t>
      </w:r>
      <w:r w:rsidR="005047AB" w:rsidRPr="007607D3">
        <w:rPr>
          <w:rStyle w:val="FootnoteReference"/>
          <w:rFonts w:ascii="Cambria" w:eastAsia="Times New Roman" w:hAnsi="Cambria"/>
          <w:sz w:val="20"/>
          <w:szCs w:val="20"/>
          <w:lang w:val="es-ES"/>
        </w:rPr>
        <w:footnoteReference w:id="152"/>
      </w:r>
      <w:r w:rsidR="002C022F" w:rsidRPr="007607D3">
        <w:rPr>
          <w:rFonts w:ascii="Cambria" w:eastAsia="Times New Roman" w:hAnsi="Cambria"/>
          <w:sz w:val="20"/>
          <w:szCs w:val="20"/>
          <w:lang w:val="es-ES"/>
        </w:rPr>
        <w:t>.</w:t>
      </w:r>
      <w:r w:rsidR="005047AB" w:rsidRPr="007607D3">
        <w:rPr>
          <w:rFonts w:ascii="Cambria" w:eastAsia="Times New Roman" w:hAnsi="Cambria"/>
          <w:sz w:val="20"/>
          <w:szCs w:val="20"/>
          <w:lang w:val="es-ES"/>
        </w:rPr>
        <w:t xml:space="preserve"> </w:t>
      </w:r>
      <w:r w:rsidR="002C022F" w:rsidRPr="007607D3">
        <w:rPr>
          <w:rFonts w:ascii="Cambria" w:eastAsia="Times New Roman" w:hAnsi="Cambria"/>
          <w:sz w:val="20"/>
          <w:szCs w:val="20"/>
          <w:lang w:val="es-ES"/>
        </w:rPr>
        <w:t>En particular, no consta que el Estado haya tomado medida alguna investigar la fuente de las amenazas para proteger a la víctima y prevenir la materialización de las mismas</w:t>
      </w:r>
      <w:r w:rsidR="009008AC" w:rsidRPr="007607D3">
        <w:rPr>
          <w:rFonts w:ascii="Cambria" w:eastAsia="Times New Roman" w:hAnsi="Cambria"/>
          <w:sz w:val="20"/>
          <w:szCs w:val="20"/>
          <w:lang w:val="es-ES"/>
        </w:rPr>
        <w:t>.</w:t>
      </w:r>
    </w:p>
    <w:p w14:paraId="2DC49610" w14:textId="77777777" w:rsidR="002C022F" w:rsidRPr="007607D3" w:rsidRDefault="002C022F" w:rsidP="002C022F">
      <w:pPr>
        <w:pStyle w:val="ListParagraph"/>
        <w:rPr>
          <w:sz w:val="20"/>
          <w:szCs w:val="20"/>
          <w:lang w:val="es-ES"/>
        </w:rPr>
      </w:pPr>
    </w:p>
    <w:p w14:paraId="69BD9E1B" w14:textId="77777777" w:rsidR="002C022F" w:rsidRPr="007607D3" w:rsidRDefault="002C022F" w:rsidP="002C02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350"/>
          <w:tab w:val="left" w:pos="1440"/>
          <w:tab w:val="num" w:pos="2040"/>
        </w:tabs>
        <w:ind w:left="0" w:firstLine="720"/>
        <w:jc w:val="both"/>
        <w:rPr>
          <w:rFonts w:ascii="Cambria" w:hAnsi="Cambria"/>
          <w:sz w:val="20"/>
          <w:szCs w:val="20"/>
          <w:lang w:val="es-ES"/>
        </w:rPr>
      </w:pPr>
      <w:r w:rsidRPr="007607D3">
        <w:rPr>
          <w:rFonts w:ascii="Cambria" w:hAnsi="Cambria"/>
          <w:sz w:val="20"/>
          <w:szCs w:val="20"/>
          <w:lang w:val="es-ES"/>
        </w:rPr>
        <w:t>Tomando en cuenta las razones anteriores, la Comisión considera que el Estado brasileño es responsable internacionalmente por incumplimiento del deber de prevenir violaciones al derecho a la vida, así como de respetar la vida de Margarida Maria Alves. En virtud de ello, la CIDH concluye que el Estado violó el  artículo I de la Declaración Americana en su perjuicio.</w:t>
      </w:r>
    </w:p>
    <w:p w14:paraId="2A6757CA" w14:textId="77777777" w:rsidR="002C022F" w:rsidRPr="007607D3" w:rsidRDefault="002C022F" w:rsidP="008D2F87">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jc w:val="both"/>
        <w:rPr>
          <w:rFonts w:ascii="Cambria" w:hAnsi="Cambria"/>
          <w:sz w:val="20"/>
          <w:szCs w:val="20"/>
          <w:lang w:val="es-ES"/>
        </w:rPr>
      </w:pPr>
    </w:p>
    <w:p w14:paraId="599F9C06" w14:textId="77777777" w:rsidR="006B5A8F" w:rsidRPr="007607D3" w:rsidRDefault="006B5A8F" w:rsidP="007863AC">
      <w:pPr>
        <w:pStyle w:val="Heading2"/>
        <w:numPr>
          <w:ilvl w:val="0"/>
          <w:numId w:val="61"/>
        </w:numPr>
        <w:spacing w:before="0" w:after="0"/>
        <w:ind w:firstLine="0"/>
        <w:jc w:val="both"/>
        <w:rPr>
          <w:rFonts w:ascii="Cambria" w:hAnsi="Cambria" w:cs="Times New Roman"/>
          <w:bCs w:val="0"/>
          <w:i w:val="0"/>
          <w:iCs w:val="0"/>
          <w:sz w:val="20"/>
          <w:szCs w:val="20"/>
          <w:lang w:val="es-ES" w:eastAsia="es-ES"/>
        </w:rPr>
      </w:pPr>
      <w:bookmarkStart w:id="29" w:name="_Toc86071605"/>
      <w:r w:rsidRPr="007607D3">
        <w:rPr>
          <w:rFonts w:ascii="Cambria" w:hAnsi="Cambria" w:cs="Times New Roman"/>
          <w:bCs w:val="0"/>
          <w:i w:val="0"/>
          <w:iCs w:val="0"/>
          <w:sz w:val="20"/>
          <w:szCs w:val="20"/>
          <w:lang w:val="es-ES" w:eastAsia="es-ES"/>
        </w:rPr>
        <w:t>Derecho de asociación (artículo XXII de la Declaración Americana de los Derechos y Deberes del Hombre</w:t>
      </w:r>
      <w:r w:rsidRPr="007607D3">
        <w:rPr>
          <w:rStyle w:val="FootnoteReference"/>
          <w:rFonts w:ascii="Cambria" w:eastAsia="Trebuchet MS" w:hAnsi="Cambria" w:cs="Times New Roman"/>
          <w:bCs w:val="0"/>
          <w:i w:val="0"/>
          <w:iCs w:val="0"/>
          <w:sz w:val="20"/>
          <w:szCs w:val="20"/>
          <w:lang w:val="es-ES" w:eastAsia="es-ES"/>
        </w:rPr>
        <w:footnoteReference w:id="153"/>
      </w:r>
      <w:r w:rsidR="00DB037A" w:rsidRPr="007607D3">
        <w:rPr>
          <w:rFonts w:ascii="Cambria" w:hAnsi="Cambria" w:cs="Times New Roman"/>
          <w:bCs w:val="0"/>
          <w:i w:val="0"/>
          <w:iCs w:val="0"/>
          <w:sz w:val="20"/>
          <w:szCs w:val="20"/>
          <w:lang w:val="es-ES" w:eastAsia="es-ES"/>
        </w:rPr>
        <w:t xml:space="preserve"> </w:t>
      </w:r>
      <w:r w:rsidRPr="007607D3">
        <w:rPr>
          <w:rFonts w:ascii="Cambria" w:hAnsi="Cambria" w:cs="Times New Roman"/>
          <w:bCs w:val="0"/>
          <w:i w:val="0"/>
          <w:iCs w:val="0"/>
          <w:sz w:val="20"/>
          <w:szCs w:val="20"/>
          <w:lang w:val="es-ES" w:eastAsia="es-ES"/>
        </w:rPr>
        <w:t>)</w:t>
      </w:r>
      <w:bookmarkEnd w:id="29"/>
      <w:r w:rsidRPr="007607D3">
        <w:rPr>
          <w:rFonts w:ascii="Cambria" w:hAnsi="Cambria" w:cs="Times New Roman"/>
          <w:bCs w:val="0"/>
          <w:i w:val="0"/>
          <w:iCs w:val="0"/>
          <w:sz w:val="20"/>
          <w:szCs w:val="20"/>
          <w:lang w:val="es-ES" w:eastAsia="es-ES"/>
        </w:rPr>
        <w:t xml:space="preserve"> </w:t>
      </w:r>
    </w:p>
    <w:p w14:paraId="5B31827F" w14:textId="77777777" w:rsidR="006B5A8F" w:rsidRPr="007607D3" w:rsidRDefault="006B5A8F" w:rsidP="006B5A8F">
      <w:pPr>
        <w:tabs>
          <w:tab w:val="left" w:pos="1080"/>
          <w:tab w:val="center" w:pos="4680"/>
          <w:tab w:val="left" w:pos="6511"/>
        </w:tabs>
        <w:autoSpaceDE w:val="0"/>
        <w:autoSpaceDN w:val="0"/>
        <w:adjustRightInd w:val="0"/>
        <w:ind w:right="720"/>
        <w:jc w:val="both"/>
        <w:rPr>
          <w:rFonts w:cs="Calibri"/>
          <w:color w:val="808080"/>
          <w:sz w:val="20"/>
          <w:szCs w:val="20"/>
          <w:lang w:val="es-ES"/>
        </w:rPr>
      </w:pPr>
    </w:p>
    <w:p w14:paraId="156826B2" w14:textId="77777777" w:rsidR="006B5A8F" w:rsidRPr="007607D3" w:rsidRDefault="006B5A8F"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lang w:val="es-ES" w:eastAsia="es-ES"/>
        </w:rPr>
      </w:pPr>
      <w:r w:rsidRPr="007607D3">
        <w:rPr>
          <w:rFonts w:ascii="Cambria" w:hAnsi="Cambria"/>
          <w:sz w:val="20"/>
          <w:szCs w:val="20"/>
          <w:lang w:val="es-ES" w:eastAsia="es-ES"/>
        </w:rPr>
        <w:lastRenderedPageBreak/>
        <w:t xml:space="preserve">La Comisión recuerda que </w:t>
      </w:r>
      <w:r w:rsidR="00985BCD" w:rsidRPr="007607D3">
        <w:rPr>
          <w:rFonts w:ascii="Cambria" w:hAnsi="Cambria"/>
          <w:sz w:val="20"/>
          <w:szCs w:val="20"/>
          <w:lang w:val="es-ES" w:eastAsia="es-ES"/>
        </w:rPr>
        <w:t xml:space="preserve">el derecho a la libertad de asociación </w:t>
      </w:r>
      <w:r w:rsidRPr="007607D3">
        <w:rPr>
          <w:rFonts w:ascii="Cambria" w:hAnsi="Cambria"/>
          <w:sz w:val="20"/>
          <w:szCs w:val="20"/>
          <w:lang w:val="es-ES" w:eastAsia="es-ES"/>
        </w:rPr>
        <w:t xml:space="preserve">comprende el “derecho a </w:t>
      </w:r>
      <w:r w:rsidRPr="007607D3">
        <w:rPr>
          <w:rFonts w:ascii="Cambria" w:hAnsi="Cambria"/>
          <w:sz w:val="20"/>
          <w:szCs w:val="20"/>
          <w:lang w:val="es-VE"/>
        </w:rPr>
        <w:t>asociarse libremente con fines ideológicos, religiosos, políticos, económicos, laborales, sociales, culturales, deportivos o de cualquier otra índole. Estos términos establecen literalmente que quienes están bajo la protección de la Convención tienen no sólo el derecho y la libertad de asociarse libremente con otras personas, sin intervención de las autoridades públicas que limiten o entorpezcan el ejercicio del respectivo derecho, lo que representa, por lo tanto, un derecho de cada individuo. Además, gozan del derecho y la libertad de buscar la realización común de un fin lícito, sin presiones o intromisiones que puedan alterar o desnaturalizar su finalidad”</w:t>
      </w:r>
      <w:r w:rsidRPr="007607D3">
        <w:rPr>
          <w:rStyle w:val="FootnoteReference"/>
          <w:rFonts w:ascii="Cambria" w:hAnsi="Cambria"/>
          <w:sz w:val="20"/>
          <w:szCs w:val="20"/>
          <w:lang w:val="es-VE"/>
        </w:rPr>
        <w:footnoteReference w:id="154"/>
      </w:r>
      <w:r w:rsidRPr="007607D3">
        <w:rPr>
          <w:rFonts w:ascii="Cambria" w:hAnsi="Cambria"/>
          <w:sz w:val="20"/>
          <w:szCs w:val="20"/>
          <w:lang w:val="es-VE"/>
        </w:rPr>
        <w:t>.</w:t>
      </w:r>
    </w:p>
    <w:p w14:paraId="57A124FF" w14:textId="77777777" w:rsidR="006B5A8F" w:rsidRPr="007607D3" w:rsidRDefault="006B5A8F" w:rsidP="006B5A8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es-ES" w:eastAsia="es-ES"/>
        </w:rPr>
      </w:pPr>
    </w:p>
    <w:p w14:paraId="5C153C87" w14:textId="77777777" w:rsidR="006B5A8F" w:rsidRPr="007607D3" w:rsidRDefault="006B5A8F"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lang w:val="es-ES" w:eastAsia="es-ES"/>
        </w:rPr>
      </w:pPr>
      <w:r w:rsidRPr="007607D3">
        <w:rPr>
          <w:rFonts w:ascii="Cambria" w:hAnsi="Cambria"/>
          <w:sz w:val="20"/>
          <w:szCs w:val="20"/>
          <w:lang w:val="es-ES" w:eastAsia="es-ES"/>
        </w:rPr>
        <w:t xml:space="preserve">Según ha indicado la Corte Interamericana, </w:t>
      </w:r>
      <w:r w:rsidR="005047AB" w:rsidRPr="007607D3">
        <w:rPr>
          <w:rFonts w:ascii="Cambria" w:hAnsi="Cambria"/>
          <w:sz w:val="20"/>
          <w:szCs w:val="20"/>
          <w:lang w:val="es-ES" w:eastAsia="es-ES"/>
        </w:rPr>
        <w:t xml:space="preserve">en el contexto de la Convención Americana, </w:t>
      </w:r>
      <w:r w:rsidRPr="007607D3">
        <w:rPr>
          <w:rFonts w:ascii="Cambria" w:hAnsi="Cambria"/>
          <w:sz w:val="20"/>
          <w:szCs w:val="20"/>
          <w:lang w:val="es-ES" w:eastAsia="es-ES"/>
        </w:rPr>
        <w:t>la libertad de asociación tiene una dimensión individual y una dimensión colectiva. En el caso Huilca Tecse relacionado con la ejecución extrajudicial de un sindicalista, la Corte indicó que “una restricción de las posibilidades de asociarse representa directamente, y en la misma medida, un límite al derecho de la colectividad de alcanzar los fines que se proponga”. Por su parte, en su dimensión social, la libertad de asociación es un medio que permite a los integrantes de un grupo o colectividad laboral alcanzar determinados fines en conjunto y beneficiarse de los mismos</w:t>
      </w:r>
      <w:r w:rsidRPr="007607D3">
        <w:rPr>
          <w:rStyle w:val="FootnoteReference"/>
          <w:rFonts w:ascii="Cambria" w:hAnsi="Cambria"/>
          <w:sz w:val="20"/>
          <w:szCs w:val="20"/>
          <w:lang w:val="es-ES" w:eastAsia="es-ES"/>
        </w:rPr>
        <w:footnoteReference w:id="155"/>
      </w:r>
      <w:r w:rsidRPr="007607D3">
        <w:rPr>
          <w:rFonts w:ascii="Cambria" w:hAnsi="Cambria"/>
          <w:sz w:val="20"/>
          <w:szCs w:val="20"/>
          <w:lang w:val="es-ES" w:eastAsia="es-ES"/>
        </w:rPr>
        <w:t xml:space="preserve">. </w:t>
      </w:r>
    </w:p>
    <w:p w14:paraId="35BFE47B" w14:textId="77777777" w:rsidR="006B5A8F" w:rsidRPr="007607D3" w:rsidRDefault="006B5A8F" w:rsidP="006B5A8F">
      <w:pPr>
        <w:pStyle w:val="ListParagraph"/>
        <w:rPr>
          <w:sz w:val="20"/>
          <w:szCs w:val="20"/>
          <w:lang w:val="es-ES"/>
        </w:rPr>
      </w:pPr>
    </w:p>
    <w:p w14:paraId="1DAD0991" w14:textId="77777777" w:rsidR="006B5A8F" w:rsidRPr="007607D3" w:rsidRDefault="006B5A8F"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lang w:val="es-ES" w:eastAsia="es-ES"/>
        </w:rPr>
      </w:pPr>
      <w:r w:rsidRPr="007607D3">
        <w:rPr>
          <w:rFonts w:ascii="Cambria" w:hAnsi="Cambria"/>
          <w:sz w:val="20"/>
          <w:szCs w:val="20"/>
          <w:lang w:val="es-ES" w:eastAsia="es-ES"/>
        </w:rPr>
        <w:t xml:space="preserve">Asimismo, en el caso Baena Ricardo y otros, la Corte indicó que “la libertad de asociación, en materia sindical, reviste la mayor importancia para la defensa de los intereses legítimos de los trabajadores y se enmarca en el </w:t>
      </w:r>
      <w:r w:rsidRPr="007607D3">
        <w:rPr>
          <w:rFonts w:ascii="Cambria" w:hAnsi="Cambria"/>
          <w:i/>
          <w:sz w:val="20"/>
          <w:szCs w:val="20"/>
          <w:lang w:val="es-ES" w:eastAsia="es-ES"/>
        </w:rPr>
        <w:t>corpus juris</w:t>
      </w:r>
      <w:r w:rsidRPr="007607D3">
        <w:rPr>
          <w:rFonts w:ascii="Cambria" w:hAnsi="Cambria"/>
          <w:sz w:val="20"/>
          <w:szCs w:val="20"/>
          <w:lang w:val="es-ES" w:eastAsia="es-ES"/>
        </w:rPr>
        <w:t xml:space="preserve"> de los derechos humanos”</w:t>
      </w:r>
      <w:r w:rsidRPr="007607D3">
        <w:rPr>
          <w:rStyle w:val="FootnoteReference"/>
          <w:rFonts w:ascii="Cambria" w:hAnsi="Cambria"/>
          <w:sz w:val="20"/>
          <w:szCs w:val="20"/>
          <w:lang w:val="es-ES" w:eastAsia="es-ES"/>
        </w:rPr>
        <w:footnoteReference w:id="156"/>
      </w:r>
      <w:r w:rsidRPr="007607D3">
        <w:rPr>
          <w:rFonts w:ascii="Cambria" w:hAnsi="Cambria"/>
          <w:sz w:val="20"/>
          <w:szCs w:val="20"/>
          <w:lang w:val="es-ES" w:eastAsia="es-ES"/>
        </w:rPr>
        <w:t xml:space="preserve">. </w:t>
      </w:r>
    </w:p>
    <w:p w14:paraId="1254D313" w14:textId="77777777" w:rsidR="006B5A8F" w:rsidRPr="007607D3" w:rsidRDefault="006B5A8F" w:rsidP="006B5A8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Cambria" w:hAnsi="Cambria"/>
          <w:sz w:val="20"/>
          <w:szCs w:val="20"/>
          <w:lang w:val="es-ES" w:eastAsia="es-ES"/>
        </w:rPr>
      </w:pPr>
    </w:p>
    <w:p w14:paraId="5B3239BF" w14:textId="77777777" w:rsidR="006B5A8F" w:rsidRPr="007607D3" w:rsidRDefault="006B5A8F"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lang w:val="es-ES" w:eastAsia="es-ES"/>
        </w:rPr>
      </w:pPr>
      <w:r w:rsidRPr="007607D3">
        <w:rPr>
          <w:rFonts w:ascii="Cambria" w:hAnsi="Cambria"/>
          <w:sz w:val="20"/>
          <w:szCs w:val="20"/>
          <w:lang w:val="es-ES" w:eastAsia="es-ES"/>
        </w:rPr>
        <w:t>La CIDH por su parte, ha referido que en la mayoría de las veces, las más graves violaciones a los derechos humanos tales como las ejecuciones extrajudiciales y las desapariciones forzadas, tienen por objeto silenciar o sacar de la arena política y social a determinados líderes o activistas. La violación del derecho a la vida, por ejemplo, puede ser una medida represiva extrema en represalia a las actividades comunitarias, sociales o de participación política que desarrolla la víctima</w:t>
      </w:r>
      <w:r w:rsidRPr="007607D3">
        <w:rPr>
          <w:rStyle w:val="FootnoteReference"/>
          <w:rFonts w:ascii="Cambria" w:hAnsi="Cambria"/>
          <w:sz w:val="20"/>
          <w:szCs w:val="20"/>
          <w:lang w:val="es-ES" w:eastAsia="es-ES"/>
        </w:rPr>
        <w:footnoteReference w:id="157"/>
      </w:r>
      <w:r w:rsidRPr="007607D3">
        <w:rPr>
          <w:rFonts w:ascii="Cambria" w:hAnsi="Cambria"/>
          <w:sz w:val="20"/>
          <w:szCs w:val="20"/>
          <w:lang w:val="es-ES" w:eastAsia="es-ES"/>
        </w:rPr>
        <w:t xml:space="preserve">. </w:t>
      </w:r>
    </w:p>
    <w:p w14:paraId="30DE36EB" w14:textId="77777777" w:rsidR="006B5A8F" w:rsidRPr="007607D3" w:rsidRDefault="006B5A8F" w:rsidP="006B5A8F">
      <w:pPr>
        <w:tabs>
          <w:tab w:val="left" w:pos="1440"/>
          <w:tab w:val="num" w:pos="2040"/>
        </w:tabs>
        <w:jc w:val="both"/>
        <w:rPr>
          <w:rFonts w:ascii="Cambria" w:hAnsi="Cambria"/>
          <w:sz w:val="20"/>
          <w:szCs w:val="20"/>
          <w:lang w:val="es-ES" w:eastAsia="es-ES"/>
        </w:rPr>
      </w:pPr>
    </w:p>
    <w:p w14:paraId="57EDA9BD" w14:textId="77777777" w:rsidR="006B5A8F" w:rsidRPr="007607D3" w:rsidRDefault="006B5A8F"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lang w:val="es-ES" w:eastAsia="es-ES"/>
        </w:rPr>
      </w:pPr>
      <w:r w:rsidRPr="007607D3">
        <w:rPr>
          <w:rFonts w:ascii="Cambria" w:hAnsi="Cambria"/>
          <w:sz w:val="20"/>
          <w:szCs w:val="20"/>
          <w:lang w:val="es-ES" w:eastAsia="es-ES"/>
        </w:rPr>
        <w:t>Según ha indicado la CIDH, el libre y pleno ejercicio de la libertad de asociación impone a los Estados el deber de crear condiciones legales y fácticas en las cuales puedan las defensoras y defensores desarrollar libremente su función, prevenir los atentados contra esta libertad, así como proteger a quienes la ejercen e investigar las violaciones de dicha libertad. Estas obligaciones positivas deben adoptarse, incluso, en la esfera de relaciones entre particulares, si el caso así lo amerita</w:t>
      </w:r>
      <w:r w:rsidRPr="007607D3">
        <w:rPr>
          <w:rStyle w:val="FootnoteReference"/>
          <w:rFonts w:ascii="Cambria" w:hAnsi="Cambria"/>
          <w:sz w:val="20"/>
          <w:szCs w:val="20"/>
          <w:lang w:val="es-ES" w:eastAsia="es-ES"/>
        </w:rPr>
        <w:footnoteReference w:id="158"/>
      </w:r>
      <w:r w:rsidRPr="007607D3">
        <w:rPr>
          <w:rFonts w:ascii="Cambria" w:hAnsi="Cambria"/>
          <w:sz w:val="20"/>
          <w:szCs w:val="20"/>
          <w:lang w:val="es-ES" w:eastAsia="es-ES"/>
        </w:rPr>
        <w:t xml:space="preserve">. </w:t>
      </w:r>
    </w:p>
    <w:p w14:paraId="5395A5BB" w14:textId="77777777" w:rsidR="001709E7" w:rsidRPr="007607D3" w:rsidRDefault="001709E7" w:rsidP="001709E7">
      <w:pPr>
        <w:rPr>
          <w:lang w:val="es-ES_tradnl"/>
        </w:rPr>
      </w:pPr>
    </w:p>
    <w:p w14:paraId="2F03CA41" w14:textId="77777777" w:rsidR="006B5A8F" w:rsidRPr="007607D3" w:rsidRDefault="006B5A8F"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lang w:val="es-ES" w:eastAsia="es-ES"/>
        </w:rPr>
      </w:pPr>
      <w:r w:rsidRPr="007607D3">
        <w:rPr>
          <w:rFonts w:ascii="Cambria" w:hAnsi="Cambria"/>
          <w:sz w:val="20"/>
          <w:szCs w:val="20"/>
          <w:lang w:val="es-ES" w:eastAsia="es-ES"/>
        </w:rPr>
        <w:t xml:space="preserve">La CIDH recuerda que en el presente caso no existe controversia respecto a que la muerte de la presunta víctima fue una represalia al trabajo que desempeñaba como defensora de los derechos de las y los trabajadores rurales. Al respecto, el Estado indicó que según un </w:t>
      </w:r>
      <w:r w:rsidR="001709E7" w:rsidRPr="007607D3">
        <w:rPr>
          <w:rFonts w:ascii="Cambria" w:hAnsi="Cambria"/>
          <w:sz w:val="20"/>
          <w:szCs w:val="20"/>
          <w:lang w:val="es-ES" w:eastAsia="es-ES"/>
        </w:rPr>
        <w:t>informe del Consejo de Defensa d</w:t>
      </w:r>
      <w:r w:rsidRPr="007607D3">
        <w:rPr>
          <w:rFonts w:ascii="Cambria" w:hAnsi="Cambria"/>
          <w:sz w:val="20"/>
          <w:szCs w:val="20"/>
          <w:lang w:val="es-ES" w:eastAsia="es-ES"/>
        </w:rPr>
        <w:t>e los  Derechos de la Persona Humana”</w:t>
      </w:r>
      <w:r w:rsidR="001709E7" w:rsidRPr="007607D3">
        <w:rPr>
          <w:rFonts w:ascii="Cambria" w:hAnsi="Cambria"/>
          <w:sz w:val="20"/>
          <w:szCs w:val="20"/>
          <w:lang w:val="es-ES" w:eastAsia="es-ES"/>
        </w:rPr>
        <w:t>,</w:t>
      </w:r>
      <w:r w:rsidRPr="007607D3">
        <w:rPr>
          <w:rFonts w:ascii="Cambria" w:hAnsi="Cambria"/>
          <w:sz w:val="20"/>
          <w:szCs w:val="20"/>
          <w:lang w:val="es-ES" w:eastAsia="es-ES"/>
        </w:rPr>
        <w:t xml:space="preserve"> un órgano estatal, el homicidio de la presunta víctima encajaba en el modelo clásico de “ejecución encomendada” y que se encontraba relacionado “con la lucha por la tierra y el coronelismo”.</w:t>
      </w:r>
    </w:p>
    <w:p w14:paraId="3F72F8DA" w14:textId="77777777" w:rsidR="006B5A8F" w:rsidRPr="007607D3" w:rsidRDefault="006B5A8F" w:rsidP="006B5A8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Cambria" w:hAnsi="Cambria"/>
          <w:sz w:val="20"/>
          <w:szCs w:val="20"/>
          <w:lang w:val="es-ES" w:eastAsia="es-ES"/>
        </w:rPr>
      </w:pPr>
    </w:p>
    <w:p w14:paraId="38C1A9D9" w14:textId="77777777" w:rsidR="006B5A8F" w:rsidRPr="007607D3" w:rsidRDefault="006B5A8F"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lang w:val="es-ES" w:eastAsia="es-ES"/>
        </w:rPr>
      </w:pPr>
      <w:r w:rsidRPr="007607D3">
        <w:rPr>
          <w:rFonts w:ascii="Cambria" w:hAnsi="Cambria"/>
          <w:sz w:val="20"/>
          <w:szCs w:val="20"/>
          <w:lang w:val="es-ES" w:eastAsia="es-ES"/>
        </w:rPr>
        <w:t xml:space="preserve">Por otra parte, la Comisión ya estableció que el Estado incumplió sus obligaciones de respeto y garantía en relación con el derecho a la vida de la presunta víctima y que no ha realizado una investigación con debida diligencia para determinar las responsabilidades por la muerte de la presunta víctima. </w:t>
      </w:r>
    </w:p>
    <w:p w14:paraId="789DBDD3" w14:textId="77777777" w:rsidR="006B5A8F" w:rsidRPr="007607D3" w:rsidRDefault="006B5A8F" w:rsidP="006B5A8F">
      <w:pPr>
        <w:pStyle w:val="ListParagraph"/>
        <w:rPr>
          <w:sz w:val="20"/>
          <w:szCs w:val="20"/>
          <w:lang w:val="es-ES"/>
        </w:rPr>
      </w:pPr>
    </w:p>
    <w:p w14:paraId="5688393E" w14:textId="77777777" w:rsidR="006B5A8F" w:rsidRPr="007607D3" w:rsidRDefault="006B5A8F" w:rsidP="00DB037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lang w:val="es-ES" w:eastAsia="es-ES"/>
        </w:rPr>
      </w:pPr>
      <w:r w:rsidRPr="007607D3">
        <w:rPr>
          <w:rFonts w:ascii="Cambria" w:hAnsi="Cambria"/>
          <w:sz w:val="20"/>
          <w:szCs w:val="20"/>
          <w:lang w:val="es-ES" w:eastAsia="es-ES"/>
        </w:rPr>
        <w:t xml:space="preserve">En virtud de lo anterior, la CIDH considera que en el presente caso, el ejercicio legítimo que hizo Margarida Maria Alves del derecho a la libertad de asociación y de la defensa de los derechos laborales de </w:t>
      </w:r>
      <w:r w:rsidRPr="007607D3">
        <w:rPr>
          <w:rFonts w:ascii="Cambria" w:hAnsi="Cambria"/>
          <w:sz w:val="20"/>
          <w:szCs w:val="20"/>
          <w:lang w:val="es-ES" w:eastAsia="es-ES"/>
        </w:rPr>
        <w:lastRenderedPageBreak/>
        <w:t xml:space="preserve">los trabajadores rurales, le provocó una represalia fatal en la que intervinieron agentes estatales, lo cual consumó una violación a su derecho a la libertad de asociación. </w:t>
      </w:r>
      <w:r w:rsidR="00DB037A" w:rsidRPr="007607D3">
        <w:rPr>
          <w:rFonts w:ascii="Cambria" w:hAnsi="Cambria"/>
          <w:sz w:val="20"/>
          <w:szCs w:val="20"/>
          <w:lang w:val="es-ES" w:eastAsia="es-ES"/>
        </w:rPr>
        <w:t xml:space="preserve"> </w:t>
      </w:r>
      <w:r w:rsidRPr="007607D3">
        <w:rPr>
          <w:rFonts w:ascii="Cambria" w:hAnsi="Cambria"/>
          <w:sz w:val="20"/>
          <w:szCs w:val="20"/>
          <w:lang w:val="es-ES" w:eastAsia="es-ES"/>
        </w:rPr>
        <w:t xml:space="preserve">En virtud de las razones anteriores, la CIDH concluye que el Estado brasileño es responsable internacionalmente por la violación del derecho a la libertad de asociación previsto en los artículos XXII de la Declaración Americana </w:t>
      </w:r>
      <w:r w:rsidR="0054029E" w:rsidRPr="007607D3">
        <w:rPr>
          <w:rFonts w:ascii="Cambria" w:hAnsi="Cambria"/>
          <w:sz w:val="20"/>
          <w:szCs w:val="20"/>
          <w:lang w:val="es-ES" w:eastAsia="es-ES"/>
        </w:rPr>
        <w:t xml:space="preserve">en </w:t>
      </w:r>
      <w:r w:rsidR="0076710B" w:rsidRPr="007607D3">
        <w:rPr>
          <w:rFonts w:ascii="Cambria" w:hAnsi="Cambria"/>
          <w:sz w:val="20"/>
          <w:szCs w:val="20"/>
          <w:lang w:val="es-ES" w:eastAsia="es-ES"/>
        </w:rPr>
        <w:t>perjuicio de Margarida María Alves</w:t>
      </w:r>
      <w:r w:rsidR="00C3391A" w:rsidRPr="007607D3">
        <w:rPr>
          <w:rFonts w:ascii="Cambria" w:hAnsi="Cambria"/>
          <w:sz w:val="20"/>
          <w:szCs w:val="20"/>
          <w:lang w:val="es-ES" w:eastAsia="es-ES"/>
        </w:rPr>
        <w:t xml:space="preserve">. </w:t>
      </w:r>
    </w:p>
    <w:p w14:paraId="4308E773" w14:textId="77777777" w:rsidR="006B5A8F" w:rsidRPr="007607D3" w:rsidRDefault="006B5A8F" w:rsidP="006B5A8F">
      <w:pPr>
        <w:rPr>
          <w:lang w:val="es-ES" w:eastAsia="es-ES"/>
        </w:rPr>
      </w:pPr>
    </w:p>
    <w:p w14:paraId="47A3FE25" w14:textId="77777777" w:rsidR="006B5A8F" w:rsidRPr="007607D3" w:rsidRDefault="006B5A8F" w:rsidP="006B5A8F">
      <w:pPr>
        <w:pStyle w:val="Heading2"/>
        <w:numPr>
          <w:ilvl w:val="0"/>
          <w:numId w:val="61"/>
        </w:numPr>
        <w:spacing w:before="0" w:after="0"/>
        <w:ind w:firstLine="0"/>
        <w:jc w:val="both"/>
        <w:rPr>
          <w:rFonts w:ascii="Cambria" w:hAnsi="Cambria" w:cs="Times New Roman"/>
          <w:bCs w:val="0"/>
          <w:i w:val="0"/>
          <w:iCs w:val="0"/>
          <w:sz w:val="20"/>
          <w:szCs w:val="20"/>
          <w:lang w:val="es-ES" w:eastAsia="es-ES"/>
        </w:rPr>
      </w:pPr>
      <w:bookmarkStart w:id="30" w:name="_Toc86071606"/>
      <w:r w:rsidRPr="007607D3">
        <w:rPr>
          <w:rFonts w:ascii="Cambria" w:hAnsi="Cambria" w:cs="Times New Roman"/>
          <w:bCs w:val="0"/>
          <w:i w:val="0"/>
          <w:iCs w:val="0"/>
          <w:sz w:val="20"/>
          <w:szCs w:val="20"/>
          <w:lang w:val="es-ES" w:eastAsia="es-ES"/>
        </w:rPr>
        <w:t>Derecho a la integridad personal (artículo I de la Declaración Americana de los Derechos y Deberes del Hombre</w:t>
      </w:r>
      <w:r w:rsidRPr="007607D3">
        <w:rPr>
          <w:rStyle w:val="FootnoteReference"/>
          <w:rFonts w:ascii="Cambria" w:eastAsia="Trebuchet MS" w:hAnsi="Cambria" w:cs="Times New Roman"/>
          <w:bCs w:val="0"/>
          <w:i w:val="0"/>
          <w:iCs w:val="0"/>
          <w:sz w:val="20"/>
          <w:szCs w:val="20"/>
          <w:lang w:val="es-ES" w:eastAsia="es-ES"/>
        </w:rPr>
        <w:footnoteReference w:id="159"/>
      </w:r>
      <w:r w:rsidRPr="007607D3">
        <w:rPr>
          <w:rFonts w:ascii="Cambria" w:hAnsi="Cambria" w:cs="Times New Roman"/>
          <w:bCs w:val="0"/>
          <w:i w:val="0"/>
          <w:iCs w:val="0"/>
          <w:sz w:val="20"/>
          <w:szCs w:val="20"/>
          <w:lang w:val="es-ES" w:eastAsia="es-ES"/>
        </w:rPr>
        <w:t xml:space="preserve"> y artículo 5 de la Convención Americana</w:t>
      </w:r>
      <w:r w:rsidRPr="007607D3">
        <w:rPr>
          <w:rStyle w:val="FootnoteReference"/>
          <w:rFonts w:ascii="Cambria" w:eastAsia="Trebuchet MS" w:hAnsi="Cambria" w:cs="Times New Roman"/>
          <w:bCs w:val="0"/>
          <w:i w:val="0"/>
          <w:iCs w:val="0"/>
          <w:sz w:val="20"/>
          <w:szCs w:val="20"/>
          <w:lang w:val="es-ES" w:eastAsia="es-ES"/>
        </w:rPr>
        <w:footnoteReference w:id="160"/>
      </w:r>
      <w:r w:rsidRPr="007607D3">
        <w:rPr>
          <w:rFonts w:ascii="Cambria" w:hAnsi="Cambria" w:cs="Times New Roman"/>
          <w:bCs w:val="0"/>
          <w:i w:val="0"/>
          <w:iCs w:val="0"/>
          <w:sz w:val="20"/>
          <w:szCs w:val="20"/>
          <w:lang w:val="es-ES" w:eastAsia="es-ES"/>
        </w:rPr>
        <w:t>)</w:t>
      </w:r>
      <w:bookmarkEnd w:id="30"/>
      <w:r w:rsidRPr="007607D3">
        <w:rPr>
          <w:rFonts w:ascii="Cambria" w:hAnsi="Cambria" w:cs="Times New Roman"/>
          <w:bCs w:val="0"/>
          <w:i w:val="0"/>
          <w:iCs w:val="0"/>
          <w:sz w:val="20"/>
          <w:szCs w:val="20"/>
          <w:lang w:val="es-ES" w:eastAsia="es-ES"/>
        </w:rPr>
        <w:t xml:space="preserve"> </w:t>
      </w:r>
    </w:p>
    <w:p w14:paraId="7959A356" w14:textId="77777777" w:rsidR="006B5A8F" w:rsidRPr="007607D3" w:rsidRDefault="006B5A8F" w:rsidP="006B5A8F">
      <w:pPr>
        <w:pStyle w:val="ListParagraph"/>
        <w:rPr>
          <w:sz w:val="20"/>
          <w:szCs w:val="20"/>
          <w:lang w:val="es-ES"/>
        </w:rPr>
      </w:pPr>
    </w:p>
    <w:p w14:paraId="7EDC0888" w14:textId="77777777" w:rsidR="006B5A8F" w:rsidRPr="007607D3" w:rsidRDefault="006B5A8F"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lang w:val="es-ES" w:eastAsia="es-ES"/>
        </w:rPr>
      </w:pPr>
      <w:r w:rsidRPr="007607D3">
        <w:rPr>
          <w:rFonts w:ascii="Cambria" w:hAnsi="Cambria"/>
          <w:sz w:val="20"/>
          <w:szCs w:val="20"/>
          <w:lang w:val="es-ES" w:eastAsia="es-ES"/>
        </w:rPr>
        <w:t>La Corte ha indicado que los familiares de las víctimas de ciertas violaciones de derechos humanos pueden ser, a su vez, víctimas. Específicamente, la Corte ha indicado que los familiares de las víctimas pueden verse afectados en su integridad psíquica y moral como consecuencia de las situaciones particulares que padecieron sus seres queridos, y de las posteriores actuaciones u omisiones de las autoridades internas frente a estos hechos</w:t>
      </w:r>
      <w:r w:rsidRPr="007607D3">
        <w:rPr>
          <w:rStyle w:val="FootnoteReference"/>
          <w:rFonts w:ascii="Cambria" w:hAnsi="Cambria"/>
          <w:sz w:val="20"/>
          <w:szCs w:val="20"/>
          <w:lang w:val="es-ES" w:eastAsia="es-ES"/>
        </w:rPr>
        <w:footnoteReference w:id="161"/>
      </w:r>
      <w:r w:rsidRPr="007607D3">
        <w:rPr>
          <w:rFonts w:ascii="Cambria" w:hAnsi="Cambria"/>
          <w:sz w:val="20"/>
          <w:szCs w:val="20"/>
          <w:lang w:val="es-ES" w:eastAsia="es-ES"/>
        </w:rPr>
        <w:t>. En palabras de la Corte, la ausencia de una investigación completa y efectiva sobre los hechos constituye una fuente de sufrimiento y angustia adicional para las víctimas y sus familiares, quienes tienen el derecho de conocer la verdad de lo ocurrido. Dicho derecho a la verdad exige la determinación procesal de la más completa verdad histórica posible, lo cual incluye la determinación judicial de los patrones de actuación conjunta y de todas las personas que de diversas formas participaron en dichas violaciones y sus correspondientes responsabilidades</w:t>
      </w:r>
      <w:r w:rsidRPr="007607D3">
        <w:rPr>
          <w:rStyle w:val="FootnoteReference"/>
          <w:rFonts w:ascii="Cambria" w:hAnsi="Cambria"/>
          <w:sz w:val="20"/>
          <w:szCs w:val="20"/>
          <w:lang w:val="es-ES" w:eastAsia="es-ES"/>
        </w:rPr>
        <w:footnoteReference w:id="162"/>
      </w:r>
      <w:r w:rsidRPr="007607D3">
        <w:rPr>
          <w:rFonts w:ascii="Cambria" w:hAnsi="Cambria"/>
          <w:sz w:val="20"/>
          <w:szCs w:val="20"/>
          <w:lang w:val="es-ES" w:eastAsia="es-ES"/>
        </w:rPr>
        <w:t xml:space="preserve">. </w:t>
      </w:r>
    </w:p>
    <w:p w14:paraId="5A4057FE" w14:textId="77777777" w:rsidR="006B5A8F" w:rsidRPr="007607D3" w:rsidRDefault="006B5A8F" w:rsidP="006B5A8F">
      <w:pPr>
        <w:rPr>
          <w:lang w:val="es-ES_tradnl"/>
        </w:rPr>
      </w:pPr>
    </w:p>
    <w:p w14:paraId="717C9E96" w14:textId="77777777" w:rsidR="006B5A8F" w:rsidRPr="007607D3" w:rsidRDefault="006B5A8F"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lang w:val="es-ES" w:eastAsia="es-ES"/>
        </w:rPr>
      </w:pPr>
      <w:r w:rsidRPr="007607D3">
        <w:rPr>
          <w:rFonts w:ascii="Cambria" w:hAnsi="Cambria"/>
          <w:sz w:val="20"/>
          <w:szCs w:val="20"/>
          <w:lang w:val="es-ES" w:eastAsia="es-ES"/>
        </w:rPr>
        <w:t>De acuerdo a lo anterior</w:t>
      </w:r>
      <w:r w:rsidR="008D2F87" w:rsidRPr="007607D3">
        <w:rPr>
          <w:rFonts w:ascii="Cambria" w:hAnsi="Cambria"/>
          <w:sz w:val="20"/>
          <w:szCs w:val="20"/>
          <w:lang w:val="es-ES" w:eastAsia="es-ES"/>
        </w:rPr>
        <w:t xml:space="preserve"> </w:t>
      </w:r>
      <w:r w:rsidRPr="007607D3">
        <w:rPr>
          <w:rFonts w:ascii="Cambria" w:hAnsi="Cambria"/>
          <w:sz w:val="20"/>
          <w:szCs w:val="20"/>
          <w:lang w:val="es-ES" w:eastAsia="es-ES"/>
        </w:rPr>
        <w:t xml:space="preserve">la Comisión considera que la pérdida de un ser querido en un contexto como el descrito en el presente caso, así como la ausencia de una investigación completa y efectiva que a su vez ocasiona sufrimiento y angustia de no conocer la verdad, constituye en sí misma una afectación a la integridad psíquica y moral de los familiares de Margarida Maria Alves. </w:t>
      </w:r>
    </w:p>
    <w:p w14:paraId="54DCCF3C" w14:textId="77777777" w:rsidR="008D2F87" w:rsidRPr="007607D3" w:rsidRDefault="008D2F87" w:rsidP="008D2F87">
      <w:pPr>
        <w:pStyle w:val="ListParagraph"/>
        <w:rPr>
          <w:sz w:val="20"/>
          <w:szCs w:val="20"/>
          <w:lang w:val="es-ES"/>
        </w:rPr>
      </w:pPr>
    </w:p>
    <w:p w14:paraId="36071C9F" w14:textId="77777777" w:rsidR="008D2F87" w:rsidRPr="007607D3" w:rsidRDefault="008D2F87" w:rsidP="008D2F8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lang w:val="es-ES" w:eastAsia="es-ES"/>
        </w:rPr>
      </w:pPr>
      <w:r w:rsidRPr="007607D3">
        <w:rPr>
          <w:rFonts w:ascii="Cambria" w:hAnsi="Cambria"/>
          <w:sz w:val="20"/>
          <w:szCs w:val="20"/>
          <w:lang w:val="es-ES" w:eastAsia="es-ES"/>
        </w:rPr>
        <w:t xml:space="preserve">La Comisión nota en particular que al momento de los hechos, el hijo de la presunta víctima, José de Arimatéia Alves, quien entonces tenía ocho años de edad, jugaba enfrente de la casa en donde su madre fue asesinada, y tras los hechos vio el cuerpo sin vida de su madre en el suelo. En sus palabras, “aún hoy visualizo el cuerpo ensangrentado de mi madre, trauma este qué cargo conmigo muy fuertemente”. </w:t>
      </w:r>
      <w:r w:rsidR="00184C98" w:rsidRPr="007607D3">
        <w:rPr>
          <w:rFonts w:ascii="Cambria" w:hAnsi="Cambria"/>
          <w:sz w:val="20"/>
          <w:szCs w:val="20"/>
          <w:lang w:val="es-ES" w:eastAsia="es-ES"/>
        </w:rPr>
        <w:t xml:space="preserve">Esto constituye un elemento suficiente para acreditar una violación a su derecho a la integridad personal, tomando en cuenta el impacto psicológico y emocional de un niño por presenciar el asesinato de su madre, así como la impunidad en la que permanecen dichos sucesos. </w:t>
      </w:r>
    </w:p>
    <w:p w14:paraId="49E1C1D9" w14:textId="77777777" w:rsidR="008D2F87" w:rsidRPr="007607D3" w:rsidRDefault="008D2F87" w:rsidP="00184C9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es-ES" w:eastAsia="es-ES"/>
        </w:rPr>
      </w:pPr>
    </w:p>
    <w:p w14:paraId="74D6839C" w14:textId="77777777" w:rsidR="006B5A8F" w:rsidRPr="007607D3" w:rsidRDefault="006B5A8F"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lang w:val="es-ES" w:eastAsia="es-ES"/>
        </w:rPr>
      </w:pPr>
      <w:r w:rsidRPr="007607D3">
        <w:rPr>
          <w:rFonts w:ascii="Cambria" w:hAnsi="Cambria"/>
          <w:sz w:val="20"/>
          <w:szCs w:val="20"/>
          <w:lang w:val="es-ES" w:eastAsia="es-ES"/>
        </w:rPr>
        <w:t xml:space="preserve">En virtud de lo anterior, la Comisión concluye que el Estado violó el derecho a la integridad personal consagrado en el artículo I de la Declaración Americana </w:t>
      </w:r>
      <w:r w:rsidR="008B109D" w:rsidRPr="007607D3">
        <w:rPr>
          <w:rFonts w:ascii="Cambria" w:hAnsi="Cambria"/>
          <w:sz w:val="20"/>
          <w:szCs w:val="20"/>
          <w:lang w:val="es-ES" w:eastAsia="es-ES"/>
        </w:rPr>
        <w:t xml:space="preserve">y en el </w:t>
      </w:r>
      <w:r w:rsidRPr="007607D3">
        <w:rPr>
          <w:rFonts w:ascii="Cambria" w:hAnsi="Cambria"/>
          <w:sz w:val="20"/>
          <w:szCs w:val="20"/>
          <w:lang w:val="es-ES" w:eastAsia="es-ES"/>
        </w:rPr>
        <w:t xml:space="preserve">artículo 5 de la Convención Americana en perjuicio de los familiares de Margarida María Alves identificados en el presente informe.  </w:t>
      </w:r>
    </w:p>
    <w:p w14:paraId="6483F972" w14:textId="77777777" w:rsidR="00340F63" w:rsidRPr="007607D3" w:rsidRDefault="00340F63" w:rsidP="00F244F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cs="Calibri"/>
          <w:color w:val="808080" w:themeColor="background1" w:themeShade="80"/>
          <w:sz w:val="20"/>
          <w:szCs w:val="20"/>
          <w:lang w:val="es-ES"/>
        </w:rPr>
      </w:pPr>
    </w:p>
    <w:p w14:paraId="36057B55" w14:textId="77777777" w:rsidR="00F73A69" w:rsidRPr="007607D3" w:rsidRDefault="00D36CA4" w:rsidP="00D36CA4">
      <w:pPr>
        <w:pStyle w:val="Heading1"/>
        <w:keepLines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Cambria" w:hAnsi="Cambria" w:cs="Calibri"/>
          <w:color w:val="808080" w:themeColor="background1" w:themeShade="80"/>
          <w:sz w:val="20"/>
          <w:szCs w:val="20"/>
          <w:lang w:val="es-ES"/>
        </w:rPr>
      </w:pPr>
      <w:bookmarkStart w:id="31" w:name="_Toc86071607"/>
      <w:r w:rsidRPr="007607D3">
        <w:rPr>
          <w:rFonts w:eastAsia="Times New Roman" w:cs="Times New Roman"/>
          <w:bCs w:val="0"/>
          <w:color w:val="auto"/>
          <w:sz w:val="20"/>
          <w:szCs w:val="20"/>
          <w:bdr w:val="none" w:sz="0" w:space="0" w:color="auto"/>
          <w:lang w:val="es-ES_tradnl"/>
        </w:rPr>
        <w:t>CONCLUSIONES</w:t>
      </w:r>
      <w:bookmarkEnd w:id="31"/>
    </w:p>
    <w:p w14:paraId="0B593B75" w14:textId="77777777" w:rsidR="00B804C4" w:rsidRPr="007607D3" w:rsidRDefault="00B804C4" w:rsidP="00B804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jc w:val="both"/>
        <w:rPr>
          <w:rFonts w:asciiTheme="majorHAnsi" w:eastAsia="Times New Roman" w:hAnsiTheme="majorHAnsi"/>
          <w:sz w:val="20"/>
          <w:szCs w:val="20"/>
          <w:bdr w:val="none" w:sz="0" w:space="0" w:color="auto"/>
          <w:lang w:val="es-ES"/>
        </w:rPr>
      </w:pPr>
    </w:p>
    <w:p w14:paraId="794AA73B" w14:textId="77777777" w:rsidR="00B851B2" w:rsidRPr="00E03E21" w:rsidRDefault="00B804C4" w:rsidP="00E03E2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hAnsiTheme="majorHAnsi"/>
          <w:sz w:val="20"/>
          <w:szCs w:val="20"/>
          <w:lang w:val="es-ES" w:eastAsia="es-ES"/>
        </w:rPr>
      </w:pPr>
      <w:r w:rsidRPr="007607D3">
        <w:rPr>
          <w:rFonts w:asciiTheme="majorHAnsi" w:hAnsiTheme="majorHAnsi"/>
          <w:sz w:val="20"/>
          <w:szCs w:val="20"/>
          <w:lang w:val="es-ES" w:eastAsia="es-ES"/>
        </w:rPr>
        <w:t>La Comisión concluye que el Estado brasileño es responsable por la violación de los dere</w:t>
      </w:r>
      <w:r w:rsidR="00D11ECC" w:rsidRPr="007607D3">
        <w:rPr>
          <w:rFonts w:asciiTheme="majorHAnsi" w:hAnsiTheme="majorHAnsi"/>
          <w:sz w:val="20"/>
          <w:szCs w:val="20"/>
          <w:lang w:val="es-ES" w:eastAsia="es-ES"/>
        </w:rPr>
        <w:t xml:space="preserve">chos </w:t>
      </w:r>
      <w:r w:rsidR="00B851B2" w:rsidRPr="007607D3">
        <w:rPr>
          <w:rFonts w:ascii="Cambria" w:eastAsia="Calibri" w:hAnsi="Cambria"/>
          <w:sz w:val="20"/>
          <w:szCs w:val="20"/>
          <w:lang w:val="es-CO"/>
        </w:rPr>
        <w:t xml:space="preserve">consagrados en los artículos I (derecho a </w:t>
      </w:r>
      <w:r w:rsidR="00184C98" w:rsidRPr="007607D3">
        <w:rPr>
          <w:rFonts w:ascii="Cambria" w:eastAsia="Calibri" w:hAnsi="Cambria"/>
          <w:sz w:val="20"/>
          <w:szCs w:val="20"/>
          <w:lang w:val="es-CO"/>
        </w:rPr>
        <w:t>la vida e integridad personal)</w:t>
      </w:r>
      <w:r w:rsidR="00B851B2" w:rsidRPr="007607D3">
        <w:rPr>
          <w:rFonts w:ascii="Cambria" w:eastAsia="Calibri" w:hAnsi="Cambria"/>
          <w:sz w:val="20"/>
          <w:szCs w:val="20"/>
          <w:lang w:val="es-CO"/>
        </w:rPr>
        <w:t xml:space="preserve">, XVIII (derecho a la justicia), XXII (derecho de asociación) de </w:t>
      </w:r>
      <w:r w:rsidR="00B851B2" w:rsidRPr="007607D3">
        <w:rPr>
          <w:rFonts w:ascii="Cambria" w:hAnsi="Cambria"/>
          <w:color w:val="000000"/>
          <w:sz w:val="20"/>
          <w:szCs w:val="20"/>
          <w:lang w:val="es-CO"/>
        </w:rPr>
        <w:t xml:space="preserve">la </w:t>
      </w:r>
      <w:r w:rsidR="00B851B2" w:rsidRPr="007607D3">
        <w:rPr>
          <w:rFonts w:ascii="Cambria" w:eastAsia="Calibri" w:hAnsi="Cambria"/>
          <w:sz w:val="20"/>
          <w:szCs w:val="20"/>
          <w:lang w:val="es-CO"/>
        </w:rPr>
        <w:t>Declaración Americana de los Derechos y Deberes del Hombre, 5 (integridad personal), 8.1 (garantías judiciales), 25.1 (protección judicial) de la Convención Americana en relación con el artículo 1.1 del mismo instrumento en perjuicio de</w:t>
      </w:r>
      <w:r w:rsidR="009B13E2" w:rsidRPr="007607D3">
        <w:rPr>
          <w:rFonts w:ascii="Cambria" w:eastAsia="Calibri" w:hAnsi="Cambria"/>
          <w:sz w:val="20"/>
          <w:szCs w:val="20"/>
          <w:lang w:val="es-CO"/>
        </w:rPr>
        <w:t xml:space="preserve"> las personas que se indican a lo largo del presente informe. </w:t>
      </w:r>
    </w:p>
    <w:p w14:paraId="3FFE7752" w14:textId="77777777" w:rsidR="00E03E21" w:rsidRPr="007607D3" w:rsidRDefault="00E03E21" w:rsidP="00E03E2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cs="Calibri"/>
          <w:color w:val="808080" w:themeColor="background1" w:themeShade="80"/>
          <w:sz w:val="20"/>
          <w:szCs w:val="20"/>
          <w:lang w:val="es-ES_tradnl"/>
        </w:rPr>
      </w:pPr>
    </w:p>
    <w:p w14:paraId="20346C6B" w14:textId="77777777" w:rsidR="00E03E21" w:rsidRPr="00CF7821" w:rsidRDefault="00E03E21" w:rsidP="00E03E21">
      <w:pPr>
        <w:pStyle w:val="Heading1"/>
        <w:keepLines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0"/>
        <w:rPr>
          <w:rFonts w:eastAsia="Times New Roman" w:cs="Times New Roman"/>
          <w:bCs w:val="0"/>
          <w:color w:val="auto"/>
          <w:sz w:val="20"/>
          <w:szCs w:val="20"/>
          <w:bdr w:val="none" w:sz="0" w:space="0" w:color="auto"/>
          <w:lang w:val="es-ES_tradnl"/>
        </w:rPr>
      </w:pPr>
      <w:bookmarkStart w:id="32" w:name="_Toc399152687"/>
      <w:bookmarkStart w:id="33" w:name="_Toc86071608"/>
      <w:bookmarkStart w:id="34" w:name="_Toc485394071"/>
      <w:r>
        <w:rPr>
          <w:rFonts w:eastAsia="Times New Roman" w:cs="Times New Roman"/>
          <w:bCs w:val="0"/>
          <w:color w:val="auto"/>
          <w:sz w:val="20"/>
          <w:szCs w:val="20"/>
          <w:bdr w:val="none" w:sz="0" w:space="0" w:color="auto"/>
          <w:lang w:val="es-ES_tradnl"/>
        </w:rPr>
        <w:t>INFORME No. 133/17</w:t>
      </w:r>
      <w:bookmarkEnd w:id="32"/>
      <w:bookmarkEnd w:id="33"/>
    </w:p>
    <w:p w14:paraId="1630005E" w14:textId="77777777" w:rsidR="00E03E21" w:rsidRDefault="00E03E21" w:rsidP="00E03E21">
      <w:pPr>
        <w:rPr>
          <w:rFonts w:asciiTheme="majorHAnsi" w:hAnsiTheme="majorHAnsi"/>
          <w:sz w:val="20"/>
          <w:szCs w:val="20"/>
          <w:lang w:val="es-ES_tradnl"/>
        </w:rPr>
      </w:pPr>
    </w:p>
    <w:p w14:paraId="4A8AD22A" w14:textId="77777777" w:rsidR="00E03E21" w:rsidRPr="0000312F" w:rsidRDefault="00E03E21" w:rsidP="00E03E2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hAnsiTheme="majorHAnsi"/>
          <w:sz w:val="20"/>
          <w:szCs w:val="20"/>
          <w:lang w:val="es-ES_tradnl"/>
        </w:rPr>
      </w:pPr>
      <w:r>
        <w:rPr>
          <w:rFonts w:asciiTheme="majorHAnsi" w:hAnsiTheme="majorHAnsi"/>
          <w:sz w:val="20"/>
          <w:szCs w:val="20"/>
          <w:lang w:val="es-ES_tradnl"/>
        </w:rPr>
        <w:lastRenderedPageBreak/>
        <w:t xml:space="preserve">El 25 de octubre de 2017 durante su 165 período de sesiones, la Comisión aprobó el Informe No.133/17 sobre el fondo del presente caso, que comprende los párrafos 1 al 152 supra, y formuló las siguientes recomendaciones al Estado: </w:t>
      </w:r>
    </w:p>
    <w:bookmarkEnd w:id="34"/>
    <w:p w14:paraId="4AAD820E" w14:textId="77777777" w:rsidR="00E03E21" w:rsidRPr="007607D3" w:rsidRDefault="00E03E21" w:rsidP="00E03E21">
      <w:pPr>
        <w:rPr>
          <w:lang w:val="es-ES_tradnl"/>
        </w:rPr>
      </w:pPr>
    </w:p>
    <w:p w14:paraId="7D632308" w14:textId="77777777" w:rsidR="00E03E21" w:rsidRPr="007607D3" w:rsidRDefault="00E03E21" w:rsidP="00E03E21">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7607D3">
        <w:rPr>
          <w:rFonts w:asciiTheme="majorHAnsi" w:hAnsiTheme="majorHAnsi"/>
          <w:sz w:val="20"/>
          <w:szCs w:val="20"/>
          <w:lang w:val="es-ES"/>
        </w:rPr>
        <w:t xml:space="preserve">Reparar integralmente a los familiares de la víctima del presente caso a través de medidas de compensación pecuniaria y de satisfacción que incluyan el daño material e inmaterial ocasionado como consecuencia de las violaciones declaradas en el presente informe. </w:t>
      </w:r>
    </w:p>
    <w:p w14:paraId="5F43E2D7" w14:textId="77777777" w:rsidR="00E03E21" w:rsidRPr="007607D3" w:rsidRDefault="00E03E21" w:rsidP="00E03E2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14:paraId="4A62328A" w14:textId="77777777" w:rsidR="00E03E21" w:rsidRPr="007607D3" w:rsidRDefault="00E03E21" w:rsidP="00E03E21">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7607D3">
        <w:rPr>
          <w:rFonts w:asciiTheme="majorHAnsi" w:hAnsiTheme="majorHAnsi"/>
          <w:sz w:val="20"/>
          <w:szCs w:val="20"/>
          <w:lang w:val="es-VE"/>
        </w:rPr>
        <w:t xml:space="preserve">Desarrollar y completar una investigación </w:t>
      </w:r>
      <w:r w:rsidRPr="007607D3">
        <w:rPr>
          <w:rFonts w:asciiTheme="majorHAnsi" w:eastAsia="Times New Roman" w:hAnsiTheme="majorHAnsi" w:cs="Tahoma"/>
          <w:sz w:val="20"/>
          <w:szCs w:val="20"/>
          <w:bdr w:val="none" w:sz="0" w:space="0" w:color="auto"/>
          <w:lang w:val="es-AR"/>
        </w:rPr>
        <w:t xml:space="preserve">de manera diligente, efectiva y dentro de un plazo razonable con el objeto de esclarecer los hechos en forma completa; identificar todas las posibles responsabilidades materiales e intelectuales en los distintos niveles de decisión y ejecución; e imponer las sanciones que correspondan respecto de las violaciones de derechos humanos declaradas en el presente informe. Esto incluye la investigación de </w:t>
      </w:r>
      <w:r w:rsidRPr="007607D3">
        <w:rPr>
          <w:rFonts w:asciiTheme="majorHAnsi" w:hAnsiTheme="majorHAnsi"/>
          <w:sz w:val="20"/>
          <w:szCs w:val="20"/>
          <w:lang w:val="es-VE"/>
        </w:rPr>
        <w:t xml:space="preserve">las estructuras de poder que participaron en la comisión de las violaciones ocurridas. En el marco de este proceso, corresponde al Estado adoptar todas las medidas para proteger a testigos y otros actores del proceso, en caso de que sea necesario. Asimismo, y tomando en cuenta que la prescripción fue el resultado de las acciones y omisiones del Estado, dicha figura no es oponible para el total cumplimiento de esta recomendación. </w:t>
      </w:r>
    </w:p>
    <w:p w14:paraId="3439A935" w14:textId="77777777" w:rsidR="00E03E21" w:rsidRPr="007607D3" w:rsidRDefault="00E03E21" w:rsidP="00E03E2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14:paraId="231D1E43" w14:textId="77777777" w:rsidR="00E03E21" w:rsidRPr="007607D3" w:rsidRDefault="00E03E21" w:rsidP="00E03E21">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7607D3">
        <w:rPr>
          <w:rFonts w:asciiTheme="majorHAnsi" w:eastAsia="Times New Roman" w:hAnsiTheme="majorHAnsi" w:cs="Tahoma"/>
          <w:sz w:val="20"/>
          <w:szCs w:val="20"/>
          <w:bdr w:val="none" w:sz="0" w:space="0" w:color="auto"/>
          <w:lang w:val="es-ES"/>
        </w:rPr>
        <w:t>Disponer las medidas de atención en salud física y mental necesarias para la rehabilitación de los familiares de Margarida María Alves de ser su voluntad y de manera concertada.</w:t>
      </w:r>
    </w:p>
    <w:p w14:paraId="2F1EB92C" w14:textId="77777777" w:rsidR="00E03E21" w:rsidRPr="007607D3" w:rsidRDefault="00E03E21" w:rsidP="00E03E21">
      <w:pPr>
        <w:pStyle w:val="ListParagraph"/>
        <w:rPr>
          <w:rFonts w:asciiTheme="majorHAnsi" w:hAnsiTheme="majorHAnsi"/>
          <w:sz w:val="20"/>
          <w:szCs w:val="20"/>
          <w:lang w:val="es-VE"/>
        </w:rPr>
      </w:pPr>
    </w:p>
    <w:p w14:paraId="48B295BD" w14:textId="77777777" w:rsidR="00E03E21" w:rsidRPr="00573BB5" w:rsidRDefault="00E03E21" w:rsidP="00E03E21">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7607D3">
        <w:rPr>
          <w:rFonts w:asciiTheme="majorHAnsi" w:hAnsiTheme="majorHAnsi"/>
          <w:sz w:val="20"/>
          <w:szCs w:val="20"/>
          <w:lang w:val="es-VE"/>
        </w:rPr>
        <w:t xml:space="preserve">Disponer medidas de no repetición que incluyan el fortalecer el Programa de Protección a Defensores de Derechos Humanos, enfocándose en la prevención de actos de violencia en contra de defensores y defensoras de derechos de los trabajadores en Brasil; así como el fortalecimiento de la capacidad investigativa de este tipo de crímenes, conforme a los estándares desarrollados en el presente informe.  </w:t>
      </w:r>
    </w:p>
    <w:p w14:paraId="06275BD0" w14:textId="77777777" w:rsidR="00E03E21" w:rsidRDefault="00E03E21" w:rsidP="00E03E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14:paraId="2EFA0079" w14:textId="77777777" w:rsidR="00E03E21" w:rsidRPr="00E03E21" w:rsidRDefault="007729E0" w:rsidP="00E03E21">
      <w:pPr>
        <w:pStyle w:val="Heading1"/>
        <w:keepLines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0"/>
        <w:rPr>
          <w:rFonts w:eastAsia="Times New Roman" w:cs="Times New Roman"/>
          <w:bCs w:val="0"/>
          <w:color w:val="auto"/>
          <w:sz w:val="20"/>
          <w:szCs w:val="20"/>
          <w:bdr w:val="none" w:sz="0" w:space="0" w:color="auto"/>
          <w:lang w:val="es-ES_tradnl"/>
        </w:rPr>
      </w:pPr>
      <w:bookmarkStart w:id="35" w:name="_Toc399152688"/>
      <w:bookmarkStart w:id="36" w:name="_Toc86071609"/>
      <w:r>
        <w:rPr>
          <w:rFonts w:eastAsia="Times New Roman" w:cs="Times New Roman"/>
          <w:bCs w:val="0"/>
          <w:color w:val="auto"/>
          <w:sz w:val="20"/>
          <w:szCs w:val="20"/>
          <w:bdr w:val="none" w:sz="0" w:space="0" w:color="auto"/>
          <w:lang w:val="es-ES_tradnl"/>
        </w:rPr>
        <w:t xml:space="preserve">ACTUACIONES POSTERIORES </w:t>
      </w:r>
      <w:r w:rsidR="00E03E21" w:rsidRPr="00E03E21">
        <w:rPr>
          <w:rFonts w:eastAsia="Times New Roman" w:cs="Times New Roman"/>
          <w:bCs w:val="0"/>
          <w:color w:val="auto"/>
          <w:sz w:val="20"/>
          <w:szCs w:val="20"/>
          <w:bdr w:val="none" w:sz="0" w:space="0" w:color="auto"/>
          <w:lang w:val="es-ES_tradnl"/>
        </w:rPr>
        <w:t>AL INFORME No. 133/17</w:t>
      </w:r>
      <w:bookmarkEnd w:id="35"/>
      <w:bookmarkEnd w:id="36"/>
    </w:p>
    <w:p w14:paraId="47F0E77E" w14:textId="77777777" w:rsidR="00E03E21" w:rsidRPr="00E03E21" w:rsidRDefault="00E03E21" w:rsidP="00E03E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eastAsia="es-ES"/>
        </w:rPr>
      </w:pPr>
    </w:p>
    <w:p w14:paraId="7FED95D3" w14:textId="77777777" w:rsidR="00E03E21" w:rsidRPr="00E03E21" w:rsidRDefault="00E03E21" w:rsidP="00E03E2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hAnsiTheme="majorHAnsi"/>
          <w:sz w:val="20"/>
          <w:szCs w:val="20"/>
          <w:lang w:val="es-ES_tradnl"/>
        </w:rPr>
      </w:pPr>
      <w:r w:rsidRPr="00E03E21">
        <w:rPr>
          <w:rFonts w:asciiTheme="majorHAnsi" w:eastAsia="MS Mincho" w:hAnsiTheme="majorHAnsi"/>
          <w:sz w:val="20"/>
          <w:szCs w:val="20"/>
          <w:bdr w:val="none" w:sz="0" w:space="0" w:color="auto"/>
          <w:lang w:val="es-ES" w:eastAsia="ar-SA"/>
        </w:rPr>
        <w:t>El 1 de marzo de 2018 la Comisión transmitió el informe al Estado con un plazo de dos meses para que informara sobre las medidas adoptadas para dar cumplimiento a las recomendaciones allí contenidas.</w:t>
      </w:r>
    </w:p>
    <w:p w14:paraId="5899C3AD" w14:textId="77777777" w:rsidR="00E03E21" w:rsidRPr="00E03E21" w:rsidRDefault="00E03E21" w:rsidP="00E03E21">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720"/>
        <w:jc w:val="both"/>
        <w:rPr>
          <w:rFonts w:asciiTheme="majorHAnsi" w:hAnsiTheme="majorHAnsi"/>
          <w:sz w:val="20"/>
          <w:szCs w:val="20"/>
          <w:lang w:val="es-ES_tradnl"/>
        </w:rPr>
      </w:pPr>
    </w:p>
    <w:p w14:paraId="1DF49FC9" w14:textId="77777777" w:rsidR="00E03E21" w:rsidRPr="00E03E21" w:rsidRDefault="00E03E21" w:rsidP="00E03E2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hAnsiTheme="majorHAnsi"/>
          <w:sz w:val="20"/>
          <w:szCs w:val="20"/>
          <w:lang w:val="es-ES_tradnl"/>
        </w:rPr>
      </w:pPr>
      <w:r w:rsidRPr="00E03E21">
        <w:rPr>
          <w:rFonts w:asciiTheme="majorHAnsi" w:hAnsiTheme="majorHAnsi"/>
          <w:sz w:val="20"/>
          <w:szCs w:val="20"/>
          <w:lang w:val="es-ES_tradnl"/>
        </w:rPr>
        <w:t xml:space="preserve">El 27 de abril de 2018 el Estado indicó que aún no contaba con toda la información disponible para formular una respuesta a la CIDH, y que tenía prevista una visita al Estado de Paraíba en el mes de mayo, para compilar información sobre el caso. En virtud de ello, solicitó una prórroga de un mes para presentar mayor información, aceptando la suspensión del plazo previsto en el artículo 51.1 de la Convención Americana y renunció a interponer excepciones preliminares respecto de dicho plazo, en la eventualidad de que el asunto fuera remitido a la Corte. </w:t>
      </w:r>
    </w:p>
    <w:p w14:paraId="4CA2B6FD" w14:textId="77777777" w:rsidR="00E03E21" w:rsidRPr="00E03E21" w:rsidRDefault="00E03E21" w:rsidP="00E03E21">
      <w:pPr>
        <w:pStyle w:val="ListParagraph"/>
        <w:rPr>
          <w:rFonts w:asciiTheme="majorHAnsi" w:hAnsiTheme="majorHAnsi"/>
          <w:sz w:val="20"/>
          <w:szCs w:val="20"/>
          <w:lang w:val="es-ES_tradnl"/>
        </w:rPr>
      </w:pPr>
    </w:p>
    <w:p w14:paraId="1952E101" w14:textId="77777777" w:rsidR="00E03E21" w:rsidRPr="00E03E21" w:rsidRDefault="00E03E21" w:rsidP="00E03E2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hAnsiTheme="majorHAnsi"/>
          <w:sz w:val="20"/>
          <w:szCs w:val="20"/>
          <w:lang w:val="es-ES_tradnl"/>
        </w:rPr>
      </w:pPr>
      <w:r w:rsidRPr="00E03E21">
        <w:rPr>
          <w:rFonts w:asciiTheme="majorHAnsi" w:hAnsiTheme="majorHAnsi"/>
          <w:sz w:val="20"/>
          <w:szCs w:val="20"/>
          <w:lang w:val="es-ES_tradnl"/>
        </w:rPr>
        <w:t>El 1 de junio de 2018 la Comisión otorgó una prórroga de tres meses al Estado, con el objetivo de que este dispusiere de un plazo adicional para avanzar en el cumplimiento de las recomendaciones de la CIDH.</w:t>
      </w:r>
    </w:p>
    <w:p w14:paraId="1B8E95B8" w14:textId="77777777" w:rsidR="00E03E21" w:rsidRPr="00E03E21" w:rsidRDefault="00E03E21" w:rsidP="00E03E21">
      <w:pPr>
        <w:pStyle w:val="ListParagraph"/>
        <w:rPr>
          <w:rFonts w:asciiTheme="majorHAnsi" w:hAnsiTheme="majorHAnsi"/>
          <w:sz w:val="20"/>
          <w:szCs w:val="20"/>
          <w:lang w:val="es-ES_tradnl"/>
        </w:rPr>
      </w:pPr>
    </w:p>
    <w:p w14:paraId="481269B8" w14:textId="77777777" w:rsidR="00E03E21" w:rsidRPr="00E03E21" w:rsidRDefault="00E03E21" w:rsidP="00E03E2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hAnsiTheme="majorHAnsi"/>
          <w:sz w:val="20"/>
          <w:szCs w:val="20"/>
          <w:lang w:val="es-ES_tradnl"/>
        </w:rPr>
      </w:pPr>
      <w:r w:rsidRPr="00E03E21">
        <w:rPr>
          <w:rFonts w:asciiTheme="majorHAnsi" w:hAnsiTheme="majorHAnsi"/>
          <w:sz w:val="20"/>
          <w:szCs w:val="20"/>
          <w:lang w:val="es-ES_tradnl"/>
        </w:rPr>
        <w:t xml:space="preserve">El 15 de agosto de 2018 el Estado presentó su informe sobre cumplimiento de las recomendaciones del Informe de Fondo. En dicho Informe, el Estado indicó que el 26 de marzo de 2018 se realizó la XXIV reunión del Comité Técnico del Sistema Interamericano de Derechos Humanos, que tiene como objetivo promover el cumplimiento de las decisiones de la CIDH.  En dicha reunión, el Comité decidió realizar una visita al Estado de Paraíba con el objeto de articular junto con los órganos estatales y municipales, el cumplimiento de las recomendaciones del presente caso. Refirió que dicha visita se llevó a cabo en junio de 2018. </w:t>
      </w:r>
    </w:p>
    <w:p w14:paraId="056E8254" w14:textId="77777777" w:rsidR="00E03E21" w:rsidRPr="00E03E21" w:rsidRDefault="00E03E21" w:rsidP="00E03E21">
      <w:pPr>
        <w:rPr>
          <w:rFonts w:asciiTheme="majorHAnsi" w:hAnsiTheme="majorHAnsi"/>
          <w:sz w:val="20"/>
          <w:szCs w:val="20"/>
          <w:lang w:val="es-ES_tradnl"/>
        </w:rPr>
      </w:pPr>
    </w:p>
    <w:p w14:paraId="7B8A72C1" w14:textId="77777777" w:rsidR="00E03E21" w:rsidRPr="00E03E21" w:rsidRDefault="00E03E21" w:rsidP="00E03E2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hAnsiTheme="majorHAnsi"/>
          <w:sz w:val="20"/>
          <w:szCs w:val="20"/>
          <w:lang w:val="es-ES_tradnl"/>
        </w:rPr>
      </w:pPr>
      <w:r w:rsidRPr="00E03E21">
        <w:rPr>
          <w:rFonts w:asciiTheme="majorHAnsi" w:hAnsiTheme="majorHAnsi"/>
          <w:sz w:val="20"/>
          <w:szCs w:val="20"/>
          <w:lang w:val="es-ES_tradnl"/>
        </w:rPr>
        <w:t xml:space="preserve">Indicó que adicionalmente, el 24 de mayo de 2018 se llevó a cabo una reunión entre el Ministerio de Derechos Humanos y la Comisión de Derechos Humanos y Minorías de la Cámara de Diputados, en la cual se discutió el caso de Margarida Maria Alves. Refirió que el diputado presidente de la Comisión de Derechos Humanos reconoció la importancia del caso e indicó que la casa en que Margarida Maria Alves residía fue transformada en museo con el objeto de preservar su memoria. Asimismo, informó que dicho diputado </w:t>
      </w:r>
      <w:r w:rsidRPr="00E03E21">
        <w:rPr>
          <w:rFonts w:asciiTheme="majorHAnsi" w:hAnsiTheme="majorHAnsi"/>
          <w:sz w:val="20"/>
          <w:szCs w:val="20"/>
          <w:lang w:val="es-ES_tradnl"/>
        </w:rPr>
        <w:lastRenderedPageBreak/>
        <w:t xml:space="preserve">también destacó la posibilidad de realizar una audiencia pública en la Asamblea Legislativa del Estado de Paraíba, con el objeto de tratar sobre casos de violaciones a derechos humanos, incluido el de Margarida Maria Alves. </w:t>
      </w:r>
    </w:p>
    <w:p w14:paraId="096156B2" w14:textId="77777777" w:rsidR="00E03E21" w:rsidRPr="00E03E21" w:rsidRDefault="00E03E21" w:rsidP="00E03E21">
      <w:pPr>
        <w:pStyle w:val="ListParagraph"/>
        <w:rPr>
          <w:rFonts w:asciiTheme="majorHAnsi" w:hAnsiTheme="majorHAnsi"/>
          <w:sz w:val="20"/>
          <w:szCs w:val="20"/>
          <w:lang w:val="es-ES_tradnl"/>
        </w:rPr>
      </w:pPr>
    </w:p>
    <w:p w14:paraId="76479273" w14:textId="77777777" w:rsidR="00E03E21" w:rsidRPr="00E03E21" w:rsidRDefault="00E03E21" w:rsidP="00E03E2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hAnsiTheme="majorHAnsi"/>
          <w:sz w:val="20"/>
          <w:szCs w:val="20"/>
          <w:lang w:val="es-ES_tradnl"/>
        </w:rPr>
      </w:pPr>
      <w:r w:rsidRPr="00E03E21">
        <w:rPr>
          <w:rFonts w:asciiTheme="majorHAnsi" w:hAnsiTheme="majorHAnsi"/>
          <w:sz w:val="20"/>
          <w:szCs w:val="20"/>
          <w:lang w:val="es-ES_tradnl"/>
        </w:rPr>
        <w:t xml:space="preserve">El Estado informó que el 15 de junio de 2018 llevó a cabo una videoconferencia con la parte peticionaria, con el objeto de esclarecer las acciones que está desarrollando el Estado para dar cumplimiento a las recomendaciones del Informe de Fondo. </w:t>
      </w:r>
    </w:p>
    <w:p w14:paraId="32CA30ED" w14:textId="77777777" w:rsidR="00E03E21" w:rsidRPr="00E03E21" w:rsidRDefault="00E03E21" w:rsidP="00E03E21">
      <w:pPr>
        <w:pStyle w:val="ListParagraph"/>
        <w:rPr>
          <w:rFonts w:asciiTheme="majorHAnsi" w:hAnsiTheme="majorHAnsi"/>
          <w:sz w:val="20"/>
          <w:szCs w:val="20"/>
          <w:lang w:val="es-ES_tradnl"/>
        </w:rPr>
      </w:pPr>
    </w:p>
    <w:p w14:paraId="11C3C459" w14:textId="77777777" w:rsidR="00E03E21" w:rsidRPr="00E03E21" w:rsidRDefault="00E03E21" w:rsidP="00E03E2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hAnsiTheme="majorHAnsi"/>
          <w:sz w:val="20"/>
          <w:szCs w:val="20"/>
          <w:lang w:val="es-ES_tradnl"/>
        </w:rPr>
      </w:pPr>
      <w:r w:rsidRPr="00E03E21">
        <w:rPr>
          <w:rFonts w:asciiTheme="majorHAnsi" w:hAnsiTheme="majorHAnsi"/>
          <w:sz w:val="20"/>
          <w:szCs w:val="20"/>
          <w:lang w:val="es-ES_tradnl"/>
        </w:rPr>
        <w:t xml:space="preserve">Específicamente, respecto del cumplimiento de recomendaciones, el Estado informó en relación con la </w:t>
      </w:r>
      <w:r w:rsidRPr="00E03E21">
        <w:rPr>
          <w:rFonts w:asciiTheme="majorHAnsi" w:hAnsiTheme="majorHAnsi"/>
          <w:b/>
          <w:sz w:val="20"/>
          <w:szCs w:val="20"/>
          <w:lang w:val="es-ES_tradnl"/>
        </w:rPr>
        <w:t>primera recomendación</w:t>
      </w:r>
      <w:r w:rsidRPr="00E03E21">
        <w:rPr>
          <w:rFonts w:asciiTheme="majorHAnsi" w:hAnsiTheme="majorHAnsi"/>
          <w:sz w:val="20"/>
          <w:szCs w:val="20"/>
          <w:lang w:val="es-ES_tradnl"/>
        </w:rPr>
        <w:t xml:space="preserve"> que el 18 de julio de 2018 celebró una reunión con la parte peticionaria, en la que José de Arimatéia, hijo de la víctima, presentó una propuesta de pago de cuarenta mil dólares por daños materiales y de sesenta mil dólares por daños morales. Indicó que la propuesta está bajo análisis jurídico.  Refirió que adicionalmente, como reparación simbólica, el Ministerio de Derechos Humanos propuso llevar a cabo una audiencia pública en la Asamblea Legislativa de Paráiba en memoria de Margarida Maria Alves.  </w:t>
      </w:r>
    </w:p>
    <w:p w14:paraId="1E50526A" w14:textId="77777777" w:rsidR="00E03E21" w:rsidRPr="00E03E21" w:rsidRDefault="00E03E21" w:rsidP="00E03E21">
      <w:pPr>
        <w:pStyle w:val="ListParagraph"/>
        <w:rPr>
          <w:rFonts w:asciiTheme="majorHAnsi" w:hAnsiTheme="majorHAnsi"/>
          <w:sz w:val="20"/>
          <w:szCs w:val="20"/>
          <w:lang w:val="es-ES_tradnl"/>
        </w:rPr>
      </w:pPr>
    </w:p>
    <w:p w14:paraId="0A767C4F" w14:textId="77777777" w:rsidR="00E03E21" w:rsidRPr="00E03E21" w:rsidRDefault="00E03E21" w:rsidP="00E03E2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hAnsiTheme="majorHAnsi"/>
          <w:sz w:val="20"/>
          <w:szCs w:val="20"/>
          <w:lang w:val="es-ES_tradnl"/>
        </w:rPr>
      </w:pPr>
      <w:r w:rsidRPr="00E03E21">
        <w:rPr>
          <w:rFonts w:asciiTheme="majorHAnsi" w:hAnsiTheme="majorHAnsi"/>
          <w:sz w:val="20"/>
          <w:szCs w:val="20"/>
          <w:lang w:val="es-ES_tradnl"/>
        </w:rPr>
        <w:t xml:space="preserve">Indicó que como parte del reconocimiento público de las violaciones provocadas a la víctima,  el 7 de noviembre de 2016 Margarida Maria Alves fue declarada amnistiada política mediante ordenanza en el Diario Oficial.  Refirió adicionalmente, que existe un proyecto de ley que busca incluir a Margarida Alves en el libro de los héroes de la patria, el cual está depositado en el panteón de la libertad y de la democracia, en Brasilia, y contiene los nombres de personalidades reverenciadas en la historia del país. También, indicó que la casa donde vivía la víctima en Alagoa Grande/PB fue convertida en museo, y allí se encuentran a la exposición objetos personales fotografías y artículos periodísticos referidos a la lucha de la víctima por la población rural. </w:t>
      </w:r>
    </w:p>
    <w:p w14:paraId="7E8BA754" w14:textId="77777777" w:rsidR="00E03E21" w:rsidRPr="00E03E21" w:rsidRDefault="00E03E21" w:rsidP="00E03E21">
      <w:pPr>
        <w:pStyle w:val="ListParagraph"/>
        <w:rPr>
          <w:rFonts w:asciiTheme="majorHAnsi" w:hAnsiTheme="majorHAnsi"/>
          <w:sz w:val="20"/>
          <w:szCs w:val="20"/>
          <w:lang w:val="es-ES_tradnl"/>
        </w:rPr>
      </w:pPr>
    </w:p>
    <w:p w14:paraId="4E9F5067" w14:textId="77777777" w:rsidR="00E03E21" w:rsidRPr="00E03E21" w:rsidRDefault="00E03E21" w:rsidP="00E03E2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hAnsiTheme="majorHAnsi"/>
          <w:sz w:val="20"/>
          <w:szCs w:val="20"/>
          <w:lang w:val="es-ES_tradnl"/>
        </w:rPr>
      </w:pPr>
      <w:r w:rsidRPr="00E03E21">
        <w:rPr>
          <w:rFonts w:asciiTheme="majorHAnsi" w:hAnsiTheme="majorHAnsi"/>
          <w:sz w:val="20"/>
          <w:szCs w:val="20"/>
          <w:lang w:val="es-ES_tradnl"/>
        </w:rPr>
        <w:t xml:space="preserve">Asimismo, indicó que como parte de las reparaciones simbólicas se han nombrado 22 calles y 4 asentamientos en todo Brasil con el nombre de Margarida Maria Alves.  También refirió que el caso de la víctima fue incluido en el Informe Final de la Comisión de la Verdad del Estado de Paraíba. </w:t>
      </w:r>
    </w:p>
    <w:p w14:paraId="50DC683E" w14:textId="77777777" w:rsidR="00E03E21" w:rsidRPr="00E03E21" w:rsidRDefault="00E03E21" w:rsidP="00E03E21">
      <w:pPr>
        <w:pStyle w:val="ListParagraph"/>
        <w:rPr>
          <w:rFonts w:asciiTheme="majorHAnsi" w:hAnsiTheme="majorHAnsi"/>
          <w:sz w:val="20"/>
          <w:szCs w:val="20"/>
          <w:lang w:val="es-ES_tradnl"/>
        </w:rPr>
      </w:pPr>
    </w:p>
    <w:p w14:paraId="3297F0C9" w14:textId="77777777" w:rsidR="00E03E21" w:rsidRPr="00E03E21" w:rsidRDefault="00E03E21" w:rsidP="00E03E2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hAnsiTheme="majorHAnsi"/>
          <w:sz w:val="20"/>
          <w:szCs w:val="20"/>
          <w:lang w:val="es-ES_tradnl"/>
        </w:rPr>
      </w:pPr>
      <w:r w:rsidRPr="00E03E21">
        <w:rPr>
          <w:rFonts w:asciiTheme="majorHAnsi" w:hAnsiTheme="majorHAnsi"/>
          <w:sz w:val="20"/>
          <w:szCs w:val="20"/>
          <w:lang w:val="es-ES_tradnl"/>
        </w:rPr>
        <w:t xml:space="preserve">Con respecto a la </w:t>
      </w:r>
      <w:r w:rsidRPr="00E03E21">
        <w:rPr>
          <w:rFonts w:asciiTheme="majorHAnsi" w:hAnsiTheme="majorHAnsi"/>
          <w:b/>
          <w:sz w:val="20"/>
          <w:szCs w:val="20"/>
          <w:lang w:val="es-ES_tradnl"/>
        </w:rPr>
        <w:t>segunda recomendación</w:t>
      </w:r>
      <w:r w:rsidRPr="00E03E21">
        <w:rPr>
          <w:rFonts w:asciiTheme="majorHAnsi" w:hAnsiTheme="majorHAnsi"/>
          <w:sz w:val="20"/>
          <w:szCs w:val="20"/>
          <w:lang w:val="es-ES_tradnl"/>
        </w:rPr>
        <w:t xml:space="preserve">, el Estado reiteró lo alegado en la etapa de fondo en cuanto a que las investigaciones y acciones penales en el presente caso fueron realizadas en observancia de las garantías judiciales y protección judicial previstas en la Convención Americana. El Estado indicó expresamente que resulta inviable la instauración de una nueva investigación o juicio sobre una causa ya decidida. Refirió que el Estado, en el legítimo ejercicio de su soberanía, interpretó y aplicó el derecho nacional  en los procesos que ya fueron llevados a cabo y que no cabe una revisión de las decisiones ya tomadas. </w:t>
      </w:r>
    </w:p>
    <w:p w14:paraId="09FD15D5" w14:textId="77777777" w:rsidR="00E03E21" w:rsidRPr="00E03E21" w:rsidRDefault="00E03E21" w:rsidP="00E03E21">
      <w:pPr>
        <w:pStyle w:val="ListParagraph"/>
        <w:rPr>
          <w:rFonts w:asciiTheme="majorHAnsi" w:hAnsiTheme="majorHAnsi"/>
          <w:sz w:val="20"/>
          <w:szCs w:val="20"/>
          <w:lang w:val="es-ES_tradnl"/>
        </w:rPr>
      </w:pPr>
    </w:p>
    <w:p w14:paraId="4D3B3271" w14:textId="77777777" w:rsidR="00E03E21" w:rsidRPr="00E03E21" w:rsidRDefault="00E03E21" w:rsidP="00E03E2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hAnsiTheme="majorHAnsi"/>
          <w:sz w:val="20"/>
          <w:szCs w:val="20"/>
          <w:lang w:val="es-ES_tradnl"/>
        </w:rPr>
      </w:pPr>
      <w:r w:rsidRPr="00E03E21">
        <w:rPr>
          <w:rFonts w:asciiTheme="majorHAnsi" w:hAnsiTheme="majorHAnsi"/>
          <w:sz w:val="20"/>
          <w:szCs w:val="20"/>
          <w:lang w:val="es-ES_tradnl"/>
        </w:rPr>
        <w:t>Indicó que la utilidad de la sanción penal no se reduce a la dimensión retributiva y que ya han adoptado las medidas para proteger la actividad periodística y en sentido general, la libertad de expresión, que permiten concluir que el eventual efecto preventivo de la sanción penal ha sido satisfecho.</w:t>
      </w:r>
    </w:p>
    <w:p w14:paraId="730AFD61" w14:textId="77777777" w:rsidR="00E03E21" w:rsidRPr="00E03E21" w:rsidRDefault="00E03E21" w:rsidP="00E03E21">
      <w:pPr>
        <w:pStyle w:val="ListParagraph"/>
        <w:rPr>
          <w:rFonts w:asciiTheme="majorHAnsi" w:hAnsiTheme="majorHAnsi"/>
          <w:sz w:val="20"/>
          <w:szCs w:val="20"/>
          <w:lang w:val="es-ES_tradnl"/>
        </w:rPr>
      </w:pPr>
    </w:p>
    <w:p w14:paraId="07A75466" w14:textId="77777777" w:rsidR="00E03E21" w:rsidRPr="00E03E21" w:rsidRDefault="00E03E21" w:rsidP="00E03E2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hAnsiTheme="majorHAnsi"/>
          <w:sz w:val="20"/>
          <w:szCs w:val="20"/>
          <w:lang w:val="es-ES_tradnl"/>
        </w:rPr>
      </w:pPr>
      <w:r w:rsidRPr="00E03E21">
        <w:rPr>
          <w:rFonts w:asciiTheme="majorHAnsi" w:hAnsiTheme="majorHAnsi"/>
          <w:sz w:val="20"/>
          <w:szCs w:val="20"/>
          <w:lang w:val="es-ES_tradnl"/>
        </w:rPr>
        <w:t>Adicionalmente, en cuanto a la parte de la segunda recomendación relacionada con adoptar todas las medidas para proteger a testigos y otros actores del proceso, el Estado indicó que existe el Programa de Protección a víctimas y testigos amenazados que tiene por objeto ofrecer protección especial a víctimas y testigos de crímenes que se encuentran en riesgo como consecuencia de su colaboración en los procesos penales.  Indicó que con este programa se cumple con la parte referida de la recomendación de la CIDH.</w:t>
      </w:r>
    </w:p>
    <w:p w14:paraId="395D7EBC" w14:textId="77777777" w:rsidR="00E03E21" w:rsidRPr="00E03E21" w:rsidRDefault="00E03E21" w:rsidP="00E03E21">
      <w:pPr>
        <w:pStyle w:val="ListParagraph"/>
        <w:rPr>
          <w:rFonts w:asciiTheme="majorHAnsi" w:hAnsiTheme="majorHAnsi"/>
          <w:sz w:val="20"/>
          <w:szCs w:val="20"/>
          <w:lang w:val="es-ES_tradnl"/>
        </w:rPr>
      </w:pPr>
    </w:p>
    <w:p w14:paraId="52D3B62E" w14:textId="77777777" w:rsidR="00E03E21" w:rsidRPr="00E03E21" w:rsidRDefault="00E03E21" w:rsidP="00E03E2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hAnsiTheme="majorHAnsi"/>
          <w:sz w:val="20"/>
          <w:szCs w:val="20"/>
          <w:lang w:val="es-ES_tradnl"/>
        </w:rPr>
      </w:pPr>
      <w:r w:rsidRPr="00E03E21">
        <w:rPr>
          <w:rFonts w:asciiTheme="majorHAnsi" w:hAnsiTheme="majorHAnsi"/>
          <w:sz w:val="20"/>
          <w:szCs w:val="20"/>
          <w:lang w:val="es-ES_tradnl"/>
        </w:rPr>
        <w:t xml:space="preserve">En cuanto a la </w:t>
      </w:r>
      <w:r w:rsidRPr="00E03E21">
        <w:rPr>
          <w:rFonts w:asciiTheme="majorHAnsi" w:hAnsiTheme="majorHAnsi"/>
          <w:b/>
          <w:sz w:val="20"/>
          <w:szCs w:val="20"/>
          <w:lang w:val="es-ES_tradnl"/>
        </w:rPr>
        <w:t>tercera recomendación</w:t>
      </w:r>
      <w:r w:rsidRPr="00E03E21">
        <w:rPr>
          <w:rFonts w:asciiTheme="majorHAnsi" w:hAnsiTheme="majorHAnsi"/>
          <w:sz w:val="20"/>
          <w:szCs w:val="20"/>
          <w:lang w:val="es-ES_tradnl"/>
        </w:rPr>
        <w:t xml:space="preserve">, el Estado indicó que la Secretaria Municipal de Salud de Joao Pessoa se comprometió a prestar asistencia de salud al señor José de Arimatéia, quien manifestó que requería el servicio por ciertas afectaciones a su salud.  Refirió que el 14 de agosto de 2018 el señor José de Arimatéia fue atendido por un médico que solicitó la realización de ciertos exámenes. </w:t>
      </w:r>
    </w:p>
    <w:p w14:paraId="1F00F248" w14:textId="77777777" w:rsidR="00E03E21" w:rsidRPr="00E03E21" w:rsidRDefault="00E03E21" w:rsidP="00E03E21">
      <w:pPr>
        <w:pStyle w:val="ListParagraph"/>
        <w:rPr>
          <w:rFonts w:asciiTheme="majorHAnsi" w:hAnsiTheme="majorHAnsi"/>
          <w:sz w:val="20"/>
          <w:szCs w:val="20"/>
          <w:lang w:val="es-ES_tradnl"/>
        </w:rPr>
      </w:pPr>
    </w:p>
    <w:p w14:paraId="025B7965" w14:textId="77777777" w:rsidR="00E03E21" w:rsidRPr="00E03E21" w:rsidRDefault="00E03E21" w:rsidP="00E03E2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hAnsiTheme="majorHAnsi"/>
          <w:sz w:val="20"/>
          <w:szCs w:val="20"/>
          <w:lang w:val="es-ES_tradnl"/>
        </w:rPr>
      </w:pPr>
      <w:r w:rsidRPr="00E03E21">
        <w:rPr>
          <w:rFonts w:asciiTheme="majorHAnsi" w:hAnsiTheme="majorHAnsi"/>
          <w:sz w:val="20"/>
          <w:szCs w:val="20"/>
          <w:lang w:val="es-ES_tradnl"/>
        </w:rPr>
        <w:t xml:space="preserve">En relación con la </w:t>
      </w:r>
      <w:r w:rsidRPr="00E03E21">
        <w:rPr>
          <w:rFonts w:asciiTheme="majorHAnsi" w:hAnsiTheme="majorHAnsi"/>
          <w:b/>
          <w:sz w:val="20"/>
          <w:szCs w:val="20"/>
          <w:lang w:val="es-ES_tradnl"/>
        </w:rPr>
        <w:t>cuarta recomendación</w:t>
      </w:r>
      <w:r w:rsidRPr="00E03E21">
        <w:rPr>
          <w:rFonts w:asciiTheme="majorHAnsi" w:hAnsiTheme="majorHAnsi"/>
          <w:sz w:val="20"/>
          <w:szCs w:val="20"/>
          <w:lang w:val="es-ES_tradnl"/>
        </w:rPr>
        <w:t xml:space="preserve"> relacionada con medidas de no repetición, el Estado indicó que desde 2007 dispone de una Política Nacional de Protección a Defensores de Derechos Humanos, y desde 2004 de un Programa de Protección a Defensores de Derechos Humanos, con el fin de proteger a personas que tienen sus derechos amenazados como consecuencia de la promoción o defensa de los derechos humanos. Indicó que actualmente están incluidos 444 defensores sobre todo de causas indígenas y de derechos </w:t>
      </w:r>
      <w:r w:rsidRPr="00E03E21">
        <w:rPr>
          <w:rFonts w:asciiTheme="majorHAnsi" w:hAnsiTheme="majorHAnsi"/>
          <w:sz w:val="20"/>
          <w:szCs w:val="20"/>
          <w:lang w:val="es-ES_tradnl"/>
        </w:rPr>
        <w:lastRenderedPageBreak/>
        <w:t xml:space="preserve">de la tierra, en el programa de defensores.  Refirió que el programa de defensores es el único que tiene ejecución en todo el territorio nacional, lo cual demuestra el compromiso del Estado brasileño en la defensa de los derechos humanos. </w:t>
      </w:r>
    </w:p>
    <w:p w14:paraId="0A4CC4E0" w14:textId="77777777" w:rsidR="00E03E21" w:rsidRPr="00E03E21" w:rsidRDefault="00E03E21" w:rsidP="00E03E21">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jc w:val="both"/>
        <w:rPr>
          <w:rFonts w:asciiTheme="majorHAnsi" w:hAnsiTheme="majorHAnsi"/>
          <w:sz w:val="20"/>
          <w:szCs w:val="20"/>
          <w:lang w:val="es-ES_tradnl"/>
        </w:rPr>
      </w:pPr>
    </w:p>
    <w:p w14:paraId="3E298D29" w14:textId="77777777" w:rsidR="007729E0" w:rsidRDefault="00E03E21" w:rsidP="007729E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hAnsiTheme="majorHAnsi"/>
          <w:sz w:val="20"/>
          <w:szCs w:val="20"/>
          <w:lang w:val="es-ES_tradnl"/>
        </w:rPr>
      </w:pPr>
      <w:r w:rsidRPr="00E03E21">
        <w:rPr>
          <w:rFonts w:asciiTheme="majorHAnsi" w:hAnsiTheme="majorHAnsi"/>
          <w:sz w:val="20"/>
          <w:szCs w:val="20"/>
          <w:lang w:val="es-ES_tradnl"/>
        </w:rPr>
        <w:t xml:space="preserve">Añadió que el ombudsman nacional de derechos humanos también ha realizado acciones para prevenir la violencia en el campo, delitos ambientales, amenazas de muerte a </w:t>
      </w:r>
      <w:r w:rsidR="007729E0" w:rsidRPr="00E03E21">
        <w:rPr>
          <w:rFonts w:asciiTheme="majorHAnsi" w:hAnsiTheme="majorHAnsi"/>
          <w:sz w:val="20"/>
          <w:szCs w:val="20"/>
          <w:lang w:val="es-ES_tradnl"/>
        </w:rPr>
        <w:t>líderes</w:t>
      </w:r>
      <w:r w:rsidRPr="00E03E21">
        <w:rPr>
          <w:rFonts w:asciiTheme="majorHAnsi" w:hAnsiTheme="majorHAnsi"/>
          <w:sz w:val="20"/>
          <w:szCs w:val="20"/>
          <w:lang w:val="es-ES_tradnl"/>
        </w:rPr>
        <w:t xml:space="preserve"> de trabajadores rurales, y otras, mediante reuniones, visitas in loco y otros. Indicó que a su vez, la Defensoría Agraria Nacional  participa en procesos de mediación y conciliación de conflictos agrarios.</w:t>
      </w:r>
      <w:bookmarkStart w:id="37" w:name="_Toc399152689"/>
    </w:p>
    <w:p w14:paraId="5B1928D0" w14:textId="77777777" w:rsidR="00B656B3" w:rsidRPr="00B656B3" w:rsidRDefault="00B656B3" w:rsidP="00B656B3">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jc w:val="both"/>
        <w:rPr>
          <w:rFonts w:asciiTheme="majorHAnsi" w:hAnsiTheme="majorHAnsi"/>
          <w:sz w:val="20"/>
          <w:szCs w:val="20"/>
          <w:lang w:val="es-ES_tradnl"/>
        </w:rPr>
      </w:pPr>
    </w:p>
    <w:p w14:paraId="6F3F96B1" w14:textId="77777777" w:rsidR="007729E0" w:rsidRPr="00303FF6" w:rsidRDefault="00496156" w:rsidP="007729E0">
      <w:pPr>
        <w:pStyle w:val="Heading1"/>
        <w:keepLines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0"/>
        <w:rPr>
          <w:rFonts w:eastAsia="Times New Roman" w:cs="Times New Roman"/>
          <w:bCs w:val="0"/>
          <w:color w:val="auto"/>
          <w:sz w:val="20"/>
          <w:szCs w:val="20"/>
          <w:bdr w:val="none" w:sz="0" w:space="0" w:color="auto"/>
          <w:lang w:val="es-ES_tradnl"/>
        </w:rPr>
      </w:pPr>
      <w:bookmarkStart w:id="38" w:name="_Toc86071610"/>
      <w:r w:rsidRPr="00303FF6">
        <w:rPr>
          <w:rFonts w:eastAsia="Times New Roman" w:cs="Times New Roman"/>
          <w:bCs w:val="0"/>
          <w:color w:val="auto"/>
          <w:sz w:val="20"/>
          <w:szCs w:val="20"/>
          <w:bdr w:val="none" w:sz="0" w:space="0" w:color="auto"/>
          <w:lang w:val="es-ES_tradnl"/>
        </w:rPr>
        <w:t>INFORME No. 120/18</w:t>
      </w:r>
      <w:r w:rsidR="005B454D" w:rsidRPr="00303FF6">
        <w:rPr>
          <w:rFonts w:eastAsia="Times New Roman" w:cs="Times New Roman"/>
          <w:bCs w:val="0"/>
          <w:color w:val="auto"/>
          <w:sz w:val="20"/>
          <w:szCs w:val="20"/>
          <w:bdr w:val="none" w:sz="0" w:space="0" w:color="auto"/>
          <w:lang w:val="es-ES_tradnl"/>
        </w:rPr>
        <w:t xml:space="preserve"> E </w:t>
      </w:r>
      <w:r w:rsidR="00F040C7" w:rsidRPr="00303FF6">
        <w:rPr>
          <w:rFonts w:eastAsia="Times New Roman" w:cs="Times New Roman"/>
          <w:bCs w:val="0"/>
          <w:color w:val="auto"/>
          <w:sz w:val="20"/>
          <w:szCs w:val="20"/>
          <w:bdr w:val="none" w:sz="0" w:space="0" w:color="auto"/>
          <w:lang w:val="es-ES_tradnl"/>
        </w:rPr>
        <w:t>INFORMACIÓN</w:t>
      </w:r>
      <w:r w:rsidR="005B454D" w:rsidRPr="00303FF6">
        <w:rPr>
          <w:rFonts w:eastAsia="Times New Roman" w:cs="Times New Roman"/>
          <w:bCs w:val="0"/>
          <w:color w:val="auto"/>
          <w:sz w:val="20"/>
          <w:szCs w:val="20"/>
          <w:bdr w:val="none" w:sz="0" w:space="0" w:color="auto"/>
          <w:lang w:val="es-ES_tradnl"/>
        </w:rPr>
        <w:t xml:space="preserve"> SOBRE CUMPLIMIENTO</w:t>
      </w:r>
      <w:bookmarkEnd w:id="38"/>
    </w:p>
    <w:p w14:paraId="7584EA0D" w14:textId="77777777" w:rsidR="007729E0" w:rsidRPr="00303FF6" w:rsidRDefault="007729E0" w:rsidP="007729E0">
      <w:pPr>
        <w:rPr>
          <w:lang w:val="es-ES_tradnl"/>
        </w:rPr>
      </w:pPr>
    </w:p>
    <w:p w14:paraId="0713E857" w14:textId="77777777" w:rsidR="00496156" w:rsidRPr="00303FF6" w:rsidRDefault="00496156" w:rsidP="0049615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eastAsia="MS Mincho" w:hAnsiTheme="majorHAnsi"/>
          <w:sz w:val="20"/>
          <w:szCs w:val="20"/>
          <w:bdr w:val="none" w:sz="0" w:space="0" w:color="auto"/>
          <w:lang w:val="es-ES" w:eastAsia="ar-SA"/>
        </w:rPr>
      </w:pPr>
      <w:r w:rsidRPr="00303FF6">
        <w:rPr>
          <w:rFonts w:asciiTheme="majorHAnsi" w:eastAsia="MS Mincho" w:hAnsiTheme="majorHAnsi"/>
          <w:sz w:val="20"/>
          <w:szCs w:val="20"/>
          <w:bdr w:val="none" w:sz="0" w:space="0" w:color="auto"/>
          <w:lang w:val="es-ES" w:eastAsia="ar-SA"/>
        </w:rPr>
        <w:t>El 14 de diciembre de 2018 la Comisión transmitió al Estado el Informe de Fondo Final 120/18 y le concedió al Estado un plazo de un mes para que informara sobre las medidas adoptadas para dar cumplimiento a las recomendaciones allí contenidas.</w:t>
      </w:r>
    </w:p>
    <w:p w14:paraId="21C50F93" w14:textId="77777777" w:rsidR="00496156" w:rsidRPr="00303FF6" w:rsidRDefault="00496156" w:rsidP="00496156">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720"/>
        <w:jc w:val="both"/>
        <w:rPr>
          <w:rFonts w:asciiTheme="majorHAnsi" w:eastAsia="MS Mincho" w:hAnsiTheme="majorHAnsi"/>
          <w:sz w:val="20"/>
          <w:szCs w:val="20"/>
          <w:bdr w:val="none" w:sz="0" w:space="0" w:color="auto"/>
          <w:lang w:val="es-ES" w:eastAsia="ar-SA"/>
        </w:rPr>
      </w:pPr>
    </w:p>
    <w:p w14:paraId="1FF33633" w14:textId="77777777" w:rsidR="00502F2E" w:rsidRPr="00303FF6" w:rsidRDefault="0036153F" w:rsidP="007729E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eastAsia="MS Mincho" w:hAnsiTheme="majorHAnsi"/>
          <w:sz w:val="20"/>
          <w:szCs w:val="20"/>
          <w:bdr w:val="none" w:sz="0" w:space="0" w:color="auto"/>
          <w:lang w:val="es-ES" w:eastAsia="ar-SA"/>
        </w:rPr>
      </w:pPr>
      <w:r w:rsidRPr="00303FF6">
        <w:rPr>
          <w:rFonts w:asciiTheme="majorHAnsi" w:eastAsia="MS Mincho" w:hAnsiTheme="majorHAnsi"/>
          <w:sz w:val="20"/>
          <w:szCs w:val="20"/>
          <w:bdr w:val="none" w:sz="0" w:space="0" w:color="auto"/>
          <w:lang w:val="es-ES" w:eastAsia="ar-SA"/>
        </w:rPr>
        <w:t xml:space="preserve">El 14 de enero de 2019 la parte peticionaria presentó sus observaciones sobre el cumplimiento de las recomendaciones del Informe 120/18. </w:t>
      </w:r>
      <w:r w:rsidR="00502F2E" w:rsidRPr="00303FF6">
        <w:rPr>
          <w:rFonts w:asciiTheme="majorHAnsi" w:eastAsia="MS Mincho" w:hAnsiTheme="majorHAnsi"/>
          <w:sz w:val="20"/>
          <w:szCs w:val="20"/>
          <w:bdr w:val="none" w:sz="0" w:space="0" w:color="auto"/>
          <w:lang w:val="es-ES" w:eastAsia="ar-SA"/>
        </w:rPr>
        <w:t xml:space="preserve">El </w:t>
      </w:r>
      <w:r w:rsidR="00BE5059" w:rsidRPr="00303FF6">
        <w:rPr>
          <w:rFonts w:asciiTheme="majorHAnsi" w:eastAsia="MS Mincho" w:hAnsiTheme="majorHAnsi"/>
          <w:sz w:val="20"/>
          <w:szCs w:val="20"/>
          <w:bdr w:val="none" w:sz="0" w:space="0" w:color="auto"/>
          <w:lang w:val="es-ES" w:eastAsia="ar-SA"/>
        </w:rPr>
        <w:t xml:space="preserve">7 y </w:t>
      </w:r>
      <w:r w:rsidR="00502F2E" w:rsidRPr="00303FF6">
        <w:rPr>
          <w:rFonts w:asciiTheme="majorHAnsi" w:eastAsia="MS Mincho" w:hAnsiTheme="majorHAnsi"/>
          <w:sz w:val="20"/>
          <w:szCs w:val="20"/>
          <w:bdr w:val="none" w:sz="0" w:space="0" w:color="auto"/>
          <w:lang w:val="es-ES" w:eastAsia="ar-SA"/>
        </w:rPr>
        <w:t xml:space="preserve">8 de febrero de 2019 el Estado presentó </w:t>
      </w:r>
      <w:r w:rsidR="00BE5059" w:rsidRPr="00303FF6">
        <w:rPr>
          <w:rFonts w:asciiTheme="majorHAnsi" w:eastAsia="MS Mincho" w:hAnsiTheme="majorHAnsi"/>
          <w:sz w:val="20"/>
          <w:szCs w:val="20"/>
          <w:bdr w:val="none" w:sz="0" w:space="0" w:color="auto"/>
          <w:lang w:val="es-ES" w:eastAsia="ar-SA"/>
        </w:rPr>
        <w:t xml:space="preserve">informes sobre </w:t>
      </w:r>
      <w:r w:rsidR="00944DD8" w:rsidRPr="00303FF6">
        <w:rPr>
          <w:rFonts w:asciiTheme="majorHAnsi" w:eastAsia="MS Mincho" w:hAnsiTheme="majorHAnsi"/>
          <w:sz w:val="20"/>
          <w:szCs w:val="20"/>
          <w:bdr w:val="none" w:sz="0" w:space="0" w:color="auto"/>
          <w:lang w:val="es-ES" w:eastAsia="ar-SA"/>
        </w:rPr>
        <w:t xml:space="preserve">el cumplimiento de recomendaciones. </w:t>
      </w:r>
      <w:r w:rsidR="0074363B" w:rsidRPr="00303FF6">
        <w:rPr>
          <w:rFonts w:asciiTheme="majorHAnsi" w:eastAsia="MS Mincho" w:hAnsiTheme="majorHAnsi"/>
          <w:sz w:val="20"/>
          <w:szCs w:val="20"/>
          <w:bdr w:val="none" w:sz="0" w:space="0" w:color="auto"/>
          <w:lang w:val="es-ES" w:eastAsia="ar-SA"/>
        </w:rPr>
        <w:t xml:space="preserve">El 13 de febrero de 2019 en el marco del 171 periodo de sesiones, la CIDH celebró una reunión de trabajo entre las partes. </w:t>
      </w:r>
      <w:r w:rsidR="009D3775" w:rsidRPr="00303FF6">
        <w:rPr>
          <w:rFonts w:asciiTheme="majorHAnsi" w:eastAsia="MS Mincho" w:hAnsiTheme="majorHAnsi"/>
          <w:sz w:val="20"/>
          <w:szCs w:val="20"/>
          <w:bdr w:val="none" w:sz="0" w:space="0" w:color="auto"/>
          <w:lang w:val="es-ES" w:eastAsia="ar-SA"/>
        </w:rPr>
        <w:t xml:space="preserve">El 25 de octubre CEJIL y GAJOP renunciaron a la representación del presente caso. </w:t>
      </w:r>
    </w:p>
    <w:p w14:paraId="5072F40E" w14:textId="77777777" w:rsidR="00944DD8" w:rsidRPr="00303FF6" w:rsidRDefault="00944DD8" w:rsidP="00944DD8">
      <w:pPr>
        <w:pStyle w:val="ListParagraph"/>
        <w:rPr>
          <w:rFonts w:asciiTheme="majorHAnsi" w:eastAsia="MS Mincho" w:hAnsiTheme="majorHAnsi"/>
          <w:sz w:val="20"/>
          <w:szCs w:val="20"/>
          <w:bdr w:val="none" w:sz="0" w:space="0" w:color="auto"/>
          <w:lang w:val="es-ES" w:eastAsia="ar-SA"/>
        </w:rPr>
      </w:pPr>
    </w:p>
    <w:p w14:paraId="65099965" w14:textId="77777777" w:rsidR="00A5325C" w:rsidRPr="00303FF6" w:rsidRDefault="00944DD8" w:rsidP="007729E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eastAsia="MS Mincho" w:hAnsiTheme="majorHAnsi"/>
          <w:sz w:val="20"/>
          <w:szCs w:val="20"/>
          <w:bdr w:val="none" w:sz="0" w:space="0" w:color="auto"/>
          <w:lang w:val="es-ES" w:eastAsia="ar-SA"/>
        </w:rPr>
      </w:pPr>
      <w:r w:rsidRPr="00303FF6">
        <w:rPr>
          <w:rFonts w:asciiTheme="majorHAnsi" w:eastAsia="MS Mincho" w:hAnsiTheme="majorHAnsi"/>
          <w:sz w:val="20"/>
          <w:szCs w:val="20"/>
          <w:bdr w:val="none" w:sz="0" w:space="0" w:color="auto"/>
          <w:lang w:val="es-ES" w:eastAsia="ar-SA"/>
        </w:rPr>
        <w:t xml:space="preserve">En cuanto a la </w:t>
      </w:r>
      <w:r w:rsidRPr="00303FF6">
        <w:rPr>
          <w:rFonts w:asciiTheme="majorHAnsi" w:eastAsia="MS Mincho" w:hAnsiTheme="majorHAnsi"/>
          <w:b/>
          <w:sz w:val="20"/>
          <w:szCs w:val="20"/>
          <w:bdr w:val="none" w:sz="0" w:space="0" w:color="auto"/>
          <w:lang w:val="es-ES" w:eastAsia="ar-SA"/>
        </w:rPr>
        <w:t>primera recomendación,</w:t>
      </w:r>
      <w:r w:rsidRPr="00303FF6">
        <w:rPr>
          <w:rFonts w:asciiTheme="majorHAnsi" w:eastAsia="MS Mincho" w:hAnsiTheme="majorHAnsi"/>
          <w:sz w:val="20"/>
          <w:szCs w:val="20"/>
          <w:bdr w:val="none" w:sz="0" w:space="0" w:color="auto"/>
          <w:lang w:val="es-ES" w:eastAsia="ar-SA"/>
        </w:rPr>
        <w:t xml:space="preserve"> </w:t>
      </w:r>
      <w:r w:rsidR="00210073" w:rsidRPr="00303FF6">
        <w:rPr>
          <w:rFonts w:asciiTheme="majorHAnsi" w:eastAsia="MS Mincho" w:hAnsiTheme="majorHAnsi"/>
          <w:sz w:val="20"/>
          <w:szCs w:val="20"/>
          <w:bdr w:val="none" w:sz="0" w:space="0" w:color="auto"/>
          <w:lang w:val="es-ES" w:eastAsia="ar-SA"/>
        </w:rPr>
        <w:t xml:space="preserve">el Estado no proporcionó información adicional a la ya proporcionada durante el periodo de seguimiento al Informe no 33/17. </w:t>
      </w:r>
    </w:p>
    <w:p w14:paraId="3C4EAF81" w14:textId="77777777" w:rsidR="00A5325C" w:rsidRPr="00303FF6" w:rsidRDefault="00A5325C" w:rsidP="00A5325C">
      <w:pPr>
        <w:pStyle w:val="ListParagraph"/>
        <w:rPr>
          <w:rFonts w:asciiTheme="majorHAnsi" w:eastAsia="MS Mincho" w:hAnsiTheme="majorHAnsi"/>
          <w:sz w:val="20"/>
          <w:szCs w:val="20"/>
          <w:bdr w:val="none" w:sz="0" w:space="0" w:color="auto"/>
          <w:lang w:val="es-ES" w:eastAsia="ar-SA"/>
        </w:rPr>
      </w:pPr>
    </w:p>
    <w:p w14:paraId="31AFAC59" w14:textId="77777777" w:rsidR="00816646" w:rsidRPr="00303FF6" w:rsidRDefault="00210073" w:rsidP="007729E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eastAsia="MS Mincho" w:hAnsiTheme="majorHAnsi"/>
          <w:sz w:val="20"/>
          <w:szCs w:val="20"/>
          <w:bdr w:val="none" w:sz="0" w:space="0" w:color="auto"/>
          <w:lang w:val="es-ES" w:eastAsia="ar-SA"/>
        </w:rPr>
      </w:pPr>
      <w:r w:rsidRPr="00303FF6">
        <w:rPr>
          <w:rFonts w:asciiTheme="majorHAnsi" w:eastAsia="MS Mincho" w:hAnsiTheme="majorHAnsi"/>
          <w:sz w:val="20"/>
          <w:szCs w:val="20"/>
          <w:bdr w:val="none" w:sz="0" w:space="0" w:color="auto"/>
          <w:lang w:val="es-ES" w:eastAsia="ar-SA"/>
        </w:rPr>
        <w:t xml:space="preserve">La parte peticionaria expresó al respecto que, pasados más de nueve meses desde el Informe de Fondo Preliminar, el Estado sigue sin dar cumplimiento a dicha recomendación, y sin dar una respuesta a la propuesta presentada por José de Arimatéia. Expresó que han reiterado su propuesta en varias ocasiones y por distintos medios. </w:t>
      </w:r>
      <w:r w:rsidR="00816646" w:rsidRPr="00303FF6">
        <w:rPr>
          <w:rFonts w:asciiTheme="majorHAnsi" w:eastAsia="MS Mincho" w:hAnsiTheme="majorHAnsi"/>
          <w:sz w:val="20"/>
          <w:szCs w:val="20"/>
          <w:bdr w:val="none" w:sz="0" w:space="0" w:color="auto"/>
          <w:lang w:val="es-ES" w:eastAsia="ar-SA"/>
        </w:rPr>
        <w:t xml:space="preserve">Indicó que no se puede por ello concluir que existe un acuerdo entre las partes sobre la propuesta de reparación de daños materiales e inmateriales, y alegó que en vista de ello, el Informe de Fondo Final, debe ser modificado para reflejar que no existe tal acuerdo. </w:t>
      </w:r>
    </w:p>
    <w:p w14:paraId="3B73ACEC" w14:textId="77777777" w:rsidR="00A5325C" w:rsidRPr="00303FF6" w:rsidRDefault="00A5325C" w:rsidP="00A5325C">
      <w:pPr>
        <w:pStyle w:val="ListParagraph"/>
        <w:rPr>
          <w:rFonts w:asciiTheme="majorHAnsi" w:eastAsia="MS Mincho" w:hAnsiTheme="majorHAnsi"/>
          <w:sz w:val="20"/>
          <w:szCs w:val="20"/>
          <w:bdr w:val="none" w:sz="0" w:space="0" w:color="auto"/>
          <w:lang w:val="es-ES" w:eastAsia="ar-SA"/>
        </w:rPr>
      </w:pPr>
    </w:p>
    <w:p w14:paraId="5FBDA45D" w14:textId="77777777" w:rsidR="00A5325C" w:rsidRPr="00303FF6" w:rsidRDefault="00A5325C" w:rsidP="007729E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eastAsia="MS Mincho" w:hAnsiTheme="majorHAnsi"/>
          <w:sz w:val="20"/>
          <w:szCs w:val="20"/>
          <w:bdr w:val="none" w:sz="0" w:space="0" w:color="auto"/>
          <w:lang w:val="es-ES" w:eastAsia="ar-SA"/>
        </w:rPr>
      </w:pPr>
      <w:r w:rsidRPr="00303FF6">
        <w:rPr>
          <w:rFonts w:asciiTheme="majorHAnsi" w:eastAsia="MS Mincho" w:hAnsiTheme="majorHAnsi"/>
          <w:sz w:val="20"/>
          <w:szCs w:val="20"/>
          <w:bdr w:val="none" w:sz="0" w:space="0" w:color="auto"/>
          <w:lang w:val="es-ES" w:eastAsia="ar-SA"/>
        </w:rPr>
        <w:t>La Comisión toma nota de la información propor</w:t>
      </w:r>
      <w:r w:rsidR="003450B4" w:rsidRPr="00303FF6">
        <w:rPr>
          <w:rFonts w:asciiTheme="majorHAnsi" w:eastAsia="MS Mincho" w:hAnsiTheme="majorHAnsi"/>
          <w:sz w:val="20"/>
          <w:szCs w:val="20"/>
          <w:bdr w:val="none" w:sz="0" w:space="0" w:color="auto"/>
          <w:lang w:val="es-ES" w:eastAsia="ar-SA"/>
        </w:rPr>
        <w:t xml:space="preserve">cionada por el Estado, sin embargo manifiesta su preocupación por la falta de avances concretos en el cumplimiento de dicha recomendación </w:t>
      </w:r>
      <w:r w:rsidR="00911E3F" w:rsidRPr="00303FF6">
        <w:rPr>
          <w:rFonts w:asciiTheme="majorHAnsi" w:eastAsia="MS Mincho" w:hAnsiTheme="majorHAnsi"/>
          <w:sz w:val="20"/>
          <w:szCs w:val="20"/>
          <w:bdr w:val="none" w:sz="0" w:space="0" w:color="auto"/>
          <w:lang w:val="es-ES" w:eastAsia="ar-SA"/>
        </w:rPr>
        <w:t>transcurridos casi dos</w:t>
      </w:r>
      <w:r w:rsidR="00B656B3" w:rsidRPr="00303FF6">
        <w:rPr>
          <w:rFonts w:asciiTheme="majorHAnsi" w:eastAsia="MS Mincho" w:hAnsiTheme="majorHAnsi"/>
          <w:sz w:val="20"/>
          <w:szCs w:val="20"/>
          <w:bdr w:val="none" w:sz="0" w:space="0" w:color="auto"/>
          <w:lang w:val="es-ES" w:eastAsia="ar-SA"/>
        </w:rPr>
        <w:t xml:space="preserve"> año</w:t>
      </w:r>
      <w:r w:rsidR="00911E3F" w:rsidRPr="00303FF6">
        <w:rPr>
          <w:rFonts w:asciiTheme="majorHAnsi" w:eastAsia="MS Mincho" w:hAnsiTheme="majorHAnsi"/>
          <w:sz w:val="20"/>
          <w:szCs w:val="20"/>
          <w:bdr w:val="none" w:sz="0" w:space="0" w:color="auto"/>
          <w:lang w:val="es-ES" w:eastAsia="ar-SA"/>
        </w:rPr>
        <w:t>s</w:t>
      </w:r>
      <w:r w:rsidR="00B656B3" w:rsidRPr="00303FF6">
        <w:rPr>
          <w:rFonts w:asciiTheme="majorHAnsi" w:eastAsia="MS Mincho" w:hAnsiTheme="majorHAnsi"/>
          <w:sz w:val="20"/>
          <w:szCs w:val="20"/>
          <w:bdr w:val="none" w:sz="0" w:space="0" w:color="auto"/>
          <w:lang w:val="es-ES" w:eastAsia="ar-SA"/>
        </w:rPr>
        <w:t xml:space="preserve"> desde la emisión del Informe de Fondo Preliminar. La CIDH insta nuevamente al Estado a realizar con celeridad las gestiones necesarias para hacer efectivas las indemnizaciones por las violaciones declaradas en el Informe de Fondo de la Comisión. </w:t>
      </w:r>
    </w:p>
    <w:p w14:paraId="09575A55" w14:textId="77777777" w:rsidR="00816646" w:rsidRPr="00303FF6" w:rsidRDefault="00816646" w:rsidP="00B656B3">
      <w:pPr>
        <w:rPr>
          <w:rFonts w:asciiTheme="majorHAnsi" w:eastAsia="MS Mincho" w:hAnsiTheme="majorHAnsi"/>
          <w:sz w:val="20"/>
          <w:szCs w:val="20"/>
          <w:bdr w:val="none" w:sz="0" w:space="0" w:color="auto"/>
          <w:lang w:val="es-ES" w:eastAsia="ar-SA"/>
        </w:rPr>
      </w:pPr>
    </w:p>
    <w:p w14:paraId="77311A7C" w14:textId="77777777" w:rsidR="00133674" w:rsidRPr="00303FF6" w:rsidRDefault="00816646" w:rsidP="001336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eastAsia="MS Mincho" w:hAnsiTheme="majorHAnsi"/>
          <w:sz w:val="20"/>
          <w:szCs w:val="20"/>
          <w:bdr w:val="none" w:sz="0" w:space="0" w:color="auto"/>
          <w:lang w:val="es-ES" w:eastAsia="ar-SA"/>
        </w:rPr>
      </w:pPr>
      <w:r w:rsidRPr="00303FF6">
        <w:rPr>
          <w:rFonts w:asciiTheme="majorHAnsi" w:eastAsia="MS Mincho" w:hAnsiTheme="majorHAnsi"/>
          <w:sz w:val="20"/>
          <w:szCs w:val="20"/>
          <w:bdr w:val="none" w:sz="0" w:space="0" w:color="auto"/>
          <w:lang w:val="es-ES" w:eastAsia="ar-SA"/>
        </w:rPr>
        <w:t xml:space="preserve">Con respecto a la </w:t>
      </w:r>
      <w:r w:rsidRPr="00303FF6">
        <w:rPr>
          <w:rFonts w:asciiTheme="majorHAnsi" w:eastAsia="MS Mincho" w:hAnsiTheme="majorHAnsi"/>
          <w:b/>
          <w:sz w:val="20"/>
          <w:szCs w:val="20"/>
          <w:bdr w:val="none" w:sz="0" w:space="0" w:color="auto"/>
          <w:lang w:val="es-ES" w:eastAsia="ar-SA"/>
        </w:rPr>
        <w:t>segunda recomendación</w:t>
      </w:r>
      <w:r w:rsidRPr="00303FF6">
        <w:rPr>
          <w:rFonts w:asciiTheme="majorHAnsi" w:eastAsia="MS Mincho" w:hAnsiTheme="majorHAnsi"/>
          <w:sz w:val="20"/>
          <w:szCs w:val="20"/>
          <w:bdr w:val="none" w:sz="0" w:space="0" w:color="auto"/>
          <w:lang w:val="es-ES" w:eastAsia="ar-SA"/>
        </w:rPr>
        <w:t xml:space="preserve">, </w:t>
      </w:r>
      <w:r w:rsidR="005B454D" w:rsidRPr="00303FF6">
        <w:rPr>
          <w:rFonts w:asciiTheme="majorHAnsi" w:eastAsia="MS Mincho" w:hAnsiTheme="majorHAnsi"/>
          <w:sz w:val="20"/>
          <w:szCs w:val="20"/>
          <w:bdr w:val="none" w:sz="0" w:space="0" w:color="auto"/>
          <w:lang w:val="es-ES" w:eastAsia="ar-SA"/>
        </w:rPr>
        <w:t>e</w:t>
      </w:r>
      <w:r w:rsidR="00543BCF" w:rsidRPr="00303FF6">
        <w:rPr>
          <w:rFonts w:asciiTheme="majorHAnsi" w:eastAsia="MS Mincho" w:hAnsiTheme="majorHAnsi"/>
          <w:sz w:val="20"/>
          <w:szCs w:val="20"/>
          <w:bdr w:val="none" w:sz="0" w:space="0" w:color="auto"/>
          <w:lang w:val="es-ES" w:eastAsia="ar-SA"/>
        </w:rPr>
        <w:t>l Estado no se refirió concretamente a los avances en la investigación por los hechos del presente caso, sino que se limitó a realizar una cronología de las actuaciones del proceso, que tuvieron lugar antes de la emisión del Informe preliminar.</w:t>
      </w:r>
    </w:p>
    <w:p w14:paraId="31D1FC50" w14:textId="77777777" w:rsidR="00A5325C" w:rsidRPr="00303FF6" w:rsidRDefault="00A5325C" w:rsidP="00A5325C">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720"/>
        <w:jc w:val="both"/>
        <w:rPr>
          <w:rFonts w:asciiTheme="majorHAnsi" w:eastAsia="MS Mincho" w:hAnsiTheme="majorHAnsi"/>
          <w:sz w:val="20"/>
          <w:szCs w:val="20"/>
          <w:bdr w:val="none" w:sz="0" w:space="0" w:color="auto"/>
          <w:lang w:val="es-ES" w:eastAsia="ar-SA"/>
        </w:rPr>
      </w:pPr>
    </w:p>
    <w:p w14:paraId="5FC946E0" w14:textId="77777777" w:rsidR="00133674" w:rsidRPr="00303FF6" w:rsidRDefault="000B7900" w:rsidP="007729E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lang w:val="es-ES_tradnl"/>
        </w:rPr>
      </w:pPr>
      <w:r w:rsidRPr="00303FF6">
        <w:rPr>
          <w:rFonts w:asciiTheme="majorHAnsi" w:eastAsia="MS Mincho" w:hAnsiTheme="majorHAnsi"/>
          <w:sz w:val="20"/>
          <w:szCs w:val="20"/>
          <w:bdr w:val="none" w:sz="0" w:space="0" w:color="auto"/>
          <w:lang w:val="es-ES" w:eastAsia="ar-SA"/>
        </w:rPr>
        <w:t>Por otra parte</w:t>
      </w:r>
      <w:r w:rsidR="00543BCF" w:rsidRPr="00303FF6">
        <w:rPr>
          <w:rFonts w:asciiTheme="majorHAnsi" w:eastAsia="MS Mincho" w:hAnsiTheme="majorHAnsi"/>
          <w:sz w:val="20"/>
          <w:szCs w:val="20"/>
          <w:bdr w:val="none" w:sz="0" w:space="0" w:color="auto"/>
          <w:lang w:val="es-ES" w:eastAsia="ar-SA"/>
        </w:rPr>
        <w:t>,</w:t>
      </w:r>
      <w:r w:rsidR="00782CEC" w:rsidRPr="00303FF6">
        <w:rPr>
          <w:rFonts w:asciiTheme="majorHAnsi" w:eastAsia="MS Mincho" w:hAnsiTheme="majorHAnsi"/>
          <w:sz w:val="20"/>
          <w:szCs w:val="20"/>
          <w:bdr w:val="none" w:sz="0" w:space="0" w:color="auto"/>
          <w:lang w:val="es-ES" w:eastAsia="ar-SA"/>
        </w:rPr>
        <w:t xml:space="preserve"> </w:t>
      </w:r>
      <w:r w:rsidR="00133674" w:rsidRPr="00303FF6">
        <w:rPr>
          <w:rFonts w:asciiTheme="majorHAnsi" w:eastAsia="MS Mincho" w:hAnsiTheme="majorHAnsi"/>
          <w:sz w:val="20"/>
          <w:szCs w:val="20"/>
          <w:bdr w:val="none" w:sz="0" w:space="0" w:color="auto"/>
          <w:lang w:val="es-ES" w:eastAsia="ar-SA"/>
        </w:rPr>
        <w:t xml:space="preserve">en cuanto a la parte de la recomendación relacionada con medidas para proteger a testigos, reiteró que cuenta con </w:t>
      </w:r>
      <w:r w:rsidR="00133674" w:rsidRPr="00303FF6">
        <w:rPr>
          <w:rFonts w:asciiTheme="majorHAnsi" w:hAnsiTheme="majorHAnsi"/>
          <w:sz w:val="20"/>
          <w:szCs w:val="20"/>
          <w:lang w:val="es-ES_tradnl"/>
        </w:rPr>
        <w:t xml:space="preserve">el Programa de Protección a víctimas y testigos amenazados que tiene por objeto ofrecer protección especial a víctimas y testigos de crímenes que se encuentran en riesgo como consecuencia de su colaboración en los procesos penales.  </w:t>
      </w:r>
    </w:p>
    <w:p w14:paraId="47B0F9F5" w14:textId="77777777" w:rsidR="00133674" w:rsidRPr="00303FF6" w:rsidRDefault="00133674" w:rsidP="00133674">
      <w:pPr>
        <w:pStyle w:val="ListParagraph"/>
        <w:rPr>
          <w:rFonts w:asciiTheme="majorHAnsi" w:eastAsia="MS Mincho" w:hAnsiTheme="majorHAnsi"/>
          <w:sz w:val="20"/>
          <w:szCs w:val="20"/>
          <w:bdr w:val="none" w:sz="0" w:space="0" w:color="auto"/>
          <w:lang w:val="es-ES" w:eastAsia="ar-SA"/>
        </w:rPr>
      </w:pPr>
    </w:p>
    <w:p w14:paraId="6B720C22" w14:textId="77777777" w:rsidR="00133674" w:rsidRPr="00303FF6" w:rsidRDefault="00B524EF" w:rsidP="007729E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lang w:val="es-ES_tradnl"/>
        </w:rPr>
      </w:pPr>
      <w:r w:rsidRPr="00303FF6">
        <w:rPr>
          <w:rFonts w:asciiTheme="majorHAnsi" w:eastAsia="MS Mincho" w:hAnsiTheme="majorHAnsi"/>
          <w:sz w:val="20"/>
          <w:szCs w:val="20"/>
          <w:bdr w:val="none" w:sz="0" w:space="0" w:color="auto"/>
          <w:lang w:val="es-ES" w:eastAsia="ar-SA"/>
        </w:rPr>
        <w:t>La parte peticionaria reiteró su preocupación por la posición asumida por el Estado en el sentido que la investigación del presente caso se llevó a cabo en observancia de las garantías judiciales y protección judicial</w:t>
      </w:r>
      <w:r w:rsidR="00133674" w:rsidRPr="00303FF6">
        <w:rPr>
          <w:rFonts w:asciiTheme="majorHAnsi" w:eastAsia="MS Mincho" w:hAnsiTheme="majorHAnsi"/>
          <w:sz w:val="20"/>
          <w:szCs w:val="20"/>
          <w:bdr w:val="none" w:sz="0" w:space="0" w:color="auto"/>
          <w:lang w:val="es-ES" w:eastAsia="ar-SA"/>
        </w:rPr>
        <w:t>,</w:t>
      </w:r>
      <w:r w:rsidRPr="00303FF6">
        <w:rPr>
          <w:rFonts w:asciiTheme="majorHAnsi" w:eastAsia="MS Mincho" w:hAnsiTheme="majorHAnsi"/>
          <w:sz w:val="20"/>
          <w:szCs w:val="20"/>
          <w:bdr w:val="none" w:sz="0" w:space="0" w:color="auto"/>
          <w:lang w:val="es-ES" w:eastAsia="ar-SA"/>
        </w:rPr>
        <w:t xml:space="preserve"> previstas en la Convención Americana y que resulta inviable la instauración de una nueva investigación o juicio sobre una causa ya decidida. </w:t>
      </w:r>
      <w:r w:rsidR="0020425C" w:rsidRPr="00303FF6">
        <w:rPr>
          <w:rFonts w:asciiTheme="majorHAnsi" w:eastAsia="MS Mincho" w:hAnsiTheme="majorHAnsi"/>
          <w:sz w:val="20"/>
          <w:szCs w:val="20"/>
          <w:bdr w:val="none" w:sz="0" w:space="0" w:color="auto"/>
          <w:lang w:val="es-ES" w:eastAsia="ar-SA"/>
        </w:rPr>
        <w:t>Por ello</w:t>
      </w:r>
      <w:r w:rsidR="00133674" w:rsidRPr="00303FF6">
        <w:rPr>
          <w:rFonts w:asciiTheme="majorHAnsi" w:eastAsia="MS Mincho" w:hAnsiTheme="majorHAnsi"/>
          <w:sz w:val="20"/>
          <w:szCs w:val="20"/>
          <w:bdr w:val="none" w:sz="0" w:space="0" w:color="auto"/>
          <w:lang w:val="es-ES" w:eastAsia="ar-SA"/>
        </w:rPr>
        <w:t>,</w:t>
      </w:r>
      <w:r w:rsidR="0020425C" w:rsidRPr="00303FF6">
        <w:rPr>
          <w:rFonts w:asciiTheme="majorHAnsi" w:eastAsia="MS Mincho" w:hAnsiTheme="majorHAnsi"/>
          <w:sz w:val="20"/>
          <w:szCs w:val="20"/>
          <w:bdr w:val="none" w:sz="0" w:space="0" w:color="auto"/>
          <w:lang w:val="es-ES" w:eastAsia="ar-SA"/>
        </w:rPr>
        <w:t xml:space="preserve"> solicitó el seguimiento cercano a esta medida por parte de la Comisión. </w:t>
      </w:r>
    </w:p>
    <w:p w14:paraId="11487648" w14:textId="77777777" w:rsidR="00782CEC" w:rsidRPr="00303FF6" w:rsidRDefault="00782CEC" w:rsidP="00782CEC">
      <w:pPr>
        <w:pStyle w:val="ListParagraph"/>
        <w:rPr>
          <w:lang w:val="es-ES_tradnl"/>
        </w:rPr>
      </w:pPr>
    </w:p>
    <w:p w14:paraId="23EE5A6F" w14:textId="77777777" w:rsidR="001D31AF" w:rsidRPr="00303FF6" w:rsidRDefault="00782CEC" w:rsidP="001D31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eastAsia="MS Mincho" w:hAnsiTheme="majorHAnsi"/>
          <w:sz w:val="20"/>
          <w:szCs w:val="20"/>
          <w:bdr w:val="none" w:sz="0" w:space="0" w:color="auto"/>
          <w:lang w:val="es-ES" w:eastAsia="ar-SA"/>
        </w:rPr>
      </w:pPr>
      <w:r w:rsidRPr="00303FF6">
        <w:rPr>
          <w:rFonts w:asciiTheme="majorHAnsi" w:eastAsia="MS Mincho" w:hAnsiTheme="majorHAnsi"/>
          <w:sz w:val="20"/>
          <w:szCs w:val="20"/>
          <w:bdr w:val="none" w:sz="0" w:space="0" w:color="auto"/>
          <w:lang w:val="es-ES" w:eastAsia="ar-SA"/>
        </w:rPr>
        <w:t xml:space="preserve">La Comisión recuerda que, tal y como indicó en su Informe Preliminar, los actos estatales en el proceso por la investigación de la muerte de la víctima no estaban orientados a la determinación de la verdad </w:t>
      </w:r>
      <w:r w:rsidRPr="00303FF6">
        <w:rPr>
          <w:rFonts w:asciiTheme="majorHAnsi" w:eastAsia="MS Mincho" w:hAnsiTheme="majorHAnsi"/>
          <w:sz w:val="20"/>
          <w:szCs w:val="20"/>
          <w:bdr w:val="none" w:sz="0" w:space="0" w:color="auto"/>
          <w:lang w:val="es-ES" w:eastAsia="ar-SA"/>
        </w:rPr>
        <w:lastRenderedPageBreak/>
        <w:t xml:space="preserve">y sanción de los responsables materiales e intelectuales de los hechos y la declaración de prescripción fue producto de un proceso violatorio de las obligaciones internacionales del Estado, por lo que no resulta oponible como fundamento para incumplir esta recomendación. En virtud de ello, la Comisión insta al Estado avanzar en el cumplimiento de la recomendación relacionada con el deber de investigar, para lo cual solicita </w:t>
      </w:r>
      <w:r w:rsidR="00E32984" w:rsidRPr="00303FF6">
        <w:rPr>
          <w:rFonts w:asciiTheme="majorHAnsi" w:eastAsia="MS Mincho" w:hAnsiTheme="majorHAnsi"/>
          <w:sz w:val="20"/>
          <w:szCs w:val="20"/>
          <w:bdr w:val="none" w:sz="0" w:space="0" w:color="auto"/>
          <w:lang w:val="es-ES" w:eastAsia="ar-SA"/>
        </w:rPr>
        <w:t xml:space="preserve">que remita a la CIDH un plan de acción y cronograma orientado a cumplir esta recomendación respecto de aquellos autores materiales e intelectuales del crimen que aún se encuentran con vida. </w:t>
      </w:r>
    </w:p>
    <w:p w14:paraId="0A102999" w14:textId="77777777" w:rsidR="00133674" w:rsidRPr="00303FF6" w:rsidRDefault="00133674" w:rsidP="00133674">
      <w:pPr>
        <w:pStyle w:val="ListParagraph"/>
        <w:rPr>
          <w:rFonts w:asciiTheme="majorHAnsi" w:eastAsia="MS Mincho" w:hAnsiTheme="majorHAnsi"/>
          <w:sz w:val="20"/>
          <w:szCs w:val="20"/>
          <w:bdr w:val="none" w:sz="0" w:space="0" w:color="auto"/>
          <w:lang w:val="es-ES" w:eastAsia="ar-SA"/>
        </w:rPr>
      </w:pPr>
    </w:p>
    <w:p w14:paraId="29187AD2" w14:textId="77777777" w:rsidR="00D6293C" w:rsidRPr="00303FF6" w:rsidRDefault="00133674" w:rsidP="00D629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eastAsia="MS Mincho" w:hAnsiTheme="majorHAnsi"/>
          <w:sz w:val="20"/>
          <w:szCs w:val="20"/>
          <w:bdr w:val="none" w:sz="0" w:space="0" w:color="auto"/>
          <w:lang w:val="es-ES" w:eastAsia="ar-SA"/>
        </w:rPr>
      </w:pPr>
      <w:r w:rsidRPr="00303FF6">
        <w:rPr>
          <w:rFonts w:asciiTheme="majorHAnsi" w:eastAsia="MS Mincho" w:hAnsiTheme="majorHAnsi"/>
          <w:sz w:val="20"/>
          <w:szCs w:val="20"/>
          <w:bdr w:val="none" w:sz="0" w:space="0" w:color="auto"/>
          <w:lang w:val="es-ES" w:eastAsia="ar-SA"/>
        </w:rPr>
        <w:t xml:space="preserve">Con relación a la </w:t>
      </w:r>
      <w:r w:rsidRPr="00303FF6">
        <w:rPr>
          <w:rFonts w:asciiTheme="majorHAnsi" w:eastAsia="MS Mincho" w:hAnsiTheme="majorHAnsi"/>
          <w:b/>
          <w:sz w:val="20"/>
          <w:szCs w:val="20"/>
          <w:bdr w:val="none" w:sz="0" w:space="0" w:color="auto"/>
          <w:lang w:val="es-ES" w:eastAsia="ar-SA"/>
        </w:rPr>
        <w:t>tercera recomendación,</w:t>
      </w:r>
      <w:r w:rsidRPr="00303FF6">
        <w:rPr>
          <w:rFonts w:asciiTheme="majorHAnsi" w:eastAsia="MS Mincho" w:hAnsiTheme="majorHAnsi"/>
          <w:sz w:val="20"/>
          <w:szCs w:val="20"/>
          <w:bdr w:val="none" w:sz="0" w:space="0" w:color="auto"/>
          <w:lang w:val="es-ES" w:eastAsia="ar-SA"/>
        </w:rPr>
        <w:t xml:space="preserve"> el Estado </w:t>
      </w:r>
      <w:r w:rsidR="00D6293C" w:rsidRPr="00303FF6">
        <w:rPr>
          <w:rFonts w:asciiTheme="majorHAnsi" w:eastAsia="MS Mincho" w:hAnsiTheme="majorHAnsi"/>
          <w:sz w:val="20"/>
          <w:szCs w:val="20"/>
          <w:bdr w:val="none" w:sz="0" w:space="0" w:color="auto"/>
          <w:lang w:val="es-ES" w:eastAsia="ar-SA"/>
        </w:rPr>
        <w:t xml:space="preserve">reiteró la información proporcionada en ocasiones anteriores en el sentido que </w:t>
      </w:r>
      <w:r w:rsidR="00983EFC" w:rsidRPr="00303FF6">
        <w:rPr>
          <w:rFonts w:asciiTheme="majorHAnsi" w:eastAsia="MS Mincho" w:hAnsiTheme="majorHAnsi"/>
          <w:sz w:val="20"/>
          <w:szCs w:val="20"/>
          <w:bdr w:val="none" w:sz="0" w:space="0" w:color="auto"/>
          <w:lang w:val="es-ES" w:eastAsia="ar-SA"/>
        </w:rPr>
        <w:t>José de Arimáteia viene siendo atendido por la red de salud pública de Joao Pessoa, realizándole las consultas y medicamentos necesarios.</w:t>
      </w:r>
    </w:p>
    <w:p w14:paraId="2B2C9286" w14:textId="77777777" w:rsidR="00A458E5" w:rsidRPr="00303FF6" w:rsidRDefault="00D6293C" w:rsidP="00D6293C">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jc w:val="both"/>
        <w:rPr>
          <w:rFonts w:asciiTheme="majorHAnsi" w:eastAsia="MS Mincho" w:hAnsiTheme="majorHAnsi"/>
          <w:sz w:val="20"/>
          <w:szCs w:val="20"/>
          <w:bdr w:val="none" w:sz="0" w:space="0" w:color="auto"/>
          <w:lang w:val="es-ES" w:eastAsia="ar-SA"/>
        </w:rPr>
      </w:pPr>
      <w:r w:rsidRPr="00303FF6">
        <w:rPr>
          <w:rFonts w:asciiTheme="majorHAnsi" w:eastAsia="MS Mincho" w:hAnsiTheme="majorHAnsi"/>
          <w:sz w:val="20"/>
          <w:szCs w:val="20"/>
          <w:bdr w:val="none" w:sz="0" w:space="0" w:color="auto"/>
          <w:lang w:val="es-ES" w:eastAsia="ar-SA"/>
        </w:rPr>
        <w:t xml:space="preserve"> </w:t>
      </w:r>
    </w:p>
    <w:p w14:paraId="67FDD60D" w14:textId="77777777" w:rsidR="00A458E5" w:rsidRPr="00303FF6" w:rsidRDefault="00A458E5" w:rsidP="007729E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eastAsia="MS Mincho" w:hAnsiTheme="majorHAnsi"/>
          <w:sz w:val="20"/>
          <w:szCs w:val="20"/>
          <w:bdr w:val="none" w:sz="0" w:space="0" w:color="auto"/>
          <w:lang w:val="es-ES" w:eastAsia="ar-SA"/>
        </w:rPr>
      </w:pPr>
      <w:r w:rsidRPr="00303FF6">
        <w:rPr>
          <w:rFonts w:asciiTheme="majorHAnsi" w:eastAsia="MS Mincho" w:hAnsiTheme="majorHAnsi"/>
          <w:sz w:val="20"/>
          <w:szCs w:val="20"/>
          <w:bdr w:val="none" w:sz="0" w:space="0" w:color="auto"/>
          <w:lang w:val="es-ES" w:eastAsia="ar-SA"/>
        </w:rPr>
        <w:t xml:space="preserve">Sobre esta recomendación, la parte peticionaria expresó que </w:t>
      </w:r>
      <w:r w:rsidR="00180DF5" w:rsidRPr="00303FF6">
        <w:rPr>
          <w:rFonts w:asciiTheme="majorHAnsi" w:eastAsia="MS Mincho" w:hAnsiTheme="majorHAnsi"/>
          <w:sz w:val="20"/>
          <w:szCs w:val="20"/>
          <w:bdr w:val="none" w:sz="0" w:space="0" w:color="auto"/>
          <w:lang w:val="es-ES" w:eastAsia="ar-SA"/>
        </w:rPr>
        <w:t xml:space="preserve">si bien José de Arimatéia se encuentra recibiendo atención por médicos especializados, </w:t>
      </w:r>
      <w:r w:rsidR="00D6293C" w:rsidRPr="00303FF6">
        <w:rPr>
          <w:rFonts w:asciiTheme="majorHAnsi" w:eastAsia="MS Mincho" w:hAnsiTheme="majorHAnsi"/>
          <w:sz w:val="20"/>
          <w:szCs w:val="20"/>
          <w:bdr w:val="none" w:sz="0" w:space="0" w:color="auto"/>
          <w:lang w:val="es-ES" w:eastAsia="ar-SA"/>
        </w:rPr>
        <w:t xml:space="preserve">en ocasiones </w:t>
      </w:r>
      <w:r w:rsidR="00180DF5" w:rsidRPr="00303FF6">
        <w:rPr>
          <w:rFonts w:asciiTheme="majorHAnsi" w:eastAsia="MS Mincho" w:hAnsiTheme="majorHAnsi"/>
          <w:sz w:val="20"/>
          <w:szCs w:val="20"/>
          <w:bdr w:val="none" w:sz="0" w:space="0" w:color="auto"/>
          <w:lang w:val="es-ES" w:eastAsia="ar-SA"/>
        </w:rPr>
        <w:t xml:space="preserve">debe esperar tres meses para recibir los medicamentos que se le prescriben en virtud de atrasos en el proceso </w:t>
      </w:r>
      <w:r w:rsidR="00894870" w:rsidRPr="00303FF6">
        <w:rPr>
          <w:rFonts w:asciiTheme="majorHAnsi" w:eastAsia="MS Mincho" w:hAnsiTheme="majorHAnsi"/>
          <w:sz w:val="20"/>
          <w:szCs w:val="20"/>
          <w:bdr w:val="none" w:sz="0" w:space="0" w:color="auto"/>
          <w:lang w:val="es-ES" w:eastAsia="ar-SA"/>
        </w:rPr>
        <w:t xml:space="preserve">de licitación de medicamentos. Agregó que la situación de salud de dicha persona se ha agravado en los últimos meses por lo que ha tenido que ser hospitalizado. </w:t>
      </w:r>
      <w:r w:rsidR="00983EFC" w:rsidRPr="00303FF6">
        <w:rPr>
          <w:rFonts w:asciiTheme="majorHAnsi" w:eastAsia="MS Mincho" w:hAnsiTheme="majorHAnsi"/>
          <w:sz w:val="20"/>
          <w:szCs w:val="20"/>
          <w:bdr w:val="none" w:sz="0" w:space="0" w:color="auto"/>
          <w:lang w:val="es-ES" w:eastAsia="ar-SA"/>
        </w:rPr>
        <w:t xml:space="preserve">Subrayó que espera que la recomendación sea cumplida en su integridad y que el Estado provea la atención y tratamiento médico necesario para garantizar un tratamiento efectivo y de calidad de la víctima. </w:t>
      </w:r>
    </w:p>
    <w:p w14:paraId="1009937B" w14:textId="77777777" w:rsidR="00160A3E" w:rsidRPr="00303FF6" w:rsidRDefault="00160A3E" w:rsidP="00160A3E">
      <w:pPr>
        <w:pStyle w:val="ListParagraph"/>
        <w:rPr>
          <w:rFonts w:asciiTheme="majorHAnsi" w:eastAsia="MS Mincho" w:hAnsiTheme="majorHAnsi"/>
          <w:sz w:val="20"/>
          <w:szCs w:val="20"/>
          <w:bdr w:val="none" w:sz="0" w:space="0" w:color="auto"/>
          <w:lang w:val="es-ES" w:eastAsia="ar-SA"/>
        </w:rPr>
      </w:pPr>
    </w:p>
    <w:p w14:paraId="5A6B9898" w14:textId="77777777" w:rsidR="00160A3E" w:rsidRPr="00303FF6" w:rsidRDefault="00160A3E" w:rsidP="007729E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eastAsia="MS Mincho" w:hAnsiTheme="majorHAnsi"/>
          <w:sz w:val="20"/>
          <w:szCs w:val="20"/>
          <w:bdr w:val="none" w:sz="0" w:space="0" w:color="auto"/>
          <w:lang w:val="es-ES" w:eastAsia="ar-SA"/>
        </w:rPr>
      </w:pPr>
      <w:r w:rsidRPr="00303FF6">
        <w:rPr>
          <w:rFonts w:asciiTheme="majorHAnsi" w:eastAsia="MS Mincho" w:hAnsiTheme="majorHAnsi"/>
          <w:sz w:val="20"/>
          <w:szCs w:val="20"/>
          <w:bdr w:val="none" w:sz="0" w:space="0" w:color="auto"/>
          <w:lang w:val="es-ES" w:eastAsia="ar-SA"/>
        </w:rPr>
        <w:t>La Comisión toma nota de la informaci</w:t>
      </w:r>
      <w:r w:rsidR="00BC4CF0" w:rsidRPr="00303FF6">
        <w:rPr>
          <w:rFonts w:asciiTheme="majorHAnsi" w:eastAsia="MS Mincho" w:hAnsiTheme="majorHAnsi"/>
          <w:sz w:val="20"/>
          <w:szCs w:val="20"/>
          <w:bdr w:val="none" w:sz="0" w:space="0" w:color="auto"/>
          <w:lang w:val="es-ES" w:eastAsia="ar-SA"/>
        </w:rPr>
        <w:t>ón proporcionada e insta al Estado a continuar prestando los servicios médicos necesarios a los familiares de la víctima del presente caso. Especialmente, la CIDH resalta la importancia de que no solamente los diagnó</w:t>
      </w:r>
      <w:r w:rsidR="00E351A0" w:rsidRPr="00303FF6">
        <w:rPr>
          <w:rFonts w:asciiTheme="majorHAnsi" w:eastAsia="MS Mincho" w:hAnsiTheme="majorHAnsi"/>
          <w:sz w:val="20"/>
          <w:szCs w:val="20"/>
          <w:bdr w:val="none" w:sz="0" w:space="0" w:color="auto"/>
          <w:lang w:val="es-ES" w:eastAsia="ar-SA"/>
        </w:rPr>
        <w:t xml:space="preserve">sticos médicos sean oportunos, sino que los medicamentos sean proporcionados </w:t>
      </w:r>
      <w:r w:rsidR="001D31AF" w:rsidRPr="00303FF6">
        <w:rPr>
          <w:rFonts w:asciiTheme="majorHAnsi" w:eastAsia="MS Mincho" w:hAnsiTheme="majorHAnsi"/>
          <w:sz w:val="20"/>
          <w:szCs w:val="20"/>
          <w:bdr w:val="none" w:sz="0" w:space="0" w:color="auto"/>
          <w:lang w:val="es-ES" w:eastAsia="ar-SA"/>
        </w:rPr>
        <w:t xml:space="preserve">de manera rápida, por lo que solicita al Estado que tome las medidas necesarias para evita atrasos indebidos en la entrega de medicamentos. </w:t>
      </w:r>
      <w:r w:rsidR="00BC4CF0" w:rsidRPr="00303FF6">
        <w:rPr>
          <w:rFonts w:asciiTheme="majorHAnsi" w:eastAsia="MS Mincho" w:hAnsiTheme="majorHAnsi"/>
          <w:sz w:val="20"/>
          <w:szCs w:val="20"/>
          <w:bdr w:val="none" w:sz="0" w:space="0" w:color="auto"/>
          <w:lang w:val="es-ES" w:eastAsia="ar-SA"/>
        </w:rPr>
        <w:t xml:space="preserve"> </w:t>
      </w:r>
    </w:p>
    <w:p w14:paraId="6CC9E0EC" w14:textId="77777777" w:rsidR="00D6293C" w:rsidRPr="00303FF6" w:rsidRDefault="00D6293C" w:rsidP="001D31AF">
      <w:pPr>
        <w:rPr>
          <w:rFonts w:asciiTheme="majorHAnsi" w:eastAsia="MS Mincho" w:hAnsiTheme="majorHAnsi"/>
          <w:sz w:val="20"/>
          <w:szCs w:val="20"/>
          <w:bdr w:val="none" w:sz="0" w:space="0" w:color="auto"/>
          <w:lang w:val="es-ES" w:eastAsia="ar-SA"/>
        </w:rPr>
      </w:pPr>
    </w:p>
    <w:p w14:paraId="17C6B88B" w14:textId="77777777" w:rsidR="00620DA8" w:rsidRPr="00303FF6" w:rsidRDefault="00D6293C" w:rsidP="00620D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lang w:val="es-ES_tradnl"/>
        </w:rPr>
      </w:pPr>
      <w:r w:rsidRPr="00303FF6">
        <w:rPr>
          <w:rFonts w:asciiTheme="majorHAnsi" w:eastAsia="MS Mincho" w:hAnsiTheme="majorHAnsi"/>
          <w:sz w:val="20"/>
          <w:szCs w:val="20"/>
          <w:bdr w:val="none" w:sz="0" w:space="0" w:color="auto"/>
          <w:lang w:val="es-ES" w:eastAsia="ar-SA"/>
        </w:rPr>
        <w:t xml:space="preserve">Asimismo, sobre la </w:t>
      </w:r>
      <w:r w:rsidRPr="00303FF6">
        <w:rPr>
          <w:rFonts w:asciiTheme="majorHAnsi" w:eastAsia="MS Mincho" w:hAnsiTheme="majorHAnsi"/>
          <w:b/>
          <w:sz w:val="20"/>
          <w:szCs w:val="20"/>
          <w:bdr w:val="none" w:sz="0" w:space="0" w:color="auto"/>
          <w:lang w:val="es-ES" w:eastAsia="ar-SA"/>
        </w:rPr>
        <w:t>cuarta recomendación</w:t>
      </w:r>
      <w:r w:rsidRPr="00303FF6">
        <w:rPr>
          <w:rFonts w:asciiTheme="majorHAnsi" w:eastAsia="MS Mincho" w:hAnsiTheme="majorHAnsi"/>
          <w:sz w:val="20"/>
          <w:szCs w:val="20"/>
          <w:bdr w:val="none" w:sz="0" w:space="0" w:color="auto"/>
          <w:lang w:val="es-ES" w:eastAsia="ar-SA"/>
        </w:rPr>
        <w:t xml:space="preserve">, </w:t>
      </w:r>
      <w:r w:rsidR="00E8172F" w:rsidRPr="00303FF6">
        <w:rPr>
          <w:rFonts w:asciiTheme="majorHAnsi" w:eastAsia="MS Mincho" w:hAnsiTheme="majorHAnsi"/>
          <w:sz w:val="20"/>
          <w:szCs w:val="20"/>
          <w:bdr w:val="none" w:sz="0" w:space="0" w:color="auto"/>
          <w:lang w:val="es-ES" w:eastAsia="ar-SA"/>
        </w:rPr>
        <w:t>el Estado reiteró la información sobre su Programa de Protección a D</w:t>
      </w:r>
      <w:r w:rsidR="00381AD2" w:rsidRPr="00303FF6">
        <w:rPr>
          <w:rFonts w:asciiTheme="majorHAnsi" w:eastAsia="MS Mincho" w:hAnsiTheme="majorHAnsi"/>
          <w:sz w:val="20"/>
          <w:szCs w:val="20"/>
          <w:bdr w:val="none" w:sz="0" w:space="0" w:color="auto"/>
          <w:lang w:val="es-ES" w:eastAsia="ar-SA"/>
        </w:rPr>
        <w:t xml:space="preserve">efensores de Derechos Humanos. </w:t>
      </w:r>
      <w:r w:rsidR="00E8172F" w:rsidRPr="00303FF6">
        <w:rPr>
          <w:rFonts w:asciiTheme="majorHAnsi" w:eastAsia="MS Mincho" w:hAnsiTheme="majorHAnsi"/>
          <w:sz w:val="20"/>
          <w:szCs w:val="20"/>
          <w:bdr w:val="none" w:sz="0" w:space="0" w:color="auto"/>
          <w:lang w:val="es-ES" w:eastAsia="ar-SA"/>
        </w:rPr>
        <w:t xml:space="preserve">Informó que actualmente 536 defensores de derechos humanos en todo el país se encuentran recibiendo acompañamiento por dicho programa. Específicamente, en cuanto a la información solicitada en el Informe 120/18 sobre medidas para fortalecer dicho programa, informó que desde el 2009 el programa acompaña a </w:t>
      </w:r>
      <w:r w:rsidR="00D70972" w:rsidRPr="00303FF6">
        <w:rPr>
          <w:rFonts w:asciiTheme="majorHAnsi" w:eastAsia="MS Mincho" w:hAnsiTheme="majorHAnsi"/>
          <w:sz w:val="20"/>
          <w:szCs w:val="20"/>
          <w:bdr w:val="none" w:sz="0" w:space="0" w:color="auto"/>
          <w:lang w:val="es-ES" w:eastAsia="ar-SA"/>
        </w:rPr>
        <w:t>defensores</w:t>
      </w:r>
      <w:r w:rsidR="007654E4" w:rsidRPr="00303FF6">
        <w:rPr>
          <w:rFonts w:asciiTheme="majorHAnsi" w:eastAsia="MS Mincho" w:hAnsiTheme="majorHAnsi"/>
          <w:sz w:val="20"/>
          <w:szCs w:val="20"/>
          <w:bdr w:val="none" w:sz="0" w:space="0" w:color="auto"/>
          <w:lang w:val="es-ES" w:eastAsia="ar-SA"/>
        </w:rPr>
        <w:t xml:space="preserve"> en riesgo en Paraíba. Expresó que en el presente año el presupuesto del Programa es de catorce millones y s</w:t>
      </w:r>
      <w:r w:rsidR="00620DA8" w:rsidRPr="00303FF6">
        <w:rPr>
          <w:rFonts w:asciiTheme="majorHAnsi" w:eastAsia="MS Mincho" w:hAnsiTheme="majorHAnsi"/>
          <w:sz w:val="20"/>
          <w:szCs w:val="20"/>
          <w:bdr w:val="none" w:sz="0" w:space="0" w:color="auto"/>
          <w:lang w:val="es-ES" w:eastAsia="ar-SA"/>
        </w:rPr>
        <w:t xml:space="preserve">etecientos mil reales, lo cual representa 326% más que el 2018, y es el presupuesto más alto en su historia. Agregó por otra parte, que en 2018 había apenas cuatro convenios con estados formalizados para ampliar la red de protección, sin embargo en la actualidad ya se cuenta con 9 convenios en el país. </w:t>
      </w:r>
    </w:p>
    <w:p w14:paraId="3DA27B3F" w14:textId="77777777" w:rsidR="00381AD2" w:rsidRPr="00303FF6" w:rsidRDefault="00381AD2" w:rsidP="00381AD2">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jc w:val="both"/>
        <w:rPr>
          <w:lang w:val="es-ES_tradnl"/>
        </w:rPr>
      </w:pPr>
    </w:p>
    <w:p w14:paraId="1D5EF60F" w14:textId="77777777" w:rsidR="00515A92" w:rsidRPr="00303FF6" w:rsidRDefault="00620DA8" w:rsidP="007729E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eastAsia="MS Mincho" w:hAnsiTheme="majorHAnsi"/>
          <w:sz w:val="20"/>
          <w:szCs w:val="20"/>
          <w:bdr w:val="none" w:sz="0" w:space="0" w:color="auto"/>
          <w:lang w:val="es-ES" w:eastAsia="ar-SA"/>
        </w:rPr>
      </w:pPr>
      <w:r w:rsidRPr="00303FF6">
        <w:rPr>
          <w:rFonts w:asciiTheme="majorHAnsi" w:eastAsia="MS Mincho" w:hAnsiTheme="majorHAnsi"/>
          <w:sz w:val="20"/>
          <w:szCs w:val="20"/>
          <w:bdr w:val="none" w:sz="0" w:space="0" w:color="auto"/>
          <w:lang w:val="es-ES" w:eastAsia="ar-SA"/>
        </w:rPr>
        <w:t>Agregó en cuanto a la metodología</w:t>
      </w:r>
      <w:r w:rsidR="00091343" w:rsidRPr="00303FF6">
        <w:rPr>
          <w:rFonts w:asciiTheme="majorHAnsi" w:eastAsia="MS Mincho" w:hAnsiTheme="majorHAnsi"/>
          <w:sz w:val="20"/>
          <w:szCs w:val="20"/>
          <w:bdr w:val="none" w:sz="0" w:space="0" w:color="auto"/>
          <w:lang w:val="es-ES" w:eastAsia="ar-SA"/>
        </w:rPr>
        <w:t>,</w:t>
      </w:r>
      <w:r w:rsidRPr="00303FF6">
        <w:rPr>
          <w:rFonts w:asciiTheme="majorHAnsi" w:eastAsia="MS Mincho" w:hAnsiTheme="majorHAnsi"/>
          <w:sz w:val="20"/>
          <w:szCs w:val="20"/>
          <w:bdr w:val="none" w:sz="0" w:space="0" w:color="auto"/>
          <w:lang w:val="es-ES" w:eastAsia="ar-SA"/>
        </w:rPr>
        <w:t xml:space="preserve"> que la actuación del programa obedece a directrices establecidas en el Decreto 6.044/2007</w:t>
      </w:r>
      <w:r w:rsidR="00091343" w:rsidRPr="00303FF6">
        <w:rPr>
          <w:rFonts w:asciiTheme="majorHAnsi" w:eastAsia="MS Mincho" w:hAnsiTheme="majorHAnsi"/>
          <w:sz w:val="20"/>
          <w:szCs w:val="20"/>
          <w:bdr w:val="none" w:sz="0" w:space="0" w:color="auto"/>
          <w:lang w:val="es-ES" w:eastAsia="ar-SA"/>
        </w:rPr>
        <w:t xml:space="preserve">. Refirió que en octubre de 2017 se creó un grupo de trabajo para discutir la metodología de participación social del programa que permita dialogo entre representantes del Estado y personas defensoras de derechos humanos, el cual se reunió durante todo el 2018, y la propuesta final para la creación de dicho espacio </w:t>
      </w:r>
      <w:r w:rsidR="009F4008" w:rsidRPr="00303FF6">
        <w:rPr>
          <w:rFonts w:asciiTheme="majorHAnsi" w:eastAsia="MS Mincho" w:hAnsiTheme="majorHAnsi"/>
          <w:sz w:val="20"/>
          <w:szCs w:val="20"/>
          <w:bdr w:val="none" w:sz="0" w:space="0" w:color="auto"/>
          <w:lang w:val="es-ES" w:eastAsia="ar-SA"/>
        </w:rPr>
        <w:t xml:space="preserve">se encuentra en ajustes finales por parte del Ministerio de la Mujer, Familia y Derechos Humanos. Por otra parte, en cuanto a las medidas colectivas de protección, </w:t>
      </w:r>
      <w:r w:rsidR="0004605F" w:rsidRPr="00303FF6">
        <w:rPr>
          <w:rFonts w:asciiTheme="majorHAnsi" w:eastAsia="MS Mincho" w:hAnsiTheme="majorHAnsi"/>
          <w:sz w:val="20"/>
          <w:szCs w:val="20"/>
          <w:bdr w:val="none" w:sz="0" w:space="0" w:color="auto"/>
          <w:lang w:val="es-ES" w:eastAsia="ar-SA"/>
        </w:rPr>
        <w:t xml:space="preserve">expresó que no entiende como viable la inclusión nominal y colectiva de todos los miembros de un grupo, tomando en cuenta que las amenazas y riesgos son mayores para sus líderes, sin embargo expresó que a través del seguimiento a sus casos pudo constatar que aunque  diversas medidas de protección no se otorguen a toda una colectividad, a veces el impacto si es general.  </w:t>
      </w:r>
    </w:p>
    <w:p w14:paraId="5F124C94" w14:textId="77777777" w:rsidR="00515A92" w:rsidRPr="00303FF6" w:rsidRDefault="00515A92" w:rsidP="00515A92">
      <w:pPr>
        <w:pStyle w:val="ListParagraph"/>
        <w:rPr>
          <w:rFonts w:asciiTheme="majorHAnsi" w:eastAsia="MS Mincho" w:hAnsiTheme="majorHAnsi"/>
          <w:sz w:val="20"/>
          <w:szCs w:val="20"/>
          <w:bdr w:val="none" w:sz="0" w:space="0" w:color="auto"/>
          <w:lang w:val="es-ES" w:eastAsia="ar-SA"/>
        </w:rPr>
      </w:pPr>
    </w:p>
    <w:p w14:paraId="5C10AD45" w14:textId="77777777" w:rsidR="009F4008" w:rsidRPr="00303FF6" w:rsidRDefault="0004605F" w:rsidP="007729E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eastAsia="MS Mincho" w:hAnsiTheme="majorHAnsi"/>
          <w:sz w:val="20"/>
          <w:szCs w:val="20"/>
          <w:bdr w:val="none" w:sz="0" w:space="0" w:color="auto"/>
          <w:lang w:val="es-ES" w:eastAsia="ar-SA"/>
        </w:rPr>
      </w:pPr>
      <w:r w:rsidRPr="00303FF6">
        <w:rPr>
          <w:rFonts w:asciiTheme="majorHAnsi" w:eastAsia="MS Mincho" w:hAnsiTheme="majorHAnsi"/>
          <w:sz w:val="20"/>
          <w:szCs w:val="20"/>
          <w:bdr w:val="none" w:sz="0" w:space="0" w:color="auto"/>
          <w:lang w:val="es-ES" w:eastAsia="ar-SA"/>
        </w:rPr>
        <w:t>En cuanto a la perspectiva de g</w:t>
      </w:r>
      <w:r w:rsidR="001C5F6B" w:rsidRPr="00303FF6">
        <w:rPr>
          <w:rFonts w:asciiTheme="majorHAnsi" w:eastAsia="MS Mincho" w:hAnsiTheme="majorHAnsi"/>
          <w:sz w:val="20"/>
          <w:szCs w:val="20"/>
          <w:bdr w:val="none" w:sz="0" w:space="0" w:color="auto"/>
          <w:lang w:val="es-ES" w:eastAsia="ar-SA"/>
        </w:rPr>
        <w:t>énero, étnica y lgbti</w:t>
      </w:r>
      <w:r w:rsidR="00515A92" w:rsidRPr="00303FF6">
        <w:rPr>
          <w:rFonts w:asciiTheme="majorHAnsi" w:eastAsia="MS Mincho" w:hAnsiTheme="majorHAnsi"/>
          <w:sz w:val="20"/>
          <w:szCs w:val="20"/>
          <w:bdr w:val="none" w:sz="0" w:space="0" w:color="auto"/>
          <w:lang w:val="es-ES" w:eastAsia="ar-SA"/>
        </w:rPr>
        <w:t xml:space="preserve"> en la implementación de las medidas </w:t>
      </w:r>
      <w:r w:rsidR="00381AD2" w:rsidRPr="00303FF6">
        <w:rPr>
          <w:rFonts w:asciiTheme="majorHAnsi" w:eastAsia="MS Mincho" w:hAnsiTheme="majorHAnsi"/>
          <w:sz w:val="20"/>
          <w:szCs w:val="20"/>
          <w:bdr w:val="none" w:sz="0" w:space="0" w:color="auto"/>
          <w:lang w:val="es-ES" w:eastAsia="ar-SA"/>
        </w:rPr>
        <w:t>d</w:t>
      </w:r>
      <w:r w:rsidR="00515A92" w:rsidRPr="00303FF6">
        <w:rPr>
          <w:rFonts w:asciiTheme="majorHAnsi" w:eastAsia="MS Mincho" w:hAnsiTheme="majorHAnsi"/>
          <w:sz w:val="20"/>
          <w:szCs w:val="20"/>
          <w:bdr w:val="none" w:sz="0" w:space="0" w:color="auto"/>
          <w:lang w:val="es-ES" w:eastAsia="ar-SA"/>
        </w:rPr>
        <w:t xml:space="preserve">e protección, expresó que el equipo técnico de la Política está compuesto por profesionales de distintas disciplinas para permitir un enfoque sistémico e integral y que si se toman en cuenta aspectos como la situación del defensor, el contexto, género, raza, etnia, orientación sexual, edad, contexto social y otros factores. </w:t>
      </w:r>
    </w:p>
    <w:p w14:paraId="06D4124D" w14:textId="77777777" w:rsidR="00482C3D" w:rsidRPr="00303FF6" w:rsidRDefault="00482C3D" w:rsidP="00482C3D">
      <w:pPr>
        <w:pStyle w:val="ListParagraph"/>
        <w:rPr>
          <w:rFonts w:asciiTheme="majorHAnsi" w:eastAsia="MS Mincho" w:hAnsiTheme="majorHAnsi"/>
          <w:sz w:val="20"/>
          <w:szCs w:val="20"/>
          <w:bdr w:val="none" w:sz="0" w:space="0" w:color="auto"/>
          <w:lang w:val="es-ES" w:eastAsia="ar-SA"/>
        </w:rPr>
      </w:pPr>
    </w:p>
    <w:p w14:paraId="10CECC79" w14:textId="77777777" w:rsidR="009F4008" w:rsidRPr="00303FF6" w:rsidRDefault="00482C3D" w:rsidP="007729E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eastAsia="MS Mincho" w:hAnsiTheme="majorHAnsi"/>
          <w:sz w:val="20"/>
          <w:szCs w:val="20"/>
          <w:bdr w:val="none" w:sz="0" w:space="0" w:color="auto"/>
          <w:lang w:val="es-ES" w:eastAsia="ar-SA"/>
        </w:rPr>
      </w:pPr>
      <w:r w:rsidRPr="00303FF6">
        <w:rPr>
          <w:rFonts w:asciiTheme="majorHAnsi" w:eastAsia="MS Mincho" w:hAnsiTheme="majorHAnsi"/>
          <w:sz w:val="20"/>
          <w:szCs w:val="20"/>
          <w:bdr w:val="none" w:sz="0" w:space="0" w:color="auto"/>
          <w:lang w:val="es-ES" w:eastAsia="ar-SA"/>
        </w:rPr>
        <w:t xml:space="preserve">La parte peticionaria expresó que subsisten las fallas subrayadas por la Comisión </w:t>
      </w:r>
      <w:r w:rsidR="00185EE9" w:rsidRPr="00303FF6">
        <w:rPr>
          <w:rFonts w:asciiTheme="majorHAnsi" w:eastAsia="MS Mincho" w:hAnsiTheme="majorHAnsi"/>
          <w:sz w:val="20"/>
          <w:szCs w:val="20"/>
          <w:bdr w:val="none" w:sz="0" w:space="0" w:color="auto"/>
          <w:lang w:val="es-ES" w:eastAsia="ar-SA"/>
        </w:rPr>
        <w:t xml:space="preserve">en el Informe 20/18 sobre el mecanismo de protección a defensores y que el Estado debe proporcionar información concreta sobre las medidas adoptadas para fortalecer el programa. </w:t>
      </w:r>
    </w:p>
    <w:p w14:paraId="6886EFC8" w14:textId="77777777" w:rsidR="001D31AF" w:rsidRPr="00303FF6" w:rsidRDefault="001D31AF" w:rsidP="001D31AF">
      <w:pPr>
        <w:pStyle w:val="ListParagraph"/>
        <w:rPr>
          <w:rFonts w:asciiTheme="majorHAnsi" w:eastAsia="MS Mincho" w:hAnsiTheme="majorHAnsi"/>
          <w:sz w:val="20"/>
          <w:szCs w:val="20"/>
          <w:bdr w:val="none" w:sz="0" w:space="0" w:color="auto"/>
          <w:lang w:val="es-ES" w:eastAsia="ar-SA"/>
        </w:rPr>
      </w:pPr>
    </w:p>
    <w:p w14:paraId="1BA9C3D8" w14:textId="77777777" w:rsidR="001D31AF" w:rsidRPr="00303FF6" w:rsidRDefault="001D31AF" w:rsidP="00377C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eastAsia="MS Mincho" w:hAnsiTheme="majorHAnsi"/>
          <w:sz w:val="20"/>
          <w:szCs w:val="20"/>
          <w:bdr w:val="none" w:sz="0" w:space="0" w:color="auto"/>
          <w:lang w:val="es-ES" w:eastAsia="ar-SA"/>
        </w:rPr>
      </w:pPr>
      <w:r w:rsidRPr="00303FF6">
        <w:rPr>
          <w:rFonts w:asciiTheme="majorHAnsi" w:eastAsia="MS Mincho" w:hAnsiTheme="majorHAnsi"/>
          <w:sz w:val="20"/>
          <w:szCs w:val="20"/>
          <w:bdr w:val="none" w:sz="0" w:space="0" w:color="auto"/>
          <w:lang w:val="es-ES" w:eastAsia="ar-SA"/>
        </w:rPr>
        <w:lastRenderedPageBreak/>
        <w:t xml:space="preserve">Sobre este aspecto, la Comisión toma nota de la información proporcionada por el Estado, y considera que constituyen avances positivos tanto </w:t>
      </w:r>
      <w:r w:rsidR="00377CC9" w:rsidRPr="00303FF6">
        <w:rPr>
          <w:rFonts w:asciiTheme="majorHAnsi" w:eastAsia="MS Mincho" w:hAnsiTheme="majorHAnsi"/>
          <w:sz w:val="20"/>
          <w:szCs w:val="20"/>
          <w:bdr w:val="none" w:sz="0" w:space="0" w:color="auto"/>
          <w:lang w:val="es-ES" w:eastAsia="ar-SA"/>
        </w:rPr>
        <w:t xml:space="preserve">el incremento presupuestario, </w:t>
      </w:r>
      <w:r w:rsidRPr="00303FF6">
        <w:rPr>
          <w:rFonts w:asciiTheme="majorHAnsi" w:eastAsia="MS Mincho" w:hAnsiTheme="majorHAnsi"/>
          <w:sz w:val="20"/>
          <w:szCs w:val="20"/>
          <w:bdr w:val="none" w:sz="0" w:space="0" w:color="auto"/>
          <w:lang w:val="es-ES" w:eastAsia="ar-SA"/>
        </w:rPr>
        <w:t xml:space="preserve">la gestión de convenios entre distintos estados para lograr mayor cobertura </w:t>
      </w:r>
      <w:r w:rsidR="00377CC9" w:rsidRPr="00303FF6">
        <w:rPr>
          <w:rFonts w:asciiTheme="majorHAnsi" w:eastAsia="MS Mincho" w:hAnsiTheme="majorHAnsi"/>
          <w:sz w:val="20"/>
          <w:szCs w:val="20"/>
          <w:bdr w:val="none" w:sz="0" w:space="0" w:color="auto"/>
          <w:lang w:val="es-ES" w:eastAsia="ar-SA"/>
        </w:rPr>
        <w:t xml:space="preserve">de la política de protección a defensores, así como los pasos para instalar una </w:t>
      </w:r>
      <w:r w:rsidR="009A38E1" w:rsidRPr="00303FF6">
        <w:rPr>
          <w:rFonts w:asciiTheme="majorHAnsi" w:eastAsia="MS Mincho" w:hAnsiTheme="majorHAnsi"/>
          <w:sz w:val="20"/>
          <w:szCs w:val="20"/>
          <w:bdr w:val="none" w:sz="0" w:space="0" w:color="auto"/>
          <w:lang w:val="es-ES" w:eastAsia="ar-SA"/>
        </w:rPr>
        <w:t xml:space="preserve">mesa de diálogo que permita la participación de personas defensoras de derechos humanos. </w:t>
      </w:r>
    </w:p>
    <w:p w14:paraId="5ACAF66E" w14:textId="77777777" w:rsidR="0079192C" w:rsidRPr="00303FF6" w:rsidRDefault="0079192C" w:rsidP="0079192C">
      <w:pPr>
        <w:pStyle w:val="ListParagraph"/>
        <w:rPr>
          <w:rFonts w:asciiTheme="majorHAnsi" w:eastAsia="MS Mincho" w:hAnsiTheme="majorHAnsi"/>
          <w:sz w:val="20"/>
          <w:szCs w:val="20"/>
          <w:bdr w:val="none" w:sz="0" w:space="0" w:color="auto"/>
          <w:lang w:val="es-ES" w:eastAsia="ar-SA"/>
        </w:rPr>
      </w:pPr>
    </w:p>
    <w:p w14:paraId="375CC64F" w14:textId="77777777" w:rsidR="009A38E1" w:rsidRPr="00303FF6" w:rsidRDefault="0079192C" w:rsidP="007919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eastAsia="MS Mincho" w:hAnsiTheme="majorHAnsi"/>
          <w:sz w:val="20"/>
          <w:szCs w:val="20"/>
          <w:bdr w:val="none" w:sz="0" w:space="0" w:color="auto"/>
          <w:lang w:val="es-ES" w:eastAsia="ar-SA"/>
        </w:rPr>
      </w:pPr>
      <w:r w:rsidRPr="00303FF6">
        <w:rPr>
          <w:rFonts w:asciiTheme="majorHAnsi" w:eastAsia="MS Mincho" w:hAnsiTheme="majorHAnsi"/>
          <w:sz w:val="20"/>
          <w:szCs w:val="20"/>
          <w:bdr w:val="none" w:sz="0" w:space="0" w:color="auto"/>
          <w:lang w:val="es-ES" w:eastAsia="ar-SA"/>
        </w:rPr>
        <w:t>La CIDH hizo notar en las observaciones preliminares de su visita in loco a Brasil que tuvo lugar del 5 al 12 de noviembre de 2018 que “es primordial que el programa alcance una implementación efectiva en zonas rurales y zonas alejadas de los núcleos urbanos, donde además suceden la mayoría de los hechos de violencia reportados. Asimismo, en una reunión mantenida con una Fiscalía Estadual de Para, se señaló la urgente necesidad de avanzar en una mejor coordinación del programa de protección con los distintos cuerpos de seguridad responsables de implementar las medidas de protección”</w:t>
      </w:r>
      <w:r w:rsidRPr="00303FF6">
        <w:rPr>
          <w:rStyle w:val="FootnoteReference"/>
          <w:rFonts w:asciiTheme="majorHAnsi" w:eastAsia="MS Mincho" w:hAnsiTheme="majorHAnsi"/>
          <w:sz w:val="20"/>
          <w:szCs w:val="20"/>
          <w:bdr w:val="none" w:sz="0" w:space="0" w:color="auto"/>
          <w:lang w:val="es-ES" w:eastAsia="ar-SA"/>
        </w:rPr>
        <w:footnoteReference w:id="163"/>
      </w:r>
      <w:r w:rsidRPr="00303FF6">
        <w:rPr>
          <w:rFonts w:asciiTheme="majorHAnsi" w:eastAsia="MS Mincho" w:hAnsiTheme="majorHAnsi"/>
          <w:sz w:val="20"/>
          <w:szCs w:val="20"/>
          <w:bdr w:val="none" w:sz="0" w:space="0" w:color="auto"/>
          <w:lang w:val="es-ES" w:eastAsia="ar-SA"/>
        </w:rPr>
        <w:t xml:space="preserve">. </w:t>
      </w:r>
    </w:p>
    <w:p w14:paraId="7D309133" w14:textId="77777777" w:rsidR="008A5A32" w:rsidRPr="00303FF6" w:rsidRDefault="008A5A32" w:rsidP="008A5A32">
      <w:pPr>
        <w:pStyle w:val="ListParagraph"/>
        <w:rPr>
          <w:rFonts w:asciiTheme="majorHAnsi" w:eastAsia="MS Mincho" w:hAnsiTheme="majorHAnsi"/>
          <w:sz w:val="20"/>
          <w:szCs w:val="20"/>
          <w:bdr w:val="none" w:sz="0" w:space="0" w:color="auto"/>
          <w:lang w:val="es-ES" w:eastAsia="ar-SA"/>
        </w:rPr>
      </w:pPr>
    </w:p>
    <w:p w14:paraId="4B3F3CD3" w14:textId="77777777" w:rsidR="008A5A32" w:rsidRPr="00303FF6" w:rsidRDefault="008A5A32" w:rsidP="00A5325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eastAsia="MS Mincho" w:hAnsiTheme="majorHAnsi"/>
          <w:sz w:val="20"/>
          <w:szCs w:val="20"/>
          <w:bdr w:val="none" w:sz="0" w:space="0" w:color="auto"/>
          <w:lang w:val="es-ES" w:eastAsia="ar-SA"/>
        </w:rPr>
      </w:pPr>
      <w:r w:rsidRPr="00303FF6">
        <w:rPr>
          <w:rFonts w:asciiTheme="majorHAnsi" w:eastAsia="MS Mincho" w:hAnsiTheme="majorHAnsi"/>
          <w:sz w:val="20"/>
          <w:szCs w:val="20"/>
          <w:bdr w:val="none" w:sz="0" w:space="0" w:color="auto"/>
          <w:lang w:val="es-ES" w:eastAsia="ar-SA"/>
        </w:rPr>
        <w:t xml:space="preserve">La CIDH insta al Estado federal a continuar adoptando </w:t>
      </w:r>
      <w:r w:rsidR="004D3476" w:rsidRPr="00303FF6">
        <w:rPr>
          <w:rFonts w:asciiTheme="majorHAnsi" w:eastAsia="MS Mincho" w:hAnsiTheme="majorHAnsi"/>
          <w:sz w:val="20"/>
          <w:szCs w:val="20"/>
          <w:bdr w:val="none" w:sz="0" w:space="0" w:color="auto"/>
          <w:lang w:val="es-ES" w:eastAsia="ar-SA"/>
        </w:rPr>
        <w:t xml:space="preserve">todas </w:t>
      </w:r>
      <w:r w:rsidRPr="00303FF6">
        <w:rPr>
          <w:rFonts w:asciiTheme="majorHAnsi" w:eastAsia="MS Mincho" w:hAnsiTheme="majorHAnsi"/>
          <w:sz w:val="20"/>
          <w:szCs w:val="20"/>
          <w:bdr w:val="none" w:sz="0" w:space="0" w:color="auto"/>
          <w:lang w:val="es-ES" w:eastAsia="ar-SA"/>
        </w:rPr>
        <w:t>las medidas necesarias para f</w:t>
      </w:r>
      <w:r w:rsidR="004D3476" w:rsidRPr="00303FF6">
        <w:rPr>
          <w:rFonts w:asciiTheme="majorHAnsi" w:eastAsia="MS Mincho" w:hAnsiTheme="majorHAnsi"/>
          <w:sz w:val="20"/>
          <w:szCs w:val="20"/>
          <w:bdr w:val="none" w:sz="0" w:space="0" w:color="auto"/>
          <w:lang w:val="es-ES" w:eastAsia="ar-SA"/>
        </w:rPr>
        <w:t>ortalecer el Programa de Protección a Defensores y Defensores de Derechos Humanos. En particular, resulta fundamental incrementar su cobertura, iniciando con aquellas regiones en las que existe mayor necesidad por el riesgo diferenciado de defensoras y defensores de derechos humanos.</w:t>
      </w:r>
    </w:p>
    <w:p w14:paraId="540D48B0" w14:textId="77777777" w:rsidR="00A5325C" w:rsidRPr="00303FF6" w:rsidRDefault="00A5325C" w:rsidP="004D3476">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jc w:val="both"/>
        <w:rPr>
          <w:rFonts w:asciiTheme="majorHAnsi" w:eastAsia="MS Mincho" w:hAnsiTheme="majorHAnsi"/>
          <w:sz w:val="20"/>
          <w:szCs w:val="20"/>
          <w:bdr w:val="none" w:sz="0" w:space="0" w:color="auto"/>
          <w:lang w:val="es-ES" w:eastAsia="ar-SA"/>
        </w:rPr>
      </w:pPr>
    </w:p>
    <w:p w14:paraId="1CAA6035" w14:textId="77777777" w:rsidR="00E03E21" w:rsidRPr="00303FF6" w:rsidRDefault="00E03E21" w:rsidP="00E03E21">
      <w:pPr>
        <w:pStyle w:val="Heading1"/>
        <w:keepLines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0"/>
        <w:rPr>
          <w:rFonts w:eastAsia="Times New Roman" w:cs="Times New Roman"/>
          <w:bCs w:val="0"/>
          <w:color w:val="auto"/>
          <w:sz w:val="20"/>
          <w:szCs w:val="20"/>
          <w:bdr w:val="none" w:sz="0" w:space="0" w:color="auto"/>
          <w:lang w:val="es-ES_tradnl"/>
        </w:rPr>
      </w:pPr>
      <w:bookmarkStart w:id="39" w:name="_Toc86071611"/>
      <w:r w:rsidRPr="00303FF6">
        <w:rPr>
          <w:rFonts w:eastAsia="Times New Roman" w:cs="Times New Roman"/>
          <w:bCs w:val="0"/>
          <w:color w:val="auto"/>
          <w:sz w:val="20"/>
          <w:szCs w:val="20"/>
          <w:bdr w:val="none" w:sz="0" w:space="0" w:color="auto"/>
          <w:lang w:val="es-ES_tradnl"/>
        </w:rPr>
        <w:t>CONCLUSIONES Y RECOMENDACIONES</w:t>
      </w:r>
      <w:bookmarkEnd w:id="37"/>
      <w:r w:rsidR="00E405F9" w:rsidRPr="00303FF6">
        <w:rPr>
          <w:rFonts w:eastAsia="Times New Roman" w:cs="Times New Roman"/>
          <w:bCs w:val="0"/>
          <w:color w:val="auto"/>
          <w:sz w:val="20"/>
          <w:szCs w:val="20"/>
          <w:bdr w:val="none" w:sz="0" w:space="0" w:color="auto"/>
          <w:lang w:val="es-ES_tradnl"/>
        </w:rPr>
        <w:t xml:space="preserve"> FINALES</w:t>
      </w:r>
      <w:bookmarkEnd w:id="39"/>
    </w:p>
    <w:p w14:paraId="4F3983AE" w14:textId="77777777" w:rsidR="00E405F9" w:rsidRPr="00303FF6" w:rsidRDefault="00E405F9" w:rsidP="00E405F9">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jc w:val="both"/>
        <w:rPr>
          <w:rFonts w:asciiTheme="majorHAnsi" w:hAnsiTheme="majorHAnsi"/>
          <w:sz w:val="20"/>
          <w:szCs w:val="20"/>
          <w:lang w:val="es-VE"/>
        </w:rPr>
      </w:pPr>
    </w:p>
    <w:p w14:paraId="6C7D8D6A" w14:textId="77777777" w:rsidR="00E405F9" w:rsidRPr="00303FF6" w:rsidRDefault="00E405F9" w:rsidP="00E405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hAnsiTheme="majorHAnsi"/>
          <w:sz w:val="20"/>
          <w:szCs w:val="20"/>
          <w:lang w:val="es-ES" w:eastAsia="es-ES"/>
        </w:rPr>
      </w:pPr>
      <w:r w:rsidRPr="00303FF6">
        <w:rPr>
          <w:rFonts w:asciiTheme="majorHAnsi" w:hAnsiTheme="majorHAnsi"/>
          <w:sz w:val="20"/>
          <w:szCs w:val="20"/>
          <w:lang w:val="es-ES" w:eastAsia="es-ES"/>
        </w:rPr>
        <w:t xml:space="preserve">Sobre la base de las anteriores consideraciones la Comisión concluye que el Estado brasileño es responsable por la violación de los derechos </w:t>
      </w:r>
      <w:r w:rsidRPr="00303FF6">
        <w:rPr>
          <w:rFonts w:ascii="Cambria" w:eastAsia="Calibri" w:hAnsi="Cambria"/>
          <w:sz w:val="20"/>
          <w:szCs w:val="20"/>
          <w:lang w:val="es-CO"/>
        </w:rPr>
        <w:t xml:space="preserve">consagrados en los artículos I (derecho a la vida e integridad personal), XVIII (derecho a la justicia), XXII (derecho de asociación) de </w:t>
      </w:r>
      <w:r w:rsidRPr="00303FF6">
        <w:rPr>
          <w:rFonts w:ascii="Cambria" w:hAnsi="Cambria"/>
          <w:color w:val="000000"/>
          <w:sz w:val="20"/>
          <w:szCs w:val="20"/>
          <w:lang w:val="es-CO"/>
        </w:rPr>
        <w:t xml:space="preserve">la </w:t>
      </w:r>
      <w:r w:rsidRPr="00303FF6">
        <w:rPr>
          <w:rFonts w:ascii="Cambria" w:eastAsia="Calibri" w:hAnsi="Cambria"/>
          <w:sz w:val="20"/>
          <w:szCs w:val="20"/>
          <w:lang w:val="es-CO"/>
        </w:rPr>
        <w:t xml:space="preserve">Declaración Americana de los Derechos y Deberes del Hombre, 5 (integridad personal), 8.1 (garantías judiciales), 25.1 (protección judicial) de la Convención Americana en relación con el artículo 1.1 del mismo instrumento en perjuicio de las personas que se indican a lo largo del presente informe. </w:t>
      </w:r>
    </w:p>
    <w:p w14:paraId="27A7083B" w14:textId="77777777" w:rsidR="004D3476" w:rsidRPr="00303FF6" w:rsidRDefault="004D3476" w:rsidP="00E405F9">
      <w:pPr>
        <w:rPr>
          <w:rFonts w:asciiTheme="majorHAnsi" w:hAnsiTheme="majorHAnsi"/>
          <w:sz w:val="20"/>
          <w:szCs w:val="20"/>
          <w:lang w:val="es-VE"/>
        </w:rPr>
      </w:pPr>
    </w:p>
    <w:p w14:paraId="4DF3887D" w14:textId="77777777" w:rsidR="00E03E21" w:rsidRPr="00303FF6" w:rsidRDefault="00E03E21" w:rsidP="00E03E21">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jc w:val="both"/>
        <w:rPr>
          <w:rFonts w:asciiTheme="majorHAnsi" w:hAnsiTheme="majorHAnsi"/>
          <w:sz w:val="20"/>
          <w:szCs w:val="20"/>
          <w:lang w:val="es-VE"/>
        </w:rPr>
      </w:pPr>
    </w:p>
    <w:p w14:paraId="12C80113" w14:textId="77777777" w:rsidR="00E03E21" w:rsidRPr="00303FF6" w:rsidRDefault="00E03E21" w:rsidP="00E03E2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MS Mincho" w:hAnsiTheme="majorHAnsi"/>
          <w:b/>
          <w:sz w:val="20"/>
          <w:szCs w:val="20"/>
          <w:bdr w:val="none" w:sz="0" w:space="0" w:color="auto"/>
          <w:lang w:val="es-ES" w:eastAsia="ar-SA"/>
        </w:rPr>
      </w:pPr>
      <w:r w:rsidRPr="00303FF6">
        <w:rPr>
          <w:rFonts w:asciiTheme="majorHAnsi" w:eastAsia="MS Mincho" w:hAnsiTheme="majorHAnsi"/>
          <w:b/>
          <w:sz w:val="20"/>
          <w:szCs w:val="20"/>
          <w:bdr w:val="none" w:sz="0" w:space="0" w:color="auto"/>
          <w:lang w:val="es-ES" w:eastAsia="ar-SA"/>
        </w:rPr>
        <w:t xml:space="preserve">LA COMISION INTERAMERICANA DE DERECHOS HUMANOS REITERA AL ESTADO DE BRASIL LAS SIGUIENTES RECOMENDACIONES, CON MIRAS A SU CUMPLIMIENTO TOTAL Y EFECTIVO: </w:t>
      </w:r>
    </w:p>
    <w:p w14:paraId="1DDDEB54" w14:textId="77777777" w:rsidR="00E03E21" w:rsidRPr="00303FF6" w:rsidRDefault="00E03E21" w:rsidP="00E03E21">
      <w:pPr>
        <w:rPr>
          <w:lang w:val="es-ES_tradnl"/>
        </w:rPr>
      </w:pPr>
    </w:p>
    <w:p w14:paraId="6599BC8C" w14:textId="77777777" w:rsidR="00E03E21" w:rsidRPr="00303FF6" w:rsidRDefault="00E03E21" w:rsidP="00E03E21">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303FF6">
        <w:rPr>
          <w:rFonts w:asciiTheme="majorHAnsi" w:hAnsiTheme="majorHAnsi"/>
          <w:sz w:val="20"/>
          <w:szCs w:val="20"/>
          <w:lang w:val="es-ES"/>
        </w:rPr>
        <w:t xml:space="preserve">Reparar integralmente a los familiares de la víctima del presente caso a través de medidas de compensación pecuniaria y de satisfacción que incluyan el daño material e inmaterial ocasionado como consecuencia de las violaciones declaradas en el presente informe. </w:t>
      </w:r>
    </w:p>
    <w:p w14:paraId="55E32831" w14:textId="77777777" w:rsidR="009C7CF4" w:rsidRPr="00303FF6" w:rsidRDefault="009C7CF4" w:rsidP="009C7CF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14:paraId="0689B7C5" w14:textId="77777777" w:rsidR="00E03E21" w:rsidRPr="00303FF6" w:rsidRDefault="00E03E21" w:rsidP="00E03E21">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303FF6">
        <w:rPr>
          <w:rFonts w:asciiTheme="majorHAnsi" w:hAnsiTheme="majorHAnsi"/>
          <w:sz w:val="20"/>
          <w:szCs w:val="20"/>
          <w:lang w:val="es-VE"/>
        </w:rPr>
        <w:t xml:space="preserve">Desarrollar y completar una investigación </w:t>
      </w:r>
      <w:r w:rsidRPr="00303FF6">
        <w:rPr>
          <w:rFonts w:asciiTheme="majorHAnsi" w:eastAsia="Times New Roman" w:hAnsiTheme="majorHAnsi" w:cs="Tahoma"/>
          <w:sz w:val="20"/>
          <w:szCs w:val="20"/>
          <w:bdr w:val="none" w:sz="0" w:space="0" w:color="auto"/>
          <w:lang w:val="es-AR"/>
        </w:rPr>
        <w:t xml:space="preserve">de manera diligente, efectiva y dentro de un plazo razonable con el objeto de esclarecer los hechos en forma completa; identificar todas las posibles responsabilidades materiales e intelectuales en los distintos niveles de decisión y ejecución; e imponer las sanciones que correspondan respecto de las violaciones de derechos humanos declaradas en el presente informe. Esto incluye la investigación de </w:t>
      </w:r>
      <w:r w:rsidRPr="00303FF6">
        <w:rPr>
          <w:rFonts w:asciiTheme="majorHAnsi" w:hAnsiTheme="majorHAnsi"/>
          <w:sz w:val="20"/>
          <w:szCs w:val="20"/>
          <w:lang w:val="es-VE"/>
        </w:rPr>
        <w:t xml:space="preserve">las estructuras de poder que participaron en la comisión de las violaciones ocurridas. En el marco de este proceso, corresponde al Estado adoptar todas las medidas para proteger a testigos y otros actores del proceso, en caso de que sea necesario. Asimismo, y tomando en cuenta que la prescripción fue el resultado de las acciones y omisiones del Estado, dicha figura no es oponible para el total cumplimiento de esta recomendación. </w:t>
      </w:r>
    </w:p>
    <w:p w14:paraId="6C5BBD7B" w14:textId="77777777" w:rsidR="00E03E21" w:rsidRPr="00303FF6" w:rsidRDefault="00E03E21" w:rsidP="00E03E2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14:paraId="16810B60" w14:textId="77777777" w:rsidR="00E03E21" w:rsidRPr="00303FF6" w:rsidRDefault="00E03E21" w:rsidP="00E03E21">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303FF6">
        <w:rPr>
          <w:rFonts w:asciiTheme="majorHAnsi" w:eastAsia="Times New Roman" w:hAnsiTheme="majorHAnsi" w:cs="Tahoma"/>
          <w:sz w:val="20"/>
          <w:szCs w:val="20"/>
          <w:bdr w:val="none" w:sz="0" w:space="0" w:color="auto"/>
          <w:lang w:val="es-ES"/>
        </w:rPr>
        <w:t>Disponer las medidas de atención en salud física y mental necesarias para la rehabilitación de los familiares de Margarida María Alves de ser su voluntad y de manera concertada.</w:t>
      </w:r>
    </w:p>
    <w:p w14:paraId="6F9E26BB" w14:textId="77777777" w:rsidR="00E03E21" w:rsidRPr="00303FF6" w:rsidRDefault="00E03E21" w:rsidP="00E03E21">
      <w:pPr>
        <w:pStyle w:val="ListParagraph"/>
        <w:rPr>
          <w:rFonts w:asciiTheme="majorHAnsi" w:hAnsiTheme="majorHAnsi"/>
          <w:sz w:val="20"/>
          <w:szCs w:val="20"/>
          <w:lang w:val="es-VE"/>
        </w:rPr>
      </w:pPr>
    </w:p>
    <w:p w14:paraId="2140D15E" w14:textId="77777777" w:rsidR="00E03E21" w:rsidRPr="00303FF6" w:rsidRDefault="00E03E21" w:rsidP="00E03E21">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303FF6">
        <w:rPr>
          <w:rFonts w:asciiTheme="majorHAnsi" w:hAnsiTheme="majorHAnsi"/>
          <w:sz w:val="20"/>
          <w:szCs w:val="20"/>
          <w:lang w:val="es-VE"/>
        </w:rPr>
        <w:t xml:space="preserve">Disponer medidas de no repetición que incluyan el fortalecer el Programa de Protección a Defensores de Derechos Humanos, enfocándose en la prevención de actos de violencia en contra de defensores y defensoras de derechos de los trabajadores en Brasil; así como el fortalecimiento de la capacidad investigativa de este tipo de crímenes, conforme a los estándares desarrollados en el presente informe.  </w:t>
      </w:r>
    </w:p>
    <w:p w14:paraId="4EACB952" w14:textId="77777777" w:rsidR="00E03E21" w:rsidRPr="00303FF6" w:rsidRDefault="00E03E21" w:rsidP="00E03E2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sz w:val="20"/>
          <w:szCs w:val="20"/>
          <w:bdr w:val="none" w:sz="0" w:space="0" w:color="auto"/>
          <w:lang w:val="es-ES" w:eastAsia="ar-SA"/>
        </w:rPr>
      </w:pPr>
    </w:p>
    <w:p w14:paraId="534E6524" w14:textId="77777777" w:rsidR="00E03E21" w:rsidRPr="00303FF6" w:rsidRDefault="00E03E21" w:rsidP="00E03E21">
      <w:pPr>
        <w:pStyle w:val="Heading1"/>
        <w:keepLines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0"/>
        <w:rPr>
          <w:rFonts w:eastAsia="MS Mincho"/>
          <w:color w:val="auto"/>
          <w:sz w:val="20"/>
          <w:szCs w:val="20"/>
          <w:lang w:val="es-ES" w:eastAsia="ar-SA"/>
        </w:rPr>
      </w:pPr>
      <w:bookmarkStart w:id="40" w:name="_Toc509823491"/>
      <w:bookmarkStart w:id="41" w:name="_Toc510449826"/>
      <w:bookmarkStart w:id="42" w:name="_Toc399152690"/>
      <w:bookmarkStart w:id="43" w:name="_Toc86071612"/>
      <w:r w:rsidRPr="00303FF6">
        <w:rPr>
          <w:rFonts w:eastAsia="MS Mincho"/>
          <w:color w:val="auto"/>
          <w:sz w:val="20"/>
          <w:szCs w:val="20"/>
          <w:lang w:val="es-ES" w:eastAsia="ar-SA"/>
        </w:rPr>
        <w:lastRenderedPageBreak/>
        <w:t>NOTIFICACIÓN</w:t>
      </w:r>
      <w:bookmarkEnd w:id="40"/>
      <w:bookmarkEnd w:id="41"/>
      <w:bookmarkEnd w:id="42"/>
      <w:bookmarkEnd w:id="43"/>
    </w:p>
    <w:p w14:paraId="018AF491" w14:textId="77777777" w:rsidR="00E03E21" w:rsidRPr="00303FF6" w:rsidRDefault="00E03E21" w:rsidP="00E03E2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b/>
          <w:sz w:val="20"/>
          <w:szCs w:val="20"/>
          <w:bdr w:val="none" w:sz="0" w:space="0" w:color="auto"/>
          <w:lang w:val="es-ES" w:eastAsia="ar-SA"/>
        </w:rPr>
      </w:pPr>
    </w:p>
    <w:p w14:paraId="4AD51406" w14:textId="77777777" w:rsidR="00E03E21" w:rsidRPr="00303FF6" w:rsidRDefault="0048035F" w:rsidP="008A58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hAnsiTheme="majorHAnsi"/>
          <w:sz w:val="20"/>
          <w:szCs w:val="20"/>
          <w:lang w:val="es-VE"/>
        </w:rPr>
      </w:pPr>
      <w:r w:rsidRPr="00303FF6">
        <w:rPr>
          <w:rFonts w:asciiTheme="majorHAnsi" w:eastAsia="MS Mincho" w:hAnsiTheme="majorHAnsi"/>
          <w:sz w:val="20"/>
          <w:szCs w:val="20"/>
          <w:bdr w:val="none" w:sz="0" w:space="0" w:color="auto"/>
          <w:lang w:val="es-ES" w:eastAsia="ar-SA"/>
        </w:rPr>
        <w:t>De acuerdo con lo señalado y de conformidad con lo dispuesto en el artículo 51.3 de la Convención Americana y 47.3 de su Reglamento, la Comisión Interamericana de Derechos Humanos decide publicar este informe e incluirlo en su Informe Anual a la Asamblea General de la Organización de Estados Americanos. La Comisión Interamericana, de acuerdo a las normas establecidas en los instrumentos que regulan su mandato, continuará evaluando las medidas adoptadas por el Estado brasileño respecto de las recomendaciones arriba señaladas, hasta que determine que se ha dado un total cumplimiento de las mismas.</w:t>
      </w:r>
    </w:p>
    <w:p w14:paraId="6B6E109B" w14:textId="77777777" w:rsidR="00F040C7" w:rsidRDefault="00F040C7" w:rsidP="00F040C7">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jc w:val="both"/>
        <w:rPr>
          <w:rFonts w:eastAsia="Times New Roman"/>
          <w:sz w:val="20"/>
          <w:szCs w:val="20"/>
          <w:lang w:val="es-ES"/>
        </w:rPr>
      </w:pPr>
    </w:p>
    <w:p w14:paraId="787FFB39" w14:textId="77777777" w:rsidR="00F040C7" w:rsidRPr="00F040C7" w:rsidRDefault="00F040C7" w:rsidP="00F040C7">
      <w:pPr>
        <w:ind w:firstLine="720"/>
        <w:jc w:val="both"/>
        <w:rPr>
          <w:rFonts w:ascii="Cambria" w:hAnsi="Cambria" w:cs="BookAntiqua"/>
          <w:sz w:val="20"/>
          <w:szCs w:val="20"/>
          <w:lang w:val="es-ES"/>
        </w:rPr>
      </w:pPr>
      <w:r w:rsidRPr="00F040C7">
        <w:rPr>
          <w:rFonts w:eastAsia="Times New Roman"/>
          <w:sz w:val="20"/>
          <w:szCs w:val="20"/>
          <w:lang w:val="es-ES"/>
        </w:rPr>
        <w:t>Aprobado por la Comisión Interamericana de Derechos Humanos a los 2</w:t>
      </w:r>
      <w:r>
        <w:rPr>
          <w:rFonts w:eastAsia="Times New Roman"/>
          <w:sz w:val="20"/>
          <w:szCs w:val="20"/>
          <w:lang w:val="es-ES"/>
        </w:rPr>
        <w:t>6</w:t>
      </w:r>
      <w:r w:rsidRPr="00F040C7">
        <w:rPr>
          <w:rFonts w:eastAsia="Times New Roman"/>
          <w:sz w:val="20"/>
          <w:szCs w:val="20"/>
          <w:lang w:val="es-ES"/>
        </w:rPr>
        <w:t xml:space="preserve"> días del mes de abril de 2020. (Firmado): Joel Hernández, Presidente; Antonia Urrrejola Noguera; </w:t>
      </w:r>
      <w:r w:rsidRPr="00F040C7">
        <w:rPr>
          <w:spacing w:val="-2"/>
          <w:sz w:val="20"/>
          <w:lang w:val="es-ES"/>
        </w:rPr>
        <w:t>Margarette May Macaulay, Esmeralda Arosemena de Troitiño y</w:t>
      </w:r>
      <w:r w:rsidRPr="00F040C7">
        <w:rPr>
          <w:rFonts w:eastAsia="Times New Roman"/>
          <w:sz w:val="20"/>
          <w:szCs w:val="20"/>
          <w:lang w:val="es-ES"/>
        </w:rPr>
        <w:t xml:space="preserve"> Julissa Mantilla Falcón</w:t>
      </w:r>
      <w:r>
        <w:rPr>
          <w:rFonts w:eastAsia="Times New Roman"/>
          <w:sz w:val="20"/>
          <w:szCs w:val="20"/>
          <w:lang w:val="es-ES"/>
        </w:rPr>
        <w:t xml:space="preserve"> y</w:t>
      </w:r>
      <w:r w:rsidRPr="00F040C7">
        <w:rPr>
          <w:rFonts w:eastAsia="Times New Roman"/>
          <w:sz w:val="20"/>
          <w:szCs w:val="20"/>
          <w:lang w:val="es-ES"/>
        </w:rPr>
        <w:t xml:space="preserve"> </w:t>
      </w:r>
      <w:r w:rsidRPr="00F040C7">
        <w:rPr>
          <w:rFonts w:ascii="Cambria" w:hAnsi="Cambria"/>
          <w:sz w:val="20"/>
          <w:szCs w:val="20"/>
          <w:lang w:val="es-ES"/>
        </w:rPr>
        <w:t>Edgar Stuardo Ral</w:t>
      </w:r>
      <w:r w:rsidRPr="00F040C7">
        <w:rPr>
          <w:rFonts w:ascii="Cambria" w:hAnsi="Cambria"/>
          <w:spacing w:val="-2"/>
          <w:sz w:val="20"/>
          <w:lang w:val="es-ES"/>
        </w:rPr>
        <w:t>ó</w:t>
      </w:r>
      <w:r w:rsidRPr="00F040C7">
        <w:rPr>
          <w:rFonts w:ascii="Cambria" w:hAnsi="Cambria"/>
          <w:sz w:val="20"/>
          <w:szCs w:val="20"/>
          <w:lang w:val="es-ES"/>
        </w:rPr>
        <w:t>n Orellana,</w:t>
      </w:r>
      <w:r w:rsidRPr="00F040C7">
        <w:rPr>
          <w:rFonts w:ascii="Cambria" w:hAnsi="Cambria" w:cs="BookAntiqua"/>
          <w:sz w:val="20"/>
          <w:szCs w:val="20"/>
          <w:lang w:val="es-ES"/>
        </w:rPr>
        <w:t xml:space="preserve"> </w:t>
      </w:r>
      <w:r>
        <w:rPr>
          <w:rFonts w:ascii="Cambria" w:hAnsi="Cambria" w:cs="BookAntiqua"/>
          <w:sz w:val="20"/>
          <w:szCs w:val="20"/>
          <w:lang w:val="es-ES"/>
        </w:rPr>
        <w:t>miembros de la Comisión</w:t>
      </w:r>
      <w:r w:rsidRPr="00F040C7">
        <w:rPr>
          <w:rFonts w:eastAsia="Times New Roman"/>
          <w:sz w:val="20"/>
          <w:szCs w:val="20"/>
          <w:lang w:val="es-ES"/>
        </w:rPr>
        <w:t>.</w:t>
      </w:r>
    </w:p>
    <w:p w14:paraId="60D5AFB8" w14:textId="77777777" w:rsidR="0048035F" w:rsidRPr="00F040C7" w:rsidRDefault="0048035F">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720"/>
        <w:jc w:val="both"/>
        <w:rPr>
          <w:rFonts w:asciiTheme="majorHAnsi" w:eastAsia="MS Mincho" w:hAnsiTheme="majorHAnsi"/>
          <w:sz w:val="20"/>
          <w:szCs w:val="20"/>
          <w:bdr w:val="none" w:sz="0" w:space="0" w:color="auto"/>
          <w:lang w:val="es-ES" w:eastAsia="ar-SA"/>
        </w:rPr>
      </w:pPr>
    </w:p>
    <w:sectPr w:rsidR="0048035F" w:rsidRPr="00F040C7" w:rsidSect="00243065">
      <w:type w:val="oddPage"/>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534CB" w14:textId="77777777" w:rsidR="00AC642B" w:rsidRDefault="00AC642B">
      <w:r>
        <w:separator/>
      </w:r>
    </w:p>
  </w:endnote>
  <w:endnote w:type="continuationSeparator" w:id="0">
    <w:p w14:paraId="4DCFAF8E" w14:textId="77777777" w:rsidR="00AC642B" w:rsidRDefault="00AC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Universal">
    <w:altName w:val="Courier New"/>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Bold">
    <w:panose1 w:val="00000000000000000000"/>
    <w:charset w:val="00"/>
    <w:family w:val="roman"/>
    <w:notTrueType/>
    <w:pitch w:val="default"/>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inherit">
    <w:altName w:val="Times New Roman"/>
    <w:panose1 w:val="00000000000000000000"/>
    <w:charset w:val="00"/>
    <w:family w:val="roman"/>
    <w:notTrueType/>
    <w:pitch w:val="default"/>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4B50B544" w14:textId="77777777" w:rsidR="009D3775" w:rsidRPr="00934A2C" w:rsidRDefault="009D377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4363B">
          <w:rPr>
            <w:noProof/>
            <w:sz w:val="16"/>
            <w:szCs w:val="22"/>
          </w:rPr>
          <w:t>29</w:t>
        </w:r>
        <w:r w:rsidRPr="00934A2C">
          <w:rPr>
            <w:noProof/>
            <w:sz w:val="16"/>
            <w:szCs w:val="22"/>
          </w:rPr>
          <w:fldChar w:fldCharType="end"/>
        </w:r>
      </w:p>
    </w:sdtContent>
  </w:sdt>
  <w:p w14:paraId="7246D894" w14:textId="77777777" w:rsidR="009D3775" w:rsidRDefault="009D3775" w:rsidP="00243065">
    <w:pPr>
      <w:pStyle w:val="Footer"/>
      <w:tabs>
        <w:tab w:val="clear" w:pos="4513"/>
        <w:tab w:val="clear" w:pos="9026"/>
        <w:tab w:val="left" w:pos="3922"/>
        <w:tab w:val="center" w:pos="4680"/>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0F4FC" w14:textId="77777777" w:rsidR="009D3775" w:rsidRPr="00934A2C" w:rsidRDefault="009D3775">
    <w:pPr>
      <w:pStyle w:val="Footer"/>
      <w:jc w:val="center"/>
      <w:rPr>
        <w:sz w:val="16"/>
        <w:szCs w:val="22"/>
      </w:rPr>
    </w:pPr>
  </w:p>
  <w:p w14:paraId="66035098" w14:textId="77777777" w:rsidR="009D3775" w:rsidRDefault="009D3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9E5B0" w14:textId="77777777" w:rsidR="00AC642B" w:rsidRPr="000F35ED" w:rsidRDefault="00AC642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0C6EEF5" w14:textId="77777777" w:rsidR="00AC642B" w:rsidRPr="000F35ED" w:rsidRDefault="00AC642B" w:rsidP="000F35ED">
      <w:pPr>
        <w:rPr>
          <w:rFonts w:asciiTheme="majorHAnsi" w:hAnsiTheme="majorHAnsi"/>
          <w:sz w:val="16"/>
          <w:szCs w:val="16"/>
        </w:rPr>
      </w:pPr>
      <w:r w:rsidRPr="000F35ED">
        <w:rPr>
          <w:rFonts w:asciiTheme="majorHAnsi" w:hAnsiTheme="majorHAnsi"/>
          <w:sz w:val="16"/>
          <w:szCs w:val="16"/>
        </w:rPr>
        <w:separator/>
      </w:r>
    </w:p>
    <w:p w14:paraId="1ACA2EC8" w14:textId="77777777" w:rsidR="00AC642B" w:rsidRPr="000F35ED" w:rsidRDefault="00AC642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143DC30" w14:textId="77777777" w:rsidR="00AC642B" w:rsidRPr="000F35ED" w:rsidRDefault="00AC642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B6EA429" w14:textId="77777777" w:rsidR="009D3775" w:rsidRPr="006443E9" w:rsidRDefault="009D3775" w:rsidP="00872E93">
      <w:pPr>
        <w:pStyle w:val="FootnoteText"/>
        <w:spacing w:after="120"/>
        <w:ind w:firstLine="720"/>
        <w:jc w:val="both"/>
        <w:rPr>
          <w:rFonts w:asciiTheme="majorHAnsi" w:hAnsiTheme="majorHAnsi"/>
          <w:sz w:val="16"/>
          <w:szCs w:val="16"/>
          <w:lang w:val="es-CO"/>
        </w:rPr>
      </w:pPr>
      <w:r w:rsidRPr="006443E9">
        <w:rPr>
          <w:rStyle w:val="FootnoteReference"/>
          <w:rFonts w:asciiTheme="majorHAnsi" w:hAnsiTheme="majorHAnsi"/>
          <w:sz w:val="16"/>
          <w:szCs w:val="16"/>
        </w:rPr>
        <w:footnoteRef/>
      </w:r>
      <w:r w:rsidRPr="006443E9">
        <w:rPr>
          <w:rFonts w:asciiTheme="majorHAnsi" w:hAnsiTheme="majorHAnsi"/>
          <w:sz w:val="16"/>
          <w:szCs w:val="16"/>
          <w:lang w:val="es-US"/>
        </w:rPr>
        <w:t xml:space="preserve"> </w:t>
      </w:r>
      <w:r w:rsidRPr="006443E9">
        <w:rPr>
          <w:rFonts w:asciiTheme="majorHAnsi" w:hAnsiTheme="majorHAnsi"/>
          <w:sz w:val="16"/>
          <w:szCs w:val="16"/>
          <w:lang w:val="es-CO"/>
        </w:rPr>
        <w:t>Conforme a lo dispuesto en el artículo 17.2 del Reglamento de la Comisión, el Comisionado Paulo Vanucchi, de nacionalidad Brasileña, no participó en el debate ni en la decisión del presente cas</w:t>
      </w:r>
      <w:r w:rsidRPr="006443E9">
        <w:rPr>
          <w:rFonts w:asciiTheme="majorHAnsi" w:hAnsiTheme="majorHAnsi"/>
          <w:color w:val="auto"/>
          <w:sz w:val="16"/>
          <w:szCs w:val="16"/>
          <w:lang w:val="es-CO"/>
        </w:rPr>
        <w:t xml:space="preserve">o. </w:t>
      </w:r>
    </w:p>
  </w:footnote>
  <w:footnote w:id="3">
    <w:p w14:paraId="4E9C871E" w14:textId="77777777" w:rsidR="009D3775" w:rsidRPr="006443E9" w:rsidRDefault="009D3775" w:rsidP="0025209D">
      <w:pPr>
        <w:pStyle w:val="FootnoteText"/>
        <w:ind w:firstLine="720"/>
        <w:jc w:val="both"/>
        <w:rPr>
          <w:rFonts w:asciiTheme="majorHAnsi" w:hAnsiTheme="majorHAnsi"/>
          <w:sz w:val="16"/>
          <w:szCs w:val="16"/>
          <w:lang w:val="es-CO"/>
        </w:rPr>
      </w:pPr>
      <w:r w:rsidRPr="006443E9">
        <w:rPr>
          <w:rStyle w:val="FootnoteReference"/>
          <w:rFonts w:asciiTheme="majorHAnsi" w:hAnsiTheme="majorHAnsi"/>
          <w:sz w:val="16"/>
          <w:szCs w:val="16"/>
          <w:lang w:val="es-CO"/>
        </w:rPr>
        <w:footnoteRef/>
      </w:r>
      <w:r w:rsidRPr="006443E9">
        <w:rPr>
          <w:rFonts w:asciiTheme="majorHAnsi" w:hAnsiTheme="majorHAnsi"/>
          <w:sz w:val="16"/>
          <w:szCs w:val="16"/>
          <w:lang w:val="es-CO"/>
        </w:rPr>
        <w:t xml:space="preserve"> CIDH, Informe No. 9/08, Caso 12.332, Admisibilidad, Margarida Maria Alves, Brasil, 5 de marzo de 2008.</w:t>
      </w:r>
    </w:p>
  </w:footnote>
  <w:footnote w:id="4">
    <w:p w14:paraId="65F87C03" w14:textId="77777777" w:rsidR="009D3775" w:rsidRPr="006443E9" w:rsidRDefault="009D3775" w:rsidP="0025209D">
      <w:pPr>
        <w:pStyle w:val="FootnoteText"/>
        <w:ind w:firstLine="720"/>
        <w:jc w:val="both"/>
        <w:rPr>
          <w:rFonts w:ascii="Cambria" w:hAnsi="Cambria"/>
          <w:sz w:val="16"/>
          <w:szCs w:val="16"/>
          <w:lang w:val="es-CO"/>
        </w:rPr>
      </w:pPr>
      <w:r w:rsidRPr="006443E9">
        <w:rPr>
          <w:rStyle w:val="FootnoteReference"/>
          <w:rFonts w:ascii="Cambria" w:hAnsi="Cambria"/>
          <w:sz w:val="16"/>
          <w:szCs w:val="16"/>
        </w:rPr>
        <w:footnoteRef/>
      </w:r>
      <w:r w:rsidRPr="006443E9">
        <w:rPr>
          <w:rFonts w:ascii="Cambria" w:hAnsi="Cambria"/>
          <w:sz w:val="16"/>
          <w:szCs w:val="16"/>
          <w:lang w:val="es-CO"/>
        </w:rPr>
        <w:t xml:space="preserve"> CIDH, Informe Sobre la Situación de los Derechos Humanos en Brasil. OEA/Ser.L/V/II.97, Doc. 29 rev.1, 29 septiembre 1997, Capitulo VII, La Propiedad de la Tierra Rural y los Derechos Humanos de los Trabajadores Rurales, párr. 6.</w:t>
      </w:r>
    </w:p>
  </w:footnote>
  <w:footnote w:id="5">
    <w:p w14:paraId="08BA716F" w14:textId="77777777" w:rsidR="009D3775" w:rsidRPr="006443E9" w:rsidRDefault="009D3775" w:rsidP="0025209D">
      <w:pPr>
        <w:pStyle w:val="FootnoteText"/>
        <w:ind w:firstLine="720"/>
        <w:jc w:val="both"/>
        <w:rPr>
          <w:rFonts w:ascii="Cambria" w:hAnsi="Cambria"/>
          <w:sz w:val="16"/>
          <w:szCs w:val="16"/>
          <w:lang w:val="pt-BR"/>
        </w:rPr>
      </w:pPr>
      <w:r w:rsidRPr="006443E9">
        <w:rPr>
          <w:rStyle w:val="FootnoteReference"/>
          <w:rFonts w:ascii="Cambria" w:hAnsi="Cambria"/>
          <w:sz w:val="16"/>
          <w:szCs w:val="16"/>
        </w:rPr>
        <w:footnoteRef/>
      </w:r>
      <w:r w:rsidRPr="006443E9">
        <w:rPr>
          <w:rFonts w:ascii="Cambria" w:hAnsi="Cambria"/>
          <w:sz w:val="16"/>
          <w:szCs w:val="16"/>
          <w:lang w:val="es-CO"/>
        </w:rPr>
        <w:t xml:space="preserve"> CIDH, Informe Sobre la Situación de los Derechos Humanos en Brasil. OEA/Ser.L/V/II.97, Doc. 29 rev.1, 29 septiembre 1997, Capitulo VII, La Propiedad de la Tierra Rural y los Derechos Humanos de los Trabajadores Rurales, párr. </w:t>
      </w:r>
      <w:r w:rsidRPr="006443E9">
        <w:rPr>
          <w:rFonts w:ascii="Cambria" w:hAnsi="Cambria"/>
          <w:sz w:val="16"/>
          <w:szCs w:val="16"/>
          <w:lang w:val="pt-BR"/>
        </w:rPr>
        <w:t xml:space="preserve">41; Véase por ejemplo CIDH, Informe No. 24/98, Caso 11.287, Joao Canuto de Oliveira, Brasil, 7 de abril de 1998. </w:t>
      </w:r>
    </w:p>
  </w:footnote>
  <w:footnote w:id="6">
    <w:p w14:paraId="739E69D7" w14:textId="77777777" w:rsidR="009D3775" w:rsidRPr="006443E9" w:rsidRDefault="009D3775" w:rsidP="0025209D">
      <w:pPr>
        <w:pStyle w:val="FootnoteText"/>
        <w:ind w:firstLine="720"/>
        <w:jc w:val="both"/>
        <w:rPr>
          <w:rFonts w:ascii="Cambria" w:hAnsi="Cambria"/>
          <w:sz w:val="16"/>
          <w:szCs w:val="16"/>
          <w:lang w:val="es-VE"/>
        </w:rPr>
      </w:pPr>
      <w:r w:rsidRPr="006443E9">
        <w:rPr>
          <w:rStyle w:val="FootnoteReference"/>
          <w:rFonts w:ascii="Cambria" w:hAnsi="Cambria"/>
          <w:sz w:val="16"/>
          <w:szCs w:val="16"/>
        </w:rPr>
        <w:footnoteRef/>
      </w:r>
      <w:r w:rsidRPr="006443E9">
        <w:rPr>
          <w:rFonts w:ascii="Cambria" w:hAnsi="Cambria"/>
          <w:sz w:val="16"/>
          <w:szCs w:val="16"/>
          <w:lang w:val="es-VE"/>
        </w:rPr>
        <w:t xml:space="preserve"> Amnistía Internacional. Amnesty International Annual Report 1983, 1 de enero de 1983.</w:t>
      </w:r>
    </w:p>
  </w:footnote>
  <w:footnote w:id="7">
    <w:p w14:paraId="1F4F57FD" w14:textId="77777777" w:rsidR="009D3775" w:rsidRPr="006443E9" w:rsidRDefault="009D3775" w:rsidP="0025209D">
      <w:pPr>
        <w:pStyle w:val="FootnoteText"/>
        <w:ind w:firstLine="720"/>
        <w:jc w:val="both"/>
        <w:rPr>
          <w:rFonts w:ascii="Cambria" w:hAnsi="Cambria"/>
          <w:sz w:val="16"/>
          <w:szCs w:val="16"/>
          <w:lang w:val="es-VE"/>
        </w:rPr>
      </w:pPr>
      <w:r w:rsidRPr="006443E9">
        <w:rPr>
          <w:rStyle w:val="FootnoteReference"/>
          <w:rFonts w:ascii="Cambria" w:hAnsi="Cambria"/>
          <w:sz w:val="16"/>
          <w:szCs w:val="16"/>
        </w:rPr>
        <w:footnoteRef/>
      </w:r>
      <w:r w:rsidRPr="006443E9">
        <w:rPr>
          <w:rFonts w:ascii="Cambria" w:hAnsi="Cambria"/>
          <w:sz w:val="16"/>
          <w:szCs w:val="16"/>
          <w:lang w:val="es-VE"/>
        </w:rPr>
        <w:t xml:space="preserve"> Amnistía Internacional. Amnesty International Annual Report 1984, 1 de enero de 1984.</w:t>
      </w:r>
    </w:p>
  </w:footnote>
  <w:footnote w:id="8">
    <w:p w14:paraId="41EF5A8E" w14:textId="77777777" w:rsidR="009D3775" w:rsidRPr="006443E9" w:rsidRDefault="009D3775" w:rsidP="0025209D">
      <w:pPr>
        <w:pStyle w:val="FootnoteText"/>
        <w:ind w:firstLine="720"/>
        <w:jc w:val="both"/>
        <w:rPr>
          <w:rFonts w:ascii="Cambria" w:hAnsi="Cambria"/>
          <w:sz w:val="16"/>
          <w:szCs w:val="16"/>
          <w:lang w:val="es-VE"/>
        </w:rPr>
      </w:pPr>
      <w:r w:rsidRPr="006443E9">
        <w:rPr>
          <w:rStyle w:val="FootnoteReference"/>
          <w:rFonts w:ascii="Cambria" w:hAnsi="Cambria"/>
          <w:sz w:val="16"/>
          <w:szCs w:val="16"/>
        </w:rPr>
        <w:footnoteRef/>
      </w:r>
      <w:r w:rsidRPr="006443E9">
        <w:rPr>
          <w:rFonts w:ascii="Cambria" w:hAnsi="Cambria"/>
          <w:sz w:val="16"/>
          <w:szCs w:val="16"/>
          <w:lang w:val="es-VE"/>
        </w:rPr>
        <w:t xml:space="preserve"> Amnistía Internacional. Amnesty International Annual Report 1985, 1 de enero de 1985.</w:t>
      </w:r>
    </w:p>
  </w:footnote>
  <w:footnote w:id="9">
    <w:p w14:paraId="1671C4AB" w14:textId="77777777" w:rsidR="009D3775" w:rsidRPr="006443E9" w:rsidRDefault="009D3775" w:rsidP="0025209D">
      <w:pPr>
        <w:pStyle w:val="FootnoteText"/>
        <w:ind w:firstLine="720"/>
        <w:jc w:val="both"/>
        <w:rPr>
          <w:rFonts w:ascii="Cambria" w:hAnsi="Cambria"/>
          <w:sz w:val="16"/>
          <w:szCs w:val="16"/>
          <w:lang w:val="es-VE"/>
        </w:rPr>
      </w:pPr>
      <w:r w:rsidRPr="006443E9">
        <w:rPr>
          <w:rStyle w:val="FootnoteReference"/>
          <w:rFonts w:ascii="Cambria" w:hAnsi="Cambria"/>
          <w:sz w:val="16"/>
          <w:szCs w:val="16"/>
        </w:rPr>
        <w:footnoteRef/>
      </w:r>
      <w:r w:rsidRPr="006443E9">
        <w:rPr>
          <w:rFonts w:ascii="Cambria" w:hAnsi="Cambria"/>
          <w:sz w:val="16"/>
          <w:szCs w:val="16"/>
          <w:lang w:val="es-VE"/>
        </w:rPr>
        <w:t xml:space="preserve"> Amnistía Internacional. Amnesty International Annual Report 1990, 1 de enero de 1990.</w:t>
      </w:r>
    </w:p>
  </w:footnote>
  <w:footnote w:id="10">
    <w:p w14:paraId="259287C0" w14:textId="77777777" w:rsidR="009D3775" w:rsidRPr="006443E9" w:rsidRDefault="009D3775" w:rsidP="0025209D">
      <w:pPr>
        <w:pStyle w:val="FootnoteText"/>
        <w:ind w:firstLine="720"/>
        <w:jc w:val="both"/>
        <w:rPr>
          <w:rFonts w:ascii="Cambria" w:hAnsi="Cambria"/>
          <w:sz w:val="16"/>
          <w:szCs w:val="16"/>
          <w:lang w:val="es-VE"/>
        </w:rPr>
      </w:pPr>
      <w:r w:rsidRPr="006443E9">
        <w:rPr>
          <w:rStyle w:val="FootnoteReference"/>
          <w:rFonts w:ascii="Cambria" w:hAnsi="Cambria"/>
          <w:sz w:val="16"/>
          <w:szCs w:val="16"/>
        </w:rPr>
        <w:footnoteRef/>
      </w:r>
      <w:r w:rsidRPr="006443E9">
        <w:rPr>
          <w:rFonts w:ascii="Cambria" w:hAnsi="Cambria"/>
          <w:sz w:val="16"/>
          <w:szCs w:val="16"/>
        </w:rPr>
        <w:t xml:space="preserve"> Human Rights Watch (HRW). The struggle for land in Brazil – rural violence continues. </w:t>
      </w:r>
      <w:r w:rsidRPr="006443E9">
        <w:rPr>
          <w:rFonts w:ascii="Cambria" w:hAnsi="Cambria"/>
          <w:sz w:val="16"/>
          <w:szCs w:val="16"/>
          <w:lang w:val="es-VE"/>
        </w:rPr>
        <w:t>Mayo de 1992. Página 8.</w:t>
      </w:r>
    </w:p>
  </w:footnote>
  <w:footnote w:id="11">
    <w:p w14:paraId="016E8A00" w14:textId="77777777" w:rsidR="009D3775" w:rsidRPr="006443E9" w:rsidRDefault="009D3775" w:rsidP="0025209D">
      <w:pPr>
        <w:pStyle w:val="FootnoteText"/>
        <w:ind w:firstLine="720"/>
        <w:jc w:val="both"/>
        <w:rPr>
          <w:rFonts w:ascii="Cambria" w:hAnsi="Cambria"/>
          <w:sz w:val="16"/>
          <w:szCs w:val="16"/>
          <w:lang w:val="es-CO"/>
        </w:rPr>
      </w:pPr>
      <w:r w:rsidRPr="006443E9">
        <w:rPr>
          <w:rStyle w:val="FootnoteReference"/>
          <w:rFonts w:ascii="Cambria" w:hAnsi="Cambria"/>
          <w:sz w:val="16"/>
          <w:szCs w:val="16"/>
        </w:rPr>
        <w:footnoteRef/>
      </w:r>
      <w:r w:rsidRPr="006443E9">
        <w:rPr>
          <w:rFonts w:ascii="Cambria" w:hAnsi="Cambria"/>
          <w:sz w:val="16"/>
          <w:szCs w:val="16"/>
          <w:lang w:val="es-VE"/>
        </w:rPr>
        <w:t xml:space="preserve"> </w:t>
      </w:r>
      <w:r w:rsidRPr="006443E9">
        <w:rPr>
          <w:rFonts w:ascii="Cambria" w:hAnsi="Cambria"/>
          <w:sz w:val="16"/>
          <w:szCs w:val="16"/>
          <w:lang w:val="es-CO"/>
        </w:rPr>
        <w:t xml:space="preserve">Información presentada a través del Informe del Centro de Defesa dos Direitos Humanos, donde se encuentran registrados los homicidios relacionados a la lucha por la tierra en Brasil desde el año 1980 hasta 1983 en forma de mapa. </w:t>
      </w:r>
      <w:r w:rsidRPr="006443E9">
        <w:rPr>
          <w:rFonts w:ascii="Cambria" w:hAnsi="Cambria"/>
          <w:sz w:val="16"/>
          <w:szCs w:val="16"/>
          <w:lang w:val="pt-BR"/>
        </w:rPr>
        <w:t xml:space="preserve">Anexo 1. “Violência e impunidade – Usineiros ameaçam trabalhadores e dirigente, na Paraíba” – Noticia vehiculada en el jornal “O Trabalhador Rural”, de autoría de la CONTAG - Confederação Nacional dos Trabalhadores na Agricultura, agosto de 1983. </w:t>
      </w:r>
      <w:r w:rsidRPr="006443E9">
        <w:rPr>
          <w:rFonts w:ascii="Cambria" w:hAnsi="Cambria"/>
          <w:sz w:val="16"/>
          <w:szCs w:val="16"/>
          <w:lang w:val="es-CO"/>
        </w:rPr>
        <w:t>Anexo 04 de la petición inicial presentada por los peticionarios ante la CIDH el 7 de octubre de 2000.</w:t>
      </w:r>
    </w:p>
  </w:footnote>
  <w:footnote w:id="12">
    <w:p w14:paraId="08B0CCCA" w14:textId="77777777" w:rsidR="009D3775" w:rsidRPr="006443E9" w:rsidRDefault="009D3775" w:rsidP="0025209D">
      <w:pPr>
        <w:pStyle w:val="FootnoteText"/>
        <w:ind w:firstLine="720"/>
        <w:jc w:val="both"/>
        <w:rPr>
          <w:rFonts w:ascii="Cambria" w:hAnsi="Cambria"/>
          <w:sz w:val="16"/>
          <w:szCs w:val="16"/>
          <w:lang w:val="pt-BR"/>
        </w:rPr>
      </w:pPr>
      <w:r w:rsidRPr="006443E9">
        <w:rPr>
          <w:rStyle w:val="FootnoteReference"/>
          <w:rFonts w:ascii="Cambria" w:hAnsi="Cambria"/>
          <w:sz w:val="16"/>
          <w:szCs w:val="16"/>
        </w:rPr>
        <w:footnoteRef/>
      </w:r>
      <w:r w:rsidRPr="006443E9">
        <w:rPr>
          <w:rFonts w:ascii="Cambria" w:hAnsi="Cambria"/>
          <w:sz w:val="16"/>
          <w:szCs w:val="16"/>
          <w:lang w:val="pt-BR"/>
        </w:rPr>
        <w:t xml:space="preserve"> CIDH, Informe No.25/09, Caso 12.310, Fondo, Sebastiao Camargo Filho, Brasil, 19 de marzo de 2009, párr. 46-48.</w:t>
      </w:r>
    </w:p>
  </w:footnote>
  <w:footnote w:id="13">
    <w:p w14:paraId="01AD0A00" w14:textId="77777777" w:rsidR="009D3775" w:rsidRPr="006443E9" w:rsidRDefault="009D3775" w:rsidP="002520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cs="Cambria-Bold"/>
          <w:bCs/>
          <w:sz w:val="16"/>
          <w:szCs w:val="16"/>
          <w:lang w:val="pt-BR" w:eastAsia="es-ES"/>
        </w:rPr>
      </w:pPr>
      <w:r w:rsidRPr="006443E9">
        <w:rPr>
          <w:rStyle w:val="FootnoteReference"/>
          <w:rFonts w:ascii="Cambria" w:hAnsi="Cambria"/>
          <w:sz w:val="16"/>
          <w:szCs w:val="16"/>
        </w:rPr>
        <w:footnoteRef/>
      </w:r>
      <w:r w:rsidRPr="006443E9">
        <w:rPr>
          <w:rFonts w:ascii="Cambria" w:hAnsi="Cambria"/>
          <w:sz w:val="16"/>
          <w:szCs w:val="16"/>
          <w:lang w:val="pt-BR"/>
        </w:rPr>
        <w:t xml:space="preserve"> </w:t>
      </w:r>
      <w:r w:rsidRPr="006443E9">
        <w:rPr>
          <w:rFonts w:ascii="Cambria" w:hAnsi="Cambria" w:cs="Cambria-Bold"/>
          <w:bCs/>
          <w:sz w:val="16"/>
          <w:szCs w:val="16"/>
          <w:lang w:val="pt-BR" w:eastAsia="es-ES"/>
        </w:rPr>
        <w:t>Secretaría de Derechos Humanos de la Presidencia de la República,</w:t>
      </w:r>
      <w:r w:rsidRPr="006443E9">
        <w:rPr>
          <w:rFonts w:ascii="Cambria" w:hAnsi="Cambria" w:cs="Cambria-Bold"/>
          <w:bCs/>
          <w:sz w:val="16"/>
          <w:szCs w:val="16"/>
          <w:lang w:val="pt-BR"/>
        </w:rPr>
        <w:t xml:space="preserve"> </w:t>
      </w:r>
      <w:r w:rsidRPr="006443E9">
        <w:rPr>
          <w:rFonts w:ascii="Cambria" w:hAnsi="Cambria" w:cs="Cambria-Bold"/>
          <w:bCs/>
          <w:sz w:val="16"/>
          <w:szCs w:val="16"/>
          <w:lang w:val="pt-BR" w:eastAsia="es-ES"/>
        </w:rPr>
        <w:t>Projeto Direito à Memória e à Verdade</w:t>
      </w:r>
      <w:r w:rsidRPr="006443E9">
        <w:rPr>
          <w:rFonts w:ascii="Cambria" w:hAnsi="Cambria" w:cs="Cambria-Bold"/>
          <w:bCs/>
          <w:sz w:val="16"/>
          <w:szCs w:val="16"/>
          <w:lang w:val="pt-BR"/>
        </w:rPr>
        <w:t xml:space="preserve">, </w:t>
      </w:r>
      <w:r w:rsidRPr="006443E9">
        <w:rPr>
          <w:rFonts w:ascii="Cambria" w:hAnsi="Cambria" w:cs="Cambria-Bold"/>
          <w:bCs/>
          <w:sz w:val="16"/>
          <w:szCs w:val="16"/>
          <w:lang w:val="pt-BR" w:eastAsia="es-ES"/>
        </w:rPr>
        <w:t>Camponeses Mortos E Desaparecidos: Excluídos da Justiça de Transição</w:t>
      </w:r>
      <w:r w:rsidRPr="006443E9">
        <w:rPr>
          <w:rFonts w:ascii="Cambria" w:hAnsi="Cambria" w:cs="Cambria-Bold"/>
          <w:bCs/>
          <w:sz w:val="16"/>
          <w:szCs w:val="16"/>
          <w:lang w:val="pt-BR"/>
        </w:rPr>
        <w:t xml:space="preserve">, 2013, </w:t>
      </w:r>
      <w:r w:rsidRPr="006443E9">
        <w:rPr>
          <w:rFonts w:ascii="Cambria" w:hAnsi="Cambria"/>
          <w:sz w:val="16"/>
          <w:szCs w:val="16"/>
          <w:lang w:val="pt-BR"/>
        </w:rPr>
        <w:t>Pág. 58-66.</w:t>
      </w:r>
    </w:p>
  </w:footnote>
  <w:footnote w:id="14">
    <w:p w14:paraId="66654BD8" w14:textId="77777777" w:rsidR="009D3775" w:rsidRPr="006443E9" w:rsidRDefault="009D3775" w:rsidP="0025209D">
      <w:pPr>
        <w:pStyle w:val="FootnoteText"/>
        <w:ind w:firstLine="720"/>
        <w:jc w:val="both"/>
        <w:rPr>
          <w:rFonts w:ascii="Cambria" w:hAnsi="Cambria"/>
          <w:b/>
          <w:sz w:val="16"/>
          <w:szCs w:val="16"/>
          <w:lang w:val="es-VE"/>
        </w:rPr>
      </w:pPr>
      <w:r w:rsidRPr="006443E9">
        <w:rPr>
          <w:rStyle w:val="FootnoteReference"/>
          <w:rFonts w:ascii="Cambria" w:hAnsi="Cambria"/>
          <w:sz w:val="16"/>
          <w:szCs w:val="16"/>
        </w:rPr>
        <w:footnoteRef/>
      </w:r>
      <w:r w:rsidRPr="006443E9">
        <w:rPr>
          <w:rFonts w:ascii="Cambria" w:hAnsi="Cambria"/>
          <w:sz w:val="16"/>
          <w:szCs w:val="16"/>
          <w:lang w:val="es-VE"/>
        </w:rPr>
        <w:t xml:space="preserve"> Artículo de prensa publicado en Cnv.gov.br, </w:t>
      </w:r>
      <w:hyperlink r:id="rId1" w:history="1">
        <w:r w:rsidRPr="006443E9">
          <w:rPr>
            <w:rStyle w:val="Hyperlink"/>
            <w:rFonts w:ascii="Cambria" w:hAnsi="Cambria"/>
            <w:sz w:val="16"/>
            <w:szCs w:val="16"/>
            <w:lang w:val="es-VE"/>
          </w:rPr>
          <w:t>Comisión Nacional de la Verdad recibe a miembros de la Comisión Camponesa de la Verdad</w:t>
        </w:r>
      </w:hyperlink>
      <w:r w:rsidRPr="006443E9">
        <w:rPr>
          <w:rFonts w:ascii="Cambria" w:hAnsi="Cambria"/>
          <w:sz w:val="16"/>
          <w:szCs w:val="16"/>
          <w:lang w:val="es-VE"/>
        </w:rPr>
        <w:t>, 20 de noviembre de 2012.</w:t>
      </w:r>
    </w:p>
  </w:footnote>
  <w:footnote w:id="15">
    <w:p w14:paraId="571B9B9D" w14:textId="77777777" w:rsidR="009D3775" w:rsidRPr="006443E9" w:rsidRDefault="009D3775" w:rsidP="0025209D">
      <w:pPr>
        <w:pStyle w:val="FootnoteText"/>
        <w:ind w:firstLine="720"/>
        <w:jc w:val="both"/>
        <w:rPr>
          <w:rFonts w:ascii="Cambria" w:hAnsi="Cambria"/>
          <w:sz w:val="16"/>
          <w:szCs w:val="16"/>
          <w:lang w:val="es-VE"/>
        </w:rPr>
      </w:pPr>
      <w:r w:rsidRPr="006443E9">
        <w:rPr>
          <w:rStyle w:val="FootnoteReference"/>
          <w:rFonts w:ascii="Cambria" w:hAnsi="Cambria"/>
          <w:sz w:val="16"/>
          <w:szCs w:val="16"/>
        </w:rPr>
        <w:footnoteRef/>
      </w:r>
      <w:r w:rsidRPr="006443E9">
        <w:rPr>
          <w:rFonts w:ascii="Cambria" w:hAnsi="Cambria"/>
          <w:sz w:val="16"/>
          <w:szCs w:val="16"/>
          <w:lang w:val="es-VE"/>
        </w:rPr>
        <w:t>Commissao Camponesa de la Verdad, Informe Final, Violaciones de Derechos en el Campo 1946-1988, diciembre de 2014, Pág. 81.</w:t>
      </w:r>
    </w:p>
  </w:footnote>
  <w:footnote w:id="16">
    <w:p w14:paraId="592DABAD" w14:textId="77777777" w:rsidR="009D3775" w:rsidRPr="006443E9" w:rsidRDefault="009D3775" w:rsidP="0025209D">
      <w:pPr>
        <w:pStyle w:val="FootnoteText"/>
        <w:ind w:firstLine="720"/>
        <w:jc w:val="both"/>
        <w:rPr>
          <w:rFonts w:ascii="Cambria" w:hAnsi="Cambria"/>
          <w:sz w:val="16"/>
          <w:szCs w:val="16"/>
          <w:lang w:val="es-ES_tradnl"/>
        </w:rPr>
      </w:pPr>
      <w:r w:rsidRPr="006443E9">
        <w:rPr>
          <w:rStyle w:val="FootnoteReference"/>
          <w:rFonts w:ascii="Cambria" w:hAnsi="Cambria"/>
          <w:sz w:val="16"/>
          <w:szCs w:val="16"/>
        </w:rPr>
        <w:footnoteRef/>
      </w:r>
      <w:r w:rsidRPr="006443E9">
        <w:rPr>
          <w:rFonts w:ascii="Cambria" w:hAnsi="Cambria"/>
          <w:sz w:val="16"/>
          <w:szCs w:val="16"/>
          <w:lang w:val="es-VE"/>
        </w:rPr>
        <w:t xml:space="preserve"> </w:t>
      </w:r>
      <w:r w:rsidRPr="006443E9">
        <w:rPr>
          <w:rFonts w:ascii="Cambria" w:hAnsi="Cambria"/>
          <w:sz w:val="16"/>
          <w:szCs w:val="16"/>
          <w:lang w:val="es-ES_tradnl"/>
        </w:rPr>
        <w:t>Anexo 2.  Informe Final de la Comisión Parlamentaria de Investigación destinada a continuar las investigaciones del delito de “pistolaje” en las regiones centro-oeste y norte especialmente en la zona conocida como “Bico do Papagaio”, enero de 1994. Volumen 8-Parte I. Anexo 3a al escrito de observaciones del Estado de 23 de octubre de 2013, pág. 5.</w:t>
      </w:r>
    </w:p>
  </w:footnote>
  <w:footnote w:id="17">
    <w:p w14:paraId="481FFD4A" w14:textId="77777777" w:rsidR="009D3775" w:rsidRPr="006443E9" w:rsidRDefault="009D3775" w:rsidP="0025209D">
      <w:pPr>
        <w:pStyle w:val="FootnoteText"/>
        <w:ind w:firstLine="720"/>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pt-BR"/>
        </w:rPr>
        <w:t xml:space="preserve"> Anexo 3. Libro “Construtores da justiça e da paz – Margarida Alves”, escrito por Guilherme Salgado Rocha, 1996.  </w:t>
      </w:r>
      <w:r w:rsidRPr="006443E9">
        <w:rPr>
          <w:rFonts w:ascii="Cambria" w:hAnsi="Cambria"/>
          <w:sz w:val="16"/>
          <w:szCs w:val="16"/>
          <w:lang w:val="es-CO"/>
        </w:rPr>
        <w:t>Anexo II de la petición inicial presentada por los peticionarios ante la CIDH el 7 de octubre de 2000.</w:t>
      </w:r>
    </w:p>
  </w:footnote>
  <w:footnote w:id="18">
    <w:p w14:paraId="0E44D9E0" w14:textId="77777777" w:rsidR="009D3775" w:rsidRPr="006443E9" w:rsidRDefault="009D3775" w:rsidP="0025209D">
      <w:pPr>
        <w:pStyle w:val="FootnoteText"/>
        <w:ind w:firstLine="720"/>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10. “Uma carta de Margarida a Agnaldo” – Noticia publicada en el periódico “O Norte”, 28 de agosto de 1983. Anexo 2 de la petición inicial presentada por los peticionarios ante la CIDH el 7 de octubre de 2000.</w:t>
      </w:r>
    </w:p>
  </w:footnote>
  <w:footnote w:id="19">
    <w:p w14:paraId="02671FA0" w14:textId="77777777" w:rsidR="009D3775" w:rsidRPr="006443E9" w:rsidRDefault="009D3775" w:rsidP="0025209D">
      <w:pPr>
        <w:ind w:firstLine="720"/>
        <w:jc w:val="both"/>
        <w:rPr>
          <w:rFonts w:ascii="Cambria" w:hAnsi="Cambria"/>
          <w:sz w:val="16"/>
          <w:szCs w:val="16"/>
          <w:lang w:val="es-CO"/>
        </w:rPr>
      </w:pPr>
      <w:r w:rsidRPr="006443E9">
        <w:rPr>
          <w:rStyle w:val="FootnoteReference"/>
          <w:rFonts w:ascii="Cambria" w:hAnsi="Cambria"/>
          <w:sz w:val="16"/>
          <w:szCs w:val="16"/>
        </w:rPr>
        <w:footnoteRef/>
      </w:r>
      <w:r w:rsidRPr="006443E9">
        <w:rPr>
          <w:rFonts w:ascii="Cambria" w:hAnsi="Cambria"/>
          <w:sz w:val="16"/>
          <w:szCs w:val="16"/>
          <w:lang w:val="es-VE"/>
        </w:rPr>
        <w:t xml:space="preserve"> </w:t>
      </w:r>
      <w:r w:rsidRPr="006443E9">
        <w:rPr>
          <w:rFonts w:ascii="Cambria" w:hAnsi="Cambria"/>
          <w:sz w:val="16"/>
          <w:szCs w:val="16"/>
          <w:lang w:val="es-CO"/>
        </w:rPr>
        <w:t>Anexo 12. Respuesta negativa a la solicitud de información acerca del registro de quejas o amenazas sufridas por Margarida Maria Alves a las Oficinas de Registro Civil y Delegaciones de Policía, por parte de la Secretaría de Seguridad Pública de Alagoa Grande, 15 de agosto de 1983. Investigación Policial 023/83-Volumen 1. Anexo 3a de las Observaciones adicionales presentadas por el Estado ante la CIDH el 23 de octubre de 2013. Página 32.</w:t>
      </w:r>
    </w:p>
  </w:footnote>
  <w:footnote w:id="20">
    <w:p w14:paraId="4934E7E9" w14:textId="77777777" w:rsidR="009D3775" w:rsidRPr="006443E9" w:rsidRDefault="009D3775" w:rsidP="0025209D">
      <w:pPr>
        <w:pStyle w:val="FootnoteText"/>
        <w:ind w:firstLine="720"/>
        <w:jc w:val="both"/>
        <w:rPr>
          <w:rFonts w:ascii="Cambria" w:hAnsi="Cambria"/>
          <w:sz w:val="16"/>
          <w:szCs w:val="16"/>
          <w:lang w:val="es-CO"/>
        </w:rPr>
      </w:pPr>
      <w:r w:rsidRPr="006443E9">
        <w:rPr>
          <w:rStyle w:val="FootnoteReference"/>
          <w:rFonts w:ascii="Cambria" w:hAnsi="Cambria"/>
          <w:sz w:val="16"/>
          <w:szCs w:val="16"/>
          <w:lang w:val="es-CO"/>
        </w:rPr>
        <w:footnoteRef/>
      </w:r>
      <w:r w:rsidRPr="00361A4F">
        <w:rPr>
          <w:rFonts w:ascii="Cambria" w:hAnsi="Cambria"/>
          <w:sz w:val="16"/>
          <w:szCs w:val="16"/>
          <w:lang w:val="es-CO"/>
        </w:rPr>
        <w:t xml:space="preserve"> Anexo 14. Declaración testimonial de D. Marcelo Pinto Carvalheira. </w:t>
      </w:r>
      <w:r w:rsidRPr="006443E9">
        <w:rPr>
          <w:rFonts w:ascii="Cambria" w:hAnsi="Cambria"/>
          <w:sz w:val="16"/>
          <w:szCs w:val="16"/>
          <w:lang w:val="es-CO"/>
        </w:rPr>
        <w:t xml:space="preserve">Anexo 11 de la petición inicial presentada por los peticionarios ante la CIDH el 7 de octubre de 2000.  Según información de público conocimiento el Grupo de Várzea incluía entre sus miembros a 3 diputados federales, 5 diputados estatales, 50 prefectos del interior del Estado y controlaba al menos 10 de un total de 27 representantes de Paraíba en el Colegio Electoral.  Ver: Artículo de prensa publicado en Brasil.gov.br, </w:t>
      </w:r>
      <w:hyperlink r:id="rId2" w:history="1">
        <w:r w:rsidRPr="006443E9">
          <w:rPr>
            <w:rStyle w:val="Hyperlink"/>
            <w:rFonts w:ascii="Cambria" w:hAnsi="Cambria"/>
            <w:sz w:val="16"/>
            <w:szCs w:val="16"/>
            <w:lang w:val="es-CO"/>
          </w:rPr>
          <w:t>Margarida Alves</w:t>
        </w:r>
      </w:hyperlink>
      <w:r w:rsidRPr="006443E9">
        <w:rPr>
          <w:rFonts w:ascii="Cambria" w:hAnsi="Cambria"/>
          <w:sz w:val="16"/>
          <w:szCs w:val="16"/>
          <w:lang w:val="es-CO"/>
        </w:rPr>
        <w:t xml:space="preserve">, 16 de febrero de 2012; </w:t>
      </w:r>
      <w:r w:rsidRPr="006443E9">
        <w:rPr>
          <w:rFonts w:ascii="Cambria" w:hAnsi="Cambria"/>
          <w:sz w:val="16"/>
          <w:szCs w:val="16"/>
          <w:lang w:val="es-VE"/>
        </w:rPr>
        <w:t>Comissão Camponesa da Verdade, Informe Final, Violaciones de derechos humanos en el campo, 1946-1988,</w:t>
      </w:r>
      <w:r w:rsidRPr="006443E9">
        <w:rPr>
          <w:rFonts w:ascii="Cambria" w:hAnsi="Cambria"/>
          <w:sz w:val="16"/>
          <w:szCs w:val="16"/>
          <w:lang w:val="es-CO"/>
        </w:rPr>
        <w:t xml:space="preserve"> pág. 81.</w:t>
      </w:r>
    </w:p>
    <w:p w14:paraId="0DB1A4A0" w14:textId="77777777" w:rsidR="009D3775" w:rsidRPr="006443E9" w:rsidRDefault="009D3775" w:rsidP="0025209D">
      <w:pPr>
        <w:pStyle w:val="FootnoteText"/>
        <w:ind w:firstLine="720"/>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pt-BR"/>
        </w:rPr>
        <w:t xml:space="preserve"> Anexo 15. “Viúvo acusa os usineiros – Líder assassinada em Alagoa Grande” – Noticia publicada en el periodico “A União”, 14 de agosto de 1983. </w:t>
      </w:r>
      <w:r w:rsidRPr="006443E9">
        <w:rPr>
          <w:rFonts w:ascii="Cambria" w:hAnsi="Cambria"/>
          <w:sz w:val="16"/>
          <w:szCs w:val="16"/>
          <w:lang w:val="es-CO"/>
        </w:rPr>
        <w:t>Anexo 04 de la petición inicial presentada por los peticionarios ante la CIDH el 7 de octubre de 2000.</w:t>
      </w:r>
    </w:p>
  </w:footnote>
  <w:footnote w:id="21">
    <w:p w14:paraId="73054379" w14:textId="77777777" w:rsidR="009D3775" w:rsidRPr="006443E9" w:rsidRDefault="009D3775" w:rsidP="0025209D">
      <w:pPr>
        <w:pStyle w:val="FootnoteText"/>
        <w:ind w:firstLine="720"/>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pt-BR"/>
        </w:rPr>
        <w:t xml:space="preserve"> Anexo 15. “Viúvo acusa os usineiros – Líder assassinada em Alagoa Grande” – Noticia publicada en el periodico “A União”, 14 de agosto de 1983. </w:t>
      </w:r>
      <w:r w:rsidRPr="006443E9">
        <w:rPr>
          <w:rFonts w:ascii="Cambria" w:hAnsi="Cambria"/>
          <w:sz w:val="16"/>
          <w:szCs w:val="16"/>
          <w:lang w:val="es-CO"/>
        </w:rPr>
        <w:t>Anexo 04 de la petición inicial presentada por los peticionarios ante la CIDH el 7 de octubre de 2000.</w:t>
      </w:r>
    </w:p>
  </w:footnote>
  <w:footnote w:id="22">
    <w:p w14:paraId="2BFA5F63" w14:textId="77777777" w:rsidR="009D3775" w:rsidRPr="006443E9" w:rsidRDefault="009D3775" w:rsidP="002E2BF9">
      <w:pPr>
        <w:pStyle w:val="FootnoteText"/>
        <w:ind w:firstLine="720"/>
        <w:jc w:val="both"/>
        <w:rPr>
          <w:rFonts w:ascii="Cambria" w:hAnsi="Cambria"/>
          <w:sz w:val="16"/>
          <w:szCs w:val="16"/>
          <w:lang w:val="es-VE"/>
        </w:rPr>
      </w:pPr>
      <w:r w:rsidRPr="006443E9">
        <w:rPr>
          <w:rStyle w:val="FootnoteReference"/>
          <w:rFonts w:ascii="Cambria" w:hAnsi="Cambria"/>
          <w:sz w:val="16"/>
          <w:szCs w:val="16"/>
          <w:lang w:val="es-CO"/>
        </w:rPr>
        <w:footnoteRef/>
      </w:r>
      <w:r w:rsidRPr="006443E9">
        <w:rPr>
          <w:rFonts w:ascii="Cambria" w:hAnsi="Cambria"/>
          <w:sz w:val="16"/>
          <w:szCs w:val="16"/>
          <w:lang w:val="es-VE"/>
        </w:rPr>
        <w:t xml:space="preserve"> Anexo 19.</w:t>
      </w:r>
      <w:r w:rsidRPr="006443E9">
        <w:rPr>
          <w:lang w:val="es-CO"/>
        </w:rPr>
        <w:t xml:space="preserve"> </w:t>
      </w:r>
      <w:r w:rsidRPr="006443E9">
        <w:rPr>
          <w:rFonts w:ascii="Cambria" w:hAnsi="Cambria"/>
          <w:sz w:val="16"/>
          <w:szCs w:val="16"/>
          <w:lang w:val="es-VE"/>
        </w:rPr>
        <w:t>Declaración testimonial de Luiz Silva. Volumen 1-Parte I. Anexo 3a de las Observaciones adicionales presentadas por el Estado ante la CIDH el 23 de octubre de 2013. Página 49-51.</w:t>
      </w:r>
    </w:p>
  </w:footnote>
  <w:footnote w:id="23">
    <w:p w14:paraId="3F2A1821" w14:textId="77777777" w:rsidR="009D3775" w:rsidRPr="006443E9" w:rsidRDefault="009D3775" w:rsidP="0025209D">
      <w:pPr>
        <w:pStyle w:val="FootnoteText"/>
        <w:ind w:firstLine="720"/>
        <w:jc w:val="both"/>
        <w:rPr>
          <w:rFonts w:ascii="Cambria" w:hAnsi="Cambria"/>
          <w:sz w:val="16"/>
          <w:szCs w:val="16"/>
          <w:lang w:val="pt-BR"/>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16. Declaración testimonial de Severino Barbosa Sobrinho. Fecha ilegible. Investigación Policial 023/83-Volumen 2. Anexo 3a de las Observaciones adicionales presentadas por el Estado ante la CIDH el 23 de octubre de 2013. </w:t>
      </w:r>
      <w:r w:rsidRPr="006443E9">
        <w:rPr>
          <w:rFonts w:ascii="Cambria" w:hAnsi="Cambria"/>
          <w:sz w:val="16"/>
          <w:szCs w:val="16"/>
          <w:lang w:val="pt-BR"/>
        </w:rPr>
        <w:t>Páginas 218-219.</w:t>
      </w:r>
    </w:p>
  </w:footnote>
  <w:footnote w:id="24">
    <w:p w14:paraId="4CEC888C" w14:textId="77777777" w:rsidR="009D3775" w:rsidRPr="006443E9" w:rsidRDefault="009D3775" w:rsidP="0025209D">
      <w:pPr>
        <w:pStyle w:val="FootnoteText"/>
        <w:ind w:firstLine="720"/>
        <w:jc w:val="both"/>
        <w:rPr>
          <w:rFonts w:ascii="Cambria" w:hAnsi="Cambria"/>
          <w:sz w:val="16"/>
          <w:szCs w:val="16"/>
          <w:lang w:val="es-VE"/>
        </w:rPr>
      </w:pPr>
      <w:r w:rsidRPr="006443E9">
        <w:rPr>
          <w:rStyle w:val="FootnoteReference"/>
          <w:rFonts w:ascii="Cambria" w:hAnsi="Cambria"/>
          <w:sz w:val="16"/>
          <w:szCs w:val="16"/>
        </w:rPr>
        <w:footnoteRef/>
      </w:r>
      <w:r w:rsidRPr="006443E9">
        <w:rPr>
          <w:rFonts w:ascii="Cambria" w:hAnsi="Cambria"/>
          <w:sz w:val="16"/>
          <w:szCs w:val="16"/>
          <w:lang w:val="pt-BR"/>
        </w:rPr>
        <w:t xml:space="preserve"> Anexo 18. Declaración testimonial de Evani Serafim da Silva, 22 de agosto de 1983. </w:t>
      </w:r>
      <w:r w:rsidRPr="006443E9">
        <w:rPr>
          <w:rFonts w:ascii="Cambria" w:hAnsi="Cambria"/>
          <w:sz w:val="16"/>
          <w:szCs w:val="16"/>
          <w:lang w:val="es-CO"/>
        </w:rPr>
        <w:t>Investigación Policial 023/83-Volumen 1. Anexo 3a de las Observaciones adicionales presentadas por el Estado ante la CIDH el 23 de octubre de 2013. Página 64.</w:t>
      </w:r>
    </w:p>
  </w:footnote>
  <w:footnote w:id="25">
    <w:p w14:paraId="293F458B" w14:textId="77777777" w:rsidR="009D3775" w:rsidRPr="006443E9" w:rsidRDefault="009D3775" w:rsidP="002E2BF9">
      <w:pPr>
        <w:pStyle w:val="FootnoteText"/>
        <w:ind w:firstLine="720"/>
        <w:rPr>
          <w:rFonts w:ascii="Cambria" w:hAnsi="Cambria"/>
          <w:sz w:val="16"/>
          <w:szCs w:val="16"/>
          <w:lang w:val="es-VE"/>
        </w:rPr>
      </w:pPr>
      <w:r w:rsidRPr="006443E9">
        <w:rPr>
          <w:rStyle w:val="FootnoteReference"/>
          <w:rFonts w:ascii="Cambria" w:hAnsi="Cambria"/>
          <w:sz w:val="16"/>
          <w:szCs w:val="16"/>
        </w:rPr>
        <w:footnoteRef/>
      </w:r>
      <w:r w:rsidRPr="006443E9">
        <w:rPr>
          <w:rFonts w:ascii="Cambria" w:hAnsi="Cambria"/>
          <w:sz w:val="16"/>
          <w:szCs w:val="16"/>
          <w:lang w:val="es-VE"/>
        </w:rPr>
        <w:t xml:space="preserve"> Artículo publicado por el Centro de Defensa de los Derechos Humanos, mayo 1982. Anexo 4 de la petición inicial presentada por los peticionarios ante la CIDH el 7 de octubre de 2000.</w:t>
      </w:r>
    </w:p>
  </w:footnote>
  <w:footnote w:id="26">
    <w:p w14:paraId="7B5BA16F" w14:textId="77777777" w:rsidR="009D3775" w:rsidRPr="006443E9" w:rsidRDefault="009D3775" w:rsidP="002E2BF9">
      <w:pPr>
        <w:pStyle w:val="FootnoteText"/>
        <w:ind w:firstLine="720"/>
        <w:rPr>
          <w:rFonts w:ascii="Cambria" w:hAnsi="Cambria"/>
          <w:sz w:val="16"/>
          <w:szCs w:val="16"/>
          <w:lang w:val="es-VE"/>
        </w:rPr>
      </w:pPr>
      <w:r w:rsidRPr="006443E9">
        <w:rPr>
          <w:rStyle w:val="FootnoteReference"/>
          <w:rFonts w:ascii="Cambria" w:hAnsi="Cambria"/>
          <w:sz w:val="16"/>
          <w:szCs w:val="16"/>
        </w:rPr>
        <w:footnoteRef/>
      </w:r>
      <w:r w:rsidRPr="006443E9">
        <w:rPr>
          <w:rFonts w:ascii="Cambria" w:hAnsi="Cambria"/>
          <w:sz w:val="16"/>
          <w:szCs w:val="16"/>
          <w:lang w:val="pt-BR"/>
        </w:rPr>
        <w:t xml:space="preserve"> Declaración testimonial de Marcelo Pinto Carvalheira. </w:t>
      </w:r>
      <w:r w:rsidRPr="006443E9">
        <w:rPr>
          <w:rFonts w:ascii="Cambria" w:hAnsi="Cambria"/>
          <w:sz w:val="16"/>
          <w:szCs w:val="16"/>
          <w:lang w:val="es-VE"/>
        </w:rPr>
        <w:t>Anexo 11 de la de la petición inicial presentada por los peticionarios ante la CIDH el 7 de octubre de 2000.</w:t>
      </w:r>
    </w:p>
  </w:footnote>
  <w:footnote w:id="27">
    <w:p w14:paraId="054D2B85" w14:textId="77777777" w:rsidR="009D3775" w:rsidRPr="006443E9" w:rsidRDefault="009D3775" w:rsidP="002E2BF9">
      <w:pPr>
        <w:pStyle w:val="FootnoteText"/>
        <w:ind w:firstLine="720"/>
        <w:rPr>
          <w:rFonts w:ascii="Cambria" w:hAnsi="Cambria"/>
          <w:sz w:val="16"/>
          <w:szCs w:val="16"/>
          <w:lang w:val="es-VE"/>
        </w:rPr>
      </w:pPr>
      <w:r w:rsidRPr="006443E9">
        <w:rPr>
          <w:rStyle w:val="FootnoteReference"/>
          <w:rFonts w:ascii="Cambria" w:hAnsi="Cambria"/>
          <w:sz w:val="16"/>
          <w:szCs w:val="16"/>
        </w:rPr>
        <w:footnoteRef/>
      </w:r>
      <w:r w:rsidRPr="006443E9">
        <w:rPr>
          <w:rFonts w:ascii="Cambria" w:hAnsi="Cambria"/>
          <w:sz w:val="16"/>
          <w:szCs w:val="16"/>
          <w:lang w:val="es-VE"/>
        </w:rPr>
        <w:t xml:space="preserve"> Artículo de prensa publicado en globo.com, </w:t>
      </w:r>
      <w:hyperlink r:id="rId3" w:history="1">
        <w:r w:rsidRPr="006443E9">
          <w:rPr>
            <w:rStyle w:val="Hyperlink"/>
            <w:rFonts w:ascii="Cambria" w:hAnsi="Cambria"/>
            <w:sz w:val="16"/>
            <w:szCs w:val="16"/>
            <w:lang w:val="es-VE"/>
          </w:rPr>
          <w:t>Assassinato de Margarida Maria Alves completa 30 anos na Paraíba</w:t>
        </w:r>
      </w:hyperlink>
      <w:r w:rsidRPr="006443E9">
        <w:rPr>
          <w:rFonts w:ascii="Cambria" w:hAnsi="Cambria"/>
          <w:sz w:val="16"/>
          <w:szCs w:val="16"/>
          <w:lang w:val="es-VE"/>
        </w:rPr>
        <w:t xml:space="preserve">, 11 de agosto de 2013;  artículo publicado por paraibacriativa.com.br, </w:t>
      </w:r>
      <w:hyperlink r:id="rId4" w:history="1">
        <w:r w:rsidRPr="006443E9">
          <w:rPr>
            <w:rStyle w:val="Hyperlink"/>
            <w:rFonts w:ascii="Cambria" w:hAnsi="Cambria"/>
            <w:sz w:val="16"/>
            <w:szCs w:val="16"/>
            <w:lang w:val="es-VE"/>
          </w:rPr>
          <w:t>Proyecto de Ley no. 4288 de 2016 de la Comisión de Cultura</w:t>
        </w:r>
      </w:hyperlink>
      <w:r w:rsidRPr="006443E9">
        <w:rPr>
          <w:rFonts w:ascii="Cambria" w:hAnsi="Cambria"/>
          <w:sz w:val="16"/>
          <w:szCs w:val="16"/>
          <w:lang w:val="es-VE"/>
        </w:rPr>
        <w:t xml:space="preserve">.  </w:t>
      </w:r>
    </w:p>
  </w:footnote>
  <w:footnote w:id="28">
    <w:p w14:paraId="7C8B3B18" w14:textId="77777777" w:rsidR="009D3775" w:rsidRPr="006443E9" w:rsidRDefault="009D3775" w:rsidP="002E2BF9">
      <w:pPr>
        <w:pStyle w:val="FootnoteText"/>
        <w:ind w:firstLine="720"/>
        <w:jc w:val="both"/>
        <w:rPr>
          <w:rFonts w:ascii="Cambria" w:hAnsi="Cambria"/>
          <w:sz w:val="16"/>
          <w:szCs w:val="16"/>
          <w:lang w:val="es-VE"/>
        </w:rPr>
      </w:pPr>
      <w:r w:rsidRPr="006443E9">
        <w:rPr>
          <w:rStyle w:val="FootnoteReference"/>
          <w:rFonts w:ascii="Cambria" w:hAnsi="Cambria"/>
          <w:sz w:val="16"/>
          <w:szCs w:val="16"/>
        </w:rPr>
        <w:footnoteRef/>
      </w:r>
      <w:r w:rsidRPr="006443E9">
        <w:rPr>
          <w:rFonts w:ascii="Cambria" w:hAnsi="Cambria"/>
          <w:sz w:val="16"/>
          <w:szCs w:val="16"/>
          <w:lang w:val="es-VE"/>
        </w:rPr>
        <w:t xml:space="preserve"> Commissao Camponesa de la Verdad, Informe Final, Violaciones de Derechos en el Campo 1946-1988,  diciembre de 2014, Pág. 81.</w:t>
      </w:r>
    </w:p>
  </w:footnote>
  <w:footnote w:id="29">
    <w:p w14:paraId="04670740" w14:textId="77777777" w:rsidR="009D3775" w:rsidRPr="006443E9" w:rsidRDefault="009D3775" w:rsidP="0025209D">
      <w:pPr>
        <w:ind w:firstLine="720"/>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pt-BR"/>
        </w:rPr>
        <w:t xml:space="preserve"> Anexo 21. Laudo pericial, 13 de agosto de 1983. </w:t>
      </w:r>
      <w:r w:rsidRPr="006443E9">
        <w:rPr>
          <w:rFonts w:ascii="Cambria" w:hAnsi="Cambria"/>
          <w:sz w:val="16"/>
          <w:szCs w:val="16"/>
          <w:lang w:val="es-CO"/>
        </w:rPr>
        <w:t>Investigación Policial 023/83-Volumen 1. Anexo 3a de las Observaciones adicionales presentadas por el Estado ante la CIDH el 23 de octubre de 2013. Páginas 103-104.</w:t>
      </w:r>
    </w:p>
  </w:footnote>
  <w:footnote w:id="30">
    <w:p w14:paraId="7F8DDBB7" w14:textId="77777777" w:rsidR="009D3775" w:rsidRPr="006443E9" w:rsidRDefault="009D3775" w:rsidP="0025209D">
      <w:pPr>
        <w:pStyle w:val="FootnoteText"/>
        <w:ind w:firstLine="720"/>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22. Denuncia ofertada por el Ministerio Público al Poder Judiciario de Paraíba, 22 de diciembre de 1983. Anexo 06 de la petición inicial presentada por los peticionarios ante la CIDH el 7 de octubre de 2000. </w:t>
      </w:r>
    </w:p>
  </w:footnote>
  <w:footnote w:id="31">
    <w:p w14:paraId="003307E6" w14:textId="77777777" w:rsidR="009D3775" w:rsidRPr="006443E9" w:rsidRDefault="009D3775" w:rsidP="0025209D">
      <w:pPr>
        <w:pStyle w:val="FootnoteText"/>
        <w:ind w:firstLine="720"/>
        <w:jc w:val="both"/>
        <w:rPr>
          <w:rFonts w:ascii="Cambria" w:hAnsi="Cambria"/>
          <w:sz w:val="16"/>
          <w:szCs w:val="16"/>
          <w:lang w:val="es-VE"/>
        </w:rPr>
      </w:pPr>
      <w:r w:rsidRPr="006443E9">
        <w:rPr>
          <w:rStyle w:val="FootnoteReference"/>
          <w:rFonts w:ascii="Cambria" w:hAnsi="Cambria"/>
          <w:sz w:val="16"/>
          <w:szCs w:val="16"/>
          <w:lang w:val="es-CO"/>
        </w:rPr>
        <w:footnoteRef/>
      </w:r>
      <w:r w:rsidRPr="006443E9">
        <w:rPr>
          <w:rFonts w:ascii="Cambria" w:hAnsi="Cambria"/>
          <w:sz w:val="16"/>
          <w:szCs w:val="16"/>
          <w:lang w:val="pt-BR"/>
        </w:rPr>
        <w:t xml:space="preserve"> Anexo 15. “Viúvo acusa os usineiros – Líder assassinada em Alagoa Grande” – Nota de prensa publicada en el periódico “A União”, 14 de agosto de 1983. </w:t>
      </w:r>
      <w:r w:rsidRPr="006443E9">
        <w:rPr>
          <w:rFonts w:ascii="Cambria" w:hAnsi="Cambria"/>
          <w:sz w:val="16"/>
          <w:szCs w:val="16"/>
          <w:lang w:val="es-CO"/>
        </w:rPr>
        <w:t>Anexo 04 de la petición inicial presentada por los peticionarios ante la CIDH el 7 de octubre de 2000.</w:t>
      </w:r>
    </w:p>
  </w:footnote>
  <w:footnote w:id="32">
    <w:p w14:paraId="40C2C551" w14:textId="77777777" w:rsidR="009D3775" w:rsidRPr="006443E9" w:rsidRDefault="009D3775" w:rsidP="0025209D">
      <w:pPr>
        <w:pStyle w:val="FootnoteText"/>
        <w:ind w:firstLine="720"/>
        <w:jc w:val="both"/>
        <w:rPr>
          <w:rFonts w:ascii="Cambria" w:hAnsi="Cambria"/>
          <w:sz w:val="16"/>
          <w:szCs w:val="16"/>
          <w:lang w:val="es-VE"/>
        </w:rPr>
      </w:pPr>
      <w:r w:rsidRPr="006443E9">
        <w:rPr>
          <w:rStyle w:val="FootnoteReference"/>
          <w:rFonts w:ascii="Cambria" w:hAnsi="Cambria"/>
          <w:sz w:val="16"/>
          <w:szCs w:val="16"/>
        </w:rPr>
        <w:footnoteRef/>
      </w:r>
      <w:r w:rsidRPr="006443E9">
        <w:rPr>
          <w:rFonts w:ascii="Cambria" w:hAnsi="Cambria"/>
          <w:sz w:val="16"/>
          <w:szCs w:val="16"/>
          <w:lang w:val="es-VE"/>
        </w:rPr>
        <w:t xml:space="preserve"> Anexo 23. Manifiesto personal de José de Arimatéia Alves, único hijo de la líder sindical Margarida Maria Alves. Enviado a la CIDH por correo electrónico, 25 de mayo de 2012.</w:t>
      </w:r>
    </w:p>
  </w:footnote>
  <w:footnote w:id="33">
    <w:p w14:paraId="0B188833" w14:textId="77777777" w:rsidR="009D3775" w:rsidRPr="006443E9" w:rsidRDefault="009D3775" w:rsidP="0025209D">
      <w:pPr>
        <w:pStyle w:val="FootnoteText"/>
        <w:ind w:firstLine="720"/>
        <w:jc w:val="both"/>
        <w:rPr>
          <w:rFonts w:ascii="Cambria" w:hAnsi="Cambria"/>
          <w:sz w:val="16"/>
          <w:szCs w:val="16"/>
          <w:lang w:val="es-VE"/>
        </w:rPr>
      </w:pPr>
      <w:r w:rsidRPr="006443E9">
        <w:rPr>
          <w:rStyle w:val="FootnoteReference"/>
          <w:rFonts w:ascii="Cambria" w:hAnsi="Cambria"/>
          <w:sz w:val="16"/>
          <w:szCs w:val="16"/>
        </w:rPr>
        <w:footnoteRef/>
      </w:r>
      <w:r w:rsidRPr="006443E9">
        <w:rPr>
          <w:rFonts w:ascii="Cambria" w:hAnsi="Cambria"/>
          <w:sz w:val="16"/>
          <w:szCs w:val="16"/>
          <w:lang w:val="es-VE"/>
        </w:rPr>
        <w:t xml:space="preserve"> Anexo 23. Manifiesto personal de José de Arimatéia Alves, único hijo de la líder sindical Margarida Maria Alves. Enviado a la CIDH por correo electrónico, 25 de mayo de 2012.</w:t>
      </w:r>
    </w:p>
  </w:footnote>
  <w:footnote w:id="34">
    <w:p w14:paraId="472DD13D" w14:textId="77777777" w:rsidR="009D3775" w:rsidRPr="006443E9" w:rsidRDefault="009D3775" w:rsidP="0025209D">
      <w:pPr>
        <w:pStyle w:val="FootnoteText"/>
        <w:ind w:firstLine="720"/>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24. Declaración testimonial de Ivaldo Fernandes Chaves, 13 de agosto de 1983. Investigación Policial 023/83-Volumen 1. Anexo 3a de las Observaciones adicionales presentadas por el Estado ante la CIDH el 23 de octubre de 2013. Página 17.</w:t>
      </w:r>
    </w:p>
  </w:footnote>
  <w:footnote w:id="35">
    <w:p w14:paraId="43C0DA4A" w14:textId="77777777" w:rsidR="009D3775" w:rsidRPr="006443E9" w:rsidRDefault="009D3775" w:rsidP="0025209D">
      <w:pPr>
        <w:pStyle w:val="FootnoteText"/>
        <w:ind w:firstLine="720"/>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w:t>
      </w:r>
      <w:r w:rsidRPr="006443E9">
        <w:rPr>
          <w:rFonts w:ascii="Cambria" w:hAnsi="Cambria"/>
          <w:sz w:val="16"/>
          <w:szCs w:val="16"/>
          <w:lang w:val="es-VE"/>
        </w:rPr>
        <w:t xml:space="preserve">Anexo 25. Declaración testimonial de Natanael Marinho, 13 de agosto de 1983. Investigación Policial 023/83-Volumen 1. Anexo 3a de las Observaciones adicionales presentadas por el Estado ante la CIDH el 23 de octubre de 2013. </w:t>
      </w:r>
      <w:r w:rsidRPr="006443E9">
        <w:rPr>
          <w:rFonts w:ascii="Cambria" w:hAnsi="Cambria"/>
          <w:sz w:val="16"/>
          <w:szCs w:val="16"/>
          <w:lang w:val="es-CO"/>
        </w:rPr>
        <w:t>Página 19.</w:t>
      </w:r>
    </w:p>
  </w:footnote>
  <w:footnote w:id="36">
    <w:p w14:paraId="58832D83" w14:textId="77777777" w:rsidR="009D3775" w:rsidRPr="006443E9" w:rsidRDefault="009D3775" w:rsidP="0025209D">
      <w:pPr>
        <w:pStyle w:val="FootnoteText"/>
        <w:ind w:firstLine="720"/>
        <w:jc w:val="both"/>
        <w:rPr>
          <w:rFonts w:ascii="Cambria" w:hAnsi="Cambria"/>
          <w:sz w:val="16"/>
          <w:szCs w:val="16"/>
          <w:lang w:val="es-VE"/>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w:t>
      </w:r>
      <w:r w:rsidRPr="006443E9">
        <w:rPr>
          <w:rFonts w:ascii="Cambria" w:hAnsi="Cambria"/>
          <w:sz w:val="16"/>
          <w:szCs w:val="16"/>
          <w:lang w:val="es-VE"/>
        </w:rPr>
        <w:t>Anexo 25. Declaración testimonial de Natanael Marinho, 13 de agosto de 1983. Investigación Policial 023/83-Volumen 1. Anexo 3a de las Observaciones adicionales presentadas por el Estado ante la CIDH el 23 de octubre de 2013. Página 19.</w:t>
      </w:r>
    </w:p>
  </w:footnote>
  <w:footnote w:id="37">
    <w:p w14:paraId="3B75D242" w14:textId="77777777" w:rsidR="009D3775" w:rsidRPr="006443E9" w:rsidRDefault="009D3775" w:rsidP="0025209D">
      <w:pPr>
        <w:pStyle w:val="FootnoteText"/>
        <w:ind w:firstLine="720"/>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22. Denuncia ofertada por el Ministerio Público al Poder Judiciario de Paraíba, 22 de diciembre de 1983. Anexo 06 de la petición inicial presentada por los peticionarios ante la CIDH el 7 de octubre de 2000.</w:t>
      </w:r>
    </w:p>
  </w:footnote>
  <w:footnote w:id="38">
    <w:p w14:paraId="320FF562" w14:textId="77777777" w:rsidR="009D3775" w:rsidRPr="006443E9" w:rsidRDefault="009D3775" w:rsidP="0025209D">
      <w:pPr>
        <w:pStyle w:val="FootnoteText"/>
        <w:ind w:firstLine="720"/>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29. Investigación policial 023/83, 8 de diciembre de 1983. Anexo 05 de la petición inicial presentada por los peticionarios ante la CIDH el 7 de octubre de 2000.</w:t>
      </w:r>
    </w:p>
  </w:footnote>
  <w:footnote w:id="39">
    <w:p w14:paraId="29458E6A" w14:textId="77777777" w:rsidR="009D3775" w:rsidRPr="006443E9" w:rsidRDefault="009D3775" w:rsidP="0025209D">
      <w:pPr>
        <w:pStyle w:val="FootnoteText"/>
        <w:ind w:firstLine="720"/>
        <w:jc w:val="both"/>
        <w:rPr>
          <w:rFonts w:ascii="Cambria" w:hAnsi="Cambria"/>
          <w:sz w:val="16"/>
          <w:szCs w:val="16"/>
          <w:lang w:val="es-VE"/>
        </w:rPr>
      </w:pPr>
      <w:r w:rsidRPr="006443E9">
        <w:rPr>
          <w:rStyle w:val="FootnoteReference"/>
          <w:rFonts w:ascii="Cambria" w:hAnsi="Cambria"/>
          <w:sz w:val="16"/>
          <w:szCs w:val="16"/>
        </w:rPr>
        <w:footnoteRef/>
      </w:r>
      <w:r w:rsidRPr="00F43EEB">
        <w:rPr>
          <w:rFonts w:ascii="Cambria" w:hAnsi="Cambria"/>
          <w:sz w:val="16"/>
          <w:szCs w:val="16"/>
          <w:lang w:val="es-US"/>
        </w:rPr>
        <w:t xml:space="preserve"> Anexo 30. Declaración testimonial de Marinete da Fonseca Chaves, 13 de agosto de 1983. </w:t>
      </w:r>
      <w:r w:rsidRPr="006443E9">
        <w:rPr>
          <w:rFonts w:ascii="Cambria" w:hAnsi="Cambria"/>
          <w:sz w:val="16"/>
          <w:szCs w:val="16"/>
          <w:lang w:val="es-VE"/>
        </w:rPr>
        <w:t>Investigación Policial 023/83-Volumen 1. Anexo 3a de las Observaciones adicionales presentadas por el Estado ante la CIDH el 23 de octubre de 2013. Página 18.</w:t>
      </w:r>
    </w:p>
  </w:footnote>
  <w:footnote w:id="40">
    <w:p w14:paraId="6C753BDE" w14:textId="77777777" w:rsidR="009D3775" w:rsidRPr="006443E9" w:rsidRDefault="009D3775" w:rsidP="0025209D">
      <w:pPr>
        <w:pStyle w:val="FootnoteText"/>
        <w:ind w:firstLine="720"/>
        <w:jc w:val="both"/>
        <w:rPr>
          <w:rFonts w:ascii="Cambria" w:hAnsi="Cambria"/>
          <w:sz w:val="16"/>
          <w:szCs w:val="16"/>
          <w:lang w:val="es-VE"/>
        </w:rPr>
      </w:pPr>
      <w:r w:rsidRPr="006443E9">
        <w:rPr>
          <w:rStyle w:val="FootnoteReference"/>
          <w:rFonts w:ascii="Cambria" w:hAnsi="Cambria"/>
          <w:sz w:val="16"/>
          <w:szCs w:val="16"/>
        </w:rPr>
        <w:footnoteRef/>
      </w:r>
      <w:r w:rsidRPr="006443E9">
        <w:rPr>
          <w:rFonts w:ascii="Cambria" w:hAnsi="Cambria"/>
          <w:sz w:val="16"/>
          <w:szCs w:val="16"/>
          <w:lang w:val="es-VE"/>
        </w:rPr>
        <w:t xml:space="preserve"> </w:t>
      </w:r>
      <w:r w:rsidRPr="006443E9">
        <w:rPr>
          <w:rFonts w:ascii="Cambria" w:hAnsi="Cambria"/>
          <w:sz w:val="16"/>
          <w:szCs w:val="16"/>
          <w:lang w:val="es-CO"/>
        </w:rPr>
        <w:t>Anexo 29. Investigación policial 023/83, 8 de diciembre de 1983. Anexo 05 de la petición inicial presentada por los peticionarios ante la CIDH el 7 de octubre de 2000.</w:t>
      </w:r>
    </w:p>
  </w:footnote>
  <w:footnote w:id="41">
    <w:p w14:paraId="688698CD" w14:textId="77777777" w:rsidR="009D3775" w:rsidRPr="006443E9" w:rsidRDefault="009D3775" w:rsidP="0025209D">
      <w:pPr>
        <w:pStyle w:val="FootnoteText"/>
        <w:ind w:firstLine="720"/>
        <w:jc w:val="both"/>
        <w:rPr>
          <w:rFonts w:ascii="Cambria" w:hAnsi="Cambria"/>
          <w:sz w:val="16"/>
          <w:szCs w:val="16"/>
          <w:lang w:val="es-VE"/>
        </w:rPr>
      </w:pPr>
      <w:r w:rsidRPr="006443E9">
        <w:rPr>
          <w:rStyle w:val="FootnoteReference"/>
          <w:rFonts w:ascii="Cambria" w:hAnsi="Cambria"/>
          <w:sz w:val="16"/>
          <w:szCs w:val="16"/>
        </w:rPr>
        <w:footnoteRef/>
      </w:r>
      <w:r w:rsidRPr="006443E9">
        <w:rPr>
          <w:rFonts w:ascii="Cambria" w:hAnsi="Cambria"/>
          <w:sz w:val="16"/>
          <w:szCs w:val="16"/>
          <w:lang w:val="pt-BR"/>
        </w:rPr>
        <w:t xml:space="preserve"> Anexo 14. Declaración testimonial de D. Marcelo Pinto Carvalheira. </w:t>
      </w:r>
      <w:r w:rsidRPr="006443E9">
        <w:rPr>
          <w:rFonts w:ascii="Cambria" w:hAnsi="Cambria"/>
          <w:sz w:val="16"/>
          <w:szCs w:val="16"/>
          <w:lang w:val="es-CO"/>
        </w:rPr>
        <w:t>Anexo 11 de la petición inicial presentada por los peticionarios ante la CIDH el 7 de octubre de 2000.</w:t>
      </w:r>
    </w:p>
  </w:footnote>
  <w:footnote w:id="42">
    <w:p w14:paraId="0EA0D2B5" w14:textId="77777777" w:rsidR="009D3775" w:rsidRPr="006443E9" w:rsidRDefault="009D3775" w:rsidP="0025209D">
      <w:pPr>
        <w:pStyle w:val="FootnoteText"/>
        <w:ind w:firstLine="720"/>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VE"/>
        </w:rPr>
        <w:t xml:space="preserve"> Anexo 33. Declaración testimonial de José Galdino de Araújo Filho, 17 de octubre de 1983. Investigación Policial 023/83-Volumen 1. Anexo 3a de las Observaciones adicionales presentadas por el Estado ante la CIDH el 23 de octubre de 2013. </w:t>
      </w:r>
      <w:r w:rsidRPr="006443E9">
        <w:rPr>
          <w:rFonts w:ascii="Cambria" w:hAnsi="Cambria"/>
          <w:sz w:val="16"/>
          <w:szCs w:val="16"/>
          <w:lang w:val="es-CO"/>
        </w:rPr>
        <w:t>Página 217-218.</w:t>
      </w:r>
    </w:p>
  </w:footnote>
  <w:footnote w:id="43">
    <w:p w14:paraId="4AC02240" w14:textId="77777777" w:rsidR="009D3775" w:rsidRPr="006443E9" w:rsidRDefault="009D3775" w:rsidP="0025209D">
      <w:pPr>
        <w:pStyle w:val="FootnoteText"/>
        <w:ind w:firstLine="720"/>
        <w:jc w:val="both"/>
        <w:rPr>
          <w:rFonts w:ascii="Cambria" w:hAnsi="Cambria"/>
          <w:sz w:val="16"/>
          <w:szCs w:val="16"/>
          <w:lang w:val="es-VE"/>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w:t>
      </w:r>
      <w:r w:rsidRPr="006443E9">
        <w:rPr>
          <w:rFonts w:ascii="Cambria" w:hAnsi="Cambria"/>
          <w:sz w:val="16"/>
          <w:szCs w:val="16"/>
          <w:lang w:val="es-VE"/>
        </w:rPr>
        <w:t>Anexo 33.</w:t>
      </w:r>
      <w:r w:rsidRPr="006443E9">
        <w:rPr>
          <w:rFonts w:ascii="Cambria" w:hAnsi="Cambria"/>
          <w:sz w:val="16"/>
          <w:szCs w:val="16"/>
          <w:lang w:val="es-CO"/>
        </w:rPr>
        <w:t xml:space="preserve"> Declaración testimonial de José Galdino de Araújo Filho, 17 de octubre de 1983. Investigación Policial 023/83-Volumen 1. Anexo 3a de las Observaciones adicionales presentadas por el Estado ante la CIDH el 23 de octubre de 2013. </w:t>
      </w:r>
      <w:r w:rsidRPr="006443E9">
        <w:rPr>
          <w:rFonts w:ascii="Cambria" w:hAnsi="Cambria"/>
          <w:sz w:val="16"/>
          <w:szCs w:val="16"/>
          <w:lang w:val="es-VE"/>
        </w:rPr>
        <w:t>Página 217-218.</w:t>
      </w:r>
    </w:p>
  </w:footnote>
  <w:footnote w:id="44">
    <w:p w14:paraId="47EEC971" w14:textId="77777777" w:rsidR="009D3775" w:rsidRPr="006443E9" w:rsidRDefault="009D3775" w:rsidP="0025209D">
      <w:pPr>
        <w:pStyle w:val="FootnoteText"/>
        <w:ind w:firstLine="720"/>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35. Declaración testimonial de Djailton Hugo dos Santos, 17 de octubre de 1983. Investigación Policial 023/83-Volumen 1. Anexo 3a de las Observaciones adicionales presentadas por el Estado ante la CIDH el 23 de octubre de 2013. Página 219-220.</w:t>
      </w:r>
    </w:p>
  </w:footnote>
  <w:footnote w:id="45">
    <w:p w14:paraId="2EB2C5E0" w14:textId="77777777" w:rsidR="009D3775" w:rsidRPr="006443E9" w:rsidRDefault="009D3775" w:rsidP="0025209D">
      <w:pPr>
        <w:pStyle w:val="FootnoteText"/>
        <w:ind w:firstLine="720"/>
        <w:jc w:val="both"/>
        <w:rPr>
          <w:rFonts w:ascii="Cambria" w:hAnsi="Cambria"/>
          <w:sz w:val="16"/>
          <w:szCs w:val="16"/>
          <w:lang w:val="es-CO"/>
        </w:rPr>
      </w:pPr>
      <w:r w:rsidRPr="006443E9">
        <w:rPr>
          <w:rStyle w:val="FootnoteReference"/>
          <w:rFonts w:ascii="Cambria" w:hAnsi="Cambria"/>
          <w:sz w:val="16"/>
          <w:szCs w:val="16"/>
        </w:rPr>
        <w:footnoteRef/>
      </w:r>
      <w:r w:rsidRPr="006443E9">
        <w:rPr>
          <w:rFonts w:ascii="Cambria" w:hAnsi="Cambria"/>
          <w:sz w:val="16"/>
          <w:szCs w:val="16"/>
          <w:lang w:val="es-CO"/>
        </w:rPr>
        <w:t xml:space="preserve"> Anexo 29. Investigación Policial 023/83, 8 de diciembre de 1983. Anexo 05 de la petición inicial presentada por los peticionarios ante la CIDH en 07 de octubre de 2000. Página 312.</w:t>
      </w:r>
    </w:p>
  </w:footnote>
  <w:footnote w:id="46">
    <w:p w14:paraId="1B5DE357" w14:textId="77777777" w:rsidR="009D3775" w:rsidRPr="006443E9" w:rsidRDefault="009D3775" w:rsidP="0025209D">
      <w:pPr>
        <w:pStyle w:val="FootnoteText"/>
        <w:ind w:firstLine="720"/>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29. Investigación Policial 023/83, 8 de diciembre de 1983. Anexo 05 de la petición inicial presentada por los peticionarios ante la CIDH en 07 de octubre de 2000. Página 313.</w:t>
      </w:r>
    </w:p>
  </w:footnote>
  <w:footnote w:id="47">
    <w:p w14:paraId="7BE74696" w14:textId="77777777" w:rsidR="009D3775" w:rsidRPr="006443E9" w:rsidRDefault="009D3775" w:rsidP="0025209D">
      <w:pPr>
        <w:pStyle w:val="FootnoteText"/>
        <w:ind w:firstLine="708"/>
        <w:jc w:val="both"/>
        <w:rPr>
          <w:rFonts w:ascii="Cambria" w:hAnsi="Cambria"/>
          <w:sz w:val="16"/>
          <w:szCs w:val="16"/>
          <w:lang w:val="es-CO"/>
        </w:rPr>
      </w:pPr>
      <w:r w:rsidRPr="006443E9">
        <w:rPr>
          <w:rStyle w:val="FootnoteReference"/>
          <w:rFonts w:ascii="Cambria" w:hAnsi="Cambria"/>
          <w:sz w:val="16"/>
          <w:szCs w:val="16"/>
        </w:rPr>
        <w:footnoteRef/>
      </w:r>
      <w:r w:rsidRPr="006443E9">
        <w:rPr>
          <w:rFonts w:ascii="Cambria" w:hAnsi="Cambria"/>
          <w:sz w:val="16"/>
          <w:szCs w:val="16"/>
          <w:lang w:val="es-VE"/>
        </w:rPr>
        <w:t xml:space="preserve"> </w:t>
      </w:r>
      <w:r w:rsidRPr="006443E9">
        <w:rPr>
          <w:rFonts w:ascii="Cambria" w:hAnsi="Cambria"/>
          <w:sz w:val="16"/>
          <w:szCs w:val="16"/>
          <w:lang w:val="es-CO"/>
        </w:rPr>
        <w:t>Anexo 37. Termo de designación del Delegado. Secretaría de Seguridad Pública de Paraíba, 12 de agosto de 1983. Investigación Policial 023/83-Volumen I. Anexo 3a de las Observaciones adicionales presentadas por el Estado ante la CIDH el 23 de octubre de 2013. Página 14.</w:t>
      </w:r>
    </w:p>
  </w:footnote>
  <w:footnote w:id="48">
    <w:p w14:paraId="728BDB5B" w14:textId="77777777" w:rsidR="009D3775" w:rsidRPr="006443E9" w:rsidRDefault="009D3775" w:rsidP="0025209D">
      <w:pPr>
        <w:pStyle w:val="FootnoteText"/>
        <w:ind w:firstLine="720"/>
        <w:jc w:val="both"/>
        <w:rPr>
          <w:rFonts w:ascii="Cambria" w:hAnsi="Cambria"/>
          <w:sz w:val="16"/>
          <w:szCs w:val="16"/>
          <w:lang w:val="es-VE"/>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w:t>
      </w:r>
      <w:r w:rsidRPr="006443E9">
        <w:rPr>
          <w:rFonts w:ascii="Cambria" w:hAnsi="Cambria"/>
          <w:color w:val="auto"/>
          <w:sz w:val="16"/>
          <w:szCs w:val="16"/>
          <w:lang w:val="es-CO"/>
        </w:rPr>
        <w:t>Anexo 41.</w:t>
      </w:r>
      <w:r w:rsidRPr="006443E9">
        <w:rPr>
          <w:sz w:val="16"/>
          <w:szCs w:val="16"/>
          <w:lang w:val="es-CO"/>
        </w:rPr>
        <w:t xml:space="preserve"> </w:t>
      </w:r>
      <w:r w:rsidRPr="006443E9">
        <w:rPr>
          <w:rFonts w:ascii="Cambria" w:hAnsi="Cambria"/>
          <w:color w:val="auto"/>
          <w:sz w:val="16"/>
          <w:szCs w:val="16"/>
          <w:lang w:val="es-CO"/>
        </w:rPr>
        <w:t xml:space="preserve">Oficio del Departamento de Transito del Estado de Rio Grande do Norte en el cual este afirma reconocer la matrícula del carro como perteneciente a una camioneta de propiedad de Manoel Lino da Silva, 25 de agosto de 1983. Investigación Policial 023/83-Volumen 1. Anexo 3a de las Observaciones adicionales presentadas por el Estado ante la CIDH el 23 de octubre de 2013. </w:t>
      </w:r>
      <w:r w:rsidRPr="006443E9">
        <w:rPr>
          <w:rFonts w:ascii="Cambria" w:hAnsi="Cambria"/>
          <w:color w:val="auto"/>
          <w:sz w:val="16"/>
          <w:szCs w:val="16"/>
          <w:lang w:val="es-VE"/>
        </w:rPr>
        <w:t>Página 79-81</w:t>
      </w:r>
      <w:r w:rsidRPr="006443E9">
        <w:rPr>
          <w:rFonts w:ascii="Cambria" w:hAnsi="Cambria"/>
          <w:color w:val="auto"/>
          <w:sz w:val="16"/>
          <w:szCs w:val="16"/>
          <w:lang w:val="es-CO"/>
        </w:rPr>
        <w:t>; Anexo 29. Investigación policial 023/83, 8 de diciembre de 1983. Anexo 05 de la petición inicial presentada por los peticionarios ante la CIDH el 7 de octubre de 2000.</w:t>
      </w:r>
    </w:p>
  </w:footnote>
  <w:footnote w:id="49">
    <w:p w14:paraId="7A6B1D6D" w14:textId="77777777" w:rsidR="009D3775" w:rsidRPr="006443E9" w:rsidRDefault="009D3775" w:rsidP="0025209D">
      <w:pPr>
        <w:pStyle w:val="FootnoteText"/>
        <w:ind w:firstLine="720"/>
        <w:jc w:val="both"/>
        <w:rPr>
          <w:rFonts w:ascii="Cambria" w:hAnsi="Cambria"/>
          <w:sz w:val="16"/>
          <w:szCs w:val="16"/>
          <w:lang w:val="es-VE"/>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43. Declaración testimonial de Aguinaldo Veloso Borjes, 3 de septiembre de 1983. Investigación Policial 023/83/Volumen 1. Anexo 3a de las Observaciones adicionales presentadas por el Estado ante la CIDH el 23 de octubre de 2013. Páginas 116-118.</w:t>
      </w:r>
    </w:p>
  </w:footnote>
  <w:footnote w:id="50">
    <w:p w14:paraId="7A54EA09" w14:textId="77777777" w:rsidR="009D3775" w:rsidRPr="006443E9" w:rsidRDefault="009D3775" w:rsidP="0025209D">
      <w:pPr>
        <w:pStyle w:val="FootnoteText"/>
        <w:ind w:firstLine="720"/>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44. Decisión de la Secretaría de Seguridad Pública del estado de Paraíba, 13 de septiembre de 1983. Investigación Policial 023/83-Volumen1. Anexo 3a de las Observaciones adicionales presentadas por el Estado ante la CIDH el 23 de octubre de 2013. Página 149.</w:t>
      </w:r>
    </w:p>
  </w:footnote>
  <w:footnote w:id="51">
    <w:p w14:paraId="26A35CD3" w14:textId="77777777" w:rsidR="009D3775" w:rsidRPr="006443E9" w:rsidRDefault="009D3775" w:rsidP="0025209D">
      <w:pPr>
        <w:pStyle w:val="FootnoteText"/>
        <w:ind w:firstLine="720"/>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45. Orden de prisión, 29 de septiembre de 1983. Investigación Policial 023/83- Volumen 1. Anexo 3a de las Observaciones adicionales presentadas por el Estado ante la CIDH el 23 de octubre de 2013. Página 189.</w:t>
      </w:r>
    </w:p>
  </w:footnote>
  <w:footnote w:id="52">
    <w:p w14:paraId="642CC060" w14:textId="77777777" w:rsidR="009D3775" w:rsidRPr="006443E9" w:rsidRDefault="009D3775" w:rsidP="0025209D">
      <w:pPr>
        <w:pStyle w:val="FootnoteText"/>
        <w:ind w:firstLine="708"/>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46. Auto de reconocimiento de personas, 4 de octubre de 1983. Investigación Policial 023/83-Volumen 1. Anexo 3a de las Observaciones adicionales presentadas por el Estado ante la CIDH el 23 de octubre de 2013. Página 197-202.</w:t>
      </w:r>
    </w:p>
  </w:footnote>
  <w:footnote w:id="53">
    <w:p w14:paraId="23DD05C8" w14:textId="77777777" w:rsidR="009D3775" w:rsidRPr="006443E9" w:rsidRDefault="009D3775" w:rsidP="0025209D">
      <w:pPr>
        <w:pStyle w:val="FootnoteText"/>
        <w:ind w:firstLine="708"/>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47.</w:t>
      </w:r>
      <w:r w:rsidRPr="006443E9">
        <w:rPr>
          <w:sz w:val="16"/>
          <w:szCs w:val="16"/>
          <w:lang w:val="es-CO"/>
        </w:rPr>
        <w:t xml:space="preserve"> </w:t>
      </w:r>
      <w:r w:rsidRPr="006443E9">
        <w:rPr>
          <w:rFonts w:ascii="Cambria" w:hAnsi="Cambria"/>
          <w:sz w:val="16"/>
          <w:szCs w:val="16"/>
          <w:lang w:val="es-CO"/>
        </w:rPr>
        <w:t>Liberación de prisión, 6 de octubre de 1983. Investigación Policial 023/83-Volumen 1. Anexo 3a de las Observaciones adicionales presentadas por el Estado ante la CIDH el 23 de octubre de 2013. Página 257; Anexo 48. Permiso de liberación, 16 de noviembre de 1983. Investigación Policial 023/83-Volumen 2. Anexo 3a de las Observaciones adicionales presentadas por el Estado ante la CIDH el 23 de octubre de 2013. Páginas 52-53.</w:t>
      </w:r>
    </w:p>
  </w:footnote>
  <w:footnote w:id="54">
    <w:p w14:paraId="71339A80" w14:textId="77777777" w:rsidR="009D3775" w:rsidRPr="006443E9" w:rsidRDefault="009D3775" w:rsidP="0025209D">
      <w:pPr>
        <w:pStyle w:val="FootnoteText"/>
        <w:ind w:firstLine="720"/>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49. Decisión de la Secretaría de Seguridad Pública del estado de Paraíba, 8 de noviembre de 1983. Investigación Policial 023/83-Volumen 2. Anexo 3a de las Observaciones adicionales presentadas por el Estado ante la CIDH el 23 de octubre de 2013. Páginas 29-30.</w:t>
      </w:r>
    </w:p>
  </w:footnote>
  <w:footnote w:id="55">
    <w:p w14:paraId="63BB2053" w14:textId="77777777" w:rsidR="009D3775" w:rsidRPr="006443E9" w:rsidRDefault="009D3775" w:rsidP="0025209D">
      <w:pPr>
        <w:pStyle w:val="FootnoteText"/>
        <w:ind w:firstLine="720"/>
        <w:jc w:val="both"/>
        <w:rPr>
          <w:rFonts w:ascii="Cambria" w:hAnsi="Cambria"/>
          <w:sz w:val="16"/>
          <w:szCs w:val="16"/>
          <w:lang w:val="es-VE"/>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29. Investigación policial 023/83, 8 de diciembre de 1983. Anexo 05 de la petición inicial presentada por los peticionarios ante la CIDH el 7 de octubre de 2000. </w:t>
      </w:r>
      <w:r w:rsidRPr="006443E9">
        <w:rPr>
          <w:rFonts w:ascii="Cambria" w:hAnsi="Cambria"/>
          <w:sz w:val="16"/>
          <w:szCs w:val="16"/>
          <w:lang w:val="es-VE"/>
        </w:rPr>
        <w:t>Página 315.</w:t>
      </w:r>
    </w:p>
  </w:footnote>
  <w:footnote w:id="56">
    <w:p w14:paraId="1CD40BDD" w14:textId="77777777" w:rsidR="009D3775" w:rsidRPr="006443E9" w:rsidRDefault="009D3775" w:rsidP="0025209D">
      <w:pPr>
        <w:pStyle w:val="FootnoteText"/>
        <w:ind w:firstLine="720"/>
        <w:jc w:val="both"/>
        <w:rPr>
          <w:rFonts w:ascii="Cambria" w:hAnsi="Cambria"/>
          <w:b/>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VE"/>
        </w:rPr>
        <w:t xml:space="preserve"> Anexo 29. Investigación policial 023/83, 8 de diciembre de 1983. </w:t>
      </w:r>
      <w:r w:rsidRPr="006443E9">
        <w:rPr>
          <w:rFonts w:ascii="Cambria" w:hAnsi="Cambria"/>
          <w:sz w:val="16"/>
          <w:szCs w:val="16"/>
          <w:lang w:val="es-CO"/>
        </w:rPr>
        <w:t>Anexo 05 de la petición inicial presentada por los peticionarios ante la CIDH el 7 de octubre de 2000. Página 315.</w:t>
      </w:r>
    </w:p>
  </w:footnote>
  <w:footnote w:id="57">
    <w:p w14:paraId="0DD7CC7E" w14:textId="77777777" w:rsidR="009D3775" w:rsidRPr="006443E9" w:rsidRDefault="009D3775" w:rsidP="0025209D">
      <w:pPr>
        <w:pStyle w:val="FootnoteText"/>
        <w:ind w:firstLine="720"/>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29. Investigación policial 023/83, 8 de diciembre de 1983. Anexo 05 de la petición inicial presentada por los peticionarios ante la CIDH el 7 de octubre de 2000. Página 315.</w:t>
      </w:r>
    </w:p>
  </w:footnote>
  <w:footnote w:id="58">
    <w:p w14:paraId="2ACCC1E3" w14:textId="77777777" w:rsidR="009D3775" w:rsidRPr="006443E9" w:rsidRDefault="009D3775" w:rsidP="0025209D">
      <w:pPr>
        <w:pStyle w:val="FootnoteText"/>
        <w:ind w:firstLine="708"/>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22. Denuncia ofertada por el Ministerio Público al Poder Judiciario de Paraíba, 22 de diciembre de 1983. Anexo 06 de la petición inicial presentada por los peticionarios ante la CIDH el 7 de octubre de 2000; Anexo 50. </w:t>
      </w:r>
      <w:r w:rsidRPr="006443E9">
        <w:rPr>
          <w:rFonts w:ascii="Cambria" w:hAnsi="Cambria"/>
          <w:sz w:val="16"/>
          <w:szCs w:val="16"/>
          <w:lang w:val="pt-BR"/>
        </w:rPr>
        <w:t xml:space="preserve">Copia de denuncia a Amauri José do Rego, Amaro José do Rego y Antônio Carlos Coutinho Régis, 5 de enero de 1984. </w:t>
      </w:r>
      <w:r w:rsidRPr="006443E9">
        <w:rPr>
          <w:rFonts w:ascii="Cambria" w:hAnsi="Cambria"/>
          <w:sz w:val="16"/>
          <w:szCs w:val="16"/>
          <w:lang w:val="es-CO"/>
        </w:rPr>
        <w:t>Volumen II de la Investigación Policial 023/83. Anexo 3a de las Observaciones adicionales presentadas por el Estado ante la CIDH el 23 de octubre de 2013. Páginas 91-93.</w:t>
      </w:r>
    </w:p>
  </w:footnote>
  <w:footnote w:id="59">
    <w:p w14:paraId="0C36D937" w14:textId="77777777" w:rsidR="009D3775" w:rsidRPr="006443E9" w:rsidRDefault="009D3775" w:rsidP="0025209D">
      <w:pPr>
        <w:pStyle w:val="FootnoteText"/>
        <w:ind w:firstLine="708"/>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51. Cita de notificación por periódico a Amauri José do Rego y Amaro José do Rego, 9 de enero de 1984. Investigación Policial 023/83-Volumen 2. Anexo 3a de las Observaciones adicionales presentadas por el Estado ante la CIDH el 23 de octubre de 2013. Páginas 98-99.</w:t>
      </w:r>
    </w:p>
  </w:footnote>
  <w:footnote w:id="60">
    <w:p w14:paraId="2F37CBDA" w14:textId="77777777" w:rsidR="009D3775" w:rsidRPr="006443E9" w:rsidRDefault="009D3775" w:rsidP="0025209D">
      <w:pPr>
        <w:pStyle w:val="FootnoteText"/>
        <w:ind w:firstLine="708"/>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52.</w:t>
      </w:r>
      <w:r w:rsidRPr="006443E9">
        <w:rPr>
          <w:sz w:val="16"/>
          <w:szCs w:val="16"/>
          <w:lang w:val="es-CO"/>
        </w:rPr>
        <w:t xml:space="preserve"> </w:t>
      </w:r>
      <w:r w:rsidRPr="006443E9">
        <w:rPr>
          <w:rFonts w:ascii="Cambria" w:hAnsi="Cambria"/>
          <w:sz w:val="16"/>
          <w:szCs w:val="16"/>
          <w:lang w:val="es-CO"/>
        </w:rPr>
        <w:t>Orden de detención, 26 de febrero de 1985. Investigación Policial 023/83-Volumen 3. Anexo 3a de las Observaciones adicionales presentadas por el Estado ante la CIDH el 23 de octubre de 2013. Página 292; Anexo 53.</w:t>
      </w:r>
      <w:r w:rsidRPr="006443E9">
        <w:rPr>
          <w:sz w:val="16"/>
          <w:szCs w:val="16"/>
          <w:lang w:val="es-CO"/>
        </w:rPr>
        <w:t xml:space="preserve"> </w:t>
      </w:r>
      <w:r w:rsidRPr="006443E9">
        <w:rPr>
          <w:rFonts w:ascii="Cambria" w:hAnsi="Cambria"/>
          <w:sz w:val="16"/>
          <w:szCs w:val="16"/>
          <w:lang w:val="es-CO"/>
        </w:rPr>
        <w:t>Orden de detención, 17 de diciembre de 1985. Investigación Policial 023/83-Volumen 4-Parte II. Anexo 3a de las Observaciones adicionales presentadas por el Estado ante la CIDH el 23 de octubre de 2013. Página 49; Anexo 54.</w:t>
      </w:r>
      <w:r w:rsidRPr="006443E9">
        <w:rPr>
          <w:sz w:val="16"/>
          <w:szCs w:val="16"/>
          <w:lang w:val="es-CO"/>
        </w:rPr>
        <w:t xml:space="preserve"> </w:t>
      </w:r>
      <w:r w:rsidRPr="006443E9">
        <w:rPr>
          <w:rFonts w:ascii="Cambria" w:hAnsi="Cambria"/>
          <w:sz w:val="16"/>
          <w:szCs w:val="16"/>
          <w:lang w:val="es-CO"/>
        </w:rPr>
        <w:t>Orden de detención, 23 de enero de 1991. Investigación Policial 023/83-Volumen 4-Parte II. Anexo 3a de las Observaciones adicionales presentadas por el Estado ante la CIDH el 23 de octubre de 2013. Página 291; Anexo 55.</w:t>
      </w:r>
      <w:r w:rsidRPr="006443E9">
        <w:rPr>
          <w:sz w:val="16"/>
          <w:szCs w:val="16"/>
          <w:lang w:val="es-CO"/>
        </w:rPr>
        <w:t xml:space="preserve"> </w:t>
      </w:r>
      <w:r w:rsidRPr="006443E9">
        <w:rPr>
          <w:rFonts w:ascii="Cambria" w:hAnsi="Cambria"/>
          <w:sz w:val="16"/>
          <w:szCs w:val="16"/>
          <w:lang w:val="es-CO"/>
        </w:rPr>
        <w:t>Orden de detención, 28 de mayo de 1991. Investigación Policial 023/83-Volumen 5. Anexo 3a de las Observaciones adicionales presentadas por el Estado ante la CIDH el 23 de octubre de 2013. Páginas 29-32; Anexo 56. Orden de detención, 5 de octubre de 1995. Investigación Policial 023/83-Volumen 5. Anexo 3a de las Observaciones adicionales presentadas por el Estado ante la CIDH el 23 de octubre de 2013. Páginas 296-297.</w:t>
      </w:r>
    </w:p>
  </w:footnote>
  <w:footnote w:id="61">
    <w:p w14:paraId="0A943EDE" w14:textId="77777777" w:rsidR="009D3775" w:rsidRPr="006443E9" w:rsidRDefault="009D3775" w:rsidP="0025209D">
      <w:pPr>
        <w:pStyle w:val="FootnoteText"/>
        <w:ind w:firstLine="708"/>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53.</w:t>
      </w:r>
      <w:r w:rsidRPr="006443E9">
        <w:rPr>
          <w:sz w:val="16"/>
          <w:szCs w:val="16"/>
          <w:lang w:val="es-CO"/>
        </w:rPr>
        <w:t xml:space="preserve"> </w:t>
      </w:r>
      <w:r w:rsidRPr="006443E9">
        <w:rPr>
          <w:rFonts w:ascii="Cambria" w:hAnsi="Cambria"/>
          <w:sz w:val="16"/>
          <w:szCs w:val="16"/>
          <w:lang w:val="es-CO"/>
        </w:rPr>
        <w:t>Orden de detención, 17 de diciembre de 1985. Investigación Policial 023/83-Volumen 4-Parte II. Anexo 3a de las Observaciones adicionales presentadas por el Estado ante la CIDH el 23 de octubre de 2013. Página 49; Anexo 54.</w:t>
      </w:r>
      <w:r w:rsidRPr="006443E9">
        <w:rPr>
          <w:sz w:val="16"/>
          <w:szCs w:val="16"/>
          <w:lang w:val="es-CO"/>
        </w:rPr>
        <w:t xml:space="preserve"> </w:t>
      </w:r>
      <w:r w:rsidRPr="006443E9">
        <w:rPr>
          <w:rFonts w:ascii="Cambria" w:hAnsi="Cambria"/>
          <w:sz w:val="16"/>
          <w:szCs w:val="16"/>
          <w:lang w:val="es-CO"/>
        </w:rPr>
        <w:t>Orden de detención, 23 de enero de 1991. Investigación Policial 023/83-Volumen 4-Parte II. Anexo 3a de las Observaciones adicionales presentadas por el Estado ante la CIDH el 23 de octubre de 2013. Página 291; Anexo 55.</w:t>
      </w:r>
      <w:r w:rsidRPr="006443E9">
        <w:rPr>
          <w:sz w:val="16"/>
          <w:szCs w:val="16"/>
          <w:lang w:val="es-CO"/>
        </w:rPr>
        <w:t xml:space="preserve"> </w:t>
      </w:r>
      <w:r w:rsidRPr="006443E9">
        <w:rPr>
          <w:rFonts w:ascii="Cambria" w:hAnsi="Cambria"/>
          <w:sz w:val="16"/>
          <w:szCs w:val="16"/>
          <w:lang w:val="es-CO"/>
        </w:rPr>
        <w:t>Orden de detención, 28 de mayo de 1991. Investigación Policial 023/83-Volumen 5. Anexo 3a de las Observaciones adicionales presentadas por el Estado ante la CIDH el 23 de octubre de 2013. Páginas 29-32; Anexo 56. Orden de detención, 5 de octubre de 1995. Investigación Policial 023/83-Volumen 5. Anexo 3a de las Observaciones adicionales presentadas por el Estado ante la CIDH el 23 de octubre de 2013. Páginas 296-297.</w:t>
      </w:r>
    </w:p>
  </w:footnote>
  <w:footnote w:id="62">
    <w:p w14:paraId="743C87DD" w14:textId="77777777" w:rsidR="009D3775" w:rsidRPr="006443E9" w:rsidRDefault="009D3775" w:rsidP="0025209D">
      <w:pPr>
        <w:pStyle w:val="FootnoteText"/>
        <w:ind w:firstLine="720"/>
        <w:jc w:val="both"/>
        <w:rPr>
          <w:rFonts w:ascii="Cambria" w:hAnsi="Cambria"/>
          <w:sz w:val="16"/>
          <w:szCs w:val="16"/>
          <w:lang w:val="es-VE"/>
        </w:rPr>
      </w:pPr>
      <w:r w:rsidRPr="006443E9">
        <w:rPr>
          <w:rStyle w:val="FootnoteReference"/>
          <w:rFonts w:ascii="Cambria" w:hAnsi="Cambria"/>
          <w:sz w:val="16"/>
          <w:szCs w:val="16"/>
        </w:rPr>
        <w:footnoteRef/>
      </w:r>
      <w:r w:rsidRPr="006443E9">
        <w:rPr>
          <w:rFonts w:ascii="Cambria" w:hAnsi="Cambria"/>
          <w:sz w:val="16"/>
          <w:szCs w:val="16"/>
          <w:lang w:val="es-CO"/>
        </w:rPr>
        <w:t xml:space="preserve"> Anexo 58. Sentencia proferida por el Tribunal de jurados de la Comarca de Alagoa Grande, 5 de julio de 1988. Investigación Policial 023/83-Volumen 4. Anexo 3a de las Observaciones adicionales presentadas por el Estado ante la CIDH el 23 de octubre de 2013. Páginas 228 y 229.</w:t>
      </w:r>
    </w:p>
  </w:footnote>
  <w:footnote w:id="63">
    <w:p w14:paraId="5135127C" w14:textId="77777777" w:rsidR="009D3775" w:rsidRPr="006443E9" w:rsidRDefault="009D3775" w:rsidP="0025209D">
      <w:pPr>
        <w:pStyle w:val="FootnoteText"/>
        <w:ind w:firstLine="720"/>
        <w:jc w:val="both"/>
        <w:rPr>
          <w:rFonts w:ascii="Cambria" w:hAnsi="Cambria"/>
          <w:sz w:val="16"/>
          <w:szCs w:val="16"/>
          <w:lang w:val="es-CO"/>
        </w:rPr>
      </w:pPr>
      <w:r w:rsidRPr="006443E9">
        <w:rPr>
          <w:rStyle w:val="FootnoteReference"/>
          <w:rFonts w:ascii="Cambria" w:hAnsi="Cambria"/>
          <w:sz w:val="16"/>
          <w:szCs w:val="16"/>
        </w:rPr>
        <w:footnoteRef/>
      </w:r>
      <w:r w:rsidRPr="006443E9">
        <w:rPr>
          <w:rFonts w:ascii="Cambria" w:hAnsi="Cambria"/>
          <w:sz w:val="16"/>
          <w:szCs w:val="16"/>
          <w:lang w:val="es-VE"/>
        </w:rPr>
        <w:t xml:space="preserve"> </w:t>
      </w:r>
      <w:r w:rsidRPr="006443E9">
        <w:rPr>
          <w:rFonts w:ascii="Cambria" w:hAnsi="Cambria"/>
          <w:sz w:val="16"/>
          <w:szCs w:val="16"/>
          <w:lang w:val="es-CO"/>
        </w:rPr>
        <w:t>Anexo 57. Sentencia de la Comarca de Alagoa Grande, 5 de julio de 1988. Anexo 8 de la petición inicial presentada por los peticionarios ante la CIDH el 7 de octubre de 2000.</w:t>
      </w:r>
    </w:p>
  </w:footnote>
  <w:footnote w:id="64">
    <w:p w14:paraId="7C12F9C8" w14:textId="77777777" w:rsidR="009D3775" w:rsidRPr="006443E9" w:rsidRDefault="009D3775" w:rsidP="0025209D">
      <w:pPr>
        <w:pStyle w:val="FootnoteText"/>
        <w:ind w:firstLine="720"/>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59. Recurso de Apelación presentado por el Ministerio Público al Poder Judiciario de Paraíba, 7 de julio de 1988. Anexo 09 de la petición inicial presentada por los peticionarios ante la CIDH el 7 de octubre de 2000.</w:t>
      </w:r>
    </w:p>
  </w:footnote>
  <w:footnote w:id="65">
    <w:p w14:paraId="7F056C95" w14:textId="77777777" w:rsidR="009D3775" w:rsidRPr="006443E9" w:rsidRDefault="009D3775" w:rsidP="0025209D">
      <w:pPr>
        <w:pStyle w:val="FootnoteText"/>
        <w:ind w:firstLine="720"/>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60. Decisión de la Comarca de Alagoa Grande, 17 de mayo de 1990. Investigación Policial 023/83-Volumen 4-Parte II. Anexo 3a de las Observaciones adicionales presentadas por el Estado ante la CIDH el 23 de octubre de 2013. Páginas 270-273.</w:t>
      </w:r>
    </w:p>
  </w:footnote>
  <w:footnote w:id="66">
    <w:p w14:paraId="0E2384F2" w14:textId="77777777" w:rsidR="009D3775" w:rsidRPr="006443E9" w:rsidRDefault="009D3775" w:rsidP="0025209D">
      <w:pPr>
        <w:pStyle w:val="FootnoteText"/>
        <w:ind w:firstLine="708"/>
        <w:jc w:val="both"/>
        <w:rPr>
          <w:rFonts w:ascii="Cambria" w:hAnsi="Cambria"/>
          <w:color w:val="auto"/>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61. Pedido de desforamento procesal, 17 de junio de 1991. Investigación Policial 023/83-Volumen 5. Anexo 3a de las Observaciones adicionales presentadas por el Estado ante la CIDH el 23 de octubre de 2013. Páginas 84-87.</w:t>
      </w:r>
    </w:p>
  </w:footnote>
  <w:footnote w:id="67">
    <w:p w14:paraId="03AFF24A" w14:textId="77777777" w:rsidR="009D3775" w:rsidRPr="006443E9" w:rsidRDefault="009D3775" w:rsidP="0025209D">
      <w:pPr>
        <w:pStyle w:val="FootnoteText"/>
        <w:ind w:firstLine="708"/>
        <w:jc w:val="both"/>
        <w:rPr>
          <w:rFonts w:ascii="Cambria" w:hAnsi="Cambria"/>
          <w:sz w:val="16"/>
          <w:szCs w:val="16"/>
          <w:lang w:val="es-CO"/>
        </w:rPr>
      </w:pPr>
      <w:r w:rsidRPr="006443E9">
        <w:rPr>
          <w:rStyle w:val="FootnoteReference"/>
          <w:rFonts w:ascii="Cambria" w:hAnsi="Cambria"/>
          <w:color w:val="auto"/>
          <w:sz w:val="16"/>
          <w:szCs w:val="16"/>
          <w:lang w:val="es-CO"/>
        </w:rPr>
        <w:footnoteRef/>
      </w:r>
      <w:r w:rsidRPr="006443E9">
        <w:rPr>
          <w:rFonts w:ascii="Cambria" w:hAnsi="Cambria"/>
          <w:color w:val="auto"/>
          <w:sz w:val="16"/>
          <w:szCs w:val="16"/>
          <w:lang w:val="es-CO"/>
        </w:rPr>
        <w:t xml:space="preserve"> Anexo 61. Pedido de desforamento procesal, 17 de junio de 1991. Investigación Policial 023/83-Volumen 5. Anexo 3a de las Observaciones adicionales presentadas por el Estado ante la CIDH el 23 de octubre de 2013. Páginas 84-87.</w:t>
      </w:r>
    </w:p>
  </w:footnote>
  <w:footnote w:id="68">
    <w:p w14:paraId="0FEEA11B" w14:textId="77777777" w:rsidR="009D3775" w:rsidRPr="006443E9" w:rsidRDefault="009D3775" w:rsidP="0025209D">
      <w:pPr>
        <w:pStyle w:val="FootnoteText"/>
        <w:ind w:firstLine="708"/>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Anexo 62. Negación del pedido de desforamento, 25 de septiembre de 1991. Investigación Policial 023/83-Volumen 5. Anexo 3a de las Observaciones adicionales presentadas por el Estado ante la CIDH el 23 de octubre de 2013. Páginas 119-121.</w:t>
      </w:r>
    </w:p>
  </w:footnote>
  <w:footnote w:id="69">
    <w:p w14:paraId="50A74054" w14:textId="77777777" w:rsidR="009D3775" w:rsidRPr="006443E9" w:rsidRDefault="009D3775" w:rsidP="0025209D">
      <w:pPr>
        <w:pStyle w:val="FootnoteText"/>
        <w:ind w:firstLine="708"/>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63. Oficio de la Presidencia del Tribunal de Justicia de Paraíba, 13 de julio de 1995. Investigación Policial 023/83-Volumen 5. Anexo 3a de las Observaciones adicionales presentadas por el Estado ante la CIDH el 23 de octubre de 2013. Página 124.</w:t>
      </w:r>
    </w:p>
  </w:footnote>
  <w:footnote w:id="70">
    <w:p w14:paraId="3B5BC735" w14:textId="77777777" w:rsidR="009D3775" w:rsidRPr="006443E9" w:rsidRDefault="009D3775" w:rsidP="0025209D">
      <w:pPr>
        <w:pStyle w:val="FootnoteText"/>
        <w:ind w:firstLine="708"/>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64. Carta de la Presidencia del Tribunal de Justicia de Paraíba, 17 de julio de 1995. Investigación Policial 023/83-Volumen 5. Anexo 3a de las Observaciones adicionales presentadas por el Estado ante la CIDH el 23 de octubre de 2013. Página 126.</w:t>
      </w:r>
    </w:p>
  </w:footnote>
  <w:footnote w:id="71">
    <w:p w14:paraId="4AF61D49" w14:textId="77777777" w:rsidR="009D3775" w:rsidRPr="006443E9" w:rsidRDefault="009D3775" w:rsidP="0025209D">
      <w:pPr>
        <w:pStyle w:val="FootnoteText"/>
        <w:ind w:firstLine="708"/>
        <w:jc w:val="both"/>
        <w:rPr>
          <w:rFonts w:ascii="Cambria" w:hAnsi="Cambria"/>
          <w:sz w:val="16"/>
          <w:szCs w:val="16"/>
          <w:lang w:val="pt-BR"/>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64. Carta de la Presidencia del Tribunal de Justicia de Paraíba, 17 de julio de 1995. Investigación Policial 023/83-Volumen 5. Anexo 3a de las Observaciones adicionales presentadas por el Estado ante la CIDH el 23 de octubre de 2013. </w:t>
      </w:r>
      <w:r w:rsidRPr="006443E9">
        <w:rPr>
          <w:rFonts w:ascii="Cambria" w:hAnsi="Cambria"/>
          <w:sz w:val="16"/>
          <w:szCs w:val="16"/>
          <w:lang w:val="pt-BR"/>
        </w:rPr>
        <w:t>Página 126.</w:t>
      </w:r>
    </w:p>
  </w:footnote>
  <w:footnote w:id="72">
    <w:p w14:paraId="5ECE5BF9" w14:textId="77777777" w:rsidR="009D3775" w:rsidRPr="006443E9" w:rsidRDefault="009D3775" w:rsidP="0025209D">
      <w:pPr>
        <w:pStyle w:val="FootnoteText"/>
        <w:ind w:firstLine="708"/>
        <w:jc w:val="both"/>
        <w:rPr>
          <w:rFonts w:ascii="Cambria" w:hAnsi="Cambria"/>
          <w:sz w:val="16"/>
          <w:szCs w:val="16"/>
          <w:lang w:val="pt-BR"/>
        </w:rPr>
      </w:pPr>
      <w:r w:rsidRPr="006443E9">
        <w:rPr>
          <w:rStyle w:val="FootnoteReference"/>
          <w:rFonts w:ascii="Cambria" w:hAnsi="Cambria"/>
          <w:sz w:val="16"/>
          <w:szCs w:val="16"/>
        </w:rPr>
        <w:footnoteRef/>
      </w:r>
      <w:r w:rsidRPr="006443E9">
        <w:rPr>
          <w:rFonts w:ascii="Cambria" w:hAnsi="Cambria"/>
          <w:sz w:val="16"/>
          <w:szCs w:val="16"/>
          <w:lang w:val="pt-BR"/>
        </w:rPr>
        <w:t xml:space="preserve"> Anexo 65. Oficio de Juez Gutemberg Cardoso Pereira, 1 de agosto de 1995. </w:t>
      </w:r>
      <w:r w:rsidRPr="006443E9">
        <w:rPr>
          <w:rFonts w:ascii="Cambria" w:hAnsi="Cambria"/>
          <w:sz w:val="16"/>
          <w:szCs w:val="16"/>
          <w:lang w:val="es-CO"/>
        </w:rPr>
        <w:t xml:space="preserve">Investigación Policial 023/83-Volumen 5. Anexo 3a de las Observaciones adicionales presentadas por el Estado ante la CIDH el 23 de octubre de 2013. </w:t>
      </w:r>
      <w:r w:rsidRPr="006443E9">
        <w:rPr>
          <w:rFonts w:ascii="Cambria" w:hAnsi="Cambria"/>
          <w:sz w:val="16"/>
          <w:szCs w:val="16"/>
          <w:lang w:val="pt-BR"/>
        </w:rPr>
        <w:t>Páginas 131-135.</w:t>
      </w:r>
    </w:p>
  </w:footnote>
  <w:footnote w:id="73">
    <w:p w14:paraId="2DAB5339" w14:textId="77777777" w:rsidR="009D3775" w:rsidRPr="006443E9" w:rsidRDefault="009D3775" w:rsidP="0025209D">
      <w:pPr>
        <w:pStyle w:val="FootnoteText"/>
        <w:ind w:firstLine="708"/>
        <w:jc w:val="both"/>
        <w:rPr>
          <w:rFonts w:ascii="Cambria" w:hAnsi="Cambria"/>
          <w:sz w:val="16"/>
          <w:szCs w:val="16"/>
          <w:lang w:val="pt-BR"/>
        </w:rPr>
      </w:pPr>
      <w:r w:rsidRPr="006443E9">
        <w:rPr>
          <w:rStyle w:val="FootnoteReference"/>
          <w:rFonts w:ascii="Cambria" w:hAnsi="Cambria"/>
          <w:sz w:val="16"/>
          <w:szCs w:val="16"/>
        </w:rPr>
        <w:footnoteRef/>
      </w:r>
      <w:r w:rsidRPr="006443E9">
        <w:rPr>
          <w:rFonts w:ascii="Cambria" w:hAnsi="Cambria"/>
          <w:sz w:val="16"/>
          <w:szCs w:val="16"/>
          <w:lang w:val="pt-BR"/>
        </w:rPr>
        <w:t xml:space="preserve"> Anexo 65. Oficio de Juez Gutemberg Cardoso Pereira, 1 de agosto de 1995. </w:t>
      </w:r>
      <w:r w:rsidRPr="006443E9">
        <w:rPr>
          <w:rFonts w:ascii="Cambria" w:hAnsi="Cambria"/>
          <w:sz w:val="16"/>
          <w:szCs w:val="16"/>
          <w:lang w:val="es-CO"/>
        </w:rPr>
        <w:t xml:space="preserve">Investigación Policial 023/83-Volumen 5. Anexo 3a de las Observaciones adicionales presentadas por el Estado ante la CIDH el 23 de octubre de 2013. </w:t>
      </w:r>
      <w:r w:rsidRPr="006443E9">
        <w:rPr>
          <w:rFonts w:ascii="Cambria" w:hAnsi="Cambria"/>
          <w:sz w:val="16"/>
          <w:szCs w:val="16"/>
          <w:lang w:val="pt-BR"/>
        </w:rPr>
        <w:t>Páginas 131-135.</w:t>
      </w:r>
    </w:p>
  </w:footnote>
  <w:footnote w:id="74">
    <w:p w14:paraId="20A47D89" w14:textId="77777777" w:rsidR="009D3775" w:rsidRPr="006443E9" w:rsidRDefault="009D3775" w:rsidP="0025209D">
      <w:pPr>
        <w:pStyle w:val="FootnoteText"/>
        <w:ind w:firstLine="708"/>
        <w:jc w:val="both"/>
        <w:rPr>
          <w:rFonts w:ascii="Cambria" w:hAnsi="Cambria"/>
          <w:sz w:val="16"/>
          <w:szCs w:val="16"/>
          <w:lang w:val="es-VE"/>
        </w:rPr>
      </w:pPr>
      <w:r w:rsidRPr="006443E9">
        <w:rPr>
          <w:rStyle w:val="FootnoteReference"/>
          <w:rFonts w:ascii="Cambria" w:hAnsi="Cambria"/>
          <w:sz w:val="16"/>
          <w:szCs w:val="16"/>
        </w:rPr>
        <w:footnoteRef/>
      </w:r>
      <w:r w:rsidRPr="006443E9">
        <w:rPr>
          <w:rFonts w:ascii="Cambria" w:hAnsi="Cambria"/>
          <w:sz w:val="16"/>
          <w:szCs w:val="16"/>
          <w:lang w:val="pt-BR"/>
        </w:rPr>
        <w:t xml:space="preserve"> Anexo 65. Oficio de Juez Gutemberg Cardoso Pereira, 1 de agosto de 1995. </w:t>
      </w:r>
      <w:r w:rsidRPr="006443E9">
        <w:rPr>
          <w:rFonts w:ascii="Cambria" w:hAnsi="Cambria"/>
          <w:sz w:val="16"/>
          <w:szCs w:val="16"/>
          <w:lang w:val="es-CO"/>
        </w:rPr>
        <w:t>Investigación Policial 023/83-Volumen 5. Anexo 3a de las Observaciones adicionales presentadas por el Estado ante la CIDH el 23 de octubre de 2013. Páginas 131-135.</w:t>
      </w:r>
    </w:p>
  </w:footnote>
  <w:footnote w:id="75">
    <w:p w14:paraId="6170C3B7" w14:textId="77777777" w:rsidR="009D3775" w:rsidRPr="006443E9" w:rsidRDefault="009D3775" w:rsidP="0025209D">
      <w:pPr>
        <w:pStyle w:val="FootnoteText"/>
        <w:ind w:firstLine="708"/>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66. Despacho judicial, 2 de agosto de 1995. Investigación Policial 023/83-Volumen 5. Anexo 3a de las Observaciones adicionales presentadas por el Estado ante la CIDH el 23 de octubre de 2013. Página 137.</w:t>
      </w:r>
    </w:p>
  </w:footnote>
  <w:footnote w:id="76">
    <w:p w14:paraId="3E11203E" w14:textId="77777777" w:rsidR="009D3775" w:rsidRPr="006443E9" w:rsidRDefault="009D3775" w:rsidP="0025209D">
      <w:pPr>
        <w:pStyle w:val="FootnoteText"/>
        <w:ind w:firstLine="708"/>
        <w:jc w:val="both"/>
        <w:rPr>
          <w:rFonts w:ascii="Cambria" w:hAnsi="Cambria"/>
          <w:sz w:val="16"/>
          <w:szCs w:val="16"/>
          <w:lang w:val="es-CO"/>
        </w:rPr>
      </w:pPr>
      <w:r w:rsidRPr="006443E9">
        <w:rPr>
          <w:rStyle w:val="FootnoteReference"/>
          <w:rFonts w:ascii="Cambria" w:hAnsi="Cambria"/>
          <w:sz w:val="16"/>
          <w:szCs w:val="16"/>
        </w:rPr>
        <w:footnoteRef/>
      </w:r>
      <w:r w:rsidRPr="006443E9">
        <w:rPr>
          <w:rFonts w:ascii="Cambria" w:hAnsi="Cambria"/>
          <w:sz w:val="16"/>
          <w:szCs w:val="16"/>
          <w:lang w:val="es-VE"/>
        </w:rPr>
        <w:t xml:space="preserve"> Anexo 67. Decisión del Juez de la Comarca de Alagoa Grande, 8 de agosto de 1995. Volumen 1-Parte 1. Anexo 3a de las Observaciones adicionales presentadas por el Estado ante la CIDH el 23 de octubre de 2013. Página 349.</w:t>
      </w:r>
    </w:p>
  </w:footnote>
  <w:footnote w:id="77">
    <w:p w14:paraId="320EBF6B" w14:textId="77777777" w:rsidR="009D3775" w:rsidRPr="006443E9" w:rsidRDefault="009D3775" w:rsidP="0025209D">
      <w:pPr>
        <w:pStyle w:val="FootnoteText"/>
        <w:ind w:firstLine="720"/>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68. Consideraciones del Juez Gutemberg Cardoso Pereira, 30 de diciembre de 1999. Anexo 14 de la petición inicial presentada por los peticionarios ante la CIDH el 7 de octubre de 2000.</w:t>
      </w:r>
    </w:p>
  </w:footnote>
  <w:footnote w:id="78">
    <w:p w14:paraId="7AD23DFD" w14:textId="77777777" w:rsidR="009D3775" w:rsidRPr="006443E9" w:rsidRDefault="009D3775" w:rsidP="0025209D">
      <w:pPr>
        <w:pStyle w:val="FootnoteText"/>
        <w:ind w:firstLine="708"/>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Petición inicial presentada por los peticionarios ante la CIDH el 7 de octubre de 2000. Página 10.</w:t>
      </w:r>
    </w:p>
  </w:footnote>
  <w:footnote w:id="79">
    <w:p w14:paraId="6EA1161B" w14:textId="77777777" w:rsidR="009D3775" w:rsidRPr="006443E9" w:rsidRDefault="009D3775" w:rsidP="0025209D">
      <w:pPr>
        <w:pStyle w:val="FootnoteText"/>
        <w:ind w:firstLine="708"/>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69. Oficio de la Secretaría de Seguridad Pública del Estado de Ceará, 28 de agosto de 1995. Investigación Policial 023/83-Volumen 5. Anexo 3a de las Observaciones adicionales presentadas por el Estado ante la CIDH el 23 de octubre de 2013. Página 282; Anexo 70.</w:t>
      </w:r>
      <w:r w:rsidRPr="006443E9">
        <w:rPr>
          <w:sz w:val="16"/>
          <w:szCs w:val="16"/>
          <w:lang w:val="es-CO"/>
        </w:rPr>
        <w:t xml:space="preserve"> </w:t>
      </w:r>
      <w:r w:rsidRPr="006443E9">
        <w:rPr>
          <w:rFonts w:ascii="Cambria" w:hAnsi="Cambria"/>
          <w:sz w:val="16"/>
          <w:szCs w:val="16"/>
          <w:lang w:val="es-CO"/>
        </w:rPr>
        <w:t>Oficio de la Secretaría de Seguridad Pública del Estado de Maranhão, 22 de agosto de 1995. Investigación Policial 023/83-Volumen 5. Anexo 3a de las Observaciones adicionales presentadas por el Estado ante la CIDH el 23 de octubre de 2013. Página 289.; Anexo 71. Oficio de la Secretaría de Seguridad Pública del Estado de Pernambuco, 31 de agosto de 1995. Investigación Policial 023/83-Volumen 5. Anexo 3a de las Observaciones adicionales presentadas por el Estado ante la CIDH el 23 de octubre de 2013. Página 285.</w:t>
      </w:r>
    </w:p>
  </w:footnote>
  <w:footnote w:id="80">
    <w:p w14:paraId="34DA0C1C" w14:textId="77777777" w:rsidR="009D3775" w:rsidRPr="006443E9" w:rsidRDefault="009D3775" w:rsidP="0025209D">
      <w:pPr>
        <w:pStyle w:val="FootnoteText"/>
        <w:ind w:firstLine="708"/>
        <w:jc w:val="both"/>
        <w:rPr>
          <w:rFonts w:ascii="Cambria" w:hAnsi="Cambria"/>
          <w:sz w:val="16"/>
          <w:szCs w:val="16"/>
          <w:lang w:val="es-VE"/>
        </w:rPr>
      </w:pPr>
      <w:r w:rsidRPr="006443E9">
        <w:rPr>
          <w:rStyle w:val="FootnoteReference"/>
          <w:rFonts w:ascii="Cambria" w:hAnsi="Cambria"/>
          <w:sz w:val="16"/>
          <w:szCs w:val="16"/>
        </w:rPr>
        <w:footnoteRef/>
      </w:r>
      <w:r w:rsidRPr="006443E9">
        <w:rPr>
          <w:rFonts w:ascii="Cambria" w:hAnsi="Cambria"/>
          <w:sz w:val="16"/>
          <w:szCs w:val="16"/>
          <w:lang w:val="es-VE"/>
        </w:rPr>
        <w:t xml:space="preserve"> Anexo 72. Acta del Juicio del Procesado, 1 de septiembre de 1998. Investigación Policial 023/83-Volumen 6-Parte II. Anexo 3a de las Observaciones adicionales presentadas por el Estado ante la CIDH el 23 de octubre de 2013. Páginas 139-141.</w:t>
      </w:r>
    </w:p>
  </w:footnote>
  <w:footnote w:id="81">
    <w:p w14:paraId="2C0F6338" w14:textId="77777777" w:rsidR="009D3775" w:rsidRPr="006443E9" w:rsidRDefault="009D3775" w:rsidP="0025209D">
      <w:pPr>
        <w:pStyle w:val="FootnoteText"/>
        <w:ind w:firstLine="708"/>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80. Comunicación del Juez Gutemberg Cardozo, 30 de diciembre de 1999. Volumen 7. Anexo 3a de las Observaciones adicionales presentadas por el Estado ante la CIDH el 23 de octubre de 2013. Página 62-63.</w:t>
      </w:r>
    </w:p>
  </w:footnote>
  <w:footnote w:id="82">
    <w:p w14:paraId="655E1509" w14:textId="77777777" w:rsidR="009D3775" w:rsidRPr="006443E9" w:rsidRDefault="009D3775" w:rsidP="0025209D">
      <w:pPr>
        <w:pStyle w:val="FootnoteText"/>
        <w:ind w:firstLine="708"/>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73.</w:t>
      </w:r>
      <w:r w:rsidRPr="006443E9">
        <w:rPr>
          <w:sz w:val="16"/>
          <w:szCs w:val="16"/>
          <w:lang w:val="es-CO"/>
        </w:rPr>
        <w:t xml:space="preserve"> </w:t>
      </w:r>
      <w:r w:rsidRPr="006443E9">
        <w:rPr>
          <w:rFonts w:ascii="Cambria" w:hAnsi="Cambria"/>
          <w:sz w:val="16"/>
          <w:szCs w:val="16"/>
          <w:lang w:val="es-CO"/>
        </w:rPr>
        <w:t>Certificaciones de 4 de septiembre de 2003. Investigación Policial 023/83-Volumen 6-Parte II. Anexo 3a de las Observaciones adicionales presentadas por el Estado ante la CIDH el 23 de octubre de 2013. Páginas 196-199; Anexo 74.</w:t>
      </w:r>
      <w:r w:rsidRPr="006443E9">
        <w:rPr>
          <w:sz w:val="16"/>
          <w:szCs w:val="16"/>
          <w:lang w:val="es-CO"/>
        </w:rPr>
        <w:t xml:space="preserve"> </w:t>
      </w:r>
      <w:r w:rsidRPr="006443E9">
        <w:rPr>
          <w:rFonts w:ascii="Cambria" w:hAnsi="Cambria"/>
          <w:sz w:val="16"/>
          <w:szCs w:val="16"/>
          <w:lang w:val="es-CO"/>
        </w:rPr>
        <w:t>Orden de detención, 3 de mayo de 2005. Investigación Policial 023/83-Volumen 6-Parte II. Anexo 3a de las Observaciones adicionales presentadas por el Estado ante la CIDH el 23 de octubre de 2013. Páginas 206-207; Anexo 75.</w:t>
      </w:r>
      <w:r w:rsidRPr="006443E9">
        <w:rPr>
          <w:sz w:val="16"/>
          <w:szCs w:val="16"/>
          <w:lang w:val="es-CO"/>
        </w:rPr>
        <w:t xml:space="preserve"> </w:t>
      </w:r>
      <w:r w:rsidRPr="006443E9">
        <w:rPr>
          <w:rFonts w:ascii="Cambria" w:hAnsi="Cambria"/>
          <w:sz w:val="16"/>
          <w:szCs w:val="16"/>
          <w:lang w:val="es-CO"/>
        </w:rPr>
        <w:t>Orden de detención, 24 de agosto de 2006. Investigación Policial 023/83-Volumen 6-Parte II. Anexo 3a de las Observaciones adicionales presentadas por el Estado ante la CIDH el 23 de octubre de 2013. Página 216; Anexo 76.</w:t>
      </w:r>
      <w:r w:rsidRPr="006443E9">
        <w:rPr>
          <w:sz w:val="16"/>
          <w:szCs w:val="16"/>
          <w:lang w:val="es-CO"/>
        </w:rPr>
        <w:t xml:space="preserve"> </w:t>
      </w:r>
      <w:r w:rsidRPr="006443E9">
        <w:rPr>
          <w:rFonts w:ascii="Cambria" w:hAnsi="Cambria"/>
          <w:sz w:val="16"/>
          <w:szCs w:val="16"/>
          <w:lang w:val="es-CO"/>
        </w:rPr>
        <w:t>Orden de detención, 20 de abril de 2007. Investigación Policial 023/83-Volumen 6-Parte II. Anexo 3a de las Observaciones adicionales presentadas por el Estado ante la CIDH el 23 de octubre de 2013. Página 221; Anexo 77. Orden de detención, 23 de mayo de 2007. Investigación Policial 023/83-Volumen 6-Parte II. Anexo 3a de las Observaciones adicionales presentadas por el Estado ante la CIDH el 23 de octubre de 2013. Páginas 224-225.</w:t>
      </w:r>
    </w:p>
  </w:footnote>
  <w:footnote w:id="83">
    <w:p w14:paraId="6559F53A" w14:textId="77777777" w:rsidR="009D3775" w:rsidRPr="006443E9" w:rsidRDefault="009D3775" w:rsidP="0025209D">
      <w:pPr>
        <w:pStyle w:val="FootnoteText"/>
        <w:ind w:firstLine="708"/>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78.</w:t>
      </w:r>
      <w:r w:rsidRPr="006443E9">
        <w:rPr>
          <w:sz w:val="16"/>
          <w:szCs w:val="16"/>
          <w:lang w:val="es-CO"/>
        </w:rPr>
        <w:t xml:space="preserve"> </w:t>
      </w:r>
      <w:r w:rsidRPr="006443E9">
        <w:rPr>
          <w:rFonts w:ascii="Cambria" w:hAnsi="Cambria"/>
          <w:sz w:val="16"/>
          <w:szCs w:val="16"/>
          <w:lang w:val="es-CO"/>
        </w:rPr>
        <w:t>Orden de detención, 14 de abril de 1999. Investigación Policial 023/83-Volumen 6-Parte II. Anexo 3a de las Observaciones adicionales presentadas por el Estado ante la CIDH el 23 de octubre de 2013. Página 169; Anexo 79.</w:t>
      </w:r>
      <w:r w:rsidRPr="006443E9">
        <w:rPr>
          <w:sz w:val="16"/>
          <w:szCs w:val="16"/>
          <w:lang w:val="es-CO"/>
        </w:rPr>
        <w:t xml:space="preserve"> </w:t>
      </w:r>
      <w:r w:rsidRPr="006443E9">
        <w:rPr>
          <w:rFonts w:ascii="Cambria" w:hAnsi="Cambria"/>
          <w:sz w:val="16"/>
          <w:szCs w:val="16"/>
          <w:lang w:val="es-CO"/>
        </w:rPr>
        <w:t>Orden de detención, 1 de junio de 2001. Investigación Policial 023/83-Volumen 6-Parte II. Anexo 3a de las Observaciones adicionales presentadas por el Estado ante la CIDH el 23 de octubre de 2013. Página 191; Anexo 73.</w:t>
      </w:r>
      <w:r w:rsidRPr="006443E9">
        <w:rPr>
          <w:sz w:val="16"/>
          <w:szCs w:val="16"/>
          <w:lang w:val="es-CO"/>
        </w:rPr>
        <w:t xml:space="preserve"> </w:t>
      </w:r>
      <w:r w:rsidRPr="006443E9">
        <w:rPr>
          <w:rFonts w:ascii="Cambria" w:hAnsi="Cambria"/>
          <w:sz w:val="16"/>
          <w:szCs w:val="16"/>
          <w:lang w:val="es-CO"/>
        </w:rPr>
        <w:t>Certificaciones de 4 de septiembre de 2003. Investigación Policial 023/83-Volumen 6-Parte II. Anexo 3a de las Observaciones adicionales presentadas por el Estado ante la CIDH el 23 de octubre de 2013. Páginas 196-199; Anexo 74.</w:t>
      </w:r>
      <w:r w:rsidRPr="006443E9">
        <w:rPr>
          <w:sz w:val="16"/>
          <w:szCs w:val="16"/>
          <w:lang w:val="es-CO"/>
        </w:rPr>
        <w:t xml:space="preserve"> </w:t>
      </w:r>
      <w:r w:rsidRPr="006443E9">
        <w:rPr>
          <w:rFonts w:ascii="Cambria" w:hAnsi="Cambria"/>
          <w:sz w:val="16"/>
          <w:szCs w:val="16"/>
          <w:lang w:val="es-CO"/>
        </w:rPr>
        <w:t>Orden de detención, 3 de mayo de 2005. Investigación Policial 023/83-Volumen 6-Parte II. Anexo 3a de las Observaciones adicionales presentadas por el Estado ante la CIDH el 23 de octubre de 2013. Páginas 206-207.; Anexo 75.</w:t>
      </w:r>
      <w:r w:rsidRPr="006443E9">
        <w:rPr>
          <w:sz w:val="16"/>
          <w:szCs w:val="16"/>
          <w:lang w:val="es-CO"/>
        </w:rPr>
        <w:t xml:space="preserve"> </w:t>
      </w:r>
      <w:r w:rsidRPr="006443E9">
        <w:rPr>
          <w:rFonts w:ascii="Cambria" w:hAnsi="Cambria"/>
          <w:sz w:val="16"/>
          <w:szCs w:val="16"/>
          <w:lang w:val="es-CO"/>
        </w:rPr>
        <w:t>Orden de detención, 24 de agosto de 2006. Investigación Policial 023/83-Volumen 6-Parte II. Anexo 3a de las Observaciones adicionales presentadas por el Estado ante la CIDH el 23 de octubre de 2013. Página 216; Anexo 73.</w:t>
      </w:r>
      <w:r w:rsidRPr="006443E9">
        <w:rPr>
          <w:sz w:val="16"/>
          <w:szCs w:val="16"/>
          <w:lang w:val="es-CO"/>
        </w:rPr>
        <w:t xml:space="preserve"> </w:t>
      </w:r>
      <w:r w:rsidRPr="006443E9">
        <w:rPr>
          <w:rFonts w:ascii="Cambria" w:hAnsi="Cambria"/>
          <w:sz w:val="16"/>
          <w:szCs w:val="16"/>
          <w:lang w:val="es-CO"/>
        </w:rPr>
        <w:t>Certificaciones de 4 de septiembre de 2003. Investigación Policial 023/83-Volumen 6-Parte II. Anexo 3a de las Observaciones adicionales presentadas por el Estado ante la CIDH el 23 de octubre de 2013. Páginas 196-199; Anexo 74.</w:t>
      </w:r>
      <w:r w:rsidRPr="006443E9">
        <w:rPr>
          <w:sz w:val="16"/>
          <w:szCs w:val="16"/>
          <w:lang w:val="es-CO"/>
        </w:rPr>
        <w:t xml:space="preserve"> </w:t>
      </w:r>
      <w:r w:rsidRPr="006443E9">
        <w:rPr>
          <w:rFonts w:ascii="Cambria" w:hAnsi="Cambria"/>
          <w:sz w:val="16"/>
          <w:szCs w:val="16"/>
          <w:lang w:val="es-CO"/>
        </w:rPr>
        <w:t>Orden de detención, 3 de mayo de 2005. Investigación Policial 023/83-Volumen 6-Parte II. Anexo 3a de las Observaciones adicionales presentadas por el Estado ante la CIDH el 23 de octubre de 2013. Páginas 206-207.; Anexo 75.</w:t>
      </w:r>
      <w:r w:rsidRPr="006443E9">
        <w:rPr>
          <w:sz w:val="16"/>
          <w:szCs w:val="16"/>
          <w:lang w:val="es-CO"/>
        </w:rPr>
        <w:t xml:space="preserve"> </w:t>
      </w:r>
      <w:r w:rsidRPr="006443E9">
        <w:rPr>
          <w:rFonts w:ascii="Cambria" w:hAnsi="Cambria"/>
          <w:sz w:val="16"/>
          <w:szCs w:val="16"/>
          <w:lang w:val="es-CO"/>
        </w:rPr>
        <w:t>Orden de detención, 24 de agosto de 2006. Investigación Policial 023/83-Volumen 6-Parte II. Anexo 3a de las Observaciones adicionales presentadas por el Estado ante la CIDH el 23 de octubre de 2013. Página 216; Anexo 76.</w:t>
      </w:r>
      <w:r w:rsidRPr="006443E9">
        <w:rPr>
          <w:sz w:val="16"/>
          <w:szCs w:val="16"/>
          <w:lang w:val="es-CO"/>
        </w:rPr>
        <w:t xml:space="preserve"> </w:t>
      </w:r>
      <w:r w:rsidRPr="006443E9">
        <w:rPr>
          <w:rFonts w:ascii="Cambria" w:hAnsi="Cambria"/>
          <w:sz w:val="16"/>
          <w:szCs w:val="16"/>
          <w:lang w:val="es-CO"/>
        </w:rPr>
        <w:t>Orden de detención, 20 de abril de 2007. Investigación Policial 023/83-Volumen 6-Parte II. Anexo 3a de las Observaciones adicionales presentadas por el Estado ante la CIDH el 23 de octubre de 2013. Página 221; Anexo 77. Orden de detención, 23 de mayo de 2007. Investigación Policial 023/83-Volumen 6-Parte II. Anexo 3a de las Observaciones adicionales presentadas por el Estado ante la CIDH el 23 de octubre de 2013. Páginas 224-225.</w:t>
      </w:r>
    </w:p>
  </w:footnote>
  <w:footnote w:id="84">
    <w:p w14:paraId="47218EAE" w14:textId="77777777" w:rsidR="009D3775" w:rsidRPr="006443E9" w:rsidRDefault="009D3775" w:rsidP="0025209D">
      <w:pPr>
        <w:pStyle w:val="FootnoteText"/>
        <w:ind w:firstLine="720"/>
        <w:jc w:val="both"/>
        <w:rPr>
          <w:rFonts w:ascii="Cambria" w:hAnsi="Cambria"/>
          <w:sz w:val="16"/>
          <w:szCs w:val="16"/>
          <w:lang w:val="es-CO"/>
        </w:rPr>
      </w:pPr>
      <w:r w:rsidRPr="006443E9">
        <w:rPr>
          <w:rStyle w:val="FootnoteReference"/>
          <w:rFonts w:ascii="Cambria" w:hAnsi="Cambria"/>
          <w:sz w:val="16"/>
          <w:szCs w:val="16"/>
        </w:rPr>
        <w:footnoteRef/>
      </w:r>
      <w:r w:rsidRPr="006443E9">
        <w:rPr>
          <w:rFonts w:ascii="Cambria" w:hAnsi="Cambria"/>
          <w:sz w:val="16"/>
          <w:szCs w:val="16"/>
          <w:lang w:val="es-VE"/>
        </w:rPr>
        <w:t xml:space="preserve"> Anexo 81. Sentencia de 10 de diciembre de 2009. Investigación Policial 023/83-Volumen 6-Parte II. Anexo 3a de las Observaciones adicionales presentadas por el Estado ante la CIDH el 23 de octubre de 2013. Páginas 230-231.</w:t>
      </w:r>
    </w:p>
  </w:footnote>
  <w:footnote w:id="85">
    <w:p w14:paraId="6D6B9687" w14:textId="77777777" w:rsidR="009D3775" w:rsidRPr="006443E9" w:rsidRDefault="009D3775" w:rsidP="0025209D">
      <w:pPr>
        <w:pStyle w:val="FootnoteText"/>
        <w:ind w:firstLine="720"/>
        <w:jc w:val="both"/>
        <w:rPr>
          <w:rFonts w:ascii="Cambria" w:hAnsi="Cambria"/>
          <w:sz w:val="16"/>
          <w:szCs w:val="16"/>
          <w:lang w:val="pt-BR"/>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82. Certificado de tránsito en juzgado, 9 de enero de 2010. Investigación Policial 023/83-Volumen 6-Parte II. Anexo 3a de las Observaciones adicionales presentadas por el Estado ante la CIDH el 23 de octubre de 2013. </w:t>
      </w:r>
      <w:r w:rsidRPr="006443E9">
        <w:rPr>
          <w:rFonts w:ascii="Cambria" w:hAnsi="Cambria"/>
          <w:sz w:val="16"/>
          <w:szCs w:val="16"/>
          <w:lang w:val="pt-BR"/>
        </w:rPr>
        <w:t>Página 233.</w:t>
      </w:r>
    </w:p>
  </w:footnote>
  <w:footnote w:id="86">
    <w:p w14:paraId="537AB9C5" w14:textId="77777777" w:rsidR="009D3775" w:rsidRPr="006443E9" w:rsidRDefault="009D3775" w:rsidP="0025209D">
      <w:pPr>
        <w:pStyle w:val="FootnoteText"/>
        <w:ind w:firstLine="720"/>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pt-BR"/>
        </w:rPr>
        <w:t xml:space="preserve"> Anexo 83. Declaración testimonial de Maria do Socorro Neves de Araújo, 1 de agosto de 1986. </w:t>
      </w:r>
      <w:r w:rsidRPr="006443E9">
        <w:rPr>
          <w:rFonts w:ascii="Cambria" w:hAnsi="Cambria"/>
          <w:sz w:val="16"/>
          <w:szCs w:val="16"/>
          <w:lang w:val="es-CO"/>
        </w:rPr>
        <w:t>Anexo 10 de la petición inicial presentada por los peticionarios ante la CIDH el 7 de octubre de 2000.</w:t>
      </w:r>
    </w:p>
  </w:footnote>
  <w:footnote w:id="87">
    <w:p w14:paraId="263596CE" w14:textId="77777777" w:rsidR="009D3775" w:rsidRPr="006443E9" w:rsidRDefault="009D3775" w:rsidP="0025209D">
      <w:pPr>
        <w:pStyle w:val="FootnoteText"/>
        <w:ind w:firstLine="720"/>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pt-BR"/>
        </w:rPr>
        <w:t xml:space="preserve"> Anexo 83. Declaración testimonial de Maria do Socorro Neves de Araújo, 1 de agosto de 1986. </w:t>
      </w:r>
      <w:r w:rsidRPr="006443E9">
        <w:rPr>
          <w:rFonts w:ascii="Cambria" w:hAnsi="Cambria"/>
          <w:sz w:val="16"/>
          <w:szCs w:val="16"/>
          <w:lang w:val="es-CO"/>
        </w:rPr>
        <w:t>Anexo 10 de la petición inicial presentada por los peticionarios ante la CIDH el 7 de octubre de 2000.</w:t>
      </w:r>
    </w:p>
  </w:footnote>
  <w:footnote w:id="88">
    <w:p w14:paraId="70E72750" w14:textId="77777777" w:rsidR="009D3775" w:rsidRPr="006443E9" w:rsidRDefault="009D3775" w:rsidP="0025209D">
      <w:pPr>
        <w:pStyle w:val="FootnoteText"/>
        <w:ind w:firstLine="720"/>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pt-BR"/>
        </w:rPr>
        <w:t xml:space="preserve"> Anexo 83. Declaración testimonial de Maria do Socorro Neves de Araújo, 1 de agosto de 1986. </w:t>
      </w:r>
      <w:r w:rsidRPr="006443E9">
        <w:rPr>
          <w:rFonts w:ascii="Cambria" w:hAnsi="Cambria"/>
          <w:sz w:val="16"/>
          <w:szCs w:val="16"/>
          <w:lang w:val="es-CO"/>
        </w:rPr>
        <w:t>Anexo 10 de la petición inicial presentada por los peticionarios ante la CIDH el 7 de octubre de 2000.</w:t>
      </w:r>
    </w:p>
  </w:footnote>
  <w:footnote w:id="89">
    <w:p w14:paraId="6EDC1707" w14:textId="77777777" w:rsidR="009D3775" w:rsidRPr="006443E9" w:rsidRDefault="009D3775" w:rsidP="0025209D">
      <w:pPr>
        <w:pStyle w:val="FootnoteText"/>
        <w:ind w:firstLine="720"/>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pt-BR"/>
        </w:rPr>
        <w:t xml:space="preserve"> Anexo 83. Declaración testimonial de Maria do Socorro Neves de Araújo, 1 de agosto de 1986. </w:t>
      </w:r>
      <w:r w:rsidRPr="006443E9">
        <w:rPr>
          <w:rFonts w:ascii="Cambria" w:hAnsi="Cambria"/>
          <w:sz w:val="16"/>
          <w:szCs w:val="16"/>
          <w:lang w:val="es-CO"/>
        </w:rPr>
        <w:t>Anexo 10 de la petición inicial presentada por los peticionarios ante la CIDH el 7 de octubre de 2000.</w:t>
      </w:r>
    </w:p>
  </w:footnote>
  <w:footnote w:id="90">
    <w:p w14:paraId="0C6C6833" w14:textId="77777777" w:rsidR="009D3775" w:rsidRPr="006443E9" w:rsidRDefault="009D3775" w:rsidP="0025209D">
      <w:pPr>
        <w:pStyle w:val="FootnoteText"/>
        <w:ind w:firstLine="720"/>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pt-BR"/>
        </w:rPr>
        <w:t xml:space="preserve"> Anexo 84. “Pistoleiro morto é acusado de matar Margarida” – Noticia publicada en el periódico “Diário da Borborema”, 29 de julio de 1987. </w:t>
      </w:r>
      <w:r w:rsidRPr="006443E9">
        <w:rPr>
          <w:rFonts w:ascii="Cambria" w:hAnsi="Cambria"/>
          <w:sz w:val="16"/>
          <w:szCs w:val="16"/>
          <w:lang w:val="es-CO"/>
        </w:rPr>
        <w:t>Anexo 13 de la petición inicial presentada por los peticionarios ante la CIDH el 7 de octubre de 2000.</w:t>
      </w:r>
    </w:p>
  </w:footnote>
  <w:footnote w:id="91">
    <w:p w14:paraId="35E61B5C" w14:textId="77777777" w:rsidR="009D3775" w:rsidRPr="006443E9" w:rsidRDefault="009D3775" w:rsidP="0025209D">
      <w:pPr>
        <w:pStyle w:val="FootnoteText"/>
        <w:ind w:firstLine="708"/>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88. Certificado de Defunción, 10 de diciembre de 1986. Volumen 1-Parte I. Anexo 3a de las Observaciones adicionales presentadas por el Estado ante la CIDH el 23 de octubre de 2013. Página 188.</w:t>
      </w:r>
    </w:p>
  </w:footnote>
  <w:footnote w:id="92">
    <w:p w14:paraId="57B4600D" w14:textId="77777777" w:rsidR="009D3775" w:rsidRPr="006443E9" w:rsidRDefault="009D3775" w:rsidP="0025209D">
      <w:pPr>
        <w:pStyle w:val="FootnoteText"/>
        <w:ind w:firstLine="720"/>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20. Investigaciones complementarias a la Investigación Policial 023/83, 31 de octubre de 1991. Anexo 12 de la petición inicial presentada por los peticionarios ante la CIDH el 7 de octubre de 2000.</w:t>
      </w:r>
    </w:p>
  </w:footnote>
  <w:footnote w:id="93">
    <w:p w14:paraId="3DD5C570" w14:textId="77777777" w:rsidR="009D3775" w:rsidRPr="006443E9" w:rsidRDefault="009D3775" w:rsidP="0025209D">
      <w:pPr>
        <w:pStyle w:val="FootnoteText"/>
        <w:ind w:firstLine="720"/>
        <w:jc w:val="both"/>
        <w:rPr>
          <w:rFonts w:ascii="Cambria" w:hAnsi="Cambria"/>
          <w:b/>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VE"/>
        </w:rPr>
        <w:t xml:space="preserve"> Anexo 85. Testimonios rendidos en el marco de la Investigación Policial, 31 de octubre de 1991. Volumen 1 Parte I. Anexo 3a de las Observaciones adicionales presentadas por el Estado ante la CIDH el 23 de octubre de 2013. Páginas 48-51.</w:t>
      </w:r>
    </w:p>
  </w:footnote>
  <w:footnote w:id="94">
    <w:p w14:paraId="4D04370C" w14:textId="77777777" w:rsidR="009D3775" w:rsidRPr="006443E9" w:rsidRDefault="009D3775" w:rsidP="0025209D">
      <w:pPr>
        <w:pStyle w:val="FootnoteText"/>
        <w:ind w:firstLine="720"/>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VE"/>
        </w:rPr>
        <w:t xml:space="preserve"> Anexo 35. Declaración testimonial de Djailton Hugo dos Santos, 17 de octubre de 1983. Investigación Policial 023/83-Volumen 1. Anexo 3a de las Observaciones adicionales presentadas por el Estado ante la CIDH el 23 de octubre de 2013. Página 219-220.</w:t>
      </w:r>
    </w:p>
  </w:footnote>
  <w:footnote w:id="95">
    <w:p w14:paraId="35C0ADA3" w14:textId="77777777" w:rsidR="009D3775" w:rsidRPr="006443E9" w:rsidRDefault="009D3775" w:rsidP="0025209D">
      <w:pPr>
        <w:pStyle w:val="FootnoteText"/>
        <w:ind w:firstLine="720"/>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20. Investigaciones complementarios a la Investigación Policial 023/83, 31 de octubre de 1991. Anexo 12 de la petición inicial presentada por los peticionarios ante la CIDH el 7 de octubre de 2000.</w:t>
      </w:r>
    </w:p>
  </w:footnote>
  <w:footnote w:id="96">
    <w:p w14:paraId="3BD21DBB" w14:textId="77777777" w:rsidR="009D3775" w:rsidRPr="006443E9" w:rsidRDefault="009D3775" w:rsidP="0025209D">
      <w:pPr>
        <w:pStyle w:val="FootnoteText"/>
        <w:ind w:firstLine="720"/>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20. Investigaciones complementarios a la Investigación Policial 023/83, 31 de octubre de 1991. Anexo 12 de la petición inicial presentada por los peticionarios ante la CIDH el 7 de octubre de 2000.</w:t>
      </w:r>
    </w:p>
  </w:footnote>
  <w:footnote w:id="97">
    <w:p w14:paraId="06CB6EC5" w14:textId="77777777" w:rsidR="009D3775" w:rsidRPr="006443E9" w:rsidRDefault="009D3775" w:rsidP="0025209D">
      <w:pPr>
        <w:pStyle w:val="FootnoteText"/>
        <w:ind w:firstLine="720"/>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87. Decisión interlocutoria posibilitando la acusación de 4 de diciembre de 1991. Investigación Policial 023/83-Volumen 5. Anexo 3a de las observaciones adicionales presentadas por el Estado ante la CIDH el 23 de octubre de 2013. Página 122.</w:t>
      </w:r>
    </w:p>
  </w:footnote>
  <w:footnote w:id="98">
    <w:p w14:paraId="45653B41" w14:textId="77777777" w:rsidR="009D3775" w:rsidRPr="006443E9" w:rsidRDefault="009D3775" w:rsidP="0025209D">
      <w:pPr>
        <w:pStyle w:val="FootnoteText"/>
        <w:ind w:firstLine="720"/>
        <w:rPr>
          <w:sz w:val="16"/>
          <w:szCs w:val="16"/>
          <w:lang w:val="es-CO"/>
        </w:rPr>
      </w:pPr>
      <w:r w:rsidRPr="006443E9">
        <w:rPr>
          <w:rStyle w:val="FootnoteReference"/>
          <w:sz w:val="16"/>
          <w:szCs w:val="16"/>
        </w:rPr>
        <w:footnoteRef/>
      </w:r>
      <w:r w:rsidRPr="006443E9">
        <w:rPr>
          <w:sz w:val="16"/>
          <w:szCs w:val="16"/>
          <w:vertAlign w:val="superscript"/>
          <w:lang w:val="es-CO"/>
        </w:rPr>
        <w:t xml:space="preserve"> </w:t>
      </w:r>
      <w:r w:rsidRPr="006443E9">
        <w:rPr>
          <w:rFonts w:ascii="Cambria" w:hAnsi="Cambria"/>
          <w:sz w:val="16"/>
          <w:szCs w:val="16"/>
          <w:lang w:val="es-CO"/>
        </w:rPr>
        <w:t>Anexo 89. Informe Final del Delegado de Policía Civil, 12 de diciembre de 1991. Investigación Policial 023/83-Volumen 5. Anexo 3a de las Observaciones adicionales presentadas por el Estado ante la CIDH el 23 de octubre de 2013. Página 145.</w:t>
      </w:r>
    </w:p>
  </w:footnote>
  <w:footnote w:id="99">
    <w:p w14:paraId="579F1596" w14:textId="77777777" w:rsidR="009D3775" w:rsidRPr="006443E9" w:rsidRDefault="009D3775" w:rsidP="0025209D">
      <w:pPr>
        <w:pStyle w:val="FootnoteText"/>
        <w:ind w:firstLine="720"/>
        <w:jc w:val="both"/>
        <w:rPr>
          <w:rFonts w:ascii="Cambria" w:hAnsi="Cambria"/>
          <w:b/>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90. Denuncia ofrecida por el Ministerio Público a la Comarca de Alagoa Grande, 1 de agosto de 1995. Volumen 4. Anexo 3a de las observaciones adicionales presentadas por el Estado ante la CIDH el 23 de octubre de 2013. Páginas 40-44.</w:t>
      </w:r>
    </w:p>
  </w:footnote>
  <w:footnote w:id="100">
    <w:p w14:paraId="0D0C07B1" w14:textId="77777777" w:rsidR="009D3775" w:rsidRPr="006443E9" w:rsidRDefault="009D3775" w:rsidP="0025209D">
      <w:pPr>
        <w:pStyle w:val="FootnoteText"/>
        <w:ind w:firstLine="720"/>
        <w:jc w:val="both"/>
        <w:rPr>
          <w:rFonts w:ascii="Cambria" w:hAnsi="Cambria"/>
          <w:b/>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91. Decreto de prisión preventiva, 8 de agosto de 1995. Volumen 1-Parte I. Anexo 3a de las observaciones adicionales presentadas por el Estado ante la CIDH el 23 de octubre de 2013. Páginas 297-306.</w:t>
      </w:r>
    </w:p>
  </w:footnote>
  <w:footnote w:id="101">
    <w:p w14:paraId="218FCFDE" w14:textId="77777777" w:rsidR="009D3775" w:rsidRPr="006443E9" w:rsidRDefault="009D3775" w:rsidP="0025209D">
      <w:pPr>
        <w:pStyle w:val="FootnoteText"/>
        <w:ind w:firstLine="708"/>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92. Sentencia de acusación, 15 de febrero de 1996. Volumen 3-Parte III. Anexo 3a de las Observaciones adicionales presentadas por el Estado ante la CIDH el 23 de octubre de 2013. Páginas 177-183.</w:t>
      </w:r>
    </w:p>
  </w:footnote>
  <w:footnote w:id="102">
    <w:p w14:paraId="252644D4" w14:textId="77777777" w:rsidR="009D3775" w:rsidRPr="006443E9" w:rsidRDefault="009D3775" w:rsidP="0025209D">
      <w:pPr>
        <w:pStyle w:val="FootnoteText"/>
        <w:ind w:firstLine="708"/>
        <w:jc w:val="both"/>
        <w:rPr>
          <w:rFonts w:ascii="Cambria" w:hAnsi="Cambria"/>
          <w:sz w:val="16"/>
          <w:szCs w:val="16"/>
          <w:lang w:val="es-CO"/>
        </w:rPr>
      </w:pPr>
      <w:r w:rsidRPr="006443E9">
        <w:rPr>
          <w:rStyle w:val="FootnoteReference"/>
          <w:rFonts w:ascii="Cambria" w:hAnsi="Cambria"/>
          <w:sz w:val="16"/>
          <w:szCs w:val="16"/>
        </w:rPr>
        <w:footnoteRef/>
      </w:r>
      <w:r w:rsidRPr="006443E9">
        <w:rPr>
          <w:rFonts w:ascii="Cambria" w:hAnsi="Cambria"/>
          <w:sz w:val="16"/>
          <w:szCs w:val="16"/>
          <w:lang w:val="es-VE"/>
        </w:rPr>
        <w:t xml:space="preserve"> Anexo 93. Sentencia de Desaforamiento. Volumen 4. Anexo 3a de las Observaciones adicionales presentadas por el Estado ante la CIDH el 23 de octubre de 2013. Páginas 69- 70.</w:t>
      </w:r>
    </w:p>
  </w:footnote>
  <w:footnote w:id="103">
    <w:p w14:paraId="482B2FF0" w14:textId="77777777" w:rsidR="009D3775" w:rsidRPr="006443E9" w:rsidRDefault="009D3775" w:rsidP="0025209D">
      <w:pPr>
        <w:pStyle w:val="FootnoteText"/>
        <w:ind w:firstLine="708"/>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94. Oficio No. 161/2000, 15 de marzo de 2000. Anexo 15 de la petición inicial presentada por los peticionarios ante la CIDH el 7 de octubre de 2000.</w:t>
      </w:r>
    </w:p>
  </w:footnote>
  <w:footnote w:id="104">
    <w:p w14:paraId="3BDAE97F" w14:textId="77777777" w:rsidR="009D3775" w:rsidRPr="006443E9" w:rsidRDefault="009D3775" w:rsidP="0025209D">
      <w:pPr>
        <w:pStyle w:val="FootnoteText"/>
        <w:ind w:firstLine="708"/>
        <w:jc w:val="both"/>
        <w:rPr>
          <w:rFonts w:ascii="Cambria" w:hAnsi="Cambria"/>
          <w:sz w:val="16"/>
          <w:szCs w:val="16"/>
          <w:lang w:val="es-CO"/>
        </w:rPr>
      </w:pPr>
      <w:r w:rsidRPr="006443E9">
        <w:rPr>
          <w:rStyle w:val="FootnoteReference"/>
          <w:rFonts w:ascii="Cambria" w:hAnsi="Cambria"/>
          <w:sz w:val="16"/>
          <w:szCs w:val="16"/>
        </w:rPr>
        <w:footnoteRef/>
      </w:r>
      <w:r w:rsidRPr="006443E9">
        <w:rPr>
          <w:rFonts w:ascii="Cambria" w:hAnsi="Cambria"/>
          <w:sz w:val="16"/>
          <w:szCs w:val="16"/>
          <w:lang w:val="es-VE"/>
        </w:rPr>
        <w:t xml:space="preserve"> Anexo 95. Sentencia de la Cámara Penal del Tribunal de Justicia de Paraíba, 24 de septiembre de 1998. Volumen 6-Parte II. Anexo 3a de las Observaciones adicionales presentadas por el Estado ante la CIDH el 23 de octubre de 2013. Página 22.</w:t>
      </w:r>
    </w:p>
  </w:footnote>
  <w:footnote w:id="105">
    <w:p w14:paraId="583C88C6" w14:textId="77777777" w:rsidR="009D3775" w:rsidRPr="006443E9" w:rsidRDefault="009D3775" w:rsidP="0025209D">
      <w:pPr>
        <w:pStyle w:val="FootnoteText"/>
        <w:ind w:firstLine="708"/>
        <w:jc w:val="both"/>
        <w:rPr>
          <w:rFonts w:ascii="Cambria" w:hAnsi="Cambria"/>
          <w:sz w:val="16"/>
          <w:szCs w:val="16"/>
          <w:lang w:val="es-CO"/>
        </w:rPr>
      </w:pPr>
      <w:r w:rsidRPr="006443E9">
        <w:rPr>
          <w:rStyle w:val="FootnoteReference"/>
          <w:rFonts w:ascii="Cambria" w:hAnsi="Cambria"/>
          <w:sz w:val="16"/>
          <w:szCs w:val="16"/>
        </w:rPr>
        <w:footnoteRef/>
      </w:r>
      <w:r w:rsidRPr="006443E9">
        <w:rPr>
          <w:rFonts w:ascii="Cambria" w:hAnsi="Cambria"/>
          <w:sz w:val="16"/>
          <w:szCs w:val="16"/>
          <w:lang w:val="es-VE"/>
        </w:rPr>
        <w:t xml:space="preserve"> Anexo 96. Acta de Sorteo del Jurado, 1 de noviembre de 2000. Volumen 7. Anexo 3a de las Observaciones adicionales presentadas por el Estado ante la CIDH el 23 de octubre de 2013. Página 258.</w:t>
      </w:r>
    </w:p>
  </w:footnote>
  <w:footnote w:id="106">
    <w:p w14:paraId="2557F364" w14:textId="77777777" w:rsidR="009D3775" w:rsidRPr="006443E9" w:rsidRDefault="009D3775" w:rsidP="0025209D">
      <w:pPr>
        <w:pStyle w:val="FootnoteText"/>
        <w:ind w:firstLine="708"/>
        <w:jc w:val="both"/>
        <w:rPr>
          <w:rFonts w:ascii="Cambria" w:hAnsi="Cambria"/>
          <w:sz w:val="16"/>
          <w:szCs w:val="16"/>
          <w:lang w:val="es-CO"/>
        </w:rPr>
      </w:pPr>
      <w:r w:rsidRPr="006443E9">
        <w:rPr>
          <w:rStyle w:val="FootnoteReference"/>
          <w:rFonts w:ascii="Cambria" w:hAnsi="Cambria"/>
          <w:sz w:val="16"/>
          <w:szCs w:val="16"/>
        </w:rPr>
        <w:footnoteRef/>
      </w:r>
      <w:r w:rsidRPr="006443E9">
        <w:rPr>
          <w:rFonts w:ascii="Cambria" w:hAnsi="Cambria"/>
          <w:sz w:val="16"/>
          <w:szCs w:val="16"/>
          <w:lang w:val="es-VE"/>
        </w:rPr>
        <w:t xml:space="preserve"> Anexo 97. Sentencia de prescripción a favor de Joao Carlos de Melo, 2 de agosto de 2000. Volumen 9-Parte I. Anexo 3a de las Observaciones adicionales presentadas por el Estado ante la CIDH el 23 de octubre de 2013. Páginas 26-28.</w:t>
      </w:r>
    </w:p>
  </w:footnote>
  <w:footnote w:id="107">
    <w:p w14:paraId="3A21068A" w14:textId="77777777" w:rsidR="009D3775" w:rsidRPr="006443E9" w:rsidRDefault="009D3775" w:rsidP="0025209D">
      <w:pPr>
        <w:pStyle w:val="FootnoteText"/>
        <w:ind w:firstLine="720"/>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98. Sentencia del Tribunal de Jurados de la Comarca de Alagoa Grande, 18 de junio de 2001. Volumen 9-Parte I. Anexo 3a de las Observaciones adicionales presentadas por el Estado ante la CIDH el 23 de octubre de 2013. Página 586.</w:t>
      </w:r>
    </w:p>
  </w:footnote>
  <w:footnote w:id="108">
    <w:p w14:paraId="2004B35A" w14:textId="77777777" w:rsidR="009D3775" w:rsidRPr="006443E9" w:rsidRDefault="009D3775" w:rsidP="0025209D">
      <w:pPr>
        <w:pStyle w:val="FootnoteText"/>
        <w:ind w:firstLine="708"/>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99. Recurso de apelación, 22 de junio de 2001. Volumen 10. Anexo 3a de las observaciones adicionales presentadas por el Estado ante la CIDH el 23 de octubre de 2013. Página 4.</w:t>
      </w:r>
    </w:p>
  </w:footnote>
  <w:footnote w:id="109">
    <w:p w14:paraId="6F6147A7" w14:textId="77777777" w:rsidR="009D3775" w:rsidRPr="006443E9" w:rsidRDefault="009D3775" w:rsidP="0025209D">
      <w:pPr>
        <w:pStyle w:val="FootnoteText"/>
        <w:ind w:firstLine="708"/>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100. Decisión del Tribunal de Justicia de Paraíba, 20 de diciembre de 2001. Volumen 10. Anexo 3a de las observaciones adicionales presentadas por el Estado ante la CIDH el 23 de octubre de 2013. Página 152-204.</w:t>
      </w:r>
    </w:p>
  </w:footnote>
  <w:footnote w:id="110">
    <w:p w14:paraId="0206C835" w14:textId="77777777" w:rsidR="009D3775" w:rsidRPr="006443E9" w:rsidRDefault="009D3775" w:rsidP="0025209D">
      <w:pPr>
        <w:pStyle w:val="FootnoteText"/>
        <w:ind w:firstLine="720"/>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101. Ementa y juicio del Habeas Corpus nº 21.503 – PB (2002/0039224-0), 12 de noviembre de 2002. Anexo a las observaciones adicionales presentadas por los peticionarios ante la CIDH el 17 de noviembre de 2006.</w:t>
      </w:r>
    </w:p>
  </w:footnote>
  <w:footnote w:id="111">
    <w:p w14:paraId="593B5A84" w14:textId="77777777" w:rsidR="009D3775" w:rsidRPr="006443E9" w:rsidRDefault="009D3775" w:rsidP="0025209D">
      <w:pPr>
        <w:pStyle w:val="FootnoteText"/>
        <w:ind w:firstLine="720"/>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102. Voto del Ministro Relator Gilson Dipp, 12 de noviembre de 2002. Anexo a las observaciones adicionales presentadas por los peticionarios ante la CIDH el 17 de noviembre de 2006.</w:t>
      </w:r>
    </w:p>
  </w:footnote>
  <w:footnote w:id="112">
    <w:p w14:paraId="550C5BD0" w14:textId="77777777" w:rsidR="009D3775" w:rsidRPr="006443E9" w:rsidRDefault="009D3775" w:rsidP="0025209D">
      <w:pPr>
        <w:pStyle w:val="FootnoteText"/>
        <w:ind w:firstLine="720"/>
        <w:jc w:val="both"/>
        <w:rPr>
          <w:rFonts w:ascii="Cambria" w:hAnsi="Cambria"/>
          <w:sz w:val="16"/>
          <w:szCs w:val="16"/>
          <w:lang w:val="es-CO"/>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103. Decisión del Ministro Edson Vidigal. Vice-Presidente del Superior Tribunal de Justiça, 13 de marzo de 2003. Anexo a las observaciones adicionales presentadas por los peticionarios ante la CIDH el 17 de noviembre de 2006.</w:t>
      </w:r>
    </w:p>
  </w:footnote>
  <w:footnote w:id="113">
    <w:p w14:paraId="562B0D95" w14:textId="77777777" w:rsidR="009D3775" w:rsidRPr="006443E9" w:rsidRDefault="009D3775" w:rsidP="0025209D">
      <w:pPr>
        <w:pStyle w:val="FootnoteText"/>
        <w:ind w:firstLine="720"/>
        <w:jc w:val="both"/>
        <w:rPr>
          <w:rFonts w:ascii="Cambria" w:hAnsi="Cambria"/>
          <w:sz w:val="16"/>
          <w:szCs w:val="16"/>
          <w:lang w:val="es-VE"/>
        </w:rPr>
      </w:pPr>
      <w:r w:rsidRPr="006443E9">
        <w:rPr>
          <w:rStyle w:val="FootnoteReference"/>
          <w:rFonts w:ascii="Cambria" w:hAnsi="Cambria"/>
          <w:sz w:val="16"/>
          <w:szCs w:val="16"/>
          <w:lang w:val="es-CO"/>
        </w:rPr>
        <w:footnoteRef/>
      </w:r>
      <w:r w:rsidRPr="006443E9">
        <w:rPr>
          <w:rFonts w:ascii="Cambria" w:hAnsi="Cambria"/>
          <w:sz w:val="16"/>
          <w:szCs w:val="16"/>
          <w:lang w:val="es-CO"/>
        </w:rPr>
        <w:t xml:space="preserve"> Anexo 104. Certificación de archivo, 2 de septiembre de 2003. Volumen 11-Parte II. Anexo 3a de las observaciones adicionales presentadas por el Estado ante la CIDH el 23 de octubre de 2013. Página 164.</w:t>
      </w:r>
    </w:p>
  </w:footnote>
  <w:footnote w:id="114">
    <w:p w14:paraId="4CB4F0DC" w14:textId="77777777" w:rsidR="009D3775" w:rsidRPr="006443E9" w:rsidRDefault="009D3775" w:rsidP="0025209D">
      <w:pPr>
        <w:pStyle w:val="FootnoteText"/>
        <w:ind w:firstLine="720"/>
        <w:jc w:val="both"/>
        <w:rPr>
          <w:rFonts w:ascii="Cambria" w:hAnsi="Cambria"/>
          <w:sz w:val="16"/>
          <w:szCs w:val="16"/>
          <w:lang w:val="es-ES_tradnl"/>
        </w:rPr>
      </w:pPr>
      <w:r w:rsidRPr="006443E9">
        <w:rPr>
          <w:rStyle w:val="FootnoteReference"/>
          <w:rFonts w:ascii="Cambria" w:hAnsi="Cambria"/>
          <w:sz w:val="16"/>
          <w:szCs w:val="16"/>
        </w:rPr>
        <w:footnoteRef/>
      </w:r>
      <w:r w:rsidRPr="006443E9">
        <w:rPr>
          <w:rFonts w:ascii="Cambria" w:hAnsi="Cambria"/>
          <w:sz w:val="16"/>
          <w:szCs w:val="16"/>
          <w:lang w:val="es-VE"/>
        </w:rPr>
        <w:t xml:space="preserve"> </w:t>
      </w:r>
      <w:r w:rsidRPr="006443E9">
        <w:rPr>
          <w:rFonts w:ascii="Cambria" w:hAnsi="Cambria"/>
          <w:sz w:val="16"/>
          <w:szCs w:val="16"/>
          <w:lang w:val="es-ES_tradnl"/>
        </w:rPr>
        <w:t>Anexo 105. Informe del Consejo de Defensa de los Derechos de la Persona Humana, 22 de agosto de 2001. Anexo 2 al escrito de observaciones del Estado de 11 de octubre de 2013.</w:t>
      </w:r>
    </w:p>
  </w:footnote>
  <w:footnote w:id="115">
    <w:p w14:paraId="5488F8B2" w14:textId="77777777" w:rsidR="009D3775" w:rsidRPr="006443E9" w:rsidRDefault="009D3775" w:rsidP="0025209D">
      <w:pPr>
        <w:pStyle w:val="FootnoteText"/>
        <w:ind w:firstLine="720"/>
        <w:jc w:val="both"/>
        <w:rPr>
          <w:rFonts w:ascii="Cambria" w:hAnsi="Cambria"/>
          <w:sz w:val="16"/>
          <w:szCs w:val="16"/>
          <w:lang w:val="es-ES_tradnl"/>
        </w:rPr>
      </w:pPr>
      <w:r w:rsidRPr="006443E9">
        <w:rPr>
          <w:rStyle w:val="FootnoteReference"/>
          <w:rFonts w:ascii="Cambria" w:hAnsi="Cambria"/>
          <w:sz w:val="16"/>
          <w:szCs w:val="16"/>
        </w:rPr>
        <w:footnoteRef/>
      </w:r>
      <w:r w:rsidRPr="006443E9">
        <w:rPr>
          <w:rFonts w:ascii="Cambria" w:hAnsi="Cambria"/>
          <w:sz w:val="16"/>
          <w:szCs w:val="16"/>
          <w:lang w:val="es-VE"/>
        </w:rPr>
        <w:t xml:space="preserve"> </w:t>
      </w:r>
      <w:r w:rsidRPr="006443E9">
        <w:rPr>
          <w:rFonts w:ascii="Cambria" w:hAnsi="Cambria"/>
          <w:sz w:val="16"/>
          <w:szCs w:val="16"/>
          <w:lang w:val="es-ES_tradnl"/>
        </w:rPr>
        <w:t>Anexo 105. Informe del Consejo de Defensa de los Derechos de la Persona Humana, 22 de agosto de 2001. Anexo 2 al escrito de observaciones del Estado de 11 de octubre de 2013.</w:t>
      </w:r>
    </w:p>
  </w:footnote>
  <w:footnote w:id="116">
    <w:p w14:paraId="25B99729" w14:textId="77777777" w:rsidR="009D3775" w:rsidRPr="006443E9" w:rsidRDefault="009D3775" w:rsidP="0025209D">
      <w:pPr>
        <w:pStyle w:val="FootnoteText"/>
        <w:ind w:firstLine="720"/>
        <w:jc w:val="both"/>
        <w:rPr>
          <w:rFonts w:ascii="Cambria" w:hAnsi="Cambria"/>
          <w:sz w:val="16"/>
          <w:szCs w:val="16"/>
          <w:lang w:val="es-ES_tradnl"/>
        </w:rPr>
      </w:pPr>
      <w:r w:rsidRPr="006443E9">
        <w:rPr>
          <w:rStyle w:val="FootnoteReference"/>
          <w:rFonts w:ascii="Cambria" w:hAnsi="Cambria"/>
          <w:sz w:val="16"/>
          <w:szCs w:val="16"/>
        </w:rPr>
        <w:footnoteRef/>
      </w:r>
      <w:r w:rsidRPr="006443E9">
        <w:rPr>
          <w:rFonts w:ascii="Cambria" w:hAnsi="Cambria"/>
          <w:sz w:val="16"/>
          <w:szCs w:val="16"/>
          <w:lang w:val="es-VE"/>
        </w:rPr>
        <w:t xml:space="preserve"> </w:t>
      </w:r>
      <w:r w:rsidRPr="006443E9">
        <w:rPr>
          <w:rFonts w:ascii="Cambria" w:hAnsi="Cambria"/>
          <w:sz w:val="16"/>
          <w:szCs w:val="16"/>
          <w:lang w:val="es-ES_tradnl"/>
        </w:rPr>
        <w:t>Anexo 105. Informe del Consejo de Defensa de los Derechos de la Persona Humana, 22 de agosto de 2001. Anexo 2 al escrito de observaciones del Estado de 11 de octubre de 2013.</w:t>
      </w:r>
    </w:p>
  </w:footnote>
  <w:footnote w:id="117">
    <w:p w14:paraId="5BE8D935" w14:textId="77777777" w:rsidR="009D3775" w:rsidRPr="006443E9" w:rsidRDefault="009D3775" w:rsidP="0025209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2040"/>
        </w:tabs>
        <w:jc w:val="both"/>
        <w:rPr>
          <w:rFonts w:ascii="Cambria" w:hAnsi="Cambria"/>
          <w:sz w:val="16"/>
          <w:szCs w:val="16"/>
          <w:lang w:val="es-ES" w:eastAsia="es-ES"/>
        </w:rPr>
      </w:pPr>
      <w:r w:rsidRPr="006443E9">
        <w:rPr>
          <w:rFonts w:ascii="Cambria" w:hAnsi="Cambria"/>
          <w:sz w:val="16"/>
          <w:szCs w:val="16"/>
          <w:lang w:val="es-VE"/>
        </w:rPr>
        <w:tab/>
      </w:r>
      <w:r w:rsidRPr="006443E9">
        <w:rPr>
          <w:rStyle w:val="FootnoteReference"/>
          <w:rFonts w:ascii="Cambria" w:hAnsi="Cambria"/>
          <w:sz w:val="16"/>
          <w:szCs w:val="16"/>
        </w:rPr>
        <w:footnoteRef/>
      </w:r>
      <w:r w:rsidRPr="006443E9">
        <w:rPr>
          <w:rFonts w:ascii="Cambria" w:hAnsi="Cambria"/>
          <w:sz w:val="16"/>
          <w:szCs w:val="16"/>
          <w:lang w:val="es-VE"/>
        </w:rPr>
        <w:t xml:space="preserve"> </w:t>
      </w:r>
      <w:r w:rsidRPr="006443E9">
        <w:rPr>
          <w:rFonts w:ascii="Cambria" w:hAnsi="Cambria"/>
          <w:sz w:val="16"/>
          <w:szCs w:val="16"/>
          <w:lang w:val="es-ES" w:eastAsia="es-ES"/>
        </w:rPr>
        <w:t>El artículo XVIII de la Declaración Americana de los Derechos y Deberes del Hombre establece que “</w:t>
      </w:r>
      <w:r w:rsidRPr="006443E9">
        <w:rPr>
          <w:rFonts w:ascii="Cambria" w:eastAsia="Cambria" w:hAnsi="Cambria" w:cs="Verdana"/>
          <w:color w:val="000000"/>
          <w:sz w:val="16"/>
          <w:szCs w:val="16"/>
          <w:u w:color="000000"/>
          <w:lang w:val="es-ES" w:eastAsia="es-ES" w:bidi="en-US"/>
        </w:rPr>
        <w:t>Toda persona puede ocurrir a los tribunales para hacer valer sus derechos.  Asimismo debe disponer de un procedimiento sencillo y breve por el cual la justicia lo ampare contra actos de la autoridad que violen, en perjuicio suyo, alguno de los derechos fundamentales consagrados constitucionalmente”.</w:t>
      </w:r>
    </w:p>
  </w:footnote>
  <w:footnote w:id="118">
    <w:p w14:paraId="0EE1B3E1" w14:textId="77777777" w:rsidR="009D3775" w:rsidRPr="006443E9" w:rsidRDefault="009D3775" w:rsidP="0025209D">
      <w:pPr>
        <w:pStyle w:val="FootnoteText"/>
        <w:ind w:firstLine="720"/>
        <w:jc w:val="both"/>
        <w:rPr>
          <w:rFonts w:ascii="Cambria" w:hAnsi="Cambria"/>
          <w:sz w:val="16"/>
          <w:szCs w:val="16"/>
          <w:lang w:val="es-VE"/>
        </w:rPr>
      </w:pPr>
      <w:r w:rsidRPr="006443E9">
        <w:rPr>
          <w:rStyle w:val="FootnoteReference"/>
          <w:rFonts w:ascii="Cambria" w:hAnsi="Cambria"/>
          <w:sz w:val="16"/>
          <w:szCs w:val="16"/>
        </w:rPr>
        <w:footnoteRef/>
      </w:r>
      <w:r w:rsidRPr="006443E9">
        <w:rPr>
          <w:rFonts w:ascii="Cambria" w:hAnsi="Cambria"/>
          <w:sz w:val="16"/>
          <w:szCs w:val="16"/>
          <w:lang w:val="es-VE"/>
        </w:rPr>
        <w:t xml:space="preserve"> El artículo 8.1 de la Convención establece: </w:t>
      </w:r>
      <w:r w:rsidRPr="006443E9">
        <w:rPr>
          <w:rFonts w:ascii="Cambria" w:hAnsi="Cambria" w:cs="Tahoma"/>
          <w:sz w:val="16"/>
          <w:szCs w:val="16"/>
          <w:lang w:val="es-VE"/>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119">
    <w:p w14:paraId="03BE6841" w14:textId="77777777" w:rsidR="009D3775" w:rsidRPr="006443E9" w:rsidRDefault="009D3775" w:rsidP="0025209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2040"/>
        </w:tabs>
        <w:jc w:val="both"/>
        <w:rPr>
          <w:rFonts w:ascii="Cambria" w:hAnsi="Cambria"/>
          <w:sz w:val="16"/>
          <w:szCs w:val="16"/>
          <w:lang w:val="es-ES"/>
        </w:rPr>
      </w:pPr>
      <w:r w:rsidRPr="006443E9">
        <w:rPr>
          <w:rFonts w:ascii="Cambria" w:hAnsi="Cambria"/>
          <w:sz w:val="16"/>
          <w:szCs w:val="16"/>
          <w:lang w:val="es-VE"/>
        </w:rPr>
        <w:tab/>
      </w:r>
      <w:r w:rsidRPr="006443E9">
        <w:rPr>
          <w:rStyle w:val="FootnoteReference"/>
          <w:rFonts w:ascii="Cambria" w:hAnsi="Cambria"/>
          <w:sz w:val="16"/>
          <w:szCs w:val="16"/>
        </w:rPr>
        <w:footnoteRef/>
      </w:r>
      <w:r w:rsidRPr="006443E9">
        <w:rPr>
          <w:rFonts w:ascii="Cambria" w:hAnsi="Cambria"/>
          <w:sz w:val="16"/>
          <w:szCs w:val="16"/>
          <w:lang w:val="es-VE"/>
        </w:rPr>
        <w:t xml:space="preserve"> </w:t>
      </w:r>
      <w:r w:rsidRPr="006443E9">
        <w:rPr>
          <w:rFonts w:ascii="Cambria" w:hAnsi="Cambria"/>
          <w:sz w:val="16"/>
          <w:szCs w:val="16"/>
          <w:lang w:val="es-ES"/>
        </w:rPr>
        <w:t>El artículo 25.1 de la Convención establece: “</w:t>
      </w:r>
      <w:r w:rsidRPr="006443E9">
        <w:rPr>
          <w:rFonts w:ascii="Cambria" w:hAnsi="Cambria" w:cs="Verdana"/>
          <w:sz w:val="16"/>
          <w:szCs w:val="16"/>
          <w:lang w:val="es-ES" w:bidi="en-US"/>
        </w:rPr>
        <w:t>Toda persona tiene derecho a un recurso sencillo y rápido o a cualquier otro recurso efectivo ante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120">
    <w:p w14:paraId="3AB22ADA" w14:textId="77777777" w:rsidR="009D3775" w:rsidRPr="00F43EEB" w:rsidRDefault="009D3775" w:rsidP="0025209D">
      <w:pPr>
        <w:pStyle w:val="NormalWeb"/>
        <w:spacing w:before="0" w:beforeAutospacing="0" w:after="0" w:afterAutospacing="0"/>
        <w:ind w:firstLine="720"/>
        <w:jc w:val="both"/>
        <w:rPr>
          <w:rFonts w:ascii="Cambria" w:hAnsi="Cambria"/>
          <w:sz w:val="16"/>
          <w:szCs w:val="16"/>
          <w:lang w:val="pt-BR"/>
        </w:rPr>
      </w:pPr>
      <w:r w:rsidRPr="006443E9">
        <w:rPr>
          <w:rStyle w:val="FootnoteReference"/>
          <w:rFonts w:ascii="Cambria" w:eastAsia="Trebuchet MS" w:hAnsi="Cambria"/>
          <w:sz w:val="16"/>
          <w:szCs w:val="16"/>
          <w:lang w:val="es-UY"/>
        </w:rPr>
        <w:footnoteRef/>
      </w:r>
      <w:r w:rsidRPr="006443E9">
        <w:rPr>
          <w:rFonts w:ascii="Cambria" w:hAnsi="Cambria"/>
          <w:sz w:val="16"/>
          <w:szCs w:val="16"/>
          <w:lang w:val="es-ES"/>
        </w:rPr>
        <w:t xml:space="preserve"> CIDH, Informe No. 71/15. Caso 12.879. Fondo. Vladimir Herzog y otros. Brasil. 28 de octubre de 2015, párr.192; CIDH, Informe No. 40/04, Caso Nº 12.053, Comunidad Indígena Maya (Belice), Informe Anual de la CIDH 2004, párr. </w:t>
      </w:r>
      <w:r w:rsidRPr="006443E9">
        <w:rPr>
          <w:rFonts w:ascii="Cambria" w:hAnsi="Cambria"/>
          <w:sz w:val="16"/>
          <w:szCs w:val="16"/>
          <w:lang w:val="pt-BR"/>
        </w:rPr>
        <w:t xml:space="preserve">174; CIDH, Informe No. 54/01, Caso 12.051, Maria Da Penha Fernandes (Brasil), 16 de abril de 2001, párr. </w:t>
      </w:r>
      <w:r w:rsidRPr="00F43EEB">
        <w:rPr>
          <w:rFonts w:ascii="Cambria" w:hAnsi="Cambria"/>
          <w:sz w:val="16"/>
          <w:szCs w:val="16"/>
          <w:lang w:val="pt-BR"/>
        </w:rPr>
        <w:t>37.</w:t>
      </w:r>
      <w:r w:rsidRPr="00F43EEB">
        <w:rPr>
          <w:rFonts w:ascii="Cambria" w:hAnsi="Cambria" w:cs="Arial"/>
          <w:sz w:val="16"/>
          <w:szCs w:val="16"/>
          <w:lang w:val="pt-BR"/>
        </w:rPr>
        <w:t xml:space="preserve"> </w:t>
      </w:r>
    </w:p>
  </w:footnote>
  <w:footnote w:id="121">
    <w:p w14:paraId="6022D199" w14:textId="77777777" w:rsidR="009D3775" w:rsidRPr="00F43EEB" w:rsidRDefault="009D3775" w:rsidP="0025209D">
      <w:pPr>
        <w:pStyle w:val="FootnoteText"/>
        <w:ind w:firstLine="720"/>
        <w:jc w:val="both"/>
        <w:rPr>
          <w:rFonts w:ascii="Cambria" w:hAnsi="Cambria"/>
          <w:sz w:val="16"/>
          <w:szCs w:val="16"/>
          <w:lang w:val="pt-BR"/>
        </w:rPr>
      </w:pPr>
      <w:r w:rsidRPr="006443E9">
        <w:rPr>
          <w:rStyle w:val="FootnoteReference"/>
          <w:rFonts w:ascii="Cambria" w:hAnsi="Cambria"/>
          <w:sz w:val="16"/>
          <w:szCs w:val="16"/>
        </w:rPr>
        <w:footnoteRef/>
      </w:r>
      <w:r w:rsidRPr="00F43EEB">
        <w:rPr>
          <w:rFonts w:ascii="Cambria" w:hAnsi="Cambria"/>
          <w:sz w:val="16"/>
          <w:szCs w:val="16"/>
          <w:lang w:val="pt-BR"/>
        </w:rPr>
        <w:t xml:space="preserve"> Corte IDH, Caso Barrios Altos Vs. Perú. Fondo. Sentencia de 14 de marzo de 2001. Serie C No. 75, párr. 48.</w:t>
      </w:r>
    </w:p>
  </w:footnote>
  <w:footnote w:id="122">
    <w:p w14:paraId="32CFC3B5" w14:textId="77777777" w:rsidR="009D3775" w:rsidRPr="006443E9" w:rsidRDefault="009D3775" w:rsidP="0025209D">
      <w:pPr>
        <w:pStyle w:val="FootnoteText"/>
        <w:ind w:firstLine="720"/>
        <w:jc w:val="both"/>
        <w:rPr>
          <w:rFonts w:ascii="Cambria" w:hAnsi="Cambria"/>
          <w:sz w:val="16"/>
          <w:szCs w:val="16"/>
          <w:lang w:val="es-ES"/>
        </w:rPr>
      </w:pPr>
      <w:r w:rsidRPr="006443E9">
        <w:rPr>
          <w:rStyle w:val="FootnoteReference"/>
          <w:rFonts w:ascii="Cambria" w:hAnsi="Cambria"/>
          <w:sz w:val="16"/>
          <w:szCs w:val="16"/>
        </w:rPr>
        <w:footnoteRef/>
      </w:r>
      <w:r w:rsidRPr="00F43EEB">
        <w:rPr>
          <w:rFonts w:ascii="Cambria" w:hAnsi="Cambria"/>
          <w:sz w:val="16"/>
          <w:szCs w:val="16"/>
          <w:lang w:val="pt-BR"/>
        </w:rPr>
        <w:t xml:space="preserve"> Corte IDH, Caso Loayza Tamayo Vs. </w:t>
      </w:r>
      <w:r w:rsidRPr="006443E9">
        <w:rPr>
          <w:rFonts w:ascii="Cambria" w:hAnsi="Cambria"/>
          <w:sz w:val="16"/>
          <w:szCs w:val="16"/>
          <w:lang w:val="es-ES"/>
        </w:rPr>
        <w:t>Perú. Reparaciones y Costas. Sentencia de 27 de noviembre de 1998. Serie C No. 42, párr. 169; Caso Fairén Garbi y Solís Corrales Vs. Honduras. Excepciones Preliminares. Sentencia de 26 de junio de 1987. Serie C No. 2, párr. 90.</w:t>
      </w:r>
    </w:p>
  </w:footnote>
  <w:footnote w:id="123">
    <w:p w14:paraId="6793CA86" w14:textId="77777777" w:rsidR="009D3775" w:rsidRPr="006443E9" w:rsidRDefault="009D3775" w:rsidP="0025209D">
      <w:pPr>
        <w:pStyle w:val="FootnoteText"/>
        <w:ind w:firstLine="720"/>
        <w:jc w:val="both"/>
        <w:rPr>
          <w:rFonts w:ascii="Cambria" w:hAnsi="Cambria"/>
          <w:color w:val="auto"/>
          <w:sz w:val="16"/>
          <w:szCs w:val="16"/>
          <w:lang w:val="es-ES_tradnl"/>
        </w:rPr>
      </w:pPr>
      <w:r w:rsidRPr="006443E9">
        <w:rPr>
          <w:rStyle w:val="FootnoteReference"/>
          <w:rFonts w:ascii="Cambria" w:hAnsi="Cambria"/>
          <w:color w:val="auto"/>
          <w:sz w:val="16"/>
          <w:szCs w:val="16"/>
          <w:lang w:val="es-ES_tradnl"/>
        </w:rPr>
        <w:footnoteRef/>
      </w:r>
      <w:r w:rsidRPr="006443E9">
        <w:rPr>
          <w:rStyle w:val="FootnoteReference"/>
          <w:rFonts w:ascii="Cambria" w:hAnsi="Cambria"/>
          <w:color w:val="auto"/>
          <w:sz w:val="16"/>
          <w:szCs w:val="16"/>
          <w:lang w:val="es-ES_tradnl"/>
        </w:rPr>
        <w:t xml:space="preserve"> </w:t>
      </w:r>
      <w:r w:rsidRPr="006443E9">
        <w:rPr>
          <w:rFonts w:ascii="Cambria" w:hAnsi="Cambria"/>
          <w:color w:val="auto"/>
          <w:sz w:val="16"/>
          <w:szCs w:val="16"/>
          <w:lang w:val="es-ES_tradnl"/>
        </w:rPr>
        <w:t xml:space="preserve">Corte IDH, Caso Velásquez Rodríguez Vs. Honduras. Fondo. Sentencia de 29 de julio de 1988. Serie C No. 4, párr. 177; y </w:t>
      </w:r>
      <w:r w:rsidRPr="006443E9">
        <w:rPr>
          <w:rFonts w:ascii="Cambria" w:hAnsi="Cambria"/>
          <w:bCs/>
          <w:color w:val="auto"/>
          <w:sz w:val="16"/>
          <w:szCs w:val="16"/>
          <w:lang w:val="es-ES_tradnl"/>
        </w:rPr>
        <w:t xml:space="preserve">Caso Cantoral Huamaní y García Santa Cruz Vs. Perú. </w:t>
      </w:r>
      <w:r w:rsidRPr="006443E9">
        <w:rPr>
          <w:rFonts w:ascii="Cambria" w:hAnsi="Cambria"/>
          <w:color w:val="auto"/>
          <w:sz w:val="16"/>
          <w:szCs w:val="16"/>
          <w:lang w:val="es-ES_tradnl"/>
        </w:rPr>
        <w:t>Excepción Preliminar, Fondo, Reparaciones y Costas. Sentencia de 10 de julio de 2007. Serie C No. 167, p</w:t>
      </w:r>
      <w:r w:rsidRPr="006443E9">
        <w:rPr>
          <w:rFonts w:ascii="Cambria" w:hAnsi="Cambria"/>
          <w:color w:val="auto"/>
          <w:sz w:val="16"/>
          <w:szCs w:val="16"/>
          <w:lang w:val="es-ES"/>
        </w:rPr>
        <w:t>árr.</w:t>
      </w:r>
      <w:r w:rsidRPr="006443E9">
        <w:rPr>
          <w:rFonts w:ascii="Cambria" w:hAnsi="Cambria"/>
          <w:color w:val="auto"/>
          <w:sz w:val="16"/>
          <w:szCs w:val="16"/>
          <w:lang w:val="es-ES_tradnl"/>
        </w:rPr>
        <w:t xml:space="preserve"> 131. </w:t>
      </w:r>
    </w:p>
  </w:footnote>
  <w:footnote w:id="124">
    <w:p w14:paraId="2BCD535E" w14:textId="77777777" w:rsidR="009D3775" w:rsidRPr="006443E9" w:rsidRDefault="009D3775" w:rsidP="0025209D">
      <w:pPr>
        <w:tabs>
          <w:tab w:val="left" w:pos="567"/>
        </w:tabs>
        <w:ind w:firstLine="720"/>
        <w:jc w:val="both"/>
        <w:rPr>
          <w:rFonts w:ascii="Cambria" w:hAnsi="Cambria" w:cs="Calibri"/>
          <w:color w:val="000000"/>
          <w:sz w:val="16"/>
          <w:szCs w:val="16"/>
          <w:u w:color="000000"/>
          <w:lang w:val="es-MX" w:eastAsia="es-ES"/>
        </w:rPr>
      </w:pPr>
      <w:r w:rsidRPr="006443E9">
        <w:rPr>
          <w:rStyle w:val="FootnoteReference"/>
          <w:rFonts w:ascii="Cambria" w:hAnsi="Cambria"/>
          <w:spacing w:val="-6"/>
          <w:sz w:val="16"/>
          <w:szCs w:val="16"/>
        </w:rPr>
        <w:footnoteRef/>
      </w:r>
      <w:r w:rsidRPr="006443E9">
        <w:rPr>
          <w:rFonts w:ascii="Cambria" w:hAnsi="Cambria" w:cs="Calibri"/>
          <w:color w:val="000000"/>
          <w:sz w:val="16"/>
          <w:szCs w:val="16"/>
          <w:u w:color="000000"/>
          <w:lang w:val="es-MX" w:eastAsia="es-ES"/>
        </w:rPr>
        <w:t>Corte IDH. Caso Velásquez Rodríguez Vs. Honduras. Fondo. Sentencia de 29 de julio de 1988. Serie C No. 1, párr. 177;  y Caso Veliz Franco y otros Vs. Guatemala. Excepciones Preliminares. Fondo, Reparaciones y Costas. Sentencia de 19 de mayo de 2014. Serie C No. 277, párr.183.</w:t>
      </w:r>
    </w:p>
  </w:footnote>
  <w:footnote w:id="125">
    <w:p w14:paraId="7F040B12" w14:textId="77777777" w:rsidR="009D3775" w:rsidRPr="006443E9" w:rsidRDefault="009D3775" w:rsidP="0025209D">
      <w:pPr>
        <w:pStyle w:val="FootnoteText"/>
        <w:ind w:firstLine="720"/>
        <w:jc w:val="both"/>
        <w:rPr>
          <w:rFonts w:ascii="Cambria" w:hAnsi="Cambria"/>
          <w:color w:val="auto"/>
          <w:sz w:val="16"/>
          <w:szCs w:val="16"/>
          <w:lang w:val="es-ES"/>
        </w:rPr>
      </w:pPr>
      <w:r w:rsidRPr="006443E9">
        <w:rPr>
          <w:rStyle w:val="FootnoteReference"/>
          <w:rFonts w:ascii="Cambria" w:hAnsi="Cambria"/>
          <w:color w:val="auto"/>
          <w:sz w:val="16"/>
          <w:szCs w:val="16"/>
          <w:lang w:val="es-ES"/>
        </w:rPr>
        <w:footnoteRef/>
      </w:r>
      <w:r w:rsidRPr="006443E9">
        <w:rPr>
          <w:rFonts w:ascii="Cambria" w:hAnsi="Cambria"/>
          <w:color w:val="auto"/>
          <w:sz w:val="16"/>
          <w:szCs w:val="16"/>
          <w:lang w:val="es-ES"/>
        </w:rPr>
        <w:t xml:space="preserve"> </w:t>
      </w:r>
      <w:r w:rsidRPr="006443E9">
        <w:rPr>
          <w:rFonts w:ascii="Cambria" w:hAnsi="Cambria"/>
          <w:color w:val="auto"/>
          <w:sz w:val="16"/>
          <w:szCs w:val="16"/>
          <w:lang w:val="es-CL"/>
        </w:rPr>
        <w:t xml:space="preserve">CIDH, Informe sobre la Situación de las Defensoras y Defensores de los Derechos Humanos en las Américas OEA/Ser.L/V/II.124. Doc. 5 rev.1, 7 de marzo de 2006, párr. 109. </w:t>
      </w:r>
      <w:r w:rsidRPr="006443E9">
        <w:rPr>
          <w:rFonts w:ascii="Cambria" w:hAnsi="Cambria"/>
          <w:color w:val="auto"/>
          <w:sz w:val="16"/>
          <w:szCs w:val="16"/>
          <w:lang w:val="es-ES"/>
        </w:rPr>
        <w:t xml:space="preserve">Corte I.D.H., </w:t>
      </w:r>
      <w:r w:rsidRPr="006443E9">
        <w:rPr>
          <w:rFonts w:ascii="Cambria" w:hAnsi="Cambria"/>
          <w:bCs/>
          <w:color w:val="auto"/>
          <w:sz w:val="16"/>
          <w:szCs w:val="16"/>
          <w:lang w:val="es-ES"/>
        </w:rPr>
        <w:t>Caso de los Hermanos Gómez Paquiyauri Vs. Perú.</w:t>
      </w:r>
      <w:r w:rsidRPr="006443E9">
        <w:rPr>
          <w:rFonts w:ascii="Cambria" w:hAnsi="Cambria"/>
          <w:b/>
          <w:bCs/>
          <w:color w:val="auto"/>
          <w:sz w:val="16"/>
          <w:szCs w:val="16"/>
          <w:lang w:val="es-ES"/>
        </w:rPr>
        <w:t xml:space="preserve"> </w:t>
      </w:r>
      <w:r w:rsidRPr="006443E9">
        <w:rPr>
          <w:rFonts w:ascii="Cambria" w:hAnsi="Cambria"/>
          <w:color w:val="auto"/>
          <w:sz w:val="16"/>
          <w:szCs w:val="16"/>
          <w:lang w:val="es-ES"/>
        </w:rPr>
        <w:t xml:space="preserve">Fondo, Reparaciones y Costas. Sentencia de 8 de julio de 2004. Serie C No. 110, párr. 146; </w:t>
      </w:r>
      <w:r w:rsidRPr="006443E9">
        <w:rPr>
          <w:rFonts w:ascii="Cambria" w:hAnsi="Cambria"/>
          <w:bCs/>
          <w:color w:val="auto"/>
          <w:sz w:val="16"/>
          <w:szCs w:val="16"/>
          <w:lang w:val="es-ES"/>
        </w:rPr>
        <w:t xml:space="preserve">Caso Myrna Mack Chang Vs. Guatemala. </w:t>
      </w:r>
      <w:r w:rsidRPr="006443E9">
        <w:rPr>
          <w:rFonts w:ascii="Cambria" w:hAnsi="Cambria"/>
          <w:color w:val="auto"/>
          <w:sz w:val="16"/>
          <w:szCs w:val="16"/>
          <w:lang w:val="es-ES"/>
        </w:rPr>
        <w:t xml:space="preserve">Fondo, Reparaciones y Costas. Sentencia de 25 de noviembre de 2003. Serie C No. 101, párr. 275; </w:t>
      </w:r>
      <w:r w:rsidRPr="006443E9">
        <w:rPr>
          <w:rFonts w:ascii="Cambria" w:hAnsi="Cambria"/>
          <w:bCs/>
          <w:color w:val="auto"/>
          <w:sz w:val="16"/>
          <w:szCs w:val="16"/>
          <w:lang w:val="es-ES"/>
        </w:rPr>
        <w:t>Caso Juan Humberto Sánchez Vs. Honduras.</w:t>
      </w:r>
      <w:r w:rsidRPr="006443E9">
        <w:rPr>
          <w:rFonts w:ascii="Cambria" w:hAnsi="Cambria"/>
          <w:b/>
          <w:bCs/>
          <w:color w:val="auto"/>
          <w:sz w:val="16"/>
          <w:szCs w:val="16"/>
          <w:lang w:val="es-ES"/>
        </w:rPr>
        <w:t xml:space="preserve"> </w:t>
      </w:r>
      <w:r w:rsidRPr="006443E9">
        <w:rPr>
          <w:rFonts w:ascii="Cambria" w:hAnsi="Cambria"/>
          <w:color w:val="auto"/>
          <w:sz w:val="16"/>
          <w:szCs w:val="16"/>
          <w:lang w:val="es-ES"/>
        </w:rPr>
        <w:t xml:space="preserve">Excepción Preliminar, Fondo, Reparaciones y Costas. Sentencia de 7 de junio de 2003. Serie C No. 99, párr. 186; y </w:t>
      </w:r>
      <w:r w:rsidRPr="006443E9">
        <w:rPr>
          <w:rFonts w:ascii="Cambria" w:hAnsi="Cambria"/>
          <w:bCs/>
          <w:color w:val="auto"/>
          <w:sz w:val="16"/>
          <w:szCs w:val="16"/>
          <w:lang w:val="es-ES"/>
        </w:rPr>
        <w:t xml:space="preserve">Caso del Tribunal Constitucional Vs. Perú. </w:t>
      </w:r>
      <w:r w:rsidRPr="006443E9">
        <w:rPr>
          <w:rFonts w:ascii="Cambria" w:hAnsi="Cambria"/>
          <w:color w:val="auto"/>
          <w:sz w:val="16"/>
          <w:szCs w:val="16"/>
          <w:lang w:val="es-ES"/>
        </w:rPr>
        <w:t xml:space="preserve">Competencia. Sentencia de 24 de septiembre de 1999. Serie C No. 55, párr. 123.  </w:t>
      </w:r>
    </w:p>
  </w:footnote>
  <w:footnote w:id="126">
    <w:p w14:paraId="5929AE25" w14:textId="77777777" w:rsidR="009D3775" w:rsidRPr="006443E9" w:rsidRDefault="009D3775" w:rsidP="0025209D">
      <w:pPr>
        <w:ind w:firstLine="720"/>
        <w:jc w:val="both"/>
        <w:rPr>
          <w:rFonts w:ascii="Cambria" w:hAnsi="Cambria"/>
          <w:sz w:val="16"/>
          <w:szCs w:val="16"/>
          <w:lang w:val="es-ES_tradnl"/>
        </w:rPr>
      </w:pPr>
      <w:r w:rsidRPr="006443E9">
        <w:rPr>
          <w:rStyle w:val="FootnoteReference"/>
          <w:rFonts w:ascii="Cambria" w:hAnsi="Cambria"/>
          <w:sz w:val="16"/>
          <w:szCs w:val="16"/>
        </w:rPr>
        <w:footnoteRef/>
      </w:r>
      <w:r w:rsidRPr="00361A4F">
        <w:rPr>
          <w:rFonts w:ascii="Cambria" w:hAnsi="Cambria"/>
          <w:sz w:val="16"/>
          <w:szCs w:val="16"/>
          <w:lang w:val="es-VE"/>
        </w:rPr>
        <w:t xml:space="preserve"> Corte IDH, Caso Gómez Palomino Vs. </w:t>
      </w:r>
      <w:r w:rsidRPr="006443E9">
        <w:rPr>
          <w:rFonts w:ascii="Cambria" w:hAnsi="Cambria"/>
          <w:sz w:val="16"/>
          <w:szCs w:val="16"/>
          <w:lang w:val="es-ES_tradnl"/>
        </w:rPr>
        <w:t xml:space="preserve">Perú. </w:t>
      </w:r>
      <w:hyperlink r:id="rId5" w:history="1">
        <w:r w:rsidRPr="006443E9">
          <w:rPr>
            <w:rStyle w:val="Hyperlink"/>
            <w:rFonts w:ascii="Cambria" w:hAnsi="Cambria"/>
            <w:sz w:val="16"/>
            <w:szCs w:val="16"/>
            <w:shd w:val="clear" w:color="auto" w:fill="FFFFFF"/>
            <w:lang w:val="es-ES"/>
          </w:rPr>
          <w:t>Fondo, Reparaciones y Costas. Sentencia de 22 de noviembre de 2005. Serie C No. 136</w:t>
        </w:r>
      </w:hyperlink>
      <w:r w:rsidRPr="006443E9">
        <w:rPr>
          <w:rFonts w:ascii="Cambria" w:hAnsi="Cambria"/>
          <w:sz w:val="16"/>
          <w:szCs w:val="16"/>
          <w:lang w:val="es-ES_tradnl"/>
        </w:rPr>
        <w:t xml:space="preserve">, párr. 78; Caso Almonacid Arellano y otros Vs. Chile. </w:t>
      </w:r>
      <w:hyperlink r:id="rId6" w:history="1">
        <w:r w:rsidRPr="006443E9">
          <w:rPr>
            <w:rStyle w:val="Hyperlink"/>
            <w:rFonts w:ascii="Cambria" w:hAnsi="Cambria"/>
            <w:sz w:val="16"/>
            <w:szCs w:val="16"/>
            <w:shd w:val="clear" w:color="auto" w:fill="FFFFFF"/>
            <w:lang w:val="es-ES"/>
          </w:rPr>
          <w:t>Excepciones Preliminares, Fondo, Reparaciones y Costas. Sentencia de 26 de septiembre de 2006. Serie C No. 154</w:t>
        </w:r>
      </w:hyperlink>
      <w:r w:rsidRPr="006443E9">
        <w:rPr>
          <w:rFonts w:ascii="Cambria" w:hAnsi="Cambria"/>
          <w:sz w:val="16"/>
          <w:szCs w:val="16"/>
          <w:lang w:val="es-ES_tradnl"/>
        </w:rPr>
        <w:t xml:space="preserve">, párr. 150; y Caso de la Masacre de la Rochela Vs. Colombia.  Fondo, Reparaciones y Costas. Sentencia de 11 de mayo de 2007.  Serie C. No. 163, párr. 147. </w:t>
      </w:r>
    </w:p>
  </w:footnote>
  <w:footnote w:id="127">
    <w:p w14:paraId="2F0A9DFB" w14:textId="77777777" w:rsidR="009D3775" w:rsidRPr="00F040C7" w:rsidRDefault="009D3775" w:rsidP="0025209D">
      <w:pPr>
        <w:tabs>
          <w:tab w:val="left" w:pos="360"/>
          <w:tab w:val="left" w:pos="900"/>
          <w:tab w:val="left" w:pos="1080"/>
        </w:tabs>
        <w:ind w:firstLine="720"/>
        <w:jc w:val="both"/>
        <w:rPr>
          <w:rFonts w:ascii="Cambria" w:hAnsi="Cambria"/>
          <w:sz w:val="16"/>
          <w:szCs w:val="16"/>
          <w:lang w:val="es-US"/>
        </w:rPr>
      </w:pPr>
      <w:r w:rsidRPr="006443E9">
        <w:rPr>
          <w:rStyle w:val="FootnoteReference"/>
          <w:rFonts w:ascii="Cambria" w:hAnsi="Cambria"/>
          <w:sz w:val="16"/>
          <w:szCs w:val="16"/>
        </w:rPr>
        <w:footnoteRef/>
      </w:r>
      <w:r w:rsidRPr="006443E9">
        <w:rPr>
          <w:rFonts w:ascii="Cambria" w:hAnsi="Cambria"/>
          <w:sz w:val="16"/>
          <w:szCs w:val="16"/>
          <w:lang w:val="es-VE"/>
        </w:rPr>
        <w:t xml:space="preserve"> CIDH, Informe No. 49/15, Caso 12.585, Fondo, Ángel Pacheco León y familia, Honduras, 28 de julio de 2015, párr.80.</w:t>
      </w:r>
    </w:p>
  </w:footnote>
  <w:footnote w:id="128">
    <w:p w14:paraId="455B662C" w14:textId="77777777" w:rsidR="009D3775" w:rsidRPr="006443E9" w:rsidRDefault="009D3775" w:rsidP="0025209D">
      <w:pPr>
        <w:pStyle w:val="FootnoteText"/>
        <w:ind w:firstLine="720"/>
        <w:jc w:val="both"/>
        <w:rPr>
          <w:rFonts w:ascii="Cambria" w:hAnsi="Cambria"/>
          <w:sz w:val="16"/>
          <w:szCs w:val="16"/>
          <w:lang w:val="es-ES"/>
        </w:rPr>
      </w:pPr>
      <w:r w:rsidRPr="006443E9">
        <w:rPr>
          <w:rStyle w:val="FootnoteReference"/>
          <w:rFonts w:ascii="Cambria" w:hAnsi="Cambria"/>
          <w:sz w:val="16"/>
          <w:szCs w:val="16"/>
        </w:rPr>
        <w:footnoteRef/>
      </w:r>
      <w:r w:rsidRPr="006443E9">
        <w:rPr>
          <w:rFonts w:ascii="Cambria" w:hAnsi="Cambria"/>
          <w:sz w:val="16"/>
          <w:szCs w:val="16"/>
          <w:lang w:val="es-ES"/>
        </w:rPr>
        <w:t xml:space="preserve"> CIDH, Informe No. 85/13, Caso 12.251, Admisibilidad y Fondo, Vereda  la Esperanza, Colombia, 4 de noviembre de 2013, párr. 242. Corte IDH, Caso Kawas Fernández Vs. Honduras. Fondo, Reparaciones y Costas. Sentencia de 3 de abril de 2009 Serie C No. 196, párr. 101.</w:t>
      </w:r>
    </w:p>
  </w:footnote>
  <w:footnote w:id="129">
    <w:p w14:paraId="5E6B8478" w14:textId="77777777" w:rsidR="009D3775" w:rsidRPr="006443E9" w:rsidRDefault="009D3775" w:rsidP="0025209D">
      <w:pPr>
        <w:pStyle w:val="FootnoteText"/>
        <w:ind w:firstLine="720"/>
        <w:jc w:val="both"/>
        <w:rPr>
          <w:rFonts w:ascii="Cambria" w:hAnsi="Cambria"/>
          <w:sz w:val="16"/>
          <w:szCs w:val="16"/>
          <w:lang w:val="es-MX"/>
        </w:rPr>
      </w:pPr>
      <w:r w:rsidRPr="006443E9">
        <w:rPr>
          <w:rStyle w:val="FootnoteReference"/>
          <w:rFonts w:ascii="Cambria" w:hAnsi="Cambria"/>
          <w:sz w:val="16"/>
          <w:szCs w:val="16"/>
        </w:rPr>
        <w:footnoteRef/>
      </w:r>
      <w:r w:rsidRPr="006443E9">
        <w:rPr>
          <w:rFonts w:ascii="Cambria" w:hAnsi="Cambria"/>
          <w:sz w:val="16"/>
          <w:szCs w:val="16"/>
          <w:lang w:val="es-MX"/>
        </w:rPr>
        <w:t xml:space="preserve"> Corte IDH. </w:t>
      </w:r>
      <w:r w:rsidRPr="006443E9">
        <w:rPr>
          <w:rFonts w:ascii="Cambria" w:hAnsi="Cambria"/>
          <w:sz w:val="16"/>
          <w:szCs w:val="16"/>
          <w:lang w:val="es-VE"/>
        </w:rPr>
        <w:t xml:space="preserve">Caso Myrna Mack Chang vs. </w:t>
      </w:r>
      <w:r w:rsidRPr="006443E9">
        <w:rPr>
          <w:rFonts w:ascii="Cambria" w:hAnsi="Cambria"/>
          <w:sz w:val="16"/>
          <w:szCs w:val="16"/>
          <w:lang w:val="es-MX"/>
        </w:rPr>
        <w:t>Guatemala. Fondo, Reparaciones y Costas. Sentencia de 25 de noviembre de 2003. Serie C No. 101, párr. 156; y Caso de las Comunidades Afrodescendientes Desplazadas de la Cuenca del Río Cacarica (Operación Génesis) Vs. Colombia. Excepciones Preliminares, Fondo, Reparaciones y Costas. Sentencia de 20 de noviembre de 2013. Serie C No. 270, párr. 371.</w:t>
      </w:r>
    </w:p>
  </w:footnote>
  <w:footnote w:id="130">
    <w:p w14:paraId="5DC5CB4E" w14:textId="77777777" w:rsidR="009D3775" w:rsidRPr="006443E9" w:rsidRDefault="009D3775" w:rsidP="0025209D">
      <w:pPr>
        <w:ind w:firstLine="709"/>
        <w:jc w:val="both"/>
        <w:rPr>
          <w:rFonts w:ascii="Cambria" w:hAnsi="Cambria"/>
          <w:sz w:val="16"/>
          <w:szCs w:val="16"/>
          <w:lang w:val="pt-BR"/>
        </w:rPr>
      </w:pPr>
      <w:r w:rsidRPr="006443E9">
        <w:rPr>
          <w:rStyle w:val="FootnoteReference"/>
          <w:rFonts w:ascii="Cambria" w:hAnsi="Cambria"/>
          <w:sz w:val="16"/>
          <w:szCs w:val="16"/>
          <w:lang w:val="es-ES"/>
        </w:rPr>
        <w:footnoteRef/>
      </w:r>
      <w:r w:rsidRPr="006443E9">
        <w:rPr>
          <w:rFonts w:ascii="Cambria" w:hAnsi="Cambria"/>
          <w:sz w:val="16"/>
          <w:szCs w:val="16"/>
          <w:lang w:val="es-ES"/>
        </w:rPr>
        <w:t xml:space="preserve"> CIDH, Informe de Fondo, N˚ 55/97, Juan Carlos Abella y Otros (Argentina), 18 de noviembre de 1997, párr. </w:t>
      </w:r>
      <w:r w:rsidRPr="006443E9">
        <w:rPr>
          <w:rFonts w:ascii="Cambria" w:hAnsi="Cambria"/>
          <w:sz w:val="16"/>
          <w:szCs w:val="16"/>
          <w:lang w:val="pt-BR"/>
        </w:rPr>
        <w:t>412.</w:t>
      </w:r>
    </w:p>
  </w:footnote>
  <w:footnote w:id="131">
    <w:p w14:paraId="081555C4" w14:textId="77777777" w:rsidR="009D3775" w:rsidRPr="006443E9" w:rsidRDefault="009D3775" w:rsidP="0025209D">
      <w:pPr>
        <w:pStyle w:val="FootnoteText"/>
        <w:ind w:firstLine="709"/>
        <w:jc w:val="both"/>
        <w:rPr>
          <w:rFonts w:ascii="Cambria" w:hAnsi="Cambria"/>
          <w:sz w:val="16"/>
          <w:szCs w:val="16"/>
          <w:lang w:val="es-PE"/>
        </w:rPr>
      </w:pPr>
      <w:r w:rsidRPr="006443E9">
        <w:rPr>
          <w:rStyle w:val="FootnoteReference"/>
          <w:rFonts w:ascii="Cambria" w:hAnsi="Cambria"/>
          <w:sz w:val="16"/>
          <w:szCs w:val="16"/>
        </w:rPr>
        <w:footnoteRef/>
      </w:r>
      <w:r w:rsidRPr="006443E9">
        <w:rPr>
          <w:rFonts w:ascii="Cambria" w:hAnsi="Cambria"/>
          <w:sz w:val="16"/>
          <w:szCs w:val="16"/>
          <w:lang w:val="pt-BR"/>
        </w:rPr>
        <w:t xml:space="preserve">CIDH, Informe No. 25/09 Fondo (Sebastião Camargo Filho) Brasil, 19 de marzo de 2009, párr. </w:t>
      </w:r>
      <w:r w:rsidRPr="006443E9">
        <w:rPr>
          <w:rFonts w:ascii="Cambria" w:hAnsi="Cambria"/>
          <w:sz w:val="16"/>
          <w:szCs w:val="16"/>
          <w:lang w:val="es-ES_tradnl"/>
        </w:rPr>
        <w:t xml:space="preserve">109. Ver también, </w:t>
      </w:r>
      <w:r w:rsidRPr="006443E9">
        <w:rPr>
          <w:rFonts w:ascii="Cambria" w:hAnsi="Cambria"/>
          <w:sz w:val="16"/>
          <w:szCs w:val="16"/>
          <w:lang w:val="es-VE"/>
        </w:rPr>
        <w:t xml:space="preserve">CIDH, Acceso a la Justicia para las Mujeres Víctimas de Violencia en las Américas, </w:t>
      </w:r>
      <w:r w:rsidRPr="006443E9">
        <w:rPr>
          <w:rFonts w:ascii="Cambria" w:hAnsi="Cambria"/>
          <w:sz w:val="16"/>
          <w:szCs w:val="16"/>
          <w:lang w:val="es-ES_tradnl"/>
        </w:rPr>
        <w:t>OEA/Ser. L/V/II. doc.68, 20 de enero de 2007, párr. 41.</w:t>
      </w:r>
    </w:p>
  </w:footnote>
  <w:footnote w:id="132">
    <w:p w14:paraId="3587FF4B" w14:textId="77777777" w:rsidR="009D3775" w:rsidRPr="006443E9" w:rsidRDefault="009D3775" w:rsidP="0025209D">
      <w:pPr>
        <w:pStyle w:val="FootnoteText"/>
        <w:ind w:firstLine="709"/>
        <w:jc w:val="both"/>
        <w:rPr>
          <w:rFonts w:ascii="Cambria" w:hAnsi="Cambria"/>
          <w:sz w:val="16"/>
          <w:szCs w:val="16"/>
          <w:lang w:val="es-PE"/>
        </w:rPr>
      </w:pPr>
      <w:r w:rsidRPr="006443E9">
        <w:rPr>
          <w:rStyle w:val="FootnoteReference"/>
          <w:rFonts w:ascii="Cambria" w:hAnsi="Cambria"/>
          <w:sz w:val="16"/>
          <w:szCs w:val="16"/>
        </w:rPr>
        <w:footnoteRef/>
      </w:r>
      <w:r w:rsidRPr="006443E9">
        <w:rPr>
          <w:rFonts w:ascii="Cambria" w:hAnsi="Cambria"/>
          <w:sz w:val="16"/>
          <w:szCs w:val="16"/>
          <w:lang w:val="es-MX"/>
        </w:rPr>
        <w:t xml:space="preserve"> </w:t>
      </w:r>
      <w:r w:rsidRPr="006443E9">
        <w:rPr>
          <w:rFonts w:ascii="Cambria" w:hAnsi="Cambria"/>
          <w:sz w:val="16"/>
          <w:szCs w:val="16"/>
          <w:lang w:val="es-PE"/>
        </w:rPr>
        <w:t xml:space="preserve">Corte IDH. </w:t>
      </w:r>
      <w:r w:rsidRPr="006443E9">
        <w:rPr>
          <w:rFonts w:ascii="Cambria" w:hAnsi="Cambria"/>
          <w:iCs/>
          <w:sz w:val="16"/>
          <w:szCs w:val="16"/>
          <w:lang w:val="es-ES_tradnl"/>
        </w:rPr>
        <w:t>Caso de los “Niños de la Calle” (Villagrán Morales y otros).</w:t>
      </w:r>
      <w:r w:rsidRPr="006443E9">
        <w:rPr>
          <w:rFonts w:ascii="Cambria" w:hAnsi="Cambria"/>
          <w:sz w:val="16"/>
          <w:szCs w:val="16"/>
          <w:lang w:val="es-ES_tradnl"/>
        </w:rPr>
        <w:t xml:space="preserve"> Sentencia de 19 de noviembre de 1999. Serie C No. 63,</w:t>
      </w:r>
      <w:r w:rsidRPr="006443E9">
        <w:rPr>
          <w:rFonts w:ascii="Cambria" w:hAnsi="Cambria"/>
          <w:sz w:val="16"/>
          <w:szCs w:val="16"/>
          <w:lang w:val="es-CR"/>
        </w:rPr>
        <w:t xml:space="preserve"> párr. 230. </w:t>
      </w:r>
      <w:r w:rsidRPr="006443E9">
        <w:rPr>
          <w:rFonts w:ascii="Cambria" w:hAnsi="Cambria"/>
          <w:sz w:val="16"/>
          <w:szCs w:val="16"/>
          <w:lang w:val="es-ES_tradnl"/>
        </w:rPr>
        <w:t xml:space="preserve">Ver también, </w:t>
      </w:r>
      <w:r w:rsidRPr="006443E9">
        <w:rPr>
          <w:rFonts w:ascii="Cambria" w:hAnsi="Cambria"/>
          <w:sz w:val="16"/>
          <w:szCs w:val="16"/>
          <w:lang w:val="es-VE"/>
        </w:rPr>
        <w:t xml:space="preserve">CIDH, Acceso a la Justicia para las Mujeres Víctimas de Violencia en las Américas, </w:t>
      </w:r>
      <w:r w:rsidRPr="006443E9">
        <w:rPr>
          <w:rFonts w:ascii="Cambria" w:hAnsi="Cambria"/>
          <w:sz w:val="16"/>
          <w:szCs w:val="16"/>
          <w:lang w:val="es-ES_tradnl"/>
        </w:rPr>
        <w:t>OEA/Ser. L/V/II. doc.68, 20 de enero de 2007, párr. 41.</w:t>
      </w:r>
    </w:p>
  </w:footnote>
  <w:footnote w:id="133">
    <w:p w14:paraId="3D59B7D6" w14:textId="77777777" w:rsidR="009D3775" w:rsidRPr="006443E9" w:rsidRDefault="009D3775" w:rsidP="0025209D">
      <w:pPr>
        <w:pStyle w:val="FootnoteText"/>
        <w:ind w:firstLine="720"/>
        <w:jc w:val="both"/>
        <w:rPr>
          <w:rFonts w:ascii="Cambria" w:hAnsi="Cambria"/>
          <w:sz w:val="16"/>
          <w:szCs w:val="16"/>
          <w:lang w:val="es-VE"/>
        </w:rPr>
      </w:pPr>
      <w:r w:rsidRPr="006443E9">
        <w:rPr>
          <w:rStyle w:val="FootnoteReference"/>
          <w:rFonts w:ascii="Cambria" w:hAnsi="Cambria"/>
          <w:sz w:val="16"/>
          <w:szCs w:val="16"/>
        </w:rPr>
        <w:footnoteRef/>
      </w:r>
      <w:r w:rsidRPr="006443E9">
        <w:rPr>
          <w:rFonts w:ascii="Cambria" w:hAnsi="Cambria"/>
          <w:sz w:val="16"/>
          <w:szCs w:val="16"/>
          <w:lang w:val="es-VE"/>
        </w:rPr>
        <w:t xml:space="preserve"> CIDH, Informe No. 56/12, Caso 12.775, Informe de Fondo, Florentín Gudiel Ramos y Makrina Gudiel Álvarez, 21 de marzo de 2012. </w:t>
      </w:r>
    </w:p>
  </w:footnote>
  <w:footnote w:id="134">
    <w:p w14:paraId="35EE738B" w14:textId="77777777" w:rsidR="009D3775" w:rsidRPr="006443E9" w:rsidRDefault="009D3775" w:rsidP="0025209D">
      <w:pPr>
        <w:pStyle w:val="FootnoteText"/>
        <w:ind w:firstLine="720"/>
        <w:jc w:val="both"/>
        <w:rPr>
          <w:rFonts w:ascii="Cambria" w:hAnsi="Cambria"/>
          <w:color w:val="auto"/>
          <w:sz w:val="16"/>
          <w:szCs w:val="16"/>
          <w:lang w:val="es-ES_tradnl"/>
        </w:rPr>
      </w:pPr>
      <w:r w:rsidRPr="006443E9">
        <w:rPr>
          <w:rStyle w:val="FootnoteReference"/>
          <w:rFonts w:ascii="Cambria" w:hAnsi="Cambria"/>
          <w:color w:val="auto"/>
          <w:sz w:val="16"/>
          <w:szCs w:val="16"/>
        </w:rPr>
        <w:footnoteRef/>
      </w:r>
      <w:r w:rsidRPr="006443E9">
        <w:rPr>
          <w:rFonts w:ascii="Cambria" w:hAnsi="Cambria"/>
          <w:color w:val="auto"/>
          <w:sz w:val="16"/>
          <w:szCs w:val="16"/>
          <w:lang w:val="es-ES"/>
        </w:rPr>
        <w:t xml:space="preserve"> Corte IDH, </w:t>
      </w:r>
      <w:hyperlink r:id="rId7" w:history="1">
        <w:r w:rsidRPr="006443E9">
          <w:rPr>
            <w:rStyle w:val="Hyperlink"/>
            <w:rFonts w:ascii="Cambria" w:hAnsi="Cambria"/>
            <w:color w:val="auto"/>
            <w:sz w:val="16"/>
            <w:szCs w:val="16"/>
            <w:shd w:val="clear" w:color="auto" w:fill="FFFFFF"/>
            <w:lang w:val="es-ES"/>
          </w:rPr>
          <w:t>Caso González Medina y familiares Vs. República Dominicana. Excepciones Preliminares, Fondo, Reparaciones y Costas. Sentencia de 27 de febrero de 2012 Serie C No. 240</w:t>
        </w:r>
      </w:hyperlink>
      <w:r w:rsidRPr="006443E9">
        <w:rPr>
          <w:rFonts w:ascii="Cambria" w:hAnsi="Cambria"/>
          <w:color w:val="auto"/>
          <w:sz w:val="16"/>
          <w:szCs w:val="16"/>
          <w:lang w:val="es-ES_tradnl"/>
        </w:rPr>
        <w:t>, párr. 115.</w:t>
      </w:r>
    </w:p>
  </w:footnote>
  <w:footnote w:id="135">
    <w:p w14:paraId="17D37D6E" w14:textId="77777777" w:rsidR="009D3775" w:rsidRPr="006443E9" w:rsidRDefault="009D3775" w:rsidP="0025209D">
      <w:pPr>
        <w:pStyle w:val="FootnoteText"/>
        <w:ind w:firstLine="720"/>
        <w:jc w:val="both"/>
        <w:rPr>
          <w:rFonts w:ascii="Cambria" w:hAnsi="Cambria"/>
          <w:color w:val="auto"/>
          <w:sz w:val="16"/>
          <w:szCs w:val="16"/>
          <w:lang w:val="es-CO"/>
        </w:rPr>
      </w:pPr>
      <w:r w:rsidRPr="006443E9">
        <w:rPr>
          <w:rStyle w:val="FootnoteReference"/>
          <w:rFonts w:ascii="Cambria" w:hAnsi="Cambria"/>
          <w:color w:val="auto"/>
          <w:sz w:val="16"/>
          <w:szCs w:val="16"/>
        </w:rPr>
        <w:footnoteRef/>
      </w:r>
      <w:r w:rsidRPr="006443E9">
        <w:rPr>
          <w:rFonts w:ascii="Cambria" w:hAnsi="Cambria"/>
          <w:color w:val="auto"/>
          <w:sz w:val="16"/>
          <w:szCs w:val="16"/>
          <w:lang w:val="es-ES"/>
        </w:rPr>
        <w:t xml:space="preserve"> Corte IDH, </w:t>
      </w:r>
      <w:hyperlink r:id="rId8" w:history="1">
        <w:r w:rsidRPr="006443E9">
          <w:rPr>
            <w:rStyle w:val="Hyperlink"/>
            <w:rFonts w:ascii="Cambria" w:hAnsi="Cambria"/>
            <w:color w:val="auto"/>
            <w:sz w:val="16"/>
            <w:szCs w:val="16"/>
            <w:shd w:val="clear" w:color="auto" w:fill="FFFFFF"/>
            <w:lang w:val="es-ES"/>
          </w:rPr>
          <w:t>Caso Uzcátegui y otros Vs. Venezuela. Fondo y Reparaciones. Sentencia de 3 de septiembre de 2012 Serie C No. 249</w:t>
        </w:r>
      </w:hyperlink>
      <w:r w:rsidRPr="006443E9">
        <w:rPr>
          <w:rFonts w:ascii="Cambria" w:hAnsi="Cambria"/>
          <w:color w:val="auto"/>
          <w:sz w:val="16"/>
          <w:szCs w:val="16"/>
          <w:lang w:val="es-ES"/>
        </w:rPr>
        <w:t xml:space="preserve">, párr. </w:t>
      </w:r>
      <w:r w:rsidRPr="006443E9">
        <w:rPr>
          <w:rFonts w:ascii="Cambria" w:hAnsi="Cambria"/>
          <w:color w:val="auto"/>
          <w:sz w:val="16"/>
          <w:szCs w:val="16"/>
          <w:lang w:val="es-CO"/>
        </w:rPr>
        <w:t>225.</w:t>
      </w:r>
    </w:p>
  </w:footnote>
  <w:footnote w:id="136">
    <w:p w14:paraId="277FA7F3" w14:textId="77777777" w:rsidR="009D3775" w:rsidRPr="006443E9" w:rsidRDefault="009D3775" w:rsidP="0025209D">
      <w:pPr>
        <w:pStyle w:val="FootnoteText"/>
        <w:ind w:firstLine="720"/>
        <w:jc w:val="both"/>
        <w:rPr>
          <w:rFonts w:ascii="Cambria" w:hAnsi="Cambria"/>
          <w:sz w:val="16"/>
          <w:szCs w:val="16"/>
          <w:lang w:val="es-ES"/>
        </w:rPr>
      </w:pPr>
      <w:r w:rsidRPr="006443E9">
        <w:rPr>
          <w:rStyle w:val="FootnoteReference"/>
          <w:rFonts w:ascii="Cambria" w:hAnsi="Cambria"/>
          <w:sz w:val="16"/>
          <w:szCs w:val="16"/>
        </w:rPr>
        <w:footnoteRef/>
      </w:r>
      <w:r w:rsidRPr="006443E9">
        <w:rPr>
          <w:rFonts w:ascii="Cambria" w:hAnsi="Cambria"/>
          <w:sz w:val="16"/>
          <w:szCs w:val="16"/>
          <w:lang w:val="es-ES"/>
        </w:rPr>
        <w:t xml:space="preserve"> CIDH, Informe No. 53/13, Caso 12.777, Fondo, Claudina Velásquez Paiz y otros, Guatemala, 4 de noviembre de 2013, párr. 122.</w:t>
      </w:r>
    </w:p>
  </w:footnote>
  <w:footnote w:id="137">
    <w:p w14:paraId="675AD796" w14:textId="77777777" w:rsidR="009D3775" w:rsidRPr="006443E9" w:rsidRDefault="009D3775" w:rsidP="0025209D">
      <w:pPr>
        <w:pStyle w:val="FootnoteText"/>
        <w:ind w:firstLine="720"/>
        <w:jc w:val="both"/>
        <w:rPr>
          <w:rFonts w:ascii="Cambria" w:hAnsi="Cambria"/>
          <w:sz w:val="16"/>
          <w:szCs w:val="16"/>
          <w:lang w:val="es-ES_tradnl"/>
        </w:rPr>
      </w:pPr>
      <w:r w:rsidRPr="006443E9">
        <w:rPr>
          <w:rStyle w:val="FootnoteReference"/>
          <w:rFonts w:ascii="Cambria" w:hAnsi="Cambria"/>
          <w:sz w:val="16"/>
          <w:szCs w:val="16"/>
        </w:rPr>
        <w:footnoteRef/>
      </w:r>
      <w:r w:rsidRPr="00F040C7">
        <w:rPr>
          <w:rFonts w:ascii="Cambria" w:hAnsi="Cambria"/>
          <w:sz w:val="16"/>
          <w:szCs w:val="16"/>
          <w:lang w:val="es-US"/>
        </w:rPr>
        <w:t xml:space="preserve"> Corte IDH, </w:t>
      </w:r>
      <w:hyperlink r:id="rId9" w:history="1">
        <w:r w:rsidRPr="00F040C7">
          <w:rPr>
            <w:rStyle w:val="Hyperlink"/>
            <w:rFonts w:ascii="Cambria" w:hAnsi="Cambria"/>
            <w:color w:val="auto"/>
            <w:sz w:val="16"/>
            <w:szCs w:val="16"/>
            <w:shd w:val="clear" w:color="auto" w:fill="FFFFFF"/>
            <w:lang w:val="es-US"/>
          </w:rPr>
          <w:t xml:space="preserve">Caso Luna López Vs. </w:t>
        </w:r>
        <w:r w:rsidRPr="006443E9">
          <w:rPr>
            <w:rStyle w:val="Hyperlink"/>
            <w:rFonts w:ascii="Cambria" w:hAnsi="Cambria"/>
            <w:color w:val="auto"/>
            <w:sz w:val="16"/>
            <w:szCs w:val="16"/>
            <w:shd w:val="clear" w:color="auto" w:fill="FFFFFF"/>
            <w:lang w:val="es-ES"/>
          </w:rPr>
          <w:t>Honduras. Fondo, Reparaciones y Costas. Sentencia de 10 de octubre de 2013. Serie C No. 269</w:t>
        </w:r>
      </w:hyperlink>
      <w:r w:rsidRPr="006443E9">
        <w:rPr>
          <w:rFonts w:ascii="Cambria" w:hAnsi="Cambria"/>
          <w:sz w:val="16"/>
          <w:szCs w:val="16"/>
          <w:lang w:val="es-ES"/>
        </w:rPr>
        <w:t>, párr. 188.</w:t>
      </w:r>
    </w:p>
  </w:footnote>
  <w:footnote w:id="138">
    <w:p w14:paraId="230D8C2E" w14:textId="77777777" w:rsidR="009D3775" w:rsidRPr="006443E9" w:rsidRDefault="009D3775" w:rsidP="0025209D">
      <w:pPr>
        <w:pStyle w:val="FootnoteText"/>
        <w:ind w:firstLine="720"/>
        <w:jc w:val="both"/>
        <w:rPr>
          <w:rFonts w:ascii="Cambria" w:hAnsi="Cambria"/>
          <w:sz w:val="16"/>
          <w:szCs w:val="16"/>
          <w:lang w:val="es-VE"/>
        </w:rPr>
      </w:pPr>
      <w:r w:rsidRPr="006443E9">
        <w:rPr>
          <w:rStyle w:val="FootnoteReference"/>
          <w:rFonts w:ascii="Cambria" w:hAnsi="Cambria"/>
          <w:sz w:val="16"/>
          <w:szCs w:val="16"/>
        </w:rPr>
        <w:footnoteRef/>
      </w:r>
      <w:r w:rsidRPr="006443E9">
        <w:rPr>
          <w:rFonts w:ascii="Cambria" w:hAnsi="Cambria"/>
          <w:sz w:val="16"/>
          <w:szCs w:val="16"/>
          <w:lang w:val="es-VE"/>
        </w:rPr>
        <w:t xml:space="preserve"> CIDH, Informe No. 49/15, Caso 12.585, Fondo, Ángel Pacheco León y Familia, Honduras, 28 de julio de 2015, párr.113.</w:t>
      </w:r>
    </w:p>
  </w:footnote>
  <w:footnote w:id="139">
    <w:p w14:paraId="59C78FC2" w14:textId="77777777" w:rsidR="009D3775" w:rsidRPr="006443E9" w:rsidRDefault="009D3775" w:rsidP="0025209D">
      <w:pPr>
        <w:pStyle w:val="FootnoteText"/>
        <w:ind w:firstLine="720"/>
        <w:jc w:val="both"/>
        <w:rPr>
          <w:rFonts w:ascii="Cambria" w:hAnsi="Cambria"/>
          <w:sz w:val="16"/>
          <w:szCs w:val="16"/>
          <w:lang w:val="es-VE"/>
        </w:rPr>
      </w:pPr>
      <w:r w:rsidRPr="006443E9">
        <w:rPr>
          <w:rStyle w:val="FootnoteReference"/>
          <w:rFonts w:ascii="Cambria" w:hAnsi="Cambria"/>
          <w:sz w:val="16"/>
          <w:szCs w:val="16"/>
        </w:rPr>
        <w:footnoteRef/>
      </w:r>
      <w:r w:rsidRPr="006443E9">
        <w:rPr>
          <w:rFonts w:ascii="Cambria" w:hAnsi="Cambria"/>
          <w:sz w:val="16"/>
          <w:szCs w:val="16"/>
          <w:lang w:val="es-VE"/>
        </w:rPr>
        <w:t xml:space="preserve"> Ver por ejemplo el artículo 47 del Código Procesal Penal de República Dominicana,  artículo 34 del Código Procesal Penal de Costa Rica y artículo 33 del Código Procesal Penal de Guatemala.  </w:t>
      </w:r>
    </w:p>
  </w:footnote>
  <w:footnote w:id="140">
    <w:p w14:paraId="57E2F784" w14:textId="77777777" w:rsidR="009D3775" w:rsidRPr="006443E9" w:rsidRDefault="009D3775" w:rsidP="0025209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Cambria" w:hAnsi="Cambria"/>
          <w:sz w:val="16"/>
          <w:szCs w:val="16"/>
          <w:lang w:val="es-ES" w:eastAsia="es-ES"/>
        </w:rPr>
      </w:pPr>
      <w:r w:rsidRPr="006443E9">
        <w:rPr>
          <w:rStyle w:val="FootnoteReference"/>
          <w:rFonts w:ascii="Cambria" w:hAnsi="Cambria"/>
          <w:sz w:val="16"/>
          <w:szCs w:val="16"/>
        </w:rPr>
        <w:footnoteRef/>
      </w:r>
      <w:r w:rsidRPr="006443E9">
        <w:rPr>
          <w:rFonts w:ascii="Cambria" w:hAnsi="Cambria"/>
          <w:sz w:val="16"/>
          <w:szCs w:val="16"/>
          <w:lang w:val="es-VE"/>
        </w:rPr>
        <w:t xml:space="preserve"> </w:t>
      </w:r>
      <w:r w:rsidRPr="006443E9">
        <w:rPr>
          <w:rFonts w:ascii="Cambria" w:hAnsi="Cambria"/>
          <w:sz w:val="16"/>
          <w:szCs w:val="16"/>
          <w:lang w:val="es-ES" w:eastAsia="es-ES"/>
        </w:rPr>
        <w:t xml:space="preserve">El artículo I de la Declaración Americana de los Derechos y Deberes del Hombre establece que: </w:t>
      </w:r>
      <w:r w:rsidRPr="006443E9">
        <w:rPr>
          <w:rFonts w:ascii="Cambria" w:eastAsia="Cambria" w:hAnsi="Cambria" w:cs="Verdana"/>
          <w:sz w:val="16"/>
          <w:szCs w:val="16"/>
          <w:u w:color="000000"/>
          <w:lang w:val="es-ES" w:eastAsia="es-ES" w:bidi="en-US"/>
        </w:rPr>
        <w:t xml:space="preserve">“Todo ser humano tiene derecho a la vida, a la libertad y a la seguridad de su persona”. </w:t>
      </w:r>
    </w:p>
  </w:footnote>
  <w:footnote w:id="141">
    <w:p w14:paraId="393E6E53" w14:textId="77777777" w:rsidR="009D3775" w:rsidRPr="006443E9" w:rsidRDefault="009D3775" w:rsidP="002C022F">
      <w:pPr>
        <w:pStyle w:val="FootnoteText"/>
        <w:ind w:firstLine="720"/>
        <w:jc w:val="both"/>
        <w:rPr>
          <w:rFonts w:ascii="Cambria" w:hAnsi="Cambria"/>
          <w:sz w:val="16"/>
          <w:szCs w:val="16"/>
          <w:lang w:val="es-VE"/>
        </w:rPr>
      </w:pPr>
      <w:r w:rsidRPr="006443E9">
        <w:rPr>
          <w:rStyle w:val="FootnoteReference"/>
          <w:rFonts w:ascii="Cambria" w:hAnsi="Cambria"/>
          <w:sz w:val="16"/>
          <w:szCs w:val="16"/>
        </w:rPr>
        <w:footnoteRef/>
      </w:r>
      <w:r w:rsidRPr="006443E9">
        <w:rPr>
          <w:rFonts w:ascii="Cambria" w:hAnsi="Cambria"/>
          <w:sz w:val="16"/>
          <w:szCs w:val="16"/>
          <w:lang w:val="es-VE"/>
        </w:rPr>
        <w:t xml:space="preserve"> CIDH, Informe No. 83/13, Caso 12.595, 12.596 y 12.621, Fondo, Ana Teresa Yarce y otras (Comuna 13), Colombia, 4 de noviembre de 2013, Párr.250.</w:t>
      </w:r>
    </w:p>
  </w:footnote>
  <w:footnote w:id="142">
    <w:p w14:paraId="2B1B4B28" w14:textId="77777777" w:rsidR="009D3775" w:rsidRPr="006443E9" w:rsidRDefault="009D3775" w:rsidP="0087692F">
      <w:pPr>
        <w:pStyle w:val="FootnoteText"/>
        <w:ind w:firstLine="720"/>
        <w:rPr>
          <w:rFonts w:asciiTheme="majorHAnsi" w:hAnsiTheme="majorHAnsi"/>
          <w:sz w:val="16"/>
          <w:szCs w:val="16"/>
          <w:lang w:val="pt-BR"/>
        </w:rPr>
      </w:pPr>
      <w:r w:rsidRPr="006443E9">
        <w:rPr>
          <w:rStyle w:val="FootnoteReference"/>
          <w:rFonts w:asciiTheme="majorHAnsi" w:hAnsiTheme="majorHAnsi"/>
          <w:sz w:val="16"/>
          <w:szCs w:val="16"/>
        </w:rPr>
        <w:footnoteRef/>
      </w:r>
      <w:r w:rsidRPr="006443E9">
        <w:rPr>
          <w:rFonts w:asciiTheme="majorHAnsi" w:hAnsiTheme="majorHAnsi"/>
          <w:sz w:val="16"/>
          <w:szCs w:val="16"/>
          <w:lang w:val="pt-BR"/>
        </w:rPr>
        <w:t xml:space="preserve"> CIDH, Informe No. 24/98, Caso 11.287, Joao Canuto de Olivera, Brasil, 7 de abril de 1998, párr.48.</w:t>
      </w:r>
    </w:p>
  </w:footnote>
  <w:footnote w:id="143">
    <w:p w14:paraId="511F11AD" w14:textId="77777777" w:rsidR="009D3775" w:rsidRPr="006443E9" w:rsidRDefault="009D3775" w:rsidP="002C022F">
      <w:pPr>
        <w:pStyle w:val="FootnoteText"/>
        <w:spacing w:after="120"/>
        <w:ind w:firstLine="720"/>
        <w:jc w:val="both"/>
        <w:rPr>
          <w:rFonts w:ascii="Cambria" w:hAnsi="Cambria"/>
          <w:color w:val="auto"/>
          <w:sz w:val="16"/>
          <w:szCs w:val="16"/>
        </w:rPr>
      </w:pPr>
      <w:r w:rsidRPr="006443E9">
        <w:rPr>
          <w:rStyle w:val="FootnoteReference"/>
          <w:rFonts w:ascii="Cambria" w:hAnsi="Cambria"/>
          <w:color w:val="auto"/>
          <w:sz w:val="16"/>
          <w:szCs w:val="16"/>
        </w:rPr>
        <w:footnoteRef/>
      </w:r>
      <w:r>
        <w:rPr>
          <w:rFonts w:ascii="Cambria" w:hAnsi="Cambria"/>
          <w:color w:val="auto"/>
          <w:sz w:val="16"/>
          <w:szCs w:val="16"/>
          <w:lang w:val="es-VE"/>
        </w:rPr>
        <w:t xml:space="preserve"> Corte IDH</w:t>
      </w:r>
      <w:r w:rsidRPr="006443E9">
        <w:rPr>
          <w:rFonts w:ascii="Cambria" w:hAnsi="Cambria"/>
          <w:color w:val="auto"/>
          <w:sz w:val="16"/>
          <w:szCs w:val="16"/>
          <w:lang w:val="es-VE"/>
        </w:rPr>
        <w:t xml:space="preserve">, </w:t>
      </w:r>
      <w:hyperlink r:id="rId10" w:history="1">
        <w:r w:rsidRPr="006443E9">
          <w:rPr>
            <w:rStyle w:val="Hyperlink"/>
            <w:rFonts w:ascii="Cambria" w:hAnsi="Cambria"/>
            <w:color w:val="auto"/>
            <w:sz w:val="16"/>
            <w:szCs w:val="16"/>
            <w:shd w:val="clear" w:color="auto" w:fill="FFFFFF"/>
            <w:lang w:val="es-ES"/>
          </w:rPr>
          <w:t>Caso Castillo González y otros Vs. Venezuela. Fondo. Sentencia de 27 de noviembre de 2012. Serie C No. 256</w:t>
        </w:r>
      </w:hyperlink>
      <w:r w:rsidRPr="006443E9">
        <w:rPr>
          <w:rFonts w:ascii="Cambria" w:hAnsi="Cambria"/>
          <w:color w:val="auto"/>
          <w:sz w:val="16"/>
          <w:szCs w:val="16"/>
          <w:lang w:val="es-ES"/>
        </w:rPr>
        <w:t xml:space="preserve">, párr. </w:t>
      </w:r>
      <w:r w:rsidRPr="006443E9">
        <w:rPr>
          <w:rFonts w:ascii="Cambria" w:hAnsi="Cambria"/>
          <w:color w:val="auto"/>
          <w:sz w:val="16"/>
          <w:szCs w:val="16"/>
        </w:rPr>
        <w:t>127.</w:t>
      </w:r>
    </w:p>
  </w:footnote>
  <w:footnote w:id="144">
    <w:p w14:paraId="2FF5F303" w14:textId="77777777" w:rsidR="009D3775" w:rsidRPr="006443E9" w:rsidRDefault="009D3775" w:rsidP="002C022F">
      <w:pPr>
        <w:pStyle w:val="FootnoteText"/>
        <w:spacing w:after="120"/>
        <w:ind w:firstLine="720"/>
        <w:jc w:val="both"/>
        <w:rPr>
          <w:rFonts w:ascii="Cambria" w:hAnsi="Cambria"/>
          <w:color w:val="auto"/>
          <w:sz w:val="16"/>
          <w:szCs w:val="16"/>
          <w:lang w:val="es-ES"/>
        </w:rPr>
      </w:pPr>
      <w:r w:rsidRPr="006443E9">
        <w:rPr>
          <w:rStyle w:val="FootnoteReference"/>
          <w:rFonts w:ascii="Cambria" w:hAnsi="Cambria"/>
          <w:color w:val="auto"/>
          <w:sz w:val="16"/>
          <w:szCs w:val="16"/>
        </w:rPr>
        <w:footnoteRef/>
      </w:r>
      <w:r w:rsidRPr="006443E9">
        <w:rPr>
          <w:rFonts w:ascii="Cambria" w:hAnsi="Cambria"/>
          <w:color w:val="auto"/>
          <w:sz w:val="16"/>
          <w:szCs w:val="16"/>
        </w:rPr>
        <w:t xml:space="preserve"> ECHR.  </w:t>
      </w:r>
      <w:r w:rsidRPr="006443E9">
        <w:rPr>
          <w:rFonts w:ascii="Cambria" w:hAnsi="Cambria"/>
          <w:i/>
          <w:color w:val="auto"/>
          <w:sz w:val="16"/>
          <w:szCs w:val="16"/>
        </w:rPr>
        <w:t>Khaindrava and Dzamashvili v. Georgia</w:t>
      </w:r>
      <w:r w:rsidRPr="006443E9">
        <w:rPr>
          <w:rFonts w:ascii="Cambria" w:hAnsi="Cambria"/>
          <w:color w:val="auto"/>
          <w:sz w:val="16"/>
          <w:szCs w:val="16"/>
        </w:rPr>
        <w:t xml:space="preserve">, Judgment of September 8, 2010, para. 58: </w:t>
      </w:r>
      <w:r w:rsidRPr="006443E9">
        <w:rPr>
          <w:rStyle w:val="ju-005fpara--char"/>
          <w:rFonts w:ascii="Cambria" w:hAnsi="Cambria"/>
          <w:i/>
          <w:iCs/>
          <w:color w:val="auto"/>
          <w:sz w:val="16"/>
          <w:szCs w:val="16"/>
        </w:rPr>
        <w:t>McCann and Others v. the United Kingdom</w:t>
      </w:r>
      <w:r w:rsidRPr="006443E9">
        <w:rPr>
          <w:rFonts w:ascii="Cambria" w:hAnsi="Cambria"/>
          <w:color w:val="auto"/>
          <w:sz w:val="16"/>
          <w:szCs w:val="16"/>
        </w:rPr>
        <w:t xml:space="preserve">. Judgment of September 27, 1995, paras. </w:t>
      </w:r>
      <w:r w:rsidRPr="006443E9">
        <w:rPr>
          <w:rFonts w:ascii="Cambria" w:hAnsi="Cambria"/>
          <w:color w:val="auto"/>
          <w:sz w:val="16"/>
          <w:szCs w:val="16"/>
          <w:lang w:val="es-ES"/>
        </w:rPr>
        <w:t xml:space="preserve">49 and 161; y </w:t>
      </w:r>
      <w:r w:rsidRPr="006443E9">
        <w:rPr>
          <w:rStyle w:val="ju-005fpara--char"/>
          <w:rFonts w:ascii="Cambria" w:hAnsi="Cambria"/>
          <w:i/>
          <w:iCs/>
          <w:color w:val="auto"/>
          <w:sz w:val="16"/>
          <w:szCs w:val="16"/>
          <w:lang w:val="es-ES"/>
        </w:rPr>
        <w:t xml:space="preserve">Mastromatteo v. Italy. </w:t>
      </w:r>
      <w:r w:rsidRPr="006443E9">
        <w:rPr>
          <w:rStyle w:val="ju-005fpara--char"/>
          <w:rFonts w:ascii="Cambria" w:hAnsi="Cambria"/>
          <w:iCs/>
          <w:color w:val="auto"/>
          <w:sz w:val="16"/>
          <w:szCs w:val="16"/>
          <w:lang w:val="es-ES"/>
        </w:rPr>
        <w:t xml:space="preserve">Judgment of </w:t>
      </w:r>
      <w:r w:rsidRPr="006443E9">
        <w:rPr>
          <w:rFonts w:ascii="Cambria" w:hAnsi="Cambria"/>
          <w:color w:val="auto"/>
          <w:sz w:val="16"/>
          <w:szCs w:val="16"/>
          <w:lang w:val="es-ES"/>
        </w:rPr>
        <w:t xml:space="preserve">October 24, 2002, para. 89. </w:t>
      </w:r>
    </w:p>
  </w:footnote>
  <w:footnote w:id="145">
    <w:p w14:paraId="097899C7" w14:textId="77777777" w:rsidR="009D3775" w:rsidRPr="006443E9" w:rsidRDefault="009D3775" w:rsidP="002C022F">
      <w:pPr>
        <w:pStyle w:val="FootnoteText"/>
        <w:spacing w:after="120"/>
        <w:ind w:firstLine="720"/>
        <w:jc w:val="both"/>
        <w:rPr>
          <w:rFonts w:ascii="Cambria" w:hAnsi="Cambria"/>
          <w:color w:val="auto"/>
          <w:sz w:val="16"/>
          <w:szCs w:val="16"/>
          <w:lang w:val="es-ES"/>
        </w:rPr>
      </w:pPr>
      <w:r w:rsidRPr="006443E9">
        <w:rPr>
          <w:rStyle w:val="FootnoteReference"/>
          <w:rFonts w:ascii="Cambria" w:hAnsi="Cambria"/>
          <w:color w:val="auto"/>
          <w:sz w:val="16"/>
          <w:szCs w:val="16"/>
        </w:rPr>
        <w:footnoteRef/>
      </w:r>
      <w:r w:rsidRPr="006443E9">
        <w:rPr>
          <w:rFonts w:ascii="Cambria" w:hAnsi="Cambria"/>
          <w:color w:val="auto"/>
          <w:sz w:val="16"/>
          <w:szCs w:val="16"/>
          <w:lang w:val="es-ES"/>
        </w:rPr>
        <w:t xml:space="preserve"> CIDH, Informe No. 120/10, Caso 12.605, Fondo, Joe Luis Castillo González, Venezuela, 22 de octubre de 2010, párr. 109.</w:t>
      </w:r>
    </w:p>
  </w:footnote>
  <w:footnote w:id="146">
    <w:p w14:paraId="72B0190B" w14:textId="77777777" w:rsidR="009D3775" w:rsidRPr="006443E9" w:rsidRDefault="009D3775" w:rsidP="002C022F">
      <w:pPr>
        <w:pStyle w:val="FootnoteText"/>
        <w:spacing w:after="120"/>
        <w:ind w:firstLine="720"/>
        <w:jc w:val="both"/>
        <w:rPr>
          <w:rFonts w:ascii="Cambria" w:hAnsi="Cambria"/>
          <w:color w:val="auto"/>
          <w:sz w:val="16"/>
          <w:szCs w:val="16"/>
          <w:lang w:val="es-ES"/>
        </w:rPr>
      </w:pPr>
      <w:r w:rsidRPr="006443E9">
        <w:rPr>
          <w:rStyle w:val="FootnoteReference"/>
          <w:rFonts w:ascii="Cambria" w:hAnsi="Cambria"/>
          <w:color w:val="auto"/>
          <w:sz w:val="16"/>
          <w:szCs w:val="16"/>
        </w:rPr>
        <w:footnoteRef/>
      </w:r>
      <w:r w:rsidRPr="006443E9">
        <w:rPr>
          <w:rFonts w:ascii="Cambria" w:hAnsi="Cambria"/>
          <w:color w:val="auto"/>
          <w:sz w:val="16"/>
          <w:szCs w:val="16"/>
          <w:lang w:val="es-VE"/>
        </w:rPr>
        <w:t xml:space="preserve"> Corte IDH, </w:t>
      </w:r>
      <w:r w:rsidRPr="006443E9">
        <w:rPr>
          <w:rFonts w:ascii="Cambria" w:hAnsi="Cambria"/>
          <w:i/>
          <w:color w:val="auto"/>
          <w:sz w:val="16"/>
          <w:szCs w:val="16"/>
          <w:lang w:val="es-VE"/>
        </w:rPr>
        <w:t xml:space="preserve">Caso Kawas Fernández Vs. </w:t>
      </w:r>
      <w:r w:rsidRPr="006443E9">
        <w:rPr>
          <w:rFonts w:ascii="Cambria" w:hAnsi="Cambria"/>
          <w:i/>
          <w:color w:val="auto"/>
          <w:sz w:val="16"/>
          <w:szCs w:val="16"/>
          <w:lang w:val="es-ES_tradnl"/>
        </w:rPr>
        <w:t>Honduras</w:t>
      </w:r>
      <w:r w:rsidRPr="006443E9">
        <w:rPr>
          <w:rFonts w:ascii="Cambria" w:hAnsi="Cambria"/>
          <w:color w:val="auto"/>
          <w:sz w:val="16"/>
          <w:szCs w:val="16"/>
          <w:lang w:val="es-ES_tradnl"/>
        </w:rPr>
        <w:t>. Fondo, Reparaciones y Costas. Sentencia de 3 de abril de 2009 Serie C No. 196, párr. 97.</w:t>
      </w:r>
    </w:p>
  </w:footnote>
  <w:footnote w:id="147">
    <w:p w14:paraId="68BDAC36" w14:textId="77777777" w:rsidR="009D3775" w:rsidRPr="006443E9" w:rsidRDefault="009D3775" w:rsidP="002C022F">
      <w:pPr>
        <w:pStyle w:val="FootnoteText"/>
        <w:spacing w:after="120"/>
        <w:ind w:firstLine="720"/>
        <w:jc w:val="both"/>
        <w:rPr>
          <w:rFonts w:ascii="Cambria" w:hAnsi="Cambria"/>
          <w:color w:val="auto"/>
          <w:sz w:val="16"/>
          <w:szCs w:val="16"/>
          <w:lang w:val="es-ES_tradnl"/>
        </w:rPr>
      </w:pPr>
      <w:r w:rsidRPr="006443E9">
        <w:rPr>
          <w:rStyle w:val="FootnoteReference"/>
          <w:rFonts w:ascii="Cambria" w:hAnsi="Cambria"/>
          <w:color w:val="auto"/>
          <w:sz w:val="16"/>
          <w:szCs w:val="16"/>
        </w:rPr>
        <w:footnoteRef/>
      </w:r>
      <w:r w:rsidRPr="006443E9">
        <w:rPr>
          <w:rFonts w:ascii="Cambria" w:hAnsi="Cambria"/>
          <w:color w:val="auto"/>
          <w:sz w:val="16"/>
          <w:szCs w:val="16"/>
          <w:lang w:val="es-VE"/>
        </w:rPr>
        <w:t xml:space="preserve"> Corte IDH, </w:t>
      </w:r>
      <w:r w:rsidRPr="006443E9">
        <w:rPr>
          <w:rFonts w:ascii="Cambria" w:hAnsi="Cambria"/>
          <w:i/>
          <w:color w:val="auto"/>
          <w:sz w:val="16"/>
          <w:szCs w:val="16"/>
          <w:lang w:val="es-VE"/>
        </w:rPr>
        <w:t xml:space="preserve">Caso Kawas Fernández Vs. </w:t>
      </w:r>
      <w:r w:rsidRPr="006443E9">
        <w:rPr>
          <w:rFonts w:ascii="Cambria" w:hAnsi="Cambria"/>
          <w:i/>
          <w:color w:val="auto"/>
          <w:sz w:val="16"/>
          <w:szCs w:val="16"/>
          <w:lang w:val="es-ES_tradnl"/>
        </w:rPr>
        <w:t>Honduras</w:t>
      </w:r>
      <w:r w:rsidRPr="006443E9">
        <w:rPr>
          <w:rFonts w:ascii="Cambria" w:hAnsi="Cambria"/>
          <w:color w:val="auto"/>
          <w:sz w:val="16"/>
          <w:szCs w:val="16"/>
          <w:lang w:val="es-ES_tradnl"/>
        </w:rPr>
        <w:t>. Fondo, Reparaciones y Costas. Sentencia de 3 de abril de 2009 Serie C No. 196, párr. 97.</w:t>
      </w:r>
    </w:p>
  </w:footnote>
  <w:footnote w:id="148">
    <w:p w14:paraId="4F847F23" w14:textId="77777777" w:rsidR="009D3775" w:rsidRPr="006443E9" w:rsidRDefault="009D3775" w:rsidP="002C022F">
      <w:pPr>
        <w:pStyle w:val="FootnoteText"/>
        <w:spacing w:after="120"/>
        <w:ind w:firstLine="720"/>
        <w:jc w:val="both"/>
        <w:rPr>
          <w:rFonts w:ascii="Cambria" w:hAnsi="Cambria"/>
          <w:color w:val="auto"/>
          <w:sz w:val="16"/>
          <w:szCs w:val="16"/>
          <w:lang w:val="es-ES"/>
        </w:rPr>
      </w:pPr>
      <w:r w:rsidRPr="006443E9">
        <w:rPr>
          <w:rStyle w:val="FootnoteReference"/>
          <w:rFonts w:ascii="Cambria" w:hAnsi="Cambria"/>
          <w:color w:val="auto"/>
          <w:sz w:val="16"/>
          <w:szCs w:val="16"/>
        </w:rPr>
        <w:footnoteRef/>
      </w:r>
      <w:r w:rsidRPr="00F040C7">
        <w:rPr>
          <w:rFonts w:ascii="Cambria" w:hAnsi="Cambria"/>
          <w:color w:val="auto"/>
          <w:sz w:val="16"/>
          <w:szCs w:val="16"/>
          <w:lang w:val="es-US"/>
        </w:rPr>
        <w:t xml:space="preserve"> Corte IDH, </w:t>
      </w:r>
      <w:hyperlink r:id="rId11" w:history="1">
        <w:r w:rsidRPr="00F040C7">
          <w:rPr>
            <w:rStyle w:val="Hyperlink"/>
            <w:rFonts w:ascii="Cambria" w:hAnsi="Cambria"/>
            <w:color w:val="auto"/>
            <w:sz w:val="16"/>
            <w:szCs w:val="16"/>
            <w:shd w:val="clear" w:color="auto" w:fill="FFFFFF"/>
            <w:lang w:val="es-US"/>
          </w:rPr>
          <w:t xml:space="preserve">Caso J. Vs. </w:t>
        </w:r>
        <w:r w:rsidRPr="006443E9">
          <w:rPr>
            <w:rStyle w:val="Hyperlink"/>
            <w:rFonts w:ascii="Cambria" w:hAnsi="Cambria"/>
            <w:color w:val="auto"/>
            <w:sz w:val="16"/>
            <w:szCs w:val="16"/>
            <w:shd w:val="clear" w:color="auto" w:fill="FFFFFF"/>
            <w:lang w:val="es-ES"/>
          </w:rPr>
          <w:t>Perú. Excepción Preliminar, Fondo, Reparaciones y Costas. Sentencia de 27 de noviembre de 2013. Serie C No. 275</w:t>
        </w:r>
      </w:hyperlink>
      <w:r w:rsidRPr="006443E9">
        <w:rPr>
          <w:rFonts w:ascii="Cambria" w:hAnsi="Cambria"/>
          <w:color w:val="auto"/>
          <w:sz w:val="16"/>
          <w:szCs w:val="16"/>
          <w:lang w:val="es-ES"/>
        </w:rPr>
        <w:t>, párr. 353.</w:t>
      </w:r>
    </w:p>
  </w:footnote>
  <w:footnote w:id="149">
    <w:p w14:paraId="290E54A8" w14:textId="77777777" w:rsidR="009D3775" w:rsidRPr="006443E9" w:rsidRDefault="009D3775" w:rsidP="002C022F">
      <w:pPr>
        <w:pStyle w:val="FootnoteText"/>
        <w:spacing w:after="120"/>
        <w:ind w:firstLine="720"/>
        <w:jc w:val="both"/>
        <w:rPr>
          <w:rFonts w:ascii="Cambria" w:hAnsi="Cambria"/>
          <w:color w:val="auto"/>
          <w:sz w:val="16"/>
          <w:szCs w:val="16"/>
          <w:lang w:val="es-ES"/>
        </w:rPr>
      </w:pPr>
      <w:r w:rsidRPr="006443E9">
        <w:rPr>
          <w:rStyle w:val="FootnoteReference"/>
          <w:rFonts w:ascii="Cambria" w:hAnsi="Cambria"/>
          <w:color w:val="auto"/>
          <w:sz w:val="16"/>
          <w:szCs w:val="16"/>
        </w:rPr>
        <w:footnoteRef/>
      </w:r>
      <w:r w:rsidRPr="00F040C7">
        <w:rPr>
          <w:rFonts w:ascii="Cambria" w:hAnsi="Cambria"/>
          <w:color w:val="auto"/>
          <w:sz w:val="16"/>
          <w:szCs w:val="16"/>
          <w:lang w:val="es-US"/>
        </w:rPr>
        <w:t xml:space="preserve"> Corte IDH, </w:t>
      </w:r>
      <w:hyperlink r:id="rId12" w:history="1">
        <w:r w:rsidRPr="00F040C7">
          <w:rPr>
            <w:rStyle w:val="Hyperlink"/>
            <w:rFonts w:ascii="Cambria" w:hAnsi="Cambria"/>
            <w:color w:val="auto"/>
            <w:sz w:val="16"/>
            <w:szCs w:val="16"/>
            <w:shd w:val="clear" w:color="auto" w:fill="FFFFFF"/>
            <w:lang w:val="es-US"/>
          </w:rPr>
          <w:t xml:space="preserve">Caso J. Vs. </w:t>
        </w:r>
        <w:r w:rsidRPr="006443E9">
          <w:rPr>
            <w:rStyle w:val="Hyperlink"/>
            <w:rFonts w:ascii="Cambria" w:hAnsi="Cambria"/>
            <w:color w:val="auto"/>
            <w:sz w:val="16"/>
            <w:szCs w:val="16"/>
            <w:shd w:val="clear" w:color="auto" w:fill="FFFFFF"/>
            <w:lang w:val="es-ES"/>
          </w:rPr>
          <w:t>Perú. Excepción Preliminar, Fondo, Reparaciones y Costas. Sentencia de 27 de noviembre de 2013. Serie C No. 275</w:t>
        </w:r>
      </w:hyperlink>
      <w:r w:rsidRPr="006443E9">
        <w:rPr>
          <w:rFonts w:ascii="Cambria" w:hAnsi="Cambria"/>
          <w:color w:val="auto"/>
          <w:sz w:val="16"/>
          <w:szCs w:val="16"/>
          <w:lang w:val="es-ES"/>
        </w:rPr>
        <w:t>, párr. 354.</w:t>
      </w:r>
    </w:p>
  </w:footnote>
  <w:footnote w:id="150">
    <w:p w14:paraId="25D27CEF" w14:textId="77777777" w:rsidR="009D3775" w:rsidRPr="006443E9" w:rsidRDefault="009D3775" w:rsidP="002C022F">
      <w:pPr>
        <w:ind w:firstLine="720"/>
        <w:jc w:val="both"/>
        <w:rPr>
          <w:rFonts w:ascii="Cambria" w:hAnsi="Cambria"/>
          <w:sz w:val="16"/>
          <w:szCs w:val="16"/>
          <w:lang w:val="es-PE"/>
        </w:rPr>
      </w:pPr>
      <w:r w:rsidRPr="006443E9">
        <w:rPr>
          <w:rStyle w:val="FootnoteReference"/>
          <w:rFonts w:ascii="Cambria" w:hAnsi="Cambria"/>
          <w:sz w:val="16"/>
          <w:szCs w:val="16"/>
        </w:rPr>
        <w:footnoteRef/>
      </w:r>
      <w:r w:rsidRPr="006443E9">
        <w:rPr>
          <w:rFonts w:ascii="Cambria" w:hAnsi="Cambria"/>
          <w:sz w:val="16"/>
          <w:szCs w:val="16"/>
          <w:lang w:val="es-PE"/>
        </w:rPr>
        <w:t xml:space="preserve"> </w:t>
      </w:r>
      <w:r w:rsidRPr="006443E9">
        <w:rPr>
          <w:rFonts w:ascii="Cambria" w:hAnsi="Cambria"/>
          <w:sz w:val="16"/>
          <w:szCs w:val="16"/>
          <w:lang w:val="es-ES_tradnl"/>
        </w:rPr>
        <w:t xml:space="preserve">Corte IDH, </w:t>
      </w:r>
      <w:r w:rsidRPr="006443E9">
        <w:rPr>
          <w:rFonts w:ascii="Cambria" w:hAnsi="Cambria"/>
          <w:iCs/>
          <w:sz w:val="16"/>
          <w:szCs w:val="16"/>
          <w:lang w:val="es-ES_tradnl"/>
        </w:rPr>
        <w:t>Caso de la “Masacre de Mapiripán” Vs. Colombia</w:t>
      </w:r>
      <w:r w:rsidRPr="006443E9">
        <w:rPr>
          <w:rFonts w:ascii="Cambria" w:hAnsi="Cambria"/>
          <w:sz w:val="16"/>
          <w:szCs w:val="16"/>
          <w:lang w:val="es-ES_tradnl"/>
        </w:rPr>
        <w:t>. Fondo, Reparaciones y Costas. Sentencia de 15 de septiembre de 2005. Serie C No. 134, párr. 111.</w:t>
      </w:r>
    </w:p>
  </w:footnote>
  <w:footnote w:id="151">
    <w:p w14:paraId="170FB6BE" w14:textId="77777777" w:rsidR="009D3775" w:rsidRPr="004C786B" w:rsidRDefault="009D3775" w:rsidP="002C022F">
      <w:pPr>
        <w:pStyle w:val="FootnoteText"/>
        <w:ind w:firstLine="720"/>
        <w:rPr>
          <w:rFonts w:ascii="Cambria" w:hAnsi="Cambria"/>
          <w:sz w:val="16"/>
          <w:szCs w:val="16"/>
          <w:lang w:val="pt-BR"/>
        </w:rPr>
      </w:pPr>
      <w:r w:rsidRPr="006443E9">
        <w:rPr>
          <w:rStyle w:val="FootnoteReference"/>
          <w:rFonts w:ascii="Cambria" w:hAnsi="Cambria"/>
          <w:sz w:val="16"/>
          <w:szCs w:val="16"/>
        </w:rPr>
        <w:footnoteRef/>
      </w:r>
      <w:r w:rsidRPr="006443E9">
        <w:rPr>
          <w:rFonts w:ascii="Cambria" w:hAnsi="Cambria"/>
          <w:sz w:val="16"/>
          <w:szCs w:val="16"/>
          <w:lang w:val="es-VE"/>
        </w:rPr>
        <w:t>Corte IDH. Caso González y otras “Campo Algodoner</w:t>
      </w:r>
      <w:r>
        <w:rPr>
          <w:rFonts w:ascii="Cambria" w:hAnsi="Cambria"/>
          <w:sz w:val="16"/>
          <w:szCs w:val="16"/>
          <w:lang w:val="es-VE"/>
        </w:rPr>
        <w:t>o</w:t>
      </w:r>
      <w:r w:rsidRPr="006443E9">
        <w:rPr>
          <w:rFonts w:ascii="Cambria" w:hAnsi="Cambria"/>
          <w:sz w:val="16"/>
          <w:szCs w:val="16"/>
          <w:lang w:val="es-VE"/>
        </w:rPr>
        <w:t xml:space="preserve"> vs. México.</w:t>
      </w:r>
      <w:r w:rsidRPr="006443E9">
        <w:rPr>
          <w:rFonts w:ascii="Cambria" w:hAnsi="Cambria"/>
          <w:color w:val="auto"/>
          <w:sz w:val="16"/>
          <w:szCs w:val="16"/>
          <w:lang w:val="es-ES_tradnl"/>
        </w:rPr>
        <w:t xml:space="preserve"> </w:t>
      </w:r>
      <w:r w:rsidRPr="004C786B">
        <w:rPr>
          <w:rFonts w:ascii="Cambria" w:hAnsi="Cambria"/>
          <w:color w:val="auto"/>
          <w:sz w:val="16"/>
          <w:szCs w:val="16"/>
          <w:lang w:val="pt-BR"/>
        </w:rPr>
        <w:t>Sentencia de 16 de noviembre de 2009.</w:t>
      </w:r>
    </w:p>
  </w:footnote>
  <w:footnote w:id="152">
    <w:p w14:paraId="50E2494D" w14:textId="77777777" w:rsidR="009D3775" w:rsidRPr="004C786B" w:rsidRDefault="009D3775" w:rsidP="005047AB">
      <w:pPr>
        <w:pStyle w:val="FootnoteText"/>
        <w:ind w:firstLine="720"/>
        <w:rPr>
          <w:rFonts w:asciiTheme="majorHAnsi" w:hAnsiTheme="majorHAnsi"/>
          <w:sz w:val="16"/>
          <w:szCs w:val="16"/>
          <w:lang w:val="es-VE"/>
        </w:rPr>
      </w:pPr>
      <w:r w:rsidRPr="006443E9">
        <w:rPr>
          <w:rStyle w:val="FootnoteReference"/>
          <w:rFonts w:asciiTheme="majorHAnsi" w:hAnsiTheme="majorHAnsi"/>
          <w:sz w:val="16"/>
          <w:szCs w:val="16"/>
        </w:rPr>
        <w:footnoteRef/>
      </w:r>
      <w:r w:rsidRPr="006443E9">
        <w:rPr>
          <w:rFonts w:asciiTheme="majorHAnsi" w:hAnsiTheme="majorHAnsi"/>
          <w:sz w:val="16"/>
          <w:szCs w:val="16"/>
          <w:lang w:val="pt-BR"/>
        </w:rPr>
        <w:t xml:space="preserve"> Ver CIDH, Informe No. 24/98, Caso 11.287, Joao Canuto Oliveira, Brasil, 7 de abril de 1998, párr. </w:t>
      </w:r>
      <w:r w:rsidRPr="004C786B">
        <w:rPr>
          <w:rFonts w:asciiTheme="majorHAnsi" w:hAnsiTheme="majorHAnsi"/>
          <w:sz w:val="16"/>
          <w:szCs w:val="16"/>
          <w:lang w:val="es-VE"/>
        </w:rPr>
        <w:t>53.</w:t>
      </w:r>
    </w:p>
  </w:footnote>
  <w:footnote w:id="153">
    <w:p w14:paraId="1422E43E" w14:textId="77777777" w:rsidR="009D3775" w:rsidRPr="006443E9" w:rsidRDefault="009D3775" w:rsidP="0025209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firstLine="720"/>
        <w:jc w:val="both"/>
        <w:rPr>
          <w:rFonts w:ascii="Cambria" w:hAnsi="Cambria"/>
          <w:sz w:val="16"/>
          <w:szCs w:val="16"/>
          <w:lang w:val="es-ES" w:eastAsia="es-ES"/>
        </w:rPr>
      </w:pPr>
      <w:r w:rsidRPr="006443E9">
        <w:rPr>
          <w:rStyle w:val="FootnoteReference"/>
          <w:rFonts w:ascii="Cambria" w:hAnsi="Cambria"/>
          <w:sz w:val="16"/>
          <w:szCs w:val="16"/>
        </w:rPr>
        <w:footnoteRef/>
      </w:r>
      <w:r w:rsidRPr="006443E9">
        <w:rPr>
          <w:rFonts w:ascii="Cambria" w:hAnsi="Cambria"/>
          <w:sz w:val="16"/>
          <w:szCs w:val="16"/>
          <w:lang w:val="es-VE"/>
        </w:rPr>
        <w:t xml:space="preserve"> </w:t>
      </w:r>
      <w:r w:rsidRPr="006443E9">
        <w:rPr>
          <w:rFonts w:ascii="Cambria" w:hAnsi="Cambria"/>
          <w:sz w:val="16"/>
          <w:szCs w:val="16"/>
          <w:lang w:val="es-ES" w:eastAsia="es-ES"/>
        </w:rPr>
        <w:t xml:space="preserve">El artículo XXII de la Declaración Americana de los Derechos y Deberes del Hombre establece que: </w:t>
      </w:r>
      <w:r w:rsidRPr="006443E9">
        <w:rPr>
          <w:rFonts w:ascii="Cambria" w:eastAsia="Cambria" w:hAnsi="Cambria" w:cs="Verdana"/>
          <w:sz w:val="16"/>
          <w:szCs w:val="16"/>
          <w:u w:color="000000"/>
          <w:lang w:val="es-ES" w:eastAsia="es-ES" w:bidi="en-US"/>
        </w:rPr>
        <w:t xml:space="preserve">“Toda persona tiene el derecho de asociarse con otras para promover, ejercer y proteger sus intereses legítimos de orden político, económico, religioso, social, cultural, profesional, sindical o de cualquier otro orden”.  </w:t>
      </w:r>
    </w:p>
  </w:footnote>
  <w:footnote w:id="154">
    <w:p w14:paraId="199AED20" w14:textId="77777777" w:rsidR="009D3775" w:rsidRPr="006443E9" w:rsidRDefault="009D3775" w:rsidP="0025209D">
      <w:pPr>
        <w:pStyle w:val="FootnoteText"/>
        <w:ind w:firstLine="720"/>
        <w:jc w:val="both"/>
        <w:rPr>
          <w:rFonts w:ascii="Cambria" w:hAnsi="Cambria"/>
          <w:sz w:val="16"/>
          <w:szCs w:val="16"/>
          <w:lang w:val="es-VE"/>
        </w:rPr>
      </w:pPr>
      <w:r w:rsidRPr="006443E9">
        <w:rPr>
          <w:rStyle w:val="FootnoteReference"/>
          <w:rFonts w:ascii="Cambria" w:hAnsi="Cambria"/>
          <w:sz w:val="16"/>
          <w:szCs w:val="16"/>
        </w:rPr>
        <w:footnoteRef/>
      </w:r>
      <w:r w:rsidRPr="006443E9">
        <w:rPr>
          <w:rFonts w:ascii="Cambria" w:hAnsi="Cambria"/>
          <w:sz w:val="16"/>
          <w:szCs w:val="16"/>
          <w:lang w:val="es-VE"/>
        </w:rPr>
        <w:t xml:space="preserve"> Tribunal Europeo de Derechos Humanos, caso </w:t>
      </w:r>
      <w:r w:rsidRPr="006443E9">
        <w:rPr>
          <w:rFonts w:ascii="Cambria" w:hAnsi="Cambria"/>
          <w:sz w:val="16"/>
          <w:szCs w:val="16"/>
          <w:lang w:val="es-ES"/>
        </w:rPr>
        <w:t>Ärzte für das Leben” v Austria, Judgment of 21 June 1988, Series A no. 139, párr. 32, citado en Corte IDH,</w:t>
      </w:r>
      <w:r w:rsidRPr="006443E9">
        <w:rPr>
          <w:rFonts w:ascii="Cambria" w:hAnsi="Cambria"/>
          <w:sz w:val="16"/>
          <w:szCs w:val="16"/>
          <w:lang w:val="es-VE"/>
        </w:rPr>
        <w:t xml:space="preserve"> Caso Huilca Tecse vs. Perú, Fondo, Reparaciones y Costas. Sentencia de 3 de marzo de 2005. Serie C No. 121, párr.76.</w:t>
      </w:r>
    </w:p>
  </w:footnote>
  <w:footnote w:id="155">
    <w:p w14:paraId="6787ACDB" w14:textId="77777777" w:rsidR="009D3775" w:rsidRPr="006443E9" w:rsidRDefault="009D3775" w:rsidP="0025209D">
      <w:pPr>
        <w:pStyle w:val="FootnoteText"/>
        <w:ind w:firstLine="720"/>
        <w:jc w:val="both"/>
        <w:rPr>
          <w:rFonts w:ascii="Cambria" w:hAnsi="Cambria"/>
          <w:sz w:val="16"/>
          <w:szCs w:val="16"/>
          <w:lang w:val="es-VE"/>
        </w:rPr>
      </w:pPr>
      <w:r w:rsidRPr="006443E9">
        <w:rPr>
          <w:rStyle w:val="FootnoteReference"/>
          <w:rFonts w:ascii="Cambria" w:hAnsi="Cambria"/>
          <w:sz w:val="16"/>
          <w:szCs w:val="16"/>
        </w:rPr>
        <w:footnoteRef/>
      </w:r>
      <w:r w:rsidRPr="006443E9">
        <w:rPr>
          <w:rFonts w:ascii="Cambria" w:hAnsi="Cambria"/>
          <w:sz w:val="16"/>
          <w:szCs w:val="16"/>
          <w:lang w:val="es-VE"/>
        </w:rPr>
        <w:t xml:space="preserve"> </w:t>
      </w:r>
      <w:r w:rsidRPr="006443E9">
        <w:rPr>
          <w:rFonts w:ascii="Cambria" w:hAnsi="Cambria"/>
          <w:sz w:val="16"/>
          <w:szCs w:val="16"/>
          <w:lang w:val="es-ES"/>
        </w:rPr>
        <w:t>Corte IDH,</w:t>
      </w:r>
      <w:r w:rsidRPr="006443E9">
        <w:rPr>
          <w:rFonts w:ascii="Cambria" w:hAnsi="Cambria"/>
          <w:sz w:val="16"/>
          <w:szCs w:val="16"/>
          <w:lang w:val="es-VE"/>
        </w:rPr>
        <w:t xml:space="preserve"> Caso Huilca Tecse vs. Perú, Fondo, Reparaciones y Costas. Sentencia de 3 de marzo de 2005. Serie C No. 121, párrs 70-71.</w:t>
      </w:r>
    </w:p>
  </w:footnote>
  <w:footnote w:id="156">
    <w:p w14:paraId="5AFF2B4B" w14:textId="77777777" w:rsidR="009D3775" w:rsidRPr="006443E9" w:rsidRDefault="009D3775" w:rsidP="0025209D">
      <w:pPr>
        <w:pStyle w:val="FootnoteText"/>
        <w:ind w:firstLine="720"/>
        <w:jc w:val="both"/>
        <w:rPr>
          <w:rFonts w:ascii="Cambria" w:hAnsi="Cambria"/>
          <w:sz w:val="16"/>
          <w:szCs w:val="16"/>
          <w:lang w:val="es-VE"/>
        </w:rPr>
      </w:pPr>
      <w:r w:rsidRPr="006443E9">
        <w:rPr>
          <w:rStyle w:val="FootnoteReference"/>
          <w:rFonts w:ascii="Cambria" w:hAnsi="Cambria"/>
          <w:sz w:val="16"/>
          <w:szCs w:val="16"/>
        </w:rPr>
        <w:footnoteRef/>
      </w:r>
      <w:r w:rsidRPr="006443E9">
        <w:rPr>
          <w:rFonts w:ascii="Cambria" w:hAnsi="Cambria"/>
          <w:sz w:val="16"/>
          <w:szCs w:val="16"/>
          <w:lang w:val="es-VE"/>
        </w:rPr>
        <w:t>Corte IDH, Caso Baena Ricardo y otros vs. Panamá, Fondo, Reparaciones y Costas. Sentencia de 2 de febrero de 2001, Serie C No. 72, párr.159.</w:t>
      </w:r>
    </w:p>
  </w:footnote>
  <w:footnote w:id="157">
    <w:p w14:paraId="0A2CBF01" w14:textId="77777777" w:rsidR="009D3775" w:rsidRPr="006443E9" w:rsidRDefault="009D3775" w:rsidP="0025209D">
      <w:pPr>
        <w:pStyle w:val="FootnoteText"/>
        <w:ind w:firstLine="720"/>
        <w:jc w:val="both"/>
        <w:rPr>
          <w:rFonts w:ascii="Cambria" w:hAnsi="Cambria"/>
          <w:sz w:val="16"/>
          <w:szCs w:val="16"/>
          <w:lang w:val="es-VE"/>
        </w:rPr>
      </w:pPr>
      <w:r w:rsidRPr="006443E9">
        <w:rPr>
          <w:rStyle w:val="FootnoteReference"/>
          <w:rFonts w:ascii="Cambria" w:hAnsi="Cambria"/>
          <w:sz w:val="16"/>
          <w:szCs w:val="16"/>
        </w:rPr>
        <w:footnoteRef/>
      </w:r>
      <w:r w:rsidRPr="006443E9">
        <w:rPr>
          <w:rFonts w:ascii="Cambria" w:hAnsi="Cambria"/>
          <w:sz w:val="16"/>
          <w:szCs w:val="16"/>
          <w:lang w:val="es-VE"/>
        </w:rPr>
        <w:t xml:space="preserve">CIDH, Informe No. 69/06, Caso 11.171, Fondo, Tomas Lares Cipriano, Guatemala, 21 de octubre de 2006.  Párr.117. </w:t>
      </w:r>
    </w:p>
  </w:footnote>
  <w:footnote w:id="158">
    <w:p w14:paraId="71A84C46" w14:textId="77777777" w:rsidR="009D3775" w:rsidRPr="006443E9" w:rsidRDefault="009D3775" w:rsidP="0025209D">
      <w:pPr>
        <w:pStyle w:val="FootnoteText"/>
        <w:ind w:firstLine="720"/>
        <w:jc w:val="both"/>
        <w:rPr>
          <w:rFonts w:ascii="Cambria" w:hAnsi="Cambria"/>
          <w:sz w:val="16"/>
          <w:szCs w:val="16"/>
          <w:lang w:val="es-VE"/>
        </w:rPr>
      </w:pPr>
      <w:r w:rsidRPr="006443E9">
        <w:rPr>
          <w:rStyle w:val="FootnoteReference"/>
          <w:rFonts w:ascii="Cambria" w:hAnsi="Cambria"/>
          <w:sz w:val="16"/>
          <w:szCs w:val="16"/>
        </w:rPr>
        <w:footnoteRef/>
      </w:r>
      <w:r w:rsidRPr="006443E9">
        <w:rPr>
          <w:rFonts w:ascii="Cambria" w:hAnsi="Cambria"/>
          <w:sz w:val="16"/>
          <w:szCs w:val="16"/>
          <w:lang w:val="es-VE"/>
        </w:rPr>
        <w:t xml:space="preserve"> CIDH, Segundo Informe sobre la situación de las defensoras y los defensores de derechos humanos en las Américas, OEA/Ser.L/V/II.Doc.66, 31 de diciembre de 2011,  párr.157. </w:t>
      </w:r>
    </w:p>
  </w:footnote>
  <w:footnote w:id="159">
    <w:p w14:paraId="6082FB22" w14:textId="77777777" w:rsidR="009D3775" w:rsidRPr="006443E9" w:rsidRDefault="009D3775" w:rsidP="0025209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firstLine="720"/>
        <w:jc w:val="both"/>
        <w:rPr>
          <w:rFonts w:ascii="Cambria" w:hAnsi="Cambria"/>
          <w:sz w:val="16"/>
          <w:szCs w:val="16"/>
          <w:lang w:val="es-ES" w:eastAsia="es-ES"/>
        </w:rPr>
      </w:pPr>
      <w:r w:rsidRPr="006443E9">
        <w:rPr>
          <w:rStyle w:val="FootnoteReference"/>
          <w:rFonts w:ascii="Cambria" w:hAnsi="Cambria"/>
          <w:sz w:val="16"/>
          <w:szCs w:val="16"/>
        </w:rPr>
        <w:footnoteRef/>
      </w:r>
      <w:r w:rsidRPr="006443E9">
        <w:rPr>
          <w:rFonts w:ascii="Cambria" w:hAnsi="Cambria"/>
          <w:sz w:val="16"/>
          <w:szCs w:val="16"/>
          <w:lang w:val="es-VE"/>
        </w:rPr>
        <w:t xml:space="preserve"> </w:t>
      </w:r>
      <w:r w:rsidRPr="006443E9">
        <w:rPr>
          <w:rFonts w:ascii="Cambria" w:hAnsi="Cambria"/>
          <w:sz w:val="16"/>
          <w:szCs w:val="16"/>
          <w:lang w:val="es-ES" w:eastAsia="es-ES"/>
        </w:rPr>
        <w:t xml:space="preserve">El artículo I de la Declaración Americana de los Derechos y Deberes del Hombre establece que: </w:t>
      </w:r>
      <w:r w:rsidRPr="006443E9">
        <w:rPr>
          <w:rFonts w:ascii="Cambria" w:eastAsia="Cambria" w:hAnsi="Cambria" w:cs="Verdana"/>
          <w:sz w:val="16"/>
          <w:szCs w:val="16"/>
          <w:u w:color="000000"/>
          <w:lang w:val="es-ES" w:eastAsia="es-ES" w:bidi="en-US"/>
        </w:rPr>
        <w:t xml:space="preserve">“Todo ser humano tiene derecho a la vida, a la libertad y a la seguridad de su persona”. </w:t>
      </w:r>
    </w:p>
  </w:footnote>
  <w:footnote w:id="160">
    <w:p w14:paraId="1BE94229" w14:textId="77777777" w:rsidR="009D3775" w:rsidRPr="006443E9" w:rsidRDefault="009D3775" w:rsidP="0025209D">
      <w:pPr>
        <w:pStyle w:val="FootnoteText"/>
        <w:ind w:firstLine="720"/>
        <w:jc w:val="both"/>
        <w:rPr>
          <w:rFonts w:ascii="Cambria" w:hAnsi="Cambria"/>
          <w:sz w:val="16"/>
          <w:szCs w:val="16"/>
          <w:lang w:val="es-VE"/>
        </w:rPr>
      </w:pPr>
      <w:r w:rsidRPr="006443E9">
        <w:rPr>
          <w:rStyle w:val="FootnoteReference"/>
          <w:rFonts w:ascii="Cambria" w:hAnsi="Cambria"/>
          <w:sz w:val="16"/>
          <w:szCs w:val="16"/>
        </w:rPr>
        <w:footnoteRef/>
      </w:r>
      <w:r w:rsidRPr="006443E9">
        <w:rPr>
          <w:rFonts w:ascii="Cambria" w:hAnsi="Cambria"/>
          <w:sz w:val="16"/>
          <w:szCs w:val="16"/>
          <w:lang w:val="es-VE"/>
        </w:rPr>
        <w:t xml:space="preserve"> El artículo 5 de la Convención Americana establece: “Toda persona tiene derecho a que se respete su integridad física, psíquica y moral”. </w:t>
      </w:r>
    </w:p>
  </w:footnote>
  <w:footnote w:id="161">
    <w:p w14:paraId="5E9BED91" w14:textId="77777777" w:rsidR="009D3775" w:rsidRPr="006443E9" w:rsidRDefault="009D3775" w:rsidP="0025209D">
      <w:pPr>
        <w:pStyle w:val="FootnoteText"/>
        <w:ind w:firstLine="720"/>
        <w:jc w:val="both"/>
        <w:rPr>
          <w:rFonts w:ascii="Cambria" w:hAnsi="Cambria"/>
          <w:sz w:val="16"/>
          <w:szCs w:val="16"/>
          <w:lang w:val="es-VE"/>
        </w:rPr>
      </w:pPr>
      <w:r w:rsidRPr="006443E9">
        <w:rPr>
          <w:rStyle w:val="FootnoteReference"/>
          <w:rFonts w:ascii="Cambria" w:hAnsi="Cambria"/>
          <w:sz w:val="16"/>
          <w:szCs w:val="16"/>
        </w:rPr>
        <w:footnoteRef/>
      </w:r>
      <w:r w:rsidRPr="006443E9">
        <w:rPr>
          <w:rFonts w:ascii="Cambria" w:hAnsi="Cambria"/>
          <w:sz w:val="16"/>
          <w:szCs w:val="16"/>
          <w:lang w:val="es-VE"/>
        </w:rPr>
        <w:t xml:space="preserve"> Corte IDH, Caso Cantoral Huamaní y García Santa Cruz vs. Perú. Excepción Preliminar, Fondo, Reparaciones y  Costas. Sentencia de 10 de julio de 2007. Serie C No. 167, párr.112.</w:t>
      </w:r>
    </w:p>
  </w:footnote>
  <w:footnote w:id="162">
    <w:p w14:paraId="1EF5C93E" w14:textId="77777777" w:rsidR="009D3775" w:rsidRPr="00115C3D" w:rsidRDefault="009D3775" w:rsidP="0025209D">
      <w:pPr>
        <w:pStyle w:val="FootnoteText"/>
        <w:ind w:firstLine="720"/>
        <w:jc w:val="both"/>
        <w:rPr>
          <w:rFonts w:ascii="Cambria" w:hAnsi="Cambria"/>
          <w:sz w:val="16"/>
          <w:szCs w:val="16"/>
          <w:lang w:val="es-VE"/>
        </w:rPr>
      </w:pPr>
      <w:r w:rsidRPr="006443E9">
        <w:rPr>
          <w:rStyle w:val="FootnoteReference"/>
          <w:rFonts w:ascii="Cambria" w:hAnsi="Cambria"/>
          <w:sz w:val="16"/>
          <w:szCs w:val="16"/>
        </w:rPr>
        <w:footnoteRef/>
      </w:r>
      <w:r w:rsidRPr="006443E9">
        <w:rPr>
          <w:rFonts w:ascii="Cambria" w:hAnsi="Cambria"/>
          <w:sz w:val="16"/>
          <w:szCs w:val="16"/>
          <w:lang w:val="es-VE"/>
        </w:rPr>
        <w:t xml:space="preserve"> Corte IDH, Caso Valle Jaramillo y otros vs. Colombia. Fondo, Reparaciones y Costas. Sentencia de 27 de noviembre de 2008. Serie C No. 192, párr.102.</w:t>
      </w:r>
    </w:p>
  </w:footnote>
  <w:footnote w:id="163">
    <w:p w14:paraId="563602C6" w14:textId="77777777" w:rsidR="009D3775" w:rsidRPr="0079192C" w:rsidRDefault="009D3775" w:rsidP="0079192C">
      <w:pPr>
        <w:pStyle w:val="FootnoteText"/>
        <w:ind w:firstLine="720"/>
        <w:rPr>
          <w:rFonts w:asciiTheme="majorHAnsi" w:hAnsiTheme="majorHAnsi"/>
          <w:sz w:val="16"/>
          <w:szCs w:val="16"/>
          <w:lang w:val="es-VE"/>
        </w:rPr>
      </w:pPr>
      <w:r w:rsidRPr="0079192C">
        <w:rPr>
          <w:rStyle w:val="FootnoteReference"/>
          <w:rFonts w:asciiTheme="majorHAnsi" w:hAnsiTheme="majorHAnsi"/>
          <w:sz w:val="16"/>
          <w:szCs w:val="16"/>
        </w:rPr>
        <w:footnoteRef/>
      </w:r>
      <w:r w:rsidRPr="0079192C">
        <w:rPr>
          <w:rFonts w:asciiTheme="majorHAnsi" w:hAnsiTheme="majorHAnsi"/>
          <w:sz w:val="16"/>
          <w:szCs w:val="16"/>
          <w:lang w:val="es-VE"/>
        </w:rPr>
        <w:t xml:space="preserve"> </w:t>
      </w:r>
      <w:hyperlink r:id="rId13" w:history="1">
        <w:r w:rsidRPr="0079192C">
          <w:rPr>
            <w:rStyle w:val="Hyperlink"/>
            <w:rFonts w:asciiTheme="majorHAnsi" w:hAnsiTheme="majorHAnsi"/>
            <w:sz w:val="16"/>
            <w:szCs w:val="16"/>
            <w:lang w:val="es-VE"/>
          </w:rPr>
          <w:t>Observaciones preliminares de la visita in loco de la CIDH a Brasil</w:t>
        </w:r>
      </w:hyperlink>
      <w:r w:rsidRPr="0079192C">
        <w:rPr>
          <w:rFonts w:asciiTheme="majorHAnsi" w:hAnsiTheme="majorHAnsi"/>
          <w:sz w:val="16"/>
          <w:szCs w:val="16"/>
          <w:lang w:val="es-V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0EDE" w14:textId="77777777" w:rsidR="009D3775" w:rsidRDefault="009D3775" w:rsidP="0071368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95C4413" w14:textId="77777777" w:rsidR="009D3775" w:rsidRDefault="009D3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1548" w14:textId="77777777" w:rsidR="009D3775" w:rsidRDefault="009D3775" w:rsidP="00A50FCF">
    <w:pPr>
      <w:pStyle w:val="Header"/>
      <w:tabs>
        <w:tab w:val="clear" w:pos="4320"/>
        <w:tab w:val="clear" w:pos="8640"/>
      </w:tabs>
      <w:jc w:val="center"/>
      <w:rPr>
        <w:sz w:val="22"/>
        <w:szCs w:val="22"/>
      </w:rPr>
    </w:pPr>
    <w:r>
      <w:rPr>
        <w:noProof/>
        <w:sz w:val="22"/>
        <w:szCs w:val="22"/>
      </w:rPr>
      <w:drawing>
        <wp:inline distT="0" distB="0" distL="0" distR="0" wp14:anchorId="056F73B3" wp14:editId="1FB64D81">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B041438" w14:textId="77777777" w:rsidR="009D3775" w:rsidRPr="00EC7D62" w:rsidRDefault="00825923" w:rsidP="00A50FCF">
    <w:pPr>
      <w:pStyle w:val="Header"/>
      <w:tabs>
        <w:tab w:val="clear" w:pos="4320"/>
        <w:tab w:val="clear" w:pos="8640"/>
      </w:tabs>
      <w:jc w:val="center"/>
      <w:rPr>
        <w:sz w:val="22"/>
        <w:szCs w:val="22"/>
      </w:rPr>
    </w:pPr>
    <w:r>
      <w:rPr>
        <w:noProof/>
        <w:sz w:val="22"/>
        <w:szCs w:val="22"/>
        <w:bdr w:val="nil"/>
      </w:rPr>
      <w:pict w14:anchorId="2FC81F89">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090328C"/>
    <w:lvl w:ilvl="0">
      <w:start w:val="1"/>
      <w:numFmt w:val="bullet"/>
      <w:pStyle w:val="NoSpacing"/>
      <w:lvlText w:val=""/>
      <w:lvlJc w:val="left"/>
      <w:pPr>
        <w:tabs>
          <w:tab w:val="num" w:pos="0"/>
        </w:tabs>
      </w:pPr>
      <w:rPr>
        <w:rFonts w:ascii="Symbol" w:hAnsi="Symbol" w:hint="default"/>
      </w:rPr>
    </w:lvl>
    <w:lvl w:ilvl="1">
      <w:start w:val="1"/>
      <w:numFmt w:val="bullet"/>
      <w:pStyle w:val="LightShading1"/>
      <w:lvlText w:val=""/>
      <w:lvlJc w:val="left"/>
      <w:pPr>
        <w:tabs>
          <w:tab w:val="num" w:pos="720"/>
        </w:tabs>
        <w:ind w:left="1080" w:hanging="360"/>
      </w:pPr>
      <w:rPr>
        <w:rFonts w:ascii="Symbol" w:hAnsi="Symbol" w:hint="default"/>
      </w:rPr>
    </w:lvl>
    <w:lvl w:ilvl="2">
      <w:start w:val="1"/>
      <w:numFmt w:val="bullet"/>
      <w:pStyle w:val="LightList1"/>
      <w:lvlText w:val="o"/>
      <w:lvlJc w:val="left"/>
      <w:pPr>
        <w:tabs>
          <w:tab w:val="num" w:pos="1440"/>
        </w:tabs>
        <w:ind w:left="1800" w:hanging="360"/>
      </w:pPr>
      <w:rPr>
        <w:rFonts w:ascii="Courier New" w:hAnsi="Courier New" w:hint="default"/>
      </w:rPr>
    </w:lvl>
    <w:lvl w:ilvl="3">
      <w:start w:val="1"/>
      <w:numFmt w:val="bullet"/>
      <w:pStyle w:val="LightGrid1"/>
      <w:lvlText w:val=""/>
      <w:lvlJc w:val="left"/>
      <w:pPr>
        <w:tabs>
          <w:tab w:val="num" w:pos="2160"/>
        </w:tabs>
        <w:ind w:left="2520" w:hanging="360"/>
      </w:pPr>
      <w:rPr>
        <w:rFonts w:ascii="Wingdings" w:hAnsi="Wingdings" w:hint="default"/>
      </w:rPr>
    </w:lvl>
    <w:lvl w:ilvl="4">
      <w:start w:val="1"/>
      <w:numFmt w:val="bullet"/>
      <w:pStyle w:val="MediumShading11"/>
      <w:lvlText w:val=""/>
      <w:lvlJc w:val="left"/>
      <w:pPr>
        <w:tabs>
          <w:tab w:val="num" w:pos="2880"/>
        </w:tabs>
        <w:ind w:left="3240" w:hanging="360"/>
      </w:pPr>
      <w:rPr>
        <w:rFonts w:ascii="Wingdings" w:hAnsi="Wingdings" w:hint="default"/>
      </w:rPr>
    </w:lvl>
    <w:lvl w:ilvl="5">
      <w:start w:val="1"/>
      <w:numFmt w:val="bullet"/>
      <w:pStyle w:val="MediumShading21"/>
      <w:lvlText w:val=""/>
      <w:lvlJc w:val="left"/>
      <w:pPr>
        <w:tabs>
          <w:tab w:val="num" w:pos="3600"/>
        </w:tabs>
        <w:ind w:left="3960" w:hanging="360"/>
      </w:pPr>
      <w:rPr>
        <w:rFonts w:ascii="Symbol" w:hAnsi="Symbol" w:hint="default"/>
      </w:rPr>
    </w:lvl>
    <w:lvl w:ilvl="6">
      <w:start w:val="1"/>
      <w:numFmt w:val="bullet"/>
      <w:pStyle w:val="MediumList11"/>
      <w:lvlText w:val="o"/>
      <w:lvlJc w:val="left"/>
      <w:pPr>
        <w:tabs>
          <w:tab w:val="num" w:pos="4320"/>
        </w:tabs>
        <w:ind w:left="4680" w:hanging="360"/>
      </w:pPr>
      <w:rPr>
        <w:rFonts w:ascii="Courier New" w:hAnsi="Courier New" w:hint="default"/>
      </w:rPr>
    </w:lvl>
    <w:lvl w:ilvl="7">
      <w:start w:val="1"/>
      <w:numFmt w:val="bullet"/>
      <w:pStyle w:val="MediumList21"/>
      <w:lvlText w:val=""/>
      <w:lvlJc w:val="left"/>
      <w:pPr>
        <w:tabs>
          <w:tab w:val="num" w:pos="5040"/>
        </w:tabs>
        <w:ind w:left="5400" w:hanging="360"/>
      </w:pPr>
      <w:rPr>
        <w:rFonts w:ascii="Wingdings" w:hAnsi="Wingdings" w:hint="default"/>
      </w:rPr>
    </w:lvl>
    <w:lvl w:ilvl="8">
      <w:start w:val="1"/>
      <w:numFmt w:val="bullet"/>
      <w:pStyle w:val="Estilo5"/>
      <w:lvlText w:val=""/>
      <w:lvlJc w:val="left"/>
      <w:pPr>
        <w:tabs>
          <w:tab w:val="num" w:pos="5760"/>
        </w:tabs>
        <w:ind w:left="6120" w:hanging="360"/>
      </w:pPr>
      <w:rPr>
        <w:rFonts w:ascii="Wingdings" w:hAnsi="Wingdings" w:hint="default"/>
      </w:r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685FA1"/>
    <w:multiLevelType w:val="multilevel"/>
    <w:tmpl w:val="DC1EFA02"/>
    <w:lvl w:ilvl="0">
      <w:start w:val="1"/>
      <w:numFmt w:val="decimal"/>
      <w:lvlText w:val="%1."/>
      <w:lvlJc w:val="left"/>
      <w:pPr>
        <w:ind w:left="2070" w:hanging="360"/>
      </w:pPr>
      <w:rPr>
        <w:i w:val="0"/>
      </w:rPr>
    </w:lvl>
    <w:lvl w:ilvl="1">
      <w:start w:val="1"/>
      <w:numFmt w:val="decimal"/>
      <w:isLgl/>
      <w:lvlText w:val="%1.%2."/>
      <w:lvlJc w:val="left"/>
      <w:pPr>
        <w:ind w:left="2070" w:hanging="36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510" w:hanging="1800"/>
      </w:pPr>
      <w:rPr>
        <w:rFonts w:hint="default"/>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57E0FE6"/>
    <w:multiLevelType w:val="hybridMultilevel"/>
    <w:tmpl w:val="35C8B98A"/>
    <w:lvl w:ilvl="0" w:tplc="74066F1E">
      <w:start w:val="1"/>
      <w:numFmt w:val="upperRoman"/>
      <w:lvlText w:val="%1."/>
      <w:lvlJc w:val="left"/>
      <w:pPr>
        <w:tabs>
          <w:tab w:val="num" w:pos="1440"/>
        </w:tabs>
        <w:ind w:left="1440" w:hanging="720"/>
      </w:pPr>
      <w:rPr>
        <w:rFonts w:cs="Times New Roman" w:hint="default"/>
        <w:b/>
        <w:color w:val="auto"/>
        <w:sz w:val="20"/>
        <w:szCs w:val="20"/>
      </w:rPr>
    </w:lvl>
    <w:lvl w:ilvl="1" w:tplc="2A1CF73E">
      <w:start w:val="1"/>
      <w:numFmt w:val="decimal"/>
      <w:lvlText w:val="%2."/>
      <w:lvlJc w:val="left"/>
      <w:pPr>
        <w:tabs>
          <w:tab w:val="num" w:pos="1800"/>
        </w:tabs>
        <w:ind w:left="1800" w:hanging="360"/>
      </w:pPr>
      <w:rPr>
        <w:rFonts w:asciiTheme="majorHAnsi" w:hAnsiTheme="majorHAnsi" w:cs="Times New Roman" w:hint="default"/>
        <w:b/>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271929A4"/>
    <w:multiLevelType w:val="multilevel"/>
    <w:tmpl w:val="67BE493C"/>
    <w:styleLink w:val="List2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66721"/>
    <w:multiLevelType w:val="hybridMultilevel"/>
    <w:tmpl w:val="61A206AE"/>
    <w:lvl w:ilvl="0" w:tplc="0060A67C">
      <w:start w:val="1"/>
      <w:numFmt w:val="decimal"/>
      <w:lvlText w:val="%1."/>
      <w:lvlJc w:val="left"/>
      <w:pPr>
        <w:tabs>
          <w:tab w:val="num" w:pos="720"/>
        </w:tabs>
        <w:ind w:left="0" w:firstLine="720"/>
      </w:pPr>
      <w:rPr>
        <w:rFonts w:hint="default"/>
        <w:b w:val="0"/>
        <w:lang w:val="es-ES_trad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A54A5B"/>
    <w:multiLevelType w:val="hybridMultilevel"/>
    <w:tmpl w:val="91EA54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DC61D90"/>
    <w:multiLevelType w:val="hybridMultilevel"/>
    <w:tmpl w:val="66880BA0"/>
    <w:lvl w:ilvl="0" w:tplc="5460635A">
      <w:start w:val="1"/>
      <w:numFmt w:val="decimal"/>
      <w:lvlText w:val="%1."/>
      <w:lvlJc w:val="left"/>
      <w:pPr>
        <w:tabs>
          <w:tab w:val="num" w:pos="1080"/>
        </w:tabs>
        <w:ind w:left="1080" w:hanging="360"/>
      </w:pPr>
      <w:rPr>
        <w:rFonts w:ascii="Cambria" w:hAnsi="Cambria" w:cs="Times New Roman" w:hint="default"/>
        <w:b w:val="0"/>
        <w:i w:val="0"/>
        <w:color w:val="auto"/>
        <w:sz w:val="20"/>
        <w:szCs w:val="20"/>
        <w:lang w:val="es-V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E26B7A"/>
    <w:multiLevelType w:val="multilevel"/>
    <w:tmpl w:val="CE0410EE"/>
    <w:lvl w:ilvl="0">
      <w:start w:val="2"/>
      <w:numFmt w:val="decimal"/>
      <w:lvlText w:val="%1"/>
      <w:lvlJc w:val="left"/>
      <w:pPr>
        <w:ind w:left="360" w:hanging="360"/>
      </w:pPr>
      <w:rPr>
        <w:rFonts w:hint="default"/>
      </w:rPr>
    </w:lvl>
    <w:lvl w:ilvl="1">
      <w:start w:val="1"/>
      <w:numFmt w:val="decimal"/>
      <w:lvlText w:val="%1.%2"/>
      <w:lvlJc w:val="left"/>
      <w:pPr>
        <w:ind w:left="2070" w:hanging="360"/>
      </w:pPr>
      <w:rPr>
        <w:rFonts w:asciiTheme="majorHAnsi" w:hAnsiTheme="majorHAnsi" w:hint="default"/>
        <w:lang w:val="es-ES"/>
      </w:rPr>
    </w:lvl>
    <w:lvl w:ilvl="2">
      <w:start w:val="1"/>
      <w:numFmt w:val="decimal"/>
      <w:lvlText w:val="%1.%2.%3"/>
      <w:lvlJc w:val="left"/>
      <w:pPr>
        <w:ind w:left="4140" w:hanging="720"/>
      </w:pPr>
      <w:rPr>
        <w:rFonts w:hint="default"/>
      </w:rPr>
    </w:lvl>
    <w:lvl w:ilvl="3">
      <w:start w:val="1"/>
      <w:numFmt w:val="decimal"/>
      <w:lvlText w:val="%1.%2.%3.%4"/>
      <w:lvlJc w:val="left"/>
      <w:pPr>
        <w:ind w:left="5850" w:hanging="720"/>
      </w:pPr>
      <w:rPr>
        <w:rFonts w:hint="default"/>
      </w:rPr>
    </w:lvl>
    <w:lvl w:ilvl="4">
      <w:start w:val="1"/>
      <w:numFmt w:val="decimal"/>
      <w:lvlText w:val="%1.%2.%3.%4.%5"/>
      <w:lvlJc w:val="left"/>
      <w:pPr>
        <w:ind w:left="7920" w:hanging="1080"/>
      </w:pPr>
      <w:rPr>
        <w:rFonts w:hint="default"/>
      </w:rPr>
    </w:lvl>
    <w:lvl w:ilvl="5">
      <w:start w:val="1"/>
      <w:numFmt w:val="decimal"/>
      <w:lvlText w:val="%1.%2.%3.%4.%5.%6"/>
      <w:lvlJc w:val="left"/>
      <w:pPr>
        <w:ind w:left="9630" w:hanging="1080"/>
      </w:pPr>
      <w:rPr>
        <w:rFonts w:hint="default"/>
      </w:rPr>
    </w:lvl>
    <w:lvl w:ilvl="6">
      <w:start w:val="1"/>
      <w:numFmt w:val="decimal"/>
      <w:lvlText w:val="%1.%2.%3.%4.%5.%6.%7"/>
      <w:lvlJc w:val="left"/>
      <w:pPr>
        <w:ind w:left="11700" w:hanging="1440"/>
      </w:pPr>
      <w:rPr>
        <w:rFonts w:hint="default"/>
      </w:rPr>
    </w:lvl>
    <w:lvl w:ilvl="7">
      <w:start w:val="1"/>
      <w:numFmt w:val="decimal"/>
      <w:lvlText w:val="%1.%2.%3.%4.%5.%6.%7.%8"/>
      <w:lvlJc w:val="left"/>
      <w:pPr>
        <w:ind w:left="13410" w:hanging="1440"/>
      </w:pPr>
      <w:rPr>
        <w:rFonts w:hint="default"/>
      </w:rPr>
    </w:lvl>
    <w:lvl w:ilvl="8">
      <w:start w:val="1"/>
      <w:numFmt w:val="decimal"/>
      <w:lvlText w:val="%1.%2.%3.%4.%5.%6.%7.%8.%9"/>
      <w:lvlJc w:val="left"/>
      <w:pPr>
        <w:ind w:left="15480" w:hanging="1800"/>
      </w:pPr>
      <w:rPr>
        <w:rFonts w:hint="default"/>
      </w:rPr>
    </w:lvl>
  </w:abstractNum>
  <w:abstractNum w:abstractNumId="36" w15:restartNumberingAfterBreak="0">
    <w:nsid w:val="444006B9"/>
    <w:multiLevelType w:val="multilevel"/>
    <w:tmpl w:val="1090D1D4"/>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F56E24"/>
    <w:multiLevelType w:val="hybridMultilevel"/>
    <w:tmpl w:val="9064FA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A0080E"/>
    <w:multiLevelType w:val="hybridMultilevel"/>
    <w:tmpl w:val="719A7B7C"/>
    <w:lvl w:ilvl="0" w:tplc="DA1C102E">
      <w:start w:val="1"/>
      <w:numFmt w:val="decimal"/>
      <w:lvlText w:val="%1."/>
      <w:lvlJc w:val="left"/>
      <w:pPr>
        <w:ind w:left="2070" w:hanging="360"/>
      </w:pPr>
      <w:rPr>
        <w:rFonts w:asciiTheme="majorHAnsi" w:hAnsiTheme="majorHAnsi" w:hint="default"/>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1974FB2"/>
    <w:multiLevelType w:val="hybridMultilevel"/>
    <w:tmpl w:val="D3B08086"/>
    <w:lvl w:ilvl="0" w:tplc="6032F32C">
      <w:start w:val="1"/>
      <w:numFmt w:val="decimal"/>
      <w:lvlText w:val="%1."/>
      <w:lvlJc w:val="left"/>
      <w:pPr>
        <w:ind w:left="2070" w:hanging="360"/>
      </w:pPr>
      <w:rPr>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8" w15:restartNumberingAfterBreak="0">
    <w:nsid w:val="53F06B0B"/>
    <w:multiLevelType w:val="hybridMultilevel"/>
    <w:tmpl w:val="154A163E"/>
    <w:lvl w:ilvl="0" w:tplc="D26E7530">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65146B17"/>
    <w:multiLevelType w:val="hybridMultilevel"/>
    <w:tmpl w:val="1792BE58"/>
    <w:lvl w:ilvl="0" w:tplc="EB58263A">
      <w:start w:val="1"/>
      <w:numFmt w:val="decimal"/>
      <w:lvlText w:val="%1."/>
      <w:lvlJc w:val="left"/>
      <w:pPr>
        <w:tabs>
          <w:tab w:val="num" w:pos="2040"/>
        </w:tabs>
        <w:ind w:left="2040" w:hanging="1440"/>
      </w:pPr>
      <w:rPr>
        <w:rFonts w:ascii="Cambria" w:hAnsi="Cambria" w:hint="default"/>
        <w:b w:val="0"/>
        <w:i w:val="0"/>
        <w:sz w:val="20"/>
        <w:szCs w:val="20"/>
      </w:rPr>
    </w:lvl>
    <w:lvl w:ilvl="1" w:tplc="04090019">
      <w:start w:val="6"/>
      <w:numFmt w:val="upperRoman"/>
      <w:lvlText w:val="%2."/>
      <w:lvlJc w:val="left"/>
      <w:pPr>
        <w:tabs>
          <w:tab w:val="num" w:pos="1860"/>
        </w:tabs>
        <w:ind w:left="1860" w:hanging="720"/>
      </w:pPr>
      <w:rPr>
        <w:rFonts w:hint="default"/>
      </w:rPr>
    </w:lvl>
    <w:lvl w:ilvl="2" w:tplc="0409001B">
      <w:start w:val="1"/>
      <w:numFmt w:val="upperLetter"/>
      <w:lvlText w:val="%3."/>
      <w:lvlJc w:val="left"/>
      <w:pPr>
        <w:tabs>
          <w:tab w:val="num" w:pos="2760"/>
        </w:tabs>
        <w:ind w:left="2760" w:hanging="720"/>
      </w:pPr>
      <w:rPr>
        <w:rFonts w:hint="default"/>
      </w:rPr>
    </w:lvl>
    <w:lvl w:ilvl="3" w:tplc="1BC6FDD6">
      <w:start w:val="1"/>
      <w:numFmt w:val="lowerRoman"/>
      <w:lvlText w:val="%4."/>
      <w:lvlJc w:val="left"/>
      <w:pPr>
        <w:tabs>
          <w:tab w:val="num" w:pos="3300"/>
        </w:tabs>
        <w:ind w:left="3300" w:hanging="720"/>
      </w:pPr>
      <w:rPr>
        <w:rFonts w:cs="Times New Roman" w:hint="default"/>
      </w:rPr>
    </w:lvl>
    <w:lvl w:ilvl="4" w:tplc="C350752E">
      <w:start w:val="1"/>
      <w:numFmt w:val="lowerRoman"/>
      <w:lvlText w:val="%5)"/>
      <w:lvlJc w:val="left"/>
      <w:pPr>
        <w:tabs>
          <w:tab w:val="num" w:pos="4020"/>
        </w:tabs>
        <w:ind w:left="4020" w:hanging="720"/>
      </w:pPr>
      <w:rPr>
        <w:rFonts w:hint="default"/>
      </w:r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6" w15:restartNumberingAfterBreak="0">
    <w:nsid w:val="66A101BB"/>
    <w:multiLevelType w:val="hybridMultilevel"/>
    <w:tmpl w:val="35C8B98A"/>
    <w:lvl w:ilvl="0" w:tplc="74066F1E">
      <w:start w:val="1"/>
      <w:numFmt w:val="upperRoman"/>
      <w:lvlText w:val="%1."/>
      <w:lvlJc w:val="left"/>
      <w:pPr>
        <w:tabs>
          <w:tab w:val="num" w:pos="1440"/>
        </w:tabs>
        <w:ind w:left="1440" w:hanging="720"/>
      </w:pPr>
      <w:rPr>
        <w:rFonts w:cs="Times New Roman" w:hint="default"/>
        <w:b/>
        <w:color w:val="auto"/>
        <w:sz w:val="20"/>
        <w:szCs w:val="20"/>
      </w:rPr>
    </w:lvl>
    <w:lvl w:ilvl="1" w:tplc="2A1CF73E">
      <w:start w:val="1"/>
      <w:numFmt w:val="decimal"/>
      <w:lvlText w:val="%2."/>
      <w:lvlJc w:val="left"/>
      <w:pPr>
        <w:tabs>
          <w:tab w:val="num" w:pos="1800"/>
        </w:tabs>
        <w:ind w:left="1800" w:hanging="360"/>
      </w:pPr>
      <w:rPr>
        <w:rFonts w:asciiTheme="majorHAnsi" w:hAnsiTheme="majorHAnsi" w:cs="Times New Roman" w:hint="default"/>
        <w:b/>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66BE5E6A"/>
    <w:multiLevelType w:val="hybridMultilevel"/>
    <w:tmpl w:val="73AAA770"/>
    <w:lvl w:ilvl="0" w:tplc="0060A67C">
      <w:start w:val="1"/>
      <w:numFmt w:val="decimal"/>
      <w:lvlText w:val="%1."/>
      <w:lvlJc w:val="left"/>
      <w:pPr>
        <w:tabs>
          <w:tab w:val="num" w:pos="720"/>
        </w:tabs>
        <w:ind w:left="0" w:firstLine="720"/>
      </w:pPr>
      <w:rPr>
        <w:rFonts w:hint="default"/>
        <w:b w:val="0"/>
        <w:lang w:val="es-ES_trad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9" w15:restartNumberingAfterBreak="0">
    <w:nsid w:val="6E865F14"/>
    <w:multiLevelType w:val="multilevel"/>
    <w:tmpl w:val="F52E91D0"/>
    <w:lvl w:ilvl="0">
      <w:start w:val="1"/>
      <w:numFmt w:val="decimal"/>
      <w:lvlText w:val="%1."/>
      <w:lvlJc w:val="left"/>
      <w:pPr>
        <w:ind w:left="2070" w:hanging="360"/>
      </w:pPr>
      <w:rPr>
        <w:rFonts w:asciiTheme="majorHAnsi" w:hAnsiTheme="majorHAnsi" w:hint="default"/>
        <w:i w:val="0"/>
      </w:rPr>
    </w:lvl>
    <w:lvl w:ilvl="1">
      <w:start w:val="2"/>
      <w:numFmt w:val="decimal"/>
      <w:isLgl/>
      <w:lvlText w:val="%1.%2"/>
      <w:lvlJc w:val="left"/>
      <w:pPr>
        <w:ind w:left="2520" w:hanging="36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230" w:hanging="1800"/>
      </w:pPr>
      <w:rPr>
        <w:rFonts w:hint="default"/>
      </w:rPr>
    </w:lvl>
  </w:abstractNum>
  <w:abstractNum w:abstractNumId="6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6ED82DC2"/>
    <w:multiLevelType w:val="hybridMultilevel"/>
    <w:tmpl w:val="66880BA0"/>
    <w:lvl w:ilvl="0" w:tplc="5460635A">
      <w:start w:val="1"/>
      <w:numFmt w:val="decimal"/>
      <w:lvlText w:val="%1."/>
      <w:lvlJc w:val="left"/>
      <w:pPr>
        <w:tabs>
          <w:tab w:val="num" w:pos="1080"/>
        </w:tabs>
        <w:ind w:left="1080" w:hanging="360"/>
      </w:pPr>
      <w:rPr>
        <w:rFonts w:ascii="Cambria" w:hAnsi="Cambria" w:cs="Times New Roman" w:hint="default"/>
        <w:b w:val="0"/>
        <w:i w:val="0"/>
        <w:color w:val="auto"/>
        <w:sz w:val="20"/>
        <w:szCs w:val="20"/>
        <w:lang w:val="es-V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F9166B3"/>
    <w:multiLevelType w:val="hybridMultilevel"/>
    <w:tmpl w:val="D3B08086"/>
    <w:lvl w:ilvl="0" w:tplc="6032F32C">
      <w:start w:val="1"/>
      <w:numFmt w:val="decimal"/>
      <w:lvlText w:val="%1."/>
      <w:lvlJc w:val="left"/>
      <w:pPr>
        <w:ind w:left="2070" w:hanging="360"/>
      </w:pPr>
      <w:rPr>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3" w15:restartNumberingAfterBreak="0">
    <w:nsid w:val="7109283E"/>
    <w:multiLevelType w:val="hybridMultilevel"/>
    <w:tmpl w:val="57BE9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0" w15:restartNumberingAfterBreak="0">
    <w:nsid w:val="7CE64D32"/>
    <w:multiLevelType w:val="hybridMultilevel"/>
    <w:tmpl w:val="9F8AF72C"/>
    <w:lvl w:ilvl="0" w:tplc="B09255D8">
      <w:start w:val="1"/>
      <w:numFmt w:val="decimal"/>
      <w:lvlText w:val="%1."/>
      <w:lvlJc w:val="left"/>
      <w:pPr>
        <w:tabs>
          <w:tab w:val="num" w:pos="0"/>
        </w:tabs>
      </w:pPr>
      <w:rPr>
        <w:rFonts w:ascii="Verdana" w:eastAsia="Times New Roman" w:hAnsi="Verdana" w:cs="Times New Roman" w:hint="default"/>
        <w:b w:val="0"/>
        <w:i w:val="0"/>
        <w:strike w:val="0"/>
        <w:color w:val="auto"/>
        <w:sz w:val="20"/>
      </w:rPr>
    </w:lvl>
    <w:lvl w:ilvl="1" w:tplc="3AAA13E2">
      <w:start w:val="1"/>
      <w:numFmt w:val="decimal"/>
      <w:lvlText w:val="%2."/>
      <w:lvlJc w:val="left"/>
      <w:pPr>
        <w:tabs>
          <w:tab w:val="num" w:pos="0"/>
        </w:tabs>
      </w:pPr>
      <w:rPr>
        <w:rFonts w:ascii="Verdana" w:eastAsia="Times New Roman" w:hAnsi="Verdana" w:cs="Times New Roman" w:hint="default"/>
        <w:b/>
        <w:i w:val="0"/>
        <w:strike w:val="0"/>
        <w:color w:val="auto"/>
        <w:sz w:val="20"/>
      </w:rPr>
    </w:lvl>
    <w:lvl w:ilvl="2" w:tplc="0409001B">
      <w:start w:val="1"/>
      <w:numFmt w:val="lowerRoman"/>
      <w:pStyle w:val="Estilo7"/>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66"/>
  </w:num>
  <w:num w:numId="4">
    <w:abstractNumId w:val="24"/>
  </w:num>
  <w:num w:numId="5">
    <w:abstractNumId w:val="55"/>
  </w:num>
  <w:num w:numId="6">
    <w:abstractNumId w:val="29"/>
  </w:num>
  <w:num w:numId="7">
    <w:abstractNumId w:val="7"/>
  </w:num>
  <w:num w:numId="8">
    <w:abstractNumId w:val="19"/>
  </w:num>
  <w:num w:numId="9">
    <w:abstractNumId w:val="49"/>
  </w:num>
  <w:num w:numId="10">
    <w:abstractNumId w:val="1"/>
  </w:num>
  <w:num w:numId="11">
    <w:abstractNumId w:val="42"/>
  </w:num>
  <w:num w:numId="12">
    <w:abstractNumId w:val="43"/>
  </w:num>
  <w:num w:numId="13">
    <w:abstractNumId w:val="51"/>
  </w:num>
  <w:num w:numId="14">
    <w:abstractNumId w:val="2"/>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6"/>
  </w:num>
  <w:num w:numId="24">
    <w:abstractNumId w:val="18"/>
  </w:num>
  <w:num w:numId="25">
    <w:abstractNumId w:val="20"/>
  </w:num>
  <w:num w:numId="26">
    <w:abstractNumId w:val="21"/>
  </w:num>
  <w:num w:numId="27">
    <w:abstractNumId w:val="25"/>
  </w:num>
  <w:num w:numId="28">
    <w:abstractNumId w:val="26"/>
  </w:num>
  <w:num w:numId="29">
    <w:abstractNumId w:val="27"/>
  </w:num>
  <w:num w:numId="30">
    <w:abstractNumId w:val="28"/>
  </w:num>
  <w:num w:numId="31">
    <w:abstractNumId w:val="30"/>
  </w:num>
  <w:num w:numId="32">
    <w:abstractNumId w:val="32"/>
  </w:num>
  <w:num w:numId="33">
    <w:abstractNumId w:val="33"/>
  </w:num>
  <w:num w:numId="34">
    <w:abstractNumId w:val="34"/>
  </w:num>
  <w:num w:numId="35">
    <w:abstractNumId w:val="36"/>
  </w:num>
  <w:num w:numId="36">
    <w:abstractNumId w:val="37"/>
  </w:num>
  <w:num w:numId="37">
    <w:abstractNumId w:val="38"/>
  </w:num>
  <w:num w:numId="38">
    <w:abstractNumId w:val="39"/>
  </w:num>
  <w:num w:numId="39">
    <w:abstractNumId w:val="44"/>
  </w:num>
  <w:num w:numId="40">
    <w:abstractNumId w:val="45"/>
  </w:num>
  <w:num w:numId="41">
    <w:abstractNumId w:val="53"/>
  </w:num>
  <w:num w:numId="42">
    <w:abstractNumId w:val="58"/>
  </w:num>
  <w:num w:numId="43">
    <w:abstractNumId w:val="60"/>
  </w:num>
  <w:num w:numId="44">
    <w:abstractNumId w:val="64"/>
  </w:num>
  <w:num w:numId="45">
    <w:abstractNumId w:val="65"/>
  </w:num>
  <w:num w:numId="46">
    <w:abstractNumId w:val="67"/>
  </w:num>
  <w:num w:numId="47">
    <w:abstractNumId w:val="68"/>
  </w:num>
  <w:num w:numId="48">
    <w:abstractNumId w:val="69"/>
  </w:num>
  <w:num w:numId="49">
    <w:abstractNumId w:val="71"/>
  </w:num>
  <w:num w:numId="50">
    <w:abstractNumId w:val="72"/>
  </w:num>
  <w:num w:numId="51">
    <w:abstractNumId w:val="23"/>
  </w:num>
  <w:num w:numId="52">
    <w:abstractNumId w:val="46"/>
  </w:num>
  <w:num w:numId="53">
    <w:abstractNumId w:val="52"/>
  </w:num>
  <w:num w:numId="54">
    <w:abstractNumId w:val="56"/>
  </w:num>
  <w:num w:numId="55">
    <w:abstractNumId w:val="31"/>
  </w:num>
  <w:num w:numId="56">
    <w:abstractNumId w:val="48"/>
  </w:num>
  <w:num w:numId="57">
    <w:abstractNumId w:val="0"/>
  </w:num>
  <w:num w:numId="58">
    <w:abstractNumId w:val="70"/>
  </w:num>
  <w:num w:numId="59">
    <w:abstractNumId w:val="40"/>
  </w:num>
  <w:num w:numId="60">
    <w:abstractNumId w:val="63"/>
  </w:num>
  <w:num w:numId="61">
    <w:abstractNumId w:val="22"/>
  </w:num>
  <w:num w:numId="62">
    <w:abstractNumId w:val="59"/>
  </w:num>
  <w:num w:numId="63">
    <w:abstractNumId w:val="5"/>
  </w:num>
  <w:num w:numId="64">
    <w:abstractNumId w:val="47"/>
  </w:num>
  <w:num w:numId="65">
    <w:abstractNumId w:val="62"/>
  </w:num>
  <w:num w:numId="66">
    <w:abstractNumId w:val="57"/>
  </w:num>
  <w:num w:numId="67">
    <w:abstractNumId w:val="35"/>
  </w:num>
  <w:num w:numId="68">
    <w:abstractNumId w:val="41"/>
  </w:num>
  <w:num w:numId="69">
    <w:abstractNumId w:val="54"/>
  </w:num>
  <w:num w:numId="70">
    <w:abstractNumId w:val="50"/>
  </w:num>
  <w:num w:numId="71">
    <w:abstractNumId w:val="15"/>
  </w:num>
  <w:num w:numId="72">
    <w:abstractNumId w:val="17"/>
  </w:num>
  <w:num w:numId="73">
    <w:abstractNumId w:val="6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6C7"/>
    <w:rsid w:val="000008BA"/>
    <w:rsid w:val="00000CDA"/>
    <w:rsid w:val="00001115"/>
    <w:rsid w:val="00001CE3"/>
    <w:rsid w:val="0000270E"/>
    <w:rsid w:val="00002D3D"/>
    <w:rsid w:val="0000312F"/>
    <w:rsid w:val="00003524"/>
    <w:rsid w:val="00004B5E"/>
    <w:rsid w:val="00004DC4"/>
    <w:rsid w:val="0000590C"/>
    <w:rsid w:val="000060B6"/>
    <w:rsid w:val="00006A9C"/>
    <w:rsid w:val="00006E1F"/>
    <w:rsid w:val="000070D7"/>
    <w:rsid w:val="00010590"/>
    <w:rsid w:val="00010961"/>
    <w:rsid w:val="00011BF8"/>
    <w:rsid w:val="0001206C"/>
    <w:rsid w:val="0001283D"/>
    <w:rsid w:val="00012AF6"/>
    <w:rsid w:val="000133D9"/>
    <w:rsid w:val="00013A73"/>
    <w:rsid w:val="00013D8C"/>
    <w:rsid w:val="00015CE0"/>
    <w:rsid w:val="0001788C"/>
    <w:rsid w:val="00021C96"/>
    <w:rsid w:val="0002251D"/>
    <w:rsid w:val="000245C0"/>
    <w:rsid w:val="00025337"/>
    <w:rsid w:val="000269D8"/>
    <w:rsid w:val="00026AEA"/>
    <w:rsid w:val="00027071"/>
    <w:rsid w:val="000271FB"/>
    <w:rsid w:val="00027F2A"/>
    <w:rsid w:val="00030D19"/>
    <w:rsid w:val="00030F21"/>
    <w:rsid w:val="00031A1F"/>
    <w:rsid w:val="00033DCD"/>
    <w:rsid w:val="0003450C"/>
    <w:rsid w:val="00035262"/>
    <w:rsid w:val="00040C3A"/>
    <w:rsid w:val="000410D5"/>
    <w:rsid w:val="000419FB"/>
    <w:rsid w:val="00042450"/>
    <w:rsid w:val="00045F6F"/>
    <w:rsid w:val="0004605F"/>
    <w:rsid w:val="00046BDE"/>
    <w:rsid w:val="00047A26"/>
    <w:rsid w:val="000514A1"/>
    <w:rsid w:val="000529A8"/>
    <w:rsid w:val="00053C00"/>
    <w:rsid w:val="00054914"/>
    <w:rsid w:val="00054C58"/>
    <w:rsid w:val="00054FCA"/>
    <w:rsid w:val="00055403"/>
    <w:rsid w:val="00055FAD"/>
    <w:rsid w:val="00056A8D"/>
    <w:rsid w:val="00056FEA"/>
    <w:rsid w:val="000577FA"/>
    <w:rsid w:val="00057DAA"/>
    <w:rsid w:val="00062045"/>
    <w:rsid w:val="00063380"/>
    <w:rsid w:val="0006672F"/>
    <w:rsid w:val="00067D80"/>
    <w:rsid w:val="0007062E"/>
    <w:rsid w:val="000716C5"/>
    <w:rsid w:val="000716FB"/>
    <w:rsid w:val="00072098"/>
    <w:rsid w:val="0007289C"/>
    <w:rsid w:val="00072FC2"/>
    <w:rsid w:val="0007377E"/>
    <w:rsid w:val="00073A86"/>
    <w:rsid w:val="00074E28"/>
    <w:rsid w:val="00075325"/>
    <w:rsid w:val="00075E23"/>
    <w:rsid w:val="00076723"/>
    <w:rsid w:val="00077774"/>
    <w:rsid w:val="00083FED"/>
    <w:rsid w:val="000842CA"/>
    <w:rsid w:val="00084EE1"/>
    <w:rsid w:val="00085DB1"/>
    <w:rsid w:val="00086547"/>
    <w:rsid w:val="00091343"/>
    <w:rsid w:val="00092B03"/>
    <w:rsid w:val="0009344A"/>
    <w:rsid w:val="0009610B"/>
    <w:rsid w:val="00097FC1"/>
    <w:rsid w:val="000A19D0"/>
    <w:rsid w:val="000A392E"/>
    <w:rsid w:val="000A447E"/>
    <w:rsid w:val="000A5002"/>
    <w:rsid w:val="000A575F"/>
    <w:rsid w:val="000A726B"/>
    <w:rsid w:val="000A74B3"/>
    <w:rsid w:val="000B39D3"/>
    <w:rsid w:val="000B7900"/>
    <w:rsid w:val="000B7FF6"/>
    <w:rsid w:val="000C101E"/>
    <w:rsid w:val="000C14B6"/>
    <w:rsid w:val="000C158E"/>
    <w:rsid w:val="000C1782"/>
    <w:rsid w:val="000C1882"/>
    <w:rsid w:val="000C1B2C"/>
    <w:rsid w:val="000C1CDC"/>
    <w:rsid w:val="000C25CF"/>
    <w:rsid w:val="000C2979"/>
    <w:rsid w:val="000C35B2"/>
    <w:rsid w:val="000C3EE2"/>
    <w:rsid w:val="000C5BBB"/>
    <w:rsid w:val="000C618F"/>
    <w:rsid w:val="000C687E"/>
    <w:rsid w:val="000C7AD7"/>
    <w:rsid w:val="000D10DB"/>
    <w:rsid w:val="000D3681"/>
    <w:rsid w:val="000D4813"/>
    <w:rsid w:val="000D57E5"/>
    <w:rsid w:val="000D6E09"/>
    <w:rsid w:val="000D7B11"/>
    <w:rsid w:val="000D7F6D"/>
    <w:rsid w:val="000E2B0F"/>
    <w:rsid w:val="000E3FE6"/>
    <w:rsid w:val="000E4D16"/>
    <w:rsid w:val="000E513D"/>
    <w:rsid w:val="000E5EB5"/>
    <w:rsid w:val="000E62AA"/>
    <w:rsid w:val="000E7808"/>
    <w:rsid w:val="000F1F2A"/>
    <w:rsid w:val="000F21F5"/>
    <w:rsid w:val="000F280F"/>
    <w:rsid w:val="000F2D39"/>
    <w:rsid w:val="000F35ED"/>
    <w:rsid w:val="000F3824"/>
    <w:rsid w:val="000F5563"/>
    <w:rsid w:val="000F7698"/>
    <w:rsid w:val="000F78E9"/>
    <w:rsid w:val="001000B4"/>
    <w:rsid w:val="001003E8"/>
    <w:rsid w:val="001007DC"/>
    <w:rsid w:val="00100C34"/>
    <w:rsid w:val="001011FA"/>
    <w:rsid w:val="00103633"/>
    <w:rsid w:val="00103CE6"/>
    <w:rsid w:val="00107131"/>
    <w:rsid w:val="0010736F"/>
    <w:rsid w:val="00107654"/>
    <w:rsid w:val="001100F8"/>
    <w:rsid w:val="00111483"/>
    <w:rsid w:val="00111602"/>
    <w:rsid w:val="00111D95"/>
    <w:rsid w:val="00113540"/>
    <w:rsid w:val="00113F73"/>
    <w:rsid w:val="00114B2C"/>
    <w:rsid w:val="00114EA6"/>
    <w:rsid w:val="0011516F"/>
    <w:rsid w:val="00115C3D"/>
    <w:rsid w:val="00116D2E"/>
    <w:rsid w:val="00117376"/>
    <w:rsid w:val="00117521"/>
    <w:rsid w:val="00120B6A"/>
    <w:rsid w:val="001210D6"/>
    <w:rsid w:val="00121CC2"/>
    <w:rsid w:val="00122412"/>
    <w:rsid w:val="00122EB0"/>
    <w:rsid w:val="001239EE"/>
    <w:rsid w:val="00123C81"/>
    <w:rsid w:val="00124187"/>
    <w:rsid w:val="0012458E"/>
    <w:rsid w:val="001249AE"/>
    <w:rsid w:val="00125E8F"/>
    <w:rsid w:val="00127C30"/>
    <w:rsid w:val="001309D1"/>
    <w:rsid w:val="001311DC"/>
    <w:rsid w:val="00133494"/>
    <w:rsid w:val="001334CD"/>
    <w:rsid w:val="00133674"/>
    <w:rsid w:val="00133B83"/>
    <w:rsid w:val="00133EE5"/>
    <w:rsid w:val="00133FB2"/>
    <w:rsid w:val="001346D9"/>
    <w:rsid w:val="0013513C"/>
    <w:rsid w:val="00135B2A"/>
    <w:rsid w:val="001418E6"/>
    <w:rsid w:val="00141F4A"/>
    <w:rsid w:val="001420FE"/>
    <w:rsid w:val="00142644"/>
    <w:rsid w:val="0014277E"/>
    <w:rsid w:val="00143536"/>
    <w:rsid w:val="00144BF3"/>
    <w:rsid w:val="00144DA6"/>
    <w:rsid w:val="00145D88"/>
    <w:rsid w:val="00146BF8"/>
    <w:rsid w:val="001508EB"/>
    <w:rsid w:val="00152640"/>
    <w:rsid w:val="0015346E"/>
    <w:rsid w:val="00154079"/>
    <w:rsid w:val="001549D3"/>
    <w:rsid w:val="00154B4B"/>
    <w:rsid w:val="001556F2"/>
    <w:rsid w:val="00155C3C"/>
    <w:rsid w:val="001608E9"/>
    <w:rsid w:val="00160A3E"/>
    <w:rsid w:val="00161B32"/>
    <w:rsid w:val="0016650E"/>
    <w:rsid w:val="001668A6"/>
    <w:rsid w:val="00166CD9"/>
    <w:rsid w:val="00167A34"/>
    <w:rsid w:val="00170304"/>
    <w:rsid w:val="001709E7"/>
    <w:rsid w:val="00170DFE"/>
    <w:rsid w:val="00172B9E"/>
    <w:rsid w:val="00172DCB"/>
    <w:rsid w:val="00173461"/>
    <w:rsid w:val="00173762"/>
    <w:rsid w:val="00173E70"/>
    <w:rsid w:val="0017525B"/>
    <w:rsid w:val="00175891"/>
    <w:rsid w:val="00176354"/>
    <w:rsid w:val="001770FD"/>
    <w:rsid w:val="0018071D"/>
    <w:rsid w:val="00180751"/>
    <w:rsid w:val="001807B9"/>
    <w:rsid w:val="00180956"/>
    <w:rsid w:val="00180DF5"/>
    <w:rsid w:val="00182677"/>
    <w:rsid w:val="00182ED5"/>
    <w:rsid w:val="00183DBA"/>
    <w:rsid w:val="00184C98"/>
    <w:rsid w:val="00184FA6"/>
    <w:rsid w:val="00185215"/>
    <w:rsid w:val="00185EE9"/>
    <w:rsid w:val="0018616B"/>
    <w:rsid w:val="001865D9"/>
    <w:rsid w:val="00187CE0"/>
    <w:rsid w:val="00190F27"/>
    <w:rsid w:val="001912B5"/>
    <w:rsid w:val="001918C4"/>
    <w:rsid w:val="001930B7"/>
    <w:rsid w:val="00193E35"/>
    <w:rsid w:val="001945DD"/>
    <w:rsid w:val="0019470D"/>
    <w:rsid w:val="00194E4C"/>
    <w:rsid w:val="001956D4"/>
    <w:rsid w:val="00197305"/>
    <w:rsid w:val="001A0963"/>
    <w:rsid w:val="001A0BCB"/>
    <w:rsid w:val="001A0E29"/>
    <w:rsid w:val="001A27FB"/>
    <w:rsid w:val="001A3149"/>
    <w:rsid w:val="001A3455"/>
    <w:rsid w:val="001A3D13"/>
    <w:rsid w:val="001A3E2C"/>
    <w:rsid w:val="001A4CCC"/>
    <w:rsid w:val="001A4DB9"/>
    <w:rsid w:val="001A58F4"/>
    <w:rsid w:val="001A5C2B"/>
    <w:rsid w:val="001A6657"/>
    <w:rsid w:val="001A7870"/>
    <w:rsid w:val="001A7BBB"/>
    <w:rsid w:val="001B085B"/>
    <w:rsid w:val="001B26ED"/>
    <w:rsid w:val="001B3EA4"/>
    <w:rsid w:val="001B4084"/>
    <w:rsid w:val="001B48F2"/>
    <w:rsid w:val="001B6DEF"/>
    <w:rsid w:val="001B7CFB"/>
    <w:rsid w:val="001C0156"/>
    <w:rsid w:val="001C16EE"/>
    <w:rsid w:val="001C1B41"/>
    <w:rsid w:val="001C39E5"/>
    <w:rsid w:val="001C4389"/>
    <w:rsid w:val="001C5B58"/>
    <w:rsid w:val="001C5F6B"/>
    <w:rsid w:val="001C60DB"/>
    <w:rsid w:val="001C61B2"/>
    <w:rsid w:val="001D31AF"/>
    <w:rsid w:val="001D65EF"/>
    <w:rsid w:val="001D773A"/>
    <w:rsid w:val="001D7EDD"/>
    <w:rsid w:val="001E1412"/>
    <w:rsid w:val="001E1919"/>
    <w:rsid w:val="001E22BF"/>
    <w:rsid w:val="001E2367"/>
    <w:rsid w:val="001E34B9"/>
    <w:rsid w:val="001E39AC"/>
    <w:rsid w:val="001E43F7"/>
    <w:rsid w:val="001E5839"/>
    <w:rsid w:val="001E5F84"/>
    <w:rsid w:val="001E6CCE"/>
    <w:rsid w:val="001E74EB"/>
    <w:rsid w:val="001E7B5B"/>
    <w:rsid w:val="001E7E51"/>
    <w:rsid w:val="001F0A06"/>
    <w:rsid w:val="001F0CB8"/>
    <w:rsid w:val="001F16F8"/>
    <w:rsid w:val="001F29C7"/>
    <w:rsid w:val="001F3E22"/>
    <w:rsid w:val="001F47C2"/>
    <w:rsid w:val="001F4E2F"/>
    <w:rsid w:val="001F6699"/>
    <w:rsid w:val="001F7DD4"/>
    <w:rsid w:val="001F7EED"/>
    <w:rsid w:val="00200AF7"/>
    <w:rsid w:val="002017BF"/>
    <w:rsid w:val="002031E7"/>
    <w:rsid w:val="00203C3F"/>
    <w:rsid w:val="0020425C"/>
    <w:rsid w:val="00205035"/>
    <w:rsid w:val="00205E1B"/>
    <w:rsid w:val="002069DF"/>
    <w:rsid w:val="00210073"/>
    <w:rsid w:val="00212D34"/>
    <w:rsid w:val="00212FE3"/>
    <w:rsid w:val="00213E56"/>
    <w:rsid w:val="00214A52"/>
    <w:rsid w:val="00214A84"/>
    <w:rsid w:val="002169B6"/>
    <w:rsid w:val="00216AAC"/>
    <w:rsid w:val="00216B2A"/>
    <w:rsid w:val="00217EC7"/>
    <w:rsid w:val="002223E2"/>
    <w:rsid w:val="00222F55"/>
    <w:rsid w:val="00224265"/>
    <w:rsid w:val="0022456A"/>
    <w:rsid w:val="002250A3"/>
    <w:rsid w:val="002253B6"/>
    <w:rsid w:val="0022570C"/>
    <w:rsid w:val="00226C35"/>
    <w:rsid w:val="002300FE"/>
    <w:rsid w:val="00230C3B"/>
    <w:rsid w:val="0023146A"/>
    <w:rsid w:val="002317F7"/>
    <w:rsid w:val="0023192B"/>
    <w:rsid w:val="002322BF"/>
    <w:rsid w:val="00232882"/>
    <w:rsid w:val="00233B90"/>
    <w:rsid w:val="00235217"/>
    <w:rsid w:val="00235F10"/>
    <w:rsid w:val="0023616B"/>
    <w:rsid w:val="00236C32"/>
    <w:rsid w:val="00237A55"/>
    <w:rsid w:val="002402F1"/>
    <w:rsid w:val="00242725"/>
    <w:rsid w:val="002428BD"/>
    <w:rsid w:val="00243065"/>
    <w:rsid w:val="002440B6"/>
    <w:rsid w:val="00244C5B"/>
    <w:rsid w:val="00245ED7"/>
    <w:rsid w:val="002463F1"/>
    <w:rsid w:val="00246D1F"/>
    <w:rsid w:val="00247403"/>
    <w:rsid w:val="00247542"/>
    <w:rsid w:val="00247F3A"/>
    <w:rsid w:val="002511EE"/>
    <w:rsid w:val="00251491"/>
    <w:rsid w:val="0025209D"/>
    <w:rsid w:val="00252211"/>
    <w:rsid w:val="00253DE6"/>
    <w:rsid w:val="002552BC"/>
    <w:rsid w:val="002562BD"/>
    <w:rsid w:val="00256D51"/>
    <w:rsid w:val="00262449"/>
    <w:rsid w:val="00262A03"/>
    <w:rsid w:val="0026487E"/>
    <w:rsid w:val="002653CC"/>
    <w:rsid w:val="00265601"/>
    <w:rsid w:val="00266B61"/>
    <w:rsid w:val="0026712A"/>
    <w:rsid w:val="00267D78"/>
    <w:rsid w:val="002704DB"/>
    <w:rsid w:val="00270FC5"/>
    <w:rsid w:val="0027289E"/>
    <w:rsid w:val="00272E86"/>
    <w:rsid w:val="00274829"/>
    <w:rsid w:val="00275A69"/>
    <w:rsid w:val="00276A4C"/>
    <w:rsid w:val="002801CF"/>
    <w:rsid w:val="00281551"/>
    <w:rsid w:val="00282CAE"/>
    <w:rsid w:val="00283559"/>
    <w:rsid w:val="00285C2C"/>
    <w:rsid w:val="00286834"/>
    <w:rsid w:val="00290517"/>
    <w:rsid w:val="002908CA"/>
    <w:rsid w:val="00291B97"/>
    <w:rsid w:val="00293D83"/>
    <w:rsid w:val="0029427F"/>
    <w:rsid w:val="002963F0"/>
    <w:rsid w:val="00296B97"/>
    <w:rsid w:val="00297CB7"/>
    <w:rsid w:val="002A0AAE"/>
    <w:rsid w:val="002A0B39"/>
    <w:rsid w:val="002A0E9C"/>
    <w:rsid w:val="002A1CF7"/>
    <w:rsid w:val="002A2C38"/>
    <w:rsid w:val="002A2D63"/>
    <w:rsid w:val="002A50AB"/>
    <w:rsid w:val="002A5820"/>
    <w:rsid w:val="002A6690"/>
    <w:rsid w:val="002A7D27"/>
    <w:rsid w:val="002B08B8"/>
    <w:rsid w:val="002B107C"/>
    <w:rsid w:val="002B1084"/>
    <w:rsid w:val="002B35B7"/>
    <w:rsid w:val="002B47EF"/>
    <w:rsid w:val="002B4E6A"/>
    <w:rsid w:val="002B59DC"/>
    <w:rsid w:val="002C022F"/>
    <w:rsid w:val="002C104A"/>
    <w:rsid w:val="002C4915"/>
    <w:rsid w:val="002C4EB8"/>
    <w:rsid w:val="002C606F"/>
    <w:rsid w:val="002C6B53"/>
    <w:rsid w:val="002C6F9E"/>
    <w:rsid w:val="002C79F3"/>
    <w:rsid w:val="002C7FB7"/>
    <w:rsid w:val="002D2B26"/>
    <w:rsid w:val="002D2FFE"/>
    <w:rsid w:val="002D61F9"/>
    <w:rsid w:val="002D697E"/>
    <w:rsid w:val="002D7EA2"/>
    <w:rsid w:val="002E00A9"/>
    <w:rsid w:val="002E0C4A"/>
    <w:rsid w:val="002E187C"/>
    <w:rsid w:val="002E2BF9"/>
    <w:rsid w:val="002E2C05"/>
    <w:rsid w:val="002E56DD"/>
    <w:rsid w:val="002E7441"/>
    <w:rsid w:val="002F0F27"/>
    <w:rsid w:val="002F305B"/>
    <w:rsid w:val="002F4C05"/>
    <w:rsid w:val="002F5357"/>
    <w:rsid w:val="002F61AE"/>
    <w:rsid w:val="002F7370"/>
    <w:rsid w:val="002F762B"/>
    <w:rsid w:val="00300271"/>
    <w:rsid w:val="00301BD0"/>
    <w:rsid w:val="00301FA8"/>
    <w:rsid w:val="00302733"/>
    <w:rsid w:val="003038B8"/>
    <w:rsid w:val="00303FF6"/>
    <w:rsid w:val="00304C2F"/>
    <w:rsid w:val="00304D4A"/>
    <w:rsid w:val="00305E1F"/>
    <w:rsid w:val="003068B7"/>
    <w:rsid w:val="00306BC3"/>
    <w:rsid w:val="00310AB2"/>
    <w:rsid w:val="00312934"/>
    <w:rsid w:val="00312BF3"/>
    <w:rsid w:val="00313474"/>
    <w:rsid w:val="00314078"/>
    <w:rsid w:val="00314A1B"/>
    <w:rsid w:val="0031535D"/>
    <w:rsid w:val="003153B6"/>
    <w:rsid w:val="00315408"/>
    <w:rsid w:val="00315C45"/>
    <w:rsid w:val="00317A0B"/>
    <w:rsid w:val="00320926"/>
    <w:rsid w:val="00321607"/>
    <w:rsid w:val="00321618"/>
    <w:rsid w:val="003219DA"/>
    <w:rsid w:val="0032325D"/>
    <w:rsid w:val="00323EC5"/>
    <w:rsid w:val="00324096"/>
    <w:rsid w:val="00325B4F"/>
    <w:rsid w:val="00325DDE"/>
    <w:rsid w:val="0032793A"/>
    <w:rsid w:val="0033169F"/>
    <w:rsid w:val="00333C3A"/>
    <w:rsid w:val="00333D28"/>
    <w:rsid w:val="00334E19"/>
    <w:rsid w:val="00335614"/>
    <w:rsid w:val="00335B51"/>
    <w:rsid w:val="0034007A"/>
    <w:rsid w:val="00340713"/>
    <w:rsid w:val="00340F63"/>
    <w:rsid w:val="00341CC3"/>
    <w:rsid w:val="00344804"/>
    <w:rsid w:val="00344E61"/>
    <w:rsid w:val="003450B4"/>
    <w:rsid w:val="00345A04"/>
    <w:rsid w:val="00346C95"/>
    <w:rsid w:val="00350083"/>
    <w:rsid w:val="003501B1"/>
    <w:rsid w:val="00350781"/>
    <w:rsid w:val="00350D95"/>
    <w:rsid w:val="00351013"/>
    <w:rsid w:val="003519A2"/>
    <w:rsid w:val="00352588"/>
    <w:rsid w:val="00352E6C"/>
    <w:rsid w:val="00353DFE"/>
    <w:rsid w:val="0035419F"/>
    <w:rsid w:val="00354D0C"/>
    <w:rsid w:val="00355254"/>
    <w:rsid w:val="003555DD"/>
    <w:rsid w:val="00356185"/>
    <w:rsid w:val="00357D76"/>
    <w:rsid w:val="00360380"/>
    <w:rsid w:val="0036153F"/>
    <w:rsid w:val="00361A4F"/>
    <w:rsid w:val="0036204A"/>
    <w:rsid w:val="003633FD"/>
    <w:rsid w:val="003642E2"/>
    <w:rsid w:val="00364B4F"/>
    <w:rsid w:val="00364B52"/>
    <w:rsid w:val="003655E1"/>
    <w:rsid w:val="00366439"/>
    <w:rsid w:val="00366D17"/>
    <w:rsid w:val="00366FCF"/>
    <w:rsid w:val="003678FB"/>
    <w:rsid w:val="00371058"/>
    <w:rsid w:val="003728A9"/>
    <w:rsid w:val="00373806"/>
    <w:rsid w:val="003739A2"/>
    <w:rsid w:val="00374A9C"/>
    <w:rsid w:val="0037519E"/>
    <w:rsid w:val="00377CC9"/>
    <w:rsid w:val="00377E1C"/>
    <w:rsid w:val="003816ED"/>
    <w:rsid w:val="00381AD2"/>
    <w:rsid w:val="00384AF8"/>
    <w:rsid w:val="00384C63"/>
    <w:rsid w:val="00385A4E"/>
    <w:rsid w:val="00386718"/>
    <w:rsid w:val="00386CF0"/>
    <w:rsid w:val="00387499"/>
    <w:rsid w:val="00387577"/>
    <w:rsid w:val="00387778"/>
    <w:rsid w:val="00387B5B"/>
    <w:rsid w:val="00391C93"/>
    <w:rsid w:val="00392ADC"/>
    <w:rsid w:val="00395214"/>
    <w:rsid w:val="003952E6"/>
    <w:rsid w:val="0039619F"/>
    <w:rsid w:val="003964A1"/>
    <w:rsid w:val="0039666E"/>
    <w:rsid w:val="0039781D"/>
    <w:rsid w:val="00397B10"/>
    <w:rsid w:val="003A1D82"/>
    <w:rsid w:val="003A22A0"/>
    <w:rsid w:val="003A43DB"/>
    <w:rsid w:val="003A4AC5"/>
    <w:rsid w:val="003A4F4A"/>
    <w:rsid w:val="003A6ADF"/>
    <w:rsid w:val="003A6DD1"/>
    <w:rsid w:val="003A748E"/>
    <w:rsid w:val="003A7D48"/>
    <w:rsid w:val="003A7FBA"/>
    <w:rsid w:val="003B01B8"/>
    <w:rsid w:val="003B0896"/>
    <w:rsid w:val="003B1175"/>
    <w:rsid w:val="003B2EE9"/>
    <w:rsid w:val="003B42CF"/>
    <w:rsid w:val="003B584E"/>
    <w:rsid w:val="003C1107"/>
    <w:rsid w:val="003C22B0"/>
    <w:rsid w:val="003C2E2C"/>
    <w:rsid w:val="003C349B"/>
    <w:rsid w:val="003C4283"/>
    <w:rsid w:val="003C57BE"/>
    <w:rsid w:val="003C57E0"/>
    <w:rsid w:val="003C5C90"/>
    <w:rsid w:val="003C5E5C"/>
    <w:rsid w:val="003C676B"/>
    <w:rsid w:val="003C71DA"/>
    <w:rsid w:val="003C748F"/>
    <w:rsid w:val="003D2B66"/>
    <w:rsid w:val="003D2CF3"/>
    <w:rsid w:val="003D350B"/>
    <w:rsid w:val="003D3BC2"/>
    <w:rsid w:val="003D3FA5"/>
    <w:rsid w:val="003D52AC"/>
    <w:rsid w:val="003D65F1"/>
    <w:rsid w:val="003D6D90"/>
    <w:rsid w:val="003D7D27"/>
    <w:rsid w:val="003E0160"/>
    <w:rsid w:val="003E10E6"/>
    <w:rsid w:val="003E4617"/>
    <w:rsid w:val="003E505A"/>
    <w:rsid w:val="003E67D0"/>
    <w:rsid w:val="003E6CA1"/>
    <w:rsid w:val="003F14CC"/>
    <w:rsid w:val="003F1A38"/>
    <w:rsid w:val="003F253C"/>
    <w:rsid w:val="003F2D0D"/>
    <w:rsid w:val="003F4059"/>
    <w:rsid w:val="003F4255"/>
    <w:rsid w:val="003F6680"/>
    <w:rsid w:val="003F7404"/>
    <w:rsid w:val="003F7CC3"/>
    <w:rsid w:val="00400A2C"/>
    <w:rsid w:val="004028E2"/>
    <w:rsid w:val="004055B2"/>
    <w:rsid w:val="00405B71"/>
    <w:rsid w:val="00407038"/>
    <w:rsid w:val="004110C2"/>
    <w:rsid w:val="0041164C"/>
    <w:rsid w:val="00411787"/>
    <w:rsid w:val="00411B35"/>
    <w:rsid w:val="004120F0"/>
    <w:rsid w:val="0041219C"/>
    <w:rsid w:val="00412229"/>
    <w:rsid w:val="00412362"/>
    <w:rsid w:val="00415BF4"/>
    <w:rsid w:val="004161E1"/>
    <w:rsid w:val="004165C2"/>
    <w:rsid w:val="004202E1"/>
    <w:rsid w:val="00420EF8"/>
    <w:rsid w:val="0042171A"/>
    <w:rsid w:val="00422495"/>
    <w:rsid w:val="00423C64"/>
    <w:rsid w:val="00426668"/>
    <w:rsid w:val="004267FE"/>
    <w:rsid w:val="00427638"/>
    <w:rsid w:val="004304DE"/>
    <w:rsid w:val="00432B07"/>
    <w:rsid w:val="00441ECB"/>
    <w:rsid w:val="004431DD"/>
    <w:rsid w:val="00443ED1"/>
    <w:rsid w:val="00445946"/>
    <w:rsid w:val="00446AD6"/>
    <w:rsid w:val="00446AE6"/>
    <w:rsid w:val="004512F4"/>
    <w:rsid w:val="004516EE"/>
    <w:rsid w:val="004518AA"/>
    <w:rsid w:val="0045337C"/>
    <w:rsid w:val="0045344C"/>
    <w:rsid w:val="00453B88"/>
    <w:rsid w:val="004550A2"/>
    <w:rsid w:val="0045524C"/>
    <w:rsid w:val="00455427"/>
    <w:rsid w:val="00455EFD"/>
    <w:rsid w:val="004579E2"/>
    <w:rsid w:val="00461361"/>
    <w:rsid w:val="0046156D"/>
    <w:rsid w:val="00462CC7"/>
    <w:rsid w:val="0046321A"/>
    <w:rsid w:val="00465B3F"/>
    <w:rsid w:val="00467B7E"/>
    <w:rsid w:val="004701F1"/>
    <w:rsid w:val="004704BC"/>
    <w:rsid w:val="00471DD8"/>
    <w:rsid w:val="00472255"/>
    <w:rsid w:val="004733EE"/>
    <w:rsid w:val="00473F0B"/>
    <w:rsid w:val="0047414D"/>
    <w:rsid w:val="00475DA8"/>
    <w:rsid w:val="004763AC"/>
    <w:rsid w:val="00476A77"/>
    <w:rsid w:val="0047702D"/>
    <w:rsid w:val="00477592"/>
    <w:rsid w:val="004779DE"/>
    <w:rsid w:val="0048035F"/>
    <w:rsid w:val="00482C3D"/>
    <w:rsid w:val="00483655"/>
    <w:rsid w:val="00483B24"/>
    <w:rsid w:val="004844A3"/>
    <w:rsid w:val="0048538C"/>
    <w:rsid w:val="004861CA"/>
    <w:rsid w:val="00486B27"/>
    <w:rsid w:val="00486F1C"/>
    <w:rsid w:val="00487853"/>
    <w:rsid w:val="00490E2C"/>
    <w:rsid w:val="004913D3"/>
    <w:rsid w:val="0049279C"/>
    <w:rsid w:val="00492D61"/>
    <w:rsid w:val="00493069"/>
    <w:rsid w:val="0049419D"/>
    <w:rsid w:val="004945D6"/>
    <w:rsid w:val="00496156"/>
    <w:rsid w:val="004979FF"/>
    <w:rsid w:val="004A17F1"/>
    <w:rsid w:val="004A2711"/>
    <w:rsid w:val="004A34D4"/>
    <w:rsid w:val="004A41C7"/>
    <w:rsid w:val="004A5B3F"/>
    <w:rsid w:val="004A5C36"/>
    <w:rsid w:val="004A7DB4"/>
    <w:rsid w:val="004B264E"/>
    <w:rsid w:val="004B2946"/>
    <w:rsid w:val="004B32AE"/>
    <w:rsid w:val="004B3336"/>
    <w:rsid w:val="004B350B"/>
    <w:rsid w:val="004B3C6B"/>
    <w:rsid w:val="004B6F08"/>
    <w:rsid w:val="004C07E3"/>
    <w:rsid w:val="004C18D5"/>
    <w:rsid w:val="004C20D2"/>
    <w:rsid w:val="004C3609"/>
    <w:rsid w:val="004C3851"/>
    <w:rsid w:val="004C3A21"/>
    <w:rsid w:val="004C4B62"/>
    <w:rsid w:val="004C4C4A"/>
    <w:rsid w:val="004C518D"/>
    <w:rsid w:val="004C54C9"/>
    <w:rsid w:val="004C567F"/>
    <w:rsid w:val="004C6877"/>
    <w:rsid w:val="004C786B"/>
    <w:rsid w:val="004C788A"/>
    <w:rsid w:val="004D08A7"/>
    <w:rsid w:val="004D13FC"/>
    <w:rsid w:val="004D1484"/>
    <w:rsid w:val="004D2F00"/>
    <w:rsid w:val="004D33FA"/>
    <w:rsid w:val="004D3476"/>
    <w:rsid w:val="004D6025"/>
    <w:rsid w:val="004D7A51"/>
    <w:rsid w:val="004E00EA"/>
    <w:rsid w:val="004E010E"/>
    <w:rsid w:val="004E06EE"/>
    <w:rsid w:val="004E1029"/>
    <w:rsid w:val="004E1D2C"/>
    <w:rsid w:val="004E2649"/>
    <w:rsid w:val="004E2C81"/>
    <w:rsid w:val="004E345D"/>
    <w:rsid w:val="004E41DD"/>
    <w:rsid w:val="004E5317"/>
    <w:rsid w:val="004E69E2"/>
    <w:rsid w:val="004E7225"/>
    <w:rsid w:val="004E7516"/>
    <w:rsid w:val="004F09D7"/>
    <w:rsid w:val="004F3369"/>
    <w:rsid w:val="004F3E11"/>
    <w:rsid w:val="004F50A6"/>
    <w:rsid w:val="004F53C3"/>
    <w:rsid w:val="004F6177"/>
    <w:rsid w:val="004F66FE"/>
    <w:rsid w:val="004F78A9"/>
    <w:rsid w:val="00500746"/>
    <w:rsid w:val="00501399"/>
    <w:rsid w:val="00502F2E"/>
    <w:rsid w:val="005039BD"/>
    <w:rsid w:val="00503BB5"/>
    <w:rsid w:val="005047AB"/>
    <w:rsid w:val="0050633D"/>
    <w:rsid w:val="0050707F"/>
    <w:rsid w:val="00507BC4"/>
    <w:rsid w:val="00507FED"/>
    <w:rsid w:val="00511C53"/>
    <w:rsid w:val="00512257"/>
    <w:rsid w:val="005128E4"/>
    <w:rsid w:val="00512CBE"/>
    <w:rsid w:val="005133DB"/>
    <w:rsid w:val="005157B9"/>
    <w:rsid w:val="00515A92"/>
    <w:rsid w:val="00515EC8"/>
    <w:rsid w:val="00516A27"/>
    <w:rsid w:val="00517F50"/>
    <w:rsid w:val="00520408"/>
    <w:rsid w:val="00520A2F"/>
    <w:rsid w:val="005215D0"/>
    <w:rsid w:val="00522C85"/>
    <w:rsid w:val="00523153"/>
    <w:rsid w:val="00524EE6"/>
    <w:rsid w:val="00525560"/>
    <w:rsid w:val="00525AD6"/>
    <w:rsid w:val="00525DDB"/>
    <w:rsid w:val="005268B8"/>
    <w:rsid w:val="005271B6"/>
    <w:rsid w:val="00531807"/>
    <w:rsid w:val="005322E5"/>
    <w:rsid w:val="005349ED"/>
    <w:rsid w:val="00534FBE"/>
    <w:rsid w:val="00535500"/>
    <w:rsid w:val="0053556F"/>
    <w:rsid w:val="005371CD"/>
    <w:rsid w:val="0054002A"/>
    <w:rsid w:val="0054029E"/>
    <w:rsid w:val="00540575"/>
    <w:rsid w:val="0054307F"/>
    <w:rsid w:val="00543BCF"/>
    <w:rsid w:val="0054444B"/>
    <w:rsid w:val="00544C49"/>
    <w:rsid w:val="00545248"/>
    <w:rsid w:val="0054587A"/>
    <w:rsid w:val="005459F9"/>
    <w:rsid w:val="00545B9A"/>
    <w:rsid w:val="0055069A"/>
    <w:rsid w:val="005508C4"/>
    <w:rsid w:val="00550DB6"/>
    <w:rsid w:val="00551081"/>
    <w:rsid w:val="00551662"/>
    <w:rsid w:val="005516A1"/>
    <w:rsid w:val="00552249"/>
    <w:rsid w:val="00553320"/>
    <w:rsid w:val="00554BAB"/>
    <w:rsid w:val="00554DBC"/>
    <w:rsid w:val="005554FA"/>
    <w:rsid w:val="0055626F"/>
    <w:rsid w:val="00556755"/>
    <w:rsid w:val="00556F57"/>
    <w:rsid w:val="00560837"/>
    <w:rsid w:val="00561F03"/>
    <w:rsid w:val="00562181"/>
    <w:rsid w:val="005640B3"/>
    <w:rsid w:val="00564126"/>
    <w:rsid w:val="00564291"/>
    <w:rsid w:val="00566971"/>
    <w:rsid w:val="005670BF"/>
    <w:rsid w:val="005676E4"/>
    <w:rsid w:val="005704C6"/>
    <w:rsid w:val="00570AB1"/>
    <w:rsid w:val="00573BB5"/>
    <w:rsid w:val="0057402A"/>
    <w:rsid w:val="005741A1"/>
    <w:rsid w:val="005747CB"/>
    <w:rsid w:val="005771D0"/>
    <w:rsid w:val="005774EE"/>
    <w:rsid w:val="00577986"/>
    <w:rsid w:val="00580769"/>
    <w:rsid w:val="00580C7B"/>
    <w:rsid w:val="005820A2"/>
    <w:rsid w:val="00582AD0"/>
    <w:rsid w:val="00582E29"/>
    <w:rsid w:val="00582E2D"/>
    <w:rsid w:val="00582FB7"/>
    <w:rsid w:val="00584CEE"/>
    <w:rsid w:val="005853DE"/>
    <w:rsid w:val="0058550D"/>
    <w:rsid w:val="005863F0"/>
    <w:rsid w:val="00590247"/>
    <w:rsid w:val="0059191A"/>
    <w:rsid w:val="005921FF"/>
    <w:rsid w:val="00592407"/>
    <w:rsid w:val="005927DB"/>
    <w:rsid w:val="00592D32"/>
    <w:rsid w:val="00592F00"/>
    <w:rsid w:val="00593A96"/>
    <w:rsid w:val="00594D33"/>
    <w:rsid w:val="00594EA8"/>
    <w:rsid w:val="00597139"/>
    <w:rsid w:val="00597182"/>
    <w:rsid w:val="00597B1F"/>
    <w:rsid w:val="005A13F1"/>
    <w:rsid w:val="005A22A5"/>
    <w:rsid w:val="005A3189"/>
    <w:rsid w:val="005A426B"/>
    <w:rsid w:val="005A6C98"/>
    <w:rsid w:val="005A6D0E"/>
    <w:rsid w:val="005A79BE"/>
    <w:rsid w:val="005B201B"/>
    <w:rsid w:val="005B22F2"/>
    <w:rsid w:val="005B2E8C"/>
    <w:rsid w:val="005B3991"/>
    <w:rsid w:val="005B454D"/>
    <w:rsid w:val="005B463A"/>
    <w:rsid w:val="005B4EC3"/>
    <w:rsid w:val="005B52B0"/>
    <w:rsid w:val="005B57C8"/>
    <w:rsid w:val="005B5DA0"/>
    <w:rsid w:val="005B6806"/>
    <w:rsid w:val="005B7CFC"/>
    <w:rsid w:val="005C0160"/>
    <w:rsid w:val="005C19DB"/>
    <w:rsid w:val="005C2D54"/>
    <w:rsid w:val="005C4225"/>
    <w:rsid w:val="005C4D72"/>
    <w:rsid w:val="005C5B5F"/>
    <w:rsid w:val="005C5F91"/>
    <w:rsid w:val="005C6897"/>
    <w:rsid w:val="005C6B77"/>
    <w:rsid w:val="005D07C2"/>
    <w:rsid w:val="005D2009"/>
    <w:rsid w:val="005D2580"/>
    <w:rsid w:val="005D4FBD"/>
    <w:rsid w:val="005D5860"/>
    <w:rsid w:val="005D61CF"/>
    <w:rsid w:val="005D64DF"/>
    <w:rsid w:val="005D6C4F"/>
    <w:rsid w:val="005E093C"/>
    <w:rsid w:val="005E0A2B"/>
    <w:rsid w:val="005E2512"/>
    <w:rsid w:val="005E2653"/>
    <w:rsid w:val="005E2757"/>
    <w:rsid w:val="005E32A3"/>
    <w:rsid w:val="005E3FAA"/>
    <w:rsid w:val="005E4932"/>
    <w:rsid w:val="005E5EB5"/>
    <w:rsid w:val="005E6686"/>
    <w:rsid w:val="005E70C2"/>
    <w:rsid w:val="005E7131"/>
    <w:rsid w:val="005E73E3"/>
    <w:rsid w:val="005E7B71"/>
    <w:rsid w:val="005E7D25"/>
    <w:rsid w:val="005F059A"/>
    <w:rsid w:val="005F0DAD"/>
    <w:rsid w:val="005F0F33"/>
    <w:rsid w:val="005F10F8"/>
    <w:rsid w:val="005F3019"/>
    <w:rsid w:val="005F36C9"/>
    <w:rsid w:val="005F467E"/>
    <w:rsid w:val="00600984"/>
    <w:rsid w:val="00600DEB"/>
    <w:rsid w:val="006025D3"/>
    <w:rsid w:val="0060286E"/>
    <w:rsid w:val="0060359A"/>
    <w:rsid w:val="00603CE1"/>
    <w:rsid w:val="00604374"/>
    <w:rsid w:val="00605E17"/>
    <w:rsid w:val="006062AE"/>
    <w:rsid w:val="00606766"/>
    <w:rsid w:val="00607D72"/>
    <w:rsid w:val="00612C26"/>
    <w:rsid w:val="006131F6"/>
    <w:rsid w:val="00614070"/>
    <w:rsid w:val="00614949"/>
    <w:rsid w:val="006156BB"/>
    <w:rsid w:val="00615CE7"/>
    <w:rsid w:val="00620DA8"/>
    <w:rsid w:val="00621BCF"/>
    <w:rsid w:val="006231B9"/>
    <w:rsid w:val="00623491"/>
    <w:rsid w:val="00624C42"/>
    <w:rsid w:val="00626FA8"/>
    <w:rsid w:val="00627226"/>
    <w:rsid w:val="00627C9F"/>
    <w:rsid w:val="00630182"/>
    <w:rsid w:val="006310B6"/>
    <w:rsid w:val="006311E9"/>
    <w:rsid w:val="00631790"/>
    <w:rsid w:val="00632186"/>
    <w:rsid w:val="00632354"/>
    <w:rsid w:val="006323A4"/>
    <w:rsid w:val="00632756"/>
    <w:rsid w:val="00634563"/>
    <w:rsid w:val="00635BB1"/>
    <w:rsid w:val="00636B55"/>
    <w:rsid w:val="006376C7"/>
    <w:rsid w:val="00641153"/>
    <w:rsid w:val="006417CC"/>
    <w:rsid w:val="00642810"/>
    <w:rsid w:val="00643CC4"/>
    <w:rsid w:val="00644082"/>
    <w:rsid w:val="006442F5"/>
    <w:rsid w:val="006443E9"/>
    <w:rsid w:val="006456F7"/>
    <w:rsid w:val="00646395"/>
    <w:rsid w:val="006467FD"/>
    <w:rsid w:val="00650002"/>
    <w:rsid w:val="00651C05"/>
    <w:rsid w:val="00651EC2"/>
    <w:rsid w:val="00652188"/>
    <w:rsid w:val="00652333"/>
    <w:rsid w:val="00655211"/>
    <w:rsid w:val="00656512"/>
    <w:rsid w:val="00656E65"/>
    <w:rsid w:val="0066023A"/>
    <w:rsid w:val="00660C52"/>
    <w:rsid w:val="00661100"/>
    <w:rsid w:val="00661DA2"/>
    <w:rsid w:val="0066333F"/>
    <w:rsid w:val="00664161"/>
    <w:rsid w:val="006643FC"/>
    <w:rsid w:val="0066459D"/>
    <w:rsid w:val="006648A4"/>
    <w:rsid w:val="00664CDD"/>
    <w:rsid w:val="0066711E"/>
    <w:rsid w:val="00670490"/>
    <w:rsid w:val="006707C8"/>
    <w:rsid w:val="00670F82"/>
    <w:rsid w:val="0067116C"/>
    <w:rsid w:val="00671F2C"/>
    <w:rsid w:val="00673691"/>
    <w:rsid w:val="00673B01"/>
    <w:rsid w:val="006744FD"/>
    <w:rsid w:val="00677789"/>
    <w:rsid w:val="0068009E"/>
    <w:rsid w:val="00683DB1"/>
    <w:rsid w:val="00685B16"/>
    <w:rsid w:val="00685B73"/>
    <w:rsid w:val="00690F47"/>
    <w:rsid w:val="00691376"/>
    <w:rsid w:val="00691C56"/>
    <w:rsid w:val="00692219"/>
    <w:rsid w:val="00692431"/>
    <w:rsid w:val="00693EF9"/>
    <w:rsid w:val="00697C65"/>
    <w:rsid w:val="006A17D2"/>
    <w:rsid w:val="006A359D"/>
    <w:rsid w:val="006A46E5"/>
    <w:rsid w:val="006A5BAB"/>
    <w:rsid w:val="006A64C8"/>
    <w:rsid w:val="006A6F1B"/>
    <w:rsid w:val="006A73E6"/>
    <w:rsid w:val="006A788D"/>
    <w:rsid w:val="006B0C1C"/>
    <w:rsid w:val="006B10A8"/>
    <w:rsid w:val="006B2D5C"/>
    <w:rsid w:val="006B47C7"/>
    <w:rsid w:val="006B49A7"/>
    <w:rsid w:val="006B4C96"/>
    <w:rsid w:val="006B5A8F"/>
    <w:rsid w:val="006B6453"/>
    <w:rsid w:val="006B775C"/>
    <w:rsid w:val="006B7951"/>
    <w:rsid w:val="006C1069"/>
    <w:rsid w:val="006C1263"/>
    <w:rsid w:val="006C2A40"/>
    <w:rsid w:val="006C36D7"/>
    <w:rsid w:val="006C458C"/>
    <w:rsid w:val="006C4EB1"/>
    <w:rsid w:val="006C54D6"/>
    <w:rsid w:val="006C717A"/>
    <w:rsid w:val="006D09CA"/>
    <w:rsid w:val="006D20F0"/>
    <w:rsid w:val="006D24F9"/>
    <w:rsid w:val="006D2770"/>
    <w:rsid w:val="006D42DA"/>
    <w:rsid w:val="006D51FD"/>
    <w:rsid w:val="006E0166"/>
    <w:rsid w:val="006E0DBF"/>
    <w:rsid w:val="006E1650"/>
    <w:rsid w:val="006E1718"/>
    <w:rsid w:val="006E2A8D"/>
    <w:rsid w:val="006E3533"/>
    <w:rsid w:val="006E3ACD"/>
    <w:rsid w:val="006E7253"/>
    <w:rsid w:val="006E7B34"/>
    <w:rsid w:val="006F0687"/>
    <w:rsid w:val="006F10C5"/>
    <w:rsid w:val="006F1124"/>
    <w:rsid w:val="006F567F"/>
    <w:rsid w:val="006F70B7"/>
    <w:rsid w:val="006F716F"/>
    <w:rsid w:val="00702096"/>
    <w:rsid w:val="0070282D"/>
    <w:rsid w:val="00702DD3"/>
    <w:rsid w:val="00703E38"/>
    <w:rsid w:val="00703E49"/>
    <w:rsid w:val="00704240"/>
    <w:rsid w:val="00704267"/>
    <w:rsid w:val="0070609E"/>
    <w:rsid w:val="007063CD"/>
    <w:rsid w:val="0070697F"/>
    <w:rsid w:val="0070721F"/>
    <w:rsid w:val="00707E2E"/>
    <w:rsid w:val="00711EF7"/>
    <w:rsid w:val="00711F29"/>
    <w:rsid w:val="00712F3E"/>
    <w:rsid w:val="0071368B"/>
    <w:rsid w:val="00713F2E"/>
    <w:rsid w:val="007146B9"/>
    <w:rsid w:val="00715566"/>
    <w:rsid w:val="00716235"/>
    <w:rsid w:val="007167B1"/>
    <w:rsid w:val="007169E9"/>
    <w:rsid w:val="0072199C"/>
    <w:rsid w:val="0072224B"/>
    <w:rsid w:val="00722C9F"/>
    <w:rsid w:val="00722D25"/>
    <w:rsid w:val="007249DC"/>
    <w:rsid w:val="007253B8"/>
    <w:rsid w:val="00727F1D"/>
    <w:rsid w:val="00730DF5"/>
    <w:rsid w:val="00731339"/>
    <w:rsid w:val="007314FD"/>
    <w:rsid w:val="0073232F"/>
    <w:rsid w:val="00732738"/>
    <w:rsid w:val="00733557"/>
    <w:rsid w:val="00733DD9"/>
    <w:rsid w:val="00734164"/>
    <w:rsid w:val="00734C4B"/>
    <w:rsid w:val="007363D0"/>
    <w:rsid w:val="0073741F"/>
    <w:rsid w:val="007400FA"/>
    <w:rsid w:val="00740BFE"/>
    <w:rsid w:val="00740EAE"/>
    <w:rsid w:val="0074238D"/>
    <w:rsid w:val="00742C77"/>
    <w:rsid w:val="0074304F"/>
    <w:rsid w:val="007430D2"/>
    <w:rsid w:val="0074363B"/>
    <w:rsid w:val="00743DC5"/>
    <w:rsid w:val="007440E7"/>
    <w:rsid w:val="00745B7E"/>
    <w:rsid w:val="00746585"/>
    <w:rsid w:val="00746843"/>
    <w:rsid w:val="00746AAE"/>
    <w:rsid w:val="0074720D"/>
    <w:rsid w:val="00747D8D"/>
    <w:rsid w:val="00750A75"/>
    <w:rsid w:val="007514F8"/>
    <w:rsid w:val="00753917"/>
    <w:rsid w:val="00754ACA"/>
    <w:rsid w:val="0075679B"/>
    <w:rsid w:val="0075702A"/>
    <w:rsid w:val="00757210"/>
    <w:rsid w:val="007607D3"/>
    <w:rsid w:val="0076215D"/>
    <w:rsid w:val="00762E27"/>
    <w:rsid w:val="00763935"/>
    <w:rsid w:val="0076467D"/>
    <w:rsid w:val="0076529C"/>
    <w:rsid w:val="007654E4"/>
    <w:rsid w:val="0076643F"/>
    <w:rsid w:val="00766704"/>
    <w:rsid w:val="00766B1A"/>
    <w:rsid w:val="0076710B"/>
    <w:rsid w:val="0076747E"/>
    <w:rsid w:val="00767B0F"/>
    <w:rsid w:val="00771BDD"/>
    <w:rsid w:val="007729E0"/>
    <w:rsid w:val="00773739"/>
    <w:rsid w:val="007743EA"/>
    <w:rsid w:val="00774E56"/>
    <w:rsid w:val="007755C4"/>
    <w:rsid w:val="00776C1A"/>
    <w:rsid w:val="00777F63"/>
    <w:rsid w:val="00780936"/>
    <w:rsid w:val="00780A2B"/>
    <w:rsid w:val="00780E78"/>
    <w:rsid w:val="0078104A"/>
    <w:rsid w:val="00781820"/>
    <w:rsid w:val="00781882"/>
    <w:rsid w:val="00781910"/>
    <w:rsid w:val="00781C50"/>
    <w:rsid w:val="00782C1F"/>
    <w:rsid w:val="00782CEC"/>
    <w:rsid w:val="00782DD4"/>
    <w:rsid w:val="00784445"/>
    <w:rsid w:val="007863AC"/>
    <w:rsid w:val="007900E5"/>
    <w:rsid w:val="0079188C"/>
    <w:rsid w:val="0079192C"/>
    <w:rsid w:val="00791E19"/>
    <w:rsid w:val="0079338F"/>
    <w:rsid w:val="0079366A"/>
    <w:rsid w:val="00796BA7"/>
    <w:rsid w:val="00796CE1"/>
    <w:rsid w:val="007A01A7"/>
    <w:rsid w:val="007A0649"/>
    <w:rsid w:val="007A0DE8"/>
    <w:rsid w:val="007A27A5"/>
    <w:rsid w:val="007A40E7"/>
    <w:rsid w:val="007A5817"/>
    <w:rsid w:val="007A5FE9"/>
    <w:rsid w:val="007A7914"/>
    <w:rsid w:val="007B0F54"/>
    <w:rsid w:val="007B1508"/>
    <w:rsid w:val="007B2EC9"/>
    <w:rsid w:val="007B33CA"/>
    <w:rsid w:val="007B46EE"/>
    <w:rsid w:val="007B60E9"/>
    <w:rsid w:val="007B6399"/>
    <w:rsid w:val="007B6CC3"/>
    <w:rsid w:val="007B719D"/>
    <w:rsid w:val="007C10F0"/>
    <w:rsid w:val="007C19EC"/>
    <w:rsid w:val="007C2846"/>
    <w:rsid w:val="007C3334"/>
    <w:rsid w:val="007C384C"/>
    <w:rsid w:val="007C3F9E"/>
    <w:rsid w:val="007C4309"/>
    <w:rsid w:val="007C467D"/>
    <w:rsid w:val="007C5D5F"/>
    <w:rsid w:val="007C77F8"/>
    <w:rsid w:val="007C7D18"/>
    <w:rsid w:val="007D0394"/>
    <w:rsid w:val="007D07B8"/>
    <w:rsid w:val="007D1612"/>
    <w:rsid w:val="007D1DF8"/>
    <w:rsid w:val="007D2B98"/>
    <w:rsid w:val="007D2DB2"/>
    <w:rsid w:val="007D3940"/>
    <w:rsid w:val="007D407C"/>
    <w:rsid w:val="007D5353"/>
    <w:rsid w:val="007D57A8"/>
    <w:rsid w:val="007D5C45"/>
    <w:rsid w:val="007D65B9"/>
    <w:rsid w:val="007D7158"/>
    <w:rsid w:val="007E0996"/>
    <w:rsid w:val="007E1653"/>
    <w:rsid w:val="007E21BC"/>
    <w:rsid w:val="007E256B"/>
    <w:rsid w:val="007E25E5"/>
    <w:rsid w:val="007E428A"/>
    <w:rsid w:val="007E43DC"/>
    <w:rsid w:val="007E4EE5"/>
    <w:rsid w:val="007E6198"/>
    <w:rsid w:val="007F1826"/>
    <w:rsid w:val="007F1A1E"/>
    <w:rsid w:val="007F22A8"/>
    <w:rsid w:val="007F3654"/>
    <w:rsid w:val="007F4E2B"/>
    <w:rsid w:val="007F58B6"/>
    <w:rsid w:val="007F710D"/>
    <w:rsid w:val="0080090C"/>
    <w:rsid w:val="00801257"/>
    <w:rsid w:val="00801D1A"/>
    <w:rsid w:val="00802D53"/>
    <w:rsid w:val="008034D4"/>
    <w:rsid w:val="008037A2"/>
    <w:rsid w:val="00803F1C"/>
    <w:rsid w:val="0080543F"/>
    <w:rsid w:val="0080600E"/>
    <w:rsid w:val="00806186"/>
    <w:rsid w:val="008066E9"/>
    <w:rsid w:val="00807765"/>
    <w:rsid w:val="00807D36"/>
    <w:rsid w:val="008107B8"/>
    <w:rsid w:val="00811395"/>
    <w:rsid w:val="00812D14"/>
    <w:rsid w:val="00813A3A"/>
    <w:rsid w:val="008141EA"/>
    <w:rsid w:val="00816646"/>
    <w:rsid w:val="00816C6F"/>
    <w:rsid w:val="00817612"/>
    <w:rsid w:val="00817A29"/>
    <w:rsid w:val="008229E6"/>
    <w:rsid w:val="00823157"/>
    <w:rsid w:val="0082506B"/>
    <w:rsid w:val="00825923"/>
    <w:rsid w:val="00827355"/>
    <w:rsid w:val="008273B3"/>
    <w:rsid w:val="008305C0"/>
    <w:rsid w:val="008316E2"/>
    <w:rsid w:val="00831B05"/>
    <w:rsid w:val="008332E1"/>
    <w:rsid w:val="008338A4"/>
    <w:rsid w:val="00834DAD"/>
    <w:rsid w:val="008363CE"/>
    <w:rsid w:val="008369F6"/>
    <w:rsid w:val="00837C45"/>
    <w:rsid w:val="00837F6A"/>
    <w:rsid w:val="0084066A"/>
    <w:rsid w:val="00841AFD"/>
    <w:rsid w:val="00843DED"/>
    <w:rsid w:val="00844730"/>
    <w:rsid w:val="008449D3"/>
    <w:rsid w:val="00845125"/>
    <w:rsid w:val="00845611"/>
    <w:rsid w:val="008457C2"/>
    <w:rsid w:val="00846428"/>
    <w:rsid w:val="0084686C"/>
    <w:rsid w:val="008477B2"/>
    <w:rsid w:val="00847F90"/>
    <w:rsid w:val="008512E1"/>
    <w:rsid w:val="00851EEF"/>
    <w:rsid w:val="00852019"/>
    <w:rsid w:val="00852FF0"/>
    <w:rsid w:val="00853104"/>
    <w:rsid w:val="0085325C"/>
    <w:rsid w:val="0085455C"/>
    <w:rsid w:val="00854BDF"/>
    <w:rsid w:val="00857A82"/>
    <w:rsid w:val="00857ADB"/>
    <w:rsid w:val="0086050B"/>
    <w:rsid w:val="00860DB4"/>
    <w:rsid w:val="008611B6"/>
    <w:rsid w:val="00861D61"/>
    <w:rsid w:val="00862722"/>
    <w:rsid w:val="00862854"/>
    <w:rsid w:val="00862BD5"/>
    <w:rsid w:val="00862F3E"/>
    <w:rsid w:val="0086550A"/>
    <w:rsid w:val="00865D30"/>
    <w:rsid w:val="00865F02"/>
    <w:rsid w:val="008660EB"/>
    <w:rsid w:val="00866919"/>
    <w:rsid w:val="0087030C"/>
    <w:rsid w:val="008708AD"/>
    <w:rsid w:val="0087187C"/>
    <w:rsid w:val="00872E93"/>
    <w:rsid w:val="00873836"/>
    <w:rsid w:val="0087429D"/>
    <w:rsid w:val="008748DB"/>
    <w:rsid w:val="00876648"/>
    <w:rsid w:val="0087692F"/>
    <w:rsid w:val="00876B65"/>
    <w:rsid w:val="008802EC"/>
    <w:rsid w:val="0088057B"/>
    <w:rsid w:val="00880CAA"/>
    <w:rsid w:val="00882BF3"/>
    <w:rsid w:val="00883E9F"/>
    <w:rsid w:val="008845F7"/>
    <w:rsid w:val="00885737"/>
    <w:rsid w:val="008867AB"/>
    <w:rsid w:val="00886852"/>
    <w:rsid w:val="00890650"/>
    <w:rsid w:val="00890B8B"/>
    <w:rsid w:val="008925D9"/>
    <w:rsid w:val="008935DC"/>
    <w:rsid w:val="008940B2"/>
    <w:rsid w:val="00894870"/>
    <w:rsid w:val="00894B17"/>
    <w:rsid w:val="00894C3D"/>
    <w:rsid w:val="00895FA1"/>
    <w:rsid w:val="008970B8"/>
    <w:rsid w:val="00897541"/>
    <w:rsid w:val="008975FB"/>
    <w:rsid w:val="00897AD2"/>
    <w:rsid w:val="00897E12"/>
    <w:rsid w:val="008A1017"/>
    <w:rsid w:val="008A178A"/>
    <w:rsid w:val="008A221D"/>
    <w:rsid w:val="008A27CF"/>
    <w:rsid w:val="008A3ABF"/>
    <w:rsid w:val="008A58AF"/>
    <w:rsid w:val="008A59BE"/>
    <w:rsid w:val="008A5A32"/>
    <w:rsid w:val="008A6DC1"/>
    <w:rsid w:val="008A794E"/>
    <w:rsid w:val="008A7E0F"/>
    <w:rsid w:val="008B090D"/>
    <w:rsid w:val="008B109D"/>
    <w:rsid w:val="008B12F5"/>
    <w:rsid w:val="008B39F7"/>
    <w:rsid w:val="008B44DC"/>
    <w:rsid w:val="008B4BF4"/>
    <w:rsid w:val="008B5D95"/>
    <w:rsid w:val="008B5EB4"/>
    <w:rsid w:val="008B6482"/>
    <w:rsid w:val="008B6745"/>
    <w:rsid w:val="008B6F47"/>
    <w:rsid w:val="008C01FC"/>
    <w:rsid w:val="008C08F9"/>
    <w:rsid w:val="008C10AE"/>
    <w:rsid w:val="008C211F"/>
    <w:rsid w:val="008C300A"/>
    <w:rsid w:val="008C3D81"/>
    <w:rsid w:val="008C4B44"/>
    <w:rsid w:val="008C4C7D"/>
    <w:rsid w:val="008C5017"/>
    <w:rsid w:val="008C71A1"/>
    <w:rsid w:val="008D0FE1"/>
    <w:rsid w:val="008D1483"/>
    <w:rsid w:val="008D2F87"/>
    <w:rsid w:val="008D3DE1"/>
    <w:rsid w:val="008D3FB7"/>
    <w:rsid w:val="008D4458"/>
    <w:rsid w:val="008D4A06"/>
    <w:rsid w:val="008D5B3D"/>
    <w:rsid w:val="008D5DDF"/>
    <w:rsid w:val="008D768D"/>
    <w:rsid w:val="008E0B7A"/>
    <w:rsid w:val="008E178E"/>
    <w:rsid w:val="008E2375"/>
    <w:rsid w:val="008E274E"/>
    <w:rsid w:val="008E2B60"/>
    <w:rsid w:val="008E3759"/>
    <w:rsid w:val="008E5748"/>
    <w:rsid w:val="008E6D12"/>
    <w:rsid w:val="008E7194"/>
    <w:rsid w:val="008E770D"/>
    <w:rsid w:val="008E77C6"/>
    <w:rsid w:val="008E7C61"/>
    <w:rsid w:val="008F0258"/>
    <w:rsid w:val="008F15C3"/>
    <w:rsid w:val="008F1912"/>
    <w:rsid w:val="008F384C"/>
    <w:rsid w:val="008F3C10"/>
    <w:rsid w:val="008F53EC"/>
    <w:rsid w:val="008F5CC1"/>
    <w:rsid w:val="008F6381"/>
    <w:rsid w:val="009008AC"/>
    <w:rsid w:val="009014ED"/>
    <w:rsid w:val="0090270B"/>
    <w:rsid w:val="009039C8"/>
    <w:rsid w:val="009041DC"/>
    <w:rsid w:val="0090449D"/>
    <w:rsid w:val="009116FB"/>
    <w:rsid w:val="009117F9"/>
    <w:rsid w:val="00911E3F"/>
    <w:rsid w:val="009123D9"/>
    <w:rsid w:val="009136F0"/>
    <w:rsid w:val="00913B94"/>
    <w:rsid w:val="00914C75"/>
    <w:rsid w:val="00914EC9"/>
    <w:rsid w:val="00915329"/>
    <w:rsid w:val="00917848"/>
    <w:rsid w:val="00917B5A"/>
    <w:rsid w:val="00920725"/>
    <w:rsid w:val="00920981"/>
    <w:rsid w:val="00920A58"/>
    <w:rsid w:val="00920A8C"/>
    <w:rsid w:val="00920C68"/>
    <w:rsid w:val="00920F99"/>
    <w:rsid w:val="00921419"/>
    <w:rsid w:val="00921DD7"/>
    <w:rsid w:val="00922EA0"/>
    <w:rsid w:val="0092336D"/>
    <w:rsid w:val="0092350B"/>
    <w:rsid w:val="009236ED"/>
    <w:rsid w:val="009237E9"/>
    <w:rsid w:val="00923B91"/>
    <w:rsid w:val="009258FE"/>
    <w:rsid w:val="00927A39"/>
    <w:rsid w:val="00927DC7"/>
    <w:rsid w:val="00930BB1"/>
    <w:rsid w:val="00931FA0"/>
    <w:rsid w:val="0093288E"/>
    <w:rsid w:val="00933C58"/>
    <w:rsid w:val="00933F79"/>
    <w:rsid w:val="009349A9"/>
    <w:rsid w:val="00934A2C"/>
    <w:rsid w:val="009355EB"/>
    <w:rsid w:val="00936164"/>
    <w:rsid w:val="0093627D"/>
    <w:rsid w:val="00936E77"/>
    <w:rsid w:val="0094248C"/>
    <w:rsid w:val="00942AA4"/>
    <w:rsid w:val="00943345"/>
    <w:rsid w:val="00943E7C"/>
    <w:rsid w:val="00944DD8"/>
    <w:rsid w:val="009458DF"/>
    <w:rsid w:val="00946F5C"/>
    <w:rsid w:val="00950B3C"/>
    <w:rsid w:val="00950B9F"/>
    <w:rsid w:val="0095196C"/>
    <w:rsid w:val="00951ABA"/>
    <w:rsid w:val="00952130"/>
    <w:rsid w:val="00952600"/>
    <w:rsid w:val="009542E0"/>
    <w:rsid w:val="009613A4"/>
    <w:rsid w:val="00962DF4"/>
    <w:rsid w:val="00963BB9"/>
    <w:rsid w:val="0096410C"/>
    <w:rsid w:val="0096566A"/>
    <w:rsid w:val="0096592D"/>
    <w:rsid w:val="0096706E"/>
    <w:rsid w:val="00967397"/>
    <w:rsid w:val="00971AAF"/>
    <w:rsid w:val="00975C4E"/>
    <w:rsid w:val="009765CF"/>
    <w:rsid w:val="009779F9"/>
    <w:rsid w:val="0098082F"/>
    <w:rsid w:val="00980AB1"/>
    <w:rsid w:val="009811A0"/>
    <w:rsid w:val="00981DD3"/>
    <w:rsid w:val="00981FBA"/>
    <w:rsid w:val="0098240A"/>
    <w:rsid w:val="00982549"/>
    <w:rsid w:val="00983EFC"/>
    <w:rsid w:val="00984A93"/>
    <w:rsid w:val="00984F2A"/>
    <w:rsid w:val="00985BCD"/>
    <w:rsid w:val="00985DB7"/>
    <w:rsid w:val="009923C9"/>
    <w:rsid w:val="00993514"/>
    <w:rsid w:val="0099378A"/>
    <w:rsid w:val="0099384F"/>
    <w:rsid w:val="00993AAA"/>
    <w:rsid w:val="0099472B"/>
    <w:rsid w:val="009954AB"/>
    <w:rsid w:val="00995881"/>
    <w:rsid w:val="009959F2"/>
    <w:rsid w:val="00995ACF"/>
    <w:rsid w:val="00995E3E"/>
    <w:rsid w:val="009975A6"/>
    <w:rsid w:val="00997BC5"/>
    <w:rsid w:val="009A1041"/>
    <w:rsid w:val="009A14CA"/>
    <w:rsid w:val="009A14F5"/>
    <w:rsid w:val="009A18BB"/>
    <w:rsid w:val="009A1AFE"/>
    <w:rsid w:val="009A1FC9"/>
    <w:rsid w:val="009A2535"/>
    <w:rsid w:val="009A277A"/>
    <w:rsid w:val="009A2DE8"/>
    <w:rsid w:val="009A38E1"/>
    <w:rsid w:val="009A4AF6"/>
    <w:rsid w:val="009A4F41"/>
    <w:rsid w:val="009A583A"/>
    <w:rsid w:val="009A5B95"/>
    <w:rsid w:val="009A7562"/>
    <w:rsid w:val="009B13E2"/>
    <w:rsid w:val="009B2166"/>
    <w:rsid w:val="009B2E8D"/>
    <w:rsid w:val="009B381B"/>
    <w:rsid w:val="009B3B56"/>
    <w:rsid w:val="009B3D0A"/>
    <w:rsid w:val="009B46BD"/>
    <w:rsid w:val="009B5C99"/>
    <w:rsid w:val="009B61F3"/>
    <w:rsid w:val="009B76D3"/>
    <w:rsid w:val="009C12BF"/>
    <w:rsid w:val="009C1422"/>
    <w:rsid w:val="009C1964"/>
    <w:rsid w:val="009C2A8F"/>
    <w:rsid w:val="009C43D8"/>
    <w:rsid w:val="009C44C4"/>
    <w:rsid w:val="009C4B03"/>
    <w:rsid w:val="009C5BAC"/>
    <w:rsid w:val="009C5F74"/>
    <w:rsid w:val="009C697F"/>
    <w:rsid w:val="009C76C1"/>
    <w:rsid w:val="009C7CB1"/>
    <w:rsid w:val="009C7CF4"/>
    <w:rsid w:val="009D1753"/>
    <w:rsid w:val="009D1B56"/>
    <w:rsid w:val="009D2FEB"/>
    <w:rsid w:val="009D2FFD"/>
    <w:rsid w:val="009D3775"/>
    <w:rsid w:val="009D3D44"/>
    <w:rsid w:val="009D7611"/>
    <w:rsid w:val="009E0B61"/>
    <w:rsid w:val="009E0B9D"/>
    <w:rsid w:val="009E121C"/>
    <w:rsid w:val="009E18F7"/>
    <w:rsid w:val="009E20D0"/>
    <w:rsid w:val="009E2717"/>
    <w:rsid w:val="009E2E99"/>
    <w:rsid w:val="009E3376"/>
    <w:rsid w:val="009E3E49"/>
    <w:rsid w:val="009E42CF"/>
    <w:rsid w:val="009E44EE"/>
    <w:rsid w:val="009E48D0"/>
    <w:rsid w:val="009E53DE"/>
    <w:rsid w:val="009E74AD"/>
    <w:rsid w:val="009E7BA7"/>
    <w:rsid w:val="009E7E2D"/>
    <w:rsid w:val="009F0972"/>
    <w:rsid w:val="009F1A71"/>
    <w:rsid w:val="009F1A9D"/>
    <w:rsid w:val="009F231E"/>
    <w:rsid w:val="009F31A1"/>
    <w:rsid w:val="009F3E0B"/>
    <w:rsid w:val="009F4008"/>
    <w:rsid w:val="009F539B"/>
    <w:rsid w:val="009F5F14"/>
    <w:rsid w:val="009F6B7F"/>
    <w:rsid w:val="009F7D75"/>
    <w:rsid w:val="00A00ECA"/>
    <w:rsid w:val="00A010C7"/>
    <w:rsid w:val="00A04851"/>
    <w:rsid w:val="00A0548C"/>
    <w:rsid w:val="00A05C18"/>
    <w:rsid w:val="00A0640F"/>
    <w:rsid w:val="00A07451"/>
    <w:rsid w:val="00A1016A"/>
    <w:rsid w:val="00A1018C"/>
    <w:rsid w:val="00A103E7"/>
    <w:rsid w:val="00A127E0"/>
    <w:rsid w:val="00A132F7"/>
    <w:rsid w:val="00A16C3B"/>
    <w:rsid w:val="00A17137"/>
    <w:rsid w:val="00A17714"/>
    <w:rsid w:val="00A178D6"/>
    <w:rsid w:val="00A20601"/>
    <w:rsid w:val="00A211EF"/>
    <w:rsid w:val="00A213AE"/>
    <w:rsid w:val="00A21B59"/>
    <w:rsid w:val="00A21D9E"/>
    <w:rsid w:val="00A22B78"/>
    <w:rsid w:val="00A24214"/>
    <w:rsid w:val="00A25571"/>
    <w:rsid w:val="00A26025"/>
    <w:rsid w:val="00A26730"/>
    <w:rsid w:val="00A2683F"/>
    <w:rsid w:val="00A26D0E"/>
    <w:rsid w:val="00A27480"/>
    <w:rsid w:val="00A32239"/>
    <w:rsid w:val="00A328B3"/>
    <w:rsid w:val="00A32FE3"/>
    <w:rsid w:val="00A342BE"/>
    <w:rsid w:val="00A3507D"/>
    <w:rsid w:val="00A35F22"/>
    <w:rsid w:val="00A36AE6"/>
    <w:rsid w:val="00A40D6E"/>
    <w:rsid w:val="00A43C18"/>
    <w:rsid w:val="00A4486F"/>
    <w:rsid w:val="00A44B0A"/>
    <w:rsid w:val="00A458E5"/>
    <w:rsid w:val="00A45FA1"/>
    <w:rsid w:val="00A460BD"/>
    <w:rsid w:val="00A461DD"/>
    <w:rsid w:val="00A46769"/>
    <w:rsid w:val="00A47BFE"/>
    <w:rsid w:val="00A47CCF"/>
    <w:rsid w:val="00A50369"/>
    <w:rsid w:val="00A50FCF"/>
    <w:rsid w:val="00A528D1"/>
    <w:rsid w:val="00A5325C"/>
    <w:rsid w:val="00A547C2"/>
    <w:rsid w:val="00A547FF"/>
    <w:rsid w:val="00A557A4"/>
    <w:rsid w:val="00A56713"/>
    <w:rsid w:val="00A574DE"/>
    <w:rsid w:val="00A57EC9"/>
    <w:rsid w:val="00A610CD"/>
    <w:rsid w:val="00A61468"/>
    <w:rsid w:val="00A62DCD"/>
    <w:rsid w:val="00A637DE"/>
    <w:rsid w:val="00A63D24"/>
    <w:rsid w:val="00A63E2A"/>
    <w:rsid w:val="00A6550F"/>
    <w:rsid w:val="00A6599D"/>
    <w:rsid w:val="00A661D2"/>
    <w:rsid w:val="00A667C1"/>
    <w:rsid w:val="00A67289"/>
    <w:rsid w:val="00A707A5"/>
    <w:rsid w:val="00A70C1D"/>
    <w:rsid w:val="00A746DD"/>
    <w:rsid w:val="00A7611C"/>
    <w:rsid w:val="00A762B3"/>
    <w:rsid w:val="00A764A2"/>
    <w:rsid w:val="00A8041A"/>
    <w:rsid w:val="00A819CC"/>
    <w:rsid w:val="00A826DF"/>
    <w:rsid w:val="00A83691"/>
    <w:rsid w:val="00A83F6E"/>
    <w:rsid w:val="00A84C6A"/>
    <w:rsid w:val="00A84D40"/>
    <w:rsid w:val="00A84DC5"/>
    <w:rsid w:val="00A85EEE"/>
    <w:rsid w:val="00A86712"/>
    <w:rsid w:val="00A90F5C"/>
    <w:rsid w:val="00A91110"/>
    <w:rsid w:val="00A93062"/>
    <w:rsid w:val="00A93AA4"/>
    <w:rsid w:val="00A93ECC"/>
    <w:rsid w:val="00AA09A2"/>
    <w:rsid w:val="00AA0C5D"/>
    <w:rsid w:val="00AA1673"/>
    <w:rsid w:val="00AA1ED1"/>
    <w:rsid w:val="00AA1F17"/>
    <w:rsid w:val="00AA24C3"/>
    <w:rsid w:val="00AA27FF"/>
    <w:rsid w:val="00AA29B7"/>
    <w:rsid w:val="00AA2BF0"/>
    <w:rsid w:val="00AA3E48"/>
    <w:rsid w:val="00AA4163"/>
    <w:rsid w:val="00AA4191"/>
    <w:rsid w:val="00AA49C6"/>
    <w:rsid w:val="00AA5557"/>
    <w:rsid w:val="00AA6057"/>
    <w:rsid w:val="00AA60C4"/>
    <w:rsid w:val="00AA6A88"/>
    <w:rsid w:val="00AA6C1E"/>
    <w:rsid w:val="00AA6F22"/>
    <w:rsid w:val="00AA70A5"/>
    <w:rsid w:val="00AA7691"/>
    <w:rsid w:val="00AA7996"/>
    <w:rsid w:val="00AA7EA9"/>
    <w:rsid w:val="00AB0C10"/>
    <w:rsid w:val="00AB1701"/>
    <w:rsid w:val="00AB241A"/>
    <w:rsid w:val="00AB499D"/>
    <w:rsid w:val="00AB5B85"/>
    <w:rsid w:val="00AB6B27"/>
    <w:rsid w:val="00AB6D06"/>
    <w:rsid w:val="00AC0C17"/>
    <w:rsid w:val="00AC144B"/>
    <w:rsid w:val="00AC19CB"/>
    <w:rsid w:val="00AC1A08"/>
    <w:rsid w:val="00AC2411"/>
    <w:rsid w:val="00AC3A9B"/>
    <w:rsid w:val="00AC3B0F"/>
    <w:rsid w:val="00AC451B"/>
    <w:rsid w:val="00AC642B"/>
    <w:rsid w:val="00AC6602"/>
    <w:rsid w:val="00AC701C"/>
    <w:rsid w:val="00AD1960"/>
    <w:rsid w:val="00AD4F2F"/>
    <w:rsid w:val="00AD602A"/>
    <w:rsid w:val="00AD62D2"/>
    <w:rsid w:val="00AD6476"/>
    <w:rsid w:val="00AD69D4"/>
    <w:rsid w:val="00AD6DB0"/>
    <w:rsid w:val="00AD766C"/>
    <w:rsid w:val="00AD7E89"/>
    <w:rsid w:val="00AE0DEC"/>
    <w:rsid w:val="00AE1A87"/>
    <w:rsid w:val="00AE1C11"/>
    <w:rsid w:val="00AE4386"/>
    <w:rsid w:val="00AE4CEC"/>
    <w:rsid w:val="00AE5488"/>
    <w:rsid w:val="00AE56B9"/>
    <w:rsid w:val="00AE6F91"/>
    <w:rsid w:val="00AE7311"/>
    <w:rsid w:val="00AF1932"/>
    <w:rsid w:val="00AF1F75"/>
    <w:rsid w:val="00AF2B57"/>
    <w:rsid w:val="00AF38D3"/>
    <w:rsid w:val="00AF458E"/>
    <w:rsid w:val="00AF51BD"/>
    <w:rsid w:val="00AF5571"/>
    <w:rsid w:val="00AF69B8"/>
    <w:rsid w:val="00B00C83"/>
    <w:rsid w:val="00B0122D"/>
    <w:rsid w:val="00B037BC"/>
    <w:rsid w:val="00B04302"/>
    <w:rsid w:val="00B04ED6"/>
    <w:rsid w:val="00B05C89"/>
    <w:rsid w:val="00B062B3"/>
    <w:rsid w:val="00B07341"/>
    <w:rsid w:val="00B111B8"/>
    <w:rsid w:val="00B11A10"/>
    <w:rsid w:val="00B12AAF"/>
    <w:rsid w:val="00B14A80"/>
    <w:rsid w:val="00B14B3E"/>
    <w:rsid w:val="00B172EA"/>
    <w:rsid w:val="00B1752B"/>
    <w:rsid w:val="00B17B17"/>
    <w:rsid w:val="00B17F57"/>
    <w:rsid w:val="00B239F8"/>
    <w:rsid w:val="00B24C20"/>
    <w:rsid w:val="00B263AE"/>
    <w:rsid w:val="00B266B5"/>
    <w:rsid w:val="00B272D8"/>
    <w:rsid w:val="00B30539"/>
    <w:rsid w:val="00B30670"/>
    <w:rsid w:val="00B30C5A"/>
    <w:rsid w:val="00B314DB"/>
    <w:rsid w:val="00B32A58"/>
    <w:rsid w:val="00B32A74"/>
    <w:rsid w:val="00B34EE4"/>
    <w:rsid w:val="00B354E2"/>
    <w:rsid w:val="00B361F2"/>
    <w:rsid w:val="00B36811"/>
    <w:rsid w:val="00B36E32"/>
    <w:rsid w:val="00B36F1B"/>
    <w:rsid w:val="00B3718B"/>
    <w:rsid w:val="00B40176"/>
    <w:rsid w:val="00B4270B"/>
    <w:rsid w:val="00B43D2F"/>
    <w:rsid w:val="00B4440A"/>
    <w:rsid w:val="00B451A8"/>
    <w:rsid w:val="00B45B01"/>
    <w:rsid w:val="00B4632A"/>
    <w:rsid w:val="00B471C8"/>
    <w:rsid w:val="00B5075C"/>
    <w:rsid w:val="00B519C6"/>
    <w:rsid w:val="00B51E0C"/>
    <w:rsid w:val="00B51E5B"/>
    <w:rsid w:val="00B52055"/>
    <w:rsid w:val="00B524EF"/>
    <w:rsid w:val="00B52DEF"/>
    <w:rsid w:val="00B530F1"/>
    <w:rsid w:val="00B5406A"/>
    <w:rsid w:val="00B5492A"/>
    <w:rsid w:val="00B55BA6"/>
    <w:rsid w:val="00B56EAC"/>
    <w:rsid w:val="00B5793D"/>
    <w:rsid w:val="00B60043"/>
    <w:rsid w:val="00B61757"/>
    <w:rsid w:val="00B65683"/>
    <w:rsid w:val="00B656B3"/>
    <w:rsid w:val="00B65EE3"/>
    <w:rsid w:val="00B66AE6"/>
    <w:rsid w:val="00B66DF4"/>
    <w:rsid w:val="00B7078F"/>
    <w:rsid w:val="00B72C63"/>
    <w:rsid w:val="00B73629"/>
    <w:rsid w:val="00B74053"/>
    <w:rsid w:val="00B77399"/>
    <w:rsid w:val="00B775AE"/>
    <w:rsid w:val="00B779F5"/>
    <w:rsid w:val="00B804C4"/>
    <w:rsid w:val="00B81D4F"/>
    <w:rsid w:val="00B82575"/>
    <w:rsid w:val="00B82BCB"/>
    <w:rsid w:val="00B82D63"/>
    <w:rsid w:val="00B82EA5"/>
    <w:rsid w:val="00B8310D"/>
    <w:rsid w:val="00B83F30"/>
    <w:rsid w:val="00B83FEC"/>
    <w:rsid w:val="00B844A5"/>
    <w:rsid w:val="00B851B2"/>
    <w:rsid w:val="00B85660"/>
    <w:rsid w:val="00B873EC"/>
    <w:rsid w:val="00B8759E"/>
    <w:rsid w:val="00B877AE"/>
    <w:rsid w:val="00B902CC"/>
    <w:rsid w:val="00B92AF5"/>
    <w:rsid w:val="00B92DC1"/>
    <w:rsid w:val="00B92F2A"/>
    <w:rsid w:val="00B93D9D"/>
    <w:rsid w:val="00B94ADF"/>
    <w:rsid w:val="00B95901"/>
    <w:rsid w:val="00BA0D66"/>
    <w:rsid w:val="00BA15CC"/>
    <w:rsid w:val="00BA2690"/>
    <w:rsid w:val="00BA276C"/>
    <w:rsid w:val="00BA3A01"/>
    <w:rsid w:val="00BA3FFC"/>
    <w:rsid w:val="00BA4F2D"/>
    <w:rsid w:val="00BA50C9"/>
    <w:rsid w:val="00BA5983"/>
    <w:rsid w:val="00BB013B"/>
    <w:rsid w:val="00BB071A"/>
    <w:rsid w:val="00BB0E26"/>
    <w:rsid w:val="00BB1C70"/>
    <w:rsid w:val="00BB306F"/>
    <w:rsid w:val="00BB34A2"/>
    <w:rsid w:val="00BB702E"/>
    <w:rsid w:val="00BC07E1"/>
    <w:rsid w:val="00BC1025"/>
    <w:rsid w:val="00BC1141"/>
    <w:rsid w:val="00BC1AA4"/>
    <w:rsid w:val="00BC2BA1"/>
    <w:rsid w:val="00BC33F8"/>
    <w:rsid w:val="00BC393F"/>
    <w:rsid w:val="00BC3F01"/>
    <w:rsid w:val="00BC4CF0"/>
    <w:rsid w:val="00BC4F06"/>
    <w:rsid w:val="00BC5987"/>
    <w:rsid w:val="00BD257D"/>
    <w:rsid w:val="00BD33AB"/>
    <w:rsid w:val="00BD4B89"/>
    <w:rsid w:val="00BD60AF"/>
    <w:rsid w:val="00BD7B4D"/>
    <w:rsid w:val="00BE0473"/>
    <w:rsid w:val="00BE1957"/>
    <w:rsid w:val="00BE34C0"/>
    <w:rsid w:val="00BE5059"/>
    <w:rsid w:val="00BE5293"/>
    <w:rsid w:val="00BE5B3B"/>
    <w:rsid w:val="00BE62E9"/>
    <w:rsid w:val="00BE7ADD"/>
    <w:rsid w:val="00BF02CB"/>
    <w:rsid w:val="00BF23D0"/>
    <w:rsid w:val="00BF26F3"/>
    <w:rsid w:val="00BF5A8A"/>
    <w:rsid w:val="00BF6FD8"/>
    <w:rsid w:val="00C00BDA"/>
    <w:rsid w:val="00C035E4"/>
    <w:rsid w:val="00C03680"/>
    <w:rsid w:val="00C044AD"/>
    <w:rsid w:val="00C04606"/>
    <w:rsid w:val="00C054DF"/>
    <w:rsid w:val="00C116FF"/>
    <w:rsid w:val="00C14693"/>
    <w:rsid w:val="00C147BB"/>
    <w:rsid w:val="00C15677"/>
    <w:rsid w:val="00C159F5"/>
    <w:rsid w:val="00C15B3F"/>
    <w:rsid w:val="00C15E05"/>
    <w:rsid w:val="00C17723"/>
    <w:rsid w:val="00C17D75"/>
    <w:rsid w:val="00C2069C"/>
    <w:rsid w:val="00C20CD8"/>
    <w:rsid w:val="00C21762"/>
    <w:rsid w:val="00C2243C"/>
    <w:rsid w:val="00C23849"/>
    <w:rsid w:val="00C238E0"/>
    <w:rsid w:val="00C23C6C"/>
    <w:rsid w:val="00C23F9D"/>
    <w:rsid w:val="00C24543"/>
    <w:rsid w:val="00C256A2"/>
    <w:rsid w:val="00C25EBD"/>
    <w:rsid w:val="00C2628B"/>
    <w:rsid w:val="00C30597"/>
    <w:rsid w:val="00C31B6C"/>
    <w:rsid w:val="00C3221E"/>
    <w:rsid w:val="00C32229"/>
    <w:rsid w:val="00C324DC"/>
    <w:rsid w:val="00C32F91"/>
    <w:rsid w:val="00C3391A"/>
    <w:rsid w:val="00C33A6E"/>
    <w:rsid w:val="00C35193"/>
    <w:rsid w:val="00C36BE0"/>
    <w:rsid w:val="00C376CA"/>
    <w:rsid w:val="00C37C88"/>
    <w:rsid w:val="00C403D8"/>
    <w:rsid w:val="00C40BC5"/>
    <w:rsid w:val="00C4183C"/>
    <w:rsid w:val="00C4221F"/>
    <w:rsid w:val="00C432F3"/>
    <w:rsid w:val="00C43F52"/>
    <w:rsid w:val="00C444D4"/>
    <w:rsid w:val="00C446AE"/>
    <w:rsid w:val="00C44EFD"/>
    <w:rsid w:val="00C45CF2"/>
    <w:rsid w:val="00C464A5"/>
    <w:rsid w:val="00C4722B"/>
    <w:rsid w:val="00C47956"/>
    <w:rsid w:val="00C507F5"/>
    <w:rsid w:val="00C5085B"/>
    <w:rsid w:val="00C50C0A"/>
    <w:rsid w:val="00C51515"/>
    <w:rsid w:val="00C51A24"/>
    <w:rsid w:val="00C54802"/>
    <w:rsid w:val="00C5605F"/>
    <w:rsid w:val="00C5660B"/>
    <w:rsid w:val="00C56B16"/>
    <w:rsid w:val="00C60563"/>
    <w:rsid w:val="00C6135A"/>
    <w:rsid w:val="00C62674"/>
    <w:rsid w:val="00C62F0C"/>
    <w:rsid w:val="00C632CD"/>
    <w:rsid w:val="00C63400"/>
    <w:rsid w:val="00C63A52"/>
    <w:rsid w:val="00C63B7C"/>
    <w:rsid w:val="00C6522C"/>
    <w:rsid w:val="00C653D2"/>
    <w:rsid w:val="00C66B72"/>
    <w:rsid w:val="00C67986"/>
    <w:rsid w:val="00C67B86"/>
    <w:rsid w:val="00C704A9"/>
    <w:rsid w:val="00C707FC"/>
    <w:rsid w:val="00C70A63"/>
    <w:rsid w:val="00C7157A"/>
    <w:rsid w:val="00C72EFB"/>
    <w:rsid w:val="00C73BB7"/>
    <w:rsid w:val="00C778F0"/>
    <w:rsid w:val="00C815BC"/>
    <w:rsid w:val="00C823AC"/>
    <w:rsid w:val="00C84E94"/>
    <w:rsid w:val="00C85A01"/>
    <w:rsid w:val="00C86E1D"/>
    <w:rsid w:val="00C87935"/>
    <w:rsid w:val="00C87DFE"/>
    <w:rsid w:val="00C87EF7"/>
    <w:rsid w:val="00C902AC"/>
    <w:rsid w:val="00C90DC0"/>
    <w:rsid w:val="00C92C53"/>
    <w:rsid w:val="00C945EA"/>
    <w:rsid w:val="00C9484B"/>
    <w:rsid w:val="00C9567A"/>
    <w:rsid w:val="00C96928"/>
    <w:rsid w:val="00C97966"/>
    <w:rsid w:val="00CA0569"/>
    <w:rsid w:val="00CA11E4"/>
    <w:rsid w:val="00CA156E"/>
    <w:rsid w:val="00CA17CD"/>
    <w:rsid w:val="00CA2134"/>
    <w:rsid w:val="00CA27D7"/>
    <w:rsid w:val="00CA2D02"/>
    <w:rsid w:val="00CA2F46"/>
    <w:rsid w:val="00CA355E"/>
    <w:rsid w:val="00CA42C2"/>
    <w:rsid w:val="00CA43DD"/>
    <w:rsid w:val="00CA688B"/>
    <w:rsid w:val="00CA6CF8"/>
    <w:rsid w:val="00CA6FD3"/>
    <w:rsid w:val="00CA7CE4"/>
    <w:rsid w:val="00CB0F38"/>
    <w:rsid w:val="00CB20C2"/>
    <w:rsid w:val="00CB212D"/>
    <w:rsid w:val="00CB2660"/>
    <w:rsid w:val="00CB29C0"/>
    <w:rsid w:val="00CB3194"/>
    <w:rsid w:val="00CB51A4"/>
    <w:rsid w:val="00CB5368"/>
    <w:rsid w:val="00CB53B2"/>
    <w:rsid w:val="00CB587C"/>
    <w:rsid w:val="00CB6817"/>
    <w:rsid w:val="00CB6D56"/>
    <w:rsid w:val="00CC2734"/>
    <w:rsid w:val="00CC2B97"/>
    <w:rsid w:val="00CC411B"/>
    <w:rsid w:val="00CC4647"/>
    <w:rsid w:val="00CC52C5"/>
    <w:rsid w:val="00CC5E90"/>
    <w:rsid w:val="00CC6BDF"/>
    <w:rsid w:val="00CC7842"/>
    <w:rsid w:val="00CD046C"/>
    <w:rsid w:val="00CD04D9"/>
    <w:rsid w:val="00CD12AE"/>
    <w:rsid w:val="00CD22A5"/>
    <w:rsid w:val="00CD4679"/>
    <w:rsid w:val="00CD4FCB"/>
    <w:rsid w:val="00CD5427"/>
    <w:rsid w:val="00CD608F"/>
    <w:rsid w:val="00CD7790"/>
    <w:rsid w:val="00CE03BB"/>
    <w:rsid w:val="00CE076C"/>
    <w:rsid w:val="00CE1E74"/>
    <w:rsid w:val="00CE1EE6"/>
    <w:rsid w:val="00CE4565"/>
    <w:rsid w:val="00CE5199"/>
    <w:rsid w:val="00CE58A2"/>
    <w:rsid w:val="00CE66D5"/>
    <w:rsid w:val="00CE7236"/>
    <w:rsid w:val="00CE798E"/>
    <w:rsid w:val="00CF16AD"/>
    <w:rsid w:val="00CF1BDF"/>
    <w:rsid w:val="00CF240F"/>
    <w:rsid w:val="00CF40D4"/>
    <w:rsid w:val="00CF4C67"/>
    <w:rsid w:val="00CF60EE"/>
    <w:rsid w:val="00CF637A"/>
    <w:rsid w:val="00CF7821"/>
    <w:rsid w:val="00D00E24"/>
    <w:rsid w:val="00D0132F"/>
    <w:rsid w:val="00D0145D"/>
    <w:rsid w:val="00D03691"/>
    <w:rsid w:val="00D0399F"/>
    <w:rsid w:val="00D0536C"/>
    <w:rsid w:val="00D059DE"/>
    <w:rsid w:val="00D06D19"/>
    <w:rsid w:val="00D07160"/>
    <w:rsid w:val="00D07486"/>
    <w:rsid w:val="00D07854"/>
    <w:rsid w:val="00D07F74"/>
    <w:rsid w:val="00D10AD2"/>
    <w:rsid w:val="00D10F4A"/>
    <w:rsid w:val="00D11ECC"/>
    <w:rsid w:val="00D13CA0"/>
    <w:rsid w:val="00D13FCE"/>
    <w:rsid w:val="00D14E1C"/>
    <w:rsid w:val="00D161B8"/>
    <w:rsid w:val="00D1650C"/>
    <w:rsid w:val="00D16C64"/>
    <w:rsid w:val="00D178D1"/>
    <w:rsid w:val="00D21C0C"/>
    <w:rsid w:val="00D23AFC"/>
    <w:rsid w:val="00D26680"/>
    <w:rsid w:val="00D27D67"/>
    <w:rsid w:val="00D27EF3"/>
    <w:rsid w:val="00D306D1"/>
    <w:rsid w:val="00D31880"/>
    <w:rsid w:val="00D34786"/>
    <w:rsid w:val="00D360D8"/>
    <w:rsid w:val="00D36CA4"/>
    <w:rsid w:val="00D36E0C"/>
    <w:rsid w:val="00D37BFC"/>
    <w:rsid w:val="00D41A5C"/>
    <w:rsid w:val="00D41F1D"/>
    <w:rsid w:val="00D4268C"/>
    <w:rsid w:val="00D42F17"/>
    <w:rsid w:val="00D435BC"/>
    <w:rsid w:val="00D46B9E"/>
    <w:rsid w:val="00D47A8E"/>
    <w:rsid w:val="00D508E7"/>
    <w:rsid w:val="00D52D14"/>
    <w:rsid w:val="00D52E80"/>
    <w:rsid w:val="00D52EE4"/>
    <w:rsid w:val="00D55F74"/>
    <w:rsid w:val="00D560A9"/>
    <w:rsid w:val="00D5767F"/>
    <w:rsid w:val="00D57E10"/>
    <w:rsid w:val="00D60218"/>
    <w:rsid w:val="00D61BE3"/>
    <w:rsid w:val="00D6293C"/>
    <w:rsid w:val="00D62949"/>
    <w:rsid w:val="00D633DD"/>
    <w:rsid w:val="00D643B1"/>
    <w:rsid w:val="00D6475A"/>
    <w:rsid w:val="00D64C92"/>
    <w:rsid w:val="00D66EA3"/>
    <w:rsid w:val="00D67191"/>
    <w:rsid w:val="00D675E7"/>
    <w:rsid w:val="00D70174"/>
    <w:rsid w:val="00D705C2"/>
    <w:rsid w:val="00D70972"/>
    <w:rsid w:val="00D70EED"/>
    <w:rsid w:val="00D712D3"/>
    <w:rsid w:val="00D71422"/>
    <w:rsid w:val="00D7180F"/>
    <w:rsid w:val="00D71AAC"/>
    <w:rsid w:val="00D71B9D"/>
    <w:rsid w:val="00D72859"/>
    <w:rsid w:val="00D72B34"/>
    <w:rsid w:val="00D72C38"/>
    <w:rsid w:val="00D72DC6"/>
    <w:rsid w:val="00D72F93"/>
    <w:rsid w:val="00D7387C"/>
    <w:rsid w:val="00D73C57"/>
    <w:rsid w:val="00D7558D"/>
    <w:rsid w:val="00D757E6"/>
    <w:rsid w:val="00D75B6F"/>
    <w:rsid w:val="00D77DFC"/>
    <w:rsid w:val="00D81D92"/>
    <w:rsid w:val="00D823DC"/>
    <w:rsid w:val="00D84B47"/>
    <w:rsid w:val="00D852F2"/>
    <w:rsid w:val="00D87A7E"/>
    <w:rsid w:val="00D9027F"/>
    <w:rsid w:val="00D904E3"/>
    <w:rsid w:val="00D9275A"/>
    <w:rsid w:val="00D945AD"/>
    <w:rsid w:val="00D963F0"/>
    <w:rsid w:val="00D9793E"/>
    <w:rsid w:val="00DA02C9"/>
    <w:rsid w:val="00DA2591"/>
    <w:rsid w:val="00DA2F46"/>
    <w:rsid w:val="00DA3B48"/>
    <w:rsid w:val="00DA3CE7"/>
    <w:rsid w:val="00DA6B71"/>
    <w:rsid w:val="00DA7B5F"/>
    <w:rsid w:val="00DB0074"/>
    <w:rsid w:val="00DB037A"/>
    <w:rsid w:val="00DB1936"/>
    <w:rsid w:val="00DB205D"/>
    <w:rsid w:val="00DB243F"/>
    <w:rsid w:val="00DB33C7"/>
    <w:rsid w:val="00DB441F"/>
    <w:rsid w:val="00DB4C24"/>
    <w:rsid w:val="00DB5FD6"/>
    <w:rsid w:val="00DB65DD"/>
    <w:rsid w:val="00DB7EFC"/>
    <w:rsid w:val="00DC02F0"/>
    <w:rsid w:val="00DC11E7"/>
    <w:rsid w:val="00DC216B"/>
    <w:rsid w:val="00DC22B8"/>
    <w:rsid w:val="00DC2ABD"/>
    <w:rsid w:val="00DC388C"/>
    <w:rsid w:val="00DC6338"/>
    <w:rsid w:val="00DC7023"/>
    <w:rsid w:val="00DC769A"/>
    <w:rsid w:val="00DC7B0E"/>
    <w:rsid w:val="00DD0AB4"/>
    <w:rsid w:val="00DD1B61"/>
    <w:rsid w:val="00DD2391"/>
    <w:rsid w:val="00DD2DE6"/>
    <w:rsid w:val="00DD3056"/>
    <w:rsid w:val="00DD3D86"/>
    <w:rsid w:val="00DD5079"/>
    <w:rsid w:val="00DD6BA0"/>
    <w:rsid w:val="00DD732E"/>
    <w:rsid w:val="00DE0960"/>
    <w:rsid w:val="00DE21A3"/>
    <w:rsid w:val="00DE3F27"/>
    <w:rsid w:val="00DE4236"/>
    <w:rsid w:val="00DE496B"/>
    <w:rsid w:val="00DE4ABD"/>
    <w:rsid w:val="00DE53F2"/>
    <w:rsid w:val="00DE5543"/>
    <w:rsid w:val="00DE572E"/>
    <w:rsid w:val="00DE7763"/>
    <w:rsid w:val="00DF035F"/>
    <w:rsid w:val="00DF1EC4"/>
    <w:rsid w:val="00DF5044"/>
    <w:rsid w:val="00DF7E57"/>
    <w:rsid w:val="00DF7F34"/>
    <w:rsid w:val="00E00E5F"/>
    <w:rsid w:val="00E00FC0"/>
    <w:rsid w:val="00E02B8D"/>
    <w:rsid w:val="00E03347"/>
    <w:rsid w:val="00E0340B"/>
    <w:rsid w:val="00E03A4E"/>
    <w:rsid w:val="00E03E21"/>
    <w:rsid w:val="00E04A90"/>
    <w:rsid w:val="00E05A19"/>
    <w:rsid w:val="00E06A4B"/>
    <w:rsid w:val="00E06D14"/>
    <w:rsid w:val="00E07DFD"/>
    <w:rsid w:val="00E07F31"/>
    <w:rsid w:val="00E12784"/>
    <w:rsid w:val="00E135B8"/>
    <w:rsid w:val="00E13BF5"/>
    <w:rsid w:val="00E14682"/>
    <w:rsid w:val="00E14E27"/>
    <w:rsid w:val="00E159DB"/>
    <w:rsid w:val="00E15F0F"/>
    <w:rsid w:val="00E16D99"/>
    <w:rsid w:val="00E16DD3"/>
    <w:rsid w:val="00E1724C"/>
    <w:rsid w:val="00E179BF"/>
    <w:rsid w:val="00E21361"/>
    <w:rsid w:val="00E2165C"/>
    <w:rsid w:val="00E219C7"/>
    <w:rsid w:val="00E22300"/>
    <w:rsid w:val="00E24C2E"/>
    <w:rsid w:val="00E2779E"/>
    <w:rsid w:val="00E302D3"/>
    <w:rsid w:val="00E30E0B"/>
    <w:rsid w:val="00E3138E"/>
    <w:rsid w:val="00E32984"/>
    <w:rsid w:val="00E34156"/>
    <w:rsid w:val="00E34CFA"/>
    <w:rsid w:val="00E351A0"/>
    <w:rsid w:val="00E36352"/>
    <w:rsid w:val="00E405F9"/>
    <w:rsid w:val="00E410FF"/>
    <w:rsid w:val="00E411D1"/>
    <w:rsid w:val="00E41540"/>
    <w:rsid w:val="00E43157"/>
    <w:rsid w:val="00E44BCB"/>
    <w:rsid w:val="00E461CE"/>
    <w:rsid w:val="00E46F41"/>
    <w:rsid w:val="00E518D5"/>
    <w:rsid w:val="00E5199D"/>
    <w:rsid w:val="00E51DB8"/>
    <w:rsid w:val="00E523FD"/>
    <w:rsid w:val="00E54096"/>
    <w:rsid w:val="00E54134"/>
    <w:rsid w:val="00E55E8F"/>
    <w:rsid w:val="00E5774D"/>
    <w:rsid w:val="00E6047F"/>
    <w:rsid w:val="00E6048A"/>
    <w:rsid w:val="00E606ED"/>
    <w:rsid w:val="00E60906"/>
    <w:rsid w:val="00E609C6"/>
    <w:rsid w:val="00E616B8"/>
    <w:rsid w:val="00E644E1"/>
    <w:rsid w:val="00E64C6C"/>
    <w:rsid w:val="00E65A0E"/>
    <w:rsid w:val="00E66E17"/>
    <w:rsid w:val="00E67BB2"/>
    <w:rsid w:val="00E700AA"/>
    <w:rsid w:val="00E706F0"/>
    <w:rsid w:val="00E71AA3"/>
    <w:rsid w:val="00E720CA"/>
    <w:rsid w:val="00E72951"/>
    <w:rsid w:val="00E72D3B"/>
    <w:rsid w:val="00E736DF"/>
    <w:rsid w:val="00E73DE5"/>
    <w:rsid w:val="00E7591B"/>
    <w:rsid w:val="00E75ACE"/>
    <w:rsid w:val="00E8007F"/>
    <w:rsid w:val="00E805EE"/>
    <w:rsid w:val="00E8172F"/>
    <w:rsid w:val="00E82D96"/>
    <w:rsid w:val="00E83BA9"/>
    <w:rsid w:val="00E84EB5"/>
    <w:rsid w:val="00E85662"/>
    <w:rsid w:val="00E85FA3"/>
    <w:rsid w:val="00E8789F"/>
    <w:rsid w:val="00E87CAB"/>
    <w:rsid w:val="00E9019F"/>
    <w:rsid w:val="00E918D6"/>
    <w:rsid w:val="00E92F04"/>
    <w:rsid w:val="00E93491"/>
    <w:rsid w:val="00E94865"/>
    <w:rsid w:val="00E94EF3"/>
    <w:rsid w:val="00E97B71"/>
    <w:rsid w:val="00E97DB2"/>
    <w:rsid w:val="00EA0AE3"/>
    <w:rsid w:val="00EA0E4E"/>
    <w:rsid w:val="00EA1EFF"/>
    <w:rsid w:val="00EA1FBE"/>
    <w:rsid w:val="00EA2C92"/>
    <w:rsid w:val="00EA2CB5"/>
    <w:rsid w:val="00EA3B1E"/>
    <w:rsid w:val="00EA3D34"/>
    <w:rsid w:val="00EA4BFE"/>
    <w:rsid w:val="00EA52F9"/>
    <w:rsid w:val="00EA5BC2"/>
    <w:rsid w:val="00EA5C6E"/>
    <w:rsid w:val="00EA6CA1"/>
    <w:rsid w:val="00EA6E9E"/>
    <w:rsid w:val="00EB1468"/>
    <w:rsid w:val="00EB1D00"/>
    <w:rsid w:val="00EB4342"/>
    <w:rsid w:val="00EB454D"/>
    <w:rsid w:val="00EB493D"/>
    <w:rsid w:val="00EB4BE2"/>
    <w:rsid w:val="00EB620C"/>
    <w:rsid w:val="00EB6501"/>
    <w:rsid w:val="00EC096F"/>
    <w:rsid w:val="00EC0FE3"/>
    <w:rsid w:val="00EC12C5"/>
    <w:rsid w:val="00EC159B"/>
    <w:rsid w:val="00EC20AE"/>
    <w:rsid w:val="00EC2C74"/>
    <w:rsid w:val="00EC4988"/>
    <w:rsid w:val="00EC5374"/>
    <w:rsid w:val="00EC75E6"/>
    <w:rsid w:val="00EC7C05"/>
    <w:rsid w:val="00ED00E8"/>
    <w:rsid w:val="00ED10D0"/>
    <w:rsid w:val="00ED24CA"/>
    <w:rsid w:val="00ED3785"/>
    <w:rsid w:val="00ED4FC7"/>
    <w:rsid w:val="00ED76BE"/>
    <w:rsid w:val="00ED76DB"/>
    <w:rsid w:val="00EE1472"/>
    <w:rsid w:val="00EE40C6"/>
    <w:rsid w:val="00EE5A00"/>
    <w:rsid w:val="00EE5BCE"/>
    <w:rsid w:val="00EE626A"/>
    <w:rsid w:val="00EE6360"/>
    <w:rsid w:val="00EE6EB7"/>
    <w:rsid w:val="00EE74E2"/>
    <w:rsid w:val="00EE7D33"/>
    <w:rsid w:val="00EF0033"/>
    <w:rsid w:val="00EF357C"/>
    <w:rsid w:val="00EF53F3"/>
    <w:rsid w:val="00EF619B"/>
    <w:rsid w:val="00EF6327"/>
    <w:rsid w:val="00EF6673"/>
    <w:rsid w:val="00EF66CE"/>
    <w:rsid w:val="00F00448"/>
    <w:rsid w:val="00F005AC"/>
    <w:rsid w:val="00F00AB6"/>
    <w:rsid w:val="00F00B55"/>
    <w:rsid w:val="00F019AF"/>
    <w:rsid w:val="00F027C3"/>
    <w:rsid w:val="00F027F8"/>
    <w:rsid w:val="00F02AD1"/>
    <w:rsid w:val="00F03CFC"/>
    <w:rsid w:val="00F040C7"/>
    <w:rsid w:val="00F0530C"/>
    <w:rsid w:val="00F06B64"/>
    <w:rsid w:val="00F06BCB"/>
    <w:rsid w:val="00F074C1"/>
    <w:rsid w:val="00F12576"/>
    <w:rsid w:val="00F12616"/>
    <w:rsid w:val="00F12C5A"/>
    <w:rsid w:val="00F1443C"/>
    <w:rsid w:val="00F15A3B"/>
    <w:rsid w:val="00F16698"/>
    <w:rsid w:val="00F204A7"/>
    <w:rsid w:val="00F20C12"/>
    <w:rsid w:val="00F21020"/>
    <w:rsid w:val="00F2176D"/>
    <w:rsid w:val="00F21D52"/>
    <w:rsid w:val="00F22F7A"/>
    <w:rsid w:val="00F24175"/>
    <w:rsid w:val="00F244FF"/>
    <w:rsid w:val="00F24D11"/>
    <w:rsid w:val="00F253CC"/>
    <w:rsid w:val="00F25441"/>
    <w:rsid w:val="00F2558C"/>
    <w:rsid w:val="00F26000"/>
    <w:rsid w:val="00F26B8B"/>
    <w:rsid w:val="00F26BA0"/>
    <w:rsid w:val="00F26DD2"/>
    <w:rsid w:val="00F278F1"/>
    <w:rsid w:val="00F315A4"/>
    <w:rsid w:val="00F318A3"/>
    <w:rsid w:val="00F31B7B"/>
    <w:rsid w:val="00F343FF"/>
    <w:rsid w:val="00F34C95"/>
    <w:rsid w:val="00F352DA"/>
    <w:rsid w:val="00F37106"/>
    <w:rsid w:val="00F42469"/>
    <w:rsid w:val="00F42491"/>
    <w:rsid w:val="00F42E9F"/>
    <w:rsid w:val="00F434E1"/>
    <w:rsid w:val="00F43A63"/>
    <w:rsid w:val="00F43EEB"/>
    <w:rsid w:val="00F45E65"/>
    <w:rsid w:val="00F47142"/>
    <w:rsid w:val="00F50388"/>
    <w:rsid w:val="00F509A1"/>
    <w:rsid w:val="00F50AC4"/>
    <w:rsid w:val="00F5172C"/>
    <w:rsid w:val="00F519CF"/>
    <w:rsid w:val="00F53004"/>
    <w:rsid w:val="00F532F1"/>
    <w:rsid w:val="00F53BDD"/>
    <w:rsid w:val="00F55282"/>
    <w:rsid w:val="00F56BA5"/>
    <w:rsid w:val="00F602F0"/>
    <w:rsid w:val="00F60E22"/>
    <w:rsid w:val="00F617B4"/>
    <w:rsid w:val="00F6268A"/>
    <w:rsid w:val="00F62776"/>
    <w:rsid w:val="00F627F4"/>
    <w:rsid w:val="00F64360"/>
    <w:rsid w:val="00F64A95"/>
    <w:rsid w:val="00F66FF6"/>
    <w:rsid w:val="00F673C0"/>
    <w:rsid w:val="00F67A58"/>
    <w:rsid w:val="00F71C2F"/>
    <w:rsid w:val="00F7233C"/>
    <w:rsid w:val="00F72555"/>
    <w:rsid w:val="00F73A69"/>
    <w:rsid w:val="00F775EF"/>
    <w:rsid w:val="00F81395"/>
    <w:rsid w:val="00F82178"/>
    <w:rsid w:val="00F82C8C"/>
    <w:rsid w:val="00F82EC8"/>
    <w:rsid w:val="00F849D1"/>
    <w:rsid w:val="00F84D28"/>
    <w:rsid w:val="00F85648"/>
    <w:rsid w:val="00F85B49"/>
    <w:rsid w:val="00F8791C"/>
    <w:rsid w:val="00F90A6C"/>
    <w:rsid w:val="00F917D1"/>
    <w:rsid w:val="00F922FE"/>
    <w:rsid w:val="00F92482"/>
    <w:rsid w:val="00F9653B"/>
    <w:rsid w:val="00F96C54"/>
    <w:rsid w:val="00FA0010"/>
    <w:rsid w:val="00FA28B5"/>
    <w:rsid w:val="00FA36F0"/>
    <w:rsid w:val="00FA6467"/>
    <w:rsid w:val="00FA6818"/>
    <w:rsid w:val="00FA779C"/>
    <w:rsid w:val="00FB1F62"/>
    <w:rsid w:val="00FB2E08"/>
    <w:rsid w:val="00FB3FB7"/>
    <w:rsid w:val="00FB4233"/>
    <w:rsid w:val="00FB5059"/>
    <w:rsid w:val="00FB5869"/>
    <w:rsid w:val="00FB5AC7"/>
    <w:rsid w:val="00FB62CF"/>
    <w:rsid w:val="00FB6E71"/>
    <w:rsid w:val="00FC0F34"/>
    <w:rsid w:val="00FC11B7"/>
    <w:rsid w:val="00FC29C4"/>
    <w:rsid w:val="00FC2E22"/>
    <w:rsid w:val="00FC3EF5"/>
    <w:rsid w:val="00FC45BE"/>
    <w:rsid w:val="00FC4668"/>
    <w:rsid w:val="00FC5932"/>
    <w:rsid w:val="00FC60C9"/>
    <w:rsid w:val="00FC60D6"/>
    <w:rsid w:val="00FC6F4C"/>
    <w:rsid w:val="00FD21BE"/>
    <w:rsid w:val="00FD26D8"/>
    <w:rsid w:val="00FD3C3B"/>
    <w:rsid w:val="00FD3DBF"/>
    <w:rsid w:val="00FD55B4"/>
    <w:rsid w:val="00FD6CF5"/>
    <w:rsid w:val="00FD76C5"/>
    <w:rsid w:val="00FD7867"/>
    <w:rsid w:val="00FE05B3"/>
    <w:rsid w:val="00FE07DD"/>
    <w:rsid w:val="00FE17F4"/>
    <w:rsid w:val="00FE1E89"/>
    <w:rsid w:val="00FE2BCE"/>
    <w:rsid w:val="00FE2F17"/>
    <w:rsid w:val="00FE349D"/>
    <w:rsid w:val="00FE4885"/>
    <w:rsid w:val="00FE56C8"/>
    <w:rsid w:val="00FE6B45"/>
    <w:rsid w:val="00FE7647"/>
    <w:rsid w:val="00FF1687"/>
    <w:rsid w:val="00FF1B7F"/>
    <w:rsid w:val="00FF3D5D"/>
    <w:rsid w:val="00FF55F3"/>
    <w:rsid w:val="00FF57A3"/>
    <w:rsid w:val="00FF5851"/>
    <w:rsid w:val="00FF5B14"/>
    <w:rsid w:val="00FF6CD7"/>
    <w:rsid w:val="00FF7069"/>
    <w:rsid w:val="00FF7804"/>
    <w:rsid w:val="00FF793E"/>
    <w:rsid w:val="00FF7B79"/>
    <w:rsid w:val="00FF7CE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03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81D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uiPriority w:val="9"/>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qFormat/>
    <w:rsid w:val="00315C4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315C45"/>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uiPriority w:val="9"/>
    <w:qFormat/>
    <w:rsid w:val="00315C45"/>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315C45"/>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315C45"/>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315C45"/>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style>
  <w:style w:type="numbering" w:customStyle="1" w:styleId="Estiloimportado44">
    <w:name w:val="Estilo importado 44"/>
  </w:style>
  <w:style w:type="numbering" w:customStyle="1" w:styleId="List50">
    <w:name w:val="List 50"/>
    <w:basedOn w:val="Estiloimportado45"/>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qFormat/>
    <w:rsid w:val="00243065"/>
    <w:pPr>
      <w:tabs>
        <w:tab w:val="left" w:pos="1440"/>
        <w:tab w:val="right" w:leader="dot" w:pos="9350"/>
      </w:tabs>
      <w:spacing w:after="100"/>
    </w:pPr>
    <w:rPr>
      <w:rFonts w:asciiTheme="majorHAnsi" w:hAnsiTheme="majorHAnsi"/>
      <w:b/>
      <w:noProof/>
      <w:sz w:val="20"/>
      <w:szCs w:val="20"/>
      <w:lang w:val="es-CO"/>
    </w:rPr>
  </w:style>
  <w:style w:type="paragraph" w:styleId="TOC3">
    <w:name w:val="toc 3"/>
    <w:basedOn w:val="Normal"/>
    <w:next w:val="Normal"/>
    <w:autoRedefine/>
    <w:uiPriority w:val="39"/>
    <w:unhideWhenUsed/>
    <w:qFormat/>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f1"/>
    <w:basedOn w:val="DefaultParagraphFont"/>
    <w:link w:val="BVIfnrCar1CarCarCarCar"/>
    <w:unhideWhenUsed/>
    <w:qFormat/>
    <w:rsid w:val="000F35ED"/>
    <w:rPr>
      <w:vertAlign w:val="superscript"/>
    </w:rPr>
  </w:style>
  <w:style w:type="paragraph" w:styleId="BodyTextIndent2">
    <w:name w:val="Body Text Indent 2"/>
    <w:basedOn w:val="Normal"/>
    <w:link w:val="BodyTextIndent2Char"/>
    <w:unhideWhenUsed/>
    <w:rsid w:val="000F35ED"/>
    <w:pPr>
      <w:spacing w:after="120" w:line="480" w:lineRule="auto"/>
      <w:ind w:left="360"/>
    </w:pPr>
  </w:style>
  <w:style w:type="character" w:customStyle="1" w:styleId="BodyTextIndent2Char">
    <w:name w:val="Body Text Indent 2 Char"/>
    <w:basedOn w:val="DefaultParagraphFont"/>
    <w:link w:val="BodyTextIndent2"/>
    <w:rsid w:val="000F35ED"/>
    <w:rPr>
      <w:sz w:val="24"/>
      <w:szCs w:val="24"/>
      <w:lang w:val="en-US" w:eastAsia="en-US"/>
    </w:rPr>
  </w:style>
  <w:style w:type="paragraph" w:styleId="BodyText">
    <w:name w:val="Body Text"/>
    <w:aliases w:val="Body Text Char Car Car Car Car Car Car Car Car Car Car Car Car Car,Body Text Char Car Car Car Car Car Car Car Car Car Car Car Car"/>
    <w:basedOn w:val="Normal"/>
    <w:link w:val="BodyTextChar"/>
    <w:unhideWhenUsed/>
    <w:rsid w:val="0031535D"/>
    <w:pPr>
      <w:spacing w:after="120"/>
    </w:p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uiPriority w:val="9"/>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uiPriority w:val="99"/>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Heading4Char">
    <w:name w:val="Heading 4 Char"/>
    <w:basedOn w:val="DefaultParagraphFont"/>
    <w:link w:val="Heading4"/>
    <w:rsid w:val="00315C45"/>
    <w:rPr>
      <w:rFonts w:ascii="Arial" w:eastAsia="Times New Roman" w:hAnsi="Arial"/>
      <w:b/>
      <w:sz w:val="24"/>
      <w:bdr w:val="none" w:sz="0" w:space="0" w:color="auto"/>
      <w:lang w:val="en-US" w:eastAsia="en-US"/>
    </w:rPr>
  </w:style>
  <w:style w:type="character" w:customStyle="1" w:styleId="Heading5Char">
    <w:name w:val="Heading 5 Char"/>
    <w:basedOn w:val="DefaultParagraphFont"/>
    <w:link w:val="Heading5"/>
    <w:rsid w:val="00315C45"/>
    <w:rPr>
      <w:rFonts w:eastAsia="Times New Roman"/>
      <w:sz w:val="22"/>
      <w:bdr w:val="none" w:sz="0" w:space="0" w:color="auto"/>
      <w:lang w:val="en-US" w:eastAsia="en-US"/>
    </w:rPr>
  </w:style>
  <w:style w:type="character" w:customStyle="1" w:styleId="Heading6Char">
    <w:name w:val="Heading 6 Char"/>
    <w:basedOn w:val="DefaultParagraphFont"/>
    <w:link w:val="Heading6"/>
    <w:uiPriority w:val="9"/>
    <w:rsid w:val="00315C45"/>
    <w:rPr>
      <w:rFonts w:eastAsia="Times New Roman"/>
      <w:i/>
      <w:sz w:val="22"/>
      <w:bdr w:val="none" w:sz="0" w:space="0" w:color="auto"/>
      <w:lang w:val="en-US" w:eastAsia="en-US"/>
    </w:rPr>
  </w:style>
  <w:style w:type="character" w:customStyle="1" w:styleId="Heading7Char">
    <w:name w:val="Heading 7 Char"/>
    <w:basedOn w:val="DefaultParagraphFont"/>
    <w:link w:val="Heading7"/>
    <w:rsid w:val="00315C45"/>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315C45"/>
    <w:rPr>
      <w:rFonts w:ascii="Arial" w:eastAsia="Times New Roman" w:hAnsi="Arial"/>
      <w:i/>
      <w:bdr w:val="none" w:sz="0" w:space="0" w:color="auto"/>
      <w:lang w:val="en-US" w:eastAsia="en-US"/>
    </w:rPr>
  </w:style>
  <w:style w:type="character" w:customStyle="1" w:styleId="Heading9Char">
    <w:name w:val="Heading 9 Char"/>
    <w:basedOn w:val="DefaultParagraphFont"/>
    <w:link w:val="Heading9"/>
    <w:rsid w:val="00315C45"/>
    <w:rPr>
      <w:rFonts w:ascii="Arial" w:eastAsia="Times New Roman" w:hAnsi="Arial"/>
      <w:b/>
      <w:i/>
      <w:sz w:val="18"/>
      <w:bdr w:val="none" w:sz="0" w:space="0" w:color="auto"/>
      <w:lang w:val="en-US" w:eastAsia="en-US"/>
    </w:rPr>
  </w:style>
  <w:style w:type="character" w:styleId="CommentReference">
    <w:name w:val="annotation reference"/>
    <w:uiPriority w:val="99"/>
    <w:semiHidden/>
    <w:rsid w:val="00315C45"/>
    <w:rPr>
      <w:sz w:val="16"/>
      <w:szCs w:val="16"/>
    </w:rPr>
  </w:style>
  <w:style w:type="paragraph" w:styleId="CommentText">
    <w:name w:val="annotation text"/>
    <w:basedOn w:val="Normal"/>
    <w:link w:val="CommentTextChar"/>
    <w:uiPriority w:val="99"/>
    <w:rsid w:val="00315C4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uiPriority w:val="99"/>
    <w:rsid w:val="00315C45"/>
    <w:rPr>
      <w:rFonts w:eastAsia="Times New Roman"/>
      <w:bdr w:val="none" w:sz="0" w:space="0" w:color="auto"/>
      <w:lang w:val="en-US" w:eastAsia="en-U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locked/>
    <w:rsid w:val="00315C45"/>
    <w:rPr>
      <w:rFonts w:ascii="Cambria" w:eastAsia="Cambria" w:hAnsi="Cambria" w:cs="Cambria"/>
      <w:color w:val="000000"/>
      <w:sz w:val="24"/>
      <w:szCs w:val="24"/>
      <w:u w:color="000000"/>
      <w:lang w:val="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315C4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vertAlign w:val="superscript"/>
      <w:lang w:val="es-ES" w:eastAsia="es-ES"/>
    </w:rPr>
  </w:style>
  <w:style w:type="character" w:customStyle="1" w:styleId="BodyTextIndentChar">
    <w:name w:val="Body Text Indent Char"/>
    <w:basedOn w:val="DefaultParagraphFont"/>
    <w:link w:val="BodyTextIndent"/>
    <w:rsid w:val="00315C45"/>
    <w:rPr>
      <w:rFonts w:eastAsia="Times New Roman"/>
      <w:color w:val="000000"/>
      <w:sz w:val="24"/>
      <w:szCs w:val="24"/>
      <w:u w:color="000000"/>
      <w:lang w:val="es-ES_tradnl"/>
    </w:rPr>
  </w:style>
  <w:style w:type="numbering" w:customStyle="1" w:styleId="List211">
    <w:name w:val="List 211"/>
    <w:basedOn w:val="Estiloimportado19"/>
    <w:rsid w:val="00315C45"/>
    <w:pPr>
      <w:numPr>
        <w:numId w:val="23"/>
      </w:numPr>
    </w:pPr>
  </w:style>
  <w:style w:type="numbering" w:customStyle="1" w:styleId="List311">
    <w:name w:val="List 311"/>
    <w:basedOn w:val="Estiloimportado27"/>
    <w:rsid w:val="00315C45"/>
    <w:pPr>
      <w:numPr>
        <w:numId w:val="37"/>
      </w:numPr>
    </w:pPr>
  </w:style>
  <w:style w:type="numbering" w:customStyle="1" w:styleId="List411">
    <w:name w:val="List 411"/>
    <w:basedOn w:val="Estiloimportado37"/>
    <w:rsid w:val="00315C45"/>
    <w:pPr>
      <w:numPr>
        <w:numId w:val="39"/>
      </w:numPr>
    </w:pPr>
  </w:style>
  <w:style w:type="numbering" w:customStyle="1" w:styleId="List511">
    <w:name w:val="List 511"/>
    <w:basedOn w:val="Estiloimportado46"/>
    <w:rsid w:val="00315C45"/>
    <w:pPr>
      <w:numPr>
        <w:numId w:val="35"/>
      </w:numPr>
    </w:pPr>
  </w:style>
  <w:style w:type="numbering" w:customStyle="1" w:styleId="NoList1">
    <w:name w:val="No List1"/>
    <w:next w:val="NoList"/>
    <w:semiHidden/>
    <w:unhideWhenUsed/>
    <w:rsid w:val="00315C45"/>
  </w:style>
  <w:style w:type="character" w:customStyle="1" w:styleId="Style">
    <w:name w:val="Style"/>
    <w:rsid w:val="00315C45"/>
    <w:rPr>
      <w:rFonts w:ascii="Times New Roman" w:hAnsi="Times New Roman"/>
      <w:sz w:val="22"/>
      <w:vertAlign w:val="superscript"/>
    </w:rPr>
  </w:style>
  <w:style w:type="paragraph" w:customStyle="1" w:styleId="Style1">
    <w:name w:val="Style1"/>
    <w:basedOn w:val="FootnoteText"/>
    <w:link w:val="Style1Char"/>
    <w:autoRedefine/>
    <w:qFormat/>
    <w:rsid w:val="002B08B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jc w:val="both"/>
    </w:pPr>
    <w:rPr>
      <w:rFonts w:asciiTheme="majorHAnsi" w:eastAsia="Times New Roman" w:hAnsiTheme="majorHAnsi" w:cs="Times New Roman"/>
      <w:b/>
      <w:color w:val="auto"/>
      <w:bdr w:val="none" w:sz="0" w:space="0" w:color="auto"/>
      <w:lang w:val="es-PY" w:eastAsia="es-ES_tradnl"/>
    </w:rPr>
  </w:style>
  <w:style w:type="paragraph" w:customStyle="1" w:styleId="Style10">
    <w:name w:val="Style 1"/>
    <w:basedOn w:val="Normal"/>
    <w:uiPriority w:val="99"/>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315C4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315C45"/>
    <w:rPr>
      <w:rFonts w:ascii="Tahoma" w:eastAsia="Times New Roman" w:hAnsi="Tahoma" w:cs="Tahoma"/>
      <w:bdr w:val="none" w:sz="0" w:space="0" w:color="auto"/>
      <w:shd w:val="clear" w:color="auto" w:fill="000080"/>
      <w:lang w:val="en-US" w:eastAsia="en-US"/>
    </w:rPr>
  </w:style>
  <w:style w:type="paragraph" w:customStyle="1" w:styleId="Style6">
    <w:name w:val="Style 6"/>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
    <w:name w:val="Style 2"/>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315C4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rsid w:val="00315C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315C45"/>
    <w:rPr>
      <w:b/>
      <w:bCs/>
    </w:rPr>
  </w:style>
  <w:style w:type="character" w:customStyle="1" w:styleId="Heading1CharCharCharCharCharChar">
    <w:name w:val="Heading 1 Char Char Char Char Char Char"/>
    <w:rsid w:val="00315C45"/>
    <w:rPr>
      <w:rFonts w:ascii="Univers" w:hAnsi="Univers" w:cs="Arial"/>
      <w:kern w:val="36"/>
      <w:sz w:val="22"/>
      <w:szCs w:val="22"/>
      <w:lang w:val="en-US" w:eastAsia="en-US" w:bidi="ar-SA"/>
    </w:rPr>
  </w:style>
  <w:style w:type="character" w:customStyle="1" w:styleId="ju-005fpara--char">
    <w:name w:val="ju-005fpara--char"/>
    <w:basedOn w:val="DefaultParagraphFont"/>
    <w:rsid w:val="00315C45"/>
  </w:style>
  <w:style w:type="paragraph" w:customStyle="1" w:styleId="Sinespaciado1">
    <w:name w:val="Sin espaciado1"/>
    <w:qFormat/>
    <w:rsid w:val="00315C4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rmal--char">
    <w:name w:val="normal--char"/>
    <w:basedOn w:val="DefaultParagraphFont"/>
    <w:rsid w:val="00315C45"/>
  </w:style>
  <w:style w:type="paragraph" w:styleId="Title">
    <w:name w:val="Title"/>
    <w:basedOn w:val="Normal"/>
    <w:link w:val="TitleChar"/>
    <w:qFormat/>
    <w:rsid w:val="00315C45"/>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basedOn w:val="DefaultParagraphFont"/>
    <w:link w:val="Title"/>
    <w:rsid w:val="00315C45"/>
    <w:rPr>
      <w:rFonts w:ascii="Univers" w:eastAsia="Times New Roman" w:hAnsi="Univers"/>
      <w:b/>
      <w:sz w:val="22"/>
      <w:bdr w:val="none" w:sz="0" w:space="0" w:color="auto"/>
      <w:lang w:eastAsia="en-US"/>
    </w:rPr>
  </w:style>
  <w:style w:type="character" w:customStyle="1" w:styleId="antetitulo1">
    <w:name w:val="antetitulo1"/>
    <w:rsid w:val="00315C45"/>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315C45"/>
  </w:style>
  <w:style w:type="paragraph" w:customStyle="1" w:styleId="Blockquote">
    <w:name w:val="Blockquote"/>
    <w:basedOn w:val="Normal"/>
    <w:rsid w:val="00315C45"/>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315C45"/>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315C45"/>
    <w:rPr>
      <w:rFonts w:cs="Times New Roman"/>
      <w:lang w:val="es-ES_tradnl" w:eastAsia="en-US" w:bidi="ar-SA"/>
    </w:rPr>
  </w:style>
  <w:style w:type="paragraph" w:customStyle="1" w:styleId="Car">
    <w:name w:val="Car"/>
    <w:basedOn w:val="Normal"/>
    <w:rsid w:val="00315C4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315C45"/>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paragraph" w:styleId="BodyText3">
    <w:name w:val="Body Text 3"/>
    <w:basedOn w:val="Normal"/>
    <w:link w:val="BodyText3Char"/>
    <w:rsid w:val="00315C45"/>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315C45"/>
    <w:rPr>
      <w:rFonts w:eastAsia="Times New Roman"/>
      <w:sz w:val="16"/>
      <w:szCs w:val="16"/>
      <w:bdr w:val="none" w:sz="0" w:space="0" w:color="auto"/>
      <w:lang w:val="en-US" w:eastAsia="en-US"/>
    </w:rPr>
  </w:style>
  <w:style w:type="paragraph" w:styleId="BodyTextIndent3">
    <w:name w:val="Body Text Indent 3"/>
    <w:basedOn w:val="Normal"/>
    <w:link w:val="BodyTextIndent3Char"/>
    <w:rsid w:val="00315C45"/>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315C45"/>
    <w:rPr>
      <w:rFonts w:eastAsia="Times New Roman"/>
      <w:sz w:val="16"/>
      <w:szCs w:val="16"/>
      <w:bdr w:val="none" w:sz="0" w:space="0" w:color="auto"/>
      <w:lang w:val="en-US" w:eastAsia="en-US"/>
    </w:rPr>
  </w:style>
  <w:style w:type="character" w:customStyle="1" w:styleId="FootnoteCharacters">
    <w:name w:val="Footnote Characters"/>
    <w:rsid w:val="00315C45"/>
    <w:rPr>
      <w:vertAlign w:val="superscript"/>
    </w:rPr>
  </w:style>
  <w:style w:type="character" w:customStyle="1" w:styleId="WW-FootnoteCharacters">
    <w:name w:val="WW-Footnote Characters"/>
    <w:rsid w:val="00315C45"/>
    <w:rPr>
      <w:rFonts w:ascii="Universal" w:hAnsi="Universal"/>
      <w:sz w:val="16"/>
      <w:vertAlign w:val="superscript"/>
    </w:rPr>
  </w:style>
  <w:style w:type="character" w:customStyle="1" w:styleId="textonavy1">
    <w:name w:val="texto_navy1"/>
    <w:rsid w:val="00315C45"/>
    <w:rPr>
      <w:color w:val="000080"/>
    </w:rPr>
  </w:style>
  <w:style w:type="paragraph" w:customStyle="1" w:styleId="Style3">
    <w:name w:val="Style 3"/>
    <w:basedOn w:val="Normal"/>
    <w:uiPriority w:val="99"/>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qFormat/>
    <w:rsid w:val="00315C45"/>
    <w:rPr>
      <w:i/>
      <w:iCs/>
    </w:rPr>
  </w:style>
  <w:style w:type="character" w:customStyle="1" w:styleId="st1">
    <w:name w:val="st1"/>
    <w:basedOn w:val="DefaultParagraphFont"/>
    <w:rsid w:val="00315C45"/>
  </w:style>
  <w:style w:type="paragraph" w:styleId="BodyText2">
    <w:name w:val="Body Text 2"/>
    <w:basedOn w:val="Normal"/>
    <w:link w:val="BodyText2Char"/>
    <w:unhideWhenUsed/>
    <w:rsid w:val="00315C45"/>
    <w:pPr>
      <w:spacing w:after="120" w:line="480" w:lineRule="auto"/>
    </w:pPr>
  </w:style>
  <w:style w:type="character" w:customStyle="1" w:styleId="BodyText2Char">
    <w:name w:val="Body Text 2 Char"/>
    <w:basedOn w:val="DefaultParagraphFont"/>
    <w:link w:val="BodyText2"/>
    <w:rsid w:val="00315C45"/>
    <w:rPr>
      <w:sz w:val="24"/>
      <w:szCs w:val="24"/>
      <w:lang w:val="en-US" w:eastAsia="en-US"/>
    </w:rPr>
  </w:style>
  <w:style w:type="paragraph" w:styleId="PlainText">
    <w:name w:val="Plain Text"/>
    <w:basedOn w:val="Normal"/>
    <w:link w:val="PlainTextChar"/>
    <w:uiPriority w:val="99"/>
    <w:unhideWhenUsed/>
    <w:rsid w:val="00315C45"/>
    <w:rPr>
      <w:rFonts w:ascii="Consolas" w:hAnsi="Consolas" w:cs="Consolas"/>
      <w:sz w:val="21"/>
      <w:szCs w:val="21"/>
    </w:rPr>
  </w:style>
  <w:style w:type="character" w:customStyle="1" w:styleId="PlainTextChar">
    <w:name w:val="Plain Text Char"/>
    <w:basedOn w:val="DefaultParagraphFont"/>
    <w:link w:val="PlainText"/>
    <w:uiPriority w:val="99"/>
    <w:rsid w:val="00315C45"/>
    <w:rPr>
      <w:rFonts w:ascii="Consolas" w:hAnsi="Consolas" w:cs="Consolas"/>
      <w:sz w:val="21"/>
      <w:szCs w:val="21"/>
      <w:lang w:val="en-US" w:eastAsia="en-U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315C45"/>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315C45"/>
    <w:rPr>
      <w:rFonts w:ascii="Univers" w:hAnsi="Univers" w:cs="Times New Roman"/>
      <w:lang w:val="es-ES_tradnl" w:eastAsia="x-none"/>
    </w:rPr>
  </w:style>
  <w:style w:type="paragraph" w:styleId="Subtitle">
    <w:name w:val="Subtitle"/>
    <w:basedOn w:val="Normal"/>
    <w:link w:val="SubtitleChar"/>
    <w:qFormat/>
    <w:rsid w:val="00315C45"/>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Batang" w:hAnsi="Arial" w:cs="Arial"/>
      <w:bdr w:val="none" w:sz="0" w:space="0" w:color="auto"/>
      <w:lang w:val="es-ES_tradnl"/>
    </w:rPr>
  </w:style>
  <w:style w:type="character" w:customStyle="1" w:styleId="SubtitleChar">
    <w:name w:val="Subtitle Char"/>
    <w:basedOn w:val="DefaultParagraphFont"/>
    <w:link w:val="Subtitle"/>
    <w:rsid w:val="00315C45"/>
    <w:rPr>
      <w:rFonts w:ascii="Arial" w:eastAsia="Batang" w:hAnsi="Arial" w:cs="Arial"/>
      <w:sz w:val="24"/>
      <w:szCs w:val="24"/>
      <w:bdr w:val="none" w:sz="0" w:space="0" w:color="auto"/>
      <w:lang w:val="es-ES_tradnl" w:eastAsia="en-US"/>
    </w:rPr>
  </w:style>
  <w:style w:type="paragraph" w:styleId="List2">
    <w:name w:val="List 2"/>
    <w:basedOn w:val="Normal"/>
    <w:rsid w:val="00315C45"/>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Batang"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315C45"/>
    <w:rPr>
      <w:sz w:val="24"/>
      <w:lang w:val="en-US" w:eastAsia="en-US"/>
    </w:rPr>
  </w:style>
  <w:style w:type="paragraph" w:styleId="BlockText">
    <w:name w:val="Block Text"/>
    <w:basedOn w:val="Normal"/>
    <w:rsid w:val="00315C4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Univers" w:eastAsia="Batang" w:hAnsi="Univers"/>
      <w:sz w:val="18"/>
      <w:szCs w:val="20"/>
      <w:bdr w:val="none" w:sz="0" w:space="0" w:color="auto"/>
      <w:lang w:val="es-ES_tradnl"/>
    </w:rPr>
  </w:style>
  <w:style w:type="paragraph" w:styleId="List3">
    <w:name w:val="List 3"/>
    <w:basedOn w:val="Normal"/>
    <w:rsid w:val="00315C45"/>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Batang" w:hAnsi="Univers"/>
      <w:sz w:val="22"/>
      <w:szCs w:val="20"/>
      <w:bdr w:val="none" w:sz="0" w:space="0" w:color="auto"/>
      <w:lang w:val="es-ES_tradnl"/>
    </w:rPr>
  </w:style>
  <w:style w:type="paragraph" w:customStyle="1" w:styleId="Sangradetindependiente">
    <w:name w:val="SangrÌa de t. independiente"/>
    <w:basedOn w:val="Normal"/>
    <w:rsid w:val="00315C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Batang" w:hAnsi="Garamond"/>
      <w:szCs w:val="20"/>
      <w:bdr w:val="none" w:sz="0" w:space="0" w:color="auto"/>
      <w:lang w:val="es-ES_tradnl" w:eastAsia="ar-SA"/>
    </w:rPr>
  </w:style>
  <w:style w:type="character" w:styleId="FollowedHyperlink">
    <w:name w:val="FollowedHyperlink"/>
    <w:rsid w:val="00315C45"/>
    <w:rPr>
      <w:rFonts w:cs="Times New Roman"/>
      <w:color w:val="800080"/>
      <w:u w:val="single"/>
    </w:rPr>
  </w:style>
  <w:style w:type="character" w:customStyle="1" w:styleId="ifinal011">
    <w:name w:val="ifinal011"/>
    <w:rsid w:val="00315C45"/>
    <w:rPr>
      <w:rFonts w:ascii="Verdana" w:hAnsi="Verdana"/>
      <w:color w:val="003399"/>
      <w:sz w:val="12"/>
    </w:rPr>
  </w:style>
  <w:style w:type="paragraph" w:customStyle="1" w:styleId="PlaceholderText1">
    <w:name w:val="Placeholder Text1"/>
    <w:basedOn w:val="Normal"/>
    <w:rsid w:val="00315C45"/>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outlineLvl w:val="0"/>
    </w:pPr>
    <w:rPr>
      <w:rFonts w:ascii="Verdana" w:eastAsia="MS Gothic" w:hAnsi="Verdana"/>
      <w:sz w:val="20"/>
      <w:bdr w:val="none" w:sz="0" w:space="0" w:color="auto"/>
      <w:lang w:val="es-ES_tradnl"/>
    </w:rPr>
  </w:style>
  <w:style w:type="paragraph" w:styleId="NoSpacing">
    <w:name w:val="No Spacing"/>
    <w:basedOn w:val="Normal"/>
    <w:uiPriority w:val="1"/>
    <w:qFormat/>
    <w:rsid w:val="00315C45"/>
    <w:pPr>
      <w:keepNext/>
      <w:numPr>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ind w:left="1080" w:hanging="360"/>
      <w:outlineLvl w:val="1"/>
    </w:pPr>
    <w:rPr>
      <w:rFonts w:ascii="Verdana" w:eastAsia="MS Gothic" w:hAnsi="Verdana"/>
      <w:sz w:val="20"/>
      <w:bdr w:val="none" w:sz="0" w:space="0" w:color="auto"/>
      <w:lang w:val="es-ES_tradnl"/>
    </w:rPr>
  </w:style>
  <w:style w:type="paragraph" w:customStyle="1" w:styleId="LightShading1">
    <w:name w:val="Light Shading1"/>
    <w:basedOn w:val="Normal"/>
    <w:rsid w:val="00315C45"/>
    <w:pPr>
      <w:keepNext/>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800"/>
      <w:outlineLvl w:val="2"/>
    </w:pPr>
    <w:rPr>
      <w:rFonts w:ascii="Verdana" w:eastAsia="MS Gothic" w:hAnsi="Verdana"/>
      <w:sz w:val="20"/>
      <w:bdr w:val="none" w:sz="0" w:space="0" w:color="auto"/>
      <w:lang w:val="es-ES_tradnl"/>
    </w:rPr>
  </w:style>
  <w:style w:type="paragraph" w:customStyle="1" w:styleId="LightList1">
    <w:name w:val="Light List1"/>
    <w:basedOn w:val="Normal"/>
    <w:rsid w:val="00315C45"/>
    <w:pPr>
      <w:keepNext/>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160"/>
      </w:tabs>
      <w:ind w:left="2520"/>
      <w:outlineLvl w:val="3"/>
    </w:pPr>
    <w:rPr>
      <w:rFonts w:ascii="Verdana" w:eastAsia="MS Gothic" w:hAnsi="Verdana"/>
      <w:sz w:val="20"/>
      <w:bdr w:val="none" w:sz="0" w:space="0" w:color="auto"/>
      <w:lang w:val="es-ES_tradnl"/>
    </w:rPr>
  </w:style>
  <w:style w:type="paragraph" w:customStyle="1" w:styleId="LightGrid1">
    <w:name w:val="Light Grid1"/>
    <w:basedOn w:val="Normal"/>
    <w:rsid w:val="00315C45"/>
    <w:pPr>
      <w:keepNext/>
      <w:numPr>
        <w:ilvl w:val="3"/>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2880"/>
      </w:tabs>
      <w:ind w:left="3240"/>
      <w:outlineLvl w:val="4"/>
    </w:pPr>
    <w:rPr>
      <w:rFonts w:ascii="Verdana" w:eastAsia="MS Gothic" w:hAnsi="Verdana"/>
      <w:sz w:val="20"/>
      <w:bdr w:val="none" w:sz="0" w:space="0" w:color="auto"/>
      <w:lang w:val="es-ES_tradnl"/>
    </w:rPr>
  </w:style>
  <w:style w:type="paragraph" w:customStyle="1" w:styleId="MediumShading11">
    <w:name w:val="Medium Shading 11"/>
    <w:basedOn w:val="Normal"/>
    <w:rsid w:val="00315C45"/>
    <w:pPr>
      <w:keepNext/>
      <w:numPr>
        <w:ilvl w:val="4"/>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3600"/>
      </w:tabs>
      <w:ind w:left="3960"/>
      <w:outlineLvl w:val="5"/>
    </w:pPr>
    <w:rPr>
      <w:rFonts w:ascii="Verdana" w:eastAsia="MS Gothic" w:hAnsi="Verdana"/>
      <w:sz w:val="20"/>
      <w:bdr w:val="none" w:sz="0" w:space="0" w:color="auto"/>
      <w:lang w:val="es-ES_tradnl"/>
    </w:rPr>
  </w:style>
  <w:style w:type="paragraph" w:customStyle="1" w:styleId="MediumShading21">
    <w:name w:val="Medium Shading 21"/>
    <w:basedOn w:val="Normal"/>
    <w:rsid w:val="00315C45"/>
    <w:pPr>
      <w:keepNext/>
      <w:numPr>
        <w:ilvl w:val="5"/>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4320"/>
      </w:tabs>
      <w:ind w:left="4680"/>
      <w:outlineLvl w:val="6"/>
    </w:pPr>
    <w:rPr>
      <w:rFonts w:ascii="Verdana" w:eastAsia="MS Gothic" w:hAnsi="Verdana"/>
      <w:sz w:val="20"/>
      <w:bdr w:val="none" w:sz="0" w:space="0" w:color="auto"/>
      <w:lang w:val="es-ES_tradnl"/>
    </w:rPr>
  </w:style>
  <w:style w:type="paragraph" w:customStyle="1" w:styleId="MediumList11">
    <w:name w:val="Medium List 11"/>
    <w:basedOn w:val="Normal"/>
    <w:rsid w:val="00315C45"/>
    <w:pPr>
      <w:keepNext/>
      <w:numPr>
        <w:ilvl w:val="6"/>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5040"/>
      </w:tabs>
      <w:ind w:left="5400"/>
      <w:outlineLvl w:val="7"/>
    </w:pPr>
    <w:rPr>
      <w:rFonts w:ascii="Verdana" w:eastAsia="MS Gothic" w:hAnsi="Verdana"/>
      <w:sz w:val="20"/>
      <w:bdr w:val="none" w:sz="0" w:space="0" w:color="auto"/>
      <w:lang w:val="es-ES_tradnl"/>
    </w:rPr>
  </w:style>
  <w:style w:type="paragraph" w:customStyle="1" w:styleId="MediumList21">
    <w:name w:val="Medium List 21"/>
    <w:basedOn w:val="Normal"/>
    <w:rsid w:val="00315C45"/>
    <w:pPr>
      <w:keepNext/>
      <w:numPr>
        <w:ilvl w:val="7"/>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5040"/>
        <w:tab w:val="num" w:pos="5760"/>
      </w:tabs>
      <w:ind w:left="6120"/>
      <w:outlineLvl w:val="8"/>
    </w:pPr>
    <w:rPr>
      <w:rFonts w:ascii="Verdana" w:eastAsia="MS Gothic" w:hAnsi="Verdana"/>
      <w:sz w:val="20"/>
      <w:bdr w:val="none" w:sz="0" w:space="0" w:color="auto"/>
      <w:lang w:val="es-ES_tradnl"/>
    </w:rPr>
  </w:style>
  <w:style w:type="paragraph" w:customStyle="1" w:styleId="Estilo5">
    <w:name w:val="Estilo5"/>
    <w:basedOn w:val="Heading1"/>
    <w:next w:val="Normal"/>
    <w:rsid w:val="00315C45"/>
    <w:pPr>
      <w:keepLines w:val="0"/>
      <w:numPr>
        <w:ilvl w:val="8"/>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5760"/>
      </w:tabs>
      <w:spacing w:before="240" w:after="60"/>
      <w:ind w:left="0" w:firstLine="0"/>
      <w:jc w:val="both"/>
    </w:pPr>
    <w:rPr>
      <w:rFonts w:ascii="Verdana" w:eastAsia="Batang" w:hAnsi="Verdana" w:cs="Arial"/>
      <w:b w:val="0"/>
      <w:color w:val="auto"/>
      <w:kern w:val="32"/>
      <w:sz w:val="20"/>
      <w:szCs w:val="24"/>
      <w:bdr w:val="none" w:sz="0" w:space="0" w:color="auto"/>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315C45"/>
    <w:rPr>
      <w:rFonts w:ascii="Univers" w:eastAsia="Batang" w:hAnsi="Univers"/>
      <w:lang w:val="es-CO" w:eastAsia="en-US" w:bidi="ar-SA"/>
    </w:rPr>
  </w:style>
  <w:style w:type="character" w:customStyle="1" w:styleId="apple-converted-space">
    <w:name w:val="apple-converted-space"/>
    <w:rsid w:val="00315C45"/>
    <w:rPr>
      <w:rFonts w:cs="Times New Roman"/>
    </w:rPr>
  </w:style>
  <w:style w:type="paragraph" w:customStyle="1" w:styleId="Estilo7">
    <w:name w:val="Estilo7"/>
    <w:basedOn w:val="Normal"/>
    <w:rsid w:val="00315C45"/>
    <w:pPr>
      <w:numPr>
        <w:ilvl w:val="2"/>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sz w:val="20"/>
      <w:szCs w:val="20"/>
      <w:bdr w:val="none" w:sz="0" w:space="0" w:color="auto"/>
      <w:lang w:val="es-ES_tradnl" w:eastAsia="es-MX"/>
    </w:rPr>
  </w:style>
  <w:style w:type="character" w:customStyle="1" w:styleId="skypepnhprintcontainer">
    <w:name w:val="skype_pnh_print_container"/>
    <w:rsid w:val="00315C45"/>
    <w:rPr>
      <w:rFonts w:cs="Times New Roman"/>
    </w:rPr>
  </w:style>
  <w:style w:type="character" w:customStyle="1" w:styleId="skypepnhcontainer">
    <w:name w:val="skype_pnh_container"/>
    <w:rsid w:val="00315C45"/>
    <w:rPr>
      <w:rFonts w:cs="Times New Roman"/>
    </w:rPr>
  </w:style>
  <w:style w:type="character" w:customStyle="1" w:styleId="s6b621b36">
    <w:name w:val="s6b621b36"/>
    <w:rsid w:val="00315C45"/>
    <w:rPr>
      <w:rFonts w:cs="Times New Roman"/>
    </w:rPr>
  </w:style>
  <w:style w:type="character" w:customStyle="1" w:styleId="tituloarticulo1">
    <w:name w:val="titulo_articulo1"/>
    <w:rsid w:val="00315C45"/>
    <w:rPr>
      <w:rFonts w:ascii="Arial" w:hAnsi="Arial"/>
      <w:b/>
      <w:sz w:val="36"/>
    </w:rPr>
  </w:style>
  <w:style w:type="paragraph" w:styleId="CommentSubject">
    <w:name w:val="annotation subject"/>
    <w:basedOn w:val="CommentText"/>
    <w:next w:val="CommentText"/>
    <w:link w:val="CommentSubjectChar"/>
    <w:semiHidden/>
    <w:rsid w:val="00315C45"/>
    <w:rPr>
      <w:rFonts w:ascii="Univers" w:eastAsia="Batang" w:hAnsi="Univers"/>
      <w:sz w:val="22"/>
      <w:lang w:val="es-ES_tradnl"/>
    </w:rPr>
  </w:style>
  <w:style w:type="character" w:customStyle="1" w:styleId="CommentSubjectChar">
    <w:name w:val="Comment Subject Char"/>
    <w:basedOn w:val="CommentTextChar"/>
    <w:link w:val="CommentSubject"/>
    <w:semiHidden/>
    <w:rsid w:val="00315C45"/>
    <w:rPr>
      <w:rFonts w:ascii="Univers" w:eastAsia="Batang" w:hAnsi="Univers"/>
      <w:sz w:val="22"/>
      <w:bdr w:val="none" w:sz="0" w:space="0" w:color="auto"/>
      <w:lang w:val="es-ES_tradnl" w:eastAsia="en-US"/>
    </w:rPr>
  </w:style>
  <w:style w:type="character" w:customStyle="1" w:styleId="ListParagraphChar1">
    <w:name w:val="List Paragraph Char1"/>
    <w:aliases w:val="Footnote Char2"/>
    <w:locked/>
    <w:rsid w:val="00315C45"/>
    <w:rPr>
      <w:rFonts w:ascii="Verdana" w:hAnsi="Verdana"/>
      <w:lang w:val="es-ES_tradnl" w:eastAsia="x-none"/>
    </w:rPr>
  </w:style>
  <w:style w:type="paragraph" w:styleId="Revision">
    <w:name w:val="Revision"/>
    <w:hidden/>
    <w:uiPriority w:val="71"/>
    <w:rsid w:val="00315C45"/>
    <w:pPr>
      <w:pBdr>
        <w:top w:val="none" w:sz="0" w:space="0" w:color="auto"/>
        <w:left w:val="none" w:sz="0" w:space="0" w:color="auto"/>
        <w:bottom w:val="none" w:sz="0" w:space="0" w:color="auto"/>
        <w:right w:val="none" w:sz="0" w:space="0" w:color="auto"/>
        <w:between w:val="none" w:sz="0" w:space="0" w:color="auto"/>
        <w:bar w:val="none" w:sz="0" w:color="auto"/>
      </w:pBdr>
    </w:pPr>
    <w:rPr>
      <w:rFonts w:ascii="Univers" w:eastAsia="Batang" w:hAnsi="Univers"/>
      <w:sz w:val="22"/>
      <w:bdr w:val="none" w:sz="0" w:space="0" w:color="auto"/>
      <w:lang w:val="es-ES_tradnl" w:eastAsia="en-US"/>
    </w:rPr>
  </w:style>
  <w:style w:type="character" w:customStyle="1" w:styleId="apple-style-span">
    <w:name w:val="apple-style-span"/>
    <w:rsid w:val="00315C45"/>
  </w:style>
  <w:style w:type="paragraph" w:styleId="TOCHeading">
    <w:name w:val="TOC Heading"/>
    <w:basedOn w:val="Heading1"/>
    <w:next w:val="Normal"/>
    <w:uiPriority w:val="39"/>
    <w:unhideWhenUsed/>
    <w:qFormat/>
    <w:rsid w:val="00315C4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paragraph" w:customStyle="1" w:styleId="ColorfulList-Accent12">
    <w:name w:val="Colorful List - Accent 12"/>
    <w:link w:val="ColorfulList-Accent1Char"/>
    <w:uiPriority w:val="34"/>
    <w:qFormat/>
    <w:rsid w:val="00315C45"/>
    <w:pPr>
      <w:ind w:left="720"/>
    </w:pPr>
    <w:rPr>
      <w:rFonts w:ascii="Cambria" w:eastAsia="Cambria" w:hAnsi="Cambria" w:cs="Cambria"/>
      <w:color w:val="000000"/>
      <w:sz w:val="24"/>
      <w:szCs w:val="24"/>
      <w:u w:color="000000"/>
      <w:lang w:val="en-US"/>
    </w:rPr>
  </w:style>
  <w:style w:type="character" w:customStyle="1" w:styleId="ColorfulList-Accent1Char">
    <w:name w:val="Colorful List - Accent 1 Char"/>
    <w:link w:val="ColorfulList-Accent12"/>
    <w:uiPriority w:val="34"/>
    <w:locked/>
    <w:rsid w:val="00315C45"/>
    <w:rPr>
      <w:rFonts w:ascii="Cambria" w:eastAsia="Cambria" w:hAnsi="Cambria" w:cs="Cambria"/>
      <w:color w:val="000000"/>
      <w:sz w:val="24"/>
      <w:szCs w:val="24"/>
      <w:u w:color="000000"/>
      <w:lang w:val="en-US"/>
    </w:rPr>
  </w:style>
  <w:style w:type="paragraph" w:customStyle="1" w:styleId="footnote">
    <w:name w:val="footnote"/>
    <w:basedOn w:val="NormalWeb"/>
    <w:rsid w:val="00315C45"/>
  </w:style>
  <w:style w:type="character" w:styleId="PlaceholderText">
    <w:name w:val="Placeholder Text"/>
    <w:basedOn w:val="DefaultParagraphFont"/>
    <w:uiPriority w:val="99"/>
    <w:semiHidden/>
    <w:rsid w:val="00315C45"/>
    <w:rPr>
      <w:color w:val="808080"/>
    </w:rPr>
  </w:style>
  <w:style w:type="character" w:customStyle="1" w:styleId="sb8d990e2">
    <w:name w:val="sb8d990e2"/>
    <w:basedOn w:val="DefaultParagraphFont"/>
    <w:rsid w:val="00315C45"/>
  </w:style>
  <w:style w:type="paragraph" w:styleId="HTMLPreformatted">
    <w:name w:val="HTML Preformatted"/>
    <w:basedOn w:val="Normal"/>
    <w:link w:val="HTMLPreformattedChar"/>
    <w:uiPriority w:val="99"/>
    <w:unhideWhenUsed/>
    <w:rsid w:val="00315C4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315C45"/>
    <w:rPr>
      <w:rFonts w:ascii="Courier New" w:eastAsia="Times New Roman" w:hAnsi="Courier New" w:cs="Courier New"/>
      <w:bdr w:val="none" w:sz="0" w:space="0" w:color="auto"/>
      <w:lang w:val="en-US" w:eastAsia="en-US"/>
    </w:rPr>
  </w:style>
  <w:style w:type="character" w:styleId="EndnoteReference">
    <w:name w:val="endnote reference"/>
    <w:basedOn w:val="DefaultParagraphFont"/>
    <w:uiPriority w:val="99"/>
    <w:semiHidden/>
    <w:unhideWhenUsed/>
    <w:rsid w:val="00315C45"/>
    <w:rPr>
      <w:vertAlign w:val="superscript"/>
    </w:rPr>
  </w:style>
  <w:style w:type="table" w:styleId="MediumGrid1">
    <w:name w:val="Medium Grid 1"/>
    <w:basedOn w:val="TableNormal"/>
    <w:uiPriority w:val="67"/>
    <w:rsid w:val="00315C4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315C4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next w:val="LightGrid"/>
    <w:uiPriority w:val="62"/>
    <w:rsid w:val="00315C4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Style1Char">
    <w:name w:val="Style1 Char"/>
    <w:link w:val="Style1"/>
    <w:rsid w:val="002B08B8"/>
    <w:rPr>
      <w:rFonts w:asciiTheme="majorHAnsi" w:eastAsia="Times New Roman" w:hAnsiTheme="majorHAnsi"/>
      <w:b/>
      <w:u w:color="000000"/>
      <w:bdr w:val="none" w:sz="0" w:space="0" w:color="auto"/>
      <w:lang w:val="es-PY" w:eastAsia="es-ES_tradnl"/>
    </w:rPr>
  </w:style>
  <w:style w:type="paragraph" w:customStyle="1" w:styleId="MediumGrid1-Accent21">
    <w:name w:val="Medium Grid 1 - Accent 21"/>
    <w:uiPriority w:val="34"/>
    <w:qFormat/>
    <w:rsid w:val="00315C45"/>
    <w:pPr>
      <w:ind w:left="720"/>
    </w:pPr>
    <w:rPr>
      <w:rFonts w:ascii="Cambria" w:eastAsia="Cambria" w:hAnsi="Cambria" w:cs="Cambria"/>
      <w:color w:val="000000"/>
      <w:sz w:val="24"/>
      <w:szCs w:val="24"/>
      <w:u w:color="000000"/>
      <w:lang w:val="en-US"/>
    </w:rPr>
  </w:style>
  <w:style w:type="paragraph" w:styleId="z-TopofForm">
    <w:name w:val="HTML Top of Form"/>
    <w:basedOn w:val="Normal"/>
    <w:next w:val="Normal"/>
    <w:link w:val="z-TopofFormChar"/>
    <w:hidden/>
    <w:uiPriority w:val="99"/>
    <w:semiHidden/>
    <w:unhideWhenUsed/>
    <w:rsid w:val="00315C45"/>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rPr>
  </w:style>
  <w:style w:type="character" w:customStyle="1" w:styleId="z-TopofFormChar">
    <w:name w:val="z-Top of Form Char"/>
    <w:basedOn w:val="DefaultParagraphFont"/>
    <w:link w:val="z-TopofForm"/>
    <w:uiPriority w:val="99"/>
    <w:semiHidden/>
    <w:rsid w:val="00315C45"/>
    <w:rPr>
      <w:rFonts w:ascii="Arial" w:eastAsia="Times New Roman" w:hAnsi="Arial" w:cs="Arial"/>
      <w:vanish/>
      <w:sz w:val="16"/>
      <w:szCs w:val="16"/>
      <w:bdr w:val="none" w:sz="0" w:space="0" w:color="auto"/>
      <w:lang w:val="en-US" w:eastAsia="en-US"/>
    </w:rPr>
  </w:style>
  <w:style w:type="paragraph" w:styleId="z-BottomofForm">
    <w:name w:val="HTML Bottom of Form"/>
    <w:basedOn w:val="Normal"/>
    <w:next w:val="Normal"/>
    <w:link w:val="z-BottomofFormChar"/>
    <w:hidden/>
    <w:uiPriority w:val="99"/>
    <w:semiHidden/>
    <w:unhideWhenUsed/>
    <w:rsid w:val="00315C45"/>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rPr>
  </w:style>
  <w:style w:type="character" w:customStyle="1" w:styleId="z-BottomofFormChar">
    <w:name w:val="z-Bottom of Form Char"/>
    <w:basedOn w:val="DefaultParagraphFont"/>
    <w:link w:val="z-BottomofForm"/>
    <w:uiPriority w:val="99"/>
    <w:semiHidden/>
    <w:rsid w:val="00315C45"/>
    <w:rPr>
      <w:rFonts w:ascii="Arial" w:eastAsia="Times New Roman" w:hAnsi="Arial" w:cs="Arial"/>
      <w:vanish/>
      <w:sz w:val="16"/>
      <w:szCs w:val="16"/>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5F10F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6514">
      <w:bodyDiv w:val="1"/>
      <w:marLeft w:val="0"/>
      <w:marRight w:val="0"/>
      <w:marTop w:val="0"/>
      <w:marBottom w:val="0"/>
      <w:divBdr>
        <w:top w:val="none" w:sz="0" w:space="0" w:color="auto"/>
        <w:left w:val="none" w:sz="0" w:space="0" w:color="auto"/>
        <w:bottom w:val="none" w:sz="0" w:space="0" w:color="auto"/>
        <w:right w:val="none" w:sz="0" w:space="0" w:color="auto"/>
      </w:divBdr>
    </w:div>
    <w:div w:id="100802984">
      <w:bodyDiv w:val="1"/>
      <w:marLeft w:val="0"/>
      <w:marRight w:val="0"/>
      <w:marTop w:val="0"/>
      <w:marBottom w:val="0"/>
      <w:divBdr>
        <w:top w:val="none" w:sz="0" w:space="0" w:color="auto"/>
        <w:left w:val="none" w:sz="0" w:space="0" w:color="auto"/>
        <w:bottom w:val="none" w:sz="0" w:space="0" w:color="auto"/>
        <w:right w:val="none" w:sz="0" w:space="0" w:color="auto"/>
      </w:divBdr>
    </w:div>
    <w:div w:id="217058015">
      <w:bodyDiv w:val="1"/>
      <w:marLeft w:val="0"/>
      <w:marRight w:val="0"/>
      <w:marTop w:val="0"/>
      <w:marBottom w:val="0"/>
      <w:divBdr>
        <w:top w:val="none" w:sz="0" w:space="0" w:color="auto"/>
        <w:left w:val="none" w:sz="0" w:space="0" w:color="auto"/>
        <w:bottom w:val="none" w:sz="0" w:space="0" w:color="auto"/>
        <w:right w:val="none" w:sz="0" w:space="0" w:color="auto"/>
      </w:divBdr>
      <w:divsChild>
        <w:div w:id="838885803">
          <w:marLeft w:val="0"/>
          <w:marRight w:val="0"/>
          <w:marTop w:val="0"/>
          <w:marBottom w:val="0"/>
          <w:divBdr>
            <w:top w:val="none" w:sz="0" w:space="0" w:color="auto"/>
            <w:left w:val="none" w:sz="0" w:space="0" w:color="auto"/>
            <w:bottom w:val="none" w:sz="0" w:space="0" w:color="auto"/>
            <w:right w:val="none" w:sz="0" w:space="0" w:color="auto"/>
          </w:divBdr>
          <w:divsChild>
            <w:div w:id="2124689773">
              <w:marLeft w:val="2250"/>
              <w:marRight w:val="3960"/>
              <w:marTop w:val="0"/>
              <w:marBottom w:val="0"/>
              <w:divBdr>
                <w:top w:val="none" w:sz="0" w:space="0" w:color="auto"/>
                <w:left w:val="none" w:sz="0" w:space="0" w:color="auto"/>
                <w:bottom w:val="none" w:sz="0" w:space="0" w:color="auto"/>
                <w:right w:val="none" w:sz="0" w:space="0" w:color="auto"/>
              </w:divBdr>
              <w:divsChild>
                <w:div w:id="1646427264">
                  <w:marLeft w:val="0"/>
                  <w:marRight w:val="0"/>
                  <w:marTop w:val="0"/>
                  <w:marBottom w:val="0"/>
                  <w:divBdr>
                    <w:top w:val="none" w:sz="0" w:space="0" w:color="auto"/>
                    <w:left w:val="none" w:sz="0" w:space="0" w:color="auto"/>
                    <w:bottom w:val="none" w:sz="0" w:space="0" w:color="auto"/>
                    <w:right w:val="none" w:sz="0" w:space="0" w:color="auto"/>
                  </w:divBdr>
                  <w:divsChild>
                    <w:div w:id="19285490">
                      <w:marLeft w:val="0"/>
                      <w:marRight w:val="0"/>
                      <w:marTop w:val="0"/>
                      <w:marBottom w:val="0"/>
                      <w:divBdr>
                        <w:top w:val="none" w:sz="0" w:space="0" w:color="auto"/>
                        <w:left w:val="none" w:sz="0" w:space="0" w:color="auto"/>
                        <w:bottom w:val="none" w:sz="0" w:space="0" w:color="auto"/>
                        <w:right w:val="none" w:sz="0" w:space="0" w:color="auto"/>
                      </w:divBdr>
                      <w:divsChild>
                        <w:div w:id="1378503338">
                          <w:marLeft w:val="0"/>
                          <w:marRight w:val="0"/>
                          <w:marTop w:val="0"/>
                          <w:marBottom w:val="0"/>
                          <w:divBdr>
                            <w:top w:val="none" w:sz="0" w:space="0" w:color="auto"/>
                            <w:left w:val="none" w:sz="0" w:space="0" w:color="auto"/>
                            <w:bottom w:val="none" w:sz="0" w:space="0" w:color="auto"/>
                            <w:right w:val="none" w:sz="0" w:space="0" w:color="auto"/>
                          </w:divBdr>
                          <w:divsChild>
                            <w:div w:id="113135850">
                              <w:marLeft w:val="0"/>
                              <w:marRight w:val="0"/>
                              <w:marTop w:val="90"/>
                              <w:marBottom w:val="0"/>
                              <w:divBdr>
                                <w:top w:val="none" w:sz="0" w:space="0" w:color="auto"/>
                                <w:left w:val="none" w:sz="0" w:space="0" w:color="auto"/>
                                <w:bottom w:val="none" w:sz="0" w:space="0" w:color="auto"/>
                                <w:right w:val="none" w:sz="0" w:space="0" w:color="auto"/>
                              </w:divBdr>
                              <w:divsChild>
                                <w:div w:id="512383913">
                                  <w:marLeft w:val="0"/>
                                  <w:marRight w:val="0"/>
                                  <w:marTop w:val="0"/>
                                  <w:marBottom w:val="0"/>
                                  <w:divBdr>
                                    <w:top w:val="none" w:sz="0" w:space="0" w:color="auto"/>
                                    <w:left w:val="none" w:sz="0" w:space="0" w:color="auto"/>
                                    <w:bottom w:val="none" w:sz="0" w:space="0" w:color="auto"/>
                                    <w:right w:val="none" w:sz="0" w:space="0" w:color="auto"/>
                                  </w:divBdr>
                                  <w:divsChild>
                                    <w:div w:id="519320356">
                                      <w:marLeft w:val="0"/>
                                      <w:marRight w:val="0"/>
                                      <w:marTop w:val="0"/>
                                      <w:marBottom w:val="0"/>
                                      <w:divBdr>
                                        <w:top w:val="none" w:sz="0" w:space="0" w:color="auto"/>
                                        <w:left w:val="none" w:sz="0" w:space="0" w:color="auto"/>
                                        <w:bottom w:val="none" w:sz="0" w:space="0" w:color="auto"/>
                                        <w:right w:val="none" w:sz="0" w:space="0" w:color="auto"/>
                                      </w:divBdr>
                                      <w:divsChild>
                                        <w:div w:id="6948922">
                                          <w:marLeft w:val="0"/>
                                          <w:marRight w:val="0"/>
                                          <w:marTop w:val="0"/>
                                          <w:marBottom w:val="0"/>
                                          <w:divBdr>
                                            <w:top w:val="none" w:sz="0" w:space="0" w:color="auto"/>
                                            <w:left w:val="none" w:sz="0" w:space="0" w:color="auto"/>
                                            <w:bottom w:val="none" w:sz="0" w:space="0" w:color="auto"/>
                                            <w:right w:val="none" w:sz="0" w:space="0" w:color="auto"/>
                                          </w:divBdr>
                                          <w:divsChild>
                                            <w:div w:id="75444050">
                                              <w:marLeft w:val="0"/>
                                              <w:marRight w:val="0"/>
                                              <w:marTop w:val="0"/>
                                              <w:marBottom w:val="420"/>
                                              <w:divBdr>
                                                <w:top w:val="none" w:sz="0" w:space="0" w:color="auto"/>
                                                <w:left w:val="none" w:sz="0" w:space="0" w:color="auto"/>
                                                <w:bottom w:val="none" w:sz="0" w:space="0" w:color="auto"/>
                                                <w:right w:val="none" w:sz="0" w:space="0" w:color="auto"/>
                                              </w:divBdr>
                                              <w:divsChild>
                                                <w:div w:id="874806594">
                                                  <w:marLeft w:val="0"/>
                                                  <w:marRight w:val="0"/>
                                                  <w:marTop w:val="0"/>
                                                  <w:marBottom w:val="0"/>
                                                  <w:divBdr>
                                                    <w:top w:val="none" w:sz="0" w:space="0" w:color="auto"/>
                                                    <w:left w:val="none" w:sz="0" w:space="0" w:color="auto"/>
                                                    <w:bottom w:val="none" w:sz="0" w:space="0" w:color="auto"/>
                                                    <w:right w:val="none" w:sz="0" w:space="0" w:color="auto"/>
                                                  </w:divBdr>
                                                  <w:divsChild>
                                                    <w:div w:id="1230308357">
                                                      <w:marLeft w:val="0"/>
                                                      <w:marRight w:val="0"/>
                                                      <w:marTop w:val="0"/>
                                                      <w:marBottom w:val="0"/>
                                                      <w:divBdr>
                                                        <w:top w:val="none" w:sz="0" w:space="0" w:color="auto"/>
                                                        <w:left w:val="none" w:sz="0" w:space="0" w:color="auto"/>
                                                        <w:bottom w:val="none" w:sz="0" w:space="0" w:color="auto"/>
                                                        <w:right w:val="none" w:sz="0" w:space="0" w:color="auto"/>
                                                      </w:divBdr>
                                                      <w:divsChild>
                                                        <w:div w:id="1528369655">
                                                          <w:marLeft w:val="0"/>
                                                          <w:marRight w:val="0"/>
                                                          <w:marTop w:val="0"/>
                                                          <w:marBottom w:val="0"/>
                                                          <w:divBdr>
                                                            <w:top w:val="none" w:sz="0" w:space="0" w:color="auto"/>
                                                            <w:left w:val="none" w:sz="0" w:space="0" w:color="auto"/>
                                                            <w:bottom w:val="none" w:sz="0" w:space="0" w:color="auto"/>
                                                            <w:right w:val="none" w:sz="0" w:space="0" w:color="auto"/>
                                                          </w:divBdr>
                                                          <w:divsChild>
                                                            <w:div w:id="11787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122576">
                                      <w:marLeft w:val="0"/>
                                      <w:marRight w:val="0"/>
                                      <w:marTop w:val="0"/>
                                      <w:marBottom w:val="0"/>
                                      <w:divBdr>
                                        <w:top w:val="none" w:sz="0" w:space="0" w:color="auto"/>
                                        <w:left w:val="none" w:sz="0" w:space="0" w:color="auto"/>
                                        <w:bottom w:val="none" w:sz="0" w:space="0" w:color="auto"/>
                                        <w:right w:val="none" w:sz="0" w:space="0" w:color="auto"/>
                                      </w:divBdr>
                                      <w:divsChild>
                                        <w:div w:id="1783570706">
                                          <w:marLeft w:val="0"/>
                                          <w:marRight w:val="0"/>
                                          <w:marTop w:val="0"/>
                                          <w:marBottom w:val="420"/>
                                          <w:divBdr>
                                            <w:top w:val="none" w:sz="0" w:space="0" w:color="auto"/>
                                            <w:left w:val="none" w:sz="0" w:space="0" w:color="auto"/>
                                            <w:bottom w:val="none" w:sz="0" w:space="0" w:color="auto"/>
                                            <w:right w:val="none" w:sz="0" w:space="0" w:color="auto"/>
                                          </w:divBdr>
                                          <w:divsChild>
                                            <w:div w:id="85224958">
                                              <w:marLeft w:val="0"/>
                                              <w:marRight w:val="0"/>
                                              <w:marTop w:val="0"/>
                                              <w:marBottom w:val="0"/>
                                              <w:divBdr>
                                                <w:top w:val="none" w:sz="0" w:space="0" w:color="auto"/>
                                                <w:left w:val="none" w:sz="0" w:space="0" w:color="auto"/>
                                                <w:bottom w:val="none" w:sz="0" w:space="0" w:color="auto"/>
                                                <w:right w:val="none" w:sz="0" w:space="0" w:color="auto"/>
                                              </w:divBdr>
                                            </w:div>
                                            <w:div w:id="11961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19108">
                                      <w:marLeft w:val="0"/>
                                      <w:marRight w:val="0"/>
                                      <w:marTop w:val="0"/>
                                      <w:marBottom w:val="0"/>
                                      <w:divBdr>
                                        <w:top w:val="none" w:sz="0" w:space="0" w:color="auto"/>
                                        <w:left w:val="none" w:sz="0" w:space="0" w:color="auto"/>
                                        <w:bottom w:val="none" w:sz="0" w:space="0" w:color="auto"/>
                                        <w:right w:val="none" w:sz="0" w:space="0" w:color="auto"/>
                                      </w:divBdr>
                                      <w:divsChild>
                                        <w:div w:id="1075710553">
                                          <w:marLeft w:val="0"/>
                                          <w:marRight w:val="0"/>
                                          <w:marTop w:val="0"/>
                                          <w:marBottom w:val="0"/>
                                          <w:divBdr>
                                            <w:top w:val="none" w:sz="0" w:space="0" w:color="auto"/>
                                            <w:left w:val="none" w:sz="0" w:space="0" w:color="auto"/>
                                            <w:bottom w:val="none" w:sz="0" w:space="0" w:color="auto"/>
                                            <w:right w:val="none" w:sz="0" w:space="0" w:color="auto"/>
                                          </w:divBdr>
                                          <w:divsChild>
                                            <w:div w:id="1326543464">
                                              <w:marLeft w:val="0"/>
                                              <w:marRight w:val="0"/>
                                              <w:marTop w:val="0"/>
                                              <w:marBottom w:val="390"/>
                                              <w:divBdr>
                                                <w:top w:val="none" w:sz="0" w:space="0" w:color="auto"/>
                                                <w:left w:val="none" w:sz="0" w:space="0" w:color="auto"/>
                                                <w:bottom w:val="none" w:sz="0" w:space="0" w:color="auto"/>
                                                <w:right w:val="none" w:sz="0" w:space="0" w:color="auto"/>
                                              </w:divBdr>
                                              <w:divsChild>
                                                <w:div w:id="1504662756">
                                                  <w:marLeft w:val="0"/>
                                                  <w:marRight w:val="0"/>
                                                  <w:marTop w:val="0"/>
                                                  <w:marBottom w:val="0"/>
                                                  <w:divBdr>
                                                    <w:top w:val="none" w:sz="0" w:space="0" w:color="auto"/>
                                                    <w:left w:val="none" w:sz="0" w:space="0" w:color="auto"/>
                                                    <w:bottom w:val="none" w:sz="0" w:space="0" w:color="auto"/>
                                                    <w:right w:val="none" w:sz="0" w:space="0" w:color="auto"/>
                                                  </w:divBdr>
                                                  <w:divsChild>
                                                    <w:div w:id="1496997136">
                                                      <w:marLeft w:val="0"/>
                                                      <w:marRight w:val="0"/>
                                                      <w:marTop w:val="0"/>
                                                      <w:marBottom w:val="0"/>
                                                      <w:divBdr>
                                                        <w:top w:val="none" w:sz="0" w:space="0" w:color="auto"/>
                                                        <w:left w:val="none" w:sz="0" w:space="0" w:color="auto"/>
                                                        <w:bottom w:val="none" w:sz="0" w:space="0" w:color="auto"/>
                                                        <w:right w:val="none" w:sz="0" w:space="0" w:color="auto"/>
                                                      </w:divBdr>
                                                      <w:divsChild>
                                                        <w:div w:id="453449799">
                                                          <w:marLeft w:val="0"/>
                                                          <w:marRight w:val="0"/>
                                                          <w:marTop w:val="0"/>
                                                          <w:marBottom w:val="0"/>
                                                          <w:divBdr>
                                                            <w:top w:val="none" w:sz="0" w:space="0" w:color="auto"/>
                                                            <w:left w:val="none" w:sz="0" w:space="0" w:color="auto"/>
                                                            <w:bottom w:val="none" w:sz="0" w:space="0" w:color="auto"/>
                                                            <w:right w:val="none" w:sz="0" w:space="0" w:color="auto"/>
                                                          </w:divBdr>
                                                          <w:divsChild>
                                                            <w:div w:id="227809909">
                                                              <w:marLeft w:val="0"/>
                                                              <w:marRight w:val="0"/>
                                                              <w:marTop w:val="0"/>
                                                              <w:marBottom w:val="0"/>
                                                              <w:divBdr>
                                                                <w:top w:val="none" w:sz="0" w:space="0" w:color="auto"/>
                                                                <w:left w:val="none" w:sz="0" w:space="0" w:color="auto"/>
                                                                <w:bottom w:val="none" w:sz="0" w:space="0" w:color="auto"/>
                                                                <w:right w:val="none" w:sz="0" w:space="0" w:color="auto"/>
                                                              </w:divBdr>
                                                              <w:divsChild>
                                                                <w:div w:id="722797278">
                                                                  <w:marLeft w:val="0"/>
                                                                  <w:marRight w:val="0"/>
                                                                  <w:marTop w:val="0"/>
                                                                  <w:marBottom w:val="0"/>
                                                                  <w:divBdr>
                                                                    <w:top w:val="none" w:sz="0" w:space="0" w:color="auto"/>
                                                                    <w:left w:val="none" w:sz="0" w:space="0" w:color="auto"/>
                                                                    <w:bottom w:val="none" w:sz="0" w:space="0" w:color="auto"/>
                                                                    <w:right w:val="none" w:sz="0" w:space="0" w:color="auto"/>
                                                                  </w:divBdr>
                                                                  <w:divsChild>
                                                                    <w:div w:id="856390666">
                                                                      <w:marLeft w:val="45"/>
                                                                      <w:marRight w:val="45"/>
                                                                      <w:marTop w:val="15"/>
                                                                      <w:marBottom w:val="0"/>
                                                                      <w:divBdr>
                                                                        <w:top w:val="none" w:sz="0" w:space="0" w:color="auto"/>
                                                                        <w:left w:val="none" w:sz="0" w:space="0" w:color="auto"/>
                                                                        <w:bottom w:val="none" w:sz="0" w:space="0" w:color="auto"/>
                                                                        <w:right w:val="none" w:sz="0" w:space="0" w:color="auto"/>
                                                                      </w:divBdr>
                                                                      <w:divsChild>
                                                                        <w:div w:id="16831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898047">
                                              <w:marLeft w:val="0"/>
                                              <w:marRight w:val="0"/>
                                              <w:marTop w:val="0"/>
                                              <w:marBottom w:val="390"/>
                                              <w:divBdr>
                                                <w:top w:val="none" w:sz="0" w:space="0" w:color="auto"/>
                                                <w:left w:val="none" w:sz="0" w:space="0" w:color="auto"/>
                                                <w:bottom w:val="none" w:sz="0" w:space="0" w:color="auto"/>
                                                <w:right w:val="none" w:sz="0" w:space="0" w:color="auto"/>
                                              </w:divBdr>
                                              <w:divsChild>
                                                <w:div w:id="968050542">
                                                  <w:marLeft w:val="0"/>
                                                  <w:marRight w:val="0"/>
                                                  <w:marTop w:val="0"/>
                                                  <w:marBottom w:val="0"/>
                                                  <w:divBdr>
                                                    <w:top w:val="none" w:sz="0" w:space="0" w:color="auto"/>
                                                    <w:left w:val="none" w:sz="0" w:space="0" w:color="auto"/>
                                                    <w:bottom w:val="none" w:sz="0" w:space="0" w:color="auto"/>
                                                    <w:right w:val="none" w:sz="0" w:space="0" w:color="auto"/>
                                                  </w:divBdr>
                                                  <w:divsChild>
                                                    <w:div w:id="2100909047">
                                                      <w:marLeft w:val="0"/>
                                                      <w:marRight w:val="0"/>
                                                      <w:marTop w:val="0"/>
                                                      <w:marBottom w:val="0"/>
                                                      <w:divBdr>
                                                        <w:top w:val="none" w:sz="0" w:space="0" w:color="auto"/>
                                                        <w:left w:val="none" w:sz="0" w:space="0" w:color="auto"/>
                                                        <w:bottom w:val="none" w:sz="0" w:space="0" w:color="auto"/>
                                                        <w:right w:val="none" w:sz="0" w:space="0" w:color="auto"/>
                                                      </w:divBdr>
                                                      <w:divsChild>
                                                        <w:div w:id="97023304">
                                                          <w:marLeft w:val="0"/>
                                                          <w:marRight w:val="0"/>
                                                          <w:marTop w:val="0"/>
                                                          <w:marBottom w:val="0"/>
                                                          <w:divBdr>
                                                            <w:top w:val="none" w:sz="0" w:space="0" w:color="auto"/>
                                                            <w:left w:val="none" w:sz="0" w:space="0" w:color="auto"/>
                                                            <w:bottom w:val="none" w:sz="0" w:space="0" w:color="auto"/>
                                                            <w:right w:val="none" w:sz="0" w:space="0" w:color="auto"/>
                                                          </w:divBdr>
                                                          <w:divsChild>
                                                            <w:div w:id="2102682831">
                                                              <w:marLeft w:val="0"/>
                                                              <w:marRight w:val="0"/>
                                                              <w:marTop w:val="0"/>
                                                              <w:marBottom w:val="0"/>
                                                              <w:divBdr>
                                                                <w:top w:val="none" w:sz="0" w:space="0" w:color="auto"/>
                                                                <w:left w:val="none" w:sz="0" w:space="0" w:color="auto"/>
                                                                <w:bottom w:val="none" w:sz="0" w:space="0" w:color="auto"/>
                                                                <w:right w:val="none" w:sz="0" w:space="0" w:color="auto"/>
                                                              </w:divBdr>
                                                              <w:divsChild>
                                                                <w:div w:id="2133934278">
                                                                  <w:marLeft w:val="0"/>
                                                                  <w:marRight w:val="0"/>
                                                                  <w:marTop w:val="0"/>
                                                                  <w:marBottom w:val="0"/>
                                                                  <w:divBdr>
                                                                    <w:top w:val="none" w:sz="0" w:space="0" w:color="auto"/>
                                                                    <w:left w:val="none" w:sz="0" w:space="0" w:color="auto"/>
                                                                    <w:bottom w:val="none" w:sz="0" w:space="0" w:color="auto"/>
                                                                    <w:right w:val="none" w:sz="0" w:space="0" w:color="auto"/>
                                                                  </w:divBdr>
                                                                  <w:divsChild>
                                                                    <w:div w:id="1639653371">
                                                                      <w:marLeft w:val="45"/>
                                                                      <w:marRight w:val="45"/>
                                                                      <w:marTop w:val="15"/>
                                                                      <w:marBottom w:val="0"/>
                                                                      <w:divBdr>
                                                                        <w:top w:val="none" w:sz="0" w:space="0" w:color="auto"/>
                                                                        <w:left w:val="none" w:sz="0" w:space="0" w:color="auto"/>
                                                                        <w:bottom w:val="none" w:sz="0" w:space="0" w:color="auto"/>
                                                                        <w:right w:val="none" w:sz="0" w:space="0" w:color="auto"/>
                                                                      </w:divBdr>
                                                                      <w:divsChild>
                                                                        <w:div w:id="20685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027405">
                                              <w:marLeft w:val="0"/>
                                              <w:marRight w:val="0"/>
                                              <w:marTop w:val="0"/>
                                              <w:marBottom w:val="390"/>
                                              <w:divBdr>
                                                <w:top w:val="none" w:sz="0" w:space="0" w:color="auto"/>
                                                <w:left w:val="none" w:sz="0" w:space="0" w:color="auto"/>
                                                <w:bottom w:val="none" w:sz="0" w:space="0" w:color="auto"/>
                                                <w:right w:val="none" w:sz="0" w:space="0" w:color="auto"/>
                                              </w:divBdr>
                                              <w:divsChild>
                                                <w:div w:id="727268951">
                                                  <w:marLeft w:val="0"/>
                                                  <w:marRight w:val="0"/>
                                                  <w:marTop w:val="0"/>
                                                  <w:marBottom w:val="0"/>
                                                  <w:divBdr>
                                                    <w:top w:val="none" w:sz="0" w:space="0" w:color="auto"/>
                                                    <w:left w:val="none" w:sz="0" w:space="0" w:color="auto"/>
                                                    <w:bottom w:val="none" w:sz="0" w:space="0" w:color="auto"/>
                                                    <w:right w:val="none" w:sz="0" w:space="0" w:color="auto"/>
                                                  </w:divBdr>
                                                  <w:divsChild>
                                                    <w:div w:id="497698345">
                                                      <w:marLeft w:val="0"/>
                                                      <w:marRight w:val="0"/>
                                                      <w:marTop w:val="0"/>
                                                      <w:marBottom w:val="0"/>
                                                      <w:divBdr>
                                                        <w:top w:val="none" w:sz="0" w:space="0" w:color="auto"/>
                                                        <w:left w:val="none" w:sz="0" w:space="0" w:color="auto"/>
                                                        <w:bottom w:val="none" w:sz="0" w:space="0" w:color="auto"/>
                                                        <w:right w:val="none" w:sz="0" w:space="0" w:color="auto"/>
                                                      </w:divBdr>
                                                      <w:divsChild>
                                                        <w:div w:id="489370835">
                                                          <w:marLeft w:val="0"/>
                                                          <w:marRight w:val="0"/>
                                                          <w:marTop w:val="0"/>
                                                          <w:marBottom w:val="0"/>
                                                          <w:divBdr>
                                                            <w:top w:val="none" w:sz="0" w:space="0" w:color="auto"/>
                                                            <w:left w:val="none" w:sz="0" w:space="0" w:color="auto"/>
                                                            <w:bottom w:val="none" w:sz="0" w:space="0" w:color="auto"/>
                                                            <w:right w:val="none" w:sz="0" w:space="0" w:color="auto"/>
                                                          </w:divBdr>
                                                          <w:divsChild>
                                                            <w:div w:id="1184512795">
                                                              <w:marLeft w:val="0"/>
                                                              <w:marRight w:val="0"/>
                                                              <w:marTop w:val="0"/>
                                                              <w:marBottom w:val="0"/>
                                                              <w:divBdr>
                                                                <w:top w:val="none" w:sz="0" w:space="0" w:color="auto"/>
                                                                <w:left w:val="none" w:sz="0" w:space="0" w:color="auto"/>
                                                                <w:bottom w:val="none" w:sz="0" w:space="0" w:color="auto"/>
                                                                <w:right w:val="none" w:sz="0" w:space="0" w:color="auto"/>
                                                              </w:divBdr>
                                                              <w:divsChild>
                                                                <w:div w:id="68617508">
                                                                  <w:marLeft w:val="0"/>
                                                                  <w:marRight w:val="0"/>
                                                                  <w:marTop w:val="0"/>
                                                                  <w:marBottom w:val="0"/>
                                                                  <w:divBdr>
                                                                    <w:top w:val="none" w:sz="0" w:space="0" w:color="auto"/>
                                                                    <w:left w:val="none" w:sz="0" w:space="0" w:color="auto"/>
                                                                    <w:bottom w:val="none" w:sz="0" w:space="0" w:color="auto"/>
                                                                    <w:right w:val="none" w:sz="0" w:space="0" w:color="auto"/>
                                                                  </w:divBdr>
                                                                  <w:divsChild>
                                                                    <w:div w:id="550926578">
                                                                      <w:marLeft w:val="45"/>
                                                                      <w:marRight w:val="45"/>
                                                                      <w:marTop w:val="15"/>
                                                                      <w:marBottom w:val="0"/>
                                                                      <w:divBdr>
                                                                        <w:top w:val="none" w:sz="0" w:space="0" w:color="auto"/>
                                                                        <w:left w:val="none" w:sz="0" w:space="0" w:color="auto"/>
                                                                        <w:bottom w:val="none" w:sz="0" w:space="0" w:color="auto"/>
                                                                        <w:right w:val="none" w:sz="0" w:space="0" w:color="auto"/>
                                                                      </w:divBdr>
                                                                      <w:divsChild>
                                                                        <w:div w:id="17846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097079">
                                              <w:marLeft w:val="0"/>
                                              <w:marRight w:val="0"/>
                                              <w:marTop w:val="0"/>
                                              <w:marBottom w:val="390"/>
                                              <w:divBdr>
                                                <w:top w:val="none" w:sz="0" w:space="0" w:color="auto"/>
                                                <w:left w:val="none" w:sz="0" w:space="0" w:color="auto"/>
                                                <w:bottom w:val="none" w:sz="0" w:space="0" w:color="auto"/>
                                                <w:right w:val="none" w:sz="0" w:space="0" w:color="auto"/>
                                              </w:divBdr>
                                              <w:divsChild>
                                                <w:div w:id="191921084">
                                                  <w:marLeft w:val="0"/>
                                                  <w:marRight w:val="0"/>
                                                  <w:marTop w:val="0"/>
                                                  <w:marBottom w:val="0"/>
                                                  <w:divBdr>
                                                    <w:top w:val="none" w:sz="0" w:space="0" w:color="auto"/>
                                                    <w:left w:val="none" w:sz="0" w:space="0" w:color="auto"/>
                                                    <w:bottom w:val="none" w:sz="0" w:space="0" w:color="auto"/>
                                                    <w:right w:val="none" w:sz="0" w:space="0" w:color="auto"/>
                                                  </w:divBdr>
                                                  <w:divsChild>
                                                    <w:div w:id="1758793446">
                                                      <w:marLeft w:val="0"/>
                                                      <w:marRight w:val="0"/>
                                                      <w:marTop w:val="0"/>
                                                      <w:marBottom w:val="0"/>
                                                      <w:divBdr>
                                                        <w:top w:val="none" w:sz="0" w:space="0" w:color="auto"/>
                                                        <w:left w:val="none" w:sz="0" w:space="0" w:color="auto"/>
                                                        <w:bottom w:val="none" w:sz="0" w:space="0" w:color="auto"/>
                                                        <w:right w:val="none" w:sz="0" w:space="0" w:color="auto"/>
                                                      </w:divBdr>
                                                      <w:divsChild>
                                                        <w:div w:id="1424228361">
                                                          <w:marLeft w:val="0"/>
                                                          <w:marRight w:val="0"/>
                                                          <w:marTop w:val="0"/>
                                                          <w:marBottom w:val="0"/>
                                                          <w:divBdr>
                                                            <w:top w:val="none" w:sz="0" w:space="0" w:color="auto"/>
                                                            <w:left w:val="none" w:sz="0" w:space="0" w:color="auto"/>
                                                            <w:bottom w:val="none" w:sz="0" w:space="0" w:color="auto"/>
                                                            <w:right w:val="none" w:sz="0" w:space="0" w:color="auto"/>
                                                          </w:divBdr>
                                                          <w:divsChild>
                                                            <w:div w:id="459543555">
                                                              <w:marLeft w:val="0"/>
                                                              <w:marRight w:val="0"/>
                                                              <w:marTop w:val="0"/>
                                                              <w:marBottom w:val="0"/>
                                                              <w:divBdr>
                                                                <w:top w:val="none" w:sz="0" w:space="0" w:color="auto"/>
                                                                <w:left w:val="none" w:sz="0" w:space="0" w:color="auto"/>
                                                                <w:bottom w:val="none" w:sz="0" w:space="0" w:color="auto"/>
                                                                <w:right w:val="none" w:sz="0" w:space="0" w:color="auto"/>
                                                              </w:divBdr>
                                                              <w:divsChild>
                                                                <w:div w:id="15143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001687">
                                              <w:marLeft w:val="0"/>
                                              <w:marRight w:val="0"/>
                                              <w:marTop w:val="0"/>
                                              <w:marBottom w:val="390"/>
                                              <w:divBdr>
                                                <w:top w:val="none" w:sz="0" w:space="0" w:color="auto"/>
                                                <w:left w:val="none" w:sz="0" w:space="0" w:color="auto"/>
                                                <w:bottom w:val="none" w:sz="0" w:space="0" w:color="auto"/>
                                                <w:right w:val="none" w:sz="0" w:space="0" w:color="auto"/>
                                              </w:divBdr>
                                              <w:divsChild>
                                                <w:div w:id="1922331947">
                                                  <w:marLeft w:val="0"/>
                                                  <w:marRight w:val="0"/>
                                                  <w:marTop w:val="0"/>
                                                  <w:marBottom w:val="0"/>
                                                  <w:divBdr>
                                                    <w:top w:val="none" w:sz="0" w:space="0" w:color="auto"/>
                                                    <w:left w:val="none" w:sz="0" w:space="0" w:color="auto"/>
                                                    <w:bottom w:val="none" w:sz="0" w:space="0" w:color="auto"/>
                                                    <w:right w:val="none" w:sz="0" w:space="0" w:color="auto"/>
                                                  </w:divBdr>
                                                  <w:divsChild>
                                                    <w:div w:id="440497090">
                                                      <w:marLeft w:val="0"/>
                                                      <w:marRight w:val="0"/>
                                                      <w:marTop w:val="0"/>
                                                      <w:marBottom w:val="0"/>
                                                      <w:divBdr>
                                                        <w:top w:val="none" w:sz="0" w:space="0" w:color="auto"/>
                                                        <w:left w:val="none" w:sz="0" w:space="0" w:color="auto"/>
                                                        <w:bottom w:val="none" w:sz="0" w:space="0" w:color="auto"/>
                                                        <w:right w:val="none" w:sz="0" w:space="0" w:color="auto"/>
                                                      </w:divBdr>
                                                      <w:divsChild>
                                                        <w:div w:id="72825454">
                                                          <w:marLeft w:val="0"/>
                                                          <w:marRight w:val="0"/>
                                                          <w:marTop w:val="0"/>
                                                          <w:marBottom w:val="0"/>
                                                          <w:divBdr>
                                                            <w:top w:val="none" w:sz="0" w:space="0" w:color="auto"/>
                                                            <w:left w:val="none" w:sz="0" w:space="0" w:color="auto"/>
                                                            <w:bottom w:val="none" w:sz="0" w:space="0" w:color="auto"/>
                                                            <w:right w:val="none" w:sz="0" w:space="0" w:color="auto"/>
                                                          </w:divBdr>
                                                          <w:divsChild>
                                                            <w:div w:id="2103408358">
                                                              <w:marLeft w:val="0"/>
                                                              <w:marRight w:val="0"/>
                                                              <w:marTop w:val="0"/>
                                                              <w:marBottom w:val="0"/>
                                                              <w:divBdr>
                                                                <w:top w:val="none" w:sz="0" w:space="0" w:color="auto"/>
                                                                <w:left w:val="none" w:sz="0" w:space="0" w:color="auto"/>
                                                                <w:bottom w:val="none" w:sz="0" w:space="0" w:color="auto"/>
                                                                <w:right w:val="none" w:sz="0" w:space="0" w:color="auto"/>
                                                              </w:divBdr>
                                                              <w:divsChild>
                                                                <w:div w:id="1478374597">
                                                                  <w:marLeft w:val="0"/>
                                                                  <w:marRight w:val="0"/>
                                                                  <w:marTop w:val="0"/>
                                                                  <w:marBottom w:val="0"/>
                                                                  <w:divBdr>
                                                                    <w:top w:val="none" w:sz="0" w:space="0" w:color="auto"/>
                                                                    <w:left w:val="none" w:sz="0" w:space="0" w:color="auto"/>
                                                                    <w:bottom w:val="none" w:sz="0" w:space="0" w:color="auto"/>
                                                                    <w:right w:val="none" w:sz="0" w:space="0" w:color="auto"/>
                                                                  </w:divBdr>
                                                                  <w:divsChild>
                                                                    <w:div w:id="87971655">
                                                                      <w:marLeft w:val="45"/>
                                                                      <w:marRight w:val="45"/>
                                                                      <w:marTop w:val="15"/>
                                                                      <w:marBottom w:val="0"/>
                                                                      <w:divBdr>
                                                                        <w:top w:val="none" w:sz="0" w:space="0" w:color="auto"/>
                                                                        <w:left w:val="none" w:sz="0" w:space="0" w:color="auto"/>
                                                                        <w:bottom w:val="none" w:sz="0" w:space="0" w:color="auto"/>
                                                                        <w:right w:val="none" w:sz="0" w:space="0" w:color="auto"/>
                                                                      </w:divBdr>
                                                                      <w:divsChild>
                                                                        <w:div w:id="7803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198315">
                                              <w:marLeft w:val="0"/>
                                              <w:marRight w:val="0"/>
                                              <w:marTop w:val="0"/>
                                              <w:marBottom w:val="420"/>
                                              <w:divBdr>
                                                <w:top w:val="none" w:sz="0" w:space="0" w:color="auto"/>
                                                <w:left w:val="none" w:sz="0" w:space="0" w:color="auto"/>
                                                <w:bottom w:val="none" w:sz="0" w:space="0" w:color="auto"/>
                                                <w:right w:val="none" w:sz="0" w:space="0" w:color="auto"/>
                                              </w:divBdr>
                                              <w:divsChild>
                                                <w:div w:id="1147551250">
                                                  <w:marLeft w:val="0"/>
                                                  <w:marRight w:val="0"/>
                                                  <w:marTop w:val="0"/>
                                                  <w:marBottom w:val="0"/>
                                                  <w:divBdr>
                                                    <w:top w:val="none" w:sz="0" w:space="0" w:color="auto"/>
                                                    <w:left w:val="none" w:sz="0" w:space="0" w:color="auto"/>
                                                    <w:bottom w:val="none" w:sz="0" w:space="0" w:color="auto"/>
                                                    <w:right w:val="none" w:sz="0" w:space="0" w:color="auto"/>
                                                  </w:divBdr>
                                                  <w:divsChild>
                                                    <w:div w:id="551039758">
                                                      <w:marLeft w:val="0"/>
                                                      <w:marRight w:val="0"/>
                                                      <w:marTop w:val="0"/>
                                                      <w:marBottom w:val="0"/>
                                                      <w:divBdr>
                                                        <w:top w:val="none" w:sz="0" w:space="0" w:color="auto"/>
                                                        <w:left w:val="none" w:sz="0" w:space="0" w:color="auto"/>
                                                        <w:bottom w:val="none" w:sz="0" w:space="0" w:color="auto"/>
                                                        <w:right w:val="none" w:sz="0" w:space="0" w:color="auto"/>
                                                      </w:divBdr>
                                                      <w:divsChild>
                                                        <w:div w:id="1134833181">
                                                          <w:marLeft w:val="0"/>
                                                          <w:marRight w:val="0"/>
                                                          <w:marTop w:val="0"/>
                                                          <w:marBottom w:val="0"/>
                                                          <w:divBdr>
                                                            <w:top w:val="none" w:sz="0" w:space="0" w:color="auto"/>
                                                            <w:left w:val="none" w:sz="0" w:space="0" w:color="auto"/>
                                                            <w:bottom w:val="none" w:sz="0" w:space="0" w:color="auto"/>
                                                            <w:right w:val="none" w:sz="0" w:space="0" w:color="auto"/>
                                                          </w:divBdr>
                                                          <w:divsChild>
                                                            <w:div w:id="29766815">
                                                              <w:marLeft w:val="0"/>
                                                              <w:marRight w:val="0"/>
                                                              <w:marTop w:val="0"/>
                                                              <w:marBottom w:val="0"/>
                                                              <w:divBdr>
                                                                <w:top w:val="none" w:sz="0" w:space="0" w:color="auto"/>
                                                                <w:left w:val="none" w:sz="0" w:space="0" w:color="auto"/>
                                                                <w:bottom w:val="none" w:sz="0" w:space="0" w:color="auto"/>
                                                                <w:right w:val="none" w:sz="0" w:space="0" w:color="auto"/>
                                                              </w:divBdr>
                                                              <w:divsChild>
                                                                <w:div w:id="1568565209">
                                                                  <w:marLeft w:val="0"/>
                                                                  <w:marRight w:val="0"/>
                                                                  <w:marTop w:val="0"/>
                                                                  <w:marBottom w:val="0"/>
                                                                  <w:divBdr>
                                                                    <w:top w:val="none" w:sz="0" w:space="0" w:color="auto"/>
                                                                    <w:left w:val="none" w:sz="0" w:space="0" w:color="auto"/>
                                                                    <w:bottom w:val="none" w:sz="0" w:space="0" w:color="auto"/>
                                                                    <w:right w:val="none" w:sz="0" w:space="0" w:color="auto"/>
                                                                  </w:divBdr>
                                                                  <w:divsChild>
                                                                    <w:div w:id="1291790882">
                                                                      <w:marLeft w:val="45"/>
                                                                      <w:marRight w:val="45"/>
                                                                      <w:marTop w:val="15"/>
                                                                      <w:marBottom w:val="0"/>
                                                                      <w:divBdr>
                                                                        <w:top w:val="none" w:sz="0" w:space="0" w:color="auto"/>
                                                                        <w:left w:val="none" w:sz="0" w:space="0" w:color="auto"/>
                                                                        <w:bottom w:val="none" w:sz="0" w:space="0" w:color="auto"/>
                                                                        <w:right w:val="none" w:sz="0" w:space="0" w:color="auto"/>
                                                                      </w:divBdr>
                                                                      <w:divsChild>
                                                                        <w:div w:id="15008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2231494">
                  <w:marLeft w:val="0"/>
                  <w:marRight w:val="0"/>
                  <w:marTop w:val="0"/>
                  <w:marBottom w:val="0"/>
                  <w:divBdr>
                    <w:top w:val="none" w:sz="0" w:space="0" w:color="auto"/>
                    <w:left w:val="none" w:sz="0" w:space="0" w:color="auto"/>
                    <w:bottom w:val="none" w:sz="0" w:space="0" w:color="auto"/>
                    <w:right w:val="none" w:sz="0" w:space="0" w:color="auto"/>
                  </w:divBdr>
                  <w:divsChild>
                    <w:div w:id="170417733">
                      <w:marLeft w:val="0"/>
                      <w:marRight w:val="0"/>
                      <w:marTop w:val="0"/>
                      <w:marBottom w:val="0"/>
                      <w:divBdr>
                        <w:top w:val="none" w:sz="0" w:space="0" w:color="auto"/>
                        <w:left w:val="none" w:sz="0" w:space="0" w:color="auto"/>
                        <w:bottom w:val="none" w:sz="0" w:space="0" w:color="auto"/>
                        <w:right w:val="none" w:sz="0" w:space="0" w:color="auto"/>
                      </w:divBdr>
                      <w:divsChild>
                        <w:div w:id="17331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874979">
      <w:bodyDiv w:val="1"/>
      <w:marLeft w:val="0"/>
      <w:marRight w:val="0"/>
      <w:marTop w:val="0"/>
      <w:marBottom w:val="0"/>
      <w:divBdr>
        <w:top w:val="none" w:sz="0" w:space="0" w:color="auto"/>
        <w:left w:val="none" w:sz="0" w:space="0" w:color="auto"/>
        <w:bottom w:val="none" w:sz="0" w:space="0" w:color="auto"/>
        <w:right w:val="none" w:sz="0" w:space="0" w:color="auto"/>
      </w:divBdr>
    </w:div>
    <w:div w:id="290016873">
      <w:bodyDiv w:val="1"/>
      <w:marLeft w:val="0"/>
      <w:marRight w:val="0"/>
      <w:marTop w:val="0"/>
      <w:marBottom w:val="0"/>
      <w:divBdr>
        <w:top w:val="none" w:sz="0" w:space="0" w:color="auto"/>
        <w:left w:val="none" w:sz="0" w:space="0" w:color="auto"/>
        <w:bottom w:val="none" w:sz="0" w:space="0" w:color="auto"/>
        <w:right w:val="none" w:sz="0" w:space="0" w:color="auto"/>
      </w:divBdr>
    </w:div>
    <w:div w:id="471481371">
      <w:bodyDiv w:val="1"/>
      <w:marLeft w:val="0"/>
      <w:marRight w:val="0"/>
      <w:marTop w:val="0"/>
      <w:marBottom w:val="0"/>
      <w:divBdr>
        <w:top w:val="none" w:sz="0" w:space="0" w:color="auto"/>
        <w:left w:val="none" w:sz="0" w:space="0" w:color="auto"/>
        <w:bottom w:val="none" w:sz="0" w:space="0" w:color="auto"/>
        <w:right w:val="none" w:sz="0" w:space="0" w:color="auto"/>
      </w:divBdr>
    </w:div>
    <w:div w:id="514348025">
      <w:bodyDiv w:val="1"/>
      <w:marLeft w:val="0"/>
      <w:marRight w:val="0"/>
      <w:marTop w:val="0"/>
      <w:marBottom w:val="0"/>
      <w:divBdr>
        <w:top w:val="none" w:sz="0" w:space="0" w:color="auto"/>
        <w:left w:val="none" w:sz="0" w:space="0" w:color="auto"/>
        <w:bottom w:val="none" w:sz="0" w:space="0" w:color="auto"/>
        <w:right w:val="none" w:sz="0" w:space="0" w:color="auto"/>
      </w:divBdr>
    </w:div>
    <w:div w:id="696006642">
      <w:bodyDiv w:val="1"/>
      <w:marLeft w:val="0"/>
      <w:marRight w:val="0"/>
      <w:marTop w:val="0"/>
      <w:marBottom w:val="0"/>
      <w:divBdr>
        <w:top w:val="none" w:sz="0" w:space="0" w:color="auto"/>
        <w:left w:val="none" w:sz="0" w:space="0" w:color="auto"/>
        <w:bottom w:val="none" w:sz="0" w:space="0" w:color="auto"/>
        <w:right w:val="none" w:sz="0" w:space="0" w:color="auto"/>
      </w:divBdr>
    </w:div>
    <w:div w:id="855534362">
      <w:bodyDiv w:val="1"/>
      <w:marLeft w:val="0"/>
      <w:marRight w:val="0"/>
      <w:marTop w:val="0"/>
      <w:marBottom w:val="0"/>
      <w:divBdr>
        <w:top w:val="none" w:sz="0" w:space="0" w:color="auto"/>
        <w:left w:val="none" w:sz="0" w:space="0" w:color="auto"/>
        <w:bottom w:val="none" w:sz="0" w:space="0" w:color="auto"/>
        <w:right w:val="none" w:sz="0" w:space="0" w:color="auto"/>
      </w:divBdr>
    </w:div>
    <w:div w:id="980380433">
      <w:bodyDiv w:val="1"/>
      <w:marLeft w:val="0"/>
      <w:marRight w:val="0"/>
      <w:marTop w:val="0"/>
      <w:marBottom w:val="0"/>
      <w:divBdr>
        <w:top w:val="none" w:sz="0" w:space="0" w:color="auto"/>
        <w:left w:val="none" w:sz="0" w:space="0" w:color="auto"/>
        <w:bottom w:val="none" w:sz="0" w:space="0" w:color="auto"/>
        <w:right w:val="none" w:sz="0" w:space="0" w:color="auto"/>
      </w:divBdr>
    </w:div>
    <w:div w:id="1137185285">
      <w:bodyDiv w:val="1"/>
      <w:marLeft w:val="0"/>
      <w:marRight w:val="0"/>
      <w:marTop w:val="0"/>
      <w:marBottom w:val="0"/>
      <w:divBdr>
        <w:top w:val="none" w:sz="0" w:space="0" w:color="auto"/>
        <w:left w:val="none" w:sz="0" w:space="0" w:color="auto"/>
        <w:bottom w:val="none" w:sz="0" w:space="0" w:color="auto"/>
        <w:right w:val="none" w:sz="0" w:space="0" w:color="auto"/>
      </w:divBdr>
    </w:div>
    <w:div w:id="1173060781">
      <w:bodyDiv w:val="1"/>
      <w:marLeft w:val="0"/>
      <w:marRight w:val="0"/>
      <w:marTop w:val="0"/>
      <w:marBottom w:val="0"/>
      <w:divBdr>
        <w:top w:val="none" w:sz="0" w:space="0" w:color="auto"/>
        <w:left w:val="none" w:sz="0" w:space="0" w:color="auto"/>
        <w:bottom w:val="none" w:sz="0" w:space="0" w:color="auto"/>
        <w:right w:val="none" w:sz="0" w:space="0" w:color="auto"/>
      </w:divBdr>
    </w:div>
    <w:div w:id="1198010681">
      <w:bodyDiv w:val="1"/>
      <w:marLeft w:val="0"/>
      <w:marRight w:val="0"/>
      <w:marTop w:val="0"/>
      <w:marBottom w:val="0"/>
      <w:divBdr>
        <w:top w:val="none" w:sz="0" w:space="0" w:color="auto"/>
        <w:left w:val="none" w:sz="0" w:space="0" w:color="auto"/>
        <w:bottom w:val="none" w:sz="0" w:space="0" w:color="auto"/>
        <w:right w:val="none" w:sz="0" w:space="0" w:color="auto"/>
      </w:divBdr>
    </w:div>
    <w:div w:id="1337272094">
      <w:bodyDiv w:val="1"/>
      <w:marLeft w:val="0"/>
      <w:marRight w:val="0"/>
      <w:marTop w:val="0"/>
      <w:marBottom w:val="0"/>
      <w:divBdr>
        <w:top w:val="none" w:sz="0" w:space="0" w:color="auto"/>
        <w:left w:val="none" w:sz="0" w:space="0" w:color="auto"/>
        <w:bottom w:val="none" w:sz="0" w:space="0" w:color="auto"/>
        <w:right w:val="none" w:sz="0" w:space="0" w:color="auto"/>
      </w:divBdr>
    </w:div>
    <w:div w:id="1394622048">
      <w:bodyDiv w:val="1"/>
      <w:marLeft w:val="0"/>
      <w:marRight w:val="0"/>
      <w:marTop w:val="0"/>
      <w:marBottom w:val="0"/>
      <w:divBdr>
        <w:top w:val="none" w:sz="0" w:space="0" w:color="auto"/>
        <w:left w:val="none" w:sz="0" w:space="0" w:color="auto"/>
        <w:bottom w:val="none" w:sz="0" w:space="0" w:color="auto"/>
        <w:right w:val="none" w:sz="0" w:space="0" w:color="auto"/>
      </w:divBdr>
    </w:div>
    <w:div w:id="1410541067">
      <w:bodyDiv w:val="1"/>
      <w:marLeft w:val="0"/>
      <w:marRight w:val="0"/>
      <w:marTop w:val="0"/>
      <w:marBottom w:val="0"/>
      <w:divBdr>
        <w:top w:val="none" w:sz="0" w:space="0" w:color="auto"/>
        <w:left w:val="none" w:sz="0" w:space="0" w:color="auto"/>
        <w:bottom w:val="none" w:sz="0" w:space="0" w:color="auto"/>
        <w:right w:val="none" w:sz="0" w:space="0" w:color="auto"/>
      </w:divBdr>
    </w:div>
    <w:div w:id="1418791889">
      <w:bodyDiv w:val="1"/>
      <w:marLeft w:val="0"/>
      <w:marRight w:val="0"/>
      <w:marTop w:val="0"/>
      <w:marBottom w:val="0"/>
      <w:divBdr>
        <w:top w:val="none" w:sz="0" w:space="0" w:color="auto"/>
        <w:left w:val="none" w:sz="0" w:space="0" w:color="auto"/>
        <w:bottom w:val="none" w:sz="0" w:space="0" w:color="auto"/>
        <w:right w:val="none" w:sz="0" w:space="0" w:color="auto"/>
      </w:divBdr>
    </w:div>
    <w:div w:id="1549294240">
      <w:bodyDiv w:val="1"/>
      <w:marLeft w:val="0"/>
      <w:marRight w:val="0"/>
      <w:marTop w:val="0"/>
      <w:marBottom w:val="0"/>
      <w:divBdr>
        <w:top w:val="none" w:sz="0" w:space="0" w:color="auto"/>
        <w:left w:val="none" w:sz="0" w:space="0" w:color="auto"/>
        <w:bottom w:val="none" w:sz="0" w:space="0" w:color="auto"/>
        <w:right w:val="none" w:sz="0" w:space="0" w:color="auto"/>
      </w:divBdr>
    </w:div>
    <w:div w:id="1613439866">
      <w:bodyDiv w:val="1"/>
      <w:marLeft w:val="0"/>
      <w:marRight w:val="0"/>
      <w:marTop w:val="0"/>
      <w:marBottom w:val="0"/>
      <w:divBdr>
        <w:top w:val="none" w:sz="0" w:space="0" w:color="auto"/>
        <w:left w:val="none" w:sz="0" w:space="0" w:color="auto"/>
        <w:bottom w:val="none" w:sz="0" w:space="0" w:color="auto"/>
        <w:right w:val="none" w:sz="0" w:space="0" w:color="auto"/>
      </w:divBdr>
    </w:div>
    <w:div w:id="163972123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16026508">
      <w:bodyDiv w:val="1"/>
      <w:marLeft w:val="0"/>
      <w:marRight w:val="0"/>
      <w:marTop w:val="0"/>
      <w:marBottom w:val="0"/>
      <w:divBdr>
        <w:top w:val="none" w:sz="0" w:space="0" w:color="auto"/>
        <w:left w:val="none" w:sz="0" w:space="0" w:color="auto"/>
        <w:bottom w:val="none" w:sz="0" w:space="0" w:color="auto"/>
        <w:right w:val="none" w:sz="0" w:space="0" w:color="auto"/>
      </w:divBdr>
    </w:div>
    <w:div w:id="1918973735">
      <w:bodyDiv w:val="1"/>
      <w:marLeft w:val="0"/>
      <w:marRight w:val="0"/>
      <w:marTop w:val="0"/>
      <w:marBottom w:val="0"/>
      <w:divBdr>
        <w:top w:val="none" w:sz="0" w:space="0" w:color="auto"/>
        <w:left w:val="none" w:sz="0" w:space="0" w:color="auto"/>
        <w:bottom w:val="none" w:sz="0" w:space="0" w:color="auto"/>
        <w:right w:val="none" w:sz="0" w:space="0" w:color="auto"/>
      </w:divBdr>
    </w:div>
    <w:div w:id="2049835016">
      <w:bodyDiv w:val="1"/>
      <w:marLeft w:val="0"/>
      <w:marRight w:val="0"/>
      <w:marTop w:val="0"/>
      <w:marBottom w:val="0"/>
      <w:divBdr>
        <w:top w:val="none" w:sz="0" w:space="0" w:color="auto"/>
        <w:left w:val="none" w:sz="0" w:space="0" w:color="auto"/>
        <w:bottom w:val="none" w:sz="0" w:space="0" w:color="auto"/>
        <w:right w:val="none" w:sz="0" w:space="0" w:color="auto"/>
      </w:divBdr>
    </w:div>
    <w:div w:id="2127917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joomla.corteidh.or.cr:8080/joomla/es/casos-contenciosos/38-jurisprudencia/1910-corte-idh-caso-uzcategui-y-otros-vs-venezuela-fondo-y-reparaciones-sentencia-de-3-de-septiembre-de-2012-serie-c-no-249" TargetMode="External"/><Relationship Id="rId13" Type="http://schemas.openxmlformats.org/officeDocument/2006/relationships/hyperlink" Target="http://www.oas.org/es/cidh/prensa/comunicados/2018/238OPesp.pdf" TargetMode="External"/><Relationship Id="rId3" Type="http://schemas.openxmlformats.org/officeDocument/2006/relationships/hyperlink" Target="http://g1.globo.com/pb/paraiba/noticia/2013/08/assassinato-de-margarida-maria-alves-completa-30-anos-na-pb.html" TargetMode="External"/><Relationship Id="rId7" Type="http://schemas.openxmlformats.org/officeDocument/2006/relationships/hyperlink" Target="http://joomla.corteidh.or.cr:8080/joomla/es/casos-contenciosos/38-jurisprudencia/1572-corte-idh-caso-gonzalez-medina-y-familiares-vs-republica-dominicana-excepciones-preliminares-fondo-reparaciones-y-costas-sentencia-de-27-de-febrero-de-2012-serie-c-no-240" TargetMode="External"/><Relationship Id="rId12" Type="http://schemas.openxmlformats.org/officeDocument/2006/relationships/hyperlink" Target="http://joomla.corteidh.or.cr:8080/joomla/es/casos-contenciosos/38-jurisprudencia/2120-corte-idh-caso-j-vs-peru-excepcion-preliminar-fondo-reparaciones-y-costas-sentencia-de-27-de-noviembre-de-2013-serie-c-no-275" TargetMode="External"/><Relationship Id="rId2" Type="http://schemas.openxmlformats.org/officeDocument/2006/relationships/hyperlink" Target="http://www.brasil.gov.br/cidadania-e-justica/2012/02/margarida-alves" TargetMode="External"/><Relationship Id="rId1" Type="http://schemas.openxmlformats.org/officeDocument/2006/relationships/hyperlink" Target="http://www.cnv.gov.br/outros-destaques/134-comissao-nacional-da-verdade-recebe-membros-de-comissao-camponesa-da-verdade.html" TargetMode="External"/><Relationship Id="rId6" Type="http://schemas.openxmlformats.org/officeDocument/2006/relationships/hyperlink" Target="http://joomla.corteidh.or.cr:8080/joomla/es/casos-contenciosos/38-jurisprudencia/740-corte-idh-caso-almonacid-arellano-y-otros-vs-chile-excepciones-preliminares-fondo-reparaciones-y-costas-sentencia-de-26-de-septiembre-de-2006-serie-c-no-154" TargetMode="External"/><Relationship Id="rId11" Type="http://schemas.openxmlformats.org/officeDocument/2006/relationships/hyperlink" Target="http://joomla.corteidh.or.cr:8080/joomla/es/casos-contenciosos/38-jurisprudencia/2120-corte-idh-caso-j-vs-peru-excepcion-preliminar-fondo-reparaciones-y-costas-sentencia-de-27-de-noviembre-de-2013-serie-c-no-275" TargetMode="External"/><Relationship Id="rId5" Type="http://schemas.openxmlformats.org/officeDocument/2006/relationships/hyperlink" Target="http://joomla.corteidh.or.cr:8080/joomla/es/casos-contenciosos/38-jurisprudencia/698-corte-idh-caso-gomez-palomino-vs-peru-fondo-reparaciones-y-costas-sentencia-de-22-de-noviembre-de-2005-serie-c-no-136" TargetMode="External"/><Relationship Id="rId10" Type="http://schemas.openxmlformats.org/officeDocument/2006/relationships/hyperlink" Target="http://joomla.corteidh.or.cr:8080/joomla/es/casos-contenciosos/38-jurisprudencia/1949-corte-idh-caso-castillo-gonzalez-y-otros-vs-venezuela-fondo-sentencia-de-27-de-noviembre-de-2012-serie-c-no-256" TargetMode="External"/><Relationship Id="rId4" Type="http://schemas.openxmlformats.org/officeDocument/2006/relationships/hyperlink" Target="http://www.camara.gov.br/sileg/integras/1508837.pdf" TargetMode="External"/><Relationship Id="rId9" Type="http://schemas.openxmlformats.org/officeDocument/2006/relationships/hyperlink" Target="http://joomla.corteidh.or.cr:8080/joomla/es/casos-contenciosos/38-jurisprudencia/2108-corte-idh-caso-luna-lopez-vs-honduras-fondo-reparaciones-y-costas-sentencia-de-10-de-octubre-de-2013-serie-c-no-26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823ED-555F-E04C-96EE-7BDA3CA77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15332</Words>
  <Characters>87398</Characters>
  <Application>Microsoft Office Word</Application>
  <DocSecurity>0</DocSecurity>
  <Lines>728</Lines>
  <Paragraphs>205</Paragraphs>
  <ScaleCrop>false</ScaleCrop>
  <Company/>
  <LinksUpToDate>false</LinksUpToDate>
  <CharactersWithSpaces>102525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2021-10-25T20:51:00Z</dcterms:created>
  <dcterms:modified xsi:type="dcterms:W3CDTF">2021-10-25T20:51:00Z</dcterms:modified>
</cp:coreProperties>
</file>