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B7CF12" w14:textId="6584C508" w:rsidR="00040C3A" w:rsidRPr="007C5771" w:rsidRDefault="00E602C3" w:rsidP="00627C9F">
      <w:pPr>
        <w:jc w:val="both"/>
        <w:rPr>
          <w:rFonts w:asciiTheme="majorHAnsi" w:hAnsiTheme="majorHAnsi" w:cs="Univers"/>
          <w:b/>
          <w:bCs/>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A6186D" wp14:editId="4A316F39">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16FF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03DA66" wp14:editId="6ACEAA4F">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42E68" w14:textId="77777777" w:rsidR="00DC11B8" w:rsidRDefault="00DC11B8" w:rsidP="00AE5488">
                            <w:r>
                              <w:rPr>
                                <w:noProof/>
                              </w:rPr>
                              <w:drawing>
                                <wp:inline distT="0" distB="0" distL="0" distR="0" wp14:anchorId="01BD2672" wp14:editId="5078934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03DA66"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" filled="f" stroked="f" strokeweight=".5pt">
                <v:path arrowok="t"/>
                <v:textbox>
                  <w:txbxContent>
                    <w:p w14:paraId="16142E68" w14:textId="77777777" w:rsidR="00DC11B8" w:rsidRDefault="00DC11B8" w:rsidP="00AE5488">
                      <w:r>
                        <w:rPr>
                          <w:noProof/>
                        </w:rPr>
                        <w:drawing>
                          <wp:inline distT="0" distB="0" distL="0" distR="0" wp14:anchorId="01BD2672" wp14:editId="5078934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68F91D3"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6CDA1809"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05D914A9" w14:textId="77777777" w:rsidR="005128E4" w:rsidRPr="007C5771" w:rsidRDefault="005128E4" w:rsidP="00040C3A">
      <w:pPr>
        <w:tabs>
          <w:tab w:val="center" w:pos="5400"/>
        </w:tabs>
        <w:suppressAutoHyphens/>
        <w:rPr>
          <w:rFonts w:asciiTheme="majorHAnsi" w:hAnsiTheme="majorHAnsi"/>
          <w:sz w:val="22"/>
          <w:szCs w:val="22"/>
          <w:lang w:val="es-ES"/>
        </w:rPr>
      </w:pPr>
    </w:p>
    <w:p w14:paraId="73FA4B2B" w14:textId="77777777" w:rsidR="005128E4" w:rsidRPr="007C5771" w:rsidRDefault="005128E4" w:rsidP="00040C3A">
      <w:pPr>
        <w:tabs>
          <w:tab w:val="center" w:pos="5400"/>
        </w:tabs>
        <w:suppressAutoHyphens/>
        <w:rPr>
          <w:rFonts w:asciiTheme="majorHAnsi" w:hAnsiTheme="majorHAnsi"/>
          <w:sz w:val="22"/>
          <w:szCs w:val="22"/>
          <w:lang w:val="es-ES"/>
        </w:rPr>
      </w:pPr>
    </w:p>
    <w:p w14:paraId="64229E2A" w14:textId="77777777" w:rsidR="005128E4" w:rsidRPr="007C5771" w:rsidRDefault="005128E4" w:rsidP="00040C3A">
      <w:pPr>
        <w:tabs>
          <w:tab w:val="center" w:pos="5400"/>
        </w:tabs>
        <w:suppressAutoHyphens/>
        <w:rPr>
          <w:rFonts w:asciiTheme="majorHAnsi" w:hAnsiTheme="majorHAnsi"/>
          <w:sz w:val="22"/>
          <w:szCs w:val="22"/>
          <w:lang w:val="es-ES"/>
        </w:rPr>
      </w:pPr>
    </w:p>
    <w:p w14:paraId="1F1AA0AE"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5B92EA82"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2E3B5904"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35D2B57C"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6F893760"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7E1E5C33"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DC41A51"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17329721" w14:textId="66607FE5" w:rsidR="00040C3A" w:rsidRPr="007C5771" w:rsidRDefault="00E602C3" w:rsidP="00040C3A">
      <w:pPr>
        <w:tabs>
          <w:tab w:val="center" w:pos="5400"/>
        </w:tabs>
        <w:suppressAutoHyphens/>
        <w:jc w:val="center"/>
        <w:rPr>
          <w:rFonts w:asciiTheme="majorHAnsi" w:hAnsiTheme="majorHAnsi"/>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2DE5BDE" wp14:editId="3B55D1D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F09F6" w14:textId="7B6FCBD3" w:rsidR="00DC11B8" w:rsidRPr="004E2649" w:rsidRDefault="00DC11B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E38E2">
                              <w:rPr>
                                <w:rFonts w:asciiTheme="majorHAnsi" w:hAnsiTheme="majorHAnsi" w:cs="Arial"/>
                                <w:b/>
                                <w:bCs/>
                                <w:color w:val="0D0D0D" w:themeColor="text1" w:themeTint="F2"/>
                                <w:sz w:val="36"/>
                                <w:szCs w:val="22"/>
                                <w:lang w:val="es-ES_tradnl"/>
                              </w:rPr>
                              <w:t xml:space="preserve"> 201</w:t>
                            </w:r>
                            <w:r w:rsidR="0038706C">
                              <w:rPr>
                                <w:rFonts w:asciiTheme="majorHAnsi" w:hAnsiTheme="majorHAnsi" w:cs="Arial"/>
                                <w:b/>
                                <w:bCs/>
                                <w:color w:val="0D0D0D" w:themeColor="text1" w:themeTint="F2"/>
                                <w:sz w:val="36"/>
                                <w:szCs w:val="22"/>
                                <w:lang w:val="es-ES_tradnl"/>
                              </w:rPr>
                              <w:t>/20</w:t>
                            </w:r>
                          </w:p>
                          <w:p w14:paraId="10FE043A" w14:textId="77777777" w:rsidR="00DC11B8" w:rsidRDefault="00DC11B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BF4E116" w14:textId="77777777" w:rsidR="00DC11B8" w:rsidRPr="0010736F" w:rsidRDefault="00DC11B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C6BF5C9" w14:textId="77777777" w:rsidR="00DC11B8" w:rsidRPr="0010736F" w:rsidRDefault="00DC11B8" w:rsidP="00997BC5">
                            <w:pPr>
                              <w:spacing w:line="276" w:lineRule="auto"/>
                              <w:rPr>
                                <w:rFonts w:asciiTheme="majorHAnsi" w:hAnsiTheme="majorHAnsi" w:cs="Arial"/>
                                <w:color w:val="0D0D0D" w:themeColor="text1" w:themeTint="F2"/>
                                <w:szCs w:val="22"/>
                                <w:lang w:val="es-ES_tradnl"/>
                              </w:rPr>
                            </w:pPr>
                            <w:bookmarkStart w:id="1" w:name="_ftnref1"/>
                          </w:p>
                          <w:p w14:paraId="54C11655" w14:textId="77777777" w:rsidR="00DC11B8" w:rsidRPr="00D7554C" w:rsidRDefault="00DC11B8" w:rsidP="00997BC5">
                            <w:pPr>
                              <w:spacing w:line="276" w:lineRule="auto"/>
                              <w:rPr>
                                <w:rFonts w:asciiTheme="majorHAnsi" w:hAnsiTheme="majorHAnsi" w:cs="Arial"/>
                                <w:color w:val="0D0D0D" w:themeColor="text1" w:themeTint="F2"/>
                                <w:szCs w:val="22"/>
                                <w:lang w:val="es-ES"/>
                              </w:rPr>
                            </w:pPr>
                            <w:r w:rsidRPr="00D7554C">
                              <w:rPr>
                                <w:rFonts w:asciiTheme="majorHAnsi" w:hAnsiTheme="majorHAnsi" w:cs="Arial"/>
                                <w:color w:val="0D0D0D" w:themeColor="text1" w:themeTint="F2"/>
                                <w:szCs w:val="22"/>
                                <w:lang w:val="es-ES"/>
                              </w:rPr>
                              <w:t>RITA MA</w:t>
                            </w:r>
                            <w:r w:rsidRPr="00D7554C">
                              <w:rPr>
                                <w:rFonts w:asciiTheme="majorHAnsi" w:hAnsiTheme="majorHAnsi"/>
                                <w:lang w:val="es-ES"/>
                              </w:rPr>
                              <w:t>RÍ</w:t>
                            </w:r>
                            <w:r w:rsidRPr="00D7554C">
                              <w:rPr>
                                <w:rFonts w:asciiTheme="majorHAnsi" w:hAnsiTheme="majorHAnsi" w:cs="Arial"/>
                                <w:color w:val="0D0D0D" w:themeColor="text1" w:themeTint="F2"/>
                                <w:szCs w:val="22"/>
                                <w:lang w:val="es-ES"/>
                              </w:rPr>
                              <w:t>A ADELIA P</w:t>
                            </w:r>
                            <w:r w:rsidRPr="00D7554C">
                              <w:rPr>
                                <w:rFonts w:asciiTheme="majorHAnsi" w:hAnsiTheme="majorHAnsi"/>
                                <w:lang w:val="es-ES"/>
                              </w:rPr>
                              <w:t>É</w:t>
                            </w:r>
                            <w:r w:rsidRPr="00D7554C">
                              <w:rPr>
                                <w:rFonts w:asciiTheme="majorHAnsi" w:hAnsiTheme="majorHAnsi" w:cs="Arial"/>
                                <w:color w:val="0D0D0D" w:themeColor="text1" w:themeTint="F2"/>
                                <w:szCs w:val="22"/>
                                <w:lang w:val="es-ES"/>
                              </w:rPr>
                              <w:t>REZ E HIJOS</w:t>
                            </w:r>
                          </w:p>
                          <w:bookmarkEnd w:id="1"/>
                          <w:p w14:paraId="0E828D87" w14:textId="77777777" w:rsidR="00DC11B8" w:rsidRPr="00D7554C" w:rsidRDefault="00DC11B8" w:rsidP="00997BC5">
                            <w:pPr>
                              <w:spacing w:line="276" w:lineRule="auto"/>
                              <w:rPr>
                                <w:rFonts w:asciiTheme="majorHAnsi" w:hAnsiTheme="majorHAnsi" w:cs="Arial"/>
                                <w:color w:val="0D0D0D" w:themeColor="text1" w:themeTint="F2"/>
                                <w:szCs w:val="22"/>
                                <w:lang w:val="es-ES"/>
                              </w:rPr>
                            </w:pPr>
                            <w:r w:rsidRPr="00D7554C">
                              <w:rPr>
                                <w:rFonts w:asciiTheme="majorHAnsi" w:hAnsiTheme="majorHAnsi" w:cs="Arial"/>
                                <w:color w:val="0D0D0D" w:themeColor="text1" w:themeTint="F2"/>
                                <w:szCs w:val="22"/>
                                <w:lang w:val="es-ES_tradnl"/>
                              </w:rPr>
                              <w:t>ARGENTINA</w:t>
                            </w:r>
                          </w:p>
                          <w:p w14:paraId="417C34EE" w14:textId="77777777" w:rsidR="00DC11B8" w:rsidRPr="00AE5488" w:rsidRDefault="00DC11B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DE5BD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390F09F6" w14:textId="7B6FCBD3" w:rsidR="00DC11B8" w:rsidRPr="004E2649" w:rsidRDefault="00DC11B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E38E2">
                        <w:rPr>
                          <w:rFonts w:asciiTheme="majorHAnsi" w:hAnsiTheme="majorHAnsi" w:cs="Arial"/>
                          <w:b/>
                          <w:bCs/>
                          <w:color w:val="0D0D0D" w:themeColor="text1" w:themeTint="F2"/>
                          <w:sz w:val="36"/>
                          <w:szCs w:val="22"/>
                          <w:lang w:val="es-ES_tradnl"/>
                        </w:rPr>
                        <w:t xml:space="preserve"> 201</w:t>
                      </w:r>
                      <w:r w:rsidR="0038706C">
                        <w:rPr>
                          <w:rFonts w:asciiTheme="majorHAnsi" w:hAnsiTheme="majorHAnsi" w:cs="Arial"/>
                          <w:b/>
                          <w:bCs/>
                          <w:color w:val="0D0D0D" w:themeColor="text1" w:themeTint="F2"/>
                          <w:sz w:val="36"/>
                          <w:szCs w:val="22"/>
                          <w:lang w:val="es-ES_tradnl"/>
                        </w:rPr>
                        <w:t>/20</w:t>
                      </w:r>
                    </w:p>
                    <w:p w14:paraId="10FE043A" w14:textId="77777777" w:rsidR="00DC11B8" w:rsidRDefault="00DC11B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BF4E116" w14:textId="77777777" w:rsidR="00DC11B8" w:rsidRPr="0010736F" w:rsidRDefault="00DC11B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C6BF5C9" w14:textId="77777777" w:rsidR="00DC11B8" w:rsidRPr="0010736F" w:rsidRDefault="00DC11B8" w:rsidP="00997BC5">
                      <w:pPr>
                        <w:spacing w:line="276" w:lineRule="auto"/>
                        <w:rPr>
                          <w:rFonts w:asciiTheme="majorHAnsi" w:hAnsiTheme="majorHAnsi" w:cs="Arial"/>
                          <w:color w:val="0D0D0D" w:themeColor="text1" w:themeTint="F2"/>
                          <w:szCs w:val="22"/>
                          <w:lang w:val="es-ES_tradnl"/>
                        </w:rPr>
                      </w:pPr>
                      <w:bookmarkStart w:id="1" w:name="_ftnref1"/>
                    </w:p>
                    <w:p w14:paraId="54C11655" w14:textId="77777777" w:rsidR="00DC11B8" w:rsidRPr="00D7554C" w:rsidRDefault="00DC11B8" w:rsidP="00997BC5">
                      <w:pPr>
                        <w:spacing w:line="276" w:lineRule="auto"/>
                        <w:rPr>
                          <w:rFonts w:asciiTheme="majorHAnsi" w:hAnsiTheme="majorHAnsi" w:cs="Arial"/>
                          <w:color w:val="0D0D0D" w:themeColor="text1" w:themeTint="F2"/>
                          <w:szCs w:val="22"/>
                          <w:lang w:val="es-ES"/>
                        </w:rPr>
                      </w:pPr>
                      <w:r w:rsidRPr="00D7554C">
                        <w:rPr>
                          <w:rFonts w:asciiTheme="majorHAnsi" w:hAnsiTheme="majorHAnsi" w:cs="Arial"/>
                          <w:color w:val="0D0D0D" w:themeColor="text1" w:themeTint="F2"/>
                          <w:szCs w:val="22"/>
                          <w:lang w:val="es-ES"/>
                        </w:rPr>
                        <w:t>RITA MA</w:t>
                      </w:r>
                      <w:r w:rsidRPr="00D7554C">
                        <w:rPr>
                          <w:rFonts w:asciiTheme="majorHAnsi" w:hAnsiTheme="majorHAnsi"/>
                          <w:lang w:val="es-ES"/>
                        </w:rPr>
                        <w:t>RÍ</w:t>
                      </w:r>
                      <w:r w:rsidRPr="00D7554C">
                        <w:rPr>
                          <w:rFonts w:asciiTheme="majorHAnsi" w:hAnsiTheme="majorHAnsi" w:cs="Arial"/>
                          <w:color w:val="0D0D0D" w:themeColor="text1" w:themeTint="F2"/>
                          <w:szCs w:val="22"/>
                          <w:lang w:val="es-ES"/>
                        </w:rPr>
                        <w:t>A ADELIA P</w:t>
                      </w:r>
                      <w:r w:rsidRPr="00D7554C">
                        <w:rPr>
                          <w:rFonts w:asciiTheme="majorHAnsi" w:hAnsiTheme="majorHAnsi"/>
                          <w:lang w:val="es-ES"/>
                        </w:rPr>
                        <w:t>É</w:t>
                      </w:r>
                      <w:r w:rsidRPr="00D7554C">
                        <w:rPr>
                          <w:rFonts w:asciiTheme="majorHAnsi" w:hAnsiTheme="majorHAnsi" w:cs="Arial"/>
                          <w:color w:val="0D0D0D" w:themeColor="text1" w:themeTint="F2"/>
                          <w:szCs w:val="22"/>
                          <w:lang w:val="es-ES"/>
                        </w:rPr>
                        <w:t>REZ E HIJOS</w:t>
                      </w:r>
                    </w:p>
                    <w:bookmarkEnd w:id="1"/>
                    <w:p w14:paraId="0E828D87" w14:textId="77777777" w:rsidR="00DC11B8" w:rsidRPr="00D7554C" w:rsidRDefault="00DC11B8" w:rsidP="00997BC5">
                      <w:pPr>
                        <w:spacing w:line="276" w:lineRule="auto"/>
                        <w:rPr>
                          <w:rFonts w:asciiTheme="majorHAnsi" w:hAnsiTheme="majorHAnsi" w:cs="Arial"/>
                          <w:color w:val="0D0D0D" w:themeColor="text1" w:themeTint="F2"/>
                          <w:szCs w:val="22"/>
                          <w:lang w:val="es-ES"/>
                        </w:rPr>
                      </w:pPr>
                      <w:r w:rsidRPr="00D7554C">
                        <w:rPr>
                          <w:rFonts w:asciiTheme="majorHAnsi" w:hAnsiTheme="majorHAnsi" w:cs="Arial"/>
                          <w:color w:val="0D0D0D" w:themeColor="text1" w:themeTint="F2"/>
                          <w:szCs w:val="22"/>
                          <w:lang w:val="es-ES_tradnl"/>
                        </w:rPr>
                        <w:t>ARGENTINA</w:t>
                      </w:r>
                    </w:p>
                    <w:p w14:paraId="417C34EE" w14:textId="77777777" w:rsidR="00DC11B8" w:rsidRPr="00AE5488" w:rsidRDefault="00DC11B8" w:rsidP="007A5817">
                      <w:pPr>
                        <w:rPr>
                          <w:color w:val="0D0D0D" w:themeColor="text1" w:themeTint="F2"/>
                          <w:lang w:val="es-ES_tradnl"/>
                        </w:rPr>
                      </w:pP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776FAD6" wp14:editId="11ACA9C6">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3CFBB" w14:textId="30137B2A" w:rsidR="00DC11B8" w:rsidRPr="0016202D" w:rsidRDefault="007E38E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974FD7E" w14:textId="792728F9" w:rsidR="00DC11B8" w:rsidRPr="0016202D" w:rsidRDefault="00DC11B8"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Doc.</w:t>
                            </w:r>
                            <w:r w:rsidR="007E38E2">
                              <w:rPr>
                                <w:rFonts w:asciiTheme="minorHAnsi" w:hAnsiTheme="minorHAnsi"/>
                                <w:color w:val="FFFFFF" w:themeColor="background1"/>
                                <w:sz w:val="22"/>
                                <w:lang w:val="pt-BR"/>
                              </w:rPr>
                              <w:t xml:space="preserve"> 215</w:t>
                            </w:r>
                          </w:p>
                          <w:p w14:paraId="582DAC54" w14:textId="18446D87" w:rsidR="00DC11B8" w:rsidRPr="001B4C00" w:rsidRDefault="007E38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agosto 2020</w:t>
                            </w:r>
                          </w:p>
                          <w:p w14:paraId="6B38FF62" w14:textId="77777777" w:rsidR="00DC11B8" w:rsidRPr="001B4C00" w:rsidRDefault="00DC11B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76FAD6" id="Text Box 8" o:spid="_x0000_s1028" type="#_x0000_t202" style="position:absolute;left:0;text-align:left;margin-left:-26.9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" filled="f" stroked="f" strokeweight=".5pt">
                <v:path arrowok="t"/>
                <v:textbox>
                  <w:txbxContent>
                    <w:p w14:paraId="19F3CFBB" w14:textId="30137B2A" w:rsidR="00DC11B8" w:rsidRPr="0016202D" w:rsidRDefault="007E38E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974FD7E" w14:textId="792728F9" w:rsidR="00DC11B8" w:rsidRPr="0016202D" w:rsidRDefault="00DC11B8"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Doc.</w:t>
                      </w:r>
                      <w:r w:rsidR="007E38E2">
                        <w:rPr>
                          <w:rFonts w:asciiTheme="minorHAnsi" w:hAnsiTheme="minorHAnsi"/>
                          <w:color w:val="FFFFFF" w:themeColor="background1"/>
                          <w:sz w:val="22"/>
                          <w:lang w:val="pt-BR"/>
                        </w:rPr>
                        <w:t xml:space="preserve"> 215</w:t>
                      </w:r>
                    </w:p>
                    <w:p w14:paraId="582DAC54" w14:textId="18446D87" w:rsidR="00DC11B8" w:rsidRPr="001B4C00" w:rsidRDefault="007E38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agosto 2020</w:t>
                      </w:r>
                    </w:p>
                    <w:p w14:paraId="6B38FF62" w14:textId="77777777" w:rsidR="00DC11B8" w:rsidRPr="001B4C00" w:rsidRDefault="00DC11B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0ADC90A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AA60AF8"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EFF9DB0" w14:textId="77777777" w:rsidR="00040C3A" w:rsidRPr="007C5771" w:rsidRDefault="00040C3A" w:rsidP="00040C3A">
      <w:pPr>
        <w:tabs>
          <w:tab w:val="center" w:pos="5400"/>
        </w:tabs>
        <w:suppressAutoHyphens/>
        <w:jc w:val="center"/>
        <w:rPr>
          <w:rFonts w:asciiTheme="majorHAnsi" w:hAnsiTheme="majorHAnsi" w:cs="Arial"/>
          <w:sz w:val="22"/>
          <w:szCs w:val="22"/>
          <w:lang w:val="es-ES"/>
        </w:rPr>
      </w:pPr>
    </w:p>
    <w:p w14:paraId="0F5161BA"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01EC88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800BAF6"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F11653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96557A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6FDFBB7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527A75C"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0D4C5A4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452F1D65"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3B8784D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900A53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08D013A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18E456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A0A7869"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EBA19C1"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47AD124"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76B60540"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FF46AC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EB117F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AF0C64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1F46FE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976F63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3D1A13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C23462D"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6047FBD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49582F5" w14:textId="6CBEF387"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A81BD83" wp14:editId="7F25EB4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984E1" w14:textId="0D313E5A" w:rsidR="00DC11B8" w:rsidRPr="00890650" w:rsidRDefault="00DC11B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E38E2">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E38E2">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0038706C">
                              <w:rPr>
                                <w:rFonts w:asciiTheme="majorHAnsi" w:hAnsiTheme="majorHAnsi"/>
                                <w:color w:val="0D0D0D" w:themeColor="text1" w:themeTint="F2"/>
                                <w:sz w:val="18"/>
                                <w:szCs w:val="22"/>
                                <w:lang w:val="es-ES"/>
                              </w:rPr>
                              <w:t>de 2020</w:t>
                            </w:r>
                            <w:r w:rsidR="0027399F">
                              <w:rPr>
                                <w:rFonts w:asciiTheme="majorHAnsi" w:hAnsiTheme="majorHAnsi"/>
                                <w:color w:val="0D0D0D" w:themeColor="text1" w:themeTint="F2"/>
                                <w:sz w:val="18"/>
                                <w:szCs w:val="22"/>
                                <w:lang w:val="es-ES"/>
                              </w:rPr>
                              <w:t>.</w:t>
                            </w:r>
                          </w:p>
                          <w:p w14:paraId="655B91B7" w14:textId="77777777" w:rsidR="00DC11B8" w:rsidRPr="007A5817" w:rsidRDefault="00DC11B8" w:rsidP="00247403">
                            <w:pPr>
                              <w:tabs>
                                <w:tab w:val="center" w:pos="5400"/>
                              </w:tabs>
                              <w:suppressAutoHyphens/>
                              <w:spacing w:before="60"/>
                              <w:rPr>
                                <w:rFonts w:asciiTheme="minorHAnsi" w:hAnsiTheme="minorHAnsi" w:cs="Univers"/>
                                <w:color w:val="0D0D0D" w:themeColor="text1" w:themeTint="F2"/>
                                <w:sz w:val="20"/>
                                <w:szCs w:val="20"/>
                                <w:lang w:val="es-ES"/>
                              </w:rPr>
                            </w:pPr>
                          </w:p>
                          <w:p w14:paraId="04F1FB7E" w14:textId="77777777" w:rsidR="00DC11B8" w:rsidRPr="00167A34" w:rsidRDefault="00DC11B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1BD8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3FA984E1" w14:textId="0D313E5A" w:rsidR="00DC11B8" w:rsidRPr="00890650" w:rsidRDefault="00DC11B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E38E2">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E38E2">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0038706C">
                        <w:rPr>
                          <w:rFonts w:asciiTheme="majorHAnsi" w:hAnsiTheme="majorHAnsi"/>
                          <w:color w:val="0D0D0D" w:themeColor="text1" w:themeTint="F2"/>
                          <w:sz w:val="18"/>
                          <w:szCs w:val="22"/>
                          <w:lang w:val="es-ES"/>
                        </w:rPr>
                        <w:t>de 2020</w:t>
                      </w:r>
                      <w:r w:rsidR="0027399F">
                        <w:rPr>
                          <w:rFonts w:asciiTheme="majorHAnsi" w:hAnsiTheme="majorHAnsi"/>
                          <w:color w:val="0D0D0D" w:themeColor="text1" w:themeTint="F2"/>
                          <w:sz w:val="18"/>
                          <w:szCs w:val="22"/>
                          <w:lang w:val="es-ES"/>
                        </w:rPr>
                        <w:t>.</w:t>
                      </w:r>
                    </w:p>
                    <w:p w14:paraId="655B91B7" w14:textId="77777777" w:rsidR="00DC11B8" w:rsidRPr="007A5817" w:rsidRDefault="00DC11B8" w:rsidP="00247403">
                      <w:pPr>
                        <w:tabs>
                          <w:tab w:val="center" w:pos="5400"/>
                        </w:tabs>
                        <w:suppressAutoHyphens/>
                        <w:spacing w:before="60"/>
                        <w:rPr>
                          <w:rFonts w:asciiTheme="minorHAnsi" w:hAnsiTheme="minorHAnsi" w:cs="Univers"/>
                          <w:color w:val="0D0D0D" w:themeColor="text1" w:themeTint="F2"/>
                          <w:sz w:val="20"/>
                          <w:szCs w:val="20"/>
                          <w:lang w:val="es-ES"/>
                        </w:rPr>
                      </w:pPr>
                    </w:p>
                    <w:p w14:paraId="04F1FB7E" w14:textId="77777777" w:rsidR="00DC11B8" w:rsidRPr="00167A34" w:rsidRDefault="00DC11B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6CDC3A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ED79E8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0EA92F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214DE5A"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5A30D9F" w14:textId="7747F576"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E5005EE" wp14:editId="0C5A179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93856" w14:textId="39102C2B" w:rsidR="00DC11B8" w:rsidRPr="007B05C4" w:rsidRDefault="00DC11B8" w:rsidP="00113F73">
                            <w:pPr>
                              <w:spacing w:line="276" w:lineRule="auto"/>
                              <w:rPr>
                                <w:rFonts w:asciiTheme="majorHAnsi" w:hAnsiTheme="majorHAnsi"/>
                                <w:color w:val="595959" w:themeColor="text1" w:themeTint="A6"/>
                                <w:sz w:val="18"/>
                                <w:szCs w:val="18"/>
                                <w:lang w:val="es-ES"/>
                              </w:rPr>
                            </w:pPr>
                            <w:r w:rsidRPr="007E38E2">
                              <w:rPr>
                                <w:rFonts w:asciiTheme="majorHAnsi" w:hAnsiTheme="majorHAnsi"/>
                                <w:b/>
                                <w:color w:val="595959" w:themeColor="text1" w:themeTint="A6"/>
                                <w:sz w:val="18"/>
                                <w:szCs w:val="18"/>
                                <w:lang w:val="es-419"/>
                              </w:rPr>
                              <w:t>Citar como:</w:t>
                            </w:r>
                            <w:r w:rsidRPr="007E38E2">
                              <w:rPr>
                                <w:rFonts w:asciiTheme="majorHAnsi" w:hAnsiTheme="majorHAnsi"/>
                                <w:color w:val="595959" w:themeColor="text1" w:themeTint="A6"/>
                                <w:sz w:val="18"/>
                                <w:szCs w:val="18"/>
                                <w:lang w:val="es-419"/>
                              </w:rPr>
                              <w:t xml:space="preserve"> CIDH, Informe No. </w:t>
                            </w:r>
                            <w:r w:rsidR="007E38E2">
                              <w:rPr>
                                <w:rFonts w:asciiTheme="majorHAnsi" w:hAnsiTheme="majorHAnsi"/>
                                <w:color w:val="595959" w:themeColor="text1" w:themeTint="A6"/>
                                <w:sz w:val="18"/>
                                <w:szCs w:val="18"/>
                                <w:lang w:val="es-ES_tradnl"/>
                              </w:rPr>
                              <w:t>201</w:t>
                            </w:r>
                            <w:r w:rsidR="0038706C">
                              <w:rPr>
                                <w:rFonts w:asciiTheme="majorHAnsi" w:hAnsiTheme="majorHAnsi"/>
                                <w:color w:val="595959" w:themeColor="text1" w:themeTint="A6"/>
                                <w:sz w:val="18"/>
                                <w:szCs w:val="18"/>
                                <w:lang w:val="es-ES_tradnl"/>
                              </w:rPr>
                              <w:t>/20</w:t>
                            </w:r>
                            <w:r w:rsidR="007E38E2">
                              <w:rPr>
                                <w:rFonts w:asciiTheme="majorHAnsi" w:hAnsiTheme="majorHAnsi"/>
                                <w:color w:val="595959" w:themeColor="text1" w:themeTint="A6"/>
                                <w:sz w:val="18"/>
                                <w:szCs w:val="18"/>
                                <w:lang w:val="es-ES_tradnl"/>
                              </w:rPr>
                              <w:t>.</w:t>
                            </w:r>
                            <w:r w:rsidR="0070635B">
                              <w:rPr>
                                <w:rFonts w:asciiTheme="majorHAnsi" w:hAnsiTheme="majorHAnsi"/>
                                <w:color w:val="595959" w:themeColor="text1" w:themeTint="A6"/>
                                <w:sz w:val="18"/>
                                <w:szCs w:val="18"/>
                                <w:lang w:val="es-ES_tradnl"/>
                              </w:rPr>
                              <w:t xml:space="preserve"> Petición 1375-08</w:t>
                            </w:r>
                            <w:r w:rsidR="007E38E2">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Rita María </w:t>
                            </w:r>
                            <w:proofErr w:type="spellStart"/>
                            <w:r>
                              <w:rPr>
                                <w:rFonts w:asciiTheme="majorHAnsi" w:hAnsiTheme="majorHAnsi"/>
                                <w:color w:val="595959" w:themeColor="text1" w:themeTint="A6"/>
                                <w:sz w:val="18"/>
                                <w:szCs w:val="18"/>
                                <w:lang w:val="es-ES_tradnl"/>
                              </w:rPr>
                              <w:t>Adelia</w:t>
                            </w:r>
                            <w:proofErr w:type="spellEnd"/>
                            <w:r>
                              <w:rPr>
                                <w:rFonts w:asciiTheme="majorHAnsi" w:hAnsiTheme="majorHAnsi"/>
                                <w:color w:val="595959" w:themeColor="text1" w:themeTint="A6"/>
                                <w:sz w:val="18"/>
                                <w:szCs w:val="18"/>
                                <w:lang w:val="es-ES_tradnl"/>
                              </w:rPr>
                              <w:t xml:space="preserve"> Pérez e hijos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E38E2">
                              <w:rPr>
                                <w:rFonts w:asciiTheme="majorHAnsi" w:hAnsiTheme="majorHAnsi"/>
                                <w:color w:val="595959" w:themeColor="text1" w:themeTint="A6"/>
                                <w:sz w:val="18"/>
                                <w:szCs w:val="18"/>
                                <w:lang w:val="es-ES"/>
                              </w:rPr>
                              <w:t>5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5005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70993856" w14:textId="39102C2B" w:rsidR="00DC11B8" w:rsidRPr="007B05C4" w:rsidRDefault="00DC11B8" w:rsidP="00113F73">
                      <w:pPr>
                        <w:spacing w:line="276" w:lineRule="auto"/>
                        <w:rPr>
                          <w:rFonts w:asciiTheme="majorHAnsi" w:hAnsiTheme="majorHAnsi"/>
                          <w:color w:val="595959" w:themeColor="text1" w:themeTint="A6"/>
                          <w:sz w:val="18"/>
                          <w:szCs w:val="18"/>
                          <w:lang w:val="es-ES"/>
                        </w:rPr>
                      </w:pPr>
                      <w:r w:rsidRPr="007E38E2">
                        <w:rPr>
                          <w:rFonts w:asciiTheme="majorHAnsi" w:hAnsiTheme="majorHAnsi"/>
                          <w:b/>
                          <w:color w:val="595959" w:themeColor="text1" w:themeTint="A6"/>
                          <w:sz w:val="18"/>
                          <w:szCs w:val="18"/>
                          <w:lang w:val="es-419"/>
                        </w:rPr>
                        <w:t>Citar como:</w:t>
                      </w:r>
                      <w:r w:rsidRPr="007E38E2">
                        <w:rPr>
                          <w:rFonts w:asciiTheme="majorHAnsi" w:hAnsiTheme="majorHAnsi"/>
                          <w:color w:val="595959" w:themeColor="text1" w:themeTint="A6"/>
                          <w:sz w:val="18"/>
                          <w:szCs w:val="18"/>
                          <w:lang w:val="es-419"/>
                        </w:rPr>
                        <w:t xml:space="preserve"> CIDH, Informe No. </w:t>
                      </w:r>
                      <w:r w:rsidR="007E38E2">
                        <w:rPr>
                          <w:rFonts w:asciiTheme="majorHAnsi" w:hAnsiTheme="majorHAnsi"/>
                          <w:color w:val="595959" w:themeColor="text1" w:themeTint="A6"/>
                          <w:sz w:val="18"/>
                          <w:szCs w:val="18"/>
                          <w:lang w:val="es-ES_tradnl"/>
                        </w:rPr>
                        <w:t>201</w:t>
                      </w:r>
                      <w:r w:rsidR="0038706C">
                        <w:rPr>
                          <w:rFonts w:asciiTheme="majorHAnsi" w:hAnsiTheme="majorHAnsi"/>
                          <w:color w:val="595959" w:themeColor="text1" w:themeTint="A6"/>
                          <w:sz w:val="18"/>
                          <w:szCs w:val="18"/>
                          <w:lang w:val="es-ES_tradnl"/>
                        </w:rPr>
                        <w:t>/20</w:t>
                      </w:r>
                      <w:r w:rsidR="007E38E2">
                        <w:rPr>
                          <w:rFonts w:asciiTheme="majorHAnsi" w:hAnsiTheme="majorHAnsi"/>
                          <w:color w:val="595959" w:themeColor="text1" w:themeTint="A6"/>
                          <w:sz w:val="18"/>
                          <w:szCs w:val="18"/>
                          <w:lang w:val="es-ES_tradnl"/>
                        </w:rPr>
                        <w:t>.</w:t>
                      </w:r>
                      <w:r w:rsidR="0070635B">
                        <w:rPr>
                          <w:rFonts w:asciiTheme="majorHAnsi" w:hAnsiTheme="majorHAnsi"/>
                          <w:color w:val="595959" w:themeColor="text1" w:themeTint="A6"/>
                          <w:sz w:val="18"/>
                          <w:szCs w:val="18"/>
                          <w:lang w:val="es-ES_tradnl"/>
                        </w:rPr>
                        <w:t xml:space="preserve"> Petición 1375-08</w:t>
                      </w:r>
                      <w:r w:rsidR="007E38E2">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Rita María Adelia Pérez e hijos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E38E2">
                        <w:rPr>
                          <w:rFonts w:asciiTheme="majorHAnsi" w:hAnsiTheme="majorHAnsi"/>
                          <w:color w:val="595959" w:themeColor="text1" w:themeTint="A6"/>
                          <w:sz w:val="18"/>
                          <w:szCs w:val="18"/>
                          <w:lang w:val="es-ES"/>
                        </w:rPr>
                        <w:t>5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4B4E536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6E314BA" w14:textId="45A87C40" w:rsidR="0090270B" w:rsidRPr="007C5771" w:rsidRDefault="00E602C3" w:rsidP="005516A1">
      <w:pPr>
        <w:tabs>
          <w:tab w:val="center" w:pos="5400"/>
        </w:tabs>
        <w:suppressAutoHyphens/>
        <w:jc w:val="center"/>
        <w:rPr>
          <w:rFonts w:asciiTheme="majorHAnsi" w:hAnsiTheme="majorHAnsi"/>
          <w:b/>
          <w:sz w:val="20"/>
          <w:lang w:val="es-ES"/>
        </w:rPr>
      </w:pPr>
      <w:r w:rsidRPr="007C577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F007644" wp14:editId="614F98DF">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DA5F1" w14:textId="77777777" w:rsidR="00DC11B8" w:rsidRPr="00D72DC6" w:rsidRDefault="00DC11B8" w:rsidP="00F02AD1">
                            <w:pPr>
                              <w:rPr>
                                <w:color w:val="FFFFFF" w:themeColor="background1"/>
                              </w:rPr>
                            </w:pPr>
                            <w:r w:rsidRPr="00D72DC6">
                              <w:rPr>
                                <w:noProof/>
                                <w:color w:val="FFFFFF" w:themeColor="background1"/>
                              </w:rPr>
                              <w:drawing>
                                <wp:inline distT="0" distB="0" distL="0" distR="0" wp14:anchorId="3CB780B6" wp14:editId="2C3C7208">
                                  <wp:extent cx="1616528" cy="415851"/>
                                  <wp:effectExtent l="0" t="0" r="317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26937" cy="418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00764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187DA5F1" w14:textId="77777777" w:rsidR="00DC11B8" w:rsidRPr="00D72DC6" w:rsidRDefault="00DC11B8" w:rsidP="00F02AD1">
                      <w:pPr>
                        <w:rPr>
                          <w:color w:val="FFFFFF" w:themeColor="background1"/>
                        </w:rPr>
                      </w:pPr>
                      <w:r w:rsidRPr="00D72DC6">
                        <w:rPr>
                          <w:noProof/>
                          <w:color w:val="FFFFFF" w:themeColor="background1"/>
                        </w:rPr>
                        <w:drawing>
                          <wp:inline distT="0" distB="0" distL="0" distR="0" wp14:anchorId="3CB780B6" wp14:editId="2C3C7208">
                            <wp:extent cx="1616528" cy="415851"/>
                            <wp:effectExtent l="0" t="0" r="317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26937" cy="418529"/>
                                    </a:xfrm>
                                    <a:prstGeom prst="rect">
                                      <a:avLst/>
                                    </a:prstGeom>
                                    <a:noFill/>
                                    <a:ln>
                                      <a:noFill/>
                                    </a:ln>
                                  </pic:spPr>
                                </pic:pic>
                              </a:graphicData>
                            </a:graphic>
                          </wp:inline>
                        </w:drawing>
                      </w: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FC603D1" wp14:editId="51865167">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CA5FB" w14:textId="77777777" w:rsidR="00DC11B8" w:rsidRPr="004B7EB6" w:rsidRDefault="00DC11B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C603D1" id="Text Box 4" o:spid="_x0000_s1032" type="#_x0000_t202" style="position:absolute;left:0;text-align:left;margin-left:-21.4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" filled="f" stroked="f" strokeweight=".5pt">
                <v:path arrowok="t"/>
                <v:textbox>
                  <w:txbxContent>
                    <w:p w14:paraId="54DCA5FB" w14:textId="77777777" w:rsidR="00DC11B8" w:rsidRPr="004B7EB6" w:rsidRDefault="00DC11B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09EE9C8" w14:textId="77777777" w:rsidR="0070697F" w:rsidRPr="007C5771" w:rsidRDefault="004A6A54" w:rsidP="005516A1">
      <w:pPr>
        <w:tabs>
          <w:tab w:val="center" w:pos="5400"/>
        </w:tabs>
        <w:suppressAutoHyphens/>
        <w:jc w:val="center"/>
        <w:rPr>
          <w:rFonts w:asciiTheme="majorHAnsi" w:hAnsiTheme="majorHAnsi"/>
          <w:b/>
          <w:sz w:val="20"/>
          <w:lang w:val="es-ES"/>
        </w:rPr>
        <w:sectPr w:rsidR="0070697F" w:rsidRPr="007C5771"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7C5771">
        <w:rPr>
          <w:rFonts w:asciiTheme="majorHAnsi" w:hAnsiTheme="majorHAnsi"/>
          <w:b/>
          <w:sz w:val="20"/>
          <w:lang w:val="es-ES"/>
        </w:rPr>
        <w:tab/>
      </w:r>
    </w:p>
    <w:p w14:paraId="0B7B58B4" w14:textId="77777777" w:rsidR="003239B8" w:rsidRPr="007C5771" w:rsidRDefault="003239B8" w:rsidP="007C402A">
      <w:pPr>
        <w:spacing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lastRenderedPageBreak/>
        <w:t>I.</w:t>
      </w:r>
      <w:r w:rsidRPr="007C577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C5771" w14:paraId="2B1A05BF" w14:textId="77777777" w:rsidTr="00954B82">
        <w:tc>
          <w:tcPr>
            <w:tcW w:w="2790" w:type="dxa"/>
            <w:tcBorders>
              <w:top w:val="single" w:sz="4" w:space="0" w:color="auto"/>
              <w:bottom w:val="single" w:sz="6" w:space="0" w:color="auto"/>
            </w:tcBorders>
            <w:shd w:val="clear" w:color="auto" w:fill="386294"/>
            <w:vAlign w:val="center"/>
          </w:tcPr>
          <w:p w14:paraId="1606A9F7" w14:textId="77777777" w:rsidR="003239B8" w:rsidRPr="007C5771" w:rsidRDefault="00D77503" w:rsidP="00311D3F">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Parte peticionaria</w:t>
            </w:r>
          </w:p>
        </w:tc>
        <w:tc>
          <w:tcPr>
            <w:tcW w:w="6570" w:type="dxa"/>
            <w:vAlign w:val="center"/>
          </w:tcPr>
          <w:p w14:paraId="18B32187" w14:textId="77777777" w:rsidR="003239B8" w:rsidRPr="007C5771" w:rsidRDefault="00A87D9B" w:rsidP="00311D3F">
            <w:pPr>
              <w:jc w:val="both"/>
              <w:rPr>
                <w:rFonts w:asciiTheme="majorHAnsi" w:hAnsiTheme="majorHAnsi"/>
                <w:bCs/>
                <w:sz w:val="19"/>
                <w:szCs w:val="19"/>
                <w:lang w:val="es-ES"/>
              </w:rPr>
            </w:pPr>
            <w:r w:rsidRPr="007C5771">
              <w:rPr>
                <w:rFonts w:asciiTheme="majorHAnsi" w:hAnsiTheme="majorHAnsi"/>
                <w:bCs/>
                <w:sz w:val="19"/>
                <w:szCs w:val="19"/>
                <w:lang w:val="es-ES"/>
              </w:rPr>
              <w:t xml:space="preserve">XUMEK, </w:t>
            </w:r>
            <w:r w:rsidRPr="007C5771">
              <w:rPr>
                <w:rFonts w:asciiTheme="majorHAnsi" w:hAnsiTheme="majorHAnsi"/>
                <w:sz w:val="19"/>
                <w:szCs w:val="19"/>
                <w:lang w:val="es-ES_tradnl"/>
              </w:rPr>
              <w:t>Rita María Pérez</w:t>
            </w:r>
            <w:r w:rsidR="001C0DB0" w:rsidRPr="007C5771">
              <w:rPr>
                <w:rStyle w:val="FootnoteReference"/>
                <w:rFonts w:asciiTheme="majorHAnsi" w:hAnsiTheme="majorHAnsi"/>
                <w:sz w:val="19"/>
                <w:szCs w:val="19"/>
                <w:lang w:val="es-ES_tradnl"/>
              </w:rPr>
              <w:footnoteReference w:id="2"/>
            </w:r>
          </w:p>
        </w:tc>
      </w:tr>
      <w:tr w:rsidR="003239B8" w:rsidRPr="0027399F" w14:paraId="4AA3642A" w14:textId="77777777" w:rsidTr="00954B82">
        <w:tc>
          <w:tcPr>
            <w:tcW w:w="2790" w:type="dxa"/>
            <w:tcBorders>
              <w:top w:val="single" w:sz="6" w:space="0" w:color="auto"/>
              <w:bottom w:val="single" w:sz="6" w:space="0" w:color="auto"/>
            </w:tcBorders>
            <w:shd w:val="clear" w:color="auto" w:fill="386294"/>
            <w:vAlign w:val="center"/>
          </w:tcPr>
          <w:p w14:paraId="205B31BA" w14:textId="77777777" w:rsidR="003239B8" w:rsidRPr="007C5771" w:rsidRDefault="002355A9" w:rsidP="00311D3F">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Presunta víctima</w:t>
            </w:r>
          </w:p>
        </w:tc>
        <w:tc>
          <w:tcPr>
            <w:tcW w:w="6570" w:type="dxa"/>
            <w:vAlign w:val="center"/>
          </w:tcPr>
          <w:p w14:paraId="658F6F08" w14:textId="77777777" w:rsidR="003239B8" w:rsidRPr="007C5771" w:rsidRDefault="005B7D5F" w:rsidP="00123362">
            <w:pPr>
              <w:jc w:val="both"/>
              <w:rPr>
                <w:rFonts w:asciiTheme="majorHAnsi" w:hAnsiTheme="majorHAnsi"/>
                <w:bCs/>
                <w:sz w:val="19"/>
                <w:szCs w:val="19"/>
                <w:lang w:val="es-ES"/>
              </w:rPr>
            </w:pPr>
            <w:r w:rsidRPr="007C5771">
              <w:rPr>
                <w:rFonts w:asciiTheme="majorHAnsi" w:hAnsiTheme="majorHAnsi"/>
                <w:sz w:val="19"/>
                <w:szCs w:val="19"/>
                <w:lang w:val="es-ES_tradnl"/>
              </w:rPr>
              <w:t>Rita María Pérez</w:t>
            </w:r>
            <w:r w:rsidR="00123362" w:rsidRPr="007C5771">
              <w:rPr>
                <w:rFonts w:asciiTheme="majorHAnsi" w:hAnsiTheme="majorHAnsi"/>
                <w:bCs/>
                <w:sz w:val="19"/>
                <w:szCs w:val="19"/>
                <w:lang w:val="es-ES"/>
              </w:rPr>
              <w:t xml:space="preserve"> e hijos</w:t>
            </w:r>
            <w:r w:rsidR="00123362" w:rsidRPr="007C5771">
              <w:rPr>
                <w:rStyle w:val="FootnoteReference"/>
                <w:rFonts w:asciiTheme="majorHAnsi" w:hAnsiTheme="majorHAnsi"/>
                <w:bCs/>
                <w:sz w:val="19"/>
                <w:szCs w:val="19"/>
                <w:lang w:val="es-ES"/>
              </w:rPr>
              <w:footnoteReference w:id="3"/>
            </w:r>
          </w:p>
        </w:tc>
      </w:tr>
      <w:tr w:rsidR="003239B8" w:rsidRPr="007C5771" w14:paraId="0F2ECE4C" w14:textId="77777777" w:rsidTr="00954B82">
        <w:tc>
          <w:tcPr>
            <w:tcW w:w="2790" w:type="dxa"/>
            <w:tcBorders>
              <w:top w:val="single" w:sz="6" w:space="0" w:color="auto"/>
              <w:bottom w:val="single" w:sz="6" w:space="0" w:color="auto"/>
            </w:tcBorders>
            <w:shd w:val="clear" w:color="auto" w:fill="386294"/>
            <w:vAlign w:val="center"/>
          </w:tcPr>
          <w:p w14:paraId="79468C6D" w14:textId="77777777" w:rsidR="003239B8" w:rsidRPr="007C5771" w:rsidRDefault="00D77503" w:rsidP="00311D3F">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Estado denunciado</w:t>
            </w:r>
          </w:p>
        </w:tc>
        <w:tc>
          <w:tcPr>
            <w:tcW w:w="6570" w:type="dxa"/>
            <w:vAlign w:val="center"/>
          </w:tcPr>
          <w:p w14:paraId="22862464" w14:textId="77777777" w:rsidR="003239B8" w:rsidRPr="007C5771" w:rsidRDefault="00B559E6" w:rsidP="005B7D5F">
            <w:pPr>
              <w:jc w:val="both"/>
              <w:rPr>
                <w:rFonts w:asciiTheme="majorHAnsi" w:hAnsiTheme="majorHAnsi"/>
                <w:bCs/>
                <w:sz w:val="19"/>
                <w:szCs w:val="19"/>
                <w:lang w:val="es-ES"/>
              </w:rPr>
            </w:pPr>
            <w:r w:rsidRPr="007C5771">
              <w:rPr>
                <w:rFonts w:asciiTheme="majorHAnsi" w:hAnsiTheme="majorHAnsi"/>
                <w:bCs/>
                <w:sz w:val="19"/>
                <w:szCs w:val="19"/>
                <w:lang w:val="es-ES"/>
              </w:rPr>
              <w:t>Argentina</w:t>
            </w:r>
          </w:p>
        </w:tc>
      </w:tr>
      <w:tr w:rsidR="00223A29" w:rsidRPr="0027399F" w14:paraId="0395DB04" w14:textId="77777777" w:rsidTr="00954B82">
        <w:tc>
          <w:tcPr>
            <w:tcW w:w="2790" w:type="dxa"/>
            <w:tcBorders>
              <w:top w:val="single" w:sz="6" w:space="0" w:color="auto"/>
              <w:bottom w:val="single" w:sz="6" w:space="0" w:color="auto"/>
            </w:tcBorders>
            <w:shd w:val="clear" w:color="auto" w:fill="386294"/>
            <w:vAlign w:val="center"/>
          </w:tcPr>
          <w:p w14:paraId="11ACF568" w14:textId="77777777" w:rsidR="00223A29" w:rsidRPr="007C5771" w:rsidRDefault="001B3A00" w:rsidP="00E4118C">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 xml:space="preserve">Derechos </w:t>
            </w:r>
            <w:r w:rsidR="00E4118C" w:rsidRPr="007C5771">
              <w:rPr>
                <w:rFonts w:asciiTheme="majorHAnsi" w:hAnsiTheme="majorHAnsi"/>
                <w:bCs/>
                <w:color w:val="FFFFFF" w:themeColor="background1"/>
                <w:sz w:val="19"/>
                <w:szCs w:val="19"/>
                <w:lang w:val="es-ES"/>
              </w:rPr>
              <w:t>invocados</w:t>
            </w:r>
          </w:p>
        </w:tc>
        <w:tc>
          <w:tcPr>
            <w:tcW w:w="6570" w:type="dxa"/>
            <w:vAlign w:val="center"/>
          </w:tcPr>
          <w:p w14:paraId="334F484F" w14:textId="77777777" w:rsidR="00C6718B" w:rsidRPr="007C5771" w:rsidRDefault="00BF514A" w:rsidP="0034224A">
            <w:pPr>
              <w:jc w:val="both"/>
              <w:rPr>
                <w:rFonts w:asciiTheme="majorHAnsi" w:hAnsiTheme="majorHAnsi"/>
                <w:sz w:val="19"/>
                <w:szCs w:val="19"/>
                <w:lang w:val="es-ES_tradnl"/>
              </w:rPr>
            </w:pPr>
            <w:r w:rsidRPr="007C5771">
              <w:rPr>
                <w:rFonts w:asciiTheme="majorHAnsi" w:hAnsiTheme="majorHAnsi"/>
                <w:bCs/>
                <w:sz w:val="19"/>
                <w:szCs w:val="19"/>
                <w:lang w:val="es-ES"/>
              </w:rPr>
              <w:t xml:space="preserve">Artículos </w:t>
            </w:r>
            <w:r w:rsidR="003B3BE3" w:rsidRPr="007C5771">
              <w:rPr>
                <w:rFonts w:asciiTheme="majorHAnsi" w:hAnsiTheme="majorHAnsi"/>
                <w:bCs/>
                <w:sz w:val="19"/>
                <w:szCs w:val="19"/>
                <w:lang w:val="es-ES"/>
              </w:rPr>
              <w:t>2</w:t>
            </w:r>
            <w:r w:rsidR="009778CD" w:rsidRPr="007C5771">
              <w:rPr>
                <w:rFonts w:asciiTheme="majorHAnsi" w:hAnsiTheme="majorHAnsi"/>
                <w:bCs/>
                <w:sz w:val="19"/>
                <w:szCs w:val="19"/>
                <w:lang w:val="es-ES"/>
              </w:rPr>
              <w:t xml:space="preserve"> </w:t>
            </w:r>
            <w:r w:rsidR="009778CD" w:rsidRPr="007C5771">
              <w:rPr>
                <w:rFonts w:asciiTheme="majorHAnsi" w:hAnsiTheme="majorHAnsi"/>
                <w:bCs/>
                <w:sz w:val="19"/>
                <w:szCs w:val="19"/>
                <w:lang w:val="es-AR"/>
              </w:rPr>
              <w:t>(deber de adoptar disposiciones de derecho interno)</w:t>
            </w:r>
            <w:r w:rsidR="003B3BE3" w:rsidRPr="007C5771">
              <w:rPr>
                <w:rFonts w:asciiTheme="majorHAnsi" w:hAnsiTheme="majorHAnsi"/>
                <w:bCs/>
                <w:sz w:val="19"/>
                <w:szCs w:val="19"/>
                <w:lang w:val="es-ES"/>
              </w:rPr>
              <w:t>, 8</w:t>
            </w:r>
            <w:r w:rsidR="009778CD" w:rsidRPr="007C5771">
              <w:rPr>
                <w:rFonts w:asciiTheme="majorHAnsi" w:hAnsiTheme="majorHAnsi"/>
                <w:bCs/>
                <w:sz w:val="19"/>
                <w:szCs w:val="19"/>
                <w:lang w:val="es-ES"/>
              </w:rPr>
              <w:t xml:space="preserve"> </w:t>
            </w:r>
            <w:r w:rsidR="009778CD" w:rsidRPr="007C5771">
              <w:rPr>
                <w:rFonts w:asciiTheme="majorHAnsi" w:hAnsiTheme="majorHAnsi"/>
                <w:bCs/>
                <w:sz w:val="19"/>
                <w:szCs w:val="19"/>
                <w:lang w:val="es-AR"/>
              </w:rPr>
              <w:t xml:space="preserve">(garantías judiciales) </w:t>
            </w:r>
            <w:r w:rsidR="009778CD" w:rsidRPr="007C5771">
              <w:rPr>
                <w:rFonts w:asciiTheme="majorHAnsi" w:hAnsiTheme="majorHAnsi"/>
                <w:bCs/>
                <w:sz w:val="19"/>
                <w:szCs w:val="19"/>
                <w:lang w:val="es-ES"/>
              </w:rPr>
              <w:t xml:space="preserve">y </w:t>
            </w:r>
            <w:r w:rsidR="003B3BE3" w:rsidRPr="007C5771">
              <w:rPr>
                <w:rFonts w:asciiTheme="majorHAnsi" w:hAnsiTheme="majorHAnsi"/>
                <w:bCs/>
                <w:sz w:val="19"/>
                <w:szCs w:val="19"/>
                <w:lang w:val="es-ES"/>
              </w:rPr>
              <w:t>25</w:t>
            </w:r>
            <w:r w:rsidR="009778CD" w:rsidRPr="007C5771">
              <w:rPr>
                <w:rFonts w:asciiTheme="majorHAnsi" w:hAnsiTheme="majorHAnsi"/>
                <w:bCs/>
                <w:sz w:val="19"/>
                <w:szCs w:val="19"/>
                <w:lang w:val="es-ES"/>
              </w:rPr>
              <w:t xml:space="preserve"> </w:t>
            </w:r>
            <w:r w:rsidR="00FF58A9" w:rsidRPr="007C5771">
              <w:rPr>
                <w:rFonts w:asciiTheme="majorHAnsi" w:hAnsiTheme="majorHAnsi"/>
                <w:bCs/>
                <w:sz w:val="19"/>
                <w:szCs w:val="19"/>
                <w:lang w:val="es-AR"/>
              </w:rPr>
              <w:t>(protección judicial)</w:t>
            </w:r>
            <w:r w:rsidRPr="007C5771">
              <w:rPr>
                <w:rFonts w:asciiTheme="majorHAnsi" w:hAnsiTheme="majorHAnsi"/>
                <w:bCs/>
                <w:sz w:val="19"/>
                <w:szCs w:val="19"/>
                <w:lang w:val="es-ES"/>
              </w:rPr>
              <w:t xml:space="preserve"> de la Convención Americana sobre Derechos Humanos</w:t>
            </w:r>
            <w:r w:rsidRPr="007C5771">
              <w:rPr>
                <w:rStyle w:val="FootnoteReference"/>
                <w:rFonts w:asciiTheme="majorHAnsi" w:hAnsiTheme="majorHAnsi"/>
                <w:bCs/>
                <w:sz w:val="19"/>
                <w:szCs w:val="19"/>
                <w:lang w:val="es-ES"/>
              </w:rPr>
              <w:footnoteReference w:id="4"/>
            </w:r>
            <w:r w:rsidR="002F6985" w:rsidRPr="007C5771">
              <w:rPr>
                <w:rFonts w:asciiTheme="majorHAnsi" w:hAnsiTheme="majorHAnsi"/>
                <w:bCs/>
                <w:sz w:val="19"/>
                <w:szCs w:val="19"/>
                <w:lang w:val="es-ES"/>
              </w:rPr>
              <w:t xml:space="preserve"> </w:t>
            </w:r>
            <w:r w:rsidR="003B3BE3" w:rsidRPr="007C5771">
              <w:rPr>
                <w:rFonts w:asciiTheme="majorHAnsi" w:hAnsiTheme="majorHAnsi"/>
                <w:bCs/>
                <w:sz w:val="19"/>
                <w:szCs w:val="19"/>
                <w:lang w:val="es-AR"/>
              </w:rPr>
              <w:t xml:space="preserve">en relación con sus artículos 1.1 (obligación de respetar los derechos) y 2 (deber de adoptar disposiciones de derecho interno); </w:t>
            </w:r>
            <w:r w:rsidR="009778CD" w:rsidRPr="007C5771">
              <w:rPr>
                <w:rFonts w:asciiTheme="majorHAnsi" w:hAnsiTheme="majorHAnsi"/>
                <w:sz w:val="19"/>
                <w:szCs w:val="19"/>
                <w:lang w:val="es-ES"/>
              </w:rPr>
              <w:t>Convención Interamericana para Prevenir, Sancionar y Erradicar la Violencia Contra la Mujer</w:t>
            </w:r>
            <w:r w:rsidR="009778CD" w:rsidRPr="007C5771">
              <w:rPr>
                <w:rStyle w:val="FootnoteReference"/>
                <w:rFonts w:asciiTheme="majorHAnsi" w:hAnsiTheme="majorHAnsi"/>
                <w:sz w:val="19"/>
                <w:szCs w:val="19"/>
                <w:lang w:val="es-ES"/>
              </w:rPr>
              <w:footnoteReference w:id="5"/>
            </w:r>
            <w:r w:rsidR="003B3BE3" w:rsidRPr="007C5771">
              <w:rPr>
                <w:rFonts w:asciiTheme="majorHAnsi" w:hAnsiTheme="majorHAnsi"/>
                <w:sz w:val="19"/>
                <w:szCs w:val="19"/>
                <w:lang w:val="es-ES"/>
              </w:rPr>
              <w:t>y otros tratados internacionales</w:t>
            </w:r>
            <w:r w:rsidR="003B3BE3" w:rsidRPr="007C5771">
              <w:rPr>
                <w:rStyle w:val="FootnoteReference"/>
                <w:rFonts w:asciiTheme="majorHAnsi" w:hAnsiTheme="majorHAnsi"/>
                <w:sz w:val="19"/>
                <w:szCs w:val="19"/>
                <w:lang w:val="es-ES"/>
              </w:rPr>
              <w:footnoteReference w:id="6"/>
            </w:r>
          </w:p>
        </w:tc>
      </w:tr>
    </w:tbl>
    <w:p w14:paraId="26FFD38A" w14:textId="77777777" w:rsidR="001C0DB0" w:rsidRPr="007C5771" w:rsidRDefault="001C0DB0" w:rsidP="00DF0D19">
      <w:pPr>
        <w:spacing w:before="120"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t>II.</w:t>
      </w:r>
      <w:r w:rsidRPr="007C5771">
        <w:rPr>
          <w:rFonts w:asciiTheme="majorHAnsi" w:hAnsiTheme="majorHAnsi"/>
          <w:b/>
          <w:bCs/>
          <w:sz w:val="20"/>
          <w:szCs w:val="20"/>
          <w:lang w:val="es-ES"/>
        </w:rPr>
        <w:tab/>
        <w:t>TRÁMITE ANTE LA CIDH</w:t>
      </w:r>
      <w:r w:rsidRPr="007C5771">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1C0DB0" w:rsidRPr="007C5771" w14:paraId="78C56089" w14:textId="77777777" w:rsidTr="00DF0D19">
        <w:tc>
          <w:tcPr>
            <w:tcW w:w="2790" w:type="dxa"/>
            <w:tcBorders>
              <w:top w:val="single" w:sz="6" w:space="0" w:color="auto"/>
              <w:bottom w:val="single" w:sz="6" w:space="0" w:color="auto"/>
            </w:tcBorders>
            <w:shd w:val="clear" w:color="auto" w:fill="386294"/>
            <w:vAlign w:val="center"/>
          </w:tcPr>
          <w:p w14:paraId="3F63199E"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Recepción de la petición</w:t>
            </w:r>
          </w:p>
        </w:tc>
        <w:tc>
          <w:tcPr>
            <w:tcW w:w="6570" w:type="dxa"/>
            <w:vAlign w:val="center"/>
          </w:tcPr>
          <w:p w14:paraId="57DA9CFC" w14:textId="77777777" w:rsidR="001C0DB0" w:rsidRPr="007C5771" w:rsidRDefault="001C0DB0" w:rsidP="001C0DB0">
            <w:pPr>
              <w:jc w:val="both"/>
              <w:rPr>
                <w:rFonts w:asciiTheme="majorHAnsi" w:hAnsiTheme="majorHAnsi"/>
                <w:bCs/>
                <w:sz w:val="19"/>
                <w:szCs w:val="19"/>
                <w:lang w:val="es-ES"/>
              </w:rPr>
            </w:pPr>
            <w:r w:rsidRPr="007C5771">
              <w:rPr>
                <w:rFonts w:asciiTheme="majorHAnsi" w:hAnsiTheme="majorHAnsi"/>
                <w:bCs/>
                <w:sz w:val="19"/>
                <w:szCs w:val="19"/>
                <w:lang w:val="es-ES"/>
              </w:rPr>
              <w:t>1 de diciembre de 2008</w:t>
            </w:r>
          </w:p>
        </w:tc>
      </w:tr>
      <w:tr w:rsidR="001C0DB0" w:rsidRPr="007C5771" w14:paraId="6F15B10F" w14:textId="77777777" w:rsidTr="00DF0D19">
        <w:tc>
          <w:tcPr>
            <w:tcW w:w="2790" w:type="dxa"/>
            <w:tcBorders>
              <w:top w:val="single" w:sz="6" w:space="0" w:color="auto"/>
              <w:bottom w:val="single" w:sz="6" w:space="0" w:color="auto"/>
            </w:tcBorders>
            <w:shd w:val="clear" w:color="auto" w:fill="386294"/>
            <w:vAlign w:val="center"/>
          </w:tcPr>
          <w:p w14:paraId="471564AD"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color w:val="FFFFFF" w:themeColor="background1"/>
                <w:sz w:val="19"/>
                <w:szCs w:val="19"/>
                <w:lang w:val="es-ES"/>
              </w:rPr>
              <w:t>Notificación de la petición</w:t>
            </w:r>
          </w:p>
        </w:tc>
        <w:tc>
          <w:tcPr>
            <w:tcW w:w="6570" w:type="dxa"/>
            <w:vAlign w:val="center"/>
          </w:tcPr>
          <w:p w14:paraId="1AC412E6" w14:textId="11A87F13" w:rsidR="001C0DB0" w:rsidRPr="007C5771" w:rsidRDefault="001C0DB0" w:rsidP="00653CC1">
            <w:pPr>
              <w:jc w:val="both"/>
              <w:rPr>
                <w:rFonts w:asciiTheme="majorHAnsi" w:hAnsiTheme="majorHAnsi"/>
                <w:bCs/>
                <w:sz w:val="19"/>
                <w:szCs w:val="19"/>
                <w:lang w:val="es-ES"/>
              </w:rPr>
            </w:pPr>
            <w:r w:rsidRPr="007C5771">
              <w:rPr>
                <w:rFonts w:asciiTheme="majorHAnsi" w:hAnsiTheme="majorHAnsi"/>
                <w:bCs/>
                <w:sz w:val="19"/>
                <w:szCs w:val="19"/>
                <w:lang w:val="es-ES"/>
              </w:rPr>
              <w:t>19 de febrero de 2014</w:t>
            </w:r>
            <w:r w:rsidR="00653CC1" w:rsidRPr="007C5771">
              <w:rPr>
                <w:rStyle w:val="FootnoteReference"/>
                <w:rFonts w:asciiTheme="majorHAnsi" w:hAnsiTheme="majorHAnsi"/>
                <w:bCs/>
                <w:sz w:val="19"/>
                <w:szCs w:val="19"/>
                <w:lang w:val="es-ES"/>
              </w:rPr>
              <w:footnoteReference w:id="8"/>
            </w:r>
            <w:r w:rsidRPr="007C5771">
              <w:rPr>
                <w:rFonts w:asciiTheme="majorHAnsi" w:hAnsiTheme="majorHAnsi"/>
                <w:bCs/>
                <w:sz w:val="19"/>
                <w:szCs w:val="19"/>
                <w:lang w:val="es-ES"/>
              </w:rPr>
              <w:t xml:space="preserve">; </w:t>
            </w:r>
          </w:p>
        </w:tc>
      </w:tr>
      <w:tr w:rsidR="001C0DB0" w:rsidRPr="007C5771" w14:paraId="5DD649E1" w14:textId="77777777" w:rsidTr="00DF0D19">
        <w:tc>
          <w:tcPr>
            <w:tcW w:w="2790" w:type="dxa"/>
            <w:tcBorders>
              <w:top w:val="single" w:sz="6" w:space="0" w:color="auto"/>
              <w:bottom w:val="single" w:sz="6" w:space="0" w:color="auto"/>
            </w:tcBorders>
            <w:shd w:val="clear" w:color="auto" w:fill="386294"/>
            <w:vAlign w:val="center"/>
          </w:tcPr>
          <w:p w14:paraId="2E366C6F"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color w:val="FFFFFF" w:themeColor="background1"/>
                <w:sz w:val="19"/>
                <w:szCs w:val="19"/>
                <w:lang w:val="es-ES"/>
              </w:rPr>
              <w:t>Primera respuesta del Estado</w:t>
            </w:r>
          </w:p>
        </w:tc>
        <w:tc>
          <w:tcPr>
            <w:tcW w:w="6570" w:type="dxa"/>
            <w:vAlign w:val="center"/>
          </w:tcPr>
          <w:p w14:paraId="78EAAC06" w14:textId="77777777" w:rsidR="001C0DB0" w:rsidRPr="007C5771" w:rsidRDefault="001C0DB0" w:rsidP="001C0DB0">
            <w:pPr>
              <w:jc w:val="both"/>
              <w:rPr>
                <w:rFonts w:asciiTheme="majorHAnsi" w:hAnsiTheme="majorHAnsi"/>
                <w:bCs/>
                <w:sz w:val="19"/>
                <w:szCs w:val="19"/>
                <w:lang w:val="es-ES"/>
              </w:rPr>
            </w:pPr>
            <w:r w:rsidRPr="007C5771">
              <w:rPr>
                <w:rFonts w:asciiTheme="majorHAnsi" w:hAnsiTheme="majorHAnsi"/>
                <w:bCs/>
                <w:sz w:val="19"/>
                <w:szCs w:val="19"/>
                <w:lang w:val="es-ES"/>
              </w:rPr>
              <w:t>11 de enero de 2018</w:t>
            </w:r>
          </w:p>
        </w:tc>
      </w:tr>
      <w:tr w:rsidR="001C0DB0" w:rsidRPr="0027399F" w14:paraId="20854537" w14:textId="77777777" w:rsidTr="00DF0D19">
        <w:tc>
          <w:tcPr>
            <w:tcW w:w="2790" w:type="dxa"/>
            <w:tcBorders>
              <w:top w:val="single" w:sz="6" w:space="0" w:color="auto"/>
              <w:bottom w:val="single" w:sz="6" w:space="0" w:color="auto"/>
            </w:tcBorders>
            <w:shd w:val="clear" w:color="auto" w:fill="386294"/>
            <w:vAlign w:val="center"/>
          </w:tcPr>
          <w:p w14:paraId="00DD2591"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Observaciones adicionales de la parte peticionaria</w:t>
            </w:r>
          </w:p>
        </w:tc>
        <w:tc>
          <w:tcPr>
            <w:tcW w:w="6570" w:type="dxa"/>
            <w:vAlign w:val="center"/>
          </w:tcPr>
          <w:p w14:paraId="3EF6E393" w14:textId="10A5E9CA" w:rsidR="001C0DB0" w:rsidRPr="007C5771" w:rsidRDefault="001C0DB0" w:rsidP="002670EF">
            <w:pPr>
              <w:jc w:val="both"/>
              <w:rPr>
                <w:rFonts w:asciiTheme="majorHAnsi" w:hAnsiTheme="majorHAnsi"/>
                <w:bCs/>
                <w:sz w:val="19"/>
                <w:szCs w:val="19"/>
                <w:lang w:val="es-ES"/>
              </w:rPr>
            </w:pPr>
            <w:r w:rsidRPr="007C5771">
              <w:rPr>
                <w:rFonts w:asciiTheme="majorHAnsi" w:hAnsiTheme="majorHAnsi"/>
                <w:bCs/>
                <w:sz w:val="19"/>
                <w:szCs w:val="19"/>
                <w:lang w:val="es-ES"/>
              </w:rPr>
              <w:t>31 de octubre de 2012;</w:t>
            </w:r>
            <w:r w:rsidR="009A661C" w:rsidRPr="007C5771">
              <w:rPr>
                <w:rFonts w:asciiTheme="majorHAnsi" w:hAnsiTheme="majorHAnsi"/>
                <w:bCs/>
                <w:sz w:val="19"/>
                <w:szCs w:val="19"/>
                <w:lang w:val="es-ES"/>
              </w:rPr>
              <w:t xml:space="preserve"> 26 de junio de 2017;</w:t>
            </w:r>
            <w:r w:rsidRPr="007C5771">
              <w:rPr>
                <w:rFonts w:asciiTheme="majorHAnsi" w:hAnsiTheme="majorHAnsi"/>
                <w:bCs/>
                <w:sz w:val="19"/>
                <w:szCs w:val="19"/>
                <w:lang w:val="es-ES"/>
              </w:rPr>
              <w:t xml:space="preserve"> </w:t>
            </w:r>
            <w:r w:rsidR="002670EF" w:rsidRPr="007C5771">
              <w:rPr>
                <w:rFonts w:asciiTheme="majorHAnsi" w:hAnsiTheme="majorHAnsi"/>
                <w:bCs/>
                <w:sz w:val="19"/>
                <w:szCs w:val="19"/>
                <w:lang w:val="es-ES"/>
              </w:rPr>
              <w:t xml:space="preserve">y </w:t>
            </w:r>
            <w:r w:rsidRPr="007C5771">
              <w:rPr>
                <w:rFonts w:asciiTheme="majorHAnsi" w:hAnsiTheme="majorHAnsi"/>
                <w:bCs/>
                <w:sz w:val="19"/>
                <w:szCs w:val="19"/>
                <w:lang w:val="es-ES"/>
              </w:rPr>
              <w:t xml:space="preserve">13 de diciembre de 2018; </w:t>
            </w:r>
          </w:p>
        </w:tc>
      </w:tr>
      <w:tr w:rsidR="001C0DB0" w:rsidRPr="0027399F" w14:paraId="6B301A94" w14:textId="77777777" w:rsidTr="00DF0D19">
        <w:tc>
          <w:tcPr>
            <w:tcW w:w="2790" w:type="dxa"/>
            <w:tcBorders>
              <w:top w:val="single" w:sz="6" w:space="0" w:color="auto"/>
              <w:bottom w:val="single" w:sz="6" w:space="0" w:color="auto"/>
            </w:tcBorders>
            <w:shd w:val="clear" w:color="auto" w:fill="386294"/>
            <w:vAlign w:val="center"/>
          </w:tcPr>
          <w:p w14:paraId="33BD0082"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Observaciones adicionales del Estado</w:t>
            </w:r>
          </w:p>
        </w:tc>
        <w:tc>
          <w:tcPr>
            <w:tcW w:w="6570" w:type="dxa"/>
            <w:vAlign w:val="center"/>
          </w:tcPr>
          <w:p w14:paraId="74C95789" w14:textId="77777777" w:rsidR="001C0DB0" w:rsidRPr="007C5771" w:rsidRDefault="001C0DB0" w:rsidP="001C0DB0">
            <w:pPr>
              <w:jc w:val="both"/>
              <w:rPr>
                <w:rFonts w:asciiTheme="majorHAnsi" w:hAnsiTheme="majorHAnsi"/>
                <w:bCs/>
                <w:sz w:val="19"/>
                <w:szCs w:val="19"/>
                <w:lang w:val="es-ES"/>
              </w:rPr>
            </w:pPr>
            <w:r w:rsidRPr="007C5771">
              <w:rPr>
                <w:rFonts w:asciiTheme="majorHAnsi" w:hAnsiTheme="majorHAnsi"/>
                <w:sz w:val="19"/>
                <w:szCs w:val="19"/>
                <w:lang w:val="es-ES"/>
              </w:rPr>
              <w:t xml:space="preserve">28 de diciembre de 2016; </w:t>
            </w:r>
            <w:r w:rsidRPr="007C5771">
              <w:rPr>
                <w:rFonts w:asciiTheme="majorHAnsi" w:hAnsiTheme="majorHAnsi"/>
                <w:bCs/>
                <w:sz w:val="19"/>
                <w:szCs w:val="19"/>
                <w:lang w:val="es-ES"/>
              </w:rPr>
              <w:t>20 de julio de 2017; 11 de enero de 2019</w:t>
            </w:r>
          </w:p>
        </w:tc>
      </w:tr>
      <w:tr w:rsidR="001C0DB0" w:rsidRPr="007C5771" w14:paraId="0591A585" w14:textId="77777777" w:rsidTr="00DF0D19">
        <w:tc>
          <w:tcPr>
            <w:tcW w:w="2790" w:type="dxa"/>
            <w:tcBorders>
              <w:top w:val="single" w:sz="6" w:space="0" w:color="auto"/>
              <w:bottom w:val="single" w:sz="6" w:space="0" w:color="auto"/>
            </w:tcBorders>
            <w:shd w:val="clear" w:color="auto" w:fill="386294"/>
            <w:vAlign w:val="center"/>
          </w:tcPr>
          <w:p w14:paraId="2F788AB1"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Advertencia de archivo</w:t>
            </w:r>
          </w:p>
        </w:tc>
        <w:tc>
          <w:tcPr>
            <w:tcW w:w="6570" w:type="dxa"/>
            <w:vAlign w:val="center"/>
          </w:tcPr>
          <w:p w14:paraId="3E6D6392" w14:textId="77777777" w:rsidR="001C0DB0" w:rsidRPr="007C5771" w:rsidRDefault="001D556D" w:rsidP="001C0DB0">
            <w:pPr>
              <w:jc w:val="both"/>
              <w:rPr>
                <w:rFonts w:asciiTheme="majorHAnsi" w:hAnsiTheme="majorHAnsi"/>
                <w:bCs/>
                <w:sz w:val="19"/>
                <w:szCs w:val="19"/>
                <w:lang w:val="es-ES"/>
              </w:rPr>
            </w:pPr>
            <w:r w:rsidRPr="007C5771">
              <w:rPr>
                <w:rFonts w:asciiTheme="majorHAnsi" w:hAnsiTheme="majorHAnsi"/>
                <w:bCs/>
                <w:sz w:val="19"/>
                <w:szCs w:val="19"/>
                <w:lang w:val="es-ES"/>
              </w:rPr>
              <w:t xml:space="preserve">28 de diciembre </w:t>
            </w:r>
            <w:r w:rsidR="001C0DB0" w:rsidRPr="007C5771">
              <w:rPr>
                <w:rFonts w:asciiTheme="majorHAnsi" w:hAnsiTheme="majorHAnsi"/>
                <w:bCs/>
                <w:sz w:val="19"/>
                <w:szCs w:val="19"/>
                <w:lang w:val="es-ES"/>
              </w:rPr>
              <w:t>de 2017</w:t>
            </w:r>
          </w:p>
        </w:tc>
      </w:tr>
      <w:tr w:rsidR="001C0DB0" w:rsidRPr="007C5771" w14:paraId="4D40CB8A" w14:textId="77777777" w:rsidTr="00DF0D19">
        <w:tc>
          <w:tcPr>
            <w:tcW w:w="2790" w:type="dxa"/>
            <w:tcBorders>
              <w:top w:val="single" w:sz="6" w:space="0" w:color="auto"/>
              <w:bottom w:val="single" w:sz="6" w:space="0" w:color="auto"/>
            </w:tcBorders>
            <w:shd w:val="clear" w:color="auto" w:fill="386294"/>
            <w:vAlign w:val="center"/>
          </w:tcPr>
          <w:p w14:paraId="3F878BC0" w14:textId="77777777" w:rsidR="001C0DB0" w:rsidRPr="007C5771" w:rsidRDefault="001C0DB0" w:rsidP="001C0DB0">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Respuesta a la advertencia de archivo</w:t>
            </w:r>
          </w:p>
        </w:tc>
        <w:tc>
          <w:tcPr>
            <w:tcW w:w="6570" w:type="dxa"/>
            <w:vAlign w:val="center"/>
          </w:tcPr>
          <w:p w14:paraId="4E091393" w14:textId="77777777" w:rsidR="001C0DB0" w:rsidRPr="007C5771" w:rsidRDefault="001C0DB0" w:rsidP="001C0DB0">
            <w:pPr>
              <w:jc w:val="both"/>
              <w:rPr>
                <w:rFonts w:asciiTheme="majorHAnsi" w:hAnsiTheme="majorHAnsi"/>
                <w:bCs/>
                <w:sz w:val="19"/>
                <w:szCs w:val="19"/>
                <w:lang w:val="es-ES"/>
              </w:rPr>
            </w:pPr>
            <w:r w:rsidRPr="007C5771">
              <w:rPr>
                <w:rFonts w:asciiTheme="majorHAnsi" w:hAnsiTheme="majorHAnsi"/>
                <w:bCs/>
                <w:sz w:val="19"/>
                <w:szCs w:val="19"/>
                <w:lang w:val="es-ES"/>
              </w:rPr>
              <w:t>4 de marzo de 2018</w:t>
            </w:r>
          </w:p>
        </w:tc>
      </w:tr>
    </w:tbl>
    <w:p w14:paraId="49CD3E81" w14:textId="77777777" w:rsidR="001C0DB0" w:rsidRPr="007C5771" w:rsidRDefault="001C0DB0" w:rsidP="001C0DB0">
      <w:pPr>
        <w:spacing w:before="120"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t xml:space="preserve">III. </w:t>
      </w:r>
      <w:r w:rsidRPr="007C5771">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7C5771" w14:paraId="5D2DBF8D" w14:textId="77777777" w:rsidTr="00954B82">
        <w:trPr>
          <w:cantSplit/>
        </w:trPr>
        <w:tc>
          <w:tcPr>
            <w:tcW w:w="2790" w:type="dxa"/>
            <w:tcBorders>
              <w:top w:val="single" w:sz="4" w:space="0" w:color="auto"/>
              <w:bottom w:val="single" w:sz="6" w:space="0" w:color="auto"/>
            </w:tcBorders>
            <w:shd w:val="clear" w:color="auto" w:fill="386294"/>
            <w:vAlign w:val="center"/>
          </w:tcPr>
          <w:p w14:paraId="61E3BEBE" w14:textId="77777777" w:rsidR="003239B8" w:rsidRPr="007C5771" w:rsidRDefault="00D77503" w:rsidP="00311D3F">
            <w:pPr>
              <w:jc w:val="center"/>
              <w:rPr>
                <w:rFonts w:ascii="Cambria" w:hAnsi="Cambria"/>
                <w:bCs/>
                <w:i/>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personae</w:t>
            </w:r>
            <w:proofErr w:type="spellEnd"/>
          </w:p>
        </w:tc>
        <w:tc>
          <w:tcPr>
            <w:tcW w:w="6570" w:type="dxa"/>
            <w:vAlign w:val="center"/>
          </w:tcPr>
          <w:p w14:paraId="79195DBB" w14:textId="77777777" w:rsidR="003239B8" w:rsidRPr="007C5771" w:rsidRDefault="00A87D9B" w:rsidP="00311D3F">
            <w:pPr>
              <w:rPr>
                <w:rFonts w:ascii="Cambria" w:hAnsi="Cambria"/>
                <w:bCs/>
                <w:sz w:val="19"/>
                <w:szCs w:val="19"/>
                <w:lang w:val="es-ES"/>
              </w:rPr>
            </w:pPr>
            <w:r w:rsidRPr="007C5771">
              <w:rPr>
                <w:rFonts w:asciiTheme="majorHAnsi" w:hAnsiTheme="majorHAnsi"/>
                <w:sz w:val="19"/>
                <w:szCs w:val="19"/>
                <w:lang w:val="es-ES"/>
              </w:rPr>
              <w:t>Sí</w:t>
            </w:r>
          </w:p>
        </w:tc>
      </w:tr>
      <w:tr w:rsidR="003239B8" w:rsidRPr="007C5771" w14:paraId="1003DF01" w14:textId="77777777" w:rsidTr="00954B82">
        <w:trPr>
          <w:cantSplit/>
        </w:trPr>
        <w:tc>
          <w:tcPr>
            <w:tcW w:w="2790" w:type="dxa"/>
            <w:tcBorders>
              <w:top w:val="single" w:sz="6" w:space="0" w:color="auto"/>
              <w:bottom w:val="single" w:sz="6" w:space="0" w:color="auto"/>
            </w:tcBorders>
            <w:shd w:val="clear" w:color="auto" w:fill="386294"/>
            <w:vAlign w:val="center"/>
          </w:tcPr>
          <w:p w14:paraId="3F1A5E5D" w14:textId="77777777" w:rsidR="003239B8" w:rsidRPr="007C5771" w:rsidRDefault="003239B8" w:rsidP="00D77503">
            <w:pPr>
              <w:jc w:val="center"/>
              <w:rPr>
                <w:rFonts w:ascii="Cambria" w:hAnsi="Cambria"/>
                <w:bCs/>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loci</w:t>
            </w:r>
            <w:proofErr w:type="spellEnd"/>
          </w:p>
        </w:tc>
        <w:tc>
          <w:tcPr>
            <w:tcW w:w="6570" w:type="dxa"/>
            <w:vAlign w:val="center"/>
          </w:tcPr>
          <w:p w14:paraId="71A2DCF7" w14:textId="77777777" w:rsidR="003239B8" w:rsidRPr="007C5771" w:rsidRDefault="00A87D9B" w:rsidP="00311D3F">
            <w:pPr>
              <w:rPr>
                <w:rFonts w:ascii="Cambria" w:hAnsi="Cambria"/>
                <w:bCs/>
                <w:sz w:val="19"/>
                <w:szCs w:val="19"/>
                <w:lang w:val="es-ES"/>
              </w:rPr>
            </w:pPr>
            <w:r w:rsidRPr="007C5771">
              <w:rPr>
                <w:rFonts w:asciiTheme="majorHAnsi" w:hAnsiTheme="majorHAnsi"/>
                <w:sz w:val="19"/>
                <w:szCs w:val="19"/>
                <w:lang w:val="es-ES"/>
              </w:rPr>
              <w:t>Sí</w:t>
            </w:r>
          </w:p>
        </w:tc>
      </w:tr>
      <w:tr w:rsidR="003239B8" w:rsidRPr="007C5771" w14:paraId="34983F56" w14:textId="77777777" w:rsidTr="00954B82">
        <w:trPr>
          <w:cantSplit/>
        </w:trPr>
        <w:tc>
          <w:tcPr>
            <w:tcW w:w="2790" w:type="dxa"/>
            <w:tcBorders>
              <w:top w:val="single" w:sz="6" w:space="0" w:color="auto"/>
              <w:bottom w:val="single" w:sz="6" w:space="0" w:color="auto"/>
            </w:tcBorders>
            <w:shd w:val="clear" w:color="auto" w:fill="386294"/>
            <w:vAlign w:val="center"/>
          </w:tcPr>
          <w:p w14:paraId="7F8ED2CC" w14:textId="77777777" w:rsidR="003239B8" w:rsidRPr="007C5771" w:rsidRDefault="003239B8" w:rsidP="00311D3F">
            <w:pPr>
              <w:jc w:val="center"/>
              <w:rPr>
                <w:rFonts w:ascii="Cambria" w:hAnsi="Cambria"/>
                <w:bCs/>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temporis</w:t>
            </w:r>
            <w:proofErr w:type="spellEnd"/>
          </w:p>
        </w:tc>
        <w:tc>
          <w:tcPr>
            <w:tcW w:w="6570" w:type="dxa"/>
            <w:vAlign w:val="center"/>
          </w:tcPr>
          <w:p w14:paraId="2539C71C" w14:textId="77777777" w:rsidR="003239B8" w:rsidRPr="007C5771" w:rsidRDefault="00A87D9B" w:rsidP="00311D3F">
            <w:pPr>
              <w:rPr>
                <w:rFonts w:ascii="Cambria" w:hAnsi="Cambria"/>
                <w:bCs/>
                <w:sz w:val="19"/>
                <w:szCs w:val="19"/>
                <w:lang w:val="es-ES"/>
              </w:rPr>
            </w:pPr>
            <w:r w:rsidRPr="007C5771">
              <w:rPr>
                <w:rFonts w:asciiTheme="majorHAnsi" w:hAnsiTheme="majorHAnsi"/>
                <w:sz w:val="19"/>
                <w:szCs w:val="19"/>
                <w:lang w:val="es-ES"/>
              </w:rPr>
              <w:t>Sí</w:t>
            </w:r>
          </w:p>
        </w:tc>
      </w:tr>
      <w:tr w:rsidR="003239B8" w:rsidRPr="0027399F" w14:paraId="2A674696" w14:textId="77777777" w:rsidTr="00954B82">
        <w:trPr>
          <w:cantSplit/>
        </w:trPr>
        <w:tc>
          <w:tcPr>
            <w:tcW w:w="2790" w:type="dxa"/>
            <w:tcBorders>
              <w:top w:val="single" w:sz="6" w:space="0" w:color="auto"/>
              <w:bottom w:val="single" w:sz="6" w:space="0" w:color="auto"/>
            </w:tcBorders>
            <w:shd w:val="clear" w:color="auto" w:fill="386294"/>
            <w:vAlign w:val="center"/>
          </w:tcPr>
          <w:p w14:paraId="4FC288A1" w14:textId="77777777" w:rsidR="003239B8" w:rsidRPr="007C5771" w:rsidRDefault="003239B8" w:rsidP="00311D3F">
            <w:pPr>
              <w:jc w:val="center"/>
              <w:rPr>
                <w:rFonts w:ascii="Cambria" w:hAnsi="Cambria"/>
                <w:bCs/>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materia</w:t>
            </w:r>
            <w:r w:rsidR="00EE00E9" w:rsidRPr="007C5771">
              <w:rPr>
                <w:rFonts w:ascii="Cambria" w:hAnsi="Cambria"/>
                <w:bCs/>
                <w:i/>
                <w:color w:val="FFFFFF" w:themeColor="background1"/>
                <w:sz w:val="19"/>
                <w:szCs w:val="19"/>
                <w:lang w:val="es-ES"/>
              </w:rPr>
              <w:t>e</w:t>
            </w:r>
            <w:proofErr w:type="spellEnd"/>
          </w:p>
        </w:tc>
        <w:tc>
          <w:tcPr>
            <w:tcW w:w="6570" w:type="dxa"/>
            <w:vAlign w:val="center"/>
          </w:tcPr>
          <w:p w14:paraId="75005FC7" w14:textId="77777777" w:rsidR="003239B8" w:rsidRPr="007C5771" w:rsidRDefault="00A87D9B" w:rsidP="00311D3F">
            <w:pPr>
              <w:jc w:val="both"/>
              <w:rPr>
                <w:rFonts w:asciiTheme="majorHAnsi" w:hAnsiTheme="majorHAnsi"/>
                <w:bCs/>
                <w:sz w:val="19"/>
                <w:szCs w:val="19"/>
                <w:lang w:val="es-ES"/>
              </w:rPr>
            </w:pPr>
            <w:r w:rsidRPr="007C5771">
              <w:rPr>
                <w:rFonts w:asciiTheme="majorHAnsi" w:hAnsiTheme="majorHAnsi"/>
                <w:sz w:val="19"/>
                <w:szCs w:val="19"/>
                <w:lang w:val="es-ES"/>
              </w:rPr>
              <w:t>Sí, Convención Americana (depósito del instrumento de ratificación realizado el 5 de septiembre de 1984) y Convención de Belém do Pará (depósito de instrumento realizado el 5 de julio de 1996)</w:t>
            </w:r>
          </w:p>
        </w:tc>
      </w:tr>
    </w:tbl>
    <w:p w14:paraId="570BB48B" w14:textId="6E80461D" w:rsidR="003239B8" w:rsidRPr="007C5771" w:rsidRDefault="003239B8" w:rsidP="007C402A">
      <w:pPr>
        <w:spacing w:before="120"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t xml:space="preserve">IV. </w:t>
      </w:r>
      <w:r w:rsidRPr="007C5771">
        <w:rPr>
          <w:rFonts w:asciiTheme="majorHAnsi" w:hAnsiTheme="majorHAnsi"/>
          <w:b/>
          <w:bCs/>
          <w:sz w:val="20"/>
          <w:szCs w:val="20"/>
          <w:lang w:val="es-ES"/>
        </w:rPr>
        <w:tab/>
      </w:r>
      <w:r w:rsidR="00EE00E9" w:rsidRPr="007C5771">
        <w:rPr>
          <w:rFonts w:asciiTheme="majorHAnsi" w:hAnsiTheme="majorHAnsi"/>
          <w:b/>
          <w:bCs/>
          <w:sz w:val="20"/>
          <w:szCs w:val="20"/>
          <w:lang w:val="es-ES"/>
        </w:rPr>
        <w:t>DUPLICACIÓN</w:t>
      </w:r>
      <w:r w:rsidR="00EE00E9" w:rsidRPr="007C5771">
        <w:rPr>
          <w:rFonts w:asciiTheme="majorHAnsi" w:hAnsiTheme="majorHAnsi"/>
          <w:b/>
          <w:bCs/>
          <w:color w:val="FFFFFF" w:themeColor="background1"/>
          <w:sz w:val="20"/>
          <w:szCs w:val="20"/>
          <w:lang w:val="es-ES"/>
        </w:rPr>
        <w:t xml:space="preserve"> </w:t>
      </w:r>
      <w:r w:rsidR="00EE00E9" w:rsidRPr="007C5771">
        <w:rPr>
          <w:rFonts w:asciiTheme="majorHAnsi" w:hAnsiTheme="majorHAnsi"/>
          <w:b/>
          <w:bCs/>
          <w:sz w:val="20"/>
          <w:szCs w:val="20"/>
          <w:lang w:val="es-ES"/>
        </w:rPr>
        <w:t>DE PROCEDIMIENTOS Y COSA JUZGADA</w:t>
      </w:r>
      <w:r w:rsidR="00EE00E9" w:rsidRPr="007C5771">
        <w:rPr>
          <w:rFonts w:asciiTheme="majorHAnsi" w:hAnsiTheme="majorHAnsi"/>
          <w:b/>
          <w:bCs/>
          <w:i/>
          <w:sz w:val="20"/>
          <w:szCs w:val="20"/>
          <w:lang w:val="es-ES"/>
        </w:rPr>
        <w:t xml:space="preserve"> </w:t>
      </w:r>
      <w:r w:rsidR="00661EBD" w:rsidRPr="007C5771">
        <w:rPr>
          <w:rFonts w:asciiTheme="majorHAnsi" w:hAnsiTheme="majorHAnsi"/>
          <w:b/>
          <w:bCs/>
          <w:sz w:val="20"/>
          <w:szCs w:val="20"/>
          <w:lang w:val="es-ES"/>
        </w:rPr>
        <w:t>INTERNACIONAL, CARACTERIZACIÓN</w:t>
      </w:r>
      <w:r w:rsidRPr="007C5771">
        <w:rPr>
          <w:rFonts w:asciiTheme="majorHAnsi" w:hAnsiTheme="majorHAnsi"/>
          <w:b/>
          <w:bCs/>
          <w:sz w:val="20"/>
          <w:szCs w:val="20"/>
          <w:lang w:val="es-ES"/>
        </w:rPr>
        <w:t xml:space="preserve">, </w:t>
      </w:r>
      <w:r w:rsidRPr="007C577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7C5771" w14:paraId="026FCA08" w14:textId="77777777" w:rsidTr="00954B82">
        <w:trPr>
          <w:cantSplit/>
        </w:trPr>
        <w:tc>
          <w:tcPr>
            <w:tcW w:w="2790" w:type="dxa"/>
            <w:tcBorders>
              <w:top w:val="single" w:sz="4" w:space="0" w:color="auto"/>
              <w:bottom w:val="single" w:sz="6" w:space="0" w:color="auto"/>
            </w:tcBorders>
            <w:shd w:val="clear" w:color="auto" w:fill="386294"/>
            <w:vAlign w:val="center"/>
          </w:tcPr>
          <w:p w14:paraId="771A2058" w14:textId="77777777" w:rsidR="00EE00E9" w:rsidRPr="007C5771" w:rsidRDefault="00EE00E9" w:rsidP="00954B82">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 xml:space="preserve">Duplicación </w:t>
            </w:r>
            <w:r w:rsidR="00D77503" w:rsidRPr="007C5771">
              <w:rPr>
                <w:rFonts w:asciiTheme="majorHAnsi" w:hAnsiTheme="majorHAnsi"/>
                <w:bCs/>
                <w:color w:val="FFFFFF" w:themeColor="background1"/>
                <w:sz w:val="19"/>
                <w:szCs w:val="19"/>
                <w:lang w:val="es-ES"/>
              </w:rPr>
              <w:t>y cosa juzgada internacional</w:t>
            </w:r>
          </w:p>
        </w:tc>
        <w:tc>
          <w:tcPr>
            <w:tcW w:w="6570" w:type="dxa"/>
            <w:vAlign w:val="center"/>
          </w:tcPr>
          <w:p w14:paraId="4057C6BB" w14:textId="77777777" w:rsidR="00EE00E9" w:rsidRPr="007C5771" w:rsidRDefault="00640AE4" w:rsidP="00311D3F">
            <w:pPr>
              <w:jc w:val="both"/>
              <w:rPr>
                <w:rFonts w:asciiTheme="majorHAnsi" w:hAnsiTheme="majorHAnsi"/>
                <w:bCs/>
                <w:sz w:val="19"/>
                <w:szCs w:val="19"/>
                <w:lang w:val="es-ES"/>
              </w:rPr>
            </w:pPr>
            <w:r w:rsidRPr="007C5771">
              <w:rPr>
                <w:rFonts w:asciiTheme="majorHAnsi" w:hAnsiTheme="majorHAnsi"/>
                <w:bCs/>
                <w:sz w:val="19"/>
                <w:szCs w:val="19"/>
                <w:lang w:val="es-ES"/>
              </w:rPr>
              <w:t xml:space="preserve">No </w:t>
            </w:r>
          </w:p>
        </w:tc>
      </w:tr>
      <w:tr w:rsidR="003239B8" w:rsidRPr="0027399F" w14:paraId="78695D54" w14:textId="77777777" w:rsidTr="00954B82">
        <w:trPr>
          <w:cantSplit/>
        </w:trPr>
        <w:tc>
          <w:tcPr>
            <w:tcW w:w="2790" w:type="dxa"/>
            <w:tcBorders>
              <w:top w:val="single" w:sz="4" w:space="0" w:color="auto"/>
              <w:bottom w:val="single" w:sz="6" w:space="0" w:color="auto"/>
            </w:tcBorders>
            <w:shd w:val="clear" w:color="auto" w:fill="386294"/>
            <w:vAlign w:val="center"/>
          </w:tcPr>
          <w:p w14:paraId="15A63D12" w14:textId="77777777" w:rsidR="003239B8" w:rsidRPr="007C5771" w:rsidRDefault="003239B8" w:rsidP="00954B82">
            <w:pPr>
              <w:jc w:val="center"/>
              <w:rPr>
                <w:rFonts w:asciiTheme="majorHAnsi" w:hAnsiTheme="majorHAnsi"/>
                <w:bCs/>
                <w:i/>
                <w:color w:val="FFFFFF" w:themeColor="background1"/>
                <w:sz w:val="19"/>
                <w:szCs w:val="19"/>
                <w:lang w:val="es-ES"/>
              </w:rPr>
            </w:pPr>
            <w:r w:rsidRPr="007C5771">
              <w:rPr>
                <w:rFonts w:asciiTheme="majorHAnsi" w:hAnsiTheme="majorHAnsi"/>
                <w:bCs/>
                <w:color w:val="FFFFFF" w:themeColor="background1"/>
                <w:sz w:val="19"/>
                <w:szCs w:val="19"/>
                <w:lang w:val="es-ES"/>
              </w:rPr>
              <w:t>Derechos admi</w:t>
            </w:r>
            <w:r w:rsidR="00954B82" w:rsidRPr="007C5771">
              <w:rPr>
                <w:rFonts w:asciiTheme="majorHAnsi" w:hAnsiTheme="majorHAnsi"/>
                <w:bCs/>
                <w:color w:val="FFFFFF" w:themeColor="background1"/>
                <w:sz w:val="19"/>
                <w:szCs w:val="19"/>
                <w:lang w:val="es-ES"/>
              </w:rPr>
              <w:t>tidos</w:t>
            </w:r>
          </w:p>
        </w:tc>
        <w:tc>
          <w:tcPr>
            <w:tcW w:w="6570" w:type="dxa"/>
            <w:vAlign w:val="center"/>
          </w:tcPr>
          <w:p w14:paraId="25819CCE" w14:textId="53038752" w:rsidR="003239B8" w:rsidRPr="007C5771" w:rsidRDefault="001B5E87" w:rsidP="00A32A55">
            <w:pPr>
              <w:jc w:val="both"/>
              <w:rPr>
                <w:rFonts w:asciiTheme="majorHAnsi" w:hAnsiTheme="majorHAnsi"/>
                <w:bCs/>
                <w:sz w:val="19"/>
                <w:szCs w:val="19"/>
                <w:lang w:val="es-ES"/>
              </w:rPr>
            </w:pPr>
            <w:r w:rsidRPr="007C5771">
              <w:rPr>
                <w:rFonts w:asciiTheme="majorHAnsi" w:hAnsiTheme="majorHAnsi"/>
                <w:bCs/>
                <w:sz w:val="19"/>
                <w:szCs w:val="19"/>
                <w:lang w:val="es-AR"/>
              </w:rPr>
              <w:t>Artículos</w:t>
            </w:r>
            <w:r w:rsidR="005D3E87" w:rsidRPr="007C5771">
              <w:rPr>
                <w:rFonts w:asciiTheme="majorHAnsi" w:hAnsiTheme="majorHAnsi"/>
                <w:bCs/>
                <w:sz w:val="19"/>
                <w:szCs w:val="19"/>
                <w:lang w:val="es-AR"/>
              </w:rPr>
              <w:t xml:space="preserve"> 5 (integridad personal),</w:t>
            </w:r>
            <w:r w:rsidRPr="007C5771">
              <w:rPr>
                <w:rFonts w:asciiTheme="majorHAnsi" w:hAnsiTheme="majorHAnsi"/>
                <w:bCs/>
                <w:sz w:val="19"/>
                <w:szCs w:val="19"/>
                <w:lang w:val="es-AR"/>
              </w:rPr>
              <w:t xml:space="preserve"> 8 (garan</w:t>
            </w:r>
            <w:r w:rsidR="00626B89" w:rsidRPr="007C5771">
              <w:rPr>
                <w:rFonts w:asciiTheme="majorHAnsi" w:hAnsiTheme="majorHAnsi"/>
                <w:bCs/>
                <w:sz w:val="19"/>
                <w:szCs w:val="19"/>
                <w:lang w:val="es-AR"/>
              </w:rPr>
              <w:t>tías judiciales), 19 (derecho del</w:t>
            </w:r>
            <w:r w:rsidRPr="007C5771">
              <w:rPr>
                <w:rFonts w:asciiTheme="majorHAnsi" w:hAnsiTheme="majorHAnsi"/>
                <w:bCs/>
                <w:sz w:val="19"/>
                <w:szCs w:val="19"/>
                <w:lang w:val="es-AR"/>
              </w:rPr>
              <w:t xml:space="preserve"> niño)</w:t>
            </w:r>
            <w:r w:rsidR="00EB2FF5" w:rsidRPr="007C5771">
              <w:rPr>
                <w:rFonts w:asciiTheme="majorHAnsi" w:hAnsiTheme="majorHAnsi"/>
                <w:bCs/>
                <w:sz w:val="19"/>
                <w:szCs w:val="19"/>
                <w:lang w:val="es-AR"/>
              </w:rPr>
              <w:t xml:space="preserve"> y</w:t>
            </w:r>
            <w:r w:rsidRPr="007C5771">
              <w:rPr>
                <w:rFonts w:asciiTheme="majorHAnsi" w:hAnsiTheme="majorHAnsi"/>
                <w:bCs/>
                <w:sz w:val="19"/>
                <w:szCs w:val="19"/>
                <w:lang w:val="es-AR"/>
              </w:rPr>
              <w:t xml:space="preserve"> 25 (protección judicial) </w:t>
            </w:r>
            <w:r w:rsidRPr="007C5771">
              <w:rPr>
                <w:rFonts w:asciiTheme="majorHAnsi" w:hAnsiTheme="majorHAnsi"/>
                <w:bCs/>
                <w:sz w:val="19"/>
                <w:szCs w:val="19"/>
                <w:lang w:val="es-ES"/>
              </w:rPr>
              <w:t>de la Convención Americana</w:t>
            </w:r>
            <w:r w:rsidRPr="007C5771">
              <w:rPr>
                <w:rFonts w:asciiTheme="majorHAnsi" w:hAnsiTheme="majorHAnsi"/>
                <w:bCs/>
                <w:sz w:val="19"/>
                <w:szCs w:val="19"/>
                <w:lang w:val="es-AR"/>
              </w:rPr>
              <w:t xml:space="preserve"> en relación con sus artículos 1.1 (obligación de respetar los derechos) y 2 (deber de adoptar disp</w:t>
            </w:r>
            <w:r w:rsidR="00A32A55" w:rsidRPr="007C5771">
              <w:rPr>
                <w:rFonts w:asciiTheme="majorHAnsi" w:hAnsiTheme="majorHAnsi"/>
                <w:bCs/>
                <w:sz w:val="19"/>
                <w:szCs w:val="19"/>
                <w:lang w:val="es-AR"/>
              </w:rPr>
              <w:t>osiciones de derecho interno); y</w:t>
            </w:r>
            <w:r w:rsidR="00AC76E6" w:rsidRPr="007C5771">
              <w:rPr>
                <w:rFonts w:asciiTheme="majorHAnsi" w:hAnsiTheme="majorHAnsi"/>
                <w:bCs/>
                <w:sz w:val="19"/>
                <w:szCs w:val="19"/>
                <w:lang w:val="es-AR"/>
              </w:rPr>
              <w:t xml:space="preserve"> </w:t>
            </w:r>
            <w:r w:rsidR="00A32A55" w:rsidRPr="007C5771">
              <w:rPr>
                <w:rFonts w:asciiTheme="majorHAnsi" w:hAnsiTheme="majorHAnsi"/>
                <w:bCs/>
                <w:sz w:val="19"/>
                <w:szCs w:val="19"/>
                <w:lang w:val="es-AR"/>
              </w:rPr>
              <w:t>A</w:t>
            </w:r>
            <w:r w:rsidR="00EB2FF5" w:rsidRPr="007C5771">
              <w:rPr>
                <w:rFonts w:asciiTheme="majorHAnsi" w:hAnsiTheme="majorHAnsi"/>
                <w:bCs/>
                <w:sz w:val="19"/>
                <w:szCs w:val="19"/>
                <w:lang w:val="es-AR"/>
              </w:rPr>
              <w:t>rtículo</w:t>
            </w:r>
            <w:r w:rsidRPr="007C5771">
              <w:rPr>
                <w:rFonts w:asciiTheme="majorHAnsi" w:hAnsiTheme="majorHAnsi"/>
                <w:bCs/>
                <w:sz w:val="19"/>
                <w:szCs w:val="19"/>
                <w:lang w:val="es-AR"/>
              </w:rPr>
              <w:t xml:space="preserve"> 7 </w:t>
            </w:r>
            <w:r w:rsidRPr="007C5771">
              <w:rPr>
                <w:rFonts w:asciiTheme="majorHAnsi" w:hAnsiTheme="majorHAnsi"/>
                <w:sz w:val="19"/>
                <w:szCs w:val="19"/>
                <w:lang w:val="es-ES"/>
              </w:rPr>
              <w:t>de la Convención de Belém do Pará</w:t>
            </w:r>
          </w:p>
        </w:tc>
      </w:tr>
      <w:tr w:rsidR="003239B8" w:rsidRPr="0027399F" w14:paraId="5A43A72E" w14:textId="77777777" w:rsidTr="00954B82">
        <w:trPr>
          <w:cantSplit/>
        </w:trPr>
        <w:tc>
          <w:tcPr>
            <w:tcW w:w="2790" w:type="dxa"/>
            <w:tcBorders>
              <w:top w:val="single" w:sz="6" w:space="0" w:color="auto"/>
              <w:bottom w:val="single" w:sz="6" w:space="0" w:color="auto"/>
            </w:tcBorders>
            <w:shd w:val="clear" w:color="auto" w:fill="386294"/>
            <w:vAlign w:val="center"/>
          </w:tcPr>
          <w:p w14:paraId="7D2E5F31" w14:textId="77777777" w:rsidR="003239B8" w:rsidRPr="007C5771" w:rsidRDefault="003239B8" w:rsidP="006775AB">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Agotamiento de</w:t>
            </w:r>
            <w:r w:rsidR="0069402E" w:rsidRPr="007C5771">
              <w:rPr>
                <w:rFonts w:asciiTheme="majorHAnsi" w:hAnsiTheme="majorHAnsi"/>
                <w:bCs/>
                <w:color w:val="FFFFFF" w:themeColor="background1"/>
                <w:sz w:val="19"/>
                <w:szCs w:val="19"/>
                <w:lang w:val="es-ES"/>
              </w:rPr>
              <w:t xml:space="preserve"> </w:t>
            </w:r>
            <w:r w:rsidRPr="007C5771">
              <w:rPr>
                <w:rFonts w:asciiTheme="majorHAnsi" w:hAnsiTheme="majorHAnsi"/>
                <w:bCs/>
                <w:color w:val="FFFFFF" w:themeColor="background1"/>
                <w:sz w:val="19"/>
                <w:szCs w:val="19"/>
                <w:lang w:val="es-ES"/>
              </w:rPr>
              <w:t xml:space="preserve">recursos </w:t>
            </w:r>
            <w:r w:rsidR="00D77503" w:rsidRPr="007C5771">
              <w:rPr>
                <w:rFonts w:asciiTheme="majorHAnsi" w:hAnsiTheme="majorHAnsi"/>
                <w:bCs/>
                <w:color w:val="FFFFFF" w:themeColor="background1"/>
                <w:sz w:val="19"/>
                <w:szCs w:val="19"/>
                <w:lang w:val="es-ES"/>
              </w:rPr>
              <w:t>o procedencia de una excepción</w:t>
            </w:r>
          </w:p>
        </w:tc>
        <w:tc>
          <w:tcPr>
            <w:tcW w:w="6570" w:type="dxa"/>
            <w:vAlign w:val="center"/>
          </w:tcPr>
          <w:p w14:paraId="7706C86B" w14:textId="5AEE11BB" w:rsidR="003239B8" w:rsidRPr="007C5771" w:rsidRDefault="00640AE4" w:rsidP="00A12735">
            <w:pPr>
              <w:rPr>
                <w:rFonts w:asciiTheme="majorHAnsi" w:hAnsiTheme="majorHAnsi"/>
                <w:bCs/>
                <w:sz w:val="19"/>
                <w:szCs w:val="19"/>
                <w:lang w:val="es-PA"/>
              </w:rPr>
            </w:pPr>
            <w:r w:rsidRPr="007C5771">
              <w:rPr>
                <w:rFonts w:asciiTheme="majorHAnsi" w:hAnsiTheme="majorHAnsi"/>
                <w:sz w:val="19"/>
                <w:szCs w:val="19"/>
                <w:lang w:val="es-ES"/>
              </w:rPr>
              <w:t xml:space="preserve">Sí, </w:t>
            </w:r>
            <w:r w:rsidR="00A12735" w:rsidRPr="007C5771">
              <w:rPr>
                <w:rFonts w:asciiTheme="majorHAnsi" w:hAnsiTheme="majorHAnsi"/>
                <w:sz w:val="19"/>
                <w:szCs w:val="19"/>
                <w:lang w:val="es-ES"/>
              </w:rPr>
              <w:t>en los t</w:t>
            </w:r>
            <w:proofErr w:type="spellStart"/>
            <w:r w:rsidR="00A12735" w:rsidRPr="007C5771">
              <w:rPr>
                <w:rFonts w:asciiTheme="majorHAnsi" w:hAnsiTheme="majorHAnsi"/>
                <w:sz w:val="19"/>
                <w:szCs w:val="19"/>
                <w:lang w:val="es-PA"/>
              </w:rPr>
              <w:t>érminos</w:t>
            </w:r>
            <w:proofErr w:type="spellEnd"/>
            <w:r w:rsidR="00A12735" w:rsidRPr="007C5771">
              <w:rPr>
                <w:rFonts w:asciiTheme="majorHAnsi" w:hAnsiTheme="majorHAnsi"/>
                <w:sz w:val="19"/>
                <w:szCs w:val="19"/>
                <w:lang w:val="es-PA"/>
              </w:rPr>
              <w:t xml:space="preserve"> de la sección VI</w:t>
            </w:r>
          </w:p>
        </w:tc>
      </w:tr>
      <w:tr w:rsidR="003239B8" w:rsidRPr="0027399F" w14:paraId="0D6C9840" w14:textId="77777777" w:rsidTr="00954B82">
        <w:trPr>
          <w:cantSplit/>
        </w:trPr>
        <w:tc>
          <w:tcPr>
            <w:tcW w:w="2790" w:type="dxa"/>
            <w:tcBorders>
              <w:top w:val="single" w:sz="6" w:space="0" w:color="auto"/>
              <w:bottom w:val="single" w:sz="6" w:space="0" w:color="auto"/>
            </w:tcBorders>
            <w:shd w:val="clear" w:color="auto" w:fill="386294"/>
            <w:vAlign w:val="center"/>
          </w:tcPr>
          <w:p w14:paraId="707188B8" w14:textId="77777777" w:rsidR="003239B8" w:rsidRPr="007C5771" w:rsidRDefault="00D77503" w:rsidP="00311D3F">
            <w:pPr>
              <w:jc w:val="center"/>
              <w:rPr>
                <w:rFonts w:asciiTheme="majorHAnsi" w:hAnsiTheme="majorHAnsi"/>
                <w:bCs/>
                <w:color w:val="FFFFFF" w:themeColor="background1"/>
                <w:sz w:val="19"/>
                <w:szCs w:val="19"/>
                <w:lang w:val="es-ES"/>
              </w:rPr>
            </w:pPr>
            <w:r w:rsidRPr="007C5771">
              <w:rPr>
                <w:rFonts w:asciiTheme="majorHAnsi" w:hAnsiTheme="majorHAnsi"/>
                <w:bCs/>
                <w:color w:val="FFFFFF" w:themeColor="background1"/>
                <w:sz w:val="19"/>
                <w:szCs w:val="19"/>
                <w:lang w:val="es-ES"/>
              </w:rPr>
              <w:t>Presentación dentro de plazo</w:t>
            </w:r>
          </w:p>
        </w:tc>
        <w:tc>
          <w:tcPr>
            <w:tcW w:w="6570" w:type="dxa"/>
            <w:vAlign w:val="center"/>
          </w:tcPr>
          <w:p w14:paraId="4E96E218" w14:textId="77777777" w:rsidR="003239B8" w:rsidRPr="007C5771" w:rsidRDefault="00640AE4" w:rsidP="00311D3F">
            <w:pPr>
              <w:rPr>
                <w:rFonts w:asciiTheme="majorHAnsi" w:hAnsiTheme="majorHAnsi"/>
                <w:bCs/>
                <w:sz w:val="19"/>
                <w:szCs w:val="19"/>
                <w:lang w:val="es-ES"/>
              </w:rPr>
            </w:pPr>
            <w:r w:rsidRPr="007C5771">
              <w:rPr>
                <w:rFonts w:asciiTheme="majorHAnsi" w:hAnsiTheme="majorHAnsi"/>
                <w:sz w:val="19"/>
                <w:szCs w:val="19"/>
                <w:lang w:val="es-ES"/>
              </w:rPr>
              <w:t xml:space="preserve">Sí, </w:t>
            </w:r>
            <w:r w:rsidRPr="007C5771">
              <w:rPr>
                <w:rFonts w:asciiTheme="majorHAnsi" w:hAnsiTheme="majorHAnsi"/>
                <w:bCs/>
                <w:sz w:val="19"/>
                <w:szCs w:val="19"/>
                <w:lang w:val="es-AR"/>
              </w:rPr>
              <w:t>en los términos de la sección VI</w:t>
            </w:r>
          </w:p>
        </w:tc>
      </w:tr>
    </w:tbl>
    <w:p w14:paraId="1A198773" w14:textId="77777777" w:rsidR="00B520EC" w:rsidRPr="007C5771" w:rsidRDefault="00B520EC" w:rsidP="001F55DC">
      <w:pPr>
        <w:spacing w:before="120" w:after="120"/>
        <w:contextualSpacing/>
        <w:jc w:val="both"/>
        <w:rPr>
          <w:rFonts w:asciiTheme="majorHAnsi" w:hAnsiTheme="majorHAnsi"/>
          <w:b/>
          <w:sz w:val="20"/>
          <w:szCs w:val="20"/>
          <w:lang w:val="es-ES"/>
        </w:rPr>
      </w:pPr>
    </w:p>
    <w:p w14:paraId="0AC40D61" w14:textId="77777777" w:rsidR="0027399F" w:rsidRDefault="0027399F" w:rsidP="001F55DC">
      <w:pPr>
        <w:spacing w:before="120" w:after="120"/>
        <w:ind w:firstLine="720"/>
        <w:contextualSpacing/>
        <w:jc w:val="both"/>
        <w:rPr>
          <w:rFonts w:asciiTheme="majorHAnsi" w:hAnsiTheme="majorHAnsi"/>
          <w:b/>
          <w:sz w:val="20"/>
          <w:szCs w:val="20"/>
          <w:lang w:val="es-ES"/>
        </w:rPr>
        <w:sectPr w:rsidR="0027399F" w:rsidSect="00934A2C">
          <w:type w:val="oddPage"/>
          <w:pgSz w:w="12240" w:h="15840"/>
          <w:pgMar w:top="1440" w:right="1440" w:bottom="1440" w:left="1440" w:header="720" w:footer="720" w:gutter="0"/>
          <w:pgNumType w:start="1"/>
          <w:cols w:space="720"/>
          <w:docGrid w:linePitch="326"/>
        </w:sectPr>
      </w:pPr>
    </w:p>
    <w:p w14:paraId="606E0318" w14:textId="27AF4A59" w:rsidR="003239B8" w:rsidRPr="007C5771" w:rsidRDefault="00223A29" w:rsidP="0027399F">
      <w:pPr>
        <w:spacing w:before="120" w:after="240"/>
        <w:ind w:firstLine="720"/>
        <w:contextualSpacing/>
        <w:jc w:val="both"/>
        <w:rPr>
          <w:rFonts w:asciiTheme="majorHAnsi" w:hAnsiTheme="majorHAnsi"/>
          <w:b/>
          <w:sz w:val="20"/>
          <w:szCs w:val="20"/>
          <w:lang w:val="es-ES"/>
        </w:rPr>
      </w:pPr>
      <w:r w:rsidRPr="007C5771">
        <w:rPr>
          <w:rFonts w:asciiTheme="majorHAnsi" w:hAnsiTheme="majorHAnsi"/>
          <w:b/>
          <w:sz w:val="20"/>
          <w:szCs w:val="20"/>
          <w:lang w:val="es-ES"/>
        </w:rPr>
        <w:lastRenderedPageBreak/>
        <w:t xml:space="preserve">V. </w:t>
      </w:r>
      <w:r w:rsidRPr="007C5771">
        <w:rPr>
          <w:rFonts w:asciiTheme="majorHAnsi" w:hAnsiTheme="majorHAnsi"/>
          <w:b/>
          <w:sz w:val="20"/>
          <w:szCs w:val="20"/>
          <w:lang w:val="es-ES"/>
        </w:rPr>
        <w:tab/>
      </w:r>
      <w:r w:rsidR="0034224A" w:rsidRPr="007C5771">
        <w:rPr>
          <w:rFonts w:asciiTheme="majorHAnsi" w:hAnsiTheme="majorHAnsi"/>
          <w:b/>
          <w:sz w:val="20"/>
          <w:szCs w:val="20"/>
          <w:lang w:val="es-ES"/>
        </w:rPr>
        <w:t>RESUMEN DE LOS HECHOS ALEGADOS</w:t>
      </w:r>
    </w:p>
    <w:p w14:paraId="77799206" w14:textId="657E9F3D" w:rsidR="00311D3F" w:rsidRPr="007C5771" w:rsidRDefault="00311D3F"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7C5771">
        <w:rPr>
          <w:rFonts w:asciiTheme="majorHAnsi" w:hAnsiTheme="majorHAnsi"/>
          <w:sz w:val="20"/>
          <w:szCs w:val="20"/>
          <w:lang w:val="es-ES_tradnl"/>
        </w:rPr>
        <w:t xml:space="preserve">La </w:t>
      </w:r>
      <w:r w:rsidR="00661EBD" w:rsidRPr="007C5771">
        <w:rPr>
          <w:rFonts w:asciiTheme="majorHAnsi" w:hAnsiTheme="majorHAnsi"/>
          <w:sz w:val="20"/>
          <w:szCs w:val="20"/>
          <w:lang w:val="es-ES_tradnl"/>
        </w:rPr>
        <w:t>p</w:t>
      </w:r>
      <w:r w:rsidRPr="007C5771">
        <w:rPr>
          <w:rFonts w:asciiTheme="majorHAnsi" w:hAnsiTheme="majorHAnsi"/>
          <w:sz w:val="20"/>
          <w:szCs w:val="20"/>
          <w:lang w:val="es-ES_tradnl"/>
        </w:rPr>
        <w:t xml:space="preserve">arte peticionaria </w:t>
      </w:r>
      <w:r w:rsidR="0016202D" w:rsidRPr="007C5771">
        <w:rPr>
          <w:rFonts w:asciiTheme="majorHAnsi" w:hAnsiTheme="majorHAnsi"/>
          <w:sz w:val="20"/>
          <w:szCs w:val="20"/>
          <w:lang w:val="es-ES_tradnl"/>
        </w:rPr>
        <w:t xml:space="preserve">denuncia </w:t>
      </w:r>
      <w:r w:rsidRPr="007C5771">
        <w:rPr>
          <w:rFonts w:asciiTheme="majorHAnsi" w:hAnsiTheme="majorHAnsi"/>
          <w:sz w:val="20"/>
          <w:szCs w:val="20"/>
          <w:lang w:val="es-ES_tradnl"/>
        </w:rPr>
        <w:t xml:space="preserve">violaciones </w:t>
      </w:r>
      <w:r w:rsidR="00661EBD" w:rsidRPr="007C5771">
        <w:rPr>
          <w:rFonts w:asciiTheme="majorHAnsi" w:hAnsiTheme="majorHAnsi"/>
          <w:sz w:val="20"/>
          <w:szCs w:val="20"/>
          <w:lang w:val="es-ES_tradnl"/>
        </w:rPr>
        <w:t>de</w:t>
      </w:r>
      <w:r w:rsidRPr="007C5771">
        <w:rPr>
          <w:rFonts w:asciiTheme="majorHAnsi" w:hAnsiTheme="majorHAnsi"/>
          <w:sz w:val="20"/>
          <w:szCs w:val="20"/>
          <w:lang w:val="es-ES_tradnl"/>
        </w:rPr>
        <w:t xml:space="preserve"> derechos humanos</w:t>
      </w:r>
      <w:r w:rsidR="00BD2D0D" w:rsidRPr="007C5771">
        <w:rPr>
          <w:rFonts w:asciiTheme="majorHAnsi" w:hAnsiTheme="majorHAnsi"/>
          <w:sz w:val="20"/>
          <w:szCs w:val="20"/>
          <w:lang w:val="es-ES_tradnl"/>
        </w:rPr>
        <w:t xml:space="preserve"> </w:t>
      </w:r>
      <w:r w:rsidR="00661EBD" w:rsidRPr="007C5771">
        <w:rPr>
          <w:rFonts w:asciiTheme="majorHAnsi" w:hAnsiTheme="majorHAnsi"/>
          <w:sz w:val="20"/>
          <w:szCs w:val="20"/>
          <w:lang w:val="es-ES_tradnl"/>
        </w:rPr>
        <w:t xml:space="preserve">en perjuicio </w:t>
      </w:r>
      <w:r w:rsidR="005846E6" w:rsidRPr="007C5771">
        <w:rPr>
          <w:rFonts w:asciiTheme="majorHAnsi" w:hAnsiTheme="majorHAnsi"/>
          <w:sz w:val="20"/>
          <w:szCs w:val="20"/>
          <w:lang w:val="es-ES_tradnl"/>
        </w:rPr>
        <w:t>de Rita María Pérez, sus dos hijos</w:t>
      </w:r>
      <w:r w:rsidR="005846E6" w:rsidRPr="007C5771">
        <w:rPr>
          <w:rStyle w:val="FootnoteReference"/>
          <w:rFonts w:asciiTheme="majorHAnsi" w:hAnsiTheme="majorHAnsi"/>
          <w:sz w:val="20"/>
          <w:szCs w:val="20"/>
          <w:lang w:val="es-ES_tradnl"/>
        </w:rPr>
        <w:footnoteReference w:id="9"/>
      </w:r>
      <w:r w:rsidR="005846E6" w:rsidRPr="007C5771">
        <w:rPr>
          <w:rFonts w:asciiTheme="majorHAnsi" w:hAnsiTheme="majorHAnsi"/>
          <w:sz w:val="20"/>
          <w:szCs w:val="20"/>
          <w:lang w:val="es-ES_tradnl"/>
        </w:rPr>
        <w:t xml:space="preserve"> y su hija</w:t>
      </w:r>
      <w:r w:rsidR="005846E6" w:rsidRPr="007C5771">
        <w:rPr>
          <w:rStyle w:val="FootnoteReference"/>
          <w:rFonts w:asciiTheme="majorHAnsi" w:hAnsiTheme="majorHAnsi"/>
          <w:sz w:val="20"/>
          <w:szCs w:val="20"/>
          <w:lang w:val="es-ES_tradnl"/>
        </w:rPr>
        <w:footnoteReference w:id="10"/>
      </w:r>
      <w:r w:rsidRPr="007C5771">
        <w:rPr>
          <w:rFonts w:asciiTheme="majorHAnsi" w:hAnsiTheme="majorHAnsi"/>
          <w:sz w:val="20"/>
          <w:szCs w:val="20"/>
          <w:lang w:val="es-ES_tradnl"/>
        </w:rPr>
        <w:t xml:space="preserve"> (en adelante “las presuntas víctimas</w:t>
      </w:r>
      <w:r w:rsidR="00DF0D19" w:rsidRPr="007C5771">
        <w:rPr>
          <w:rFonts w:asciiTheme="majorHAnsi" w:hAnsiTheme="majorHAnsi"/>
          <w:sz w:val="20"/>
          <w:szCs w:val="20"/>
          <w:lang w:val="es-ES_tradnl"/>
        </w:rPr>
        <w:t>”)</w:t>
      </w:r>
      <w:r w:rsidR="00661EBD" w:rsidRPr="007C5771">
        <w:rPr>
          <w:rFonts w:asciiTheme="majorHAnsi" w:hAnsiTheme="majorHAnsi"/>
          <w:sz w:val="20"/>
          <w:szCs w:val="20"/>
          <w:lang w:val="es-ES_tradnl"/>
        </w:rPr>
        <w:t>.</w:t>
      </w:r>
      <w:r w:rsidR="00DF0D19" w:rsidRPr="007C5771">
        <w:rPr>
          <w:rFonts w:asciiTheme="majorHAnsi" w:hAnsiTheme="majorHAnsi"/>
          <w:sz w:val="20"/>
          <w:szCs w:val="20"/>
          <w:lang w:val="es-ES_tradnl"/>
        </w:rPr>
        <w:t xml:space="preserve"> </w:t>
      </w:r>
      <w:r w:rsidR="00661EBD" w:rsidRPr="007C5771">
        <w:rPr>
          <w:rFonts w:asciiTheme="majorHAnsi" w:hAnsiTheme="majorHAnsi"/>
          <w:sz w:val="20"/>
          <w:szCs w:val="20"/>
          <w:lang w:val="es-ES_tradnl"/>
        </w:rPr>
        <w:t>A</w:t>
      </w:r>
      <w:r w:rsidR="00BD2D0D" w:rsidRPr="007C5771">
        <w:rPr>
          <w:rFonts w:asciiTheme="majorHAnsi" w:hAnsiTheme="majorHAnsi"/>
          <w:sz w:val="20"/>
          <w:szCs w:val="20"/>
          <w:lang w:val="es-ES_tradnl"/>
        </w:rPr>
        <w:t>lega que el Estado no cumplió con sus obligaciones con respecto a la protección de las mujeres víctimas de violencia doméstica y de los derechos de la niñez</w:t>
      </w:r>
      <w:r w:rsidR="00ED3006" w:rsidRPr="007C5771">
        <w:rPr>
          <w:rFonts w:asciiTheme="majorHAnsi" w:hAnsiTheme="majorHAnsi"/>
          <w:sz w:val="20"/>
          <w:szCs w:val="20"/>
          <w:lang w:val="es-ES_tradnl"/>
        </w:rPr>
        <w:t xml:space="preserve"> </w:t>
      </w:r>
      <w:r w:rsidR="00BD2D0D" w:rsidRPr="007C5771">
        <w:rPr>
          <w:rFonts w:asciiTheme="majorHAnsi" w:hAnsiTheme="majorHAnsi"/>
          <w:sz w:val="20"/>
          <w:szCs w:val="20"/>
          <w:lang w:val="es-ES_tradnl"/>
        </w:rPr>
        <w:t>en el desarrollo de</w:t>
      </w:r>
      <w:r w:rsidR="00ED3006" w:rsidRPr="007C5771">
        <w:rPr>
          <w:rFonts w:asciiTheme="majorHAnsi" w:hAnsiTheme="majorHAnsi"/>
          <w:sz w:val="20"/>
          <w:szCs w:val="20"/>
          <w:lang w:val="es-ES_tradnl"/>
        </w:rPr>
        <w:t xml:space="preserve"> un proceso de mediación tras separación de hecho y en el desarrollo </w:t>
      </w:r>
      <w:r w:rsidR="002F22C3" w:rsidRPr="007C5771">
        <w:rPr>
          <w:rFonts w:asciiTheme="majorHAnsi" w:hAnsiTheme="majorHAnsi"/>
          <w:sz w:val="20"/>
          <w:szCs w:val="20"/>
          <w:lang w:val="es-ES_tradnl"/>
        </w:rPr>
        <w:t>de procesos</w:t>
      </w:r>
      <w:r w:rsidR="00BD2D0D" w:rsidRPr="007C5771">
        <w:rPr>
          <w:rFonts w:asciiTheme="majorHAnsi" w:hAnsiTheme="majorHAnsi"/>
          <w:sz w:val="20"/>
          <w:szCs w:val="20"/>
          <w:lang w:val="es-ES_tradnl"/>
        </w:rPr>
        <w:t xml:space="preserve"> judiciales</w:t>
      </w:r>
      <w:r w:rsidR="00DF0D19" w:rsidRPr="007C5771">
        <w:rPr>
          <w:rFonts w:asciiTheme="majorHAnsi" w:hAnsiTheme="majorHAnsi"/>
          <w:sz w:val="20"/>
          <w:szCs w:val="20"/>
          <w:lang w:val="es-ES_tradnl"/>
        </w:rPr>
        <w:t xml:space="preserve"> por</w:t>
      </w:r>
      <w:r w:rsidRPr="007C5771">
        <w:rPr>
          <w:rFonts w:asciiTheme="majorHAnsi" w:hAnsiTheme="majorHAnsi"/>
          <w:sz w:val="20"/>
          <w:szCs w:val="20"/>
          <w:lang w:val="es-ES_tradnl"/>
        </w:rPr>
        <w:t xml:space="preserve"> </w:t>
      </w:r>
      <w:r w:rsidR="00DF0D19" w:rsidRPr="007C5771">
        <w:rPr>
          <w:rFonts w:asciiTheme="majorHAnsi" w:hAnsiTheme="majorHAnsi"/>
          <w:sz w:val="20"/>
          <w:szCs w:val="20"/>
          <w:lang w:val="es-ES_tradnl"/>
        </w:rPr>
        <w:t>lesiones leves califica</w:t>
      </w:r>
      <w:r w:rsidR="00182D0C" w:rsidRPr="007C5771">
        <w:rPr>
          <w:rFonts w:asciiTheme="majorHAnsi" w:hAnsiTheme="majorHAnsi"/>
          <w:sz w:val="20"/>
          <w:szCs w:val="20"/>
          <w:lang w:val="es-ES_tradnl"/>
        </w:rPr>
        <w:t>da</w:t>
      </w:r>
      <w:r w:rsidR="00DF0D19" w:rsidRPr="007C5771">
        <w:rPr>
          <w:rFonts w:asciiTheme="majorHAnsi" w:hAnsiTheme="majorHAnsi"/>
          <w:sz w:val="20"/>
          <w:szCs w:val="20"/>
          <w:lang w:val="es-ES_tradnl"/>
        </w:rPr>
        <w:t xml:space="preserve">s, divorcio </w:t>
      </w:r>
      <w:r w:rsidR="004C2EC3" w:rsidRPr="007C5771">
        <w:rPr>
          <w:rFonts w:asciiTheme="majorHAnsi" w:hAnsiTheme="majorHAnsi"/>
          <w:sz w:val="20"/>
          <w:szCs w:val="20"/>
          <w:lang w:val="es-ES_tradnl"/>
        </w:rPr>
        <w:t xml:space="preserve">y </w:t>
      </w:r>
      <w:r w:rsidR="00DF0D19" w:rsidRPr="007C5771">
        <w:rPr>
          <w:rFonts w:asciiTheme="majorHAnsi" w:hAnsiTheme="majorHAnsi"/>
          <w:sz w:val="20"/>
          <w:szCs w:val="20"/>
          <w:lang w:val="es-ES_tradnl"/>
        </w:rPr>
        <w:t>alimentos</w:t>
      </w:r>
      <w:r w:rsidRPr="007C5771">
        <w:rPr>
          <w:rFonts w:asciiTheme="majorHAnsi" w:hAnsiTheme="majorHAnsi"/>
          <w:sz w:val="20"/>
          <w:szCs w:val="20"/>
          <w:lang w:val="es-ES_tradnl"/>
        </w:rPr>
        <w:t xml:space="preserve">. </w:t>
      </w:r>
    </w:p>
    <w:p w14:paraId="0DE3D603" w14:textId="7190C550" w:rsidR="00311D3F" w:rsidRPr="007C5771" w:rsidRDefault="00311D3F"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7C5771">
        <w:rPr>
          <w:rFonts w:asciiTheme="majorHAnsi" w:hAnsiTheme="majorHAnsi"/>
          <w:sz w:val="20"/>
          <w:szCs w:val="20"/>
          <w:lang w:val="es-ES_tradnl"/>
        </w:rPr>
        <w:t>La</w:t>
      </w:r>
      <w:r w:rsidR="002B42A5" w:rsidRPr="007C5771">
        <w:rPr>
          <w:rFonts w:asciiTheme="majorHAnsi" w:hAnsiTheme="majorHAnsi"/>
          <w:sz w:val="20"/>
          <w:szCs w:val="20"/>
          <w:lang w:val="es-ES_tradnl"/>
        </w:rPr>
        <w:t xml:space="preserve"> parte peticionaria relata que</w:t>
      </w:r>
      <w:r w:rsidR="00ED3006" w:rsidRPr="007C5771">
        <w:rPr>
          <w:rFonts w:asciiTheme="majorHAnsi" w:hAnsiTheme="majorHAnsi"/>
          <w:sz w:val="20"/>
          <w:szCs w:val="20"/>
          <w:lang w:val="es-ES_tradnl"/>
        </w:rPr>
        <w:t xml:space="preserve"> la señora P</w:t>
      </w:r>
      <w:r w:rsidR="00661EBD" w:rsidRPr="007C5771">
        <w:rPr>
          <w:rFonts w:asciiTheme="majorHAnsi" w:hAnsiTheme="majorHAnsi"/>
          <w:sz w:val="20"/>
          <w:szCs w:val="20"/>
          <w:lang w:val="es-ES_tradnl"/>
        </w:rPr>
        <w:t>é</w:t>
      </w:r>
      <w:r w:rsidR="00ED3006" w:rsidRPr="007C5771">
        <w:rPr>
          <w:rFonts w:asciiTheme="majorHAnsi" w:hAnsiTheme="majorHAnsi"/>
          <w:sz w:val="20"/>
          <w:szCs w:val="20"/>
          <w:lang w:val="es-ES_tradnl"/>
        </w:rPr>
        <w:t>rez viv</w:t>
      </w:r>
      <w:r w:rsidR="00A7036D" w:rsidRPr="007C5771">
        <w:rPr>
          <w:rFonts w:asciiTheme="majorHAnsi" w:hAnsiTheme="majorHAnsi"/>
          <w:sz w:val="20"/>
          <w:szCs w:val="20"/>
          <w:lang w:val="es-ES_tradnl"/>
        </w:rPr>
        <w:t>ía con su ex esposo</w:t>
      </w:r>
      <w:r w:rsidR="006C1596" w:rsidRPr="007C5771">
        <w:rPr>
          <w:rFonts w:asciiTheme="majorHAnsi" w:hAnsiTheme="majorHAnsi"/>
          <w:sz w:val="20"/>
          <w:szCs w:val="20"/>
          <w:lang w:val="es-ES_tradnl"/>
        </w:rPr>
        <w:t>,</w:t>
      </w:r>
      <w:r w:rsidR="00A7036D" w:rsidRPr="007C5771">
        <w:rPr>
          <w:rFonts w:asciiTheme="majorHAnsi" w:hAnsiTheme="majorHAnsi"/>
          <w:sz w:val="20"/>
          <w:szCs w:val="20"/>
          <w:lang w:val="es-ES_tradnl"/>
        </w:rPr>
        <w:t xml:space="preserve"> </w:t>
      </w:r>
      <w:r w:rsidR="00661EBD" w:rsidRPr="007C5771">
        <w:rPr>
          <w:rFonts w:asciiTheme="majorHAnsi" w:hAnsiTheme="majorHAnsi"/>
          <w:sz w:val="20"/>
          <w:szCs w:val="20"/>
          <w:lang w:val="es-ES_tradnl"/>
        </w:rPr>
        <w:t>que la sometía a</w:t>
      </w:r>
      <w:r w:rsidR="00A7036D" w:rsidRPr="007C5771">
        <w:rPr>
          <w:rFonts w:asciiTheme="majorHAnsi" w:hAnsiTheme="majorHAnsi"/>
          <w:sz w:val="20"/>
          <w:szCs w:val="20"/>
          <w:lang w:val="es-ES_tradnl"/>
        </w:rPr>
        <w:t xml:space="preserve"> </w:t>
      </w:r>
      <w:r w:rsidR="006C1596" w:rsidRPr="007C5771">
        <w:rPr>
          <w:rFonts w:asciiTheme="majorHAnsi" w:hAnsiTheme="majorHAnsi"/>
          <w:sz w:val="20"/>
          <w:szCs w:val="20"/>
          <w:lang w:val="es-ES_tradnl"/>
        </w:rPr>
        <w:t>golpes,</w:t>
      </w:r>
      <w:r w:rsidR="00A7036D" w:rsidRPr="007C5771">
        <w:rPr>
          <w:rFonts w:asciiTheme="majorHAnsi" w:hAnsiTheme="majorHAnsi"/>
          <w:sz w:val="20"/>
          <w:szCs w:val="20"/>
          <w:lang w:val="es-ES_tradnl"/>
        </w:rPr>
        <w:t xml:space="preserve"> hasta </w:t>
      </w:r>
      <w:r w:rsidR="002B42A5" w:rsidRPr="007C5771">
        <w:rPr>
          <w:rFonts w:asciiTheme="majorHAnsi" w:hAnsiTheme="majorHAnsi"/>
          <w:sz w:val="20"/>
          <w:szCs w:val="20"/>
          <w:lang w:val="es-ES_tradnl"/>
        </w:rPr>
        <w:t>el 27 de abril de 2003</w:t>
      </w:r>
      <w:r w:rsidR="000070C7" w:rsidRPr="007C5771">
        <w:rPr>
          <w:rFonts w:asciiTheme="majorHAnsi" w:hAnsiTheme="majorHAnsi"/>
          <w:sz w:val="20"/>
          <w:szCs w:val="20"/>
          <w:lang w:val="es-ES_tradnl"/>
        </w:rPr>
        <w:t xml:space="preserve"> </w:t>
      </w:r>
      <w:r w:rsidR="00A7036D" w:rsidRPr="007C5771">
        <w:rPr>
          <w:rFonts w:asciiTheme="majorHAnsi" w:hAnsiTheme="majorHAnsi"/>
          <w:sz w:val="20"/>
          <w:szCs w:val="20"/>
          <w:lang w:val="es-ES_tradnl"/>
        </w:rPr>
        <w:t xml:space="preserve">cuando denunció la situación de violencia </w:t>
      </w:r>
      <w:r w:rsidR="00661EBD" w:rsidRPr="007C5771">
        <w:rPr>
          <w:rFonts w:asciiTheme="majorHAnsi" w:hAnsiTheme="majorHAnsi"/>
          <w:sz w:val="20"/>
          <w:szCs w:val="20"/>
          <w:lang w:val="es-ES_tradnl"/>
        </w:rPr>
        <w:t xml:space="preserve">doméstica </w:t>
      </w:r>
      <w:r w:rsidR="00A7036D" w:rsidRPr="007C5771">
        <w:rPr>
          <w:rFonts w:asciiTheme="majorHAnsi" w:hAnsiTheme="majorHAnsi"/>
          <w:sz w:val="20"/>
          <w:szCs w:val="20"/>
          <w:lang w:val="es-ES_tradnl"/>
        </w:rPr>
        <w:t xml:space="preserve">y se separó de hecho </w:t>
      </w:r>
      <w:r w:rsidR="00661EBD" w:rsidRPr="007C5771">
        <w:rPr>
          <w:rFonts w:asciiTheme="majorHAnsi" w:hAnsiTheme="majorHAnsi"/>
          <w:sz w:val="20"/>
          <w:szCs w:val="20"/>
          <w:lang w:val="es-ES_tradnl"/>
        </w:rPr>
        <w:t xml:space="preserve">y </w:t>
      </w:r>
      <w:r w:rsidR="00A7036D" w:rsidRPr="007C5771">
        <w:rPr>
          <w:rFonts w:asciiTheme="majorHAnsi" w:hAnsiTheme="majorHAnsi"/>
          <w:sz w:val="20"/>
          <w:szCs w:val="20"/>
          <w:lang w:val="es-ES_tradnl"/>
        </w:rPr>
        <w:t>cambi</w:t>
      </w:r>
      <w:r w:rsidR="00661EBD" w:rsidRPr="007C5771">
        <w:rPr>
          <w:rFonts w:asciiTheme="majorHAnsi" w:hAnsiTheme="majorHAnsi"/>
          <w:sz w:val="20"/>
          <w:szCs w:val="20"/>
          <w:lang w:val="es-ES_tradnl"/>
        </w:rPr>
        <w:t>ó</w:t>
      </w:r>
      <w:r w:rsidR="00A7036D" w:rsidRPr="007C5771">
        <w:rPr>
          <w:rFonts w:asciiTheme="majorHAnsi" w:hAnsiTheme="majorHAnsi"/>
          <w:sz w:val="20"/>
          <w:szCs w:val="20"/>
          <w:lang w:val="es-ES_tradnl"/>
        </w:rPr>
        <w:t xml:space="preserve"> de domicilio junto a sus tres hijos</w:t>
      </w:r>
      <w:r w:rsidR="00A7036D" w:rsidRPr="007C5771">
        <w:rPr>
          <w:rStyle w:val="FootnoteReference"/>
          <w:rFonts w:asciiTheme="majorHAnsi" w:hAnsiTheme="majorHAnsi"/>
          <w:sz w:val="20"/>
          <w:szCs w:val="20"/>
          <w:lang w:val="es-ES_tradnl"/>
        </w:rPr>
        <w:footnoteReference w:id="11"/>
      </w:r>
      <w:r w:rsidRPr="007C5771">
        <w:rPr>
          <w:rFonts w:asciiTheme="majorHAnsi" w:hAnsiTheme="majorHAnsi"/>
          <w:sz w:val="20"/>
          <w:szCs w:val="20"/>
          <w:lang w:val="es-ES_tradnl"/>
        </w:rPr>
        <w:t>.</w:t>
      </w:r>
      <w:r w:rsidR="006C1596" w:rsidRPr="007C5771">
        <w:rPr>
          <w:rFonts w:asciiTheme="majorHAnsi" w:hAnsiTheme="majorHAnsi"/>
          <w:sz w:val="20"/>
          <w:szCs w:val="20"/>
          <w:lang w:val="es-ES_tradnl"/>
        </w:rPr>
        <w:t xml:space="preserve"> Indica que solicitó un proceso de mediación</w:t>
      </w:r>
      <w:r w:rsidR="002F22C3" w:rsidRPr="007C5771">
        <w:rPr>
          <w:rFonts w:asciiTheme="majorHAnsi" w:hAnsiTheme="majorHAnsi"/>
          <w:sz w:val="20"/>
          <w:szCs w:val="20"/>
          <w:lang w:val="es-ES_tradnl"/>
        </w:rPr>
        <w:t xml:space="preserve">, en </w:t>
      </w:r>
      <w:r w:rsidR="00385E43" w:rsidRPr="007C5771">
        <w:rPr>
          <w:rFonts w:asciiTheme="majorHAnsi" w:hAnsiTheme="majorHAnsi"/>
          <w:sz w:val="20"/>
          <w:szCs w:val="20"/>
          <w:lang w:val="es-ES_tradnl"/>
        </w:rPr>
        <w:t>cuyo marco se</w:t>
      </w:r>
      <w:r w:rsidR="00051661" w:rsidRPr="007C5771">
        <w:rPr>
          <w:rFonts w:asciiTheme="majorHAnsi" w:hAnsiTheme="majorHAnsi"/>
          <w:sz w:val="20"/>
          <w:szCs w:val="20"/>
          <w:lang w:val="es-ES_tradnl"/>
        </w:rPr>
        <w:t xml:space="preserve"> </w:t>
      </w:r>
      <w:r w:rsidR="00385E43" w:rsidRPr="007C5771">
        <w:rPr>
          <w:rFonts w:asciiTheme="majorHAnsi" w:hAnsiTheme="majorHAnsi"/>
          <w:sz w:val="20"/>
          <w:szCs w:val="20"/>
          <w:lang w:val="es-ES_tradnl"/>
        </w:rPr>
        <w:t xml:space="preserve">hizo </w:t>
      </w:r>
      <w:r w:rsidR="00051661" w:rsidRPr="007C5771">
        <w:rPr>
          <w:rFonts w:asciiTheme="majorHAnsi" w:hAnsiTheme="majorHAnsi"/>
          <w:sz w:val="20"/>
          <w:szCs w:val="20"/>
          <w:lang w:val="es-ES_tradnl"/>
        </w:rPr>
        <w:t>una audiencia</w:t>
      </w:r>
      <w:r w:rsidR="0093648C" w:rsidRPr="007C5771">
        <w:rPr>
          <w:rFonts w:asciiTheme="majorHAnsi" w:hAnsiTheme="majorHAnsi"/>
          <w:sz w:val="20"/>
          <w:szCs w:val="20"/>
          <w:lang w:val="es-ES_tradnl"/>
        </w:rPr>
        <w:t xml:space="preserve"> de mediación</w:t>
      </w:r>
      <w:r w:rsidRPr="007C5771">
        <w:rPr>
          <w:rFonts w:asciiTheme="majorHAnsi" w:hAnsiTheme="majorHAnsi"/>
          <w:sz w:val="20"/>
          <w:szCs w:val="20"/>
          <w:lang w:val="es-ES_tradnl"/>
        </w:rPr>
        <w:t xml:space="preserve"> el 4</w:t>
      </w:r>
      <w:r w:rsidR="00626B89" w:rsidRPr="007C5771">
        <w:rPr>
          <w:rFonts w:asciiTheme="majorHAnsi" w:hAnsiTheme="majorHAnsi"/>
          <w:sz w:val="20"/>
          <w:szCs w:val="20"/>
          <w:lang w:val="es-ES_tradnl"/>
        </w:rPr>
        <w:t xml:space="preserve"> de</w:t>
      </w:r>
      <w:r w:rsidRPr="007C5771">
        <w:rPr>
          <w:rFonts w:asciiTheme="majorHAnsi" w:hAnsiTheme="majorHAnsi"/>
          <w:sz w:val="20"/>
          <w:szCs w:val="20"/>
          <w:lang w:val="es-ES_tradnl"/>
        </w:rPr>
        <w:t xml:space="preserve"> junio </w:t>
      </w:r>
      <w:r w:rsidR="00561233" w:rsidRPr="007C5771">
        <w:rPr>
          <w:rFonts w:asciiTheme="majorHAnsi" w:hAnsiTheme="majorHAnsi"/>
          <w:sz w:val="20"/>
          <w:szCs w:val="20"/>
          <w:lang w:val="es-ES_tradnl"/>
        </w:rPr>
        <w:t xml:space="preserve">de </w:t>
      </w:r>
      <w:r w:rsidRPr="007C5771">
        <w:rPr>
          <w:rFonts w:asciiTheme="majorHAnsi" w:hAnsiTheme="majorHAnsi"/>
          <w:sz w:val="20"/>
          <w:szCs w:val="20"/>
          <w:lang w:val="es-ES_tradnl"/>
        </w:rPr>
        <w:t>2003</w:t>
      </w:r>
      <w:r w:rsidR="00385E43" w:rsidRPr="007C5771">
        <w:rPr>
          <w:rFonts w:asciiTheme="majorHAnsi" w:hAnsiTheme="majorHAnsi"/>
          <w:sz w:val="20"/>
          <w:szCs w:val="20"/>
          <w:lang w:val="es-ES_tradnl"/>
        </w:rPr>
        <w:t>;</w:t>
      </w:r>
      <w:r w:rsidR="00051661" w:rsidRPr="007C5771">
        <w:rPr>
          <w:rFonts w:asciiTheme="majorHAnsi" w:hAnsiTheme="majorHAnsi"/>
          <w:sz w:val="20"/>
          <w:szCs w:val="20"/>
          <w:lang w:val="es-ES_tradnl"/>
        </w:rPr>
        <w:t xml:space="preserve"> se celebró </w:t>
      </w:r>
      <w:r w:rsidR="00385E43" w:rsidRPr="007C5771">
        <w:rPr>
          <w:rFonts w:asciiTheme="majorHAnsi" w:hAnsiTheme="majorHAnsi"/>
          <w:sz w:val="20"/>
          <w:szCs w:val="20"/>
          <w:lang w:val="es-ES_tradnl"/>
        </w:rPr>
        <w:t xml:space="preserve">en ella </w:t>
      </w:r>
      <w:r w:rsidR="00051661" w:rsidRPr="007C5771">
        <w:rPr>
          <w:rFonts w:asciiTheme="majorHAnsi" w:hAnsiTheme="majorHAnsi"/>
          <w:sz w:val="20"/>
          <w:szCs w:val="20"/>
          <w:lang w:val="es-ES_tradnl"/>
        </w:rPr>
        <w:t>un acuerdo</w:t>
      </w:r>
      <w:r w:rsidR="000070C7" w:rsidRPr="007C5771">
        <w:rPr>
          <w:rFonts w:asciiTheme="majorHAnsi" w:hAnsiTheme="majorHAnsi"/>
          <w:sz w:val="20"/>
          <w:szCs w:val="20"/>
          <w:lang w:val="es-ES_tradnl"/>
        </w:rPr>
        <w:t xml:space="preserve"> sobre régimen de comunicación y visitas</w:t>
      </w:r>
      <w:r w:rsidR="000070C7" w:rsidRPr="007C5771">
        <w:rPr>
          <w:rStyle w:val="FootnoteReference"/>
          <w:rFonts w:asciiTheme="majorHAnsi" w:hAnsiTheme="majorHAnsi"/>
          <w:sz w:val="20"/>
          <w:szCs w:val="20"/>
          <w:lang w:val="es-ES_tradnl"/>
        </w:rPr>
        <w:footnoteReference w:id="12"/>
      </w:r>
      <w:r w:rsidR="00051661" w:rsidRPr="007C5771">
        <w:rPr>
          <w:rFonts w:asciiTheme="majorHAnsi" w:hAnsiTheme="majorHAnsi"/>
          <w:sz w:val="20"/>
          <w:szCs w:val="20"/>
          <w:lang w:val="es-ES_tradnl"/>
        </w:rPr>
        <w:t xml:space="preserve">. Alega que por razón de la intransigencia del ex esposo no se llegó a un acuerdo ni se </w:t>
      </w:r>
      <w:r w:rsidR="00385E43" w:rsidRPr="007C5771">
        <w:rPr>
          <w:rFonts w:asciiTheme="majorHAnsi" w:hAnsiTheme="majorHAnsi"/>
          <w:sz w:val="20"/>
          <w:szCs w:val="20"/>
          <w:lang w:val="es-ES_tradnl"/>
        </w:rPr>
        <w:t xml:space="preserve">logró </w:t>
      </w:r>
      <w:r w:rsidR="00051661" w:rsidRPr="007C5771">
        <w:rPr>
          <w:rFonts w:asciiTheme="majorHAnsi" w:hAnsiTheme="majorHAnsi"/>
          <w:sz w:val="20"/>
          <w:szCs w:val="20"/>
          <w:lang w:val="es-ES_tradnl"/>
        </w:rPr>
        <w:t>pact</w:t>
      </w:r>
      <w:r w:rsidR="00385E43" w:rsidRPr="007C5771">
        <w:rPr>
          <w:rFonts w:asciiTheme="majorHAnsi" w:hAnsiTheme="majorHAnsi"/>
          <w:sz w:val="20"/>
          <w:szCs w:val="20"/>
          <w:lang w:val="es-ES_tradnl"/>
        </w:rPr>
        <w:t>o alguno</w:t>
      </w:r>
      <w:r w:rsidR="00051661" w:rsidRPr="007C5771">
        <w:rPr>
          <w:rFonts w:asciiTheme="majorHAnsi" w:hAnsiTheme="majorHAnsi"/>
          <w:sz w:val="20"/>
          <w:szCs w:val="20"/>
          <w:lang w:val="es-ES_tradnl"/>
        </w:rPr>
        <w:t xml:space="preserve"> con respecto a la obligación de éste de pagar alim</w:t>
      </w:r>
      <w:r w:rsidR="0093648C" w:rsidRPr="007C5771">
        <w:rPr>
          <w:rFonts w:asciiTheme="majorHAnsi" w:hAnsiTheme="majorHAnsi"/>
          <w:sz w:val="20"/>
          <w:szCs w:val="20"/>
          <w:lang w:val="es-ES_tradnl"/>
        </w:rPr>
        <w:t xml:space="preserve">entos para los niños. Sostiene </w:t>
      </w:r>
      <w:r w:rsidR="00385E43" w:rsidRPr="007C5771">
        <w:rPr>
          <w:rFonts w:asciiTheme="majorHAnsi" w:hAnsiTheme="majorHAnsi"/>
          <w:sz w:val="20"/>
          <w:szCs w:val="20"/>
          <w:lang w:val="es-ES_tradnl"/>
        </w:rPr>
        <w:t xml:space="preserve">la parte peticionaria </w:t>
      </w:r>
      <w:r w:rsidR="0093648C" w:rsidRPr="007C5771">
        <w:rPr>
          <w:rFonts w:asciiTheme="majorHAnsi" w:hAnsiTheme="majorHAnsi"/>
          <w:sz w:val="20"/>
          <w:szCs w:val="20"/>
          <w:lang w:val="es-ES_tradnl"/>
        </w:rPr>
        <w:t xml:space="preserve">que el Estado incumplió </w:t>
      </w:r>
      <w:r w:rsidR="00121A3F" w:rsidRPr="007C5771">
        <w:rPr>
          <w:rFonts w:asciiTheme="majorHAnsi" w:hAnsiTheme="majorHAnsi"/>
          <w:sz w:val="20"/>
          <w:szCs w:val="20"/>
          <w:lang w:val="es-ES_tradnl"/>
        </w:rPr>
        <w:t>sus obligaciones bajo la Convención de Belé</w:t>
      </w:r>
      <w:r w:rsidR="00385E43" w:rsidRPr="007C5771">
        <w:rPr>
          <w:rFonts w:asciiTheme="majorHAnsi" w:hAnsiTheme="majorHAnsi"/>
          <w:sz w:val="20"/>
          <w:szCs w:val="20"/>
          <w:lang w:val="es-ES_tradnl"/>
        </w:rPr>
        <w:t>m</w:t>
      </w:r>
      <w:r w:rsidR="00121A3F" w:rsidRPr="007C5771">
        <w:rPr>
          <w:rFonts w:asciiTheme="majorHAnsi" w:hAnsiTheme="majorHAnsi"/>
          <w:sz w:val="20"/>
          <w:szCs w:val="20"/>
          <w:lang w:val="es-ES_tradnl"/>
        </w:rPr>
        <w:t xml:space="preserve"> do Par</w:t>
      </w:r>
      <w:r w:rsidR="00385E43" w:rsidRPr="007C5771">
        <w:rPr>
          <w:rFonts w:asciiTheme="majorHAnsi" w:hAnsiTheme="majorHAnsi"/>
          <w:sz w:val="20"/>
          <w:szCs w:val="20"/>
          <w:lang w:val="es-ES_tradnl"/>
        </w:rPr>
        <w:t>á</w:t>
      </w:r>
      <w:r w:rsidR="00121A3F" w:rsidRPr="007C5771">
        <w:rPr>
          <w:rFonts w:asciiTheme="majorHAnsi" w:hAnsiTheme="majorHAnsi"/>
          <w:sz w:val="20"/>
          <w:szCs w:val="20"/>
          <w:lang w:val="es-ES_tradnl"/>
        </w:rPr>
        <w:t xml:space="preserve"> al permitir la mediación y homologar el acuerdo, </w:t>
      </w:r>
      <w:r w:rsidR="00385E43" w:rsidRPr="007C5771">
        <w:rPr>
          <w:rFonts w:asciiTheme="majorHAnsi" w:hAnsiTheme="majorHAnsi"/>
          <w:sz w:val="20"/>
          <w:szCs w:val="20"/>
          <w:lang w:val="es-ES_tradnl"/>
        </w:rPr>
        <w:t>puesto que</w:t>
      </w:r>
      <w:r w:rsidR="00121A3F" w:rsidRPr="007C5771">
        <w:rPr>
          <w:rFonts w:asciiTheme="majorHAnsi" w:hAnsiTheme="majorHAnsi"/>
          <w:sz w:val="20"/>
          <w:szCs w:val="20"/>
          <w:lang w:val="es-ES_tradnl"/>
        </w:rPr>
        <w:t xml:space="preserve"> la mediación es improcedente en casos </w:t>
      </w:r>
      <w:r w:rsidR="00C96199" w:rsidRPr="007C5771">
        <w:rPr>
          <w:rFonts w:asciiTheme="majorHAnsi" w:hAnsiTheme="majorHAnsi"/>
          <w:sz w:val="20"/>
          <w:szCs w:val="20"/>
          <w:lang w:val="es-ES_tradnl"/>
        </w:rPr>
        <w:t>donde media</w:t>
      </w:r>
      <w:r w:rsidR="00121A3F" w:rsidRPr="007C5771">
        <w:rPr>
          <w:rFonts w:asciiTheme="majorHAnsi" w:hAnsiTheme="majorHAnsi"/>
          <w:sz w:val="20"/>
          <w:szCs w:val="20"/>
          <w:lang w:val="es-ES_tradnl"/>
        </w:rPr>
        <w:t xml:space="preserve"> violencia doméstica</w:t>
      </w:r>
      <w:r w:rsidR="00C96199" w:rsidRPr="007C5771">
        <w:rPr>
          <w:rFonts w:asciiTheme="majorHAnsi" w:hAnsiTheme="majorHAnsi"/>
          <w:sz w:val="20"/>
          <w:szCs w:val="20"/>
          <w:lang w:val="es-ES_tradnl"/>
        </w:rPr>
        <w:t xml:space="preserve"> </w:t>
      </w:r>
      <w:r w:rsidR="00385E43" w:rsidRPr="007C5771">
        <w:rPr>
          <w:rFonts w:asciiTheme="majorHAnsi" w:hAnsiTheme="majorHAnsi"/>
          <w:sz w:val="20"/>
          <w:szCs w:val="20"/>
          <w:lang w:val="es-ES_tradnl"/>
        </w:rPr>
        <w:t xml:space="preserve">debido a que </w:t>
      </w:r>
      <w:r w:rsidR="00C96199" w:rsidRPr="007C5771">
        <w:rPr>
          <w:rFonts w:asciiTheme="majorHAnsi" w:hAnsiTheme="majorHAnsi"/>
          <w:sz w:val="20"/>
          <w:szCs w:val="20"/>
          <w:lang w:val="es-ES_tradnl"/>
        </w:rPr>
        <w:t xml:space="preserve">las partes </w:t>
      </w:r>
      <w:r w:rsidR="00385E43" w:rsidRPr="007C5771">
        <w:rPr>
          <w:rFonts w:asciiTheme="majorHAnsi" w:hAnsiTheme="majorHAnsi"/>
          <w:sz w:val="20"/>
          <w:szCs w:val="20"/>
          <w:lang w:val="es-ES_tradnl"/>
        </w:rPr>
        <w:t xml:space="preserve">no se hallan </w:t>
      </w:r>
      <w:r w:rsidR="00C96199" w:rsidRPr="007C5771">
        <w:rPr>
          <w:rFonts w:asciiTheme="majorHAnsi" w:hAnsiTheme="majorHAnsi"/>
          <w:sz w:val="20"/>
          <w:szCs w:val="20"/>
          <w:lang w:val="es-ES_tradnl"/>
        </w:rPr>
        <w:t>en igualdad</w:t>
      </w:r>
      <w:r w:rsidR="00385E43" w:rsidRPr="007C5771">
        <w:rPr>
          <w:rFonts w:asciiTheme="majorHAnsi" w:hAnsiTheme="majorHAnsi"/>
          <w:sz w:val="20"/>
          <w:szCs w:val="20"/>
          <w:lang w:val="es-ES_tradnl"/>
        </w:rPr>
        <w:t xml:space="preserve"> de condiciones</w:t>
      </w:r>
      <w:r w:rsidR="00121A3F" w:rsidRPr="007C5771">
        <w:rPr>
          <w:rFonts w:asciiTheme="majorHAnsi" w:hAnsiTheme="majorHAnsi"/>
          <w:sz w:val="20"/>
          <w:szCs w:val="20"/>
          <w:lang w:val="es-ES_tradnl"/>
        </w:rPr>
        <w:t>.</w:t>
      </w:r>
      <w:r w:rsidR="00C96199" w:rsidRPr="007C5771">
        <w:rPr>
          <w:rFonts w:asciiTheme="majorHAnsi" w:hAnsiTheme="majorHAnsi"/>
          <w:sz w:val="20"/>
          <w:szCs w:val="20"/>
          <w:lang w:val="es-ES_tradnl"/>
        </w:rPr>
        <w:t xml:space="preserve"> En adici</w:t>
      </w:r>
      <w:r w:rsidR="000070C7" w:rsidRPr="007C5771">
        <w:rPr>
          <w:rFonts w:asciiTheme="majorHAnsi" w:hAnsiTheme="majorHAnsi"/>
          <w:sz w:val="20"/>
          <w:szCs w:val="20"/>
          <w:lang w:val="es-ES_tradnl"/>
        </w:rPr>
        <w:t>ón, considera que el Estado no cumplió con sus obligaciones con los niños</w:t>
      </w:r>
      <w:r w:rsidR="00385E43" w:rsidRPr="007C5771">
        <w:rPr>
          <w:rFonts w:asciiTheme="majorHAnsi" w:hAnsiTheme="majorHAnsi"/>
          <w:sz w:val="20"/>
          <w:szCs w:val="20"/>
          <w:lang w:val="es-ES_tradnl"/>
        </w:rPr>
        <w:t>,</w:t>
      </w:r>
      <w:r w:rsidR="000070C7" w:rsidRPr="007C5771">
        <w:rPr>
          <w:rFonts w:asciiTheme="majorHAnsi" w:hAnsiTheme="majorHAnsi"/>
          <w:sz w:val="20"/>
          <w:szCs w:val="20"/>
          <w:lang w:val="es-ES_tradnl"/>
        </w:rPr>
        <w:t xml:space="preserve"> pues no contaron con una defensa técnica que velara</w:t>
      </w:r>
      <w:r w:rsidR="00910055" w:rsidRPr="007C5771">
        <w:rPr>
          <w:rFonts w:asciiTheme="majorHAnsi" w:hAnsiTheme="majorHAnsi"/>
          <w:sz w:val="20"/>
          <w:szCs w:val="20"/>
          <w:lang w:val="es-ES_tradnl"/>
        </w:rPr>
        <w:t xml:space="preserve"> por sus intereses en el proceso de</w:t>
      </w:r>
      <w:r w:rsidR="000070C7" w:rsidRPr="007C5771">
        <w:rPr>
          <w:rFonts w:asciiTheme="majorHAnsi" w:hAnsiTheme="majorHAnsi"/>
          <w:sz w:val="20"/>
          <w:szCs w:val="20"/>
          <w:lang w:val="es-ES_tradnl"/>
        </w:rPr>
        <w:t xml:space="preserve"> mediación en que se fijó el régimen de comunicación.</w:t>
      </w:r>
      <w:r w:rsidR="00C96199" w:rsidRPr="007C5771">
        <w:rPr>
          <w:rFonts w:asciiTheme="majorHAnsi" w:hAnsiTheme="majorHAnsi"/>
          <w:sz w:val="20"/>
          <w:szCs w:val="20"/>
          <w:lang w:val="es-ES_tradnl"/>
        </w:rPr>
        <w:t xml:space="preserve">  </w:t>
      </w:r>
      <w:r w:rsidR="00121A3F" w:rsidRPr="007C5771">
        <w:rPr>
          <w:rFonts w:asciiTheme="majorHAnsi" w:hAnsiTheme="majorHAnsi"/>
          <w:sz w:val="20"/>
          <w:szCs w:val="20"/>
          <w:lang w:val="es-ES_tradnl"/>
        </w:rPr>
        <w:t xml:space="preserve"> </w:t>
      </w:r>
    </w:p>
    <w:p w14:paraId="7895DEDE" w14:textId="4602B283" w:rsidR="00311D3F" w:rsidRPr="007C5771" w:rsidRDefault="00910055"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sz w:val="20"/>
          <w:szCs w:val="20"/>
          <w:lang w:val="es-ES_tradnl"/>
        </w:rPr>
      </w:pPr>
      <w:r w:rsidRPr="007C5771">
        <w:rPr>
          <w:rFonts w:asciiTheme="majorHAnsi" w:hAnsiTheme="majorHAnsi"/>
          <w:sz w:val="20"/>
          <w:szCs w:val="20"/>
          <w:lang w:val="es-ES_tradnl"/>
        </w:rPr>
        <w:t>Agrega que</w:t>
      </w:r>
      <w:r w:rsidR="00311D3F" w:rsidRPr="007C5771">
        <w:rPr>
          <w:rFonts w:asciiTheme="majorHAnsi" w:hAnsiTheme="majorHAnsi"/>
          <w:sz w:val="20"/>
          <w:szCs w:val="20"/>
          <w:lang w:val="es-ES_tradnl"/>
        </w:rPr>
        <w:t xml:space="preserve"> el 17 de junio de 2003</w:t>
      </w:r>
      <w:r w:rsidRPr="007C5771">
        <w:rPr>
          <w:rFonts w:asciiTheme="majorHAnsi" w:hAnsiTheme="majorHAnsi"/>
          <w:sz w:val="20"/>
          <w:szCs w:val="20"/>
          <w:lang w:val="es-ES_tradnl"/>
        </w:rPr>
        <w:t xml:space="preserve"> ocurrió un incidente en el que la señora </w:t>
      </w:r>
      <w:r w:rsidR="002F22C3" w:rsidRPr="007C5771">
        <w:rPr>
          <w:rFonts w:asciiTheme="majorHAnsi" w:hAnsiTheme="majorHAnsi"/>
          <w:sz w:val="20"/>
          <w:szCs w:val="20"/>
          <w:lang w:val="es-ES_tradnl"/>
        </w:rPr>
        <w:t>Pérez</w:t>
      </w:r>
      <w:r w:rsidRPr="007C5771">
        <w:rPr>
          <w:rFonts w:asciiTheme="majorHAnsi" w:hAnsiTheme="majorHAnsi"/>
          <w:sz w:val="20"/>
          <w:szCs w:val="20"/>
          <w:lang w:val="es-ES_tradnl"/>
        </w:rPr>
        <w:t xml:space="preserve"> fue agredida por su entonces esposo en presencia </w:t>
      </w:r>
      <w:r w:rsidR="006C2345" w:rsidRPr="007C5771">
        <w:rPr>
          <w:rFonts w:asciiTheme="majorHAnsi" w:hAnsiTheme="majorHAnsi"/>
          <w:sz w:val="20"/>
          <w:szCs w:val="20"/>
          <w:lang w:val="es-ES_tradnl"/>
        </w:rPr>
        <w:t xml:space="preserve">de un </w:t>
      </w:r>
      <w:r w:rsidR="001A3498" w:rsidRPr="007C5771">
        <w:rPr>
          <w:rFonts w:asciiTheme="majorHAnsi" w:hAnsiTheme="majorHAnsi"/>
          <w:sz w:val="20"/>
          <w:szCs w:val="20"/>
          <w:lang w:val="es-ES_tradnl"/>
        </w:rPr>
        <w:t>vecino</w:t>
      </w:r>
      <w:r w:rsidRPr="007C5771">
        <w:rPr>
          <w:rStyle w:val="FootnoteReference"/>
          <w:rFonts w:asciiTheme="majorHAnsi" w:hAnsiTheme="majorHAnsi"/>
          <w:sz w:val="20"/>
          <w:szCs w:val="20"/>
          <w:lang w:val="es-ES_tradnl"/>
        </w:rPr>
        <w:footnoteReference w:id="13"/>
      </w:r>
      <w:r w:rsidRPr="007C5771">
        <w:rPr>
          <w:rFonts w:asciiTheme="majorHAnsi" w:hAnsiTheme="majorHAnsi"/>
          <w:sz w:val="20"/>
          <w:szCs w:val="20"/>
          <w:lang w:val="es-ES_tradnl"/>
        </w:rPr>
        <w:t>.</w:t>
      </w:r>
      <w:r w:rsidR="003D340E" w:rsidRPr="007C5771">
        <w:rPr>
          <w:rFonts w:asciiTheme="majorHAnsi" w:hAnsiTheme="majorHAnsi"/>
          <w:sz w:val="20"/>
          <w:szCs w:val="20"/>
          <w:lang w:val="es-ES_tradnl"/>
        </w:rPr>
        <w:t xml:space="preserve"> Indica </w:t>
      </w:r>
      <w:r w:rsidR="00385E43" w:rsidRPr="007C5771">
        <w:rPr>
          <w:rFonts w:asciiTheme="majorHAnsi" w:hAnsiTheme="majorHAnsi"/>
          <w:sz w:val="20"/>
          <w:szCs w:val="20"/>
          <w:lang w:val="es-ES_tradnl"/>
        </w:rPr>
        <w:t xml:space="preserve">la parte peticionaria </w:t>
      </w:r>
      <w:r w:rsidR="003D340E" w:rsidRPr="007C5771">
        <w:rPr>
          <w:rFonts w:asciiTheme="majorHAnsi" w:hAnsiTheme="majorHAnsi"/>
          <w:sz w:val="20"/>
          <w:szCs w:val="20"/>
          <w:lang w:val="es-ES_tradnl"/>
        </w:rPr>
        <w:t>que el mi</w:t>
      </w:r>
      <w:r w:rsidR="00843E9C" w:rsidRPr="007C5771">
        <w:rPr>
          <w:rFonts w:asciiTheme="majorHAnsi" w:hAnsiTheme="majorHAnsi"/>
          <w:sz w:val="20"/>
          <w:szCs w:val="20"/>
          <w:lang w:val="es-ES_tradnl"/>
        </w:rPr>
        <w:t>s</w:t>
      </w:r>
      <w:r w:rsidR="003D340E" w:rsidRPr="007C5771">
        <w:rPr>
          <w:rFonts w:asciiTheme="majorHAnsi" w:hAnsiTheme="majorHAnsi"/>
          <w:sz w:val="20"/>
          <w:szCs w:val="20"/>
          <w:lang w:val="es-ES_tradnl"/>
        </w:rPr>
        <w:t>mo día denunció esta situación</w:t>
      </w:r>
      <w:r w:rsidR="00311D3F" w:rsidRPr="007C5771">
        <w:rPr>
          <w:rFonts w:asciiTheme="majorHAnsi" w:hAnsiTheme="majorHAnsi"/>
          <w:sz w:val="20"/>
          <w:szCs w:val="20"/>
          <w:lang w:val="es-ES_tradnl"/>
        </w:rPr>
        <w:t xml:space="preserve"> ante la Comisaria,</w:t>
      </w:r>
      <w:r w:rsidR="003D340E" w:rsidRPr="007C5771">
        <w:rPr>
          <w:rFonts w:asciiTheme="majorHAnsi" w:hAnsiTheme="majorHAnsi"/>
          <w:sz w:val="20"/>
          <w:szCs w:val="20"/>
          <w:lang w:val="es-ES_tradnl"/>
        </w:rPr>
        <w:t xml:space="preserve"> </w:t>
      </w:r>
      <w:r w:rsidR="00843E9C" w:rsidRPr="007C5771">
        <w:rPr>
          <w:rFonts w:asciiTheme="majorHAnsi" w:hAnsiTheme="majorHAnsi"/>
          <w:sz w:val="20"/>
          <w:szCs w:val="20"/>
          <w:lang w:val="es-ES_tradnl"/>
        </w:rPr>
        <w:t>lo que llevó</w:t>
      </w:r>
      <w:r w:rsidR="003D340E" w:rsidRPr="007C5771">
        <w:rPr>
          <w:rFonts w:asciiTheme="majorHAnsi" w:hAnsiTheme="majorHAnsi"/>
          <w:sz w:val="20"/>
          <w:szCs w:val="20"/>
          <w:lang w:val="es-ES_tradnl"/>
        </w:rPr>
        <w:t xml:space="preserve"> a que se iniciara una investigación</w:t>
      </w:r>
      <w:r w:rsidR="00311D3F" w:rsidRPr="007C5771">
        <w:rPr>
          <w:rFonts w:asciiTheme="majorHAnsi" w:hAnsiTheme="majorHAnsi"/>
          <w:sz w:val="20"/>
          <w:szCs w:val="20"/>
          <w:lang w:val="es-ES_tradnl"/>
        </w:rPr>
        <w:t xml:space="preserve"> por delito de lesiones leves calificadas</w:t>
      </w:r>
      <w:r w:rsidR="001A3498" w:rsidRPr="007C5771">
        <w:rPr>
          <w:rFonts w:asciiTheme="majorHAnsi" w:hAnsiTheme="majorHAnsi"/>
          <w:sz w:val="20"/>
          <w:szCs w:val="20"/>
          <w:lang w:val="es-ES_tradnl"/>
        </w:rPr>
        <w:t xml:space="preserve"> contra su entonces esposo</w:t>
      </w:r>
      <w:r w:rsidR="001A3498" w:rsidRPr="007C5771">
        <w:rPr>
          <w:rStyle w:val="FootnoteReference"/>
          <w:rFonts w:asciiTheme="majorHAnsi" w:hAnsiTheme="majorHAnsi"/>
          <w:sz w:val="20"/>
          <w:szCs w:val="20"/>
          <w:lang w:val="es-ES_tradnl"/>
        </w:rPr>
        <w:footnoteReference w:id="14"/>
      </w:r>
      <w:r w:rsidR="00311D3F" w:rsidRPr="007C5771">
        <w:rPr>
          <w:rFonts w:asciiTheme="majorHAnsi" w:hAnsiTheme="majorHAnsi"/>
          <w:sz w:val="20"/>
          <w:szCs w:val="20"/>
          <w:lang w:val="es-ES_tradnl"/>
        </w:rPr>
        <w:t xml:space="preserve">. </w:t>
      </w:r>
      <w:r w:rsidR="001A3498" w:rsidRPr="007C5771">
        <w:rPr>
          <w:rFonts w:asciiTheme="majorHAnsi" w:hAnsiTheme="majorHAnsi"/>
          <w:sz w:val="20"/>
          <w:szCs w:val="20"/>
          <w:lang w:val="es-ES_tradnl"/>
        </w:rPr>
        <w:t xml:space="preserve">Sin embargo, éste </w:t>
      </w:r>
      <w:r w:rsidR="00311D3F" w:rsidRPr="007C5771">
        <w:rPr>
          <w:rFonts w:asciiTheme="majorHAnsi" w:hAnsiTheme="majorHAnsi"/>
          <w:sz w:val="20"/>
          <w:szCs w:val="20"/>
          <w:lang w:val="es-ES_tradnl"/>
        </w:rPr>
        <w:t>fue absuelto por “estado de duda” por el Cuarto Juzgado Correccional de Primera Instancia de la Corte Suprema de Mendoza</w:t>
      </w:r>
      <w:r w:rsidR="00921CB6" w:rsidRPr="007C5771">
        <w:rPr>
          <w:rFonts w:asciiTheme="majorHAnsi" w:hAnsiTheme="majorHAnsi"/>
          <w:sz w:val="20"/>
          <w:szCs w:val="20"/>
          <w:lang w:val="es-ES_tradnl"/>
        </w:rPr>
        <w:t xml:space="preserve"> sin que la fiscal a cargo interpusiera recurso</w:t>
      </w:r>
      <w:r w:rsidR="00843E9C" w:rsidRPr="007C5771">
        <w:rPr>
          <w:rFonts w:asciiTheme="majorHAnsi" w:hAnsiTheme="majorHAnsi"/>
          <w:sz w:val="20"/>
          <w:szCs w:val="20"/>
          <w:lang w:val="es-ES_tradnl"/>
        </w:rPr>
        <w:t xml:space="preserve"> alguno</w:t>
      </w:r>
      <w:r w:rsidR="00311D3F" w:rsidRPr="007C5771">
        <w:rPr>
          <w:rFonts w:asciiTheme="majorHAnsi" w:hAnsiTheme="majorHAnsi"/>
          <w:sz w:val="20"/>
          <w:szCs w:val="20"/>
          <w:lang w:val="es-ES_tradnl"/>
        </w:rPr>
        <w:t>. La</w:t>
      </w:r>
      <w:r w:rsidR="001A3498" w:rsidRPr="007C5771">
        <w:rPr>
          <w:rFonts w:asciiTheme="majorHAnsi" w:hAnsiTheme="majorHAnsi"/>
          <w:sz w:val="20"/>
          <w:szCs w:val="20"/>
          <w:lang w:val="es-ES_tradnl"/>
        </w:rPr>
        <w:t xml:space="preserve"> parte peticionaria</w:t>
      </w:r>
      <w:r w:rsidR="00311D3F" w:rsidRPr="007C5771">
        <w:rPr>
          <w:rFonts w:asciiTheme="majorHAnsi" w:hAnsiTheme="majorHAnsi"/>
          <w:sz w:val="20"/>
          <w:szCs w:val="20"/>
          <w:lang w:val="es-ES_tradnl"/>
        </w:rPr>
        <w:t xml:space="preserve"> </w:t>
      </w:r>
      <w:r w:rsidR="006C2345" w:rsidRPr="007C5771">
        <w:rPr>
          <w:rFonts w:asciiTheme="majorHAnsi" w:hAnsiTheme="majorHAnsi"/>
          <w:sz w:val="20"/>
          <w:szCs w:val="20"/>
          <w:lang w:val="es-ES_tradnl"/>
        </w:rPr>
        <w:t>denuncia</w:t>
      </w:r>
      <w:r w:rsidR="00311D3F" w:rsidRPr="007C5771">
        <w:rPr>
          <w:rFonts w:asciiTheme="majorHAnsi" w:hAnsiTheme="majorHAnsi"/>
          <w:sz w:val="20"/>
          <w:szCs w:val="20"/>
          <w:lang w:val="es-ES_tradnl"/>
        </w:rPr>
        <w:t xml:space="preserve"> que el Juzgado no </w:t>
      </w:r>
      <w:r w:rsidR="006C2345" w:rsidRPr="007C5771">
        <w:rPr>
          <w:rFonts w:asciiTheme="majorHAnsi" w:hAnsiTheme="majorHAnsi"/>
          <w:sz w:val="20"/>
          <w:szCs w:val="20"/>
          <w:lang w:val="es-ES_tradnl"/>
        </w:rPr>
        <w:t>interrog</w:t>
      </w:r>
      <w:r w:rsidR="00A9755F" w:rsidRPr="007C5771">
        <w:rPr>
          <w:rFonts w:asciiTheme="majorHAnsi" w:hAnsiTheme="majorHAnsi"/>
          <w:sz w:val="20"/>
          <w:szCs w:val="20"/>
          <w:lang w:val="es-ES_tradnl"/>
        </w:rPr>
        <w:t>ó a los hijos ni a la</w:t>
      </w:r>
      <w:r w:rsidR="006C2345" w:rsidRPr="007C5771">
        <w:rPr>
          <w:rFonts w:asciiTheme="majorHAnsi" w:hAnsiTheme="majorHAnsi"/>
          <w:sz w:val="20"/>
          <w:szCs w:val="20"/>
          <w:lang w:val="es-ES_tradnl"/>
        </w:rPr>
        <w:t xml:space="preserve"> madre</w:t>
      </w:r>
      <w:r w:rsidR="00A9755F" w:rsidRPr="007C5771">
        <w:rPr>
          <w:rFonts w:asciiTheme="majorHAnsi" w:hAnsiTheme="majorHAnsi"/>
          <w:sz w:val="20"/>
          <w:szCs w:val="20"/>
          <w:lang w:val="es-ES_tradnl"/>
        </w:rPr>
        <w:t xml:space="preserve"> de la señora </w:t>
      </w:r>
      <w:r w:rsidR="002F22C3" w:rsidRPr="007C5771">
        <w:rPr>
          <w:rFonts w:asciiTheme="majorHAnsi" w:hAnsiTheme="majorHAnsi"/>
          <w:sz w:val="20"/>
          <w:szCs w:val="20"/>
          <w:lang w:val="es-ES_tradnl"/>
        </w:rPr>
        <w:t>Pérez</w:t>
      </w:r>
      <w:r w:rsidR="00843E9C" w:rsidRPr="007C5771">
        <w:rPr>
          <w:rFonts w:asciiTheme="majorHAnsi" w:hAnsiTheme="majorHAnsi"/>
          <w:sz w:val="20"/>
          <w:szCs w:val="20"/>
          <w:lang w:val="es-ES_tradnl"/>
        </w:rPr>
        <w:t>,</w:t>
      </w:r>
      <w:r w:rsidR="006C2345" w:rsidRPr="007C5771">
        <w:rPr>
          <w:rFonts w:asciiTheme="majorHAnsi" w:hAnsiTheme="majorHAnsi"/>
          <w:sz w:val="20"/>
          <w:szCs w:val="20"/>
          <w:lang w:val="es-ES_tradnl"/>
        </w:rPr>
        <w:t xml:space="preserve"> ni pid</w:t>
      </w:r>
      <w:r w:rsidR="00A9755F" w:rsidRPr="007C5771">
        <w:rPr>
          <w:rFonts w:asciiTheme="majorHAnsi" w:hAnsiTheme="majorHAnsi"/>
          <w:sz w:val="20"/>
          <w:szCs w:val="20"/>
          <w:lang w:val="es-ES_tradnl"/>
        </w:rPr>
        <w:t>ió a ésta</w:t>
      </w:r>
      <w:r w:rsidR="006C2345" w:rsidRPr="007C5771">
        <w:rPr>
          <w:rFonts w:asciiTheme="majorHAnsi" w:hAnsiTheme="majorHAnsi"/>
          <w:sz w:val="20"/>
          <w:szCs w:val="20"/>
          <w:lang w:val="es-ES_tradnl"/>
        </w:rPr>
        <w:t xml:space="preserve"> los datos del vecino que presenció el incidente</w:t>
      </w:r>
      <w:r w:rsidR="006C2345" w:rsidRPr="007C5771">
        <w:rPr>
          <w:rFonts w:asciiTheme="majorHAnsi" w:hAnsiTheme="majorHAnsi"/>
          <w:bCs/>
          <w:color w:val="auto"/>
          <w:sz w:val="20"/>
          <w:szCs w:val="20"/>
          <w:lang w:val="es-ES_tradnl"/>
        </w:rPr>
        <w:t xml:space="preserve">; </w:t>
      </w:r>
      <w:r w:rsidR="00843E9C" w:rsidRPr="007C5771">
        <w:rPr>
          <w:rFonts w:asciiTheme="majorHAnsi" w:hAnsiTheme="majorHAnsi"/>
          <w:bCs/>
          <w:color w:val="auto"/>
          <w:sz w:val="20"/>
          <w:szCs w:val="20"/>
          <w:lang w:val="es-ES_tradnl"/>
        </w:rPr>
        <w:t>agrega</w:t>
      </w:r>
      <w:r w:rsidR="00311D3F" w:rsidRPr="007C5771">
        <w:rPr>
          <w:rFonts w:asciiTheme="majorHAnsi" w:hAnsiTheme="majorHAnsi"/>
          <w:color w:val="auto"/>
          <w:sz w:val="20"/>
          <w:szCs w:val="20"/>
          <w:lang w:val="es-ES_tradnl"/>
        </w:rPr>
        <w:t xml:space="preserve"> </w:t>
      </w:r>
      <w:r w:rsidR="006C2345" w:rsidRPr="007C5771">
        <w:rPr>
          <w:rFonts w:asciiTheme="majorHAnsi" w:hAnsiTheme="majorHAnsi"/>
          <w:color w:val="auto"/>
          <w:sz w:val="20"/>
          <w:szCs w:val="20"/>
          <w:lang w:val="es-ES_tradnl"/>
        </w:rPr>
        <w:t>que</w:t>
      </w:r>
      <w:r w:rsidR="00A9755F" w:rsidRPr="007C5771">
        <w:rPr>
          <w:rFonts w:asciiTheme="majorHAnsi" w:hAnsiTheme="majorHAnsi"/>
          <w:color w:val="auto"/>
          <w:sz w:val="20"/>
          <w:szCs w:val="20"/>
          <w:lang w:val="es-ES_tradnl"/>
        </w:rPr>
        <w:t xml:space="preserve"> el juzgado</w:t>
      </w:r>
      <w:r w:rsidR="006C2345" w:rsidRPr="007C5771">
        <w:rPr>
          <w:rFonts w:asciiTheme="majorHAnsi" w:hAnsiTheme="majorHAnsi"/>
          <w:color w:val="auto"/>
          <w:sz w:val="20"/>
          <w:szCs w:val="20"/>
          <w:lang w:val="es-ES_tradnl"/>
        </w:rPr>
        <w:t xml:space="preserve"> no valoró </w:t>
      </w:r>
      <w:r w:rsidR="00991246" w:rsidRPr="007C5771">
        <w:rPr>
          <w:rFonts w:asciiTheme="majorHAnsi" w:hAnsiTheme="majorHAnsi"/>
          <w:sz w:val="20"/>
          <w:szCs w:val="20"/>
          <w:lang w:val="es-ES_tradnl"/>
        </w:rPr>
        <w:t xml:space="preserve">los </w:t>
      </w:r>
      <w:r w:rsidR="00311D3F" w:rsidRPr="007C5771">
        <w:rPr>
          <w:rFonts w:asciiTheme="majorHAnsi" w:hAnsiTheme="majorHAnsi"/>
          <w:sz w:val="20"/>
          <w:szCs w:val="20"/>
          <w:lang w:val="es-ES_tradnl"/>
        </w:rPr>
        <w:t>certificados médicos</w:t>
      </w:r>
      <w:r w:rsidR="006C2345" w:rsidRPr="007C5771">
        <w:rPr>
          <w:rFonts w:asciiTheme="majorHAnsi" w:hAnsiTheme="majorHAnsi"/>
          <w:sz w:val="20"/>
          <w:szCs w:val="20"/>
          <w:lang w:val="es-ES_tradnl"/>
        </w:rPr>
        <w:t xml:space="preserve"> de la policía</w:t>
      </w:r>
      <w:r w:rsidR="00991246" w:rsidRPr="007C5771">
        <w:rPr>
          <w:rFonts w:asciiTheme="majorHAnsi" w:hAnsiTheme="majorHAnsi"/>
          <w:sz w:val="20"/>
          <w:szCs w:val="20"/>
          <w:lang w:val="es-ES_tradnl"/>
        </w:rPr>
        <w:t xml:space="preserve"> y no </w:t>
      </w:r>
      <w:r w:rsidR="006C2345" w:rsidRPr="007C5771">
        <w:rPr>
          <w:rFonts w:asciiTheme="majorHAnsi" w:hAnsiTheme="majorHAnsi"/>
          <w:sz w:val="20"/>
          <w:szCs w:val="20"/>
          <w:lang w:val="es-ES_tradnl"/>
        </w:rPr>
        <w:t>efectuó</w:t>
      </w:r>
      <w:r w:rsidR="00991246" w:rsidRPr="007C5771">
        <w:rPr>
          <w:rFonts w:asciiTheme="majorHAnsi" w:hAnsiTheme="majorHAnsi"/>
          <w:sz w:val="20"/>
          <w:szCs w:val="20"/>
          <w:lang w:val="es-ES_tradnl"/>
        </w:rPr>
        <w:t xml:space="preserve"> </w:t>
      </w:r>
      <w:r w:rsidR="00311D3F" w:rsidRPr="007C5771">
        <w:rPr>
          <w:rFonts w:asciiTheme="majorHAnsi" w:hAnsiTheme="majorHAnsi"/>
          <w:sz w:val="20"/>
          <w:szCs w:val="20"/>
          <w:lang w:val="es-ES_tradnl"/>
        </w:rPr>
        <w:t>investigación</w:t>
      </w:r>
      <w:r w:rsidR="00843E9C" w:rsidRPr="007C5771">
        <w:rPr>
          <w:rFonts w:asciiTheme="majorHAnsi" w:hAnsiTheme="majorHAnsi"/>
          <w:sz w:val="20"/>
          <w:szCs w:val="20"/>
          <w:lang w:val="es-ES_tradnl"/>
        </w:rPr>
        <w:t xml:space="preserve"> alguna</w:t>
      </w:r>
      <w:r w:rsidR="00311D3F" w:rsidRPr="007C5771">
        <w:rPr>
          <w:rFonts w:asciiTheme="majorHAnsi" w:hAnsiTheme="majorHAnsi"/>
          <w:sz w:val="20"/>
          <w:szCs w:val="20"/>
          <w:lang w:val="es-ES_tradnl"/>
        </w:rPr>
        <w:t>.</w:t>
      </w:r>
      <w:r w:rsidR="00787506" w:rsidRPr="007C5771">
        <w:rPr>
          <w:rFonts w:asciiTheme="majorHAnsi" w:hAnsiTheme="majorHAnsi"/>
          <w:sz w:val="20"/>
          <w:szCs w:val="20"/>
          <w:lang w:val="es-ES_tradnl"/>
        </w:rPr>
        <w:t xml:space="preserve"> </w:t>
      </w:r>
      <w:r w:rsidR="00A9755F" w:rsidRPr="007C5771">
        <w:rPr>
          <w:rFonts w:asciiTheme="majorHAnsi" w:hAnsiTheme="majorHAnsi"/>
          <w:sz w:val="20"/>
          <w:szCs w:val="20"/>
          <w:lang w:val="es-ES_tradnl"/>
        </w:rPr>
        <w:t>Considerando que había ocurrido un ilícito,</w:t>
      </w:r>
      <w:r w:rsidR="00787506" w:rsidRPr="007C5771">
        <w:rPr>
          <w:rFonts w:asciiTheme="majorHAnsi" w:hAnsiTheme="majorHAnsi"/>
          <w:sz w:val="20"/>
          <w:szCs w:val="20"/>
          <w:lang w:val="es-ES_tradnl"/>
        </w:rPr>
        <w:t xml:space="preserve"> la señora </w:t>
      </w:r>
      <w:r w:rsidR="002F22C3" w:rsidRPr="007C5771">
        <w:rPr>
          <w:rFonts w:asciiTheme="majorHAnsi" w:hAnsiTheme="majorHAnsi"/>
          <w:sz w:val="20"/>
          <w:szCs w:val="20"/>
          <w:lang w:val="es-ES_tradnl"/>
        </w:rPr>
        <w:t>Pérez</w:t>
      </w:r>
      <w:r w:rsidR="00787506" w:rsidRPr="007C5771">
        <w:rPr>
          <w:rFonts w:asciiTheme="majorHAnsi" w:hAnsiTheme="majorHAnsi"/>
          <w:sz w:val="20"/>
          <w:szCs w:val="20"/>
          <w:lang w:val="es-ES_tradnl"/>
        </w:rPr>
        <w:t xml:space="preserve"> recurrió</w:t>
      </w:r>
      <w:r w:rsidR="00311D3F" w:rsidRPr="007C5771">
        <w:rPr>
          <w:rFonts w:asciiTheme="majorHAnsi" w:hAnsiTheme="majorHAnsi"/>
          <w:sz w:val="20"/>
          <w:szCs w:val="20"/>
          <w:lang w:val="es-ES_tradnl"/>
        </w:rPr>
        <w:t xml:space="preserve"> al Departamento de Familia, Niñez y Adolescencia de la municipalidad de Mendoza</w:t>
      </w:r>
      <w:r w:rsidR="00DF0D19" w:rsidRPr="007C5771">
        <w:rPr>
          <w:rFonts w:asciiTheme="majorHAnsi" w:hAnsiTheme="majorHAnsi"/>
          <w:sz w:val="20"/>
          <w:szCs w:val="20"/>
          <w:lang w:val="es-ES_tradnl"/>
        </w:rPr>
        <w:t>,</w:t>
      </w:r>
      <w:r w:rsidR="00311D3F" w:rsidRPr="007C5771">
        <w:rPr>
          <w:rFonts w:asciiTheme="majorHAnsi" w:hAnsiTheme="majorHAnsi"/>
          <w:sz w:val="20"/>
          <w:szCs w:val="20"/>
          <w:lang w:val="es-ES_tradnl"/>
        </w:rPr>
        <w:t xml:space="preserve"> </w:t>
      </w:r>
      <w:r w:rsidR="00787506" w:rsidRPr="007C5771">
        <w:rPr>
          <w:rFonts w:asciiTheme="majorHAnsi" w:hAnsiTheme="majorHAnsi"/>
          <w:sz w:val="20"/>
          <w:szCs w:val="20"/>
          <w:lang w:val="es-ES_tradnl"/>
        </w:rPr>
        <w:t>y pidió</w:t>
      </w:r>
      <w:r w:rsidR="00311D3F" w:rsidRPr="007C5771">
        <w:rPr>
          <w:rFonts w:asciiTheme="majorHAnsi" w:hAnsiTheme="majorHAnsi"/>
          <w:sz w:val="20"/>
          <w:szCs w:val="20"/>
          <w:lang w:val="es-ES_tradnl"/>
        </w:rPr>
        <w:t xml:space="preserve"> que la </w:t>
      </w:r>
      <w:r w:rsidR="00787506" w:rsidRPr="007C5771">
        <w:rPr>
          <w:rFonts w:asciiTheme="majorHAnsi" w:hAnsiTheme="majorHAnsi"/>
          <w:sz w:val="20"/>
          <w:szCs w:val="20"/>
          <w:lang w:val="es-ES_tradnl"/>
        </w:rPr>
        <w:t>ayudaran</w:t>
      </w:r>
      <w:r w:rsidR="00311D3F" w:rsidRPr="007C5771">
        <w:rPr>
          <w:rFonts w:asciiTheme="majorHAnsi" w:hAnsiTheme="majorHAnsi"/>
          <w:sz w:val="20"/>
          <w:szCs w:val="20"/>
          <w:lang w:val="es-ES_tradnl"/>
        </w:rPr>
        <w:t xml:space="preserve"> </w:t>
      </w:r>
      <w:r w:rsidR="002F22C3" w:rsidRPr="007C5771">
        <w:rPr>
          <w:rFonts w:asciiTheme="majorHAnsi" w:hAnsiTheme="majorHAnsi"/>
          <w:sz w:val="20"/>
          <w:szCs w:val="20"/>
          <w:lang w:val="es-ES_tradnl"/>
        </w:rPr>
        <w:t xml:space="preserve">a </w:t>
      </w:r>
      <w:r w:rsidR="00684371" w:rsidRPr="007C5771">
        <w:rPr>
          <w:rFonts w:asciiTheme="majorHAnsi" w:hAnsiTheme="majorHAnsi"/>
          <w:sz w:val="20"/>
          <w:szCs w:val="20"/>
          <w:lang w:val="es-ES_tradnl"/>
        </w:rPr>
        <w:t>solicitar el</w:t>
      </w:r>
      <w:r w:rsidR="00FF3D58" w:rsidRPr="007C5771">
        <w:rPr>
          <w:rFonts w:asciiTheme="majorHAnsi" w:hAnsiTheme="majorHAnsi"/>
          <w:sz w:val="20"/>
          <w:szCs w:val="20"/>
          <w:lang w:val="es-ES_tradnl"/>
        </w:rPr>
        <w:t xml:space="preserve"> enjuiciamiento</w:t>
      </w:r>
      <w:r w:rsidR="00311D3F" w:rsidRPr="007C5771">
        <w:rPr>
          <w:rFonts w:asciiTheme="majorHAnsi" w:hAnsiTheme="majorHAnsi"/>
          <w:sz w:val="20"/>
          <w:szCs w:val="20"/>
          <w:lang w:val="es-ES_tradnl"/>
        </w:rPr>
        <w:t xml:space="preserve"> contra </w:t>
      </w:r>
      <w:r w:rsidR="00787506" w:rsidRPr="007C5771">
        <w:rPr>
          <w:rFonts w:asciiTheme="majorHAnsi" w:hAnsiTheme="majorHAnsi"/>
          <w:sz w:val="20"/>
          <w:szCs w:val="20"/>
          <w:lang w:val="es-ES_tradnl"/>
        </w:rPr>
        <w:t>la</w:t>
      </w:r>
      <w:r w:rsidR="00311D3F" w:rsidRPr="007C5771">
        <w:rPr>
          <w:rFonts w:asciiTheme="majorHAnsi" w:hAnsiTheme="majorHAnsi"/>
          <w:sz w:val="20"/>
          <w:szCs w:val="20"/>
          <w:lang w:val="es-ES_tradnl"/>
        </w:rPr>
        <w:t xml:space="preserve"> jueza y</w:t>
      </w:r>
      <w:r w:rsidR="00A9755F" w:rsidRPr="007C5771">
        <w:rPr>
          <w:rFonts w:asciiTheme="majorHAnsi" w:hAnsiTheme="majorHAnsi"/>
          <w:sz w:val="20"/>
          <w:szCs w:val="20"/>
          <w:lang w:val="es-ES_tradnl"/>
        </w:rPr>
        <w:t xml:space="preserve"> la</w:t>
      </w:r>
      <w:r w:rsidR="00311D3F" w:rsidRPr="007C5771">
        <w:rPr>
          <w:rFonts w:asciiTheme="majorHAnsi" w:hAnsiTheme="majorHAnsi"/>
          <w:sz w:val="20"/>
          <w:szCs w:val="20"/>
          <w:lang w:val="es-ES_tradnl"/>
        </w:rPr>
        <w:t xml:space="preserve"> fiscal</w:t>
      </w:r>
      <w:r w:rsidR="00A9755F" w:rsidRPr="007C5771">
        <w:rPr>
          <w:rFonts w:asciiTheme="majorHAnsi" w:hAnsiTheme="majorHAnsi"/>
          <w:sz w:val="20"/>
          <w:szCs w:val="20"/>
          <w:lang w:val="es-ES_tradnl"/>
        </w:rPr>
        <w:t xml:space="preserve"> que intervinieron en </w:t>
      </w:r>
      <w:r w:rsidR="00DF6ACF" w:rsidRPr="007C5771">
        <w:rPr>
          <w:rFonts w:asciiTheme="majorHAnsi" w:hAnsiTheme="majorHAnsi"/>
          <w:sz w:val="20"/>
          <w:szCs w:val="20"/>
          <w:lang w:val="es-ES_tradnl"/>
        </w:rPr>
        <w:t>el proceso contra su ex esposo</w:t>
      </w:r>
      <w:r w:rsidR="00A9755F" w:rsidRPr="007C5771">
        <w:rPr>
          <w:rFonts w:asciiTheme="majorHAnsi" w:hAnsiTheme="majorHAnsi"/>
          <w:sz w:val="20"/>
          <w:szCs w:val="20"/>
          <w:lang w:val="es-ES_tradnl"/>
        </w:rPr>
        <w:t xml:space="preserve">. Indica que </w:t>
      </w:r>
      <w:r w:rsidR="002F22C3" w:rsidRPr="007C5771">
        <w:rPr>
          <w:rFonts w:asciiTheme="majorHAnsi" w:hAnsiTheme="majorHAnsi"/>
          <w:sz w:val="20"/>
          <w:szCs w:val="20"/>
          <w:lang w:val="es-ES_tradnl"/>
        </w:rPr>
        <w:t>el Departamento</w:t>
      </w:r>
      <w:r w:rsidR="00A9755F" w:rsidRPr="007C5771">
        <w:rPr>
          <w:rFonts w:asciiTheme="majorHAnsi" w:hAnsiTheme="majorHAnsi"/>
          <w:sz w:val="20"/>
          <w:szCs w:val="20"/>
          <w:lang w:val="es-ES_tradnl"/>
        </w:rPr>
        <w:t xml:space="preserve"> negó la solicitud </w:t>
      </w:r>
      <w:r w:rsidR="00843E9C" w:rsidRPr="007C5771">
        <w:rPr>
          <w:rFonts w:asciiTheme="majorHAnsi" w:hAnsiTheme="majorHAnsi"/>
          <w:sz w:val="20"/>
          <w:szCs w:val="20"/>
          <w:lang w:val="es-ES_tradnl"/>
        </w:rPr>
        <w:t xml:space="preserve">bajo el </w:t>
      </w:r>
      <w:r w:rsidR="00A9755F" w:rsidRPr="007C5771">
        <w:rPr>
          <w:rFonts w:asciiTheme="majorHAnsi" w:hAnsiTheme="majorHAnsi"/>
          <w:sz w:val="20"/>
          <w:szCs w:val="20"/>
          <w:lang w:val="es-ES_tradnl"/>
        </w:rPr>
        <w:t>argument</w:t>
      </w:r>
      <w:r w:rsidR="00843E9C" w:rsidRPr="007C5771">
        <w:rPr>
          <w:rFonts w:asciiTheme="majorHAnsi" w:hAnsiTheme="majorHAnsi"/>
          <w:sz w:val="20"/>
          <w:szCs w:val="20"/>
          <w:lang w:val="es-ES_tradnl"/>
        </w:rPr>
        <w:t>o</w:t>
      </w:r>
      <w:r w:rsidR="00A9755F" w:rsidRPr="007C5771">
        <w:rPr>
          <w:rFonts w:asciiTheme="majorHAnsi" w:hAnsiTheme="majorHAnsi"/>
          <w:sz w:val="20"/>
          <w:szCs w:val="20"/>
          <w:lang w:val="es-ES_tradnl"/>
        </w:rPr>
        <w:t xml:space="preserve"> </w:t>
      </w:r>
      <w:r w:rsidR="00843E9C" w:rsidRPr="007C5771">
        <w:rPr>
          <w:rFonts w:asciiTheme="majorHAnsi" w:hAnsiTheme="majorHAnsi"/>
          <w:sz w:val="20"/>
          <w:szCs w:val="20"/>
          <w:lang w:val="es-ES_tradnl"/>
        </w:rPr>
        <w:t xml:space="preserve">de </w:t>
      </w:r>
      <w:r w:rsidR="00A9755F" w:rsidRPr="007C5771">
        <w:rPr>
          <w:rFonts w:asciiTheme="majorHAnsi" w:hAnsiTheme="majorHAnsi"/>
          <w:sz w:val="20"/>
          <w:szCs w:val="20"/>
          <w:lang w:val="es-ES_tradnl"/>
        </w:rPr>
        <w:t>que carecí</w:t>
      </w:r>
      <w:r w:rsidR="00DF6ACF" w:rsidRPr="007C5771">
        <w:rPr>
          <w:rFonts w:asciiTheme="majorHAnsi" w:hAnsiTheme="majorHAnsi"/>
          <w:sz w:val="20"/>
          <w:szCs w:val="20"/>
          <w:lang w:val="es-ES_tradnl"/>
        </w:rPr>
        <w:t>a de competencia</w:t>
      </w:r>
      <w:r w:rsidR="00843E9C" w:rsidRPr="007C5771">
        <w:rPr>
          <w:rFonts w:asciiTheme="majorHAnsi" w:hAnsiTheme="majorHAnsi"/>
          <w:sz w:val="20"/>
          <w:szCs w:val="20"/>
          <w:lang w:val="es-ES_tradnl"/>
        </w:rPr>
        <w:t>,</w:t>
      </w:r>
      <w:r w:rsidR="00921CB6" w:rsidRPr="007C5771">
        <w:rPr>
          <w:rStyle w:val="FootnoteReference"/>
          <w:rFonts w:asciiTheme="majorHAnsi" w:hAnsiTheme="majorHAnsi"/>
          <w:sz w:val="20"/>
          <w:szCs w:val="20"/>
          <w:lang w:val="es-ES_tradnl"/>
        </w:rPr>
        <w:footnoteReference w:id="15"/>
      </w:r>
      <w:r w:rsidR="00311D3F" w:rsidRPr="007C5771">
        <w:rPr>
          <w:rFonts w:asciiTheme="majorHAnsi" w:hAnsiTheme="majorHAnsi"/>
          <w:sz w:val="20"/>
          <w:szCs w:val="20"/>
          <w:lang w:val="es-ES_tradnl"/>
        </w:rPr>
        <w:t xml:space="preserve"> y</w:t>
      </w:r>
      <w:r w:rsidR="00A9755F" w:rsidRPr="007C5771">
        <w:rPr>
          <w:rFonts w:asciiTheme="majorHAnsi" w:hAnsiTheme="majorHAnsi"/>
          <w:sz w:val="20"/>
          <w:szCs w:val="20"/>
          <w:lang w:val="es-ES_tradnl"/>
        </w:rPr>
        <w:t xml:space="preserve"> que</w:t>
      </w:r>
      <w:r w:rsidR="00311D3F" w:rsidRPr="007C5771">
        <w:rPr>
          <w:rFonts w:asciiTheme="majorHAnsi" w:hAnsiTheme="majorHAnsi"/>
          <w:sz w:val="20"/>
          <w:szCs w:val="20"/>
          <w:lang w:val="es-ES_tradnl"/>
        </w:rPr>
        <w:t xml:space="preserve"> indicaron</w:t>
      </w:r>
      <w:r w:rsidR="00A9755F" w:rsidRPr="007C5771">
        <w:rPr>
          <w:rFonts w:asciiTheme="majorHAnsi" w:hAnsiTheme="majorHAnsi"/>
          <w:sz w:val="20"/>
          <w:szCs w:val="20"/>
          <w:lang w:val="es-ES_tradnl"/>
        </w:rPr>
        <w:t xml:space="preserve"> a la señora </w:t>
      </w:r>
      <w:r w:rsidR="002F22C3" w:rsidRPr="007C5771">
        <w:rPr>
          <w:rFonts w:asciiTheme="majorHAnsi" w:hAnsiTheme="majorHAnsi"/>
          <w:sz w:val="20"/>
          <w:szCs w:val="20"/>
          <w:lang w:val="es-ES_tradnl"/>
        </w:rPr>
        <w:t>Pérez</w:t>
      </w:r>
      <w:r w:rsidR="00311D3F" w:rsidRPr="007C5771">
        <w:rPr>
          <w:rFonts w:asciiTheme="majorHAnsi" w:hAnsiTheme="majorHAnsi"/>
          <w:sz w:val="20"/>
          <w:szCs w:val="20"/>
          <w:lang w:val="es-ES_tradnl"/>
        </w:rPr>
        <w:t xml:space="preserve"> que la llamarían para c</w:t>
      </w:r>
      <w:r w:rsidR="00EA612F" w:rsidRPr="007C5771">
        <w:rPr>
          <w:rFonts w:asciiTheme="majorHAnsi" w:hAnsiTheme="majorHAnsi"/>
          <w:sz w:val="20"/>
          <w:szCs w:val="20"/>
          <w:lang w:val="es-ES_tradnl"/>
        </w:rPr>
        <w:t xml:space="preserve">onducirla a otro organismo. Aduce que la señora </w:t>
      </w:r>
      <w:r w:rsidR="002F22C3" w:rsidRPr="007C5771">
        <w:rPr>
          <w:rFonts w:asciiTheme="majorHAnsi" w:hAnsiTheme="majorHAnsi"/>
          <w:sz w:val="20"/>
          <w:szCs w:val="20"/>
          <w:lang w:val="es-ES_tradnl"/>
        </w:rPr>
        <w:t>Pérez</w:t>
      </w:r>
      <w:r w:rsidR="00EA612F" w:rsidRPr="007C5771">
        <w:rPr>
          <w:rFonts w:asciiTheme="majorHAnsi" w:hAnsiTheme="majorHAnsi"/>
          <w:sz w:val="20"/>
          <w:szCs w:val="20"/>
          <w:lang w:val="es-ES_tradnl"/>
        </w:rPr>
        <w:t xml:space="preserve"> no volvió a ser contactada</w:t>
      </w:r>
      <w:r w:rsidR="00843E9C" w:rsidRPr="007C5771">
        <w:rPr>
          <w:rFonts w:asciiTheme="majorHAnsi" w:hAnsiTheme="majorHAnsi"/>
          <w:sz w:val="20"/>
          <w:szCs w:val="20"/>
          <w:lang w:val="es-ES_tradnl"/>
        </w:rPr>
        <w:t>,</w:t>
      </w:r>
      <w:r w:rsidR="00EA612F" w:rsidRPr="007C5771">
        <w:rPr>
          <w:rFonts w:asciiTheme="majorHAnsi" w:hAnsiTheme="majorHAnsi"/>
          <w:sz w:val="20"/>
          <w:szCs w:val="20"/>
          <w:lang w:val="es-ES_tradnl"/>
        </w:rPr>
        <w:t xml:space="preserve"> </w:t>
      </w:r>
      <w:r w:rsidR="00843E9C" w:rsidRPr="007C5771">
        <w:rPr>
          <w:rFonts w:asciiTheme="majorHAnsi" w:hAnsiTheme="majorHAnsi"/>
          <w:sz w:val="20"/>
          <w:szCs w:val="20"/>
          <w:lang w:val="es-ES_tradnl"/>
        </w:rPr>
        <w:t>y como resultado</w:t>
      </w:r>
      <w:r w:rsidR="00EA612F" w:rsidRPr="007C5771">
        <w:rPr>
          <w:rFonts w:asciiTheme="majorHAnsi" w:hAnsiTheme="majorHAnsi"/>
          <w:sz w:val="20"/>
          <w:szCs w:val="20"/>
          <w:lang w:val="es-ES_tradnl"/>
        </w:rPr>
        <w:t xml:space="preserve"> el delito prescribi</w:t>
      </w:r>
      <w:r w:rsidR="00843E9C" w:rsidRPr="007C5771">
        <w:rPr>
          <w:rFonts w:asciiTheme="majorHAnsi" w:hAnsiTheme="majorHAnsi"/>
          <w:sz w:val="20"/>
          <w:szCs w:val="20"/>
          <w:lang w:val="es-ES_tradnl"/>
        </w:rPr>
        <w:t>ó</w:t>
      </w:r>
      <w:r w:rsidR="00EA612F" w:rsidRPr="007C5771">
        <w:rPr>
          <w:rFonts w:asciiTheme="majorHAnsi" w:hAnsiTheme="majorHAnsi"/>
          <w:sz w:val="20"/>
          <w:szCs w:val="20"/>
          <w:lang w:val="es-ES_tradnl"/>
        </w:rPr>
        <w:t xml:space="preserve"> por el transcurso del tiempo</w:t>
      </w:r>
      <w:r w:rsidR="00311D3F" w:rsidRPr="007C5771">
        <w:rPr>
          <w:rFonts w:asciiTheme="majorHAnsi" w:hAnsiTheme="majorHAnsi"/>
          <w:sz w:val="20"/>
          <w:szCs w:val="20"/>
          <w:lang w:val="es-ES_tradnl"/>
        </w:rPr>
        <w:t xml:space="preserve">. </w:t>
      </w:r>
      <w:r w:rsidR="00EA612F" w:rsidRPr="007C5771">
        <w:rPr>
          <w:rFonts w:asciiTheme="majorHAnsi" w:hAnsiTheme="majorHAnsi"/>
          <w:sz w:val="20"/>
          <w:szCs w:val="20"/>
          <w:lang w:val="es-ES_tradnl"/>
        </w:rPr>
        <w:t xml:space="preserve">La parte peticionara alega que lo ocurrido evidencia una </w:t>
      </w:r>
      <w:r w:rsidR="009029B8" w:rsidRPr="007C5771">
        <w:rPr>
          <w:rFonts w:asciiTheme="majorHAnsi" w:hAnsiTheme="majorHAnsi"/>
          <w:sz w:val="20"/>
          <w:szCs w:val="20"/>
          <w:lang w:val="es-ES_tradnl"/>
        </w:rPr>
        <w:t xml:space="preserve">falta de debida diligencia </w:t>
      </w:r>
      <w:r w:rsidR="00991246" w:rsidRPr="007C5771">
        <w:rPr>
          <w:rFonts w:asciiTheme="majorHAnsi" w:hAnsiTheme="majorHAnsi"/>
          <w:sz w:val="20"/>
          <w:szCs w:val="20"/>
          <w:lang w:val="es-ES_tradnl"/>
        </w:rPr>
        <w:t xml:space="preserve">del Estado </w:t>
      </w:r>
      <w:r w:rsidR="009029B8" w:rsidRPr="007C5771">
        <w:rPr>
          <w:rFonts w:asciiTheme="majorHAnsi" w:hAnsiTheme="majorHAnsi"/>
          <w:sz w:val="20"/>
          <w:szCs w:val="20"/>
          <w:lang w:val="es-ES_tradnl"/>
        </w:rPr>
        <w:t>para prevenir e inve</w:t>
      </w:r>
      <w:r w:rsidR="00991246" w:rsidRPr="007C5771">
        <w:rPr>
          <w:rFonts w:asciiTheme="majorHAnsi" w:hAnsiTheme="majorHAnsi"/>
          <w:sz w:val="20"/>
          <w:szCs w:val="20"/>
          <w:lang w:val="es-ES_tradnl"/>
        </w:rPr>
        <w:t>stigar</w:t>
      </w:r>
      <w:r w:rsidR="00EA612F" w:rsidRPr="007C5771">
        <w:rPr>
          <w:rFonts w:asciiTheme="majorHAnsi" w:hAnsiTheme="majorHAnsi"/>
          <w:sz w:val="20"/>
          <w:szCs w:val="20"/>
          <w:lang w:val="es-ES_tradnl"/>
        </w:rPr>
        <w:t xml:space="preserve"> casos de</w:t>
      </w:r>
      <w:r w:rsidR="00991246" w:rsidRPr="007C5771">
        <w:rPr>
          <w:rFonts w:asciiTheme="majorHAnsi" w:hAnsiTheme="majorHAnsi"/>
          <w:sz w:val="20"/>
          <w:szCs w:val="20"/>
          <w:lang w:val="es-ES_tradnl"/>
        </w:rPr>
        <w:t xml:space="preserve"> </w:t>
      </w:r>
      <w:r w:rsidR="00EA612F" w:rsidRPr="007C5771">
        <w:rPr>
          <w:rFonts w:asciiTheme="majorHAnsi" w:hAnsiTheme="majorHAnsi"/>
          <w:sz w:val="20"/>
          <w:szCs w:val="20"/>
          <w:lang w:val="es-ES_tradnl"/>
        </w:rPr>
        <w:t xml:space="preserve">violencia </w:t>
      </w:r>
      <w:r w:rsidR="00991246" w:rsidRPr="007C5771">
        <w:rPr>
          <w:rFonts w:asciiTheme="majorHAnsi" w:hAnsiTheme="majorHAnsi"/>
          <w:color w:val="auto"/>
          <w:sz w:val="20"/>
          <w:szCs w:val="20"/>
          <w:lang w:val="es-ES_tradnl"/>
        </w:rPr>
        <w:t>de g</w:t>
      </w:r>
      <w:r w:rsidR="00E6309B" w:rsidRPr="007C5771">
        <w:rPr>
          <w:rFonts w:asciiTheme="majorHAnsi" w:hAnsiTheme="majorHAnsi"/>
          <w:color w:val="auto"/>
          <w:sz w:val="20"/>
          <w:szCs w:val="20"/>
          <w:lang w:val="es-ES_tradnl"/>
        </w:rPr>
        <w:t>é</w:t>
      </w:r>
      <w:r w:rsidR="00991246" w:rsidRPr="007C5771">
        <w:rPr>
          <w:rFonts w:asciiTheme="majorHAnsi" w:hAnsiTheme="majorHAnsi"/>
          <w:color w:val="auto"/>
          <w:sz w:val="20"/>
          <w:szCs w:val="20"/>
          <w:lang w:val="es-ES_tradnl"/>
        </w:rPr>
        <w:t>nero.</w:t>
      </w:r>
    </w:p>
    <w:p w14:paraId="2893EA2E" w14:textId="5F07579D" w:rsidR="00311D3F" w:rsidRPr="007C5771" w:rsidRDefault="00843E9C"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sz w:val="20"/>
          <w:szCs w:val="20"/>
          <w:lang w:val="es-ES_tradnl"/>
        </w:rPr>
      </w:pPr>
      <w:r w:rsidRPr="007C5771">
        <w:rPr>
          <w:rFonts w:asciiTheme="majorHAnsi" w:hAnsiTheme="majorHAnsi"/>
          <w:sz w:val="20"/>
          <w:szCs w:val="20"/>
          <w:lang w:val="es-ES_tradnl"/>
        </w:rPr>
        <w:t>La parte peticionaria t</w:t>
      </w:r>
      <w:r w:rsidR="00EA612F" w:rsidRPr="007C5771">
        <w:rPr>
          <w:rFonts w:asciiTheme="majorHAnsi" w:hAnsiTheme="majorHAnsi"/>
          <w:sz w:val="20"/>
          <w:szCs w:val="20"/>
          <w:lang w:val="es-ES_tradnl"/>
        </w:rPr>
        <w:t>ambién señala que en</w:t>
      </w:r>
      <w:r w:rsidR="00311D3F" w:rsidRPr="007C5771">
        <w:rPr>
          <w:rFonts w:asciiTheme="majorHAnsi" w:hAnsiTheme="majorHAnsi"/>
          <w:sz w:val="20"/>
          <w:szCs w:val="20"/>
          <w:lang w:val="es-ES_tradnl"/>
        </w:rPr>
        <w:t xml:space="preserve"> </w:t>
      </w:r>
      <w:r w:rsidR="00436D09" w:rsidRPr="007C5771">
        <w:rPr>
          <w:rFonts w:asciiTheme="majorHAnsi" w:hAnsiTheme="majorHAnsi"/>
          <w:color w:val="auto"/>
          <w:sz w:val="20"/>
          <w:szCs w:val="20"/>
          <w:lang w:val="es-ES_tradnl"/>
        </w:rPr>
        <w:t>2003</w:t>
      </w:r>
      <w:r w:rsidR="00311D3F" w:rsidRPr="007C5771">
        <w:rPr>
          <w:rFonts w:asciiTheme="majorHAnsi" w:hAnsiTheme="majorHAnsi"/>
          <w:color w:val="auto"/>
          <w:sz w:val="20"/>
          <w:szCs w:val="20"/>
          <w:lang w:val="es-ES_tradnl"/>
        </w:rPr>
        <w:t xml:space="preserve"> </w:t>
      </w:r>
      <w:r w:rsidR="00BF3A48" w:rsidRPr="007C5771">
        <w:rPr>
          <w:rFonts w:asciiTheme="majorHAnsi" w:hAnsiTheme="majorHAnsi"/>
          <w:color w:val="auto"/>
          <w:sz w:val="20"/>
          <w:szCs w:val="20"/>
          <w:lang w:val="es-ES_tradnl"/>
        </w:rPr>
        <w:t xml:space="preserve">la señora </w:t>
      </w:r>
      <w:r w:rsidR="002F22C3" w:rsidRPr="007C5771">
        <w:rPr>
          <w:rFonts w:asciiTheme="majorHAnsi" w:hAnsiTheme="majorHAnsi"/>
          <w:color w:val="auto"/>
          <w:sz w:val="20"/>
          <w:szCs w:val="20"/>
          <w:lang w:val="es-ES_tradnl"/>
        </w:rPr>
        <w:t>Pérez</w:t>
      </w:r>
      <w:r w:rsidR="00311D3F" w:rsidRPr="007C5771">
        <w:rPr>
          <w:rFonts w:asciiTheme="majorHAnsi" w:hAnsiTheme="majorHAnsi"/>
          <w:color w:val="auto"/>
          <w:sz w:val="20"/>
          <w:szCs w:val="20"/>
          <w:lang w:val="es-ES_tradnl"/>
        </w:rPr>
        <w:t xml:space="preserve"> </w:t>
      </w:r>
      <w:r w:rsidR="00853462" w:rsidRPr="007C5771">
        <w:rPr>
          <w:rFonts w:asciiTheme="majorHAnsi" w:hAnsiTheme="majorHAnsi"/>
          <w:bCs/>
          <w:color w:val="auto"/>
          <w:sz w:val="20"/>
          <w:szCs w:val="20"/>
          <w:lang w:val="es-ES_tradnl"/>
        </w:rPr>
        <w:t>contrató</w:t>
      </w:r>
      <w:r w:rsidR="00853462" w:rsidRPr="007C5771">
        <w:rPr>
          <w:rFonts w:asciiTheme="majorHAnsi" w:hAnsiTheme="majorHAnsi"/>
          <w:color w:val="auto"/>
          <w:sz w:val="20"/>
          <w:szCs w:val="20"/>
          <w:lang w:val="es-ES_tradnl"/>
        </w:rPr>
        <w:t xml:space="preserve"> </w:t>
      </w:r>
      <w:r w:rsidR="00311D3F" w:rsidRPr="007C5771">
        <w:rPr>
          <w:rFonts w:asciiTheme="majorHAnsi" w:hAnsiTheme="majorHAnsi"/>
          <w:color w:val="auto"/>
          <w:sz w:val="20"/>
          <w:szCs w:val="20"/>
          <w:lang w:val="es-ES_tradnl"/>
        </w:rPr>
        <w:t xml:space="preserve">una abogada particular para interponer demandas de divorcio y alimentos y </w:t>
      </w:r>
      <w:r w:rsidRPr="007C5771">
        <w:rPr>
          <w:rFonts w:asciiTheme="majorHAnsi" w:hAnsiTheme="majorHAnsi"/>
          <w:color w:val="auto"/>
          <w:sz w:val="20"/>
          <w:szCs w:val="20"/>
          <w:lang w:val="es-ES_tradnl"/>
        </w:rPr>
        <w:t xml:space="preserve">que, </w:t>
      </w:r>
      <w:r w:rsidR="00311D3F" w:rsidRPr="007C5771">
        <w:rPr>
          <w:rFonts w:asciiTheme="majorHAnsi" w:hAnsiTheme="majorHAnsi"/>
          <w:color w:val="auto"/>
          <w:sz w:val="20"/>
          <w:szCs w:val="20"/>
          <w:lang w:val="es-ES_tradnl"/>
        </w:rPr>
        <w:t>en consecuencia, se abrieron dos expedientes</w:t>
      </w:r>
      <w:r w:rsidR="00311D3F" w:rsidRPr="007C5771">
        <w:rPr>
          <w:rStyle w:val="FootnoteReference"/>
          <w:rFonts w:asciiTheme="majorHAnsi" w:hAnsiTheme="majorHAnsi"/>
          <w:color w:val="auto"/>
          <w:sz w:val="20"/>
          <w:szCs w:val="20"/>
          <w:lang w:val="es-ES_tradnl"/>
        </w:rPr>
        <w:footnoteReference w:id="16"/>
      </w:r>
      <w:r w:rsidR="00311D3F" w:rsidRPr="007C5771">
        <w:rPr>
          <w:rFonts w:asciiTheme="majorHAnsi" w:hAnsiTheme="majorHAnsi"/>
          <w:color w:val="auto"/>
          <w:sz w:val="20"/>
          <w:szCs w:val="20"/>
          <w:lang w:val="es-ES_tradnl"/>
        </w:rPr>
        <w:t xml:space="preserve">. Sin embargo, debido a problemas económicos, no pudo seguir </w:t>
      </w:r>
      <w:r w:rsidR="00BF3A48" w:rsidRPr="007C5771">
        <w:rPr>
          <w:rFonts w:asciiTheme="majorHAnsi" w:hAnsiTheme="majorHAnsi"/>
          <w:color w:val="auto"/>
          <w:sz w:val="20"/>
          <w:szCs w:val="20"/>
          <w:lang w:val="es-ES_tradnl"/>
        </w:rPr>
        <w:t>pagando</w:t>
      </w:r>
      <w:r w:rsidR="00311D3F" w:rsidRPr="007C5771">
        <w:rPr>
          <w:rFonts w:asciiTheme="majorHAnsi" w:hAnsiTheme="majorHAnsi"/>
          <w:color w:val="auto"/>
          <w:sz w:val="20"/>
          <w:szCs w:val="20"/>
          <w:lang w:val="es-ES_tradnl"/>
        </w:rPr>
        <w:t xml:space="preserve"> </w:t>
      </w:r>
      <w:r w:rsidR="00BF3A48" w:rsidRPr="007C5771">
        <w:rPr>
          <w:rFonts w:asciiTheme="majorHAnsi" w:hAnsiTheme="majorHAnsi"/>
          <w:color w:val="auto"/>
          <w:sz w:val="20"/>
          <w:szCs w:val="20"/>
          <w:lang w:val="es-ES_tradnl"/>
        </w:rPr>
        <w:t>a</w:t>
      </w:r>
      <w:r w:rsidR="00A12735" w:rsidRPr="007C5771">
        <w:rPr>
          <w:rFonts w:asciiTheme="majorHAnsi" w:hAnsiTheme="majorHAnsi"/>
          <w:color w:val="auto"/>
          <w:sz w:val="20"/>
          <w:szCs w:val="20"/>
          <w:lang w:val="es-ES_tradnl"/>
        </w:rPr>
        <w:t xml:space="preserve"> </w:t>
      </w:r>
      <w:r w:rsidR="00BF3A48" w:rsidRPr="007C5771">
        <w:rPr>
          <w:rFonts w:asciiTheme="majorHAnsi" w:hAnsiTheme="majorHAnsi"/>
          <w:color w:val="auto"/>
          <w:sz w:val="20"/>
          <w:szCs w:val="20"/>
          <w:lang w:val="es-ES_tradnl"/>
        </w:rPr>
        <w:t>l</w:t>
      </w:r>
      <w:r w:rsidR="00A12735" w:rsidRPr="007C5771">
        <w:rPr>
          <w:rFonts w:asciiTheme="majorHAnsi" w:hAnsiTheme="majorHAnsi"/>
          <w:color w:val="auto"/>
          <w:sz w:val="20"/>
          <w:szCs w:val="20"/>
          <w:lang w:val="es-ES_tradnl"/>
        </w:rPr>
        <w:t>a abogada</w:t>
      </w:r>
      <w:r w:rsidR="00311D3F" w:rsidRPr="007C5771">
        <w:rPr>
          <w:rFonts w:asciiTheme="majorHAnsi" w:hAnsiTheme="majorHAnsi"/>
          <w:color w:val="auto"/>
          <w:sz w:val="20"/>
          <w:szCs w:val="20"/>
          <w:lang w:val="es-ES_tradnl"/>
        </w:rPr>
        <w:t xml:space="preserve"> particular. </w:t>
      </w:r>
      <w:r w:rsidR="00BF3A48" w:rsidRPr="007C5771">
        <w:rPr>
          <w:rFonts w:asciiTheme="majorHAnsi" w:hAnsiTheme="majorHAnsi"/>
          <w:color w:val="auto"/>
          <w:sz w:val="20"/>
          <w:szCs w:val="20"/>
          <w:lang w:val="es-ES_tradnl"/>
        </w:rPr>
        <w:t>Por esta razón</w:t>
      </w:r>
      <w:r w:rsidR="00626B89" w:rsidRPr="007C5771">
        <w:rPr>
          <w:rFonts w:asciiTheme="majorHAnsi" w:hAnsiTheme="majorHAnsi"/>
          <w:color w:val="auto"/>
          <w:sz w:val="20"/>
          <w:szCs w:val="20"/>
          <w:lang w:val="es-ES_tradnl"/>
        </w:rPr>
        <w:t>,</w:t>
      </w:r>
      <w:r w:rsidR="00853462" w:rsidRPr="007C5771">
        <w:rPr>
          <w:rFonts w:asciiTheme="majorHAnsi" w:hAnsiTheme="majorHAnsi"/>
          <w:color w:val="auto"/>
          <w:sz w:val="20"/>
          <w:szCs w:val="20"/>
          <w:lang w:val="es-ES_tradnl"/>
        </w:rPr>
        <w:t xml:space="preserve"> </w:t>
      </w:r>
      <w:r w:rsidR="00853462" w:rsidRPr="007C5771">
        <w:rPr>
          <w:rFonts w:asciiTheme="majorHAnsi" w:hAnsiTheme="majorHAnsi"/>
          <w:bCs/>
          <w:color w:val="auto"/>
          <w:sz w:val="20"/>
          <w:szCs w:val="20"/>
          <w:lang w:val="es-ES_tradnl"/>
        </w:rPr>
        <w:t>acudió</w:t>
      </w:r>
      <w:r w:rsidR="00311D3F" w:rsidRPr="007C5771">
        <w:rPr>
          <w:rFonts w:asciiTheme="majorHAnsi" w:hAnsiTheme="majorHAnsi"/>
          <w:color w:val="auto"/>
          <w:sz w:val="20"/>
          <w:szCs w:val="20"/>
          <w:lang w:val="es-ES_tradnl"/>
        </w:rPr>
        <w:t xml:space="preserve"> a la Defensoría Oficial del Poder Judicial de Mendoza, qu</w:t>
      </w:r>
      <w:r w:rsidRPr="007C5771">
        <w:rPr>
          <w:rFonts w:asciiTheme="majorHAnsi" w:hAnsiTheme="majorHAnsi"/>
          <w:color w:val="auto"/>
          <w:sz w:val="20"/>
          <w:szCs w:val="20"/>
          <w:lang w:val="es-ES_tradnl"/>
        </w:rPr>
        <w:t>e</w:t>
      </w:r>
      <w:r w:rsidR="00311D3F" w:rsidRPr="007C5771">
        <w:rPr>
          <w:rFonts w:asciiTheme="majorHAnsi" w:hAnsiTheme="majorHAnsi"/>
          <w:color w:val="auto"/>
          <w:sz w:val="20"/>
          <w:szCs w:val="20"/>
          <w:lang w:val="es-ES_tradnl"/>
        </w:rPr>
        <w:t xml:space="preserve"> le denegó asistencia por</w:t>
      </w:r>
      <w:r w:rsidR="00BF3A48" w:rsidRPr="007C5771">
        <w:rPr>
          <w:rFonts w:asciiTheme="majorHAnsi" w:hAnsiTheme="majorHAnsi"/>
          <w:color w:val="auto"/>
          <w:sz w:val="20"/>
          <w:szCs w:val="20"/>
          <w:lang w:val="es-ES_tradnl"/>
        </w:rPr>
        <w:t xml:space="preserve"> considerar que</w:t>
      </w:r>
      <w:r w:rsidR="00A615AF" w:rsidRPr="007C5771">
        <w:rPr>
          <w:rFonts w:asciiTheme="majorHAnsi" w:hAnsiTheme="majorHAnsi"/>
          <w:color w:val="auto"/>
          <w:sz w:val="20"/>
          <w:szCs w:val="20"/>
          <w:lang w:val="es-ES_tradnl"/>
        </w:rPr>
        <w:t xml:space="preserve"> </w:t>
      </w:r>
      <w:r w:rsidR="00BF3A48" w:rsidRPr="007C5771">
        <w:rPr>
          <w:rFonts w:asciiTheme="majorHAnsi" w:hAnsiTheme="majorHAnsi"/>
          <w:color w:val="auto"/>
          <w:sz w:val="20"/>
          <w:szCs w:val="20"/>
          <w:lang w:val="es-ES_tradnl"/>
        </w:rPr>
        <w:t>tenía</w:t>
      </w:r>
      <w:r w:rsidR="00A615AF" w:rsidRPr="007C5771">
        <w:rPr>
          <w:rFonts w:asciiTheme="majorHAnsi" w:hAnsiTheme="majorHAnsi"/>
          <w:color w:val="auto"/>
          <w:sz w:val="20"/>
          <w:szCs w:val="20"/>
          <w:lang w:val="es-ES_tradnl"/>
        </w:rPr>
        <w:t xml:space="preserve"> </w:t>
      </w:r>
      <w:r w:rsidR="00311D3F" w:rsidRPr="007C5771">
        <w:rPr>
          <w:rFonts w:asciiTheme="majorHAnsi" w:hAnsiTheme="majorHAnsi"/>
          <w:color w:val="auto"/>
          <w:sz w:val="20"/>
          <w:szCs w:val="20"/>
          <w:lang w:val="es-ES_tradnl"/>
        </w:rPr>
        <w:t>recursos suficientes</w:t>
      </w:r>
      <w:r w:rsidR="00BF3A48" w:rsidRPr="007C5771">
        <w:rPr>
          <w:rFonts w:asciiTheme="majorHAnsi" w:hAnsiTheme="majorHAnsi"/>
          <w:color w:val="auto"/>
          <w:sz w:val="20"/>
          <w:szCs w:val="20"/>
          <w:lang w:val="es-ES_tradnl"/>
        </w:rPr>
        <w:t xml:space="preserve"> para pagar representación particular</w:t>
      </w:r>
      <w:r w:rsidR="00BF3A48" w:rsidRPr="007C5771">
        <w:rPr>
          <w:rStyle w:val="FootnoteReference"/>
          <w:rFonts w:asciiTheme="majorHAnsi" w:hAnsiTheme="majorHAnsi"/>
          <w:color w:val="auto"/>
          <w:sz w:val="20"/>
          <w:szCs w:val="20"/>
          <w:lang w:val="es-ES_tradnl"/>
        </w:rPr>
        <w:footnoteReference w:id="17"/>
      </w:r>
      <w:r w:rsidR="007A5B98" w:rsidRPr="007C5771">
        <w:rPr>
          <w:rFonts w:asciiTheme="majorHAnsi" w:hAnsiTheme="majorHAnsi"/>
          <w:color w:val="auto"/>
          <w:sz w:val="20"/>
          <w:szCs w:val="20"/>
          <w:lang w:val="es-ES_tradnl"/>
        </w:rPr>
        <w:t>. El</w:t>
      </w:r>
      <w:r w:rsidR="00311D3F" w:rsidRPr="007C5771">
        <w:rPr>
          <w:rFonts w:asciiTheme="majorHAnsi" w:hAnsiTheme="majorHAnsi"/>
          <w:color w:val="auto"/>
          <w:sz w:val="20"/>
          <w:szCs w:val="20"/>
          <w:lang w:val="es-ES_tradnl"/>
        </w:rPr>
        <w:t xml:space="preserve"> 15 </w:t>
      </w:r>
      <w:r w:rsidR="007A5B98" w:rsidRPr="007C5771">
        <w:rPr>
          <w:rFonts w:asciiTheme="majorHAnsi" w:hAnsiTheme="majorHAnsi"/>
          <w:color w:val="auto"/>
          <w:sz w:val="20"/>
          <w:szCs w:val="20"/>
          <w:lang w:val="es-ES_tradnl"/>
        </w:rPr>
        <w:t xml:space="preserve">de </w:t>
      </w:r>
      <w:r w:rsidR="00311D3F" w:rsidRPr="007C5771">
        <w:rPr>
          <w:rFonts w:asciiTheme="majorHAnsi" w:hAnsiTheme="majorHAnsi"/>
          <w:color w:val="auto"/>
          <w:sz w:val="20"/>
          <w:szCs w:val="20"/>
          <w:lang w:val="es-ES_tradnl"/>
        </w:rPr>
        <w:t xml:space="preserve">agosto de 2007, la presunta víctima hizo </w:t>
      </w:r>
      <w:r w:rsidRPr="007C5771">
        <w:rPr>
          <w:rFonts w:asciiTheme="majorHAnsi" w:hAnsiTheme="majorHAnsi"/>
          <w:color w:val="auto"/>
          <w:sz w:val="20"/>
          <w:szCs w:val="20"/>
          <w:lang w:val="es-ES_tradnl"/>
        </w:rPr>
        <w:t xml:space="preserve">labrar </w:t>
      </w:r>
      <w:r w:rsidR="00311D3F" w:rsidRPr="007C5771">
        <w:rPr>
          <w:rFonts w:asciiTheme="majorHAnsi" w:hAnsiTheme="majorHAnsi"/>
          <w:color w:val="auto"/>
          <w:sz w:val="20"/>
          <w:szCs w:val="20"/>
          <w:lang w:val="es-ES_tradnl"/>
        </w:rPr>
        <w:t xml:space="preserve">una constancia policial </w:t>
      </w:r>
      <w:r w:rsidRPr="007C5771">
        <w:rPr>
          <w:rFonts w:asciiTheme="majorHAnsi" w:hAnsiTheme="majorHAnsi"/>
          <w:color w:val="auto"/>
          <w:sz w:val="20"/>
          <w:szCs w:val="20"/>
          <w:lang w:val="es-ES_tradnl"/>
        </w:rPr>
        <w:t>en la que expuso</w:t>
      </w:r>
      <w:r w:rsidR="0028454B" w:rsidRPr="007C5771">
        <w:rPr>
          <w:rFonts w:asciiTheme="majorHAnsi" w:hAnsiTheme="majorHAnsi"/>
          <w:color w:val="auto"/>
          <w:sz w:val="20"/>
          <w:szCs w:val="20"/>
          <w:lang w:val="es-ES_tradnl"/>
        </w:rPr>
        <w:t xml:space="preserve"> el incumplimiento por parte de su </w:t>
      </w:r>
      <w:r w:rsidR="0028454B" w:rsidRPr="007C5771">
        <w:rPr>
          <w:rFonts w:asciiTheme="majorHAnsi" w:hAnsiTheme="majorHAnsi"/>
          <w:color w:val="auto"/>
          <w:sz w:val="20"/>
          <w:szCs w:val="20"/>
          <w:lang w:val="es-ES_tradnl"/>
        </w:rPr>
        <w:lastRenderedPageBreak/>
        <w:t>entonces esposo</w:t>
      </w:r>
      <w:r w:rsidR="00436D09" w:rsidRPr="007C5771">
        <w:rPr>
          <w:rStyle w:val="FootnoteReference"/>
          <w:rFonts w:asciiTheme="majorHAnsi" w:hAnsiTheme="majorHAnsi"/>
          <w:color w:val="auto"/>
          <w:sz w:val="20"/>
          <w:szCs w:val="20"/>
          <w:lang w:val="es-ES_tradnl"/>
        </w:rPr>
        <w:footnoteReference w:id="18"/>
      </w:r>
      <w:r w:rsidR="00311D3F" w:rsidRPr="007C5771">
        <w:rPr>
          <w:rFonts w:asciiTheme="majorHAnsi" w:hAnsiTheme="majorHAnsi"/>
          <w:color w:val="auto"/>
          <w:sz w:val="20"/>
          <w:szCs w:val="20"/>
          <w:lang w:val="es-ES_tradnl"/>
        </w:rPr>
        <w:t xml:space="preserve"> de </w:t>
      </w:r>
      <w:r w:rsidR="00130286" w:rsidRPr="007C5771">
        <w:rPr>
          <w:rFonts w:asciiTheme="majorHAnsi" w:hAnsiTheme="majorHAnsi"/>
          <w:color w:val="auto"/>
          <w:sz w:val="20"/>
          <w:szCs w:val="20"/>
          <w:lang w:val="es-ES_tradnl"/>
        </w:rPr>
        <w:t>sus</w:t>
      </w:r>
      <w:r w:rsidR="00311D3F" w:rsidRPr="007C5771">
        <w:rPr>
          <w:rFonts w:asciiTheme="majorHAnsi" w:hAnsiTheme="majorHAnsi"/>
          <w:color w:val="auto"/>
          <w:sz w:val="20"/>
          <w:szCs w:val="20"/>
          <w:lang w:val="es-ES_tradnl"/>
        </w:rPr>
        <w:t xml:space="preserve"> obligaciones alimentarias y de </w:t>
      </w:r>
      <w:r w:rsidR="00130286" w:rsidRPr="007C5771">
        <w:rPr>
          <w:rFonts w:asciiTheme="majorHAnsi" w:hAnsiTheme="majorHAnsi"/>
          <w:color w:val="auto"/>
          <w:sz w:val="20"/>
          <w:szCs w:val="20"/>
          <w:lang w:val="es-ES_tradnl"/>
        </w:rPr>
        <w:t xml:space="preserve">su responsabilidad de </w:t>
      </w:r>
      <w:r w:rsidR="00311D3F" w:rsidRPr="007C5771">
        <w:rPr>
          <w:rFonts w:asciiTheme="majorHAnsi" w:hAnsiTheme="majorHAnsi"/>
          <w:color w:val="auto"/>
          <w:sz w:val="20"/>
          <w:szCs w:val="20"/>
          <w:lang w:val="es-ES_tradnl"/>
        </w:rPr>
        <w:t xml:space="preserve">patria potestad. </w:t>
      </w:r>
      <w:r w:rsidRPr="007C5771">
        <w:rPr>
          <w:rFonts w:asciiTheme="majorHAnsi" w:hAnsiTheme="majorHAnsi"/>
          <w:color w:val="auto"/>
          <w:sz w:val="20"/>
          <w:szCs w:val="20"/>
          <w:lang w:val="es-ES_tradnl"/>
        </w:rPr>
        <w:t>La presunta víctima</w:t>
      </w:r>
      <w:r w:rsidR="00311D3F" w:rsidRPr="007C5771">
        <w:rPr>
          <w:rFonts w:asciiTheme="majorHAnsi" w:hAnsiTheme="majorHAnsi"/>
          <w:color w:val="auto"/>
          <w:sz w:val="20"/>
          <w:szCs w:val="20"/>
          <w:lang w:val="es-ES_tradnl"/>
        </w:rPr>
        <w:t xml:space="preserve"> </w:t>
      </w:r>
      <w:r w:rsidRPr="007C5771">
        <w:rPr>
          <w:rFonts w:asciiTheme="majorHAnsi" w:hAnsiTheme="majorHAnsi"/>
          <w:color w:val="auto"/>
          <w:sz w:val="20"/>
          <w:szCs w:val="20"/>
          <w:lang w:val="es-ES_tradnl"/>
        </w:rPr>
        <w:t xml:space="preserve">expuso </w:t>
      </w:r>
      <w:r w:rsidR="00311D3F" w:rsidRPr="007C5771">
        <w:rPr>
          <w:rFonts w:asciiTheme="majorHAnsi" w:hAnsiTheme="majorHAnsi"/>
          <w:color w:val="auto"/>
          <w:sz w:val="20"/>
          <w:szCs w:val="20"/>
          <w:lang w:val="es-ES_tradnl"/>
        </w:rPr>
        <w:t xml:space="preserve">además sus dificultades financieras como maestra reemplazante, </w:t>
      </w:r>
      <w:r w:rsidRPr="007C5771">
        <w:rPr>
          <w:rFonts w:asciiTheme="majorHAnsi" w:hAnsiTheme="majorHAnsi"/>
          <w:color w:val="auto"/>
          <w:sz w:val="20"/>
          <w:szCs w:val="20"/>
          <w:lang w:val="es-ES_tradnl"/>
        </w:rPr>
        <w:t>los actos de</w:t>
      </w:r>
      <w:r w:rsidR="00311D3F" w:rsidRPr="007C5771">
        <w:rPr>
          <w:rFonts w:asciiTheme="majorHAnsi" w:hAnsiTheme="majorHAnsi"/>
          <w:color w:val="auto"/>
          <w:sz w:val="20"/>
          <w:szCs w:val="20"/>
          <w:lang w:val="es-ES_tradnl"/>
        </w:rPr>
        <w:t xml:space="preserve"> violencia de su marido y su reciente incomunicación con é</w:t>
      </w:r>
      <w:r w:rsidR="00436D09" w:rsidRPr="007C5771">
        <w:rPr>
          <w:rFonts w:asciiTheme="majorHAnsi" w:hAnsiTheme="majorHAnsi"/>
          <w:color w:val="auto"/>
          <w:sz w:val="20"/>
          <w:szCs w:val="20"/>
          <w:lang w:val="es-ES_tradnl"/>
        </w:rPr>
        <w:t xml:space="preserve">l, </w:t>
      </w:r>
      <w:r w:rsidR="005F748C" w:rsidRPr="007C5771">
        <w:rPr>
          <w:rFonts w:asciiTheme="majorHAnsi" w:hAnsiTheme="majorHAnsi"/>
          <w:color w:val="auto"/>
          <w:sz w:val="20"/>
          <w:szCs w:val="20"/>
          <w:lang w:val="es-ES_tradnl"/>
        </w:rPr>
        <w:t>por haberla</w:t>
      </w:r>
      <w:r w:rsidR="00436D09" w:rsidRPr="007C5771">
        <w:rPr>
          <w:rFonts w:asciiTheme="majorHAnsi" w:hAnsiTheme="majorHAnsi"/>
          <w:color w:val="auto"/>
          <w:sz w:val="20"/>
          <w:szCs w:val="20"/>
          <w:lang w:val="es-ES_tradnl"/>
        </w:rPr>
        <w:t xml:space="preserve"> bloquea</w:t>
      </w:r>
      <w:r w:rsidRPr="007C5771">
        <w:rPr>
          <w:rFonts w:asciiTheme="majorHAnsi" w:hAnsiTheme="majorHAnsi"/>
          <w:color w:val="auto"/>
          <w:sz w:val="20"/>
          <w:szCs w:val="20"/>
          <w:lang w:val="es-ES_tradnl"/>
        </w:rPr>
        <w:t>do</w:t>
      </w:r>
      <w:r w:rsidR="00436D09" w:rsidRPr="007C5771">
        <w:rPr>
          <w:rFonts w:asciiTheme="majorHAnsi" w:hAnsiTheme="majorHAnsi"/>
          <w:color w:val="auto"/>
          <w:sz w:val="20"/>
          <w:szCs w:val="20"/>
          <w:lang w:val="es-ES_tradnl"/>
        </w:rPr>
        <w:t xml:space="preserve"> de </w:t>
      </w:r>
      <w:r w:rsidRPr="007C5771">
        <w:rPr>
          <w:rFonts w:asciiTheme="majorHAnsi" w:hAnsiTheme="majorHAnsi"/>
          <w:color w:val="auto"/>
          <w:sz w:val="20"/>
          <w:szCs w:val="20"/>
          <w:lang w:val="es-ES_tradnl"/>
        </w:rPr>
        <w:t xml:space="preserve">su </w:t>
      </w:r>
      <w:r w:rsidR="00436D09" w:rsidRPr="007C5771">
        <w:rPr>
          <w:rFonts w:asciiTheme="majorHAnsi" w:hAnsiTheme="majorHAnsi"/>
          <w:color w:val="auto"/>
          <w:sz w:val="20"/>
          <w:szCs w:val="20"/>
          <w:lang w:val="es-ES_tradnl"/>
        </w:rPr>
        <w:t>teléfono.</w:t>
      </w:r>
    </w:p>
    <w:p w14:paraId="37C4CEB5" w14:textId="5DCB6138" w:rsidR="007D6399" w:rsidRPr="007C5771" w:rsidRDefault="00392450"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lang w:val="es-ES_tradnl"/>
        </w:rPr>
      </w:pPr>
      <w:r w:rsidRPr="007C5771">
        <w:rPr>
          <w:rFonts w:asciiTheme="majorHAnsi" w:hAnsiTheme="majorHAnsi"/>
          <w:color w:val="auto"/>
          <w:sz w:val="20"/>
          <w:szCs w:val="20"/>
          <w:lang w:val="es-ES_tradnl"/>
        </w:rPr>
        <w:t>Luego, por</w:t>
      </w:r>
      <w:r w:rsidR="00311D3F" w:rsidRPr="007C5771">
        <w:rPr>
          <w:rFonts w:asciiTheme="majorHAnsi" w:hAnsiTheme="majorHAnsi"/>
          <w:color w:val="auto"/>
          <w:sz w:val="20"/>
          <w:szCs w:val="20"/>
          <w:lang w:val="es-ES_tradnl"/>
        </w:rPr>
        <w:t xml:space="preserve"> </w:t>
      </w:r>
      <w:r w:rsidRPr="007C5771">
        <w:rPr>
          <w:rFonts w:asciiTheme="majorHAnsi" w:hAnsiTheme="majorHAnsi"/>
          <w:color w:val="auto"/>
          <w:sz w:val="20"/>
          <w:szCs w:val="20"/>
          <w:lang w:val="es-ES_tradnl"/>
        </w:rPr>
        <w:t xml:space="preserve">recomendación de </w:t>
      </w:r>
      <w:r w:rsidR="00311D3F" w:rsidRPr="007C5771">
        <w:rPr>
          <w:rFonts w:asciiTheme="majorHAnsi" w:hAnsiTheme="majorHAnsi"/>
          <w:color w:val="auto"/>
          <w:sz w:val="20"/>
          <w:szCs w:val="20"/>
          <w:lang w:val="es-ES_tradnl"/>
        </w:rPr>
        <w:t xml:space="preserve">una </w:t>
      </w:r>
      <w:r w:rsidR="00843E9C" w:rsidRPr="007C5771">
        <w:rPr>
          <w:rFonts w:asciiTheme="majorHAnsi" w:hAnsiTheme="majorHAnsi"/>
          <w:color w:val="auto"/>
          <w:sz w:val="20"/>
          <w:szCs w:val="20"/>
          <w:lang w:val="es-ES_tradnl"/>
        </w:rPr>
        <w:t>D</w:t>
      </w:r>
      <w:r w:rsidR="00311D3F" w:rsidRPr="007C5771">
        <w:rPr>
          <w:rFonts w:asciiTheme="majorHAnsi" w:hAnsiTheme="majorHAnsi"/>
          <w:color w:val="auto"/>
          <w:sz w:val="20"/>
          <w:szCs w:val="20"/>
          <w:lang w:val="es-ES_tradnl"/>
        </w:rPr>
        <w:t xml:space="preserve">iputada de la Legislatura, </w:t>
      </w:r>
      <w:r w:rsidRPr="007C5771">
        <w:rPr>
          <w:rFonts w:asciiTheme="majorHAnsi" w:hAnsiTheme="majorHAnsi"/>
          <w:color w:val="auto"/>
          <w:sz w:val="20"/>
          <w:szCs w:val="20"/>
          <w:lang w:val="es-ES_tradnl"/>
        </w:rPr>
        <w:t>l</w:t>
      </w:r>
      <w:r w:rsidR="00311D3F" w:rsidRPr="007C5771">
        <w:rPr>
          <w:rFonts w:asciiTheme="majorHAnsi" w:hAnsiTheme="majorHAnsi"/>
          <w:color w:val="auto"/>
          <w:sz w:val="20"/>
          <w:szCs w:val="20"/>
          <w:lang w:val="es-ES_tradnl"/>
        </w:rPr>
        <w:t>a</w:t>
      </w:r>
      <w:r w:rsidRPr="007C5771">
        <w:rPr>
          <w:rFonts w:asciiTheme="majorHAnsi" w:hAnsiTheme="majorHAnsi"/>
          <w:color w:val="auto"/>
          <w:sz w:val="20"/>
          <w:szCs w:val="20"/>
          <w:lang w:val="es-ES_tradnl"/>
        </w:rPr>
        <w:t xml:space="preserve"> señora </w:t>
      </w:r>
      <w:r w:rsidR="002F22C3" w:rsidRPr="007C5771">
        <w:rPr>
          <w:rFonts w:asciiTheme="majorHAnsi" w:hAnsiTheme="majorHAnsi"/>
          <w:color w:val="auto"/>
          <w:sz w:val="20"/>
          <w:szCs w:val="20"/>
          <w:lang w:val="es-ES_tradnl"/>
        </w:rPr>
        <w:t>Pérez</w:t>
      </w:r>
      <w:r w:rsidRPr="007C5771">
        <w:rPr>
          <w:rFonts w:asciiTheme="majorHAnsi" w:hAnsiTheme="majorHAnsi"/>
          <w:color w:val="auto"/>
          <w:sz w:val="20"/>
          <w:szCs w:val="20"/>
          <w:lang w:val="es-ES_tradnl"/>
        </w:rPr>
        <w:t xml:space="preserve"> acudió a </w:t>
      </w:r>
      <w:r w:rsidR="00843E9C" w:rsidRPr="007C5771">
        <w:rPr>
          <w:rFonts w:asciiTheme="majorHAnsi" w:hAnsiTheme="majorHAnsi"/>
          <w:color w:val="auto"/>
          <w:sz w:val="20"/>
          <w:szCs w:val="20"/>
          <w:lang w:val="es-ES_tradnl"/>
        </w:rPr>
        <w:t>la Tercera</w:t>
      </w:r>
      <w:r w:rsidR="00311D3F" w:rsidRPr="007C5771">
        <w:rPr>
          <w:rFonts w:asciiTheme="majorHAnsi" w:hAnsiTheme="majorHAnsi"/>
          <w:color w:val="auto"/>
          <w:sz w:val="20"/>
          <w:szCs w:val="20"/>
          <w:lang w:val="es-ES_tradnl"/>
        </w:rPr>
        <w:t xml:space="preserve"> </w:t>
      </w:r>
      <w:r w:rsidR="00714CF9" w:rsidRPr="007C5771">
        <w:rPr>
          <w:rFonts w:asciiTheme="majorHAnsi" w:hAnsiTheme="majorHAnsi"/>
          <w:color w:val="auto"/>
          <w:sz w:val="20"/>
          <w:szCs w:val="20"/>
          <w:lang w:val="es-ES_tradnl"/>
        </w:rPr>
        <w:t>Defensoría de Pobres y Ausentes</w:t>
      </w:r>
      <w:r w:rsidR="00290B1F" w:rsidRPr="007C5771">
        <w:rPr>
          <w:rFonts w:asciiTheme="majorHAnsi" w:hAnsiTheme="majorHAnsi"/>
          <w:color w:val="auto"/>
          <w:sz w:val="20"/>
          <w:szCs w:val="20"/>
          <w:lang w:val="es-ES_tradnl"/>
        </w:rPr>
        <w:t xml:space="preserve"> (en adelante “Defensoría”)</w:t>
      </w:r>
      <w:r w:rsidR="00311D3F" w:rsidRPr="007C5771">
        <w:rPr>
          <w:rFonts w:asciiTheme="majorHAnsi" w:hAnsiTheme="majorHAnsi"/>
          <w:color w:val="auto"/>
          <w:sz w:val="20"/>
          <w:szCs w:val="20"/>
          <w:lang w:val="es-ES_tradnl"/>
        </w:rPr>
        <w:t xml:space="preserve"> </w:t>
      </w:r>
      <w:r w:rsidRPr="007C5771">
        <w:rPr>
          <w:rFonts w:asciiTheme="majorHAnsi" w:hAnsiTheme="majorHAnsi"/>
          <w:color w:val="auto"/>
          <w:sz w:val="20"/>
          <w:szCs w:val="20"/>
          <w:lang w:val="es-ES_tradnl"/>
        </w:rPr>
        <w:t>donde le</w:t>
      </w:r>
      <w:r w:rsidR="00311D3F" w:rsidRPr="007C5771">
        <w:rPr>
          <w:rFonts w:asciiTheme="majorHAnsi" w:hAnsiTheme="majorHAnsi"/>
          <w:color w:val="auto"/>
          <w:sz w:val="20"/>
          <w:szCs w:val="20"/>
          <w:lang w:val="es-ES_tradnl"/>
        </w:rPr>
        <w:t xml:space="preserve"> indica</w:t>
      </w:r>
      <w:r w:rsidRPr="007C5771">
        <w:rPr>
          <w:rFonts w:asciiTheme="majorHAnsi" w:hAnsiTheme="majorHAnsi"/>
          <w:color w:val="auto"/>
          <w:sz w:val="20"/>
          <w:szCs w:val="20"/>
          <w:lang w:val="es-ES_tradnl"/>
        </w:rPr>
        <w:t>ron que só</w:t>
      </w:r>
      <w:r w:rsidR="00714CF9" w:rsidRPr="007C5771">
        <w:rPr>
          <w:rFonts w:asciiTheme="majorHAnsi" w:hAnsiTheme="majorHAnsi"/>
          <w:color w:val="auto"/>
          <w:sz w:val="20"/>
          <w:szCs w:val="20"/>
          <w:lang w:val="es-ES_tradnl"/>
        </w:rPr>
        <w:t>lo la podían</w:t>
      </w:r>
      <w:r w:rsidR="00311D3F" w:rsidRPr="007C5771">
        <w:rPr>
          <w:rFonts w:asciiTheme="majorHAnsi" w:hAnsiTheme="majorHAnsi"/>
          <w:color w:val="auto"/>
          <w:sz w:val="20"/>
          <w:szCs w:val="20"/>
          <w:lang w:val="es-ES_tradnl"/>
        </w:rPr>
        <w:t xml:space="preserve"> representar </w:t>
      </w:r>
      <w:r w:rsidR="00714CF9" w:rsidRPr="007C5771">
        <w:rPr>
          <w:rFonts w:asciiTheme="majorHAnsi" w:hAnsiTheme="majorHAnsi"/>
          <w:color w:val="auto"/>
          <w:sz w:val="20"/>
          <w:szCs w:val="20"/>
          <w:lang w:val="es-ES_tradnl"/>
        </w:rPr>
        <w:t>en el proceso</w:t>
      </w:r>
      <w:r w:rsidR="00311D3F" w:rsidRPr="007C5771">
        <w:rPr>
          <w:rFonts w:asciiTheme="majorHAnsi" w:hAnsiTheme="majorHAnsi"/>
          <w:color w:val="auto"/>
          <w:sz w:val="20"/>
          <w:szCs w:val="20"/>
          <w:lang w:val="es-ES_tradnl"/>
        </w:rPr>
        <w:t xml:space="preserve"> </w:t>
      </w:r>
      <w:r w:rsidR="00714CF9" w:rsidRPr="007C5771">
        <w:rPr>
          <w:rFonts w:asciiTheme="majorHAnsi" w:hAnsiTheme="majorHAnsi"/>
          <w:color w:val="auto"/>
          <w:sz w:val="20"/>
          <w:szCs w:val="20"/>
          <w:lang w:val="es-ES_tradnl"/>
        </w:rPr>
        <w:t>de</w:t>
      </w:r>
      <w:r w:rsidR="00311D3F" w:rsidRPr="007C5771">
        <w:rPr>
          <w:rFonts w:asciiTheme="majorHAnsi" w:hAnsiTheme="majorHAnsi"/>
          <w:color w:val="auto"/>
          <w:sz w:val="20"/>
          <w:szCs w:val="20"/>
          <w:lang w:val="es-ES_tradnl"/>
        </w:rPr>
        <w:t xml:space="preserve"> divorcio </w:t>
      </w:r>
      <w:r w:rsidR="00714CF9" w:rsidRPr="007C5771">
        <w:rPr>
          <w:rFonts w:asciiTheme="majorHAnsi" w:hAnsiTheme="majorHAnsi"/>
          <w:color w:val="auto"/>
          <w:sz w:val="20"/>
          <w:szCs w:val="20"/>
          <w:lang w:val="es-ES_tradnl"/>
        </w:rPr>
        <w:t>y</w:t>
      </w:r>
      <w:r w:rsidR="00311D3F" w:rsidRPr="007C5771">
        <w:rPr>
          <w:rFonts w:asciiTheme="majorHAnsi" w:hAnsiTheme="majorHAnsi"/>
          <w:color w:val="auto"/>
          <w:sz w:val="20"/>
          <w:szCs w:val="20"/>
          <w:lang w:val="es-ES_tradnl"/>
        </w:rPr>
        <w:t xml:space="preserve"> que para la demanda</w:t>
      </w:r>
      <w:r w:rsidR="00714CF9" w:rsidRPr="007C5771">
        <w:rPr>
          <w:rFonts w:asciiTheme="majorHAnsi" w:hAnsiTheme="majorHAnsi"/>
          <w:color w:val="auto"/>
          <w:sz w:val="20"/>
          <w:szCs w:val="20"/>
          <w:lang w:val="es-ES_tradnl"/>
        </w:rPr>
        <w:t xml:space="preserve"> de alimentos debía</w:t>
      </w:r>
      <w:r w:rsidR="00311D3F" w:rsidRPr="007C5771">
        <w:rPr>
          <w:rFonts w:asciiTheme="majorHAnsi" w:hAnsiTheme="majorHAnsi"/>
          <w:color w:val="auto"/>
          <w:sz w:val="20"/>
          <w:szCs w:val="20"/>
          <w:lang w:val="es-ES_tradnl"/>
        </w:rPr>
        <w:t xml:space="preserve"> acudir al Tribunal de Familia</w:t>
      </w:r>
      <w:r w:rsidR="00714CF9" w:rsidRPr="007C5771">
        <w:rPr>
          <w:rFonts w:asciiTheme="majorHAnsi" w:hAnsiTheme="majorHAnsi"/>
          <w:color w:val="auto"/>
          <w:sz w:val="20"/>
          <w:szCs w:val="20"/>
          <w:lang w:val="es-ES_tradnl"/>
        </w:rPr>
        <w:t xml:space="preserve"> para que le asignaran otro abogado</w:t>
      </w:r>
      <w:r w:rsidR="00311D3F" w:rsidRPr="007C5771">
        <w:rPr>
          <w:rFonts w:asciiTheme="majorHAnsi" w:hAnsiTheme="majorHAnsi"/>
          <w:color w:val="auto"/>
          <w:sz w:val="20"/>
          <w:szCs w:val="20"/>
          <w:lang w:val="es-ES_tradnl"/>
        </w:rPr>
        <w:t xml:space="preserve">. La </w:t>
      </w:r>
      <w:r w:rsidR="0029435A" w:rsidRPr="007C5771">
        <w:rPr>
          <w:rFonts w:asciiTheme="majorHAnsi" w:hAnsiTheme="majorHAnsi"/>
          <w:color w:val="auto"/>
          <w:sz w:val="20"/>
          <w:szCs w:val="20"/>
          <w:lang w:val="es-ES_tradnl"/>
        </w:rPr>
        <w:t xml:space="preserve">parte peticionaria </w:t>
      </w:r>
      <w:r w:rsidR="005E7829" w:rsidRPr="007C5771">
        <w:rPr>
          <w:rFonts w:asciiTheme="majorHAnsi" w:hAnsiTheme="majorHAnsi"/>
          <w:color w:val="auto"/>
          <w:sz w:val="20"/>
          <w:szCs w:val="20"/>
          <w:lang w:val="es-ES_tradnl"/>
        </w:rPr>
        <w:t>considera</w:t>
      </w:r>
      <w:r w:rsidR="0029435A" w:rsidRPr="007C5771">
        <w:rPr>
          <w:rFonts w:asciiTheme="majorHAnsi" w:hAnsiTheme="majorHAnsi"/>
          <w:color w:val="auto"/>
          <w:sz w:val="20"/>
          <w:szCs w:val="20"/>
          <w:lang w:val="es-ES_tradnl"/>
        </w:rPr>
        <w:t xml:space="preserve"> que el </w:t>
      </w:r>
      <w:r w:rsidR="00843E9C" w:rsidRPr="007C5771">
        <w:rPr>
          <w:rFonts w:asciiTheme="majorHAnsi" w:hAnsiTheme="majorHAnsi"/>
          <w:color w:val="auto"/>
          <w:sz w:val="20"/>
          <w:szCs w:val="20"/>
          <w:lang w:val="es-ES_tradnl"/>
        </w:rPr>
        <w:t xml:space="preserve">hecho </w:t>
      </w:r>
      <w:r w:rsidR="005E7829" w:rsidRPr="007C5771">
        <w:rPr>
          <w:rFonts w:asciiTheme="majorHAnsi" w:hAnsiTheme="majorHAnsi"/>
          <w:color w:val="auto"/>
          <w:sz w:val="20"/>
          <w:szCs w:val="20"/>
          <w:lang w:val="es-ES_tradnl"/>
        </w:rPr>
        <w:t xml:space="preserve">que los procesos requirieran abogados distintos agravó la victimización de la señora </w:t>
      </w:r>
      <w:r w:rsidR="002F22C3" w:rsidRPr="007C5771">
        <w:rPr>
          <w:rFonts w:asciiTheme="majorHAnsi" w:hAnsiTheme="majorHAnsi"/>
          <w:color w:val="auto"/>
          <w:sz w:val="20"/>
          <w:szCs w:val="20"/>
          <w:lang w:val="es-ES_tradnl"/>
        </w:rPr>
        <w:t>Pérez</w:t>
      </w:r>
      <w:r w:rsidR="00843E9C" w:rsidRPr="007C5771">
        <w:rPr>
          <w:rFonts w:asciiTheme="majorHAnsi" w:hAnsiTheme="majorHAnsi"/>
          <w:color w:val="auto"/>
          <w:sz w:val="20"/>
          <w:szCs w:val="20"/>
          <w:lang w:val="es-ES_tradnl"/>
        </w:rPr>
        <w:t>,</w:t>
      </w:r>
      <w:r w:rsidR="005E7829" w:rsidRPr="007C5771">
        <w:rPr>
          <w:rFonts w:asciiTheme="majorHAnsi" w:hAnsiTheme="majorHAnsi"/>
          <w:color w:val="auto"/>
          <w:sz w:val="20"/>
          <w:szCs w:val="20"/>
          <w:lang w:val="es-ES_tradnl"/>
        </w:rPr>
        <w:t xml:space="preserve"> pues la forzó a relatar su historia dos veces y a invertir, en su difícil situación, el doble del tiempo en reuniones con los abogados</w:t>
      </w:r>
      <w:r w:rsidR="005E7829" w:rsidRPr="007C5771">
        <w:rPr>
          <w:rStyle w:val="FootnoteReference"/>
          <w:rFonts w:asciiTheme="majorHAnsi" w:hAnsiTheme="majorHAnsi"/>
          <w:color w:val="auto"/>
          <w:sz w:val="20"/>
          <w:szCs w:val="20"/>
          <w:lang w:val="es-ES_tradnl"/>
        </w:rPr>
        <w:footnoteReference w:id="19"/>
      </w:r>
      <w:r w:rsidR="00311D3F" w:rsidRPr="007C5771">
        <w:rPr>
          <w:rFonts w:asciiTheme="majorHAnsi" w:hAnsiTheme="majorHAnsi"/>
          <w:color w:val="auto"/>
          <w:sz w:val="20"/>
          <w:szCs w:val="20"/>
          <w:lang w:val="es-ES_tradnl"/>
        </w:rPr>
        <w:t xml:space="preserve">. </w:t>
      </w:r>
    </w:p>
    <w:p w14:paraId="008CEAC4" w14:textId="3D83B57E" w:rsidR="00311D3F" w:rsidRPr="007C5771" w:rsidRDefault="007D6399"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lang w:val="es-ES_tradnl"/>
        </w:rPr>
      </w:pPr>
      <w:r w:rsidRPr="007C5771">
        <w:rPr>
          <w:rFonts w:asciiTheme="majorHAnsi" w:hAnsiTheme="majorHAnsi"/>
          <w:color w:val="auto"/>
          <w:sz w:val="20"/>
          <w:szCs w:val="20"/>
          <w:lang w:val="es-ES_tradnl"/>
        </w:rPr>
        <w:t xml:space="preserve">En cuanto al proceso </w:t>
      </w:r>
      <w:r w:rsidR="00311D3F" w:rsidRPr="007C5771">
        <w:rPr>
          <w:rFonts w:asciiTheme="majorHAnsi" w:hAnsiTheme="majorHAnsi"/>
          <w:color w:val="auto"/>
          <w:sz w:val="20"/>
          <w:szCs w:val="20"/>
          <w:lang w:val="es-ES_tradnl"/>
        </w:rPr>
        <w:t>de divorcio, la</w:t>
      </w:r>
      <w:r w:rsidRPr="007C5771">
        <w:rPr>
          <w:rFonts w:asciiTheme="majorHAnsi" w:hAnsiTheme="majorHAnsi"/>
          <w:color w:val="auto"/>
          <w:sz w:val="20"/>
          <w:szCs w:val="20"/>
          <w:lang w:val="es-ES_tradnl"/>
        </w:rPr>
        <w:t xml:space="preserve"> señora </w:t>
      </w:r>
      <w:r w:rsidR="002F22C3" w:rsidRPr="007C5771">
        <w:rPr>
          <w:rFonts w:asciiTheme="majorHAnsi" w:hAnsiTheme="majorHAnsi"/>
          <w:color w:val="auto"/>
          <w:sz w:val="20"/>
          <w:szCs w:val="20"/>
          <w:lang w:val="es-ES_tradnl"/>
        </w:rPr>
        <w:t>Pérez</w:t>
      </w:r>
      <w:r w:rsidRPr="007C5771">
        <w:rPr>
          <w:rFonts w:asciiTheme="majorHAnsi" w:hAnsiTheme="majorHAnsi"/>
          <w:color w:val="auto"/>
          <w:sz w:val="20"/>
          <w:szCs w:val="20"/>
          <w:lang w:val="es-ES_tradnl"/>
        </w:rPr>
        <w:t xml:space="preserve"> fue atendida el 19 de septiembre de 2007</w:t>
      </w:r>
      <w:r w:rsidR="00311D3F" w:rsidRPr="007C5771">
        <w:rPr>
          <w:rFonts w:asciiTheme="majorHAnsi" w:hAnsiTheme="majorHAnsi"/>
          <w:color w:val="auto"/>
          <w:sz w:val="20"/>
          <w:szCs w:val="20"/>
          <w:lang w:val="es-ES_tradnl"/>
        </w:rPr>
        <w:t xml:space="preserve"> por una abogada</w:t>
      </w:r>
      <w:r w:rsidR="003B6805" w:rsidRPr="007C5771">
        <w:rPr>
          <w:rFonts w:asciiTheme="majorHAnsi" w:hAnsiTheme="majorHAnsi"/>
          <w:color w:val="auto"/>
          <w:sz w:val="20"/>
          <w:szCs w:val="20"/>
          <w:lang w:val="es-ES_tradnl"/>
        </w:rPr>
        <w:t xml:space="preserve"> de la Defensoría</w:t>
      </w:r>
      <w:r w:rsidR="00311D3F" w:rsidRPr="007C5771">
        <w:rPr>
          <w:rFonts w:asciiTheme="majorHAnsi" w:hAnsiTheme="majorHAnsi"/>
          <w:color w:val="auto"/>
          <w:sz w:val="20"/>
          <w:szCs w:val="20"/>
          <w:lang w:val="es-ES_tradnl"/>
        </w:rPr>
        <w:t xml:space="preserve"> quien no pudo ubicar el expediente </w:t>
      </w:r>
      <w:r w:rsidR="007F278C" w:rsidRPr="007C5771">
        <w:rPr>
          <w:rFonts w:asciiTheme="majorHAnsi" w:hAnsiTheme="majorHAnsi"/>
          <w:color w:val="auto"/>
          <w:sz w:val="20"/>
          <w:szCs w:val="20"/>
          <w:lang w:val="es-ES_tradnl"/>
        </w:rPr>
        <w:t xml:space="preserve">sobre </w:t>
      </w:r>
      <w:r w:rsidR="002F22C3" w:rsidRPr="007C5771">
        <w:rPr>
          <w:rFonts w:asciiTheme="majorHAnsi" w:hAnsiTheme="majorHAnsi"/>
          <w:color w:val="auto"/>
          <w:sz w:val="20"/>
          <w:szCs w:val="20"/>
          <w:lang w:val="es-ES_tradnl"/>
        </w:rPr>
        <w:t>el divorcio</w:t>
      </w:r>
      <w:r w:rsidR="00311D3F" w:rsidRPr="007C5771">
        <w:rPr>
          <w:rFonts w:asciiTheme="majorHAnsi" w:hAnsiTheme="majorHAnsi"/>
          <w:color w:val="auto"/>
          <w:sz w:val="20"/>
          <w:szCs w:val="20"/>
          <w:lang w:val="es-ES_tradnl"/>
        </w:rPr>
        <w:t xml:space="preserve"> en el sistema.</w:t>
      </w:r>
      <w:r w:rsidR="007F278C" w:rsidRPr="007C5771">
        <w:rPr>
          <w:rFonts w:asciiTheme="majorHAnsi" w:hAnsiTheme="majorHAnsi"/>
          <w:color w:val="auto"/>
          <w:sz w:val="20"/>
          <w:szCs w:val="20"/>
          <w:lang w:val="es-ES_tradnl"/>
        </w:rPr>
        <w:t xml:space="preserve"> Esta abogada</w:t>
      </w:r>
      <w:r w:rsidR="00311D3F" w:rsidRPr="007C5771">
        <w:rPr>
          <w:rFonts w:asciiTheme="majorHAnsi" w:hAnsiTheme="majorHAnsi"/>
          <w:color w:val="auto"/>
          <w:sz w:val="20"/>
          <w:szCs w:val="20"/>
          <w:lang w:val="es-ES_tradnl"/>
        </w:rPr>
        <w:t xml:space="preserve"> le indicó que</w:t>
      </w:r>
      <w:r w:rsidR="003B6805" w:rsidRPr="007C5771">
        <w:rPr>
          <w:rFonts w:asciiTheme="majorHAnsi" w:hAnsiTheme="majorHAnsi"/>
          <w:color w:val="auto"/>
          <w:sz w:val="20"/>
          <w:szCs w:val="20"/>
          <w:lang w:val="es-ES_tradnl"/>
        </w:rPr>
        <w:t xml:space="preserve"> no podía proceder hasta</w:t>
      </w:r>
      <w:r w:rsidR="009F4A7E" w:rsidRPr="007C5771">
        <w:rPr>
          <w:rFonts w:asciiTheme="majorHAnsi" w:hAnsiTheme="majorHAnsi"/>
          <w:color w:val="auto"/>
          <w:sz w:val="20"/>
          <w:szCs w:val="20"/>
          <w:lang w:val="es-ES_tradnl"/>
        </w:rPr>
        <w:t xml:space="preserve"> que</w:t>
      </w:r>
      <w:r w:rsidR="00311D3F" w:rsidRPr="007C5771">
        <w:rPr>
          <w:rFonts w:asciiTheme="majorHAnsi" w:hAnsiTheme="majorHAnsi"/>
          <w:color w:val="auto"/>
          <w:sz w:val="20"/>
          <w:szCs w:val="20"/>
          <w:lang w:val="es-ES_tradnl"/>
        </w:rPr>
        <w:t xml:space="preserve"> </w:t>
      </w:r>
      <w:r w:rsidR="007F278C" w:rsidRPr="007C5771">
        <w:rPr>
          <w:rFonts w:asciiTheme="majorHAnsi" w:hAnsiTheme="majorHAnsi"/>
          <w:color w:val="auto"/>
          <w:sz w:val="20"/>
          <w:szCs w:val="20"/>
          <w:lang w:val="es-ES_tradnl"/>
        </w:rPr>
        <w:t xml:space="preserve">la señora </w:t>
      </w:r>
      <w:r w:rsidR="002F22C3" w:rsidRPr="007C5771">
        <w:rPr>
          <w:rFonts w:asciiTheme="majorHAnsi" w:hAnsiTheme="majorHAnsi"/>
          <w:color w:val="auto"/>
          <w:sz w:val="20"/>
          <w:szCs w:val="20"/>
          <w:lang w:val="es-ES_tradnl"/>
        </w:rPr>
        <w:t>Pérez</w:t>
      </w:r>
      <w:r w:rsidR="007F278C" w:rsidRPr="007C5771">
        <w:rPr>
          <w:rFonts w:asciiTheme="majorHAnsi" w:hAnsiTheme="majorHAnsi"/>
          <w:color w:val="auto"/>
          <w:sz w:val="20"/>
          <w:szCs w:val="20"/>
          <w:lang w:val="es-ES_tradnl"/>
        </w:rPr>
        <w:t xml:space="preserve"> </w:t>
      </w:r>
      <w:r w:rsidR="003B6805" w:rsidRPr="007C5771">
        <w:rPr>
          <w:rFonts w:asciiTheme="majorHAnsi" w:hAnsiTheme="majorHAnsi"/>
          <w:bCs/>
          <w:color w:val="auto"/>
          <w:sz w:val="20"/>
          <w:szCs w:val="20"/>
          <w:lang w:val="es-ES_tradnl"/>
        </w:rPr>
        <w:t xml:space="preserve">presentara información tal como el documento de conformidad profesional y el desarchivo del expediente, para lo que la señora </w:t>
      </w:r>
      <w:r w:rsidR="002F22C3" w:rsidRPr="007C5771">
        <w:rPr>
          <w:rFonts w:asciiTheme="majorHAnsi" w:hAnsiTheme="majorHAnsi"/>
          <w:bCs/>
          <w:color w:val="auto"/>
          <w:sz w:val="20"/>
          <w:szCs w:val="20"/>
          <w:lang w:val="es-ES_tradnl"/>
        </w:rPr>
        <w:t>Pérez</w:t>
      </w:r>
      <w:r w:rsidR="003B6805" w:rsidRPr="007C5771">
        <w:rPr>
          <w:rFonts w:asciiTheme="majorHAnsi" w:hAnsiTheme="majorHAnsi"/>
          <w:bCs/>
          <w:color w:val="auto"/>
          <w:sz w:val="20"/>
          <w:szCs w:val="20"/>
          <w:lang w:val="es-ES_tradnl"/>
        </w:rPr>
        <w:t xml:space="preserve"> debía</w:t>
      </w:r>
      <w:r w:rsidR="009F4A7E" w:rsidRPr="007C5771">
        <w:rPr>
          <w:rFonts w:asciiTheme="majorHAnsi" w:hAnsiTheme="majorHAnsi"/>
          <w:bCs/>
          <w:color w:val="auto"/>
          <w:sz w:val="20"/>
          <w:szCs w:val="20"/>
          <w:lang w:val="es-ES_tradnl"/>
        </w:rPr>
        <w:t xml:space="preserve"> contactar a su anterior abogada</w:t>
      </w:r>
      <w:r w:rsidR="003B6805" w:rsidRPr="007C5771">
        <w:rPr>
          <w:rFonts w:asciiTheme="majorHAnsi" w:hAnsiTheme="majorHAnsi"/>
          <w:bCs/>
          <w:color w:val="auto"/>
          <w:sz w:val="20"/>
          <w:szCs w:val="20"/>
          <w:lang w:val="es-ES_tradnl"/>
        </w:rPr>
        <w:t xml:space="preserve">. </w:t>
      </w:r>
      <w:r w:rsidR="003B6805" w:rsidRPr="007C5771">
        <w:rPr>
          <w:rFonts w:asciiTheme="majorHAnsi" w:hAnsiTheme="majorHAnsi"/>
          <w:color w:val="auto"/>
          <w:sz w:val="20"/>
          <w:szCs w:val="20"/>
          <w:lang w:val="es-ES_tradnl"/>
        </w:rPr>
        <w:t xml:space="preserve">Agrega </w:t>
      </w:r>
      <w:r w:rsidR="00C36565" w:rsidRPr="007C5771">
        <w:rPr>
          <w:rFonts w:asciiTheme="majorHAnsi" w:hAnsiTheme="majorHAnsi"/>
          <w:color w:val="auto"/>
          <w:sz w:val="20"/>
          <w:szCs w:val="20"/>
          <w:lang w:val="es-ES_tradnl"/>
        </w:rPr>
        <w:t xml:space="preserve">la parte peticionaria </w:t>
      </w:r>
      <w:r w:rsidR="003B6805" w:rsidRPr="007C5771">
        <w:rPr>
          <w:rFonts w:asciiTheme="majorHAnsi" w:hAnsiTheme="majorHAnsi"/>
          <w:color w:val="auto"/>
          <w:sz w:val="20"/>
          <w:szCs w:val="20"/>
          <w:lang w:val="es-ES_tradnl"/>
        </w:rPr>
        <w:t xml:space="preserve">que la abogada </w:t>
      </w:r>
      <w:r w:rsidR="003E5B2B" w:rsidRPr="007C5771">
        <w:rPr>
          <w:rFonts w:asciiTheme="majorHAnsi" w:hAnsiTheme="majorHAnsi"/>
          <w:color w:val="auto"/>
          <w:sz w:val="20"/>
          <w:szCs w:val="20"/>
          <w:lang w:val="es-ES_tradnl"/>
        </w:rPr>
        <w:t>de la Defensoría se rehusó a llamar por teléfono a la abogada que inició el proceso de divorcio</w:t>
      </w:r>
      <w:r w:rsidR="00C36565" w:rsidRPr="007C5771">
        <w:rPr>
          <w:rFonts w:asciiTheme="majorHAnsi" w:hAnsiTheme="majorHAnsi"/>
          <w:color w:val="auto"/>
          <w:sz w:val="20"/>
          <w:szCs w:val="20"/>
          <w:lang w:val="es-ES_tradnl"/>
        </w:rPr>
        <w:t>,</w:t>
      </w:r>
      <w:r w:rsidR="003E5B2B" w:rsidRPr="007C5771">
        <w:rPr>
          <w:rFonts w:asciiTheme="majorHAnsi" w:hAnsiTheme="majorHAnsi"/>
          <w:color w:val="auto"/>
          <w:sz w:val="20"/>
          <w:szCs w:val="20"/>
          <w:lang w:val="es-ES_tradnl"/>
        </w:rPr>
        <w:t xml:space="preserve"> y que indicó que era la señora </w:t>
      </w:r>
      <w:r w:rsidR="002F22C3" w:rsidRPr="007C5771">
        <w:rPr>
          <w:rFonts w:asciiTheme="majorHAnsi" w:hAnsiTheme="majorHAnsi"/>
          <w:color w:val="auto"/>
          <w:sz w:val="20"/>
          <w:szCs w:val="20"/>
          <w:lang w:val="es-ES_tradnl"/>
        </w:rPr>
        <w:t>Pérez</w:t>
      </w:r>
      <w:r w:rsidR="003E5B2B" w:rsidRPr="007C5771">
        <w:rPr>
          <w:rFonts w:asciiTheme="majorHAnsi" w:hAnsiTheme="majorHAnsi"/>
          <w:color w:val="auto"/>
          <w:sz w:val="20"/>
          <w:szCs w:val="20"/>
          <w:lang w:val="es-ES_tradnl"/>
        </w:rPr>
        <w:t xml:space="preserve"> quien debía darle un informe de todo lo ocurrido en el expediente de divorcio. La parte peticionaria considera que esto constituyó una forma de </w:t>
      </w:r>
      <w:proofErr w:type="spellStart"/>
      <w:r w:rsidR="003E5B2B" w:rsidRPr="007C5771">
        <w:rPr>
          <w:rFonts w:asciiTheme="majorHAnsi" w:hAnsiTheme="majorHAnsi"/>
          <w:color w:val="auto"/>
          <w:sz w:val="20"/>
          <w:szCs w:val="20"/>
          <w:lang w:val="es-ES_tradnl"/>
        </w:rPr>
        <w:t>revictimización</w:t>
      </w:r>
      <w:proofErr w:type="spellEnd"/>
      <w:r w:rsidR="003E5B2B" w:rsidRPr="007C5771">
        <w:rPr>
          <w:rFonts w:asciiTheme="majorHAnsi" w:hAnsiTheme="majorHAnsi"/>
          <w:color w:val="auto"/>
          <w:sz w:val="20"/>
          <w:szCs w:val="20"/>
          <w:lang w:val="es-ES_tradnl"/>
        </w:rPr>
        <w:t xml:space="preserve"> institucional pues el </w:t>
      </w:r>
      <w:r w:rsidR="00C36565" w:rsidRPr="007C5771">
        <w:rPr>
          <w:rFonts w:asciiTheme="majorHAnsi" w:hAnsiTheme="majorHAnsi"/>
          <w:color w:val="auto"/>
          <w:sz w:val="20"/>
          <w:szCs w:val="20"/>
          <w:lang w:val="es-ES_tradnl"/>
        </w:rPr>
        <w:t xml:space="preserve">hecho de </w:t>
      </w:r>
      <w:r w:rsidR="003E5B2B" w:rsidRPr="007C5771">
        <w:rPr>
          <w:rFonts w:asciiTheme="majorHAnsi" w:hAnsiTheme="majorHAnsi"/>
          <w:color w:val="auto"/>
          <w:sz w:val="20"/>
          <w:szCs w:val="20"/>
          <w:lang w:val="es-ES_tradnl"/>
        </w:rPr>
        <w:t xml:space="preserve">que el Estado brindara asistencia a la señora </w:t>
      </w:r>
      <w:r w:rsidR="002F22C3" w:rsidRPr="007C5771">
        <w:rPr>
          <w:rFonts w:asciiTheme="majorHAnsi" w:hAnsiTheme="majorHAnsi"/>
          <w:color w:val="auto"/>
          <w:sz w:val="20"/>
          <w:szCs w:val="20"/>
          <w:lang w:val="es-ES_tradnl"/>
        </w:rPr>
        <w:t>Pérez</w:t>
      </w:r>
      <w:r w:rsidR="003E5B2B" w:rsidRPr="007C5771">
        <w:rPr>
          <w:rFonts w:asciiTheme="majorHAnsi" w:hAnsiTheme="majorHAnsi"/>
          <w:color w:val="auto"/>
          <w:sz w:val="20"/>
          <w:szCs w:val="20"/>
          <w:lang w:val="es-ES_tradnl"/>
        </w:rPr>
        <w:t xml:space="preserve"> en su divorcio no debía depender de que ésta entendiera temas legales o pudiera contactar a su anterior abogada.</w:t>
      </w:r>
      <w:r w:rsidR="00290B1F" w:rsidRPr="007C5771">
        <w:rPr>
          <w:rFonts w:asciiTheme="majorHAnsi" w:hAnsiTheme="majorHAnsi"/>
          <w:color w:val="auto"/>
          <w:sz w:val="20"/>
          <w:szCs w:val="20"/>
          <w:lang w:val="es-ES_tradnl"/>
        </w:rPr>
        <w:t xml:space="preserve"> Añade que le indicaron que, aunque el proceso iniciado era un divorcio contencioso, la Defensoría sólo la podía representar en un divorcio por mutuo acuerdo. Aduce que </w:t>
      </w:r>
      <w:r w:rsidR="002F22C3" w:rsidRPr="007C5771">
        <w:rPr>
          <w:rFonts w:asciiTheme="majorHAnsi" w:hAnsiTheme="majorHAnsi"/>
          <w:color w:val="auto"/>
          <w:sz w:val="20"/>
          <w:szCs w:val="20"/>
          <w:lang w:val="es-ES_tradnl"/>
        </w:rPr>
        <w:t>esta circunstancia</w:t>
      </w:r>
      <w:r w:rsidR="00290B1F" w:rsidRPr="007C5771">
        <w:rPr>
          <w:rFonts w:asciiTheme="majorHAnsi" w:hAnsiTheme="majorHAnsi"/>
          <w:color w:val="auto"/>
          <w:sz w:val="20"/>
          <w:szCs w:val="20"/>
          <w:lang w:val="es-ES_tradnl"/>
        </w:rPr>
        <w:t xml:space="preserve">, junto con las presiones de su entonces esposo, forzaron a la señora </w:t>
      </w:r>
      <w:r w:rsidR="002F22C3" w:rsidRPr="007C5771">
        <w:rPr>
          <w:rFonts w:asciiTheme="majorHAnsi" w:hAnsiTheme="majorHAnsi"/>
          <w:color w:val="auto"/>
          <w:sz w:val="20"/>
          <w:szCs w:val="20"/>
          <w:lang w:val="es-ES_tradnl"/>
        </w:rPr>
        <w:t>Pérez</w:t>
      </w:r>
      <w:r w:rsidR="00290B1F" w:rsidRPr="007C5771">
        <w:rPr>
          <w:rFonts w:asciiTheme="majorHAnsi" w:hAnsiTheme="majorHAnsi"/>
          <w:color w:val="auto"/>
          <w:sz w:val="20"/>
          <w:szCs w:val="20"/>
          <w:lang w:val="es-ES_tradnl"/>
        </w:rPr>
        <w:t xml:space="preserve"> a solicitar el 12 de septiembre de 2008</w:t>
      </w:r>
      <w:r w:rsidR="00311D3F" w:rsidRPr="007C5771">
        <w:rPr>
          <w:rFonts w:asciiTheme="majorHAnsi" w:hAnsiTheme="majorHAnsi"/>
          <w:color w:val="auto"/>
          <w:sz w:val="20"/>
          <w:szCs w:val="20"/>
          <w:lang w:val="es-ES_tradnl"/>
        </w:rPr>
        <w:t xml:space="preserve"> una conversión</w:t>
      </w:r>
      <w:r w:rsidR="00290B1F" w:rsidRPr="007C5771">
        <w:rPr>
          <w:rFonts w:asciiTheme="majorHAnsi" w:hAnsiTheme="majorHAnsi"/>
          <w:color w:val="auto"/>
          <w:sz w:val="20"/>
          <w:szCs w:val="20"/>
          <w:lang w:val="es-ES_tradnl"/>
        </w:rPr>
        <w:t xml:space="preserve"> del proceso de divorcio contencioso</w:t>
      </w:r>
      <w:r w:rsidR="00311D3F" w:rsidRPr="007C5771">
        <w:rPr>
          <w:rFonts w:asciiTheme="majorHAnsi" w:hAnsiTheme="majorHAnsi"/>
          <w:color w:val="auto"/>
          <w:sz w:val="20"/>
          <w:szCs w:val="20"/>
          <w:lang w:val="es-ES_tradnl"/>
        </w:rPr>
        <w:t xml:space="preserve"> a </w:t>
      </w:r>
      <w:r w:rsidR="00C36565" w:rsidRPr="007C5771">
        <w:rPr>
          <w:rFonts w:asciiTheme="majorHAnsi" w:hAnsiTheme="majorHAnsi"/>
          <w:color w:val="auto"/>
          <w:sz w:val="20"/>
          <w:szCs w:val="20"/>
          <w:lang w:val="es-ES_tradnl"/>
        </w:rPr>
        <w:t xml:space="preserve">uno de </w:t>
      </w:r>
      <w:r w:rsidR="00311D3F" w:rsidRPr="007C5771">
        <w:rPr>
          <w:rFonts w:asciiTheme="majorHAnsi" w:hAnsiTheme="majorHAnsi"/>
          <w:color w:val="auto"/>
          <w:sz w:val="20"/>
          <w:szCs w:val="20"/>
          <w:lang w:val="es-ES_tradnl"/>
        </w:rPr>
        <w:t>“mutuo acuerdo”</w:t>
      </w:r>
      <w:r w:rsidR="009F4A7E" w:rsidRPr="007C5771">
        <w:rPr>
          <w:rFonts w:asciiTheme="majorHAnsi" w:hAnsiTheme="majorHAnsi"/>
          <w:color w:val="auto"/>
          <w:sz w:val="20"/>
          <w:szCs w:val="20"/>
          <w:lang w:val="es-ES_tradnl"/>
        </w:rPr>
        <w:t>, e</w:t>
      </w:r>
      <w:r w:rsidR="00A204E4" w:rsidRPr="007C5771">
        <w:rPr>
          <w:rFonts w:asciiTheme="majorHAnsi" w:hAnsiTheme="majorHAnsi"/>
          <w:color w:val="auto"/>
          <w:sz w:val="20"/>
          <w:szCs w:val="20"/>
          <w:lang w:val="es-ES_tradnl"/>
        </w:rPr>
        <w:t xml:space="preserve">l que fue </w:t>
      </w:r>
      <w:r w:rsidR="00C36565" w:rsidRPr="007C5771">
        <w:rPr>
          <w:rFonts w:asciiTheme="majorHAnsi" w:hAnsiTheme="majorHAnsi"/>
          <w:color w:val="auto"/>
          <w:sz w:val="20"/>
          <w:szCs w:val="20"/>
          <w:lang w:val="es-ES_tradnl"/>
        </w:rPr>
        <w:t>aprobado</w:t>
      </w:r>
      <w:r w:rsidR="00A204E4" w:rsidRPr="007C5771">
        <w:rPr>
          <w:rFonts w:asciiTheme="majorHAnsi" w:hAnsiTheme="majorHAnsi"/>
          <w:color w:val="auto"/>
          <w:sz w:val="20"/>
          <w:szCs w:val="20"/>
          <w:lang w:val="es-ES_tradnl"/>
        </w:rPr>
        <w:t xml:space="preserve"> por el Séptimo J</w:t>
      </w:r>
      <w:r w:rsidR="009F4A7E" w:rsidRPr="007C5771">
        <w:rPr>
          <w:rFonts w:asciiTheme="majorHAnsi" w:hAnsiTheme="majorHAnsi"/>
          <w:color w:val="auto"/>
          <w:sz w:val="20"/>
          <w:szCs w:val="20"/>
          <w:lang w:val="es-ES_tradnl"/>
        </w:rPr>
        <w:t>uzgado de Familia de Mendoza el 22 de octubre de 2010.</w:t>
      </w:r>
      <w:r w:rsidR="00311D3F" w:rsidRPr="007C5771">
        <w:rPr>
          <w:rFonts w:asciiTheme="majorHAnsi" w:hAnsiTheme="majorHAnsi"/>
          <w:color w:val="auto"/>
          <w:sz w:val="20"/>
          <w:szCs w:val="20"/>
          <w:lang w:val="es-ES_tradnl"/>
        </w:rPr>
        <w:t xml:space="preserve"> </w:t>
      </w:r>
      <w:r w:rsidR="003F09C4" w:rsidRPr="007C5771">
        <w:rPr>
          <w:rFonts w:asciiTheme="majorHAnsi" w:hAnsiTheme="majorHAnsi"/>
          <w:color w:val="auto"/>
          <w:sz w:val="20"/>
          <w:szCs w:val="20"/>
          <w:lang w:val="es-ES_tradnl"/>
        </w:rPr>
        <w:t xml:space="preserve">Según la parte peticionaria, la señora </w:t>
      </w:r>
      <w:r w:rsidR="002F22C3" w:rsidRPr="007C5771">
        <w:rPr>
          <w:rFonts w:asciiTheme="majorHAnsi" w:hAnsiTheme="majorHAnsi"/>
          <w:color w:val="auto"/>
          <w:sz w:val="20"/>
          <w:szCs w:val="20"/>
          <w:lang w:val="es-ES_tradnl"/>
        </w:rPr>
        <w:t>Pérez</w:t>
      </w:r>
      <w:r w:rsidR="003F09C4" w:rsidRPr="007C5771">
        <w:rPr>
          <w:rFonts w:asciiTheme="majorHAnsi" w:hAnsiTheme="majorHAnsi"/>
          <w:color w:val="auto"/>
          <w:sz w:val="20"/>
          <w:szCs w:val="20"/>
          <w:lang w:val="es-ES_tradnl"/>
        </w:rPr>
        <w:t xml:space="preserve"> tenía a su favor varia</w:t>
      </w:r>
      <w:r w:rsidR="00311D3F" w:rsidRPr="007C5771">
        <w:rPr>
          <w:rFonts w:asciiTheme="majorHAnsi" w:hAnsiTheme="majorHAnsi"/>
          <w:color w:val="auto"/>
          <w:sz w:val="20"/>
          <w:szCs w:val="20"/>
          <w:lang w:val="es-ES_tradnl"/>
        </w:rPr>
        <w:t>s causales para vencer</w:t>
      </w:r>
      <w:r w:rsidR="003F09C4" w:rsidRPr="007C5771">
        <w:rPr>
          <w:rFonts w:asciiTheme="majorHAnsi" w:hAnsiTheme="majorHAnsi"/>
          <w:color w:val="auto"/>
          <w:sz w:val="20"/>
          <w:szCs w:val="20"/>
          <w:lang w:val="es-ES_tradnl"/>
        </w:rPr>
        <w:t xml:space="preserve"> en</w:t>
      </w:r>
      <w:r w:rsidR="00311D3F" w:rsidRPr="007C5771">
        <w:rPr>
          <w:rFonts w:asciiTheme="majorHAnsi" w:hAnsiTheme="majorHAnsi"/>
          <w:color w:val="auto"/>
          <w:sz w:val="20"/>
          <w:szCs w:val="20"/>
          <w:lang w:val="es-ES_tradnl"/>
        </w:rPr>
        <w:t xml:space="preserve"> un divorcio contencioso</w:t>
      </w:r>
      <w:r w:rsidR="00C36565" w:rsidRPr="007C5771">
        <w:rPr>
          <w:rFonts w:asciiTheme="majorHAnsi" w:hAnsiTheme="majorHAnsi"/>
          <w:color w:val="auto"/>
          <w:sz w:val="20"/>
          <w:szCs w:val="20"/>
          <w:lang w:val="es-ES_tradnl"/>
        </w:rPr>
        <w:t>, pero</w:t>
      </w:r>
      <w:r w:rsidR="003F09C4" w:rsidRPr="007C5771">
        <w:rPr>
          <w:rFonts w:asciiTheme="majorHAnsi" w:hAnsiTheme="majorHAnsi"/>
          <w:bCs/>
          <w:color w:val="auto"/>
          <w:sz w:val="20"/>
          <w:szCs w:val="20"/>
          <w:lang w:val="es-ES_tradnl"/>
        </w:rPr>
        <w:t xml:space="preserve"> </w:t>
      </w:r>
      <w:r w:rsidR="00C36565" w:rsidRPr="007C5771">
        <w:rPr>
          <w:rFonts w:asciiTheme="majorHAnsi" w:hAnsiTheme="majorHAnsi"/>
          <w:bCs/>
          <w:color w:val="auto"/>
          <w:sz w:val="20"/>
          <w:szCs w:val="20"/>
          <w:lang w:val="es-ES_tradnl"/>
        </w:rPr>
        <w:t xml:space="preserve">que </w:t>
      </w:r>
      <w:r w:rsidR="00A52D06" w:rsidRPr="007C5771">
        <w:rPr>
          <w:rFonts w:asciiTheme="majorHAnsi" w:hAnsiTheme="majorHAnsi"/>
          <w:bCs/>
          <w:color w:val="auto"/>
          <w:sz w:val="20"/>
          <w:szCs w:val="20"/>
          <w:lang w:val="es-ES_tradnl"/>
        </w:rPr>
        <w:t>el sistema le causó un daño al forzarla</w:t>
      </w:r>
      <w:r w:rsidR="00A52D06" w:rsidRPr="007C5771">
        <w:rPr>
          <w:rFonts w:asciiTheme="majorHAnsi" w:hAnsiTheme="majorHAnsi"/>
          <w:color w:val="auto"/>
          <w:sz w:val="20"/>
          <w:szCs w:val="20"/>
          <w:lang w:val="es-ES_tradnl"/>
        </w:rPr>
        <w:t xml:space="preserve"> a</w:t>
      </w:r>
      <w:r w:rsidR="003F09C4" w:rsidRPr="007C5771">
        <w:rPr>
          <w:rFonts w:asciiTheme="majorHAnsi" w:hAnsiTheme="majorHAnsi"/>
          <w:color w:val="auto"/>
          <w:sz w:val="20"/>
          <w:szCs w:val="20"/>
          <w:lang w:val="es-ES_tradnl"/>
        </w:rPr>
        <w:t xml:space="preserve"> aceptar un </w:t>
      </w:r>
      <w:r w:rsidR="00DF0D19" w:rsidRPr="007C5771">
        <w:rPr>
          <w:rFonts w:asciiTheme="majorHAnsi" w:hAnsiTheme="majorHAnsi"/>
          <w:color w:val="auto"/>
          <w:sz w:val="20"/>
          <w:szCs w:val="20"/>
          <w:lang w:val="es-ES_tradnl"/>
        </w:rPr>
        <w:t>“mutuo</w:t>
      </w:r>
      <w:r w:rsidR="00311D3F" w:rsidRPr="007C5771">
        <w:rPr>
          <w:rFonts w:asciiTheme="majorHAnsi" w:hAnsiTheme="majorHAnsi"/>
          <w:color w:val="auto"/>
          <w:sz w:val="20"/>
          <w:szCs w:val="20"/>
          <w:lang w:val="es-ES_tradnl"/>
        </w:rPr>
        <w:t xml:space="preserve"> acuerdo</w:t>
      </w:r>
      <w:r w:rsidR="00DF0D19" w:rsidRPr="007C5771">
        <w:rPr>
          <w:rFonts w:asciiTheme="majorHAnsi" w:hAnsiTheme="majorHAnsi"/>
          <w:color w:val="auto"/>
          <w:sz w:val="20"/>
          <w:szCs w:val="20"/>
          <w:lang w:val="es-ES_tradnl"/>
        </w:rPr>
        <w:t>”</w:t>
      </w:r>
      <w:r w:rsidR="003F09C4" w:rsidRPr="007C5771">
        <w:rPr>
          <w:rFonts w:asciiTheme="majorHAnsi" w:hAnsiTheme="majorHAnsi"/>
          <w:color w:val="auto"/>
          <w:sz w:val="20"/>
          <w:szCs w:val="20"/>
          <w:lang w:val="es-ES_tradnl"/>
        </w:rPr>
        <w:t xml:space="preserve"> en el que tampoco se </w:t>
      </w:r>
      <w:r w:rsidR="00A52D06" w:rsidRPr="007C5771">
        <w:rPr>
          <w:rFonts w:asciiTheme="majorHAnsi" w:hAnsiTheme="majorHAnsi"/>
          <w:color w:val="auto"/>
          <w:sz w:val="20"/>
          <w:szCs w:val="20"/>
          <w:lang w:val="es-ES_tradnl"/>
        </w:rPr>
        <w:t>fijó un acuerdo sobre los</w:t>
      </w:r>
      <w:r w:rsidR="00311D3F" w:rsidRPr="007C5771">
        <w:rPr>
          <w:rFonts w:asciiTheme="majorHAnsi" w:hAnsiTheme="majorHAnsi"/>
          <w:color w:val="auto"/>
          <w:sz w:val="20"/>
          <w:szCs w:val="20"/>
          <w:lang w:val="es-ES_tradnl"/>
        </w:rPr>
        <w:t xml:space="preserve"> alimentos. </w:t>
      </w:r>
    </w:p>
    <w:p w14:paraId="391723D1" w14:textId="654068C1" w:rsidR="00311D3F" w:rsidRPr="007C5771" w:rsidRDefault="00E46708"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bCs/>
          <w:color w:val="auto"/>
          <w:sz w:val="20"/>
          <w:szCs w:val="20"/>
          <w:lang w:val="es-ES_tradnl"/>
        </w:rPr>
      </w:pPr>
      <w:r w:rsidRPr="007C5771">
        <w:rPr>
          <w:rFonts w:asciiTheme="majorHAnsi" w:hAnsiTheme="majorHAnsi"/>
          <w:sz w:val="20"/>
          <w:szCs w:val="20"/>
          <w:lang w:val="es-ES_tradnl"/>
        </w:rPr>
        <w:t>Respecto al</w:t>
      </w:r>
      <w:r w:rsidR="00311D3F" w:rsidRPr="007C5771">
        <w:rPr>
          <w:rFonts w:asciiTheme="majorHAnsi" w:hAnsiTheme="majorHAnsi"/>
          <w:sz w:val="20"/>
          <w:szCs w:val="20"/>
          <w:lang w:val="es-ES_tradnl"/>
        </w:rPr>
        <w:t xml:space="preserve"> </w:t>
      </w:r>
      <w:r w:rsidR="00DF0D19" w:rsidRPr="007C5771">
        <w:rPr>
          <w:rFonts w:asciiTheme="majorHAnsi" w:hAnsiTheme="majorHAnsi"/>
          <w:sz w:val="20"/>
          <w:szCs w:val="20"/>
          <w:lang w:val="es-ES_tradnl"/>
        </w:rPr>
        <w:t>proceso</w:t>
      </w:r>
      <w:r w:rsidR="00311D3F" w:rsidRPr="007C5771">
        <w:rPr>
          <w:rFonts w:asciiTheme="majorHAnsi" w:hAnsiTheme="majorHAnsi"/>
          <w:sz w:val="20"/>
          <w:szCs w:val="20"/>
          <w:lang w:val="es-ES_tradnl"/>
        </w:rPr>
        <w:t xml:space="preserve"> por alimentos, l</w:t>
      </w:r>
      <w:r w:rsidR="00DF0D19" w:rsidRPr="007C5771">
        <w:rPr>
          <w:rFonts w:asciiTheme="majorHAnsi" w:hAnsiTheme="majorHAnsi"/>
          <w:sz w:val="20"/>
          <w:szCs w:val="20"/>
          <w:lang w:val="es-ES_tradnl"/>
        </w:rPr>
        <w:t xml:space="preserve">a </w:t>
      </w:r>
      <w:r w:rsidRPr="007C5771">
        <w:rPr>
          <w:rFonts w:asciiTheme="majorHAnsi" w:hAnsiTheme="majorHAnsi"/>
          <w:sz w:val="20"/>
          <w:szCs w:val="20"/>
          <w:lang w:val="es-ES_tradnl"/>
        </w:rPr>
        <w:t xml:space="preserve">señora </w:t>
      </w:r>
      <w:r w:rsidR="002F22C3" w:rsidRPr="007C5771">
        <w:rPr>
          <w:rFonts w:asciiTheme="majorHAnsi" w:hAnsiTheme="majorHAnsi"/>
          <w:sz w:val="20"/>
          <w:szCs w:val="20"/>
          <w:lang w:val="es-ES_tradnl"/>
        </w:rPr>
        <w:t>Pérez</w:t>
      </w:r>
      <w:r w:rsidR="00DF0D19" w:rsidRPr="007C5771">
        <w:rPr>
          <w:rFonts w:asciiTheme="majorHAnsi" w:hAnsiTheme="majorHAnsi"/>
          <w:sz w:val="20"/>
          <w:szCs w:val="20"/>
          <w:lang w:val="es-ES_tradnl"/>
        </w:rPr>
        <w:t xml:space="preserve"> se presentó ante los T</w:t>
      </w:r>
      <w:r w:rsidR="00311D3F" w:rsidRPr="007C5771">
        <w:rPr>
          <w:rFonts w:asciiTheme="majorHAnsi" w:hAnsiTheme="majorHAnsi"/>
          <w:sz w:val="20"/>
          <w:szCs w:val="20"/>
          <w:lang w:val="es-ES_tradnl"/>
        </w:rPr>
        <w:t xml:space="preserve">ribunales de </w:t>
      </w:r>
      <w:r w:rsidR="00DF0D19" w:rsidRPr="007C5771">
        <w:rPr>
          <w:rFonts w:asciiTheme="majorHAnsi" w:hAnsiTheme="majorHAnsi"/>
          <w:sz w:val="20"/>
          <w:szCs w:val="20"/>
          <w:lang w:val="es-ES_tradnl"/>
        </w:rPr>
        <w:t>F</w:t>
      </w:r>
      <w:r w:rsidR="00311D3F" w:rsidRPr="007C5771">
        <w:rPr>
          <w:rFonts w:asciiTheme="majorHAnsi" w:hAnsiTheme="majorHAnsi"/>
          <w:sz w:val="20"/>
          <w:szCs w:val="20"/>
          <w:lang w:val="es-ES_tradnl"/>
        </w:rPr>
        <w:t>amilia de Mendoza par</w:t>
      </w:r>
      <w:r w:rsidR="00626B89" w:rsidRPr="007C5771">
        <w:rPr>
          <w:rFonts w:asciiTheme="majorHAnsi" w:hAnsiTheme="majorHAnsi"/>
          <w:sz w:val="20"/>
          <w:szCs w:val="20"/>
          <w:lang w:val="es-ES_tradnl"/>
        </w:rPr>
        <w:t>a</w:t>
      </w:r>
      <w:r w:rsidR="00311D3F" w:rsidRPr="007C5771">
        <w:rPr>
          <w:rFonts w:asciiTheme="majorHAnsi" w:hAnsiTheme="majorHAnsi"/>
          <w:sz w:val="20"/>
          <w:szCs w:val="20"/>
          <w:lang w:val="es-ES_tradnl"/>
        </w:rPr>
        <w:t xml:space="preserve"> </w:t>
      </w:r>
      <w:r w:rsidR="00311D3F" w:rsidRPr="007C5771">
        <w:rPr>
          <w:rFonts w:asciiTheme="majorHAnsi" w:hAnsiTheme="majorHAnsi"/>
          <w:color w:val="auto"/>
          <w:sz w:val="20"/>
          <w:szCs w:val="20"/>
          <w:lang w:val="es-ES_tradnl"/>
        </w:rPr>
        <w:t>solicitar asistencia</w:t>
      </w:r>
      <w:r w:rsidR="00C36565" w:rsidRPr="007C5771">
        <w:rPr>
          <w:rFonts w:asciiTheme="majorHAnsi" w:hAnsiTheme="majorHAnsi"/>
          <w:color w:val="auto"/>
          <w:sz w:val="20"/>
          <w:szCs w:val="20"/>
          <w:lang w:val="es-ES_tradnl"/>
        </w:rPr>
        <w:t>;</w:t>
      </w:r>
      <w:r w:rsidRPr="007C5771">
        <w:rPr>
          <w:rFonts w:asciiTheme="majorHAnsi" w:hAnsiTheme="majorHAnsi"/>
          <w:color w:val="auto"/>
          <w:sz w:val="20"/>
          <w:szCs w:val="20"/>
          <w:lang w:val="es-ES_tradnl"/>
        </w:rPr>
        <w:t xml:space="preserve"> se le asignó una abogada a quien </w:t>
      </w:r>
      <w:r w:rsidR="00130286" w:rsidRPr="007C5771">
        <w:rPr>
          <w:rFonts w:asciiTheme="majorHAnsi" w:hAnsiTheme="majorHAnsi"/>
          <w:color w:val="auto"/>
          <w:sz w:val="20"/>
          <w:szCs w:val="20"/>
          <w:lang w:val="es-ES_tradnl"/>
        </w:rPr>
        <w:t>el</w:t>
      </w:r>
      <w:r w:rsidR="00311D3F" w:rsidRPr="007C5771">
        <w:rPr>
          <w:rFonts w:asciiTheme="majorHAnsi" w:hAnsiTheme="majorHAnsi"/>
          <w:color w:val="auto"/>
          <w:sz w:val="20"/>
          <w:szCs w:val="20"/>
          <w:lang w:val="es-ES_tradnl"/>
        </w:rPr>
        <w:t xml:space="preserve"> 25 de septiembre de 2007 </w:t>
      </w:r>
      <w:r w:rsidR="00311D3F" w:rsidRPr="007C5771">
        <w:rPr>
          <w:rFonts w:asciiTheme="majorHAnsi" w:hAnsiTheme="majorHAnsi"/>
          <w:bCs/>
          <w:color w:val="auto"/>
          <w:sz w:val="20"/>
          <w:szCs w:val="20"/>
          <w:lang w:val="es-ES_tradnl"/>
        </w:rPr>
        <w:t>le</w:t>
      </w:r>
      <w:r w:rsidR="009815EC" w:rsidRPr="007C5771">
        <w:rPr>
          <w:rFonts w:asciiTheme="majorHAnsi" w:hAnsiTheme="majorHAnsi"/>
          <w:bCs/>
          <w:color w:val="auto"/>
          <w:sz w:val="20"/>
          <w:szCs w:val="20"/>
          <w:lang w:val="es-ES_tradnl"/>
        </w:rPr>
        <w:t xml:space="preserve"> entregó</w:t>
      </w:r>
      <w:r w:rsidR="00311D3F" w:rsidRPr="007C5771">
        <w:rPr>
          <w:rFonts w:asciiTheme="majorHAnsi" w:hAnsiTheme="majorHAnsi"/>
          <w:bCs/>
          <w:color w:val="auto"/>
          <w:sz w:val="20"/>
          <w:szCs w:val="20"/>
          <w:lang w:val="es-ES_tradnl"/>
        </w:rPr>
        <w:t xml:space="preserve"> </w:t>
      </w:r>
      <w:r w:rsidR="009815EC" w:rsidRPr="007C5771">
        <w:rPr>
          <w:rFonts w:asciiTheme="majorHAnsi" w:hAnsiTheme="majorHAnsi"/>
          <w:bCs/>
          <w:color w:val="auto"/>
          <w:sz w:val="20"/>
          <w:szCs w:val="20"/>
          <w:lang w:val="es-ES_tradnl"/>
        </w:rPr>
        <w:t xml:space="preserve">los </w:t>
      </w:r>
      <w:r w:rsidR="00311D3F" w:rsidRPr="007C5771">
        <w:rPr>
          <w:rFonts w:asciiTheme="majorHAnsi" w:hAnsiTheme="majorHAnsi"/>
          <w:bCs/>
          <w:color w:val="auto"/>
          <w:sz w:val="20"/>
          <w:szCs w:val="20"/>
          <w:lang w:val="es-ES_tradnl"/>
        </w:rPr>
        <w:t xml:space="preserve">documentos originales </w:t>
      </w:r>
      <w:r w:rsidR="009815EC" w:rsidRPr="007C5771">
        <w:rPr>
          <w:rFonts w:asciiTheme="majorHAnsi" w:hAnsiTheme="majorHAnsi"/>
          <w:bCs/>
          <w:color w:val="auto"/>
          <w:sz w:val="20"/>
          <w:szCs w:val="20"/>
          <w:lang w:val="es-ES_tradnl"/>
        </w:rPr>
        <w:t xml:space="preserve">del </w:t>
      </w:r>
      <w:r w:rsidR="00311D3F" w:rsidRPr="007C5771">
        <w:rPr>
          <w:rFonts w:asciiTheme="majorHAnsi" w:hAnsiTheme="majorHAnsi"/>
          <w:bCs/>
          <w:color w:val="auto"/>
          <w:sz w:val="20"/>
          <w:szCs w:val="20"/>
          <w:lang w:val="es-ES_tradnl"/>
        </w:rPr>
        <w:t>certificado de matrimonio y de</w:t>
      </w:r>
      <w:r w:rsidR="00DF0D19" w:rsidRPr="007C5771">
        <w:rPr>
          <w:rFonts w:asciiTheme="majorHAnsi" w:hAnsiTheme="majorHAnsi"/>
          <w:bCs/>
          <w:color w:val="auto"/>
          <w:sz w:val="20"/>
          <w:szCs w:val="20"/>
          <w:lang w:val="es-ES_tradnl"/>
        </w:rPr>
        <w:t xml:space="preserve"> nacimiento de sus tres hijos.</w:t>
      </w:r>
      <w:r w:rsidR="00DF0D19" w:rsidRPr="007C5771">
        <w:rPr>
          <w:rFonts w:asciiTheme="majorHAnsi" w:hAnsiTheme="majorHAnsi"/>
          <w:color w:val="auto"/>
          <w:sz w:val="20"/>
          <w:szCs w:val="20"/>
          <w:lang w:val="es-ES_tradnl"/>
        </w:rPr>
        <w:t xml:space="preserve"> </w:t>
      </w:r>
      <w:r w:rsidRPr="007C5771">
        <w:rPr>
          <w:rFonts w:asciiTheme="majorHAnsi" w:hAnsiTheme="majorHAnsi"/>
          <w:bCs/>
          <w:color w:val="auto"/>
          <w:sz w:val="20"/>
          <w:szCs w:val="20"/>
          <w:lang w:val="es-ES_tradnl"/>
        </w:rPr>
        <w:t>La parte peticionaria alega que</w:t>
      </w:r>
      <w:r w:rsidR="009815EC" w:rsidRPr="007C5771">
        <w:rPr>
          <w:rFonts w:asciiTheme="majorHAnsi" w:hAnsiTheme="majorHAnsi"/>
          <w:bCs/>
          <w:color w:val="auto"/>
          <w:sz w:val="20"/>
          <w:szCs w:val="20"/>
          <w:lang w:val="es-ES_tradnl"/>
        </w:rPr>
        <w:t xml:space="preserve"> la abogada </w:t>
      </w:r>
      <w:r w:rsidR="00311D3F" w:rsidRPr="007C5771">
        <w:rPr>
          <w:rFonts w:asciiTheme="majorHAnsi" w:hAnsiTheme="majorHAnsi"/>
          <w:bCs/>
          <w:color w:val="auto"/>
          <w:sz w:val="20"/>
          <w:szCs w:val="20"/>
          <w:lang w:val="es-ES_tradnl"/>
        </w:rPr>
        <w:t>defen</w:t>
      </w:r>
      <w:r w:rsidR="00DF0D19" w:rsidRPr="007C5771">
        <w:rPr>
          <w:rFonts w:asciiTheme="majorHAnsi" w:hAnsiTheme="majorHAnsi"/>
          <w:bCs/>
          <w:color w:val="auto"/>
          <w:sz w:val="20"/>
          <w:szCs w:val="20"/>
          <w:lang w:val="es-ES_tradnl"/>
        </w:rPr>
        <w:t>sora</w:t>
      </w:r>
      <w:r w:rsidRPr="007C5771">
        <w:rPr>
          <w:rFonts w:asciiTheme="majorHAnsi" w:hAnsiTheme="majorHAnsi"/>
          <w:color w:val="auto"/>
          <w:sz w:val="20"/>
          <w:szCs w:val="20"/>
          <w:lang w:val="es-ES_tradnl"/>
        </w:rPr>
        <w:t xml:space="preserve"> no realizó trámite </w:t>
      </w:r>
      <w:r w:rsidR="00C36565" w:rsidRPr="007C5771">
        <w:rPr>
          <w:rFonts w:asciiTheme="majorHAnsi" w:hAnsiTheme="majorHAnsi"/>
          <w:color w:val="auto"/>
          <w:sz w:val="20"/>
          <w:szCs w:val="20"/>
          <w:lang w:val="es-ES_tradnl"/>
        </w:rPr>
        <w:t xml:space="preserve">alguno </w:t>
      </w:r>
      <w:r w:rsidR="00DF0D19" w:rsidRPr="007C5771">
        <w:rPr>
          <w:rFonts w:asciiTheme="majorHAnsi" w:hAnsiTheme="majorHAnsi"/>
          <w:color w:val="auto"/>
          <w:sz w:val="20"/>
          <w:szCs w:val="20"/>
          <w:lang w:val="es-ES_tradnl"/>
        </w:rPr>
        <w:t>y</w:t>
      </w:r>
      <w:r w:rsidR="00311D3F" w:rsidRPr="007C5771">
        <w:rPr>
          <w:rFonts w:asciiTheme="majorHAnsi" w:hAnsiTheme="majorHAnsi"/>
          <w:color w:val="auto"/>
          <w:sz w:val="20"/>
          <w:szCs w:val="20"/>
          <w:lang w:val="es-ES_tradnl"/>
        </w:rPr>
        <w:t xml:space="preserve"> </w:t>
      </w:r>
      <w:r w:rsidR="00DF0D19" w:rsidRPr="007C5771">
        <w:rPr>
          <w:rFonts w:asciiTheme="majorHAnsi" w:hAnsiTheme="majorHAnsi"/>
          <w:color w:val="auto"/>
          <w:sz w:val="20"/>
          <w:szCs w:val="20"/>
          <w:lang w:val="es-ES_tradnl"/>
        </w:rPr>
        <w:t>retuvo</w:t>
      </w:r>
      <w:r w:rsidR="00311D3F" w:rsidRPr="007C5771">
        <w:rPr>
          <w:rFonts w:asciiTheme="majorHAnsi" w:hAnsiTheme="majorHAnsi"/>
          <w:color w:val="auto"/>
          <w:sz w:val="20"/>
          <w:szCs w:val="20"/>
          <w:lang w:val="es-ES_tradnl"/>
        </w:rPr>
        <w:t xml:space="preserve"> indebidamente los documentos originales. La </w:t>
      </w:r>
      <w:r w:rsidR="00D37B49" w:rsidRPr="007C5771">
        <w:rPr>
          <w:rFonts w:asciiTheme="majorHAnsi" w:hAnsiTheme="majorHAnsi"/>
          <w:color w:val="auto"/>
          <w:sz w:val="20"/>
          <w:szCs w:val="20"/>
          <w:lang w:val="es-ES_tradnl"/>
        </w:rPr>
        <w:t xml:space="preserve">señora </w:t>
      </w:r>
      <w:r w:rsidR="002F22C3" w:rsidRPr="007C5771">
        <w:rPr>
          <w:rFonts w:asciiTheme="majorHAnsi" w:hAnsiTheme="majorHAnsi"/>
          <w:color w:val="auto"/>
          <w:sz w:val="20"/>
          <w:szCs w:val="20"/>
          <w:lang w:val="es-ES_tradnl"/>
        </w:rPr>
        <w:t>Pérez</w:t>
      </w:r>
      <w:r w:rsidR="00311D3F" w:rsidRPr="007C5771">
        <w:rPr>
          <w:rFonts w:asciiTheme="majorHAnsi" w:hAnsiTheme="majorHAnsi"/>
          <w:color w:val="auto"/>
          <w:sz w:val="20"/>
          <w:szCs w:val="20"/>
          <w:lang w:val="es-ES_tradnl"/>
        </w:rPr>
        <w:t xml:space="preserve"> solicitó el 6 de febrero de 2008 ante la Supre</w:t>
      </w:r>
      <w:r w:rsidR="006728B6" w:rsidRPr="007C5771">
        <w:rPr>
          <w:rFonts w:asciiTheme="majorHAnsi" w:hAnsiTheme="majorHAnsi"/>
          <w:color w:val="auto"/>
          <w:sz w:val="20"/>
          <w:szCs w:val="20"/>
          <w:lang w:val="es-ES_tradnl"/>
        </w:rPr>
        <w:t>ma Corte de Justicia de Mendoza</w:t>
      </w:r>
      <w:r w:rsidR="00311D3F" w:rsidRPr="007C5771">
        <w:rPr>
          <w:rFonts w:asciiTheme="majorHAnsi" w:hAnsiTheme="majorHAnsi"/>
          <w:color w:val="auto"/>
          <w:sz w:val="20"/>
          <w:szCs w:val="20"/>
          <w:lang w:val="es-ES_tradnl"/>
        </w:rPr>
        <w:t xml:space="preserve"> la devolución de los documentos y la asignación de un nuevo abogado ad-hoc. Ese mismo día, un abogado del Departamento Jurisdiccional de la Suprema Corte de Justicia de Mendoza</w:t>
      </w:r>
      <w:r w:rsidR="00DF0D19" w:rsidRPr="007C5771">
        <w:rPr>
          <w:rFonts w:asciiTheme="majorHAnsi" w:hAnsiTheme="majorHAnsi"/>
          <w:color w:val="auto"/>
          <w:sz w:val="20"/>
          <w:szCs w:val="20"/>
          <w:lang w:val="es-ES_tradnl"/>
        </w:rPr>
        <w:t>,</w:t>
      </w:r>
      <w:r w:rsidR="00311D3F" w:rsidRPr="007C5771">
        <w:rPr>
          <w:rFonts w:asciiTheme="majorHAnsi" w:hAnsiTheme="majorHAnsi"/>
          <w:color w:val="auto"/>
          <w:sz w:val="20"/>
          <w:szCs w:val="20"/>
          <w:lang w:val="es-ES_tradnl"/>
        </w:rPr>
        <w:t xml:space="preserve"> se ocupó de su caso</w:t>
      </w:r>
      <w:r w:rsidR="00C36565" w:rsidRPr="007C5771">
        <w:rPr>
          <w:rFonts w:asciiTheme="majorHAnsi" w:hAnsiTheme="majorHAnsi"/>
          <w:color w:val="auto"/>
          <w:sz w:val="20"/>
          <w:szCs w:val="20"/>
          <w:lang w:val="es-ES_tradnl"/>
        </w:rPr>
        <w:t>,</w:t>
      </w:r>
      <w:r w:rsidR="00311D3F" w:rsidRPr="007C5771">
        <w:rPr>
          <w:rFonts w:asciiTheme="majorHAnsi" w:hAnsiTheme="majorHAnsi"/>
          <w:color w:val="auto"/>
          <w:sz w:val="20"/>
          <w:szCs w:val="20"/>
          <w:lang w:val="es-ES_tradnl"/>
        </w:rPr>
        <w:t xml:space="preserve"> y una </w:t>
      </w:r>
      <w:r w:rsidR="00C36565" w:rsidRPr="007C5771">
        <w:rPr>
          <w:rFonts w:asciiTheme="majorHAnsi" w:hAnsiTheme="majorHAnsi"/>
          <w:color w:val="auto"/>
          <w:sz w:val="20"/>
          <w:szCs w:val="20"/>
          <w:lang w:val="es-ES_tradnl"/>
        </w:rPr>
        <w:t>C</w:t>
      </w:r>
      <w:r w:rsidR="00311D3F" w:rsidRPr="007C5771">
        <w:rPr>
          <w:rFonts w:asciiTheme="majorHAnsi" w:hAnsiTheme="majorHAnsi"/>
          <w:color w:val="auto"/>
          <w:sz w:val="20"/>
          <w:szCs w:val="20"/>
          <w:lang w:val="es-ES_tradnl"/>
        </w:rPr>
        <w:t>oordina</w:t>
      </w:r>
      <w:r w:rsidR="00C36565" w:rsidRPr="007C5771">
        <w:rPr>
          <w:rFonts w:asciiTheme="majorHAnsi" w:hAnsiTheme="majorHAnsi"/>
          <w:color w:val="auto"/>
          <w:sz w:val="20"/>
          <w:szCs w:val="20"/>
          <w:lang w:val="es-ES_tradnl"/>
        </w:rPr>
        <w:t>do</w:t>
      </w:r>
      <w:r w:rsidR="00311D3F" w:rsidRPr="007C5771">
        <w:rPr>
          <w:rFonts w:asciiTheme="majorHAnsi" w:hAnsiTheme="majorHAnsi"/>
          <w:color w:val="auto"/>
          <w:sz w:val="20"/>
          <w:szCs w:val="20"/>
          <w:lang w:val="es-ES_tradnl"/>
        </w:rPr>
        <w:t xml:space="preserve">ra </w:t>
      </w:r>
      <w:r w:rsidR="00C36565" w:rsidRPr="007C5771">
        <w:rPr>
          <w:rFonts w:asciiTheme="majorHAnsi" w:hAnsiTheme="majorHAnsi"/>
          <w:color w:val="auto"/>
          <w:sz w:val="20"/>
          <w:szCs w:val="20"/>
          <w:lang w:val="es-ES_tradnl"/>
        </w:rPr>
        <w:t>P</w:t>
      </w:r>
      <w:r w:rsidR="00311D3F" w:rsidRPr="007C5771">
        <w:rPr>
          <w:rFonts w:asciiTheme="majorHAnsi" w:hAnsiTheme="majorHAnsi"/>
          <w:color w:val="auto"/>
          <w:sz w:val="20"/>
          <w:szCs w:val="20"/>
          <w:lang w:val="es-ES_tradnl"/>
        </w:rPr>
        <w:t xml:space="preserve">rovincial del </w:t>
      </w:r>
      <w:r w:rsidR="00F67ED3" w:rsidRPr="007C5771">
        <w:rPr>
          <w:rFonts w:asciiTheme="majorHAnsi" w:hAnsiTheme="majorHAnsi"/>
          <w:color w:val="auto"/>
          <w:sz w:val="20"/>
          <w:szCs w:val="20"/>
          <w:lang w:val="es-ES_tradnl"/>
        </w:rPr>
        <w:t>Cuerpo Auxiliar Interdisciplinario (CAI)</w:t>
      </w:r>
      <w:r w:rsidR="0004380C" w:rsidRPr="007C5771">
        <w:rPr>
          <w:rFonts w:asciiTheme="majorHAnsi" w:hAnsiTheme="majorHAnsi"/>
          <w:color w:val="auto"/>
          <w:sz w:val="20"/>
          <w:szCs w:val="20"/>
          <w:lang w:val="es-ES_tradnl"/>
        </w:rPr>
        <w:t xml:space="preserve"> </w:t>
      </w:r>
      <w:r w:rsidR="00311D3F" w:rsidRPr="007C5771">
        <w:rPr>
          <w:rFonts w:asciiTheme="majorHAnsi" w:hAnsiTheme="majorHAnsi"/>
          <w:color w:val="auto"/>
          <w:sz w:val="20"/>
          <w:szCs w:val="20"/>
          <w:lang w:val="es-ES_tradnl"/>
        </w:rPr>
        <w:t xml:space="preserve">le devolvió los documentos originales y le dio turno con una nueva abogada el 3 de marzo de 2008. </w:t>
      </w:r>
      <w:r w:rsidR="00D37B49" w:rsidRPr="007C5771">
        <w:rPr>
          <w:rFonts w:asciiTheme="majorHAnsi" w:hAnsiTheme="majorHAnsi"/>
          <w:color w:val="auto"/>
          <w:sz w:val="20"/>
          <w:szCs w:val="20"/>
          <w:lang w:val="es-ES_tradnl"/>
        </w:rPr>
        <w:t>Aduce que la</w:t>
      </w:r>
      <w:r w:rsidR="00311D3F" w:rsidRPr="007C5771">
        <w:rPr>
          <w:rFonts w:asciiTheme="majorHAnsi" w:hAnsiTheme="majorHAnsi"/>
          <w:color w:val="auto"/>
          <w:sz w:val="20"/>
          <w:szCs w:val="20"/>
          <w:lang w:val="es-ES_tradnl"/>
        </w:rPr>
        <w:t xml:space="preserve"> nueva abogada </w:t>
      </w:r>
      <w:r w:rsidR="00C53B88" w:rsidRPr="007C5771">
        <w:rPr>
          <w:rFonts w:asciiTheme="majorHAnsi" w:hAnsiTheme="majorHAnsi"/>
          <w:bCs/>
          <w:color w:val="auto"/>
          <w:sz w:val="20"/>
          <w:szCs w:val="20"/>
          <w:lang w:val="es-ES_tradnl"/>
        </w:rPr>
        <w:t xml:space="preserve">no </w:t>
      </w:r>
      <w:r w:rsidR="008A1F69" w:rsidRPr="007C5771">
        <w:rPr>
          <w:rFonts w:asciiTheme="majorHAnsi" w:hAnsiTheme="majorHAnsi"/>
          <w:bCs/>
          <w:color w:val="auto"/>
          <w:sz w:val="20"/>
          <w:szCs w:val="20"/>
          <w:lang w:val="es-ES_tradnl"/>
        </w:rPr>
        <w:t>inició</w:t>
      </w:r>
      <w:r w:rsidR="009815EC" w:rsidRPr="007C5771">
        <w:rPr>
          <w:rFonts w:asciiTheme="majorHAnsi" w:hAnsiTheme="majorHAnsi"/>
          <w:bCs/>
          <w:color w:val="auto"/>
          <w:sz w:val="20"/>
          <w:szCs w:val="20"/>
          <w:lang w:val="es-ES_tradnl"/>
        </w:rPr>
        <w:t xml:space="preserve"> </w:t>
      </w:r>
      <w:r w:rsidR="00311D3F" w:rsidRPr="007C5771">
        <w:rPr>
          <w:rFonts w:asciiTheme="majorHAnsi" w:hAnsiTheme="majorHAnsi"/>
          <w:bCs/>
          <w:color w:val="auto"/>
          <w:sz w:val="20"/>
          <w:szCs w:val="20"/>
          <w:lang w:val="es-ES_tradnl"/>
        </w:rPr>
        <w:t>trámite</w:t>
      </w:r>
      <w:r w:rsidR="00C53B88" w:rsidRPr="007C5771">
        <w:rPr>
          <w:rFonts w:asciiTheme="majorHAnsi" w:hAnsiTheme="majorHAnsi"/>
          <w:bCs/>
          <w:color w:val="auto"/>
          <w:sz w:val="20"/>
          <w:szCs w:val="20"/>
          <w:lang w:val="es-ES_tradnl"/>
        </w:rPr>
        <w:t xml:space="preserve"> alguno</w:t>
      </w:r>
      <w:r w:rsidR="00130286" w:rsidRPr="007C5771">
        <w:rPr>
          <w:rFonts w:asciiTheme="majorHAnsi" w:hAnsiTheme="majorHAnsi"/>
          <w:color w:val="auto"/>
          <w:sz w:val="20"/>
          <w:szCs w:val="20"/>
          <w:lang w:val="es-ES_tradnl"/>
        </w:rPr>
        <w:t>,</w:t>
      </w:r>
      <w:r w:rsidR="00311D3F" w:rsidRPr="007C5771">
        <w:rPr>
          <w:rFonts w:asciiTheme="majorHAnsi" w:hAnsiTheme="majorHAnsi"/>
          <w:color w:val="auto"/>
          <w:sz w:val="20"/>
          <w:szCs w:val="20"/>
          <w:lang w:val="es-ES_tradnl"/>
        </w:rPr>
        <w:t xml:space="preserve"> </w:t>
      </w:r>
      <w:r w:rsidR="00C53B88" w:rsidRPr="007C5771">
        <w:rPr>
          <w:rFonts w:asciiTheme="majorHAnsi" w:hAnsiTheme="majorHAnsi"/>
          <w:bCs/>
          <w:color w:val="auto"/>
          <w:sz w:val="20"/>
          <w:szCs w:val="20"/>
          <w:lang w:val="es-ES_tradnl"/>
        </w:rPr>
        <w:t>ya que</w:t>
      </w:r>
      <w:r w:rsidR="00C53B88" w:rsidRPr="007C5771">
        <w:rPr>
          <w:rFonts w:asciiTheme="majorHAnsi" w:hAnsiTheme="majorHAnsi"/>
          <w:color w:val="auto"/>
          <w:sz w:val="20"/>
          <w:szCs w:val="20"/>
          <w:lang w:val="es-ES_tradnl"/>
        </w:rPr>
        <w:t>,</w:t>
      </w:r>
      <w:r w:rsidR="00311D3F" w:rsidRPr="007C5771">
        <w:rPr>
          <w:rFonts w:asciiTheme="majorHAnsi" w:hAnsiTheme="majorHAnsi"/>
          <w:color w:val="auto"/>
          <w:sz w:val="20"/>
          <w:szCs w:val="20"/>
          <w:lang w:val="es-ES_tradnl"/>
        </w:rPr>
        <w:t xml:space="preserve"> según el Juzgado de Familia, el expediente se encontraba extraviado y </w:t>
      </w:r>
      <w:r w:rsidR="00C36565" w:rsidRPr="007C5771">
        <w:rPr>
          <w:rFonts w:asciiTheme="majorHAnsi" w:hAnsiTheme="majorHAnsi"/>
          <w:color w:val="auto"/>
          <w:sz w:val="20"/>
          <w:szCs w:val="20"/>
          <w:lang w:val="es-ES_tradnl"/>
        </w:rPr>
        <w:t>nada</w:t>
      </w:r>
      <w:r w:rsidR="00311D3F" w:rsidRPr="007C5771">
        <w:rPr>
          <w:rFonts w:asciiTheme="majorHAnsi" w:hAnsiTheme="majorHAnsi"/>
          <w:color w:val="auto"/>
          <w:sz w:val="20"/>
          <w:szCs w:val="20"/>
          <w:lang w:val="es-ES_tradnl"/>
        </w:rPr>
        <w:t xml:space="preserve"> podía hacer</w:t>
      </w:r>
      <w:r w:rsidR="00C36565" w:rsidRPr="007C5771">
        <w:rPr>
          <w:rFonts w:asciiTheme="majorHAnsi" w:hAnsiTheme="majorHAnsi"/>
          <w:color w:val="auto"/>
          <w:sz w:val="20"/>
          <w:szCs w:val="20"/>
          <w:lang w:val="es-ES_tradnl"/>
        </w:rPr>
        <w:t>se</w:t>
      </w:r>
      <w:r w:rsidR="00311D3F" w:rsidRPr="007C5771">
        <w:rPr>
          <w:rFonts w:asciiTheme="majorHAnsi" w:hAnsiTheme="majorHAnsi"/>
          <w:color w:val="auto"/>
          <w:sz w:val="20"/>
          <w:szCs w:val="20"/>
          <w:lang w:val="es-ES_tradnl"/>
        </w:rPr>
        <w:t xml:space="preserve"> hasta que </w:t>
      </w:r>
      <w:r w:rsidR="00D37B49" w:rsidRPr="007C5771">
        <w:rPr>
          <w:rFonts w:asciiTheme="majorHAnsi" w:hAnsiTheme="majorHAnsi"/>
          <w:color w:val="auto"/>
          <w:sz w:val="20"/>
          <w:szCs w:val="20"/>
          <w:lang w:val="es-ES_tradnl"/>
        </w:rPr>
        <w:t>apareciera</w:t>
      </w:r>
      <w:r w:rsidR="00D37B49" w:rsidRPr="007C5771">
        <w:rPr>
          <w:rStyle w:val="FootnoteReference"/>
          <w:rFonts w:asciiTheme="majorHAnsi" w:hAnsiTheme="majorHAnsi"/>
          <w:color w:val="auto"/>
          <w:sz w:val="20"/>
          <w:szCs w:val="20"/>
          <w:lang w:val="es-ES_tradnl"/>
        </w:rPr>
        <w:footnoteReference w:id="20"/>
      </w:r>
      <w:r w:rsidR="00311D3F" w:rsidRPr="007C5771">
        <w:rPr>
          <w:rFonts w:asciiTheme="majorHAnsi" w:hAnsiTheme="majorHAnsi"/>
          <w:color w:val="auto"/>
          <w:sz w:val="20"/>
          <w:szCs w:val="20"/>
          <w:lang w:val="es-ES_tradnl"/>
        </w:rPr>
        <w:t>.</w:t>
      </w:r>
      <w:r w:rsidR="00311D3F" w:rsidRPr="007C5771">
        <w:rPr>
          <w:rFonts w:asciiTheme="majorHAnsi" w:hAnsiTheme="majorHAnsi"/>
          <w:bCs/>
          <w:color w:val="auto"/>
          <w:sz w:val="20"/>
          <w:szCs w:val="20"/>
          <w:lang w:val="es-ES_tradnl"/>
        </w:rPr>
        <w:t xml:space="preserve"> </w:t>
      </w:r>
      <w:r w:rsidR="00734BBA" w:rsidRPr="007C5771">
        <w:rPr>
          <w:rFonts w:asciiTheme="majorHAnsi" w:hAnsiTheme="majorHAnsi"/>
          <w:color w:val="auto"/>
          <w:sz w:val="20"/>
          <w:szCs w:val="20"/>
          <w:lang w:val="es-ES_tradnl"/>
        </w:rPr>
        <w:t>La parte peticionaria también denuncia que el Estado no garantizó que los niños contaran con representación técnica que velara por sus intereses en el desarrollo de este proceso</w:t>
      </w:r>
    </w:p>
    <w:p w14:paraId="4D44EC7C" w14:textId="33603CBF" w:rsidR="00B61E79" w:rsidRPr="007C5771" w:rsidRDefault="00D37B49"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hAnsiTheme="majorHAnsi"/>
          <w:color w:val="auto"/>
          <w:sz w:val="20"/>
          <w:szCs w:val="20"/>
          <w:lang w:val="es-ES_tradnl"/>
        </w:rPr>
        <w:t>Posteriormente, la A</w:t>
      </w:r>
      <w:r w:rsidR="00311D3F" w:rsidRPr="007C5771">
        <w:rPr>
          <w:rFonts w:asciiTheme="majorHAnsi" w:hAnsiTheme="majorHAnsi"/>
          <w:color w:val="auto"/>
          <w:sz w:val="20"/>
          <w:szCs w:val="20"/>
          <w:lang w:val="es-ES_tradnl"/>
        </w:rPr>
        <w:t>sociación Protección al Ciuda</w:t>
      </w:r>
      <w:r w:rsidRPr="007C5771">
        <w:rPr>
          <w:rFonts w:asciiTheme="majorHAnsi" w:hAnsiTheme="majorHAnsi"/>
          <w:color w:val="auto"/>
          <w:sz w:val="20"/>
          <w:szCs w:val="20"/>
          <w:lang w:val="es-ES_tradnl"/>
        </w:rPr>
        <w:t>dano (en adelante “APAC”)</w:t>
      </w:r>
      <w:r w:rsidR="001E2B41" w:rsidRPr="007C5771">
        <w:rPr>
          <w:rFonts w:asciiTheme="majorHAnsi" w:hAnsiTheme="majorHAnsi"/>
          <w:color w:val="auto"/>
          <w:sz w:val="20"/>
          <w:szCs w:val="20"/>
          <w:lang w:val="es-ES_tradnl"/>
        </w:rPr>
        <w:t xml:space="preserve"> </w:t>
      </w:r>
      <w:r w:rsidR="00734BBA" w:rsidRPr="007C5771">
        <w:rPr>
          <w:rFonts w:asciiTheme="majorHAnsi" w:hAnsiTheme="majorHAnsi"/>
          <w:color w:val="auto"/>
          <w:sz w:val="20"/>
          <w:szCs w:val="20"/>
          <w:lang w:val="es-ES_tradnl"/>
        </w:rPr>
        <w:t>env</w:t>
      </w:r>
      <w:r w:rsidR="00C36565" w:rsidRPr="007C5771">
        <w:rPr>
          <w:rFonts w:asciiTheme="majorHAnsi" w:hAnsiTheme="majorHAnsi"/>
          <w:color w:val="auto"/>
          <w:sz w:val="20"/>
          <w:szCs w:val="20"/>
          <w:lang w:val="es-ES_tradnl"/>
        </w:rPr>
        <w:t>ió</w:t>
      </w:r>
      <w:r w:rsidR="00734BBA" w:rsidRPr="007C5771">
        <w:rPr>
          <w:rFonts w:asciiTheme="majorHAnsi" w:hAnsiTheme="majorHAnsi"/>
          <w:color w:val="auto"/>
          <w:sz w:val="20"/>
          <w:szCs w:val="20"/>
          <w:lang w:val="es-ES_tradnl"/>
        </w:rPr>
        <w:t xml:space="preserve"> </w:t>
      </w:r>
      <w:r w:rsidR="00C36565" w:rsidRPr="007C5771">
        <w:rPr>
          <w:rFonts w:asciiTheme="majorHAnsi" w:hAnsiTheme="majorHAnsi"/>
          <w:color w:val="auto"/>
          <w:sz w:val="20"/>
          <w:szCs w:val="20"/>
          <w:lang w:val="es-ES_tradnl"/>
        </w:rPr>
        <w:t xml:space="preserve">una </w:t>
      </w:r>
      <w:r w:rsidR="00734BBA" w:rsidRPr="007C5771">
        <w:rPr>
          <w:rFonts w:asciiTheme="majorHAnsi" w:hAnsiTheme="majorHAnsi"/>
          <w:color w:val="auto"/>
          <w:sz w:val="20"/>
          <w:szCs w:val="20"/>
          <w:lang w:val="es-ES_tradnl"/>
        </w:rPr>
        <w:t>nota</w:t>
      </w:r>
      <w:r w:rsidRPr="007C5771">
        <w:rPr>
          <w:rFonts w:asciiTheme="majorHAnsi" w:hAnsiTheme="majorHAnsi"/>
          <w:color w:val="auto"/>
          <w:sz w:val="20"/>
          <w:szCs w:val="20"/>
          <w:lang w:val="es-ES_tradnl"/>
        </w:rPr>
        <w:t xml:space="preserve"> </w:t>
      </w:r>
      <w:r w:rsidR="00734BBA" w:rsidRPr="007C5771">
        <w:rPr>
          <w:rFonts w:asciiTheme="majorHAnsi" w:hAnsiTheme="majorHAnsi"/>
          <w:color w:val="auto"/>
          <w:sz w:val="20"/>
          <w:szCs w:val="20"/>
          <w:lang w:val="es-ES_tradnl"/>
        </w:rPr>
        <w:t>a</w:t>
      </w:r>
      <w:r w:rsidR="001E2B41" w:rsidRPr="007C5771">
        <w:rPr>
          <w:rFonts w:asciiTheme="majorHAnsi" w:hAnsiTheme="majorHAnsi"/>
          <w:color w:val="auto"/>
          <w:sz w:val="20"/>
          <w:szCs w:val="20"/>
          <w:lang w:val="es-ES_tradnl"/>
        </w:rPr>
        <w:t xml:space="preserve"> la Suprema C</w:t>
      </w:r>
      <w:r w:rsidR="00311D3F" w:rsidRPr="007C5771">
        <w:rPr>
          <w:rFonts w:asciiTheme="majorHAnsi" w:hAnsiTheme="majorHAnsi"/>
          <w:color w:val="auto"/>
          <w:sz w:val="20"/>
          <w:szCs w:val="20"/>
          <w:lang w:val="es-ES_tradnl"/>
        </w:rPr>
        <w:t>orte de Justicia de Mendoza</w:t>
      </w:r>
      <w:r w:rsidR="00734BBA" w:rsidRPr="007C5771">
        <w:rPr>
          <w:rFonts w:asciiTheme="majorHAnsi" w:hAnsiTheme="majorHAnsi"/>
          <w:color w:val="auto"/>
          <w:sz w:val="20"/>
          <w:szCs w:val="20"/>
          <w:lang w:val="es-ES_tradnl"/>
        </w:rPr>
        <w:t xml:space="preserve"> (en adelante “SCJ”)</w:t>
      </w:r>
      <w:r w:rsidR="00311D3F" w:rsidRPr="007C5771">
        <w:rPr>
          <w:rFonts w:asciiTheme="majorHAnsi" w:hAnsiTheme="majorHAnsi"/>
          <w:color w:val="auto"/>
          <w:sz w:val="20"/>
          <w:szCs w:val="20"/>
          <w:lang w:val="es-ES_tradnl"/>
        </w:rPr>
        <w:t xml:space="preserve"> el 11 de abril de 2008</w:t>
      </w:r>
      <w:r w:rsidR="00C36565" w:rsidRPr="007C5771">
        <w:rPr>
          <w:rFonts w:asciiTheme="majorHAnsi" w:hAnsiTheme="majorHAnsi"/>
          <w:color w:val="auto"/>
          <w:sz w:val="20"/>
          <w:szCs w:val="20"/>
          <w:lang w:val="es-ES_tradnl"/>
        </w:rPr>
        <w:t>,</w:t>
      </w:r>
      <w:r w:rsidR="00311D3F" w:rsidRPr="007C5771">
        <w:rPr>
          <w:rFonts w:asciiTheme="majorHAnsi" w:hAnsiTheme="majorHAnsi"/>
          <w:color w:val="auto"/>
          <w:sz w:val="20"/>
          <w:szCs w:val="20"/>
          <w:lang w:val="es-ES_tradnl"/>
        </w:rPr>
        <w:t xml:space="preserve"> </w:t>
      </w:r>
      <w:r w:rsidR="00C36565" w:rsidRPr="007C5771">
        <w:rPr>
          <w:rFonts w:asciiTheme="majorHAnsi" w:hAnsiTheme="majorHAnsi"/>
          <w:color w:val="auto"/>
          <w:sz w:val="20"/>
          <w:szCs w:val="20"/>
          <w:lang w:val="es-ES_tradnl"/>
        </w:rPr>
        <w:t>con lo que puso</w:t>
      </w:r>
      <w:r w:rsidR="00734BBA" w:rsidRPr="007C5771">
        <w:rPr>
          <w:rFonts w:asciiTheme="majorHAnsi" w:hAnsiTheme="majorHAnsi"/>
          <w:color w:val="auto"/>
          <w:sz w:val="20"/>
          <w:szCs w:val="20"/>
          <w:lang w:val="es-ES_tradnl"/>
        </w:rPr>
        <w:t xml:space="preserve"> </w:t>
      </w:r>
      <w:r w:rsidR="00C36565" w:rsidRPr="007C5771">
        <w:rPr>
          <w:rFonts w:asciiTheme="majorHAnsi" w:hAnsiTheme="majorHAnsi"/>
          <w:color w:val="auto"/>
          <w:sz w:val="20"/>
          <w:szCs w:val="20"/>
          <w:lang w:val="es-ES_tradnl"/>
        </w:rPr>
        <w:t xml:space="preserve">a dicho órgano </w:t>
      </w:r>
      <w:r w:rsidR="00734BBA" w:rsidRPr="007C5771">
        <w:rPr>
          <w:rFonts w:asciiTheme="majorHAnsi" w:hAnsiTheme="majorHAnsi"/>
          <w:color w:val="auto"/>
          <w:sz w:val="20"/>
          <w:szCs w:val="20"/>
          <w:lang w:val="es-ES_tradnl"/>
        </w:rPr>
        <w:t xml:space="preserve">en conocimiento de la situación de la señora </w:t>
      </w:r>
      <w:r w:rsidR="002F22C3" w:rsidRPr="007C5771">
        <w:rPr>
          <w:rFonts w:asciiTheme="majorHAnsi" w:hAnsiTheme="majorHAnsi"/>
          <w:color w:val="auto"/>
          <w:sz w:val="20"/>
          <w:szCs w:val="20"/>
          <w:lang w:val="es-ES_tradnl"/>
        </w:rPr>
        <w:t>Pérez</w:t>
      </w:r>
      <w:r w:rsidR="00734BBA" w:rsidRPr="007C5771">
        <w:rPr>
          <w:rFonts w:asciiTheme="majorHAnsi" w:hAnsiTheme="majorHAnsi"/>
          <w:color w:val="auto"/>
          <w:sz w:val="20"/>
          <w:szCs w:val="20"/>
          <w:lang w:val="es-ES_tradnl"/>
        </w:rPr>
        <w:t xml:space="preserve"> y sus hijos</w:t>
      </w:r>
      <w:r w:rsidR="00C36565" w:rsidRPr="007C5771">
        <w:rPr>
          <w:rFonts w:asciiTheme="majorHAnsi" w:hAnsiTheme="majorHAnsi"/>
          <w:color w:val="auto"/>
          <w:sz w:val="20"/>
          <w:szCs w:val="20"/>
          <w:lang w:val="es-ES_tradnl"/>
        </w:rPr>
        <w:t>. En la nota se</w:t>
      </w:r>
      <w:r w:rsidR="00734BBA" w:rsidRPr="007C5771">
        <w:rPr>
          <w:rFonts w:asciiTheme="majorHAnsi" w:hAnsiTheme="majorHAnsi"/>
          <w:color w:val="auto"/>
          <w:sz w:val="20"/>
          <w:szCs w:val="20"/>
          <w:lang w:val="es-ES_tradnl"/>
        </w:rPr>
        <w:t xml:space="preserve"> solicit</w:t>
      </w:r>
      <w:r w:rsidR="00C36565" w:rsidRPr="007C5771">
        <w:rPr>
          <w:rFonts w:asciiTheme="majorHAnsi" w:hAnsiTheme="majorHAnsi"/>
          <w:color w:val="auto"/>
          <w:sz w:val="20"/>
          <w:szCs w:val="20"/>
          <w:lang w:val="es-ES_tradnl"/>
        </w:rPr>
        <w:t>aba igualmente que</w:t>
      </w:r>
      <w:r w:rsidR="00254226" w:rsidRPr="007C5771">
        <w:rPr>
          <w:rFonts w:asciiTheme="majorHAnsi" w:hAnsiTheme="majorHAnsi"/>
          <w:color w:val="auto"/>
          <w:sz w:val="20"/>
          <w:szCs w:val="20"/>
          <w:lang w:val="es-ES_tradnl"/>
        </w:rPr>
        <w:t xml:space="preserve"> se investigar</w:t>
      </w:r>
      <w:r w:rsidR="00C36565" w:rsidRPr="007C5771">
        <w:rPr>
          <w:rFonts w:asciiTheme="majorHAnsi" w:hAnsiTheme="majorHAnsi"/>
          <w:color w:val="auto"/>
          <w:sz w:val="20"/>
          <w:szCs w:val="20"/>
          <w:lang w:val="es-ES_tradnl"/>
        </w:rPr>
        <w:t>a</w:t>
      </w:r>
      <w:r w:rsidR="00254226" w:rsidRPr="007C5771">
        <w:rPr>
          <w:rFonts w:asciiTheme="majorHAnsi" w:hAnsiTheme="majorHAnsi"/>
          <w:color w:val="auto"/>
          <w:sz w:val="20"/>
          <w:szCs w:val="20"/>
          <w:lang w:val="es-ES_tradnl"/>
        </w:rPr>
        <w:t xml:space="preserve"> el posible mal desempeño de la jueza y fiscal que intervinieron en el proceso de lesiones calificadas</w:t>
      </w:r>
      <w:r w:rsidR="00C36565" w:rsidRPr="007C5771">
        <w:rPr>
          <w:rFonts w:asciiTheme="majorHAnsi" w:hAnsiTheme="majorHAnsi"/>
          <w:color w:val="auto"/>
          <w:sz w:val="20"/>
          <w:szCs w:val="20"/>
          <w:lang w:val="es-ES_tradnl"/>
        </w:rPr>
        <w:t>,</w:t>
      </w:r>
      <w:r w:rsidR="00254226" w:rsidRPr="007C5771">
        <w:rPr>
          <w:rFonts w:asciiTheme="majorHAnsi" w:hAnsiTheme="majorHAnsi"/>
          <w:color w:val="auto"/>
          <w:sz w:val="20"/>
          <w:szCs w:val="20"/>
          <w:lang w:val="es-ES_tradnl"/>
        </w:rPr>
        <w:t xml:space="preserve"> y que se les brindar</w:t>
      </w:r>
      <w:r w:rsidR="00C36565" w:rsidRPr="007C5771">
        <w:rPr>
          <w:rFonts w:asciiTheme="majorHAnsi" w:hAnsiTheme="majorHAnsi"/>
          <w:color w:val="auto"/>
          <w:sz w:val="20"/>
          <w:szCs w:val="20"/>
          <w:lang w:val="es-ES_tradnl"/>
        </w:rPr>
        <w:t>a</w:t>
      </w:r>
      <w:r w:rsidR="00734BBA" w:rsidRPr="007C5771">
        <w:rPr>
          <w:rFonts w:asciiTheme="majorHAnsi" w:hAnsiTheme="majorHAnsi"/>
          <w:color w:val="auto"/>
          <w:sz w:val="20"/>
          <w:szCs w:val="20"/>
          <w:lang w:val="es-ES_tradnl"/>
        </w:rPr>
        <w:t xml:space="preserve"> información </w:t>
      </w:r>
      <w:r w:rsidR="00254226" w:rsidRPr="007C5771">
        <w:rPr>
          <w:rFonts w:asciiTheme="majorHAnsi" w:hAnsiTheme="majorHAnsi"/>
          <w:color w:val="auto"/>
          <w:sz w:val="20"/>
          <w:szCs w:val="20"/>
          <w:lang w:val="es-ES_tradnl"/>
        </w:rPr>
        <w:t>sobre el estado del expediente de alimentos</w:t>
      </w:r>
      <w:r w:rsidR="00734BBA" w:rsidRPr="007C5771">
        <w:rPr>
          <w:rFonts w:asciiTheme="majorHAnsi" w:hAnsiTheme="majorHAnsi"/>
          <w:color w:val="auto"/>
          <w:sz w:val="20"/>
          <w:szCs w:val="20"/>
          <w:lang w:val="es-ES_tradnl"/>
        </w:rPr>
        <w:t>. En consecuencia, la SCJ abrió un expediente</w:t>
      </w:r>
      <w:r w:rsidR="00734BBA" w:rsidRPr="007C5771">
        <w:rPr>
          <w:rStyle w:val="FootnoteReference"/>
          <w:rFonts w:asciiTheme="majorHAnsi" w:hAnsiTheme="majorHAnsi"/>
          <w:color w:val="auto"/>
          <w:sz w:val="20"/>
          <w:szCs w:val="20"/>
          <w:lang w:val="es-ES_tradnl"/>
        </w:rPr>
        <w:footnoteReference w:id="21"/>
      </w:r>
      <w:r w:rsidR="00734BBA" w:rsidRPr="007C5771">
        <w:rPr>
          <w:rFonts w:asciiTheme="majorHAnsi" w:hAnsiTheme="majorHAnsi"/>
          <w:color w:val="auto"/>
          <w:sz w:val="20"/>
          <w:szCs w:val="20"/>
          <w:lang w:val="es-ES_tradnl"/>
        </w:rPr>
        <w:t xml:space="preserve"> en el que </w:t>
      </w:r>
      <w:r w:rsidR="00DC11B8" w:rsidRPr="007C5771">
        <w:rPr>
          <w:rFonts w:asciiTheme="majorHAnsi" w:hAnsiTheme="majorHAnsi"/>
          <w:color w:val="auto"/>
          <w:sz w:val="20"/>
          <w:szCs w:val="20"/>
          <w:lang w:val="es-ES_tradnl"/>
        </w:rPr>
        <w:t>resolvió</w:t>
      </w:r>
      <w:r w:rsidR="00311D3F" w:rsidRPr="007C5771">
        <w:rPr>
          <w:rFonts w:asciiTheme="majorHAnsi" w:hAnsiTheme="majorHAnsi"/>
          <w:color w:val="auto"/>
          <w:sz w:val="20"/>
          <w:szCs w:val="20"/>
          <w:lang w:val="es-ES_tradnl"/>
        </w:rPr>
        <w:t xml:space="preserve"> el 11 de jul</w:t>
      </w:r>
      <w:r w:rsidR="00DC11B8" w:rsidRPr="007C5771">
        <w:rPr>
          <w:rFonts w:asciiTheme="majorHAnsi" w:hAnsiTheme="majorHAnsi"/>
          <w:color w:val="auto"/>
          <w:sz w:val="20"/>
          <w:szCs w:val="20"/>
          <w:lang w:val="es-ES_tradnl"/>
        </w:rPr>
        <w:t xml:space="preserve">io de 2008 </w:t>
      </w:r>
      <w:r w:rsidR="00311D3F" w:rsidRPr="007C5771">
        <w:rPr>
          <w:rFonts w:asciiTheme="majorHAnsi" w:hAnsiTheme="majorHAnsi"/>
          <w:color w:val="auto"/>
          <w:sz w:val="20"/>
          <w:szCs w:val="20"/>
          <w:lang w:val="es-ES_tradnl"/>
        </w:rPr>
        <w:t>el archivo de las actuaciones por considerar</w:t>
      </w:r>
      <w:r w:rsidR="00734BBA" w:rsidRPr="007C5771">
        <w:rPr>
          <w:rFonts w:asciiTheme="majorHAnsi" w:hAnsiTheme="majorHAnsi"/>
          <w:color w:val="auto"/>
          <w:sz w:val="20"/>
          <w:szCs w:val="20"/>
          <w:lang w:val="es-ES_tradnl"/>
        </w:rPr>
        <w:t xml:space="preserve"> que</w:t>
      </w:r>
      <w:r w:rsidR="00311D3F" w:rsidRPr="007C5771">
        <w:rPr>
          <w:rFonts w:asciiTheme="majorHAnsi" w:hAnsiTheme="majorHAnsi"/>
          <w:color w:val="auto"/>
          <w:sz w:val="20"/>
          <w:szCs w:val="20"/>
          <w:lang w:val="es-ES_tradnl"/>
        </w:rPr>
        <w:t xml:space="preserve"> la peticionaria</w:t>
      </w:r>
      <w:r w:rsidR="00734BBA" w:rsidRPr="007C5771">
        <w:rPr>
          <w:rFonts w:asciiTheme="majorHAnsi" w:hAnsiTheme="majorHAnsi"/>
          <w:color w:val="auto"/>
          <w:sz w:val="20"/>
          <w:szCs w:val="20"/>
          <w:lang w:val="es-ES_tradnl"/>
        </w:rPr>
        <w:t xml:space="preserve"> se encontraba</w:t>
      </w:r>
      <w:r w:rsidR="00311D3F" w:rsidRPr="007C5771">
        <w:rPr>
          <w:rFonts w:asciiTheme="majorHAnsi" w:hAnsiTheme="majorHAnsi"/>
          <w:color w:val="auto"/>
          <w:sz w:val="20"/>
          <w:szCs w:val="20"/>
          <w:lang w:val="es-ES_tradnl"/>
        </w:rPr>
        <w:t xml:space="preserve"> debidamente asistida por los abogados ad-hoc asignados</w:t>
      </w:r>
      <w:r w:rsidR="00BA35E7" w:rsidRPr="007C5771">
        <w:rPr>
          <w:rFonts w:asciiTheme="majorHAnsi" w:hAnsiTheme="majorHAnsi"/>
          <w:color w:val="auto"/>
          <w:sz w:val="20"/>
          <w:szCs w:val="20"/>
          <w:lang w:val="es-ES_tradnl"/>
        </w:rPr>
        <w:t xml:space="preserve">. Contra esta </w:t>
      </w:r>
      <w:r w:rsidR="00BA35E7" w:rsidRPr="007C5771">
        <w:rPr>
          <w:rFonts w:asciiTheme="majorHAnsi" w:hAnsiTheme="majorHAnsi"/>
          <w:color w:val="auto"/>
          <w:sz w:val="20"/>
          <w:szCs w:val="20"/>
          <w:lang w:val="es-ES_tradnl"/>
        </w:rPr>
        <w:lastRenderedPageBreak/>
        <w:t xml:space="preserve">decisión, la señora </w:t>
      </w:r>
      <w:r w:rsidR="002F22C3" w:rsidRPr="007C5771">
        <w:rPr>
          <w:rFonts w:asciiTheme="majorHAnsi" w:hAnsiTheme="majorHAnsi"/>
          <w:color w:val="auto"/>
          <w:sz w:val="20"/>
          <w:szCs w:val="20"/>
          <w:lang w:val="es-ES_tradnl"/>
        </w:rPr>
        <w:t>Pérez</w:t>
      </w:r>
      <w:r w:rsidR="00BA35E7" w:rsidRPr="007C5771">
        <w:rPr>
          <w:rFonts w:asciiTheme="majorHAnsi" w:hAnsiTheme="majorHAnsi"/>
          <w:color w:val="auto"/>
          <w:sz w:val="20"/>
          <w:szCs w:val="20"/>
          <w:lang w:val="es-ES_tradnl"/>
        </w:rPr>
        <w:t xml:space="preserve"> presentó</w:t>
      </w:r>
      <w:r w:rsidR="00311D3F" w:rsidRPr="007C5771">
        <w:rPr>
          <w:rFonts w:asciiTheme="majorHAnsi" w:hAnsiTheme="majorHAnsi"/>
          <w:color w:val="auto"/>
          <w:sz w:val="20"/>
          <w:szCs w:val="20"/>
          <w:lang w:val="es-ES_tradnl"/>
        </w:rPr>
        <w:t xml:space="preserve"> </w:t>
      </w:r>
      <w:r w:rsidR="00130286" w:rsidRPr="007C5771">
        <w:rPr>
          <w:rFonts w:asciiTheme="majorHAnsi" w:hAnsiTheme="majorHAnsi"/>
          <w:color w:val="auto"/>
          <w:sz w:val="20"/>
          <w:szCs w:val="20"/>
          <w:lang w:val="es-ES_tradnl"/>
        </w:rPr>
        <w:t xml:space="preserve">un </w:t>
      </w:r>
      <w:r w:rsidR="00311D3F" w:rsidRPr="007C5771">
        <w:rPr>
          <w:rFonts w:asciiTheme="majorHAnsi" w:hAnsiTheme="majorHAnsi"/>
          <w:color w:val="auto"/>
          <w:sz w:val="20"/>
          <w:szCs w:val="20"/>
          <w:lang w:val="es-ES_tradnl"/>
        </w:rPr>
        <w:t xml:space="preserve">recurso de revocatoria el 14 de agosto de 2008, </w:t>
      </w:r>
      <w:r w:rsidR="00C36565" w:rsidRPr="007C5771">
        <w:rPr>
          <w:rFonts w:asciiTheme="majorHAnsi" w:hAnsiTheme="majorHAnsi"/>
          <w:color w:val="auto"/>
          <w:sz w:val="20"/>
          <w:szCs w:val="20"/>
          <w:lang w:val="es-ES_tradnl"/>
        </w:rPr>
        <w:t xml:space="preserve">con el </w:t>
      </w:r>
      <w:r w:rsidR="00311D3F" w:rsidRPr="007C5771">
        <w:rPr>
          <w:rFonts w:asciiTheme="majorHAnsi" w:hAnsiTheme="majorHAnsi"/>
          <w:color w:val="auto"/>
          <w:sz w:val="20"/>
          <w:szCs w:val="20"/>
          <w:lang w:val="es-ES_tradnl"/>
        </w:rPr>
        <w:t>alega</w:t>
      </w:r>
      <w:r w:rsidR="00C36565" w:rsidRPr="007C5771">
        <w:rPr>
          <w:rFonts w:asciiTheme="majorHAnsi" w:hAnsiTheme="majorHAnsi"/>
          <w:color w:val="auto"/>
          <w:sz w:val="20"/>
          <w:szCs w:val="20"/>
          <w:lang w:val="es-ES_tradnl"/>
        </w:rPr>
        <w:t>to</w:t>
      </w:r>
      <w:r w:rsidR="00311D3F" w:rsidRPr="007C5771">
        <w:rPr>
          <w:rFonts w:asciiTheme="majorHAnsi" w:hAnsiTheme="majorHAnsi"/>
          <w:color w:val="auto"/>
          <w:sz w:val="20"/>
          <w:szCs w:val="20"/>
          <w:lang w:val="es-ES_tradnl"/>
        </w:rPr>
        <w:t xml:space="preserve"> </w:t>
      </w:r>
      <w:r w:rsidR="00C36565" w:rsidRPr="007C5771">
        <w:rPr>
          <w:rFonts w:asciiTheme="majorHAnsi" w:hAnsiTheme="majorHAnsi"/>
          <w:color w:val="auto"/>
          <w:sz w:val="20"/>
          <w:szCs w:val="20"/>
          <w:lang w:val="es-ES_tradnl"/>
        </w:rPr>
        <w:t xml:space="preserve">de </w:t>
      </w:r>
      <w:r w:rsidR="00311D3F" w:rsidRPr="007C5771">
        <w:rPr>
          <w:rFonts w:asciiTheme="majorHAnsi" w:hAnsiTheme="majorHAnsi"/>
          <w:color w:val="auto"/>
          <w:sz w:val="20"/>
          <w:szCs w:val="20"/>
          <w:lang w:val="es-ES_tradnl"/>
        </w:rPr>
        <w:t>que la decisión anterior fue arbitraria</w:t>
      </w:r>
      <w:r w:rsidR="00AB6A7D" w:rsidRPr="007C5771">
        <w:rPr>
          <w:rFonts w:asciiTheme="majorHAnsi" w:hAnsiTheme="majorHAnsi"/>
          <w:bCs/>
          <w:color w:val="auto"/>
          <w:sz w:val="20"/>
          <w:szCs w:val="20"/>
          <w:lang w:val="es-ES_tradnl"/>
        </w:rPr>
        <w:t>,</w:t>
      </w:r>
      <w:r w:rsidR="00311D3F" w:rsidRPr="007C5771">
        <w:rPr>
          <w:rFonts w:asciiTheme="majorHAnsi" w:hAnsiTheme="majorHAnsi"/>
          <w:color w:val="auto"/>
          <w:sz w:val="20"/>
          <w:szCs w:val="20"/>
          <w:lang w:val="es-ES_tradnl"/>
        </w:rPr>
        <w:t xml:space="preserve"> ya que la abogada asignada para el contencioso de alimentos no entregó los documentos originale</w:t>
      </w:r>
      <w:r w:rsidR="00311D3F" w:rsidRPr="007C5771">
        <w:rPr>
          <w:rFonts w:asciiTheme="majorHAnsi" w:hAnsiTheme="majorHAnsi"/>
          <w:bCs/>
          <w:color w:val="auto"/>
          <w:sz w:val="20"/>
          <w:szCs w:val="20"/>
          <w:lang w:val="es-ES_tradnl"/>
        </w:rPr>
        <w:t>s</w:t>
      </w:r>
      <w:r w:rsidR="00AB6A7D" w:rsidRPr="007C5771">
        <w:rPr>
          <w:rFonts w:asciiTheme="majorHAnsi" w:hAnsiTheme="majorHAnsi"/>
          <w:bCs/>
          <w:color w:val="auto"/>
          <w:sz w:val="20"/>
          <w:szCs w:val="20"/>
          <w:lang w:val="es-ES_tradnl"/>
        </w:rPr>
        <w:t>,</w:t>
      </w:r>
      <w:r w:rsidR="00311D3F" w:rsidRPr="007C5771">
        <w:rPr>
          <w:rFonts w:asciiTheme="majorHAnsi" w:hAnsiTheme="majorHAnsi"/>
          <w:color w:val="auto"/>
          <w:sz w:val="20"/>
          <w:szCs w:val="20"/>
          <w:lang w:val="es-ES_tradnl"/>
        </w:rPr>
        <w:t xml:space="preserve"> ni inició </w:t>
      </w:r>
      <w:r w:rsidR="00311D3F" w:rsidRPr="007C5771">
        <w:rPr>
          <w:rFonts w:asciiTheme="majorHAnsi" w:hAnsiTheme="majorHAnsi"/>
          <w:bCs/>
          <w:color w:val="auto"/>
          <w:sz w:val="20"/>
          <w:szCs w:val="20"/>
          <w:lang w:val="es-ES_tradnl"/>
        </w:rPr>
        <w:t>tr</w:t>
      </w:r>
      <w:r w:rsidR="007B11D1" w:rsidRPr="007C5771">
        <w:rPr>
          <w:rFonts w:asciiTheme="majorHAnsi" w:hAnsiTheme="majorHAnsi"/>
          <w:bCs/>
          <w:color w:val="auto"/>
          <w:sz w:val="20"/>
          <w:szCs w:val="20"/>
          <w:lang w:val="es-ES_tradnl"/>
        </w:rPr>
        <w:t>á</w:t>
      </w:r>
      <w:r w:rsidR="00311D3F" w:rsidRPr="007C5771">
        <w:rPr>
          <w:rFonts w:asciiTheme="majorHAnsi" w:hAnsiTheme="majorHAnsi"/>
          <w:bCs/>
          <w:color w:val="auto"/>
          <w:sz w:val="20"/>
          <w:szCs w:val="20"/>
          <w:lang w:val="es-ES_tradnl"/>
        </w:rPr>
        <w:t>mite</w:t>
      </w:r>
      <w:r w:rsidR="00AB6A7D" w:rsidRPr="007C5771">
        <w:rPr>
          <w:rFonts w:asciiTheme="majorHAnsi" w:hAnsiTheme="majorHAnsi"/>
          <w:bCs/>
          <w:color w:val="auto"/>
          <w:sz w:val="20"/>
          <w:szCs w:val="20"/>
          <w:lang w:val="es-ES_tradnl"/>
        </w:rPr>
        <w:t xml:space="preserve"> alguno</w:t>
      </w:r>
      <w:r w:rsidR="00254226" w:rsidRPr="007C5771">
        <w:rPr>
          <w:rFonts w:asciiTheme="majorHAnsi" w:hAnsiTheme="majorHAnsi"/>
          <w:color w:val="auto"/>
          <w:sz w:val="20"/>
          <w:szCs w:val="20"/>
          <w:lang w:val="es-ES_tradnl"/>
        </w:rPr>
        <w:t xml:space="preserve">. El 6 de julio de 2009, </w:t>
      </w:r>
      <w:r w:rsidR="00311D3F" w:rsidRPr="007C5771">
        <w:rPr>
          <w:rFonts w:asciiTheme="majorHAnsi" w:hAnsiTheme="majorHAnsi"/>
          <w:color w:val="auto"/>
          <w:sz w:val="20"/>
          <w:szCs w:val="20"/>
          <w:lang w:val="es-ES_tradnl"/>
        </w:rPr>
        <w:t xml:space="preserve">la </w:t>
      </w:r>
      <w:r w:rsidR="00A204E4" w:rsidRPr="007C5771">
        <w:rPr>
          <w:rFonts w:asciiTheme="majorHAnsi" w:hAnsiTheme="majorHAnsi"/>
          <w:color w:val="auto"/>
          <w:sz w:val="20"/>
          <w:szCs w:val="20"/>
          <w:lang w:val="es-ES_tradnl"/>
        </w:rPr>
        <w:t>SCJ</w:t>
      </w:r>
      <w:r w:rsidR="00311D3F" w:rsidRPr="007C5771">
        <w:rPr>
          <w:rFonts w:asciiTheme="majorHAnsi" w:hAnsiTheme="majorHAnsi"/>
          <w:color w:val="auto"/>
          <w:sz w:val="20"/>
          <w:szCs w:val="20"/>
          <w:lang w:val="es-ES_tradnl"/>
        </w:rPr>
        <w:t xml:space="preserve"> desestim</w:t>
      </w:r>
      <w:r w:rsidR="00254226" w:rsidRPr="007C5771">
        <w:rPr>
          <w:rFonts w:asciiTheme="majorHAnsi" w:hAnsiTheme="majorHAnsi"/>
          <w:color w:val="auto"/>
          <w:sz w:val="20"/>
          <w:szCs w:val="20"/>
          <w:lang w:val="es-ES_tradnl"/>
        </w:rPr>
        <w:t>ó el recurso.</w:t>
      </w:r>
    </w:p>
    <w:p w14:paraId="1A71426E" w14:textId="7C8A2A71" w:rsidR="00CA5E51" w:rsidRPr="007C5771" w:rsidRDefault="0028454B"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color w:val="auto"/>
          <w:sz w:val="20"/>
          <w:szCs w:val="20"/>
          <w:lang w:val="es-ES"/>
        </w:rPr>
        <w:t xml:space="preserve">A </w:t>
      </w:r>
      <w:r w:rsidR="00CA5E51" w:rsidRPr="007C5771">
        <w:rPr>
          <w:color w:val="auto"/>
          <w:sz w:val="20"/>
          <w:szCs w:val="20"/>
          <w:lang w:val="es-ES"/>
        </w:rPr>
        <w:t>su vez, el Estado afirma que los hechos alegados no</w:t>
      </w:r>
      <w:r w:rsidR="00CA5E51" w:rsidRPr="007C5771">
        <w:rPr>
          <w:bCs/>
          <w:color w:val="auto"/>
          <w:sz w:val="20"/>
          <w:szCs w:val="20"/>
          <w:lang w:val="es-ES"/>
        </w:rPr>
        <w:t xml:space="preserve"> </w:t>
      </w:r>
      <w:r w:rsidR="00CA5E51" w:rsidRPr="007C5771">
        <w:rPr>
          <w:color w:val="auto"/>
          <w:sz w:val="20"/>
          <w:szCs w:val="20"/>
          <w:lang w:val="es-ES"/>
        </w:rPr>
        <w:t xml:space="preserve">caracterizan violaciones </w:t>
      </w:r>
      <w:r w:rsidR="00C36565" w:rsidRPr="007C5771">
        <w:rPr>
          <w:color w:val="auto"/>
          <w:sz w:val="20"/>
          <w:szCs w:val="20"/>
          <w:lang w:val="es-ES"/>
        </w:rPr>
        <w:t>de</w:t>
      </w:r>
      <w:r w:rsidR="00CA5E51" w:rsidRPr="007C5771">
        <w:rPr>
          <w:color w:val="auto"/>
          <w:sz w:val="20"/>
          <w:szCs w:val="20"/>
          <w:lang w:val="es-ES"/>
        </w:rPr>
        <w:t xml:space="preserve"> derechos humanos</w:t>
      </w:r>
      <w:r w:rsidR="00192D66" w:rsidRPr="007C5771">
        <w:rPr>
          <w:color w:val="auto"/>
          <w:sz w:val="20"/>
          <w:szCs w:val="20"/>
          <w:lang w:val="es-ES"/>
        </w:rPr>
        <w:t xml:space="preserve"> y que la parte peticionaria pretende que la Comisión act</w:t>
      </w:r>
      <w:r w:rsidR="00C36565" w:rsidRPr="007C5771">
        <w:rPr>
          <w:color w:val="auto"/>
          <w:sz w:val="20"/>
          <w:szCs w:val="20"/>
          <w:lang w:val="es-ES"/>
        </w:rPr>
        <w:t>úe</w:t>
      </w:r>
      <w:r w:rsidR="00192D66" w:rsidRPr="007C5771">
        <w:rPr>
          <w:color w:val="auto"/>
          <w:sz w:val="20"/>
          <w:szCs w:val="20"/>
          <w:lang w:val="es-ES"/>
        </w:rPr>
        <w:t xml:space="preserve"> como una cuarta instancia</w:t>
      </w:r>
      <w:r w:rsidR="00A204E4" w:rsidRPr="007C5771">
        <w:rPr>
          <w:sz w:val="20"/>
          <w:szCs w:val="20"/>
          <w:lang w:val="es-ES"/>
        </w:rPr>
        <w:t xml:space="preserve">. </w:t>
      </w:r>
      <w:r w:rsidR="00CA5E51" w:rsidRPr="007C5771">
        <w:rPr>
          <w:sz w:val="20"/>
          <w:szCs w:val="20"/>
          <w:lang w:val="es-ES"/>
        </w:rPr>
        <w:t xml:space="preserve">En cuanto al proceso de mediación y la homologación del acuerdo alcanzado en éste, indica que la señora </w:t>
      </w:r>
      <w:r w:rsidR="002F22C3" w:rsidRPr="007C5771">
        <w:rPr>
          <w:sz w:val="20"/>
          <w:szCs w:val="20"/>
          <w:lang w:val="es-ES"/>
        </w:rPr>
        <w:t>Pérez</w:t>
      </w:r>
      <w:r w:rsidR="00CA5E51" w:rsidRPr="007C5771">
        <w:rPr>
          <w:sz w:val="20"/>
          <w:szCs w:val="20"/>
          <w:lang w:val="es-ES"/>
        </w:rPr>
        <w:t xml:space="preserve"> contó con la representación de una abogada particular de su elección y alega que no se puede imputar responsabilidad al Estado por lo que la señora </w:t>
      </w:r>
      <w:r w:rsidR="00C36565" w:rsidRPr="007C5771">
        <w:rPr>
          <w:sz w:val="20"/>
          <w:szCs w:val="20"/>
          <w:lang w:val="es-ES"/>
        </w:rPr>
        <w:t xml:space="preserve">pactó </w:t>
      </w:r>
      <w:r w:rsidR="00CA5E51" w:rsidRPr="007C5771">
        <w:rPr>
          <w:sz w:val="20"/>
          <w:szCs w:val="20"/>
          <w:lang w:val="es-ES"/>
        </w:rPr>
        <w:t xml:space="preserve">libremente.  Resalta </w:t>
      </w:r>
      <w:r w:rsidR="00C36565" w:rsidRPr="007C5771">
        <w:rPr>
          <w:sz w:val="20"/>
          <w:szCs w:val="20"/>
          <w:lang w:val="es-ES"/>
        </w:rPr>
        <w:t xml:space="preserve">el Estado </w:t>
      </w:r>
      <w:r w:rsidR="00CA5E51" w:rsidRPr="007C5771">
        <w:rPr>
          <w:sz w:val="20"/>
          <w:szCs w:val="20"/>
          <w:lang w:val="es-ES"/>
        </w:rPr>
        <w:t xml:space="preserve">que la señora </w:t>
      </w:r>
      <w:r w:rsidR="002F22C3" w:rsidRPr="007C5771">
        <w:rPr>
          <w:sz w:val="20"/>
          <w:szCs w:val="20"/>
          <w:lang w:val="es-ES"/>
        </w:rPr>
        <w:t>Pérez</w:t>
      </w:r>
      <w:r w:rsidR="00CA5E51" w:rsidRPr="007C5771">
        <w:rPr>
          <w:sz w:val="20"/>
          <w:szCs w:val="20"/>
          <w:lang w:val="es-ES"/>
        </w:rPr>
        <w:t xml:space="preserve"> era libre de no firmar el acuerdo y de iniciar las acciones judiciales pertinentes con representación particular o la asistencia de la Defensa Pública Oficial. </w:t>
      </w:r>
    </w:p>
    <w:p w14:paraId="060E3E0C" w14:textId="0F886D7F" w:rsidR="00CA5E51" w:rsidRPr="007C5771" w:rsidRDefault="00CA5E51"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sz w:val="20"/>
          <w:szCs w:val="20"/>
          <w:lang w:val="es-ES"/>
        </w:rPr>
        <w:t xml:space="preserve">Respecto al proceso penal por lesiones calificadas, alega que la parte peticionaria no ha aportado sustento probatorio alguno que sustente sus aseveraciones en cuanto a la existencia de irregularidades en este proceso.  En adición, señala que no estaba dentro de las competencias a la Dirección de Niñez, Adolescencia y Familia el solicitar </w:t>
      </w:r>
      <w:r w:rsidR="00C36565" w:rsidRPr="007C5771">
        <w:rPr>
          <w:sz w:val="20"/>
          <w:szCs w:val="20"/>
          <w:lang w:val="es-ES"/>
        </w:rPr>
        <w:t>el</w:t>
      </w:r>
      <w:r w:rsidRPr="007C5771">
        <w:rPr>
          <w:sz w:val="20"/>
          <w:szCs w:val="20"/>
          <w:lang w:val="es-ES"/>
        </w:rPr>
        <w:t xml:space="preserve"> enjuiciamiento </w:t>
      </w:r>
      <w:r w:rsidR="00C36565" w:rsidRPr="007C5771">
        <w:rPr>
          <w:sz w:val="20"/>
          <w:szCs w:val="20"/>
          <w:lang w:val="es-ES"/>
        </w:rPr>
        <w:t>de</w:t>
      </w:r>
      <w:r w:rsidRPr="007C5771">
        <w:rPr>
          <w:sz w:val="20"/>
          <w:szCs w:val="20"/>
          <w:lang w:val="es-ES"/>
        </w:rPr>
        <w:t xml:space="preserve"> la jueza y la fiscal intervinientes en el proceso por lesiones. Indica que era la señora </w:t>
      </w:r>
      <w:r w:rsidR="002F22C3" w:rsidRPr="007C5771">
        <w:rPr>
          <w:sz w:val="20"/>
          <w:szCs w:val="20"/>
          <w:lang w:val="es-ES"/>
        </w:rPr>
        <w:t>Pérez</w:t>
      </w:r>
      <w:r w:rsidRPr="007C5771">
        <w:rPr>
          <w:sz w:val="20"/>
          <w:szCs w:val="20"/>
          <w:lang w:val="es-ES"/>
        </w:rPr>
        <w:t xml:space="preserve"> quien estaba directamente legitimada para presentar las acusaciones que considerara para provocar </w:t>
      </w:r>
      <w:r w:rsidR="00C36565" w:rsidRPr="007C5771">
        <w:rPr>
          <w:sz w:val="20"/>
          <w:szCs w:val="20"/>
          <w:lang w:val="es-ES"/>
        </w:rPr>
        <w:t>tales</w:t>
      </w:r>
      <w:r w:rsidRPr="007C5771">
        <w:rPr>
          <w:sz w:val="20"/>
          <w:szCs w:val="20"/>
          <w:lang w:val="es-ES"/>
        </w:rPr>
        <w:t xml:space="preserve"> enjuiciamientos.</w:t>
      </w:r>
    </w:p>
    <w:p w14:paraId="6B6EFBCB" w14:textId="70EFD99B" w:rsidR="00CA5E51" w:rsidRPr="007C5771" w:rsidRDefault="00C36565"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sz w:val="20"/>
          <w:szCs w:val="20"/>
          <w:lang w:val="es-ES"/>
        </w:rPr>
        <w:t>El Estado r</w:t>
      </w:r>
      <w:r w:rsidR="00CA5E51" w:rsidRPr="007C5771">
        <w:rPr>
          <w:sz w:val="20"/>
          <w:szCs w:val="20"/>
          <w:lang w:val="es-ES"/>
        </w:rPr>
        <w:t xml:space="preserve">esalta que en la Provincia de Mendoza funciona el Registro de Abogados </w:t>
      </w:r>
      <w:proofErr w:type="spellStart"/>
      <w:r w:rsidRPr="007C5771">
        <w:rPr>
          <w:sz w:val="20"/>
          <w:szCs w:val="20"/>
          <w:lang w:val="es-ES"/>
        </w:rPr>
        <w:t>Patrocinantes</w:t>
      </w:r>
      <w:proofErr w:type="spellEnd"/>
      <w:r w:rsidRPr="007C5771">
        <w:rPr>
          <w:sz w:val="20"/>
          <w:szCs w:val="20"/>
          <w:lang w:val="es-ES"/>
        </w:rPr>
        <w:t xml:space="preserve"> </w:t>
      </w:r>
      <w:r w:rsidR="00CA5E51" w:rsidRPr="007C5771">
        <w:rPr>
          <w:sz w:val="20"/>
          <w:szCs w:val="20"/>
          <w:lang w:val="es-ES"/>
        </w:rPr>
        <w:t xml:space="preserve">ad-hoc de la Justicia de Familia a efecto de garantizar el derecho de acceso a la justicia a todas las personas, en especial aquellas que se encuentran en situación de vulnerabilidad. Explica que, a efectos de garantizar que la representación legal gratuita sea adecuada, los abogados pierden su derecho a recibir la retribución correspondiente en caso de que su gestión sea incompleta o deficiente. </w:t>
      </w:r>
      <w:r w:rsidR="00023785" w:rsidRPr="007C5771">
        <w:rPr>
          <w:sz w:val="20"/>
          <w:szCs w:val="20"/>
          <w:lang w:val="es-ES"/>
        </w:rPr>
        <w:t>Indica el</w:t>
      </w:r>
      <w:r w:rsidRPr="007C5771">
        <w:rPr>
          <w:sz w:val="20"/>
          <w:szCs w:val="20"/>
          <w:lang w:val="es-ES"/>
        </w:rPr>
        <w:t xml:space="preserve"> Estado</w:t>
      </w:r>
      <w:r w:rsidR="00CA5E51" w:rsidRPr="007C5771">
        <w:rPr>
          <w:sz w:val="20"/>
          <w:szCs w:val="20"/>
          <w:lang w:val="es-ES"/>
        </w:rPr>
        <w:t xml:space="preserve"> que</w:t>
      </w:r>
      <w:r w:rsidRPr="007C5771">
        <w:rPr>
          <w:sz w:val="20"/>
          <w:szCs w:val="20"/>
          <w:lang w:val="es-ES"/>
        </w:rPr>
        <w:t>,</w:t>
      </w:r>
      <w:r w:rsidR="00CA5E51" w:rsidRPr="007C5771">
        <w:rPr>
          <w:sz w:val="20"/>
          <w:szCs w:val="20"/>
          <w:lang w:val="es-ES"/>
        </w:rPr>
        <w:t xml:space="preserve"> más allá de algunos inconvenientes relacionados con los horarios de atención, se garantizó el patrocinio jurídico gratuito a las presuntas víctimas. Destaca que inmediatamente luego de que la señora </w:t>
      </w:r>
      <w:r w:rsidR="002F22C3" w:rsidRPr="007C5771">
        <w:rPr>
          <w:sz w:val="20"/>
          <w:szCs w:val="20"/>
          <w:lang w:val="es-ES"/>
        </w:rPr>
        <w:t>Pérez</w:t>
      </w:r>
      <w:r w:rsidR="00CA5E51" w:rsidRPr="007C5771">
        <w:rPr>
          <w:sz w:val="20"/>
          <w:szCs w:val="20"/>
          <w:lang w:val="es-ES"/>
        </w:rPr>
        <w:t xml:space="preserve"> pusiera en conocimiento de la Suprema Corte de Justicia de Mendoza sus reclamaciones en relación a la atención recibida se realizaron, según se desprende del propio relato de la parte peticionaria, los correctivos correspondientes</w:t>
      </w:r>
      <w:r w:rsidR="00023785" w:rsidRPr="007C5771">
        <w:rPr>
          <w:sz w:val="20"/>
          <w:szCs w:val="20"/>
          <w:lang w:val="es-ES"/>
        </w:rPr>
        <w:t xml:space="preserve">; que se </w:t>
      </w:r>
      <w:r w:rsidR="00CA5E51" w:rsidRPr="007C5771">
        <w:rPr>
          <w:sz w:val="20"/>
          <w:szCs w:val="20"/>
          <w:lang w:val="es-ES"/>
        </w:rPr>
        <w:t>devolvi</w:t>
      </w:r>
      <w:r w:rsidR="00023785" w:rsidRPr="007C5771">
        <w:rPr>
          <w:sz w:val="20"/>
          <w:szCs w:val="20"/>
          <w:lang w:val="es-ES"/>
        </w:rPr>
        <w:t>ó</w:t>
      </w:r>
      <w:r w:rsidR="00CA5E51" w:rsidRPr="007C5771">
        <w:rPr>
          <w:sz w:val="20"/>
          <w:szCs w:val="20"/>
          <w:lang w:val="es-ES"/>
        </w:rPr>
        <w:t xml:space="preserve"> la documentación requerida</w:t>
      </w:r>
      <w:r w:rsidR="00023785" w:rsidRPr="007C5771">
        <w:rPr>
          <w:sz w:val="20"/>
          <w:szCs w:val="20"/>
          <w:lang w:val="es-ES"/>
        </w:rPr>
        <w:t>;</w:t>
      </w:r>
      <w:r w:rsidR="00CA5E51" w:rsidRPr="007C5771">
        <w:rPr>
          <w:sz w:val="20"/>
          <w:szCs w:val="20"/>
          <w:lang w:val="es-ES"/>
        </w:rPr>
        <w:t xml:space="preserve"> y </w:t>
      </w:r>
      <w:r w:rsidR="00023785" w:rsidRPr="007C5771">
        <w:rPr>
          <w:sz w:val="20"/>
          <w:szCs w:val="20"/>
          <w:lang w:val="es-ES"/>
        </w:rPr>
        <w:t xml:space="preserve">que se </w:t>
      </w:r>
      <w:r w:rsidR="00CA5E51" w:rsidRPr="007C5771">
        <w:rPr>
          <w:sz w:val="20"/>
          <w:szCs w:val="20"/>
          <w:lang w:val="es-ES"/>
        </w:rPr>
        <w:t>asign</w:t>
      </w:r>
      <w:r w:rsidR="00023785" w:rsidRPr="007C5771">
        <w:rPr>
          <w:sz w:val="20"/>
          <w:szCs w:val="20"/>
          <w:lang w:val="es-ES"/>
        </w:rPr>
        <w:t>ó</w:t>
      </w:r>
      <w:r w:rsidR="00CA5E51" w:rsidRPr="007C5771">
        <w:rPr>
          <w:sz w:val="20"/>
          <w:szCs w:val="20"/>
          <w:lang w:val="es-ES"/>
        </w:rPr>
        <w:t xml:space="preserve"> a la señora </w:t>
      </w:r>
      <w:r w:rsidR="002F22C3" w:rsidRPr="007C5771">
        <w:rPr>
          <w:sz w:val="20"/>
          <w:szCs w:val="20"/>
          <w:lang w:val="es-ES"/>
        </w:rPr>
        <w:t>Pérez</w:t>
      </w:r>
      <w:r w:rsidR="00CA5E51" w:rsidRPr="007C5771">
        <w:rPr>
          <w:sz w:val="20"/>
          <w:szCs w:val="20"/>
          <w:lang w:val="es-ES"/>
        </w:rPr>
        <w:t xml:space="preserve"> representación a través del Cuerpo de Co-Defensores del Fuero de Familia. Señala </w:t>
      </w:r>
      <w:r w:rsidR="00023785" w:rsidRPr="007C5771">
        <w:rPr>
          <w:sz w:val="20"/>
          <w:szCs w:val="20"/>
          <w:lang w:val="es-ES"/>
        </w:rPr>
        <w:t xml:space="preserve">el Estado </w:t>
      </w:r>
      <w:r w:rsidR="00CA5E51" w:rsidRPr="007C5771">
        <w:rPr>
          <w:sz w:val="20"/>
          <w:szCs w:val="20"/>
          <w:lang w:val="es-ES"/>
        </w:rPr>
        <w:t xml:space="preserve">que el 29 de octubre de 2008 la señora </w:t>
      </w:r>
      <w:r w:rsidR="002F22C3" w:rsidRPr="007C5771">
        <w:rPr>
          <w:sz w:val="20"/>
          <w:szCs w:val="20"/>
          <w:lang w:val="es-ES"/>
        </w:rPr>
        <w:t>Pérez</w:t>
      </w:r>
      <w:r w:rsidR="00CA5E51" w:rsidRPr="007C5771">
        <w:rPr>
          <w:sz w:val="20"/>
          <w:szCs w:val="20"/>
          <w:lang w:val="es-ES"/>
        </w:rPr>
        <w:t xml:space="preserve"> manifestó su desinterés en continuar gozando de los servicios de su </w:t>
      </w:r>
      <w:proofErr w:type="spellStart"/>
      <w:r w:rsidR="00CA5E51" w:rsidRPr="007C5771">
        <w:rPr>
          <w:sz w:val="20"/>
          <w:szCs w:val="20"/>
          <w:lang w:val="es-ES"/>
        </w:rPr>
        <w:t>co</w:t>
      </w:r>
      <w:proofErr w:type="spellEnd"/>
      <w:r w:rsidR="00CA5E51" w:rsidRPr="007C5771">
        <w:rPr>
          <w:sz w:val="20"/>
          <w:szCs w:val="20"/>
          <w:lang w:val="es-ES"/>
        </w:rPr>
        <w:t>-defensora oficial, por lo que el patrocinio jurídico que le proveía el Estado cesó por su propia voluntad</w:t>
      </w:r>
      <w:r w:rsidR="00CA5E51" w:rsidRPr="007C5771">
        <w:rPr>
          <w:rStyle w:val="FootnoteReference"/>
          <w:sz w:val="20"/>
          <w:szCs w:val="20"/>
          <w:lang w:val="es-ES"/>
        </w:rPr>
        <w:footnoteReference w:id="22"/>
      </w:r>
      <w:r w:rsidR="00CA5E51" w:rsidRPr="007C5771">
        <w:rPr>
          <w:sz w:val="20"/>
          <w:szCs w:val="20"/>
          <w:lang w:val="es-ES"/>
        </w:rPr>
        <w:t xml:space="preserve">.    </w:t>
      </w:r>
    </w:p>
    <w:p w14:paraId="1BBE85BF" w14:textId="42BC8AB9" w:rsidR="00CA5E51" w:rsidRPr="007C5771" w:rsidRDefault="00CA5E51"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sz w:val="20"/>
          <w:szCs w:val="20"/>
          <w:lang w:val="es-ES"/>
        </w:rPr>
        <w:t xml:space="preserve">En cuanto al proceso judicial por alimentos, indica que si bien ocurrió un momentáneo extravío del expediente éste fue </w:t>
      </w:r>
      <w:r w:rsidRPr="007C5771">
        <w:rPr>
          <w:sz w:val="20"/>
          <w:szCs w:val="20"/>
          <w:lang w:val="es-ES_tradnl"/>
        </w:rPr>
        <w:t>luego encontrado, lo que</w:t>
      </w:r>
      <w:r w:rsidRPr="007C5771">
        <w:rPr>
          <w:color w:val="auto"/>
          <w:sz w:val="20"/>
          <w:szCs w:val="20"/>
          <w:lang w:val="es-ES_tradnl"/>
        </w:rPr>
        <w:t xml:space="preserve"> el Juzgado de Familia notificó a la presunta víctima el 21 de noviembre de 2008</w:t>
      </w:r>
      <w:r w:rsidRPr="007C5771">
        <w:rPr>
          <w:sz w:val="20"/>
          <w:szCs w:val="20"/>
          <w:lang w:val="es-ES_tradnl"/>
        </w:rPr>
        <w:t xml:space="preserve">. Alega que el proceso no avanzó porque la señora </w:t>
      </w:r>
      <w:r w:rsidR="002F22C3" w:rsidRPr="007C5771">
        <w:rPr>
          <w:sz w:val="20"/>
          <w:szCs w:val="20"/>
          <w:lang w:val="es-ES_tradnl"/>
        </w:rPr>
        <w:t>Pérez</w:t>
      </w:r>
      <w:r w:rsidRPr="007C5771">
        <w:rPr>
          <w:sz w:val="20"/>
          <w:szCs w:val="20"/>
          <w:lang w:val="es-ES_tradnl"/>
        </w:rPr>
        <w:t xml:space="preserve"> no comparecía a firmar los escritos necesarios y, luego de que desistiera de la defensa oficial, porque sus letrados particulares no daban el impulso procesal necesario al expediente. Relata que el 1 de junio de 2010 la señora </w:t>
      </w:r>
      <w:r w:rsidR="002F22C3" w:rsidRPr="007C5771">
        <w:rPr>
          <w:sz w:val="20"/>
          <w:szCs w:val="20"/>
          <w:lang w:val="es-ES_tradnl"/>
        </w:rPr>
        <w:t>Pérez</w:t>
      </w:r>
      <w:r w:rsidRPr="007C5771">
        <w:rPr>
          <w:sz w:val="20"/>
          <w:szCs w:val="20"/>
          <w:lang w:val="es-ES_tradnl"/>
        </w:rPr>
        <w:t xml:space="preserve"> inició una nueva demanda por alimentos contra su ex esposo la cual fue resuelta de forma favorable a ésta </w:t>
      </w:r>
      <w:r w:rsidR="00977839" w:rsidRPr="007C5771">
        <w:rPr>
          <w:sz w:val="20"/>
          <w:szCs w:val="20"/>
          <w:lang w:val="es-ES_tradnl"/>
        </w:rPr>
        <w:t xml:space="preserve">el 19 de agosto de 2011 </w:t>
      </w:r>
      <w:r w:rsidRPr="007C5771">
        <w:rPr>
          <w:sz w:val="20"/>
          <w:szCs w:val="20"/>
          <w:lang w:val="es-ES_tradnl"/>
        </w:rPr>
        <w:t>concediéndose la demanda de alime</w:t>
      </w:r>
      <w:r w:rsidR="00977839" w:rsidRPr="007C5771">
        <w:rPr>
          <w:sz w:val="20"/>
          <w:szCs w:val="20"/>
          <w:lang w:val="es-ES_tradnl"/>
        </w:rPr>
        <w:t>ntos con efecto retroactivo</w:t>
      </w:r>
      <w:r w:rsidRPr="007C5771">
        <w:rPr>
          <w:sz w:val="20"/>
          <w:szCs w:val="20"/>
          <w:lang w:val="es-ES_tradnl"/>
        </w:rPr>
        <w:t xml:space="preserve"> a la fecha del reclamo y fijándose alimentos provisorios. Explica que esta decisión fue apelada por el demandado el 9 de septiembre de 2011 y en agosto de 2014 al encontrarse paralizados los autos por más de dos años se ordenó que se remitan a origen y que posteriormente se rec</w:t>
      </w:r>
      <w:r w:rsidR="002F22C3" w:rsidRPr="007C5771">
        <w:rPr>
          <w:sz w:val="20"/>
          <w:szCs w:val="20"/>
          <w:lang w:val="es-ES_tradnl"/>
        </w:rPr>
        <w:t>ibieron</w:t>
      </w:r>
      <w:r w:rsidRPr="007C5771">
        <w:rPr>
          <w:sz w:val="20"/>
          <w:szCs w:val="20"/>
          <w:lang w:val="es-ES_tradnl"/>
        </w:rPr>
        <w:t xml:space="preserve"> los autos nuevamente a raíz de un incidente de caducidad de instancia articulado por la parte apelada. Añade que el 26 de junio de 2017 “la Cámara se pronunció en relación a la prueba ofrecida en el incidente en trámite y dispuso se requiera al Juzgado de origen la remisión de los autos”. </w:t>
      </w:r>
    </w:p>
    <w:p w14:paraId="36B24E4A" w14:textId="1C77484F" w:rsidR="00CA5E51" w:rsidRPr="007C5771" w:rsidRDefault="00CA5E51"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sz w:val="20"/>
          <w:szCs w:val="20"/>
          <w:lang w:val="es-ES_tradnl"/>
        </w:rPr>
        <w:t xml:space="preserve">Por último, el Estado considera que no se han agotado los recursos internos y </w:t>
      </w:r>
      <w:r w:rsidR="00023785" w:rsidRPr="007C5771">
        <w:rPr>
          <w:sz w:val="20"/>
          <w:szCs w:val="20"/>
          <w:lang w:val="es-ES_tradnl"/>
        </w:rPr>
        <w:t xml:space="preserve">que tampoco se ha </w:t>
      </w:r>
      <w:r w:rsidRPr="007C5771">
        <w:rPr>
          <w:sz w:val="20"/>
          <w:szCs w:val="20"/>
          <w:lang w:val="es-ES_tradnl"/>
        </w:rPr>
        <w:t>respetado el plazo de presentación, porque al momento de la presentación de la petición</w:t>
      </w:r>
      <w:r w:rsidRPr="007C5771">
        <w:rPr>
          <w:color w:val="auto"/>
          <w:sz w:val="20"/>
          <w:szCs w:val="20"/>
          <w:lang w:val="es-ES_tradnl"/>
        </w:rPr>
        <w:t xml:space="preserve"> todavía se encontraba pendiente de resolución el recurso de revocatoria y</w:t>
      </w:r>
      <w:r w:rsidR="00023785" w:rsidRPr="007C5771">
        <w:rPr>
          <w:color w:val="auto"/>
          <w:sz w:val="20"/>
          <w:szCs w:val="20"/>
          <w:lang w:val="es-ES_tradnl"/>
        </w:rPr>
        <w:t>,</w:t>
      </w:r>
      <w:r w:rsidRPr="007C5771">
        <w:rPr>
          <w:color w:val="auto"/>
          <w:sz w:val="20"/>
          <w:szCs w:val="20"/>
          <w:lang w:val="es-ES_tradnl"/>
        </w:rPr>
        <w:t xml:space="preserve"> por </w:t>
      </w:r>
      <w:r w:rsidRPr="007C5771">
        <w:rPr>
          <w:bCs/>
          <w:color w:val="auto"/>
          <w:sz w:val="20"/>
          <w:szCs w:val="20"/>
          <w:lang w:val="es-ES_tradnl"/>
        </w:rPr>
        <w:t>otro lado,</w:t>
      </w:r>
      <w:r w:rsidRPr="007C5771">
        <w:rPr>
          <w:color w:val="auto"/>
          <w:sz w:val="20"/>
          <w:szCs w:val="20"/>
          <w:lang w:val="es-ES_tradnl"/>
        </w:rPr>
        <w:t xml:space="preserve"> porque la parte peticionaria no recurrió a la vía judicial ante la Suprema Corte de Justicia para interponer una acción procesal administrativa contra la resolución de 6 de julio de 2009 que daba por terminado el proceso administrativo.</w:t>
      </w:r>
      <w:r w:rsidRPr="007C5771">
        <w:rPr>
          <w:i/>
          <w:sz w:val="20"/>
          <w:szCs w:val="20"/>
          <w:lang w:val="es-ES_tradnl"/>
        </w:rPr>
        <w:t xml:space="preserve"> </w:t>
      </w:r>
      <w:r w:rsidRPr="007C5771">
        <w:rPr>
          <w:sz w:val="20"/>
          <w:szCs w:val="20"/>
          <w:lang w:val="es-ES_tradnl"/>
        </w:rPr>
        <w:t xml:space="preserve">En adición, </w:t>
      </w:r>
      <w:r w:rsidRPr="007C5771">
        <w:rPr>
          <w:sz w:val="20"/>
          <w:szCs w:val="20"/>
          <w:lang w:val="es-ES_tradnl"/>
        </w:rPr>
        <w:lastRenderedPageBreak/>
        <w:t xml:space="preserve">considera que la petición fue trasladada al Estado de manera extemporánea, </w:t>
      </w:r>
      <w:r w:rsidR="00023785" w:rsidRPr="007C5771">
        <w:rPr>
          <w:sz w:val="20"/>
          <w:szCs w:val="20"/>
          <w:lang w:val="es-ES_tradnl"/>
        </w:rPr>
        <w:t xml:space="preserve">y </w:t>
      </w:r>
      <w:r w:rsidRPr="007C5771">
        <w:rPr>
          <w:sz w:val="20"/>
          <w:szCs w:val="20"/>
          <w:lang w:val="es-ES_tradnl"/>
        </w:rPr>
        <w:t xml:space="preserve">resalta que al momento del traslado todos los hijos de la señora </w:t>
      </w:r>
      <w:r w:rsidR="002F22C3" w:rsidRPr="007C5771">
        <w:rPr>
          <w:sz w:val="20"/>
          <w:szCs w:val="20"/>
          <w:lang w:val="es-ES_tradnl"/>
        </w:rPr>
        <w:t>Pérez</w:t>
      </w:r>
      <w:r w:rsidRPr="007C5771">
        <w:rPr>
          <w:sz w:val="20"/>
          <w:szCs w:val="20"/>
          <w:lang w:val="es-ES_tradnl"/>
        </w:rPr>
        <w:t xml:space="preserve"> habían alcanzado la mayoría de edad. </w:t>
      </w:r>
    </w:p>
    <w:p w14:paraId="7AC7C3E4" w14:textId="57672369" w:rsidR="004C616A" w:rsidRPr="007C5771" w:rsidRDefault="004C616A" w:rsidP="0027399F">
      <w:pPr>
        <w:pStyle w:val="ListParagraph"/>
        <w:spacing w:before="120" w:after="240"/>
        <w:jc w:val="both"/>
        <w:rPr>
          <w:rFonts w:asciiTheme="majorHAnsi" w:hAnsiTheme="majorHAnsi"/>
          <w:b/>
          <w:bCs/>
          <w:sz w:val="20"/>
          <w:szCs w:val="20"/>
          <w:lang w:val="es-ES"/>
        </w:rPr>
      </w:pPr>
      <w:r w:rsidRPr="007C5771">
        <w:rPr>
          <w:rFonts w:asciiTheme="majorHAnsi" w:hAnsiTheme="majorHAnsi"/>
          <w:b/>
          <w:bCs/>
          <w:sz w:val="20"/>
          <w:szCs w:val="20"/>
          <w:lang w:val="es-ES"/>
        </w:rPr>
        <w:t xml:space="preserve">VI. </w:t>
      </w:r>
      <w:r w:rsidRPr="007C5771">
        <w:rPr>
          <w:rFonts w:asciiTheme="majorHAnsi" w:hAnsiTheme="majorHAnsi"/>
          <w:b/>
          <w:bCs/>
          <w:sz w:val="20"/>
          <w:szCs w:val="20"/>
          <w:lang w:val="es-ES"/>
        </w:rPr>
        <w:tab/>
        <w:t>AGOTAMIENTO DE LOS RECURSOS INTERNOS Y PLAZO DE PRESENTACIÓN</w:t>
      </w:r>
      <w:r w:rsidR="00782A5C" w:rsidRPr="007C5771">
        <w:rPr>
          <w:rFonts w:asciiTheme="majorHAnsi" w:hAnsiTheme="majorHAnsi"/>
          <w:b/>
          <w:bCs/>
          <w:sz w:val="20"/>
          <w:szCs w:val="20"/>
          <w:lang w:val="es-ES"/>
        </w:rPr>
        <w:t xml:space="preserve"> </w:t>
      </w:r>
    </w:p>
    <w:p w14:paraId="1C68828A" w14:textId="385B4548" w:rsidR="00264F12" w:rsidRPr="007C5771" w:rsidRDefault="00006554"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hAnsiTheme="majorHAnsi"/>
          <w:color w:val="auto"/>
          <w:sz w:val="20"/>
          <w:szCs w:val="20"/>
          <w:lang w:val="es-ES_tradnl"/>
        </w:rPr>
        <w:t>E</w:t>
      </w:r>
      <w:r w:rsidR="00264F12" w:rsidRPr="007C5771">
        <w:rPr>
          <w:rFonts w:asciiTheme="majorHAnsi" w:hAnsiTheme="majorHAnsi"/>
          <w:sz w:val="20"/>
          <w:szCs w:val="20"/>
          <w:lang w:val="es-PA"/>
        </w:rPr>
        <w:t xml:space="preserve">n cuanto a los alegatos de la parte peticionaria en relación a que el Estado no protegió debidamente los derechos de los hijos de la señora </w:t>
      </w:r>
      <w:r w:rsidR="002F22C3" w:rsidRPr="007C5771">
        <w:rPr>
          <w:rFonts w:asciiTheme="majorHAnsi" w:hAnsiTheme="majorHAnsi"/>
          <w:sz w:val="20"/>
          <w:szCs w:val="20"/>
          <w:lang w:val="es-PA"/>
        </w:rPr>
        <w:t>Pérez</w:t>
      </w:r>
      <w:r w:rsidR="00264F12" w:rsidRPr="007C5771">
        <w:rPr>
          <w:rFonts w:asciiTheme="majorHAnsi" w:hAnsiTheme="majorHAnsi"/>
          <w:sz w:val="20"/>
          <w:szCs w:val="20"/>
          <w:lang w:val="es-PA"/>
        </w:rPr>
        <w:t xml:space="preserve"> a recibir alimentos por parte de su padre, en el proceso de mediación, el divorcio por mutuo acuerdo y por último el proceso judicial de alimentos</w:t>
      </w:r>
      <w:r w:rsidR="00023785" w:rsidRPr="007C5771">
        <w:rPr>
          <w:rFonts w:asciiTheme="majorHAnsi" w:hAnsiTheme="majorHAnsi"/>
          <w:sz w:val="20"/>
          <w:szCs w:val="20"/>
          <w:lang w:val="es-PA"/>
        </w:rPr>
        <w:t>,</w:t>
      </w:r>
      <w:r w:rsidR="00264F12" w:rsidRPr="007C5771">
        <w:rPr>
          <w:rFonts w:asciiTheme="majorHAnsi" w:hAnsiTheme="majorHAnsi"/>
          <w:sz w:val="20"/>
          <w:szCs w:val="20"/>
          <w:lang w:val="es-PA"/>
        </w:rPr>
        <w:t xml:space="preserve"> </w:t>
      </w:r>
      <w:r w:rsidR="00023785" w:rsidRPr="007C5771">
        <w:rPr>
          <w:rFonts w:asciiTheme="majorHAnsi" w:hAnsiTheme="majorHAnsi"/>
          <w:sz w:val="20"/>
          <w:szCs w:val="20"/>
          <w:lang w:val="es-PA"/>
        </w:rPr>
        <w:t>l</w:t>
      </w:r>
      <w:r w:rsidR="00264F12" w:rsidRPr="007C5771">
        <w:rPr>
          <w:rFonts w:asciiTheme="majorHAnsi" w:hAnsiTheme="majorHAnsi"/>
          <w:sz w:val="20"/>
          <w:szCs w:val="20"/>
          <w:lang w:val="es-PA"/>
        </w:rPr>
        <w:t xml:space="preserve">a Comisión observa que el Estado ha indicado que el 19 de agosto de 2011 se habría emitido por primera vez una decisión judicial </w:t>
      </w:r>
      <w:r w:rsidR="00023785" w:rsidRPr="007C5771">
        <w:rPr>
          <w:rFonts w:asciiTheme="majorHAnsi" w:hAnsiTheme="majorHAnsi"/>
          <w:sz w:val="20"/>
          <w:szCs w:val="20"/>
          <w:lang w:val="es-PA"/>
        </w:rPr>
        <w:t xml:space="preserve">que </w:t>
      </w:r>
      <w:r w:rsidR="00264F12" w:rsidRPr="007C5771">
        <w:rPr>
          <w:rFonts w:asciiTheme="majorHAnsi" w:hAnsiTheme="majorHAnsi"/>
          <w:sz w:val="20"/>
          <w:szCs w:val="20"/>
          <w:lang w:val="es-PA"/>
        </w:rPr>
        <w:t>reconoci</w:t>
      </w:r>
      <w:r w:rsidR="00023785" w:rsidRPr="007C5771">
        <w:rPr>
          <w:rFonts w:asciiTheme="majorHAnsi" w:hAnsiTheme="majorHAnsi"/>
          <w:sz w:val="20"/>
          <w:szCs w:val="20"/>
          <w:lang w:val="es-PA"/>
        </w:rPr>
        <w:t>ó</w:t>
      </w:r>
      <w:r w:rsidR="00264F12" w:rsidRPr="007C5771">
        <w:rPr>
          <w:rFonts w:asciiTheme="majorHAnsi" w:hAnsiTheme="majorHAnsi"/>
          <w:sz w:val="20"/>
          <w:szCs w:val="20"/>
          <w:lang w:val="es-PA"/>
        </w:rPr>
        <w:t xml:space="preserve"> la obligación alimentaria con efectos retroactivos y fij</w:t>
      </w:r>
      <w:r w:rsidR="00023785" w:rsidRPr="007C5771">
        <w:rPr>
          <w:rFonts w:asciiTheme="majorHAnsi" w:hAnsiTheme="majorHAnsi"/>
          <w:sz w:val="20"/>
          <w:szCs w:val="20"/>
          <w:lang w:val="es-PA"/>
        </w:rPr>
        <w:t>ó</w:t>
      </w:r>
      <w:r w:rsidR="00264F12" w:rsidRPr="007C5771">
        <w:rPr>
          <w:rFonts w:asciiTheme="majorHAnsi" w:hAnsiTheme="majorHAnsi"/>
          <w:sz w:val="20"/>
          <w:szCs w:val="20"/>
          <w:lang w:val="es-PA"/>
        </w:rPr>
        <w:t xml:space="preserve"> alimentos provisorios. Sin embargo, según la información proporcionada por el Estado</w:t>
      </w:r>
      <w:r w:rsidR="00023785" w:rsidRPr="007C5771">
        <w:rPr>
          <w:rFonts w:asciiTheme="majorHAnsi" w:hAnsiTheme="majorHAnsi"/>
          <w:sz w:val="20"/>
          <w:szCs w:val="20"/>
          <w:lang w:val="es-PA"/>
        </w:rPr>
        <w:t>,</w:t>
      </w:r>
      <w:r w:rsidR="00264F12" w:rsidRPr="007C5771">
        <w:rPr>
          <w:rFonts w:asciiTheme="majorHAnsi" w:hAnsiTheme="majorHAnsi"/>
          <w:sz w:val="20"/>
          <w:szCs w:val="20"/>
          <w:lang w:val="es-PA"/>
        </w:rPr>
        <w:t xml:space="preserve"> esta decisión fue apelada por el demandado y al 26 de junio de 2017 el proceso todavía no había concluido definitivamente. En estas circunstancias, la Comisión estima, sin prejuzgar sobre el fondo, que la excepción al agotamiento de los recursos internos contenida en el artículo 46.2(c) de la Convención Americana resulta aplicable a este aspecto de la petición</w:t>
      </w:r>
      <w:r w:rsidR="00023785" w:rsidRPr="007C5771">
        <w:rPr>
          <w:rFonts w:asciiTheme="majorHAnsi" w:hAnsiTheme="majorHAnsi"/>
          <w:sz w:val="20"/>
          <w:szCs w:val="20"/>
          <w:lang w:val="es-PA"/>
        </w:rPr>
        <w:t>;</w:t>
      </w:r>
      <w:r w:rsidR="00264F12" w:rsidRPr="007C5771">
        <w:rPr>
          <w:rFonts w:asciiTheme="majorHAnsi" w:hAnsiTheme="majorHAnsi"/>
          <w:sz w:val="20"/>
          <w:szCs w:val="20"/>
          <w:lang w:val="es-PA"/>
        </w:rPr>
        <w:t xml:space="preserve"> y que la misma fue presentada dentro de plazo razonable en los términos del artículo 32.2 del </w:t>
      </w:r>
      <w:r w:rsidR="00023785" w:rsidRPr="007C5771">
        <w:rPr>
          <w:rFonts w:asciiTheme="majorHAnsi" w:hAnsiTheme="majorHAnsi"/>
          <w:sz w:val="20"/>
          <w:szCs w:val="20"/>
          <w:lang w:val="es-PA"/>
        </w:rPr>
        <w:t>R</w:t>
      </w:r>
      <w:r w:rsidR="00264F12" w:rsidRPr="007C5771">
        <w:rPr>
          <w:rFonts w:asciiTheme="majorHAnsi" w:hAnsiTheme="majorHAnsi"/>
          <w:sz w:val="20"/>
          <w:szCs w:val="20"/>
          <w:lang w:val="es-PA"/>
        </w:rPr>
        <w:t xml:space="preserve">eglamento de la Comisión. La Comisión toma nota que el Estado ha alegado que la dilación en el proceso de alimentos es, por lo menos en parte, imputable a la conducta de la señora </w:t>
      </w:r>
      <w:r w:rsidR="002F22C3" w:rsidRPr="007C5771">
        <w:rPr>
          <w:rFonts w:asciiTheme="majorHAnsi" w:hAnsiTheme="majorHAnsi"/>
          <w:sz w:val="20"/>
          <w:szCs w:val="20"/>
          <w:lang w:val="es-PA"/>
        </w:rPr>
        <w:t>Pérez</w:t>
      </w:r>
      <w:r w:rsidR="00264F12" w:rsidRPr="007C5771">
        <w:rPr>
          <w:rFonts w:asciiTheme="majorHAnsi" w:hAnsiTheme="majorHAnsi"/>
          <w:sz w:val="20"/>
          <w:szCs w:val="20"/>
          <w:lang w:val="es-PA"/>
        </w:rPr>
        <w:t xml:space="preserve"> y examinará estos alegatos en la etapa de fondo. </w:t>
      </w:r>
    </w:p>
    <w:p w14:paraId="70649EFA" w14:textId="162B8C7F" w:rsidR="00264F12" w:rsidRPr="007C5771" w:rsidRDefault="00264F12"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hAnsiTheme="majorHAnsi"/>
          <w:sz w:val="20"/>
          <w:szCs w:val="20"/>
          <w:lang w:val="es-PA"/>
        </w:rPr>
        <w:t xml:space="preserve">En cuanto a las </w:t>
      </w:r>
      <w:r w:rsidR="00023785" w:rsidRPr="007C5771">
        <w:rPr>
          <w:rFonts w:asciiTheme="majorHAnsi" w:hAnsiTheme="majorHAnsi"/>
          <w:sz w:val="20"/>
          <w:szCs w:val="20"/>
          <w:lang w:val="es-PA"/>
        </w:rPr>
        <w:t xml:space="preserve">presuntas </w:t>
      </w:r>
      <w:r w:rsidRPr="007C5771">
        <w:rPr>
          <w:rFonts w:asciiTheme="majorHAnsi" w:hAnsiTheme="majorHAnsi"/>
          <w:sz w:val="20"/>
          <w:szCs w:val="20"/>
          <w:lang w:val="es-PA"/>
        </w:rPr>
        <w:t xml:space="preserve">violaciones </w:t>
      </w:r>
      <w:r w:rsidR="00023785" w:rsidRPr="007C5771">
        <w:rPr>
          <w:rFonts w:asciiTheme="majorHAnsi" w:hAnsiTheme="majorHAnsi"/>
          <w:sz w:val="20"/>
          <w:szCs w:val="20"/>
          <w:lang w:val="es-PA"/>
        </w:rPr>
        <w:t>de</w:t>
      </w:r>
      <w:r w:rsidRPr="007C5771">
        <w:rPr>
          <w:rFonts w:asciiTheme="majorHAnsi" w:hAnsiTheme="majorHAnsi"/>
          <w:sz w:val="20"/>
          <w:szCs w:val="20"/>
          <w:lang w:val="es-PA"/>
        </w:rPr>
        <w:t xml:space="preserve"> derechos de la señora </w:t>
      </w:r>
      <w:r w:rsidR="002F22C3" w:rsidRPr="007C5771">
        <w:rPr>
          <w:rFonts w:asciiTheme="majorHAnsi" w:hAnsiTheme="majorHAnsi"/>
          <w:sz w:val="20"/>
          <w:szCs w:val="20"/>
          <w:lang w:val="es-PA"/>
        </w:rPr>
        <w:t>Pérez</w:t>
      </w:r>
      <w:r w:rsidRPr="007C5771">
        <w:rPr>
          <w:rFonts w:asciiTheme="majorHAnsi" w:hAnsiTheme="majorHAnsi"/>
          <w:sz w:val="20"/>
          <w:szCs w:val="20"/>
          <w:lang w:val="es-PA"/>
        </w:rPr>
        <w:t xml:space="preserve"> en el contexto del proceso de mediación y el proceso penal por lesiones calificadas; así como por el hecho de no prestarle asistencia legal gratuita para un proceso de divorcio contencioso, la Comisión estima que la posible aplicación de las excepciones al agotamiento de los recursos internos contenidas en el artículo 46.2(a) y (b) de la Convención Americana se encuentra inextricablemente vinculada con los alegatos de la parte peticionaria con respecto a que el Estado habría incumplido sus obligaciones de garantizar el acceso a la justicia en condiciones de igualdad a una mujer presunta víctima de violencia. </w:t>
      </w:r>
      <w:r w:rsidRPr="007C5771">
        <w:rPr>
          <w:rFonts w:asciiTheme="majorHAnsi" w:hAnsiTheme="majorHAnsi" w:cs="Calibri"/>
          <w:sz w:val="20"/>
          <w:szCs w:val="20"/>
          <w:lang w:val="es-ES_tradnl"/>
        </w:rPr>
        <w:t>En consecuencia, la Comisión consolidará el análisis con respecto al agotamiento de los recursos internos y presentación de la petición dentro de plazo de estos aspectos de la petición con el estudio de</w:t>
      </w:r>
      <w:r w:rsidR="00023785" w:rsidRPr="007C5771">
        <w:rPr>
          <w:rFonts w:asciiTheme="majorHAnsi" w:hAnsiTheme="majorHAnsi" w:cs="Calibri"/>
          <w:sz w:val="20"/>
          <w:szCs w:val="20"/>
          <w:lang w:val="es-ES_tradnl"/>
        </w:rPr>
        <w:t>l fondo</w:t>
      </w:r>
      <w:r w:rsidRPr="007C5771">
        <w:rPr>
          <w:rFonts w:asciiTheme="majorHAnsi" w:hAnsiTheme="majorHAnsi" w:cs="Calibri"/>
          <w:sz w:val="20"/>
          <w:szCs w:val="20"/>
          <w:lang w:val="es-ES_tradnl"/>
        </w:rPr>
        <w:t xml:space="preserve"> del caso</w:t>
      </w:r>
      <w:r w:rsidRPr="007C5771">
        <w:rPr>
          <w:rStyle w:val="FootnoteReference"/>
          <w:rFonts w:asciiTheme="majorHAnsi" w:hAnsiTheme="majorHAnsi" w:cs="Calibri"/>
          <w:sz w:val="20"/>
          <w:szCs w:val="20"/>
        </w:rPr>
        <w:footnoteReference w:id="23"/>
      </w:r>
      <w:r w:rsidRPr="007C5771">
        <w:rPr>
          <w:rFonts w:asciiTheme="majorHAnsi" w:hAnsiTheme="majorHAnsi" w:cs="Calibri"/>
          <w:sz w:val="20"/>
          <w:szCs w:val="20"/>
          <w:lang w:val="es-ES_tradnl"/>
        </w:rPr>
        <w:t>.</w:t>
      </w:r>
    </w:p>
    <w:p w14:paraId="1FB99392" w14:textId="05D1116C" w:rsidR="00E96E52" w:rsidRPr="007C5771" w:rsidRDefault="00E96E52"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hAnsiTheme="majorHAnsi" w:cs="Calibri"/>
          <w:sz w:val="20"/>
          <w:szCs w:val="20"/>
          <w:lang w:val="es-ES_tradnl"/>
        </w:rPr>
        <w:t xml:space="preserve">Por otra parte, la Comisión observa que la parte peticionaria ha indicado que la señora Perez habría presentado el 27 de abril de 2003 una denuncia con respecto a la presunta situación de violencia doméstica que le venía afectando y que las partes no han aportado información respecto a las acciones que habría tomado el Estado para investigar la denuncia o proteger a la denunciante. </w:t>
      </w:r>
      <w:r w:rsidR="005C5662" w:rsidRPr="007C5771">
        <w:rPr>
          <w:rFonts w:asciiTheme="majorHAnsi" w:hAnsiTheme="majorHAnsi" w:cs="Calibri"/>
          <w:sz w:val="20"/>
          <w:szCs w:val="20"/>
          <w:lang w:val="es-ES_tradnl"/>
        </w:rPr>
        <w:t>Ante esta circunstancia, la Comisión considera pertinente recordar que ya ha determinado que los Estados tienen la obligación de investigar los casos que involucran presuntas violaciones a los derechos humanos y que “</w:t>
      </w:r>
      <w:r w:rsidR="006C3804" w:rsidRPr="007C5771">
        <w:rPr>
          <w:rFonts w:asciiTheme="majorHAnsi" w:hAnsiTheme="majorHAnsi"/>
          <w:sz w:val="20"/>
          <w:szCs w:val="20"/>
          <w:lang w:val="es-PA"/>
        </w:rPr>
        <w:t>e</w:t>
      </w:r>
      <w:r w:rsidR="005C5662" w:rsidRPr="007C5771">
        <w:rPr>
          <w:rFonts w:asciiTheme="majorHAnsi" w:hAnsiTheme="majorHAnsi"/>
          <w:sz w:val="20"/>
          <w:szCs w:val="20"/>
          <w:lang w:val="es-PA"/>
        </w:rPr>
        <w:t>sta carga debe ser asumida por el Estado como un deber jurídico propio, y no como una gestión de intereses de particulares o que dependa de la iniciativa de éstos o de la aportación de pruebas por parte de los mismos</w:t>
      </w:r>
      <w:proofErr w:type="gramStart"/>
      <w:r w:rsidR="005C5662" w:rsidRPr="007C5771">
        <w:rPr>
          <w:rFonts w:asciiTheme="majorHAnsi" w:hAnsiTheme="majorHAnsi"/>
          <w:sz w:val="20"/>
          <w:szCs w:val="20"/>
          <w:lang w:val="es-PA"/>
        </w:rPr>
        <w:t>”</w:t>
      </w:r>
      <w:r w:rsidR="005C5662" w:rsidRPr="007C5771">
        <w:rPr>
          <w:rFonts w:asciiTheme="majorHAnsi" w:hAnsiTheme="majorHAnsi" w:cs="Calibri"/>
          <w:sz w:val="20"/>
          <w:szCs w:val="20"/>
          <w:lang w:val="es-US"/>
        </w:rPr>
        <w:t xml:space="preserve"> </w:t>
      </w:r>
      <w:proofErr w:type="gramEnd"/>
      <w:r w:rsidR="005C5662" w:rsidRPr="007C5771">
        <w:rPr>
          <w:rStyle w:val="FootnoteReference"/>
          <w:rFonts w:asciiTheme="majorHAnsi" w:hAnsiTheme="majorHAnsi" w:cs="Calibri"/>
          <w:sz w:val="20"/>
          <w:szCs w:val="20"/>
        </w:rPr>
        <w:footnoteReference w:id="24"/>
      </w:r>
      <w:r w:rsidR="005C5662" w:rsidRPr="007C5771">
        <w:rPr>
          <w:rFonts w:asciiTheme="majorHAnsi" w:hAnsiTheme="majorHAnsi"/>
          <w:sz w:val="20"/>
          <w:szCs w:val="20"/>
          <w:lang w:val="es-PA"/>
        </w:rPr>
        <w:t xml:space="preserve">. </w:t>
      </w:r>
      <w:r w:rsidR="00C12305" w:rsidRPr="007C5771">
        <w:rPr>
          <w:rFonts w:asciiTheme="majorHAnsi" w:hAnsiTheme="majorHAnsi"/>
          <w:sz w:val="20"/>
          <w:szCs w:val="20"/>
          <w:lang w:val="es-PA"/>
        </w:rPr>
        <w:t>De igual manera, recordar que el artículo 7(b) de la Convención de Belem do Para establece para los Estados la obligación de “</w:t>
      </w:r>
      <w:r w:rsidR="00C12305" w:rsidRPr="007C5771">
        <w:rPr>
          <w:rFonts w:asciiTheme="majorHAnsi" w:hAnsiTheme="majorHAnsi" w:cs="Tahoma"/>
          <w:sz w:val="20"/>
          <w:szCs w:val="20"/>
          <w:lang w:val="es-PA"/>
        </w:rPr>
        <w:t xml:space="preserve">actuar con la debida diligencia para prevenir, investigar y sancionar la violencia contra la mujer”. Por estas razones, la Comisión considera, </w:t>
      </w:r>
      <w:r w:rsidR="00C12305" w:rsidRPr="007C5771">
        <w:rPr>
          <w:rFonts w:asciiTheme="majorHAnsi" w:hAnsiTheme="majorHAnsi" w:cs="Tahoma"/>
          <w:i/>
          <w:sz w:val="20"/>
          <w:szCs w:val="20"/>
          <w:lang w:val="es-PA"/>
        </w:rPr>
        <w:t>prima facie</w:t>
      </w:r>
      <w:r w:rsidR="00C12305" w:rsidRPr="007C5771">
        <w:rPr>
          <w:rFonts w:asciiTheme="majorHAnsi" w:hAnsiTheme="majorHAnsi" w:cs="Tahoma"/>
          <w:sz w:val="20"/>
          <w:szCs w:val="20"/>
          <w:lang w:val="es-PA"/>
        </w:rPr>
        <w:t xml:space="preserve"> y sin prejuzgar sobre el fondo, que los más de 16 años transcurridos desde la presentación de la denuncia sin información </w:t>
      </w:r>
      <w:r w:rsidR="006C3804" w:rsidRPr="007C5771">
        <w:rPr>
          <w:rFonts w:asciiTheme="majorHAnsi" w:hAnsiTheme="majorHAnsi" w:cs="Tahoma"/>
          <w:sz w:val="20"/>
          <w:szCs w:val="20"/>
          <w:lang w:val="es-PA"/>
        </w:rPr>
        <w:t xml:space="preserve">sobre las gestiones desarrolladas por el Estado ante ella o su resultado </w:t>
      </w:r>
      <w:r w:rsidR="00C12305" w:rsidRPr="007C5771">
        <w:rPr>
          <w:rFonts w:asciiTheme="majorHAnsi" w:hAnsiTheme="majorHAnsi" w:cs="Tahoma"/>
          <w:sz w:val="20"/>
          <w:szCs w:val="20"/>
          <w:lang w:val="es-PA"/>
        </w:rPr>
        <w:t xml:space="preserve">justifica </w:t>
      </w:r>
      <w:r w:rsidR="006C3804" w:rsidRPr="007C5771">
        <w:rPr>
          <w:rFonts w:asciiTheme="majorHAnsi" w:hAnsiTheme="majorHAnsi" w:cs="Tahoma"/>
          <w:sz w:val="20"/>
          <w:szCs w:val="20"/>
          <w:lang w:val="es-PA"/>
        </w:rPr>
        <w:t xml:space="preserve">la aplicación de la excepción al agotamiento de los recursos internos contemplada en el artículo 46.2(c) de la Convención Americana a este aspecto de la petición. Dado que la petición fue presentada estando vigente el presunto agravio, la Comisión considera que esta fue presentada dentro de plazo razonable en los términos del artículo 32.2 de su reglamento. </w:t>
      </w:r>
    </w:p>
    <w:p w14:paraId="5F33DB86" w14:textId="42B76752" w:rsidR="00264F12" w:rsidRPr="00322DBD" w:rsidRDefault="00264F12"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sz w:val="20"/>
          <w:szCs w:val="20"/>
          <w:lang w:val="es-ES_tradnl"/>
        </w:rPr>
        <w:t>L</w:t>
      </w:r>
      <w:r w:rsidRPr="007C5771">
        <w:rPr>
          <w:sz w:val="20"/>
          <w:szCs w:val="20"/>
          <w:lang w:val="es-PA"/>
        </w:rPr>
        <w:t>a Comisión toma nota que el Estado ha indicado que los recursos internos no se enc</w:t>
      </w:r>
      <w:r w:rsidR="00023785" w:rsidRPr="007C5771">
        <w:rPr>
          <w:sz w:val="20"/>
          <w:szCs w:val="20"/>
          <w:lang w:val="es-PA"/>
        </w:rPr>
        <w:t>ontraban</w:t>
      </w:r>
      <w:r w:rsidRPr="007C5771">
        <w:rPr>
          <w:sz w:val="20"/>
          <w:szCs w:val="20"/>
          <w:lang w:val="es-PA"/>
        </w:rPr>
        <w:t xml:space="preserve"> agotados porque la parte peticionaria no h</w:t>
      </w:r>
      <w:r w:rsidR="005709C1" w:rsidRPr="007C5771">
        <w:rPr>
          <w:sz w:val="20"/>
          <w:szCs w:val="20"/>
          <w:lang w:val="es-PA"/>
        </w:rPr>
        <w:t xml:space="preserve">a impugnado por vía judicial </w:t>
      </w:r>
      <w:r w:rsidRPr="007C5771">
        <w:rPr>
          <w:sz w:val="20"/>
          <w:szCs w:val="20"/>
          <w:lang w:val="es-PA"/>
        </w:rPr>
        <w:t xml:space="preserve">la resolución emitida por la SCJ el 11 de julio de 2008 </w:t>
      </w:r>
      <w:r w:rsidR="00023785" w:rsidRPr="007C5771">
        <w:rPr>
          <w:sz w:val="20"/>
          <w:szCs w:val="20"/>
          <w:lang w:val="es-PA"/>
        </w:rPr>
        <w:t xml:space="preserve">que </w:t>
      </w:r>
      <w:r w:rsidRPr="007C5771">
        <w:rPr>
          <w:sz w:val="20"/>
          <w:szCs w:val="20"/>
          <w:lang w:val="es-PA"/>
        </w:rPr>
        <w:t xml:space="preserve">ordena </w:t>
      </w:r>
      <w:r w:rsidR="00023785" w:rsidRPr="007C5771">
        <w:rPr>
          <w:sz w:val="20"/>
          <w:szCs w:val="20"/>
          <w:lang w:val="es-PA"/>
        </w:rPr>
        <w:t>e</w:t>
      </w:r>
      <w:r w:rsidRPr="007C5771">
        <w:rPr>
          <w:sz w:val="20"/>
          <w:szCs w:val="20"/>
          <w:lang w:val="es-PA"/>
        </w:rPr>
        <w:t xml:space="preserve">l archivo de las actuaciones iniciadas luego de que APAC expusiera a la SCJ la situación de la señora </w:t>
      </w:r>
      <w:r w:rsidR="002F22C3" w:rsidRPr="007C5771">
        <w:rPr>
          <w:sz w:val="20"/>
          <w:szCs w:val="20"/>
          <w:lang w:val="es-PA"/>
        </w:rPr>
        <w:t>Pérez</w:t>
      </w:r>
      <w:r w:rsidRPr="007C5771">
        <w:rPr>
          <w:sz w:val="20"/>
          <w:szCs w:val="20"/>
          <w:lang w:val="es-PA"/>
        </w:rPr>
        <w:t xml:space="preserve"> </w:t>
      </w:r>
      <w:r w:rsidR="00006554" w:rsidRPr="007C5771">
        <w:rPr>
          <w:sz w:val="20"/>
          <w:szCs w:val="20"/>
          <w:lang w:val="es-PA"/>
        </w:rPr>
        <w:t xml:space="preserve">y </w:t>
      </w:r>
      <w:r w:rsidRPr="007C5771">
        <w:rPr>
          <w:sz w:val="20"/>
          <w:szCs w:val="20"/>
          <w:lang w:val="es-PA"/>
        </w:rPr>
        <w:t>solicitara información sobre el expediente de alimentos y que se estudiara la posible causal de mal desempeño por parte de la jueza y la fiscal intervinientes en el proceso por lesiones calificadas. La Comisión considera que esta solicitud de la APAC es tangencial al objeto de la presente petición</w:t>
      </w:r>
      <w:r w:rsidR="00023785" w:rsidRPr="007C5771">
        <w:rPr>
          <w:sz w:val="20"/>
          <w:szCs w:val="20"/>
          <w:lang w:val="es-PA"/>
        </w:rPr>
        <w:t>;</w:t>
      </w:r>
      <w:r w:rsidRPr="007C5771">
        <w:rPr>
          <w:sz w:val="20"/>
          <w:szCs w:val="20"/>
          <w:lang w:val="es-PA"/>
        </w:rPr>
        <w:t xml:space="preserve"> </w:t>
      </w:r>
      <w:r w:rsidR="00023785" w:rsidRPr="007C5771">
        <w:rPr>
          <w:sz w:val="20"/>
          <w:szCs w:val="20"/>
          <w:lang w:val="es-PA"/>
        </w:rPr>
        <w:lastRenderedPageBreak/>
        <w:t>p</w:t>
      </w:r>
      <w:r w:rsidRPr="007C5771">
        <w:rPr>
          <w:sz w:val="20"/>
          <w:szCs w:val="20"/>
          <w:lang w:val="es-PA"/>
        </w:rPr>
        <w:t>or lo tanto</w:t>
      </w:r>
      <w:r w:rsidR="00023785" w:rsidRPr="007C5771">
        <w:rPr>
          <w:sz w:val="20"/>
          <w:szCs w:val="20"/>
          <w:lang w:val="es-PA"/>
        </w:rPr>
        <w:t>,</w:t>
      </w:r>
      <w:r w:rsidRPr="007C5771">
        <w:rPr>
          <w:sz w:val="20"/>
          <w:szCs w:val="20"/>
          <w:lang w:val="es-PA"/>
        </w:rPr>
        <w:t xml:space="preserve"> analizar la procedencia o no de medios de impugnación contra la resolución que decidió esta actuación administrativa no resulta relevante para el estudio de la admisibilidad de la </w:t>
      </w:r>
      <w:r w:rsidR="00023785" w:rsidRPr="007C5771">
        <w:rPr>
          <w:sz w:val="20"/>
          <w:szCs w:val="20"/>
          <w:lang w:val="es-PA"/>
        </w:rPr>
        <w:t xml:space="preserve">presente </w:t>
      </w:r>
      <w:r w:rsidRPr="007C5771">
        <w:rPr>
          <w:sz w:val="20"/>
          <w:szCs w:val="20"/>
          <w:lang w:val="es-PA"/>
        </w:rPr>
        <w:t>petición.</w:t>
      </w:r>
    </w:p>
    <w:p w14:paraId="1103838B" w14:textId="6E8BA80A" w:rsidR="00322DBD" w:rsidRPr="00322DBD" w:rsidRDefault="00322DBD"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cs="Calibri"/>
          <w:sz w:val="20"/>
          <w:szCs w:val="20"/>
          <w:lang w:val="es-ES_tradnl"/>
        </w:rPr>
        <w:t>La Comisión Interamericana también toma nota del reclamo del Estado sobre lo que describe o califica como la extemporaneidad en el traslado de la petición. Al respecto, ni la Convención Americana ni el Reglamento de la Comisión establecen un plazo para el traslado de una petición al Estado a partir de su recepción; los plazos establecidos en el Reglamento y en la Convención para otras etapas del trámite no son aplicables por analogía.</w:t>
      </w:r>
    </w:p>
    <w:p w14:paraId="102FFADD" w14:textId="77777777" w:rsidR="00006B74" w:rsidRPr="007C5771" w:rsidRDefault="00F04591" w:rsidP="002739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720"/>
        <w:jc w:val="both"/>
        <w:rPr>
          <w:rFonts w:asciiTheme="majorHAnsi" w:hAnsiTheme="majorHAnsi"/>
          <w:b/>
          <w:bCs/>
          <w:sz w:val="20"/>
          <w:szCs w:val="20"/>
          <w:lang w:val="es-ES"/>
        </w:rPr>
      </w:pPr>
      <w:r w:rsidRPr="007C5771">
        <w:rPr>
          <w:rFonts w:asciiTheme="majorHAnsi" w:hAnsiTheme="majorHAnsi"/>
          <w:b/>
          <w:bCs/>
          <w:sz w:val="20"/>
          <w:szCs w:val="20"/>
          <w:lang w:val="es-ES"/>
        </w:rPr>
        <w:t>V</w:t>
      </w:r>
      <w:r w:rsidR="000E2789" w:rsidRPr="007C5771">
        <w:rPr>
          <w:rFonts w:asciiTheme="majorHAnsi" w:hAnsiTheme="majorHAnsi"/>
          <w:b/>
          <w:bCs/>
          <w:sz w:val="20"/>
          <w:szCs w:val="20"/>
          <w:lang w:val="es-ES"/>
        </w:rPr>
        <w:t>I</w:t>
      </w:r>
      <w:r w:rsidRPr="007C5771">
        <w:rPr>
          <w:rFonts w:asciiTheme="majorHAnsi" w:hAnsiTheme="majorHAnsi"/>
          <w:b/>
          <w:bCs/>
          <w:sz w:val="20"/>
          <w:szCs w:val="20"/>
          <w:lang w:val="es-ES"/>
        </w:rPr>
        <w:t xml:space="preserve">I. </w:t>
      </w:r>
      <w:r w:rsidRPr="007C5771">
        <w:rPr>
          <w:rFonts w:asciiTheme="majorHAnsi" w:hAnsiTheme="majorHAnsi"/>
          <w:b/>
          <w:bCs/>
          <w:sz w:val="20"/>
          <w:szCs w:val="20"/>
          <w:lang w:val="es-ES"/>
        </w:rPr>
        <w:tab/>
        <w:t>CARACTERIZACIÓN</w:t>
      </w:r>
    </w:p>
    <w:p w14:paraId="6D90A018" w14:textId="4AE46F29" w:rsidR="004D0A79" w:rsidRPr="007C5771" w:rsidRDefault="004D0A79"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eastAsiaTheme="minorEastAsia" w:hAnsiTheme="majorHAnsi" w:cstheme="minorBidi"/>
          <w:color w:val="auto"/>
          <w:sz w:val="20"/>
          <w:szCs w:val="20"/>
          <w:lang w:val="es-ES_tradnl"/>
        </w:rPr>
        <w:t xml:space="preserve">La Comisión observa que las reclamaciones de la parte peticionaria incluyen </w:t>
      </w:r>
      <w:r w:rsidR="00E93D55" w:rsidRPr="007C5771">
        <w:rPr>
          <w:rFonts w:asciiTheme="majorHAnsi" w:eastAsiaTheme="minorEastAsia" w:hAnsiTheme="majorHAnsi" w:cstheme="minorBidi"/>
          <w:color w:val="auto"/>
          <w:sz w:val="20"/>
          <w:szCs w:val="20"/>
          <w:lang w:val="es-ES_tradnl"/>
        </w:rPr>
        <w:t>alegatos sobre:</w:t>
      </w:r>
      <w:r w:rsidRPr="007C5771">
        <w:rPr>
          <w:rFonts w:asciiTheme="majorHAnsi" w:eastAsiaTheme="minorEastAsia" w:hAnsiTheme="majorHAnsi" w:cstheme="minorBidi"/>
          <w:color w:val="auto"/>
          <w:sz w:val="20"/>
          <w:szCs w:val="20"/>
          <w:lang w:val="es-ES_tradnl"/>
        </w:rPr>
        <w:t xml:space="preserve"> </w:t>
      </w:r>
      <w:r w:rsidRPr="007C5771">
        <w:rPr>
          <w:color w:val="auto"/>
          <w:sz w:val="20"/>
          <w:szCs w:val="20"/>
          <w:lang w:val="es-ES"/>
        </w:rPr>
        <w:t>falta de debida investigación de la situación de violencia denunciada por la señora Pérez</w:t>
      </w:r>
      <w:r w:rsidR="00E93D55" w:rsidRPr="007C5771">
        <w:rPr>
          <w:color w:val="auto"/>
          <w:sz w:val="20"/>
          <w:szCs w:val="20"/>
          <w:lang w:val="es-ES"/>
        </w:rPr>
        <w:t xml:space="preserve">; </w:t>
      </w:r>
      <w:r w:rsidRPr="007C5771">
        <w:rPr>
          <w:color w:val="auto"/>
          <w:sz w:val="20"/>
          <w:szCs w:val="20"/>
          <w:lang w:val="es-ES"/>
        </w:rPr>
        <w:t>negligencia de las autoridades a cargo del proceso en un contexto en que la presunta víctima no contaba con representación</w:t>
      </w:r>
      <w:r w:rsidR="00E93D55" w:rsidRPr="007C5771">
        <w:rPr>
          <w:color w:val="auto"/>
          <w:sz w:val="20"/>
          <w:szCs w:val="20"/>
          <w:lang w:val="es-ES"/>
        </w:rPr>
        <w:t>; irregularidades, retardo injustificado y actuación deficiente de la representación legal proporcionada por el Estado en el trámite del proceso de alimentos; falta de debida protección para una presunta víctima de violencia doméstica por permitirle participar en un proceso de mediaci</w:t>
      </w:r>
      <w:r w:rsidR="009767E1" w:rsidRPr="007C5771">
        <w:rPr>
          <w:color w:val="auto"/>
          <w:sz w:val="20"/>
          <w:szCs w:val="20"/>
          <w:lang w:val="es-ES"/>
        </w:rPr>
        <w:t xml:space="preserve">ón con su presunto agresor y avalar el acuerdo de la mediación y por no prestarle asistencia legal para un proceso de divorcio contencioso; falta de protección de los derechos de los hijos de la señora Perez por no garantizar representación legal para sus intereses en los distintos procesos que les afectaban. </w:t>
      </w:r>
    </w:p>
    <w:p w14:paraId="4C7BBA93" w14:textId="47D6C0A2" w:rsidR="007D3ADB" w:rsidRPr="007C5771" w:rsidRDefault="0055335B"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eastAsiaTheme="minorEastAsia" w:hAnsiTheme="majorHAnsi" w:cstheme="minorBidi"/>
          <w:color w:val="auto"/>
          <w:sz w:val="20"/>
          <w:szCs w:val="20"/>
          <w:lang w:val="es-ES_tradnl"/>
        </w:rPr>
        <w:t xml:space="preserve">Dada la naturaleza de las alegaciones contenidas en la presente petición la Comisión considera pertinente recordar </w:t>
      </w:r>
      <w:r w:rsidR="004D0A79" w:rsidRPr="007C5771">
        <w:rPr>
          <w:rFonts w:asciiTheme="majorHAnsi" w:eastAsiaTheme="minorEastAsia" w:hAnsiTheme="majorHAnsi" w:cstheme="minorBidi"/>
          <w:color w:val="auto"/>
          <w:sz w:val="20"/>
          <w:szCs w:val="20"/>
          <w:lang w:val="es-ES_tradnl"/>
        </w:rPr>
        <w:t>que ya ha</w:t>
      </w:r>
      <w:r w:rsidR="000A3D0B" w:rsidRPr="007C5771">
        <w:rPr>
          <w:rFonts w:asciiTheme="majorHAnsi" w:eastAsiaTheme="minorEastAsia" w:hAnsiTheme="majorHAnsi" w:cstheme="minorBidi"/>
          <w:color w:val="auto"/>
          <w:sz w:val="20"/>
          <w:szCs w:val="20"/>
          <w:lang w:val="es-ES_tradnl"/>
        </w:rPr>
        <w:t xml:space="preserve"> </w:t>
      </w:r>
      <w:proofErr w:type="spellStart"/>
      <w:r w:rsidR="000A3D0B" w:rsidRPr="007C5771">
        <w:rPr>
          <w:rFonts w:asciiTheme="majorHAnsi" w:eastAsiaTheme="minorEastAsia" w:hAnsiTheme="majorHAnsi" w:cstheme="minorBidi"/>
          <w:color w:val="auto"/>
          <w:sz w:val="20"/>
          <w:szCs w:val="20"/>
          <w:lang w:val="es-ES_tradnl"/>
        </w:rPr>
        <w:t>a</w:t>
      </w:r>
      <w:proofErr w:type="spellEnd"/>
      <w:r w:rsidR="000A3D0B" w:rsidRPr="007C5771">
        <w:rPr>
          <w:rFonts w:asciiTheme="majorHAnsi" w:eastAsiaTheme="minorEastAsia" w:hAnsiTheme="majorHAnsi" w:cstheme="minorBidi"/>
          <w:color w:val="auto"/>
          <w:sz w:val="20"/>
          <w:szCs w:val="20"/>
          <w:lang w:val="es-ES_tradnl"/>
        </w:rPr>
        <w:t xml:space="preserve"> advertido que “</w:t>
      </w:r>
      <w:r w:rsidR="000A3D0B" w:rsidRPr="007C5771">
        <w:rPr>
          <w:sz w:val="20"/>
          <w:szCs w:val="20"/>
          <w:lang w:val="es-PA"/>
        </w:rPr>
        <w:t>la inacción del Estado ante casos de violencia contra las mujeres fomenta un ambiente de impunidad y promueve la repetición de la violencia”</w:t>
      </w:r>
      <w:r w:rsidR="000A3D0B" w:rsidRPr="007C5771">
        <w:rPr>
          <w:rStyle w:val="FootnoteReference"/>
          <w:sz w:val="20"/>
          <w:szCs w:val="20"/>
          <w:lang w:val="es-PA"/>
        </w:rPr>
        <w:footnoteReference w:id="25"/>
      </w:r>
      <w:r w:rsidR="000A3D0B" w:rsidRPr="007C5771">
        <w:rPr>
          <w:sz w:val="20"/>
          <w:szCs w:val="20"/>
          <w:lang w:val="es-PA"/>
        </w:rPr>
        <w:t xml:space="preserve"> y que “los órganos internacionales han establecido de forma consistente que el Estado puede incurrir en responsabilidad internacional por no actuar con la debida diligencia para prevenir, investigar, sancionar y reparar los actos de violencia contra la mujer; un deber aplicable a los actos cometidos por particulares en ciertas circunstancias”</w:t>
      </w:r>
      <w:r w:rsidR="000A3D0B" w:rsidRPr="007C5771">
        <w:rPr>
          <w:rStyle w:val="FootnoteReference"/>
          <w:sz w:val="20"/>
          <w:szCs w:val="20"/>
          <w:lang w:val="es-PA"/>
        </w:rPr>
        <w:footnoteReference w:id="26"/>
      </w:r>
      <w:r w:rsidR="000A3D0B" w:rsidRPr="007C5771">
        <w:rPr>
          <w:sz w:val="20"/>
          <w:szCs w:val="20"/>
          <w:lang w:val="es-PA"/>
        </w:rPr>
        <w:t>. De igual manera, ha</w:t>
      </w:r>
      <w:r w:rsidR="004D0A79" w:rsidRPr="007C5771">
        <w:rPr>
          <w:rFonts w:asciiTheme="majorHAnsi" w:eastAsiaTheme="minorEastAsia" w:hAnsiTheme="majorHAnsi" w:cstheme="minorBidi"/>
          <w:color w:val="auto"/>
          <w:sz w:val="20"/>
          <w:szCs w:val="20"/>
          <w:lang w:val="es-ES_tradnl"/>
        </w:rPr>
        <w:t xml:space="preserve"> expresado en el marco de sus informes temáticos preocupación con respecto al uso de la mediación o conciliación en casos que involucren presuntas situaciones de violencia puesto que “l</w:t>
      </w:r>
      <w:r w:rsidR="004D0A79" w:rsidRPr="007C5771">
        <w:rPr>
          <w:color w:val="auto"/>
          <w:sz w:val="20"/>
          <w:szCs w:val="20"/>
          <w:lang w:val="es-PA"/>
        </w:rPr>
        <w:t>a conciliación asume que las partes involucradas se encuentran en igualdad de condiciones de negociación, lo cual generalmente no es el caso en el ámbito de la violencia intrafamiliar”</w:t>
      </w:r>
      <w:r w:rsidR="009767E1" w:rsidRPr="007C5771">
        <w:rPr>
          <w:rStyle w:val="FootnoteReference"/>
          <w:color w:val="auto"/>
          <w:sz w:val="20"/>
          <w:szCs w:val="20"/>
          <w:lang w:val="es-PA"/>
        </w:rPr>
        <w:footnoteReference w:id="27"/>
      </w:r>
      <w:r w:rsidR="004D0A79" w:rsidRPr="007C5771">
        <w:rPr>
          <w:color w:val="auto"/>
          <w:sz w:val="20"/>
          <w:szCs w:val="20"/>
          <w:lang w:val="es-PA"/>
        </w:rPr>
        <w:t>.  </w:t>
      </w:r>
      <w:r w:rsidR="000A3D0B" w:rsidRPr="007C5771">
        <w:rPr>
          <w:color w:val="auto"/>
          <w:sz w:val="20"/>
          <w:szCs w:val="20"/>
          <w:lang w:val="es-PA"/>
        </w:rPr>
        <w:t>En adición</w:t>
      </w:r>
      <w:r w:rsidR="009B1C54" w:rsidRPr="007C5771">
        <w:rPr>
          <w:color w:val="auto"/>
          <w:sz w:val="20"/>
          <w:szCs w:val="20"/>
          <w:lang w:val="es-PA"/>
        </w:rPr>
        <w:t xml:space="preserve">, la Comisión ha expresado preocupación sobre requisitos procesales que causen </w:t>
      </w:r>
      <w:proofErr w:type="spellStart"/>
      <w:r w:rsidR="009B1C54" w:rsidRPr="007C5771">
        <w:rPr>
          <w:color w:val="auto"/>
          <w:sz w:val="20"/>
          <w:szCs w:val="20"/>
          <w:lang w:val="es-PA"/>
        </w:rPr>
        <w:t>revictimización</w:t>
      </w:r>
      <w:proofErr w:type="spellEnd"/>
      <w:r w:rsidR="009B1C54" w:rsidRPr="007C5771">
        <w:rPr>
          <w:color w:val="auto"/>
          <w:sz w:val="20"/>
          <w:szCs w:val="20"/>
          <w:lang w:val="es-PA"/>
        </w:rPr>
        <w:t xml:space="preserve"> a una presunta víctima de violencia doméstica al forzarle a rendir declaración sobre los hechos de violencia en múltiples ocasiones</w:t>
      </w:r>
      <w:r w:rsidR="009B1C54" w:rsidRPr="007C5771">
        <w:rPr>
          <w:rStyle w:val="FootnoteReference"/>
          <w:color w:val="auto"/>
          <w:sz w:val="20"/>
          <w:szCs w:val="20"/>
          <w:lang w:val="es-PA"/>
        </w:rPr>
        <w:footnoteReference w:id="28"/>
      </w:r>
      <w:r w:rsidR="009B1C54" w:rsidRPr="007C5771">
        <w:rPr>
          <w:color w:val="auto"/>
          <w:sz w:val="20"/>
          <w:szCs w:val="20"/>
          <w:lang w:val="es-PA"/>
        </w:rPr>
        <w:t>.</w:t>
      </w:r>
      <w:r w:rsidR="005A10E4" w:rsidRPr="007C5771">
        <w:rPr>
          <w:color w:val="auto"/>
          <w:sz w:val="20"/>
          <w:szCs w:val="20"/>
          <w:lang w:val="es-PA"/>
        </w:rPr>
        <w:t xml:space="preserve"> La CIDH también ha reconocido que de acuerdo a investigaciones “una de las necesidades más grandes expresadas por las mujeres que viven situaciones de violencia, es el apoyo en aspectos relacionados con el divorcio, la propiedad y la tenencia de los hijos”</w:t>
      </w:r>
      <w:r w:rsidR="005A10E4" w:rsidRPr="007C5771">
        <w:rPr>
          <w:rStyle w:val="FootnoteReference"/>
          <w:color w:val="auto"/>
          <w:sz w:val="20"/>
          <w:szCs w:val="20"/>
          <w:lang w:val="es-PA"/>
        </w:rPr>
        <w:footnoteReference w:id="29"/>
      </w:r>
      <w:r w:rsidR="005A10E4" w:rsidRPr="007C5771">
        <w:rPr>
          <w:color w:val="auto"/>
          <w:sz w:val="20"/>
          <w:szCs w:val="20"/>
          <w:lang w:val="es-PA"/>
        </w:rPr>
        <w:t>.</w:t>
      </w:r>
      <w:r w:rsidR="00DD35E0" w:rsidRPr="007C5771">
        <w:rPr>
          <w:color w:val="auto"/>
          <w:sz w:val="20"/>
          <w:szCs w:val="20"/>
          <w:lang w:val="es-PA"/>
        </w:rPr>
        <w:t xml:space="preserve"> </w:t>
      </w:r>
      <w:r w:rsidR="00350042" w:rsidRPr="007C5771">
        <w:rPr>
          <w:color w:val="auto"/>
          <w:sz w:val="20"/>
          <w:szCs w:val="20"/>
          <w:lang w:val="es-PA"/>
        </w:rPr>
        <w:t>La Comisión también ha expresado que “en determinados procedimientos, en función de su objeto, la posición de la madre y/o el padre no necesariamente representan los intereses del niño y por tanto es necesario que el Estado garantice que los intereses del niño sean representados por alguien ajeno a dicho conflicto”</w:t>
      </w:r>
      <w:r w:rsidR="00350042" w:rsidRPr="007C5771">
        <w:rPr>
          <w:rStyle w:val="FootnoteReference"/>
          <w:color w:val="auto"/>
          <w:sz w:val="20"/>
          <w:szCs w:val="20"/>
          <w:lang w:val="es-PA"/>
        </w:rPr>
        <w:footnoteReference w:id="30"/>
      </w:r>
      <w:r w:rsidR="00350042" w:rsidRPr="007C5771">
        <w:rPr>
          <w:color w:val="auto"/>
          <w:sz w:val="20"/>
          <w:szCs w:val="20"/>
          <w:lang w:val="es-PA"/>
        </w:rPr>
        <w:t>.</w:t>
      </w:r>
      <w:r w:rsidR="00782A5C" w:rsidRPr="007C5771">
        <w:rPr>
          <w:color w:val="auto"/>
          <w:sz w:val="20"/>
          <w:szCs w:val="20"/>
          <w:lang w:val="es-PA"/>
        </w:rPr>
        <w:t xml:space="preserve"> </w:t>
      </w:r>
    </w:p>
    <w:p w14:paraId="722FD62F" w14:textId="05582C16" w:rsidR="00E27F77" w:rsidRPr="007C5771" w:rsidRDefault="00350042"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color w:val="auto"/>
          <w:sz w:val="20"/>
          <w:szCs w:val="20"/>
          <w:lang w:val="es-ES_tradnl"/>
        </w:rPr>
        <w:t>Atendiendo a estas consideraciones y luego de evaluar los elementos de hecho y de derecho expuestos por las partes</w:t>
      </w:r>
      <w:r w:rsidRPr="007C5771">
        <w:rPr>
          <w:color w:val="auto"/>
          <w:sz w:val="20"/>
          <w:szCs w:val="20"/>
          <w:lang w:val="es-ES"/>
        </w:rPr>
        <w:t>, la Comisión considera que las alegaciones de la parte peticionaria no resultan manifiestamente infundadas y requieren un estudio de fondo pues los hechos alegados, de corroborarse como ciertos,</w:t>
      </w:r>
      <w:r w:rsidR="00E27F77" w:rsidRPr="007C5771">
        <w:rPr>
          <w:color w:val="auto"/>
          <w:sz w:val="20"/>
          <w:szCs w:val="20"/>
          <w:lang w:val="es-ES"/>
        </w:rPr>
        <w:t xml:space="preserve"> podrían caracterizar violaciones </w:t>
      </w:r>
      <w:r w:rsidR="00023785" w:rsidRPr="007C5771">
        <w:rPr>
          <w:color w:val="auto"/>
          <w:sz w:val="20"/>
          <w:szCs w:val="20"/>
          <w:lang w:val="es-ES"/>
        </w:rPr>
        <w:t>de</w:t>
      </w:r>
      <w:r w:rsidR="00E27F77" w:rsidRPr="007C5771">
        <w:rPr>
          <w:color w:val="auto"/>
          <w:sz w:val="20"/>
          <w:szCs w:val="20"/>
          <w:lang w:val="es-ES"/>
        </w:rPr>
        <w:t xml:space="preserve"> los artículos 5 (integridad personal), 8 (garantías judiciales), 19 (derechos del niño)  y 25 (protección judicial) de la Convención Americana en relación con su</w:t>
      </w:r>
      <w:r w:rsidR="005D3E87" w:rsidRPr="007C5771">
        <w:rPr>
          <w:color w:val="auto"/>
          <w:sz w:val="20"/>
          <w:szCs w:val="20"/>
          <w:lang w:val="es-ES"/>
        </w:rPr>
        <w:t>s</w:t>
      </w:r>
      <w:r w:rsidR="00E27F77" w:rsidRPr="007C5771">
        <w:rPr>
          <w:color w:val="auto"/>
          <w:sz w:val="20"/>
          <w:szCs w:val="20"/>
          <w:lang w:val="es-ES"/>
        </w:rPr>
        <w:t xml:space="preserve"> artículo 1.1 </w:t>
      </w:r>
      <w:r w:rsidR="00E27F77" w:rsidRPr="007C5771">
        <w:rPr>
          <w:color w:val="auto"/>
          <w:sz w:val="20"/>
          <w:szCs w:val="20"/>
          <w:lang w:val="es-ES"/>
        </w:rPr>
        <w:lastRenderedPageBreak/>
        <w:t>(obligación de respetar los derechos) y</w:t>
      </w:r>
      <w:r w:rsidR="005D3E87" w:rsidRPr="007C5771">
        <w:rPr>
          <w:color w:val="auto"/>
          <w:sz w:val="20"/>
          <w:szCs w:val="20"/>
          <w:lang w:val="es-ES"/>
        </w:rPr>
        <w:t xml:space="preserve"> 2 (deber de adoptar disposiciones de derecho interno) y</w:t>
      </w:r>
      <w:r w:rsidR="00E27F77" w:rsidRPr="007C5771">
        <w:rPr>
          <w:color w:val="auto"/>
          <w:sz w:val="20"/>
          <w:szCs w:val="20"/>
          <w:lang w:val="es-ES"/>
        </w:rPr>
        <w:t xml:space="preserve"> </w:t>
      </w:r>
      <w:r w:rsidR="00023785" w:rsidRPr="007C5771">
        <w:rPr>
          <w:color w:val="auto"/>
          <w:sz w:val="20"/>
          <w:szCs w:val="20"/>
          <w:lang w:val="es-ES"/>
        </w:rPr>
        <w:t>de</w:t>
      </w:r>
      <w:r w:rsidR="00E27F77" w:rsidRPr="007C5771">
        <w:rPr>
          <w:color w:val="auto"/>
          <w:sz w:val="20"/>
          <w:szCs w:val="20"/>
          <w:lang w:val="es-ES"/>
        </w:rPr>
        <w:t>l artí</w:t>
      </w:r>
      <w:r w:rsidR="005D3E87" w:rsidRPr="007C5771">
        <w:rPr>
          <w:color w:val="auto"/>
          <w:sz w:val="20"/>
          <w:szCs w:val="20"/>
          <w:lang w:val="es-ES"/>
        </w:rPr>
        <w:t>culo 7 de la Convención de Belém</w:t>
      </w:r>
      <w:r w:rsidR="00E27F77" w:rsidRPr="007C5771">
        <w:rPr>
          <w:color w:val="auto"/>
          <w:sz w:val="20"/>
          <w:szCs w:val="20"/>
          <w:lang w:val="es-ES"/>
        </w:rPr>
        <w:t xml:space="preserve"> do Pará.  </w:t>
      </w:r>
    </w:p>
    <w:p w14:paraId="3DBB3B21" w14:textId="3473CB4D" w:rsidR="009A63AA" w:rsidRPr="007C5771" w:rsidRDefault="008E0A09"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asciiTheme="majorHAnsi" w:hAnsiTheme="majorHAnsi" w:cs="Calibri"/>
          <w:sz w:val="20"/>
          <w:szCs w:val="20"/>
          <w:lang w:val="es-ES"/>
        </w:rPr>
        <w:t>L</w:t>
      </w:r>
      <w:r w:rsidR="009A63AA" w:rsidRPr="007C5771">
        <w:rPr>
          <w:rFonts w:asciiTheme="majorHAnsi" w:hAnsiTheme="majorHAnsi" w:cs="Calibri"/>
          <w:sz w:val="20"/>
          <w:szCs w:val="20"/>
          <w:lang w:val="es-ES_tradnl"/>
        </w:rPr>
        <w:t xml:space="preserve">a Comisión recuerda que no posee competencia para declarar violaciones </w:t>
      </w:r>
      <w:r w:rsidR="00023785" w:rsidRPr="007C5771">
        <w:rPr>
          <w:rFonts w:asciiTheme="majorHAnsi" w:hAnsiTheme="majorHAnsi" w:cs="Calibri"/>
          <w:sz w:val="20"/>
          <w:szCs w:val="20"/>
          <w:lang w:val="es-ES_tradnl"/>
        </w:rPr>
        <w:t>de</w:t>
      </w:r>
      <w:r w:rsidR="009A63AA" w:rsidRPr="007C5771">
        <w:rPr>
          <w:rFonts w:asciiTheme="majorHAnsi" w:hAnsiTheme="majorHAnsi" w:cs="Calibri"/>
          <w:sz w:val="20"/>
          <w:szCs w:val="20"/>
          <w:lang w:val="es-ES_tradnl"/>
        </w:rPr>
        <w:t xml:space="preserve"> derechos consagrados en la Convención sobre los Derechos del Niño, pero se encuentra facultada para recurrir a sus estándares a los efectos interpretar las normas de la Convención Americana en virtud del artículo 29 de </w:t>
      </w:r>
      <w:r w:rsidR="00023785" w:rsidRPr="007C5771">
        <w:rPr>
          <w:rFonts w:asciiTheme="majorHAnsi" w:hAnsiTheme="majorHAnsi" w:cs="Calibri"/>
          <w:sz w:val="20"/>
          <w:szCs w:val="20"/>
          <w:lang w:val="es-ES_tradnl"/>
        </w:rPr>
        <w:t>ésta</w:t>
      </w:r>
      <w:r w:rsidR="009A63AA" w:rsidRPr="007C5771">
        <w:rPr>
          <w:rStyle w:val="FootnoteReference"/>
          <w:rFonts w:asciiTheme="majorHAnsi" w:hAnsiTheme="majorHAnsi" w:cs="Calibri"/>
          <w:sz w:val="20"/>
          <w:szCs w:val="20"/>
        </w:rPr>
        <w:footnoteReference w:id="31"/>
      </w:r>
      <w:r w:rsidR="009A63AA" w:rsidRPr="007C5771">
        <w:rPr>
          <w:rFonts w:asciiTheme="majorHAnsi" w:hAnsiTheme="majorHAnsi" w:cs="Calibri"/>
          <w:sz w:val="20"/>
          <w:szCs w:val="20"/>
          <w:lang w:val="es-ES_tradnl"/>
        </w:rPr>
        <w:t>.</w:t>
      </w:r>
    </w:p>
    <w:p w14:paraId="52D8391A" w14:textId="2A0DA20F" w:rsidR="008E0A09" w:rsidRPr="00322DBD" w:rsidRDefault="00782A5C" w:rsidP="0027399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lang w:val="es-ES_tradnl"/>
        </w:rPr>
      </w:pPr>
      <w:r w:rsidRPr="007C5771">
        <w:rPr>
          <w:rFonts w:cs="Calibri"/>
          <w:sz w:val="20"/>
          <w:szCs w:val="20"/>
          <w:lang w:val="es-ES_tradnl"/>
        </w:rPr>
        <w:t>Con respecto a los alegatos del Estado referidos a la llamada fórmula de “cuarta instancia”</w:t>
      </w:r>
      <w:r w:rsidRPr="007C5771">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7C5771">
        <w:rPr>
          <w:rStyle w:val="FootnoteReference"/>
          <w:rFonts w:cs="Calibri"/>
          <w:sz w:val="20"/>
          <w:szCs w:val="20"/>
          <w:lang w:val="es-ES_tradnl"/>
        </w:rPr>
        <w:footnoteReference w:id="32"/>
      </w:r>
      <w:r w:rsidRPr="007C5771">
        <w:rPr>
          <w:sz w:val="20"/>
          <w:szCs w:val="20"/>
          <w:lang w:val="es-ES_tradnl"/>
        </w:rPr>
        <w:t xml:space="preserve">. </w:t>
      </w:r>
    </w:p>
    <w:p w14:paraId="4C138BA9" w14:textId="77777777" w:rsidR="003239B8" w:rsidRPr="007C5771" w:rsidRDefault="00EC72AB" w:rsidP="002739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C5771">
        <w:rPr>
          <w:rFonts w:asciiTheme="majorHAnsi" w:hAnsiTheme="majorHAnsi"/>
          <w:b/>
          <w:bCs/>
          <w:sz w:val="20"/>
          <w:szCs w:val="20"/>
          <w:lang w:val="es-ES"/>
        </w:rPr>
        <w:t>VI</w:t>
      </w:r>
      <w:r w:rsidR="00F04591" w:rsidRPr="007C5771">
        <w:rPr>
          <w:rFonts w:asciiTheme="majorHAnsi" w:hAnsiTheme="majorHAnsi"/>
          <w:b/>
          <w:bCs/>
          <w:sz w:val="20"/>
          <w:szCs w:val="20"/>
          <w:lang w:val="es-ES"/>
        </w:rPr>
        <w:t>II</w:t>
      </w:r>
      <w:r w:rsidR="003239B8" w:rsidRPr="007C5771">
        <w:rPr>
          <w:rFonts w:asciiTheme="majorHAnsi" w:hAnsiTheme="majorHAnsi"/>
          <w:b/>
          <w:bCs/>
          <w:sz w:val="20"/>
          <w:szCs w:val="20"/>
          <w:lang w:val="es-ES"/>
        </w:rPr>
        <w:t xml:space="preserve">. </w:t>
      </w:r>
      <w:r w:rsidR="003239B8" w:rsidRPr="007C5771">
        <w:rPr>
          <w:rFonts w:asciiTheme="majorHAnsi" w:hAnsiTheme="majorHAnsi"/>
          <w:b/>
          <w:bCs/>
          <w:sz w:val="20"/>
          <w:szCs w:val="20"/>
          <w:lang w:val="es-ES"/>
        </w:rPr>
        <w:tab/>
        <w:t>DECISIÓN</w:t>
      </w:r>
    </w:p>
    <w:p w14:paraId="24E1BDD8" w14:textId="53A5414D" w:rsidR="008E0A09" w:rsidRPr="007C5771" w:rsidRDefault="003239B8" w:rsidP="002739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5771">
        <w:rPr>
          <w:rFonts w:asciiTheme="majorHAnsi" w:hAnsiTheme="majorHAnsi"/>
          <w:sz w:val="20"/>
          <w:szCs w:val="20"/>
          <w:lang w:val="es-ES"/>
        </w:rPr>
        <w:t>Declarar admisible la presente petición en relación con</w:t>
      </w:r>
      <w:r w:rsidR="003A6337" w:rsidRPr="007C5771">
        <w:rPr>
          <w:rFonts w:asciiTheme="majorHAnsi" w:hAnsiTheme="majorHAnsi"/>
          <w:sz w:val="20"/>
          <w:szCs w:val="20"/>
          <w:lang w:val="es-ES"/>
        </w:rPr>
        <w:t xml:space="preserve"> los </w:t>
      </w:r>
      <w:r w:rsidR="003A6337" w:rsidRPr="007C5771">
        <w:rPr>
          <w:rFonts w:asciiTheme="majorHAnsi" w:hAnsiTheme="majorHAnsi"/>
          <w:bCs/>
          <w:sz w:val="20"/>
          <w:szCs w:val="20"/>
          <w:lang w:val="es-ES"/>
        </w:rPr>
        <w:t>artículos</w:t>
      </w:r>
      <w:r w:rsidR="005D3E87" w:rsidRPr="007C5771">
        <w:rPr>
          <w:rFonts w:asciiTheme="majorHAnsi" w:hAnsiTheme="majorHAnsi"/>
          <w:bCs/>
          <w:sz w:val="20"/>
          <w:szCs w:val="20"/>
          <w:lang w:val="es-ES"/>
        </w:rPr>
        <w:t xml:space="preserve"> 5,</w:t>
      </w:r>
      <w:r w:rsidR="003A6337" w:rsidRPr="007C5771">
        <w:rPr>
          <w:rFonts w:asciiTheme="majorHAnsi" w:hAnsiTheme="majorHAnsi"/>
          <w:bCs/>
          <w:sz w:val="20"/>
          <w:szCs w:val="20"/>
          <w:lang w:val="es-ES"/>
        </w:rPr>
        <w:t xml:space="preserve"> </w:t>
      </w:r>
      <w:r w:rsidR="008E0A09" w:rsidRPr="007C5771">
        <w:rPr>
          <w:rFonts w:asciiTheme="majorHAnsi" w:hAnsiTheme="majorHAnsi"/>
          <w:bCs/>
          <w:sz w:val="20"/>
          <w:szCs w:val="20"/>
          <w:lang w:val="es-AR"/>
        </w:rPr>
        <w:t xml:space="preserve">8, 19 y 25 </w:t>
      </w:r>
      <w:r w:rsidR="008E0A09" w:rsidRPr="007C5771">
        <w:rPr>
          <w:rFonts w:asciiTheme="majorHAnsi" w:hAnsiTheme="majorHAnsi"/>
          <w:bCs/>
          <w:sz w:val="20"/>
          <w:szCs w:val="20"/>
          <w:lang w:val="es-ES"/>
        </w:rPr>
        <w:t>de la Convención Americana</w:t>
      </w:r>
      <w:r w:rsidR="008E0A09" w:rsidRPr="007C5771">
        <w:rPr>
          <w:rFonts w:asciiTheme="majorHAnsi" w:hAnsiTheme="majorHAnsi"/>
          <w:bCs/>
          <w:sz w:val="20"/>
          <w:szCs w:val="20"/>
          <w:lang w:val="es-AR"/>
        </w:rPr>
        <w:t xml:space="preserve"> </w:t>
      </w:r>
      <w:r w:rsidR="00257339" w:rsidRPr="007C5771">
        <w:rPr>
          <w:rFonts w:asciiTheme="majorHAnsi" w:hAnsiTheme="majorHAnsi"/>
          <w:bCs/>
          <w:sz w:val="20"/>
          <w:szCs w:val="20"/>
          <w:lang w:val="es-AR"/>
        </w:rPr>
        <w:t>en relación con sus artículos 1</w:t>
      </w:r>
      <w:r w:rsidR="008E0A09" w:rsidRPr="007C5771">
        <w:rPr>
          <w:rFonts w:asciiTheme="majorHAnsi" w:hAnsiTheme="majorHAnsi"/>
          <w:bCs/>
          <w:sz w:val="20"/>
          <w:szCs w:val="20"/>
          <w:lang w:val="es-AR"/>
        </w:rPr>
        <w:t xml:space="preserve"> y </w:t>
      </w:r>
      <w:r w:rsidR="002F22C3" w:rsidRPr="007C5771">
        <w:rPr>
          <w:rFonts w:asciiTheme="majorHAnsi" w:hAnsiTheme="majorHAnsi"/>
          <w:bCs/>
          <w:sz w:val="20"/>
          <w:szCs w:val="20"/>
          <w:lang w:val="es-AR"/>
        </w:rPr>
        <w:t>2; así</w:t>
      </w:r>
      <w:r w:rsidR="008E0A09" w:rsidRPr="007C5771">
        <w:rPr>
          <w:rFonts w:asciiTheme="majorHAnsi" w:hAnsiTheme="majorHAnsi"/>
          <w:bCs/>
          <w:sz w:val="20"/>
          <w:szCs w:val="20"/>
          <w:lang w:val="es-AR"/>
        </w:rPr>
        <w:t xml:space="preserve"> como el artículo 7 </w:t>
      </w:r>
      <w:r w:rsidR="008E0A09" w:rsidRPr="007C5771">
        <w:rPr>
          <w:rFonts w:asciiTheme="majorHAnsi" w:hAnsiTheme="majorHAnsi"/>
          <w:sz w:val="20"/>
          <w:szCs w:val="20"/>
          <w:lang w:val="es-ES"/>
        </w:rPr>
        <w:t>de la Convención de Belém do Pará.</w:t>
      </w:r>
    </w:p>
    <w:p w14:paraId="27F554A8" w14:textId="3C1BCFBD" w:rsidR="007E38E2" w:rsidRDefault="004A6A54" w:rsidP="002739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577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89D7663" w14:textId="09FC6DD5" w:rsidR="007E38E2" w:rsidRPr="007E38E2" w:rsidRDefault="0027399F" w:rsidP="002739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Arial"/>
          <w:noProof/>
          <w:spacing w:val="-2"/>
          <w:sz w:val="20"/>
          <w:szCs w:val="20"/>
          <w:lang w:val="es-CL"/>
        </w:rPr>
        <w:t>A</w:t>
      </w:r>
      <w:r w:rsidR="007E38E2" w:rsidRPr="007E38E2">
        <w:rPr>
          <w:rFonts w:asciiTheme="majorHAnsi" w:hAnsiTheme="majorHAnsi" w:cs="Arial"/>
          <w:noProof/>
          <w:spacing w:val="-2"/>
          <w:sz w:val="20"/>
          <w:szCs w:val="20"/>
          <w:lang w:val="es-CL"/>
        </w:rPr>
        <w:t xml:space="preserve">probado por la Comisión Interamericana de Derechos Humanos  a los </w:t>
      </w:r>
      <w:r w:rsidR="007E38E2">
        <w:rPr>
          <w:rFonts w:asciiTheme="majorHAnsi" w:hAnsiTheme="majorHAnsi" w:cs="Arial"/>
          <w:noProof/>
          <w:spacing w:val="-2"/>
          <w:sz w:val="20"/>
          <w:szCs w:val="20"/>
          <w:lang w:val="es-CL"/>
        </w:rPr>
        <w:t>5</w:t>
      </w:r>
      <w:r w:rsidR="007E38E2" w:rsidRPr="007E38E2">
        <w:rPr>
          <w:rFonts w:asciiTheme="majorHAnsi" w:hAnsiTheme="majorHAnsi" w:cs="Arial"/>
          <w:noProof/>
          <w:spacing w:val="-2"/>
          <w:sz w:val="20"/>
          <w:szCs w:val="20"/>
          <w:lang w:val="es-CL"/>
        </w:rPr>
        <w:t xml:space="preserve"> días del mes de </w:t>
      </w:r>
      <w:r w:rsidR="007E38E2">
        <w:rPr>
          <w:rFonts w:asciiTheme="majorHAnsi" w:hAnsiTheme="majorHAnsi" w:cs="Arial"/>
          <w:noProof/>
          <w:spacing w:val="-2"/>
          <w:sz w:val="20"/>
          <w:szCs w:val="20"/>
          <w:lang w:val="es-CL"/>
        </w:rPr>
        <w:t>agosto</w:t>
      </w:r>
      <w:r w:rsidR="007E38E2" w:rsidRPr="007E38E2">
        <w:rPr>
          <w:rFonts w:asciiTheme="majorHAnsi" w:hAnsiTheme="majorHAnsi" w:cs="Arial"/>
          <w:noProof/>
          <w:spacing w:val="-2"/>
          <w:sz w:val="20"/>
          <w:szCs w:val="20"/>
          <w:lang w:val="es-CL"/>
        </w:rPr>
        <w:t xml:space="preserve"> de 2020.  (Firmado): Joel Hernández, Presidente; Antonia Urrejola, Primera Vicepresidenta; Flávia Piovesan, Segunda Vicepresidenta;</w:t>
      </w:r>
      <w:r w:rsidR="007E38E2">
        <w:rPr>
          <w:rFonts w:asciiTheme="majorHAnsi" w:hAnsiTheme="majorHAnsi" w:cs="Arial"/>
          <w:noProof/>
          <w:spacing w:val="-2"/>
          <w:sz w:val="20"/>
          <w:szCs w:val="20"/>
          <w:lang w:val="es-CL"/>
        </w:rPr>
        <w:t xml:space="preserve"> y</w:t>
      </w:r>
      <w:r w:rsidR="007E38E2" w:rsidRPr="007E38E2">
        <w:rPr>
          <w:rFonts w:asciiTheme="majorHAnsi" w:hAnsiTheme="majorHAnsi" w:cs="Arial"/>
          <w:noProof/>
          <w:spacing w:val="-2"/>
          <w:sz w:val="20"/>
          <w:szCs w:val="20"/>
          <w:lang w:val="es-CL"/>
        </w:rPr>
        <w:t xml:space="preserve"> Esmeralda E. Arosemena Bernal de Troitiño</w:t>
      </w:r>
      <w:r w:rsidR="007E38E2">
        <w:rPr>
          <w:rFonts w:asciiTheme="majorHAnsi" w:hAnsiTheme="majorHAnsi" w:cs="Arial"/>
          <w:noProof/>
          <w:spacing w:val="-2"/>
          <w:sz w:val="20"/>
          <w:szCs w:val="20"/>
          <w:lang w:val="es-CL"/>
        </w:rPr>
        <w:t>,</w:t>
      </w:r>
      <w:r w:rsidR="007E38E2" w:rsidRPr="007E38E2">
        <w:rPr>
          <w:rFonts w:asciiTheme="majorHAnsi" w:hAnsiTheme="majorHAnsi" w:cs="Arial"/>
          <w:noProof/>
          <w:spacing w:val="-2"/>
          <w:sz w:val="20"/>
          <w:szCs w:val="20"/>
          <w:lang w:val="es-CL"/>
        </w:rPr>
        <w:t xml:space="preserve"> Miembros de la Comisión.</w:t>
      </w:r>
      <w:r w:rsidR="007E38E2" w:rsidRPr="007E38E2">
        <w:rPr>
          <w:rFonts w:asciiTheme="majorHAnsi" w:hAnsiTheme="majorHAnsi" w:cs="Arial"/>
          <w:noProof/>
          <w:sz w:val="20"/>
          <w:szCs w:val="20"/>
          <w:lang w:val="es-CL"/>
        </w:rPr>
        <w:t xml:space="preserve"> </w:t>
      </w:r>
    </w:p>
    <w:p w14:paraId="1BD35982" w14:textId="77777777" w:rsidR="007E38E2" w:rsidRPr="00A37B82" w:rsidRDefault="007E38E2" w:rsidP="007E38E2">
      <w:pPr>
        <w:suppressAutoHyphens/>
        <w:ind w:firstLine="720"/>
        <w:jc w:val="both"/>
        <w:rPr>
          <w:rFonts w:asciiTheme="majorHAnsi" w:hAnsiTheme="majorHAnsi" w:cs="Arial"/>
          <w:noProof/>
          <w:spacing w:val="-2"/>
          <w:sz w:val="20"/>
          <w:szCs w:val="20"/>
          <w:lang w:val="es-CL"/>
        </w:rPr>
      </w:pPr>
    </w:p>
    <w:sectPr w:rsidR="007E38E2" w:rsidRPr="00A37B82" w:rsidSect="0027399F">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A3246" w16cid:durableId="214F15A2"/>
  <w16cid:commentId w16cid:paraId="46330909" w16cid:durableId="214F15AB"/>
  <w16cid:commentId w16cid:paraId="6ED91976" w16cid:durableId="214F15C6"/>
  <w16cid:commentId w16cid:paraId="1092E947" w16cid:durableId="214F15A3"/>
  <w16cid:commentId w16cid:paraId="7D162B15" w16cid:durableId="20EAD422"/>
  <w16cid:commentId w16cid:paraId="567FAFED" w16cid:durableId="20EAD423"/>
  <w16cid:commentId w16cid:paraId="10700E75" w16cid:durableId="214F15A6"/>
  <w16cid:commentId w16cid:paraId="7B8CF521" w16cid:durableId="20EAD424"/>
  <w16cid:commentId w16cid:paraId="79C04C46" w16cid:durableId="214F15A8"/>
  <w16cid:commentId w16cid:paraId="0F0691FA" w16cid:durableId="214F1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5E4C" w14:textId="77777777" w:rsidR="006E0B4E" w:rsidRDefault="006E0B4E">
      <w:r>
        <w:separator/>
      </w:r>
    </w:p>
  </w:endnote>
  <w:endnote w:type="continuationSeparator" w:id="0">
    <w:p w14:paraId="5921BAEF" w14:textId="77777777" w:rsidR="006E0B4E" w:rsidRDefault="006E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F615E" w14:textId="77777777" w:rsidR="00632286" w:rsidRDefault="00632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063C14D" w14:textId="10F9BB60" w:rsidR="00DC11B8" w:rsidRPr="00934A2C" w:rsidRDefault="00DC11B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32286">
          <w:rPr>
            <w:noProof/>
            <w:sz w:val="16"/>
            <w:szCs w:val="22"/>
          </w:rPr>
          <w:t>6</w:t>
        </w:r>
        <w:r w:rsidRPr="00934A2C">
          <w:rPr>
            <w:noProof/>
            <w:sz w:val="16"/>
            <w:szCs w:val="22"/>
          </w:rPr>
          <w:fldChar w:fldCharType="end"/>
        </w:r>
      </w:p>
    </w:sdtContent>
  </w:sdt>
  <w:p w14:paraId="5DFB6D67" w14:textId="77777777" w:rsidR="00DC11B8" w:rsidRDefault="00DC1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1E81" w14:textId="77777777" w:rsidR="00DC11B8" w:rsidRPr="00934A2C" w:rsidRDefault="00DC11B8">
    <w:pPr>
      <w:pStyle w:val="Footer"/>
      <w:jc w:val="center"/>
      <w:rPr>
        <w:sz w:val="16"/>
        <w:szCs w:val="22"/>
      </w:rPr>
    </w:pPr>
  </w:p>
  <w:p w14:paraId="3DF41B26" w14:textId="77777777" w:rsidR="00DC11B8" w:rsidRDefault="00DC1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D424" w14:textId="77777777" w:rsidR="006E0B4E" w:rsidRPr="000F35ED" w:rsidRDefault="006E0B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D9F167" w14:textId="77777777" w:rsidR="006E0B4E" w:rsidRPr="000F35ED" w:rsidRDefault="006E0B4E" w:rsidP="000F35ED">
      <w:pPr>
        <w:rPr>
          <w:rFonts w:asciiTheme="majorHAnsi" w:hAnsiTheme="majorHAnsi"/>
          <w:sz w:val="16"/>
          <w:szCs w:val="16"/>
        </w:rPr>
      </w:pPr>
      <w:r w:rsidRPr="000F35ED">
        <w:rPr>
          <w:rFonts w:asciiTheme="majorHAnsi" w:hAnsiTheme="majorHAnsi"/>
          <w:sz w:val="16"/>
          <w:szCs w:val="16"/>
        </w:rPr>
        <w:separator/>
      </w:r>
    </w:p>
    <w:p w14:paraId="070EAC87" w14:textId="77777777" w:rsidR="006E0B4E" w:rsidRPr="000F35ED" w:rsidRDefault="006E0B4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E2593E5" w14:textId="77777777" w:rsidR="006E0B4E" w:rsidRPr="000F35ED" w:rsidRDefault="006E0B4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3F7DB1C" w14:textId="77777777" w:rsidR="00DC11B8" w:rsidRPr="00233042" w:rsidRDefault="00DC11B8" w:rsidP="00123362">
      <w:pPr>
        <w:pStyle w:val="FootnoteText"/>
        <w:ind w:firstLine="720"/>
        <w:contextualSpacing/>
        <w:rPr>
          <w:rFonts w:asciiTheme="majorHAnsi" w:hAnsiTheme="majorHAnsi"/>
          <w:sz w:val="16"/>
          <w:szCs w:val="16"/>
          <w:lang w:val="es-ES"/>
        </w:rPr>
      </w:pPr>
      <w:r w:rsidRPr="00233042">
        <w:rPr>
          <w:rStyle w:val="FootnoteReference"/>
          <w:rFonts w:asciiTheme="majorHAnsi" w:hAnsiTheme="majorHAnsi"/>
          <w:sz w:val="16"/>
          <w:szCs w:val="16"/>
        </w:rPr>
        <w:footnoteRef/>
      </w:r>
      <w:r w:rsidRPr="00233042">
        <w:rPr>
          <w:rFonts w:asciiTheme="majorHAnsi" w:hAnsiTheme="majorHAnsi"/>
          <w:sz w:val="16"/>
          <w:szCs w:val="16"/>
          <w:lang w:val="es-ES"/>
        </w:rPr>
        <w:t xml:space="preserve"> La parte peticionaria a la fecha de la petición era A.P.A.C. (Asociación Protección al Ciudadano).</w:t>
      </w:r>
    </w:p>
  </w:footnote>
  <w:footnote w:id="3">
    <w:p w14:paraId="269D838F" w14:textId="53A84D3B" w:rsidR="00DC11B8" w:rsidRPr="00123362" w:rsidRDefault="00DC11B8" w:rsidP="00123362">
      <w:pPr>
        <w:pStyle w:val="FootnoteText"/>
        <w:ind w:firstLine="720"/>
        <w:rPr>
          <w:rFonts w:asciiTheme="majorHAnsi" w:hAnsiTheme="majorHAnsi"/>
          <w:sz w:val="16"/>
          <w:szCs w:val="16"/>
          <w:lang w:val="es-ES"/>
        </w:rPr>
      </w:pPr>
      <w:r w:rsidRPr="00123362">
        <w:rPr>
          <w:rStyle w:val="FootnoteReference"/>
          <w:rFonts w:asciiTheme="majorHAnsi" w:hAnsiTheme="majorHAnsi"/>
          <w:sz w:val="16"/>
          <w:szCs w:val="16"/>
        </w:rPr>
        <w:footnoteRef/>
      </w:r>
      <w:r w:rsidRPr="00123362">
        <w:rPr>
          <w:rFonts w:asciiTheme="majorHAnsi" w:hAnsiTheme="majorHAnsi"/>
          <w:sz w:val="16"/>
          <w:szCs w:val="16"/>
          <w:lang w:val="es-ES"/>
        </w:rPr>
        <w:t xml:space="preserve"> Se pide reserva de identidad</w:t>
      </w:r>
      <w:r>
        <w:rPr>
          <w:rFonts w:asciiTheme="majorHAnsi" w:hAnsiTheme="majorHAnsi"/>
          <w:sz w:val="16"/>
          <w:szCs w:val="16"/>
          <w:lang w:val="es-ES"/>
        </w:rPr>
        <w:t xml:space="preserve"> de los hijos</w:t>
      </w:r>
      <w:r w:rsidRPr="00123362">
        <w:rPr>
          <w:rFonts w:asciiTheme="majorHAnsi" w:hAnsiTheme="majorHAnsi"/>
          <w:sz w:val="16"/>
          <w:szCs w:val="16"/>
          <w:lang w:val="es-ES_tradnl"/>
        </w:rPr>
        <w:t>: F. R. P. 17 años, R. M</w:t>
      </w:r>
      <w:r>
        <w:rPr>
          <w:rFonts w:asciiTheme="majorHAnsi" w:hAnsiTheme="majorHAnsi"/>
          <w:sz w:val="16"/>
          <w:szCs w:val="16"/>
          <w:lang w:val="es-ES_tradnl"/>
        </w:rPr>
        <w:t>. P. 15 años y</w:t>
      </w:r>
      <w:r w:rsidR="002670EF">
        <w:rPr>
          <w:rFonts w:asciiTheme="majorHAnsi" w:hAnsiTheme="majorHAnsi"/>
          <w:sz w:val="16"/>
          <w:szCs w:val="16"/>
          <w:lang w:val="es-ES_tradnl"/>
        </w:rPr>
        <w:t xml:space="preserve"> su hija:</w:t>
      </w:r>
      <w:r>
        <w:rPr>
          <w:rFonts w:asciiTheme="majorHAnsi" w:hAnsiTheme="majorHAnsi"/>
          <w:sz w:val="16"/>
          <w:szCs w:val="16"/>
          <w:lang w:val="es-ES_tradnl"/>
        </w:rPr>
        <w:t xml:space="preserve"> P. </w:t>
      </w:r>
      <w:r w:rsidRPr="00123362">
        <w:rPr>
          <w:rFonts w:asciiTheme="majorHAnsi" w:hAnsiTheme="majorHAnsi"/>
          <w:sz w:val="16"/>
          <w:szCs w:val="16"/>
          <w:lang w:val="es-ES_tradnl"/>
        </w:rPr>
        <w:t xml:space="preserve">S. P. 12 años, a la fecha de la petición. </w:t>
      </w:r>
    </w:p>
  </w:footnote>
  <w:footnote w:id="4">
    <w:p w14:paraId="03CCDC3F" w14:textId="77777777" w:rsidR="00DC11B8" w:rsidRPr="00233042" w:rsidRDefault="00DC11B8" w:rsidP="00123362">
      <w:pPr>
        <w:pStyle w:val="FootnoteText"/>
        <w:ind w:firstLine="720"/>
        <w:contextualSpacing/>
        <w:jc w:val="both"/>
        <w:rPr>
          <w:rFonts w:asciiTheme="majorHAnsi" w:hAnsiTheme="majorHAnsi"/>
          <w:sz w:val="16"/>
          <w:szCs w:val="16"/>
          <w:lang w:val="es-ES"/>
        </w:rPr>
      </w:pPr>
      <w:r w:rsidRPr="00233042">
        <w:rPr>
          <w:rStyle w:val="FootnoteReference"/>
          <w:rFonts w:asciiTheme="majorHAnsi" w:hAnsiTheme="majorHAnsi"/>
          <w:sz w:val="16"/>
          <w:szCs w:val="16"/>
        </w:rPr>
        <w:footnoteRef/>
      </w:r>
      <w:r w:rsidRPr="00233042">
        <w:rPr>
          <w:rFonts w:asciiTheme="majorHAnsi" w:hAnsiTheme="majorHAnsi"/>
          <w:sz w:val="16"/>
          <w:szCs w:val="16"/>
          <w:lang w:val="es-ES"/>
        </w:rPr>
        <w:t xml:space="preserve"> En adelante “la Convenci</w:t>
      </w:r>
      <w:r>
        <w:rPr>
          <w:rFonts w:asciiTheme="majorHAnsi" w:hAnsiTheme="majorHAnsi"/>
          <w:sz w:val="16"/>
          <w:szCs w:val="16"/>
          <w:lang w:val="es-ES"/>
        </w:rPr>
        <w:t>ón Americana”.</w:t>
      </w:r>
    </w:p>
  </w:footnote>
  <w:footnote w:id="5">
    <w:p w14:paraId="652A0173" w14:textId="77777777" w:rsidR="00DC11B8" w:rsidRPr="00233042" w:rsidRDefault="00DC11B8" w:rsidP="00123362">
      <w:pPr>
        <w:pStyle w:val="FootnoteText"/>
        <w:ind w:firstLine="720"/>
        <w:contextualSpacing/>
        <w:rPr>
          <w:rFonts w:asciiTheme="majorHAnsi" w:hAnsiTheme="majorHAnsi"/>
          <w:sz w:val="16"/>
          <w:szCs w:val="16"/>
          <w:lang w:val="es-ES"/>
        </w:rPr>
      </w:pPr>
      <w:r w:rsidRPr="00233042">
        <w:rPr>
          <w:rStyle w:val="FootnoteReference"/>
          <w:rFonts w:asciiTheme="majorHAnsi" w:hAnsiTheme="majorHAnsi"/>
          <w:sz w:val="16"/>
          <w:szCs w:val="16"/>
        </w:rPr>
        <w:footnoteRef/>
      </w:r>
      <w:r w:rsidRPr="00233042">
        <w:rPr>
          <w:rFonts w:asciiTheme="majorHAnsi" w:hAnsiTheme="majorHAnsi"/>
          <w:sz w:val="16"/>
          <w:szCs w:val="16"/>
          <w:lang w:val="es-ES"/>
        </w:rPr>
        <w:t xml:space="preserve"> En adelante</w:t>
      </w:r>
      <w:r>
        <w:rPr>
          <w:rFonts w:asciiTheme="majorHAnsi" w:hAnsiTheme="majorHAnsi"/>
          <w:sz w:val="16"/>
          <w:szCs w:val="16"/>
          <w:lang w:val="es-ES"/>
        </w:rPr>
        <w:t xml:space="preserve"> la</w:t>
      </w:r>
      <w:r w:rsidRPr="00233042">
        <w:rPr>
          <w:rFonts w:asciiTheme="majorHAnsi" w:hAnsiTheme="majorHAnsi"/>
          <w:sz w:val="16"/>
          <w:szCs w:val="16"/>
          <w:lang w:val="es-ES"/>
        </w:rPr>
        <w:t xml:space="preserve"> “Convención </w:t>
      </w:r>
      <w:r>
        <w:rPr>
          <w:rFonts w:asciiTheme="majorHAnsi" w:hAnsiTheme="majorHAnsi"/>
          <w:sz w:val="16"/>
          <w:szCs w:val="16"/>
          <w:lang w:val="es-ES"/>
        </w:rPr>
        <w:t xml:space="preserve">de </w:t>
      </w:r>
      <w:r w:rsidRPr="00233042">
        <w:rPr>
          <w:rFonts w:asciiTheme="majorHAnsi" w:hAnsiTheme="majorHAnsi"/>
          <w:sz w:val="16"/>
          <w:szCs w:val="16"/>
          <w:lang w:val="es-ES"/>
        </w:rPr>
        <w:t>Belém do Pará”.</w:t>
      </w:r>
    </w:p>
  </w:footnote>
  <w:footnote w:id="6">
    <w:p w14:paraId="17868B32" w14:textId="77777777" w:rsidR="00DC11B8" w:rsidRPr="00233042" w:rsidRDefault="00DC11B8" w:rsidP="00123362">
      <w:pPr>
        <w:pStyle w:val="FootnoteText"/>
        <w:ind w:firstLine="720"/>
        <w:contextualSpacing/>
        <w:rPr>
          <w:rFonts w:asciiTheme="majorHAnsi" w:hAnsiTheme="majorHAnsi"/>
          <w:sz w:val="16"/>
          <w:szCs w:val="16"/>
          <w:lang w:val="es-ES"/>
        </w:rPr>
      </w:pPr>
      <w:r w:rsidRPr="00233042">
        <w:rPr>
          <w:rStyle w:val="FootnoteReference"/>
          <w:rFonts w:asciiTheme="majorHAnsi" w:hAnsiTheme="majorHAnsi"/>
          <w:sz w:val="16"/>
          <w:szCs w:val="16"/>
        </w:rPr>
        <w:footnoteRef/>
      </w:r>
      <w:r>
        <w:rPr>
          <w:rFonts w:asciiTheme="majorHAnsi" w:hAnsiTheme="majorHAnsi"/>
          <w:sz w:val="16"/>
          <w:szCs w:val="16"/>
          <w:lang w:val="es-ES"/>
        </w:rPr>
        <w:t xml:space="preserve"> </w:t>
      </w:r>
      <w:r w:rsidRPr="00233042">
        <w:rPr>
          <w:rFonts w:asciiTheme="majorHAnsi" w:hAnsiTheme="majorHAnsi"/>
          <w:color w:val="auto"/>
          <w:sz w:val="16"/>
          <w:szCs w:val="16"/>
          <w:lang w:val="es-ES"/>
        </w:rPr>
        <w:t xml:space="preserve">Artículos 3, 4, 5, 19, 27 y 41 de la </w:t>
      </w:r>
      <w:r w:rsidRPr="00233042">
        <w:rPr>
          <w:rFonts w:asciiTheme="majorHAnsi" w:hAnsiTheme="majorHAnsi"/>
          <w:bCs/>
          <w:color w:val="auto"/>
          <w:sz w:val="16"/>
          <w:szCs w:val="16"/>
          <w:lang w:val="es-ES"/>
        </w:rPr>
        <w:t>Convención Internacional sobre los Derechos de</w:t>
      </w:r>
      <w:r>
        <w:rPr>
          <w:rFonts w:asciiTheme="majorHAnsi" w:hAnsiTheme="majorHAnsi"/>
          <w:bCs/>
          <w:color w:val="auto"/>
          <w:sz w:val="16"/>
          <w:szCs w:val="16"/>
          <w:lang w:val="es-ES"/>
        </w:rPr>
        <w:t>l</w:t>
      </w:r>
      <w:r w:rsidRPr="00233042">
        <w:rPr>
          <w:rFonts w:asciiTheme="majorHAnsi" w:hAnsiTheme="majorHAnsi"/>
          <w:bCs/>
          <w:color w:val="auto"/>
          <w:sz w:val="16"/>
          <w:szCs w:val="16"/>
          <w:lang w:val="es-ES"/>
        </w:rPr>
        <w:t xml:space="preserve"> Niño.</w:t>
      </w:r>
    </w:p>
  </w:footnote>
  <w:footnote w:id="7">
    <w:p w14:paraId="1F96BEA7" w14:textId="77777777" w:rsidR="00DC11B8" w:rsidRPr="00233042" w:rsidRDefault="00DC11B8" w:rsidP="00123362">
      <w:pPr>
        <w:pStyle w:val="FootnoteText"/>
        <w:ind w:firstLine="720"/>
        <w:contextualSpacing/>
        <w:jc w:val="both"/>
        <w:rPr>
          <w:rFonts w:asciiTheme="majorHAnsi" w:hAnsiTheme="majorHAnsi"/>
          <w:sz w:val="16"/>
          <w:szCs w:val="16"/>
          <w:lang w:val="es-ES"/>
        </w:rPr>
      </w:pPr>
      <w:r w:rsidRPr="00233042">
        <w:rPr>
          <w:rStyle w:val="FootnoteReference"/>
          <w:rFonts w:asciiTheme="majorHAnsi" w:hAnsiTheme="majorHAnsi"/>
          <w:sz w:val="16"/>
          <w:szCs w:val="16"/>
        </w:rPr>
        <w:footnoteRef/>
      </w:r>
      <w:r w:rsidRPr="00233042">
        <w:rPr>
          <w:rFonts w:asciiTheme="majorHAnsi" w:hAnsiTheme="majorHAnsi"/>
          <w:sz w:val="16"/>
          <w:szCs w:val="16"/>
          <w:lang w:val="es-ES"/>
        </w:rPr>
        <w:t xml:space="preserve"> Las observaciones de cada parte fueron debidamente trasladadas a la parte contraria.</w:t>
      </w:r>
    </w:p>
  </w:footnote>
  <w:footnote w:id="8">
    <w:p w14:paraId="081FBFA5" w14:textId="2522C0C3" w:rsidR="00653CC1" w:rsidRPr="00653CC1" w:rsidRDefault="00653CC1" w:rsidP="00653CC1">
      <w:pPr>
        <w:pStyle w:val="FootnoteText"/>
        <w:ind w:firstLine="720"/>
        <w:jc w:val="both"/>
        <w:rPr>
          <w:rFonts w:asciiTheme="majorHAnsi" w:hAnsiTheme="majorHAnsi"/>
          <w:sz w:val="16"/>
          <w:szCs w:val="16"/>
          <w:lang w:val="es-PA"/>
        </w:rPr>
      </w:pPr>
      <w:r>
        <w:rPr>
          <w:rStyle w:val="FootnoteReference"/>
        </w:rPr>
        <w:footnoteRef/>
      </w:r>
      <w:r w:rsidRPr="00653CC1">
        <w:rPr>
          <w:lang w:val="es-PA"/>
        </w:rPr>
        <w:t xml:space="preserve"> </w:t>
      </w:r>
      <w:r>
        <w:rPr>
          <w:rFonts w:asciiTheme="majorHAnsi" w:hAnsiTheme="majorHAnsi"/>
          <w:sz w:val="16"/>
          <w:szCs w:val="16"/>
          <w:lang w:val="es-PA"/>
        </w:rPr>
        <w:t>La petició</w:t>
      </w:r>
      <w:r w:rsidR="009A661C">
        <w:rPr>
          <w:rFonts w:asciiTheme="majorHAnsi" w:hAnsiTheme="majorHAnsi"/>
          <w:sz w:val="16"/>
          <w:szCs w:val="16"/>
          <w:lang w:val="es-PA"/>
        </w:rPr>
        <w:t>n fue trasladada nuevamente el 19</w:t>
      </w:r>
      <w:r>
        <w:rPr>
          <w:rFonts w:asciiTheme="majorHAnsi" w:hAnsiTheme="majorHAnsi"/>
          <w:sz w:val="16"/>
          <w:szCs w:val="16"/>
          <w:lang w:val="es-PA"/>
        </w:rPr>
        <w:t xml:space="preserve"> de </w:t>
      </w:r>
      <w:r w:rsidR="009A661C">
        <w:rPr>
          <w:rFonts w:asciiTheme="majorHAnsi" w:hAnsiTheme="majorHAnsi"/>
          <w:sz w:val="16"/>
          <w:szCs w:val="16"/>
          <w:lang w:val="es-PA"/>
        </w:rPr>
        <w:t>abril de 2017</w:t>
      </w:r>
      <w:r>
        <w:rPr>
          <w:rFonts w:asciiTheme="majorHAnsi" w:hAnsiTheme="majorHAnsi"/>
          <w:sz w:val="16"/>
          <w:szCs w:val="16"/>
          <w:lang w:val="es-PA"/>
        </w:rPr>
        <w:t xml:space="preserve"> luego de que el Estado indicara que no tenía registro de la Nota de 31 de enero de 2014 mediante la cual originalmente se trasladó la petición.</w:t>
      </w:r>
    </w:p>
  </w:footnote>
  <w:footnote w:id="9">
    <w:p w14:paraId="5D2FDDB0" w14:textId="1C043630" w:rsidR="00DC11B8" w:rsidRPr="005846E6" w:rsidRDefault="00DC11B8" w:rsidP="005846E6">
      <w:pPr>
        <w:pStyle w:val="FootnoteText"/>
        <w:ind w:firstLine="720"/>
        <w:jc w:val="both"/>
        <w:rPr>
          <w:rFonts w:asciiTheme="majorHAnsi" w:hAnsiTheme="majorHAnsi"/>
          <w:sz w:val="16"/>
          <w:szCs w:val="16"/>
          <w:lang w:val="es-PA"/>
        </w:rPr>
      </w:pPr>
      <w:r>
        <w:rPr>
          <w:rStyle w:val="FootnoteReference"/>
        </w:rPr>
        <w:footnoteRef/>
      </w:r>
      <w:r w:rsidRPr="005846E6">
        <w:rPr>
          <w:lang w:val="es-PA"/>
        </w:rPr>
        <w:t xml:space="preserve"> </w:t>
      </w:r>
      <w:r w:rsidR="00843E9C" w:rsidRPr="007D3ADB">
        <w:rPr>
          <w:rFonts w:asciiTheme="majorHAnsi" w:hAnsiTheme="majorHAnsi"/>
          <w:sz w:val="16"/>
          <w:szCs w:val="16"/>
          <w:lang w:val="es-PA"/>
        </w:rPr>
        <w:t>Se</w:t>
      </w:r>
      <w:r w:rsidRPr="00843E9C">
        <w:rPr>
          <w:rFonts w:asciiTheme="majorHAnsi" w:hAnsiTheme="majorHAnsi"/>
          <w:sz w:val="16"/>
          <w:szCs w:val="16"/>
          <w:lang w:val="es-PA"/>
        </w:rPr>
        <w:t xml:space="preserve"> indica</w:t>
      </w:r>
      <w:r w:rsidRPr="005846E6">
        <w:rPr>
          <w:rFonts w:asciiTheme="majorHAnsi" w:hAnsiTheme="majorHAnsi"/>
          <w:sz w:val="16"/>
          <w:szCs w:val="16"/>
          <w:lang w:val="es-PA"/>
        </w:rPr>
        <w:t xml:space="preserve"> </w:t>
      </w:r>
      <w:r w:rsidR="00843E9C">
        <w:rPr>
          <w:rFonts w:asciiTheme="majorHAnsi" w:hAnsiTheme="majorHAnsi"/>
          <w:sz w:val="16"/>
          <w:szCs w:val="16"/>
          <w:lang w:val="es-PA"/>
        </w:rPr>
        <w:t xml:space="preserve">que </w:t>
      </w:r>
      <w:r w:rsidR="00843E9C" w:rsidRPr="005846E6">
        <w:rPr>
          <w:rFonts w:asciiTheme="majorHAnsi" w:hAnsiTheme="majorHAnsi"/>
          <w:sz w:val="16"/>
          <w:szCs w:val="16"/>
          <w:lang w:val="es-PA"/>
        </w:rPr>
        <w:t>tenían 17</w:t>
      </w:r>
      <w:r w:rsidRPr="005846E6">
        <w:rPr>
          <w:rFonts w:asciiTheme="majorHAnsi" w:hAnsiTheme="majorHAnsi"/>
          <w:sz w:val="16"/>
          <w:szCs w:val="16"/>
          <w:lang w:val="es-PA"/>
        </w:rPr>
        <w:t xml:space="preserve"> y 15 años al momento de la presentación de la petición.</w:t>
      </w:r>
    </w:p>
  </w:footnote>
  <w:footnote w:id="10">
    <w:p w14:paraId="13BAAE96" w14:textId="689F8B3A" w:rsidR="00DC11B8" w:rsidRPr="00910055" w:rsidRDefault="00DC11B8" w:rsidP="00910055">
      <w:pPr>
        <w:pStyle w:val="FootnoteText"/>
        <w:ind w:firstLine="720"/>
        <w:jc w:val="both"/>
        <w:rPr>
          <w:rFonts w:asciiTheme="majorHAnsi" w:hAnsiTheme="majorHAnsi"/>
          <w:sz w:val="16"/>
          <w:szCs w:val="16"/>
          <w:lang w:val="es-PA"/>
        </w:rPr>
      </w:pPr>
      <w:r w:rsidRPr="00910055">
        <w:rPr>
          <w:rStyle w:val="FootnoteReference"/>
          <w:rFonts w:asciiTheme="majorHAnsi" w:hAnsiTheme="majorHAnsi"/>
          <w:sz w:val="16"/>
          <w:szCs w:val="16"/>
        </w:rPr>
        <w:footnoteRef/>
      </w:r>
      <w:r w:rsidRPr="00910055">
        <w:rPr>
          <w:rFonts w:asciiTheme="majorHAnsi" w:hAnsiTheme="majorHAnsi"/>
          <w:sz w:val="16"/>
          <w:szCs w:val="16"/>
          <w:lang w:val="es-PA"/>
        </w:rPr>
        <w:t xml:space="preserve"> </w:t>
      </w:r>
      <w:r w:rsidR="00843E9C">
        <w:rPr>
          <w:rFonts w:asciiTheme="majorHAnsi" w:hAnsiTheme="majorHAnsi"/>
          <w:sz w:val="16"/>
          <w:szCs w:val="16"/>
          <w:lang w:val="es-PA"/>
        </w:rPr>
        <w:t>Se</w:t>
      </w:r>
      <w:r w:rsidRPr="00910055">
        <w:rPr>
          <w:rFonts w:asciiTheme="majorHAnsi" w:hAnsiTheme="majorHAnsi"/>
          <w:sz w:val="16"/>
          <w:szCs w:val="16"/>
          <w:lang w:val="es-PA"/>
        </w:rPr>
        <w:t xml:space="preserve"> indica </w:t>
      </w:r>
      <w:r w:rsidR="00843E9C">
        <w:rPr>
          <w:rFonts w:asciiTheme="majorHAnsi" w:hAnsiTheme="majorHAnsi"/>
          <w:sz w:val="16"/>
          <w:szCs w:val="16"/>
          <w:lang w:val="es-PA"/>
        </w:rPr>
        <w:t xml:space="preserve">que </w:t>
      </w:r>
      <w:r w:rsidRPr="00910055">
        <w:rPr>
          <w:rFonts w:asciiTheme="majorHAnsi" w:hAnsiTheme="majorHAnsi"/>
          <w:sz w:val="16"/>
          <w:szCs w:val="16"/>
          <w:lang w:val="es-PA"/>
        </w:rPr>
        <w:t>tenía 12 años al momento de presentada la petición.</w:t>
      </w:r>
    </w:p>
  </w:footnote>
  <w:footnote w:id="11">
    <w:p w14:paraId="461E7C57" w14:textId="25353433" w:rsidR="00DC11B8" w:rsidRPr="00910055" w:rsidRDefault="00DC11B8" w:rsidP="00910055">
      <w:pPr>
        <w:pStyle w:val="FootnoteText"/>
        <w:ind w:firstLine="720"/>
        <w:jc w:val="both"/>
        <w:rPr>
          <w:rFonts w:asciiTheme="majorHAnsi" w:hAnsiTheme="majorHAnsi"/>
          <w:sz w:val="16"/>
          <w:szCs w:val="16"/>
          <w:lang w:val="es-PA"/>
        </w:rPr>
      </w:pPr>
      <w:r w:rsidRPr="00910055">
        <w:rPr>
          <w:rStyle w:val="FootnoteReference"/>
          <w:rFonts w:asciiTheme="majorHAnsi" w:hAnsiTheme="majorHAnsi"/>
          <w:sz w:val="16"/>
          <w:szCs w:val="16"/>
        </w:rPr>
        <w:footnoteRef/>
      </w:r>
      <w:r w:rsidRPr="00910055">
        <w:rPr>
          <w:rFonts w:asciiTheme="majorHAnsi" w:hAnsiTheme="majorHAnsi"/>
          <w:sz w:val="16"/>
          <w:szCs w:val="16"/>
          <w:lang w:val="es-PA"/>
        </w:rPr>
        <w:t xml:space="preserve"> Indica que, en adición a la violencia doméstica, pudo constatar que su ex esposo incurrió en infidelidad conyugal. </w:t>
      </w:r>
    </w:p>
  </w:footnote>
  <w:footnote w:id="12">
    <w:p w14:paraId="3AF1514C" w14:textId="4BAD2E53" w:rsidR="00DC11B8" w:rsidRPr="00910055" w:rsidRDefault="00DC11B8" w:rsidP="00910055">
      <w:pPr>
        <w:pStyle w:val="FootnoteText"/>
        <w:ind w:firstLine="720"/>
        <w:jc w:val="both"/>
        <w:rPr>
          <w:rFonts w:asciiTheme="majorHAnsi" w:hAnsiTheme="majorHAnsi"/>
          <w:sz w:val="16"/>
          <w:szCs w:val="16"/>
          <w:lang w:val="es-PA"/>
        </w:rPr>
      </w:pPr>
      <w:r w:rsidRPr="00910055">
        <w:rPr>
          <w:rStyle w:val="FootnoteReference"/>
          <w:rFonts w:asciiTheme="majorHAnsi" w:hAnsiTheme="majorHAnsi"/>
          <w:sz w:val="16"/>
          <w:szCs w:val="16"/>
        </w:rPr>
        <w:footnoteRef/>
      </w:r>
      <w:r w:rsidRPr="00910055">
        <w:rPr>
          <w:rFonts w:asciiTheme="majorHAnsi" w:hAnsiTheme="majorHAnsi"/>
          <w:sz w:val="16"/>
          <w:szCs w:val="16"/>
          <w:lang w:val="es-PA"/>
        </w:rPr>
        <w:t xml:space="preserve"> </w:t>
      </w:r>
      <w:r w:rsidRPr="00910055">
        <w:rPr>
          <w:rFonts w:asciiTheme="majorHAnsi" w:hAnsiTheme="majorHAnsi"/>
          <w:sz w:val="16"/>
          <w:szCs w:val="16"/>
          <w:lang w:val="es-ES_tradnl"/>
        </w:rPr>
        <w:t xml:space="preserve">La señora </w:t>
      </w:r>
      <w:r w:rsidR="00843E9C" w:rsidRPr="00910055">
        <w:rPr>
          <w:rFonts w:asciiTheme="majorHAnsi" w:hAnsiTheme="majorHAnsi"/>
          <w:sz w:val="16"/>
          <w:szCs w:val="16"/>
          <w:lang w:val="es-ES_tradnl"/>
        </w:rPr>
        <w:t>Pérez</w:t>
      </w:r>
      <w:r w:rsidRPr="00910055">
        <w:rPr>
          <w:rFonts w:asciiTheme="majorHAnsi" w:hAnsiTheme="majorHAnsi"/>
          <w:sz w:val="16"/>
          <w:szCs w:val="16"/>
          <w:lang w:val="es-ES_tradnl"/>
        </w:rPr>
        <w:t xml:space="preserve"> tendría la tenencia de los 3 niños y su entonces esposo un régimen de visita libre y flexible.</w:t>
      </w:r>
    </w:p>
  </w:footnote>
  <w:footnote w:id="13">
    <w:p w14:paraId="2F03B4FB" w14:textId="5A37B7B2" w:rsidR="00DC11B8" w:rsidRPr="00910055" w:rsidRDefault="00DC11B8" w:rsidP="00910055">
      <w:pPr>
        <w:pStyle w:val="FootnoteText"/>
        <w:ind w:firstLine="720"/>
        <w:jc w:val="both"/>
        <w:rPr>
          <w:rFonts w:asciiTheme="majorHAnsi" w:hAnsiTheme="majorHAnsi"/>
          <w:sz w:val="16"/>
          <w:szCs w:val="16"/>
          <w:lang w:val="es-PA"/>
        </w:rPr>
      </w:pPr>
      <w:r w:rsidRPr="00910055">
        <w:rPr>
          <w:rStyle w:val="FootnoteReference"/>
          <w:rFonts w:asciiTheme="majorHAnsi" w:hAnsiTheme="majorHAnsi"/>
          <w:sz w:val="16"/>
          <w:szCs w:val="16"/>
        </w:rPr>
        <w:footnoteRef/>
      </w:r>
      <w:r w:rsidRPr="00910055">
        <w:rPr>
          <w:rFonts w:asciiTheme="majorHAnsi" w:hAnsiTheme="majorHAnsi"/>
          <w:sz w:val="16"/>
          <w:szCs w:val="16"/>
          <w:lang w:val="es-PA"/>
        </w:rPr>
        <w:t xml:space="preserve"> Según relata, su entonces esposo le tomó de las muñecas </w:t>
      </w:r>
      <w:r w:rsidR="00843E9C">
        <w:rPr>
          <w:rFonts w:asciiTheme="majorHAnsi" w:hAnsiTheme="majorHAnsi"/>
          <w:sz w:val="16"/>
          <w:szCs w:val="16"/>
          <w:lang w:val="es-PA"/>
        </w:rPr>
        <w:t xml:space="preserve">y le </w:t>
      </w:r>
      <w:r w:rsidRPr="00910055">
        <w:rPr>
          <w:rFonts w:asciiTheme="majorHAnsi" w:hAnsiTheme="majorHAnsi"/>
          <w:sz w:val="16"/>
          <w:szCs w:val="16"/>
          <w:lang w:val="es-PA"/>
        </w:rPr>
        <w:t>torci</w:t>
      </w:r>
      <w:r w:rsidR="00843E9C">
        <w:rPr>
          <w:rFonts w:asciiTheme="majorHAnsi" w:hAnsiTheme="majorHAnsi"/>
          <w:sz w:val="16"/>
          <w:szCs w:val="16"/>
          <w:lang w:val="es-PA"/>
        </w:rPr>
        <w:t>ó</w:t>
      </w:r>
      <w:r w:rsidRPr="00910055">
        <w:rPr>
          <w:rFonts w:asciiTheme="majorHAnsi" w:hAnsiTheme="majorHAnsi"/>
          <w:sz w:val="16"/>
          <w:szCs w:val="16"/>
          <w:lang w:val="es-PA"/>
        </w:rPr>
        <w:t xml:space="preserve"> los brazos hacia atrás</w:t>
      </w:r>
      <w:r w:rsidR="00843E9C">
        <w:rPr>
          <w:rFonts w:asciiTheme="majorHAnsi" w:hAnsiTheme="majorHAnsi"/>
          <w:sz w:val="16"/>
          <w:szCs w:val="16"/>
          <w:lang w:val="es-PA"/>
        </w:rPr>
        <w:t>, lo que le</w:t>
      </w:r>
      <w:r w:rsidRPr="00910055">
        <w:rPr>
          <w:rFonts w:asciiTheme="majorHAnsi" w:hAnsiTheme="majorHAnsi"/>
          <w:sz w:val="16"/>
          <w:szCs w:val="16"/>
          <w:lang w:val="es-PA"/>
        </w:rPr>
        <w:t xml:space="preserve"> provoc</w:t>
      </w:r>
      <w:r w:rsidR="00843E9C">
        <w:rPr>
          <w:rFonts w:asciiTheme="majorHAnsi" w:hAnsiTheme="majorHAnsi"/>
          <w:sz w:val="16"/>
          <w:szCs w:val="16"/>
          <w:lang w:val="es-PA"/>
        </w:rPr>
        <w:t>ó</w:t>
      </w:r>
      <w:r w:rsidRPr="00910055">
        <w:rPr>
          <w:rFonts w:asciiTheme="majorHAnsi" w:hAnsiTheme="majorHAnsi"/>
          <w:sz w:val="16"/>
          <w:szCs w:val="16"/>
          <w:lang w:val="es-PA"/>
        </w:rPr>
        <w:t xml:space="preserve"> distintas lesiones.</w:t>
      </w:r>
    </w:p>
  </w:footnote>
  <w:footnote w:id="14">
    <w:p w14:paraId="5D53658C" w14:textId="77777777" w:rsidR="00DC11B8" w:rsidRPr="00910055" w:rsidRDefault="00DC11B8" w:rsidP="001A3498">
      <w:pPr>
        <w:pStyle w:val="FootnoteText"/>
        <w:ind w:firstLine="720"/>
        <w:jc w:val="both"/>
        <w:rPr>
          <w:rFonts w:asciiTheme="majorHAnsi" w:hAnsiTheme="majorHAnsi"/>
          <w:sz w:val="16"/>
          <w:szCs w:val="16"/>
          <w:lang w:val="es-ES"/>
        </w:rPr>
      </w:pPr>
      <w:r w:rsidRPr="00910055">
        <w:rPr>
          <w:rStyle w:val="FootnoteReference"/>
          <w:rFonts w:asciiTheme="majorHAnsi" w:hAnsiTheme="majorHAnsi"/>
          <w:sz w:val="16"/>
          <w:szCs w:val="16"/>
        </w:rPr>
        <w:footnoteRef/>
      </w:r>
      <w:r w:rsidRPr="00910055">
        <w:rPr>
          <w:rFonts w:asciiTheme="majorHAnsi" w:hAnsiTheme="majorHAnsi"/>
          <w:sz w:val="16"/>
          <w:szCs w:val="16"/>
          <w:lang w:val="es-ES"/>
        </w:rPr>
        <w:t xml:space="preserve"> Expediente número </w:t>
      </w:r>
      <w:proofErr w:type="gramStart"/>
      <w:r w:rsidRPr="00910055">
        <w:rPr>
          <w:rFonts w:asciiTheme="majorHAnsi" w:hAnsiTheme="majorHAnsi"/>
          <w:sz w:val="16"/>
          <w:szCs w:val="16"/>
          <w:lang w:val="es-ES"/>
        </w:rPr>
        <w:t>27.112 ”</w:t>
      </w:r>
      <w:proofErr w:type="gramEnd"/>
      <w:r w:rsidRPr="00910055">
        <w:rPr>
          <w:rFonts w:asciiTheme="majorHAnsi" w:hAnsiTheme="majorHAnsi"/>
          <w:sz w:val="16"/>
          <w:szCs w:val="16"/>
          <w:lang w:val="es-ES"/>
        </w:rPr>
        <w:t xml:space="preserve">Fiscal c/ </w:t>
      </w:r>
      <w:proofErr w:type="spellStart"/>
      <w:r w:rsidRPr="00910055">
        <w:rPr>
          <w:rFonts w:asciiTheme="majorHAnsi" w:hAnsiTheme="majorHAnsi"/>
          <w:sz w:val="16"/>
          <w:szCs w:val="16"/>
          <w:lang w:val="es-ES"/>
        </w:rPr>
        <w:t>Paturzo</w:t>
      </w:r>
      <w:proofErr w:type="spellEnd"/>
      <w:r w:rsidRPr="00910055">
        <w:rPr>
          <w:rFonts w:asciiTheme="majorHAnsi" w:hAnsiTheme="majorHAnsi"/>
          <w:sz w:val="16"/>
          <w:szCs w:val="16"/>
          <w:lang w:val="es-ES"/>
        </w:rPr>
        <w:t xml:space="preserve"> por lesiones leves calificadas”.</w:t>
      </w:r>
    </w:p>
  </w:footnote>
  <w:footnote w:id="15">
    <w:p w14:paraId="77976A8E" w14:textId="5756423E" w:rsidR="00DC11B8" w:rsidRPr="00921CB6" w:rsidRDefault="00DC11B8" w:rsidP="00921CB6">
      <w:pPr>
        <w:pStyle w:val="FootnoteText"/>
        <w:ind w:firstLine="720"/>
        <w:jc w:val="both"/>
        <w:rPr>
          <w:rFonts w:asciiTheme="majorHAnsi" w:hAnsiTheme="majorHAnsi"/>
          <w:sz w:val="16"/>
          <w:szCs w:val="16"/>
          <w:lang w:val="es-PA"/>
        </w:rPr>
      </w:pPr>
      <w:r>
        <w:rPr>
          <w:rStyle w:val="FootnoteReference"/>
        </w:rPr>
        <w:footnoteRef/>
      </w:r>
      <w:r w:rsidRPr="00921CB6">
        <w:rPr>
          <w:lang w:val="es-PA"/>
        </w:rPr>
        <w:t xml:space="preserve"> </w:t>
      </w:r>
      <w:r>
        <w:rPr>
          <w:rFonts w:asciiTheme="majorHAnsi" w:hAnsiTheme="majorHAnsi"/>
          <w:sz w:val="16"/>
          <w:szCs w:val="16"/>
          <w:lang w:val="es-PA"/>
        </w:rPr>
        <w:t xml:space="preserve">La parte peticionaria considera que esto es incorrecto pues, a su entender, la función del </w:t>
      </w:r>
      <w:r w:rsidR="00843E9C">
        <w:rPr>
          <w:rFonts w:asciiTheme="majorHAnsi" w:hAnsiTheme="majorHAnsi"/>
          <w:sz w:val="16"/>
          <w:szCs w:val="16"/>
          <w:lang w:val="es-PA"/>
        </w:rPr>
        <w:t>D</w:t>
      </w:r>
      <w:r>
        <w:rPr>
          <w:rFonts w:asciiTheme="majorHAnsi" w:hAnsiTheme="majorHAnsi"/>
          <w:sz w:val="16"/>
          <w:szCs w:val="16"/>
          <w:lang w:val="es-PA"/>
        </w:rPr>
        <w:t xml:space="preserve">epartamento es auxiliar a la mujer ante cualquier tipo de violencia con independencia de que </w:t>
      </w:r>
      <w:r w:rsidR="002F22C3">
        <w:rPr>
          <w:rFonts w:asciiTheme="majorHAnsi" w:hAnsiTheme="majorHAnsi"/>
          <w:sz w:val="16"/>
          <w:szCs w:val="16"/>
          <w:lang w:val="es-PA"/>
        </w:rPr>
        <w:t>provenga</w:t>
      </w:r>
      <w:r>
        <w:rPr>
          <w:rFonts w:asciiTheme="majorHAnsi" w:hAnsiTheme="majorHAnsi"/>
          <w:sz w:val="16"/>
          <w:szCs w:val="16"/>
          <w:lang w:val="es-PA"/>
        </w:rPr>
        <w:t xml:space="preserve"> lo privado o de lo público. </w:t>
      </w:r>
    </w:p>
  </w:footnote>
  <w:footnote w:id="16">
    <w:p w14:paraId="5E0964B8" w14:textId="77777777" w:rsidR="00DC11B8" w:rsidRPr="00C92A37" w:rsidRDefault="00DC11B8" w:rsidP="00910055">
      <w:pPr>
        <w:pStyle w:val="FootnoteText"/>
        <w:ind w:firstLine="720"/>
        <w:jc w:val="both"/>
        <w:rPr>
          <w:rFonts w:asciiTheme="majorHAnsi" w:hAnsiTheme="majorHAnsi"/>
          <w:lang w:val="es-ES_tradnl"/>
        </w:rPr>
      </w:pPr>
      <w:r w:rsidRPr="00910055">
        <w:rPr>
          <w:rStyle w:val="FootnoteReference"/>
          <w:rFonts w:asciiTheme="majorHAnsi" w:hAnsiTheme="majorHAnsi"/>
          <w:sz w:val="16"/>
          <w:szCs w:val="16"/>
          <w:lang w:val="es-ES_tradnl"/>
        </w:rPr>
        <w:footnoteRef/>
      </w:r>
      <w:r w:rsidRPr="00910055">
        <w:rPr>
          <w:rFonts w:asciiTheme="majorHAnsi" w:hAnsiTheme="majorHAnsi"/>
          <w:sz w:val="16"/>
          <w:szCs w:val="16"/>
          <w:lang w:val="es-ES_tradnl"/>
        </w:rPr>
        <w:t xml:space="preserve"> Expediente número 36.530 “Pérez María </w:t>
      </w:r>
      <w:proofErr w:type="spellStart"/>
      <w:r w:rsidRPr="00910055">
        <w:rPr>
          <w:rFonts w:asciiTheme="majorHAnsi" w:hAnsiTheme="majorHAnsi"/>
          <w:sz w:val="16"/>
          <w:szCs w:val="16"/>
          <w:lang w:val="es-ES_tradnl"/>
        </w:rPr>
        <w:t>Adelia</w:t>
      </w:r>
      <w:proofErr w:type="spellEnd"/>
      <w:r w:rsidRPr="00910055">
        <w:rPr>
          <w:rFonts w:asciiTheme="majorHAnsi" w:hAnsiTheme="majorHAnsi"/>
          <w:sz w:val="16"/>
          <w:szCs w:val="16"/>
          <w:lang w:val="es-ES_tradnl"/>
        </w:rPr>
        <w:t xml:space="preserve"> c/ </w:t>
      </w:r>
      <w:proofErr w:type="spellStart"/>
      <w:r w:rsidRPr="00910055">
        <w:rPr>
          <w:rFonts w:asciiTheme="majorHAnsi" w:hAnsiTheme="majorHAnsi"/>
          <w:sz w:val="16"/>
          <w:szCs w:val="16"/>
          <w:lang w:val="es-ES_tradnl"/>
        </w:rPr>
        <w:t>Paturzo</w:t>
      </w:r>
      <w:proofErr w:type="spellEnd"/>
      <w:r w:rsidRPr="00910055">
        <w:rPr>
          <w:rFonts w:asciiTheme="majorHAnsi" w:hAnsiTheme="majorHAnsi"/>
          <w:sz w:val="16"/>
          <w:szCs w:val="16"/>
          <w:lang w:val="es-ES_tradnl"/>
        </w:rPr>
        <w:t xml:space="preserve">, Raúl Humberto por divorcio” y expediente número 36.531 “Rita Pérez c/ </w:t>
      </w:r>
      <w:proofErr w:type="spellStart"/>
      <w:r w:rsidRPr="00910055">
        <w:rPr>
          <w:rFonts w:asciiTheme="majorHAnsi" w:hAnsiTheme="majorHAnsi"/>
          <w:sz w:val="16"/>
          <w:szCs w:val="16"/>
          <w:lang w:val="es-ES_tradnl"/>
        </w:rPr>
        <w:t>Paturzo</w:t>
      </w:r>
      <w:proofErr w:type="spellEnd"/>
      <w:r w:rsidRPr="00910055">
        <w:rPr>
          <w:rFonts w:asciiTheme="majorHAnsi" w:hAnsiTheme="majorHAnsi"/>
          <w:sz w:val="16"/>
          <w:szCs w:val="16"/>
          <w:lang w:val="es-ES_tradnl"/>
        </w:rPr>
        <w:t xml:space="preserve"> Raúl p/ alimentos”.</w:t>
      </w:r>
    </w:p>
  </w:footnote>
  <w:footnote w:id="17">
    <w:p w14:paraId="684596E0" w14:textId="73657F9E" w:rsidR="00DC11B8" w:rsidRPr="00BF3A48" w:rsidRDefault="00DC11B8" w:rsidP="00BF3A48">
      <w:pPr>
        <w:pStyle w:val="FootnoteText"/>
        <w:ind w:firstLine="720"/>
        <w:jc w:val="both"/>
        <w:rPr>
          <w:rFonts w:asciiTheme="majorHAnsi" w:hAnsiTheme="majorHAnsi"/>
          <w:sz w:val="16"/>
          <w:szCs w:val="16"/>
          <w:lang w:val="es-PA"/>
        </w:rPr>
      </w:pPr>
      <w:r w:rsidRPr="00BF3A48">
        <w:rPr>
          <w:rStyle w:val="FootnoteReference"/>
          <w:rFonts w:asciiTheme="majorHAnsi" w:hAnsiTheme="majorHAnsi"/>
          <w:sz w:val="16"/>
          <w:szCs w:val="16"/>
        </w:rPr>
        <w:footnoteRef/>
      </w:r>
      <w:r w:rsidRPr="00BF3A48">
        <w:rPr>
          <w:rFonts w:asciiTheme="majorHAnsi" w:hAnsiTheme="majorHAnsi"/>
          <w:sz w:val="16"/>
          <w:szCs w:val="16"/>
          <w:lang w:val="es-PA"/>
        </w:rPr>
        <w:t xml:space="preserve"> La institución valoró que tenía </w:t>
      </w:r>
      <w:r w:rsidRPr="00BF3A48">
        <w:rPr>
          <w:rFonts w:asciiTheme="majorHAnsi" w:hAnsiTheme="majorHAnsi"/>
          <w:color w:val="auto"/>
          <w:sz w:val="16"/>
          <w:szCs w:val="16"/>
          <w:lang w:val="es-ES_tradnl"/>
        </w:rPr>
        <w:t xml:space="preserve">un automóvil y un trabajo como maestra </w:t>
      </w:r>
      <w:r>
        <w:rPr>
          <w:rFonts w:asciiTheme="majorHAnsi" w:hAnsiTheme="majorHAnsi"/>
          <w:color w:val="auto"/>
          <w:sz w:val="16"/>
          <w:szCs w:val="16"/>
          <w:lang w:val="es-ES_tradnl"/>
        </w:rPr>
        <w:t>reemplazante</w:t>
      </w:r>
      <w:r w:rsidRPr="00BF3A48">
        <w:rPr>
          <w:rFonts w:asciiTheme="majorHAnsi" w:hAnsiTheme="majorHAnsi"/>
          <w:color w:val="auto"/>
          <w:sz w:val="16"/>
          <w:szCs w:val="16"/>
          <w:lang w:val="es-ES_tradnl"/>
        </w:rPr>
        <w:t xml:space="preserve">. </w:t>
      </w:r>
    </w:p>
  </w:footnote>
  <w:footnote w:id="18">
    <w:p w14:paraId="19DAB18E" w14:textId="3A732D26" w:rsidR="00DC11B8" w:rsidRPr="00436D09" w:rsidRDefault="00DC11B8" w:rsidP="00436D09">
      <w:pPr>
        <w:pStyle w:val="FootnoteText"/>
        <w:ind w:firstLine="720"/>
        <w:jc w:val="both"/>
        <w:rPr>
          <w:rFonts w:asciiTheme="majorHAnsi" w:hAnsiTheme="majorHAnsi"/>
          <w:sz w:val="16"/>
          <w:szCs w:val="16"/>
          <w:lang w:val="es-PA"/>
        </w:rPr>
      </w:pPr>
      <w:r>
        <w:rPr>
          <w:rStyle w:val="FootnoteReference"/>
        </w:rPr>
        <w:footnoteRef/>
      </w:r>
      <w:r w:rsidRPr="00436D09">
        <w:rPr>
          <w:lang w:val="es-PA"/>
        </w:rPr>
        <w:t xml:space="preserve"> </w:t>
      </w:r>
      <w:r>
        <w:rPr>
          <w:rFonts w:asciiTheme="majorHAnsi" w:hAnsiTheme="majorHAnsi"/>
          <w:sz w:val="16"/>
          <w:szCs w:val="16"/>
          <w:lang w:val="es-PA"/>
        </w:rPr>
        <w:t xml:space="preserve">Alega que, </w:t>
      </w:r>
      <w:r w:rsidR="00843E9C">
        <w:rPr>
          <w:rFonts w:asciiTheme="majorHAnsi" w:hAnsiTheme="majorHAnsi"/>
          <w:sz w:val="16"/>
          <w:szCs w:val="16"/>
          <w:lang w:val="es-PA"/>
        </w:rPr>
        <w:t>como</w:t>
      </w:r>
      <w:r>
        <w:rPr>
          <w:rFonts w:asciiTheme="majorHAnsi" w:hAnsiTheme="majorHAnsi"/>
          <w:sz w:val="16"/>
          <w:szCs w:val="16"/>
          <w:lang w:val="es-PA"/>
        </w:rPr>
        <w:t xml:space="preserve"> abogado, su ex esposo tenía la capacidad financiera para cumplir fluida y regularmente con </w:t>
      </w:r>
      <w:r w:rsidR="00843E9C">
        <w:rPr>
          <w:rFonts w:asciiTheme="majorHAnsi" w:hAnsiTheme="majorHAnsi"/>
          <w:sz w:val="16"/>
          <w:szCs w:val="16"/>
          <w:lang w:val="es-PA"/>
        </w:rPr>
        <w:t>las</w:t>
      </w:r>
      <w:r>
        <w:rPr>
          <w:rFonts w:asciiTheme="majorHAnsi" w:hAnsiTheme="majorHAnsi"/>
          <w:sz w:val="16"/>
          <w:szCs w:val="16"/>
          <w:lang w:val="es-PA"/>
        </w:rPr>
        <w:t xml:space="preserve"> obligaciones para con sus hijos. </w:t>
      </w:r>
    </w:p>
  </w:footnote>
  <w:footnote w:id="19">
    <w:p w14:paraId="688F50C1" w14:textId="6F97D9B4" w:rsidR="00DC11B8" w:rsidRPr="005E7829" w:rsidRDefault="00DC11B8" w:rsidP="005E7829">
      <w:pPr>
        <w:pStyle w:val="FootnoteText"/>
        <w:ind w:firstLine="720"/>
        <w:jc w:val="both"/>
        <w:rPr>
          <w:rFonts w:asciiTheme="majorHAnsi" w:hAnsiTheme="majorHAnsi"/>
          <w:sz w:val="16"/>
          <w:szCs w:val="16"/>
          <w:lang w:val="es-PA"/>
        </w:rPr>
      </w:pPr>
      <w:r>
        <w:rPr>
          <w:rStyle w:val="FootnoteReference"/>
        </w:rPr>
        <w:footnoteRef/>
      </w:r>
      <w:r w:rsidRPr="005E7829">
        <w:rPr>
          <w:lang w:val="es-PA"/>
        </w:rPr>
        <w:t xml:space="preserve"> </w:t>
      </w:r>
      <w:r w:rsidRPr="00B16779">
        <w:rPr>
          <w:rFonts w:asciiTheme="majorHAnsi" w:hAnsiTheme="majorHAnsi"/>
          <w:sz w:val="16"/>
          <w:szCs w:val="16"/>
          <w:lang w:val="es-PA"/>
        </w:rPr>
        <w:t xml:space="preserve">En general denuncia que para la señora </w:t>
      </w:r>
      <w:r w:rsidR="002F22C3" w:rsidRPr="00B16779">
        <w:rPr>
          <w:rFonts w:asciiTheme="majorHAnsi" w:hAnsiTheme="majorHAnsi"/>
          <w:sz w:val="16"/>
          <w:szCs w:val="16"/>
          <w:lang w:val="es-PA"/>
        </w:rPr>
        <w:t>Pérez</w:t>
      </w:r>
      <w:r w:rsidRPr="00B16779">
        <w:rPr>
          <w:rFonts w:asciiTheme="majorHAnsi" w:hAnsiTheme="majorHAnsi"/>
          <w:sz w:val="16"/>
          <w:szCs w:val="16"/>
          <w:lang w:val="es-PA"/>
        </w:rPr>
        <w:t xml:space="preserve"> acudir a solicitar turno para que le asignaran los abogados y para reunirse con estos era muy complicado pues se le requería acudir en las mañanas tiempo en que se encontraba desarrollando la actividad de maestra reemplazante de la que dependía financieramente. </w:t>
      </w:r>
    </w:p>
  </w:footnote>
  <w:footnote w:id="20">
    <w:p w14:paraId="158A8717" w14:textId="22FD5E50" w:rsidR="00DC11B8" w:rsidRPr="00DC11B8" w:rsidRDefault="00DC11B8" w:rsidP="00DC11B8">
      <w:pPr>
        <w:pStyle w:val="FootnoteText"/>
        <w:ind w:firstLine="720"/>
        <w:jc w:val="both"/>
        <w:rPr>
          <w:rFonts w:asciiTheme="majorHAnsi" w:hAnsiTheme="majorHAnsi"/>
          <w:sz w:val="16"/>
          <w:szCs w:val="16"/>
          <w:lang w:val="es-PA"/>
        </w:rPr>
      </w:pPr>
      <w:r w:rsidRPr="00DC11B8">
        <w:rPr>
          <w:rStyle w:val="FootnoteReference"/>
          <w:rFonts w:asciiTheme="majorHAnsi" w:hAnsiTheme="majorHAnsi"/>
          <w:sz w:val="16"/>
          <w:szCs w:val="16"/>
        </w:rPr>
        <w:footnoteRef/>
      </w:r>
      <w:r w:rsidRPr="00DC11B8">
        <w:rPr>
          <w:rFonts w:asciiTheme="majorHAnsi" w:hAnsiTheme="majorHAnsi"/>
          <w:sz w:val="16"/>
          <w:szCs w:val="16"/>
          <w:lang w:val="es-PA"/>
        </w:rPr>
        <w:t xml:space="preserve"> </w:t>
      </w:r>
      <w:r w:rsidRPr="00DC11B8">
        <w:rPr>
          <w:rFonts w:asciiTheme="majorHAnsi" w:hAnsiTheme="majorHAnsi"/>
          <w:color w:val="auto"/>
          <w:sz w:val="16"/>
          <w:szCs w:val="16"/>
          <w:lang w:val="es-ES_tradnl"/>
        </w:rPr>
        <w:t>La parte peticionaria denuncia que APAC nunca fue notificada de esta resolución administrativa</w:t>
      </w:r>
    </w:p>
  </w:footnote>
  <w:footnote w:id="21">
    <w:p w14:paraId="09211099" w14:textId="77777777" w:rsidR="00734BBA" w:rsidRPr="005B7D5F" w:rsidRDefault="00734BBA" w:rsidP="00734BBA">
      <w:pPr>
        <w:pStyle w:val="FootnoteText"/>
        <w:ind w:firstLine="720"/>
        <w:rPr>
          <w:rFonts w:asciiTheme="majorHAnsi" w:hAnsiTheme="majorHAnsi"/>
          <w:sz w:val="16"/>
          <w:szCs w:val="16"/>
          <w:lang w:val="es-ES"/>
        </w:rPr>
      </w:pPr>
      <w:r w:rsidRPr="009029B8">
        <w:rPr>
          <w:rStyle w:val="FootnoteReference"/>
          <w:rFonts w:asciiTheme="majorHAnsi" w:hAnsiTheme="majorHAnsi"/>
          <w:sz w:val="16"/>
          <w:szCs w:val="16"/>
          <w:lang w:val="es-ES_tradnl"/>
        </w:rPr>
        <w:footnoteRef/>
      </w:r>
      <w:r w:rsidRPr="009029B8">
        <w:rPr>
          <w:rFonts w:asciiTheme="majorHAnsi" w:hAnsiTheme="majorHAnsi"/>
          <w:sz w:val="16"/>
          <w:szCs w:val="16"/>
          <w:lang w:val="es-ES_tradnl"/>
        </w:rPr>
        <w:t xml:space="preserve"> Expediente número 71.761 “Asociación Protección al Ciudadano APAC expone situación”</w:t>
      </w:r>
      <w:r>
        <w:rPr>
          <w:rFonts w:asciiTheme="majorHAnsi" w:hAnsiTheme="majorHAnsi"/>
          <w:sz w:val="16"/>
          <w:szCs w:val="16"/>
          <w:lang w:val="es-ES_tradnl"/>
        </w:rPr>
        <w:t>.</w:t>
      </w:r>
    </w:p>
  </w:footnote>
  <w:footnote w:id="22">
    <w:p w14:paraId="49578D9C" w14:textId="77777777" w:rsidR="00CA5E51" w:rsidRPr="0097518A" w:rsidRDefault="00CA5E51" w:rsidP="00CA5E51">
      <w:pPr>
        <w:pStyle w:val="FootnoteText"/>
        <w:ind w:firstLine="720"/>
        <w:jc w:val="both"/>
        <w:rPr>
          <w:rFonts w:asciiTheme="majorHAnsi" w:hAnsiTheme="majorHAnsi"/>
          <w:sz w:val="16"/>
          <w:szCs w:val="16"/>
          <w:lang w:val="es-PA"/>
        </w:rPr>
      </w:pPr>
      <w:r w:rsidRPr="0097518A">
        <w:rPr>
          <w:rStyle w:val="FootnoteReference"/>
          <w:rFonts w:asciiTheme="majorHAnsi" w:hAnsiTheme="majorHAnsi"/>
          <w:sz w:val="16"/>
          <w:szCs w:val="16"/>
        </w:rPr>
        <w:footnoteRef/>
      </w:r>
      <w:r w:rsidRPr="0097518A">
        <w:rPr>
          <w:rFonts w:asciiTheme="majorHAnsi" w:hAnsiTheme="majorHAnsi"/>
          <w:sz w:val="16"/>
          <w:szCs w:val="16"/>
          <w:lang w:val="es-PA"/>
        </w:rPr>
        <w:t xml:space="preserve"> </w:t>
      </w:r>
      <w:r w:rsidRPr="0097518A">
        <w:rPr>
          <w:rFonts w:asciiTheme="majorHAnsi" w:hAnsiTheme="majorHAnsi"/>
          <w:color w:val="auto"/>
          <w:sz w:val="16"/>
          <w:szCs w:val="16"/>
          <w:lang w:val="es-ES_tradnl"/>
        </w:rPr>
        <w:t>El 9 de agosto de 2009, la presunta víctima presentó una nota (sin que se trate de una petición) ante la Suprema Corte de Justicia de Mendoza para manifestar su falta de confianza del asesoramiento gratuito del Estado</w:t>
      </w:r>
    </w:p>
  </w:footnote>
  <w:footnote w:id="23">
    <w:p w14:paraId="63798383" w14:textId="2F87B27F" w:rsidR="00264F12" w:rsidRPr="009B1C54" w:rsidRDefault="00264F12" w:rsidP="00264F12">
      <w:pPr>
        <w:pStyle w:val="FootnoteText"/>
        <w:jc w:val="both"/>
        <w:rPr>
          <w:rFonts w:asciiTheme="majorHAnsi" w:hAnsiTheme="majorHAnsi"/>
          <w:sz w:val="16"/>
          <w:szCs w:val="16"/>
          <w:lang w:val="es-ES_tradnl"/>
        </w:rPr>
      </w:pPr>
      <w:r w:rsidRPr="000A6B8C">
        <w:rPr>
          <w:rFonts w:asciiTheme="majorHAnsi" w:hAnsiTheme="majorHAnsi"/>
          <w:sz w:val="16"/>
          <w:szCs w:val="16"/>
          <w:lang w:val="es-ES"/>
        </w:rPr>
        <w:tab/>
      </w:r>
      <w:r w:rsidRPr="009B1C54">
        <w:rPr>
          <w:rStyle w:val="FootnoteReference"/>
          <w:rFonts w:asciiTheme="majorHAnsi" w:hAnsiTheme="majorHAnsi"/>
          <w:sz w:val="16"/>
          <w:szCs w:val="16"/>
        </w:rPr>
        <w:footnoteRef/>
      </w:r>
      <w:r w:rsidRPr="009B1C54">
        <w:rPr>
          <w:rFonts w:asciiTheme="majorHAnsi" w:hAnsiTheme="majorHAnsi"/>
          <w:sz w:val="16"/>
          <w:szCs w:val="16"/>
          <w:lang w:val="es-ES"/>
        </w:rPr>
        <w:t xml:space="preserve"> CIDH, Informe No. 121/06, </w:t>
      </w:r>
      <w:r w:rsidRPr="009B1C54">
        <w:rPr>
          <w:rFonts w:asciiTheme="majorHAnsi" w:hAnsiTheme="majorHAnsi"/>
          <w:sz w:val="16"/>
          <w:szCs w:val="16"/>
          <w:lang w:val="es-ES_tradnl"/>
        </w:rPr>
        <w:t>Petición</w:t>
      </w:r>
      <w:r w:rsidRPr="009B1C54">
        <w:rPr>
          <w:rFonts w:asciiTheme="majorHAnsi" w:hAnsiTheme="majorHAnsi"/>
          <w:sz w:val="16"/>
          <w:szCs w:val="16"/>
          <w:lang w:val="es-ES"/>
        </w:rPr>
        <w:t xml:space="preserve"> 554-04. Admisibilidad. </w:t>
      </w:r>
      <w:r w:rsidR="002F22C3" w:rsidRPr="009B1C54">
        <w:rPr>
          <w:rFonts w:asciiTheme="majorHAnsi" w:hAnsiTheme="majorHAnsi"/>
          <w:sz w:val="16"/>
          <w:szCs w:val="16"/>
          <w:lang w:val="es-ES"/>
        </w:rPr>
        <w:t>John</w:t>
      </w:r>
      <w:r w:rsidRPr="009B1C54">
        <w:rPr>
          <w:rFonts w:asciiTheme="majorHAnsi" w:hAnsiTheme="majorHAnsi"/>
          <w:sz w:val="16"/>
          <w:szCs w:val="16"/>
          <w:lang w:val="es-ES"/>
        </w:rPr>
        <w:t xml:space="preserve"> </w:t>
      </w:r>
      <w:proofErr w:type="spellStart"/>
      <w:r w:rsidRPr="009B1C54">
        <w:rPr>
          <w:rFonts w:asciiTheme="majorHAnsi" w:hAnsiTheme="majorHAnsi"/>
          <w:sz w:val="16"/>
          <w:szCs w:val="16"/>
          <w:lang w:val="es-ES"/>
        </w:rPr>
        <w:t>Doe</w:t>
      </w:r>
      <w:proofErr w:type="spellEnd"/>
      <w:r w:rsidRPr="009B1C54">
        <w:rPr>
          <w:rFonts w:asciiTheme="majorHAnsi" w:hAnsiTheme="majorHAnsi"/>
          <w:sz w:val="16"/>
          <w:szCs w:val="16"/>
          <w:lang w:val="es-ES"/>
        </w:rPr>
        <w:t xml:space="preserve"> y otros. Canadá. 27 de octubre de 2006, párr. 63.</w:t>
      </w:r>
    </w:p>
  </w:footnote>
  <w:footnote w:id="24">
    <w:p w14:paraId="28B41F27" w14:textId="77777777" w:rsidR="005C5662" w:rsidRPr="006132CC" w:rsidRDefault="005C5662" w:rsidP="005C5662">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159/17</w:t>
      </w:r>
      <w:r>
        <w:rPr>
          <w:rFonts w:ascii="Cambria" w:hAnsi="Cambria"/>
          <w:sz w:val="16"/>
          <w:szCs w:val="16"/>
          <w:lang w:val="es-ES"/>
        </w:rPr>
        <w:t>, Petición 712-08</w:t>
      </w:r>
      <w:r w:rsidRPr="006132CC">
        <w:rPr>
          <w:rFonts w:ascii="Cambria" w:hAnsi="Cambria"/>
          <w:sz w:val="16"/>
          <w:szCs w:val="16"/>
          <w:lang w:val="es-ES"/>
        </w:rPr>
        <w:t xml:space="preserve">. Admisibilidad. Sebastián </w:t>
      </w:r>
      <w:proofErr w:type="spellStart"/>
      <w:r w:rsidRPr="006132CC">
        <w:rPr>
          <w:rFonts w:ascii="Cambria" w:hAnsi="Cambria"/>
          <w:sz w:val="16"/>
          <w:szCs w:val="16"/>
          <w:lang w:val="es-ES"/>
        </w:rPr>
        <w:t>Larroza</w:t>
      </w:r>
      <w:proofErr w:type="spellEnd"/>
      <w:r w:rsidRPr="006132CC">
        <w:rPr>
          <w:rFonts w:ascii="Cambria" w:hAnsi="Cambria"/>
          <w:sz w:val="16"/>
          <w:szCs w:val="16"/>
          <w:lang w:val="es-ES"/>
        </w:rPr>
        <w:t xml:space="preserve"> Velázquez y familia. Paraguay. 30 de noviembre de 2017, párr. 14.</w:t>
      </w:r>
    </w:p>
  </w:footnote>
  <w:footnote w:id="25">
    <w:p w14:paraId="7432A2A1" w14:textId="16A95AC0" w:rsidR="000A3D0B" w:rsidRPr="00322DBD" w:rsidRDefault="000A3D0B" w:rsidP="00781D8F">
      <w:pPr>
        <w:pStyle w:val="FootnoteText"/>
        <w:ind w:firstLine="720"/>
        <w:jc w:val="both"/>
        <w:rPr>
          <w:rFonts w:asciiTheme="majorHAnsi" w:hAnsiTheme="majorHAnsi" w:cstheme="minorHAnsi"/>
          <w:sz w:val="16"/>
          <w:szCs w:val="16"/>
          <w:lang w:val="es-PA"/>
        </w:rPr>
      </w:pPr>
      <w:r w:rsidRPr="00781D8F">
        <w:rPr>
          <w:rStyle w:val="FootnoteReference"/>
          <w:rFonts w:asciiTheme="majorHAnsi" w:hAnsiTheme="majorHAnsi"/>
          <w:sz w:val="16"/>
          <w:szCs w:val="16"/>
        </w:rPr>
        <w:footnoteRef/>
      </w:r>
      <w:r w:rsidRPr="00781D8F">
        <w:rPr>
          <w:rFonts w:asciiTheme="majorHAnsi" w:hAnsiTheme="majorHAnsi"/>
          <w:sz w:val="16"/>
          <w:szCs w:val="16"/>
          <w:lang w:val="es-PA"/>
        </w:rPr>
        <w:t xml:space="preserve"> </w:t>
      </w:r>
      <w:r w:rsidRPr="00322DBD">
        <w:rPr>
          <w:rFonts w:asciiTheme="majorHAnsi" w:hAnsiTheme="majorHAnsi"/>
          <w:sz w:val="16"/>
          <w:szCs w:val="16"/>
          <w:lang w:val="es-ES"/>
        </w:rPr>
        <w:t xml:space="preserve">CIDH, Informe No. 80/11, Caso 12.626. Fondo. Jessica </w:t>
      </w:r>
      <w:proofErr w:type="spellStart"/>
      <w:r w:rsidRPr="00322DBD">
        <w:rPr>
          <w:rFonts w:asciiTheme="majorHAnsi" w:hAnsiTheme="majorHAnsi"/>
          <w:sz w:val="16"/>
          <w:szCs w:val="16"/>
          <w:lang w:val="es-ES"/>
        </w:rPr>
        <w:t>Lenahan</w:t>
      </w:r>
      <w:proofErr w:type="spellEnd"/>
      <w:r w:rsidRPr="00322DBD">
        <w:rPr>
          <w:rFonts w:asciiTheme="majorHAnsi" w:hAnsiTheme="majorHAnsi"/>
          <w:sz w:val="16"/>
          <w:szCs w:val="16"/>
          <w:lang w:val="es-ES"/>
        </w:rPr>
        <w:t xml:space="preserve"> (</w:t>
      </w:r>
      <w:proofErr w:type="spellStart"/>
      <w:r w:rsidRPr="00322DBD">
        <w:rPr>
          <w:rFonts w:asciiTheme="majorHAnsi" w:hAnsiTheme="majorHAnsi"/>
          <w:sz w:val="16"/>
          <w:szCs w:val="16"/>
          <w:lang w:val="es-ES"/>
        </w:rPr>
        <w:t>Gonalez</w:t>
      </w:r>
      <w:proofErr w:type="spellEnd"/>
      <w:r w:rsidRPr="00322DBD">
        <w:rPr>
          <w:rFonts w:asciiTheme="majorHAnsi" w:hAnsiTheme="majorHAnsi"/>
          <w:sz w:val="16"/>
          <w:szCs w:val="16"/>
          <w:lang w:val="es-ES"/>
        </w:rPr>
        <w:t xml:space="preserve">) y otros. Estados Unidos. 21 de julio de 2011 (“CIDH. Fondo </w:t>
      </w:r>
      <w:r w:rsidRPr="00322DBD">
        <w:rPr>
          <w:rFonts w:asciiTheme="majorHAnsi" w:hAnsiTheme="majorHAnsi"/>
          <w:i/>
          <w:sz w:val="16"/>
          <w:szCs w:val="16"/>
          <w:lang w:val="es-ES"/>
        </w:rPr>
        <w:t xml:space="preserve">Jessica </w:t>
      </w:r>
      <w:proofErr w:type="spellStart"/>
      <w:r w:rsidRPr="00322DBD">
        <w:rPr>
          <w:rFonts w:asciiTheme="majorHAnsi" w:hAnsiTheme="majorHAnsi"/>
          <w:i/>
          <w:sz w:val="16"/>
          <w:szCs w:val="16"/>
          <w:lang w:val="es-ES"/>
        </w:rPr>
        <w:t>Lenahan</w:t>
      </w:r>
      <w:proofErr w:type="spellEnd"/>
      <w:r w:rsidRPr="00322DBD">
        <w:rPr>
          <w:rFonts w:asciiTheme="majorHAnsi" w:hAnsiTheme="majorHAnsi"/>
          <w:sz w:val="16"/>
          <w:szCs w:val="16"/>
          <w:lang w:val="es-ES"/>
        </w:rPr>
        <w:t xml:space="preserve">”), párr. </w:t>
      </w:r>
      <w:proofErr w:type="gramStart"/>
      <w:r w:rsidRPr="00322DBD">
        <w:rPr>
          <w:rFonts w:asciiTheme="majorHAnsi" w:hAnsiTheme="majorHAnsi"/>
          <w:sz w:val="16"/>
          <w:szCs w:val="16"/>
          <w:lang w:val="es-ES"/>
        </w:rPr>
        <w:t>168 .</w:t>
      </w:r>
      <w:proofErr w:type="gramEnd"/>
    </w:p>
  </w:footnote>
  <w:footnote w:id="26">
    <w:p w14:paraId="5335BA0C" w14:textId="732FFB22" w:rsidR="000A3D0B" w:rsidRPr="00781D8F" w:rsidRDefault="000A3D0B" w:rsidP="00781D8F">
      <w:pPr>
        <w:pStyle w:val="FootnoteText"/>
        <w:ind w:firstLine="720"/>
        <w:jc w:val="both"/>
        <w:rPr>
          <w:lang w:val="es-PA"/>
        </w:rPr>
      </w:pPr>
      <w:r w:rsidRPr="00322DBD">
        <w:rPr>
          <w:rStyle w:val="FootnoteReference"/>
          <w:rFonts w:asciiTheme="majorHAnsi" w:hAnsiTheme="majorHAnsi"/>
          <w:sz w:val="16"/>
          <w:szCs w:val="16"/>
        </w:rPr>
        <w:footnoteRef/>
      </w:r>
      <w:r w:rsidRPr="00322DBD">
        <w:rPr>
          <w:rFonts w:asciiTheme="majorHAnsi" w:hAnsiTheme="majorHAnsi"/>
          <w:sz w:val="16"/>
          <w:szCs w:val="16"/>
          <w:lang w:val="es-PA"/>
        </w:rPr>
        <w:t xml:space="preserve"> </w:t>
      </w:r>
      <w:r w:rsidR="00781D8F" w:rsidRPr="00322DBD">
        <w:rPr>
          <w:rFonts w:asciiTheme="majorHAnsi" w:hAnsiTheme="majorHAnsi"/>
          <w:sz w:val="16"/>
          <w:szCs w:val="16"/>
          <w:lang w:val="es-ES"/>
        </w:rPr>
        <w:t xml:space="preserve">CIDH. Fondo </w:t>
      </w:r>
      <w:r w:rsidR="00781D8F" w:rsidRPr="00322DBD">
        <w:rPr>
          <w:rFonts w:asciiTheme="majorHAnsi" w:hAnsiTheme="majorHAnsi"/>
          <w:i/>
          <w:sz w:val="16"/>
          <w:szCs w:val="16"/>
          <w:lang w:val="es-ES"/>
        </w:rPr>
        <w:t xml:space="preserve">Jessica </w:t>
      </w:r>
      <w:proofErr w:type="spellStart"/>
      <w:r w:rsidR="00781D8F" w:rsidRPr="00322DBD">
        <w:rPr>
          <w:rFonts w:asciiTheme="majorHAnsi" w:hAnsiTheme="majorHAnsi"/>
          <w:i/>
          <w:sz w:val="16"/>
          <w:szCs w:val="16"/>
          <w:lang w:val="es-ES"/>
        </w:rPr>
        <w:t>Lenahan</w:t>
      </w:r>
      <w:proofErr w:type="spellEnd"/>
      <w:r w:rsidR="00781D8F" w:rsidRPr="00322DBD">
        <w:rPr>
          <w:rFonts w:asciiTheme="majorHAnsi" w:hAnsiTheme="majorHAnsi"/>
          <w:i/>
          <w:sz w:val="16"/>
          <w:szCs w:val="16"/>
          <w:lang w:val="es-ES"/>
        </w:rPr>
        <w:t xml:space="preserve">, </w:t>
      </w:r>
      <w:r w:rsidR="00781D8F" w:rsidRPr="00322DBD">
        <w:rPr>
          <w:rFonts w:asciiTheme="majorHAnsi" w:hAnsiTheme="majorHAnsi"/>
          <w:sz w:val="16"/>
          <w:szCs w:val="16"/>
          <w:lang w:val="es-ES"/>
        </w:rPr>
        <w:t>párr. 126.</w:t>
      </w:r>
    </w:p>
  </w:footnote>
  <w:footnote w:id="27">
    <w:p w14:paraId="0944D1A0" w14:textId="16F65672" w:rsidR="009767E1" w:rsidRPr="009B1C54" w:rsidRDefault="009767E1" w:rsidP="009767E1">
      <w:pPr>
        <w:pStyle w:val="FootnoteText"/>
        <w:ind w:firstLine="720"/>
        <w:jc w:val="both"/>
        <w:rPr>
          <w:rFonts w:asciiTheme="majorHAnsi" w:hAnsiTheme="majorHAnsi"/>
          <w:color w:val="FF0000"/>
          <w:sz w:val="16"/>
          <w:szCs w:val="16"/>
          <w:lang w:val="es-PA"/>
        </w:rPr>
      </w:pPr>
      <w:r w:rsidRPr="009B1C54">
        <w:rPr>
          <w:rStyle w:val="FootnoteReference"/>
          <w:rFonts w:asciiTheme="majorHAnsi" w:hAnsiTheme="majorHAnsi"/>
          <w:sz w:val="16"/>
          <w:szCs w:val="16"/>
        </w:rPr>
        <w:footnoteRef/>
      </w:r>
      <w:r w:rsidRPr="009B1C54">
        <w:rPr>
          <w:rFonts w:asciiTheme="majorHAnsi" w:hAnsiTheme="majorHAnsi"/>
          <w:sz w:val="16"/>
          <w:szCs w:val="16"/>
          <w:lang w:val="es-PA"/>
        </w:rPr>
        <w:t xml:space="preserve"> </w:t>
      </w:r>
      <w:r w:rsidR="000A6B8C" w:rsidRPr="009B1C54">
        <w:rPr>
          <w:rFonts w:asciiTheme="majorHAnsi" w:hAnsiTheme="majorHAnsi"/>
          <w:sz w:val="16"/>
          <w:szCs w:val="16"/>
          <w:lang w:val="es-US"/>
        </w:rPr>
        <w:t xml:space="preserve">CIDH, </w:t>
      </w:r>
      <w:hyperlink r:id="rId1" w:tgtFrame="_blank" w:history="1">
        <w:r w:rsidR="000A6B8C" w:rsidRPr="009B1C54">
          <w:rPr>
            <w:rStyle w:val="Hyperlink"/>
            <w:rFonts w:asciiTheme="majorHAnsi" w:hAnsiTheme="majorHAnsi"/>
            <w:color w:val="auto"/>
            <w:sz w:val="16"/>
            <w:szCs w:val="16"/>
            <w:u w:val="none"/>
            <w:lang w:val="es-US"/>
          </w:rPr>
          <w:t>Acceso a la justicia para las mujeres víctimas de violencia en las América</w:t>
        </w:r>
        <w:r w:rsidR="000A6B8C" w:rsidRPr="009B1C54">
          <w:rPr>
            <w:rStyle w:val="Hyperlink"/>
            <w:rFonts w:asciiTheme="majorHAnsi" w:hAnsiTheme="majorHAnsi"/>
            <w:sz w:val="16"/>
            <w:szCs w:val="16"/>
            <w:lang w:val="es-US"/>
          </w:rPr>
          <w:t>s</w:t>
        </w:r>
      </w:hyperlink>
      <w:r w:rsidR="000A6B8C" w:rsidRPr="009B1C54">
        <w:rPr>
          <w:rFonts w:asciiTheme="majorHAnsi" w:hAnsiTheme="majorHAnsi"/>
          <w:sz w:val="16"/>
          <w:szCs w:val="16"/>
          <w:lang w:val="es-US"/>
        </w:rPr>
        <w:t>, OEA/</w:t>
      </w:r>
      <w:proofErr w:type="spellStart"/>
      <w:r w:rsidR="000A6B8C" w:rsidRPr="009B1C54">
        <w:rPr>
          <w:rFonts w:asciiTheme="majorHAnsi" w:hAnsiTheme="majorHAnsi"/>
          <w:sz w:val="16"/>
          <w:szCs w:val="16"/>
          <w:lang w:val="es-US"/>
        </w:rPr>
        <w:t>Ser.L</w:t>
      </w:r>
      <w:proofErr w:type="spellEnd"/>
      <w:r w:rsidR="000A6B8C" w:rsidRPr="009B1C54">
        <w:rPr>
          <w:rFonts w:asciiTheme="majorHAnsi" w:hAnsiTheme="majorHAnsi"/>
          <w:sz w:val="16"/>
          <w:szCs w:val="16"/>
          <w:lang w:val="es-US"/>
        </w:rPr>
        <w:t xml:space="preserve">/V/II.  Doc. 68. </w:t>
      </w:r>
      <w:r w:rsidR="000A6B8C" w:rsidRPr="009B1C54">
        <w:rPr>
          <w:rFonts w:asciiTheme="majorHAnsi" w:hAnsiTheme="majorHAnsi"/>
          <w:sz w:val="16"/>
          <w:szCs w:val="16"/>
          <w:lang w:val="es-SV"/>
        </w:rPr>
        <w:t>20 enero 2007</w:t>
      </w:r>
      <w:r w:rsidR="00322DBD">
        <w:rPr>
          <w:rFonts w:asciiTheme="majorHAnsi" w:hAnsiTheme="majorHAnsi"/>
          <w:sz w:val="16"/>
          <w:szCs w:val="16"/>
          <w:lang w:val="es-SV"/>
        </w:rPr>
        <w:t xml:space="preserve"> (“CIDH, Acceso a la justicia para las mujeres víctimas de violencia en las Américas”)</w:t>
      </w:r>
      <w:r w:rsidR="000A6B8C" w:rsidRPr="009B1C54">
        <w:rPr>
          <w:rFonts w:asciiTheme="majorHAnsi" w:hAnsiTheme="majorHAnsi"/>
          <w:sz w:val="16"/>
          <w:szCs w:val="16"/>
          <w:lang w:val="es-SV"/>
        </w:rPr>
        <w:t>. Párr. 161. </w:t>
      </w:r>
    </w:p>
  </w:footnote>
  <w:footnote w:id="28">
    <w:p w14:paraId="57014A2B" w14:textId="28DA0D24" w:rsidR="009B1C54" w:rsidRPr="009B1C54" w:rsidRDefault="009B1C54" w:rsidP="009B1C54">
      <w:pPr>
        <w:pStyle w:val="FootnoteText"/>
        <w:ind w:firstLine="720"/>
        <w:jc w:val="both"/>
        <w:rPr>
          <w:rFonts w:asciiTheme="majorHAnsi" w:hAnsiTheme="majorHAnsi"/>
          <w:sz w:val="16"/>
          <w:szCs w:val="16"/>
          <w:lang w:val="es-PA"/>
        </w:rPr>
      </w:pPr>
      <w:r w:rsidRPr="009B1C54">
        <w:rPr>
          <w:rStyle w:val="FootnoteReference"/>
          <w:rFonts w:asciiTheme="majorHAnsi" w:hAnsiTheme="majorHAnsi"/>
          <w:sz w:val="16"/>
          <w:szCs w:val="16"/>
        </w:rPr>
        <w:footnoteRef/>
      </w:r>
      <w:r w:rsidRPr="009B1C54">
        <w:rPr>
          <w:lang w:val="es-PA"/>
        </w:rPr>
        <w:t xml:space="preserve"> </w:t>
      </w:r>
      <w:r w:rsidRPr="00504C11">
        <w:rPr>
          <w:rFonts w:ascii="Cambria" w:hAnsi="Cambria"/>
          <w:sz w:val="16"/>
          <w:szCs w:val="16"/>
          <w:lang w:val="es-US"/>
        </w:rPr>
        <w:t xml:space="preserve">CIDH, </w:t>
      </w:r>
      <w:hyperlink r:id="rId2" w:history="1">
        <w:r w:rsidRPr="009B1C54">
          <w:rPr>
            <w:rStyle w:val="Hyperlink"/>
            <w:rFonts w:asciiTheme="majorHAnsi" w:eastAsia="Times New Roman" w:hAnsiTheme="majorHAnsi" w:cs="Times New Roman"/>
            <w:color w:val="auto"/>
            <w:sz w:val="16"/>
            <w:szCs w:val="16"/>
            <w:u w:val="none"/>
            <w:lang w:val="es-ES"/>
          </w:rPr>
          <w:t xml:space="preserve">Acceso a la justicia para mujeres víctimas de violencia sexual en </w:t>
        </w:r>
        <w:r w:rsidRPr="009B1C54">
          <w:rPr>
            <w:rStyle w:val="Hyperlink"/>
            <w:rFonts w:asciiTheme="majorHAnsi" w:eastAsia="Times New Roman" w:hAnsiTheme="majorHAnsi" w:cs="Times New Roman"/>
            <w:color w:val="auto"/>
            <w:sz w:val="16"/>
            <w:szCs w:val="16"/>
            <w:u w:val="none"/>
            <w:lang w:val="es-US"/>
          </w:rPr>
          <w:t>Mesoamérica</w:t>
        </w:r>
      </w:hyperlink>
      <w:r w:rsidRPr="00504C11">
        <w:rPr>
          <w:rFonts w:ascii="Cambria" w:eastAsia="Times New Roman" w:hAnsi="Cambria" w:cs="Times New Roman"/>
          <w:sz w:val="16"/>
          <w:szCs w:val="16"/>
          <w:lang w:val="es-US"/>
        </w:rPr>
        <w:t>, OEA/</w:t>
      </w:r>
      <w:proofErr w:type="spellStart"/>
      <w:r w:rsidRPr="00504C11">
        <w:rPr>
          <w:rFonts w:ascii="Cambria" w:eastAsia="Times New Roman" w:hAnsi="Cambria" w:cs="Times New Roman"/>
          <w:sz w:val="16"/>
          <w:szCs w:val="16"/>
          <w:lang w:val="es-US"/>
        </w:rPr>
        <w:t>Ser.L</w:t>
      </w:r>
      <w:proofErr w:type="spellEnd"/>
      <w:r w:rsidRPr="00504C11">
        <w:rPr>
          <w:rFonts w:ascii="Cambria" w:eastAsia="Times New Roman" w:hAnsi="Cambria" w:cs="Times New Roman"/>
          <w:sz w:val="16"/>
          <w:szCs w:val="16"/>
          <w:lang w:val="es-US"/>
        </w:rPr>
        <w:t>/V/II.</w:t>
      </w:r>
      <w:r w:rsidR="000D7B34" w:rsidRPr="000D7B34">
        <w:rPr>
          <w:rFonts w:ascii="Cambria" w:eastAsia="Times New Roman" w:hAnsi="Cambria" w:cs="Times New Roman"/>
          <w:sz w:val="16"/>
          <w:szCs w:val="16"/>
          <w:lang w:val="es-PA"/>
        </w:rPr>
        <w:t xml:space="preserve"> Doc. 63</w:t>
      </w:r>
      <w:r w:rsidR="000D7B34">
        <w:rPr>
          <w:rFonts w:ascii="Cambria" w:eastAsia="Times New Roman" w:hAnsi="Cambria" w:cs="Times New Roman"/>
          <w:sz w:val="16"/>
          <w:szCs w:val="16"/>
          <w:lang w:val="es-PA"/>
        </w:rPr>
        <w:t xml:space="preserve">, </w:t>
      </w:r>
      <w:r w:rsidRPr="00504C11">
        <w:rPr>
          <w:rFonts w:ascii="Cambria" w:eastAsia="Times New Roman" w:hAnsi="Cambria" w:cs="Times New Roman"/>
          <w:sz w:val="16"/>
          <w:szCs w:val="16"/>
          <w:lang w:val="es-US"/>
        </w:rPr>
        <w:t>2015</w:t>
      </w:r>
      <w:r w:rsidR="005F748C">
        <w:rPr>
          <w:rFonts w:ascii="Cambria" w:eastAsia="Times New Roman" w:hAnsi="Cambria" w:cs="Times New Roman"/>
          <w:sz w:val="16"/>
          <w:szCs w:val="16"/>
          <w:lang w:val="es-US"/>
        </w:rPr>
        <w:t xml:space="preserve"> (“CIDH, Acceso a la justicia para mujeres víctimas de violencia sexual en Mesoamérica”), p</w:t>
      </w:r>
      <w:r w:rsidRPr="00504C11">
        <w:rPr>
          <w:rFonts w:ascii="Cambria" w:eastAsia="Times New Roman" w:hAnsi="Cambria" w:cs="Times New Roman"/>
          <w:sz w:val="16"/>
          <w:szCs w:val="16"/>
          <w:lang w:val="es-US"/>
        </w:rPr>
        <w:t>árr. 212.</w:t>
      </w:r>
      <w:r w:rsidR="005F748C">
        <w:rPr>
          <w:rFonts w:ascii="Cambria" w:eastAsia="Times New Roman" w:hAnsi="Cambria" w:cs="Times New Roman"/>
          <w:sz w:val="16"/>
          <w:szCs w:val="16"/>
          <w:lang w:val="es-US"/>
        </w:rPr>
        <w:t xml:space="preserve"> </w:t>
      </w:r>
    </w:p>
  </w:footnote>
  <w:footnote w:id="29">
    <w:p w14:paraId="7C373ABD" w14:textId="0CFD6EE5" w:rsidR="005A10E4" w:rsidRPr="005A10E4" w:rsidRDefault="005A10E4" w:rsidP="005A10E4">
      <w:pPr>
        <w:pStyle w:val="FootnoteText"/>
        <w:ind w:firstLine="720"/>
        <w:jc w:val="both"/>
        <w:rPr>
          <w:rFonts w:asciiTheme="majorHAnsi" w:hAnsiTheme="majorHAnsi"/>
          <w:color w:val="auto"/>
          <w:sz w:val="16"/>
          <w:szCs w:val="16"/>
          <w:lang w:val="es-PA"/>
        </w:rPr>
      </w:pPr>
      <w:r>
        <w:rPr>
          <w:rStyle w:val="FootnoteReference"/>
        </w:rPr>
        <w:footnoteRef/>
      </w:r>
      <w:r w:rsidRPr="00350042">
        <w:rPr>
          <w:lang w:val="es-PA"/>
        </w:rPr>
        <w:t xml:space="preserve"> </w:t>
      </w:r>
      <w:r w:rsidR="005F748C">
        <w:rPr>
          <w:rFonts w:ascii="Cambria" w:eastAsia="Times New Roman" w:hAnsi="Cambria" w:cs="Times New Roman"/>
          <w:sz w:val="16"/>
          <w:szCs w:val="16"/>
          <w:lang w:val="es-US"/>
        </w:rPr>
        <w:t xml:space="preserve">CIDH, </w:t>
      </w:r>
      <w:r w:rsidR="00322DBD">
        <w:rPr>
          <w:rFonts w:ascii="Cambria" w:eastAsia="Times New Roman" w:hAnsi="Cambria" w:cs="Times New Roman"/>
          <w:sz w:val="16"/>
          <w:szCs w:val="16"/>
          <w:lang w:val="es-US"/>
        </w:rPr>
        <w:t>Acceso a la justicia para las mujeres víctimas de violencia en las Américas</w:t>
      </w:r>
      <w:r w:rsidR="005F748C">
        <w:rPr>
          <w:rFonts w:ascii="Cambria" w:eastAsia="Times New Roman" w:hAnsi="Cambria" w:cs="Times New Roman"/>
          <w:sz w:val="16"/>
          <w:szCs w:val="16"/>
          <w:lang w:val="es-US"/>
        </w:rPr>
        <w:t>, párr. 262.</w:t>
      </w:r>
    </w:p>
  </w:footnote>
  <w:footnote w:id="30">
    <w:p w14:paraId="32368609" w14:textId="5EE31D72" w:rsidR="00350042" w:rsidRPr="00350042" w:rsidRDefault="00350042" w:rsidP="00350042">
      <w:pPr>
        <w:pStyle w:val="FootnoteText"/>
        <w:ind w:firstLine="720"/>
        <w:jc w:val="both"/>
        <w:rPr>
          <w:rFonts w:asciiTheme="majorHAnsi" w:hAnsiTheme="majorHAnsi"/>
          <w:sz w:val="16"/>
          <w:szCs w:val="16"/>
          <w:lang w:val="es-PA"/>
        </w:rPr>
      </w:pPr>
      <w:r w:rsidRPr="00350042">
        <w:rPr>
          <w:rStyle w:val="FootnoteReference"/>
          <w:rFonts w:asciiTheme="majorHAnsi" w:hAnsiTheme="majorHAnsi"/>
          <w:sz w:val="16"/>
          <w:szCs w:val="16"/>
        </w:rPr>
        <w:footnoteRef/>
      </w:r>
      <w:r w:rsidRPr="00350042">
        <w:rPr>
          <w:rFonts w:asciiTheme="majorHAnsi" w:hAnsiTheme="majorHAnsi"/>
          <w:sz w:val="16"/>
          <w:szCs w:val="16"/>
          <w:lang w:val="es-PA"/>
        </w:rPr>
        <w:t xml:space="preserve"> </w:t>
      </w:r>
      <w:r w:rsidRPr="00504C11">
        <w:rPr>
          <w:rFonts w:ascii="Cambria" w:hAnsi="Cambria"/>
          <w:sz w:val="16"/>
          <w:szCs w:val="16"/>
          <w:lang w:val="es-US"/>
        </w:rPr>
        <w:t xml:space="preserve">CIDH, </w:t>
      </w:r>
      <w:hyperlink r:id="rId3" w:history="1">
        <w:r>
          <w:rPr>
            <w:rStyle w:val="Hyperlink"/>
            <w:rFonts w:asciiTheme="majorHAnsi" w:eastAsia="Times New Roman" w:hAnsiTheme="majorHAnsi" w:cs="Times New Roman"/>
            <w:color w:val="auto"/>
            <w:sz w:val="16"/>
            <w:szCs w:val="16"/>
            <w:u w:val="none"/>
            <w:lang w:val="es-ES"/>
          </w:rPr>
          <w:t>Derecho</w:t>
        </w:r>
      </w:hyperlink>
      <w:r>
        <w:rPr>
          <w:rStyle w:val="Hyperlink"/>
          <w:rFonts w:asciiTheme="majorHAnsi" w:eastAsia="Times New Roman" w:hAnsiTheme="majorHAnsi" w:cs="Times New Roman"/>
          <w:color w:val="auto"/>
          <w:sz w:val="16"/>
          <w:szCs w:val="16"/>
          <w:u w:val="none"/>
          <w:lang w:val="es-US"/>
        </w:rPr>
        <w:t xml:space="preserve"> del Niño y la Niña a la Familia</w:t>
      </w:r>
      <w:r>
        <w:rPr>
          <w:rFonts w:ascii="Cambria" w:eastAsia="Times New Roman" w:hAnsi="Cambria" w:cs="Times New Roman"/>
          <w:sz w:val="16"/>
          <w:szCs w:val="16"/>
          <w:lang w:val="es-US"/>
        </w:rPr>
        <w:t>, OEA/</w:t>
      </w:r>
      <w:proofErr w:type="spellStart"/>
      <w:r>
        <w:rPr>
          <w:rFonts w:ascii="Cambria" w:eastAsia="Times New Roman" w:hAnsi="Cambria" w:cs="Times New Roman"/>
          <w:sz w:val="16"/>
          <w:szCs w:val="16"/>
          <w:lang w:val="es-US"/>
        </w:rPr>
        <w:t>Ser.L</w:t>
      </w:r>
      <w:proofErr w:type="spellEnd"/>
      <w:r>
        <w:rPr>
          <w:rFonts w:ascii="Cambria" w:eastAsia="Times New Roman" w:hAnsi="Cambria" w:cs="Times New Roman"/>
          <w:sz w:val="16"/>
          <w:szCs w:val="16"/>
          <w:lang w:val="es-US"/>
        </w:rPr>
        <w:t>/V/II.  Doc.54, 2013, Párr. 266</w:t>
      </w:r>
      <w:r w:rsidRPr="00504C11">
        <w:rPr>
          <w:rFonts w:ascii="Cambria" w:eastAsia="Times New Roman" w:hAnsi="Cambria" w:cs="Times New Roman"/>
          <w:sz w:val="16"/>
          <w:szCs w:val="16"/>
          <w:lang w:val="es-US"/>
        </w:rPr>
        <w:t>.</w:t>
      </w:r>
    </w:p>
  </w:footnote>
  <w:footnote w:id="31">
    <w:p w14:paraId="085AEF22" w14:textId="77777777" w:rsidR="00DC11B8" w:rsidRPr="006132CC" w:rsidRDefault="00DC11B8" w:rsidP="009A63AA">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83/17</w:t>
      </w:r>
      <w:r>
        <w:rPr>
          <w:rFonts w:ascii="Cambria" w:hAnsi="Cambria"/>
          <w:sz w:val="16"/>
          <w:szCs w:val="16"/>
          <w:lang w:val="es-ES"/>
        </w:rPr>
        <w:t>, Petición 151-08</w:t>
      </w:r>
      <w:r w:rsidRPr="006132CC">
        <w:rPr>
          <w:rFonts w:ascii="Cambria" w:hAnsi="Cambria"/>
          <w:sz w:val="16"/>
          <w:szCs w:val="16"/>
          <w:lang w:val="es-ES"/>
        </w:rPr>
        <w:t>. Admisibilidad. José Francisco Cid. Argentina. 7 de julio de 2017, párr. 23.</w:t>
      </w:r>
    </w:p>
  </w:footnote>
  <w:footnote w:id="32">
    <w:p w14:paraId="4ED299E5" w14:textId="77777777" w:rsidR="00782A5C" w:rsidRPr="00C5191D" w:rsidRDefault="00782A5C" w:rsidP="00782A5C">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B877" w14:textId="77777777" w:rsidR="00DC11B8" w:rsidRDefault="00DC11B8" w:rsidP="00311D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1319935" w14:textId="77777777" w:rsidR="00DC11B8" w:rsidRDefault="00DC1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DFD8D" w14:textId="77777777" w:rsidR="00DC11B8" w:rsidRDefault="00DC11B8" w:rsidP="00A50FCF">
    <w:pPr>
      <w:pStyle w:val="Header"/>
      <w:tabs>
        <w:tab w:val="clear" w:pos="4320"/>
        <w:tab w:val="clear" w:pos="8640"/>
      </w:tabs>
      <w:jc w:val="center"/>
      <w:rPr>
        <w:sz w:val="22"/>
        <w:szCs w:val="22"/>
      </w:rPr>
    </w:pPr>
    <w:r>
      <w:rPr>
        <w:noProof/>
        <w:sz w:val="22"/>
        <w:szCs w:val="22"/>
      </w:rPr>
      <w:drawing>
        <wp:inline distT="0" distB="0" distL="0" distR="0" wp14:anchorId="581D348D" wp14:editId="7375FB6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A4CB7C" w14:textId="77777777" w:rsidR="00DC11B8" w:rsidRPr="00EC7D62" w:rsidRDefault="006E0B4E" w:rsidP="00A50FCF">
    <w:pPr>
      <w:pStyle w:val="Header"/>
      <w:tabs>
        <w:tab w:val="clear" w:pos="4320"/>
        <w:tab w:val="clear" w:pos="8640"/>
      </w:tabs>
      <w:jc w:val="center"/>
      <w:rPr>
        <w:sz w:val="22"/>
        <w:szCs w:val="22"/>
      </w:rPr>
    </w:pPr>
    <w:r>
      <w:rPr>
        <w:sz w:val="22"/>
        <w:szCs w:val="22"/>
      </w:rPr>
      <w:pict w14:anchorId="1039C99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203F" w14:textId="77777777" w:rsidR="00632286" w:rsidRDefault="00632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10B9D"/>
    <w:multiLevelType w:val="hybridMultilevel"/>
    <w:tmpl w:val="753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FE0C18"/>
    <w:multiLevelType w:val="multilevel"/>
    <w:tmpl w:val="B5227D9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515FC"/>
    <w:multiLevelType w:val="hybridMultilevel"/>
    <w:tmpl w:val="86BC53DA"/>
    <w:lvl w:ilvl="0" w:tplc="5F0012C4">
      <w:start w:val="1"/>
      <w:numFmt w:val="decimal"/>
      <w:lvlText w:val="%1."/>
      <w:lvlJc w:val="left"/>
      <w:pPr>
        <w:ind w:left="773" w:hanging="360"/>
      </w:pPr>
      <w:rPr>
        <w:i w:val="0"/>
        <w:color w:val="auto"/>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6"/>
  </w:num>
  <w:num w:numId="4">
    <w:abstractNumId w:val="24"/>
  </w:num>
  <w:num w:numId="5">
    <w:abstractNumId w:val="50"/>
  </w:num>
  <w:num w:numId="6">
    <w:abstractNumId w:val="29"/>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3"/>
  </w:num>
  <w:num w:numId="51">
    <w:abstractNumId w:val="23"/>
  </w:num>
  <w:num w:numId="52">
    <w:abstractNumId w:val="42"/>
  </w:num>
  <w:num w:numId="53">
    <w:abstractNumId w:val="53"/>
  </w:num>
  <w:num w:numId="54">
    <w:abstractNumId w:val="46"/>
  </w:num>
  <w:num w:numId="55">
    <w:abstractNumId w:val="6"/>
  </w:num>
  <w:num w:numId="56">
    <w:abstractNumId w:val="44"/>
  </w:num>
  <w:num w:numId="57">
    <w:abstractNumId w:val="62"/>
  </w:num>
  <w:num w:numId="58">
    <w:abstractNumId w:val="22"/>
  </w:num>
  <w:num w:numId="59">
    <w:abstractNumId w:val="4"/>
  </w:num>
  <w:num w:numId="60">
    <w:abstractNumId w:val="49"/>
  </w:num>
  <w:num w:numId="61">
    <w:abstractNumId w:val="21"/>
  </w:num>
  <w:num w:numId="62">
    <w:abstractNumId w:val="61"/>
  </w:num>
  <w:num w:numId="63">
    <w:abstractNumId w:val="48"/>
  </w:num>
  <w:num w:numId="64">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54"/>
    <w:rsid w:val="000065D0"/>
    <w:rsid w:val="00006B74"/>
    <w:rsid w:val="00006E1F"/>
    <w:rsid w:val="000070C7"/>
    <w:rsid w:val="000070D7"/>
    <w:rsid w:val="000104F5"/>
    <w:rsid w:val="000156E9"/>
    <w:rsid w:val="00015701"/>
    <w:rsid w:val="0001788C"/>
    <w:rsid w:val="0002186F"/>
    <w:rsid w:val="00023785"/>
    <w:rsid w:val="000337EF"/>
    <w:rsid w:val="00040C3A"/>
    <w:rsid w:val="000419AD"/>
    <w:rsid w:val="0004380C"/>
    <w:rsid w:val="00051661"/>
    <w:rsid w:val="00063900"/>
    <w:rsid w:val="000716C5"/>
    <w:rsid w:val="00073BC1"/>
    <w:rsid w:val="00075E23"/>
    <w:rsid w:val="00076245"/>
    <w:rsid w:val="00077E37"/>
    <w:rsid w:val="00083440"/>
    <w:rsid w:val="00086091"/>
    <w:rsid w:val="00087AAF"/>
    <w:rsid w:val="0009006E"/>
    <w:rsid w:val="0009344A"/>
    <w:rsid w:val="000A19F8"/>
    <w:rsid w:val="000A3254"/>
    <w:rsid w:val="000A392E"/>
    <w:rsid w:val="000A3D0B"/>
    <w:rsid w:val="000A56E1"/>
    <w:rsid w:val="000A575F"/>
    <w:rsid w:val="000A63D0"/>
    <w:rsid w:val="000A6B8C"/>
    <w:rsid w:val="000B0579"/>
    <w:rsid w:val="000C1C69"/>
    <w:rsid w:val="000C3A31"/>
    <w:rsid w:val="000D10DB"/>
    <w:rsid w:val="000D57A3"/>
    <w:rsid w:val="000D7B34"/>
    <w:rsid w:val="000E2789"/>
    <w:rsid w:val="000E5EB5"/>
    <w:rsid w:val="000F35ED"/>
    <w:rsid w:val="00107131"/>
    <w:rsid w:val="0010736F"/>
    <w:rsid w:val="00111A8A"/>
    <w:rsid w:val="00113F73"/>
    <w:rsid w:val="00121A3F"/>
    <w:rsid w:val="00121CC2"/>
    <w:rsid w:val="00123362"/>
    <w:rsid w:val="00130286"/>
    <w:rsid w:val="00131D8B"/>
    <w:rsid w:val="00133EE5"/>
    <w:rsid w:val="00136E3D"/>
    <w:rsid w:val="00143226"/>
    <w:rsid w:val="00143EFE"/>
    <w:rsid w:val="001479C0"/>
    <w:rsid w:val="0015330B"/>
    <w:rsid w:val="0016202D"/>
    <w:rsid w:val="00167A34"/>
    <w:rsid w:val="00175BF5"/>
    <w:rsid w:val="001760E1"/>
    <w:rsid w:val="00176BB3"/>
    <w:rsid w:val="00177EEF"/>
    <w:rsid w:val="00182D0C"/>
    <w:rsid w:val="00192D66"/>
    <w:rsid w:val="001A3498"/>
    <w:rsid w:val="001A75C1"/>
    <w:rsid w:val="001A7870"/>
    <w:rsid w:val="001B3A00"/>
    <w:rsid w:val="001B4C00"/>
    <w:rsid w:val="001B5B5B"/>
    <w:rsid w:val="001B5E87"/>
    <w:rsid w:val="001C08CA"/>
    <w:rsid w:val="001C0DB0"/>
    <w:rsid w:val="001C1B41"/>
    <w:rsid w:val="001C4A52"/>
    <w:rsid w:val="001D556D"/>
    <w:rsid w:val="001D65EF"/>
    <w:rsid w:val="001E2B41"/>
    <w:rsid w:val="001E49E7"/>
    <w:rsid w:val="001F271B"/>
    <w:rsid w:val="001F55DC"/>
    <w:rsid w:val="001F7201"/>
    <w:rsid w:val="00204931"/>
    <w:rsid w:val="0021469C"/>
    <w:rsid w:val="002239E6"/>
    <w:rsid w:val="00223A29"/>
    <w:rsid w:val="002250A3"/>
    <w:rsid w:val="00231294"/>
    <w:rsid w:val="00233042"/>
    <w:rsid w:val="00235217"/>
    <w:rsid w:val="002355A9"/>
    <w:rsid w:val="002458EE"/>
    <w:rsid w:val="00246D1F"/>
    <w:rsid w:val="00247403"/>
    <w:rsid w:val="00247542"/>
    <w:rsid w:val="0025407B"/>
    <w:rsid w:val="00254226"/>
    <w:rsid w:val="00257339"/>
    <w:rsid w:val="00264F12"/>
    <w:rsid w:val="00266B61"/>
    <w:rsid w:val="002670EF"/>
    <w:rsid w:val="0026712A"/>
    <w:rsid w:val="002704DB"/>
    <w:rsid w:val="00270E97"/>
    <w:rsid w:val="0027399F"/>
    <w:rsid w:val="00277BDA"/>
    <w:rsid w:val="00282D86"/>
    <w:rsid w:val="0028454B"/>
    <w:rsid w:val="00290B1F"/>
    <w:rsid w:val="0029435A"/>
    <w:rsid w:val="0029575A"/>
    <w:rsid w:val="002A0AAE"/>
    <w:rsid w:val="002A1248"/>
    <w:rsid w:val="002A1D50"/>
    <w:rsid w:val="002A5820"/>
    <w:rsid w:val="002B42A5"/>
    <w:rsid w:val="002B5B48"/>
    <w:rsid w:val="002C3350"/>
    <w:rsid w:val="002D2B26"/>
    <w:rsid w:val="002D7EA2"/>
    <w:rsid w:val="002E187C"/>
    <w:rsid w:val="002E7512"/>
    <w:rsid w:val="002F22C3"/>
    <w:rsid w:val="002F3724"/>
    <w:rsid w:val="002F6985"/>
    <w:rsid w:val="00302733"/>
    <w:rsid w:val="00311135"/>
    <w:rsid w:val="00311D3F"/>
    <w:rsid w:val="003121D5"/>
    <w:rsid w:val="00314078"/>
    <w:rsid w:val="0031535D"/>
    <w:rsid w:val="00322DBD"/>
    <w:rsid w:val="003239B8"/>
    <w:rsid w:val="0033169F"/>
    <w:rsid w:val="0034224A"/>
    <w:rsid w:val="00343438"/>
    <w:rsid w:val="00344977"/>
    <w:rsid w:val="00346C95"/>
    <w:rsid w:val="00350042"/>
    <w:rsid w:val="00351155"/>
    <w:rsid w:val="00356185"/>
    <w:rsid w:val="00360380"/>
    <w:rsid w:val="00361465"/>
    <w:rsid w:val="0037519E"/>
    <w:rsid w:val="00385E43"/>
    <w:rsid w:val="00386C6C"/>
    <w:rsid w:val="00386CF0"/>
    <w:rsid w:val="0038706C"/>
    <w:rsid w:val="00392450"/>
    <w:rsid w:val="003942EC"/>
    <w:rsid w:val="003A6337"/>
    <w:rsid w:val="003B3BE3"/>
    <w:rsid w:val="003B4FF6"/>
    <w:rsid w:val="003B6805"/>
    <w:rsid w:val="003B70FB"/>
    <w:rsid w:val="003C6112"/>
    <w:rsid w:val="003C676B"/>
    <w:rsid w:val="003D0A55"/>
    <w:rsid w:val="003D1B7C"/>
    <w:rsid w:val="003D340E"/>
    <w:rsid w:val="003D3BC2"/>
    <w:rsid w:val="003E5B2B"/>
    <w:rsid w:val="003E614F"/>
    <w:rsid w:val="003E6CA1"/>
    <w:rsid w:val="003F09C4"/>
    <w:rsid w:val="004065A8"/>
    <w:rsid w:val="004153F5"/>
    <w:rsid w:val="004165C2"/>
    <w:rsid w:val="004304AD"/>
    <w:rsid w:val="00436D09"/>
    <w:rsid w:val="004406B9"/>
    <w:rsid w:val="00441ECB"/>
    <w:rsid w:val="00445193"/>
    <w:rsid w:val="00447CCF"/>
    <w:rsid w:val="004565BA"/>
    <w:rsid w:val="00462C1B"/>
    <w:rsid w:val="00467B7E"/>
    <w:rsid w:val="0047080D"/>
    <w:rsid w:val="00473BB4"/>
    <w:rsid w:val="00476211"/>
    <w:rsid w:val="00477592"/>
    <w:rsid w:val="00486F1C"/>
    <w:rsid w:val="0049419D"/>
    <w:rsid w:val="0049784A"/>
    <w:rsid w:val="004A59CC"/>
    <w:rsid w:val="004A6A54"/>
    <w:rsid w:val="004C20D2"/>
    <w:rsid w:val="004C2312"/>
    <w:rsid w:val="004C2EC3"/>
    <w:rsid w:val="004C4B62"/>
    <w:rsid w:val="004C54C9"/>
    <w:rsid w:val="004C616A"/>
    <w:rsid w:val="004D0A79"/>
    <w:rsid w:val="004D40DE"/>
    <w:rsid w:val="004D4ABA"/>
    <w:rsid w:val="004D6025"/>
    <w:rsid w:val="004E19B1"/>
    <w:rsid w:val="004E2649"/>
    <w:rsid w:val="004F1000"/>
    <w:rsid w:val="00501399"/>
    <w:rsid w:val="00501652"/>
    <w:rsid w:val="00501B1C"/>
    <w:rsid w:val="0050633D"/>
    <w:rsid w:val="00507BC4"/>
    <w:rsid w:val="005128E4"/>
    <w:rsid w:val="005133DB"/>
    <w:rsid w:val="00521721"/>
    <w:rsid w:val="00522962"/>
    <w:rsid w:val="00525560"/>
    <w:rsid w:val="005415E6"/>
    <w:rsid w:val="00543FCD"/>
    <w:rsid w:val="00544216"/>
    <w:rsid w:val="00544C49"/>
    <w:rsid w:val="005516A1"/>
    <w:rsid w:val="0055335B"/>
    <w:rsid w:val="005603F2"/>
    <w:rsid w:val="00561233"/>
    <w:rsid w:val="00561E15"/>
    <w:rsid w:val="00563557"/>
    <w:rsid w:val="0056774E"/>
    <w:rsid w:val="005709C1"/>
    <w:rsid w:val="005720DA"/>
    <w:rsid w:val="0057402A"/>
    <w:rsid w:val="00574CB7"/>
    <w:rsid w:val="005771D0"/>
    <w:rsid w:val="005846E6"/>
    <w:rsid w:val="0059191A"/>
    <w:rsid w:val="005921FF"/>
    <w:rsid w:val="00594707"/>
    <w:rsid w:val="005A10E4"/>
    <w:rsid w:val="005A24ED"/>
    <w:rsid w:val="005A6D0E"/>
    <w:rsid w:val="005B04C9"/>
    <w:rsid w:val="005B37CC"/>
    <w:rsid w:val="005B52B0"/>
    <w:rsid w:val="005B6806"/>
    <w:rsid w:val="005B6D22"/>
    <w:rsid w:val="005B7D5F"/>
    <w:rsid w:val="005C261A"/>
    <w:rsid w:val="005C4225"/>
    <w:rsid w:val="005C5662"/>
    <w:rsid w:val="005C7989"/>
    <w:rsid w:val="005D3E87"/>
    <w:rsid w:val="005D66AD"/>
    <w:rsid w:val="005D723D"/>
    <w:rsid w:val="005E0B65"/>
    <w:rsid w:val="005E11B2"/>
    <w:rsid w:val="005E7829"/>
    <w:rsid w:val="005F0DAD"/>
    <w:rsid w:val="005F0F33"/>
    <w:rsid w:val="005F748C"/>
    <w:rsid w:val="00600DEB"/>
    <w:rsid w:val="0060565E"/>
    <w:rsid w:val="006068B7"/>
    <w:rsid w:val="00626B89"/>
    <w:rsid w:val="006277DE"/>
    <w:rsid w:val="00627C9F"/>
    <w:rsid w:val="00630D78"/>
    <w:rsid w:val="006311E9"/>
    <w:rsid w:val="00632286"/>
    <w:rsid w:val="00632354"/>
    <w:rsid w:val="00640AE4"/>
    <w:rsid w:val="00642810"/>
    <w:rsid w:val="00647756"/>
    <w:rsid w:val="006509DA"/>
    <w:rsid w:val="00652333"/>
    <w:rsid w:val="00653CC1"/>
    <w:rsid w:val="00661EBD"/>
    <w:rsid w:val="006728B6"/>
    <w:rsid w:val="006775AB"/>
    <w:rsid w:val="0068009E"/>
    <w:rsid w:val="006819E9"/>
    <w:rsid w:val="00684371"/>
    <w:rsid w:val="00686128"/>
    <w:rsid w:val="00686471"/>
    <w:rsid w:val="0068794B"/>
    <w:rsid w:val="00691BBE"/>
    <w:rsid w:val="00692219"/>
    <w:rsid w:val="0069402E"/>
    <w:rsid w:val="006A17D2"/>
    <w:rsid w:val="006A73E6"/>
    <w:rsid w:val="006B2D5C"/>
    <w:rsid w:val="006B2EE8"/>
    <w:rsid w:val="006C1596"/>
    <w:rsid w:val="006C2345"/>
    <w:rsid w:val="006C3804"/>
    <w:rsid w:val="006C4EB1"/>
    <w:rsid w:val="006E0166"/>
    <w:rsid w:val="006E0B4E"/>
    <w:rsid w:val="006E772A"/>
    <w:rsid w:val="006E7B34"/>
    <w:rsid w:val="0070635B"/>
    <w:rsid w:val="0070697F"/>
    <w:rsid w:val="00714CF9"/>
    <w:rsid w:val="0072199C"/>
    <w:rsid w:val="00722C9F"/>
    <w:rsid w:val="007253B8"/>
    <w:rsid w:val="007278E2"/>
    <w:rsid w:val="00727B0E"/>
    <w:rsid w:val="00734BBA"/>
    <w:rsid w:val="0073598C"/>
    <w:rsid w:val="0073741F"/>
    <w:rsid w:val="00747DC5"/>
    <w:rsid w:val="0076643F"/>
    <w:rsid w:val="007710A7"/>
    <w:rsid w:val="0077164E"/>
    <w:rsid w:val="007739EE"/>
    <w:rsid w:val="00777F63"/>
    <w:rsid w:val="007816FD"/>
    <w:rsid w:val="00781D8F"/>
    <w:rsid w:val="00782A5C"/>
    <w:rsid w:val="007852B5"/>
    <w:rsid w:val="00787506"/>
    <w:rsid w:val="007920A4"/>
    <w:rsid w:val="0079477A"/>
    <w:rsid w:val="00795319"/>
    <w:rsid w:val="00796A37"/>
    <w:rsid w:val="007A19EE"/>
    <w:rsid w:val="007A5817"/>
    <w:rsid w:val="007A5B98"/>
    <w:rsid w:val="007B05C4"/>
    <w:rsid w:val="007B11D1"/>
    <w:rsid w:val="007B60E9"/>
    <w:rsid w:val="007B6CC3"/>
    <w:rsid w:val="007C3334"/>
    <w:rsid w:val="007C402A"/>
    <w:rsid w:val="007C5771"/>
    <w:rsid w:val="007D2B98"/>
    <w:rsid w:val="007D3ADB"/>
    <w:rsid w:val="007D6399"/>
    <w:rsid w:val="007D7C02"/>
    <w:rsid w:val="007E21BC"/>
    <w:rsid w:val="007E38E2"/>
    <w:rsid w:val="007E58FE"/>
    <w:rsid w:val="007E7C82"/>
    <w:rsid w:val="007F278C"/>
    <w:rsid w:val="007F588D"/>
    <w:rsid w:val="00802748"/>
    <w:rsid w:val="00803F1C"/>
    <w:rsid w:val="0080600E"/>
    <w:rsid w:val="00817612"/>
    <w:rsid w:val="008338A4"/>
    <w:rsid w:val="00834D49"/>
    <w:rsid w:val="00837C45"/>
    <w:rsid w:val="008411F0"/>
    <w:rsid w:val="008439BC"/>
    <w:rsid w:val="00843E9C"/>
    <w:rsid w:val="00844730"/>
    <w:rsid w:val="008457C2"/>
    <w:rsid w:val="00853462"/>
    <w:rsid w:val="00855811"/>
    <w:rsid w:val="00857A82"/>
    <w:rsid w:val="00871526"/>
    <w:rsid w:val="00873836"/>
    <w:rsid w:val="00875668"/>
    <w:rsid w:val="00885737"/>
    <w:rsid w:val="00890650"/>
    <w:rsid w:val="00897E12"/>
    <w:rsid w:val="008A0F81"/>
    <w:rsid w:val="008A1F69"/>
    <w:rsid w:val="008A310C"/>
    <w:rsid w:val="008A7E0F"/>
    <w:rsid w:val="008B12F5"/>
    <w:rsid w:val="008B5932"/>
    <w:rsid w:val="008C5751"/>
    <w:rsid w:val="008C67E5"/>
    <w:rsid w:val="008D768D"/>
    <w:rsid w:val="008E0A09"/>
    <w:rsid w:val="008E0FD8"/>
    <w:rsid w:val="008E328A"/>
    <w:rsid w:val="008E3759"/>
    <w:rsid w:val="008E3BFE"/>
    <w:rsid w:val="008E7900"/>
    <w:rsid w:val="008F1912"/>
    <w:rsid w:val="0090270B"/>
    <w:rsid w:val="009029B8"/>
    <w:rsid w:val="009041DC"/>
    <w:rsid w:val="00904435"/>
    <w:rsid w:val="00910055"/>
    <w:rsid w:val="00912947"/>
    <w:rsid w:val="00913BC1"/>
    <w:rsid w:val="00917B5A"/>
    <w:rsid w:val="00920A58"/>
    <w:rsid w:val="00920A8C"/>
    <w:rsid w:val="00921CB6"/>
    <w:rsid w:val="009322BD"/>
    <w:rsid w:val="00934A2C"/>
    <w:rsid w:val="00935F06"/>
    <w:rsid w:val="0093648C"/>
    <w:rsid w:val="00937B3A"/>
    <w:rsid w:val="00945002"/>
    <w:rsid w:val="00954B82"/>
    <w:rsid w:val="00957000"/>
    <w:rsid w:val="00962436"/>
    <w:rsid w:val="0096706E"/>
    <w:rsid w:val="00974491"/>
    <w:rsid w:val="00975C4E"/>
    <w:rsid w:val="009767E1"/>
    <w:rsid w:val="00977352"/>
    <w:rsid w:val="00977839"/>
    <w:rsid w:val="009778CD"/>
    <w:rsid w:val="009815EC"/>
    <w:rsid w:val="00981FBA"/>
    <w:rsid w:val="00991246"/>
    <w:rsid w:val="00996EC3"/>
    <w:rsid w:val="00997BC5"/>
    <w:rsid w:val="009A4F41"/>
    <w:rsid w:val="009A63AA"/>
    <w:rsid w:val="009A661C"/>
    <w:rsid w:val="009B1C54"/>
    <w:rsid w:val="009B381B"/>
    <w:rsid w:val="009B3EF4"/>
    <w:rsid w:val="009C2FC5"/>
    <w:rsid w:val="009D1753"/>
    <w:rsid w:val="009D2B08"/>
    <w:rsid w:val="009D6502"/>
    <w:rsid w:val="009D7611"/>
    <w:rsid w:val="009D78A5"/>
    <w:rsid w:val="009E08DD"/>
    <w:rsid w:val="009E0B61"/>
    <w:rsid w:val="009E0FAC"/>
    <w:rsid w:val="009E53DE"/>
    <w:rsid w:val="009E7C00"/>
    <w:rsid w:val="009F4A7E"/>
    <w:rsid w:val="00A0691C"/>
    <w:rsid w:val="00A07743"/>
    <w:rsid w:val="00A11E44"/>
    <w:rsid w:val="00A12735"/>
    <w:rsid w:val="00A154C8"/>
    <w:rsid w:val="00A200ED"/>
    <w:rsid w:val="00A204E4"/>
    <w:rsid w:val="00A22397"/>
    <w:rsid w:val="00A32313"/>
    <w:rsid w:val="00A328B3"/>
    <w:rsid w:val="00A32A55"/>
    <w:rsid w:val="00A34891"/>
    <w:rsid w:val="00A50FCF"/>
    <w:rsid w:val="00A528D1"/>
    <w:rsid w:val="00A52D06"/>
    <w:rsid w:val="00A610CD"/>
    <w:rsid w:val="00A615AF"/>
    <w:rsid w:val="00A6209C"/>
    <w:rsid w:val="00A625E0"/>
    <w:rsid w:val="00A7036D"/>
    <w:rsid w:val="00A74947"/>
    <w:rsid w:val="00A758AA"/>
    <w:rsid w:val="00A87D9B"/>
    <w:rsid w:val="00A92093"/>
    <w:rsid w:val="00A92CE2"/>
    <w:rsid w:val="00A940A2"/>
    <w:rsid w:val="00A9755F"/>
    <w:rsid w:val="00A97F69"/>
    <w:rsid w:val="00AA09A2"/>
    <w:rsid w:val="00AA3098"/>
    <w:rsid w:val="00AA7996"/>
    <w:rsid w:val="00AB623C"/>
    <w:rsid w:val="00AB6A7D"/>
    <w:rsid w:val="00AC19CB"/>
    <w:rsid w:val="00AC76E6"/>
    <w:rsid w:val="00AD1886"/>
    <w:rsid w:val="00AD77B7"/>
    <w:rsid w:val="00AE460A"/>
    <w:rsid w:val="00AE5283"/>
    <w:rsid w:val="00AE5488"/>
    <w:rsid w:val="00AE6F91"/>
    <w:rsid w:val="00AF5571"/>
    <w:rsid w:val="00B06B4E"/>
    <w:rsid w:val="00B07341"/>
    <w:rsid w:val="00B147AF"/>
    <w:rsid w:val="00B16779"/>
    <w:rsid w:val="00B202B5"/>
    <w:rsid w:val="00B30539"/>
    <w:rsid w:val="00B314DB"/>
    <w:rsid w:val="00B361F2"/>
    <w:rsid w:val="00B3718B"/>
    <w:rsid w:val="00B4632A"/>
    <w:rsid w:val="00B5067D"/>
    <w:rsid w:val="00B520EC"/>
    <w:rsid w:val="00B530F1"/>
    <w:rsid w:val="00B559E6"/>
    <w:rsid w:val="00B57297"/>
    <w:rsid w:val="00B61E79"/>
    <w:rsid w:val="00B6270F"/>
    <w:rsid w:val="00B736AF"/>
    <w:rsid w:val="00B742BE"/>
    <w:rsid w:val="00B84DA4"/>
    <w:rsid w:val="00B87359"/>
    <w:rsid w:val="00B92E1D"/>
    <w:rsid w:val="00B97946"/>
    <w:rsid w:val="00BA276C"/>
    <w:rsid w:val="00BA35E7"/>
    <w:rsid w:val="00BA5544"/>
    <w:rsid w:val="00BB306F"/>
    <w:rsid w:val="00BB3FBD"/>
    <w:rsid w:val="00BC6CD0"/>
    <w:rsid w:val="00BD2D0D"/>
    <w:rsid w:val="00BD2F54"/>
    <w:rsid w:val="00BD4B89"/>
    <w:rsid w:val="00BD5922"/>
    <w:rsid w:val="00BD76D9"/>
    <w:rsid w:val="00BF02CB"/>
    <w:rsid w:val="00BF3A48"/>
    <w:rsid w:val="00BF514A"/>
    <w:rsid w:val="00BF6FD8"/>
    <w:rsid w:val="00BF775D"/>
    <w:rsid w:val="00C03680"/>
    <w:rsid w:val="00C054DF"/>
    <w:rsid w:val="00C10AFC"/>
    <w:rsid w:val="00C12305"/>
    <w:rsid w:val="00C21562"/>
    <w:rsid w:val="00C21762"/>
    <w:rsid w:val="00C21FEF"/>
    <w:rsid w:val="00C22357"/>
    <w:rsid w:val="00C24543"/>
    <w:rsid w:val="00C256A2"/>
    <w:rsid w:val="00C30BC7"/>
    <w:rsid w:val="00C35A26"/>
    <w:rsid w:val="00C36565"/>
    <w:rsid w:val="00C51515"/>
    <w:rsid w:val="00C52C1D"/>
    <w:rsid w:val="00C53910"/>
    <w:rsid w:val="00C53B88"/>
    <w:rsid w:val="00C53FEC"/>
    <w:rsid w:val="00C5660B"/>
    <w:rsid w:val="00C56854"/>
    <w:rsid w:val="00C5788A"/>
    <w:rsid w:val="00C66B72"/>
    <w:rsid w:val="00C6718B"/>
    <w:rsid w:val="00C67DE9"/>
    <w:rsid w:val="00C87AC4"/>
    <w:rsid w:val="00C92A37"/>
    <w:rsid w:val="00C9567A"/>
    <w:rsid w:val="00C96199"/>
    <w:rsid w:val="00CA3B79"/>
    <w:rsid w:val="00CA48A3"/>
    <w:rsid w:val="00CA5E51"/>
    <w:rsid w:val="00CB212D"/>
    <w:rsid w:val="00CB2660"/>
    <w:rsid w:val="00CC0F1E"/>
    <w:rsid w:val="00CC5E90"/>
    <w:rsid w:val="00CD046C"/>
    <w:rsid w:val="00CD186A"/>
    <w:rsid w:val="00CE076C"/>
    <w:rsid w:val="00CE153B"/>
    <w:rsid w:val="00CE5199"/>
    <w:rsid w:val="00CE66D5"/>
    <w:rsid w:val="00CF637A"/>
    <w:rsid w:val="00D059DE"/>
    <w:rsid w:val="00D05ABD"/>
    <w:rsid w:val="00D13FCE"/>
    <w:rsid w:val="00D17E8C"/>
    <w:rsid w:val="00D20DAB"/>
    <w:rsid w:val="00D306D1"/>
    <w:rsid w:val="00D30800"/>
    <w:rsid w:val="00D34786"/>
    <w:rsid w:val="00D37B49"/>
    <w:rsid w:val="00D37BFC"/>
    <w:rsid w:val="00D42822"/>
    <w:rsid w:val="00D47A8E"/>
    <w:rsid w:val="00D513AD"/>
    <w:rsid w:val="00D52D14"/>
    <w:rsid w:val="00D55256"/>
    <w:rsid w:val="00D56D93"/>
    <w:rsid w:val="00D712D3"/>
    <w:rsid w:val="00D71422"/>
    <w:rsid w:val="00D72DC6"/>
    <w:rsid w:val="00D73F5E"/>
    <w:rsid w:val="00D7554C"/>
    <w:rsid w:val="00D7558D"/>
    <w:rsid w:val="00D77503"/>
    <w:rsid w:val="00D81D92"/>
    <w:rsid w:val="00D82FD5"/>
    <w:rsid w:val="00D876F9"/>
    <w:rsid w:val="00D877B6"/>
    <w:rsid w:val="00D903F3"/>
    <w:rsid w:val="00D93A90"/>
    <w:rsid w:val="00DA7B5F"/>
    <w:rsid w:val="00DC11B8"/>
    <w:rsid w:val="00DC11E7"/>
    <w:rsid w:val="00DC7023"/>
    <w:rsid w:val="00DC769A"/>
    <w:rsid w:val="00DD061E"/>
    <w:rsid w:val="00DD35E0"/>
    <w:rsid w:val="00DD3D86"/>
    <w:rsid w:val="00DE02C3"/>
    <w:rsid w:val="00DE12F0"/>
    <w:rsid w:val="00DF0D19"/>
    <w:rsid w:val="00DF1EC4"/>
    <w:rsid w:val="00DF51E9"/>
    <w:rsid w:val="00DF6ACF"/>
    <w:rsid w:val="00E01943"/>
    <w:rsid w:val="00E02AC7"/>
    <w:rsid w:val="00E0340B"/>
    <w:rsid w:val="00E04A90"/>
    <w:rsid w:val="00E0551F"/>
    <w:rsid w:val="00E219C7"/>
    <w:rsid w:val="00E26CCA"/>
    <w:rsid w:val="00E27F56"/>
    <w:rsid w:val="00E27F77"/>
    <w:rsid w:val="00E4118C"/>
    <w:rsid w:val="00E43157"/>
    <w:rsid w:val="00E461CE"/>
    <w:rsid w:val="00E46708"/>
    <w:rsid w:val="00E602C3"/>
    <w:rsid w:val="00E6309B"/>
    <w:rsid w:val="00E6388A"/>
    <w:rsid w:val="00E720CA"/>
    <w:rsid w:val="00E77603"/>
    <w:rsid w:val="00E84EB5"/>
    <w:rsid w:val="00E85662"/>
    <w:rsid w:val="00E8789F"/>
    <w:rsid w:val="00E92747"/>
    <w:rsid w:val="00E93D55"/>
    <w:rsid w:val="00E96E52"/>
    <w:rsid w:val="00E97B71"/>
    <w:rsid w:val="00EA3D34"/>
    <w:rsid w:val="00EA612F"/>
    <w:rsid w:val="00EB2FF5"/>
    <w:rsid w:val="00EB415F"/>
    <w:rsid w:val="00EB454D"/>
    <w:rsid w:val="00EC173F"/>
    <w:rsid w:val="00EC26E9"/>
    <w:rsid w:val="00EC72AB"/>
    <w:rsid w:val="00ED2F03"/>
    <w:rsid w:val="00ED3006"/>
    <w:rsid w:val="00ED549D"/>
    <w:rsid w:val="00ED65D7"/>
    <w:rsid w:val="00ED76BE"/>
    <w:rsid w:val="00ED7F05"/>
    <w:rsid w:val="00EE00E9"/>
    <w:rsid w:val="00EE014D"/>
    <w:rsid w:val="00EE329A"/>
    <w:rsid w:val="00EF35AB"/>
    <w:rsid w:val="00EF4C44"/>
    <w:rsid w:val="00EF5E01"/>
    <w:rsid w:val="00EF619B"/>
    <w:rsid w:val="00EF7A98"/>
    <w:rsid w:val="00F00B55"/>
    <w:rsid w:val="00F02AD1"/>
    <w:rsid w:val="00F04591"/>
    <w:rsid w:val="00F06354"/>
    <w:rsid w:val="00F1074C"/>
    <w:rsid w:val="00F253CC"/>
    <w:rsid w:val="00F332EF"/>
    <w:rsid w:val="00F338B1"/>
    <w:rsid w:val="00F37106"/>
    <w:rsid w:val="00F519CF"/>
    <w:rsid w:val="00F53168"/>
    <w:rsid w:val="00F56BA5"/>
    <w:rsid w:val="00F60E22"/>
    <w:rsid w:val="00F63B39"/>
    <w:rsid w:val="00F67ED3"/>
    <w:rsid w:val="00F77BFD"/>
    <w:rsid w:val="00F81395"/>
    <w:rsid w:val="00F81887"/>
    <w:rsid w:val="00F81BB8"/>
    <w:rsid w:val="00F917D1"/>
    <w:rsid w:val="00F9342C"/>
    <w:rsid w:val="00F94CB3"/>
    <w:rsid w:val="00F9653B"/>
    <w:rsid w:val="00FA2450"/>
    <w:rsid w:val="00FA2B75"/>
    <w:rsid w:val="00FA468C"/>
    <w:rsid w:val="00FA56EA"/>
    <w:rsid w:val="00FB62CF"/>
    <w:rsid w:val="00FC0F4A"/>
    <w:rsid w:val="00FC3330"/>
    <w:rsid w:val="00FD3C3B"/>
    <w:rsid w:val="00FE07DD"/>
    <w:rsid w:val="00FE5969"/>
    <w:rsid w:val="00FE6B45"/>
    <w:rsid w:val="00FF3D58"/>
    <w:rsid w:val="00FF55F3"/>
    <w:rsid w:val="00FF5851"/>
    <w:rsid w:val="00FF58A9"/>
    <w:rsid w:val="00FF7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760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7603"/>
    <w:rPr>
      <w:u w:val="single"/>
    </w:rPr>
  </w:style>
  <w:style w:type="paragraph" w:customStyle="1" w:styleId="Cabeceraypie">
    <w:name w:val="Cabecera y pie"/>
    <w:rsid w:val="00E77603"/>
    <w:pPr>
      <w:tabs>
        <w:tab w:val="right" w:pos="9020"/>
      </w:tabs>
    </w:pPr>
    <w:rPr>
      <w:rFonts w:ascii="Helvetica" w:hAnsi="Arial Unicode MS" w:cs="Arial Unicode MS"/>
      <w:color w:val="000000"/>
      <w:sz w:val="24"/>
      <w:szCs w:val="24"/>
    </w:rPr>
  </w:style>
  <w:style w:type="paragraph" w:styleId="Footer">
    <w:name w:val="footer"/>
    <w:link w:val="FooterChar"/>
    <w:uiPriority w:val="99"/>
    <w:rsid w:val="00E77603"/>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E77603"/>
    <w:rPr>
      <w:rFonts w:ascii="Cambria" w:eastAsia="Cambria" w:hAnsi="Cambria" w:cs="Cambria"/>
      <w:color w:val="000000"/>
      <w:sz w:val="24"/>
      <w:szCs w:val="24"/>
      <w:u w:color="000000"/>
    </w:rPr>
  </w:style>
  <w:style w:type="paragraph" w:styleId="BodyTextIndent">
    <w:name w:val="Body Text Indent"/>
    <w:rsid w:val="00E77603"/>
    <w:pPr>
      <w:ind w:left="2160" w:hanging="720"/>
    </w:pPr>
    <w:rPr>
      <w:rFonts w:eastAsia="Times New Roman"/>
      <w:color w:val="000000"/>
      <w:sz w:val="24"/>
      <w:szCs w:val="24"/>
      <w:u w:color="000000"/>
      <w:lang w:val="es-ES_tradnl"/>
    </w:rPr>
  </w:style>
  <w:style w:type="paragraph" w:styleId="ListParagraph">
    <w:name w:val="List Paragraph"/>
    <w:uiPriority w:val="34"/>
    <w:qFormat/>
    <w:rsid w:val="00E77603"/>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E77603"/>
    <w:pPr>
      <w:numPr>
        <w:numId w:val="31"/>
      </w:numPr>
    </w:pPr>
  </w:style>
  <w:style w:type="numbering" w:customStyle="1" w:styleId="Estiloimportado1">
    <w:name w:val="Estilo importado 1"/>
    <w:rsid w:val="00E77603"/>
  </w:style>
  <w:style w:type="numbering" w:customStyle="1" w:styleId="List1">
    <w:name w:val="List 1"/>
    <w:basedOn w:val="Estiloimportado2"/>
    <w:rsid w:val="00E77603"/>
    <w:pPr>
      <w:numPr>
        <w:numId w:val="1"/>
      </w:numPr>
    </w:pPr>
  </w:style>
  <w:style w:type="numbering" w:customStyle="1" w:styleId="Estiloimportado2">
    <w:name w:val="Estilo importado 2"/>
    <w:rsid w:val="00E77603"/>
  </w:style>
  <w:style w:type="numbering" w:customStyle="1" w:styleId="List210">
    <w:name w:val="List 21"/>
    <w:basedOn w:val="Estiloimportado3"/>
    <w:rsid w:val="00E77603"/>
    <w:pPr>
      <w:numPr>
        <w:numId w:val="52"/>
      </w:numPr>
    </w:pPr>
  </w:style>
  <w:style w:type="numbering" w:customStyle="1" w:styleId="Estiloimportado3">
    <w:name w:val="Estilo importado 3"/>
    <w:rsid w:val="00E77603"/>
  </w:style>
  <w:style w:type="numbering" w:customStyle="1" w:styleId="List31">
    <w:name w:val="List 31"/>
    <w:basedOn w:val="Estiloimportado4"/>
    <w:rsid w:val="00E77603"/>
    <w:pPr>
      <w:numPr>
        <w:numId w:val="51"/>
      </w:numPr>
    </w:pPr>
  </w:style>
  <w:style w:type="numbering" w:customStyle="1" w:styleId="Estiloimportado4">
    <w:name w:val="Estilo importado 4"/>
    <w:rsid w:val="00E77603"/>
  </w:style>
  <w:style w:type="numbering" w:customStyle="1" w:styleId="List41">
    <w:name w:val="List 41"/>
    <w:basedOn w:val="Estiloimportado5"/>
    <w:rsid w:val="00E77603"/>
    <w:pPr>
      <w:numPr>
        <w:numId w:val="2"/>
      </w:numPr>
    </w:pPr>
  </w:style>
  <w:style w:type="numbering" w:customStyle="1" w:styleId="Estiloimportado5">
    <w:name w:val="Estilo importado 5"/>
    <w:rsid w:val="00E77603"/>
  </w:style>
  <w:style w:type="numbering" w:customStyle="1" w:styleId="List510">
    <w:name w:val="List 51"/>
    <w:basedOn w:val="Estiloimportado6"/>
    <w:rsid w:val="00E77603"/>
    <w:pPr>
      <w:numPr>
        <w:numId w:val="54"/>
      </w:numPr>
    </w:pPr>
  </w:style>
  <w:style w:type="numbering" w:customStyle="1" w:styleId="Estiloimportado6">
    <w:name w:val="Estilo importado 6"/>
    <w:rsid w:val="00E77603"/>
  </w:style>
  <w:style w:type="numbering" w:customStyle="1" w:styleId="List6">
    <w:name w:val="List 6"/>
    <w:basedOn w:val="Estiloimportado7"/>
    <w:rsid w:val="00E77603"/>
    <w:pPr>
      <w:numPr>
        <w:numId w:val="3"/>
      </w:numPr>
    </w:pPr>
  </w:style>
  <w:style w:type="numbering" w:customStyle="1" w:styleId="Estiloimportado7">
    <w:name w:val="Estilo importado 7"/>
    <w:rsid w:val="00E77603"/>
  </w:style>
  <w:style w:type="numbering" w:customStyle="1" w:styleId="List7">
    <w:name w:val="List 7"/>
    <w:basedOn w:val="Estiloimportado8"/>
    <w:rsid w:val="00E77603"/>
    <w:pPr>
      <w:numPr>
        <w:numId w:val="4"/>
      </w:numPr>
    </w:pPr>
  </w:style>
  <w:style w:type="numbering" w:customStyle="1" w:styleId="Estiloimportado8">
    <w:name w:val="Estilo importado 8"/>
    <w:rsid w:val="00E77603"/>
  </w:style>
  <w:style w:type="numbering" w:customStyle="1" w:styleId="List8">
    <w:name w:val="List 8"/>
    <w:basedOn w:val="Estiloimportado9"/>
    <w:rsid w:val="00E77603"/>
    <w:pPr>
      <w:numPr>
        <w:numId w:val="5"/>
      </w:numPr>
    </w:pPr>
  </w:style>
  <w:style w:type="numbering" w:customStyle="1" w:styleId="Estiloimportado9">
    <w:name w:val="Estilo importado 9"/>
    <w:rsid w:val="00E77603"/>
  </w:style>
  <w:style w:type="numbering" w:customStyle="1" w:styleId="List9">
    <w:name w:val="List 9"/>
    <w:basedOn w:val="Estiloimportado10"/>
    <w:rsid w:val="00E77603"/>
    <w:pPr>
      <w:numPr>
        <w:numId w:val="22"/>
      </w:numPr>
    </w:pPr>
  </w:style>
  <w:style w:type="numbering" w:customStyle="1" w:styleId="Estiloimportado10">
    <w:name w:val="Estilo importado 10"/>
    <w:rsid w:val="00E77603"/>
  </w:style>
  <w:style w:type="numbering" w:customStyle="1" w:styleId="List10">
    <w:name w:val="List 10"/>
    <w:basedOn w:val="Estiloimportado11"/>
    <w:rsid w:val="00E77603"/>
    <w:pPr>
      <w:numPr>
        <w:numId w:val="6"/>
      </w:numPr>
    </w:pPr>
  </w:style>
  <w:style w:type="numbering" w:customStyle="1" w:styleId="Estiloimportado11">
    <w:name w:val="Estilo importado 11"/>
    <w:rsid w:val="00E77603"/>
  </w:style>
  <w:style w:type="numbering" w:customStyle="1" w:styleId="List11">
    <w:name w:val="List 11"/>
    <w:basedOn w:val="Estiloimportado12"/>
    <w:rsid w:val="00E77603"/>
    <w:pPr>
      <w:numPr>
        <w:numId w:val="7"/>
      </w:numPr>
    </w:pPr>
  </w:style>
  <w:style w:type="numbering" w:customStyle="1" w:styleId="Estiloimportado12">
    <w:name w:val="Estilo importado 12"/>
    <w:rsid w:val="00E77603"/>
  </w:style>
  <w:style w:type="numbering" w:customStyle="1" w:styleId="List12">
    <w:name w:val="List 12"/>
    <w:basedOn w:val="Estiloimportado13"/>
    <w:rsid w:val="00E77603"/>
    <w:pPr>
      <w:numPr>
        <w:numId w:val="36"/>
      </w:numPr>
    </w:pPr>
  </w:style>
  <w:style w:type="numbering" w:customStyle="1" w:styleId="Estiloimportado13">
    <w:name w:val="Estilo importado 13"/>
    <w:rsid w:val="00E77603"/>
  </w:style>
  <w:style w:type="numbering" w:customStyle="1" w:styleId="List13">
    <w:name w:val="List 13"/>
    <w:basedOn w:val="Estiloimportado14"/>
    <w:rsid w:val="00E77603"/>
    <w:pPr>
      <w:numPr>
        <w:numId w:val="42"/>
      </w:numPr>
    </w:pPr>
  </w:style>
  <w:style w:type="numbering" w:customStyle="1" w:styleId="Estiloimportado14">
    <w:name w:val="Estilo importado 14"/>
    <w:rsid w:val="00E77603"/>
  </w:style>
  <w:style w:type="numbering" w:customStyle="1" w:styleId="List14">
    <w:name w:val="List 14"/>
    <w:basedOn w:val="Estiloimportado15"/>
    <w:rsid w:val="00E77603"/>
    <w:pPr>
      <w:numPr>
        <w:numId w:val="17"/>
      </w:numPr>
    </w:pPr>
  </w:style>
  <w:style w:type="numbering" w:customStyle="1" w:styleId="Estiloimportado15">
    <w:name w:val="Estilo importado 15"/>
    <w:rsid w:val="00E77603"/>
  </w:style>
  <w:style w:type="numbering" w:customStyle="1" w:styleId="List15">
    <w:name w:val="List 15"/>
    <w:basedOn w:val="Estiloimportado16"/>
    <w:rsid w:val="00E77603"/>
    <w:pPr>
      <w:numPr>
        <w:numId w:val="16"/>
      </w:numPr>
    </w:pPr>
  </w:style>
  <w:style w:type="numbering" w:customStyle="1" w:styleId="Estiloimportado16">
    <w:name w:val="Estilo importado 16"/>
    <w:rsid w:val="00E77603"/>
  </w:style>
  <w:style w:type="numbering" w:customStyle="1" w:styleId="List16">
    <w:name w:val="List 16"/>
    <w:basedOn w:val="Estiloimportado16"/>
    <w:rsid w:val="00E77603"/>
    <w:pPr>
      <w:numPr>
        <w:numId w:val="10"/>
      </w:numPr>
    </w:pPr>
  </w:style>
  <w:style w:type="numbering" w:customStyle="1" w:styleId="List17">
    <w:name w:val="List 17"/>
    <w:basedOn w:val="Estiloimportado17"/>
    <w:rsid w:val="00E77603"/>
    <w:pPr>
      <w:numPr>
        <w:numId w:val="25"/>
      </w:numPr>
    </w:pPr>
  </w:style>
  <w:style w:type="numbering" w:customStyle="1" w:styleId="Estiloimportado17">
    <w:name w:val="Estilo importado 17"/>
    <w:rsid w:val="00E77603"/>
  </w:style>
  <w:style w:type="numbering" w:customStyle="1" w:styleId="List18">
    <w:name w:val="List 18"/>
    <w:basedOn w:val="Estiloimportado18"/>
    <w:rsid w:val="00E77603"/>
    <w:pPr>
      <w:numPr>
        <w:numId w:val="27"/>
      </w:numPr>
    </w:pPr>
  </w:style>
  <w:style w:type="numbering" w:customStyle="1" w:styleId="Estiloimportado18">
    <w:name w:val="Estilo importado 18"/>
    <w:rsid w:val="00E77603"/>
  </w:style>
  <w:style w:type="numbering" w:customStyle="1" w:styleId="List19">
    <w:name w:val="List 19"/>
    <w:basedOn w:val="Estiloimportado10"/>
    <w:rsid w:val="00E77603"/>
    <w:pPr>
      <w:numPr>
        <w:numId w:val="19"/>
      </w:numPr>
    </w:pPr>
  </w:style>
  <w:style w:type="numbering" w:customStyle="1" w:styleId="List20">
    <w:name w:val="List 20"/>
    <w:basedOn w:val="Estiloimportado12"/>
    <w:rsid w:val="00E77603"/>
    <w:pPr>
      <w:numPr>
        <w:numId w:val="43"/>
      </w:numPr>
    </w:pPr>
  </w:style>
  <w:style w:type="numbering" w:customStyle="1" w:styleId="List21">
    <w:name w:val="List 21"/>
    <w:basedOn w:val="Estiloimportado19"/>
    <w:rsid w:val="00E77603"/>
    <w:pPr>
      <w:numPr>
        <w:numId w:val="38"/>
      </w:numPr>
    </w:pPr>
  </w:style>
  <w:style w:type="numbering" w:customStyle="1" w:styleId="Estiloimportado19">
    <w:name w:val="Estilo importado 19"/>
    <w:rsid w:val="00E77603"/>
  </w:style>
  <w:style w:type="numbering" w:customStyle="1" w:styleId="List22">
    <w:name w:val="List 22"/>
    <w:basedOn w:val="Estiloimportado19"/>
    <w:rsid w:val="00E77603"/>
    <w:pPr>
      <w:numPr>
        <w:numId w:val="28"/>
      </w:numPr>
    </w:pPr>
  </w:style>
  <w:style w:type="numbering" w:customStyle="1" w:styleId="List23">
    <w:name w:val="List 23"/>
    <w:basedOn w:val="Estiloimportado19"/>
    <w:rsid w:val="00E77603"/>
    <w:pPr>
      <w:numPr>
        <w:numId w:val="18"/>
      </w:numPr>
    </w:pPr>
  </w:style>
  <w:style w:type="numbering" w:customStyle="1" w:styleId="List24">
    <w:name w:val="List 24"/>
    <w:basedOn w:val="Estiloimportado20"/>
    <w:rsid w:val="00E77603"/>
    <w:pPr>
      <w:numPr>
        <w:numId w:val="13"/>
      </w:numPr>
    </w:pPr>
  </w:style>
  <w:style w:type="numbering" w:customStyle="1" w:styleId="Estiloimportado20">
    <w:name w:val="Estilo importado 20"/>
    <w:rsid w:val="00E77603"/>
  </w:style>
  <w:style w:type="numbering" w:customStyle="1" w:styleId="List25">
    <w:name w:val="List 25"/>
    <w:basedOn w:val="Estiloimportado21"/>
    <w:rsid w:val="00E77603"/>
    <w:pPr>
      <w:numPr>
        <w:numId w:val="15"/>
      </w:numPr>
    </w:pPr>
  </w:style>
  <w:style w:type="numbering" w:customStyle="1" w:styleId="Estiloimportado21">
    <w:name w:val="Estilo importado 21"/>
    <w:rsid w:val="00E77603"/>
  </w:style>
  <w:style w:type="numbering" w:customStyle="1" w:styleId="List26">
    <w:name w:val="List 26"/>
    <w:basedOn w:val="Estiloimportado22"/>
    <w:rsid w:val="00E77603"/>
    <w:pPr>
      <w:numPr>
        <w:numId w:val="49"/>
      </w:numPr>
    </w:pPr>
  </w:style>
  <w:style w:type="numbering" w:customStyle="1" w:styleId="Estiloimportado22">
    <w:name w:val="Estilo importado 22"/>
    <w:rsid w:val="00E77603"/>
  </w:style>
  <w:style w:type="numbering" w:customStyle="1" w:styleId="List27">
    <w:name w:val="List 27"/>
    <w:basedOn w:val="Estiloimportado23"/>
    <w:rsid w:val="00E77603"/>
    <w:pPr>
      <w:numPr>
        <w:numId w:val="41"/>
      </w:numPr>
    </w:pPr>
  </w:style>
  <w:style w:type="numbering" w:customStyle="1" w:styleId="Estiloimportado23">
    <w:name w:val="Estilo importado 23"/>
    <w:rsid w:val="00E77603"/>
  </w:style>
  <w:style w:type="numbering" w:customStyle="1" w:styleId="List28">
    <w:name w:val="List 28"/>
    <w:basedOn w:val="Estiloimportado24"/>
    <w:rsid w:val="00E77603"/>
    <w:pPr>
      <w:numPr>
        <w:numId w:val="30"/>
      </w:numPr>
    </w:pPr>
  </w:style>
  <w:style w:type="numbering" w:customStyle="1" w:styleId="Estiloimportado24">
    <w:name w:val="Estilo importado 24"/>
    <w:rsid w:val="00E77603"/>
  </w:style>
  <w:style w:type="numbering" w:customStyle="1" w:styleId="List29">
    <w:name w:val="List 29"/>
    <w:basedOn w:val="Estiloimportado25"/>
    <w:rsid w:val="00E77603"/>
    <w:pPr>
      <w:numPr>
        <w:numId w:val="34"/>
      </w:numPr>
    </w:pPr>
  </w:style>
  <w:style w:type="numbering" w:customStyle="1" w:styleId="Estiloimportado25">
    <w:name w:val="Estilo importado 25"/>
    <w:rsid w:val="00E77603"/>
  </w:style>
  <w:style w:type="numbering" w:customStyle="1" w:styleId="List30">
    <w:name w:val="List 30"/>
    <w:basedOn w:val="Estiloimportado26"/>
    <w:rsid w:val="00E77603"/>
    <w:pPr>
      <w:numPr>
        <w:numId w:val="32"/>
      </w:numPr>
    </w:pPr>
  </w:style>
  <w:style w:type="numbering" w:customStyle="1" w:styleId="Estiloimportado26">
    <w:name w:val="Estilo importado 26"/>
    <w:rsid w:val="00E77603"/>
  </w:style>
  <w:style w:type="numbering" w:customStyle="1" w:styleId="List310">
    <w:name w:val="List 31"/>
    <w:basedOn w:val="Estiloimportado27"/>
    <w:rsid w:val="00E77603"/>
    <w:pPr>
      <w:numPr>
        <w:numId w:val="45"/>
      </w:numPr>
    </w:pPr>
  </w:style>
  <w:style w:type="numbering" w:customStyle="1" w:styleId="Estiloimportado27">
    <w:name w:val="Estilo importado 27"/>
    <w:rsid w:val="00E77603"/>
  </w:style>
  <w:style w:type="numbering" w:customStyle="1" w:styleId="List32">
    <w:name w:val="List 32"/>
    <w:basedOn w:val="Estiloimportado28"/>
    <w:rsid w:val="00E77603"/>
    <w:pPr>
      <w:numPr>
        <w:numId w:val="48"/>
      </w:numPr>
    </w:pPr>
  </w:style>
  <w:style w:type="numbering" w:customStyle="1" w:styleId="Estiloimportado28">
    <w:name w:val="Estilo importado 28"/>
    <w:rsid w:val="00E7760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uiPriority w:val="99"/>
    <w:qFormat/>
    <w:rsid w:val="00E77603"/>
    <w:rPr>
      <w:rFonts w:ascii="Calibri" w:eastAsia="Calibri" w:hAnsi="Calibri" w:cs="Calibri"/>
      <w:color w:val="000000"/>
      <w:u w:color="000000"/>
      <w:lang w:val="en-US"/>
    </w:rPr>
  </w:style>
  <w:style w:type="numbering" w:customStyle="1" w:styleId="List33">
    <w:name w:val="List 33"/>
    <w:basedOn w:val="Estiloimportado29"/>
    <w:rsid w:val="00E77603"/>
    <w:pPr>
      <w:numPr>
        <w:numId w:val="26"/>
      </w:numPr>
    </w:pPr>
  </w:style>
  <w:style w:type="numbering" w:customStyle="1" w:styleId="Estiloimportado29">
    <w:name w:val="Estilo importado 29"/>
    <w:rsid w:val="00E77603"/>
  </w:style>
  <w:style w:type="numbering" w:customStyle="1" w:styleId="List34">
    <w:name w:val="List 34"/>
    <w:basedOn w:val="Estiloimportado30"/>
    <w:rsid w:val="00E77603"/>
    <w:pPr>
      <w:numPr>
        <w:numId w:val="11"/>
      </w:numPr>
    </w:pPr>
  </w:style>
  <w:style w:type="numbering" w:customStyle="1" w:styleId="Estiloimportado30">
    <w:name w:val="Estilo importado 30"/>
    <w:rsid w:val="00E77603"/>
  </w:style>
  <w:style w:type="numbering" w:customStyle="1" w:styleId="List35">
    <w:name w:val="List 35"/>
    <w:basedOn w:val="Estiloimportado31"/>
    <w:rsid w:val="00E77603"/>
    <w:pPr>
      <w:numPr>
        <w:numId w:val="8"/>
      </w:numPr>
    </w:pPr>
  </w:style>
  <w:style w:type="numbering" w:customStyle="1" w:styleId="Estiloimportado31">
    <w:name w:val="Estilo importado 31"/>
    <w:rsid w:val="00E77603"/>
  </w:style>
  <w:style w:type="numbering" w:customStyle="1" w:styleId="List36">
    <w:name w:val="List 36"/>
    <w:basedOn w:val="Estiloimportado32"/>
    <w:rsid w:val="00E77603"/>
    <w:pPr>
      <w:numPr>
        <w:numId w:val="14"/>
      </w:numPr>
    </w:pPr>
  </w:style>
  <w:style w:type="numbering" w:customStyle="1" w:styleId="Estiloimportado32">
    <w:name w:val="Estilo importado 32"/>
    <w:rsid w:val="00E77603"/>
  </w:style>
  <w:style w:type="numbering" w:customStyle="1" w:styleId="List37">
    <w:name w:val="List 37"/>
    <w:basedOn w:val="Estiloimportado33"/>
    <w:rsid w:val="00E77603"/>
    <w:pPr>
      <w:numPr>
        <w:numId w:val="47"/>
      </w:numPr>
    </w:pPr>
  </w:style>
  <w:style w:type="numbering" w:customStyle="1" w:styleId="Estiloimportado33">
    <w:name w:val="Estilo importado 33"/>
    <w:rsid w:val="00E77603"/>
  </w:style>
  <w:style w:type="numbering" w:customStyle="1" w:styleId="List38">
    <w:name w:val="List 38"/>
    <w:basedOn w:val="Estiloimportado34"/>
    <w:rsid w:val="00E77603"/>
    <w:pPr>
      <w:numPr>
        <w:numId w:val="35"/>
      </w:numPr>
    </w:pPr>
  </w:style>
  <w:style w:type="numbering" w:customStyle="1" w:styleId="Estiloimportado34">
    <w:name w:val="Estilo importado 34"/>
    <w:rsid w:val="00E77603"/>
  </w:style>
  <w:style w:type="numbering" w:customStyle="1" w:styleId="List39">
    <w:name w:val="List 39"/>
    <w:basedOn w:val="Estiloimportado35"/>
    <w:rsid w:val="00E77603"/>
    <w:pPr>
      <w:numPr>
        <w:numId w:val="46"/>
      </w:numPr>
    </w:pPr>
  </w:style>
  <w:style w:type="numbering" w:customStyle="1" w:styleId="Estiloimportado35">
    <w:name w:val="Estilo importado 35"/>
    <w:rsid w:val="00E77603"/>
  </w:style>
  <w:style w:type="numbering" w:customStyle="1" w:styleId="List40">
    <w:name w:val="List 40"/>
    <w:basedOn w:val="Estiloimportado36"/>
    <w:rsid w:val="00E77603"/>
    <w:pPr>
      <w:numPr>
        <w:numId w:val="21"/>
      </w:numPr>
    </w:pPr>
  </w:style>
  <w:style w:type="numbering" w:customStyle="1" w:styleId="Estiloimportado36">
    <w:name w:val="Estilo importado 36"/>
    <w:rsid w:val="00E77603"/>
  </w:style>
  <w:style w:type="numbering" w:customStyle="1" w:styleId="List410">
    <w:name w:val="List 41"/>
    <w:basedOn w:val="Estiloimportado37"/>
    <w:rsid w:val="00E77603"/>
    <w:pPr>
      <w:numPr>
        <w:numId w:val="44"/>
      </w:numPr>
    </w:pPr>
  </w:style>
  <w:style w:type="numbering" w:customStyle="1" w:styleId="Estiloimportado37">
    <w:name w:val="Estilo importado 37"/>
    <w:rsid w:val="00E77603"/>
  </w:style>
  <w:style w:type="numbering" w:customStyle="1" w:styleId="List42">
    <w:name w:val="List 42"/>
    <w:basedOn w:val="Estiloimportado12"/>
    <w:rsid w:val="00E77603"/>
    <w:pPr>
      <w:numPr>
        <w:numId w:val="12"/>
      </w:numPr>
    </w:pPr>
  </w:style>
  <w:style w:type="numbering" w:customStyle="1" w:styleId="List43">
    <w:name w:val="List 43"/>
    <w:basedOn w:val="Estiloimportado38"/>
    <w:rsid w:val="00E77603"/>
    <w:pPr>
      <w:numPr>
        <w:numId w:val="23"/>
      </w:numPr>
    </w:pPr>
  </w:style>
  <w:style w:type="numbering" w:customStyle="1" w:styleId="Estiloimportado38">
    <w:name w:val="Estilo importado 38"/>
    <w:rsid w:val="00E77603"/>
  </w:style>
  <w:style w:type="numbering" w:customStyle="1" w:styleId="List44">
    <w:name w:val="List 44"/>
    <w:basedOn w:val="Estiloimportado39"/>
    <w:rsid w:val="00E77603"/>
    <w:pPr>
      <w:numPr>
        <w:numId w:val="40"/>
      </w:numPr>
    </w:pPr>
  </w:style>
  <w:style w:type="numbering" w:customStyle="1" w:styleId="Estiloimportado39">
    <w:name w:val="Estilo importado 39"/>
    <w:rsid w:val="00E77603"/>
  </w:style>
  <w:style w:type="numbering" w:customStyle="1" w:styleId="List45">
    <w:name w:val="List 45"/>
    <w:basedOn w:val="Estiloimportado40"/>
    <w:rsid w:val="00E77603"/>
    <w:pPr>
      <w:numPr>
        <w:numId w:val="20"/>
      </w:numPr>
    </w:pPr>
  </w:style>
  <w:style w:type="numbering" w:customStyle="1" w:styleId="Estiloimportado40">
    <w:name w:val="Estilo importado 40"/>
    <w:rsid w:val="00E77603"/>
  </w:style>
  <w:style w:type="numbering" w:customStyle="1" w:styleId="List46">
    <w:name w:val="List 46"/>
    <w:basedOn w:val="Estiloimportado41"/>
    <w:rsid w:val="00E77603"/>
    <w:pPr>
      <w:numPr>
        <w:numId w:val="24"/>
      </w:numPr>
    </w:pPr>
  </w:style>
  <w:style w:type="numbering" w:customStyle="1" w:styleId="Estiloimportado41">
    <w:name w:val="Estilo importado 41"/>
    <w:rsid w:val="00E77603"/>
  </w:style>
  <w:style w:type="numbering" w:customStyle="1" w:styleId="List47">
    <w:name w:val="List 47"/>
    <w:basedOn w:val="Estiloimportado42"/>
    <w:rsid w:val="00E77603"/>
    <w:pPr>
      <w:numPr>
        <w:numId w:val="29"/>
      </w:numPr>
    </w:pPr>
  </w:style>
  <w:style w:type="numbering" w:customStyle="1" w:styleId="Estiloimportado42">
    <w:name w:val="Estilo importado 42"/>
    <w:rsid w:val="00E77603"/>
  </w:style>
  <w:style w:type="numbering" w:customStyle="1" w:styleId="List48">
    <w:name w:val="List 48"/>
    <w:basedOn w:val="Estiloimportado43"/>
    <w:rsid w:val="00E77603"/>
    <w:pPr>
      <w:numPr>
        <w:numId w:val="50"/>
      </w:numPr>
    </w:pPr>
  </w:style>
  <w:style w:type="numbering" w:customStyle="1" w:styleId="Estiloimportado43">
    <w:name w:val="Estilo importado 43"/>
    <w:rsid w:val="00E77603"/>
  </w:style>
  <w:style w:type="numbering" w:customStyle="1" w:styleId="List49">
    <w:name w:val="List 49"/>
    <w:basedOn w:val="Estiloimportado44"/>
    <w:rsid w:val="00E77603"/>
    <w:pPr>
      <w:numPr>
        <w:numId w:val="39"/>
      </w:numPr>
    </w:pPr>
  </w:style>
  <w:style w:type="numbering" w:customStyle="1" w:styleId="Estiloimportado44">
    <w:name w:val="Estilo importado 44"/>
    <w:rsid w:val="00E77603"/>
  </w:style>
  <w:style w:type="numbering" w:customStyle="1" w:styleId="List50">
    <w:name w:val="List 50"/>
    <w:basedOn w:val="Estiloimportado45"/>
    <w:rsid w:val="00E77603"/>
    <w:pPr>
      <w:numPr>
        <w:numId w:val="37"/>
      </w:numPr>
    </w:pPr>
  </w:style>
  <w:style w:type="numbering" w:customStyle="1" w:styleId="Estiloimportado45">
    <w:name w:val="Estilo importado 45"/>
    <w:rsid w:val="00E77603"/>
  </w:style>
  <w:style w:type="numbering" w:customStyle="1" w:styleId="List51">
    <w:name w:val="List 51"/>
    <w:basedOn w:val="Estiloimportado46"/>
    <w:rsid w:val="00E77603"/>
    <w:pPr>
      <w:numPr>
        <w:numId w:val="33"/>
      </w:numPr>
    </w:pPr>
  </w:style>
  <w:style w:type="numbering" w:customStyle="1" w:styleId="Estiloimportado46">
    <w:name w:val="Estilo importado 46"/>
    <w:rsid w:val="00E77603"/>
  </w:style>
  <w:style w:type="numbering" w:customStyle="1" w:styleId="List52">
    <w:name w:val="List 52"/>
    <w:basedOn w:val="Estiloimportado1"/>
    <w:rsid w:val="00E7760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B3BE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dh.oas.org/pdf%20files/MESOAMERICA%202011%20ESP%20FINAL.pdf" TargetMode="External"/><Relationship Id="rId2" Type="http://schemas.openxmlformats.org/officeDocument/2006/relationships/hyperlink" Target="https://www.cidh.oas.org/pdf%20files/MESOAMERICA%202011%20ESP%20FINAL.pdf" TargetMode="External"/><Relationship Id="rId1" Type="http://schemas.openxmlformats.org/officeDocument/2006/relationships/hyperlink" Target="https://www.cidh.oas.org/women/Acceso07/indiceacces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D78-62F4-440F-A57C-6C7CEF9B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3920</Words>
  <Characters>22345</Characters>
  <Application>Microsoft Office Word</Application>
  <DocSecurity>0</DocSecurity>
  <Lines>186</Lines>
  <Paragraphs>52</Paragraphs>
  <ScaleCrop>false</ScaleCrop>
  <Company/>
  <LinksUpToDate>false</LinksUpToDate>
  <CharactersWithSpaces>26213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201/20</dc:title>
  <dc:creator/>
  <cp:lastModifiedBy/>
  <cp:revision>1</cp:revision>
  <dcterms:created xsi:type="dcterms:W3CDTF">2020-08-21T12:28:00Z</dcterms:created>
  <dcterms:modified xsi:type="dcterms:W3CDTF">2020-08-21T12:29:00Z</dcterms:modified>
</cp:coreProperties>
</file>