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90957" w14:textId="3DDCDE76" w:rsidR="00F33779" w:rsidRPr="00F33779" w:rsidRDefault="00C114E9" w:rsidP="00F33779">
      <w:pPr>
        <w:jc w:val="both"/>
        <w:rPr>
          <w:rFonts w:ascii="Cambria" w:hAnsi="Cambria" w:cs="Univers"/>
          <w:b/>
          <w:bCs/>
          <w:lang w:val="es-ES"/>
        </w:rPr>
      </w:pPr>
      <w:r>
        <w:rPr>
          <w:noProof/>
        </w:rPr>
        <mc:AlternateContent>
          <mc:Choice Requires="wps">
            <w:drawing>
              <wp:anchor distT="0" distB="0" distL="114300" distR="114300" simplePos="0" relativeHeight="251654144" behindDoc="0" locked="0" layoutInCell="1" allowOverlap="1" wp14:anchorId="61E36EFB" wp14:editId="2626E99C">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228"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6D25721E" wp14:editId="1ADD9EB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29C22FF2" w14:textId="1A147308" w:rsidR="00F33779" w:rsidRDefault="00C114E9" w:rsidP="00F33779">
                            <w:r>
                              <w:rPr>
                                <w:noProof/>
                              </w:rPr>
                              <w:drawing>
                                <wp:inline distT="0" distB="0" distL="0" distR="0" wp14:anchorId="5F51A5FD" wp14:editId="0FBB28AF">
                                  <wp:extent cx="2647950" cy="51689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6890"/>
                                          </a:xfrm>
                                          <a:prstGeom prst="rect">
                                            <a:avLst/>
                                          </a:prstGeom>
                                          <a:noFill/>
                                          <a:ln>
                                            <a:noFill/>
                                          </a:ln>
                                        </pic:spPr>
                                      </pic:pic>
                                    </a:graphicData>
                                  </a:graphic>
                                </wp:inline>
                              </w:drawing>
                            </w:r>
                            <w:r w:rsidR="00F33779">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5721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14:paraId="29C22FF2" w14:textId="1A147308" w:rsidR="00F33779" w:rsidRDefault="00C114E9" w:rsidP="00F33779">
                      <w:r>
                        <w:rPr>
                          <w:noProof/>
                        </w:rPr>
                        <w:drawing>
                          <wp:inline distT="0" distB="0" distL="0" distR="0" wp14:anchorId="5F51A5FD" wp14:editId="0FBB28AF">
                            <wp:extent cx="2647950" cy="51689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6890"/>
                                    </a:xfrm>
                                    <a:prstGeom prst="rect">
                                      <a:avLst/>
                                    </a:prstGeom>
                                    <a:noFill/>
                                    <a:ln>
                                      <a:noFill/>
                                    </a:ln>
                                  </pic:spPr>
                                </pic:pic>
                              </a:graphicData>
                            </a:graphic>
                          </wp:inline>
                        </w:drawing>
                      </w:r>
                      <w:r w:rsidR="00F33779">
                        <w:tab/>
                        <w:t xml:space="preserve">                              </w:t>
                      </w:r>
                    </w:p>
                  </w:txbxContent>
                </v:textbox>
              </v:shape>
            </w:pict>
          </mc:Fallback>
        </mc:AlternateContent>
      </w:r>
    </w:p>
    <w:p w14:paraId="037835DC" w14:textId="77777777" w:rsidR="00F33779" w:rsidRPr="00F33779" w:rsidRDefault="00F33779" w:rsidP="00F33779">
      <w:pPr>
        <w:tabs>
          <w:tab w:val="center" w:pos="5400"/>
        </w:tabs>
        <w:suppressAutoHyphens/>
        <w:spacing w:after="0"/>
        <w:jc w:val="both"/>
        <w:rPr>
          <w:rFonts w:ascii="Cambria" w:hAnsi="Cambria"/>
          <w:sz w:val="20"/>
          <w:lang w:val="es-ES"/>
        </w:rPr>
      </w:pPr>
    </w:p>
    <w:p w14:paraId="35B6F7F0" w14:textId="77777777" w:rsidR="00F33779" w:rsidRPr="00F33779" w:rsidRDefault="00F33779" w:rsidP="00F33779">
      <w:pPr>
        <w:tabs>
          <w:tab w:val="center" w:pos="5400"/>
        </w:tabs>
        <w:suppressAutoHyphens/>
        <w:spacing w:after="0"/>
        <w:jc w:val="both"/>
        <w:rPr>
          <w:rFonts w:ascii="Cambria" w:hAnsi="Cambria"/>
          <w:sz w:val="20"/>
          <w:lang w:val="es-ES"/>
        </w:rPr>
      </w:pPr>
    </w:p>
    <w:p w14:paraId="475282CF" w14:textId="77777777" w:rsidR="00F33779" w:rsidRPr="00F33779" w:rsidRDefault="00F33779" w:rsidP="00F33779">
      <w:pPr>
        <w:tabs>
          <w:tab w:val="center" w:pos="5400"/>
        </w:tabs>
        <w:suppressAutoHyphens/>
        <w:spacing w:after="0"/>
        <w:jc w:val="center"/>
        <w:rPr>
          <w:rFonts w:ascii="Cambria" w:hAnsi="Cambria"/>
          <w:sz w:val="20"/>
          <w:lang w:val="es-ES"/>
        </w:rPr>
      </w:pPr>
    </w:p>
    <w:p w14:paraId="43712A1F" w14:textId="77777777" w:rsidR="00F33779" w:rsidRPr="00F33779" w:rsidRDefault="00F33779" w:rsidP="00F33779">
      <w:pPr>
        <w:tabs>
          <w:tab w:val="center" w:pos="5400"/>
        </w:tabs>
        <w:suppressAutoHyphens/>
        <w:spacing w:after="0"/>
        <w:jc w:val="center"/>
        <w:rPr>
          <w:rFonts w:ascii="Cambria" w:hAnsi="Cambria"/>
          <w:sz w:val="20"/>
          <w:lang w:val="es-ES"/>
        </w:rPr>
      </w:pPr>
    </w:p>
    <w:p w14:paraId="6769C8D1" w14:textId="77777777" w:rsidR="00F33779" w:rsidRPr="00F33779" w:rsidRDefault="00F33779" w:rsidP="00F33779">
      <w:pPr>
        <w:tabs>
          <w:tab w:val="center" w:pos="5400"/>
        </w:tabs>
        <w:suppressAutoHyphens/>
        <w:spacing w:after="0"/>
        <w:jc w:val="center"/>
        <w:rPr>
          <w:rFonts w:ascii="Cambria" w:hAnsi="Cambria"/>
          <w:sz w:val="20"/>
          <w:lang w:val="es-ES"/>
        </w:rPr>
      </w:pPr>
    </w:p>
    <w:p w14:paraId="6049E6CC" w14:textId="77777777" w:rsidR="00F33779" w:rsidRPr="00F33779" w:rsidRDefault="00F33779" w:rsidP="00F33779">
      <w:pPr>
        <w:tabs>
          <w:tab w:val="center" w:pos="5400"/>
        </w:tabs>
        <w:suppressAutoHyphens/>
        <w:spacing w:after="0"/>
        <w:jc w:val="center"/>
        <w:rPr>
          <w:rFonts w:ascii="Cambria" w:hAnsi="Cambria"/>
          <w:sz w:val="20"/>
          <w:lang w:val="es-ES"/>
        </w:rPr>
      </w:pPr>
    </w:p>
    <w:p w14:paraId="0E27F708" w14:textId="77777777" w:rsidR="00F33779" w:rsidRDefault="00F33779" w:rsidP="00F33779">
      <w:pPr>
        <w:tabs>
          <w:tab w:val="center" w:pos="5400"/>
        </w:tabs>
        <w:suppressAutoHyphens/>
        <w:spacing w:after="0"/>
        <w:jc w:val="center"/>
        <w:rPr>
          <w:rFonts w:ascii="Cambria" w:hAnsi="Cambria"/>
          <w:sz w:val="20"/>
          <w:lang w:val="es-ES"/>
        </w:rPr>
      </w:pPr>
    </w:p>
    <w:p w14:paraId="2E3C95FF" w14:textId="77777777" w:rsidR="00F33779" w:rsidRPr="00F33779" w:rsidRDefault="00F33779" w:rsidP="00F33779">
      <w:pPr>
        <w:tabs>
          <w:tab w:val="center" w:pos="5400"/>
        </w:tabs>
        <w:suppressAutoHyphens/>
        <w:spacing w:after="0"/>
        <w:jc w:val="center"/>
        <w:rPr>
          <w:rFonts w:ascii="Cambria" w:hAnsi="Cambria"/>
          <w:sz w:val="20"/>
          <w:lang w:val="es-ES"/>
        </w:rPr>
      </w:pPr>
    </w:p>
    <w:p w14:paraId="655311EE" w14:textId="77777777" w:rsidR="00F33779" w:rsidRPr="007B02CA" w:rsidRDefault="00F33779" w:rsidP="00F33779">
      <w:pPr>
        <w:tabs>
          <w:tab w:val="center" w:pos="5400"/>
        </w:tabs>
        <w:suppressAutoHyphens/>
        <w:spacing w:after="0"/>
        <w:jc w:val="center"/>
        <w:rPr>
          <w:rFonts w:ascii="Cambria" w:hAnsi="Cambria"/>
          <w:sz w:val="20"/>
          <w:lang w:val="es-US"/>
        </w:rPr>
      </w:pPr>
      <w:bookmarkStart w:id="0" w:name="_GoBack"/>
      <w:bookmarkEnd w:id="0"/>
    </w:p>
    <w:p w14:paraId="3EE3BD70" w14:textId="28A0234C" w:rsidR="00F33779" w:rsidRPr="00F33779" w:rsidRDefault="00C114E9" w:rsidP="00F33779">
      <w:pPr>
        <w:tabs>
          <w:tab w:val="center" w:pos="5400"/>
        </w:tabs>
        <w:suppressAutoHyphens/>
        <w:jc w:val="center"/>
        <w:rPr>
          <w:rFonts w:ascii="Cambria" w:hAnsi="Cambria"/>
          <w:lang w:val="es-ES"/>
        </w:rPr>
      </w:pPr>
      <w:r>
        <w:rPr>
          <w:noProof/>
        </w:rPr>
        <mc:AlternateContent>
          <mc:Choice Requires="wps">
            <w:drawing>
              <wp:anchor distT="0" distB="0" distL="114300" distR="114300" simplePos="0" relativeHeight="251655168" behindDoc="0" locked="0" layoutInCell="1" allowOverlap="1" wp14:anchorId="5097C80F" wp14:editId="3CF0EFAA">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575EEA67" w14:textId="44FB8742" w:rsidR="00EE1E7A" w:rsidRPr="00EE1E7A" w:rsidRDefault="00EE1E7A" w:rsidP="00A73C16">
                            <w:pPr>
                              <w:spacing w:after="0" w:line="240" w:lineRule="auto"/>
                              <w:rPr>
                                <w:rFonts w:ascii="Cambria" w:hAnsi="Cambria" w:cs="Calibri Light"/>
                                <w:b/>
                                <w:bCs/>
                                <w:color w:val="0D0D0D"/>
                                <w:sz w:val="36"/>
                                <w:szCs w:val="40"/>
                                <w:lang w:val="es-ES"/>
                              </w:rPr>
                            </w:pPr>
                            <w:r w:rsidRPr="00EE1E7A">
                              <w:rPr>
                                <w:rFonts w:ascii="Cambria" w:hAnsi="Cambria" w:cs="Calibri Light"/>
                                <w:b/>
                                <w:bCs/>
                                <w:color w:val="0D0D0D"/>
                                <w:sz w:val="36"/>
                                <w:szCs w:val="40"/>
                                <w:lang w:val="es"/>
                              </w:rPr>
                              <w:t>INFORME N</w:t>
                            </w:r>
                            <w:r w:rsidR="00A73C16">
                              <w:rPr>
                                <w:rFonts w:ascii="Cambria" w:hAnsi="Cambria" w:cs="Calibri Light"/>
                                <w:b/>
                                <w:bCs/>
                                <w:color w:val="0D0D0D"/>
                                <w:sz w:val="36"/>
                                <w:szCs w:val="40"/>
                                <w:lang w:val="es"/>
                              </w:rPr>
                              <w:t>o. 201/19</w:t>
                            </w:r>
                          </w:p>
                          <w:p w14:paraId="5B13DEFE" w14:textId="555D0DE1" w:rsidR="00EE1E7A" w:rsidRPr="00EE1E7A" w:rsidRDefault="00EE1E7A" w:rsidP="00A73C16">
                            <w:pPr>
                              <w:spacing w:after="0" w:line="240" w:lineRule="auto"/>
                              <w:rPr>
                                <w:rFonts w:ascii="Cambria" w:hAnsi="Cambria" w:cs="Calibri Light"/>
                                <w:b/>
                                <w:bCs/>
                                <w:color w:val="0D0D0D"/>
                                <w:sz w:val="36"/>
                                <w:szCs w:val="40"/>
                                <w:lang w:val="es-ES"/>
                              </w:rPr>
                            </w:pPr>
                            <w:r w:rsidRPr="00EE1E7A">
                              <w:rPr>
                                <w:rFonts w:ascii="Cambria" w:hAnsi="Cambria" w:cs="Calibri Light"/>
                                <w:b/>
                                <w:bCs/>
                                <w:color w:val="0D0D0D"/>
                                <w:sz w:val="36"/>
                                <w:szCs w:val="40"/>
                                <w:lang w:val="es"/>
                              </w:rPr>
                              <w:t>PETICIÓN 611-12</w:t>
                            </w:r>
                          </w:p>
                          <w:p w14:paraId="245E918A" w14:textId="77777777" w:rsidR="00EE1E7A" w:rsidRPr="00EE1E7A" w:rsidRDefault="00EE1E7A" w:rsidP="00A73C16">
                            <w:pPr>
                              <w:spacing w:after="0" w:line="240" w:lineRule="auto"/>
                              <w:rPr>
                                <w:rFonts w:ascii="Cambria" w:hAnsi="Cambria" w:cs="Arial"/>
                                <w:color w:val="0D0D0D"/>
                                <w:lang w:val="es"/>
                              </w:rPr>
                            </w:pPr>
                            <w:r w:rsidRPr="00EE1E7A">
                              <w:rPr>
                                <w:rFonts w:ascii="Cambria" w:hAnsi="Cambria" w:cs="Arial"/>
                                <w:color w:val="0D0D0D"/>
                                <w:lang w:val="es"/>
                              </w:rPr>
                              <w:t>INFORME DE ADMISIBILIDAD</w:t>
                            </w:r>
                          </w:p>
                          <w:p w14:paraId="5B0217C0" w14:textId="77777777" w:rsidR="00EE1E7A" w:rsidRPr="00EE1E7A" w:rsidRDefault="00EE1E7A" w:rsidP="00A73C16">
                            <w:pPr>
                              <w:spacing w:after="0" w:line="240" w:lineRule="auto"/>
                              <w:rPr>
                                <w:rFonts w:ascii="Calibri Light" w:hAnsi="Calibri Light" w:cs="Arial"/>
                                <w:color w:val="0D0D0D"/>
                                <w:lang w:val="es-ES"/>
                              </w:rPr>
                            </w:pPr>
                          </w:p>
                          <w:p w14:paraId="7A55F890" w14:textId="77777777" w:rsidR="00EE1E7A" w:rsidRPr="00A73C16" w:rsidRDefault="00EE1E7A" w:rsidP="00A73C16">
                            <w:pPr>
                              <w:spacing w:after="0" w:line="240" w:lineRule="auto"/>
                              <w:rPr>
                                <w:rFonts w:ascii="Cambria" w:hAnsi="Cambria" w:cs="Arial"/>
                                <w:color w:val="0D0D0D"/>
                                <w:lang w:val="es-US"/>
                              </w:rPr>
                            </w:pPr>
                            <w:r>
                              <w:rPr>
                                <w:rFonts w:ascii="Cambria" w:hAnsi="Cambria" w:cs="Arial"/>
                                <w:color w:val="0D0D0D"/>
                                <w:lang w:val="es"/>
                              </w:rPr>
                              <w:t>MUMIA ABU-JAMAL</w:t>
                            </w:r>
                          </w:p>
                          <w:p w14:paraId="4F2DA805" w14:textId="77777777" w:rsidR="00EE1E7A" w:rsidRPr="00A73C16" w:rsidRDefault="00EE1E7A" w:rsidP="00A73C16">
                            <w:pPr>
                              <w:spacing w:after="0" w:line="240" w:lineRule="auto"/>
                              <w:rPr>
                                <w:rFonts w:ascii="Cambria" w:hAnsi="Cambria" w:cs="Arial"/>
                                <w:color w:val="0D0D0D"/>
                                <w:lang w:val="es-US"/>
                              </w:rPr>
                            </w:pPr>
                            <w:r>
                              <w:rPr>
                                <w:rFonts w:ascii="Cambria" w:hAnsi="Cambria" w:cs="Arial"/>
                                <w:color w:val="0D0D0D"/>
                                <w:lang w:val="es"/>
                              </w:rPr>
                              <w:t>ESTADOS UNIDOS DE AMÉRICA</w:t>
                            </w:r>
                          </w:p>
                          <w:p w14:paraId="25939D76" w14:textId="77777777" w:rsidR="00EE1E7A" w:rsidRPr="00A73C16" w:rsidRDefault="00EE1E7A" w:rsidP="00EE1E7A">
                            <w:pPr>
                              <w:rPr>
                                <w:rFonts w:ascii="Calibri Light" w:hAnsi="Calibri Light"/>
                                <w:color w:val="0D0D0D"/>
                                <w:lang w:val="es-US"/>
                              </w:rPr>
                            </w:pPr>
                          </w:p>
                          <w:p w14:paraId="3E2C11BB" w14:textId="77777777" w:rsidR="00F33779" w:rsidRPr="00F33779" w:rsidRDefault="00F33779" w:rsidP="00F33779">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7C80F"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14:paraId="575EEA67" w14:textId="44FB8742" w:rsidR="00EE1E7A" w:rsidRPr="00EE1E7A" w:rsidRDefault="00EE1E7A" w:rsidP="00A73C16">
                      <w:pPr>
                        <w:spacing w:after="0" w:line="240" w:lineRule="auto"/>
                        <w:rPr>
                          <w:rFonts w:ascii="Cambria" w:hAnsi="Cambria" w:cs="Calibri Light"/>
                          <w:b/>
                          <w:bCs/>
                          <w:color w:val="0D0D0D"/>
                          <w:sz w:val="36"/>
                          <w:szCs w:val="40"/>
                          <w:lang w:val="es-ES"/>
                        </w:rPr>
                      </w:pPr>
                      <w:r w:rsidRPr="00EE1E7A">
                        <w:rPr>
                          <w:rFonts w:ascii="Cambria" w:hAnsi="Cambria" w:cs="Calibri Light"/>
                          <w:b/>
                          <w:bCs/>
                          <w:color w:val="0D0D0D"/>
                          <w:sz w:val="36"/>
                          <w:szCs w:val="40"/>
                          <w:lang w:val="es"/>
                        </w:rPr>
                        <w:t>INFORME N</w:t>
                      </w:r>
                      <w:r w:rsidR="00A73C16">
                        <w:rPr>
                          <w:rFonts w:ascii="Cambria" w:hAnsi="Cambria" w:cs="Calibri Light"/>
                          <w:b/>
                          <w:bCs/>
                          <w:color w:val="0D0D0D"/>
                          <w:sz w:val="36"/>
                          <w:szCs w:val="40"/>
                          <w:lang w:val="es"/>
                        </w:rPr>
                        <w:t>o. 201/19</w:t>
                      </w:r>
                    </w:p>
                    <w:p w14:paraId="5B13DEFE" w14:textId="555D0DE1" w:rsidR="00EE1E7A" w:rsidRPr="00EE1E7A" w:rsidRDefault="00EE1E7A" w:rsidP="00A73C16">
                      <w:pPr>
                        <w:spacing w:after="0" w:line="240" w:lineRule="auto"/>
                        <w:rPr>
                          <w:rFonts w:ascii="Cambria" w:hAnsi="Cambria" w:cs="Calibri Light"/>
                          <w:b/>
                          <w:bCs/>
                          <w:color w:val="0D0D0D"/>
                          <w:sz w:val="36"/>
                          <w:szCs w:val="40"/>
                          <w:lang w:val="es-ES"/>
                        </w:rPr>
                      </w:pPr>
                      <w:r w:rsidRPr="00EE1E7A">
                        <w:rPr>
                          <w:rFonts w:ascii="Cambria" w:hAnsi="Cambria" w:cs="Calibri Light"/>
                          <w:b/>
                          <w:bCs/>
                          <w:color w:val="0D0D0D"/>
                          <w:sz w:val="36"/>
                          <w:szCs w:val="40"/>
                          <w:lang w:val="es"/>
                        </w:rPr>
                        <w:t>PETICIÓN 611-12</w:t>
                      </w:r>
                    </w:p>
                    <w:p w14:paraId="245E918A" w14:textId="77777777" w:rsidR="00EE1E7A" w:rsidRPr="00EE1E7A" w:rsidRDefault="00EE1E7A" w:rsidP="00A73C16">
                      <w:pPr>
                        <w:spacing w:after="0" w:line="240" w:lineRule="auto"/>
                        <w:rPr>
                          <w:rFonts w:ascii="Cambria" w:hAnsi="Cambria" w:cs="Arial"/>
                          <w:color w:val="0D0D0D"/>
                          <w:lang w:val="es"/>
                        </w:rPr>
                      </w:pPr>
                      <w:r w:rsidRPr="00EE1E7A">
                        <w:rPr>
                          <w:rFonts w:ascii="Cambria" w:hAnsi="Cambria" w:cs="Arial"/>
                          <w:color w:val="0D0D0D"/>
                          <w:lang w:val="es"/>
                        </w:rPr>
                        <w:t>INFORME DE ADMISIBILIDAD</w:t>
                      </w:r>
                    </w:p>
                    <w:p w14:paraId="5B0217C0" w14:textId="77777777" w:rsidR="00EE1E7A" w:rsidRPr="00EE1E7A" w:rsidRDefault="00EE1E7A" w:rsidP="00A73C16">
                      <w:pPr>
                        <w:spacing w:after="0" w:line="240" w:lineRule="auto"/>
                        <w:rPr>
                          <w:rFonts w:ascii="Calibri Light" w:hAnsi="Calibri Light" w:cs="Arial"/>
                          <w:color w:val="0D0D0D"/>
                          <w:lang w:val="es-ES"/>
                        </w:rPr>
                      </w:pPr>
                    </w:p>
                    <w:p w14:paraId="7A55F890" w14:textId="77777777" w:rsidR="00EE1E7A" w:rsidRPr="00A73C16" w:rsidRDefault="00EE1E7A" w:rsidP="00A73C16">
                      <w:pPr>
                        <w:spacing w:after="0" w:line="240" w:lineRule="auto"/>
                        <w:rPr>
                          <w:rFonts w:ascii="Cambria" w:hAnsi="Cambria" w:cs="Arial"/>
                          <w:color w:val="0D0D0D"/>
                          <w:lang w:val="es-US"/>
                        </w:rPr>
                      </w:pPr>
                      <w:r>
                        <w:rPr>
                          <w:rFonts w:ascii="Cambria" w:hAnsi="Cambria" w:cs="Arial"/>
                          <w:color w:val="0D0D0D"/>
                          <w:lang w:val="es"/>
                        </w:rPr>
                        <w:t>MUMIA ABU-JAMAL</w:t>
                      </w:r>
                    </w:p>
                    <w:p w14:paraId="4F2DA805" w14:textId="77777777" w:rsidR="00EE1E7A" w:rsidRPr="00A73C16" w:rsidRDefault="00EE1E7A" w:rsidP="00A73C16">
                      <w:pPr>
                        <w:spacing w:after="0" w:line="240" w:lineRule="auto"/>
                        <w:rPr>
                          <w:rFonts w:ascii="Cambria" w:hAnsi="Cambria" w:cs="Arial"/>
                          <w:color w:val="0D0D0D"/>
                          <w:lang w:val="es-US"/>
                        </w:rPr>
                      </w:pPr>
                      <w:r>
                        <w:rPr>
                          <w:rFonts w:ascii="Cambria" w:hAnsi="Cambria" w:cs="Arial"/>
                          <w:color w:val="0D0D0D"/>
                          <w:lang w:val="es"/>
                        </w:rPr>
                        <w:t>ESTADOS UNIDOS DE AMÉRICA</w:t>
                      </w:r>
                    </w:p>
                    <w:p w14:paraId="25939D76" w14:textId="77777777" w:rsidR="00EE1E7A" w:rsidRPr="00A73C16" w:rsidRDefault="00EE1E7A" w:rsidP="00EE1E7A">
                      <w:pPr>
                        <w:rPr>
                          <w:rFonts w:ascii="Calibri Light" w:hAnsi="Calibri Light"/>
                          <w:color w:val="0D0D0D"/>
                          <w:lang w:val="es-US"/>
                        </w:rPr>
                      </w:pPr>
                    </w:p>
                    <w:p w14:paraId="3E2C11BB" w14:textId="77777777" w:rsidR="00F33779" w:rsidRPr="00F33779" w:rsidRDefault="00F33779" w:rsidP="00F33779">
                      <w:pP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9E2B54C" wp14:editId="25CC4F0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12EA921B" w14:textId="0080DBA0" w:rsidR="00F33779" w:rsidRPr="00F33779" w:rsidRDefault="00F33779" w:rsidP="007F0BE7">
                            <w:pPr>
                              <w:spacing w:after="0"/>
                              <w:jc w:val="right"/>
                              <w:rPr>
                                <w:color w:val="FFFFFF"/>
                                <w:lang w:val="pt-BR"/>
                              </w:rPr>
                            </w:pPr>
                            <w:r w:rsidRPr="00F33779">
                              <w:rPr>
                                <w:color w:val="FFFFFF"/>
                                <w:lang w:val="pt-BR"/>
                              </w:rPr>
                              <w:t>OEA/Ser.L/V/II.</w:t>
                            </w:r>
                          </w:p>
                          <w:p w14:paraId="4BF3BFFE" w14:textId="57B5BA29" w:rsidR="00F33779" w:rsidRPr="00F33779" w:rsidRDefault="00F33779" w:rsidP="007F0BE7">
                            <w:pPr>
                              <w:spacing w:after="0"/>
                              <w:jc w:val="right"/>
                              <w:rPr>
                                <w:color w:val="FFFFFF"/>
                                <w:lang w:val="pt-BR"/>
                              </w:rPr>
                            </w:pPr>
                            <w:r w:rsidRPr="00F33779">
                              <w:rPr>
                                <w:color w:val="FFFFFF"/>
                                <w:lang w:val="pt-BR"/>
                              </w:rPr>
                              <w:t xml:space="preserve">Doc. </w:t>
                            </w:r>
                            <w:r w:rsidR="00A73C16">
                              <w:rPr>
                                <w:color w:val="FFFFFF"/>
                                <w:lang w:val="pt-BR"/>
                              </w:rPr>
                              <w:t>223</w:t>
                            </w:r>
                          </w:p>
                          <w:p w14:paraId="6119573A" w14:textId="000C6BC9" w:rsidR="00F33779" w:rsidRPr="00A73C16" w:rsidRDefault="00A73C16" w:rsidP="007F0BE7">
                            <w:pPr>
                              <w:spacing w:after="0"/>
                              <w:jc w:val="right"/>
                              <w:rPr>
                                <w:color w:val="FFFFFF"/>
                                <w:lang w:val="es-US"/>
                              </w:rPr>
                            </w:pPr>
                            <w:r>
                              <w:rPr>
                                <w:color w:val="FFFFFF"/>
                                <w:lang w:val="es-US"/>
                              </w:rPr>
                              <w:t>6</w:t>
                            </w:r>
                            <w:r w:rsidR="00F33779" w:rsidRPr="00A73C16">
                              <w:rPr>
                                <w:color w:val="FFFFFF"/>
                                <w:lang w:val="es-US"/>
                              </w:rPr>
                              <w:t xml:space="preserve"> </w:t>
                            </w:r>
                            <w:r>
                              <w:rPr>
                                <w:color w:val="FFFFFF"/>
                                <w:lang w:val="es-US"/>
                              </w:rPr>
                              <w:t>diciembre</w:t>
                            </w:r>
                            <w:r w:rsidR="00F33779" w:rsidRPr="00A73C16">
                              <w:rPr>
                                <w:color w:val="FFFFFF"/>
                                <w:lang w:val="es-US"/>
                              </w:rPr>
                              <w:t xml:space="preserve">  2019</w:t>
                            </w:r>
                          </w:p>
                          <w:p w14:paraId="243431C0" w14:textId="7885A357" w:rsidR="00F33779" w:rsidRPr="00A73C16" w:rsidRDefault="00F33779" w:rsidP="007F0BE7">
                            <w:pPr>
                              <w:spacing w:after="0"/>
                              <w:jc w:val="right"/>
                              <w:rPr>
                                <w:color w:val="FFFFFF"/>
                                <w:lang w:val="es-US"/>
                              </w:rPr>
                            </w:pPr>
                            <w:r w:rsidRPr="00A73C16">
                              <w:rPr>
                                <w:color w:val="FFFFFF"/>
                                <w:lang w:val="es-US"/>
                              </w:rPr>
                              <w:t xml:space="preserve">Original: </w:t>
                            </w:r>
                            <w:r w:rsidR="00EE1E7A" w:rsidRPr="00A73C16">
                              <w:rPr>
                                <w:color w:val="FFFFFF"/>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B54C"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14:paraId="12EA921B" w14:textId="0080DBA0" w:rsidR="00F33779" w:rsidRPr="00F33779" w:rsidRDefault="00F33779" w:rsidP="007F0BE7">
                      <w:pPr>
                        <w:spacing w:after="0"/>
                        <w:jc w:val="right"/>
                        <w:rPr>
                          <w:color w:val="FFFFFF"/>
                          <w:lang w:val="pt-BR"/>
                        </w:rPr>
                      </w:pPr>
                      <w:r w:rsidRPr="00F33779">
                        <w:rPr>
                          <w:color w:val="FFFFFF"/>
                          <w:lang w:val="pt-BR"/>
                        </w:rPr>
                        <w:t>OEA/Ser.L/V/II.</w:t>
                      </w:r>
                    </w:p>
                    <w:p w14:paraId="4BF3BFFE" w14:textId="57B5BA29" w:rsidR="00F33779" w:rsidRPr="00F33779" w:rsidRDefault="00F33779" w:rsidP="007F0BE7">
                      <w:pPr>
                        <w:spacing w:after="0"/>
                        <w:jc w:val="right"/>
                        <w:rPr>
                          <w:color w:val="FFFFFF"/>
                          <w:lang w:val="pt-BR"/>
                        </w:rPr>
                      </w:pPr>
                      <w:r w:rsidRPr="00F33779">
                        <w:rPr>
                          <w:color w:val="FFFFFF"/>
                          <w:lang w:val="pt-BR"/>
                        </w:rPr>
                        <w:t xml:space="preserve">Doc. </w:t>
                      </w:r>
                      <w:r w:rsidR="00A73C16">
                        <w:rPr>
                          <w:color w:val="FFFFFF"/>
                          <w:lang w:val="pt-BR"/>
                        </w:rPr>
                        <w:t>223</w:t>
                      </w:r>
                    </w:p>
                    <w:p w14:paraId="6119573A" w14:textId="000C6BC9" w:rsidR="00F33779" w:rsidRPr="00A73C16" w:rsidRDefault="00A73C16" w:rsidP="007F0BE7">
                      <w:pPr>
                        <w:spacing w:after="0"/>
                        <w:jc w:val="right"/>
                        <w:rPr>
                          <w:color w:val="FFFFFF"/>
                          <w:lang w:val="es-US"/>
                        </w:rPr>
                      </w:pPr>
                      <w:r>
                        <w:rPr>
                          <w:color w:val="FFFFFF"/>
                          <w:lang w:val="es-US"/>
                        </w:rPr>
                        <w:t>6</w:t>
                      </w:r>
                      <w:r w:rsidR="00F33779" w:rsidRPr="00A73C16">
                        <w:rPr>
                          <w:color w:val="FFFFFF"/>
                          <w:lang w:val="es-US"/>
                        </w:rPr>
                        <w:t xml:space="preserve"> </w:t>
                      </w:r>
                      <w:r>
                        <w:rPr>
                          <w:color w:val="FFFFFF"/>
                          <w:lang w:val="es-US"/>
                        </w:rPr>
                        <w:t>diciembre</w:t>
                      </w:r>
                      <w:r w:rsidR="00F33779" w:rsidRPr="00A73C16">
                        <w:rPr>
                          <w:color w:val="FFFFFF"/>
                          <w:lang w:val="es-US"/>
                        </w:rPr>
                        <w:t xml:space="preserve">  2019</w:t>
                      </w:r>
                    </w:p>
                    <w:p w14:paraId="243431C0" w14:textId="7885A357" w:rsidR="00F33779" w:rsidRPr="00A73C16" w:rsidRDefault="00F33779" w:rsidP="007F0BE7">
                      <w:pPr>
                        <w:spacing w:after="0"/>
                        <w:jc w:val="right"/>
                        <w:rPr>
                          <w:color w:val="FFFFFF"/>
                          <w:lang w:val="es-US"/>
                        </w:rPr>
                      </w:pPr>
                      <w:r w:rsidRPr="00A73C16">
                        <w:rPr>
                          <w:color w:val="FFFFFF"/>
                          <w:lang w:val="es-US"/>
                        </w:rPr>
                        <w:t xml:space="preserve">Original: </w:t>
                      </w:r>
                      <w:r w:rsidR="00EE1E7A" w:rsidRPr="00A73C16">
                        <w:rPr>
                          <w:color w:val="FFFFFF"/>
                          <w:lang w:val="es-US"/>
                        </w:rPr>
                        <w:t>inglés</w:t>
                      </w:r>
                    </w:p>
                  </w:txbxContent>
                </v:textbox>
              </v:shape>
            </w:pict>
          </mc:Fallback>
        </mc:AlternateContent>
      </w:r>
    </w:p>
    <w:p w14:paraId="41E753B2" w14:textId="77777777" w:rsidR="00F33779" w:rsidRPr="00F33779" w:rsidRDefault="00F33779" w:rsidP="00F33779">
      <w:pPr>
        <w:tabs>
          <w:tab w:val="center" w:pos="5400"/>
        </w:tabs>
        <w:suppressAutoHyphens/>
        <w:jc w:val="center"/>
        <w:rPr>
          <w:rFonts w:ascii="Cambria" w:hAnsi="Cambria"/>
          <w:lang w:val="es-ES"/>
        </w:rPr>
      </w:pPr>
    </w:p>
    <w:p w14:paraId="62829D9E" w14:textId="77777777" w:rsidR="00F33779" w:rsidRPr="00F33779" w:rsidRDefault="00F33779" w:rsidP="00F33779">
      <w:pPr>
        <w:tabs>
          <w:tab w:val="center" w:pos="5400"/>
        </w:tabs>
        <w:suppressAutoHyphens/>
        <w:jc w:val="center"/>
        <w:rPr>
          <w:rFonts w:ascii="Cambria" w:hAnsi="Cambria"/>
          <w:lang w:val="es-ES"/>
        </w:rPr>
      </w:pPr>
    </w:p>
    <w:p w14:paraId="47E59AF4" w14:textId="77777777" w:rsidR="00F33779" w:rsidRPr="00F33779" w:rsidRDefault="00F33779" w:rsidP="00F33779">
      <w:pPr>
        <w:tabs>
          <w:tab w:val="center" w:pos="5400"/>
        </w:tabs>
        <w:suppressAutoHyphens/>
        <w:jc w:val="center"/>
        <w:rPr>
          <w:rFonts w:ascii="Cambria" w:hAnsi="Cambria" w:cs="Arial"/>
          <w:lang w:val="es-ES"/>
        </w:rPr>
      </w:pPr>
    </w:p>
    <w:p w14:paraId="4E765356" w14:textId="77777777" w:rsidR="00F33779" w:rsidRPr="00F33779" w:rsidRDefault="00F33779" w:rsidP="00F33779">
      <w:pPr>
        <w:tabs>
          <w:tab w:val="center" w:pos="5400"/>
        </w:tabs>
        <w:suppressAutoHyphens/>
        <w:jc w:val="center"/>
        <w:rPr>
          <w:rFonts w:ascii="Cambria" w:hAnsi="Cambria"/>
          <w:sz w:val="18"/>
          <w:lang w:val="es-ES"/>
        </w:rPr>
      </w:pPr>
    </w:p>
    <w:p w14:paraId="2C67FC22" w14:textId="77777777" w:rsidR="00F33779" w:rsidRPr="00F33779" w:rsidRDefault="00F33779" w:rsidP="00F33779">
      <w:pPr>
        <w:tabs>
          <w:tab w:val="center" w:pos="5400"/>
        </w:tabs>
        <w:suppressAutoHyphens/>
        <w:spacing w:after="0" w:line="240" w:lineRule="auto"/>
        <w:rPr>
          <w:rFonts w:ascii="Cambria" w:hAnsi="Cambria"/>
          <w:sz w:val="18"/>
          <w:lang w:val="es-ES"/>
        </w:rPr>
      </w:pPr>
    </w:p>
    <w:p w14:paraId="2C4081CA" w14:textId="77777777" w:rsidR="00F33779" w:rsidRPr="00F33779" w:rsidRDefault="00F33779" w:rsidP="00F33779">
      <w:pPr>
        <w:tabs>
          <w:tab w:val="center" w:pos="5400"/>
        </w:tabs>
        <w:suppressAutoHyphens/>
        <w:spacing w:after="0" w:line="240" w:lineRule="auto"/>
        <w:rPr>
          <w:rFonts w:ascii="Cambria" w:hAnsi="Cambria"/>
          <w:sz w:val="14"/>
          <w:lang w:val="es-ES"/>
        </w:rPr>
      </w:pPr>
    </w:p>
    <w:p w14:paraId="41BFE944" w14:textId="77777777" w:rsidR="00F33779" w:rsidRPr="00F33779" w:rsidRDefault="00F33779" w:rsidP="00F33779">
      <w:pPr>
        <w:tabs>
          <w:tab w:val="center" w:pos="5400"/>
        </w:tabs>
        <w:suppressAutoHyphens/>
        <w:spacing w:after="0" w:line="240" w:lineRule="auto"/>
        <w:rPr>
          <w:rFonts w:ascii="Cambria" w:hAnsi="Cambria"/>
          <w:sz w:val="14"/>
          <w:lang w:val="es-ES"/>
        </w:rPr>
      </w:pPr>
    </w:p>
    <w:p w14:paraId="7A64A918" w14:textId="77777777" w:rsidR="00F33779" w:rsidRPr="00F33779" w:rsidRDefault="00F33779" w:rsidP="00F33779">
      <w:pPr>
        <w:tabs>
          <w:tab w:val="center" w:pos="5400"/>
        </w:tabs>
        <w:suppressAutoHyphens/>
        <w:spacing w:after="0" w:line="240" w:lineRule="auto"/>
        <w:rPr>
          <w:rFonts w:ascii="Cambria" w:hAnsi="Cambria"/>
          <w:sz w:val="14"/>
          <w:lang w:val="es-ES"/>
        </w:rPr>
      </w:pPr>
    </w:p>
    <w:p w14:paraId="02B8044B" w14:textId="77777777" w:rsidR="00F33779" w:rsidRPr="00F33779" w:rsidRDefault="00F33779" w:rsidP="00F33779">
      <w:pPr>
        <w:tabs>
          <w:tab w:val="center" w:pos="5400"/>
        </w:tabs>
        <w:suppressAutoHyphens/>
        <w:spacing w:after="0" w:line="240" w:lineRule="auto"/>
        <w:rPr>
          <w:rFonts w:ascii="Cambria" w:hAnsi="Cambria"/>
          <w:sz w:val="14"/>
          <w:lang w:val="es-ES"/>
        </w:rPr>
      </w:pPr>
    </w:p>
    <w:p w14:paraId="68896D69" w14:textId="77777777" w:rsidR="00F33779" w:rsidRPr="00F33779" w:rsidRDefault="00F33779" w:rsidP="00F33779">
      <w:pPr>
        <w:tabs>
          <w:tab w:val="center" w:pos="5400"/>
        </w:tabs>
        <w:suppressAutoHyphens/>
        <w:jc w:val="center"/>
        <w:rPr>
          <w:rFonts w:ascii="Cambria" w:hAnsi="Cambria"/>
          <w:sz w:val="14"/>
          <w:lang w:val="es-ES"/>
        </w:rPr>
      </w:pPr>
    </w:p>
    <w:p w14:paraId="7B374FE0" w14:textId="77777777" w:rsidR="00F33779" w:rsidRPr="00F33779" w:rsidRDefault="00F33779" w:rsidP="00F33779">
      <w:pPr>
        <w:tabs>
          <w:tab w:val="center" w:pos="5400"/>
        </w:tabs>
        <w:suppressAutoHyphens/>
        <w:jc w:val="center"/>
        <w:rPr>
          <w:rFonts w:ascii="Cambria" w:hAnsi="Cambria"/>
          <w:sz w:val="14"/>
          <w:lang w:val="es-ES"/>
        </w:rPr>
      </w:pPr>
    </w:p>
    <w:p w14:paraId="14004973" w14:textId="77777777" w:rsidR="00F33779" w:rsidRPr="00F33779" w:rsidRDefault="00F33779" w:rsidP="00F33779">
      <w:pPr>
        <w:tabs>
          <w:tab w:val="center" w:pos="5400"/>
        </w:tabs>
        <w:suppressAutoHyphens/>
        <w:jc w:val="center"/>
        <w:rPr>
          <w:rFonts w:ascii="Cambria" w:hAnsi="Cambria"/>
          <w:sz w:val="14"/>
          <w:lang w:val="es-ES"/>
        </w:rPr>
      </w:pPr>
    </w:p>
    <w:p w14:paraId="6A0E8B07" w14:textId="77777777" w:rsidR="00F33779" w:rsidRPr="00F33779" w:rsidRDefault="00F33779" w:rsidP="00F33779">
      <w:pPr>
        <w:tabs>
          <w:tab w:val="center" w:pos="5400"/>
        </w:tabs>
        <w:suppressAutoHyphens/>
        <w:jc w:val="center"/>
        <w:rPr>
          <w:rFonts w:ascii="Cambria" w:hAnsi="Cambria"/>
          <w:sz w:val="14"/>
          <w:lang w:val="es-ES"/>
        </w:rPr>
      </w:pPr>
    </w:p>
    <w:p w14:paraId="4AF88BF8" w14:textId="77777777" w:rsidR="00F33779" w:rsidRPr="00F33779" w:rsidRDefault="00F33779" w:rsidP="00F33779">
      <w:pPr>
        <w:tabs>
          <w:tab w:val="center" w:pos="5400"/>
        </w:tabs>
        <w:suppressAutoHyphens/>
        <w:jc w:val="center"/>
        <w:rPr>
          <w:rFonts w:ascii="Cambria" w:hAnsi="Cambria"/>
          <w:sz w:val="18"/>
          <w:lang w:val="es-ES"/>
        </w:rPr>
      </w:pPr>
    </w:p>
    <w:p w14:paraId="3C1E8FAC" w14:textId="6C698B76" w:rsidR="00F33779" w:rsidRPr="00F33779" w:rsidRDefault="00F33779" w:rsidP="00F33779">
      <w:pPr>
        <w:tabs>
          <w:tab w:val="center" w:pos="5400"/>
        </w:tabs>
        <w:suppressAutoHyphens/>
        <w:jc w:val="center"/>
        <w:rPr>
          <w:rFonts w:ascii="Cambria" w:hAnsi="Cambria"/>
          <w:sz w:val="18"/>
          <w:lang w:val="es-ES"/>
        </w:rPr>
      </w:pPr>
    </w:p>
    <w:p w14:paraId="7B7A8682" w14:textId="33476A9F" w:rsidR="00F33779" w:rsidRPr="00F33779" w:rsidRDefault="00F33779" w:rsidP="00F33779">
      <w:pPr>
        <w:tabs>
          <w:tab w:val="center" w:pos="5400"/>
        </w:tabs>
        <w:suppressAutoHyphens/>
        <w:jc w:val="center"/>
        <w:rPr>
          <w:rFonts w:ascii="Cambria" w:hAnsi="Cambria"/>
          <w:sz w:val="18"/>
          <w:lang w:val="es-ES"/>
        </w:rPr>
      </w:pPr>
    </w:p>
    <w:p w14:paraId="26871EF1" w14:textId="55D23418" w:rsidR="00F33779" w:rsidRPr="00F33779" w:rsidRDefault="00AE1004" w:rsidP="00F33779">
      <w:pPr>
        <w:tabs>
          <w:tab w:val="center" w:pos="5400"/>
        </w:tabs>
        <w:suppressAutoHyphens/>
        <w:jc w:val="center"/>
        <w:rPr>
          <w:rFonts w:ascii="Cambria" w:hAnsi="Cambria"/>
          <w:sz w:val="18"/>
          <w:lang w:val="es-ES"/>
        </w:rPr>
      </w:pPr>
      <w:r>
        <w:rPr>
          <w:noProof/>
        </w:rPr>
        <mc:AlternateContent>
          <mc:Choice Requires="wps">
            <w:drawing>
              <wp:anchor distT="0" distB="0" distL="114300" distR="114300" simplePos="0" relativeHeight="251656192" behindDoc="0" locked="0" layoutInCell="1" allowOverlap="1" wp14:anchorId="39521A3F" wp14:editId="7BB08226">
                <wp:simplePos x="0" y="0"/>
                <wp:positionH relativeFrom="column">
                  <wp:posOffset>1341755</wp:posOffset>
                </wp:positionH>
                <wp:positionV relativeFrom="paragraph">
                  <wp:posOffset>64734</wp:posOffset>
                </wp:positionV>
                <wp:extent cx="4933950" cy="7442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744220"/>
                        </a:xfrm>
                        <a:prstGeom prst="rect">
                          <a:avLst/>
                        </a:prstGeom>
                        <a:noFill/>
                        <a:ln w="6350">
                          <a:noFill/>
                        </a:ln>
                        <a:effectLst/>
                      </wps:spPr>
                      <wps:txbx>
                        <w:txbxContent>
                          <w:p w14:paraId="4B0CF8B9" w14:textId="0CADA0E8" w:rsidR="00F33779" w:rsidRPr="00F33779" w:rsidRDefault="00AE1004" w:rsidP="00F33779">
                            <w:pPr>
                              <w:tabs>
                                <w:tab w:val="center" w:pos="5400"/>
                              </w:tabs>
                              <w:suppressAutoHyphens/>
                              <w:spacing w:before="60"/>
                              <w:rPr>
                                <w:rFonts w:cs="Univers"/>
                                <w:color w:val="0D0D0D"/>
                                <w:sz w:val="20"/>
                                <w:szCs w:val="20"/>
                                <w:lang w:val="es-ES"/>
                              </w:rPr>
                            </w:pPr>
                            <w:r>
                              <w:rPr>
                                <w:rFonts w:ascii="Cambria" w:hAnsi="Cambria"/>
                                <w:color w:val="0D0D0D"/>
                                <w:sz w:val="18"/>
                                <w:szCs w:val="20"/>
                                <w:lang w:val="es-ES"/>
                              </w:rPr>
                              <w:t>Aprobado por la Comisión el 6 de diciembre de 2019.</w:t>
                            </w:r>
                          </w:p>
                          <w:p w14:paraId="4BAEB131" w14:textId="77777777" w:rsidR="00F33779" w:rsidRPr="00F33779" w:rsidRDefault="00F33779" w:rsidP="00F33779">
                            <w:pPr>
                              <w:tabs>
                                <w:tab w:val="center" w:pos="5400"/>
                              </w:tabs>
                              <w:suppressAutoHyphens/>
                              <w:spacing w:before="60"/>
                              <w:rPr>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1A3F" id="Text Box 7" o:spid="_x0000_s1029" type="#_x0000_t202" style="position:absolute;left:0;text-align:left;margin-left:105.65pt;margin-top:5.1pt;width:388.5pt;height:5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" filled="f" stroked="f" strokeweight=".5pt">
                <v:path arrowok="t"/>
                <v:textbox>
                  <w:txbxContent>
                    <w:p w14:paraId="4B0CF8B9" w14:textId="0CADA0E8" w:rsidR="00F33779" w:rsidRPr="00F33779" w:rsidRDefault="00AE1004" w:rsidP="00F33779">
                      <w:pPr>
                        <w:tabs>
                          <w:tab w:val="center" w:pos="5400"/>
                        </w:tabs>
                        <w:suppressAutoHyphens/>
                        <w:spacing w:before="60"/>
                        <w:rPr>
                          <w:rFonts w:cs="Univers"/>
                          <w:color w:val="0D0D0D"/>
                          <w:sz w:val="20"/>
                          <w:szCs w:val="20"/>
                          <w:lang w:val="es-ES"/>
                        </w:rPr>
                      </w:pPr>
                      <w:r>
                        <w:rPr>
                          <w:rFonts w:ascii="Cambria" w:hAnsi="Cambria"/>
                          <w:color w:val="0D0D0D"/>
                          <w:sz w:val="18"/>
                          <w:szCs w:val="20"/>
                          <w:lang w:val="es-ES"/>
                        </w:rPr>
                        <w:t>Aprobado por la Comisión el 6 de diciembre de 2019.</w:t>
                      </w:r>
                    </w:p>
                    <w:p w14:paraId="4BAEB131" w14:textId="77777777" w:rsidR="00F33779" w:rsidRPr="00F33779" w:rsidRDefault="00F33779" w:rsidP="00F33779">
                      <w:pPr>
                        <w:tabs>
                          <w:tab w:val="center" w:pos="5400"/>
                        </w:tabs>
                        <w:suppressAutoHyphens/>
                        <w:spacing w:before="60"/>
                        <w:rPr>
                          <w:color w:val="FFFFFF"/>
                          <w:spacing w:val="-2"/>
                          <w:sz w:val="16"/>
                          <w:lang w:val="es-ES"/>
                        </w:rPr>
                      </w:pPr>
                    </w:p>
                  </w:txbxContent>
                </v:textbox>
              </v:shape>
            </w:pict>
          </mc:Fallback>
        </mc:AlternateContent>
      </w:r>
    </w:p>
    <w:p w14:paraId="28BAC4D1" w14:textId="77777777" w:rsidR="00F33779" w:rsidRPr="00F33779" w:rsidRDefault="00F33779" w:rsidP="00F33779">
      <w:pPr>
        <w:tabs>
          <w:tab w:val="center" w:pos="5400"/>
        </w:tabs>
        <w:suppressAutoHyphens/>
        <w:spacing w:after="0"/>
        <w:jc w:val="center"/>
        <w:rPr>
          <w:rFonts w:ascii="Cambria" w:hAnsi="Cambria"/>
          <w:sz w:val="20"/>
          <w:lang w:val="es-ES"/>
        </w:rPr>
      </w:pPr>
    </w:p>
    <w:p w14:paraId="201D416C" w14:textId="77777777" w:rsidR="00F33779" w:rsidRPr="00F33779" w:rsidRDefault="00F33779" w:rsidP="00F33779">
      <w:pPr>
        <w:tabs>
          <w:tab w:val="center" w:pos="5400"/>
        </w:tabs>
        <w:suppressAutoHyphens/>
        <w:spacing w:after="0"/>
        <w:jc w:val="center"/>
        <w:rPr>
          <w:rFonts w:ascii="Cambria" w:hAnsi="Cambria"/>
          <w:sz w:val="20"/>
          <w:lang w:val="es-ES"/>
        </w:rPr>
      </w:pPr>
    </w:p>
    <w:p w14:paraId="1D638841" w14:textId="0CD13466" w:rsidR="00F33779" w:rsidRPr="00F33779" w:rsidRDefault="00F33779" w:rsidP="00F33779">
      <w:pPr>
        <w:tabs>
          <w:tab w:val="center" w:pos="5400"/>
        </w:tabs>
        <w:suppressAutoHyphens/>
        <w:spacing w:after="0"/>
        <w:jc w:val="center"/>
        <w:rPr>
          <w:rFonts w:ascii="Cambria" w:hAnsi="Cambria"/>
          <w:sz w:val="20"/>
          <w:lang w:val="es-ES"/>
        </w:rPr>
      </w:pPr>
    </w:p>
    <w:p w14:paraId="0E6EEC0D" w14:textId="4702AD1F" w:rsidR="00F33779" w:rsidRPr="00F33779" w:rsidRDefault="00F33779" w:rsidP="00F33779">
      <w:pPr>
        <w:tabs>
          <w:tab w:val="center" w:pos="5400"/>
        </w:tabs>
        <w:suppressAutoHyphens/>
        <w:spacing w:after="0"/>
        <w:jc w:val="center"/>
        <w:rPr>
          <w:rFonts w:ascii="Cambria" w:hAnsi="Cambria"/>
          <w:sz w:val="20"/>
          <w:lang w:val="es-ES"/>
        </w:rPr>
      </w:pPr>
    </w:p>
    <w:p w14:paraId="5062584F" w14:textId="4CB84D63" w:rsidR="00F33779" w:rsidRPr="00F33779" w:rsidRDefault="00AE1004" w:rsidP="00F33779">
      <w:pPr>
        <w:tabs>
          <w:tab w:val="center" w:pos="5400"/>
        </w:tabs>
        <w:suppressAutoHyphens/>
        <w:jc w:val="center"/>
        <w:rPr>
          <w:rFonts w:ascii="Cambria" w:hAnsi="Cambria"/>
          <w:b/>
          <w:sz w:val="20"/>
          <w:lang w:val="es-ES"/>
        </w:rPr>
      </w:pPr>
      <w:r>
        <w:rPr>
          <w:noProof/>
          <w:sz w:val="24"/>
        </w:rPr>
        <mc:AlternateContent>
          <mc:Choice Requires="wps">
            <w:drawing>
              <wp:anchor distT="0" distB="0" distL="114300" distR="114300" simplePos="0" relativeHeight="251659264" behindDoc="0" locked="0" layoutInCell="1" allowOverlap="1" wp14:anchorId="1DC5C379" wp14:editId="3D7DE9E9">
                <wp:simplePos x="0" y="0"/>
                <wp:positionH relativeFrom="column">
                  <wp:posOffset>1342127</wp:posOffset>
                </wp:positionH>
                <wp:positionV relativeFrom="paragraph">
                  <wp:posOffset>155156</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62C2A054" w14:textId="0F5630BA" w:rsidR="00F33779" w:rsidRPr="00EE1E7A" w:rsidRDefault="00EE1E7A" w:rsidP="00F33779">
                            <w:pPr>
                              <w:rPr>
                                <w:rFonts w:ascii="Cambria" w:hAnsi="Cambria"/>
                                <w:color w:val="595959"/>
                                <w:sz w:val="18"/>
                              </w:rPr>
                            </w:pPr>
                            <w:r w:rsidRPr="00EE1E7A">
                              <w:rPr>
                                <w:rFonts w:ascii="Cambria" w:hAnsi="Cambria"/>
                                <w:b/>
                                <w:bCs/>
                                <w:color w:val="595959"/>
                                <w:sz w:val="18"/>
                                <w:lang w:val="pt-BR"/>
                              </w:rPr>
                              <w:t xml:space="preserve">Citar como: </w:t>
                            </w:r>
                            <w:r w:rsidRPr="00EE1E7A">
                              <w:rPr>
                                <w:rFonts w:ascii="Cambria" w:hAnsi="Cambria"/>
                                <w:color w:val="595959"/>
                                <w:sz w:val="18"/>
                                <w:lang w:val="pt-BR"/>
                              </w:rPr>
                              <w:t xml:space="preserve">CIDH, Informe No. </w:t>
                            </w:r>
                            <w:r w:rsidR="00AE1004">
                              <w:rPr>
                                <w:rFonts w:ascii="Cambria" w:hAnsi="Cambria"/>
                                <w:color w:val="595959"/>
                                <w:sz w:val="18"/>
                                <w:lang w:val="es"/>
                              </w:rPr>
                              <w:t>201</w:t>
                            </w:r>
                            <w:r w:rsidRPr="00EE1E7A">
                              <w:rPr>
                                <w:rFonts w:ascii="Cambria" w:hAnsi="Cambria"/>
                                <w:color w:val="595959"/>
                                <w:sz w:val="18"/>
                                <w:lang w:val="es"/>
                              </w:rPr>
                              <w:t>/</w:t>
                            </w:r>
                            <w:r w:rsidR="00AE1004">
                              <w:rPr>
                                <w:rFonts w:ascii="Cambria" w:hAnsi="Cambria"/>
                                <w:color w:val="595959"/>
                                <w:sz w:val="18"/>
                                <w:lang w:val="es"/>
                              </w:rPr>
                              <w:t>19</w:t>
                            </w:r>
                            <w:r w:rsidRPr="00EE1E7A">
                              <w:rPr>
                                <w:rFonts w:ascii="Cambria" w:hAnsi="Cambria"/>
                                <w:color w:val="595959"/>
                                <w:sz w:val="18"/>
                                <w:lang w:val="es"/>
                              </w:rPr>
                              <w:t xml:space="preserve">, Petición 611-12. Admisibilidad. </w:t>
                            </w:r>
                            <w:proofErr w:type="spellStart"/>
                            <w:r w:rsidRPr="00EE1E7A">
                              <w:rPr>
                                <w:rFonts w:ascii="Cambria" w:hAnsi="Cambria"/>
                                <w:color w:val="595959"/>
                                <w:sz w:val="18"/>
                                <w:lang w:val="es"/>
                              </w:rPr>
                              <w:t>Mumia</w:t>
                            </w:r>
                            <w:proofErr w:type="spellEnd"/>
                            <w:r w:rsidRPr="00EE1E7A">
                              <w:rPr>
                                <w:rFonts w:ascii="Cambria" w:hAnsi="Cambria"/>
                                <w:color w:val="595959"/>
                                <w:sz w:val="18"/>
                                <w:lang w:val="es"/>
                              </w:rPr>
                              <w:t xml:space="preserve"> Abu-Jamal. Estados Unidos de América. </w:t>
                            </w:r>
                            <w:r w:rsidR="00AE1004">
                              <w:rPr>
                                <w:rFonts w:ascii="Cambria" w:hAnsi="Cambria"/>
                                <w:color w:val="595959"/>
                                <w:sz w:val="18"/>
                                <w:lang w:val="es"/>
                              </w:rPr>
                              <w:t>6 de diciembre de 2019</w:t>
                            </w:r>
                            <w:r w:rsidRPr="00EE1E7A">
                              <w:rPr>
                                <w:rFonts w:ascii="Cambria" w:hAnsi="Cambria"/>
                                <w:color w:val="595959"/>
                                <w:sz w:val="18"/>
                                <w:lang w:val="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C379" id="Text Box 10" o:spid="_x0000_s1030" type="#_x0000_t202" style="position:absolute;left:0;text-align:left;margin-left:105.7pt;margin-top:12.2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" filled="f" stroked="f" strokeweight=".5pt">
                <v:path arrowok="t"/>
                <v:textbox>
                  <w:txbxContent>
                    <w:p w14:paraId="62C2A054" w14:textId="0F5630BA" w:rsidR="00F33779" w:rsidRPr="00EE1E7A" w:rsidRDefault="00EE1E7A" w:rsidP="00F33779">
                      <w:pPr>
                        <w:rPr>
                          <w:rFonts w:ascii="Cambria" w:hAnsi="Cambria"/>
                          <w:color w:val="595959"/>
                          <w:sz w:val="18"/>
                        </w:rPr>
                      </w:pPr>
                      <w:r w:rsidRPr="00EE1E7A">
                        <w:rPr>
                          <w:rFonts w:ascii="Cambria" w:hAnsi="Cambria"/>
                          <w:b/>
                          <w:bCs/>
                          <w:color w:val="595959"/>
                          <w:sz w:val="18"/>
                          <w:lang w:val="pt-BR"/>
                        </w:rPr>
                        <w:t xml:space="preserve">Citar como: </w:t>
                      </w:r>
                      <w:r w:rsidRPr="00EE1E7A">
                        <w:rPr>
                          <w:rFonts w:ascii="Cambria" w:hAnsi="Cambria"/>
                          <w:color w:val="595959"/>
                          <w:sz w:val="18"/>
                          <w:lang w:val="pt-BR"/>
                        </w:rPr>
                        <w:t xml:space="preserve">CIDH, Informe No. </w:t>
                      </w:r>
                      <w:r w:rsidR="00AE1004">
                        <w:rPr>
                          <w:rFonts w:ascii="Cambria" w:hAnsi="Cambria"/>
                          <w:color w:val="595959"/>
                          <w:sz w:val="18"/>
                          <w:lang w:val="es"/>
                        </w:rPr>
                        <w:t>201</w:t>
                      </w:r>
                      <w:r w:rsidRPr="00EE1E7A">
                        <w:rPr>
                          <w:rFonts w:ascii="Cambria" w:hAnsi="Cambria"/>
                          <w:color w:val="595959"/>
                          <w:sz w:val="18"/>
                          <w:lang w:val="es"/>
                        </w:rPr>
                        <w:t>/</w:t>
                      </w:r>
                      <w:r w:rsidR="00AE1004">
                        <w:rPr>
                          <w:rFonts w:ascii="Cambria" w:hAnsi="Cambria"/>
                          <w:color w:val="595959"/>
                          <w:sz w:val="18"/>
                          <w:lang w:val="es"/>
                        </w:rPr>
                        <w:t>19</w:t>
                      </w:r>
                      <w:r w:rsidRPr="00EE1E7A">
                        <w:rPr>
                          <w:rFonts w:ascii="Cambria" w:hAnsi="Cambria"/>
                          <w:color w:val="595959"/>
                          <w:sz w:val="18"/>
                          <w:lang w:val="es"/>
                        </w:rPr>
                        <w:t xml:space="preserve">, Petición 611-12. Admisibilidad. </w:t>
                      </w:r>
                      <w:proofErr w:type="spellStart"/>
                      <w:r w:rsidRPr="00EE1E7A">
                        <w:rPr>
                          <w:rFonts w:ascii="Cambria" w:hAnsi="Cambria"/>
                          <w:color w:val="595959"/>
                          <w:sz w:val="18"/>
                          <w:lang w:val="es"/>
                        </w:rPr>
                        <w:t>Mumia</w:t>
                      </w:r>
                      <w:proofErr w:type="spellEnd"/>
                      <w:r w:rsidRPr="00EE1E7A">
                        <w:rPr>
                          <w:rFonts w:ascii="Cambria" w:hAnsi="Cambria"/>
                          <w:color w:val="595959"/>
                          <w:sz w:val="18"/>
                          <w:lang w:val="es"/>
                        </w:rPr>
                        <w:t xml:space="preserve"> Abu-Jamal. Estados Unidos de América. </w:t>
                      </w:r>
                      <w:r w:rsidR="00AE1004">
                        <w:rPr>
                          <w:rFonts w:ascii="Cambria" w:hAnsi="Cambria"/>
                          <w:color w:val="595959"/>
                          <w:sz w:val="18"/>
                          <w:lang w:val="es"/>
                        </w:rPr>
                        <w:t>6 de diciembre de 2019</w:t>
                      </w:r>
                      <w:r w:rsidRPr="00EE1E7A">
                        <w:rPr>
                          <w:rFonts w:ascii="Cambria" w:hAnsi="Cambria"/>
                          <w:color w:val="595959"/>
                          <w:sz w:val="18"/>
                          <w:lang w:val="es"/>
                        </w:rPr>
                        <w:t>.</w:t>
                      </w:r>
                    </w:p>
                  </w:txbxContent>
                </v:textbox>
              </v:shape>
            </w:pict>
          </mc:Fallback>
        </mc:AlternateContent>
      </w:r>
      <w:r w:rsidR="00C114E9">
        <w:rPr>
          <w:noProof/>
        </w:rPr>
        <mc:AlternateContent>
          <mc:Choice Requires="wps">
            <w:drawing>
              <wp:anchor distT="0" distB="0" distL="114300" distR="114300" simplePos="0" relativeHeight="251661312" behindDoc="0" locked="0" layoutInCell="1" allowOverlap="1" wp14:anchorId="67F24712" wp14:editId="22835E19">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54BD0915" w14:textId="77777777" w:rsidR="00F33779" w:rsidRPr="00F33779" w:rsidRDefault="00F33779" w:rsidP="00F33779">
                            <w:pPr>
                              <w:jc w:val="center"/>
                              <w:rPr>
                                <w:b/>
                                <w:color w:val="FFFFFF"/>
                              </w:rPr>
                            </w:pPr>
                            <w:r w:rsidRPr="00F33779">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4712"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LUPg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" filled="f" stroked="f" strokeweight=".5pt">
                <v:path arrowok="t"/>
                <v:textbox>
                  <w:txbxContent>
                    <w:p w14:paraId="54BD0915" w14:textId="77777777" w:rsidR="00F33779" w:rsidRPr="00F33779" w:rsidRDefault="00F33779" w:rsidP="00F33779">
                      <w:pPr>
                        <w:jc w:val="center"/>
                        <w:rPr>
                          <w:b/>
                          <w:color w:val="FFFFFF"/>
                        </w:rPr>
                      </w:pPr>
                      <w:r w:rsidRPr="00F33779">
                        <w:rPr>
                          <w:b/>
                          <w:color w:val="FFFFFF"/>
                          <w:lang w:val="pt-BR"/>
                        </w:rPr>
                        <w:t>www.cidh.org</w:t>
                      </w:r>
                    </w:p>
                  </w:txbxContent>
                </v:textbox>
              </v:shape>
            </w:pict>
          </mc:Fallback>
        </mc:AlternateContent>
      </w:r>
    </w:p>
    <w:p w14:paraId="67E2A145" w14:textId="77777777" w:rsidR="00F33779" w:rsidRDefault="00F33779" w:rsidP="00F33779">
      <w:pPr>
        <w:tabs>
          <w:tab w:val="center" w:pos="5400"/>
        </w:tabs>
        <w:suppressAutoHyphens/>
        <w:jc w:val="center"/>
        <w:rPr>
          <w:rFonts w:ascii="Cambria" w:hAnsi="Cambria"/>
          <w:b/>
          <w:sz w:val="20"/>
          <w:lang w:val="es-ES"/>
        </w:rPr>
      </w:pPr>
    </w:p>
    <w:p w14:paraId="7C51B459" w14:textId="1A3CD5F9" w:rsidR="00F33779" w:rsidRPr="00F33779" w:rsidRDefault="00AE1004" w:rsidP="00F33779">
      <w:pPr>
        <w:tabs>
          <w:tab w:val="center" w:pos="5400"/>
        </w:tabs>
        <w:suppressAutoHyphens/>
        <w:jc w:val="center"/>
        <w:rPr>
          <w:rFonts w:ascii="Cambria" w:hAnsi="Cambria"/>
          <w:b/>
          <w:sz w:val="20"/>
          <w:lang w:val="es-ES"/>
        </w:rPr>
        <w:sectPr w:rsidR="00F33779" w:rsidRPr="00F33779" w:rsidSect="00F337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60288" behindDoc="0" locked="0" layoutInCell="1" allowOverlap="1" wp14:anchorId="46E8B19A" wp14:editId="24BD9F61">
                <wp:simplePos x="0" y="0"/>
                <wp:positionH relativeFrom="column">
                  <wp:posOffset>1286558</wp:posOffset>
                </wp:positionH>
                <wp:positionV relativeFrom="paragraph">
                  <wp:posOffset>650696</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57C4C3C0" w14:textId="5FFB0936" w:rsidR="00F33779" w:rsidRPr="00F33779" w:rsidRDefault="00C114E9" w:rsidP="00F33779">
                            <w:pPr>
                              <w:rPr>
                                <w:color w:val="FFFFFF"/>
                              </w:rPr>
                            </w:pPr>
                            <w:r>
                              <w:rPr>
                                <w:noProof/>
                                <w:color w:val="FFFFFF"/>
                              </w:rPr>
                              <w:drawing>
                                <wp:inline distT="0" distB="0" distL="0" distR="0" wp14:anchorId="5A59D68A" wp14:editId="6F77BF83">
                                  <wp:extent cx="1343660" cy="389890"/>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8B19A" id="Text Box 9" o:spid="_x0000_s1032" type="#_x0000_t202" style="position:absolute;left:0;text-align:left;margin-left:101.3pt;margin-top:51.25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" fillcolor="window" stroked="f" strokeweight=".5pt">
                <v:path arrowok="t"/>
                <v:textbox>
                  <w:txbxContent>
                    <w:p w14:paraId="57C4C3C0" w14:textId="5FFB0936" w:rsidR="00F33779" w:rsidRPr="00F33779" w:rsidRDefault="00C114E9" w:rsidP="00F33779">
                      <w:pPr>
                        <w:rPr>
                          <w:color w:val="FFFFFF"/>
                        </w:rPr>
                      </w:pPr>
                      <w:r>
                        <w:rPr>
                          <w:noProof/>
                          <w:color w:val="FFFFFF"/>
                        </w:rPr>
                        <w:drawing>
                          <wp:inline distT="0" distB="0" distL="0" distR="0" wp14:anchorId="5A59D68A" wp14:editId="6F77BF83">
                            <wp:extent cx="1343660" cy="389890"/>
                            <wp:effectExtent l="0" t="0" r="889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inline>
                        </w:drawing>
                      </w:r>
                    </w:p>
                  </w:txbxContent>
                </v:textbox>
              </v:shape>
            </w:pict>
          </mc:Fallback>
        </mc:AlternateContent>
      </w:r>
      <w:r w:rsidR="00F33779" w:rsidRPr="00F33779">
        <w:rPr>
          <w:rFonts w:ascii="Cambria" w:hAnsi="Cambria"/>
          <w:b/>
          <w:sz w:val="20"/>
          <w:lang w:val="es-ES"/>
        </w:rPr>
        <w:tab/>
      </w:r>
    </w:p>
    <w:p w14:paraId="6580A3D4" w14:textId="77777777" w:rsidR="00F33779" w:rsidRPr="00F33779" w:rsidRDefault="00F33779" w:rsidP="00F33779">
      <w:pPr>
        <w:spacing w:after="120"/>
        <w:ind w:firstLine="720"/>
        <w:jc w:val="both"/>
        <w:rPr>
          <w:rFonts w:ascii="Cambria" w:hAnsi="Cambria"/>
          <w:b/>
          <w:bCs/>
          <w:sz w:val="20"/>
          <w:szCs w:val="20"/>
          <w:lang w:val="es-ES"/>
        </w:rPr>
      </w:pPr>
      <w:r w:rsidRPr="00F33779">
        <w:rPr>
          <w:rFonts w:ascii="Cambria" w:hAnsi="Cambria"/>
          <w:b/>
          <w:bCs/>
          <w:sz w:val="20"/>
          <w:szCs w:val="20"/>
          <w:lang w:val="es-ES"/>
        </w:rPr>
        <w:lastRenderedPageBreak/>
        <w:t>I.</w:t>
      </w:r>
      <w:r w:rsidRPr="00F33779">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70"/>
      </w:tblGrid>
      <w:tr w:rsidR="00EE1E7A" w:rsidRPr="00A73C16" w14:paraId="2703FAD7" w14:textId="77777777" w:rsidTr="005E141C">
        <w:tc>
          <w:tcPr>
            <w:tcW w:w="2790" w:type="dxa"/>
            <w:shd w:val="clear" w:color="auto" w:fill="386294"/>
            <w:vAlign w:val="center"/>
          </w:tcPr>
          <w:p w14:paraId="1319F2A1"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20"/>
                <w:bdr w:val="nil"/>
                <w:lang w:val="es-ES"/>
              </w:rPr>
            </w:pPr>
            <w:r w:rsidRPr="00FA21DD">
              <w:rPr>
                <w:rFonts w:ascii="Cambria" w:eastAsia="Arial Unicode MS" w:hAnsi="Cambria"/>
                <w:bCs/>
                <w:color w:val="FFFFFF"/>
                <w:sz w:val="20"/>
                <w:szCs w:val="20"/>
                <w:bdr w:val="nil"/>
                <w:lang w:val="es-ES"/>
              </w:rPr>
              <w:t>Parte peticionaria</w:t>
            </w:r>
          </w:p>
        </w:tc>
        <w:tc>
          <w:tcPr>
            <w:tcW w:w="6570" w:type="dxa"/>
            <w:vAlign w:val="center"/>
          </w:tcPr>
          <w:p w14:paraId="309728C9" w14:textId="0900C729" w:rsidR="00EE1E7A" w:rsidRPr="00D45318"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_tradnl"/>
              </w:rPr>
            </w:pPr>
            <w:r w:rsidRPr="00EE1E7A">
              <w:rPr>
                <w:rFonts w:ascii="Cambria" w:hAnsi="Cambria"/>
                <w:sz w:val="19"/>
                <w:szCs w:val="19"/>
                <w:lang w:val="es-ES"/>
              </w:rPr>
              <w:t xml:space="preserve">Grupo internacional de amigos y familiares de </w:t>
            </w:r>
            <w:proofErr w:type="spellStart"/>
            <w:r w:rsidRPr="00EE1E7A">
              <w:rPr>
                <w:rFonts w:ascii="Cambria" w:hAnsi="Cambria"/>
                <w:sz w:val="19"/>
                <w:szCs w:val="19"/>
                <w:lang w:val="es-ES"/>
              </w:rPr>
              <w:t>Mumia</w:t>
            </w:r>
            <w:proofErr w:type="spellEnd"/>
            <w:r w:rsidRPr="00EE1E7A">
              <w:rPr>
                <w:rFonts w:ascii="Cambria" w:hAnsi="Cambria"/>
                <w:sz w:val="19"/>
                <w:szCs w:val="19"/>
                <w:lang w:val="es-ES"/>
              </w:rPr>
              <w:t xml:space="preserve"> Abu-Jamal (</w:t>
            </w:r>
            <w:r w:rsidRPr="00EE1E7A">
              <w:rPr>
                <w:rFonts w:ascii="Cambria" w:hAnsi="Cambria"/>
                <w:i/>
                <w:iCs/>
                <w:sz w:val="19"/>
                <w:szCs w:val="19"/>
                <w:lang w:val="es-ES"/>
              </w:rPr>
              <w:t xml:space="preserve">International </w:t>
            </w:r>
            <w:proofErr w:type="spellStart"/>
            <w:r w:rsidRPr="00EE1E7A">
              <w:rPr>
                <w:rFonts w:ascii="Cambria" w:hAnsi="Cambria"/>
                <w:i/>
                <w:iCs/>
                <w:sz w:val="19"/>
                <w:szCs w:val="19"/>
                <w:lang w:val="es-ES"/>
              </w:rPr>
              <w:t>Concerned</w:t>
            </w:r>
            <w:proofErr w:type="spellEnd"/>
            <w:r w:rsidRPr="00EE1E7A">
              <w:rPr>
                <w:rFonts w:ascii="Cambria" w:hAnsi="Cambria"/>
                <w:i/>
                <w:iCs/>
                <w:sz w:val="19"/>
                <w:szCs w:val="19"/>
                <w:lang w:val="es-ES"/>
              </w:rPr>
              <w:t xml:space="preserve"> </w:t>
            </w:r>
            <w:proofErr w:type="spellStart"/>
            <w:r w:rsidRPr="00EE1E7A">
              <w:rPr>
                <w:rFonts w:ascii="Cambria" w:hAnsi="Cambria"/>
                <w:i/>
                <w:iCs/>
                <w:sz w:val="19"/>
                <w:szCs w:val="19"/>
                <w:lang w:val="es-ES"/>
              </w:rPr>
              <w:t>Family</w:t>
            </w:r>
            <w:proofErr w:type="spellEnd"/>
            <w:r w:rsidRPr="00EE1E7A">
              <w:rPr>
                <w:rFonts w:ascii="Cambria" w:hAnsi="Cambria"/>
                <w:i/>
                <w:iCs/>
                <w:sz w:val="19"/>
                <w:szCs w:val="19"/>
                <w:lang w:val="es-ES"/>
              </w:rPr>
              <w:t xml:space="preserve"> and Friends of </w:t>
            </w:r>
            <w:proofErr w:type="spellStart"/>
            <w:r w:rsidRPr="00EE1E7A">
              <w:rPr>
                <w:rFonts w:ascii="Cambria" w:hAnsi="Cambria"/>
                <w:i/>
                <w:iCs/>
                <w:sz w:val="19"/>
                <w:szCs w:val="19"/>
                <w:lang w:val="es-ES"/>
              </w:rPr>
              <w:t>Mumia</w:t>
            </w:r>
            <w:proofErr w:type="spellEnd"/>
            <w:r w:rsidRPr="00EE1E7A">
              <w:rPr>
                <w:rFonts w:ascii="Cambria" w:hAnsi="Cambria"/>
                <w:i/>
                <w:iCs/>
                <w:sz w:val="19"/>
                <w:szCs w:val="19"/>
                <w:lang w:val="es-ES"/>
              </w:rPr>
              <w:t xml:space="preserve"> Abu-Jamal, ICFFMAJ</w:t>
            </w:r>
            <w:r w:rsidRPr="00EE1E7A">
              <w:rPr>
                <w:rFonts w:ascii="Cambria" w:hAnsi="Cambria"/>
                <w:sz w:val="19"/>
                <w:szCs w:val="19"/>
                <w:lang w:val="es-ES"/>
              </w:rPr>
              <w:t>)</w:t>
            </w:r>
          </w:p>
        </w:tc>
      </w:tr>
      <w:tr w:rsidR="00EE1E7A" w:rsidRPr="00006B74" w14:paraId="149220D4" w14:textId="77777777" w:rsidTr="005E141C">
        <w:tc>
          <w:tcPr>
            <w:tcW w:w="2790" w:type="dxa"/>
            <w:shd w:val="clear" w:color="auto" w:fill="386294"/>
            <w:vAlign w:val="center"/>
          </w:tcPr>
          <w:p w14:paraId="5EBACEBD"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20"/>
                <w:bdr w:val="nil"/>
                <w:lang w:val="es-ES"/>
              </w:rPr>
            </w:pPr>
            <w:r w:rsidRPr="00FA21DD">
              <w:rPr>
                <w:rFonts w:ascii="Cambria" w:eastAsia="Arial Unicode MS" w:hAnsi="Cambria"/>
                <w:bCs/>
                <w:color w:val="FFFFFF"/>
                <w:sz w:val="20"/>
                <w:szCs w:val="20"/>
                <w:bdr w:val="nil"/>
                <w:lang w:val="es-ES"/>
              </w:rPr>
              <w:t>Presunta víctima</w:t>
            </w:r>
          </w:p>
        </w:tc>
        <w:tc>
          <w:tcPr>
            <w:tcW w:w="6570" w:type="dxa"/>
            <w:vAlign w:val="center"/>
          </w:tcPr>
          <w:p w14:paraId="71D8E934" w14:textId="7DE534AD" w:rsidR="00EE1E7A" w:rsidRPr="00D45318"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_tradnl"/>
              </w:rPr>
            </w:pPr>
            <w:proofErr w:type="spellStart"/>
            <w:r>
              <w:rPr>
                <w:rFonts w:ascii="Cambria" w:hAnsi="Cambria"/>
                <w:sz w:val="19"/>
                <w:szCs w:val="19"/>
                <w:lang w:val="es"/>
              </w:rPr>
              <w:t>Mumia</w:t>
            </w:r>
            <w:proofErr w:type="spellEnd"/>
            <w:r>
              <w:rPr>
                <w:rFonts w:ascii="Cambria" w:hAnsi="Cambria"/>
                <w:sz w:val="19"/>
                <w:szCs w:val="19"/>
                <w:lang w:val="es"/>
              </w:rPr>
              <w:t xml:space="preserve"> Abu-Jamal</w:t>
            </w:r>
          </w:p>
        </w:tc>
      </w:tr>
      <w:tr w:rsidR="00EE1E7A" w:rsidRPr="00006B74" w14:paraId="2736BD86" w14:textId="77777777" w:rsidTr="005E141C">
        <w:tc>
          <w:tcPr>
            <w:tcW w:w="2790" w:type="dxa"/>
            <w:shd w:val="clear" w:color="auto" w:fill="386294"/>
            <w:vAlign w:val="center"/>
          </w:tcPr>
          <w:p w14:paraId="450215F2"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20"/>
                <w:bdr w:val="nil"/>
                <w:lang w:val="es-ES"/>
              </w:rPr>
            </w:pPr>
            <w:r w:rsidRPr="00FA21DD">
              <w:rPr>
                <w:rFonts w:ascii="Cambria" w:eastAsia="Arial Unicode MS" w:hAnsi="Cambria"/>
                <w:bCs/>
                <w:color w:val="FFFFFF"/>
                <w:sz w:val="20"/>
                <w:szCs w:val="20"/>
                <w:bdr w:val="nil"/>
                <w:lang w:val="es-ES"/>
              </w:rPr>
              <w:t>Estado denunciado</w:t>
            </w:r>
          </w:p>
        </w:tc>
        <w:tc>
          <w:tcPr>
            <w:tcW w:w="6570" w:type="dxa"/>
            <w:vAlign w:val="center"/>
          </w:tcPr>
          <w:p w14:paraId="64289081" w14:textId="5D22C74F" w:rsidR="00EE1E7A" w:rsidRPr="00D45318"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Estados Unidos de América</w:t>
            </w:r>
            <w:r>
              <w:rPr>
                <w:rFonts w:ascii="Cambria" w:hAnsi="Cambria"/>
                <w:color w:val="FF0000"/>
                <w:sz w:val="19"/>
                <w:szCs w:val="19"/>
                <w:lang w:val="es"/>
              </w:rPr>
              <w:t xml:space="preserve"> </w:t>
            </w:r>
          </w:p>
        </w:tc>
      </w:tr>
      <w:tr w:rsidR="00EE1E7A" w:rsidRPr="00A73C16" w14:paraId="3E9EB0E0" w14:textId="77777777" w:rsidTr="005E141C">
        <w:tc>
          <w:tcPr>
            <w:tcW w:w="2790" w:type="dxa"/>
            <w:shd w:val="clear" w:color="auto" w:fill="386294"/>
            <w:vAlign w:val="center"/>
          </w:tcPr>
          <w:p w14:paraId="7A117F3D"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20"/>
                <w:bdr w:val="nil"/>
                <w:lang w:val="es-ES"/>
              </w:rPr>
            </w:pPr>
            <w:r w:rsidRPr="00FA21DD">
              <w:rPr>
                <w:rFonts w:ascii="Cambria" w:eastAsia="Arial Unicode MS" w:hAnsi="Cambria"/>
                <w:bCs/>
                <w:color w:val="FFFFFF"/>
                <w:sz w:val="20"/>
                <w:szCs w:val="20"/>
                <w:bdr w:val="nil"/>
                <w:lang w:val="es-ES"/>
              </w:rPr>
              <w:t>Derechos invocados</w:t>
            </w:r>
          </w:p>
        </w:tc>
        <w:tc>
          <w:tcPr>
            <w:tcW w:w="6570" w:type="dxa"/>
            <w:vAlign w:val="center"/>
          </w:tcPr>
          <w:p w14:paraId="44E39965" w14:textId="740C4A40" w:rsidR="00EE1E7A" w:rsidRPr="00D45318"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Artículos I (vida, libertad, seguridad e integridad</w:t>
            </w:r>
            <w:r w:rsidR="00C114E9">
              <w:rPr>
                <w:rFonts w:ascii="Cambria" w:hAnsi="Cambria"/>
                <w:sz w:val="19"/>
                <w:szCs w:val="19"/>
                <w:lang w:val="es"/>
              </w:rPr>
              <w:t xml:space="preserve"> de la persona</w:t>
            </w:r>
            <w:r>
              <w:rPr>
                <w:rFonts w:ascii="Cambria" w:hAnsi="Cambria"/>
                <w:sz w:val="19"/>
                <w:szCs w:val="19"/>
                <w:lang w:val="es"/>
              </w:rPr>
              <w:t>), IV (libertad de investigación, opinión, expresión y difusión), X (inviolabilidad y circulación de la correspondencia) y XXVI (proceso regular) de la Declaración Americana de los Derechos y Deberes del Hombre</w:t>
            </w:r>
            <w:r>
              <w:rPr>
                <w:rStyle w:val="FootnoteReference"/>
                <w:rFonts w:ascii="Cambria" w:hAnsi="Cambria"/>
                <w:sz w:val="19"/>
                <w:szCs w:val="19"/>
                <w:lang w:val="es"/>
              </w:rPr>
              <w:footnoteReference w:id="1"/>
            </w:r>
          </w:p>
        </w:tc>
      </w:tr>
    </w:tbl>
    <w:p w14:paraId="68F4573E" w14:textId="77777777" w:rsidR="00F33779" w:rsidRPr="00F33779" w:rsidRDefault="00F33779" w:rsidP="00F33779">
      <w:pPr>
        <w:spacing w:before="120" w:after="120"/>
        <w:ind w:firstLine="720"/>
        <w:jc w:val="both"/>
        <w:rPr>
          <w:rFonts w:ascii="Cambria" w:hAnsi="Cambria"/>
          <w:b/>
          <w:bCs/>
          <w:sz w:val="20"/>
          <w:szCs w:val="20"/>
          <w:lang w:val="es-ES"/>
        </w:rPr>
      </w:pPr>
      <w:r w:rsidRPr="00F33779">
        <w:rPr>
          <w:rFonts w:ascii="Cambria" w:hAnsi="Cambria"/>
          <w:b/>
          <w:bCs/>
          <w:sz w:val="20"/>
          <w:szCs w:val="20"/>
          <w:lang w:val="es-ES"/>
        </w:rPr>
        <w:t>II.</w:t>
      </w:r>
      <w:r w:rsidRPr="00F33779">
        <w:rPr>
          <w:rFonts w:ascii="Cambria" w:hAnsi="Cambria"/>
          <w:b/>
          <w:bCs/>
          <w:sz w:val="20"/>
          <w:szCs w:val="20"/>
          <w:lang w:val="es-ES"/>
        </w:rPr>
        <w:tab/>
        <w:t>TRÁMITE ANTE LA CIDH</w:t>
      </w:r>
      <w:r w:rsidRPr="00006B74">
        <w:rPr>
          <w:rStyle w:val="FootnoteReference"/>
          <w:rFonts w:ascii="Cambria" w:hAnsi="Cambria"/>
          <w:b/>
          <w:sz w:val="20"/>
          <w:szCs w:val="20"/>
          <w:lang w:val="es-ES"/>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70"/>
      </w:tblGrid>
      <w:tr w:rsidR="00EE1E7A" w:rsidRPr="00006B74" w14:paraId="5DBE60ED" w14:textId="77777777" w:rsidTr="005E141C">
        <w:tc>
          <w:tcPr>
            <w:tcW w:w="2790" w:type="dxa"/>
            <w:shd w:val="clear" w:color="auto" w:fill="386294"/>
            <w:vAlign w:val="center"/>
          </w:tcPr>
          <w:p w14:paraId="00C3C583"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bCs/>
                <w:color w:val="FFFFFF"/>
                <w:sz w:val="20"/>
                <w:szCs w:val="19"/>
                <w:bdr w:val="nil"/>
                <w:lang w:val="es-ES"/>
              </w:rPr>
              <w:t>Recepción de la petición</w:t>
            </w:r>
          </w:p>
        </w:tc>
        <w:tc>
          <w:tcPr>
            <w:tcW w:w="6570" w:type="dxa"/>
            <w:vAlign w:val="center"/>
          </w:tcPr>
          <w:p w14:paraId="0400F85B" w14:textId="15961B9E" w:rsidR="00EE1E7A"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11 de abril de 2012</w:t>
            </w:r>
          </w:p>
        </w:tc>
      </w:tr>
      <w:tr w:rsidR="00EE1E7A" w:rsidRPr="00006B74" w14:paraId="76B5F57B" w14:textId="77777777" w:rsidTr="005E141C">
        <w:tc>
          <w:tcPr>
            <w:tcW w:w="2790" w:type="dxa"/>
            <w:shd w:val="clear" w:color="auto" w:fill="386294"/>
            <w:vAlign w:val="center"/>
          </w:tcPr>
          <w:p w14:paraId="6B995CA8"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color w:val="FFFFFF"/>
                <w:sz w:val="20"/>
                <w:szCs w:val="19"/>
                <w:bdr w:val="nil"/>
                <w:lang w:val="es-ES"/>
              </w:rPr>
              <w:t>Notificación de la petición</w:t>
            </w:r>
          </w:p>
        </w:tc>
        <w:tc>
          <w:tcPr>
            <w:tcW w:w="6570" w:type="dxa"/>
            <w:vAlign w:val="center"/>
          </w:tcPr>
          <w:p w14:paraId="3E62E5B0" w14:textId="3AAE3379" w:rsidR="00EE1E7A" w:rsidRPr="001B1077"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14 de enero de 2016</w:t>
            </w:r>
          </w:p>
        </w:tc>
      </w:tr>
      <w:tr w:rsidR="00EE1E7A" w:rsidRPr="00006B74" w14:paraId="6EE6FD97" w14:textId="77777777" w:rsidTr="005E141C">
        <w:tc>
          <w:tcPr>
            <w:tcW w:w="2790" w:type="dxa"/>
            <w:shd w:val="clear" w:color="auto" w:fill="386294"/>
            <w:vAlign w:val="center"/>
          </w:tcPr>
          <w:p w14:paraId="3D97647F"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color w:val="FFFFFF"/>
                <w:sz w:val="20"/>
                <w:szCs w:val="19"/>
                <w:bdr w:val="nil"/>
                <w:lang w:val="es-ES"/>
              </w:rPr>
              <w:t>Primera respuesta del Estado</w:t>
            </w:r>
          </w:p>
        </w:tc>
        <w:tc>
          <w:tcPr>
            <w:tcW w:w="6570" w:type="dxa"/>
            <w:vAlign w:val="center"/>
          </w:tcPr>
          <w:p w14:paraId="21838967" w14:textId="47F96FD7" w:rsidR="00EE1E7A" w:rsidRPr="001B1077"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26 de agosto de 2016</w:t>
            </w:r>
          </w:p>
        </w:tc>
      </w:tr>
      <w:tr w:rsidR="00EE1E7A" w:rsidRPr="00EE1E7A" w14:paraId="2E7C0F66" w14:textId="77777777" w:rsidTr="005E141C">
        <w:tc>
          <w:tcPr>
            <w:tcW w:w="2790" w:type="dxa"/>
            <w:shd w:val="clear" w:color="auto" w:fill="386294"/>
            <w:vAlign w:val="center"/>
          </w:tcPr>
          <w:p w14:paraId="2E9B8E41"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bCs/>
                <w:color w:val="FFFFFF"/>
                <w:sz w:val="20"/>
                <w:szCs w:val="19"/>
                <w:bdr w:val="nil"/>
                <w:lang w:val="es-ES"/>
              </w:rPr>
              <w:t>Observaciones adicionales de la parte peticionaria</w:t>
            </w:r>
          </w:p>
        </w:tc>
        <w:tc>
          <w:tcPr>
            <w:tcW w:w="6570" w:type="dxa"/>
            <w:vAlign w:val="center"/>
          </w:tcPr>
          <w:p w14:paraId="474BF1EE" w14:textId="47445E80" w:rsidR="00EE1E7A" w:rsidRPr="001B1077"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5 de diciembre de 2018</w:t>
            </w:r>
          </w:p>
        </w:tc>
      </w:tr>
      <w:tr w:rsidR="00EE1E7A" w:rsidRPr="00006B74" w14:paraId="3EEF4305" w14:textId="77777777" w:rsidTr="005E141C">
        <w:tc>
          <w:tcPr>
            <w:tcW w:w="2790" w:type="dxa"/>
            <w:shd w:val="clear" w:color="auto" w:fill="386294"/>
            <w:vAlign w:val="center"/>
          </w:tcPr>
          <w:p w14:paraId="68679B23" w14:textId="7777777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bCs/>
                <w:color w:val="FFFFFF"/>
                <w:sz w:val="20"/>
                <w:szCs w:val="19"/>
                <w:bdr w:val="nil"/>
                <w:lang w:val="es-ES"/>
              </w:rPr>
              <w:t>Observaciones adicionales del Estado</w:t>
            </w:r>
          </w:p>
        </w:tc>
        <w:tc>
          <w:tcPr>
            <w:tcW w:w="6570" w:type="dxa"/>
            <w:vAlign w:val="center"/>
          </w:tcPr>
          <w:p w14:paraId="08A156E0" w14:textId="24EA34B6" w:rsidR="00EE1E7A" w:rsidRPr="001B1077"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24 de abril de 2019</w:t>
            </w:r>
          </w:p>
        </w:tc>
      </w:tr>
      <w:tr w:rsidR="00EE1E7A" w:rsidRPr="00006B74" w14:paraId="3441A957" w14:textId="77777777" w:rsidTr="005E141C">
        <w:tc>
          <w:tcPr>
            <w:tcW w:w="2790" w:type="dxa"/>
            <w:shd w:val="clear" w:color="auto" w:fill="386294"/>
            <w:vAlign w:val="center"/>
          </w:tcPr>
          <w:p w14:paraId="53111510" w14:textId="3976D937" w:rsidR="00EE1E7A" w:rsidRPr="00FA21DD"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Pr>
                <w:rFonts w:ascii="Cambria" w:eastAsia="Arial Unicode MS" w:hAnsi="Cambria"/>
                <w:bCs/>
                <w:color w:val="FFFFFF"/>
                <w:sz w:val="20"/>
                <w:szCs w:val="19"/>
                <w:bdr w:val="nil"/>
                <w:lang w:val="es-ES"/>
              </w:rPr>
              <w:t>Notificación sobre posible archivo</w:t>
            </w:r>
          </w:p>
        </w:tc>
        <w:tc>
          <w:tcPr>
            <w:tcW w:w="6570" w:type="dxa"/>
            <w:vAlign w:val="center"/>
          </w:tcPr>
          <w:p w14:paraId="651F43CC" w14:textId="47F4E649" w:rsidR="00EE1E7A" w:rsidRPr="001B1077"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27 de septiembre de 2018</w:t>
            </w:r>
          </w:p>
        </w:tc>
      </w:tr>
      <w:tr w:rsidR="00EE1E7A" w:rsidRPr="00EE1E7A" w14:paraId="27C0F747" w14:textId="77777777" w:rsidTr="005E141C">
        <w:tc>
          <w:tcPr>
            <w:tcW w:w="2790" w:type="dxa"/>
            <w:shd w:val="clear" w:color="auto" w:fill="386294"/>
            <w:vAlign w:val="center"/>
          </w:tcPr>
          <w:p w14:paraId="59AEBE75" w14:textId="0D09DF44" w:rsidR="00EE1E7A"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Pr>
                <w:rFonts w:ascii="Cambria" w:eastAsia="Arial Unicode MS" w:hAnsi="Cambria"/>
                <w:bCs/>
                <w:color w:val="FFFFFF"/>
                <w:sz w:val="20"/>
                <w:szCs w:val="19"/>
                <w:bdr w:val="nil"/>
                <w:lang w:val="es-ES"/>
              </w:rPr>
              <w:t>Respuesta de la parte peticionaria ante advertencia de posible archivo</w:t>
            </w:r>
          </w:p>
        </w:tc>
        <w:tc>
          <w:tcPr>
            <w:tcW w:w="6570" w:type="dxa"/>
            <w:vAlign w:val="center"/>
          </w:tcPr>
          <w:p w14:paraId="670EC594" w14:textId="193352E4" w:rsidR="00EE1E7A" w:rsidRPr="001B1077"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20"/>
                <w:bdr w:val="nil"/>
                <w:lang w:val="es-ES"/>
              </w:rPr>
            </w:pPr>
            <w:r>
              <w:rPr>
                <w:rFonts w:ascii="Cambria" w:hAnsi="Cambria"/>
                <w:sz w:val="19"/>
                <w:szCs w:val="19"/>
                <w:lang w:val="es"/>
              </w:rPr>
              <w:t>5 de diciembre de 2018</w:t>
            </w:r>
          </w:p>
        </w:tc>
      </w:tr>
    </w:tbl>
    <w:p w14:paraId="7BEAFF43" w14:textId="77777777" w:rsidR="00F33779" w:rsidRPr="00F33779" w:rsidRDefault="00F33779" w:rsidP="00F33779">
      <w:pPr>
        <w:spacing w:before="120" w:after="120"/>
        <w:ind w:firstLine="720"/>
        <w:jc w:val="both"/>
        <w:rPr>
          <w:rFonts w:ascii="Cambria" w:hAnsi="Cambria"/>
          <w:b/>
          <w:bCs/>
          <w:sz w:val="20"/>
          <w:szCs w:val="20"/>
          <w:lang w:val="es-ES"/>
        </w:rPr>
      </w:pPr>
      <w:r w:rsidRPr="00F33779">
        <w:rPr>
          <w:rFonts w:ascii="Cambria" w:hAnsi="Cambria"/>
          <w:b/>
          <w:bCs/>
          <w:sz w:val="20"/>
          <w:szCs w:val="20"/>
          <w:lang w:val="es-ES"/>
        </w:rPr>
        <w:t xml:space="preserve">III. </w:t>
      </w:r>
      <w:r w:rsidRPr="00F33779">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70"/>
      </w:tblGrid>
      <w:tr w:rsidR="00F33779" w:rsidRPr="00006B74" w14:paraId="0B63264C" w14:textId="77777777" w:rsidTr="00EE1E7A">
        <w:trPr>
          <w:cantSplit/>
        </w:trPr>
        <w:tc>
          <w:tcPr>
            <w:tcW w:w="2790" w:type="dxa"/>
            <w:shd w:val="clear" w:color="auto" w:fill="386294"/>
            <w:vAlign w:val="center"/>
          </w:tcPr>
          <w:p w14:paraId="014FB57D" w14:textId="77777777" w:rsidR="00F33779" w:rsidRPr="00FA21DD" w:rsidRDefault="00F33779" w:rsidP="00EE1E7A">
            <w:pPr>
              <w:spacing w:after="0" w:line="240" w:lineRule="auto"/>
              <w:jc w:val="center"/>
              <w:rPr>
                <w:rFonts w:ascii="Cambria" w:eastAsia="Arial Unicode MS" w:hAnsi="Cambria"/>
                <w:bCs/>
                <w:i/>
                <w:color w:val="FFFFFF"/>
                <w:sz w:val="20"/>
                <w:szCs w:val="19"/>
                <w:bdr w:val="nil"/>
                <w:lang w:val="es-ES"/>
              </w:rPr>
            </w:pPr>
            <w:r w:rsidRPr="00FA21DD">
              <w:rPr>
                <w:rFonts w:ascii="Cambria" w:eastAsia="Arial Unicode MS" w:hAnsi="Cambria"/>
                <w:bCs/>
                <w:i/>
                <w:color w:val="FFFFFF"/>
                <w:sz w:val="20"/>
                <w:szCs w:val="19"/>
                <w:bdr w:val="nil"/>
                <w:lang w:val="es-ES"/>
              </w:rPr>
              <w:t>Ratione personae</w:t>
            </w:r>
          </w:p>
        </w:tc>
        <w:tc>
          <w:tcPr>
            <w:tcW w:w="6570" w:type="dxa"/>
            <w:shd w:val="clear" w:color="auto" w:fill="auto"/>
            <w:vAlign w:val="center"/>
          </w:tcPr>
          <w:p w14:paraId="69F23188" w14:textId="77777777" w:rsidR="00F33779" w:rsidRPr="00EE1E7A" w:rsidRDefault="00D45318" w:rsidP="00FA21DD">
            <w:pPr>
              <w:pBdr>
                <w:top w:val="nil"/>
                <w:left w:val="nil"/>
                <w:bottom w:val="nil"/>
                <w:right w:val="nil"/>
                <w:between w:val="nil"/>
                <w:bar w:val="nil"/>
              </w:pBdr>
              <w:spacing w:after="0" w:line="240" w:lineRule="auto"/>
              <w:rPr>
                <w:rFonts w:ascii="Cambria" w:eastAsia="Arial Unicode MS" w:hAnsi="Cambria"/>
                <w:bCs/>
                <w:sz w:val="20"/>
                <w:szCs w:val="19"/>
                <w:bdr w:val="nil"/>
                <w:lang w:val="es-ES"/>
              </w:rPr>
            </w:pPr>
            <w:r w:rsidRPr="00EE1E7A">
              <w:rPr>
                <w:rFonts w:ascii="Cambria" w:eastAsia="Arial Unicode MS" w:hAnsi="Cambria"/>
                <w:bCs/>
                <w:sz w:val="20"/>
                <w:szCs w:val="19"/>
                <w:bdr w:val="nil"/>
                <w:lang w:val="es-ES"/>
              </w:rPr>
              <w:t>Sí</w:t>
            </w:r>
          </w:p>
        </w:tc>
      </w:tr>
      <w:tr w:rsidR="00F33779" w:rsidRPr="00006B74" w14:paraId="4019877D" w14:textId="77777777" w:rsidTr="00EE1E7A">
        <w:trPr>
          <w:cantSplit/>
        </w:trPr>
        <w:tc>
          <w:tcPr>
            <w:tcW w:w="2790" w:type="dxa"/>
            <w:shd w:val="clear" w:color="auto" w:fill="386294"/>
            <w:vAlign w:val="center"/>
          </w:tcPr>
          <w:p w14:paraId="75C0E229" w14:textId="77777777" w:rsidR="00F33779" w:rsidRPr="00FA21DD" w:rsidRDefault="00F33779" w:rsidP="00FA21DD">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bCs/>
                <w:i/>
                <w:color w:val="FFFFFF"/>
                <w:sz w:val="20"/>
                <w:szCs w:val="19"/>
                <w:bdr w:val="nil"/>
                <w:lang w:val="es-ES"/>
              </w:rPr>
              <w:t>Ratione loci</w:t>
            </w:r>
          </w:p>
        </w:tc>
        <w:tc>
          <w:tcPr>
            <w:tcW w:w="6570" w:type="dxa"/>
            <w:shd w:val="clear" w:color="auto" w:fill="auto"/>
            <w:vAlign w:val="center"/>
          </w:tcPr>
          <w:p w14:paraId="03B133B6" w14:textId="77777777" w:rsidR="00F33779" w:rsidRPr="00EE1E7A" w:rsidRDefault="00D45318" w:rsidP="00FA21DD">
            <w:pPr>
              <w:pBdr>
                <w:top w:val="nil"/>
                <w:left w:val="nil"/>
                <w:bottom w:val="nil"/>
                <w:right w:val="nil"/>
                <w:between w:val="nil"/>
                <w:bar w:val="nil"/>
              </w:pBdr>
              <w:spacing w:after="0" w:line="240" w:lineRule="auto"/>
              <w:rPr>
                <w:rFonts w:ascii="Cambria" w:eastAsia="Arial Unicode MS" w:hAnsi="Cambria"/>
                <w:bCs/>
                <w:sz w:val="20"/>
                <w:szCs w:val="19"/>
                <w:bdr w:val="nil"/>
                <w:lang w:val="es-ES"/>
              </w:rPr>
            </w:pPr>
            <w:r w:rsidRPr="00EE1E7A">
              <w:rPr>
                <w:rFonts w:ascii="Cambria" w:eastAsia="Arial Unicode MS" w:hAnsi="Cambria"/>
                <w:bCs/>
                <w:sz w:val="20"/>
                <w:szCs w:val="19"/>
                <w:bdr w:val="nil"/>
                <w:lang w:val="es-ES"/>
              </w:rPr>
              <w:t>Sí</w:t>
            </w:r>
          </w:p>
        </w:tc>
      </w:tr>
      <w:tr w:rsidR="00F33779" w:rsidRPr="00006B74" w14:paraId="4FD85139" w14:textId="77777777" w:rsidTr="00EE1E7A">
        <w:trPr>
          <w:cantSplit/>
        </w:trPr>
        <w:tc>
          <w:tcPr>
            <w:tcW w:w="2790" w:type="dxa"/>
            <w:shd w:val="clear" w:color="auto" w:fill="386294"/>
            <w:vAlign w:val="center"/>
          </w:tcPr>
          <w:p w14:paraId="2E6F8CFE" w14:textId="77777777" w:rsidR="00F33779" w:rsidRPr="00FA21DD" w:rsidRDefault="00F33779" w:rsidP="00FA21DD">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bCs/>
                <w:i/>
                <w:color w:val="FFFFFF"/>
                <w:sz w:val="20"/>
                <w:szCs w:val="19"/>
                <w:bdr w:val="nil"/>
                <w:lang w:val="es-ES"/>
              </w:rPr>
              <w:t>Ratione temporis</w:t>
            </w:r>
          </w:p>
        </w:tc>
        <w:tc>
          <w:tcPr>
            <w:tcW w:w="6570" w:type="dxa"/>
            <w:shd w:val="clear" w:color="auto" w:fill="auto"/>
            <w:vAlign w:val="center"/>
          </w:tcPr>
          <w:p w14:paraId="0880CA2A" w14:textId="77777777" w:rsidR="00F33779" w:rsidRPr="00EE1E7A" w:rsidRDefault="00D45318" w:rsidP="00FA21DD">
            <w:pPr>
              <w:pBdr>
                <w:top w:val="nil"/>
                <w:left w:val="nil"/>
                <w:bottom w:val="nil"/>
                <w:right w:val="nil"/>
                <w:between w:val="nil"/>
                <w:bar w:val="nil"/>
              </w:pBdr>
              <w:spacing w:after="0" w:line="240" w:lineRule="auto"/>
              <w:rPr>
                <w:rFonts w:ascii="Cambria" w:eastAsia="Arial Unicode MS" w:hAnsi="Cambria"/>
                <w:bCs/>
                <w:sz w:val="20"/>
                <w:szCs w:val="19"/>
                <w:bdr w:val="nil"/>
                <w:lang w:val="es-ES"/>
              </w:rPr>
            </w:pPr>
            <w:r w:rsidRPr="00EE1E7A">
              <w:rPr>
                <w:rFonts w:ascii="Cambria" w:eastAsia="Arial Unicode MS" w:hAnsi="Cambria"/>
                <w:bCs/>
                <w:sz w:val="20"/>
                <w:szCs w:val="19"/>
                <w:bdr w:val="nil"/>
                <w:lang w:val="es-ES"/>
              </w:rPr>
              <w:t>Sí</w:t>
            </w:r>
          </w:p>
        </w:tc>
      </w:tr>
      <w:tr w:rsidR="00F33779" w:rsidRPr="00A73C16" w14:paraId="5139254C" w14:textId="77777777" w:rsidTr="00EE1E7A">
        <w:trPr>
          <w:cantSplit/>
        </w:trPr>
        <w:tc>
          <w:tcPr>
            <w:tcW w:w="2790" w:type="dxa"/>
            <w:shd w:val="clear" w:color="auto" w:fill="386294"/>
            <w:vAlign w:val="center"/>
          </w:tcPr>
          <w:p w14:paraId="38B0D8BD" w14:textId="77777777" w:rsidR="00F33779" w:rsidRPr="00FA21DD" w:rsidRDefault="00F33779" w:rsidP="00FA21DD">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FA21DD">
              <w:rPr>
                <w:rFonts w:ascii="Cambria" w:eastAsia="Arial Unicode MS" w:hAnsi="Cambria"/>
                <w:bCs/>
                <w:i/>
                <w:color w:val="FFFFFF"/>
                <w:sz w:val="20"/>
                <w:szCs w:val="19"/>
                <w:bdr w:val="nil"/>
                <w:lang w:val="es-ES"/>
              </w:rPr>
              <w:t>Ratione materiae</w:t>
            </w:r>
          </w:p>
        </w:tc>
        <w:tc>
          <w:tcPr>
            <w:tcW w:w="6570" w:type="dxa"/>
            <w:shd w:val="clear" w:color="auto" w:fill="auto"/>
            <w:vAlign w:val="center"/>
          </w:tcPr>
          <w:p w14:paraId="7377AD1D" w14:textId="4BF0AAC3" w:rsidR="00F33779" w:rsidRPr="00EE1E7A" w:rsidRDefault="00EE1E7A" w:rsidP="00FA21DD">
            <w:pPr>
              <w:pBdr>
                <w:top w:val="nil"/>
                <w:left w:val="nil"/>
                <w:bottom w:val="nil"/>
                <w:right w:val="nil"/>
                <w:between w:val="nil"/>
                <w:bar w:val="nil"/>
              </w:pBdr>
              <w:spacing w:after="0" w:line="240" w:lineRule="auto"/>
              <w:jc w:val="both"/>
              <w:rPr>
                <w:rFonts w:ascii="Cambria" w:eastAsia="Arial Unicode MS" w:hAnsi="Cambria"/>
                <w:bCs/>
                <w:sz w:val="20"/>
                <w:szCs w:val="19"/>
                <w:bdr w:val="nil"/>
                <w:lang w:val="es-ES"/>
              </w:rPr>
            </w:pPr>
            <w:r w:rsidRPr="00EE1E7A">
              <w:rPr>
                <w:rFonts w:ascii="Cambria" w:hAnsi="Cambria"/>
                <w:sz w:val="19"/>
                <w:szCs w:val="19"/>
                <w:lang w:val="es"/>
              </w:rPr>
              <w:t>Sí,</w:t>
            </w:r>
            <w:r w:rsidRPr="00EE1E7A">
              <w:rPr>
                <w:rFonts w:ascii="Cambria" w:hAnsi="Cambria"/>
                <w:lang w:val="es"/>
              </w:rPr>
              <w:t xml:space="preserve"> </w:t>
            </w:r>
            <w:r w:rsidRPr="00EE1E7A">
              <w:rPr>
                <w:rFonts w:ascii="Cambria" w:hAnsi="Cambria"/>
                <w:sz w:val="19"/>
                <w:szCs w:val="19"/>
                <w:lang w:val="es"/>
              </w:rPr>
              <w:t>Declaración Americana (depósito del instrumento de ratificación el 19 de junio de 1951)</w:t>
            </w:r>
          </w:p>
        </w:tc>
      </w:tr>
    </w:tbl>
    <w:p w14:paraId="1858C6E1" w14:textId="77777777" w:rsidR="00F33779" w:rsidRPr="00F33779" w:rsidRDefault="00F33779" w:rsidP="00F33779">
      <w:pPr>
        <w:spacing w:before="120" w:after="120"/>
        <w:ind w:firstLine="720"/>
        <w:jc w:val="both"/>
        <w:rPr>
          <w:rFonts w:ascii="Cambria" w:hAnsi="Cambria"/>
          <w:b/>
          <w:bCs/>
          <w:sz w:val="20"/>
          <w:szCs w:val="20"/>
          <w:lang w:val="es-ES"/>
        </w:rPr>
      </w:pPr>
      <w:r w:rsidRPr="00F33779">
        <w:rPr>
          <w:rFonts w:ascii="Cambria" w:hAnsi="Cambria"/>
          <w:b/>
          <w:bCs/>
          <w:sz w:val="20"/>
          <w:szCs w:val="20"/>
          <w:lang w:val="es-ES"/>
        </w:rPr>
        <w:t xml:space="preserve">IV. </w:t>
      </w:r>
      <w:r w:rsidRPr="00F33779">
        <w:rPr>
          <w:rFonts w:ascii="Cambria" w:hAnsi="Cambria"/>
          <w:b/>
          <w:bCs/>
          <w:sz w:val="20"/>
          <w:szCs w:val="20"/>
          <w:lang w:val="es-ES"/>
        </w:rPr>
        <w:tab/>
        <w:t>DUPLICACIÓN</w:t>
      </w:r>
      <w:r w:rsidRPr="00F33779">
        <w:rPr>
          <w:rFonts w:ascii="Cambria" w:hAnsi="Cambria"/>
          <w:b/>
          <w:bCs/>
          <w:color w:val="FFFFFF"/>
          <w:sz w:val="20"/>
          <w:szCs w:val="20"/>
          <w:lang w:val="es-ES"/>
        </w:rPr>
        <w:t xml:space="preserve"> </w:t>
      </w:r>
      <w:r w:rsidRPr="00F33779">
        <w:rPr>
          <w:rFonts w:ascii="Cambria" w:hAnsi="Cambria"/>
          <w:b/>
          <w:bCs/>
          <w:sz w:val="20"/>
          <w:szCs w:val="20"/>
          <w:lang w:val="es-ES"/>
        </w:rPr>
        <w:t>DE PROCEDIMIENTOS Y COSA JUZGADA</w:t>
      </w:r>
      <w:r w:rsidRPr="00F33779">
        <w:rPr>
          <w:rFonts w:ascii="Cambria" w:hAnsi="Cambria"/>
          <w:b/>
          <w:bCs/>
          <w:i/>
          <w:sz w:val="20"/>
          <w:szCs w:val="20"/>
          <w:lang w:val="es-ES"/>
        </w:rPr>
        <w:t xml:space="preserve"> </w:t>
      </w:r>
      <w:r w:rsidRPr="00F33779">
        <w:rPr>
          <w:rFonts w:ascii="Cambria" w:hAnsi="Cambria"/>
          <w:b/>
          <w:bCs/>
          <w:sz w:val="20"/>
          <w:szCs w:val="20"/>
          <w:lang w:val="es-ES"/>
        </w:rPr>
        <w:t xml:space="preserve">INTERNACIONAL, CARACTERIZACIÓN, </w:t>
      </w:r>
      <w:r w:rsidRPr="00F33779">
        <w:rPr>
          <w:rFonts w:ascii="Cambria" w:hAnsi="Cambria"/>
          <w:b/>
          <w:sz w:val="20"/>
          <w:szCs w:val="20"/>
          <w:lang w:val="es-ES"/>
        </w:rPr>
        <w:t>AGOTAMIENTO DE LOS RECURSOS INTERNOS Y PLAZO DE PRESENTACIÓN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70"/>
      </w:tblGrid>
      <w:tr w:rsidR="00EE1E7A" w:rsidRPr="00EE1E7A" w14:paraId="78299DF2" w14:textId="77777777" w:rsidTr="00EE1E7A">
        <w:trPr>
          <w:cantSplit/>
        </w:trPr>
        <w:tc>
          <w:tcPr>
            <w:tcW w:w="2790" w:type="dxa"/>
            <w:shd w:val="clear" w:color="auto" w:fill="386294"/>
            <w:vAlign w:val="center"/>
          </w:tcPr>
          <w:p w14:paraId="20D2594B" w14:textId="77777777" w:rsidR="00EE1E7A" w:rsidRPr="00EE1E7A"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EE1E7A">
              <w:rPr>
                <w:rFonts w:ascii="Cambria" w:eastAsia="Arial Unicode MS" w:hAnsi="Cambria"/>
                <w:bCs/>
                <w:color w:val="FFFFFF"/>
                <w:sz w:val="20"/>
                <w:szCs w:val="19"/>
                <w:bdr w:val="nil"/>
                <w:lang w:val="es-ES"/>
              </w:rPr>
              <w:t>Duplicación y cosa juzgada internacional</w:t>
            </w:r>
          </w:p>
        </w:tc>
        <w:tc>
          <w:tcPr>
            <w:tcW w:w="6570" w:type="dxa"/>
            <w:vAlign w:val="center"/>
          </w:tcPr>
          <w:p w14:paraId="5182D3CB" w14:textId="6377B46F" w:rsidR="00EE1E7A" w:rsidRPr="00EE1E7A" w:rsidRDefault="00EE1E7A" w:rsidP="00EE1E7A">
            <w:pPr>
              <w:pBdr>
                <w:top w:val="nil"/>
                <w:left w:val="nil"/>
                <w:bottom w:val="nil"/>
                <w:right w:val="nil"/>
                <w:between w:val="nil"/>
                <w:bar w:val="nil"/>
              </w:pBdr>
              <w:spacing w:after="0" w:line="240" w:lineRule="auto"/>
              <w:jc w:val="both"/>
              <w:rPr>
                <w:rFonts w:ascii="Cambria" w:eastAsia="Arial Unicode MS" w:hAnsi="Cambria"/>
                <w:bCs/>
                <w:sz w:val="20"/>
                <w:szCs w:val="19"/>
                <w:bdr w:val="nil"/>
                <w:lang w:val="es-ES"/>
              </w:rPr>
            </w:pPr>
            <w:r w:rsidRPr="00EE1E7A">
              <w:rPr>
                <w:rFonts w:ascii="Cambria" w:hAnsi="Cambria"/>
                <w:sz w:val="19"/>
                <w:szCs w:val="19"/>
                <w:lang w:val="es"/>
              </w:rPr>
              <w:t>No</w:t>
            </w:r>
          </w:p>
        </w:tc>
      </w:tr>
      <w:tr w:rsidR="00EE1E7A" w:rsidRPr="00A73C16" w14:paraId="1C6813C7" w14:textId="77777777" w:rsidTr="00EE1E7A">
        <w:trPr>
          <w:cantSplit/>
        </w:trPr>
        <w:tc>
          <w:tcPr>
            <w:tcW w:w="2790" w:type="dxa"/>
            <w:shd w:val="clear" w:color="auto" w:fill="386294"/>
            <w:vAlign w:val="center"/>
          </w:tcPr>
          <w:p w14:paraId="6F9D41E0" w14:textId="77777777" w:rsidR="00EE1E7A" w:rsidRPr="00EE1E7A" w:rsidRDefault="00EE1E7A" w:rsidP="00EE1E7A">
            <w:pPr>
              <w:pBdr>
                <w:top w:val="nil"/>
                <w:left w:val="nil"/>
                <w:bottom w:val="nil"/>
                <w:right w:val="nil"/>
                <w:between w:val="nil"/>
                <w:bar w:val="nil"/>
              </w:pBdr>
              <w:spacing w:after="0" w:line="240" w:lineRule="auto"/>
              <w:jc w:val="center"/>
              <w:rPr>
                <w:rFonts w:ascii="Cambria" w:eastAsia="Arial Unicode MS" w:hAnsi="Cambria"/>
                <w:bCs/>
                <w:i/>
                <w:color w:val="FFFFFF"/>
                <w:sz w:val="20"/>
                <w:szCs w:val="19"/>
                <w:bdr w:val="nil"/>
                <w:lang w:val="es-ES"/>
              </w:rPr>
            </w:pPr>
            <w:r w:rsidRPr="00EE1E7A">
              <w:rPr>
                <w:rFonts w:ascii="Cambria" w:eastAsia="Arial Unicode MS" w:hAnsi="Cambria"/>
                <w:bCs/>
                <w:color w:val="FFFFFF"/>
                <w:sz w:val="20"/>
                <w:szCs w:val="19"/>
                <w:bdr w:val="nil"/>
                <w:lang w:val="es-ES"/>
              </w:rPr>
              <w:t>Derechos admitidos</w:t>
            </w:r>
          </w:p>
        </w:tc>
        <w:tc>
          <w:tcPr>
            <w:tcW w:w="6570" w:type="dxa"/>
            <w:vAlign w:val="center"/>
          </w:tcPr>
          <w:p w14:paraId="6B0AABF8" w14:textId="16896334" w:rsidR="00EE1E7A" w:rsidRPr="00EE1E7A" w:rsidRDefault="00EE1E7A" w:rsidP="00EE1E7A">
            <w:pPr>
              <w:pBdr>
                <w:top w:val="nil"/>
                <w:left w:val="nil"/>
                <w:bottom w:val="nil"/>
                <w:right w:val="nil"/>
                <w:between w:val="nil"/>
                <w:bar w:val="nil"/>
              </w:pBdr>
              <w:spacing w:after="0" w:line="240" w:lineRule="auto"/>
              <w:jc w:val="both"/>
              <w:rPr>
                <w:rFonts w:ascii="Cambria" w:hAnsi="Cambria"/>
                <w:sz w:val="20"/>
                <w:szCs w:val="20"/>
                <w:lang w:val="es-ES"/>
              </w:rPr>
            </w:pPr>
            <w:r w:rsidRPr="00EE1E7A">
              <w:rPr>
                <w:rFonts w:ascii="Cambria" w:hAnsi="Cambria"/>
                <w:sz w:val="19"/>
                <w:szCs w:val="19"/>
                <w:lang w:val="es"/>
              </w:rPr>
              <w:t>Artículos I (vida, libertad, seguridad e integridad</w:t>
            </w:r>
            <w:r w:rsidR="00C114E9">
              <w:rPr>
                <w:rFonts w:ascii="Cambria" w:hAnsi="Cambria"/>
                <w:sz w:val="19"/>
                <w:szCs w:val="19"/>
                <w:lang w:val="es"/>
              </w:rPr>
              <w:t xml:space="preserve"> de la persona</w:t>
            </w:r>
            <w:r w:rsidRPr="00EE1E7A">
              <w:rPr>
                <w:rFonts w:ascii="Cambria" w:hAnsi="Cambria"/>
                <w:sz w:val="19"/>
                <w:szCs w:val="19"/>
                <w:lang w:val="es"/>
              </w:rPr>
              <w:t>), IV (libertad de investigación, opinión, expresión y difusión), X (inviolabilidad y circulación de la correspondencia), XVIII (justicia)</w:t>
            </w:r>
            <w:r w:rsidR="00C24A94">
              <w:rPr>
                <w:rFonts w:ascii="Cambria" w:hAnsi="Cambria"/>
                <w:sz w:val="19"/>
                <w:szCs w:val="19"/>
                <w:lang w:val="es"/>
              </w:rPr>
              <w:t>, XXV (protección contra la detención arbitraria)</w:t>
            </w:r>
            <w:r w:rsidRPr="00EE1E7A">
              <w:rPr>
                <w:rFonts w:ascii="Cambria" w:hAnsi="Cambria"/>
                <w:sz w:val="19"/>
                <w:szCs w:val="19"/>
                <w:lang w:val="es"/>
              </w:rPr>
              <w:t xml:space="preserve"> y XXVI (proceso regular) de la Declaración Americana</w:t>
            </w:r>
          </w:p>
        </w:tc>
      </w:tr>
      <w:tr w:rsidR="00EE1E7A" w:rsidRPr="00A73C16" w14:paraId="4B4ABF46" w14:textId="77777777" w:rsidTr="00EE1E7A">
        <w:trPr>
          <w:cantSplit/>
        </w:trPr>
        <w:tc>
          <w:tcPr>
            <w:tcW w:w="2790" w:type="dxa"/>
            <w:shd w:val="clear" w:color="auto" w:fill="386294"/>
            <w:vAlign w:val="center"/>
          </w:tcPr>
          <w:p w14:paraId="5FCB789B" w14:textId="77777777" w:rsidR="00EE1E7A" w:rsidRPr="00EE1E7A"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EE1E7A">
              <w:rPr>
                <w:rFonts w:ascii="Cambria" w:eastAsia="Arial Unicode MS" w:hAnsi="Cambria"/>
                <w:bCs/>
                <w:color w:val="FFFFFF"/>
                <w:sz w:val="20"/>
                <w:szCs w:val="19"/>
                <w:bdr w:val="nil"/>
                <w:lang w:val="es-ES"/>
              </w:rPr>
              <w:t>Agotamiento de recursos o procedencia de una excepción</w:t>
            </w:r>
          </w:p>
        </w:tc>
        <w:tc>
          <w:tcPr>
            <w:tcW w:w="6570" w:type="dxa"/>
            <w:vAlign w:val="center"/>
          </w:tcPr>
          <w:p w14:paraId="6CB456CE" w14:textId="4D299180" w:rsidR="00EE1E7A" w:rsidRPr="005E141C" w:rsidRDefault="00EE1E7A" w:rsidP="005E141C">
            <w:pPr>
              <w:jc w:val="both"/>
              <w:rPr>
                <w:rFonts w:ascii="Cambria" w:hAnsi="Cambria"/>
                <w:bCs/>
                <w:sz w:val="19"/>
                <w:szCs w:val="19"/>
                <w:lang w:val="es-ES"/>
              </w:rPr>
            </w:pPr>
            <w:r w:rsidRPr="00EE1E7A">
              <w:rPr>
                <w:rFonts w:ascii="Cambria" w:hAnsi="Cambria"/>
                <w:sz w:val="19"/>
                <w:szCs w:val="19"/>
                <w:lang w:val="es"/>
              </w:rPr>
              <w:t>Sí, el 11 de octubre de 201</w:t>
            </w:r>
            <w:r w:rsidR="005E141C">
              <w:rPr>
                <w:rFonts w:ascii="Cambria" w:hAnsi="Cambria"/>
                <w:sz w:val="19"/>
                <w:szCs w:val="19"/>
                <w:lang w:val="es"/>
              </w:rPr>
              <w:t>1</w:t>
            </w:r>
          </w:p>
        </w:tc>
      </w:tr>
      <w:tr w:rsidR="00EE1E7A" w:rsidRPr="00A73C16" w14:paraId="12939E9B" w14:textId="77777777" w:rsidTr="00EE1E7A">
        <w:trPr>
          <w:cantSplit/>
        </w:trPr>
        <w:tc>
          <w:tcPr>
            <w:tcW w:w="2790" w:type="dxa"/>
            <w:shd w:val="clear" w:color="auto" w:fill="386294"/>
            <w:vAlign w:val="center"/>
          </w:tcPr>
          <w:p w14:paraId="0D98C37D" w14:textId="77777777" w:rsidR="00EE1E7A" w:rsidRPr="00EE1E7A" w:rsidRDefault="00EE1E7A" w:rsidP="00EE1E7A">
            <w:pPr>
              <w:pBdr>
                <w:top w:val="nil"/>
                <w:left w:val="nil"/>
                <w:bottom w:val="nil"/>
                <w:right w:val="nil"/>
                <w:between w:val="nil"/>
                <w:bar w:val="nil"/>
              </w:pBdr>
              <w:spacing w:after="0" w:line="240" w:lineRule="auto"/>
              <w:jc w:val="center"/>
              <w:rPr>
                <w:rFonts w:ascii="Cambria" w:eastAsia="Arial Unicode MS" w:hAnsi="Cambria"/>
                <w:bCs/>
                <w:color w:val="FFFFFF"/>
                <w:sz w:val="20"/>
                <w:szCs w:val="19"/>
                <w:bdr w:val="nil"/>
                <w:lang w:val="es-ES"/>
              </w:rPr>
            </w:pPr>
            <w:r w:rsidRPr="00EE1E7A">
              <w:rPr>
                <w:rFonts w:ascii="Cambria" w:eastAsia="Arial Unicode MS" w:hAnsi="Cambria"/>
                <w:bCs/>
                <w:color w:val="FFFFFF"/>
                <w:sz w:val="20"/>
                <w:szCs w:val="19"/>
                <w:bdr w:val="nil"/>
                <w:lang w:val="es-ES"/>
              </w:rPr>
              <w:t>Presentación dentro de plazo</w:t>
            </w:r>
          </w:p>
        </w:tc>
        <w:tc>
          <w:tcPr>
            <w:tcW w:w="6570" w:type="dxa"/>
            <w:vAlign w:val="center"/>
          </w:tcPr>
          <w:p w14:paraId="230B8785" w14:textId="75A7316E" w:rsidR="00EE1E7A" w:rsidRPr="00EE1E7A" w:rsidRDefault="00EE1E7A" w:rsidP="00EE1E7A">
            <w:pPr>
              <w:pBdr>
                <w:top w:val="nil"/>
                <w:left w:val="nil"/>
                <w:bottom w:val="nil"/>
                <w:right w:val="nil"/>
                <w:between w:val="nil"/>
                <w:bar w:val="nil"/>
              </w:pBdr>
              <w:spacing w:after="0" w:line="240" w:lineRule="auto"/>
              <w:rPr>
                <w:rFonts w:ascii="Cambria" w:eastAsia="Arial Unicode MS" w:hAnsi="Cambria"/>
                <w:bCs/>
                <w:sz w:val="20"/>
                <w:szCs w:val="19"/>
                <w:bdr w:val="nil"/>
                <w:lang w:val="es-ES"/>
              </w:rPr>
            </w:pPr>
            <w:r w:rsidRPr="00EE1E7A">
              <w:rPr>
                <w:rFonts w:ascii="Cambria" w:hAnsi="Cambria"/>
                <w:sz w:val="19"/>
                <w:szCs w:val="19"/>
                <w:lang w:val="es"/>
              </w:rPr>
              <w:t>Sí, el 11 de abril de 201</w:t>
            </w:r>
            <w:r w:rsidR="00CE3055">
              <w:rPr>
                <w:rFonts w:ascii="Cambria" w:hAnsi="Cambria"/>
                <w:sz w:val="19"/>
                <w:szCs w:val="19"/>
                <w:lang w:val="es"/>
              </w:rPr>
              <w:t>2</w:t>
            </w:r>
          </w:p>
        </w:tc>
      </w:tr>
    </w:tbl>
    <w:p w14:paraId="4152ADBC" w14:textId="77777777" w:rsidR="00EE1E7A" w:rsidRDefault="00EE1E7A" w:rsidP="00F33779">
      <w:pPr>
        <w:spacing w:before="120" w:after="120"/>
        <w:ind w:firstLine="720"/>
        <w:jc w:val="both"/>
        <w:rPr>
          <w:rFonts w:ascii="Cambria" w:hAnsi="Cambria"/>
          <w:b/>
          <w:sz w:val="20"/>
          <w:szCs w:val="20"/>
          <w:lang w:val="es-ES"/>
        </w:rPr>
      </w:pPr>
    </w:p>
    <w:p w14:paraId="44384FE3" w14:textId="13EE8AE2" w:rsidR="00F33779" w:rsidRPr="005E141C" w:rsidRDefault="00F33779" w:rsidP="00F33779">
      <w:pPr>
        <w:spacing w:before="120" w:after="120"/>
        <w:ind w:firstLine="720"/>
        <w:jc w:val="both"/>
        <w:rPr>
          <w:rFonts w:ascii="Cambria" w:hAnsi="Cambria"/>
          <w:b/>
          <w:sz w:val="20"/>
          <w:szCs w:val="20"/>
          <w:lang w:val="es-ES"/>
        </w:rPr>
      </w:pPr>
      <w:r w:rsidRPr="005E141C">
        <w:rPr>
          <w:rFonts w:ascii="Cambria" w:hAnsi="Cambria"/>
          <w:b/>
          <w:sz w:val="20"/>
          <w:szCs w:val="20"/>
          <w:lang w:val="es-ES"/>
        </w:rPr>
        <w:t xml:space="preserve">V. </w:t>
      </w:r>
      <w:r w:rsidRPr="005E141C">
        <w:rPr>
          <w:rFonts w:ascii="Cambria" w:hAnsi="Cambria"/>
          <w:b/>
          <w:sz w:val="20"/>
          <w:szCs w:val="20"/>
          <w:lang w:val="es-ES"/>
        </w:rPr>
        <w:tab/>
        <w:t>RESUMEN DE LOS HECHOS ALEGADOS</w:t>
      </w:r>
    </w:p>
    <w:p w14:paraId="43B1EE19" w14:textId="13A567A7" w:rsidR="005E141C" w:rsidRPr="00AF7656" w:rsidRDefault="005E141C" w:rsidP="00AF7656">
      <w:pPr>
        <w:numPr>
          <w:ilvl w:val="0"/>
          <w:numId w:val="1"/>
        </w:numPr>
        <w:suppressAutoHyphens/>
        <w:spacing w:before="120" w:after="120" w:line="240" w:lineRule="auto"/>
        <w:jc w:val="both"/>
        <w:rPr>
          <w:rFonts w:ascii="Cambria" w:hAnsi="Cambria"/>
          <w:sz w:val="20"/>
          <w:szCs w:val="20"/>
          <w:lang w:val="es-ES"/>
        </w:rPr>
      </w:pPr>
      <w:r w:rsidRPr="00AF7656">
        <w:rPr>
          <w:rFonts w:ascii="Cambria" w:hAnsi="Cambria"/>
          <w:sz w:val="20"/>
          <w:szCs w:val="20"/>
          <w:lang w:val="es"/>
        </w:rPr>
        <w:t xml:space="preserve">La presunta víctima fue arrestada, acusada, sentenciada y condenada a pena de muerte por el homicidio Daniel Faulkner, oficial de policía, ocurrido en Filadelfia el 9 de diciembre de 1981. La parte peticionaria alega </w:t>
      </w:r>
      <w:r w:rsidR="00615E05" w:rsidRPr="00AF7656">
        <w:rPr>
          <w:rFonts w:ascii="Cambria" w:hAnsi="Cambria"/>
          <w:sz w:val="20"/>
          <w:szCs w:val="20"/>
          <w:lang w:val="es"/>
        </w:rPr>
        <w:t>errores</w:t>
      </w:r>
      <w:r w:rsidRPr="00AF7656">
        <w:rPr>
          <w:rFonts w:ascii="Cambria" w:hAnsi="Cambria"/>
          <w:sz w:val="20"/>
          <w:szCs w:val="20"/>
          <w:lang w:val="es"/>
        </w:rPr>
        <w:t xml:space="preserve"> en la investigación penal y los procesos judiciales</w:t>
      </w:r>
      <w:r w:rsidRPr="005E141C">
        <w:rPr>
          <w:rStyle w:val="FootnoteReference"/>
          <w:rFonts w:ascii="Cambria" w:hAnsi="Cambria"/>
          <w:sz w:val="20"/>
          <w:szCs w:val="20"/>
          <w:lang w:val="es"/>
        </w:rPr>
        <w:footnoteReference w:id="3"/>
      </w:r>
      <w:r w:rsidRPr="00AF7656">
        <w:rPr>
          <w:rFonts w:ascii="Cambria" w:hAnsi="Cambria"/>
          <w:sz w:val="20"/>
          <w:szCs w:val="20"/>
          <w:lang w:val="es"/>
        </w:rPr>
        <w:t xml:space="preserve">, por los que la presunta víctima </w:t>
      </w:r>
      <w:r w:rsidRPr="00AF7656">
        <w:rPr>
          <w:rFonts w:ascii="Cambria" w:hAnsi="Cambria"/>
          <w:sz w:val="20"/>
          <w:szCs w:val="20"/>
          <w:lang w:val="es"/>
        </w:rPr>
        <w:lastRenderedPageBreak/>
        <w:t>estuvo en el corredor de la muerte por 30 años con dos fechas de ejecución programadas</w:t>
      </w:r>
      <w:r w:rsidR="00AF7656" w:rsidRPr="00AF7656">
        <w:rPr>
          <w:rFonts w:ascii="Cambria" w:hAnsi="Cambria"/>
          <w:sz w:val="20"/>
          <w:szCs w:val="20"/>
          <w:lang w:val="es"/>
        </w:rPr>
        <w:t xml:space="preserve">, antes de que la orden fuera finalmente </w:t>
      </w:r>
      <w:r w:rsidR="00AF7656">
        <w:rPr>
          <w:rFonts w:ascii="Cambria" w:hAnsi="Cambria"/>
          <w:sz w:val="20"/>
          <w:szCs w:val="20"/>
          <w:lang w:val="es"/>
        </w:rPr>
        <w:t>abrogada,</w:t>
      </w:r>
      <w:r w:rsidR="00AF7656" w:rsidRPr="00AF7656">
        <w:rPr>
          <w:rFonts w:ascii="Cambria" w:hAnsi="Cambria"/>
          <w:sz w:val="20"/>
          <w:szCs w:val="20"/>
          <w:lang w:val="es"/>
        </w:rPr>
        <w:t xml:space="preserve"> </w:t>
      </w:r>
      <w:r w:rsidRPr="00AF7656">
        <w:rPr>
          <w:rFonts w:ascii="Cambria" w:hAnsi="Cambria"/>
          <w:sz w:val="20"/>
          <w:szCs w:val="20"/>
          <w:lang w:val="es"/>
        </w:rPr>
        <w:t>a raíz de un delito que siempre negó haber cometido. El peticionario añade que la presunta víctima fue sometida a aislamiento social extremo y privación de estímulo ambiental, lo que configura un castigo cruel e inusual.</w:t>
      </w:r>
    </w:p>
    <w:p w14:paraId="1C080A5A" w14:textId="144DCDDC"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 xml:space="preserve">El peticionario aduce que los hechos </w:t>
      </w:r>
      <w:r w:rsidR="00811CD9">
        <w:rPr>
          <w:rFonts w:ascii="Cambria" w:hAnsi="Cambria"/>
          <w:sz w:val="20"/>
          <w:szCs w:val="20"/>
          <w:lang w:val="es"/>
        </w:rPr>
        <w:t>mencionados</w:t>
      </w:r>
      <w:r w:rsidRPr="005E141C">
        <w:rPr>
          <w:rFonts w:ascii="Cambria" w:hAnsi="Cambria"/>
          <w:sz w:val="20"/>
          <w:szCs w:val="20"/>
          <w:lang w:val="es"/>
        </w:rPr>
        <w:t xml:space="preserve"> sucedieron en el marco del inicio en 1967 del Programa de Contrainteligencia del FBI, </w:t>
      </w:r>
      <w:r w:rsidR="00811CD9">
        <w:rPr>
          <w:rFonts w:ascii="Cambria" w:hAnsi="Cambria"/>
          <w:sz w:val="20"/>
          <w:szCs w:val="20"/>
          <w:lang w:val="es"/>
        </w:rPr>
        <w:t>orientado contra</w:t>
      </w:r>
      <w:r w:rsidRPr="005E141C">
        <w:rPr>
          <w:rFonts w:ascii="Cambria" w:hAnsi="Cambria"/>
          <w:sz w:val="20"/>
          <w:szCs w:val="20"/>
          <w:lang w:val="es"/>
        </w:rPr>
        <w:t xml:space="preserve"> líderes de movimientos de derechos civiles y </w:t>
      </w:r>
      <w:r w:rsidR="00811CD9">
        <w:rPr>
          <w:rFonts w:ascii="Cambria" w:hAnsi="Cambria"/>
          <w:sz w:val="20"/>
          <w:szCs w:val="20"/>
          <w:lang w:val="es"/>
        </w:rPr>
        <w:t>defensores</w:t>
      </w:r>
      <w:r w:rsidRPr="005E141C">
        <w:rPr>
          <w:rFonts w:ascii="Cambria" w:hAnsi="Cambria"/>
          <w:sz w:val="20"/>
          <w:szCs w:val="20"/>
          <w:lang w:val="es"/>
        </w:rPr>
        <w:t xml:space="preserve"> del poder negro</w:t>
      </w:r>
      <w:r w:rsidR="00811CD9">
        <w:rPr>
          <w:rFonts w:ascii="Cambria" w:hAnsi="Cambria"/>
          <w:sz w:val="20"/>
          <w:szCs w:val="20"/>
          <w:lang w:val="es"/>
        </w:rPr>
        <w:t xml:space="preserve"> —</w:t>
      </w:r>
      <w:r w:rsidRPr="005E141C">
        <w:rPr>
          <w:rFonts w:ascii="Cambria" w:hAnsi="Cambria"/>
          <w:sz w:val="20"/>
          <w:szCs w:val="20"/>
          <w:lang w:val="es"/>
        </w:rPr>
        <w:t>entre ellos la presunta víctima</w:t>
      </w:r>
      <w:r w:rsidRPr="005E141C">
        <w:rPr>
          <w:rStyle w:val="FootnoteReference"/>
          <w:rFonts w:ascii="Cambria" w:hAnsi="Cambria"/>
          <w:sz w:val="20"/>
          <w:szCs w:val="20"/>
          <w:lang w:val="es"/>
        </w:rPr>
        <w:footnoteReference w:id="4"/>
      </w:r>
      <w:r w:rsidR="00811CD9">
        <w:rPr>
          <w:rFonts w:ascii="Cambria" w:hAnsi="Cambria"/>
          <w:sz w:val="20"/>
          <w:szCs w:val="20"/>
          <w:lang w:val="es"/>
        </w:rPr>
        <w:t>—</w:t>
      </w:r>
      <w:r w:rsidRPr="005E141C">
        <w:rPr>
          <w:rFonts w:ascii="Cambria" w:hAnsi="Cambria"/>
          <w:sz w:val="20"/>
          <w:szCs w:val="20"/>
          <w:lang w:val="es"/>
        </w:rPr>
        <w:t xml:space="preserve"> a fin de neutralizarlos, especialmente a través de la justicia penal. Sostiene que la presunta víctima sufrió persecución, hostigamiento y represión por su</w:t>
      </w:r>
      <w:r w:rsidR="0068376D">
        <w:rPr>
          <w:rFonts w:ascii="Cambria" w:hAnsi="Cambria"/>
          <w:sz w:val="20"/>
          <w:szCs w:val="20"/>
          <w:lang w:val="es"/>
        </w:rPr>
        <w:t>s</w:t>
      </w:r>
      <w:r w:rsidRPr="005E141C">
        <w:rPr>
          <w:rFonts w:ascii="Cambria" w:hAnsi="Cambria"/>
          <w:sz w:val="20"/>
          <w:szCs w:val="20"/>
          <w:lang w:val="es"/>
        </w:rPr>
        <w:t xml:space="preserve"> afiliaciones políticas. Señala que las declaraciones de los testigos no coinciden en cuanto a la secuencia de los hechos en torno a la muerte del oficial Faulkner. Alega que el jurado no tuvo acceso a la información de todos los hechos relevantes, </w:t>
      </w:r>
      <w:r w:rsidR="0068376D">
        <w:rPr>
          <w:rFonts w:ascii="Cambria" w:hAnsi="Cambria"/>
          <w:sz w:val="20"/>
          <w:szCs w:val="20"/>
          <w:lang w:val="es"/>
        </w:rPr>
        <w:t>como ser</w:t>
      </w:r>
      <w:r w:rsidRPr="005E141C">
        <w:rPr>
          <w:rFonts w:ascii="Cambria" w:hAnsi="Cambria"/>
          <w:sz w:val="20"/>
          <w:szCs w:val="20"/>
          <w:lang w:val="es"/>
        </w:rPr>
        <w:t xml:space="preserve"> que </w:t>
      </w:r>
      <w:r w:rsidR="0068376D">
        <w:rPr>
          <w:rFonts w:ascii="Cambria" w:hAnsi="Cambria"/>
          <w:sz w:val="20"/>
          <w:szCs w:val="20"/>
          <w:lang w:val="es"/>
        </w:rPr>
        <w:t>en</w:t>
      </w:r>
      <w:r w:rsidRPr="005E141C">
        <w:rPr>
          <w:rFonts w:ascii="Cambria" w:hAnsi="Cambria"/>
          <w:sz w:val="20"/>
          <w:szCs w:val="20"/>
          <w:lang w:val="es"/>
        </w:rPr>
        <w:t xml:space="preserve"> la rueda de reconocimiento</w:t>
      </w:r>
      <w:r w:rsidR="0068376D">
        <w:rPr>
          <w:rFonts w:ascii="Cambria" w:hAnsi="Cambria"/>
          <w:sz w:val="20"/>
          <w:szCs w:val="20"/>
          <w:lang w:val="es"/>
        </w:rPr>
        <w:t xml:space="preserve"> </w:t>
      </w:r>
      <w:r w:rsidRPr="005E141C">
        <w:rPr>
          <w:rFonts w:ascii="Cambria" w:hAnsi="Cambria"/>
          <w:sz w:val="20"/>
          <w:szCs w:val="20"/>
          <w:lang w:val="es"/>
        </w:rPr>
        <w:t xml:space="preserve">uno de los testigos identificó </w:t>
      </w:r>
      <w:r w:rsidR="0068376D" w:rsidRPr="005E141C">
        <w:rPr>
          <w:rFonts w:ascii="Cambria" w:hAnsi="Cambria"/>
          <w:sz w:val="20"/>
          <w:szCs w:val="20"/>
          <w:lang w:val="es"/>
        </w:rPr>
        <w:t xml:space="preserve">en dos oportunidades </w:t>
      </w:r>
      <w:r w:rsidR="0068376D">
        <w:rPr>
          <w:rFonts w:ascii="Cambria" w:hAnsi="Cambria"/>
          <w:sz w:val="20"/>
          <w:szCs w:val="20"/>
          <w:lang w:val="es"/>
        </w:rPr>
        <w:t xml:space="preserve">a </w:t>
      </w:r>
      <w:r w:rsidRPr="005E141C">
        <w:rPr>
          <w:rFonts w:ascii="Cambria" w:hAnsi="Cambria"/>
          <w:sz w:val="20"/>
          <w:szCs w:val="20"/>
          <w:lang w:val="es"/>
        </w:rPr>
        <w:t>un segundo tirador</w:t>
      </w:r>
      <w:r w:rsidR="0068376D">
        <w:rPr>
          <w:rFonts w:ascii="Cambria" w:hAnsi="Cambria"/>
          <w:sz w:val="20"/>
          <w:szCs w:val="20"/>
          <w:lang w:val="es"/>
        </w:rPr>
        <w:t>;</w:t>
      </w:r>
      <w:r w:rsidRPr="005E141C">
        <w:rPr>
          <w:rFonts w:ascii="Cambria" w:hAnsi="Cambria"/>
          <w:sz w:val="20"/>
          <w:szCs w:val="20"/>
          <w:lang w:val="es"/>
        </w:rPr>
        <w:t xml:space="preserve"> que los testigos fueron presionados</w:t>
      </w:r>
      <w:r w:rsidR="0068376D">
        <w:rPr>
          <w:rFonts w:ascii="Cambria" w:hAnsi="Cambria"/>
          <w:sz w:val="20"/>
          <w:szCs w:val="20"/>
          <w:lang w:val="es"/>
        </w:rPr>
        <w:t>;</w:t>
      </w:r>
      <w:r w:rsidRPr="005E141C">
        <w:rPr>
          <w:rFonts w:ascii="Cambria" w:hAnsi="Cambria"/>
          <w:sz w:val="20"/>
          <w:szCs w:val="20"/>
          <w:lang w:val="es"/>
        </w:rPr>
        <w:t xml:space="preserve"> que la policía hizo una aparente falsificación de pruebas y que la policía no </w:t>
      </w:r>
      <w:r w:rsidR="0068376D">
        <w:rPr>
          <w:rFonts w:ascii="Cambria" w:hAnsi="Cambria"/>
          <w:sz w:val="20"/>
          <w:szCs w:val="20"/>
          <w:lang w:val="es"/>
        </w:rPr>
        <w:t>realizó</w:t>
      </w:r>
      <w:r w:rsidRPr="005E141C">
        <w:rPr>
          <w:rFonts w:ascii="Cambria" w:hAnsi="Cambria"/>
          <w:sz w:val="20"/>
          <w:szCs w:val="20"/>
          <w:lang w:val="es"/>
        </w:rPr>
        <w:t xml:space="preserve"> las pericias de rutina sobre la </w:t>
      </w:r>
      <w:r w:rsidR="0068376D">
        <w:rPr>
          <w:rFonts w:ascii="Cambria" w:hAnsi="Cambria"/>
          <w:sz w:val="20"/>
          <w:szCs w:val="20"/>
          <w:lang w:val="es"/>
        </w:rPr>
        <w:t xml:space="preserve">persona de la </w:t>
      </w:r>
      <w:r w:rsidRPr="005E141C">
        <w:rPr>
          <w:rFonts w:ascii="Cambria" w:hAnsi="Cambria"/>
          <w:sz w:val="20"/>
          <w:szCs w:val="20"/>
          <w:lang w:val="es"/>
        </w:rPr>
        <w:t>presun</w:t>
      </w:r>
      <w:r w:rsidR="0068376D">
        <w:rPr>
          <w:rFonts w:ascii="Cambria" w:hAnsi="Cambria"/>
          <w:sz w:val="20"/>
          <w:szCs w:val="20"/>
          <w:lang w:val="es"/>
        </w:rPr>
        <w:t>t</w:t>
      </w:r>
      <w:r w:rsidRPr="005E141C">
        <w:rPr>
          <w:rFonts w:ascii="Cambria" w:hAnsi="Cambria"/>
          <w:sz w:val="20"/>
          <w:szCs w:val="20"/>
          <w:lang w:val="es"/>
        </w:rPr>
        <w:t>a víctima y sus pertenencias. Agrega que la declaración que la presunta víctima</w:t>
      </w:r>
      <w:r w:rsidR="00840227">
        <w:rPr>
          <w:rFonts w:ascii="Cambria" w:hAnsi="Cambria"/>
          <w:sz w:val="20"/>
          <w:szCs w:val="20"/>
          <w:lang w:val="es"/>
        </w:rPr>
        <w:t xml:space="preserve"> habría rendido</w:t>
      </w:r>
      <w:r w:rsidRPr="005E141C">
        <w:rPr>
          <w:rFonts w:ascii="Cambria" w:hAnsi="Cambria"/>
          <w:sz w:val="20"/>
          <w:szCs w:val="20"/>
          <w:lang w:val="es"/>
        </w:rPr>
        <w:t xml:space="preserve"> ante las autoridades policiales sólo fue mencionada dos meses después del incidente y que dicha declaración contradice el informe policial </w:t>
      </w:r>
      <w:r w:rsidR="0068376D">
        <w:rPr>
          <w:rFonts w:ascii="Cambria" w:hAnsi="Cambria"/>
          <w:sz w:val="20"/>
          <w:szCs w:val="20"/>
          <w:lang w:val="es"/>
        </w:rPr>
        <w:t>elaborado</w:t>
      </w:r>
      <w:r w:rsidRPr="005E141C">
        <w:rPr>
          <w:rFonts w:ascii="Cambria" w:hAnsi="Cambria"/>
          <w:sz w:val="20"/>
          <w:szCs w:val="20"/>
          <w:lang w:val="es"/>
        </w:rPr>
        <w:t xml:space="preserve"> en la época de la balacera. El peticionario reclama que la presunta víctima se encuentra aislada entre 22 y 24 horas diarias y sin la posibilidad de contacto físico con sus familiares o amigos. Sostiene que la correspondencia </w:t>
      </w:r>
      <w:r w:rsidR="0068376D">
        <w:rPr>
          <w:rFonts w:ascii="Cambria" w:hAnsi="Cambria"/>
          <w:sz w:val="20"/>
          <w:szCs w:val="20"/>
          <w:lang w:val="es"/>
        </w:rPr>
        <w:t xml:space="preserve">de </w:t>
      </w:r>
      <w:r w:rsidRPr="005E141C">
        <w:rPr>
          <w:rFonts w:ascii="Cambria" w:hAnsi="Cambria"/>
          <w:sz w:val="20"/>
          <w:szCs w:val="20"/>
          <w:lang w:val="es"/>
        </w:rPr>
        <w:t>la presunta víctima, inclusive la correspondencia judicial, fue abierta y remitida al gobernador. Agrega que</w:t>
      </w:r>
      <w:r w:rsidR="0068376D">
        <w:rPr>
          <w:rFonts w:ascii="Cambria" w:hAnsi="Cambria"/>
          <w:sz w:val="20"/>
          <w:szCs w:val="20"/>
          <w:lang w:val="es"/>
        </w:rPr>
        <w:t>,</w:t>
      </w:r>
      <w:r w:rsidRPr="005E141C">
        <w:rPr>
          <w:rFonts w:ascii="Cambria" w:hAnsi="Cambria"/>
          <w:sz w:val="20"/>
          <w:szCs w:val="20"/>
          <w:lang w:val="es"/>
        </w:rPr>
        <w:t xml:space="preserve"> pese a que en 2001 un juez anuló la </w:t>
      </w:r>
      <w:r w:rsidR="0068376D">
        <w:rPr>
          <w:rFonts w:ascii="Cambria" w:hAnsi="Cambria"/>
          <w:sz w:val="20"/>
          <w:szCs w:val="20"/>
          <w:lang w:val="es"/>
        </w:rPr>
        <w:t>pena</w:t>
      </w:r>
      <w:r w:rsidRPr="005E141C">
        <w:rPr>
          <w:rFonts w:ascii="Cambria" w:hAnsi="Cambria"/>
          <w:sz w:val="20"/>
          <w:szCs w:val="20"/>
          <w:lang w:val="es"/>
        </w:rPr>
        <w:t xml:space="preserve"> de muerte, la presun</w:t>
      </w:r>
      <w:r w:rsidR="0068376D">
        <w:rPr>
          <w:rFonts w:ascii="Cambria" w:hAnsi="Cambria"/>
          <w:sz w:val="20"/>
          <w:szCs w:val="20"/>
          <w:lang w:val="es"/>
        </w:rPr>
        <w:t>t</w:t>
      </w:r>
      <w:r w:rsidRPr="005E141C">
        <w:rPr>
          <w:rFonts w:ascii="Cambria" w:hAnsi="Cambria"/>
          <w:sz w:val="20"/>
          <w:szCs w:val="20"/>
          <w:lang w:val="es"/>
        </w:rPr>
        <w:t>a víctima permaneció en el corredor de la muerte hasta 2012</w:t>
      </w:r>
      <w:r w:rsidR="0068376D">
        <w:rPr>
          <w:rFonts w:ascii="Cambria" w:hAnsi="Cambria"/>
          <w:sz w:val="20"/>
          <w:szCs w:val="20"/>
          <w:lang w:val="es"/>
        </w:rPr>
        <w:t>, por lo que por</w:t>
      </w:r>
      <w:r w:rsidRPr="005E141C">
        <w:rPr>
          <w:rFonts w:ascii="Cambria" w:hAnsi="Cambria"/>
          <w:sz w:val="20"/>
          <w:szCs w:val="20"/>
          <w:lang w:val="es"/>
        </w:rPr>
        <w:t xml:space="preserve"> 30 años</w:t>
      </w:r>
      <w:r w:rsidR="0068376D">
        <w:rPr>
          <w:rFonts w:ascii="Cambria" w:hAnsi="Cambria"/>
          <w:sz w:val="20"/>
          <w:szCs w:val="20"/>
          <w:lang w:val="es"/>
        </w:rPr>
        <w:t xml:space="preserve"> estuvo en</w:t>
      </w:r>
      <w:r w:rsidRPr="005E141C">
        <w:rPr>
          <w:rFonts w:ascii="Cambria" w:hAnsi="Cambria"/>
          <w:sz w:val="20"/>
          <w:szCs w:val="20"/>
          <w:lang w:val="es"/>
        </w:rPr>
        <w:t xml:space="preserve"> condiciones de reclusión extremas que constituyen </w:t>
      </w:r>
      <w:r w:rsidR="0068376D">
        <w:rPr>
          <w:rFonts w:ascii="Cambria" w:hAnsi="Cambria"/>
          <w:sz w:val="20"/>
          <w:szCs w:val="20"/>
          <w:lang w:val="es"/>
        </w:rPr>
        <w:t>un trato o pena</w:t>
      </w:r>
      <w:r w:rsidR="007C6C2E">
        <w:rPr>
          <w:rFonts w:ascii="Cambria" w:hAnsi="Cambria"/>
          <w:sz w:val="20"/>
          <w:szCs w:val="20"/>
          <w:lang w:val="es"/>
        </w:rPr>
        <w:t xml:space="preserve"> cruel,</w:t>
      </w:r>
      <w:r w:rsidRPr="005E141C">
        <w:rPr>
          <w:rFonts w:ascii="Cambria" w:hAnsi="Cambria"/>
          <w:sz w:val="20"/>
          <w:szCs w:val="20"/>
          <w:lang w:val="es"/>
        </w:rPr>
        <w:t xml:space="preserve"> inhuman</w:t>
      </w:r>
      <w:r w:rsidR="007C6C2E">
        <w:rPr>
          <w:rFonts w:ascii="Cambria" w:hAnsi="Cambria"/>
          <w:sz w:val="20"/>
          <w:szCs w:val="20"/>
          <w:lang w:val="es"/>
        </w:rPr>
        <w:t>a</w:t>
      </w:r>
      <w:r w:rsidRPr="005E141C">
        <w:rPr>
          <w:rFonts w:ascii="Cambria" w:hAnsi="Cambria"/>
          <w:sz w:val="20"/>
          <w:szCs w:val="20"/>
          <w:lang w:val="es"/>
        </w:rPr>
        <w:t xml:space="preserve"> y</w:t>
      </w:r>
      <w:r w:rsidR="007C6C2E" w:rsidRPr="007C6C2E">
        <w:rPr>
          <w:rFonts w:ascii="Cambria" w:hAnsi="Cambria"/>
          <w:sz w:val="20"/>
          <w:szCs w:val="20"/>
          <w:lang w:val="es"/>
        </w:rPr>
        <w:t xml:space="preserve"> </w:t>
      </w:r>
      <w:r w:rsidR="007C6C2E" w:rsidRPr="005E141C">
        <w:rPr>
          <w:rFonts w:ascii="Cambria" w:hAnsi="Cambria"/>
          <w:sz w:val="20"/>
          <w:szCs w:val="20"/>
          <w:lang w:val="es"/>
        </w:rPr>
        <w:t>degradante</w:t>
      </w:r>
      <w:r w:rsidRPr="005E141C">
        <w:rPr>
          <w:rFonts w:ascii="Cambria" w:hAnsi="Cambria"/>
          <w:sz w:val="20"/>
          <w:szCs w:val="20"/>
          <w:lang w:val="es"/>
        </w:rPr>
        <w:t>.</w:t>
      </w:r>
    </w:p>
    <w:p w14:paraId="7B81ED4B" w14:textId="5744F766"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 xml:space="preserve">El peticionario indica que el 6 de marzo de 1989 la Corte Suprema de Pennsylvania rechazó la apelación </w:t>
      </w:r>
      <w:r w:rsidR="007C6C2E">
        <w:rPr>
          <w:rFonts w:ascii="Cambria" w:hAnsi="Cambria"/>
          <w:sz w:val="20"/>
          <w:szCs w:val="20"/>
          <w:lang w:val="es"/>
        </w:rPr>
        <w:t>que</w:t>
      </w:r>
      <w:r w:rsidRPr="005E141C">
        <w:rPr>
          <w:rFonts w:ascii="Cambria" w:hAnsi="Cambria"/>
          <w:sz w:val="20"/>
          <w:szCs w:val="20"/>
          <w:lang w:val="es"/>
        </w:rPr>
        <w:t xml:space="preserve"> la presunta víctima </w:t>
      </w:r>
      <w:r w:rsidR="007C6C2E">
        <w:rPr>
          <w:rFonts w:ascii="Cambria" w:hAnsi="Cambria"/>
          <w:sz w:val="20"/>
          <w:szCs w:val="20"/>
          <w:lang w:val="es"/>
        </w:rPr>
        <w:t xml:space="preserve">interpuso </w:t>
      </w:r>
      <w:r w:rsidRPr="005E141C">
        <w:rPr>
          <w:rFonts w:ascii="Cambria" w:hAnsi="Cambria"/>
          <w:sz w:val="20"/>
          <w:szCs w:val="20"/>
          <w:lang w:val="es"/>
        </w:rPr>
        <w:t xml:space="preserve">contra su sentencia y condena. En 1990 y 1991, la Corte Suprema </w:t>
      </w:r>
      <w:r w:rsidR="007C6C2E">
        <w:rPr>
          <w:rFonts w:ascii="Cambria" w:hAnsi="Cambria"/>
          <w:sz w:val="20"/>
          <w:szCs w:val="20"/>
          <w:lang w:val="es"/>
        </w:rPr>
        <w:t>de los Estados Unidos</w:t>
      </w:r>
      <w:r w:rsidRPr="005E141C">
        <w:rPr>
          <w:rFonts w:ascii="Cambria" w:hAnsi="Cambria"/>
          <w:sz w:val="20"/>
          <w:szCs w:val="20"/>
          <w:lang w:val="es"/>
        </w:rPr>
        <w:t xml:space="preserve"> rechazó las apelaciones contra </w:t>
      </w:r>
      <w:r w:rsidR="007C6C2E">
        <w:rPr>
          <w:rFonts w:ascii="Cambria" w:hAnsi="Cambria"/>
          <w:sz w:val="20"/>
          <w:szCs w:val="20"/>
          <w:lang w:val="es"/>
        </w:rPr>
        <w:t>es</w:t>
      </w:r>
      <w:r w:rsidRPr="005E141C">
        <w:rPr>
          <w:rFonts w:ascii="Cambria" w:hAnsi="Cambria"/>
          <w:sz w:val="20"/>
          <w:szCs w:val="20"/>
          <w:lang w:val="es"/>
        </w:rPr>
        <w:t>a decisión. El 1 de junio de 1995 el Gobernador de Pennsylvania fijó fecha de ejecución para el 17 de agosto de 1995</w:t>
      </w:r>
      <w:r w:rsidRPr="005E141C">
        <w:rPr>
          <w:rStyle w:val="FootnoteReference"/>
          <w:rFonts w:ascii="Cambria" w:hAnsi="Cambria"/>
          <w:sz w:val="20"/>
          <w:szCs w:val="20"/>
          <w:lang w:val="es"/>
        </w:rPr>
        <w:footnoteReference w:id="5"/>
      </w:r>
      <w:r w:rsidRPr="005E141C">
        <w:rPr>
          <w:rFonts w:ascii="Cambria" w:hAnsi="Cambria"/>
          <w:sz w:val="20"/>
          <w:szCs w:val="20"/>
          <w:lang w:val="es"/>
        </w:rPr>
        <w:t xml:space="preserve">. Aquel mismo año, tras una audiencia de la Ley de Reparación Judicial </w:t>
      </w:r>
      <w:proofErr w:type="spellStart"/>
      <w:r w:rsidRPr="005E141C">
        <w:rPr>
          <w:rFonts w:ascii="Cambria" w:hAnsi="Cambria"/>
          <w:sz w:val="20"/>
          <w:szCs w:val="20"/>
          <w:lang w:val="es"/>
        </w:rPr>
        <w:t>Postcondena</w:t>
      </w:r>
      <w:proofErr w:type="spellEnd"/>
      <w:r w:rsidRPr="005E141C">
        <w:rPr>
          <w:rFonts w:ascii="Cambria" w:hAnsi="Cambria"/>
          <w:sz w:val="20"/>
          <w:szCs w:val="20"/>
          <w:lang w:val="es"/>
        </w:rPr>
        <w:t xml:space="preserve"> (</w:t>
      </w:r>
      <w:r w:rsidRPr="007C6C2E">
        <w:rPr>
          <w:rFonts w:ascii="Cambria" w:hAnsi="Cambria"/>
          <w:i/>
          <w:iCs/>
          <w:sz w:val="20"/>
          <w:szCs w:val="20"/>
          <w:lang w:val="es"/>
        </w:rPr>
        <w:t>Post-</w:t>
      </w:r>
      <w:proofErr w:type="spellStart"/>
      <w:r w:rsidRPr="007C6C2E">
        <w:rPr>
          <w:rFonts w:ascii="Cambria" w:hAnsi="Cambria"/>
          <w:i/>
          <w:iCs/>
          <w:sz w:val="20"/>
          <w:szCs w:val="20"/>
          <w:lang w:val="es"/>
        </w:rPr>
        <w:t>Conviction</w:t>
      </w:r>
      <w:proofErr w:type="spellEnd"/>
      <w:r w:rsidRPr="007C6C2E">
        <w:rPr>
          <w:rFonts w:ascii="Cambria" w:hAnsi="Cambria"/>
          <w:i/>
          <w:iCs/>
          <w:sz w:val="20"/>
          <w:szCs w:val="20"/>
          <w:lang w:val="es"/>
        </w:rPr>
        <w:t xml:space="preserve"> </w:t>
      </w:r>
      <w:proofErr w:type="spellStart"/>
      <w:r w:rsidRPr="007C6C2E">
        <w:rPr>
          <w:rFonts w:ascii="Cambria" w:hAnsi="Cambria"/>
          <w:i/>
          <w:iCs/>
          <w:sz w:val="20"/>
          <w:szCs w:val="20"/>
          <w:lang w:val="es"/>
        </w:rPr>
        <w:t>Relief</w:t>
      </w:r>
      <w:proofErr w:type="spellEnd"/>
      <w:r w:rsidRPr="007C6C2E">
        <w:rPr>
          <w:rFonts w:ascii="Cambria" w:hAnsi="Cambria"/>
          <w:i/>
          <w:iCs/>
          <w:sz w:val="20"/>
          <w:szCs w:val="20"/>
          <w:lang w:val="es"/>
        </w:rPr>
        <w:t xml:space="preserve"> </w:t>
      </w:r>
      <w:proofErr w:type="spellStart"/>
      <w:r w:rsidRPr="007C6C2E">
        <w:rPr>
          <w:rFonts w:ascii="Cambria" w:hAnsi="Cambria"/>
          <w:i/>
          <w:iCs/>
          <w:sz w:val="20"/>
          <w:szCs w:val="20"/>
          <w:lang w:val="es"/>
        </w:rPr>
        <w:t>Act</w:t>
      </w:r>
      <w:proofErr w:type="spellEnd"/>
      <w:r w:rsidRPr="007C6C2E">
        <w:rPr>
          <w:rFonts w:ascii="Cambria" w:hAnsi="Cambria"/>
          <w:i/>
          <w:iCs/>
          <w:sz w:val="20"/>
          <w:szCs w:val="20"/>
          <w:lang w:val="es"/>
        </w:rPr>
        <w:t>, PCRA</w:t>
      </w:r>
      <w:r w:rsidRPr="005E141C">
        <w:rPr>
          <w:rFonts w:ascii="Cambria" w:hAnsi="Cambria"/>
          <w:sz w:val="20"/>
          <w:szCs w:val="20"/>
          <w:lang w:val="es"/>
        </w:rPr>
        <w:t xml:space="preserve">), el juez desestimó la apelación de la presunta víctima. El peticionario </w:t>
      </w:r>
      <w:r w:rsidR="007C6C2E">
        <w:rPr>
          <w:rFonts w:ascii="Cambria" w:hAnsi="Cambria"/>
          <w:sz w:val="20"/>
          <w:szCs w:val="20"/>
          <w:lang w:val="es"/>
        </w:rPr>
        <w:t>aduce</w:t>
      </w:r>
      <w:r w:rsidRPr="005E141C">
        <w:rPr>
          <w:rFonts w:ascii="Cambria" w:hAnsi="Cambria"/>
          <w:sz w:val="20"/>
          <w:szCs w:val="20"/>
          <w:lang w:val="es"/>
        </w:rPr>
        <w:t xml:space="preserve"> que esa audiencia fue presidida por el juez de primera instancia inicial pese a la objeción de los abogados de la presunta víctima. La Corte Suprema de Pennsylvania confirmó la decisión de la PCRA y la Corte Suprema</w:t>
      </w:r>
      <w:r w:rsidR="00292870">
        <w:rPr>
          <w:rFonts w:ascii="Cambria" w:hAnsi="Cambria"/>
          <w:sz w:val="20"/>
          <w:szCs w:val="20"/>
          <w:lang w:val="es"/>
        </w:rPr>
        <w:t xml:space="preserve"> federal</w:t>
      </w:r>
      <w:r w:rsidRPr="005E141C">
        <w:rPr>
          <w:rFonts w:ascii="Cambria" w:hAnsi="Cambria"/>
          <w:sz w:val="20"/>
          <w:szCs w:val="20"/>
          <w:lang w:val="es"/>
        </w:rPr>
        <w:t xml:space="preserve"> se abstuvo de conocer un recurso de apelación contra esa decisión. En 1999 se fijó una segunda fecha para la ejecución de la presunta víctima.</w:t>
      </w:r>
    </w:p>
    <w:p w14:paraId="427944D7" w14:textId="7E239763" w:rsidR="005E141C" w:rsidRPr="007C6C2E" w:rsidRDefault="005E141C" w:rsidP="007C6C2E">
      <w:pPr>
        <w:numPr>
          <w:ilvl w:val="0"/>
          <w:numId w:val="1"/>
        </w:numPr>
        <w:suppressAutoHyphens/>
        <w:spacing w:before="120" w:after="120" w:line="240" w:lineRule="auto"/>
        <w:jc w:val="both"/>
        <w:rPr>
          <w:rFonts w:ascii="Cambria" w:hAnsi="Cambria"/>
          <w:sz w:val="20"/>
          <w:szCs w:val="20"/>
          <w:lang w:val="es-ES"/>
        </w:rPr>
      </w:pPr>
      <w:r w:rsidRPr="007C6C2E">
        <w:rPr>
          <w:rFonts w:ascii="Cambria" w:hAnsi="Cambria"/>
          <w:sz w:val="20"/>
          <w:szCs w:val="20"/>
          <w:lang w:val="es"/>
        </w:rPr>
        <w:t xml:space="preserve">En 1999 la presunta víctima interpuso un procedimiento de </w:t>
      </w:r>
      <w:r w:rsidRPr="007C6C2E">
        <w:rPr>
          <w:rFonts w:ascii="Cambria" w:hAnsi="Cambria"/>
          <w:i/>
          <w:iCs/>
          <w:sz w:val="20"/>
          <w:szCs w:val="20"/>
          <w:lang w:val="es"/>
        </w:rPr>
        <w:t>h</w:t>
      </w:r>
      <w:r w:rsidR="007C6C2E" w:rsidRPr="007C6C2E">
        <w:rPr>
          <w:rFonts w:ascii="Cambria" w:hAnsi="Cambria"/>
          <w:i/>
          <w:iCs/>
          <w:sz w:val="20"/>
          <w:szCs w:val="20"/>
          <w:lang w:val="es"/>
        </w:rPr>
        <w:t>ab</w:t>
      </w:r>
      <w:r w:rsidRPr="007C6C2E">
        <w:rPr>
          <w:rFonts w:ascii="Cambria" w:hAnsi="Cambria"/>
          <w:i/>
          <w:iCs/>
          <w:sz w:val="20"/>
          <w:szCs w:val="20"/>
          <w:lang w:val="es"/>
        </w:rPr>
        <w:t>eas corpus</w:t>
      </w:r>
      <w:r w:rsidRPr="007C6C2E">
        <w:rPr>
          <w:rFonts w:ascii="Cambria" w:hAnsi="Cambria"/>
          <w:sz w:val="20"/>
          <w:szCs w:val="20"/>
          <w:lang w:val="es"/>
        </w:rPr>
        <w:t xml:space="preserve">. El 18 de diciembre de 2001 un juez de distrito </w:t>
      </w:r>
      <w:r w:rsidR="00DE1AC0">
        <w:rPr>
          <w:rFonts w:ascii="Cambria" w:hAnsi="Cambria"/>
          <w:sz w:val="20"/>
          <w:szCs w:val="20"/>
          <w:lang w:val="es"/>
        </w:rPr>
        <w:t>anuló</w:t>
      </w:r>
      <w:r w:rsidRPr="007C6C2E">
        <w:rPr>
          <w:rFonts w:ascii="Cambria" w:hAnsi="Cambria"/>
          <w:sz w:val="20"/>
          <w:szCs w:val="20"/>
          <w:lang w:val="es"/>
        </w:rPr>
        <w:t xml:space="preserve"> la pena de muerte de la presunta víctima al determinar que los derechos constitucionales de la presunta víctima había</w:t>
      </w:r>
      <w:r w:rsidR="00DE1AC0">
        <w:rPr>
          <w:rFonts w:ascii="Cambria" w:hAnsi="Cambria"/>
          <w:sz w:val="20"/>
          <w:szCs w:val="20"/>
          <w:lang w:val="es"/>
        </w:rPr>
        <w:t>n</w:t>
      </w:r>
      <w:r w:rsidRPr="007C6C2E">
        <w:rPr>
          <w:rFonts w:ascii="Cambria" w:hAnsi="Cambria"/>
          <w:sz w:val="20"/>
          <w:szCs w:val="20"/>
          <w:lang w:val="es"/>
        </w:rPr>
        <w:t xml:space="preserve"> sido violados </w:t>
      </w:r>
      <w:r w:rsidR="00DE1AC0">
        <w:rPr>
          <w:rFonts w:ascii="Cambria" w:hAnsi="Cambria"/>
          <w:sz w:val="20"/>
          <w:szCs w:val="20"/>
          <w:lang w:val="es"/>
        </w:rPr>
        <w:t>debido que el jurado recibió</w:t>
      </w:r>
      <w:r w:rsidRPr="007C6C2E">
        <w:rPr>
          <w:rFonts w:ascii="Cambria" w:hAnsi="Cambria"/>
          <w:sz w:val="20"/>
          <w:szCs w:val="20"/>
          <w:lang w:val="es"/>
        </w:rPr>
        <w:t xml:space="preserve"> instrucciones erróneas</w:t>
      </w:r>
      <w:r w:rsidR="00DE1AC0">
        <w:rPr>
          <w:rFonts w:ascii="Cambria" w:hAnsi="Cambria"/>
          <w:sz w:val="20"/>
          <w:szCs w:val="20"/>
          <w:lang w:val="es"/>
        </w:rPr>
        <w:t>,</w:t>
      </w:r>
      <w:r w:rsidRPr="007C6C2E">
        <w:rPr>
          <w:rFonts w:ascii="Cambria" w:hAnsi="Cambria"/>
          <w:sz w:val="20"/>
          <w:szCs w:val="20"/>
          <w:lang w:val="es"/>
        </w:rPr>
        <w:t xml:space="preserve"> </w:t>
      </w:r>
      <w:r w:rsidR="00DE1AC0">
        <w:rPr>
          <w:rFonts w:ascii="Cambria" w:hAnsi="Cambria"/>
          <w:sz w:val="20"/>
          <w:szCs w:val="20"/>
          <w:lang w:val="es"/>
        </w:rPr>
        <w:t xml:space="preserve">pero </w:t>
      </w:r>
      <w:r w:rsidRPr="007C6C2E">
        <w:rPr>
          <w:rFonts w:ascii="Cambria" w:hAnsi="Cambria"/>
          <w:sz w:val="20"/>
          <w:szCs w:val="20"/>
          <w:lang w:val="es"/>
        </w:rPr>
        <w:t xml:space="preserve">rechazó la apelación de la condena. El 27 de marzo de 2008 un panel de tres jueces de la Corte Federal de Apelaciones para el Tercer Circuito rechazó, con 2 votos contra 1, </w:t>
      </w:r>
      <w:r w:rsidR="00DE1AC0">
        <w:rPr>
          <w:rFonts w:ascii="Cambria" w:hAnsi="Cambria"/>
          <w:sz w:val="20"/>
          <w:szCs w:val="20"/>
          <w:lang w:val="es"/>
        </w:rPr>
        <w:t>la</w:t>
      </w:r>
      <w:r w:rsidRPr="007C6C2E">
        <w:rPr>
          <w:rFonts w:ascii="Cambria" w:hAnsi="Cambria"/>
          <w:sz w:val="20"/>
          <w:szCs w:val="20"/>
          <w:lang w:val="es"/>
        </w:rPr>
        <w:t xml:space="preserve"> apelación </w:t>
      </w:r>
      <w:r w:rsidR="00DE1AC0">
        <w:rPr>
          <w:rFonts w:ascii="Cambria" w:hAnsi="Cambria"/>
          <w:sz w:val="20"/>
          <w:szCs w:val="20"/>
          <w:lang w:val="es"/>
        </w:rPr>
        <w:t>de</w:t>
      </w:r>
      <w:r w:rsidRPr="007C6C2E">
        <w:rPr>
          <w:rFonts w:ascii="Cambria" w:hAnsi="Cambria"/>
          <w:sz w:val="20"/>
          <w:szCs w:val="20"/>
          <w:lang w:val="es"/>
        </w:rPr>
        <w:t xml:space="preserve"> la </w:t>
      </w:r>
      <w:r w:rsidR="00DE1AC0">
        <w:rPr>
          <w:rFonts w:ascii="Cambria" w:hAnsi="Cambria"/>
          <w:sz w:val="20"/>
          <w:szCs w:val="20"/>
          <w:lang w:val="es"/>
        </w:rPr>
        <w:t>condena</w:t>
      </w:r>
      <w:r w:rsidRPr="007C6C2E">
        <w:rPr>
          <w:rFonts w:ascii="Cambria" w:hAnsi="Cambria"/>
          <w:sz w:val="20"/>
          <w:szCs w:val="20"/>
          <w:lang w:val="es"/>
        </w:rPr>
        <w:t xml:space="preserve"> de la presunta víctima en la que se alegaba una selección </w:t>
      </w:r>
      <w:r w:rsidR="00DE1AC0">
        <w:rPr>
          <w:rFonts w:ascii="Cambria" w:hAnsi="Cambria"/>
          <w:sz w:val="20"/>
          <w:szCs w:val="20"/>
          <w:lang w:val="es"/>
        </w:rPr>
        <w:t xml:space="preserve">racista </w:t>
      </w:r>
      <w:r w:rsidRPr="007C6C2E">
        <w:rPr>
          <w:rFonts w:ascii="Cambria" w:hAnsi="Cambria"/>
          <w:sz w:val="20"/>
          <w:szCs w:val="20"/>
          <w:lang w:val="es"/>
        </w:rPr>
        <w:t>de</w:t>
      </w:r>
      <w:r w:rsidR="00DE1AC0">
        <w:rPr>
          <w:rFonts w:ascii="Cambria" w:hAnsi="Cambria"/>
          <w:sz w:val="20"/>
          <w:szCs w:val="20"/>
          <w:lang w:val="es"/>
        </w:rPr>
        <w:t>l</w:t>
      </w:r>
      <w:r w:rsidRPr="007C6C2E">
        <w:rPr>
          <w:rFonts w:ascii="Cambria" w:hAnsi="Cambria"/>
          <w:sz w:val="20"/>
          <w:szCs w:val="20"/>
          <w:lang w:val="es"/>
        </w:rPr>
        <w:t xml:space="preserve"> jurado y ratificó la decisión del juez distrital de </w:t>
      </w:r>
      <w:r w:rsidR="00DE1AC0">
        <w:rPr>
          <w:rFonts w:ascii="Cambria" w:hAnsi="Cambria"/>
          <w:sz w:val="20"/>
          <w:szCs w:val="20"/>
          <w:lang w:val="es"/>
        </w:rPr>
        <w:t>anular</w:t>
      </w:r>
      <w:r w:rsidRPr="007C6C2E">
        <w:rPr>
          <w:rFonts w:ascii="Cambria" w:hAnsi="Cambria"/>
          <w:sz w:val="20"/>
          <w:szCs w:val="20"/>
          <w:lang w:val="es"/>
        </w:rPr>
        <w:t xml:space="preserve"> la </w:t>
      </w:r>
      <w:r w:rsidR="00DE1AC0">
        <w:rPr>
          <w:rFonts w:ascii="Cambria" w:hAnsi="Cambria"/>
          <w:sz w:val="20"/>
          <w:szCs w:val="20"/>
          <w:lang w:val="es"/>
        </w:rPr>
        <w:t>pena</w:t>
      </w:r>
      <w:r w:rsidRPr="007C6C2E">
        <w:rPr>
          <w:rFonts w:ascii="Cambria" w:hAnsi="Cambria"/>
          <w:sz w:val="20"/>
          <w:szCs w:val="20"/>
          <w:lang w:val="es"/>
        </w:rPr>
        <w:t xml:space="preserve"> de muerte. La Corte Suprema </w:t>
      </w:r>
      <w:r w:rsidR="00615E05">
        <w:rPr>
          <w:rFonts w:ascii="Cambria" w:hAnsi="Cambria"/>
          <w:sz w:val="20"/>
          <w:szCs w:val="20"/>
          <w:lang w:val="es"/>
        </w:rPr>
        <w:t>f</w:t>
      </w:r>
      <w:r w:rsidRPr="007C6C2E">
        <w:rPr>
          <w:rFonts w:ascii="Cambria" w:hAnsi="Cambria"/>
          <w:sz w:val="20"/>
          <w:szCs w:val="20"/>
          <w:lang w:val="es"/>
        </w:rPr>
        <w:t xml:space="preserve">ederal </w:t>
      </w:r>
      <w:r w:rsidR="00FB4045">
        <w:rPr>
          <w:rFonts w:ascii="Cambria" w:hAnsi="Cambria"/>
          <w:sz w:val="20"/>
          <w:szCs w:val="20"/>
          <w:lang w:val="es"/>
        </w:rPr>
        <w:t>se negó a escuchar</w:t>
      </w:r>
      <w:r w:rsidRPr="007C6C2E">
        <w:rPr>
          <w:rFonts w:ascii="Cambria" w:hAnsi="Cambria"/>
          <w:sz w:val="20"/>
          <w:szCs w:val="20"/>
          <w:lang w:val="es"/>
        </w:rPr>
        <w:t xml:space="preserve"> la apelación </w:t>
      </w:r>
      <w:r w:rsidR="00615E05">
        <w:rPr>
          <w:rFonts w:ascii="Cambria" w:hAnsi="Cambria"/>
          <w:sz w:val="20"/>
          <w:szCs w:val="20"/>
          <w:lang w:val="es"/>
        </w:rPr>
        <w:t>de</w:t>
      </w:r>
      <w:r w:rsidRPr="007C6C2E">
        <w:rPr>
          <w:rFonts w:ascii="Cambria" w:hAnsi="Cambria"/>
          <w:sz w:val="20"/>
          <w:szCs w:val="20"/>
          <w:lang w:val="es"/>
        </w:rPr>
        <w:t xml:space="preserve"> esa resolución. Sin embargo, el 12 de enero de 2010 la Corte Suprema </w:t>
      </w:r>
      <w:r w:rsidR="00615E05">
        <w:rPr>
          <w:rFonts w:ascii="Cambria" w:hAnsi="Cambria"/>
          <w:sz w:val="20"/>
          <w:szCs w:val="20"/>
          <w:lang w:val="es"/>
        </w:rPr>
        <w:t>f</w:t>
      </w:r>
      <w:r w:rsidRPr="007C6C2E">
        <w:rPr>
          <w:rFonts w:ascii="Cambria" w:hAnsi="Cambria"/>
          <w:sz w:val="20"/>
          <w:szCs w:val="20"/>
          <w:lang w:val="es"/>
        </w:rPr>
        <w:t xml:space="preserve">ederal solicitó al Tercer Circuito que revisara su decisión sobre la pena de muerte de la presunta víctima </w:t>
      </w:r>
      <w:r w:rsidR="00615E05">
        <w:rPr>
          <w:rFonts w:ascii="Cambria" w:hAnsi="Cambria"/>
          <w:sz w:val="20"/>
          <w:szCs w:val="20"/>
          <w:lang w:val="es"/>
        </w:rPr>
        <w:t>teniendo en cuenta</w:t>
      </w:r>
      <w:r w:rsidRPr="007C6C2E">
        <w:rPr>
          <w:rFonts w:ascii="Cambria" w:hAnsi="Cambria"/>
          <w:sz w:val="20"/>
          <w:szCs w:val="20"/>
          <w:lang w:val="es"/>
        </w:rPr>
        <w:t xml:space="preserve"> la decisión de la Corte Suprema de confirmar la pena de muerte de un supremacista blanco de Ohio. No obstante, el 26 de abril de 2011 el Tercer Circuito </w:t>
      </w:r>
      <w:r w:rsidR="00615E05">
        <w:rPr>
          <w:rFonts w:ascii="Cambria" w:hAnsi="Cambria"/>
          <w:sz w:val="20"/>
          <w:szCs w:val="20"/>
          <w:lang w:val="es"/>
        </w:rPr>
        <w:t>ratificó</w:t>
      </w:r>
      <w:r w:rsidR="00FB4045">
        <w:rPr>
          <w:rFonts w:ascii="Cambria" w:hAnsi="Cambria"/>
          <w:sz w:val="20"/>
          <w:szCs w:val="20"/>
          <w:lang w:val="es"/>
        </w:rPr>
        <w:t xml:space="preserve"> su decisión. </w:t>
      </w:r>
      <w:proofErr w:type="gramStart"/>
      <w:r w:rsidR="00FB4045">
        <w:rPr>
          <w:rFonts w:ascii="Cambria" w:hAnsi="Cambria"/>
          <w:sz w:val="20"/>
          <w:szCs w:val="20"/>
          <w:lang w:val="es"/>
        </w:rPr>
        <w:t>El</w:t>
      </w:r>
      <w:proofErr w:type="gramEnd"/>
      <w:r w:rsidR="00FB4045">
        <w:rPr>
          <w:rFonts w:ascii="Cambria" w:hAnsi="Cambria"/>
          <w:sz w:val="20"/>
          <w:szCs w:val="20"/>
          <w:lang w:val="es"/>
        </w:rPr>
        <w:t xml:space="preserve"> Commonwealth </w:t>
      </w:r>
      <w:r w:rsidRPr="007C6C2E">
        <w:rPr>
          <w:rFonts w:ascii="Cambria" w:hAnsi="Cambria"/>
          <w:sz w:val="20"/>
          <w:szCs w:val="20"/>
          <w:lang w:val="es"/>
        </w:rPr>
        <w:t xml:space="preserve">apeló esta </w:t>
      </w:r>
      <w:r w:rsidR="00615E05">
        <w:rPr>
          <w:rFonts w:ascii="Cambria" w:hAnsi="Cambria"/>
          <w:sz w:val="20"/>
          <w:szCs w:val="20"/>
          <w:lang w:val="es"/>
        </w:rPr>
        <w:t>decisión,</w:t>
      </w:r>
      <w:r w:rsidRPr="007C6C2E">
        <w:rPr>
          <w:rFonts w:ascii="Cambria" w:hAnsi="Cambria"/>
          <w:sz w:val="20"/>
          <w:szCs w:val="20"/>
          <w:lang w:val="es"/>
        </w:rPr>
        <w:t xml:space="preserve"> y el 11 de octubre de 2011 la Corte Suprema </w:t>
      </w:r>
      <w:r w:rsidR="00615E05">
        <w:rPr>
          <w:rFonts w:ascii="Cambria" w:hAnsi="Cambria"/>
          <w:sz w:val="20"/>
          <w:szCs w:val="20"/>
          <w:lang w:val="es"/>
        </w:rPr>
        <w:t>f</w:t>
      </w:r>
      <w:r w:rsidRPr="007C6C2E">
        <w:rPr>
          <w:rFonts w:ascii="Cambria" w:hAnsi="Cambria"/>
          <w:sz w:val="20"/>
          <w:szCs w:val="20"/>
          <w:lang w:val="es"/>
        </w:rPr>
        <w:t xml:space="preserve">ederal rechazó la petición que la fiscalía distrital presentó a favor de </w:t>
      </w:r>
      <w:r w:rsidR="00615E05">
        <w:rPr>
          <w:rFonts w:ascii="Cambria" w:hAnsi="Cambria"/>
          <w:sz w:val="20"/>
          <w:szCs w:val="20"/>
          <w:lang w:val="es"/>
        </w:rPr>
        <w:t xml:space="preserve">la </w:t>
      </w:r>
      <w:r w:rsidRPr="007C6C2E">
        <w:rPr>
          <w:rFonts w:ascii="Cambria" w:hAnsi="Cambria"/>
          <w:sz w:val="20"/>
          <w:szCs w:val="20"/>
          <w:lang w:val="es"/>
        </w:rPr>
        <w:t>reinstaura</w:t>
      </w:r>
      <w:r w:rsidR="00615E05">
        <w:rPr>
          <w:rFonts w:ascii="Cambria" w:hAnsi="Cambria"/>
          <w:sz w:val="20"/>
          <w:szCs w:val="20"/>
          <w:lang w:val="es"/>
        </w:rPr>
        <w:t>ción de</w:t>
      </w:r>
      <w:r w:rsidRPr="007C6C2E">
        <w:rPr>
          <w:rFonts w:ascii="Cambria" w:hAnsi="Cambria"/>
          <w:sz w:val="20"/>
          <w:szCs w:val="20"/>
          <w:lang w:val="es"/>
        </w:rPr>
        <w:t xml:space="preserve"> la pena de muerte. El 7 de diciembre de 2011 </w:t>
      </w:r>
      <w:r w:rsidR="00615E05">
        <w:rPr>
          <w:rFonts w:ascii="Cambria" w:hAnsi="Cambria"/>
          <w:sz w:val="20"/>
          <w:szCs w:val="20"/>
          <w:lang w:val="es"/>
        </w:rPr>
        <w:t>dicha fiscalía anunció su renuncia</w:t>
      </w:r>
      <w:r w:rsidRPr="007C6C2E">
        <w:rPr>
          <w:rFonts w:ascii="Cambria" w:hAnsi="Cambria"/>
          <w:sz w:val="20"/>
          <w:szCs w:val="20"/>
          <w:lang w:val="es"/>
        </w:rPr>
        <w:t xml:space="preserve"> </w:t>
      </w:r>
      <w:r w:rsidR="00615E05">
        <w:rPr>
          <w:rFonts w:ascii="Cambria" w:hAnsi="Cambria"/>
          <w:sz w:val="20"/>
          <w:szCs w:val="20"/>
          <w:lang w:val="es"/>
        </w:rPr>
        <w:t>a los</w:t>
      </w:r>
      <w:r w:rsidRPr="007C6C2E">
        <w:rPr>
          <w:rFonts w:ascii="Cambria" w:hAnsi="Cambria"/>
          <w:sz w:val="20"/>
          <w:szCs w:val="20"/>
          <w:lang w:val="es"/>
        </w:rPr>
        <w:t xml:space="preserve"> esfuerzos para la aplicación de la pena de muerte contra la presunta víctima. La presunta víctima permaneció en el corredor de la muerte y</w:t>
      </w:r>
      <w:r w:rsidR="00615E05">
        <w:rPr>
          <w:rFonts w:ascii="Cambria" w:hAnsi="Cambria"/>
          <w:sz w:val="20"/>
          <w:szCs w:val="20"/>
          <w:lang w:val="es"/>
        </w:rPr>
        <w:t>,</w:t>
      </w:r>
      <w:r w:rsidRPr="007C6C2E">
        <w:rPr>
          <w:rFonts w:ascii="Cambria" w:hAnsi="Cambria"/>
          <w:sz w:val="20"/>
          <w:szCs w:val="20"/>
          <w:lang w:val="es"/>
        </w:rPr>
        <w:t xml:space="preserve"> por ende</w:t>
      </w:r>
      <w:r w:rsidR="00615E05">
        <w:rPr>
          <w:rFonts w:ascii="Cambria" w:hAnsi="Cambria"/>
          <w:sz w:val="20"/>
          <w:szCs w:val="20"/>
          <w:lang w:val="es"/>
        </w:rPr>
        <w:t>,</w:t>
      </w:r>
      <w:r w:rsidRPr="007C6C2E">
        <w:rPr>
          <w:rFonts w:ascii="Cambria" w:hAnsi="Cambria"/>
          <w:sz w:val="20"/>
          <w:szCs w:val="20"/>
          <w:lang w:val="es"/>
        </w:rPr>
        <w:t xml:space="preserve"> en aislamiento hasta enero de 2012, cuando fue puesto junto con la población general. </w:t>
      </w:r>
      <w:r w:rsidR="00615E05">
        <w:rPr>
          <w:rFonts w:ascii="Cambria" w:hAnsi="Cambria"/>
          <w:sz w:val="20"/>
          <w:szCs w:val="20"/>
          <w:lang w:val="es"/>
        </w:rPr>
        <w:lastRenderedPageBreak/>
        <w:t>E</w:t>
      </w:r>
      <w:r w:rsidRPr="007C6C2E">
        <w:rPr>
          <w:rFonts w:ascii="Cambria" w:hAnsi="Cambria"/>
          <w:sz w:val="20"/>
          <w:szCs w:val="20"/>
          <w:lang w:val="es"/>
        </w:rPr>
        <w:t>l peticionario a</w:t>
      </w:r>
      <w:r w:rsidR="00615E05">
        <w:rPr>
          <w:rFonts w:ascii="Cambria" w:hAnsi="Cambria"/>
          <w:sz w:val="20"/>
          <w:szCs w:val="20"/>
          <w:lang w:val="es"/>
        </w:rPr>
        <w:t>grega</w:t>
      </w:r>
      <w:r w:rsidRPr="007C6C2E">
        <w:rPr>
          <w:rFonts w:ascii="Cambria" w:hAnsi="Cambria"/>
          <w:sz w:val="20"/>
          <w:szCs w:val="20"/>
          <w:lang w:val="es"/>
        </w:rPr>
        <w:t xml:space="preserve"> que el 26 de marzo de 2012 la Corte Suprema de Pennsylvania rechazó la última apelación de la presunta víctima</w:t>
      </w:r>
      <w:r w:rsidRPr="007C6C2E">
        <w:rPr>
          <w:rStyle w:val="FootnoteReference"/>
          <w:rFonts w:ascii="Cambria" w:hAnsi="Cambria"/>
          <w:sz w:val="20"/>
          <w:szCs w:val="20"/>
          <w:lang w:val="es"/>
        </w:rPr>
        <w:footnoteReference w:id="6"/>
      </w:r>
      <w:r w:rsidRPr="007C6C2E">
        <w:rPr>
          <w:rFonts w:ascii="Cambria" w:hAnsi="Cambria"/>
          <w:sz w:val="20"/>
          <w:szCs w:val="20"/>
          <w:lang w:val="es"/>
        </w:rPr>
        <w:t>.</w:t>
      </w:r>
    </w:p>
    <w:p w14:paraId="4152C9D7" w14:textId="221DC1E5"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 xml:space="preserve">La presunta víctima cumple </w:t>
      </w:r>
      <w:r w:rsidR="008C0C2C">
        <w:rPr>
          <w:rFonts w:ascii="Cambria" w:hAnsi="Cambria"/>
          <w:sz w:val="20"/>
          <w:szCs w:val="20"/>
          <w:lang w:val="es"/>
        </w:rPr>
        <w:t>condena de prisión</w:t>
      </w:r>
      <w:r w:rsidRPr="005E141C">
        <w:rPr>
          <w:rFonts w:ascii="Cambria" w:hAnsi="Cambria"/>
          <w:sz w:val="20"/>
          <w:szCs w:val="20"/>
          <w:lang w:val="es"/>
        </w:rPr>
        <w:t xml:space="preserve"> perpetua sin libertad condicional, en </w:t>
      </w:r>
      <w:proofErr w:type="spellStart"/>
      <w:r w:rsidRPr="005E141C">
        <w:rPr>
          <w:rFonts w:ascii="Cambria" w:hAnsi="Cambria"/>
          <w:sz w:val="20"/>
          <w:szCs w:val="20"/>
          <w:lang w:val="es"/>
        </w:rPr>
        <w:t>Frackville</w:t>
      </w:r>
      <w:proofErr w:type="spellEnd"/>
      <w:r w:rsidRPr="005E141C">
        <w:rPr>
          <w:rFonts w:ascii="Cambria" w:hAnsi="Cambria"/>
          <w:sz w:val="20"/>
          <w:szCs w:val="20"/>
          <w:lang w:val="es"/>
        </w:rPr>
        <w:t xml:space="preserve">, Pennsylvania. Según el peticionario, desde diciembre de 2018 se encuentra pendiente ante la </w:t>
      </w:r>
      <w:r w:rsidR="00F92A7D">
        <w:rPr>
          <w:rFonts w:ascii="Cambria" w:hAnsi="Cambria"/>
          <w:sz w:val="20"/>
          <w:szCs w:val="20"/>
          <w:lang w:val="es"/>
        </w:rPr>
        <w:t>Tribunal</w:t>
      </w:r>
      <w:r w:rsidRPr="005E141C">
        <w:rPr>
          <w:rFonts w:ascii="Cambria" w:hAnsi="Cambria"/>
          <w:sz w:val="20"/>
          <w:szCs w:val="20"/>
          <w:lang w:val="es"/>
        </w:rPr>
        <w:t xml:space="preserve"> </w:t>
      </w:r>
      <w:r w:rsidR="00F92A7D">
        <w:rPr>
          <w:rFonts w:ascii="Cambria" w:hAnsi="Cambria"/>
          <w:sz w:val="20"/>
          <w:szCs w:val="20"/>
          <w:lang w:val="es"/>
        </w:rPr>
        <w:t>E</w:t>
      </w:r>
      <w:r w:rsidRPr="005E141C">
        <w:rPr>
          <w:rFonts w:ascii="Cambria" w:hAnsi="Cambria"/>
          <w:sz w:val="20"/>
          <w:szCs w:val="20"/>
          <w:lang w:val="es"/>
        </w:rPr>
        <w:t xml:space="preserve">statal de </w:t>
      </w:r>
      <w:r w:rsidR="00F92A7D">
        <w:rPr>
          <w:rFonts w:ascii="Cambria" w:hAnsi="Cambria"/>
          <w:sz w:val="20"/>
          <w:szCs w:val="20"/>
          <w:lang w:val="es"/>
        </w:rPr>
        <w:t>P</w:t>
      </w:r>
      <w:r w:rsidRPr="005E141C">
        <w:rPr>
          <w:rFonts w:ascii="Cambria" w:hAnsi="Cambria"/>
          <w:sz w:val="20"/>
          <w:szCs w:val="20"/>
          <w:lang w:val="es"/>
        </w:rPr>
        <w:t xml:space="preserve">rimera </w:t>
      </w:r>
      <w:r w:rsidR="00F92A7D">
        <w:rPr>
          <w:rFonts w:ascii="Cambria" w:hAnsi="Cambria"/>
          <w:sz w:val="20"/>
          <w:szCs w:val="20"/>
          <w:lang w:val="es"/>
        </w:rPr>
        <w:t>I</w:t>
      </w:r>
      <w:r w:rsidRPr="005E141C">
        <w:rPr>
          <w:rFonts w:ascii="Cambria" w:hAnsi="Cambria"/>
          <w:sz w:val="20"/>
          <w:szCs w:val="20"/>
          <w:lang w:val="es"/>
        </w:rPr>
        <w:t xml:space="preserve">nstancia de Pennsylvania una causa judicial por falta de debido proceso respecto de los recursos de apelación interpuestos por la presunta víctima en </w:t>
      </w:r>
      <w:r w:rsidR="00F92A7D">
        <w:rPr>
          <w:rFonts w:ascii="Cambria" w:hAnsi="Cambria"/>
          <w:sz w:val="20"/>
          <w:szCs w:val="20"/>
          <w:lang w:val="es"/>
        </w:rPr>
        <w:t xml:space="preserve">el periodo </w:t>
      </w:r>
      <w:r w:rsidRPr="005E141C">
        <w:rPr>
          <w:rFonts w:ascii="Cambria" w:hAnsi="Cambria"/>
          <w:sz w:val="20"/>
          <w:szCs w:val="20"/>
          <w:lang w:val="es"/>
        </w:rPr>
        <w:t>1998-2014 ocasionada por los conflictos de interés y la imparcialidad del juez de la Corte Suprema de Pen</w:t>
      </w:r>
      <w:r w:rsidR="00F92A7D">
        <w:rPr>
          <w:rFonts w:ascii="Cambria" w:hAnsi="Cambria"/>
          <w:sz w:val="20"/>
          <w:szCs w:val="20"/>
          <w:lang w:val="es"/>
        </w:rPr>
        <w:t>n</w:t>
      </w:r>
      <w:r w:rsidRPr="005E141C">
        <w:rPr>
          <w:rFonts w:ascii="Cambria" w:hAnsi="Cambria"/>
          <w:sz w:val="20"/>
          <w:szCs w:val="20"/>
          <w:lang w:val="es"/>
        </w:rPr>
        <w:t xml:space="preserve">sylvania, Ronald </w:t>
      </w:r>
      <w:proofErr w:type="spellStart"/>
      <w:r w:rsidRPr="005E141C">
        <w:rPr>
          <w:rFonts w:ascii="Cambria" w:hAnsi="Cambria"/>
          <w:sz w:val="20"/>
          <w:szCs w:val="20"/>
          <w:lang w:val="es"/>
        </w:rPr>
        <w:t>Castille</w:t>
      </w:r>
      <w:proofErr w:type="spellEnd"/>
      <w:r w:rsidRPr="005E141C">
        <w:rPr>
          <w:rFonts w:ascii="Cambria" w:hAnsi="Cambria"/>
          <w:sz w:val="20"/>
          <w:szCs w:val="20"/>
          <w:lang w:val="es"/>
        </w:rPr>
        <w:t xml:space="preserve">. El peticionario señala que una decisión favorable no </w:t>
      </w:r>
      <w:r w:rsidR="008C0C2C">
        <w:rPr>
          <w:rFonts w:ascii="Cambria" w:hAnsi="Cambria"/>
          <w:sz w:val="20"/>
          <w:szCs w:val="20"/>
          <w:lang w:val="es"/>
        </w:rPr>
        <w:t>anularía</w:t>
      </w:r>
      <w:r w:rsidRPr="005E141C">
        <w:rPr>
          <w:rFonts w:ascii="Cambria" w:hAnsi="Cambria"/>
          <w:sz w:val="20"/>
          <w:szCs w:val="20"/>
          <w:lang w:val="es"/>
        </w:rPr>
        <w:t xml:space="preserve"> ni confirmaría la condena</w:t>
      </w:r>
      <w:r w:rsidR="00F92A7D">
        <w:rPr>
          <w:rFonts w:ascii="Cambria" w:hAnsi="Cambria"/>
          <w:sz w:val="20"/>
          <w:szCs w:val="20"/>
          <w:lang w:val="es"/>
        </w:rPr>
        <w:t>,</w:t>
      </w:r>
      <w:r w:rsidRPr="005E141C">
        <w:rPr>
          <w:rFonts w:ascii="Cambria" w:hAnsi="Cambria"/>
          <w:sz w:val="20"/>
          <w:szCs w:val="20"/>
          <w:lang w:val="es"/>
        </w:rPr>
        <w:t xml:space="preserve"> pero sí reabriría las apelaciones.</w:t>
      </w:r>
    </w:p>
    <w:p w14:paraId="20161FDD" w14:textId="206FA2BC"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 xml:space="preserve">Por su parte, el Estado alega que la petición es inadmisible por falta de agotamiento de los recursos internos. Indica que la presunta víctima aún posee procesos internos en </w:t>
      </w:r>
      <w:r w:rsidR="00CD1A94">
        <w:rPr>
          <w:rFonts w:ascii="Cambria" w:hAnsi="Cambria"/>
          <w:sz w:val="20"/>
          <w:szCs w:val="20"/>
          <w:lang w:val="es"/>
        </w:rPr>
        <w:t>EE. UU.</w:t>
      </w:r>
      <w:r w:rsidRPr="005E141C">
        <w:rPr>
          <w:rFonts w:ascii="Cambria" w:hAnsi="Cambria"/>
          <w:sz w:val="20"/>
          <w:szCs w:val="20"/>
          <w:lang w:val="es"/>
        </w:rPr>
        <w:t>, puesto que en agosto de 2016 ést</w:t>
      </w:r>
      <w:r w:rsidR="00F92A7D">
        <w:rPr>
          <w:rFonts w:ascii="Cambria" w:hAnsi="Cambria"/>
          <w:sz w:val="20"/>
          <w:szCs w:val="20"/>
          <w:lang w:val="es"/>
        </w:rPr>
        <w:t>a</w:t>
      </w:r>
      <w:r w:rsidRPr="005E141C">
        <w:rPr>
          <w:rFonts w:ascii="Cambria" w:hAnsi="Cambria"/>
          <w:sz w:val="20"/>
          <w:szCs w:val="20"/>
          <w:lang w:val="es"/>
        </w:rPr>
        <w:t xml:space="preserve"> presentó una nueva petición de reparación judicial </w:t>
      </w:r>
      <w:proofErr w:type="spellStart"/>
      <w:r w:rsidRPr="005E141C">
        <w:rPr>
          <w:rFonts w:ascii="Cambria" w:hAnsi="Cambria"/>
          <w:sz w:val="20"/>
          <w:szCs w:val="20"/>
          <w:lang w:val="es"/>
        </w:rPr>
        <w:t>pos</w:t>
      </w:r>
      <w:r w:rsidR="00F92A7D">
        <w:rPr>
          <w:rFonts w:ascii="Cambria" w:hAnsi="Cambria"/>
          <w:sz w:val="20"/>
          <w:szCs w:val="20"/>
          <w:lang w:val="es"/>
        </w:rPr>
        <w:t>t</w:t>
      </w:r>
      <w:r w:rsidRPr="005E141C">
        <w:rPr>
          <w:rFonts w:ascii="Cambria" w:hAnsi="Cambria"/>
          <w:sz w:val="20"/>
          <w:szCs w:val="20"/>
          <w:lang w:val="es"/>
        </w:rPr>
        <w:t>condena</w:t>
      </w:r>
      <w:proofErr w:type="spellEnd"/>
      <w:r w:rsidRPr="005E141C">
        <w:rPr>
          <w:rFonts w:ascii="Cambria" w:hAnsi="Cambria"/>
          <w:sz w:val="20"/>
          <w:szCs w:val="20"/>
          <w:lang w:val="es"/>
        </w:rPr>
        <w:t xml:space="preserve"> ante la corte estatal de Pennsylvania. </w:t>
      </w:r>
    </w:p>
    <w:p w14:paraId="0BD12433" w14:textId="268E148B"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Asimismo</w:t>
      </w:r>
      <w:r w:rsidR="00A34038">
        <w:rPr>
          <w:rFonts w:ascii="Cambria" w:hAnsi="Cambria"/>
          <w:sz w:val="20"/>
          <w:szCs w:val="20"/>
          <w:lang w:val="es"/>
        </w:rPr>
        <w:t>,</w:t>
      </w:r>
      <w:r w:rsidRPr="005E141C">
        <w:rPr>
          <w:rFonts w:ascii="Cambria" w:hAnsi="Cambria"/>
          <w:sz w:val="20"/>
          <w:szCs w:val="20"/>
          <w:lang w:val="es"/>
        </w:rPr>
        <w:t xml:space="preserve"> sostiene que la petición es inadmisible según el </w:t>
      </w:r>
      <w:r w:rsidR="0012251A">
        <w:rPr>
          <w:rFonts w:ascii="Cambria" w:hAnsi="Cambria"/>
          <w:sz w:val="20"/>
          <w:szCs w:val="20"/>
          <w:lang w:val="es"/>
        </w:rPr>
        <w:t>a</w:t>
      </w:r>
      <w:r w:rsidRPr="005E141C">
        <w:rPr>
          <w:rFonts w:ascii="Cambria" w:hAnsi="Cambria"/>
          <w:sz w:val="20"/>
          <w:szCs w:val="20"/>
          <w:lang w:val="es"/>
        </w:rPr>
        <w:t>rtíc</w:t>
      </w:r>
      <w:r w:rsidR="0012251A">
        <w:rPr>
          <w:rFonts w:ascii="Cambria" w:hAnsi="Cambria"/>
          <w:sz w:val="20"/>
          <w:szCs w:val="20"/>
          <w:lang w:val="es"/>
        </w:rPr>
        <w:t>u</w:t>
      </w:r>
      <w:r w:rsidRPr="005E141C">
        <w:rPr>
          <w:rFonts w:ascii="Cambria" w:hAnsi="Cambria"/>
          <w:sz w:val="20"/>
          <w:szCs w:val="20"/>
          <w:lang w:val="es"/>
        </w:rPr>
        <w:t xml:space="preserve">lo 34 (a) de la Declaración Americana debido </w:t>
      </w:r>
      <w:r w:rsidR="0012251A">
        <w:rPr>
          <w:rFonts w:ascii="Cambria" w:hAnsi="Cambria"/>
          <w:sz w:val="20"/>
          <w:szCs w:val="20"/>
          <w:lang w:val="es"/>
        </w:rPr>
        <w:t>a que no se establece</w:t>
      </w:r>
      <w:r w:rsidRPr="005E141C">
        <w:rPr>
          <w:rFonts w:ascii="Cambria" w:hAnsi="Cambria"/>
          <w:sz w:val="20"/>
          <w:szCs w:val="20"/>
          <w:lang w:val="es"/>
        </w:rPr>
        <w:t xml:space="preserve"> una violación de dicho instrumento. La presunta víctima no </w:t>
      </w:r>
      <w:r w:rsidR="001B46CF">
        <w:rPr>
          <w:rFonts w:ascii="Cambria" w:hAnsi="Cambria"/>
          <w:sz w:val="20"/>
          <w:szCs w:val="20"/>
          <w:lang w:val="es"/>
        </w:rPr>
        <w:t>aporta</w:t>
      </w:r>
      <w:r w:rsidRPr="005E141C">
        <w:rPr>
          <w:rFonts w:ascii="Cambria" w:hAnsi="Cambria"/>
          <w:sz w:val="20"/>
          <w:szCs w:val="20"/>
          <w:lang w:val="es"/>
        </w:rPr>
        <w:t xml:space="preserve"> pruebas específicas que sustenten sus alegatos y se refieran específicamente a algunas de las conclusiones de las autoridades judiciales </w:t>
      </w:r>
      <w:r w:rsidR="001B46CF">
        <w:rPr>
          <w:rFonts w:ascii="Cambria" w:hAnsi="Cambria"/>
          <w:sz w:val="20"/>
          <w:szCs w:val="20"/>
          <w:lang w:val="es"/>
        </w:rPr>
        <w:t>nacionales</w:t>
      </w:r>
      <w:r w:rsidRPr="005E141C">
        <w:rPr>
          <w:rFonts w:ascii="Cambria" w:hAnsi="Cambria"/>
          <w:sz w:val="20"/>
          <w:szCs w:val="20"/>
          <w:lang w:val="es"/>
        </w:rPr>
        <w:t xml:space="preserve"> </w:t>
      </w:r>
      <w:r w:rsidR="001B46CF">
        <w:rPr>
          <w:rFonts w:ascii="Cambria" w:hAnsi="Cambria"/>
          <w:sz w:val="20"/>
          <w:szCs w:val="20"/>
          <w:lang w:val="es"/>
        </w:rPr>
        <w:t>a</w:t>
      </w:r>
      <w:r w:rsidRPr="005E141C">
        <w:rPr>
          <w:rFonts w:ascii="Cambria" w:hAnsi="Cambria"/>
          <w:sz w:val="20"/>
          <w:szCs w:val="20"/>
          <w:lang w:val="es"/>
        </w:rPr>
        <w:t xml:space="preserve"> ese respecto. Específicamente, en cuanto al </w:t>
      </w:r>
      <w:r w:rsidR="001B46CF">
        <w:rPr>
          <w:rFonts w:ascii="Cambria" w:hAnsi="Cambria"/>
          <w:sz w:val="20"/>
          <w:szCs w:val="20"/>
          <w:lang w:val="es"/>
        </w:rPr>
        <w:t>a</w:t>
      </w:r>
      <w:r w:rsidRPr="005E141C">
        <w:rPr>
          <w:rFonts w:ascii="Cambria" w:hAnsi="Cambria"/>
          <w:sz w:val="20"/>
          <w:szCs w:val="20"/>
          <w:lang w:val="es"/>
        </w:rPr>
        <w:t>rtículo I</w:t>
      </w:r>
      <w:r w:rsidR="001B46CF">
        <w:rPr>
          <w:rFonts w:ascii="Cambria" w:hAnsi="Cambria"/>
          <w:sz w:val="20"/>
          <w:szCs w:val="20"/>
          <w:lang w:val="es"/>
        </w:rPr>
        <w:t>,</w:t>
      </w:r>
      <w:r w:rsidRPr="005E141C">
        <w:rPr>
          <w:rFonts w:ascii="Cambria" w:hAnsi="Cambria"/>
          <w:sz w:val="20"/>
          <w:szCs w:val="20"/>
          <w:lang w:val="es"/>
        </w:rPr>
        <w:t xml:space="preserve"> el Estado reitera que la Declaración Americana no prohíbe la pena de muerte, por lo que la imposición inicial de la pena de muerte no </w:t>
      </w:r>
      <w:r w:rsidR="001B46CF">
        <w:rPr>
          <w:rFonts w:ascii="Cambria" w:hAnsi="Cambria"/>
          <w:sz w:val="20"/>
          <w:szCs w:val="20"/>
          <w:lang w:val="es"/>
        </w:rPr>
        <w:t>fue</w:t>
      </w:r>
      <w:r w:rsidRPr="005E141C">
        <w:rPr>
          <w:rFonts w:ascii="Cambria" w:hAnsi="Cambria"/>
          <w:sz w:val="20"/>
          <w:szCs w:val="20"/>
          <w:lang w:val="es"/>
        </w:rPr>
        <w:t xml:space="preserve"> contraria a dicho tratado. En cuanto al </w:t>
      </w:r>
      <w:r w:rsidR="001B46CF">
        <w:rPr>
          <w:rFonts w:ascii="Cambria" w:hAnsi="Cambria"/>
          <w:sz w:val="20"/>
          <w:szCs w:val="20"/>
          <w:lang w:val="es"/>
        </w:rPr>
        <w:t>a</w:t>
      </w:r>
      <w:r w:rsidRPr="005E141C">
        <w:rPr>
          <w:rFonts w:ascii="Cambria" w:hAnsi="Cambria"/>
          <w:sz w:val="20"/>
          <w:szCs w:val="20"/>
          <w:lang w:val="es"/>
        </w:rPr>
        <w:t xml:space="preserve">rtículo IV, el Estado señala que la presunta víctima no fue procesada por su </w:t>
      </w:r>
      <w:r w:rsidR="001B46CF">
        <w:rPr>
          <w:rFonts w:ascii="Cambria" w:hAnsi="Cambria"/>
          <w:sz w:val="20"/>
          <w:szCs w:val="20"/>
          <w:lang w:val="es"/>
        </w:rPr>
        <w:t>pertenencia a una agrupación</w:t>
      </w:r>
      <w:r w:rsidRPr="005E141C">
        <w:rPr>
          <w:rFonts w:ascii="Cambria" w:hAnsi="Cambria"/>
          <w:sz w:val="20"/>
          <w:szCs w:val="20"/>
          <w:lang w:val="es"/>
        </w:rPr>
        <w:t xml:space="preserve"> sino por el homicidio de un oficial. </w:t>
      </w:r>
      <w:r w:rsidR="00A34038">
        <w:rPr>
          <w:rFonts w:ascii="Cambria" w:hAnsi="Cambria"/>
          <w:sz w:val="20"/>
          <w:szCs w:val="20"/>
          <w:lang w:val="es"/>
        </w:rPr>
        <w:t>E</w:t>
      </w:r>
      <w:r w:rsidRPr="005E141C">
        <w:rPr>
          <w:rFonts w:ascii="Cambria" w:hAnsi="Cambria"/>
          <w:sz w:val="20"/>
          <w:szCs w:val="20"/>
          <w:lang w:val="es"/>
        </w:rPr>
        <w:t xml:space="preserve">n cuanto al </w:t>
      </w:r>
      <w:r w:rsidR="00A34038">
        <w:rPr>
          <w:rFonts w:ascii="Cambria" w:hAnsi="Cambria"/>
          <w:sz w:val="20"/>
          <w:szCs w:val="20"/>
          <w:lang w:val="es"/>
        </w:rPr>
        <w:t>a</w:t>
      </w:r>
      <w:r w:rsidRPr="005E141C">
        <w:rPr>
          <w:rFonts w:ascii="Cambria" w:hAnsi="Cambria"/>
          <w:sz w:val="20"/>
          <w:szCs w:val="20"/>
          <w:lang w:val="es"/>
        </w:rPr>
        <w:t xml:space="preserve">rtículo XXVI el Estado argumenta que la información del expediente contradice el alegato según el cual la presunta víctima ha </w:t>
      </w:r>
      <w:r w:rsidR="00A34038">
        <w:rPr>
          <w:rFonts w:ascii="Cambria" w:hAnsi="Cambria"/>
          <w:sz w:val="20"/>
          <w:szCs w:val="20"/>
          <w:lang w:val="es"/>
        </w:rPr>
        <w:t>permanecido aislado durante</w:t>
      </w:r>
      <w:r w:rsidRPr="005E141C">
        <w:rPr>
          <w:rFonts w:ascii="Cambria" w:hAnsi="Cambria"/>
          <w:sz w:val="20"/>
          <w:szCs w:val="20"/>
          <w:lang w:val="es"/>
        </w:rPr>
        <w:t xml:space="preserve"> tod</w:t>
      </w:r>
      <w:r w:rsidR="00A34038">
        <w:rPr>
          <w:rFonts w:ascii="Cambria" w:hAnsi="Cambria"/>
          <w:sz w:val="20"/>
          <w:szCs w:val="20"/>
          <w:lang w:val="es"/>
        </w:rPr>
        <w:t xml:space="preserve">a </w:t>
      </w:r>
      <w:r w:rsidR="00A34038" w:rsidRPr="005E141C">
        <w:rPr>
          <w:rFonts w:ascii="Cambria" w:hAnsi="Cambria"/>
          <w:sz w:val="20"/>
          <w:szCs w:val="20"/>
          <w:lang w:val="es"/>
        </w:rPr>
        <w:t>su condena</w:t>
      </w:r>
      <w:r w:rsidRPr="005E141C">
        <w:rPr>
          <w:rFonts w:ascii="Cambria" w:hAnsi="Cambria"/>
          <w:sz w:val="20"/>
          <w:szCs w:val="20"/>
          <w:lang w:val="es"/>
        </w:rPr>
        <w:t xml:space="preserve"> o</w:t>
      </w:r>
      <w:r w:rsidR="00A34038">
        <w:rPr>
          <w:rFonts w:ascii="Cambria" w:hAnsi="Cambria"/>
          <w:sz w:val="20"/>
          <w:szCs w:val="20"/>
          <w:lang w:val="es"/>
        </w:rPr>
        <w:t xml:space="preserve"> una</w:t>
      </w:r>
      <w:r w:rsidRPr="005E141C">
        <w:rPr>
          <w:rFonts w:ascii="Cambria" w:hAnsi="Cambria"/>
          <w:sz w:val="20"/>
          <w:szCs w:val="20"/>
          <w:lang w:val="es"/>
        </w:rPr>
        <w:t xml:space="preserve"> parte</w:t>
      </w:r>
      <w:r w:rsidR="00A34038">
        <w:rPr>
          <w:rFonts w:ascii="Cambria" w:hAnsi="Cambria"/>
          <w:sz w:val="20"/>
          <w:szCs w:val="20"/>
          <w:lang w:val="es"/>
        </w:rPr>
        <w:t xml:space="preserve"> considerable de esta</w:t>
      </w:r>
      <w:r w:rsidRPr="005E141C">
        <w:rPr>
          <w:rFonts w:ascii="Cambria" w:hAnsi="Cambria"/>
          <w:sz w:val="20"/>
          <w:szCs w:val="20"/>
          <w:lang w:val="es"/>
        </w:rPr>
        <w:t xml:space="preserve">. </w:t>
      </w:r>
      <w:r w:rsidR="00A34038">
        <w:rPr>
          <w:rFonts w:ascii="Cambria" w:hAnsi="Cambria"/>
          <w:sz w:val="20"/>
          <w:szCs w:val="20"/>
          <w:lang w:val="es"/>
        </w:rPr>
        <w:t xml:space="preserve">Con respecto a esto último, añade </w:t>
      </w:r>
      <w:r w:rsidRPr="005E141C">
        <w:rPr>
          <w:rFonts w:ascii="Cambria" w:hAnsi="Cambria"/>
          <w:sz w:val="20"/>
          <w:szCs w:val="20"/>
          <w:lang w:val="es"/>
        </w:rPr>
        <w:t>que las condiciones de reclusión en el corredor de la muerte son acordes a los derechos constitucionales de E</w:t>
      </w:r>
      <w:r w:rsidR="00DF71E0">
        <w:rPr>
          <w:rFonts w:ascii="Cambria" w:hAnsi="Cambria"/>
          <w:sz w:val="20"/>
          <w:szCs w:val="20"/>
          <w:lang w:val="es"/>
        </w:rPr>
        <w:t>E. UU.</w:t>
      </w:r>
      <w:r w:rsidRPr="005E141C">
        <w:rPr>
          <w:rFonts w:ascii="Cambria" w:hAnsi="Cambria"/>
          <w:sz w:val="20"/>
          <w:szCs w:val="20"/>
          <w:lang w:val="es"/>
        </w:rPr>
        <w:t xml:space="preserve"> y no constituyen castigo inusual o cruel. </w:t>
      </w:r>
      <w:r w:rsidR="00A34038">
        <w:rPr>
          <w:rFonts w:ascii="Cambria" w:hAnsi="Cambria"/>
          <w:sz w:val="20"/>
          <w:szCs w:val="20"/>
          <w:lang w:val="es"/>
        </w:rPr>
        <w:t>S</w:t>
      </w:r>
      <w:r w:rsidRPr="005E141C">
        <w:rPr>
          <w:rFonts w:ascii="Cambria" w:hAnsi="Cambria"/>
          <w:sz w:val="20"/>
          <w:szCs w:val="20"/>
          <w:lang w:val="es"/>
        </w:rPr>
        <w:t>ostiene</w:t>
      </w:r>
      <w:r w:rsidR="00A34038">
        <w:rPr>
          <w:rFonts w:ascii="Cambria" w:hAnsi="Cambria"/>
          <w:sz w:val="20"/>
          <w:szCs w:val="20"/>
          <w:lang w:val="es"/>
        </w:rPr>
        <w:t>, además,</w:t>
      </w:r>
      <w:r w:rsidRPr="005E141C">
        <w:rPr>
          <w:rFonts w:ascii="Cambria" w:hAnsi="Cambria"/>
          <w:sz w:val="20"/>
          <w:szCs w:val="20"/>
          <w:lang w:val="es"/>
        </w:rPr>
        <w:t xml:space="preserve"> que la Comisión</w:t>
      </w:r>
      <w:r w:rsidR="00A34038">
        <w:rPr>
          <w:rFonts w:ascii="Cambria" w:hAnsi="Cambria"/>
          <w:sz w:val="20"/>
          <w:szCs w:val="20"/>
          <w:lang w:val="es"/>
        </w:rPr>
        <w:t xml:space="preserve"> no es</w:t>
      </w:r>
      <w:r w:rsidRPr="005E141C">
        <w:rPr>
          <w:rFonts w:ascii="Cambria" w:hAnsi="Cambria"/>
          <w:sz w:val="20"/>
          <w:szCs w:val="20"/>
          <w:lang w:val="es"/>
        </w:rPr>
        <w:t xml:space="preserve"> competen</w:t>
      </w:r>
      <w:r w:rsidR="00A34038">
        <w:rPr>
          <w:rFonts w:ascii="Cambria" w:hAnsi="Cambria"/>
          <w:sz w:val="20"/>
          <w:szCs w:val="20"/>
          <w:lang w:val="es"/>
        </w:rPr>
        <w:t>te</w:t>
      </w:r>
      <w:r w:rsidRPr="005E141C">
        <w:rPr>
          <w:rFonts w:ascii="Cambria" w:hAnsi="Cambria"/>
          <w:sz w:val="20"/>
          <w:szCs w:val="20"/>
          <w:lang w:val="es"/>
        </w:rPr>
        <w:t xml:space="preserve"> para pronunciarse sobre posibles violaciones de </w:t>
      </w:r>
      <w:r w:rsidR="00A34038">
        <w:rPr>
          <w:rFonts w:ascii="Cambria" w:hAnsi="Cambria"/>
          <w:sz w:val="20"/>
          <w:szCs w:val="20"/>
          <w:lang w:val="es"/>
        </w:rPr>
        <w:t xml:space="preserve">normas específicas del derecho interno estadounidense </w:t>
      </w:r>
      <w:r w:rsidRPr="005E141C">
        <w:rPr>
          <w:rFonts w:ascii="Cambria" w:hAnsi="Cambria"/>
          <w:sz w:val="20"/>
          <w:szCs w:val="20"/>
          <w:lang w:val="es"/>
        </w:rPr>
        <w:t>referidas a la condena y</w:t>
      </w:r>
      <w:r w:rsidR="00A34038">
        <w:rPr>
          <w:rFonts w:ascii="Cambria" w:hAnsi="Cambria"/>
          <w:sz w:val="20"/>
          <w:szCs w:val="20"/>
          <w:lang w:val="es"/>
        </w:rPr>
        <w:t xml:space="preserve"> la</w:t>
      </w:r>
      <w:r w:rsidRPr="005E141C">
        <w:rPr>
          <w:rFonts w:ascii="Cambria" w:hAnsi="Cambria"/>
          <w:sz w:val="20"/>
          <w:szCs w:val="20"/>
          <w:lang w:val="es"/>
        </w:rPr>
        <w:t xml:space="preserve"> pena de muerte.</w:t>
      </w:r>
    </w:p>
    <w:p w14:paraId="716673DE" w14:textId="0DAA0296"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 xml:space="preserve">Por último, el Estado alega que la presunta víctima pretende que una instancia internacional revise la condena y pena otorgadas por las autoridades internas, mediante la incorrecta </w:t>
      </w:r>
      <w:r w:rsidR="00DF71E0">
        <w:rPr>
          <w:rFonts w:ascii="Cambria" w:hAnsi="Cambria"/>
          <w:sz w:val="20"/>
          <w:szCs w:val="20"/>
          <w:lang w:val="es"/>
        </w:rPr>
        <w:t>reconsideración</w:t>
      </w:r>
      <w:r w:rsidRPr="005E141C">
        <w:rPr>
          <w:rFonts w:ascii="Cambria" w:hAnsi="Cambria"/>
          <w:sz w:val="20"/>
          <w:szCs w:val="20"/>
          <w:lang w:val="es"/>
        </w:rPr>
        <w:t xml:space="preserve"> de supuestos </w:t>
      </w:r>
      <w:r w:rsidR="00D07C5E">
        <w:rPr>
          <w:rFonts w:ascii="Cambria" w:hAnsi="Cambria"/>
          <w:sz w:val="20"/>
          <w:szCs w:val="20"/>
          <w:lang w:val="es"/>
        </w:rPr>
        <w:t>errores</w:t>
      </w:r>
      <w:r w:rsidRPr="005E141C">
        <w:rPr>
          <w:rFonts w:ascii="Cambria" w:hAnsi="Cambria"/>
          <w:sz w:val="20"/>
          <w:szCs w:val="20"/>
          <w:lang w:val="es"/>
        </w:rPr>
        <w:t xml:space="preserve"> </w:t>
      </w:r>
      <w:r w:rsidR="00D07C5E">
        <w:rPr>
          <w:rFonts w:ascii="Cambria" w:hAnsi="Cambria"/>
          <w:sz w:val="20"/>
          <w:szCs w:val="20"/>
          <w:lang w:val="es"/>
        </w:rPr>
        <w:t xml:space="preserve">en la legislación </w:t>
      </w:r>
      <w:r w:rsidRPr="005E141C">
        <w:rPr>
          <w:rFonts w:ascii="Cambria" w:hAnsi="Cambria"/>
          <w:sz w:val="20"/>
          <w:szCs w:val="20"/>
          <w:lang w:val="es"/>
        </w:rPr>
        <w:t>intern</w:t>
      </w:r>
      <w:r w:rsidR="00D07C5E">
        <w:rPr>
          <w:rFonts w:ascii="Cambria" w:hAnsi="Cambria"/>
          <w:sz w:val="20"/>
          <w:szCs w:val="20"/>
          <w:lang w:val="es"/>
        </w:rPr>
        <w:t>a</w:t>
      </w:r>
      <w:r w:rsidRPr="005E141C">
        <w:rPr>
          <w:rFonts w:ascii="Cambria" w:hAnsi="Cambria"/>
          <w:sz w:val="20"/>
          <w:szCs w:val="20"/>
          <w:lang w:val="es"/>
        </w:rPr>
        <w:t xml:space="preserve"> como violaciones de la Declaración Americana. Sin embargo, </w:t>
      </w:r>
      <w:r w:rsidR="00DF71E0" w:rsidRPr="005E141C">
        <w:rPr>
          <w:rFonts w:ascii="Cambria" w:hAnsi="Cambria"/>
          <w:sz w:val="20"/>
          <w:szCs w:val="20"/>
          <w:lang w:val="es"/>
        </w:rPr>
        <w:t>la Comisión</w:t>
      </w:r>
      <w:r w:rsidR="00DF71E0">
        <w:rPr>
          <w:rFonts w:ascii="Cambria" w:hAnsi="Cambria"/>
          <w:sz w:val="20"/>
          <w:szCs w:val="20"/>
          <w:lang w:val="es"/>
        </w:rPr>
        <w:t>, al no ser</w:t>
      </w:r>
      <w:r w:rsidRPr="005E141C">
        <w:rPr>
          <w:rFonts w:ascii="Cambria" w:hAnsi="Cambria"/>
          <w:sz w:val="20"/>
          <w:szCs w:val="20"/>
          <w:lang w:val="es"/>
        </w:rPr>
        <w:t xml:space="preserve"> un tribunal de cuarta instancia</w:t>
      </w:r>
      <w:r w:rsidR="00DF71E0">
        <w:rPr>
          <w:rFonts w:ascii="Cambria" w:hAnsi="Cambria"/>
          <w:sz w:val="20"/>
          <w:szCs w:val="20"/>
          <w:lang w:val="es"/>
        </w:rPr>
        <w:t>,</w:t>
      </w:r>
      <w:r w:rsidRPr="005E141C">
        <w:rPr>
          <w:rFonts w:ascii="Cambria" w:hAnsi="Cambria"/>
          <w:sz w:val="20"/>
          <w:szCs w:val="20"/>
          <w:lang w:val="es"/>
        </w:rPr>
        <w:t xml:space="preserve"> debe rechazar la petición de la presunta víctima. El Estado argumenta que en los tribunales internos cada alegato ha sido considerado en detalle y rechazado de plano. La presunta víctima pudo acceder a un proceso de revisión judicial amplio ante los tribunales estatales como federales y en todas las instancias de apelación, incluso mediante una apelación de su pena ante la Corte Suprema de Pennsylvania</w:t>
      </w:r>
      <w:r w:rsidR="00DF71E0">
        <w:rPr>
          <w:rStyle w:val="FootnoteReference"/>
          <w:rFonts w:ascii="Cambria" w:hAnsi="Cambria"/>
          <w:sz w:val="20"/>
          <w:szCs w:val="20"/>
          <w:lang w:val="es"/>
        </w:rPr>
        <w:footnoteReference w:id="7"/>
      </w:r>
      <w:r w:rsidRPr="005E141C">
        <w:rPr>
          <w:rFonts w:ascii="Cambria" w:hAnsi="Cambria"/>
          <w:sz w:val="20"/>
          <w:szCs w:val="20"/>
          <w:lang w:val="es"/>
        </w:rPr>
        <w:t>, que rechazó sus alegatos. La posterior solicitud de revisión (</w:t>
      </w:r>
      <w:proofErr w:type="spellStart"/>
      <w:r w:rsidRPr="00DF71E0">
        <w:rPr>
          <w:rFonts w:ascii="Cambria" w:hAnsi="Cambria"/>
          <w:i/>
          <w:iCs/>
          <w:sz w:val="20"/>
          <w:szCs w:val="20"/>
          <w:lang w:val="es"/>
        </w:rPr>
        <w:t>certiorari</w:t>
      </w:r>
      <w:proofErr w:type="spellEnd"/>
      <w:r w:rsidRPr="005E141C">
        <w:rPr>
          <w:rFonts w:ascii="Cambria" w:hAnsi="Cambria"/>
          <w:sz w:val="20"/>
          <w:szCs w:val="20"/>
          <w:lang w:val="es"/>
        </w:rPr>
        <w:t xml:space="preserve">) fue rechazada por la Corte Suprema </w:t>
      </w:r>
      <w:r w:rsidR="007764F1">
        <w:rPr>
          <w:rFonts w:ascii="Cambria" w:hAnsi="Cambria"/>
          <w:sz w:val="20"/>
          <w:szCs w:val="20"/>
          <w:lang w:val="es"/>
        </w:rPr>
        <w:t>f</w:t>
      </w:r>
      <w:r w:rsidRPr="005E141C">
        <w:rPr>
          <w:rFonts w:ascii="Cambria" w:hAnsi="Cambria"/>
          <w:sz w:val="20"/>
          <w:szCs w:val="20"/>
          <w:lang w:val="es"/>
        </w:rPr>
        <w:t xml:space="preserve">ederal. La presunta víctima también accedió a la revisión de su caso en el marco de la PCRA, tras lo cual un tribunal de primera instancia rechazó la solicitud </w:t>
      </w:r>
      <w:r w:rsidR="007764F1">
        <w:rPr>
          <w:rFonts w:ascii="Cambria" w:hAnsi="Cambria"/>
          <w:sz w:val="20"/>
          <w:szCs w:val="20"/>
          <w:lang w:val="es"/>
        </w:rPr>
        <w:t>con base en</w:t>
      </w:r>
      <w:r w:rsidRPr="005E141C">
        <w:rPr>
          <w:rFonts w:ascii="Cambria" w:hAnsi="Cambria"/>
          <w:sz w:val="20"/>
          <w:szCs w:val="20"/>
          <w:lang w:val="es"/>
        </w:rPr>
        <w:t xml:space="preserve"> una </w:t>
      </w:r>
      <w:r w:rsidR="007764F1" w:rsidRPr="005E141C">
        <w:rPr>
          <w:rFonts w:ascii="Cambria" w:hAnsi="Cambria"/>
          <w:sz w:val="20"/>
          <w:szCs w:val="20"/>
          <w:lang w:val="es"/>
        </w:rPr>
        <w:t xml:space="preserve">revisión de </w:t>
      </w:r>
      <w:r w:rsidR="007764F1">
        <w:rPr>
          <w:rFonts w:ascii="Cambria" w:hAnsi="Cambria"/>
          <w:sz w:val="20"/>
          <w:szCs w:val="20"/>
          <w:lang w:val="es"/>
        </w:rPr>
        <w:t>pruebas</w:t>
      </w:r>
      <w:r w:rsidR="007764F1" w:rsidRPr="005E141C">
        <w:rPr>
          <w:rFonts w:ascii="Cambria" w:hAnsi="Cambria"/>
          <w:sz w:val="20"/>
          <w:szCs w:val="20"/>
          <w:lang w:val="es"/>
        </w:rPr>
        <w:t xml:space="preserve"> </w:t>
      </w:r>
      <w:r w:rsidR="007764F1">
        <w:rPr>
          <w:rFonts w:ascii="Cambria" w:hAnsi="Cambria"/>
          <w:sz w:val="20"/>
          <w:szCs w:val="20"/>
          <w:lang w:val="es"/>
        </w:rPr>
        <w:t>extensa</w:t>
      </w:r>
      <w:r w:rsidRPr="005E141C">
        <w:rPr>
          <w:rFonts w:ascii="Cambria" w:hAnsi="Cambria"/>
          <w:sz w:val="20"/>
          <w:szCs w:val="20"/>
          <w:lang w:val="es"/>
        </w:rPr>
        <w:t xml:space="preserve"> y exhaustiva. Esa decisión fue ratificada por la Corte Suprema de Pennsylvania y la Corte Suprema </w:t>
      </w:r>
      <w:r w:rsidR="007764F1">
        <w:rPr>
          <w:rFonts w:ascii="Cambria" w:hAnsi="Cambria"/>
          <w:sz w:val="20"/>
          <w:szCs w:val="20"/>
          <w:lang w:val="es"/>
        </w:rPr>
        <w:t>f</w:t>
      </w:r>
      <w:r w:rsidRPr="005E141C">
        <w:rPr>
          <w:rFonts w:ascii="Cambria" w:hAnsi="Cambria"/>
          <w:sz w:val="20"/>
          <w:szCs w:val="20"/>
          <w:lang w:val="es"/>
        </w:rPr>
        <w:t xml:space="preserve">ederal denegó la solicitud de revisión. El peticionario </w:t>
      </w:r>
      <w:r w:rsidR="007764F1">
        <w:rPr>
          <w:rFonts w:ascii="Cambria" w:hAnsi="Cambria"/>
          <w:sz w:val="20"/>
          <w:szCs w:val="20"/>
          <w:lang w:val="es"/>
        </w:rPr>
        <w:t>presentó</w:t>
      </w:r>
      <w:r w:rsidRPr="005E141C">
        <w:rPr>
          <w:rFonts w:ascii="Cambria" w:hAnsi="Cambria"/>
          <w:sz w:val="20"/>
          <w:szCs w:val="20"/>
          <w:lang w:val="es"/>
        </w:rPr>
        <w:t xml:space="preserve"> un recurso de </w:t>
      </w:r>
      <w:r w:rsidRPr="007764F1">
        <w:rPr>
          <w:rFonts w:ascii="Cambria" w:hAnsi="Cambria"/>
          <w:i/>
          <w:iCs/>
          <w:sz w:val="20"/>
          <w:szCs w:val="20"/>
          <w:lang w:val="es"/>
        </w:rPr>
        <w:t>habeas corpus</w:t>
      </w:r>
      <w:r w:rsidRPr="005E141C">
        <w:rPr>
          <w:rFonts w:ascii="Cambria" w:hAnsi="Cambria"/>
          <w:sz w:val="20"/>
          <w:szCs w:val="20"/>
          <w:lang w:val="es"/>
        </w:rPr>
        <w:t xml:space="preserve">, </w:t>
      </w:r>
      <w:r w:rsidR="007764F1">
        <w:rPr>
          <w:rFonts w:ascii="Cambria" w:hAnsi="Cambria"/>
          <w:sz w:val="20"/>
          <w:szCs w:val="20"/>
          <w:lang w:val="es"/>
        </w:rPr>
        <w:t xml:space="preserve">que fue </w:t>
      </w:r>
      <w:r w:rsidRPr="005E141C">
        <w:rPr>
          <w:rFonts w:ascii="Cambria" w:hAnsi="Cambria"/>
          <w:sz w:val="20"/>
          <w:szCs w:val="20"/>
          <w:lang w:val="es"/>
        </w:rPr>
        <w:t>otorgado en parte. A partir de ello, y luego de una revisión del Tercer Circuito y la Cort</w:t>
      </w:r>
      <w:r w:rsidR="00EA5EF5">
        <w:rPr>
          <w:rFonts w:ascii="Cambria" w:hAnsi="Cambria"/>
          <w:sz w:val="20"/>
          <w:szCs w:val="20"/>
          <w:lang w:val="es"/>
        </w:rPr>
        <w:t>e</w:t>
      </w:r>
      <w:r w:rsidRPr="005E141C">
        <w:rPr>
          <w:rFonts w:ascii="Cambria" w:hAnsi="Cambria"/>
          <w:sz w:val="20"/>
          <w:szCs w:val="20"/>
          <w:lang w:val="es"/>
        </w:rPr>
        <w:t xml:space="preserve"> Suprema </w:t>
      </w:r>
      <w:r w:rsidR="00EA5EF5">
        <w:rPr>
          <w:rFonts w:ascii="Cambria" w:hAnsi="Cambria"/>
          <w:sz w:val="20"/>
          <w:szCs w:val="20"/>
          <w:lang w:val="es"/>
        </w:rPr>
        <w:t>f</w:t>
      </w:r>
      <w:r w:rsidRPr="005E141C">
        <w:rPr>
          <w:rFonts w:ascii="Cambria" w:hAnsi="Cambria"/>
          <w:sz w:val="20"/>
          <w:szCs w:val="20"/>
          <w:lang w:val="es"/>
        </w:rPr>
        <w:t xml:space="preserve">ederal, el caso fue remitido al tribunal de primera instancia de Pennsylvania para su consideración en relación con la sentencia. En </w:t>
      </w:r>
      <w:r w:rsidR="00EA5EF5">
        <w:rPr>
          <w:rFonts w:ascii="Cambria" w:hAnsi="Cambria"/>
          <w:sz w:val="20"/>
          <w:szCs w:val="20"/>
          <w:lang w:val="es"/>
        </w:rPr>
        <w:t>vista de ello</w:t>
      </w:r>
      <w:r w:rsidRPr="005E141C">
        <w:rPr>
          <w:rFonts w:ascii="Cambria" w:hAnsi="Cambria"/>
          <w:sz w:val="20"/>
          <w:szCs w:val="20"/>
          <w:lang w:val="es"/>
        </w:rPr>
        <w:t xml:space="preserve">, la presunta víctima solicitó la </w:t>
      </w:r>
      <w:r w:rsidR="00EA5EF5">
        <w:rPr>
          <w:rFonts w:ascii="Cambria" w:hAnsi="Cambria"/>
          <w:sz w:val="20"/>
          <w:szCs w:val="20"/>
          <w:lang w:val="es"/>
        </w:rPr>
        <w:t>prisión</w:t>
      </w:r>
      <w:r w:rsidRPr="005E141C">
        <w:rPr>
          <w:rFonts w:ascii="Cambria" w:hAnsi="Cambria"/>
          <w:sz w:val="20"/>
          <w:szCs w:val="20"/>
          <w:lang w:val="es"/>
        </w:rPr>
        <w:t xml:space="preserve"> perpetua sin libertad condicional, </w:t>
      </w:r>
      <w:r w:rsidR="00EA5EF5">
        <w:rPr>
          <w:rFonts w:ascii="Cambria" w:hAnsi="Cambria"/>
          <w:sz w:val="20"/>
          <w:szCs w:val="20"/>
          <w:lang w:val="es"/>
        </w:rPr>
        <w:t xml:space="preserve">la </w:t>
      </w:r>
      <w:r w:rsidRPr="005E141C">
        <w:rPr>
          <w:rFonts w:ascii="Cambria" w:hAnsi="Cambria"/>
          <w:sz w:val="20"/>
          <w:szCs w:val="20"/>
          <w:lang w:val="es"/>
        </w:rPr>
        <w:t xml:space="preserve">que se le impuso en agosto de 2012. El Estado argumenta que, </w:t>
      </w:r>
      <w:r w:rsidR="00EA5EF5">
        <w:rPr>
          <w:rFonts w:ascii="Cambria" w:hAnsi="Cambria"/>
          <w:sz w:val="20"/>
          <w:szCs w:val="20"/>
          <w:lang w:val="es"/>
        </w:rPr>
        <w:t>pese a ello</w:t>
      </w:r>
      <w:r w:rsidRPr="005E141C">
        <w:rPr>
          <w:rFonts w:ascii="Cambria" w:hAnsi="Cambria"/>
          <w:sz w:val="20"/>
          <w:szCs w:val="20"/>
          <w:lang w:val="es"/>
        </w:rPr>
        <w:t xml:space="preserve">, la presunta víctima </w:t>
      </w:r>
      <w:r w:rsidR="00EA5EF5">
        <w:rPr>
          <w:rFonts w:ascii="Cambria" w:hAnsi="Cambria"/>
          <w:sz w:val="20"/>
          <w:szCs w:val="20"/>
          <w:lang w:val="es"/>
        </w:rPr>
        <w:t>solicitó</w:t>
      </w:r>
      <w:r w:rsidRPr="005E141C">
        <w:rPr>
          <w:rFonts w:ascii="Cambria" w:hAnsi="Cambria"/>
          <w:sz w:val="20"/>
          <w:szCs w:val="20"/>
          <w:lang w:val="es"/>
        </w:rPr>
        <w:t xml:space="preserve"> la revisión de la sentencia</w:t>
      </w:r>
      <w:r w:rsidRPr="005E141C">
        <w:rPr>
          <w:rStyle w:val="FootnoteReference"/>
          <w:rFonts w:ascii="Cambria" w:hAnsi="Cambria"/>
          <w:sz w:val="20"/>
          <w:szCs w:val="20"/>
          <w:lang w:val="es"/>
        </w:rPr>
        <w:footnoteReference w:id="8"/>
      </w:r>
      <w:r w:rsidRPr="005E141C">
        <w:rPr>
          <w:rFonts w:ascii="Cambria" w:hAnsi="Cambria"/>
          <w:sz w:val="20"/>
          <w:szCs w:val="20"/>
          <w:lang w:val="es"/>
        </w:rPr>
        <w:t xml:space="preserve">, </w:t>
      </w:r>
      <w:r w:rsidR="00EA5EF5">
        <w:rPr>
          <w:rFonts w:ascii="Cambria" w:hAnsi="Cambria"/>
          <w:sz w:val="20"/>
          <w:szCs w:val="20"/>
          <w:lang w:val="es"/>
        </w:rPr>
        <w:t>pedido</w:t>
      </w:r>
      <w:r w:rsidRPr="005E141C">
        <w:rPr>
          <w:rFonts w:ascii="Cambria" w:hAnsi="Cambria"/>
          <w:sz w:val="20"/>
          <w:szCs w:val="20"/>
          <w:lang w:val="es"/>
        </w:rPr>
        <w:t xml:space="preserve"> que fue desestimad</w:t>
      </w:r>
      <w:r w:rsidR="00EA5EF5">
        <w:rPr>
          <w:rFonts w:ascii="Cambria" w:hAnsi="Cambria"/>
          <w:sz w:val="20"/>
          <w:szCs w:val="20"/>
          <w:lang w:val="es"/>
        </w:rPr>
        <w:t>o</w:t>
      </w:r>
      <w:r w:rsidRPr="005E141C">
        <w:rPr>
          <w:rFonts w:ascii="Cambria" w:hAnsi="Cambria"/>
          <w:sz w:val="20"/>
          <w:szCs w:val="20"/>
          <w:lang w:val="es"/>
        </w:rPr>
        <w:t xml:space="preserve"> en octubre de 2012 como también lo fue la </w:t>
      </w:r>
      <w:r w:rsidR="00EA5EF5">
        <w:rPr>
          <w:rFonts w:ascii="Cambria" w:hAnsi="Cambria"/>
          <w:sz w:val="20"/>
          <w:szCs w:val="20"/>
          <w:lang w:val="es"/>
        </w:rPr>
        <w:t>consiguiente</w:t>
      </w:r>
      <w:r w:rsidRPr="005E141C">
        <w:rPr>
          <w:rFonts w:ascii="Cambria" w:hAnsi="Cambria"/>
          <w:sz w:val="20"/>
          <w:szCs w:val="20"/>
          <w:lang w:val="es"/>
        </w:rPr>
        <w:t xml:space="preserve"> apelación en </w:t>
      </w:r>
      <w:r w:rsidRPr="005E141C">
        <w:rPr>
          <w:rFonts w:ascii="Cambria" w:hAnsi="Cambria"/>
          <w:sz w:val="20"/>
          <w:szCs w:val="20"/>
          <w:lang w:val="es"/>
        </w:rPr>
        <w:lastRenderedPageBreak/>
        <w:t xml:space="preserve">julio de 2013. El Estado </w:t>
      </w:r>
      <w:r w:rsidR="007F14CB">
        <w:rPr>
          <w:rFonts w:ascii="Cambria" w:hAnsi="Cambria"/>
          <w:sz w:val="20"/>
          <w:szCs w:val="20"/>
          <w:lang w:val="es"/>
        </w:rPr>
        <w:t>menciona</w:t>
      </w:r>
      <w:r w:rsidRPr="005E141C">
        <w:rPr>
          <w:rFonts w:ascii="Cambria" w:hAnsi="Cambria"/>
          <w:sz w:val="20"/>
          <w:szCs w:val="20"/>
          <w:lang w:val="es"/>
        </w:rPr>
        <w:t xml:space="preserve"> tres peticiones PCRA interpuestas junto con la solicitud de </w:t>
      </w:r>
      <w:r w:rsidRPr="007F14CB">
        <w:rPr>
          <w:rFonts w:ascii="Cambria" w:hAnsi="Cambria"/>
          <w:i/>
          <w:iCs/>
          <w:sz w:val="20"/>
          <w:szCs w:val="20"/>
          <w:lang w:val="es"/>
        </w:rPr>
        <w:t>habeas corpus</w:t>
      </w:r>
      <w:r w:rsidRPr="005E141C">
        <w:rPr>
          <w:rFonts w:ascii="Cambria" w:hAnsi="Cambria"/>
          <w:sz w:val="20"/>
          <w:szCs w:val="20"/>
          <w:lang w:val="es"/>
        </w:rPr>
        <w:t>, fuera del plazo establecido</w:t>
      </w:r>
      <w:r w:rsidR="007F14CB">
        <w:rPr>
          <w:rFonts w:ascii="Cambria" w:hAnsi="Cambria"/>
          <w:sz w:val="20"/>
          <w:szCs w:val="20"/>
          <w:lang w:val="es"/>
        </w:rPr>
        <w:t xml:space="preserve">. Estas </w:t>
      </w:r>
      <w:r w:rsidRPr="005E141C">
        <w:rPr>
          <w:rFonts w:ascii="Cambria" w:hAnsi="Cambria"/>
          <w:sz w:val="20"/>
          <w:szCs w:val="20"/>
          <w:lang w:val="es"/>
        </w:rPr>
        <w:t xml:space="preserve">fueron rechazadas en diciembre de 2001, junio de 2005 y noviembre de 2009, respectivamente, la última de </w:t>
      </w:r>
      <w:r w:rsidR="007F14CB">
        <w:rPr>
          <w:rFonts w:ascii="Cambria" w:hAnsi="Cambria"/>
          <w:sz w:val="20"/>
          <w:szCs w:val="20"/>
          <w:lang w:val="es"/>
        </w:rPr>
        <w:t>estas</w:t>
      </w:r>
      <w:r w:rsidRPr="005E141C">
        <w:rPr>
          <w:rFonts w:ascii="Cambria" w:hAnsi="Cambria"/>
          <w:sz w:val="20"/>
          <w:szCs w:val="20"/>
          <w:lang w:val="es"/>
        </w:rPr>
        <w:t xml:space="preserve"> fue ratificada por la Corte Suprema de Pennsylvania en marzo de 2012.</w:t>
      </w:r>
    </w:p>
    <w:p w14:paraId="02780676" w14:textId="77777777" w:rsidR="005E141C" w:rsidRPr="005E141C" w:rsidRDefault="005E141C" w:rsidP="005E141C">
      <w:pPr>
        <w:spacing w:before="120" w:after="120"/>
        <w:ind w:firstLine="720"/>
        <w:jc w:val="both"/>
        <w:rPr>
          <w:rFonts w:ascii="Cambria" w:hAnsi="Cambria"/>
          <w:sz w:val="20"/>
          <w:szCs w:val="20"/>
          <w:lang w:val="es-ES"/>
        </w:rPr>
      </w:pPr>
      <w:r w:rsidRPr="005E141C">
        <w:rPr>
          <w:rFonts w:ascii="Cambria" w:hAnsi="Cambria"/>
          <w:b/>
          <w:bCs/>
          <w:color w:val="000000"/>
          <w:sz w:val="20"/>
          <w:szCs w:val="20"/>
          <w:u w:color="000000"/>
          <w:lang w:val="es"/>
        </w:rPr>
        <w:t>VI.</w:t>
      </w:r>
      <w:r w:rsidRPr="005E141C">
        <w:rPr>
          <w:rFonts w:ascii="Cambria" w:hAnsi="Cambria"/>
          <w:b/>
          <w:bCs/>
          <w:color w:val="000000"/>
          <w:sz w:val="20"/>
          <w:szCs w:val="20"/>
          <w:u w:color="000000"/>
          <w:lang w:val="es"/>
        </w:rPr>
        <w:tab/>
      </w:r>
      <w:r w:rsidRPr="005E141C">
        <w:rPr>
          <w:rFonts w:ascii="Cambria" w:hAnsi="Cambria"/>
          <w:b/>
          <w:bCs/>
          <w:sz w:val="20"/>
          <w:szCs w:val="20"/>
          <w:lang w:val="es"/>
        </w:rPr>
        <w:t>AGOTAMIENTO DE LOS RECURSOS INTERNOS Y PLAZO DE PRESENTACIÓN</w:t>
      </w:r>
      <w:r w:rsidRPr="005E141C">
        <w:rPr>
          <w:rFonts w:ascii="Cambria" w:hAnsi="Cambria"/>
          <w:b/>
          <w:bCs/>
          <w:color w:val="000000"/>
          <w:sz w:val="20"/>
          <w:szCs w:val="20"/>
          <w:u w:color="000000"/>
          <w:lang w:val="es"/>
        </w:rPr>
        <w:t xml:space="preserve"> </w:t>
      </w:r>
    </w:p>
    <w:p w14:paraId="519C8541" w14:textId="56881EA2"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 xml:space="preserve">El 6 de marzo de 1989 la Corte Suprema de Pennsylvania rechazó el recurso de apelación que la presunta víctima interpuso contra su sentencia y condena. El 1 de junio de 1996 el gobernador de Pennsylvania fijó fecha para la ejecución de la presunta víctima para el 17 de agosto de 1995. Tras una audiencia </w:t>
      </w:r>
      <w:r w:rsidR="007F14CB">
        <w:rPr>
          <w:rFonts w:ascii="Cambria" w:hAnsi="Cambria"/>
          <w:sz w:val="20"/>
          <w:szCs w:val="20"/>
          <w:lang w:val="es"/>
        </w:rPr>
        <w:t>conforme a</w:t>
      </w:r>
      <w:r w:rsidRPr="005E141C">
        <w:rPr>
          <w:rFonts w:ascii="Cambria" w:hAnsi="Cambria"/>
          <w:sz w:val="20"/>
          <w:szCs w:val="20"/>
          <w:lang w:val="es"/>
        </w:rPr>
        <w:t xml:space="preserve"> la Ley de Reparación Judicial </w:t>
      </w:r>
      <w:proofErr w:type="spellStart"/>
      <w:r w:rsidRPr="005E141C">
        <w:rPr>
          <w:rFonts w:ascii="Cambria" w:hAnsi="Cambria"/>
          <w:sz w:val="20"/>
          <w:szCs w:val="20"/>
          <w:lang w:val="es"/>
        </w:rPr>
        <w:t>Postcondena</w:t>
      </w:r>
      <w:proofErr w:type="spellEnd"/>
      <w:r w:rsidRPr="005E141C">
        <w:rPr>
          <w:rFonts w:ascii="Cambria" w:hAnsi="Cambria"/>
          <w:sz w:val="20"/>
          <w:szCs w:val="20"/>
          <w:lang w:val="es"/>
        </w:rPr>
        <w:t xml:space="preserve"> (PCRA), el juez rechazó la apelación de la presunta víctima y en 1999, por segunda vez, se fijó una fecha para la ejecución. La presunta víctima </w:t>
      </w:r>
      <w:r w:rsidR="007F14CB">
        <w:rPr>
          <w:rFonts w:ascii="Cambria" w:hAnsi="Cambria"/>
          <w:sz w:val="20"/>
          <w:szCs w:val="20"/>
          <w:lang w:val="es"/>
        </w:rPr>
        <w:t>presentó</w:t>
      </w:r>
      <w:r w:rsidRPr="005E141C">
        <w:rPr>
          <w:rFonts w:ascii="Cambria" w:hAnsi="Cambria"/>
          <w:sz w:val="20"/>
          <w:szCs w:val="20"/>
          <w:lang w:val="es"/>
        </w:rPr>
        <w:t xml:space="preserve"> </w:t>
      </w:r>
      <w:r w:rsidR="007F14CB">
        <w:rPr>
          <w:rFonts w:ascii="Cambria" w:hAnsi="Cambria"/>
          <w:sz w:val="20"/>
          <w:szCs w:val="20"/>
          <w:lang w:val="es"/>
        </w:rPr>
        <w:t>un</w:t>
      </w:r>
      <w:r w:rsidRPr="005E141C">
        <w:rPr>
          <w:rFonts w:ascii="Cambria" w:hAnsi="Cambria"/>
          <w:sz w:val="20"/>
          <w:szCs w:val="20"/>
          <w:lang w:val="es"/>
        </w:rPr>
        <w:t xml:space="preserve"> </w:t>
      </w:r>
      <w:r w:rsidRPr="007F14CB">
        <w:rPr>
          <w:rFonts w:ascii="Cambria" w:hAnsi="Cambria"/>
          <w:i/>
          <w:iCs/>
          <w:sz w:val="20"/>
          <w:szCs w:val="20"/>
          <w:lang w:val="es"/>
        </w:rPr>
        <w:t>habeas corpus</w:t>
      </w:r>
      <w:r w:rsidRPr="005E141C">
        <w:rPr>
          <w:rFonts w:ascii="Cambria" w:hAnsi="Cambria"/>
          <w:sz w:val="20"/>
          <w:szCs w:val="20"/>
          <w:lang w:val="es"/>
        </w:rPr>
        <w:t xml:space="preserve">, y el 18 de diciembre de 2001, un juez de distrito anuló la pena de muerte de la presunta víctima a la vez que mantuvo su condena. La Corte Federal de Apelaciones para el Tercer Circuito confirmó esta decisión el 27 de marzo </w:t>
      </w:r>
      <w:r w:rsidR="007F14CB">
        <w:rPr>
          <w:rFonts w:ascii="Cambria" w:hAnsi="Cambria"/>
          <w:sz w:val="20"/>
          <w:szCs w:val="20"/>
          <w:lang w:val="es"/>
        </w:rPr>
        <w:t xml:space="preserve">de 2008 </w:t>
      </w:r>
      <w:r w:rsidRPr="005E141C">
        <w:rPr>
          <w:rFonts w:ascii="Cambria" w:hAnsi="Cambria"/>
          <w:sz w:val="20"/>
          <w:szCs w:val="20"/>
          <w:lang w:val="es"/>
        </w:rPr>
        <w:t xml:space="preserve">y la ratificó el 26 de abril 2011. Seguidamente, el 11 de octubre de 2011 la Corte Suprema </w:t>
      </w:r>
      <w:r w:rsidR="007F14CB">
        <w:rPr>
          <w:rFonts w:ascii="Cambria" w:hAnsi="Cambria"/>
          <w:sz w:val="20"/>
          <w:szCs w:val="20"/>
          <w:lang w:val="es"/>
        </w:rPr>
        <w:t>f</w:t>
      </w:r>
      <w:r w:rsidRPr="005E141C">
        <w:rPr>
          <w:rFonts w:ascii="Cambria" w:hAnsi="Cambria"/>
          <w:sz w:val="20"/>
          <w:szCs w:val="20"/>
          <w:lang w:val="es"/>
        </w:rPr>
        <w:t>ederal desestimó la petición de</w:t>
      </w:r>
      <w:r w:rsidR="007F14CB">
        <w:rPr>
          <w:rFonts w:ascii="Cambria" w:hAnsi="Cambria"/>
          <w:sz w:val="20"/>
          <w:szCs w:val="20"/>
          <w:lang w:val="es"/>
        </w:rPr>
        <w:t xml:space="preserve"> la</w:t>
      </w:r>
      <w:r w:rsidRPr="005E141C">
        <w:rPr>
          <w:rFonts w:ascii="Cambria" w:hAnsi="Cambria"/>
          <w:sz w:val="20"/>
          <w:szCs w:val="20"/>
          <w:lang w:val="es"/>
        </w:rPr>
        <w:t xml:space="preserve"> fiscal</w:t>
      </w:r>
      <w:r w:rsidR="007F14CB">
        <w:rPr>
          <w:rFonts w:ascii="Cambria" w:hAnsi="Cambria"/>
          <w:sz w:val="20"/>
          <w:szCs w:val="20"/>
          <w:lang w:val="es"/>
        </w:rPr>
        <w:t>ía</w:t>
      </w:r>
      <w:r w:rsidRPr="005E141C">
        <w:rPr>
          <w:rFonts w:ascii="Cambria" w:hAnsi="Cambria"/>
          <w:sz w:val="20"/>
          <w:szCs w:val="20"/>
          <w:lang w:val="es"/>
        </w:rPr>
        <w:t xml:space="preserve"> de distrito de Filadelfia que solicitaba la reinstauración de la pena de muerte, quien el 7 de diciembre de 2011 anunció su renuncia a todos los esfuerzos orientados a la aplicación de la pena de muerte </w:t>
      </w:r>
      <w:r w:rsidR="007F14CB">
        <w:rPr>
          <w:rFonts w:ascii="Cambria" w:hAnsi="Cambria"/>
          <w:sz w:val="20"/>
          <w:szCs w:val="20"/>
          <w:lang w:val="es"/>
        </w:rPr>
        <w:t>contra</w:t>
      </w:r>
      <w:r w:rsidRPr="005E141C">
        <w:rPr>
          <w:rFonts w:ascii="Cambria" w:hAnsi="Cambria"/>
          <w:sz w:val="20"/>
          <w:szCs w:val="20"/>
          <w:lang w:val="es"/>
        </w:rPr>
        <w:t xml:space="preserve"> la presunta víctima. El Estado no </w:t>
      </w:r>
      <w:r w:rsidR="007F14CB">
        <w:rPr>
          <w:rFonts w:ascii="Cambria" w:hAnsi="Cambria"/>
          <w:sz w:val="20"/>
          <w:szCs w:val="20"/>
          <w:lang w:val="es"/>
        </w:rPr>
        <w:t>c</w:t>
      </w:r>
      <w:r w:rsidRPr="005E141C">
        <w:rPr>
          <w:rFonts w:ascii="Cambria" w:hAnsi="Cambria"/>
          <w:sz w:val="20"/>
          <w:szCs w:val="20"/>
          <w:lang w:val="es"/>
        </w:rPr>
        <w:t xml:space="preserve">uestiona la secuencia de los recursos presentados </w:t>
      </w:r>
      <w:r w:rsidR="00082246" w:rsidRPr="005E141C">
        <w:rPr>
          <w:rFonts w:ascii="Cambria" w:hAnsi="Cambria"/>
          <w:sz w:val="20"/>
          <w:szCs w:val="20"/>
          <w:lang w:val="es"/>
        </w:rPr>
        <w:t>e</w:t>
      </w:r>
      <w:r w:rsidRPr="005E141C">
        <w:rPr>
          <w:rFonts w:ascii="Cambria" w:hAnsi="Cambria"/>
          <w:sz w:val="20"/>
          <w:szCs w:val="20"/>
          <w:lang w:val="es"/>
        </w:rPr>
        <w:t xml:space="preserve"> </w:t>
      </w:r>
      <w:r w:rsidR="0019553E">
        <w:rPr>
          <w:rFonts w:ascii="Cambria" w:hAnsi="Cambria"/>
          <w:sz w:val="20"/>
          <w:szCs w:val="20"/>
          <w:lang w:val="es"/>
        </w:rPr>
        <w:t>indica</w:t>
      </w:r>
      <w:r w:rsidRPr="005E141C">
        <w:rPr>
          <w:rFonts w:ascii="Cambria" w:hAnsi="Cambria"/>
          <w:sz w:val="20"/>
          <w:szCs w:val="20"/>
          <w:lang w:val="es"/>
        </w:rPr>
        <w:t xml:space="preserve"> que la presunta víctima tuvo acceso al sistema judicial y que sus apelaciones fueron debidamente tramitadas</w:t>
      </w:r>
      <w:r w:rsidR="007F14CB">
        <w:rPr>
          <w:rFonts w:ascii="Cambria" w:hAnsi="Cambria"/>
          <w:sz w:val="20"/>
          <w:szCs w:val="20"/>
          <w:lang w:val="es"/>
        </w:rPr>
        <w:t>,</w:t>
      </w:r>
      <w:r w:rsidRPr="005E141C">
        <w:rPr>
          <w:rFonts w:ascii="Cambria" w:hAnsi="Cambria"/>
          <w:sz w:val="20"/>
          <w:szCs w:val="20"/>
          <w:lang w:val="es"/>
        </w:rPr>
        <w:t xml:space="preserve"> aunque los resultados hayan sido contrarios a </w:t>
      </w:r>
      <w:r w:rsidR="007F14CB">
        <w:rPr>
          <w:rFonts w:ascii="Cambria" w:hAnsi="Cambria"/>
          <w:sz w:val="20"/>
          <w:szCs w:val="20"/>
          <w:lang w:val="es"/>
        </w:rPr>
        <w:t>los</w:t>
      </w:r>
      <w:r w:rsidRPr="005E141C">
        <w:rPr>
          <w:rFonts w:ascii="Cambria" w:hAnsi="Cambria"/>
          <w:sz w:val="20"/>
          <w:szCs w:val="20"/>
          <w:lang w:val="es"/>
        </w:rPr>
        <w:t xml:space="preserve"> intereses</w:t>
      </w:r>
      <w:r w:rsidR="007F14CB">
        <w:rPr>
          <w:rFonts w:ascii="Cambria" w:hAnsi="Cambria"/>
          <w:sz w:val="20"/>
          <w:szCs w:val="20"/>
          <w:lang w:val="es"/>
        </w:rPr>
        <w:t xml:space="preserve"> de ésta</w:t>
      </w:r>
      <w:r w:rsidRPr="005E141C">
        <w:rPr>
          <w:rFonts w:ascii="Cambria" w:hAnsi="Cambria"/>
          <w:sz w:val="20"/>
          <w:szCs w:val="20"/>
          <w:lang w:val="es"/>
        </w:rPr>
        <w:t>.</w:t>
      </w:r>
    </w:p>
    <w:p w14:paraId="7CB0E4C8" w14:textId="30AFFB54"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 xml:space="preserve">Sin embargo, el Estado argumenta que a nivel interno hay un proceso en curso </w:t>
      </w:r>
      <w:r w:rsidR="007F14CB">
        <w:rPr>
          <w:rFonts w:ascii="Cambria" w:hAnsi="Cambria"/>
          <w:sz w:val="20"/>
          <w:szCs w:val="20"/>
          <w:lang w:val="es"/>
        </w:rPr>
        <w:t>y que por ello</w:t>
      </w:r>
      <w:r w:rsidRPr="005E141C">
        <w:rPr>
          <w:rFonts w:ascii="Cambria" w:hAnsi="Cambria"/>
          <w:sz w:val="20"/>
          <w:szCs w:val="20"/>
          <w:lang w:val="es"/>
        </w:rPr>
        <w:t xml:space="preserve"> la petición es inadmisible. La Comisión reconoce que existe un juicio pendiente ante un</w:t>
      </w:r>
      <w:r w:rsidR="007F14CB">
        <w:rPr>
          <w:rFonts w:ascii="Cambria" w:hAnsi="Cambria"/>
          <w:sz w:val="20"/>
          <w:szCs w:val="20"/>
          <w:lang w:val="es"/>
        </w:rPr>
        <w:t>a instancia</w:t>
      </w:r>
      <w:r w:rsidRPr="005E141C">
        <w:rPr>
          <w:rFonts w:ascii="Cambria" w:hAnsi="Cambria"/>
          <w:sz w:val="20"/>
          <w:szCs w:val="20"/>
          <w:lang w:val="es"/>
        </w:rPr>
        <w:t xml:space="preserve"> nacional</w:t>
      </w:r>
      <w:r w:rsidR="00A265AA">
        <w:rPr>
          <w:rFonts w:ascii="Cambria" w:hAnsi="Cambria"/>
          <w:sz w:val="20"/>
          <w:szCs w:val="20"/>
          <w:lang w:val="es"/>
        </w:rPr>
        <w:t>, pero señala que</w:t>
      </w:r>
      <w:r w:rsidRPr="005E141C">
        <w:rPr>
          <w:rFonts w:ascii="Cambria" w:hAnsi="Cambria"/>
          <w:sz w:val="20"/>
          <w:szCs w:val="20"/>
          <w:lang w:val="es"/>
        </w:rPr>
        <w:t xml:space="preserve"> el requisito de agotamiento de recursos internos no obliga a la presunta víctima a agotar todos los recursos disponibles. La Comisión Interamericana ha establecido qu</w:t>
      </w:r>
      <w:r w:rsidR="00A265AA">
        <w:rPr>
          <w:rFonts w:ascii="Cambria" w:hAnsi="Cambria"/>
          <w:sz w:val="20"/>
          <w:szCs w:val="20"/>
          <w:lang w:val="es"/>
        </w:rPr>
        <w:t>e</w:t>
      </w:r>
      <w:r w:rsidRPr="005E141C">
        <w:rPr>
          <w:rFonts w:ascii="Cambria" w:hAnsi="Cambria"/>
          <w:sz w:val="20"/>
          <w:szCs w:val="20"/>
          <w:lang w:val="es"/>
        </w:rPr>
        <w:t xml:space="preserve"> si la presunta víctima ha presentado el asunto mediante alguna de las alternativas adecuadas y válidas según el ord</w:t>
      </w:r>
      <w:r w:rsidR="00A265AA">
        <w:rPr>
          <w:rFonts w:ascii="Cambria" w:hAnsi="Cambria"/>
          <w:sz w:val="20"/>
          <w:szCs w:val="20"/>
          <w:lang w:val="es"/>
        </w:rPr>
        <w:t>e</w:t>
      </w:r>
      <w:r w:rsidRPr="005E141C">
        <w:rPr>
          <w:rFonts w:ascii="Cambria" w:hAnsi="Cambria"/>
          <w:sz w:val="20"/>
          <w:szCs w:val="20"/>
          <w:lang w:val="es"/>
        </w:rPr>
        <w:t xml:space="preserve">namiento interno y el Estado ha tenido la oportunidad de remediar la cuestión en su jurisdicción, la finalidad de la norma internacional está cumplida. </w:t>
      </w:r>
      <w:r w:rsidR="00A265AA">
        <w:rPr>
          <w:rFonts w:ascii="Cambria" w:hAnsi="Cambria"/>
          <w:sz w:val="20"/>
          <w:szCs w:val="20"/>
          <w:lang w:val="es"/>
        </w:rPr>
        <w:t>Por tanto</w:t>
      </w:r>
      <w:r w:rsidRPr="005E141C">
        <w:rPr>
          <w:rFonts w:ascii="Cambria" w:hAnsi="Cambria"/>
          <w:sz w:val="20"/>
          <w:szCs w:val="20"/>
          <w:lang w:val="es"/>
        </w:rPr>
        <w:t xml:space="preserve">, la Comisión concluye que la decisión de la Corte Suprema </w:t>
      </w:r>
      <w:r w:rsidR="00A265AA">
        <w:rPr>
          <w:rFonts w:ascii="Cambria" w:hAnsi="Cambria"/>
          <w:sz w:val="20"/>
          <w:szCs w:val="20"/>
          <w:lang w:val="es"/>
        </w:rPr>
        <w:t>f</w:t>
      </w:r>
      <w:r w:rsidRPr="005E141C">
        <w:rPr>
          <w:rFonts w:ascii="Cambria" w:hAnsi="Cambria"/>
          <w:sz w:val="20"/>
          <w:szCs w:val="20"/>
          <w:lang w:val="es"/>
        </w:rPr>
        <w:t>ederal del 11 de octubre de 2011 agotó los recursos internos. La petición ante la CIDH fue presentada el 11 de abril de 2012, por lo tanto</w:t>
      </w:r>
      <w:r w:rsidR="00A265AA">
        <w:rPr>
          <w:rFonts w:ascii="Cambria" w:hAnsi="Cambria"/>
          <w:sz w:val="20"/>
          <w:szCs w:val="20"/>
          <w:lang w:val="es"/>
        </w:rPr>
        <w:t>,</w:t>
      </w:r>
      <w:r w:rsidRPr="005E141C">
        <w:rPr>
          <w:rFonts w:ascii="Cambria" w:hAnsi="Cambria"/>
          <w:sz w:val="20"/>
          <w:szCs w:val="20"/>
          <w:lang w:val="es"/>
        </w:rPr>
        <w:t xml:space="preserve"> </w:t>
      </w:r>
      <w:r w:rsidR="00A265AA">
        <w:rPr>
          <w:rFonts w:ascii="Cambria" w:hAnsi="Cambria"/>
          <w:sz w:val="20"/>
          <w:szCs w:val="20"/>
          <w:lang w:val="es"/>
        </w:rPr>
        <w:t>cumple</w:t>
      </w:r>
      <w:r w:rsidRPr="005E141C">
        <w:rPr>
          <w:rFonts w:ascii="Cambria" w:hAnsi="Cambria"/>
          <w:sz w:val="20"/>
          <w:szCs w:val="20"/>
          <w:lang w:val="es"/>
        </w:rPr>
        <w:t xml:space="preserve"> el requisito del artículo 32 (1) del Reglamento de la Comisión.</w:t>
      </w:r>
    </w:p>
    <w:p w14:paraId="2945B927" w14:textId="77777777" w:rsidR="005E141C" w:rsidRPr="005E141C" w:rsidRDefault="005E141C" w:rsidP="005E141C">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sz w:val="20"/>
          <w:szCs w:val="20"/>
          <w:lang w:val="es-ES"/>
        </w:rPr>
      </w:pPr>
      <w:r w:rsidRPr="005E141C">
        <w:rPr>
          <w:rFonts w:eastAsia="Arial Unicode MS" w:cs="Times New Roman"/>
          <w:color w:val="auto"/>
          <w:sz w:val="20"/>
          <w:szCs w:val="20"/>
          <w:lang w:val="es"/>
        </w:rPr>
        <w:t>Por último, con respecto al alegato del Estado sobre la configuración de una cuarta instancia, la Comisión observa que la admisibilidad de la presente petición no equivale a suplantar la competencia de las autoridades judiciales nacionales, sino que significa que en la etapa de fondo la Comisión evaluará si los procedimientos judiciales internos cumplieron con las garantías del debido proceso y protección judicial y ofrecieron las debidas garantías de acceso a la justicia para la presunta víctima en los términos de la Declaración Americana.</w:t>
      </w:r>
    </w:p>
    <w:p w14:paraId="72DCE79B" w14:textId="77777777" w:rsidR="005E141C" w:rsidRPr="005E141C" w:rsidRDefault="005E141C" w:rsidP="005E141C">
      <w:pPr>
        <w:pStyle w:val="ListParagraph"/>
        <w:spacing w:before="120" w:after="120"/>
        <w:jc w:val="both"/>
        <w:rPr>
          <w:b/>
          <w:sz w:val="20"/>
          <w:szCs w:val="20"/>
          <w:lang w:val="es-ES"/>
        </w:rPr>
      </w:pPr>
      <w:r w:rsidRPr="005E141C">
        <w:rPr>
          <w:b/>
          <w:bCs/>
          <w:sz w:val="20"/>
          <w:szCs w:val="20"/>
          <w:lang w:val="es"/>
        </w:rPr>
        <w:t>VII.</w:t>
      </w:r>
      <w:r w:rsidRPr="005E141C">
        <w:rPr>
          <w:b/>
          <w:bCs/>
          <w:sz w:val="20"/>
          <w:szCs w:val="20"/>
          <w:lang w:val="es"/>
        </w:rPr>
        <w:tab/>
        <w:t>CARACTERIZACIÓN DE LOS HECHOS ALEGADOS</w:t>
      </w:r>
    </w:p>
    <w:p w14:paraId="1FAE085E" w14:textId="22CE93D0" w:rsidR="005E141C" w:rsidRPr="005E141C" w:rsidRDefault="005E141C" w:rsidP="005E141C">
      <w:pPr>
        <w:numPr>
          <w:ilvl w:val="0"/>
          <w:numId w:val="1"/>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En vista de los elementos de hecho y de derecho presentados por las partes y considerando la naturaleza del asunto puesto a su consideración, la Comisión estima que</w:t>
      </w:r>
      <w:r w:rsidR="00082246">
        <w:rPr>
          <w:rFonts w:ascii="Cambria" w:hAnsi="Cambria"/>
          <w:sz w:val="20"/>
          <w:szCs w:val="20"/>
          <w:lang w:val="es"/>
        </w:rPr>
        <w:t xml:space="preserve">, de ser probados, </w:t>
      </w:r>
      <w:r w:rsidRPr="005E141C">
        <w:rPr>
          <w:rFonts w:ascii="Cambria" w:hAnsi="Cambria"/>
          <w:sz w:val="20"/>
          <w:szCs w:val="20"/>
          <w:lang w:val="es"/>
        </w:rPr>
        <w:t>los alegatos referidos a las irregularidades en las investigaciones y procesos judiciales al igual que a las condiciones de detención inadecuadas</w:t>
      </w:r>
      <w:r w:rsidR="00C24A94">
        <w:rPr>
          <w:rFonts w:ascii="Cambria" w:hAnsi="Cambria"/>
          <w:sz w:val="20"/>
          <w:szCs w:val="20"/>
          <w:lang w:val="es"/>
        </w:rPr>
        <w:t xml:space="preserve">, estos </w:t>
      </w:r>
      <w:r w:rsidRPr="005E141C">
        <w:rPr>
          <w:rFonts w:ascii="Cambria" w:hAnsi="Cambria"/>
          <w:sz w:val="20"/>
          <w:szCs w:val="20"/>
          <w:lang w:val="es"/>
        </w:rPr>
        <w:t>podrían configurar violaciones de los derechos protegidos en los artículos I (vida, libertad, seguridad e integridad</w:t>
      </w:r>
      <w:r w:rsidR="00C114E9">
        <w:rPr>
          <w:rFonts w:ascii="Cambria" w:hAnsi="Cambria"/>
          <w:sz w:val="20"/>
          <w:szCs w:val="20"/>
          <w:lang w:val="es"/>
        </w:rPr>
        <w:t xml:space="preserve"> de la persona</w:t>
      </w:r>
      <w:r w:rsidRPr="005E141C">
        <w:rPr>
          <w:rFonts w:ascii="Cambria" w:hAnsi="Cambria"/>
          <w:sz w:val="20"/>
          <w:szCs w:val="20"/>
          <w:lang w:val="es"/>
        </w:rPr>
        <w:t>), IV (libertad de investigación, opinión, expresión y difusión), X (inviolabilidad y circulación de la correspondencia), XVIII (justicia), XXV (protección contra la detención arbitraria) y XXVI (proceso regular) de la Declaración Americana.</w:t>
      </w:r>
    </w:p>
    <w:p w14:paraId="7283B6B7" w14:textId="77777777" w:rsidR="005E141C" w:rsidRPr="005E141C" w:rsidRDefault="005E141C" w:rsidP="005E141C">
      <w:pPr>
        <w:pStyle w:val="ListParagraph"/>
        <w:spacing w:before="120" w:after="120"/>
        <w:jc w:val="both"/>
        <w:rPr>
          <w:b/>
          <w:bCs/>
          <w:sz w:val="20"/>
          <w:szCs w:val="20"/>
        </w:rPr>
      </w:pPr>
      <w:r w:rsidRPr="005E141C">
        <w:rPr>
          <w:b/>
          <w:bCs/>
          <w:sz w:val="20"/>
          <w:szCs w:val="20"/>
          <w:lang w:val="es"/>
        </w:rPr>
        <w:t xml:space="preserve">VIII. </w:t>
      </w:r>
      <w:r w:rsidRPr="005E141C">
        <w:rPr>
          <w:b/>
          <w:bCs/>
          <w:sz w:val="20"/>
          <w:szCs w:val="20"/>
          <w:lang w:val="es"/>
        </w:rPr>
        <w:tab/>
        <w:t>DECISIÓN</w:t>
      </w:r>
    </w:p>
    <w:p w14:paraId="42059001" w14:textId="71840DBC" w:rsidR="005E141C" w:rsidRPr="005E141C" w:rsidRDefault="005E141C" w:rsidP="005E141C">
      <w:pPr>
        <w:numPr>
          <w:ilvl w:val="0"/>
          <w:numId w:val="2"/>
        </w:numPr>
        <w:suppressAutoHyphens/>
        <w:spacing w:before="120" w:after="120" w:line="240" w:lineRule="auto"/>
        <w:jc w:val="both"/>
        <w:rPr>
          <w:rFonts w:ascii="Cambria" w:hAnsi="Cambria"/>
          <w:sz w:val="20"/>
          <w:szCs w:val="20"/>
          <w:lang w:val="es-ES"/>
        </w:rPr>
      </w:pPr>
      <w:r w:rsidRPr="005E141C">
        <w:rPr>
          <w:rFonts w:ascii="Cambria" w:hAnsi="Cambria"/>
          <w:sz w:val="20"/>
          <w:szCs w:val="20"/>
          <w:lang w:val="es"/>
        </w:rPr>
        <w:t>Declarar admisible la presente petición respecto de los artículos I, IV, X, XVIII</w:t>
      </w:r>
      <w:r w:rsidR="00C24A94">
        <w:rPr>
          <w:rFonts w:ascii="Cambria" w:hAnsi="Cambria"/>
          <w:sz w:val="20"/>
          <w:szCs w:val="20"/>
          <w:lang w:val="es"/>
        </w:rPr>
        <w:t>, XXV</w:t>
      </w:r>
      <w:r w:rsidRPr="005E141C">
        <w:rPr>
          <w:rFonts w:ascii="Cambria" w:hAnsi="Cambria"/>
          <w:sz w:val="20"/>
          <w:szCs w:val="20"/>
          <w:lang w:val="es"/>
        </w:rPr>
        <w:t xml:space="preserve"> y XXVI de la Declaración Americana;</w:t>
      </w:r>
      <w:r w:rsidR="00C24A94">
        <w:rPr>
          <w:rFonts w:ascii="Cambria" w:hAnsi="Cambria"/>
          <w:sz w:val="20"/>
          <w:szCs w:val="20"/>
          <w:lang w:val="es"/>
        </w:rPr>
        <w:t xml:space="preserve"> y</w:t>
      </w:r>
    </w:p>
    <w:p w14:paraId="20AACAFB" w14:textId="35A06B91" w:rsidR="00C24A94" w:rsidRPr="00030D09" w:rsidRDefault="005E141C" w:rsidP="00C24A94">
      <w:pPr>
        <w:numPr>
          <w:ilvl w:val="0"/>
          <w:numId w:val="2"/>
        </w:numPr>
        <w:suppressAutoHyphens/>
        <w:spacing w:after="120" w:line="240" w:lineRule="auto"/>
        <w:jc w:val="both"/>
        <w:rPr>
          <w:rFonts w:ascii="Cambria" w:hAnsi="Cambria"/>
          <w:sz w:val="20"/>
          <w:szCs w:val="20"/>
          <w:lang w:val="es"/>
        </w:rPr>
      </w:pPr>
      <w:r w:rsidRPr="00030D09">
        <w:rPr>
          <w:rFonts w:ascii="Cambria" w:hAnsi="Cambria"/>
          <w:sz w:val="20"/>
          <w:szCs w:val="20"/>
          <w:lang w:val="es"/>
        </w:rPr>
        <w:t>Notificar a las partes la presente decisión; continuar con el análisis del fondo; y publicar esta decisión e incluirla en su Informe Anual a la Asamblea General de la Organización de los Estados Americanos.</w:t>
      </w:r>
      <w:r w:rsidR="00C24A94" w:rsidRPr="00030D09">
        <w:rPr>
          <w:rFonts w:ascii="Cambria" w:hAnsi="Cambria"/>
          <w:sz w:val="20"/>
          <w:szCs w:val="20"/>
          <w:lang w:val="es"/>
        </w:rPr>
        <w:t xml:space="preserve"> </w:t>
      </w:r>
    </w:p>
    <w:p w14:paraId="68EF1EE6" w14:textId="38814CE6" w:rsidR="00C24A94" w:rsidRDefault="00C24A94" w:rsidP="00C24A94">
      <w:pPr>
        <w:suppressAutoHyphens/>
        <w:spacing w:after="120" w:line="240" w:lineRule="auto"/>
        <w:jc w:val="both"/>
        <w:rPr>
          <w:rFonts w:ascii="Cambria" w:hAnsi="Cambria"/>
          <w:sz w:val="20"/>
          <w:szCs w:val="20"/>
          <w:lang w:val="es"/>
        </w:rPr>
      </w:pPr>
    </w:p>
    <w:p w14:paraId="6A764B22" w14:textId="10539C0B" w:rsidR="00A73C16" w:rsidRDefault="00A73C16" w:rsidP="00A73C16">
      <w:pPr>
        <w:pStyle w:val="ListParagraph"/>
        <w:suppressAutoHyphens/>
        <w:ind w:left="0" w:firstLine="720"/>
        <w:jc w:val="both"/>
        <w:rPr>
          <w:sz w:val="20"/>
          <w:szCs w:val="20"/>
          <w:lang w:val="es-US"/>
        </w:rPr>
      </w:pPr>
      <w:r>
        <w:rPr>
          <w:sz w:val="20"/>
          <w:szCs w:val="20"/>
          <w:lang w:val="es-US"/>
        </w:rPr>
        <w:lastRenderedPageBreak/>
        <w:t xml:space="preserve">Aprobado por la Comisión Interamericana de Derechos Humanos a los </w:t>
      </w:r>
      <w:r>
        <w:rPr>
          <w:sz w:val="20"/>
          <w:szCs w:val="20"/>
          <w:lang w:val="es-US"/>
        </w:rPr>
        <w:t>6</w:t>
      </w:r>
      <w:r>
        <w:rPr>
          <w:sz w:val="20"/>
          <w:szCs w:val="20"/>
          <w:lang w:val="es-US"/>
        </w:rPr>
        <w:t xml:space="preserve"> días del mes de </w:t>
      </w:r>
      <w:r>
        <w:rPr>
          <w:sz w:val="20"/>
          <w:szCs w:val="20"/>
          <w:lang w:val="es-US"/>
        </w:rPr>
        <w:t>diciembre</w:t>
      </w:r>
      <w:r>
        <w:rPr>
          <w:sz w:val="20"/>
          <w:szCs w:val="20"/>
          <w:lang w:val="es-US"/>
        </w:rPr>
        <w:t xml:space="preserve"> de 2019.  (Firmado): Esmeralda E. Arosemena Bernal de </w:t>
      </w:r>
      <w:proofErr w:type="spellStart"/>
      <w:r>
        <w:rPr>
          <w:sz w:val="20"/>
          <w:szCs w:val="20"/>
          <w:lang w:val="es-US"/>
        </w:rPr>
        <w:t>Troitiño</w:t>
      </w:r>
      <w:proofErr w:type="spellEnd"/>
      <w:r>
        <w:rPr>
          <w:sz w:val="20"/>
          <w:szCs w:val="20"/>
          <w:lang w:val="es-US"/>
        </w:rPr>
        <w:t>, Presidenta; Joel Hernández, Primer Vicepresidente</w:t>
      </w:r>
      <w:r>
        <w:rPr>
          <w:sz w:val="20"/>
          <w:szCs w:val="20"/>
          <w:lang w:val="es-US"/>
        </w:rPr>
        <w:t xml:space="preserve"> (en disidencia)</w:t>
      </w:r>
      <w:r>
        <w:rPr>
          <w:sz w:val="20"/>
          <w:szCs w:val="20"/>
          <w:lang w:val="es-US"/>
        </w:rPr>
        <w:t xml:space="preserve">; Antonia Urrejola, Segunda Vicepresidenta; Margarette May Macaulay, Francisco José Eguiguren, Luis Ernesto Vargas Silva, y </w:t>
      </w:r>
      <w:proofErr w:type="spellStart"/>
      <w:r>
        <w:rPr>
          <w:sz w:val="20"/>
          <w:szCs w:val="20"/>
          <w:lang w:val="es-US"/>
        </w:rPr>
        <w:t>Flávia</w:t>
      </w:r>
      <w:proofErr w:type="spellEnd"/>
      <w:r>
        <w:rPr>
          <w:sz w:val="20"/>
          <w:szCs w:val="20"/>
          <w:lang w:val="es-US"/>
        </w:rPr>
        <w:t xml:space="preserve"> </w:t>
      </w:r>
      <w:proofErr w:type="spellStart"/>
      <w:r>
        <w:rPr>
          <w:sz w:val="20"/>
          <w:szCs w:val="20"/>
          <w:lang w:val="es-US"/>
        </w:rPr>
        <w:t>Piovesan</w:t>
      </w:r>
      <w:proofErr w:type="spellEnd"/>
      <w:r>
        <w:rPr>
          <w:sz w:val="20"/>
          <w:szCs w:val="20"/>
          <w:lang w:val="es-US"/>
        </w:rPr>
        <w:t>, Miembros de la Comisión.</w:t>
      </w:r>
    </w:p>
    <w:p w14:paraId="07F56BD0" w14:textId="77777777" w:rsidR="00C24A94" w:rsidRPr="00A73C16" w:rsidRDefault="00C24A94" w:rsidP="00C24A94">
      <w:pPr>
        <w:suppressAutoHyphens/>
        <w:spacing w:after="120" w:line="240" w:lineRule="auto"/>
        <w:jc w:val="both"/>
        <w:rPr>
          <w:rFonts w:ascii="Cambria" w:hAnsi="Cambria"/>
          <w:sz w:val="20"/>
          <w:szCs w:val="20"/>
          <w:lang w:val="es-US"/>
        </w:rPr>
      </w:pPr>
    </w:p>
    <w:sectPr w:rsidR="00C24A94" w:rsidRPr="00A73C16" w:rsidSect="00FA21DD">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BE1D0" w14:textId="77777777" w:rsidR="0079333C" w:rsidRDefault="0079333C" w:rsidP="00F33779">
      <w:pPr>
        <w:spacing w:after="0" w:line="240" w:lineRule="auto"/>
      </w:pPr>
      <w:r>
        <w:separator/>
      </w:r>
    </w:p>
  </w:endnote>
  <w:endnote w:type="continuationSeparator" w:id="0">
    <w:p w14:paraId="3325AFB6" w14:textId="77777777" w:rsidR="0079333C" w:rsidRDefault="0079333C" w:rsidP="00F3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54ED" w14:textId="77777777" w:rsidR="000A63D0" w:rsidRDefault="000A6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09FE" w14:textId="77777777" w:rsidR="00F33779" w:rsidRPr="00934A2C" w:rsidRDefault="00F3377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63D0">
      <w:rPr>
        <w:noProof/>
        <w:sz w:val="16"/>
        <w:szCs w:val="22"/>
      </w:rPr>
      <w:t>1</w:t>
    </w:r>
    <w:r w:rsidRPr="00934A2C">
      <w:rPr>
        <w:noProof/>
        <w:sz w:val="16"/>
        <w:szCs w:val="22"/>
      </w:rPr>
      <w:fldChar w:fldCharType="end"/>
    </w:r>
  </w:p>
  <w:p w14:paraId="06E031D0" w14:textId="77777777" w:rsidR="00F33779" w:rsidRDefault="00F33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D7B4" w14:textId="77777777" w:rsidR="00F33779" w:rsidRPr="00934A2C" w:rsidRDefault="00F33779">
    <w:pPr>
      <w:pStyle w:val="Footer"/>
      <w:jc w:val="center"/>
      <w:rPr>
        <w:sz w:val="16"/>
        <w:szCs w:val="22"/>
      </w:rPr>
    </w:pPr>
  </w:p>
  <w:p w14:paraId="44FF1677" w14:textId="77777777" w:rsidR="00F33779" w:rsidRDefault="00F33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09A58" w14:textId="77777777" w:rsidR="0079333C" w:rsidRDefault="0079333C" w:rsidP="00F33779">
      <w:pPr>
        <w:spacing w:after="0" w:line="240" w:lineRule="auto"/>
      </w:pPr>
      <w:r>
        <w:separator/>
      </w:r>
    </w:p>
  </w:footnote>
  <w:footnote w:type="continuationSeparator" w:id="0">
    <w:p w14:paraId="0933ACAC" w14:textId="77777777" w:rsidR="0079333C" w:rsidRDefault="0079333C" w:rsidP="00F33779">
      <w:pPr>
        <w:spacing w:after="0" w:line="240" w:lineRule="auto"/>
      </w:pPr>
      <w:r>
        <w:continuationSeparator/>
      </w:r>
    </w:p>
  </w:footnote>
  <w:footnote w:id="1">
    <w:p w14:paraId="6475632A" w14:textId="539D216F" w:rsidR="00EE1E7A" w:rsidRPr="00A567F9" w:rsidRDefault="00EE1E7A" w:rsidP="00DE1AC0">
      <w:pPr>
        <w:pStyle w:val="FootnoteText"/>
        <w:jc w:val="both"/>
        <w:rPr>
          <w:rFonts w:ascii="Calibri Light" w:hAnsi="Calibri Light"/>
          <w:sz w:val="16"/>
          <w:szCs w:val="16"/>
        </w:rPr>
      </w:pPr>
      <w:r w:rsidRPr="00C24A94">
        <w:rPr>
          <w:rStyle w:val="FootnoteReference"/>
          <w:rFonts w:ascii="Cambria" w:hAnsi="Cambria"/>
          <w:sz w:val="16"/>
          <w:szCs w:val="16"/>
        </w:rPr>
        <w:footnoteRef/>
      </w:r>
      <w:r w:rsidRPr="00C24A94">
        <w:rPr>
          <w:rStyle w:val="FootnoteReference"/>
          <w:rFonts w:ascii="Cambria" w:hAnsi="Cambria"/>
          <w:sz w:val="16"/>
          <w:szCs w:val="16"/>
          <w:vertAlign w:val="baseline"/>
        </w:rPr>
        <w:t xml:space="preserve"> En adelante, </w:t>
      </w:r>
      <w:r w:rsidR="00C24A94" w:rsidRPr="00C24A94">
        <w:rPr>
          <w:rStyle w:val="FootnoteReference"/>
          <w:rFonts w:ascii="Cambria" w:hAnsi="Cambria"/>
          <w:sz w:val="16"/>
          <w:szCs w:val="16"/>
          <w:vertAlign w:val="baseline"/>
        </w:rPr>
        <w:t>“</w:t>
      </w:r>
      <w:r w:rsidRPr="00C24A94">
        <w:rPr>
          <w:rStyle w:val="FootnoteReference"/>
          <w:rFonts w:ascii="Cambria" w:hAnsi="Cambria"/>
          <w:sz w:val="16"/>
          <w:szCs w:val="16"/>
          <w:vertAlign w:val="baseline"/>
        </w:rPr>
        <w:t>Declaración Americana" o "Declaración</w:t>
      </w:r>
      <w:r w:rsidR="005E141C" w:rsidRPr="00C24A94">
        <w:rPr>
          <w:rStyle w:val="FootnoteReference"/>
          <w:rFonts w:ascii="Cambria" w:hAnsi="Cambria"/>
          <w:sz w:val="16"/>
          <w:szCs w:val="16"/>
          <w:vertAlign w:val="baseline"/>
        </w:rPr>
        <w:t>”</w:t>
      </w:r>
      <w:r w:rsidRPr="00C24A94">
        <w:rPr>
          <w:rStyle w:val="FootnoteReference"/>
          <w:rFonts w:ascii="Cambria" w:hAnsi="Cambria"/>
          <w:sz w:val="16"/>
          <w:szCs w:val="16"/>
          <w:vertAlign w:val="baseline"/>
        </w:rPr>
        <w:t>.</w:t>
      </w:r>
    </w:p>
  </w:footnote>
  <w:footnote w:id="2">
    <w:p w14:paraId="39F10E41" w14:textId="77777777" w:rsidR="00F33779" w:rsidRPr="00C114E9" w:rsidRDefault="00F33779" w:rsidP="00DE1AC0">
      <w:pPr>
        <w:pStyle w:val="FootnoteText"/>
        <w:jc w:val="both"/>
        <w:rPr>
          <w:rFonts w:ascii="Cambria" w:hAnsi="Cambria"/>
          <w:sz w:val="16"/>
          <w:szCs w:val="16"/>
          <w:lang w:val="es-MX"/>
        </w:rPr>
      </w:pPr>
      <w:r w:rsidRPr="00C24A94">
        <w:rPr>
          <w:rStyle w:val="FootnoteReference"/>
          <w:rFonts w:ascii="Cambria" w:hAnsi="Cambria"/>
          <w:sz w:val="16"/>
          <w:szCs w:val="16"/>
        </w:rPr>
        <w:footnoteRef/>
      </w:r>
      <w:r w:rsidRPr="00C114E9">
        <w:rPr>
          <w:rFonts w:ascii="Cambria" w:hAnsi="Cambria"/>
          <w:sz w:val="16"/>
          <w:szCs w:val="16"/>
          <w:lang w:val="es-MX"/>
        </w:rPr>
        <w:t xml:space="preserve"> Las observaciones de cada parte fueron debidamente trasladadas a la parte contraria.</w:t>
      </w:r>
    </w:p>
  </w:footnote>
  <w:footnote w:id="3">
    <w:p w14:paraId="3CAFC141" w14:textId="5D572B47" w:rsidR="005E141C" w:rsidRPr="00C114E9" w:rsidRDefault="005E141C" w:rsidP="00DE1AC0">
      <w:pPr>
        <w:pStyle w:val="FootnoteText"/>
        <w:jc w:val="both"/>
        <w:rPr>
          <w:rFonts w:ascii="Calibri Light" w:hAnsi="Calibri Light"/>
          <w:sz w:val="16"/>
          <w:szCs w:val="16"/>
          <w:lang w:val="es-MX"/>
        </w:rPr>
      </w:pPr>
      <w:r w:rsidRPr="00C24A94">
        <w:rPr>
          <w:rStyle w:val="FootnoteReference"/>
          <w:rFonts w:ascii="Cambria" w:hAnsi="Cambria"/>
          <w:sz w:val="16"/>
          <w:szCs w:val="16"/>
        </w:rPr>
        <w:footnoteRef/>
      </w:r>
      <w:r w:rsidRPr="00C114E9">
        <w:rPr>
          <w:rFonts w:ascii="Cambria" w:hAnsi="Cambria"/>
          <w:sz w:val="16"/>
          <w:szCs w:val="16"/>
          <w:lang w:val="es-MX"/>
        </w:rPr>
        <w:t xml:space="preserve"> El peticionario menciona un informe de Amnistía Internacional en el que esa organización habría concluido que el caso de la presunta víctima “no cumplió con los estándares internacionales mínimos para resguardar la imparcialidad del procedimiento judicial”.</w:t>
      </w:r>
    </w:p>
  </w:footnote>
  <w:footnote w:id="4">
    <w:p w14:paraId="3D95BB32" w14:textId="259E6471" w:rsidR="005E141C" w:rsidRPr="00C114E9" w:rsidRDefault="005E141C" w:rsidP="00DE1AC0">
      <w:pPr>
        <w:pStyle w:val="FootnoteText"/>
        <w:jc w:val="both"/>
        <w:rPr>
          <w:rFonts w:ascii="Cambria" w:hAnsi="Cambria"/>
          <w:sz w:val="16"/>
          <w:szCs w:val="16"/>
          <w:lang w:val="es-MX"/>
        </w:rPr>
      </w:pPr>
      <w:r w:rsidRPr="00C24A94">
        <w:rPr>
          <w:rStyle w:val="FootnoteReference"/>
          <w:rFonts w:ascii="Cambria" w:hAnsi="Cambria"/>
          <w:sz w:val="16"/>
          <w:szCs w:val="16"/>
        </w:rPr>
        <w:footnoteRef/>
      </w:r>
      <w:r w:rsidRPr="00C114E9">
        <w:rPr>
          <w:rFonts w:ascii="Cambria" w:hAnsi="Cambria"/>
          <w:sz w:val="16"/>
          <w:szCs w:val="16"/>
          <w:lang w:val="es-MX"/>
        </w:rPr>
        <w:t xml:space="preserve"> Según el peticionario, la presunta víctima era miembro del Partido Pantera Negra, defensor de MOVE (organización radical de Filadelfia), periodista sobre activismo, presidente electo de la Asociación Nacional de Periodistas Negros-Sección Filadelfia y defensor de derechos humanos, y por ello fue objeto de </w:t>
      </w:r>
      <w:r w:rsidR="007C6C2E" w:rsidRPr="00C114E9">
        <w:rPr>
          <w:rFonts w:ascii="Cambria" w:hAnsi="Cambria"/>
          <w:sz w:val="16"/>
          <w:szCs w:val="16"/>
          <w:lang w:val="es-MX"/>
        </w:rPr>
        <w:t>persecución</w:t>
      </w:r>
      <w:r w:rsidRPr="00C114E9">
        <w:rPr>
          <w:rFonts w:ascii="Cambria" w:hAnsi="Cambria"/>
          <w:sz w:val="16"/>
          <w:szCs w:val="16"/>
          <w:lang w:val="es-MX"/>
        </w:rPr>
        <w:t xml:space="preserve"> </w:t>
      </w:r>
      <w:r w:rsidR="007C6C2E" w:rsidRPr="00C114E9">
        <w:rPr>
          <w:rFonts w:ascii="Cambria" w:hAnsi="Cambria"/>
          <w:sz w:val="16"/>
          <w:szCs w:val="16"/>
          <w:lang w:val="es-MX"/>
        </w:rPr>
        <w:t xml:space="preserve">por parte </w:t>
      </w:r>
      <w:r w:rsidRPr="00C114E9">
        <w:rPr>
          <w:rFonts w:ascii="Cambria" w:hAnsi="Cambria"/>
          <w:sz w:val="16"/>
          <w:szCs w:val="16"/>
          <w:lang w:val="es-MX"/>
        </w:rPr>
        <w:t xml:space="preserve">del FBI, que elaboró un expediente de alrededor de 800 páginas sobre </w:t>
      </w:r>
      <w:r w:rsidR="007C6C2E" w:rsidRPr="00C114E9">
        <w:rPr>
          <w:rFonts w:ascii="Cambria" w:hAnsi="Cambria"/>
          <w:sz w:val="16"/>
          <w:szCs w:val="16"/>
          <w:lang w:val="es-MX"/>
        </w:rPr>
        <w:t>ella</w:t>
      </w:r>
      <w:r w:rsidRPr="00C114E9">
        <w:rPr>
          <w:rFonts w:ascii="Cambria" w:hAnsi="Cambria"/>
          <w:sz w:val="16"/>
          <w:szCs w:val="16"/>
          <w:lang w:val="es-MX"/>
        </w:rPr>
        <w:t>. A pesar de l</w:t>
      </w:r>
      <w:r w:rsidR="007C6C2E" w:rsidRPr="00C114E9">
        <w:rPr>
          <w:rFonts w:ascii="Cambria" w:hAnsi="Cambria"/>
          <w:sz w:val="16"/>
          <w:szCs w:val="16"/>
          <w:lang w:val="es-MX"/>
        </w:rPr>
        <w:t>a persecución constante</w:t>
      </w:r>
      <w:r w:rsidRPr="00C114E9">
        <w:rPr>
          <w:rFonts w:ascii="Cambria" w:hAnsi="Cambria"/>
          <w:sz w:val="16"/>
          <w:szCs w:val="16"/>
          <w:lang w:val="es-MX"/>
        </w:rPr>
        <w:t>, al momento de su arresto</w:t>
      </w:r>
      <w:r w:rsidR="007C6C2E" w:rsidRPr="00C114E9">
        <w:rPr>
          <w:rFonts w:ascii="Cambria" w:hAnsi="Cambria"/>
          <w:sz w:val="16"/>
          <w:szCs w:val="16"/>
          <w:lang w:val="es-MX"/>
        </w:rPr>
        <w:t>, ésta</w:t>
      </w:r>
      <w:r w:rsidRPr="00C114E9">
        <w:rPr>
          <w:rFonts w:ascii="Cambria" w:hAnsi="Cambria"/>
          <w:sz w:val="16"/>
          <w:szCs w:val="16"/>
          <w:lang w:val="es-MX"/>
        </w:rPr>
        <w:t xml:space="preserve"> no tenía antecedentes penales.</w:t>
      </w:r>
    </w:p>
  </w:footnote>
  <w:footnote w:id="5">
    <w:p w14:paraId="343B4C2D" w14:textId="77777777" w:rsidR="005E141C" w:rsidRPr="00C114E9" w:rsidRDefault="005E141C" w:rsidP="00DE1AC0">
      <w:pPr>
        <w:pStyle w:val="FootnoteText"/>
        <w:jc w:val="both"/>
        <w:rPr>
          <w:rFonts w:ascii="Calibri Light" w:hAnsi="Calibri Light"/>
          <w:sz w:val="16"/>
          <w:szCs w:val="16"/>
          <w:lang w:val="es-MX"/>
        </w:rPr>
      </w:pPr>
      <w:r w:rsidRPr="00C24A94">
        <w:rPr>
          <w:rStyle w:val="FootnoteReference"/>
          <w:rFonts w:ascii="Cambria" w:hAnsi="Cambria"/>
          <w:sz w:val="16"/>
          <w:szCs w:val="16"/>
        </w:rPr>
        <w:footnoteRef/>
      </w:r>
      <w:r w:rsidRPr="00C114E9">
        <w:rPr>
          <w:rFonts w:ascii="Cambria" w:hAnsi="Cambria"/>
          <w:sz w:val="16"/>
          <w:szCs w:val="16"/>
          <w:lang w:val="es-MX"/>
        </w:rPr>
        <w:t xml:space="preserve"> Según la petición, esto fue posterior a la lectura ilegal de las comunicaciones confidenciales entre la presunta víctima y su abogado.</w:t>
      </w:r>
    </w:p>
  </w:footnote>
  <w:footnote w:id="6">
    <w:p w14:paraId="61E61A1C" w14:textId="2DB439AB" w:rsidR="005E141C" w:rsidRPr="00C114E9" w:rsidRDefault="005E141C" w:rsidP="00DE1AC0">
      <w:pPr>
        <w:pStyle w:val="FootnoteText"/>
        <w:jc w:val="both"/>
        <w:rPr>
          <w:rFonts w:ascii="Calibri Light" w:hAnsi="Calibri Light"/>
          <w:sz w:val="16"/>
          <w:szCs w:val="16"/>
          <w:lang w:val="es-MX"/>
        </w:rPr>
      </w:pPr>
      <w:r w:rsidRPr="00C24A94">
        <w:rPr>
          <w:rStyle w:val="FootnoteReference"/>
          <w:rFonts w:ascii="Cambria" w:hAnsi="Cambria"/>
          <w:sz w:val="16"/>
          <w:szCs w:val="16"/>
        </w:rPr>
        <w:footnoteRef/>
      </w:r>
      <w:r w:rsidR="00E828CE">
        <w:rPr>
          <w:rFonts w:ascii="Cambria" w:hAnsi="Cambria"/>
          <w:sz w:val="16"/>
          <w:szCs w:val="16"/>
          <w:lang w:val="es-MX"/>
        </w:rPr>
        <w:t xml:space="preserve"> </w:t>
      </w:r>
      <w:r w:rsidR="00615E05" w:rsidRPr="00C114E9">
        <w:rPr>
          <w:rFonts w:ascii="Cambria" w:hAnsi="Cambria"/>
          <w:sz w:val="16"/>
          <w:szCs w:val="16"/>
          <w:lang w:val="es-MX"/>
        </w:rPr>
        <w:t>En ella</w:t>
      </w:r>
      <w:r w:rsidRPr="00C114E9">
        <w:rPr>
          <w:rFonts w:ascii="Cambria" w:hAnsi="Cambria"/>
          <w:sz w:val="16"/>
          <w:szCs w:val="16"/>
          <w:lang w:val="es-MX"/>
        </w:rPr>
        <w:t xml:space="preserve"> la presunta víctima sostuvo que su condena </w:t>
      </w:r>
      <w:r w:rsidR="00615E05" w:rsidRPr="00C114E9">
        <w:rPr>
          <w:rFonts w:ascii="Cambria" w:hAnsi="Cambria"/>
          <w:sz w:val="16"/>
          <w:szCs w:val="16"/>
          <w:lang w:val="es-MX"/>
        </w:rPr>
        <w:t xml:space="preserve">debería ser anulada </w:t>
      </w:r>
      <w:proofErr w:type="gramStart"/>
      <w:r w:rsidRPr="00C114E9">
        <w:rPr>
          <w:rFonts w:ascii="Cambria" w:hAnsi="Cambria"/>
          <w:sz w:val="16"/>
          <w:szCs w:val="16"/>
          <w:lang w:val="es-MX"/>
        </w:rPr>
        <w:t>debido</w:t>
      </w:r>
      <w:proofErr w:type="gramEnd"/>
      <w:r w:rsidRPr="00C114E9">
        <w:rPr>
          <w:rFonts w:ascii="Cambria" w:hAnsi="Cambria"/>
          <w:sz w:val="16"/>
          <w:szCs w:val="16"/>
          <w:lang w:val="es-MX"/>
        </w:rPr>
        <w:t xml:space="preserve"> que la pericia balística usada en su caso ahora </w:t>
      </w:r>
      <w:r w:rsidR="0012251A" w:rsidRPr="00C114E9">
        <w:rPr>
          <w:rFonts w:ascii="Cambria" w:hAnsi="Cambria"/>
          <w:sz w:val="16"/>
          <w:szCs w:val="16"/>
          <w:lang w:val="es-MX"/>
        </w:rPr>
        <w:t>se</w:t>
      </w:r>
      <w:r w:rsidRPr="00C114E9">
        <w:rPr>
          <w:rFonts w:ascii="Cambria" w:hAnsi="Cambria"/>
          <w:sz w:val="16"/>
          <w:szCs w:val="16"/>
          <w:lang w:val="es-MX"/>
        </w:rPr>
        <w:t xml:space="preserve"> considera</w:t>
      </w:r>
      <w:r w:rsidR="0012251A" w:rsidRPr="00C114E9">
        <w:rPr>
          <w:rFonts w:ascii="Cambria" w:hAnsi="Cambria"/>
          <w:sz w:val="16"/>
          <w:szCs w:val="16"/>
          <w:lang w:val="es-MX"/>
        </w:rPr>
        <w:t>ba</w:t>
      </w:r>
      <w:r w:rsidRPr="00C114E9">
        <w:rPr>
          <w:rFonts w:ascii="Cambria" w:hAnsi="Cambria"/>
          <w:sz w:val="16"/>
          <w:szCs w:val="16"/>
          <w:lang w:val="es-MX"/>
        </w:rPr>
        <w:t xml:space="preserve"> inválida.</w:t>
      </w:r>
    </w:p>
  </w:footnote>
  <w:footnote w:id="7">
    <w:p w14:paraId="5C63D597" w14:textId="396E2217" w:rsidR="00DF71E0" w:rsidRPr="00C114E9" w:rsidRDefault="00DF71E0" w:rsidP="00DF71E0">
      <w:pPr>
        <w:pStyle w:val="FootnoteText"/>
        <w:jc w:val="both"/>
        <w:rPr>
          <w:rFonts w:ascii="Cambria" w:hAnsi="Cambria"/>
          <w:lang w:val="es-MX"/>
        </w:rPr>
      </w:pPr>
      <w:r w:rsidRPr="00C24A94">
        <w:rPr>
          <w:rStyle w:val="FootnoteReference"/>
          <w:rFonts w:ascii="Cambria" w:hAnsi="Cambria"/>
          <w:sz w:val="16"/>
          <w:szCs w:val="16"/>
        </w:rPr>
        <w:footnoteRef/>
      </w:r>
      <w:r w:rsidRPr="00C114E9">
        <w:rPr>
          <w:rFonts w:ascii="Cambria" w:hAnsi="Cambria"/>
          <w:sz w:val="16"/>
          <w:szCs w:val="16"/>
          <w:lang w:val="es-MX"/>
        </w:rPr>
        <w:t xml:space="preserve"> Alegó, entre otros, que la fiscalía hizo recusaciones sin causa de forma racialmente discriminatoria, que la corte incurrió en un error al denegar su </w:t>
      </w:r>
      <w:r w:rsidR="007764F1" w:rsidRPr="00C114E9">
        <w:rPr>
          <w:rFonts w:ascii="Cambria" w:hAnsi="Cambria"/>
          <w:sz w:val="16"/>
          <w:szCs w:val="16"/>
          <w:lang w:val="es-MX"/>
        </w:rPr>
        <w:t>recusación con causa</w:t>
      </w:r>
      <w:r w:rsidRPr="00C114E9">
        <w:rPr>
          <w:rFonts w:ascii="Cambria" w:hAnsi="Cambria"/>
          <w:sz w:val="16"/>
          <w:szCs w:val="16"/>
          <w:lang w:val="es-MX"/>
        </w:rPr>
        <w:t xml:space="preserve"> en relación con un suplente del jurado, </w:t>
      </w:r>
      <w:r w:rsidR="007764F1" w:rsidRPr="00C114E9">
        <w:rPr>
          <w:rFonts w:ascii="Cambria" w:hAnsi="Cambria"/>
          <w:sz w:val="16"/>
          <w:szCs w:val="16"/>
          <w:lang w:val="es-MX"/>
        </w:rPr>
        <w:t xml:space="preserve">que </w:t>
      </w:r>
      <w:r w:rsidRPr="00C114E9">
        <w:rPr>
          <w:rFonts w:ascii="Cambria" w:hAnsi="Cambria"/>
          <w:sz w:val="16"/>
          <w:szCs w:val="16"/>
          <w:lang w:val="es-MX"/>
        </w:rPr>
        <w:t>el tribunal de primera instancia hizo un uso abusivo de la facultad discrecional al destina</w:t>
      </w:r>
      <w:r w:rsidR="007764F1" w:rsidRPr="00C114E9">
        <w:rPr>
          <w:rFonts w:ascii="Cambria" w:hAnsi="Cambria"/>
          <w:sz w:val="16"/>
          <w:szCs w:val="16"/>
          <w:lang w:val="es-MX"/>
        </w:rPr>
        <w:t>r</w:t>
      </w:r>
      <w:r w:rsidRPr="00C114E9">
        <w:rPr>
          <w:rFonts w:ascii="Cambria" w:hAnsi="Cambria"/>
          <w:sz w:val="16"/>
          <w:szCs w:val="16"/>
          <w:lang w:val="es-MX"/>
        </w:rPr>
        <w:t xml:space="preserve"> medi</w:t>
      </w:r>
      <w:r w:rsidR="007764F1" w:rsidRPr="00C114E9">
        <w:rPr>
          <w:rFonts w:ascii="Cambria" w:hAnsi="Cambria"/>
          <w:sz w:val="16"/>
          <w:szCs w:val="16"/>
          <w:lang w:val="es-MX"/>
        </w:rPr>
        <w:t>o</w:t>
      </w:r>
      <w:r w:rsidRPr="00C114E9">
        <w:rPr>
          <w:rFonts w:ascii="Cambria" w:hAnsi="Cambria"/>
          <w:sz w:val="16"/>
          <w:szCs w:val="16"/>
          <w:lang w:val="es-MX"/>
        </w:rPr>
        <w:t xml:space="preserve"> </w:t>
      </w:r>
      <w:r w:rsidR="007764F1" w:rsidRPr="00C114E9">
        <w:rPr>
          <w:rFonts w:ascii="Cambria" w:hAnsi="Cambria"/>
          <w:sz w:val="16"/>
          <w:szCs w:val="16"/>
          <w:lang w:val="es-MX"/>
        </w:rPr>
        <w:t>día</w:t>
      </w:r>
      <w:r w:rsidRPr="00C114E9">
        <w:rPr>
          <w:rFonts w:ascii="Cambria" w:hAnsi="Cambria"/>
          <w:sz w:val="16"/>
          <w:szCs w:val="16"/>
          <w:lang w:val="es-MX"/>
        </w:rPr>
        <w:t xml:space="preserve"> </w:t>
      </w:r>
      <w:r w:rsidR="007764F1" w:rsidRPr="00C114E9">
        <w:rPr>
          <w:rFonts w:ascii="Cambria" w:hAnsi="Cambria"/>
          <w:sz w:val="16"/>
          <w:szCs w:val="16"/>
          <w:lang w:val="es-MX"/>
        </w:rPr>
        <w:t>a</w:t>
      </w:r>
      <w:r w:rsidRPr="00C114E9">
        <w:rPr>
          <w:rFonts w:ascii="Cambria" w:hAnsi="Cambria"/>
          <w:sz w:val="16"/>
          <w:szCs w:val="16"/>
          <w:lang w:val="es-MX"/>
        </w:rPr>
        <w:t xml:space="preserve">l procedimiento de </w:t>
      </w:r>
      <w:proofErr w:type="spellStart"/>
      <w:r w:rsidRPr="00C114E9">
        <w:rPr>
          <w:rFonts w:ascii="Cambria" w:hAnsi="Cambria"/>
          <w:i/>
          <w:iCs/>
          <w:sz w:val="16"/>
          <w:szCs w:val="16"/>
          <w:lang w:val="es-MX"/>
        </w:rPr>
        <w:t>voir</w:t>
      </w:r>
      <w:proofErr w:type="spellEnd"/>
      <w:r w:rsidRPr="00C114E9">
        <w:rPr>
          <w:rFonts w:ascii="Cambria" w:hAnsi="Cambria"/>
          <w:i/>
          <w:iCs/>
          <w:sz w:val="16"/>
          <w:szCs w:val="16"/>
          <w:lang w:val="es-MX"/>
        </w:rPr>
        <w:t xml:space="preserve"> </w:t>
      </w:r>
      <w:proofErr w:type="spellStart"/>
      <w:r w:rsidRPr="00C114E9">
        <w:rPr>
          <w:rFonts w:ascii="Cambria" w:hAnsi="Cambria"/>
          <w:i/>
          <w:iCs/>
          <w:sz w:val="16"/>
          <w:szCs w:val="16"/>
          <w:lang w:val="es-MX"/>
        </w:rPr>
        <w:t>dire</w:t>
      </w:r>
      <w:proofErr w:type="spellEnd"/>
      <w:r w:rsidRPr="00C114E9">
        <w:rPr>
          <w:rFonts w:ascii="Cambria" w:hAnsi="Cambria"/>
          <w:sz w:val="16"/>
          <w:szCs w:val="16"/>
          <w:lang w:val="es-MX"/>
        </w:rPr>
        <w:t xml:space="preserve">, </w:t>
      </w:r>
      <w:r w:rsidR="007764F1" w:rsidRPr="00C114E9">
        <w:rPr>
          <w:rFonts w:ascii="Cambria" w:hAnsi="Cambria"/>
          <w:sz w:val="16"/>
          <w:szCs w:val="16"/>
          <w:lang w:val="es-MX"/>
        </w:rPr>
        <w:t xml:space="preserve">que </w:t>
      </w:r>
      <w:r w:rsidRPr="00C114E9">
        <w:rPr>
          <w:rFonts w:ascii="Cambria" w:hAnsi="Cambria"/>
          <w:sz w:val="16"/>
          <w:szCs w:val="16"/>
          <w:lang w:val="es-MX"/>
        </w:rPr>
        <w:t xml:space="preserve">la corte incurrió en </w:t>
      </w:r>
      <w:r w:rsidR="007764F1" w:rsidRPr="00C114E9">
        <w:rPr>
          <w:rFonts w:ascii="Cambria" w:hAnsi="Cambria"/>
          <w:sz w:val="16"/>
          <w:szCs w:val="16"/>
          <w:lang w:val="es-MX"/>
        </w:rPr>
        <w:t>un error</w:t>
      </w:r>
      <w:r w:rsidRPr="00C114E9">
        <w:rPr>
          <w:rFonts w:ascii="Cambria" w:hAnsi="Cambria"/>
          <w:sz w:val="16"/>
          <w:szCs w:val="16"/>
          <w:lang w:val="es-MX"/>
        </w:rPr>
        <w:t xml:space="preserve"> al permitir al estado someter a los testigos de carácter a contrainterrogatorio, </w:t>
      </w:r>
      <w:r w:rsidR="007764F1" w:rsidRPr="00C114E9">
        <w:rPr>
          <w:rFonts w:ascii="Cambria" w:hAnsi="Cambria"/>
          <w:sz w:val="16"/>
          <w:szCs w:val="16"/>
          <w:lang w:val="es-MX"/>
        </w:rPr>
        <w:t xml:space="preserve">que </w:t>
      </w:r>
      <w:r w:rsidRPr="00C114E9">
        <w:rPr>
          <w:rFonts w:ascii="Cambria" w:hAnsi="Cambria"/>
          <w:sz w:val="16"/>
          <w:szCs w:val="16"/>
          <w:lang w:val="es-MX"/>
        </w:rPr>
        <w:t xml:space="preserve">los comentarios de la fiscalía durante los alegatos finales y </w:t>
      </w:r>
      <w:r w:rsidR="008958C4" w:rsidRPr="00C114E9">
        <w:rPr>
          <w:rFonts w:ascii="Cambria" w:hAnsi="Cambria"/>
          <w:sz w:val="16"/>
          <w:szCs w:val="16"/>
          <w:lang w:val="es-MX"/>
        </w:rPr>
        <w:t xml:space="preserve">la etapa de sentencia </w:t>
      </w:r>
      <w:r w:rsidRPr="00C114E9">
        <w:rPr>
          <w:rFonts w:ascii="Cambria" w:hAnsi="Cambria"/>
          <w:sz w:val="16"/>
          <w:szCs w:val="16"/>
          <w:lang w:val="es-MX"/>
        </w:rPr>
        <w:t xml:space="preserve">fueron inoportunos, </w:t>
      </w:r>
      <w:r w:rsidR="007764F1" w:rsidRPr="00C114E9">
        <w:rPr>
          <w:rFonts w:ascii="Cambria" w:hAnsi="Cambria"/>
          <w:sz w:val="16"/>
          <w:szCs w:val="16"/>
          <w:lang w:val="es-MX"/>
        </w:rPr>
        <w:t xml:space="preserve">que </w:t>
      </w:r>
      <w:r w:rsidRPr="00C114E9">
        <w:rPr>
          <w:rFonts w:ascii="Cambria" w:hAnsi="Cambria"/>
          <w:sz w:val="16"/>
          <w:szCs w:val="16"/>
          <w:lang w:val="es-MX"/>
        </w:rPr>
        <w:t xml:space="preserve">no </w:t>
      </w:r>
      <w:r w:rsidR="007764F1" w:rsidRPr="00C114E9">
        <w:rPr>
          <w:rFonts w:ascii="Cambria" w:hAnsi="Cambria"/>
          <w:sz w:val="16"/>
          <w:szCs w:val="16"/>
          <w:lang w:val="es-MX"/>
        </w:rPr>
        <w:t>d</w:t>
      </w:r>
      <w:r w:rsidRPr="00C114E9">
        <w:rPr>
          <w:rFonts w:ascii="Cambria" w:hAnsi="Cambria"/>
          <w:sz w:val="16"/>
          <w:szCs w:val="16"/>
          <w:lang w:val="es-MX"/>
        </w:rPr>
        <w:t xml:space="preserve">ebió </w:t>
      </w:r>
      <w:r w:rsidR="007764F1" w:rsidRPr="00C114E9">
        <w:rPr>
          <w:rFonts w:ascii="Cambria" w:hAnsi="Cambria"/>
          <w:sz w:val="16"/>
          <w:szCs w:val="16"/>
          <w:lang w:val="es-MX"/>
        </w:rPr>
        <w:t>permitirse</w:t>
      </w:r>
      <w:r w:rsidRPr="00C114E9">
        <w:rPr>
          <w:rFonts w:ascii="Cambria" w:hAnsi="Cambria"/>
          <w:sz w:val="16"/>
          <w:szCs w:val="16"/>
          <w:lang w:val="es-MX"/>
        </w:rPr>
        <w:t xml:space="preserve"> a la fiscalía </w:t>
      </w:r>
      <w:r w:rsidR="007764F1" w:rsidRPr="00C114E9">
        <w:rPr>
          <w:rFonts w:ascii="Cambria" w:hAnsi="Cambria"/>
          <w:sz w:val="16"/>
          <w:szCs w:val="16"/>
          <w:lang w:val="es-MX"/>
        </w:rPr>
        <w:t xml:space="preserve">someterlo a </w:t>
      </w:r>
      <w:r w:rsidRPr="00C114E9">
        <w:rPr>
          <w:rFonts w:ascii="Cambria" w:hAnsi="Cambria"/>
          <w:sz w:val="16"/>
          <w:szCs w:val="16"/>
          <w:lang w:val="es-MX"/>
        </w:rPr>
        <w:t xml:space="preserve">contrainterrogarlo en la </w:t>
      </w:r>
      <w:r w:rsidR="008958C4" w:rsidRPr="00C114E9">
        <w:rPr>
          <w:rFonts w:ascii="Cambria" w:hAnsi="Cambria"/>
          <w:sz w:val="16"/>
          <w:szCs w:val="16"/>
          <w:lang w:val="es-MX"/>
        </w:rPr>
        <w:t>etapa de sentencia</w:t>
      </w:r>
      <w:r w:rsidR="007764F1" w:rsidRPr="00C114E9">
        <w:rPr>
          <w:rFonts w:ascii="Cambria" w:hAnsi="Cambria"/>
          <w:sz w:val="16"/>
          <w:szCs w:val="16"/>
          <w:lang w:val="es-MX"/>
        </w:rPr>
        <w:t xml:space="preserve"> y</w:t>
      </w:r>
      <w:r w:rsidRPr="00C114E9">
        <w:rPr>
          <w:rFonts w:ascii="Cambria" w:hAnsi="Cambria"/>
          <w:sz w:val="16"/>
          <w:szCs w:val="16"/>
          <w:lang w:val="es-MX"/>
        </w:rPr>
        <w:t xml:space="preserve"> </w:t>
      </w:r>
      <w:r w:rsidR="007764F1" w:rsidRPr="00C114E9">
        <w:rPr>
          <w:rFonts w:ascii="Cambria" w:hAnsi="Cambria"/>
          <w:sz w:val="16"/>
          <w:szCs w:val="16"/>
          <w:lang w:val="es-MX"/>
        </w:rPr>
        <w:t xml:space="preserve">que </w:t>
      </w:r>
      <w:r w:rsidRPr="00C114E9">
        <w:rPr>
          <w:rFonts w:ascii="Cambria" w:hAnsi="Cambria"/>
          <w:sz w:val="16"/>
          <w:szCs w:val="16"/>
          <w:lang w:val="es-MX"/>
        </w:rPr>
        <w:t>la pena de muerte es inconstitucional.</w:t>
      </w:r>
    </w:p>
  </w:footnote>
  <w:footnote w:id="8">
    <w:p w14:paraId="5384941D" w14:textId="17790BDE" w:rsidR="005E141C" w:rsidRPr="00C114E9" w:rsidRDefault="005E141C" w:rsidP="00DE1AC0">
      <w:pPr>
        <w:pStyle w:val="FootnoteText"/>
        <w:jc w:val="both"/>
        <w:rPr>
          <w:rFonts w:ascii="Cambria" w:hAnsi="Cambria"/>
          <w:sz w:val="16"/>
          <w:szCs w:val="16"/>
          <w:lang w:val="es-MX"/>
        </w:rPr>
      </w:pPr>
      <w:r w:rsidRPr="00C24A94">
        <w:rPr>
          <w:rStyle w:val="FootnoteReference"/>
          <w:rFonts w:ascii="Cambria" w:hAnsi="Cambria"/>
          <w:sz w:val="16"/>
          <w:szCs w:val="16"/>
        </w:rPr>
        <w:footnoteRef/>
      </w:r>
      <w:r w:rsidRPr="00C114E9">
        <w:rPr>
          <w:rFonts w:ascii="Cambria" w:hAnsi="Cambria"/>
          <w:sz w:val="16"/>
          <w:szCs w:val="16"/>
          <w:lang w:val="es-MX"/>
        </w:rPr>
        <w:t xml:space="preserve"> La presunta víctima sostuvo que la acción del tribunal de primera instancia se llevó a cabo sin la previa notificación al señor Abu-Jamal o </w:t>
      </w:r>
      <w:r w:rsidR="00DF71E0" w:rsidRPr="00C114E9">
        <w:rPr>
          <w:rFonts w:ascii="Cambria" w:hAnsi="Cambria"/>
          <w:sz w:val="16"/>
          <w:szCs w:val="16"/>
          <w:lang w:val="es-MX"/>
        </w:rPr>
        <w:t xml:space="preserve">a </w:t>
      </w:r>
      <w:r w:rsidRPr="00C114E9">
        <w:rPr>
          <w:rFonts w:ascii="Cambria" w:hAnsi="Cambria"/>
          <w:sz w:val="16"/>
          <w:szCs w:val="16"/>
          <w:lang w:val="es-MX"/>
        </w:rPr>
        <w:t>su abogado y sin darle la oportunidad de estar presente o declarar en la audiencia de sentencia; por lo que considera que se violaron las garantías del debido proceso del derecho estatal, nacional e internacional.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5ECA" w14:textId="77777777" w:rsidR="00F33779" w:rsidRDefault="00F33779" w:rsidP="00FA21D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07374A" w14:textId="77777777" w:rsidR="00F33779" w:rsidRDefault="00F33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0BF6" w14:textId="6A694DB2" w:rsidR="00F33779" w:rsidRDefault="00C114E9" w:rsidP="00FA21DD">
    <w:pPr>
      <w:pStyle w:val="Header"/>
      <w:tabs>
        <w:tab w:val="clear" w:pos="4320"/>
        <w:tab w:val="clear" w:pos="8640"/>
      </w:tabs>
      <w:jc w:val="center"/>
      <w:rPr>
        <w:sz w:val="22"/>
        <w:szCs w:val="22"/>
      </w:rPr>
    </w:pPr>
    <w:r>
      <w:rPr>
        <w:noProof/>
        <w:sz w:val="22"/>
        <w:szCs w:val="22"/>
      </w:rPr>
      <w:drawing>
        <wp:inline distT="0" distB="0" distL="0" distR="0" wp14:anchorId="43886119" wp14:editId="5177579F">
          <wp:extent cx="1971675" cy="103505"/>
          <wp:effectExtent l="0" t="0" r="9525" b="0"/>
          <wp:docPr id="5" name="Picture 1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3505"/>
                  </a:xfrm>
                  <a:prstGeom prst="rect">
                    <a:avLst/>
                  </a:prstGeom>
                  <a:noFill/>
                  <a:ln>
                    <a:noFill/>
                  </a:ln>
                </pic:spPr>
              </pic:pic>
            </a:graphicData>
          </a:graphic>
        </wp:inline>
      </w:drawing>
    </w:r>
  </w:p>
  <w:p w14:paraId="78EED7FF" w14:textId="77777777" w:rsidR="00F33779" w:rsidRPr="00EC7D62" w:rsidRDefault="0079333C" w:rsidP="00FA21DD">
    <w:pPr>
      <w:pStyle w:val="Header"/>
      <w:tabs>
        <w:tab w:val="clear" w:pos="4320"/>
        <w:tab w:val="clear" w:pos="8640"/>
      </w:tabs>
      <w:jc w:val="center"/>
      <w:rPr>
        <w:sz w:val="22"/>
        <w:szCs w:val="22"/>
      </w:rPr>
    </w:pPr>
    <w:r>
      <w:rPr>
        <w:sz w:val="22"/>
        <w:szCs w:val="22"/>
      </w:rPr>
      <w:pict w14:anchorId="62FB37A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9246" w14:textId="77777777" w:rsidR="000A63D0" w:rsidRDefault="000A6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CF17A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79"/>
    <w:rsid w:val="00030D09"/>
    <w:rsid w:val="00055F33"/>
    <w:rsid w:val="00064F5D"/>
    <w:rsid w:val="00074D44"/>
    <w:rsid w:val="00082246"/>
    <w:rsid w:val="00093425"/>
    <w:rsid w:val="000A63D0"/>
    <w:rsid w:val="0012251A"/>
    <w:rsid w:val="001268A9"/>
    <w:rsid w:val="00134496"/>
    <w:rsid w:val="001416A6"/>
    <w:rsid w:val="00171FB0"/>
    <w:rsid w:val="0019553E"/>
    <w:rsid w:val="001B46CF"/>
    <w:rsid w:val="001C4463"/>
    <w:rsid w:val="00200960"/>
    <w:rsid w:val="002604E8"/>
    <w:rsid w:val="00262F02"/>
    <w:rsid w:val="00292870"/>
    <w:rsid w:val="004428C9"/>
    <w:rsid w:val="00476E8E"/>
    <w:rsid w:val="004D3D9A"/>
    <w:rsid w:val="00575B7C"/>
    <w:rsid w:val="005D0B10"/>
    <w:rsid w:val="005D5AE8"/>
    <w:rsid w:val="005E141C"/>
    <w:rsid w:val="00615E05"/>
    <w:rsid w:val="0068376D"/>
    <w:rsid w:val="00691DA9"/>
    <w:rsid w:val="00711D8C"/>
    <w:rsid w:val="00717B9A"/>
    <w:rsid w:val="00717E17"/>
    <w:rsid w:val="007764F1"/>
    <w:rsid w:val="0079333C"/>
    <w:rsid w:val="007B02CA"/>
    <w:rsid w:val="007B134D"/>
    <w:rsid w:val="007B164A"/>
    <w:rsid w:val="007C6C2E"/>
    <w:rsid w:val="007F0BE7"/>
    <w:rsid w:val="007F14CB"/>
    <w:rsid w:val="00804D81"/>
    <w:rsid w:val="00811CD9"/>
    <w:rsid w:val="00840227"/>
    <w:rsid w:val="008425E7"/>
    <w:rsid w:val="008442FF"/>
    <w:rsid w:val="008824FA"/>
    <w:rsid w:val="008867BC"/>
    <w:rsid w:val="008958C4"/>
    <w:rsid w:val="008C0C2C"/>
    <w:rsid w:val="008C221B"/>
    <w:rsid w:val="008E2E74"/>
    <w:rsid w:val="00904C2D"/>
    <w:rsid w:val="00906C48"/>
    <w:rsid w:val="009703E8"/>
    <w:rsid w:val="0098262B"/>
    <w:rsid w:val="00A05391"/>
    <w:rsid w:val="00A265AA"/>
    <w:rsid w:val="00A34038"/>
    <w:rsid w:val="00A567F9"/>
    <w:rsid w:val="00A73C16"/>
    <w:rsid w:val="00AB40D0"/>
    <w:rsid w:val="00AE1004"/>
    <w:rsid w:val="00AF7656"/>
    <w:rsid w:val="00B23C04"/>
    <w:rsid w:val="00B57B8C"/>
    <w:rsid w:val="00C114E9"/>
    <w:rsid w:val="00C23C98"/>
    <w:rsid w:val="00C24A94"/>
    <w:rsid w:val="00C52B3D"/>
    <w:rsid w:val="00C94BE6"/>
    <w:rsid w:val="00CA3A5B"/>
    <w:rsid w:val="00CD1A94"/>
    <w:rsid w:val="00CE3055"/>
    <w:rsid w:val="00CF0427"/>
    <w:rsid w:val="00D07C5E"/>
    <w:rsid w:val="00D45318"/>
    <w:rsid w:val="00D74DCF"/>
    <w:rsid w:val="00D92EC7"/>
    <w:rsid w:val="00DA0BFF"/>
    <w:rsid w:val="00DB25EF"/>
    <w:rsid w:val="00DE1AC0"/>
    <w:rsid w:val="00DF71E0"/>
    <w:rsid w:val="00E03DC0"/>
    <w:rsid w:val="00E06028"/>
    <w:rsid w:val="00E67C93"/>
    <w:rsid w:val="00E828CE"/>
    <w:rsid w:val="00EA5EF5"/>
    <w:rsid w:val="00ED2B6D"/>
    <w:rsid w:val="00EE1E7A"/>
    <w:rsid w:val="00F33779"/>
    <w:rsid w:val="00F90263"/>
    <w:rsid w:val="00F92A7D"/>
    <w:rsid w:val="00FA21DD"/>
    <w:rsid w:val="00FB4045"/>
    <w:rsid w:val="00FE4BB7"/>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F3377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F33779"/>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F33779"/>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F33779"/>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rsid w:val="00F33779"/>
    <w:rPr>
      <w:rFonts w:cs="Calibri"/>
      <w:color w:val="000000"/>
      <w:u w:color="000000"/>
      <w:bdr w:val="nil"/>
      <w:lang w:eastAsia="es-ES"/>
    </w:rPr>
  </w:style>
  <w:style w:type="paragraph" w:styleId="Header">
    <w:name w:val="header"/>
    <w:aliases w:val="encabezado"/>
    <w:basedOn w:val="Normal"/>
    <w:link w:val="HeaderChar"/>
    <w:rsid w:val="00F33779"/>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F33779"/>
    <w:rPr>
      <w:rFonts w:ascii="Univers" w:eastAsia="Times New Roman" w:hAnsi="Univers" w:cs="Univers"/>
      <w:sz w:val="24"/>
      <w:szCs w:val="24"/>
    </w:rPr>
  </w:style>
  <w:style w:type="character" w:styleId="PageNumber">
    <w:name w:val="page number"/>
    <w:rsid w:val="00F33779"/>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nhideWhenUsed/>
    <w:rsid w:val="00F33779"/>
    <w:rPr>
      <w:vertAlign w:val="superscript"/>
    </w:rPr>
  </w:style>
  <w:style w:type="table" w:styleId="TableGrid">
    <w:name w:val="Table Grid"/>
    <w:basedOn w:val="TableNormal"/>
    <w:uiPriority w:val="59"/>
    <w:rsid w:val="00F33779"/>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00960"/>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rsid w:val="00200960"/>
    <w:rPr>
      <w:rFonts w:ascii="Times New Roman" w:eastAsia="Times New Roman" w:hAnsi="Times New Roman"/>
      <w:sz w:val="24"/>
      <w:szCs w:val="24"/>
    </w:rPr>
  </w:style>
  <w:style w:type="numbering" w:customStyle="1" w:styleId="List1">
    <w:name w:val="List 1"/>
    <w:basedOn w:val="NoList"/>
    <w:rsid w:val="005E141C"/>
    <w:pPr>
      <w:numPr>
        <w:numId w:val="5"/>
      </w:numPr>
    </w:pPr>
  </w:style>
  <w:style w:type="paragraph" w:styleId="BalloonText">
    <w:name w:val="Balloon Text"/>
    <w:basedOn w:val="Normal"/>
    <w:link w:val="BalloonTextChar"/>
    <w:uiPriority w:val="99"/>
    <w:semiHidden/>
    <w:unhideWhenUsed/>
    <w:rsid w:val="00AF7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9921">
      <w:bodyDiv w:val="1"/>
      <w:marLeft w:val="0"/>
      <w:marRight w:val="0"/>
      <w:marTop w:val="0"/>
      <w:marBottom w:val="0"/>
      <w:divBdr>
        <w:top w:val="none" w:sz="0" w:space="0" w:color="auto"/>
        <w:left w:val="none" w:sz="0" w:space="0" w:color="auto"/>
        <w:bottom w:val="none" w:sz="0" w:space="0" w:color="auto"/>
        <w:right w:val="none" w:sz="0" w:space="0" w:color="auto"/>
      </w:divBdr>
    </w:div>
    <w:div w:id="994841942">
      <w:bodyDiv w:val="1"/>
      <w:marLeft w:val="0"/>
      <w:marRight w:val="0"/>
      <w:marTop w:val="0"/>
      <w:marBottom w:val="0"/>
      <w:divBdr>
        <w:top w:val="none" w:sz="0" w:space="0" w:color="auto"/>
        <w:left w:val="none" w:sz="0" w:space="0" w:color="auto"/>
        <w:bottom w:val="none" w:sz="0" w:space="0" w:color="auto"/>
        <w:right w:val="none" w:sz="0" w:space="0" w:color="auto"/>
      </w:divBdr>
    </w:div>
    <w:div w:id="1773353526">
      <w:bodyDiv w:val="1"/>
      <w:marLeft w:val="0"/>
      <w:marRight w:val="0"/>
      <w:marTop w:val="0"/>
      <w:marBottom w:val="0"/>
      <w:divBdr>
        <w:top w:val="none" w:sz="0" w:space="0" w:color="auto"/>
        <w:left w:val="none" w:sz="0" w:space="0" w:color="auto"/>
        <w:bottom w:val="none" w:sz="0" w:space="0" w:color="auto"/>
        <w:right w:val="none" w:sz="0" w:space="0" w:color="auto"/>
      </w:divBdr>
    </w:div>
    <w:div w:id="20765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B533-B1DA-4F68-98B0-07816FC4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2549</Words>
  <Characters>13388</Characters>
  <Application>Microsoft Office Word</Application>
  <DocSecurity>0</DocSecurity>
  <Lines>273</Lines>
  <Paragraphs>75</Paragraphs>
  <ScaleCrop>false</ScaleCrop>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201/19</dc:title>
  <dc:creator/>
  <cp:lastModifiedBy/>
  <cp:revision>1</cp:revision>
  <dcterms:created xsi:type="dcterms:W3CDTF">2020-05-18T14:28:00Z</dcterms:created>
  <dcterms:modified xsi:type="dcterms:W3CDTF">2020-05-18T14:28:00Z</dcterms:modified>
</cp:coreProperties>
</file>