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DE2C"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BAA6281" wp14:editId="3291C4B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5453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D3519EB" wp14:editId="19301A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C58B6" w14:textId="77777777" w:rsidR="0099258D" w:rsidRDefault="0099258D" w:rsidP="00AE5488">
                            <w:r>
                              <w:rPr>
                                <w:noProof/>
                              </w:rPr>
                              <w:drawing>
                                <wp:inline distT="0" distB="0" distL="0" distR="0" wp14:anchorId="09C3371C" wp14:editId="2125E0E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519E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EAC58B6" w14:textId="77777777" w:rsidR="0099258D" w:rsidRDefault="0099258D" w:rsidP="00AE5488">
                      <w:r>
                        <w:rPr>
                          <w:noProof/>
                        </w:rPr>
                        <w:drawing>
                          <wp:inline distT="0" distB="0" distL="0" distR="0" wp14:anchorId="09C3371C" wp14:editId="2125E0E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F45E06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6BDB68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70FFFA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BCEB23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3986D1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99E7F5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08756D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31A444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1BB16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15C7A9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3D786C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5AB30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91C2A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622C5E" wp14:editId="024CFF1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9B29D" w14:textId="6A1944BF" w:rsidR="00E157B9" w:rsidRPr="00D55081" w:rsidRDefault="00E157B9" w:rsidP="00E157B9">
                            <w:pPr>
                              <w:spacing w:line="276" w:lineRule="auto"/>
                              <w:rPr>
                                <w:rFonts w:asciiTheme="majorHAnsi" w:hAnsiTheme="majorHAnsi" w:cs="Arial"/>
                                <w:b/>
                                <w:bCs/>
                                <w:color w:val="0D0D0D" w:themeColor="text1" w:themeTint="F2"/>
                                <w:sz w:val="36"/>
                                <w:szCs w:val="40"/>
                                <w:lang w:val="es-ES"/>
                              </w:rPr>
                            </w:pPr>
                            <w:r w:rsidRPr="00D55081">
                              <w:rPr>
                                <w:rFonts w:asciiTheme="majorHAnsi" w:hAnsiTheme="majorHAnsi" w:cs="Arial"/>
                                <w:b/>
                                <w:bCs/>
                                <w:color w:val="0D0D0D" w:themeColor="text1" w:themeTint="F2"/>
                                <w:sz w:val="36"/>
                                <w:szCs w:val="40"/>
                                <w:lang w:val="es-ES"/>
                              </w:rPr>
                              <w:t xml:space="preserve">INFORME No. </w:t>
                            </w:r>
                            <w:r w:rsidR="005622E3">
                              <w:rPr>
                                <w:rFonts w:asciiTheme="majorHAnsi" w:hAnsiTheme="majorHAnsi" w:cs="Arial"/>
                                <w:b/>
                                <w:bCs/>
                                <w:color w:val="0D0D0D" w:themeColor="text1" w:themeTint="F2"/>
                                <w:sz w:val="36"/>
                                <w:szCs w:val="40"/>
                                <w:lang w:val="es-ES"/>
                              </w:rPr>
                              <w:t>76</w:t>
                            </w:r>
                            <w:r w:rsidRPr="00D55081">
                              <w:rPr>
                                <w:rFonts w:asciiTheme="majorHAnsi" w:hAnsiTheme="majorHAnsi" w:cs="Arial"/>
                                <w:b/>
                                <w:bCs/>
                                <w:color w:val="0D0D0D" w:themeColor="text1" w:themeTint="F2"/>
                                <w:sz w:val="36"/>
                                <w:szCs w:val="40"/>
                                <w:lang w:val="es-ES"/>
                              </w:rPr>
                              <w:t>/1</w:t>
                            </w:r>
                            <w:r w:rsidR="005622E3">
                              <w:rPr>
                                <w:rFonts w:asciiTheme="majorHAnsi" w:hAnsiTheme="majorHAnsi" w:cs="Arial"/>
                                <w:b/>
                                <w:bCs/>
                                <w:color w:val="0D0D0D" w:themeColor="text1" w:themeTint="F2"/>
                                <w:sz w:val="36"/>
                                <w:szCs w:val="40"/>
                                <w:lang w:val="es-ES"/>
                              </w:rPr>
                              <w:t>9</w:t>
                            </w:r>
                          </w:p>
                          <w:p w14:paraId="4615FB37" w14:textId="77777777" w:rsidR="00E157B9" w:rsidRPr="00D55081" w:rsidRDefault="00E157B9" w:rsidP="00E157B9">
                            <w:pPr>
                              <w:spacing w:line="276" w:lineRule="auto"/>
                              <w:rPr>
                                <w:rFonts w:asciiTheme="majorHAnsi" w:hAnsiTheme="majorHAnsi" w:cs="Arial"/>
                                <w:b/>
                                <w:bCs/>
                                <w:color w:val="0D0D0D" w:themeColor="text1" w:themeTint="F2"/>
                                <w:sz w:val="36"/>
                                <w:szCs w:val="40"/>
                                <w:lang w:val="es-ES"/>
                              </w:rPr>
                            </w:pPr>
                            <w:r w:rsidRPr="00D55081">
                              <w:rPr>
                                <w:rFonts w:asciiTheme="majorHAnsi" w:hAnsiTheme="majorHAnsi" w:cs="Arial"/>
                                <w:b/>
                                <w:bCs/>
                                <w:color w:val="0D0D0D" w:themeColor="text1" w:themeTint="F2"/>
                                <w:sz w:val="36"/>
                                <w:szCs w:val="40"/>
                                <w:lang w:val="es-ES"/>
                              </w:rPr>
                              <w:t>PETICIÓN 1495-08</w:t>
                            </w:r>
                          </w:p>
                          <w:p w14:paraId="54534013" w14:textId="77777777" w:rsidR="00E157B9" w:rsidRPr="00D55081" w:rsidRDefault="00E157B9" w:rsidP="00E157B9">
                            <w:pPr>
                              <w:spacing w:line="276" w:lineRule="auto"/>
                              <w:rPr>
                                <w:rFonts w:asciiTheme="majorHAnsi" w:hAnsiTheme="majorHAnsi" w:cs="Arial"/>
                                <w:color w:val="0D0D0D" w:themeColor="text1" w:themeTint="F2"/>
                                <w:szCs w:val="22"/>
                                <w:lang w:val="es-ES"/>
                              </w:rPr>
                            </w:pPr>
                            <w:r w:rsidRPr="00D55081">
                              <w:rPr>
                                <w:rFonts w:asciiTheme="majorHAnsi" w:hAnsiTheme="majorHAnsi" w:cs="Arial"/>
                                <w:color w:val="0D0D0D" w:themeColor="text1" w:themeTint="F2"/>
                                <w:szCs w:val="22"/>
                                <w:lang w:val="es-ES"/>
                              </w:rPr>
                              <w:t xml:space="preserve">INFORME DE ADMISIBILIDAD </w:t>
                            </w:r>
                          </w:p>
                          <w:p w14:paraId="18CE039A" w14:textId="77777777" w:rsidR="00E157B9" w:rsidRPr="00D55081" w:rsidRDefault="00E157B9" w:rsidP="00E157B9">
                            <w:pPr>
                              <w:spacing w:line="276" w:lineRule="auto"/>
                              <w:rPr>
                                <w:rFonts w:asciiTheme="majorHAnsi" w:hAnsiTheme="majorHAnsi" w:cs="Arial"/>
                                <w:color w:val="0D0D0D" w:themeColor="text1" w:themeTint="F2"/>
                                <w:szCs w:val="22"/>
                                <w:lang w:val="es-ES"/>
                              </w:rPr>
                            </w:pPr>
                          </w:p>
                          <w:p w14:paraId="326CF799" w14:textId="77777777" w:rsidR="00E157B9" w:rsidRPr="00D55081" w:rsidRDefault="00E157B9" w:rsidP="00E157B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55081">
                              <w:rPr>
                                <w:rFonts w:ascii="Cambria" w:hAnsi="Cambria" w:cs="Arial"/>
                                <w:color w:val="0D0D0D"/>
                                <w:szCs w:val="22"/>
                                <w:lang w:val="es-ES"/>
                              </w:rPr>
                              <w:t>HUGO EDUARDO IBARBUDEN</w:t>
                            </w:r>
                          </w:p>
                          <w:p w14:paraId="19637B75" w14:textId="77777777" w:rsidR="00E157B9" w:rsidRPr="004B625D" w:rsidRDefault="00E157B9" w:rsidP="00E157B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883E6F0" w14:textId="77777777" w:rsidR="00E157B9" w:rsidRPr="000C4365" w:rsidRDefault="00E157B9" w:rsidP="00E157B9">
                            <w:pPr>
                              <w:spacing w:line="276" w:lineRule="auto"/>
                              <w:rPr>
                                <w:rFonts w:asciiTheme="majorHAnsi" w:hAnsiTheme="majorHAnsi"/>
                                <w:color w:val="0D0D0D" w:themeColor="text1" w:themeTint="F2"/>
                              </w:rPr>
                            </w:pPr>
                          </w:p>
                          <w:p w14:paraId="2F0F1E66"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2C5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309B29D" w14:textId="6A1944BF" w:rsidR="00E157B9" w:rsidRPr="00D55081" w:rsidRDefault="00E157B9" w:rsidP="00E157B9">
                      <w:pPr>
                        <w:spacing w:line="276" w:lineRule="auto"/>
                        <w:rPr>
                          <w:rFonts w:asciiTheme="majorHAnsi" w:hAnsiTheme="majorHAnsi" w:cs="Arial"/>
                          <w:b/>
                          <w:bCs/>
                          <w:color w:val="0D0D0D" w:themeColor="text1" w:themeTint="F2"/>
                          <w:sz w:val="36"/>
                          <w:szCs w:val="40"/>
                          <w:lang w:val="es-ES"/>
                        </w:rPr>
                      </w:pPr>
                      <w:r w:rsidRPr="00D55081">
                        <w:rPr>
                          <w:rFonts w:asciiTheme="majorHAnsi" w:hAnsiTheme="majorHAnsi" w:cs="Arial"/>
                          <w:b/>
                          <w:bCs/>
                          <w:color w:val="0D0D0D" w:themeColor="text1" w:themeTint="F2"/>
                          <w:sz w:val="36"/>
                          <w:szCs w:val="40"/>
                          <w:lang w:val="es-ES"/>
                        </w:rPr>
                        <w:t xml:space="preserve">INFORME No. </w:t>
                      </w:r>
                      <w:r w:rsidR="005622E3">
                        <w:rPr>
                          <w:rFonts w:asciiTheme="majorHAnsi" w:hAnsiTheme="majorHAnsi" w:cs="Arial"/>
                          <w:b/>
                          <w:bCs/>
                          <w:color w:val="0D0D0D" w:themeColor="text1" w:themeTint="F2"/>
                          <w:sz w:val="36"/>
                          <w:szCs w:val="40"/>
                          <w:lang w:val="es-ES"/>
                        </w:rPr>
                        <w:t>76</w:t>
                      </w:r>
                      <w:r w:rsidRPr="00D55081">
                        <w:rPr>
                          <w:rFonts w:asciiTheme="majorHAnsi" w:hAnsiTheme="majorHAnsi" w:cs="Arial"/>
                          <w:b/>
                          <w:bCs/>
                          <w:color w:val="0D0D0D" w:themeColor="text1" w:themeTint="F2"/>
                          <w:sz w:val="36"/>
                          <w:szCs w:val="40"/>
                          <w:lang w:val="es-ES"/>
                        </w:rPr>
                        <w:t>/1</w:t>
                      </w:r>
                      <w:r w:rsidR="005622E3">
                        <w:rPr>
                          <w:rFonts w:asciiTheme="majorHAnsi" w:hAnsiTheme="majorHAnsi" w:cs="Arial"/>
                          <w:b/>
                          <w:bCs/>
                          <w:color w:val="0D0D0D" w:themeColor="text1" w:themeTint="F2"/>
                          <w:sz w:val="36"/>
                          <w:szCs w:val="40"/>
                          <w:lang w:val="es-ES"/>
                        </w:rPr>
                        <w:t>9</w:t>
                      </w:r>
                    </w:p>
                    <w:p w14:paraId="4615FB37" w14:textId="77777777" w:rsidR="00E157B9" w:rsidRPr="00D55081" w:rsidRDefault="00E157B9" w:rsidP="00E157B9">
                      <w:pPr>
                        <w:spacing w:line="276" w:lineRule="auto"/>
                        <w:rPr>
                          <w:rFonts w:asciiTheme="majorHAnsi" w:hAnsiTheme="majorHAnsi" w:cs="Arial"/>
                          <w:b/>
                          <w:bCs/>
                          <w:color w:val="0D0D0D" w:themeColor="text1" w:themeTint="F2"/>
                          <w:sz w:val="36"/>
                          <w:szCs w:val="40"/>
                          <w:lang w:val="es-ES"/>
                        </w:rPr>
                      </w:pPr>
                      <w:r w:rsidRPr="00D55081">
                        <w:rPr>
                          <w:rFonts w:asciiTheme="majorHAnsi" w:hAnsiTheme="majorHAnsi" w:cs="Arial"/>
                          <w:b/>
                          <w:bCs/>
                          <w:color w:val="0D0D0D" w:themeColor="text1" w:themeTint="F2"/>
                          <w:sz w:val="36"/>
                          <w:szCs w:val="40"/>
                          <w:lang w:val="es-ES"/>
                        </w:rPr>
                        <w:t>PETICIÓN 1495-08</w:t>
                      </w:r>
                    </w:p>
                    <w:p w14:paraId="54534013" w14:textId="77777777" w:rsidR="00E157B9" w:rsidRPr="00D55081" w:rsidRDefault="00E157B9" w:rsidP="00E157B9">
                      <w:pPr>
                        <w:spacing w:line="276" w:lineRule="auto"/>
                        <w:rPr>
                          <w:rFonts w:asciiTheme="majorHAnsi" w:hAnsiTheme="majorHAnsi" w:cs="Arial"/>
                          <w:color w:val="0D0D0D" w:themeColor="text1" w:themeTint="F2"/>
                          <w:szCs w:val="22"/>
                          <w:lang w:val="es-ES"/>
                        </w:rPr>
                      </w:pPr>
                      <w:r w:rsidRPr="00D55081">
                        <w:rPr>
                          <w:rFonts w:asciiTheme="majorHAnsi" w:hAnsiTheme="majorHAnsi" w:cs="Arial"/>
                          <w:color w:val="0D0D0D" w:themeColor="text1" w:themeTint="F2"/>
                          <w:szCs w:val="22"/>
                          <w:lang w:val="es-ES"/>
                        </w:rPr>
                        <w:t xml:space="preserve">INFORME DE ADMISIBILIDAD </w:t>
                      </w:r>
                    </w:p>
                    <w:p w14:paraId="18CE039A" w14:textId="77777777" w:rsidR="00E157B9" w:rsidRPr="00D55081" w:rsidRDefault="00E157B9" w:rsidP="00E157B9">
                      <w:pPr>
                        <w:spacing w:line="276" w:lineRule="auto"/>
                        <w:rPr>
                          <w:rFonts w:asciiTheme="majorHAnsi" w:hAnsiTheme="majorHAnsi" w:cs="Arial"/>
                          <w:color w:val="0D0D0D" w:themeColor="text1" w:themeTint="F2"/>
                          <w:szCs w:val="22"/>
                          <w:lang w:val="es-ES"/>
                        </w:rPr>
                      </w:pPr>
                    </w:p>
                    <w:p w14:paraId="326CF799" w14:textId="77777777" w:rsidR="00E157B9" w:rsidRPr="00D55081" w:rsidRDefault="00E157B9" w:rsidP="00E157B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55081">
                        <w:rPr>
                          <w:rFonts w:ascii="Cambria" w:hAnsi="Cambria" w:cs="Arial"/>
                          <w:color w:val="0D0D0D"/>
                          <w:szCs w:val="22"/>
                          <w:lang w:val="es-ES"/>
                        </w:rPr>
                        <w:t>HUGO EDUARDO IBARBUDEN</w:t>
                      </w:r>
                    </w:p>
                    <w:p w14:paraId="19637B75" w14:textId="77777777" w:rsidR="00E157B9" w:rsidRPr="004B625D" w:rsidRDefault="00E157B9" w:rsidP="00E157B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883E6F0" w14:textId="77777777" w:rsidR="00E157B9" w:rsidRPr="000C4365" w:rsidRDefault="00E157B9" w:rsidP="00E157B9">
                      <w:pPr>
                        <w:spacing w:line="276" w:lineRule="auto"/>
                        <w:rPr>
                          <w:rFonts w:asciiTheme="majorHAnsi" w:hAnsiTheme="majorHAnsi"/>
                          <w:color w:val="0D0D0D" w:themeColor="text1" w:themeTint="F2"/>
                        </w:rPr>
                      </w:pPr>
                    </w:p>
                    <w:p w14:paraId="2F0F1E66"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EE3199A" wp14:editId="495A19A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B9FF" w14:textId="796B3C93" w:rsidR="0099258D" w:rsidRPr="005622E3" w:rsidRDefault="0099258D" w:rsidP="007A5817">
                            <w:pPr>
                              <w:spacing w:line="276" w:lineRule="auto"/>
                              <w:jc w:val="right"/>
                              <w:rPr>
                                <w:rFonts w:asciiTheme="minorHAnsi" w:hAnsiTheme="minorHAnsi"/>
                                <w:color w:val="FFFFFF" w:themeColor="background1"/>
                                <w:sz w:val="22"/>
                                <w:lang w:val="es-ES"/>
                              </w:rPr>
                            </w:pPr>
                            <w:r w:rsidRPr="005622E3">
                              <w:rPr>
                                <w:rFonts w:asciiTheme="minorHAnsi" w:hAnsiTheme="minorHAnsi"/>
                                <w:color w:val="FFFFFF" w:themeColor="background1"/>
                                <w:sz w:val="22"/>
                                <w:lang w:val="es-ES"/>
                              </w:rPr>
                              <w:t>OEA/</w:t>
                            </w:r>
                            <w:proofErr w:type="spellStart"/>
                            <w:r w:rsidRPr="005622E3">
                              <w:rPr>
                                <w:rFonts w:asciiTheme="minorHAnsi" w:hAnsiTheme="minorHAnsi"/>
                                <w:color w:val="FFFFFF" w:themeColor="background1"/>
                                <w:sz w:val="22"/>
                                <w:lang w:val="es-ES"/>
                              </w:rPr>
                              <w:t>Ser.L</w:t>
                            </w:r>
                            <w:proofErr w:type="spellEnd"/>
                            <w:r w:rsidRPr="005622E3">
                              <w:rPr>
                                <w:rFonts w:asciiTheme="minorHAnsi" w:hAnsiTheme="minorHAnsi"/>
                                <w:color w:val="FFFFFF" w:themeColor="background1"/>
                                <w:sz w:val="22"/>
                                <w:lang w:val="es-ES"/>
                              </w:rPr>
                              <w:t>/V/II.</w:t>
                            </w:r>
                          </w:p>
                          <w:p w14:paraId="7517348A" w14:textId="233F08CE" w:rsidR="0099258D" w:rsidRPr="005622E3" w:rsidRDefault="005622E3" w:rsidP="007A5817">
                            <w:pPr>
                              <w:spacing w:line="276" w:lineRule="auto"/>
                              <w:jc w:val="right"/>
                              <w:rPr>
                                <w:rFonts w:asciiTheme="minorHAnsi" w:hAnsiTheme="minorHAnsi"/>
                                <w:color w:val="FFFFFF" w:themeColor="background1"/>
                                <w:sz w:val="22"/>
                                <w:lang w:val="es-ES"/>
                              </w:rPr>
                            </w:pPr>
                            <w:r w:rsidRPr="005622E3">
                              <w:rPr>
                                <w:rFonts w:asciiTheme="minorHAnsi" w:hAnsiTheme="minorHAnsi"/>
                                <w:color w:val="FFFFFF" w:themeColor="background1"/>
                                <w:sz w:val="22"/>
                                <w:lang w:val="es-ES"/>
                              </w:rPr>
                              <w:t>Doc. 8</w:t>
                            </w:r>
                            <w:r>
                              <w:rPr>
                                <w:rFonts w:asciiTheme="minorHAnsi" w:hAnsiTheme="minorHAnsi"/>
                                <w:color w:val="FFFFFF" w:themeColor="background1"/>
                                <w:sz w:val="22"/>
                                <w:lang w:val="es-ES"/>
                              </w:rPr>
                              <w:t>5</w:t>
                            </w:r>
                          </w:p>
                          <w:p w14:paraId="16478839" w14:textId="6034179C" w:rsidR="0099258D" w:rsidRPr="007160BD" w:rsidRDefault="005622E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21 mayo</w:t>
                            </w:r>
                            <w:r w:rsidR="0099258D" w:rsidRPr="007160BD">
                              <w:rPr>
                                <w:rFonts w:asciiTheme="minorHAnsi" w:hAnsiTheme="minorHAnsi"/>
                                <w:color w:val="FFFFFF" w:themeColor="background1"/>
                                <w:sz w:val="22"/>
                                <w:lang w:val="es-US"/>
                              </w:rPr>
                              <w:t xml:space="preserve"> 201</w:t>
                            </w:r>
                            <w:r w:rsidR="001934B3">
                              <w:rPr>
                                <w:rFonts w:asciiTheme="minorHAnsi" w:hAnsiTheme="minorHAnsi"/>
                                <w:color w:val="FFFFFF" w:themeColor="background1"/>
                                <w:sz w:val="22"/>
                                <w:lang w:val="es-US"/>
                              </w:rPr>
                              <w:t>9</w:t>
                            </w:r>
                          </w:p>
                          <w:p w14:paraId="5141B05F" w14:textId="60A5D96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Original:</w:t>
                            </w:r>
                            <w:r w:rsidR="001934B3">
                              <w:rPr>
                                <w:rFonts w:asciiTheme="minorHAnsi" w:hAnsiTheme="minorHAnsi"/>
                                <w:color w:val="FFFFFF" w:themeColor="background1"/>
                                <w:sz w:val="22"/>
                                <w:lang w:val="es-US"/>
                              </w:rPr>
                              <w:t xml:space="preserve">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3199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E27B9FF" w14:textId="796B3C93" w:rsidR="0099258D" w:rsidRPr="005622E3" w:rsidRDefault="0099258D" w:rsidP="007A5817">
                      <w:pPr>
                        <w:spacing w:line="276" w:lineRule="auto"/>
                        <w:jc w:val="right"/>
                        <w:rPr>
                          <w:rFonts w:asciiTheme="minorHAnsi" w:hAnsiTheme="minorHAnsi"/>
                          <w:color w:val="FFFFFF" w:themeColor="background1"/>
                          <w:sz w:val="22"/>
                          <w:lang w:val="es-ES"/>
                        </w:rPr>
                      </w:pPr>
                      <w:r w:rsidRPr="005622E3">
                        <w:rPr>
                          <w:rFonts w:asciiTheme="minorHAnsi" w:hAnsiTheme="minorHAnsi"/>
                          <w:color w:val="FFFFFF" w:themeColor="background1"/>
                          <w:sz w:val="22"/>
                          <w:lang w:val="es-ES"/>
                        </w:rPr>
                        <w:t>OEA/</w:t>
                      </w:r>
                      <w:proofErr w:type="spellStart"/>
                      <w:r w:rsidRPr="005622E3">
                        <w:rPr>
                          <w:rFonts w:asciiTheme="minorHAnsi" w:hAnsiTheme="minorHAnsi"/>
                          <w:color w:val="FFFFFF" w:themeColor="background1"/>
                          <w:sz w:val="22"/>
                          <w:lang w:val="es-ES"/>
                        </w:rPr>
                        <w:t>Ser.L</w:t>
                      </w:r>
                      <w:proofErr w:type="spellEnd"/>
                      <w:r w:rsidRPr="005622E3">
                        <w:rPr>
                          <w:rFonts w:asciiTheme="minorHAnsi" w:hAnsiTheme="minorHAnsi"/>
                          <w:color w:val="FFFFFF" w:themeColor="background1"/>
                          <w:sz w:val="22"/>
                          <w:lang w:val="es-ES"/>
                        </w:rPr>
                        <w:t>/V/II.</w:t>
                      </w:r>
                    </w:p>
                    <w:p w14:paraId="7517348A" w14:textId="233F08CE" w:rsidR="0099258D" w:rsidRPr="005622E3" w:rsidRDefault="005622E3" w:rsidP="007A5817">
                      <w:pPr>
                        <w:spacing w:line="276" w:lineRule="auto"/>
                        <w:jc w:val="right"/>
                        <w:rPr>
                          <w:rFonts w:asciiTheme="minorHAnsi" w:hAnsiTheme="minorHAnsi"/>
                          <w:color w:val="FFFFFF" w:themeColor="background1"/>
                          <w:sz w:val="22"/>
                          <w:lang w:val="es-ES"/>
                        </w:rPr>
                      </w:pPr>
                      <w:r w:rsidRPr="005622E3">
                        <w:rPr>
                          <w:rFonts w:asciiTheme="minorHAnsi" w:hAnsiTheme="minorHAnsi"/>
                          <w:color w:val="FFFFFF" w:themeColor="background1"/>
                          <w:sz w:val="22"/>
                          <w:lang w:val="es-ES"/>
                        </w:rPr>
                        <w:t>Doc. 8</w:t>
                      </w:r>
                      <w:r>
                        <w:rPr>
                          <w:rFonts w:asciiTheme="minorHAnsi" w:hAnsiTheme="minorHAnsi"/>
                          <w:color w:val="FFFFFF" w:themeColor="background1"/>
                          <w:sz w:val="22"/>
                          <w:lang w:val="es-ES"/>
                        </w:rPr>
                        <w:t>5</w:t>
                      </w:r>
                    </w:p>
                    <w:p w14:paraId="16478839" w14:textId="6034179C" w:rsidR="0099258D" w:rsidRPr="007160BD" w:rsidRDefault="005622E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21 mayo</w:t>
                      </w:r>
                      <w:r w:rsidR="0099258D" w:rsidRPr="007160BD">
                        <w:rPr>
                          <w:rFonts w:asciiTheme="minorHAnsi" w:hAnsiTheme="minorHAnsi"/>
                          <w:color w:val="FFFFFF" w:themeColor="background1"/>
                          <w:sz w:val="22"/>
                          <w:lang w:val="es-US"/>
                        </w:rPr>
                        <w:t xml:space="preserve"> 201</w:t>
                      </w:r>
                      <w:r w:rsidR="001934B3">
                        <w:rPr>
                          <w:rFonts w:asciiTheme="minorHAnsi" w:hAnsiTheme="minorHAnsi"/>
                          <w:color w:val="FFFFFF" w:themeColor="background1"/>
                          <w:sz w:val="22"/>
                          <w:lang w:val="es-US"/>
                        </w:rPr>
                        <w:t>9</w:t>
                      </w:r>
                    </w:p>
                    <w:p w14:paraId="5141B05F" w14:textId="60A5D96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Original:</w:t>
                      </w:r>
                      <w:r w:rsidR="001934B3">
                        <w:rPr>
                          <w:rFonts w:asciiTheme="minorHAnsi" w:hAnsiTheme="minorHAnsi"/>
                          <w:color w:val="FFFFFF" w:themeColor="background1"/>
                          <w:sz w:val="22"/>
                          <w:lang w:val="es-US"/>
                        </w:rPr>
                        <w:t xml:space="preserve"> inglés</w:t>
                      </w:r>
                    </w:p>
                  </w:txbxContent>
                </v:textbox>
              </v:shape>
            </w:pict>
          </mc:Fallback>
        </mc:AlternateContent>
      </w:r>
    </w:p>
    <w:p w14:paraId="2AE4FD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ED1EB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C15615"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1055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ADAC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AC92EF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31CC0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FFD33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55C1F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1FDE46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43164C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5F3B4D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6D0B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F720D7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7AF0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689A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0063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F650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74D2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BB66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6ADB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73339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8FC2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220EB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9B2A6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B71D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F9F7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A9DC0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6BB01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0967A41" wp14:editId="47DCC2A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1CE19" w14:textId="46995133"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22E3">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5622E3">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934B3">
                              <w:rPr>
                                <w:rFonts w:asciiTheme="majorHAnsi" w:hAnsiTheme="majorHAnsi"/>
                                <w:color w:val="0D0D0D" w:themeColor="text1" w:themeTint="F2"/>
                                <w:sz w:val="18"/>
                                <w:szCs w:val="22"/>
                                <w:lang w:val="es-ES"/>
                              </w:rPr>
                              <w:t>9</w:t>
                            </w:r>
                            <w:r w:rsidR="00B62B52">
                              <w:rPr>
                                <w:rFonts w:asciiTheme="majorHAnsi" w:hAnsiTheme="majorHAnsi"/>
                                <w:color w:val="0D0D0D" w:themeColor="text1" w:themeTint="F2"/>
                                <w:sz w:val="18"/>
                                <w:szCs w:val="22"/>
                                <w:lang w:val="es-ES"/>
                              </w:rPr>
                              <w:t>.</w:t>
                            </w:r>
                          </w:p>
                          <w:p w14:paraId="2B9C4E41"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672DDCB"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7A4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391CE19" w14:textId="46995133"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22E3">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5622E3">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934B3">
                        <w:rPr>
                          <w:rFonts w:asciiTheme="majorHAnsi" w:hAnsiTheme="majorHAnsi"/>
                          <w:color w:val="0D0D0D" w:themeColor="text1" w:themeTint="F2"/>
                          <w:sz w:val="18"/>
                          <w:szCs w:val="22"/>
                          <w:lang w:val="es-ES"/>
                        </w:rPr>
                        <w:t>9</w:t>
                      </w:r>
                      <w:r w:rsidR="00B62B52">
                        <w:rPr>
                          <w:rFonts w:asciiTheme="majorHAnsi" w:hAnsiTheme="majorHAnsi"/>
                          <w:color w:val="0D0D0D" w:themeColor="text1" w:themeTint="F2"/>
                          <w:sz w:val="18"/>
                          <w:szCs w:val="22"/>
                          <w:lang w:val="es-ES"/>
                        </w:rPr>
                        <w:t>.</w:t>
                      </w:r>
                    </w:p>
                    <w:p w14:paraId="2B9C4E41"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672DDCB"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74F6C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6084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78EF7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88DB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5C0A0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B23DBCD" wp14:editId="29B4399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F6A5E" w14:textId="77777777" w:rsidR="005622E3" w:rsidRDefault="0099258D"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22E3" w:rsidRPr="005622E3">
                              <w:rPr>
                                <w:rFonts w:asciiTheme="majorHAnsi" w:hAnsiTheme="majorHAnsi"/>
                                <w:color w:val="595959" w:themeColor="text1" w:themeTint="A6"/>
                                <w:sz w:val="18"/>
                                <w:szCs w:val="18"/>
                                <w:lang w:val="pt-BR"/>
                              </w:rPr>
                              <w:t>76</w:t>
                            </w:r>
                            <w:r w:rsidR="00C725B5" w:rsidRPr="005622E3">
                              <w:rPr>
                                <w:rFonts w:asciiTheme="majorHAnsi" w:hAnsiTheme="majorHAnsi"/>
                                <w:color w:val="595959" w:themeColor="text1" w:themeTint="A6"/>
                                <w:sz w:val="18"/>
                                <w:szCs w:val="18"/>
                                <w:lang w:val="pt-BR"/>
                              </w:rPr>
                              <w:t>/</w:t>
                            </w:r>
                            <w:r w:rsidRPr="005622E3">
                              <w:rPr>
                                <w:rFonts w:asciiTheme="majorHAnsi" w:hAnsiTheme="majorHAnsi"/>
                                <w:color w:val="595959" w:themeColor="text1" w:themeTint="A6"/>
                                <w:sz w:val="18"/>
                                <w:szCs w:val="18"/>
                                <w:lang w:val="pt-BR"/>
                              </w:rPr>
                              <w:t>1</w:t>
                            </w:r>
                            <w:r w:rsidR="001934B3" w:rsidRPr="005622E3">
                              <w:rPr>
                                <w:rFonts w:asciiTheme="majorHAnsi" w:hAnsiTheme="majorHAnsi"/>
                                <w:color w:val="595959" w:themeColor="text1" w:themeTint="A6"/>
                                <w:sz w:val="18"/>
                                <w:szCs w:val="18"/>
                                <w:lang w:val="pt-BR"/>
                              </w:rPr>
                              <w:t>9</w:t>
                            </w:r>
                            <w:r w:rsidRPr="005622E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5622E3">
                              <w:rPr>
                                <w:rFonts w:asciiTheme="majorHAnsi" w:hAnsiTheme="majorHAnsi"/>
                                <w:color w:val="595959" w:themeColor="text1" w:themeTint="A6"/>
                                <w:sz w:val="18"/>
                                <w:szCs w:val="18"/>
                                <w:lang w:val="es-ES_tradnl"/>
                              </w:rPr>
                              <w:t xml:space="preserve">Hugo Eduardo </w:t>
                            </w:r>
                            <w:proofErr w:type="spellStart"/>
                            <w:r w:rsidR="005622E3">
                              <w:rPr>
                                <w:rFonts w:asciiTheme="majorHAnsi" w:hAnsiTheme="majorHAnsi"/>
                                <w:color w:val="595959" w:themeColor="text1" w:themeTint="A6"/>
                                <w:sz w:val="18"/>
                                <w:szCs w:val="18"/>
                                <w:lang w:val="es-ES_tradnl"/>
                              </w:rPr>
                              <w:t>Ibarbuden</w:t>
                            </w:r>
                            <w:proofErr w:type="spellEnd"/>
                            <w:r w:rsidRPr="00890650">
                              <w:rPr>
                                <w:rFonts w:asciiTheme="majorHAnsi" w:hAnsiTheme="majorHAnsi"/>
                                <w:color w:val="595959" w:themeColor="text1" w:themeTint="A6"/>
                                <w:sz w:val="18"/>
                                <w:szCs w:val="18"/>
                                <w:lang w:val="es-ES_tradnl"/>
                              </w:rPr>
                              <w:t xml:space="preserve">. </w:t>
                            </w:r>
                            <w:r w:rsidR="00E157B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14:paraId="456F2DCE" w14:textId="36E06DB8" w:rsidR="0099258D" w:rsidRPr="007B05C4" w:rsidRDefault="005622E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21 de mayo de 2019</w:t>
                            </w:r>
                            <w:r w:rsidR="0099258D"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3DBC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73F6A5E" w14:textId="77777777" w:rsidR="005622E3" w:rsidRDefault="0099258D"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22E3" w:rsidRPr="005622E3">
                        <w:rPr>
                          <w:rFonts w:asciiTheme="majorHAnsi" w:hAnsiTheme="majorHAnsi"/>
                          <w:color w:val="595959" w:themeColor="text1" w:themeTint="A6"/>
                          <w:sz w:val="18"/>
                          <w:szCs w:val="18"/>
                          <w:lang w:val="pt-BR"/>
                        </w:rPr>
                        <w:t>76</w:t>
                      </w:r>
                      <w:r w:rsidR="00C725B5" w:rsidRPr="005622E3">
                        <w:rPr>
                          <w:rFonts w:asciiTheme="majorHAnsi" w:hAnsiTheme="majorHAnsi"/>
                          <w:color w:val="595959" w:themeColor="text1" w:themeTint="A6"/>
                          <w:sz w:val="18"/>
                          <w:szCs w:val="18"/>
                          <w:lang w:val="pt-BR"/>
                        </w:rPr>
                        <w:t>/</w:t>
                      </w:r>
                      <w:r w:rsidRPr="005622E3">
                        <w:rPr>
                          <w:rFonts w:asciiTheme="majorHAnsi" w:hAnsiTheme="majorHAnsi"/>
                          <w:color w:val="595959" w:themeColor="text1" w:themeTint="A6"/>
                          <w:sz w:val="18"/>
                          <w:szCs w:val="18"/>
                          <w:lang w:val="pt-BR"/>
                        </w:rPr>
                        <w:t>1</w:t>
                      </w:r>
                      <w:r w:rsidR="001934B3" w:rsidRPr="005622E3">
                        <w:rPr>
                          <w:rFonts w:asciiTheme="majorHAnsi" w:hAnsiTheme="majorHAnsi"/>
                          <w:color w:val="595959" w:themeColor="text1" w:themeTint="A6"/>
                          <w:sz w:val="18"/>
                          <w:szCs w:val="18"/>
                          <w:lang w:val="pt-BR"/>
                        </w:rPr>
                        <w:t>9</w:t>
                      </w:r>
                      <w:r w:rsidRPr="005622E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5622E3">
                        <w:rPr>
                          <w:rFonts w:asciiTheme="majorHAnsi" w:hAnsiTheme="majorHAnsi"/>
                          <w:color w:val="595959" w:themeColor="text1" w:themeTint="A6"/>
                          <w:sz w:val="18"/>
                          <w:szCs w:val="18"/>
                          <w:lang w:val="es-ES_tradnl"/>
                        </w:rPr>
                        <w:t xml:space="preserve">Hugo Eduardo </w:t>
                      </w:r>
                      <w:proofErr w:type="spellStart"/>
                      <w:r w:rsidR="005622E3">
                        <w:rPr>
                          <w:rFonts w:asciiTheme="majorHAnsi" w:hAnsiTheme="majorHAnsi"/>
                          <w:color w:val="595959" w:themeColor="text1" w:themeTint="A6"/>
                          <w:sz w:val="18"/>
                          <w:szCs w:val="18"/>
                          <w:lang w:val="es-ES_tradnl"/>
                        </w:rPr>
                        <w:t>Ibarbuden</w:t>
                      </w:r>
                      <w:proofErr w:type="spellEnd"/>
                      <w:r w:rsidRPr="00890650">
                        <w:rPr>
                          <w:rFonts w:asciiTheme="majorHAnsi" w:hAnsiTheme="majorHAnsi"/>
                          <w:color w:val="595959" w:themeColor="text1" w:themeTint="A6"/>
                          <w:sz w:val="18"/>
                          <w:szCs w:val="18"/>
                          <w:lang w:val="es-ES_tradnl"/>
                        </w:rPr>
                        <w:t xml:space="preserve">. </w:t>
                      </w:r>
                      <w:r w:rsidR="00E157B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14:paraId="456F2DCE" w14:textId="36E06DB8" w:rsidR="0099258D" w:rsidRPr="007B05C4" w:rsidRDefault="005622E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21 de mayo de 2019</w:t>
                      </w:r>
                      <w:r w:rsidR="0099258D" w:rsidRPr="007B05C4">
                        <w:rPr>
                          <w:rFonts w:asciiTheme="majorHAnsi" w:hAnsiTheme="majorHAnsi"/>
                          <w:color w:val="595959" w:themeColor="text1" w:themeTint="A6"/>
                          <w:sz w:val="18"/>
                          <w:szCs w:val="18"/>
                          <w:lang w:val="es-ES"/>
                        </w:rPr>
                        <w:t>.</w:t>
                      </w:r>
                    </w:p>
                  </w:txbxContent>
                </v:textbox>
              </v:shape>
            </w:pict>
          </mc:Fallback>
        </mc:AlternateContent>
      </w:r>
    </w:p>
    <w:p w14:paraId="5FF9FC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5C40B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21221E9" wp14:editId="0CABA9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20248"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530B197" wp14:editId="7819BAE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221E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0E20248"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530B197" wp14:editId="7819BAE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0844DC1" wp14:editId="5EA7ABC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D984B"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4DC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F4D984B"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22A883D"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4B96002"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E157B9" w:rsidRPr="005622E3" w14:paraId="6FA32973" w14:textId="77777777" w:rsidTr="00E157B9">
        <w:tc>
          <w:tcPr>
            <w:tcW w:w="3544" w:type="dxa"/>
            <w:tcBorders>
              <w:top w:val="single" w:sz="4" w:space="0" w:color="auto"/>
              <w:bottom w:val="single" w:sz="6" w:space="0" w:color="auto"/>
            </w:tcBorders>
            <w:shd w:val="clear" w:color="auto" w:fill="386294"/>
            <w:vAlign w:val="center"/>
          </w:tcPr>
          <w:p w14:paraId="76A4EA04" w14:textId="77777777" w:rsidR="00E157B9" w:rsidRPr="00706824" w:rsidRDefault="00E157B9" w:rsidP="00E157B9">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812" w:type="dxa"/>
            <w:vAlign w:val="center"/>
          </w:tcPr>
          <w:p w14:paraId="404BF549" w14:textId="31BAA2AF" w:rsidR="00E157B9" w:rsidRPr="00E157B9" w:rsidRDefault="00E157B9" w:rsidP="00E157B9">
            <w:pPr>
              <w:jc w:val="both"/>
              <w:rPr>
                <w:rFonts w:ascii="Cambria" w:hAnsi="Cambria"/>
                <w:bCs/>
                <w:sz w:val="20"/>
                <w:szCs w:val="20"/>
                <w:lang w:val="es-ES"/>
              </w:rPr>
            </w:pPr>
            <w:r w:rsidRPr="00C25233">
              <w:rPr>
                <w:rFonts w:asciiTheme="majorHAnsi" w:hAnsiTheme="majorHAnsi"/>
                <w:bCs/>
                <w:sz w:val="19"/>
                <w:szCs w:val="19"/>
                <w:lang w:val="es-US"/>
              </w:rPr>
              <w:t xml:space="preserve">Ezequiel Alfredo </w:t>
            </w:r>
            <w:proofErr w:type="spellStart"/>
            <w:r w:rsidRPr="00C25233">
              <w:rPr>
                <w:rFonts w:asciiTheme="majorHAnsi" w:hAnsiTheme="majorHAnsi"/>
                <w:bCs/>
                <w:sz w:val="19"/>
                <w:szCs w:val="19"/>
                <w:lang w:val="es-US"/>
              </w:rPr>
              <w:t>Teston</w:t>
            </w:r>
            <w:proofErr w:type="spellEnd"/>
            <w:r w:rsidRPr="00C25233">
              <w:rPr>
                <w:rFonts w:asciiTheme="majorHAnsi" w:hAnsiTheme="majorHAnsi"/>
                <w:bCs/>
                <w:sz w:val="19"/>
                <w:szCs w:val="19"/>
                <w:lang w:val="es-US"/>
              </w:rPr>
              <w:t xml:space="preserve">, Hugo Eduardo </w:t>
            </w:r>
            <w:proofErr w:type="spellStart"/>
            <w:r w:rsidRPr="00C25233">
              <w:rPr>
                <w:rFonts w:asciiTheme="majorHAnsi" w:hAnsiTheme="majorHAnsi"/>
                <w:bCs/>
                <w:sz w:val="19"/>
                <w:szCs w:val="19"/>
                <w:lang w:val="es-US"/>
              </w:rPr>
              <w:t>Ibarduren</w:t>
            </w:r>
            <w:proofErr w:type="spellEnd"/>
          </w:p>
        </w:tc>
      </w:tr>
      <w:tr w:rsidR="00E157B9" w:rsidRPr="00171A7E" w14:paraId="6F9E4217" w14:textId="77777777" w:rsidTr="00E157B9">
        <w:tc>
          <w:tcPr>
            <w:tcW w:w="3544" w:type="dxa"/>
            <w:tcBorders>
              <w:top w:val="single" w:sz="6" w:space="0" w:color="auto"/>
              <w:bottom w:val="single" w:sz="6" w:space="0" w:color="auto"/>
            </w:tcBorders>
            <w:shd w:val="clear" w:color="auto" w:fill="386294"/>
            <w:vAlign w:val="center"/>
          </w:tcPr>
          <w:p w14:paraId="617A270C" w14:textId="77777777" w:rsidR="00E157B9" w:rsidRPr="00706824" w:rsidRDefault="006C7C01" w:rsidP="00E157B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E4BD3763EDB485AA792BE900158F2AA"/>
                </w:placeholder>
                <w:dropDownList>
                  <w:listItem w:value="Choose an item."/>
                  <w:listItem w:displayText="Presunta víctima" w:value="Presunta víctima"/>
                  <w:listItem w:displayText="Presuntas víctimas" w:value="Presuntas víctimas"/>
                </w:dropDownList>
              </w:sdtPr>
              <w:sdtEndPr/>
              <w:sdtContent>
                <w:r w:rsidR="00E157B9">
                  <w:rPr>
                    <w:rFonts w:ascii="Cambria" w:hAnsi="Cambria"/>
                    <w:b/>
                    <w:bCs/>
                    <w:color w:val="FFFFFF" w:themeColor="background1"/>
                    <w:sz w:val="20"/>
                    <w:szCs w:val="20"/>
                  </w:rPr>
                  <w:t>Presunta víctima</w:t>
                </w:r>
              </w:sdtContent>
            </w:sdt>
            <w:r w:rsidR="00E157B9" w:rsidRPr="00706824">
              <w:rPr>
                <w:rFonts w:ascii="Cambria" w:hAnsi="Cambria"/>
                <w:b/>
                <w:bCs/>
                <w:color w:val="FFFFFF" w:themeColor="background1"/>
                <w:sz w:val="20"/>
                <w:szCs w:val="20"/>
              </w:rPr>
              <w:t>:</w:t>
            </w:r>
          </w:p>
        </w:tc>
        <w:tc>
          <w:tcPr>
            <w:tcW w:w="5812" w:type="dxa"/>
            <w:vAlign w:val="center"/>
          </w:tcPr>
          <w:p w14:paraId="52093F15" w14:textId="5FFFCE9E" w:rsidR="00E157B9" w:rsidRDefault="00E157B9" w:rsidP="00E157B9">
            <w:pPr>
              <w:jc w:val="both"/>
              <w:rPr>
                <w:rFonts w:ascii="Cambria" w:hAnsi="Cambria"/>
                <w:bCs/>
                <w:sz w:val="20"/>
                <w:szCs w:val="20"/>
              </w:rPr>
            </w:pPr>
            <w:r w:rsidRPr="00C25233">
              <w:rPr>
                <w:rFonts w:asciiTheme="majorHAnsi" w:hAnsiTheme="majorHAnsi"/>
                <w:bCs/>
                <w:sz w:val="19"/>
                <w:szCs w:val="19"/>
              </w:rPr>
              <w:t xml:space="preserve">Hugo Eduardo </w:t>
            </w:r>
            <w:proofErr w:type="spellStart"/>
            <w:r w:rsidRPr="00C25233">
              <w:rPr>
                <w:rFonts w:asciiTheme="majorHAnsi" w:hAnsiTheme="majorHAnsi"/>
                <w:bCs/>
                <w:sz w:val="19"/>
                <w:szCs w:val="19"/>
              </w:rPr>
              <w:t>Ibarbuden</w:t>
            </w:r>
            <w:proofErr w:type="spellEnd"/>
          </w:p>
        </w:tc>
      </w:tr>
      <w:tr w:rsidR="00E157B9" w14:paraId="599CDCAB" w14:textId="77777777" w:rsidTr="00E157B9">
        <w:tc>
          <w:tcPr>
            <w:tcW w:w="3544" w:type="dxa"/>
            <w:tcBorders>
              <w:top w:val="single" w:sz="6" w:space="0" w:color="auto"/>
              <w:bottom w:val="single" w:sz="6" w:space="0" w:color="auto"/>
            </w:tcBorders>
            <w:shd w:val="clear" w:color="auto" w:fill="386294"/>
            <w:vAlign w:val="center"/>
          </w:tcPr>
          <w:p w14:paraId="255A58EE" w14:textId="77777777" w:rsidR="00E157B9" w:rsidRPr="00706824" w:rsidRDefault="00E157B9" w:rsidP="00E157B9">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812" w:type="dxa"/>
            <w:vAlign w:val="center"/>
          </w:tcPr>
          <w:p w14:paraId="0BE47A69" w14:textId="73A66254" w:rsidR="00E157B9" w:rsidRDefault="00E157B9" w:rsidP="00E157B9">
            <w:pPr>
              <w:jc w:val="both"/>
              <w:rPr>
                <w:rFonts w:ascii="Cambria" w:hAnsi="Cambria"/>
                <w:bCs/>
                <w:sz w:val="20"/>
                <w:szCs w:val="20"/>
              </w:rPr>
            </w:pPr>
            <w:r w:rsidRPr="00C25233">
              <w:rPr>
                <w:rFonts w:asciiTheme="majorHAnsi" w:hAnsiTheme="majorHAnsi"/>
                <w:bCs/>
                <w:sz w:val="19"/>
                <w:szCs w:val="19"/>
              </w:rPr>
              <w:t>Argentina</w:t>
            </w:r>
          </w:p>
        </w:tc>
      </w:tr>
      <w:tr w:rsidR="00E157B9" w:rsidRPr="005622E3" w14:paraId="5FF5D76C" w14:textId="77777777" w:rsidTr="00E157B9">
        <w:tc>
          <w:tcPr>
            <w:tcW w:w="3544" w:type="dxa"/>
            <w:tcBorders>
              <w:top w:val="single" w:sz="6" w:space="0" w:color="auto"/>
              <w:bottom w:val="single" w:sz="6" w:space="0" w:color="auto"/>
            </w:tcBorders>
            <w:shd w:val="clear" w:color="auto" w:fill="386294"/>
            <w:vAlign w:val="center"/>
          </w:tcPr>
          <w:p w14:paraId="71CA6728" w14:textId="77777777" w:rsidR="00E157B9" w:rsidRPr="00706824" w:rsidRDefault="00E157B9" w:rsidP="00E157B9">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812" w:type="dxa"/>
            <w:vAlign w:val="center"/>
          </w:tcPr>
          <w:p w14:paraId="36C209EF" w14:textId="2874F97C" w:rsidR="00E157B9" w:rsidRDefault="00E157B9" w:rsidP="00E157B9">
            <w:pPr>
              <w:jc w:val="both"/>
              <w:rPr>
                <w:rFonts w:ascii="Cambria" w:hAnsi="Cambria"/>
                <w:bCs/>
                <w:sz w:val="20"/>
                <w:szCs w:val="20"/>
                <w:lang w:val="es-PA"/>
              </w:rPr>
            </w:pPr>
            <w:r w:rsidRPr="00D55081">
              <w:rPr>
                <w:rFonts w:asciiTheme="majorHAnsi" w:hAnsiTheme="majorHAnsi"/>
                <w:bCs/>
                <w:sz w:val="19"/>
                <w:szCs w:val="19"/>
                <w:lang w:val="es-ES"/>
              </w:rPr>
              <w:t>Artículos 5 (integridad personal), 11 (honra y dignidad), 21 (propiedad) y 24 (igualdad) de la Convención Americana sobre Derechos Humanos</w:t>
            </w:r>
            <w:r w:rsidRPr="00C25233">
              <w:rPr>
                <w:rStyle w:val="FootnoteReference"/>
                <w:rFonts w:asciiTheme="majorHAnsi" w:hAnsiTheme="majorHAnsi"/>
                <w:bCs/>
                <w:sz w:val="19"/>
                <w:szCs w:val="19"/>
              </w:rPr>
              <w:footnoteReference w:id="2"/>
            </w:r>
            <w:r w:rsidRPr="00D55081">
              <w:rPr>
                <w:rFonts w:asciiTheme="majorHAnsi" w:hAnsiTheme="majorHAnsi"/>
                <w:bCs/>
                <w:sz w:val="19"/>
                <w:szCs w:val="19"/>
                <w:lang w:val="es-ES"/>
              </w:rPr>
              <w:t xml:space="preserve">, en relación con </w:t>
            </w:r>
            <w:r>
              <w:rPr>
                <w:rFonts w:asciiTheme="majorHAnsi" w:hAnsiTheme="majorHAnsi"/>
                <w:bCs/>
                <w:sz w:val="19"/>
                <w:szCs w:val="19"/>
                <w:lang w:val="es-ES"/>
              </w:rPr>
              <w:t xml:space="preserve">el </w:t>
            </w:r>
            <w:r w:rsidRPr="00D55081">
              <w:rPr>
                <w:rFonts w:asciiTheme="majorHAnsi" w:hAnsiTheme="majorHAnsi"/>
                <w:bCs/>
                <w:sz w:val="19"/>
                <w:szCs w:val="19"/>
                <w:lang w:val="es-ES"/>
              </w:rPr>
              <w:t>artículo 1.1 (obligación de respetar los derechos) del mismo instrumento; artículo 18 del Protocolo Adicional a la Convención Americana en Materia de Derechos Económicos, Sociales y Culturales</w:t>
            </w:r>
            <w:r w:rsidRPr="00C25233">
              <w:rPr>
                <w:rStyle w:val="FootnoteReference"/>
                <w:rFonts w:asciiTheme="majorHAnsi" w:hAnsiTheme="majorHAnsi"/>
                <w:bCs/>
                <w:sz w:val="19"/>
                <w:szCs w:val="19"/>
              </w:rPr>
              <w:footnoteReference w:id="3"/>
            </w:r>
            <w:r w:rsidRPr="00D55081">
              <w:rPr>
                <w:rFonts w:asciiTheme="majorHAnsi" w:hAnsiTheme="majorHAnsi"/>
                <w:bCs/>
                <w:sz w:val="19"/>
                <w:szCs w:val="19"/>
                <w:lang w:val="es-ES"/>
              </w:rPr>
              <w:t>; y artículos I, II y IV de la Convención Interamericana para la Eliminación de Todas las Formas de Discriminación contra la</w:t>
            </w:r>
            <w:r>
              <w:rPr>
                <w:rFonts w:asciiTheme="majorHAnsi" w:hAnsiTheme="majorHAnsi"/>
                <w:bCs/>
                <w:sz w:val="19"/>
                <w:szCs w:val="19"/>
                <w:lang w:val="es-ES"/>
              </w:rPr>
              <w:t>s</w:t>
            </w:r>
            <w:r w:rsidRPr="00D55081">
              <w:rPr>
                <w:rFonts w:asciiTheme="majorHAnsi" w:hAnsiTheme="majorHAnsi"/>
                <w:bCs/>
                <w:sz w:val="19"/>
                <w:szCs w:val="19"/>
                <w:lang w:val="es-ES"/>
              </w:rPr>
              <w:t xml:space="preserve"> Personas con Discapacidad</w:t>
            </w:r>
          </w:p>
        </w:tc>
      </w:tr>
    </w:tbl>
    <w:p w14:paraId="75562C7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57B9" w:rsidRPr="00960625" w14:paraId="7E1C9E6B" w14:textId="77777777" w:rsidTr="00E157B9">
        <w:tc>
          <w:tcPr>
            <w:tcW w:w="3600" w:type="dxa"/>
            <w:tcBorders>
              <w:top w:val="single" w:sz="6" w:space="0" w:color="auto"/>
              <w:bottom w:val="single" w:sz="6" w:space="0" w:color="auto"/>
            </w:tcBorders>
            <w:shd w:val="clear" w:color="auto" w:fill="386294"/>
            <w:vAlign w:val="center"/>
          </w:tcPr>
          <w:p w14:paraId="05F4B018" w14:textId="77777777" w:rsidR="00E157B9" w:rsidRPr="003239B8" w:rsidRDefault="00E157B9" w:rsidP="00E157B9">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14:paraId="517F8A6E" w14:textId="35433920" w:rsidR="00E157B9" w:rsidRPr="003239B8" w:rsidRDefault="00E157B9" w:rsidP="00E157B9">
            <w:pPr>
              <w:jc w:val="both"/>
              <w:rPr>
                <w:rFonts w:ascii="Cambria" w:hAnsi="Cambria"/>
                <w:bCs/>
                <w:sz w:val="20"/>
                <w:szCs w:val="20"/>
                <w:lang w:val="es-ES"/>
              </w:rPr>
            </w:pPr>
            <w:r w:rsidRPr="00C25233">
              <w:rPr>
                <w:rFonts w:asciiTheme="majorHAnsi" w:hAnsiTheme="majorHAnsi"/>
                <w:bCs/>
                <w:sz w:val="19"/>
                <w:szCs w:val="19"/>
              </w:rPr>
              <w:t xml:space="preserve">23 de </w:t>
            </w:r>
            <w:proofErr w:type="spellStart"/>
            <w:r w:rsidRPr="00C25233">
              <w:rPr>
                <w:rFonts w:asciiTheme="majorHAnsi" w:hAnsiTheme="majorHAnsi"/>
                <w:bCs/>
                <w:sz w:val="19"/>
                <w:szCs w:val="19"/>
              </w:rPr>
              <w:t>diciembre</w:t>
            </w:r>
            <w:proofErr w:type="spellEnd"/>
            <w:r w:rsidRPr="00C25233">
              <w:rPr>
                <w:rFonts w:asciiTheme="majorHAnsi" w:hAnsiTheme="majorHAnsi"/>
                <w:bCs/>
                <w:sz w:val="19"/>
                <w:szCs w:val="19"/>
              </w:rPr>
              <w:t xml:space="preserve"> de 2008</w:t>
            </w:r>
          </w:p>
        </w:tc>
      </w:tr>
      <w:tr w:rsidR="00E157B9" w:rsidRPr="00E157B9" w14:paraId="4193E090" w14:textId="77777777" w:rsidTr="00E157B9">
        <w:tc>
          <w:tcPr>
            <w:tcW w:w="3600" w:type="dxa"/>
            <w:tcBorders>
              <w:top w:val="single" w:sz="6" w:space="0" w:color="auto"/>
              <w:bottom w:val="single" w:sz="6" w:space="0" w:color="auto"/>
            </w:tcBorders>
            <w:shd w:val="clear" w:color="auto" w:fill="386294"/>
            <w:vAlign w:val="center"/>
          </w:tcPr>
          <w:p w14:paraId="7991970D" w14:textId="77777777" w:rsidR="00E157B9" w:rsidRPr="003239B8" w:rsidRDefault="00E157B9" w:rsidP="00E157B9">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6D624F07" w14:textId="6EF34927" w:rsidR="00E157B9" w:rsidRPr="003239B8" w:rsidRDefault="00E157B9" w:rsidP="00E157B9">
            <w:pPr>
              <w:jc w:val="both"/>
              <w:rPr>
                <w:rFonts w:ascii="Cambria" w:hAnsi="Cambria"/>
                <w:bCs/>
                <w:sz w:val="20"/>
                <w:szCs w:val="20"/>
                <w:lang w:val="es-ES"/>
              </w:rPr>
            </w:pPr>
            <w:r w:rsidRPr="00C25233">
              <w:rPr>
                <w:rFonts w:asciiTheme="majorHAnsi" w:hAnsiTheme="majorHAnsi"/>
                <w:bCs/>
                <w:sz w:val="19"/>
                <w:szCs w:val="19"/>
              </w:rPr>
              <w:t>29 de mayo de 2014</w:t>
            </w:r>
          </w:p>
        </w:tc>
      </w:tr>
      <w:tr w:rsidR="00E157B9" w:rsidRPr="004A6A54" w14:paraId="4668CA8D" w14:textId="77777777" w:rsidTr="00E157B9">
        <w:tc>
          <w:tcPr>
            <w:tcW w:w="3600" w:type="dxa"/>
            <w:tcBorders>
              <w:top w:val="single" w:sz="6" w:space="0" w:color="auto"/>
              <w:bottom w:val="single" w:sz="6" w:space="0" w:color="auto"/>
            </w:tcBorders>
            <w:shd w:val="clear" w:color="auto" w:fill="386294"/>
            <w:vAlign w:val="center"/>
          </w:tcPr>
          <w:p w14:paraId="611ADE8F" w14:textId="77777777" w:rsidR="00E157B9" w:rsidRPr="003239B8" w:rsidRDefault="00E157B9" w:rsidP="00E157B9">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6A5E4D46" w14:textId="064A56C8" w:rsidR="00E157B9" w:rsidRPr="003239B8" w:rsidRDefault="00E157B9" w:rsidP="00E157B9">
            <w:pPr>
              <w:jc w:val="both"/>
              <w:rPr>
                <w:rFonts w:ascii="Cambria" w:hAnsi="Cambria"/>
                <w:bCs/>
                <w:sz w:val="20"/>
                <w:szCs w:val="20"/>
                <w:lang w:val="es-ES"/>
              </w:rPr>
            </w:pPr>
            <w:r w:rsidRPr="00C25233">
              <w:rPr>
                <w:rFonts w:asciiTheme="majorHAnsi" w:hAnsiTheme="majorHAnsi"/>
                <w:bCs/>
                <w:sz w:val="19"/>
                <w:szCs w:val="19"/>
              </w:rPr>
              <w:t xml:space="preserve">6 de </w:t>
            </w:r>
            <w:proofErr w:type="spellStart"/>
            <w:r w:rsidRPr="00C25233">
              <w:rPr>
                <w:rFonts w:asciiTheme="majorHAnsi" w:hAnsiTheme="majorHAnsi"/>
                <w:bCs/>
                <w:sz w:val="19"/>
                <w:szCs w:val="19"/>
              </w:rPr>
              <w:t>octubre</w:t>
            </w:r>
            <w:proofErr w:type="spellEnd"/>
            <w:r w:rsidRPr="00C25233">
              <w:rPr>
                <w:rFonts w:asciiTheme="majorHAnsi" w:hAnsiTheme="majorHAnsi"/>
                <w:bCs/>
                <w:sz w:val="19"/>
                <w:szCs w:val="19"/>
              </w:rPr>
              <w:t xml:space="preserve"> de 2015</w:t>
            </w:r>
          </w:p>
        </w:tc>
      </w:tr>
      <w:tr w:rsidR="00E157B9" w:rsidRPr="00E157B9" w14:paraId="678EAF9E" w14:textId="77777777" w:rsidTr="00E157B9">
        <w:tc>
          <w:tcPr>
            <w:tcW w:w="3600" w:type="dxa"/>
            <w:tcBorders>
              <w:top w:val="single" w:sz="6" w:space="0" w:color="auto"/>
              <w:bottom w:val="single" w:sz="6" w:space="0" w:color="auto"/>
            </w:tcBorders>
            <w:shd w:val="clear" w:color="auto" w:fill="386294"/>
            <w:vAlign w:val="center"/>
          </w:tcPr>
          <w:p w14:paraId="3D2F56C5" w14:textId="77777777" w:rsidR="00E157B9" w:rsidRPr="003239B8" w:rsidRDefault="00E157B9" w:rsidP="00E157B9">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04C2FAAA" w14:textId="6CEFE2A3" w:rsidR="00E157B9" w:rsidRPr="003239B8" w:rsidRDefault="00E157B9" w:rsidP="00E157B9">
            <w:pPr>
              <w:jc w:val="both"/>
              <w:rPr>
                <w:rFonts w:ascii="Cambria" w:hAnsi="Cambria"/>
                <w:bCs/>
                <w:sz w:val="20"/>
                <w:szCs w:val="20"/>
                <w:lang w:val="es-ES"/>
              </w:rPr>
            </w:pPr>
            <w:r w:rsidRPr="00C25233">
              <w:rPr>
                <w:rFonts w:asciiTheme="majorHAnsi" w:hAnsiTheme="majorHAnsi"/>
                <w:bCs/>
                <w:sz w:val="19"/>
                <w:szCs w:val="19"/>
              </w:rPr>
              <w:t>9 de mayo de 2017</w:t>
            </w:r>
          </w:p>
        </w:tc>
      </w:tr>
    </w:tbl>
    <w:p w14:paraId="67F43BE1"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E157B9" w:rsidRPr="00540F17" w14:paraId="579111D5" w14:textId="77777777" w:rsidTr="00E157B9">
        <w:trPr>
          <w:cantSplit/>
        </w:trPr>
        <w:tc>
          <w:tcPr>
            <w:tcW w:w="3544" w:type="dxa"/>
            <w:tcBorders>
              <w:top w:val="single" w:sz="4" w:space="0" w:color="auto"/>
              <w:bottom w:val="single" w:sz="6" w:space="0" w:color="auto"/>
            </w:tcBorders>
            <w:shd w:val="clear" w:color="auto" w:fill="386294"/>
            <w:vAlign w:val="center"/>
          </w:tcPr>
          <w:p w14:paraId="1FAA0DC4" w14:textId="77777777" w:rsidR="00E157B9" w:rsidRPr="00496195" w:rsidRDefault="00E157B9" w:rsidP="00E157B9">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812" w:type="dxa"/>
            <w:vAlign w:val="center"/>
          </w:tcPr>
          <w:p w14:paraId="2872FB9A" w14:textId="06DFCBBB" w:rsidR="00E157B9" w:rsidRPr="00DA671F" w:rsidRDefault="00E157B9" w:rsidP="00E157B9">
            <w:pPr>
              <w:rPr>
                <w:rFonts w:asciiTheme="majorHAnsi" w:hAnsiTheme="majorHAnsi"/>
                <w:bCs/>
                <w:sz w:val="20"/>
                <w:szCs w:val="20"/>
              </w:rPr>
            </w:pPr>
            <w:proofErr w:type="spellStart"/>
            <w:r w:rsidRPr="00C25233">
              <w:rPr>
                <w:rFonts w:asciiTheme="majorHAnsi" w:hAnsiTheme="majorHAnsi"/>
                <w:bCs/>
                <w:sz w:val="19"/>
                <w:szCs w:val="19"/>
              </w:rPr>
              <w:t>Sí</w:t>
            </w:r>
            <w:proofErr w:type="spellEnd"/>
          </w:p>
        </w:tc>
      </w:tr>
      <w:tr w:rsidR="00E157B9" w:rsidRPr="00540F17" w14:paraId="45112DA1" w14:textId="77777777" w:rsidTr="00E157B9">
        <w:trPr>
          <w:cantSplit/>
        </w:trPr>
        <w:tc>
          <w:tcPr>
            <w:tcW w:w="3544" w:type="dxa"/>
            <w:tcBorders>
              <w:top w:val="single" w:sz="6" w:space="0" w:color="auto"/>
              <w:bottom w:val="single" w:sz="6" w:space="0" w:color="auto"/>
            </w:tcBorders>
            <w:shd w:val="clear" w:color="auto" w:fill="386294"/>
            <w:vAlign w:val="center"/>
          </w:tcPr>
          <w:p w14:paraId="7366022D" w14:textId="77777777" w:rsidR="00E157B9" w:rsidRPr="00706824" w:rsidRDefault="00E157B9" w:rsidP="00E157B9">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812" w:type="dxa"/>
            <w:vAlign w:val="center"/>
          </w:tcPr>
          <w:p w14:paraId="326D1133" w14:textId="52978BBD" w:rsidR="00E157B9" w:rsidRPr="00DA671F" w:rsidRDefault="00E157B9" w:rsidP="00E157B9">
            <w:pPr>
              <w:rPr>
                <w:rFonts w:asciiTheme="majorHAnsi" w:hAnsiTheme="majorHAnsi"/>
                <w:bCs/>
                <w:sz w:val="20"/>
                <w:szCs w:val="20"/>
              </w:rPr>
            </w:pPr>
            <w:proofErr w:type="spellStart"/>
            <w:r w:rsidRPr="00C25233">
              <w:rPr>
                <w:rFonts w:asciiTheme="majorHAnsi" w:hAnsiTheme="majorHAnsi"/>
                <w:bCs/>
                <w:sz w:val="19"/>
                <w:szCs w:val="19"/>
              </w:rPr>
              <w:t>Sí</w:t>
            </w:r>
            <w:proofErr w:type="spellEnd"/>
          </w:p>
        </w:tc>
      </w:tr>
      <w:tr w:rsidR="00E157B9" w:rsidRPr="00540F17" w14:paraId="2B104E20" w14:textId="77777777" w:rsidTr="00E157B9">
        <w:trPr>
          <w:cantSplit/>
        </w:trPr>
        <w:tc>
          <w:tcPr>
            <w:tcW w:w="3544" w:type="dxa"/>
            <w:tcBorders>
              <w:top w:val="single" w:sz="6" w:space="0" w:color="auto"/>
              <w:bottom w:val="single" w:sz="6" w:space="0" w:color="auto"/>
            </w:tcBorders>
            <w:shd w:val="clear" w:color="auto" w:fill="386294"/>
            <w:vAlign w:val="center"/>
          </w:tcPr>
          <w:p w14:paraId="3F1051C1" w14:textId="77777777" w:rsidR="00E157B9" w:rsidRPr="00706824" w:rsidRDefault="00E157B9" w:rsidP="00E157B9">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812" w:type="dxa"/>
            <w:vAlign w:val="center"/>
          </w:tcPr>
          <w:p w14:paraId="4625A134" w14:textId="1AD8C474" w:rsidR="00E157B9" w:rsidRPr="00DA671F" w:rsidRDefault="00E157B9" w:rsidP="00E157B9">
            <w:pPr>
              <w:rPr>
                <w:rFonts w:asciiTheme="majorHAnsi" w:hAnsiTheme="majorHAnsi"/>
                <w:bCs/>
                <w:sz w:val="20"/>
                <w:szCs w:val="20"/>
              </w:rPr>
            </w:pPr>
            <w:proofErr w:type="spellStart"/>
            <w:r w:rsidRPr="00C25233">
              <w:rPr>
                <w:rFonts w:asciiTheme="majorHAnsi" w:hAnsiTheme="majorHAnsi"/>
                <w:bCs/>
                <w:sz w:val="19"/>
                <w:szCs w:val="19"/>
              </w:rPr>
              <w:t>Sí</w:t>
            </w:r>
            <w:proofErr w:type="spellEnd"/>
          </w:p>
        </w:tc>
      </w:tr>
      <w:tr w:rsidR="00E157B9" w:rsidRPr="005622E3" w14:paraId="435F4CBC" w14:textId="77777777" w:rsidTr="00E157B9">
        <w:trPr>
          <w:cantSplit/>
        </w:trPr>
        <w:tc>
          <w:tcPr>
            <w:tcW w:w="3544" w:type="dxa"/>
            <w:tcBorders>
              <w:top w:val="single" w:sz="6" w:space="0" w:color="auto"/>
              <w:bottom w:val="single" w:sz="6" w:space="0" w:color="auto"/>
            </w:tcBorders>
            <w:shd w:val="clear" w:color="auto" w:fill="386294"/>
            <w:vAlign w:val="center"/>
          </w:tcPr>
          <w:p w14:paraId="2B91E7FC" w14:textId="77777777" w:rsidR="00E157B9" w:rsidRPr="00706824" w:rsidRDefault="00E157B9" w:rsidP="00E157B9">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812" w:type="dxa"/>
            <w:vAlign w:val="center"/>
          </w:tcPr>
          <w:p w14:paraId="7BD91B12" w14:textId="08F5541C" w:rsidR="00E157B9" w:rsidRPr="004C2312" w:rsidRDefault="00E157B9" w:rsidP="00E157B9">
            <w:pPr>
              <w:jc w:val="both"/>
              <w:rPr>
                <w:rFonts w:ascii="Cambria" w:hAnsi="Cambria"/>
                <w:bCs/>
                <w:sz w:val="20"/>
                <w:szCs w:val="20"/>
                <w:lang w:val="es-ES"/>
              </w:rPr>
            </w:pPr>
            <w:r w:rsidRPr="00D55081">
              <w:rPr>
                <w:rFonts w:asciiTheme="majorHAnsi" w:hAnsiTheme="majorHAnsi"/>
                <w:bCs/>
                <w:sz w:val="19"/>
                <w:szCs w:val="19"/>
                <w:lang w:val="es-ES"/>
              </w:rPr>
              <w:t>Sí, Convención Americana (depósito de instrumento realizado el 5 de septiembre de 1984)</w:t>
            </w:r>
          </w:p>
        </w:tc>
      </w:tr>
    </w:tbl>
    <w:p w14:paraId="3A0FA835" w14:textId="0C3BECC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E157B9" w:rsidRPr="00E157B9" w14:paraId="01251EB6" w14:textId="77777777" w:rsidTr="00E157B9">
        <w:trPr>
          <w:cantSplit/>
        </w:trPr>
        <w:tc>
          <w:tcPr>
            <w:tcW w:w="3544" w:type="dxa"/>
            <w:tcBorders>
              <w:top w:val="single" w:sz="4" w:space="0" w:color="auto"/>
              <w:bottom w:val="single" w:sz="6" w:space="0" w:color="auto"/>
            </w:tcBorders>
            <w:shd w:val="clear" w:color="auto" w:fill="386294"/>
            <w:vAlign w:val="center"/>
          </w:tcPr>
          <w:p w14:paraId="05B4BFEA" w14:textId="77777777" w:rsidR="00E157B9" w:rsidRPr="00EE00E9" w:rsidRDefault="00E157B9" w:rsidP="00E157B9">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812" w:type="dxa"/>
            <w:vAlign w:val="center"/>
          </w:tcPr>
          <w:p w14:paraId="3221BDFB" w14:textId="2D099D64" w:rsidR="00E157B9" w:rsidRPr="00EE00E9" w:rsidRDefault="00E157B9" w:rsidP="00E157B9">
            <w:pPr>
              <w:jc w:val="both"/>
              <w:rPr>
                <w:rFonts w:ascii="Cambria" w:hAnsi="Cambria"/>
                <w:bCs/>
                <w:sz w:val="20"/>
                <w:szCs w:val="20"/>
                <w:lang w:val="es-ES"/>
              </w:rPr>
            </w:pPr>
            <w:r w:rsidRPr="00C25233">
              <w:rPr>
                <w:rFonts w:asciiTheme="majorHAnsi" w:hAnsiTheme="majorHAnsi"/>
                <w:bCs/>
                <w:sz w:val="19"/>
                <w:szCs w:val="19"/>
              </w:rPr>
              <w:t>No</w:t>
            </w:r>
          </w:p>
        </w:tc>
      </w:tr>
      <w:tr w:rsidR="00E157B9" w:rsidRPr="005622E3" w14:paraId="204858FC" w14:textId="77777777" w:rsidTr="00E157B9">
        <w:trPr>
          <w:cantSplit/>
        </w:trPr>
        <w:tc>
          <w:tcPr>
            <w:tcW w:w="3544" w:type="dxa"/>
            <w:tcBorders>
              <w:top w:val="single" w:sz="4" w:space="0" w:color="auto"/>
              <w:bottom w:val="single" w:sz="6" w:space="0" w:color="auto"/>
            </w:tcBorders>
            <w:shd w:val="clear" w:color="auto" w:fill="386294"/>
            <w:vAlign w:val="center"/>
          </w:tcPr>
          <w:p w14:paraId="0817E72B" w14:textId="77777777" w:rsidR="00E157B9" w:rsidRPr="00496195" w:rsidRDefault="00E157B9" w:rsidP="00E157B9">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812" w:type="dxa"/>
            <w:vAlign w:val="center"/>
          </w:tcPr>
          <w:p w14:paraId="3EE8BC52" w14:textId="64E7CBE9" w:rsidR="00E157B9" w:rsidRPr="00F55B4E" w:rsidRDefault="00E157B9" w:rsidP="00E157B9">
            <w:pPr>
              <w:jc w:val="both"/>
              <w:rPr>
                <w:rFonts w:ascii="Cambria" w:hAnsi="Cambria"/>
                <w:bCs/>
                <w:sz w:val="20"/>
                <w:szCs w:val="20"/>
                <w:lang w:val="es-PA"/>
              </w:rPr>
            </w:pPr>
            <w:r w:rsidRPr="00D55081">
              <w:rPr>
                <w:rFonts w:asciiTheme="majorHAnsi" w:hAnsiTheme="majorHAnsi"/>
                <w:bCs/>
                <w:sz w:val="19"/>
                <w:szCs w:val="19"/>
                <w:lang w:val="es-ES"/>
              </w:rPr>
              <w:t>Artículos 5 (integridad personal), 8 (garantías judiciales), 24 (igualdad) y 25 (protección judicial) de la Convención Americana, en relación con los artículos 1.1 (obligación de respetar los derechos) y 2 (deber de adoptar disposiciones de derecho interno) del mismo instrumento</w:t>
            </w:r>
            <w:r>
              <w:rPr>
                <w:rFonts w:asciiTheme="majorHAnsi" w:hAnsiTheme="majorHAnsi"/>
                <w:bCs/>
                <w:sz w:val="19"/>
                <w:szCs w:val="19"/>
                <w:lang w:val="es-ES"/>
              </w:rPr>
              <w:t xml:space="preserve"> </w:t>
            </w:r>
          </w:p>
        </w:tc>
      </w:tr>
      <w:tr w:rsidR="00E157B9" w:rsidRPr="005622E3" w14:paraId="75BD98F3" w14:textId="77777777" w:rsidTr="00E157B9">
        <w:trPr>
          <w:cantSplit/>
        </w:trPr>
        <w:tc>
          <w:tcPr>
            <w:tcW w:w="3544" w:type="dxa"/>
            <w:tcBorders>
              <w:top w:val="single" w:sz="6" w:space="0" w:color="auto"/>
              <w:bottom w:val="single" w:sz="6" w:space="0" w:color="auto"/>
            </w:tcBorders>
            <w:shd w:val="clear" w:color="auto" w:fill="386294"/>
            <w:vAlign w:val="center"/>
          </w:tcPr>
          <w:p w14:paraId="128A85B6" w14:textId="77777777" w:rsidR="00E157B9" w:rsidRPr="00EE00E9" w:rsidRDefault="00E157B9" w:rsidP="00E157B9">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 o procedencia de una excepción:</w:t>
            </w:r>
          </w:p>
        </w:tc>
        <w:tc>
          <w:tcPr>
            <w:tcW w:w="5812" w:type="dxa"/>
            <w:vAlign w:val="center"/>
          </w:tcPr>
          <w:p w14:paraId="2B9E328A" w14:textId="2B868788" w:rsidR="00E157B9" w:rsidRPr="00EE00E9" w:rsidRDefault="00E157B9" w:rsidP="00E157B9">
            <w:pPr>
              <w:rPr>
                <w:rFonts w:ascii="Cambria" w:hAnsi="Cambria"/>
                <w:bCs/>
                <w:sz w:val="20"/>
                <w:szCs w:val="20"/>
                <w:lang w:val="es-ES"/>
              </w:rPr>
            </w:pPr>
            <w:r w:rsidRPr="00D55081">
              <w:rPr>
                <w:rFonts w:asciiTheme="majorHAnsi" w:hAnsiTheme="majorHAnsi"/>
                <w:bCs/>
                <w:sz w:val="19"/>
                <w:szCs w:val="19"/>
                <w:lang w:val="es-ES"/>
              </w:rPr>
              <w:t>Sí, el 23 de octubre de 2008</w:t>
            </w:r>
            <w:r>
              <w:rPr>
                <w:rFonts w:asciiTheme="majorHAnsi" w:hAnsiTheme="majorHAnsi"/>
                <w:bCs/>
                <w:sz w:val="19"/>
                <w:szCs w:val="19"/>
                <w:lang w:val="es-ES"/>
              </w:rPr>
              <w:t xml:space="preserve"> </w:t>
            </w:r>
          </w:p>
        </w:tc>
      </w:tr>
      <w:tr w:rsidR="00E157B9" w:rsidRPr="005622E3" w14:paraId="4DB8FB53" w14:textId="77777777" w:rsidTr="00E157B9">
        <w:trPr>
          <w:cantSplit/>
        </w:trPr>
        <w:tc>
          <w:tcPr>
            <w:tcW w:w="3544" w:type="dxa"/>
            <w:tcBorders>
              <w:top w:val="single" w:sz="6" w:space="0" w:color="auto"/>
              <w:bottom w:val="single" w:sz="6" w:space="0" w:color="auto"/>
            </w:tcBorders>
            <w:shd w:val="clear" w:color="auto" w:fill="386294"/>
            <w:vAlign w:val="center"/>
          </w:tcPr>
          <w:p w14:paraId="05A18A95" w14:textId="77777777" w:rsidR="00E157B9" w:rsidRPr="00F55B4E" w:rsidRDefault="00E157B9" w:rsidP="00E157B9">
            <w:pPr>
              <w:jc w:val="center"/>
              <w:rPr>
                <w:rFonts w:ascii="Cambria" w:hAnsi="Cambria"/>
                <w:b/>
                <w:bCs/>
                <w:color w:val="FFFFFF" w:themeColor="background1"/>
                <w:sz w:val="20"/>
                <w:szCs w:val="20"/>
                <w:lang w:val="es-PA"/>
              </w:rPr>
            </w:pPr>
            <w:r w:rsidRPr="00F55B4E">
              <w:rPr>
                <w:rFonts w:ascii="Cambria" w:hAnsi="Cambria"/>
                <w:b/>
                <w:bCs/>
                <w:color w:val="FFFFFF" w:themeColor="background1"/>
                <w:sz w:val="20"/>
                <w:szCs w:val="20"/>
                <w:lang w:val="es-PA"/>
              </w:rPr>
              <w:t>Presentación dentro de plazo:</w:t>
            </w:r>
          </w:p>
        </w:tc>
        <w:tc>
          <w:tcPr>
            <w:tcW w:w="5812" w:type="dxa"/>
            <w:vAlign w:val="center"/>
          </w:tcPr>
          <w:p w14:paraId="45C65A72" w14:textId="630A36BC" w:rsidR="00E157B9" w:rsidRPr="00F55B4E" w:rsidRDefault="00E157B9" w:rsidP="00E157B9">
            <w:pPr>
              <w:rPr>
                <w:bCs/>
                <w:sz w:val="20"/>
                <w:szCs w:val="20"/>
                <w:lang w:val="es-PA"/>
              </w:rPr>
            </w:pPr>
            <w:r w:rsidRPr="00D55081">
              <w:rPr>
                <w:rFonts w:asciiTheme="majorHAnsi" w:hAnsiTheme="majorHAnsi"/>
                <w:bCs/>
                <w:sz w:val="19"/>
                <w:szCs w:val="19"/>
                <w:lang w:val="es-ES"/>
              </w:rPr>
              <w:t>Sí, el 23 de diciembre de 2008</w:t>
            </w:r>
          </w:p>
        </w:tc>
      </w:tr>
    </w:tbl>
    <w:p w14:paraId="4C8E8F52"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3242FECF" w14:textId="77777777" w:rsidR="00E157B9" w:rsidRPr="00BA2D61" w:rsidRDefault="00711C21" w:rsidP="00E157B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PA"/>
        </w:rPr>
        <w:t xml:space="preserve">  </w:t>
      </w:r>
      <w:r w:rsidR="00E157B9" w:rsidRPr="00BA2D61">
        <w:rPr>
          <w:rFonts w:eastAsia="Arial Unicode MS" w:cs="Times New Roman"/>
          <w:color w:val="auto"/>
          <w:sz w:val="20"/>
          <w:szCs w:val="20"/>
          <w:lang w:val="es-ES" w:eastAsia="en-US"/>
        </w:rPr>
        <w:t xml:space="preserve">La presente petición se refiere al reclamo por la denegación del Estado a indemnizar a la presunta víctima por las lesiones que esta sufrió en mayo de 1998 a raíz de disparos efectuados por un grupo de sospechosos durante una confrontación en Martínez, provincia de Buenos Aires. Según los peticionarios, la presunta víctima sufrió una lesión durante el desempeño de sus funciones como miembro de la Policía </w:t>
      </w:r>
      <w:r w:rsidR="00E157B9" w:rsidRPr="00BA2D61">
        <w:rPr>
          <w:rFonts w:eastAsia="Arial Unicode MS" w:cs="Times New Roman"/>
          <w:color w:val="auto"/>
          <w:sz w:val="20"/>
          <w:szCs w:val="20"/>
          <w:lang w:val="es-ES" w:eastAsia="en-US"/>
        </w:rPr>
        <w:lastRenderedPageBreak/>
        <w:t xml:space="preserve">Federal Argentina. En un principio, a la presunta víctima se le concedió una licencia médica por enfermedad; posteriormente, se certificó clínicamente el 100 % de incapacidad laboral para la tarea policial. Asimismo, señalan que, producto de esta incapacidad, se dispuso el retiro obligatorio de la presunta víctima de la Policía Federal Argentina con efecto a partir del 7 de julio de 1999. </w:t>
      </w:r>
    </w:p>
    <w:p w14:paraId="4F362244" w14:textId="6CCE272B" w:rsidR="00E157B9" w:rsidRPr="00BA2D61" w:rsidRDefault="00E157B9" w:rsidP="00E157B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A2D61">
        <w:rPr>
          <w:sz w:val="20"/>
          <w:szCs w:val="20"/>
          <w:lang w:val="es-ES"/>
        </w:rPr>
        <w:t xml:space="preserve"> Afirman que la presunta víctima presentó una acción judicial </w:t>
      </w:r>
      <w:r>
        <w:rPr>
          <w:sz w:val="20"/>
          <w:szCs w:val="20"/>
          <w:lang w:val="es-ES"/>
        </w:rPr>
        <w:t>(</w:t>
      </w:r>
      <w:r w:rsidRPr="00BA2D61">
        <w:rPr>
          <w:sz w:val="20"/>
          <w:szCs w:val="20"/>
          <w:lang w:val="es-ES"/>
        </w:rPr>
        <w:t>contra la Policía Federal Argentina</w:t>
      </w:r>
      <w:r>
        <w:rPr>
          <w:sz w:val="20"/>
          <w:szCs w:val="20"/>
          <w:lang w:val="es-ES"/>
        </w:rPr>
        <w:t>)</w:t>
      </w:r>
      <w:r w:rsidRPr="00BA2D61">
        <w:rPr>
          <w:sz w:val="20"/>
          <w:szCs w:val="20"/>
          <w:lang w:val="es-ES"/>
        </w:rPr>
        <w:t xml:space="preserve"> ante el Juzgado Nacional de Primera Instancia en lo Civil y Comercial Federal con el fin de </w:t>
      </w:r>
      <w:r>
        <w:rPr>
          <w:sz w:val="20"/>
          <w:szCs w:val="20"/>
          <w:lang w:val="es-ES"/>
        </w:rPr>
        <w:t>recibir</w:t>
      </w:r>
      <w:r w:rsidRPr="00BA2D61">
        <w:rPr>
          <w:sz w:val="20"/>
          <w:szCs w:val="20"/>
          <w:lang w:val="es-ES"/>
        </w:rPr>
        <w:t xml:space="preserve"> una indemnización. Señalan que dicho juzgado falló a favor de la presunta víctima </w:t>
      </w:r>
      <w:r>
        <w:rPr>
          <w:sz w:val="20"/>
          <w:szCs w:val="20"/>
          <w:lang w:val="es-ES"/>
        </w:rPr>
        <w:t xml:space="preserve">por </w:t>
      </w:r>
      <w:r w:rsidRPr="00BA2D61">
        <w:rPr>
          <w:sz w:val="20"/>
          <w:szCs w:val="20"/>
          <w:lang w:val="es-ES"/>
        </w:rPr>
        <w:t>aplicación de los principios de</w:t>
      </w:r>
      <w:r>
        <w:rPr>
          <w:sz w:val="20"/>
          <w:szCs w:val="20"/>
          <w:lang w:val="es-ES"/>
        </w:rPr>
        <w:t>l</w:t>
      </w:r>
      <w:r w:rsidRPr="00BA2D61">
        <w:rPr>
          <w:sz w:val="20"/>
          <w:szCs w:val="20"/>
          <w:lang w:val="es-ES"/>
        </w:rPr>
        <w:t xml:space="preserve"> derecho común. No obstante, esta resolución fue revocada por la Cámara Nacional de Apelaciones en lo Civil y Comercial Federal. Los peticionarios alegan que la decisión de la Cámara de Apelaciones (en contra de la presunta víctima) se basó principalmente en el precedente conocido como </w:t>
      </w:r>
      <w:r w:rsidR="0071422F">
        <w:rPr>
          <w:sz w:val="20"/>
          <w:szCs w:val="20"/>
          <w:lang w:val="es-ES"/>
        </w:rPr>
        <w:t>“</w:t>
      </w:r>
      <w:proofErr w:type="spellStart"/>
      <w:r w:rsidRPr="00BA2D61">
        <w:rPr>
          <w:sz w:val="20"/>
          <w:szCs w:val="20"/>
          <w:lang w:val="es-ES"/>
        </w:rPr>
        <w:t>Azzetti</w:t>
      </w:r>
      <w:proofErr w:type="spellEnd"/>
      <w:r>
        <w:rPr>
          <w:sz w:val="20"/>
          <w:szCs w:val="20"/>
          <w:lang w:val="es-ES"/>
        </w:rPr>
        <w:t>”</w:t>
      </w:r>
      <w:r w:rsidRPr="00BA2D61">
        <w:rPr>
          <w:sz w:val="20"/>
          <w:szCs w:val="20"/>
          <w:lang w:val="es-ES"/>
        </w:rPr>
        <w:t xml:space="preserve">, anteriormente resuelto por la Corte Suprema de Justicia. Aducen que en ese caso se estableció que el derecho común no es aplicable en casos de lesiones </w:t>
      </w:r>
      <w:r>
        <w:rPr>
          <w:sz w:val="20"/>
          <w:szCs w:val="20"/>
          <w:lang w:val="es-ES"/>
        </w:rPr>
        <w:t xml:space="preserve">sufridas </w:t>
      </w:r>
      <w:r w:rsidRPr="00BA2D61">
        <w:rPr>
          <w:sz w:val="20"/>
          <w:szCs w:val="20"/>
          <w:lang w:val="es-ES"/>
        </w:rPr>
        <w:t xml:space="preserve">en y por </w:t>
      </w:r>
      <w:r>
        <w:rPr>
          <w:sz w:val="20"/>
          <w:szCs w:val="20"/>
          <w:lang w:val="es-ES"/>
        </w:rPr>
        <w:t>ejercicio</w:t>
      </w:r>
      <w:r w:rsidRPr="00BA2D61">
        <w:rPr>
          <w:sz w:val="20"/>
          <w:szCs w:val="20"/>
          <w:lang w:val="es-ES"/>
        </w:rPr>
        <w:t xml:space="preserve"> de</w:t>
      </w:r>
      <w:r>
        <w:rPr>
          <w:sz w:val="20"/>
          <w:szCs w:val="20"/>
          <w:lang w:val="es-ES"/>
        </w:rPr>
        <w:t xml:space="preserve"> la función policial</w:t>
      </w:r>
      <w:r w:rsidRPr="00BA2D61">
        <w:rPr>
          <w:sz w:val="20"/>
          <w:szCs w:val="20"/>
          <w:lang w:val="es-ES"/>
        </w:rPr>
        <w:t xml:space="preserve">. </w:t>
      </w:r>
      <w:r>
        <w:rPr>
          <w:sz w:val="20"/>
          <w:szCs w:val="20"/>
          <w:lang w:val="es-ES"/>
        </w:rPr>
        <w:t>Indican</w:t>
      </w:r>
      <w:r w:rsidRPr="00BA2D61">
        <w:rPr>
          <w:sz w:val="20"/>
          <w:szCs w:val="20"/>
          <w:lang w:val="es-ES"/>
        </w:rPr>
        <w:t xml:space="preserve">, además, que el precedente </w:t>
      </w:r>
      <w:r>
        <w:rPr>
          <w:sz w:val="20"/>
          <w:szCs w:val="20"/>
          <w:lang w:val="es-ES"/>
        </w:rPr>
        <w:t>deriva de</w:t>
      </w:r>
      <w:r w:rsidRPr="00BA2D61">
        <w:rPr>
          <w:sz w:val="20"/>
          <w:szCs w:val="20"/>
          <w:lang w:val="es-ES"/>
        </w:rPr>
        <w:t xml:space="preserve"> una demanda judicial presentada por un soldado lesionado en la Guerra de Malvinas cuyas pretensiones fueron denegadas bajo el fundamento de que, al existir una gran cantidad de </w:t>
      </w:r>
      <w:r>
        <w:rPr>
          <w:sz w:val="20"/>
          <w:szCs w:val="20"/>
          <w:lang w:val="es-ES"/>
        </w:rPr>
        <w:t>soldado</w:t>
      </w:r>
      <w:r w:rsidRPr="00BA2D61">
        <w:rPr>
          <w:sz w:val="20"/>
          <w:szCs w:val="20"/>
          <w:lang w:val="es-ES"/>
        </w:rPr>
        <w:t xml:space="preserve">s lesionados </w:t>
      </w:r>
      <w:r>
        <w:rPr>
          <w:sz w:val="20"/>
          <w:szCs w:val="20"/>
          <w:lang w:val="es-ES"/>
        </w:rPr>
        <w:t>en</w:t>
      </w:r>
      <w:r w:rsidRPr="00BA2D61">
        <w:rPr>
          <w:sz w:val="20"/>
          <w:szCs w:val="20"/>
          <w:lang w:val="es-ES"/>
        </w:rPr>
        <w:t xml:space="preserve"> un conflicto bélico internacional, la determinación de una posible indemnización corresponde al Poder Legislativo. Los peticionarios </w:t>
      </w:r>
      <w:r>
        <w:rPr>
          <w:sz w:val="20"/>
          <w:szCs w:val="20"/>
          <w:lang w:val="es-ES"/>
        </w:rPr>
        <w:t>afirman</w:t>
      </w:r>
      <w:r w:rsidRPr="00BA2D61">
        <w:rPr>
          <w:sz w:val="20"/>
          <w:szCs w:val="20"/>
          <w:lang w:val="es-ES"/>
        </w:rPr>
        <w:t xml:space="preserve"> que la presunta víctima apeló ante la Corte Suprema de</w:t>
      </w:r>
      <w:r>
        <w:rPr>
          <w:sz w:val="20"/>
          <w:szCs w:val="20"/>
          <w:lang w:val="es-ES"/>
        </w:rPr>
        <w:t xml:space="preserve"> </w:t>
      </w:r>
      <w:r w:rsidRPr="00BA2D61">
        <w:rPr>
          <w:sz w:val="20"/>
          <w:szCs w:val="20"/>
          <w:lang w:val="es-ES"/>
        </w:rPr>
        <w:t>Justicia</w:t>
      </w:r>
      <w:r>
        <w:rPr>
          <w:sz w:val="20"/>
          <w:szCs w:val="20"/>
          <w:lang w:val="es-ES"/>
        </w:rPr>
        <w:t>,</w:t>
      </w:r>
      <w:r w:rsidRPr="00BA2D61">
        <w:rPr>
          <w:sz w:val="20"/>
          <w:szCs w:val="20"/>
          <w:lang w:val="es-ES"/>
        </w:rPr>
        <w:t xml:space="preserve"> </w:t>
      </w:r>
      <w:r>
        <w:rPr>
          <w:sz w:val="20"/>
          <w:szCs w:val="20"/>
          <w:lang w:val="es-ES"/>
        </w:rPr>
        <w:t>y</w:t>
      </w:r>
      <w:r w:rsidRPr="00BA2D61">
        <w:rPr>
          <w:sz w:val="20"/>
          <w:szCs w:val="20"/>
          <w:lang w:val="es-ES"/>
        </w:rPr>
        <w:t xml:space="preserve"> </w:t>
      </w:r>
      <w:r>
        <w:rPr>
          <w:sz w:val="20"/>
          <w:szCs w:val="20"/>
          <w:lang w:val="es-ES"/>
        </w:rPr>
        <w:t xml:space="preserve">que </w:t>
      </w:r>
      <w:r w:rsidRPr="00BA2D61">
        <w:rPr>
          <w:sz w:val="20"/>
          <w:szCs w:val="20"/>
          <w:lang w:val="es-ES"/>
        </w:rPr>
        <w:t>esta rechazó la demanda el 7 de octubre de 2008 y notificó a la presunta v</w:t>
      </w:r>
      <w:r>
        <w:rPr>
          <w:sz w:val="20"/>
          <w:szCs w:val="20"/>
          <w:lang w:val="es-ES"/>
        </w:rPr>
        <w:t>í</w:t>
      </w:r>
      <w:r w:rsidRPr="00BA2D61">
        <w:rPr>
          <w:sz w:val="20"/>
          <w:szCs w:val="20"/>
          <w:lang w:val="es-ES"/>
        </w:rPr>
        <w:t xml:space="preserve">ctima </w:t>
      </w:r>
      <w:r>
        <w:rPr>
          <w:sz w:val="20"/>
          <w:szCs w:val="20"/>
          <w:lang w:val="es-ES"/>
        </w:rPr>
        <w:t>la</w:t>
      </w:r>
      <w:r w:rsidRPr="00BA2D61">
        <w:rPr>
          <w:sz w:val="20"/>
          <w:szCs w:val="20"/>
          <w:lang w:val="es-ES"/>
        </w:rPr>
        <w:t xml:space="preserve"> decisión el 23 de octubre de 2008.</w:t>
      </w:r>
      <w:r>
        <w:rPr>
          <w:sz w:val="20"/>
          <w:szCs w:val="20"/>
          <w:lang w:val="es-ES"/>
        </w:rPr>
        <w:t xml:space="preserve"> </w:t>
      </w:r>
    </w:p>
    <w:p w14:paraId="6ACD6716" w14:textId="77777777" w:rsidR="00E157B9" w:rsidRPr="002E1A46" w:rsidRDefault="00E157B9" w:rsidP="00E157B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E1A46">
        <w:rPr>
          <w:rFonts w:eastAsia="Arial Unicode MS" w:cs="Times New Roman"/>
          <w:color w:val="auto"/>
          <w:sz w:val="20"/>
          <w:szCs w:val="20"/>
          <w:lang w:val="es-ES" w:eastAsia="en-US"/>
        </w:rPr>
        <w:t xml:space="preserve">Sostienen ante la CIDH, como lo hicieron ante las autoridades nacionales, entre otros, (a) que el precedente </w:t>
      </w:r>
      <w:proofErr w:type="spellStart"/>
      <w:r w:rsidRPr="002E1A46">
        <w:rPr>
          <w:rFonts w:eastAsia="Arial Unicode MS" w:cs="Times New Roman"/>
          <w:color w:val="auto"/>
          <w:sz w:val="20"/>
          <w:szCs w:val="20"/>
          <w:lang w:val="es-ES" w:eastAsia="en-US"/>
        </w:rPr>
        <w:t>Azzetti</w:t>
      </w:r>
      <w:proofErr w:type="spellEnd"/>
      <w:r w:rsidRPr="002E1A46">
        <w:rPr>
          <w:rFonts w:eastAsia="Arial Unicode MS" w:cs="Times New Roman"/>
          <w:color w:val="auto"/>
          <w:sz w:val="20"/>
          <w:szCs w:val="20"/>
          <w:lang w:val="es-ES" w:eastAsia="en-US"/>
        </w:rPr>
        <w:t xml:space="preserve"> discrepa de casos previos en los que se confirmó el derecho a la reparación en favor de agentes policiales lesionados por o en cumplimiento de sus funciones (con base en el derecho común); (b) el caso </w:t>
      </w:r>
      <w:proofErr w:type="spellStart"/>
      <w:r w:rsidRPr="002E1A46">
        <w:rPr>
          <w:rFonts w:eastAsia="Arial Unicode MS" w:cs="Times New Roman"/>
          <w:color w:val="auto"/>
          <w:sz w:val="20"/>
          <w:szCs w:val="20"/>
          <w:lang w:val="es-ES" w:eastAsia="en-US"/>
        </w:rPr>
        <w:t>Azzetti</w:t>
      </w:r>
      <w:proofErr w:type="spellEnd"/>
      <w:r w:rsidRPr="002E1A46">
        <w:rPr>
          <w:rFonts w:eastAsia="Arial Unicode MS" w:cs="Times New Roman"/>
          <w:color w:val="auto"/>
          <w:sz w:val="20"/>
          <w:szCs w:val="20"/>
          <w:lang w:val="es-ES" w:eastAsia="en-US"/>
        </w:rPr>
        <w:t xml:space="preserve"> se refiere a una situación bélica y no es aplicable a las fuerzas de seguridad internas; (c) la normativa interna que rige la Policía Federal Argentina (Ley orgánica de la Policía Federal Nro. 21.965) no prevé medidas de indemnización para agentes policiales lesionados en cumplimiento de sus funciones; (d) la normativa establece medidas indemnizatorias para funcionarios policiales solamente en casos de lesiones por accidentes de trabajo (por ejemplo, por resbalones y caídas); (e) el derecho argentino ofrece un sistema indemnizatorio para otras categorías de empleados públicos y privados lesionados en cumplimiento de sus funciones; y (f) los funcionarios policiales están expresamente excluidos de las disposiciones de la ley labora</w:t>
      </w:r>
      <w:r>
        <w:rPr>
          <w:rFonts w:eastAsia="Arial Unicode MS" w:cs="Times New Roman"/>
          <w:color w:val="auto"/>
          <w:sz w:val="20"/>
          <w:szCs w:val="20"/>
          <w:lang w:val="es-ES" w:eastAsia="en-US"/>
        </w:rPr>
        <w:t>l</w:t>
      </w:r>
      <w:r>
        <w:rPr>
          <w:rStyle w:val="FootnoteReference"/>
          <w:rFonts w:eastAsia="Arial Unicode MS"/>
          <w:color w:val="auto"/>
          <w:sz w:val="20"/>
          <w:szCs w:val="20"/>
        </w:rPr>
        <w:footnoteReference w:id="5"/>
      </w:r>
      <w:r w:rsidRPr="002E1A46">
        <w:rPr>
          <w:rFonts w:eastAsia="Arial Unicode MS" w:cs="Times New Roman"/>
          <w:color w:val="auto"/>
          <w:sz w:val="20"/>
          <w:szCs w:val="20"/>
          <w:lang w:val="es-ES" w:eastAsia="en-US"/>
        </w:rPr>
        <w:t xml:space="preserve">. La parte peticionaria alega que, como consecuencia de este </w:t>
      </w:r>
      <w:r w:rsidRPr="002E1A46">
        <w:rPr>
          <w:rFonts w:eastAsia="Arial Unicode MS" w:cs="Times New Roman"/>
          <w:i/>
          <w:color w:val="auto"/>
          <w:sz w:val="20"/>
          <w:szCs w:val="20"/>
          <w:lang w:val="es-ES" w:eastAsia="en-US"/>
        </w:rPr>
        <w:t>statu quo</w:t>
      </w:r>
      <w:r w:rsidRPr="002E1A46">
        <w:rPr>
          <w:rFonts w:eastAsia="Arial Unicode MS" w:cs="Times New Roman"/>
          <w:color w:val="auto"/>
          <w:sz w:val="20"/>
          <w:szCs w:val="20"/>
          <w:lang w:val="es-ES" w:eastAsia="en-US"/>
        </w:rPr>
        <w:t>, la presunta víctima ha sido sometida decisiones arbitrarias y discriminatorias.</w:t>
      </w:r>
      <w:r>
        <w:rPr>
          <w:rFonts w:eastAsia="Arial Unicode MS" w:cs="Times New Roman"/>
          <w:color w:val="auto"/>
          <w:sz w:val="20"/>
          <w:szCs w:val="20"/>
          <w:lang w:val="es-ES" w:eastAsia="en-US"/>
        </w:rPr>
        <w:t xml:space="preserve"> </w:t>
      </w:r>
    </w:p>
    <w:p w14:paraId="64F8B5C5" w14:textId="77777777" w:rsidR="00E157B9" w:rsidRPr="002E1A46" w:rsidRDefault="00E157B9" w:rsidP="00E157B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E1A46">
        <w:rPr>
          <w:sz w:val="20"/>
          <w:szCs w:val="20"/>
          <w:lang w:val="es-ES"/>
        </w:rPr>
        <w:t xml:space="preserve">Argumentan que el Estado ha reconocido la necesidad de ofrecer medidas indemnizatorias a agentes policiales lesionados en cumplimiento del deber (o por accidente). En este sentido, hacen referencia a la medida adoptada por el Ministerio del Interior-Policía Federal en 2007 para licitar los servicios de aseguradora de riesgos laborales, de conformidad con la </w:t>
      </w:r>
      <w:r>
        <w:rPr>
          <w:sz w:val="20"/>
          <w:szCs w:val="20"/>
          <w:lang w:val="es-ES"/>
        </w:rPr>
        <w:t xml:space="preserve">Ley </w:t>
      </w:r>
      <w:r w:rsidRPr="002E1A46">
        <w:rPr>
          <w:sz w:val="20"/>
          <w:szCs w:val="20"/>
          <w:lang w:val="es-ES"/>
        </w:rPr>
        <w:t xml:space="preserve">sobre </w:t>
      </w:r>
      <w:r>
        <w:rPr>
          <w:sz w:val="20"/>
          <w:szCs w:val="20"/>
          <w:lang w:val="es-ES"/>
        </w:rPr>
        <w:t>R</w:t>
      </w:r>
      <w:r w:rsidRPr="002E1A46">
        <w:rPr>
          <w:sz w:val="20"/>
          <w:szCs w:val="20"/>
          <w:lang w:val="es-ES"/>
        </w:rPr>
        <w:t xml:space="preserve">iesgos del </w:t>
      </w:r>
      <w:r>
        <w:rPr>
          <w:sz w:val="20"/>
          <w:szCs w:val="20"/>
          <w:lang w:val="es-ES"/>
        </w:rPr>
        <w:t>T</w:t>
      </w:r>
      <w:r w:rsidRPr="002E1A46">
        <w:rPr>
          <w:sz w:val="20"/>
          <w:szCs w:val="20"/>
          <w:lang w:val="es-ES"/>
        </w:rPr>
        <w:t>rabajo</w:t>
      </w:r>
      <w:r>
        <w:rPr>
          <w:sz w:val="20"/>
          <w:szCs w:val="20"/>
          <w:lang w:val="es-ES"/>
        </w:rPr>
        <w:t>, L</w:t>
      </w:r>
      <w:r w:rsidRPr="002E1A46">
        <w:rPr>
          <w:sz w:val="20"/>
          <w:szCs w:val="20"/>
          <w:lang w:val="es-ES"/>
        </w:rPr>
        <w:t>ey 24.557. Est</w:t>
      </w:r>
      <w:r>
        <w:rPr>
          <w:sz w:val="20"/>
          <w:szCs w:val="20"/>
          <w:lang w:val="es-ES"/>
        </w:rPr>
        <w:t xml:space="preserve">a póliza </w:t>
      </w:r>
      <w:r w:rsidRPr="002E1A46">
        <w:rPr>
          <w:sz w:val="20"/>
          <w:szCs w:val="20"/>
          <w:lang w:val="es-ES"/>
        </w:rPr>
        <w:t>cubriría las lesiones que los funcionarios policiales sufrieran en cumplimiento del deber.</w:t>
      </w:r>
      <w:r>
        <w:rPr>
          <w:sz w:val="20"/>
          <w:szCs w:val="20"/>
          <w:lang w:val="es-ES"/>
        </w:rPr>
        <w:t xml:space="preserve"> </w:t>
      </w:r>
      <w:r w:rsidRPr="002E1A46">
        <w:rPr>
          <w:sz w:val="20"/>
          <w:szCs w:val="20"/>
          <w:lang w:val="es-ES"/>
        </w:rPr>
        <w:t xml:space="preserve">Los peticionarios sostienen que este reconocimiento discrepa de las decisiones judiciales que </w:t>
      </w:r>
      <w:r>
        <w:rPr>
          <w:sz w:val="20"/>
          <w:szCs w:val="20"/>
          <w:lang w:val="es-ES"/>
        </w:rPr>
        <w:t xml:space="preserve">impidieron a </w:t>
      </w:r>
      <w:r w:rsidRPr="002E1A46">
        <w:rPr>
          <w:sz w:val="20"/>
          <w:szCs w:val="20"/>
          <w:lang w:val="es-ES"/>
        </w:rPr>
        <w:t>la presunta víctima</w:t>
      </w:r>
      <w:r>
        <w:rPr>
          <w:sz w:val="20"/>
          <w:szCs w:val="20"/>
          <w:lang w:val="es-ES"/>
        </w:rPr>
        <w:t xml:space="preserve"> acceder</w:t>
      </w:r>
      <w:r w:rsidRPr="002E1A46">
        <w:rPr>
          <w:sz w:val="20"/>
          <w:szCs w:val="20"/>
          <w:lang w:val="es-ES"/>
        </w:rPr>
        <w:t xml:space="preserve"> a la indemnización.</w:t>
      </w:r>
      <w:r>
        <w:rPr>
          <w:sz w:val="20"/>
          <w:szCs w:val="20"/>
          <w:lang w:val="es-ES"/>
        </w:rPr>
        <w:t xml:space="preserve"> </w:t>
      </w:r>
    </w:p>
    <w:p w14:paraId="34622D4B" w14:textId="77777777" w:rsidR="00E157B9" w:rsidRPr="00D55081" w:rsidRDefault="00E157B9" w:rsidP="00E157B9">
      <w:pPr>
        <w:pStyle w:val="ListParagraph"/>
        <w:numPr>
          <w:ilvl w:val="0"/>
          <w:numId w:val="103"/>
        </w:numPr>
        <w:jc w:val="both"/>
        <w:rPr>
          <w:rFonts w:eastAsia="Arial Unicode MS" w:cs="Times New Roman"/>
          <w:color w:val="auto"/>
          <w:sz w:val="20"/>
          <w:szCs w:val="20"/>
          <w:lang w:val="es-ES" w:eastAsia="en-US"/>
        </w:rPr>
      </w:pPr>
      <w:r w:rsidRPr="00D55081">
        <w:rPr>
          <w:sz w:val="20"/>
          <w:szCs w:val="20"/>
          <w:lang w:val="es-ES"/>
        </w:rPr>
        <w:t>Por su parte, el Estado alega que la petición se basa en el desacuerdo con las decisiones jud</w:t>
      </w:r>
      <w:r>
        <w:rPr>
          <w:sz w:val="20"/>
          <w:szCs w:val="20"/>
          <w:lang w:val="es-ES"/>
        </w:rPr>
        <w:t>i</w:t>
      </w:r>
      <w:r w:rsidRPr="00D55081">
        <w:rPr>
          <w:sz w:val="20"/>
          <w:szCs w:val="20"/>
          <w:lang w:val="es-ES"/>
        </w:rPr>
        <w:t xml:space="preserve">ciales que fueron contrarias a los intereses de la presunta víctima. Alega que este desacuerdo no constituye ni genera, </w:t>
      </w:r>
      <w:r w:rsidRPr="00A95FFA">
        <w:rPr>
          <w:i/>
          <w:sz w:val="20"/>
          <w:szCs w:val="20"/>
          <w:lang w:val="es-ES"/>
        </w:rPr>
        <w:t>prima facie</w:t>
      </w:r>
      <w:r w:rsidRPr="00D55081">
        <w:rPr>
          <w:sz w:val="20"/>
          <w:szCs w:val="20"/>
          <w:lang w:val="es-ES"/>
        </w:rPr>
        <w:t xml:space="preserve">, </w:t>
      </w:r>
      <w:r>
        <w:rPr>
          <w:sz w:val="20"/>
          <w:szCs w:val="20"/>
          <w:lang w:val="es-ES"/>
        </w:rPr>
        <w:t>una</w:t>
      </w:r>
      <w:r w:rsidRPr="00D55081">
        <w:rPr>
          <w:sz w:val="20"/>
          <w:szCs w:val="20"/>
          <w:lang w:val="es-ES"/>
        </w:rPr>
        <w:t xml:space="preserve"> violación a la Convención Americana. Por otra parte, aduce que la Comisión, en caso de pronunciarse sobre la presente petición, violaría la doctrina de la </w:t>
      </w:r>
      <w:r>
        <w:rPr>
          <w:sz w:val="20"/>
          <w:szCs w:val="20"/>
          <w:lang w:val="es-ES"/>
        </w:rPr>
        <w:t>“</w:t>
      </w:r>
      <w:r w:rsidRPr="00D55081">
        <w:rPr>
          <w:sz w:val="20"/>
          <w:szCs w:val="20"/>
          <w:lang w:val="es-ES"/>
        </w:rPr>
        <w:t>cuarta instancia</w:t>
      </w:r>
      <w:r>
        <w:rPr>
          <w:sz w:val="20"/>
          <w:szCs w:val="20"/>
          <w:lang w:val="es-ES"/>
        </w:rPr>
        <w:t>”</w:t>
      </w:r>
      <w:r w:rsidRPr="00D55081">
        <w:rPr>
          <w:sz w:val="20"/>
          <w:szCs w:val="20"/>
          <w:lang w:val="es-ES"/>
        </w:rPr>
        <w:t>.</w:t>
      </w:r>
      <w:r>
        <w:rPr>
          <w:sz w:val="20"/>
          <w:szCs w:val="20"/>
          <w:lang w:val="es-ES"/>
        </w:rPr>
        <w:t xml:space="preserve"> </w:t>
      </w:r>
    </w:p>
    <w:p w14:paraId="35707136" w14:textId="77777777" w:rsidR="00E157B9" w:rsidRPr="00D55081" w:rsidRDefault="00E157B9" w:rsidP="00E157B9">
      <w:pPr>
        <w:spacing w:before="240" w:after="240"/>
        <w:ind w:firstLine="720"/>
        <w:jc w:val="both"/>
        <w:rPr>
          <w:rFonts w:ascii="Cambria" w:hAnsi="Cambria"/>
          <w:sz w:val="20"/>
          <w:szCs w:val="20"/>
          <w:lang w:val="es-ES"/>
        </w:rPr>
      </w:pPr>
      <w:r w:rsidRPr="00D55081">
        <w:rPr>
          <w:rFonts w:asciiTheme="majorHAnsi" w:eastAsia="Cambria" w:hAnsiTheme="majorHAnsi" w:cs="Cambria"/>
          <w:b/>
          <w:bCs/>
          <w:color w:val="000000"/>
          <w:sz w:val="20"/>
          <w:szCs w:val="20"/>
          <w:u w:color="000000"/>
          <w:lang w:val="es-ES" w:eastAsia="es-ES"/>
        </w:rPr>
        <w:t>VI.</w:t>
      </w:r>
      <w:r w:rsidRPr="00D55081">
        <w:rPr>
          <w:rFonts w:asciiTheme="majorHAnsi" w:eastAsia="Cambria" w:hAnsiTheme="majorHAnsi" w:cs="Cambria"/>
          <w:b/>
          <w:bCs/>
          <w:color w:val="000000"/>
          <w:sz w:val="20"/>
          <w:szCs w:val="20"/>
          <w:u w:color="000000"/>
          <w:lang w:val="es-ES" w:eastAsia="es-ES"/>
        </w:rPr>
        <w:tab/>
      </w:r>
      <w:r w:rsidRPr="00D55081">
        <w:rPr>
          <w:rFonts w:asciiTheme="majorHAnsi" w:hAnsiTheme="majorHAnsi"/>
          <w:b/>
          <w:bCs/>
          <w:sz w:val="20"/>
          <w:szCs w:val="20"/>
          <w:lang w:val="es-ES"/>
        </w:rPr>
        <w:t>ANÁLISIS DE AGOTAMIENTO DE LOS RECURSOS INTERNOS Y PLAZO DE PRESENTACIÓN</w:t>
      </w:r>
      <w:r w:rsidRPr="00D55081">
        <w:rPr>
          <w:rFonts w:asciiTheme="majorHAnsi" w:eastAsia="Cambria" w:hAnsiTheme="majorHAnsi" w:cs="Cambria"/>
          <w:b/>
          <w:bCs/>
          <w:color w:val="000000"/>
          <w:sz w:val="20"/>
          <w:szCs w:val="20"/>
          <w:u w:color="000000"/>
          <w:lang w:val="es-ES" w:eastAsia="es-ES"/>
        </w:rPr>
        <w:t xml:space="preserve"> </w:t>
      </w:r>
    </w:p>
    <w:p w14:paraId="35B3EBBA" w14:textId="77777777" w:rsidR="00E157B9" w:rsidRDefault="00E157B9" w:rsidP="00E157B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0022EC">
        <w:rPr>
          <w:sz w:val="20"/>
          <w:szCs w:val="20"/>
          <w:lang w:val="es-ES"/>
        </w:rPr>
        <w:t xml:space="preserve">Las partes no controvierten sobre la demanda de indemnización que la presunta víctima interpuso inicialmente ante el Juzgado Nacional de Primera Instancia en lo Civil y Comercial Federal, el cual falló a favor de ésta. Sin embargo, luego, esta decisión fue revocada por la Cámara Nacional de Apelaciones en </w:t>
      </w:r>
      <w:r w:rsidRPr="000022EC">
        <w:rPr>
          <w:sz w:val="20"/>
          <w:szCs w:val="20"/>
          <w:lang w:val="es-ES"/>
        </w:rPr>
        <w:lastRenderedPageBreak/>
        <w:t xml:space="preserve">lo Civil y Comercial Federal. La presunta víctima apeló, pero la Corte Suprema de Justicia rechazó la demanda. Por su parte, el Estado no presenta alegatos con respecto al agotamiento de los recursos internos o el plazo de presentación de la petición. </w:t>
      </w:r>
    </w:p>
    <w:p w14:paraId="52670082" w14:textId="77777777" w:rsidR="00E157B9" w:rsidRPr="000022EC" w:rsidRDefault="00E157B9" w:rsidP="00E157B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0022EC">
        <w:rPr>
          <w:sz w:val="20"/>
          <w:szCs w:val="20"/>
          <w:lang w:val="es-ES"/>
        </w:rPr>
        <w:t>En el presente caso, la Comisión nota, a los fines de decidir sobre la admisibilidad de la petición, que la presunta víctima ha agotado todos los recursos disponibles en la jurisdicción interna y que, por tanto, la presente petición satisface el requisito establecido en el artículo 46.1.a de la Convención</w:t>
      </w:r>
      <w:r>
        <w:rPr>
          <w:rStyle w:val="FootnoteReference"/>
          <w:sz w:val="20"/>
          <w:szCs w:val="20"/>
        </w:rPr>
        <w:footnoteReference w:id="6"/>
      </w:r>
      <w:r w:rsidRPr="000022EC">
        <w:rPr>
          <w:sz w:val="20"/>
          <w:szCs w:val="20"/>
          <w:lang w:val="es-ES"/>
        </w:rPr>
        <w:t>. Con respecto al plazo de presentación, la Comisión observa que la petición fue recibida dentro de los seis meses posteriores a la fecha en que la presunta víctima fue notificada de la decisión que agotó los recursos internos. Esa decisión fue notificada el 23 de octubre de 2008 y la petición fue recibida el 23 de diciembre de 2008. En consecuencia, la petición cumple con el requisito previsto en el artículo 46.1.b de la Convención.</w:t>
      </w:r>
      <w:r>
        <w:rPr>
          <w:sz w:val="20"/>
          <w:szCs w:val="20"/>
          <w:lang w:val="es-ES"/>
        </w:rPr>
        <w:t xml:space="preserve"> </w:t>
      </w:r>
    </w:p>
    <w:p w14:paraId="548B4F12" w14:textId="77777777" w:rsidR="00E157B9" w:rsidRPr="00D55081" w:rsidRDefault="00E157B9" w:rsidP="00E157B9">
      <w:pPr>
        <w:pStyle w:val="ListParagraph"/>
        <w:spacing w:before="240" w:after="240"/>
        <w:jc w:val="both"/>
        <w:rPr>
          <w:rFonts w:asciiTheme="majorHAnsi" w:hAnsiTheme="majorHAnsi"/>
          <w:b/>
          <w:sz w:val="20"/>
          <w:szCs w:val="20"/>
          <w:lang w:val="es-ES"/>
        </w:rPr>
      </w:pPr>
      <w:r w:rsidRPr="00D55081">
        <w:rPr>
          <w:rFonts w:asciiTheme="majorHAnsi" w:hAnsiTheme="majorHAnsi"/>
          <w:b/>
          <w:bCs/>
          <w:sz w:val="20"/>
          <w:szCs w:val="20"/>
          <w:lang w:val="es-ES"/>
        </w:rPr>
        <w:t>VII.</w:t>
      </w:r>
      <w:r w:rsidRPr="00D55081">
        <w:rPr>
          <w:rFonts w:asciiTheme="majorHAnsi" w:hAnsiTheme="majorHAnsi"/>
          <w:b/>
          <w:bCs/>
          <w:sz w:val="20"/>
          <w:szCs w:val="20"/>
          <w:lang w:val="es-ES"/>
        </w:rPr>
        <w:tab/>
        <w:t>ANÁLISIS DE CARACTERIZACIÓN DE LOS HECHOS ALEGADOS</w:t>
      </w:r>
    </w:p>
    <w:p w14:paraId="7F654931" w14:textId="77777777" w:rsidR="00E157B9" w:rsidRPr="00D55081" w:rsidRDefault="00E157B9" w:rsidP="00E157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5081">
        <w:rPr>
          <w:rFonts w:ascii="Cambria" w:hAnsi="Cambria"/>
          <w:sz w:val="20"/>
          <w:szCs w:val="20"/>
          <w:lang w:val="es-ES"/>
        </w:rPr>
        <w:t xml:space="preserve">En vista de los elementos de hecho y de derecho presentados por las partes y la naturaleza del asunto puesto bajo su conocimiento, la CIDH considera que los alegatos referidos a la supuesta discriminación sufrida por la presunta víctima en tanto miembro de la Policía Federal, y la violación de su derecho a las garantías judiciales y el debido proceso como consecuencia de la alegada denegación de medidas indemnizatorias según el derecho común, en caso de probarse, podrían caracterizar violaciones a los derechos consagrados en los artículos 5 (integridad personal) y 24 (igualdad) de la Convención, en relación con los artículos 1.1 (obligación de respetar los derechos) y 2 (deber de adoptar disposiciones de derecho interno) del mismo instrumento. </w:t>
      </w:r>
    </w:p>
    <w:p w14:paraId="6BB5CCF7" w14:textId="77777777" w:rsidR="00E157B9" w:rsidRPr="00D55081" w:rsidRDefault="00E157B9" w:rsidP="00E157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5081">
        <w:rPr>
          <w:rFonts w:ascii="Cambria" w:hAnsi="Cambria"/>
          <w:sz w:val="20"/>
          <w:szCs w:val="20"/>
          <w:lang w:val="es-ES"/>
        </w:rPr>
        <w:t xml:space="preserve">Si bien la parte peticionaria no invoca los artículos 8 (garantías judiciales) y 25 (protección judicial) de la Convención Americana, la Comisión estima que los alegatos de los peticionarios también podrían caracterizar </w:t>
      </w:r>
      <w:r>
        <w:rPr>
          <w:rFonts w:ascii="Cambria" w:hAnsi="Cambria"/>
          <w:sz w:val="20"/>
          <w:szCs w:val="20"/>
          <w:lang w:val="es-ES"/>
        </w:rPr>
        <w:t>vulneraciones a</w:t>
      </w:r>
      <w:r w:rsidRPr="00D55081">
        <w:rPr>
          <w:rFonts w:ascii="Cambria" w:hAnsi="Cambria"/>
          <w:sz w:val="20"/>
          <w:szCs w:val="20"/>
          <w:lang w:val="es-ES"/>
        </w:rPr>
        <w:t xml:space="preserve"> dichos artículos de la Convención, en relación con sus artículos 1.1 (obligación de respetar los derechos) y 2 (deber de adoptar disposiciones de derecho interno). En este sentido, la Comisión nota que los peticionarios no están obligados a identificar los derechos específicos que se alegan violados por parte del Estado. </w:t>
      </w:r>
      <w:r>
        <w:rPr>
          <w:rFonts w:ascii="Cambria" w:hAnsi="Cambria"/>
          <w:sz w:val="20"/>
          <w:szCs w:val="20"/>
          <w:lang w:val="es-ES"/>
        </w:rPr>
        <w:t>C</w:t>
      </w:r>
      <w:r w:rsidRPr="00D55081">
        <w:rPr>
          <w:rFonts w:ascii="Cambria" w:hAnsi="Cambria"/>
          <w:sz w:val="20"/>
          <w:szCs w:val="20"/>
          <w:lang w:val="es-ES"/>
        </w:rPr>
        <w:t xml:space="preserve">orresponde a la Comisión determinar cuáles disposiciones de los instrumentos interamericanos relevantes pueden aplicarse al asunto y podrían establecer, </w:t>
      </w:r>
      <w:r w:rsidRPr="00ED63CA">
        <w:rPr>
          <w:rFonts w:ascii="Cambria" w:hAnsi="Cambria"/>
          <w:i/>
          <w:sz w:val="20"/>
          <w:szCs w:val="20"/>
          <w:lang w:val="es-ES"/>
        </w:rPr>
        <w:t>prima facie</w:t>
      </w:r>
      <w:r w:rsidRPr="00D55081">
        <w:rPr>
          <w:rFonts w:ascii="Cambria" w:hAnsi="Cambria"/>
          <w:sz w:val="20"/>
          <w:szCs w:val="20"/>
          <w:lang w:val="es-ES"/>
        </w:rPr>
        <w:t>, su violación si los hechos alegados son probados mediante elementos suficientes</w:t>
      </w:r>
      <w:r>
        <w:rPr>
          <w:rStyle w:val="FootnoteReference"/>
          <w:rFonts w:ascii="Cambria" w:hAnsi="Cambria"/>
          <w:sz w:val="20"/>
          <w:szCs w:val="20"/>
        </w:rPr>
        <w:footnoteReference w:id="7"/>
      </w:r>
      <w:r w:rsidRPr="00A53605">
        <w:rPr>
          <w:rFonts w:ascii="Cambria" w:hAnsi="Cambria"/>
          <w:sz w:val="20"/>
          <w:szCs w:val="20"/>
          <w:lang w:val="es-ES"/>
        </w:rPr>
        <w:t>.</w:t>
      </w:r>
      <w:r>
        <w:rPr>
          <w:rFonts w:ascii="Cambria" w:hAnsi="Cambria"/>
          <w:sz w:val="20"/>
          <w:szCs w:val="20"/>
          <w:lang w:val="es-ES"/>
        </w:rPr>
        <w:t xml:space="preserve"> </w:t>
      </w:r>
    </w:p>
    <w:p w14:paraId="38851CC9" w14:textId="77777777" w:rsidR="00E157B9" w:rsidRPr="00D55081" w:rsidRDefault="00E157B9" w:rsidP="00E157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5081">
        <w:rPr>
          <w:rFonts w:ascii="Cambria" w:hAnsi="Cambria"/>
          <w:sz w:val="20"/>
          <w:szCs w:val="20"/>
          <w:lang w:val="es-ES"/>
        </w:rPr>
        <w:t>Con respecto a la supuesta violación del artículo 21 (propiedad) de la Convención, la CIDH nota que el reclamo de la presunta víctima se refiere a la alegada denegación de acceso a la indemnización por lesiones laborales con fundamento en la igualdad de condiciones en relación con otros empleados del sector público y privado</w:t>
      </w:r>
      <w:r>
        <w:rPr>
          <w:rFonts w:ascii="Cambria" w:hAnsi="Cambria"/>
          <w:sz w:val="20"/>
          <w:szCs w:val="20"/>
          <w:lang w:val="es-ES"/>
        </w:rPr>
        <w:t>,</w:t>
      </w:r>
      <w:r w:rsidRPr="00D55081">
        <w:rPr>
          <w:rFonts w:ascii="Cambria" w:hAnsi="Cambria"/>
          <w:sz w:val="20"/>
          <w:szCs w:val="20"/>
          <w:lang w:val="es-ES"/>
        </w:rPr>
        <w:t xml:space="preserve"> y no a </w:t>
      </w:r>
      <w:r>
        <w:rPr>
          <w:rFonts w:ascii="Cambria" w:hAnsi="Cambria"/>
          <w:sz w:val="20"/>
          <w:szCs w:val="20"/>
          <w:lang w:val="es-ES"/>
        </w:rPr>
        <w:t>la</w:t>
      </w:r>
      <w:r w:rsidRPr="00D55081">
        <w:rPr>
          <w:rFonts w:ascii="Cambria" w:hAnsi="Cambria"/>
          <w:sz w:val="20"/>
          <w:szCs w:val="20"/>
          <w:lang w:val="es-ES"/>
        </w:rPr>
        <w:t xml:space="preserve"> supuesta violación de un derecho </w:t>
      </w:r>
      <w:r>
        <w:rPr>
          <w:rFonts w:ascii="Cambria" w:hAnsi="Cambria"/>
          <w:sz w:val="20"/>
          <w:szCs w:val="20"/>
          <w:lang w:val="es-ES"/>
        </w:rPr>
        <w:t>a</w:t>
      </w:r>
      <w:r w:rsidRPr="00D55081">
        <w:rPr>
          <w:rFonts w:ascii="Cambria" w:hAnsi="Cambria"/>
          <w:sz w:val="20"/>
          <w:szCs w:val="20"/>
          <w:lang w:val="es-ES"/>
        </w:rPr>
        <w:t xml:space="preserve"> la propiedad</w:t>
      </w:r>
      <w:r>
        <w:rPr>
          <w:rFonts w:ascii="Cambria" w:hAnsi="Cambria"/>
          <w:sz w:val="20"/>
          <w:szCs w:val="20"/>
          <w:lang w:val="es-ES"/>
        </w:rPr>
        <w:t xml:space="preserve"> </w:t>
      </w:r>
      <w:r w:rsidRPr="00D55081">
        <w:rPr>
          <w:rFonts w:ascii="Cambria" w:hAnsi="Cambria"/>
          <w:sz w:val="20"/>
          <w:szCs w:val="20"/>
          <w:lang w:val="es-ES"/>
        </w:rPr>
        <w:t xml:space="preserve">adquirido. Por lo tanto, la Comisión considera que los peticionarios no presentan elementos que permitan establecer, </w:t>
      </w:r>
      <w:r w:rsidRPr="005E4E37">
        <w:rPr>
          <w:rFonts w:ascii="Cambria" w:hAnsi="Cambria"/>
          <w:i/>
          <w:sz w:val="20"/>
          <w:szCs w:val="20"/>
          <w:lang w:val="es-ES"/>
        </w:rPr>
        <w:t>prima facie</w:t>
      </w:r>
      <w:r w:rsidRPr="00D55081">
        <w:rPr>
          <w:rFonts w:ascii="Cambria" w:hAnsi="Cambria"/>
          <w:sz w:val="20"/>
          <w:szCs w:val="20"/>
          <w:lang w:val="es-ES"/>
        </w:rPr>
        <w:t>, la violación del artículo 21 de la Convención.</w:t>
      </w:r>
      <w:r>
        <w:rPr>
          <w:rFonts w:ascii="Cambria" w:hAnsi="Cambria"/>
          <w:sz w:val="20"/>
          <w:szCs w:val="20"/>
          <w:lang w:val="es-ES"/>
        </w:rPr>
        <w:t xml:space="preserve"> </w:t>
      </w:r>
    </w:p>
    <w:p w14:paraId="65AE2B00" w14:textId="77777777" w:rsidR="00E157B9" w:rsidRPr="00D55081" w:rsidRDefault="00E157B9" w:rsidP="00E157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5081">
        <w:rPr>
          <w:rFonts w:ascii="Cambria" w:hAnsi="Cambria"/>
          <w:sz w:val="20"/>
          <w:szCs w:val="20"/>
          <w:lang w:val="es-ES"/>
        </w:rPr>
        <w:t xml:space="preserve">En relación con el alegato sobre la violación del artículo 11 (honra y dignidad) de la Convención Americana, la Comisión observa que los peticionarios no presentan alegatos o elementos suficientes que permitan identificar o determinar, </w:t>
      </w:r>
      <w:r w:rsidRPr="005E4E37">
        <w:rPr>
          <w:rFonts w:ascii="Cambria" w:hAnsi="Cambria"/>
          <w:i/>
          <w:sz w:val="20"/>
          <w:szCs w:val="20"/>
          <w:lang w:val="es-ES"/>
        </w:rPr>
        <w:t>prima facie</w:t>
      </w:r>
      <w:r w:rsidRPr="00D55081">
        <w:rPr>
          <w:rFonts w:ascii="Cambria" w:hAnsi="Cambria"/>
          <w:sz w:val="20"/>
          <w:szCs w:val="20"/>
          <w:lang w:val="es-ES"/>
        </w:rPr>
        <w:t xml:space="preserve">, la violación de esta disposición de la Convención Americana. </w:t>
      </w:r>
    </w:p>
    <w:p w14:paraId="65B492FD" w14:textId="77777777" w:rsidR="00E157B9" w:rsidRPr="00D55081" w:rsidRDefault="00E157B9" w:rsidP="00E157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5081">
        <w:rPr>
          <w:rFonts w:ascii="Cambria" w:hAnsi="Cambria"/>
          <w:sz w:val="20"/>
          <w:szCs w:val="20"/>
          <w:lang w:val="es-ES"/>
        </w:rPr>
        <w:t xml:space="preserve">En cuanto a las alegadas violaciones del artículo 18 del Protocolo de San Salvador, la CIDH nota que la competencia prevista en los términos del artículo 19.6 de dicho tratado para </w:t>
      </w:r>
      <w:r>
        <w:rPr>
          <w:rFonts w:ascii="Cambria" w:hAnsi="Cambria"/>
          <w:sz w:val="20"/>
          <w:szCs w:val="20"/>
          <w:lang w:val="es-ES"/>
        </w:rPr>
        <w:t>pronunciarse</w:t>
      </w:r>
      <w:r w:rsidRPr="00D55081">
        <w:rPr>
          <w:rFonts w:ascii="Cambria" w:hAnsi="Cambria"/>
          <w:sz w:val="20"/>
          <w:szCs w:val="20"/>
          <w:lang w:val="es-ES"/>
        </w:rPr>
        <w:t xml:space="preserve"> </w:t>
      </w:r>
      <w:r>
        <w:rPr>
          <w:rFonts w:ascii="Cambria" w:hAnsi="Cambria"/>
          <w:sz w:val="20"/>
          <w:szCs w:val="20"/>
          <w:lang w:val="es-ES"/>
        </w:rPr>
        <w:t xml:space="preserve">sobre </w:t>
      </w:r>
      <w:r w:rsidRPr="00D55081">
        <w:rPr>
          <w:rFonts w:ascii="Cambria" w:hAnsi="Cambria"/>
          <w:sz w:val="20"/>
          <w:szCs w:val="20"/>
          <w:lang w:val="es-ES"/>
        </w:rPr>
        <w:t>un caso individual se limita a los artículo</w:t>
      </w:r>
      <w:r>
        <w:rPr>
          <w:rFonts w:ascii="Cambria" w:hAnsi="Cambria"/>
          <w:sz w:val="20"/>
          <w:szCs w:val="20"/>
          <w:lang w:val="es-ES"/>
        </w:rPr>
        <w:t>s</w:t>
      </w:r>
      <w:r w:rsidRPr="00D55081">
        <w:rPr>
          <w:rFonts w:ascii="Cambria" w:hAnsi="Cambria"/>
          <w:sz w:val="20"/>
          <w:szCs w:val="20"/>
          <w:lang w:val="es-ES"/>
        </w:rPr>
        <w:t xml:space="preserve"> 8 y 13. Respecto a los demás artículos, de conformidad con el artículo 29 de la Convención, la Comisión los puede tomar en cuenta para interpretar y aplicar la Convención Americana y otros instrumentos aplicables.</w:t>
      </w:r>
      <w:r>
        <w:rPr>
          <w:rFonts w:ascii="Cambria" w:hAnsi="Cambria"/>
          <w:sz w:val="20"/>
          <w:szCs w:val="20"/>
          <w:lang w:val="es-ES"/>
        </w:rPr>
        <w:t xml:space="preserve"> </w:t>
      </w:r>
    </w:p>
    <w:p w14:paraId="5B77D4A4" w14:textId="77777777" w:rsidR="00E157B9" w:rsidRPr="00D55081" w:rsidRDefault="00E157B9" w:rsidP="00E157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5081">
        <w:rPr>
          <w:rFonts w:ascii="Cambria" w:hAnsi="Cambria"/>
          <w:sz w:val="20"/>
          <w:szCs w:val="20"/>
          <w:lang w:val="es-ES"/>
        </w:rPr>
        <w:lastRenderedPageBreak/>
        <w:t xml:space="preserve">Respecto a las supuestas </w:t>
      </w:r>
      <w:r>
        <w:rPr>
          <w:rFonts w:ascii="Cambria" w:hAnsi="Cambria"/>
          <w:sz w:val="20"/>
          <w:szCs w:val="20"/>
          <w:lang w:val="es-ES"/>
        </w:rPr>
        <w:t>vulneraciones</w:t>
      </w:r>
      <w:r w:rsidRPr="00D55081">
        <w:rPr>
          <w:rFonts w:ascii="Cambria" w:hAnsi="Cambria"/>
          <w:sz w:val="20"/>
          <w:szCs w:val="20"/>
          <w:lang w:val="es-ES"/>
        </w:rPr>
        <w:t xml:space="preserve"> de los artículos I, II y IV de la Convención Interamericana para la Eliminación de Todas las Formas de Discrim</w:t>
      </w:r>
      <w:r>
        <w:rPr>
          <w:rFonts w:ascii="Cambria" w:hAnsi="Cambria"/>
          <w:sz w:val="20"/>
          <w:szCs w:val="20"/>
          <w:lang w:val="es-ES"/>
        </w:rPr>
        <w:t>i</w:t>
      </w:r>
      <w:r w:rsidRPr="00D55081">
        <w:rPr>
          <w:rFonts w:ascii="Cambria" w:hAnsi="Cambria"/>
          <w:sz w:val="20"/>
          <w:szCs w:val="20"/>
          <w:lang w:val="es-ES"/>
        </w:rPr>
        <w:t>nación de las Personas con Discapacidad, la Comisión no es competente para conocer casos individuales referidos a violaciones de este tratado. No obstante, la Comisión puede considerarlo en la etapa de fondo con el fin de interpretar y aplicar la Convención Americana según los términos del artículo 29 de la Convención Americana.</w:t>
      </w:r>
      <w:r>
        <w:rPr>
          <w:rFonts w:ascii="Cambria" w:hAnsi="Cambria"/>
          <w:sz w:val="20"/>
          <w:szCs w:val="20"/>
          <w:lang w:val="es-ES"/>
        </w:rPr>
        <w:t xml:space="preserve"> </w:t>
      </w:r>
    </w:p>
    <w:p w14:paraId="1F258487" w14:textId="77777777" w:rsidR="00E157B9" w:rsidRPr="00D55081" w:rsidRDefault="00E157B9" w:rsidP="00E157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5081">
        <w:rPr>
          <w:rFonts w:ascii="Cambria" w:hAnsi="Cambria"/>
          <w:sz w:val="20"/>
          <w:szCs w:val="20"/>
          <w:lang w:val="es-ES"/>
        </w:rPr>
        <w:t>En cuanto a los alegatos del Estado referidos a la fórmula de cuarta instancia, la Comisión observa que no es competente para revisar decisiones adoptadas por los tribunales internos que actúen en la esfera de su competencia y apliquen el debido proceso y las garantías judiciales. Sin embargo, la Comisión reitera que, según su mandato, sí es competent</w:t>
      </w:r>
      <w:r>
        <w:rPr>
          <w:rFonts w:ascii="Cambria" w:hAnsi="Cambria"/>
          <w:sz w:val="20"/>
          <w:szCs w:val="20"/>
          <w:lang w:val="es-ES"/>
        </w:rPr>
        <w:t>e</w:t>
      </w:r>
      <w:r w:rsidRPr="00D55081">
        <w:rPr>
          <w:rFonts w:ascii="Cambria" w:hAnsi="Cambria"/>
          <w:sz w:val="20"/>
          <w:szCs w:val="20"/>
          <w:lang w:val="es-ES"/>
        </w:rPr>
        <w:t xml:space="preserve"> para declarar admisible una petición y fallar sobre el fondo cuando esta se refier</w:t>
      </w:r>
      <w:r>
        <w:rPr>
          <w:rFonts w:ascii="Cambria" w:hAnsi="Cambria"/>
          <w:sz w:val="20"/>
          <w:szCs w:val="20"/>
          <w:lang w:val="es-ES"/>
        </w:rPr>
        <w:t>e</w:t>
      </w:r>
      <w:r w:rsidRPr="00D55081">
        <w:rPr>
          <w:rFonts w:ascii="Cambria" w:hAnsi="Cambria"/>
          <w:sz w:val="20"/>
          <w:szCs w:val="20"/>
          <w:lang w:val="es-ES"/>
        </w:rPr>
        <w:t xml:space="preserve"> a procesos internos que podrían ser violatorios de los derechos garantizados por la Convención Americana.</w:t>
      </w:r>
      <w:r>
        <w:rPr>
          <w:rFonts w:ascii="Cambria" w:hAnsi="Cambria"/>
          <w:sz w:val="20"/>
          <w:szCs w:val="20"/>
          <w:lang w:val="es-ES"/>
        </w:rPr>
        <w:t xml:space="preserve"> </w:t>
      </w:r>
    </w:p>
    <w:p w14:paraId="7D59E690" w14:textId="77777777" w:rsidR="00E157B9" w:rsidRPr="000B6B7A" w:rsidRDefault="00E157B9" w:rsidP="00E157B9">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DECISIÓN</w:t>
      </w:r>
    </w:p>
    <w:p w14:paraId="7CEF1300" w14:textId="77777777" w:rsidR="00E157B9" w:rsidRPr="00D55081" w:rsidRDefault="00E157B9" w:rsidP="00E157B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5081">
        <w:rPr>
          <w:rFonts w:asciiTheme="majorHAnsi" w:hAnsiTheme="majorHAnsi"/>
          <w:sz w:val="20"/>
          <w:szCs w:val="20"/>
          <w:lang w:val="es-ES"/>
        </w:rPr>
        <w:t xml:space="preserve">Declarar admisible la presente petición en relación con los artículos 5, 8, 24 y 25 de la Convención Americana, en concordancia con los artículos 1.1 y 2 del mismo instrumento; </w:t>
      </w:r>
    </w:p>
    <w:p w14:paraId="7AB8EE64" w14:textId="08844905" w:rsidR="00E157B9" w:rsidRPr="00BA4670" w:rsidRDefault="00E157B9" w:rsidP="00E157B9">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A4670">
        <w:rPr>
          <w:rFonts w:asciiTheme="majorHAnsi" w:hAnsiTheme="majorHAnsi"/>
          <w:sz w:val="20"/>
          <w:szCs w:val="20"/>
          <w:lang w:val="es-ES"/>
        </w:rPr>
        <w:t xml:space="preserve">Declarar inadmisible la presente petición en relación con los artículos 11 y </w:t>
      </w:r>
      <w:r w:rsidR="00B975B1" w:rsidRPr="00BA4670">
        <w:rPr>
          <w:rFonts w:asciiTheme="majorHAnsi" w:hAnsiTheme="majorHAnsi"/>
          <w:sz w:val="20"/>
          <w:szCs w:val="20"/>
          <w:lang w:val="es-ES"/>
        </w:rPr>
        <w:t>2</w:t>
      </w:r>
      <w:r w:rsidR="00B975B1">
        <w:rPr>
          <w:rFonts w:asciiTheme="majorHAnsi" w:hAnsiTheme="majorHAnsi"/>
          <w:sz w:val="20"/>
          <w:szCs w:val="20"/>
          <w:lang w:val="es-ES"/>
        </w:rPr>
        <w:t>1</w:t>
      </w:r>
      <w:r w:rsidR="00B975B1" w:rsidRPr="00BA4670">
        <w:rPr>
          <w:rFonts w:asciiTheme="majorHAnsi" w:hAnsiTheme="majorHAnsi"/>
          <w:sz w:val="20"/>
          <w:szCs w:val="20"/>
          <w:lang w:val="es-ES"/>
        </w:rPr>
        <w:t xml:space="preserve"> </w:t>
      </w:r>
      <w:r w:rsidRPr="00BA4670">
        <w:rPr>
          <w:rFonts w:asciiTheme="majorHAnsi" w:hAnsiTheme="majorHAnsi"/>
          <w:sz w:val="20"/>
          <w:szCs w:val="20"/>
          <w:lang w:val="es-ES"/>
        </w:rPr>
        <w:t xml:space="preserve">de la Convención Americana; y </w:t>
      </w:r>
    </w:p>
    <w:p w14:paraId="239E7B39" w14:textId="77777777" w:rsidR="00E157B9" w:rsidRPr="00BA4670" w:rsidRDefault="00E157B9" w:rsidP="00E157B9">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A4670">
        <w:rPr>
          <w:rFonts w:asciiTheme="majorHAnsi" w:hAnsiTheme="majorHAnsi"/>
          <w:sz w:val="20"/>
          <w:szCs w:val="20"/>
          <w:lang w:val="es-ES"/>
        </w:rPr>
        <w:t>Notificar a las partes de la presente decisión; continuar con el análisis sobre el fondo; y publicar esta decisión e incluirla en su Informe Anual a la Asamblea General de la Organización de los Estados Americanos.</w:t>
      </w:r>
      <w:r>
        <w:rPr>
          <w:rFonts w:asciiTheme="majorHAnsi" w:hAnsiTheme="majorHAnsi"/>
          <w:sz w:val="20"/>
          <w:szCs w:val="20"/>
          <w:lang w:val="es-ES"/>
        </w:rPr>
        <w:t xml:space="preserve"> </w:t>
      </w:r>
    </w:p>
    <w:p w14:paraId="5AC0CA90" w14:textId="6E416869" w:rsidR="005622E3" w:rsidRPr="002B7B81" w:rsidRDefault="005622E3" w:rsidP="005622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21</w:t>
      </w:r>
      <w:r w:rsidRPr="002B7B81">
        <w:rPr>
          <w:rFonts w:ascii="Cambria" w:hAnsi="Cambria"/>
          <w:sz w:val="20"/>
          <w:szCs w:val="20"/>
          <w:lang w:val="es-ES"/>
        </w:rPr>
        <w:t xml:space="preserve"> días del mes de </w:t>
      </w:r>
      <w:r>
        <w:rPr>
          <w:rFonts w:ascii="Cambria" w:hAnsi="Cambria"/>
          <w:sz w:val="20"/>
          <w:szCs w:val="20"/>
          <w:lang w:val="es-ES"/>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Francisco José Eguiguren Praeli</w:t>
      </w:r>
      <w:r>
        <w:rPr>
          <w:rFonts w:ascii="Cambria" w:hAnsi="Cambria"/>
          <w:sz w:val="20"/>
          <w:szCs w:val="20"/>
          <w:lang w:val="es-ES"/>
        </w:rPr>
        <w:t>, Luis Ernesto Vargas Silva,</w:t>
      </w:r>
      <w:r w:rsidRPr="002B7B81">
        <w:rPr>
          <w:rFonts w:ascii="Cambria" w:hAnsi="Cambria"/>
          <w:sz w:val="20"/>
          <w:szCs w:val="20"/>
          <w:lang w:val="es-ES"/>
        </w:rPr>
        <w:t xml:space="preserve"> y Flávia Piovesan, Miembros de la Comisión.</w:t>
      </w:r>
    </w:p>
    <w:p w14:paraId="3127DB9E" w14:textId="77777777" w:rsidR="005622E3" w:rsidRDefault="005622E3" w:rsidP="005622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406C234" w14:textId="02CCEBE5" w:rsidR="008D768D" w:rsidRPr="007253B8" w:rsidRDefault="005622E3" w:rsidP="00B62B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Cambria" w:hAnsi="Cambria"/>
          <w:sz w:val="20"/>
          <w:szCs w:val="20"/>
          <w:lang w:val="es-ES"/>
        </w:rPr>
        <w:tab/>
      </w:r>
    </w:p>
    <w:p w14:paraId="425540F9"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E4207" w14:textId="77777777" w:rsidR="006C7C01" w:rsidRDefault="006C7C01">
      <w:r>
        <w:separator/>
      </w:r>
    </w:p>
  </w:endnote>
  <w:endnote w:type="continuationSeparator" w:id="0">
    <w:p w14:paraId="72CC513C" w14:textId="77777777" w:rsidR="006C7C01" w:rsidRDefault="006C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C3EF1" w14:textId="77777777" w:rsidR="00607790" w:rsidRDefault="00607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0F0E3D6"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7790">
          <w:rPr>
            <w:noProof/>
            <w:sz w:val="16"/>
            <w:szCs w:val="22"/>
          </w:rPr>
          <w:t>1</w:t>
        </w:r>
        <w:r w:rsidRPr="00934A2C">
          <w:rPr>
            <w:noProof/>
            <w:sz w:val="16"/>
            <w:szCs w:val="22"/>
          </w:rPr>
          <w:fldChar w:fldCharType="end"/>
        </w:r>
      </w:p>
    </w:sdtContent>
  </w:sdt>
  <w:p w14:paraId="34614369"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EDDA" w14:textId="77777777" w:rsidR="0099258D" w:rsidRPr="00934A2C" w:rsidRDefault="0099258D">
    <w:pPr>
      <w:pStyle w:val="Footer"/>
      <w:jc w:val="center"/>
      <w:rPr>
        <w:sz w:val="16"/>
        <w:szCs w:val="22"/>
      </w:rPr>
    </w:pPr>
  </w:p>
  <w:p w14:paraId="539E784F"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8C3A" w14:textId="77777777" w:rsidR="006C7C01" w:rsidRPr="000F35ED" w:rsidRDefault="006C7C0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F3F07B" w14:textId="77777777" w:rsidR="006C7C01" w:rsidRPr="000F35ED" w:rsidRDefault="006C7C01" w:rsidP="000F35ED">
      <w:pPr>
        <w:rPr>
          <w:rFonts w:asciiTheme="majorHAnsi" w:hAnsiTheme="majorHAnsi"/>
          <w:sz w:val="16"/>
          <w:szCs w:val="16"/>
        </w:rPr>
      </w:pPr>
      <w:r w:rsidRPr="000F35ED">
        <w:rPr>
          <w:rFonts w:asciiTheme="majorHAnsi" w:hAnsiTheme="majorHAnsi"/>
          <w:sz w:val="16"/>
          <w:szCs w:val="16"/>
        </w:rPr>
        <w:separator/>
      </w:r>
    </w:p>
    <w:p w14:paraId="075DA795" w14:textId="77777777" w:rsidR="006C7C01" w:rsidRPr="000F35ED" w:rsidRDefault="006C7C0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EEBBF4B" w14:textId="77777777" w:rsidR="006C7C01" w:rsidRPr="000F35ED" w:rsidRDefault="006C7C0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93DA86" w14:textId="77777777" w:rsidR="00E157B9" w:rsidRPr="00D55081" w:rsidRDefault="00E157B9" w:rsidP="00E157B9">
      <w:pPr>
        <w:pStyle w:val="FootnoteText"/>
        <w:ind w:firstLine="720"/>
        <w:jc w:val="both"/>
        <w:rPr>
          <w:rFonts w:asciiTheme="majorHAnsi" w:hAnsiTheme="majorHAnsi"/>
          <w:sz w:val="16"/>
          <w:szCs w:val="16"/>
          <w:lang w:val="es-ES"/>
        </w:rPr>
      </w:pPr>
      <w:r w:rsidRPr="00C25233">
        <w:rPr>
          <w:rStyle w:val="FootnoteReference"/>
          <w:rFonts w:asciiTheme="majorHAnsi" w:hAnsiTheme="majorHAnsi"/>
          <w:sz w:val="16"/>
          <w:szCs w:val="16"/>
        </w:rPr>
        <w:footnoteRef/>
      </w:r>
      <w:r w:rsidRPr="00D55081">
        <w:rPr>
          <w:rFonts w:asciiTheme="majorHAnsi" w:hAnsiTheme="majorHAnsi"/>
          <w:sz w:val="16"/>
          <w:szCs w:val="16"/>
          <w:lang w:val="es-ES"/>
        </w:rPr>
        <w:t xml:space="preserve"> En adelante </w:t>
      </w:r>
      <w:r>
        <w:rPr>
          <w:rFonts w:asciiTheme="majorHAnsi" w:hAnsiTheme="majorHAnsi"/>
          <w:sz w:val="16"/>
          <w:szCs w:val="16"/>
          <w:lang w:val="es-ES"/>
        </w:rPr>
        <w:t>“</w:t>
      </w:r>
      <w:r w:rsidRPr="00D55081">
        <w:rPr>
          <w:rFonts w:asciiTheme="majorHAnsi" w:hAnsiTheme="majorHAnsi"/>
          <w:sz w:val="16"/>
          <w:szCs w:val="16"/>
          <w:lang w:val="es-ES"/>
        </w:rPr>
        <w:t>Convención</w:t>
      </w:r>
      <w:r>
        <w:rPr>
          <w:rFonts w:asciiTheme="majorHAnsi" w:hAnsiTheme="majorHAnsi"/>
          <w:sz w:val="16"/>
          <w:szCs w:val="16"/>
          <w:lang w:val="es-ES"/>
        </w:rPr>
        <w:t>”</w:t>
      </w:r>
      <w:r w:rsidRPr="00D55081">
        <w:rPr>
          <w:rFonts w:asciiTheme="majorHAnsi" w:hAnsiTheme="majorHAnsi"/>
          <w:sz w:val="16"/>
          <w:szCs w:val="16"/>
          <w:lang w:val="es-ES"/>
        </w:rPr>
        <w:t xml:space="preserve"> o </w:t>
      </w:r>
      <w:r>
        <w:rPr>
          <w:rFonts w:asciiTheme="majorHAnsi" w:hAnsiTheme="majorHAnsi"/>
          <w:sz w:val="16"/>
          <w:szCs w:val="16"/>
          <w:lang w:val="es-ES"/>
        </w:rPr>
        <w:t>“</w:t>
      </w:r>
      <w:r w:rsidRPr="00D55081">
        <w:rPr>
          <w:rFonts w:asciiTheme="majorHAnsi" w:hAnsiTheme="majorHAnsi"/>
          <w:sz w:val="16"/>
          <w:szCs w:val="16"/>
          <w:lang w:val="es-ES"/>
        </w:rPr>
        <w:t>Convención Americana</w:t>
      </w:r>
      <w:r>
        <w:rPr>
          <w:rFonts w:asciiTheme="majorHAnsi" w:hAnsiTheme="majorHAnsi"/>
          <w:sz w:val="16"/>
          <w:szCs w:val="16"/>
          <w:lang w:val="es-ES"/>
        </w:rPr>
        <w:t>”</w:t>
      </w:r>
      <w:r w:rsidRPr="00D55081">
        <w:rPr>
          <w:rFonts w:asciiTheme="majorHAnsi" w:hAnsiTheme="majorHAnsi"/>
          <w:sz w:val="16"/>
          <w:szCs w:val="16"/>
          <w:lang w:val="es-ES"/>
        </w:rPr>
        <w:t>.</w:t>
      </w:r>
    </w:p>
  </w:footnote>
  <w:footnote w:id="3">
    <w:p w14:paraId="0532FD4E" w14:textId="77777777" w:rsidR="00E157B9" w:rsidRPr="00D55081" w:rsidRDefault="00E157B9" w:rsidP="00E157B9">
      <w:pPr>
        <w:pStyle w:val="FootnoteText"/>
        <w:ind w:firstLine="720"/>
        <w:jc w:val="both"/>
        <w:rPr>
          <w:rFonts w:asciiTheme="majorHAnsi" w:hAnsiTheme="majorHAnsi"/>
          <w:sz w:val="16"/>
          <w:szCs w:val="16"/>
          <w:lang w:val="es-ES"/>
        </w:rPr>
      </w:pPr>
      <w:r w:rsidRPr="00C25233">
        <w:rPr>
          <w:rStyle w:val="FootnoteReference"/>
          <w:rFonts w:asciiTheme="majorHAnsi" w:hAnsiTheme="majorHAnsi"/>
          <w:sz w:val="16"/>
          <w:szCs w:val="16"/>
        </w:rPr>
        <w:footnoteRef/>
      </w:r>
      <w:r w:rsidRPr="00D55081">
        <w:rPr>
          <w:rFonts w:asciiTheme="majorHAnsi" w:hAnsiTheme="majorHAnsi"/>
          <w:sz w:val="16"/>
          <w:szCs w:val="16"/>
          <w:lang w:val="es-ES"/>
        </w:rPr>
        <w:t xml:space="preserve"> En adelante </w:t>
      </w:r>
      <w:r>
        <w:rPr>
          <w:rFonts w:asciiTheme="majorHAnsi" w:hAnsiTheme="majorHAnsi"/>
          <w:sz w:val="16"/>
          <w:szCs w:val="16"/>
          <w:lang w:val="es-ES"/>
        </w:rPr>
        <w:t>“</w:t>
      </w:r>
      <w:r w:rsidRPr="00D55081">
        <w:rPr>
          <w:rFonts w:asciiTheme="majorHAnsi" w:hAnsiTheme="majorHAnsi"/>
          <w:sz w:val="16"/>
          <w:szCs w:val="16"/>
          <w:lang w:val="es-ES"/>
        </w:rPr>
        <w:t>Protocolo de San Salvador</w:t>
      </w:r>
      <w:r>
        <w:rPr>
          <w:rFonts w:asciiTheme="majorHAnsi" w:hAnsiTheme="majorHAnsi"/>
          <w:sz w:val="16"/>
          <w:szCs w:val="16"/>
          <w:lang w:val="es-ES"/>
        </w:rPr>
        <w:t>”</w:t>
      </w:r>
      <w:r w:rsidRPr="00D55081">
        <w:rPr>
          <w:rFonts w:asciiTheme="majorHAnsi" w:hAnsiTheme="majorHAnsi"/>
          <w:sz w:val="16"/>
          <w:szCs w:val="16"/>
          <w:lang w:val="es-ES"/>
        </w:rPr>
        <w:t>.</w:t>
      </w:r>
    </w:p>
  </w:footnote>
  <w:footnote w:id="4">
    <w:p w14:paraId="557A8E50" w14:textId="77777777" w:rsidR="0099258D" w:rsidRPr="00537490" w:rsidRDefault="0099258D" w:rsidP="00E6386B">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11EA0E28" w14:textId="77777777" w:rsidR="00E157B9" w:rsidRPr="00C25233" w:rsidRDefault="00E157B9" w:rsidP="00E157B9">
      <w:pPr>
        <w:pStyle w:val="FootnoteText"/>
        <w:ind w:firstLine="720"/>
        <w:jc w:val="both"/>
        <w:rPr>
          <w:rFonts w:asciiTheme="majorHAnsi" w:hAnsiTheme="majorHAnsi"/>
          <w:sz w:val="16"/>
          <w:szCs w:val="16"/>
          <w:lang w:val="es-US"/>
        </w:rPr>
      </w:pPr>
      <w:r w:rsidRPr="00C25233">
        <w:rPr>
          <w:rStyle w:val="FootnoteReference"/>
          <w:rFonts w:asciiTheme="majorHAnsi" w:hAnsiTheme="majorHAnsi"/>
          <w:sz w:val="16"/>
          <w:szCs w:val="16"/>
        </w:rPr>
        <w:footnoteRef/>
      </w:r>
      <w:r w:rsidRPr="00C25233">
        <w:rPr>
          <w:rFonts w:asciiTheme="majorHAnsi" w:hAnsiTheme="majorHAnsi"/>
          <w:sz w:val="16"/>
          <w:szCs w:val="16"/>
          <w:lang w:val="es-US"/>
        </w:rPr>
        <w:t xml:space="preserve"> </w:t>
      </w:r>
      <w:r w:rsidRPr="00491E0D">
        <w:rPr>
          <w:rFonts w:asciiTheme="majorHAnsi" w:hAnsiTheme="majorHAnsi"/>
          <w:sz w:val="16"/>
          <w:szCs w:val="16"/>
          <w:lang w:val="es-US"/>
        </w:rPr>
        <w:t>Ley 20.744 (Ley Contrato de Trabajo).</w:t>
      </w:r>
    </w:p>
  </w:footnote>
  <w:footnote w:id="6">
    <w:p w14:paraId="5B2DBCD7" w14:textId="77777777" w:rsidR="00E157B9" w:rsidRPr="00D55081" w:rsidRDefault="00E157B9" w:rsidP="00E157B9">
      <w:pPr>
        <w:pStyle w:val="FootnoteText"/>
        <w:ind w:firstLine="720"/>
        <w:jc w:val="both"/>
        <w:rPr>
          <w:rFonts w:asciiTheme="majorHAnsi" w:hAnsiTheme="majorHAnsi"/>
          <w:sz w:val="16"/>
          <w:szCs w:val="16"/>
          <w:lang w:val="es-ES"/>
        </w:rPr>
      </w:pPr>
      <w:r w:rsidRPr="00C25233">
        <w:rPr>
          <w:rStyle w:val="FootnoteReference"/>
          <w:rFonts w:asciiTheme="majorHAnsi" w:hAnsiTheme="majorHAnsi"/>
          <w:sz w:val="16"/>
          <w:szCs w:val="16"/>
        </w:rPr>
        <w:footnoteRef/>
      </w:r>
      <w:r w:rsidRPr="00D55081">
        <w:rPr>
          <w:rFonts w:asciiTheme="majorHAnsi" w:hAnsiTheme="majorHAnsi"/>
          <w:sz w:val="16"/>
          <w:szCs w:val="16"/>
          <w:lang w:val="es-ES"/>
        </w:rPr>
        <w:t xml:space="preserve"> Ver CIDH, Informe No. 32/18, Petición 355-08, (Admisibilidad). Alberto Miguel Andrada y Jorge Osvaldo Álvarez, Argentina, 4 de mayo 2018, párr. 8.</w:t>
      </w:r>
    </w:p>
  </w:footnote>
  <w:footnote w:id="7">
    <w:p w14:paraId="04B279AC" w14:textId="77777777" w:rsidR="00E157B9" w:rsidRPr="00C25233" w:rsidRDefault="00E157B9" w:rsidP="00E157B9">
      <w:pPr>
        <w:pStyle w:val="FootnoteText"/>
        <w:ind w:firstLine="720"/>
        <w:jc w:val="both"/>
        <w:rPr>
          <w:rFonts w:asciiTheme="majorHAnsi" w:hAnsiTheme="majorHAnsi"/>
          <w:sz w:val="16"/>
          <w:szCs w:val="16"/>
        </w:rPr>
      </w:pPr>
      <w:r w:rsidRPr="00C25233">
        <w:rPr>
          <w:rStyle w:val="FootnoteReference"/>
          <w:rFonts w:asciiTheme="majorHAnsi" w:hAnsiTheme="majorHAnsi"/>
          <w:sz w:val="16"/>
          <w:szCs w:val="16"/>
        </w:rPr>
        <w:footnoteRef/>
      </w:r>
      <w:r w:rsidRPr="00D55081">
        <w:rPr>
          <w:rFonts w:asciiTheme="majorHAnsi" w:hAnsiTheme="majorHAnsi"/>
          <w:sz w:val="16"/>
          <w:szCs w:val="16"/>
          <w:lang w:val="es-ES"/>
        </w:rPr>
        <w:t xml:space="preserve"> Ver CIDH, Informe No. 71/17, Petición 271-07, (Admisibilidad). Jorge Luis de la Rosa Mejía y otros, Colombia, 29 de junio de 2017, párr. </w:t>
      </w:r>
      <w:r w:rsidRPr="00491E0D">
        <w:rPr>
          <w:rFonts w:asciiTheme="majorHAnsi" w:hAnsiTheme="majorHAnsi"/>
          <w:sz w:val="16"/>
          <w:szCs w:val="16"/>
        </w:rPr>
        <w:t>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7EB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1B1F8A4"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5E69"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54920B9E" wp14:editId="01D49D2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20CA8BA" w14:textId="77777777" w:rsidR="0099258D" w:rsidRPr="00EC7D62" w:rsidRDefault="006C7C01" w:rsidP="00A50FCF">
    <w:pPr>
      <w:pStyle w:val="Header"/>
      <w:tabs>
        <w:tab w:val="clear" w:pos="4320"/>
        <w:tab w:val="clear" w:pos="8640"/>
      </w:tabs>
      <w:jc w:val="center"/>
      <w:rPr>
        <w:sz w:val="22"/>
        <w:szCs w:val="22"/>
      </w:rPr>
    </w:pPr>
    <w:r>
      <w:rPr>
        <w:sz w:val="22"/>
        <w:szCs w:val="22"/>
      </w:rPr>
      <w:pict w14:anchorId="549E3C4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A3CF" w14:textId="77777777" w:rsidR="00607790" w:rsidRDefault="0060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1EF"/>
    <w:rsid w:val="0001560F"/>
    <w:rsid w:val="0001788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1CC2"/>
    <w:rsid w:val="00133EE5"/>
    <w:rsid w:val="0013619C"/>
    <w:rsid w:val="00157768"/>
    <w:rsid w:val="00167A34"/>
    <w:rsid w:val="00171A7E"/>
    <w:rsid w:val="001934B3"/>
    <w:rsid w:val="001A7870"/>
    <w:rsid w:val="001B31B5"/>
    <w:rsid w:val="001B3A00"/>
    <w:rsid w:val="001C1B41"/>
    <w:rsid w:val="001D65EF"/>
    <w:rsid w:val="001E49E7"/>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958A9"/>
    <w:rsid w:val="002A0AAE"/>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A7451"/>
    <w:rsid w:val="003B2204"/>
    <w:rsid w:val="003B6B4F"/>
    <w:rsid w:val="003B70FB"/>
    <w:rsid w:val="003C093F"/>
    <w:rsid w:val="003C676B"/>
    <w:rsid w:val="003D3BC2"/>
    <w:rsid w:val="003E05E8"/>
    <w:rsid w:val="003E2C82"/>
    <w:rsid w:val="003E6CA1"/>
    <w:rsid w:val="003F6702"/>
    <w:rsid w:val="004065A8"/>
    <w:rsid w:val="004165C2"/>
    <w:rsid w:val="00440B44"/>
    <w:rsid w:val="00441ECB"/>
    <w:rsid w:val="00445193"/>
    <w:rsid w:val="00447897"/>
    <w:rsid w:val="00447BBF"/>
    <w:rsid w:val="00454503"/>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4F0163"/>
    <w:rsid w:val="00501399"/>
    <w:rsid w:val="0050633D"/>
    <w:rsid w:val="00507951"/>
    <w:rsid w:val="00507BC4"/>
    <w:rsid w:val="005128E4"/>
    <w:rsid w:val="005133DB"/>
    <w:rsid w:val="0051652D"/>
    <w:rsid w:val="00525560"/>
    <w:rsid w:val="00544C49"/>
    <w:rsid w:val="00544E91"/>
    <w:rsid w:val="00547814"/>
    <w:rsid w:val="005516A1"/>
    <w:rsid w:val="005622E3"/>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356B"/>
    <w:rsid w:val="00606CDA"/>
    <w:rsid w:val="00607790"/>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A17D2"/>
    <w:rsid w:val="006A3251"/>
    <w:rsid w:val="006A73E6"/>
    <w:rsid w:val="006B2D5C"/>
    <w:rsid w:val="006C4EB1"/>
    <w:rsid w:val="006C7C01"/>
    <w:rsid w:val="006D421B"/>
    <w:rsid w:val="006E0166"/>
    <w:rsid w:val="006E2CC0"/>
    <w:rsid w:val="006E7B34"/>
    <w:rsid w:val="006F00E7"/>
    <w:rsid w:val="006F084F"/>
    <w:rsid w:val="006F1C9E"/>
    <w:rsid w:val="00706149"/>
    <w:rsid w:val="007067C6"/>
    <w:rsid w:val="0070697F"/>
    <w:rsid w:val="00710CE8"/>
    <w:rsid w:val="00711C21"/>
    <w:rsid w:val="0071422F"/>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3334"/>
    <w:rsid w:val="007D2B98"/>
    <w:rsid w:val="007D48DE"/>
    <w:rsid w:val="007E21BC"/>
    <w:rsid w:val="007E7C82"/>
    <w:rsid w:val="007F203C"/>
    <w:rsid w:val="007F588D"/>
    <w:rsid w:val="00803F1C"/>
    <w:rsid w:val="0080600E"/>
    <w:rsid w:val="0080687A"/>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15BC"/>
    <w:rsid w:val="008A7E0F"/>
    <w:rsid w:val="008B12F5"/>
    <w:rsid w:val="008B20E6"/>
    <w:rsid w:val="008D00AC"/>
    <w:rsid w:val="008D768D"/>
    <w:rsid w:val="008E3759"/>
    <w:rsid w:val="008E3BFE"/>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706E"/>
    <w:rsid w:val="0096709F"/>
    <w:rsid w:val="00974491"/>
    <w:rsid w:val="00975C4E"/>
    <w:rsid w:val="00981FBA"/>
    <w:rsid w:val="00986116"/>
    <w:rsid w:val="0099258D"/>
    <w:rsid w:val="00997BC5"/>
    <w:rsid w:val="009A4F41"/>
    <w:rsid w:val="009B381B"/>
    <w:rsid w:val="009C42F3"/>
    <w:rsid w:val="009D1753"/>
    <w:rsid w:val="009D7611"/>
    <w:rsid w:val="009E0B61"/>
    <w:rsid w:val="009E53DE"/>
    <w:rsid w:val="00A11E44"/>
    <w:rsid w:val="00A1365F"/>
    <w:rsid w:val="00A218EF"/>
    <w:rsid w:val="00A24333"/>
    <w:rsid w:val="00A328B3"/>
    <w:rsid w:val="00A3717F"/>
    <w:rsid w:val="00A50FCF"/>
    <w:rsid w:val="00A528D1"/>
    <w:rsid w:val="00A610CD"/>
    <w:rsid w:val="00A65E58"/>
    <w:rsid w:val="00A758AA"/>
    <w:rsid w:val="00AA09A2"/>
    <w:rsid w:val="00AA7996"/>
    <w:rsid w:val="00AC19CB"/>
    <w:rsid w:val="00AE33F9"/>
    <w:rsid w:val="00AE5488"/>
    <w:rsid w:val="00AE6F91"/>
    <w:rsid w:val="00AE7900"/>
    <w:rsid w:val="00AF5571"/>
    <w:rsid w:val="00B07341"/>
    <w:rsid w:val="00B165FF"/>
    <w:rsid w:val="00B30539"/>
    <w:rsid w:val="00B314DB"/>
    <w:rsid w:val="00B361F2"/>
    <w:rsid w:val="00B3718B"/>
    <w:rsid w:val="00B44E2A"/>
    <w:rsid w:val="00B4632A"/>
    <w:rsid w:val="00B46C68"/>
    <w:rsid w:val="00B530F1"/>
    <w:rsid w:val="00B532AA"/>
    <w:rsid w:val="00B60C16"/>
    <w:rsid w:val="00B62B52"/>
    <w:rsid w:val="00B643B4"/>
    <w:rsid w:val="00B73438"/>
    <w:rsid w:val="00B975B1"/>
    <w:rsid w:val="00BA276C"/>
    <w:rsid w:val="00BB306F"/>
    <w:rsid w:val="00BC1EE3"/>
    <w:rsid w:val="00BD4B89"/>
    <w:rsid w:val="00BD5460"/>
    <w:rsid w:val="00BD5922"/>
    <w:rsid w:val="00BF02CB"/>
    <w:rsid w:val="00BF6FD8"/>
    <w:rsid w:val="00C03680"/>
    <w:rsid w:val="00C05296"/>
    <w:rsid w:val="00C054DF"/>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7AC4"/>
    <w:rsid w:val="00C9567A"/>
    <w:rsid w:val="00CB212D"/>
    <w:rsid w:val="00CB2660"/>
    <w:rsid w:val="00CB2E5A"/>
    <w:rsid w:val="00CC09CB"/>
    <w:rsid w:val="00CC0AD2"/>
    <w:rsid w:val="00CC5E90"/>
    <w:rsid w:val="00CD046C"/>
    <w:rsid w:val="00CE076C"/>
    <w:rsid w:val="00CE5199"/>
    <w:rsid w:val="00CE66D5"/>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42D0"/>
    <w:rsid w:val="00DC11E7"/>
    <w:rsid w:val="00DC7023"/>
    <w:rsid w:val="00DC769A"/>
    <w:rsid w:val="00DD26CE"/>
    <w:rsid w:val="00DD3D86"/>
    <w:rsid w:val="00DE02AB"/>
    <w:rsid w:val="00DF1EC4"/>
    <w:rsid w:val="00E0340B"/>
    <w:rsid w:val="00E04A90"/>
    <w:rsid w:val="00E0551F"/>
    <w:rsid w:val="00E069A1"/>
    <w:rsid w:val="00E157B9"/>
    <w:rsid w:val="00E219C7"/>
    <w:rsid w:val="00E25F59"/>
    <w:rsid w:val="00E2743A"/>
    <w:rsid w:val="00E4118C"/>
    <w:rsid w:val="00E43157"/>
    <w:rsid w:val="00E44035"/>
    <w:rsid w:val="00E461CE"/>
    <w:rsid w:val="00E47256"/>
    <w:rsid w:val="00E50BE8"/>
    <w:rsid w:val="00E6386B"/>
    <w:rsid w:val="00E720CA"/>
    <w:rsid w:val="00E75E2E"/>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11A4"/>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6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4BD3763EDB485AA792BE900158F2AA"/>
        <w:category>
          <w:name w:val="General"/>
          <w:gallery w:val="placeholder"/>
        </w:category>
        <w:types>
          <w:type w:val="bbPlcHdr"/>
        </w:types>
        <w:behaviors>
          <w:behavior w:val="content"/>
        </w:behaviors>
        <w:guid w:val="{2A8A6C03-A590-4015-8C54-BA56D13037C9}"/>
      </w:docPartPr>
      <w:docPartBody>
        <w:p w:rsidR="0086353C" w:rsidRDefault="004A3855" w:rsidP="004A3855">
          <w:pPr>
            <w:pStyle w:val="8E4BD3763EDB485AA792BE900158F2A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6863"/>
    <w:rsid w:val="000C639B"/>
    <w:rsid w:val="00200821"/>
    <w:rsid w:val="00233774"/>
    <w:rsid w:val="00243109"/>
    <w:rsid w:val="00394049"/>
    <w:rsid w:val="004A3855"/>
    <w:rsid w:val="004F2DF8"/>
    <w:rsid w:val="005F1A2F"/>
    <w:rsid w:val="0060264A"/>
    <w:rsid w:val="007200C3"/>
    <w:rsid w:val="0073427B"/>
    <w:rsid w:val="00763524"/>
    <w:rsid w:val="00782223"/>
    <w:rsid w:val="0086353C"/>
    <w:rsid w:val="009327A4"/>
    <w:rsid w:val="009A261B"/>
    <w:rsid w:val="00A56429"/>
    <w:rsid w:val="00AC0348"/>
    <w:rsid w:val="00AC15A4"/>
    <w:rsid w:val="00B0336C"/>
    <w:rsid w:val="00D223B1"/>
    <w:rsid w:val="00D34D37"/>
    <w:rsid w:val="00D435D1"/>
    <w:rsid w:val="00DE7283"/>
    <w:rsid w:val="00E114B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855"/>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A1771977613E45E6B64DB9567E950188">
    <w:name w:val="A1771977613E45E6B64DB9567E950188"/>
    <w:rsid w:val="004A3855"/>
    <w:pPr>
      <w:spacing w:after="160" w:line="259" w:lineRule="auto"/>
    </w:pPr>
  </w:style>
  <w:style w:type="paragraph" w:customStyle="1" w:styleId="F099850FFD6C41B0866C5FF2E9472A1B">
    <w:name w:val="F099850FFD6C41B0866C5FF2E9472A1B"/>
    <w:rsid w:val="004A3855"/>
    <w:pPr>
      <w:spacing w:after="160" w:line="259" w:lineRule="auto"/>
    </w:pPr>
  </w:style>
  <w:style w:type="paragraph" w:customStyle="1" w:styleId="8E4BD3763EDB485AA792BE900158F2AA">
    <w:name w:val="8E4BD3763EDB485AA792BE900158F2AA"/>
    <w:rsid w:val="004A38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6E47-D7B2-4B8C-B50E-9A2D048F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76/19</dc:title>
  <dc:creator/>
  <cp:lastModifiedBy/>
  <cp:revision>1</cp:revision>
  <dcterms:created xsi:type="dcterms:W3CDTF">2019-06-24T13:44:00Z</dcterms:created>
  <dcterms:modified xsi:type="dcterms:W3CDTF">2019-06-24T13:44:00Z</dcterms:modified>
</cp:coreProperties>
</file>