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9C5C36" w:rsidRDefault="00D306D1" w:rsidP="009C5C36">
      <w:pPr>
        <w:jc w:val="both"/>
        <w:rPr>
          <w:rFonts w:asciiTheme="majorHAnsi" w:hAnsiTheme="majorHAnsi" w:cs="Univers"/>
          <w:b/>
          <w:bCs/>
          <w:sz w:val="22"/>
          <w:szCs w:val="22"/>
          <w:lang w:val="es-ES_tradnl"/>
        </w:rPr>
      </w:pPr>
      <w:r w:rsidRPr="009C5C36">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659145E3" wp14:editId="1132F500">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F662030"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C5C36">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AEDCB2D" wp14:editId="3F9876CF">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36BE" w:rsidRDefault="002A36BE" w:rsidP="00AE5488">
                            <w:r>
                              <w:rPr>
                                <w:noProof/>
                              </w:rPr>
                              <w:drawing>
                                <wp:inline distT="0" distB="0" distL="0" distR="0" wp14:anchorId="28576677" wp14:editId="3C02B36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2A36BE" w:rsidRDefault="002A36BE" w:rsidP="00AE5488">
                      <w:r>
                        <w:rPr>
                          <w:noProof/>
                        </w:rPr>
                        <w:drawing>
                          <wp:inline distT="0" distB="0" distL="0" distR="0" wp14:anchorId="28576677" wp14:editId="3C02B368">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rsidR="00040C3A" w:rsidRPr="009C5C36" w:rsidRDefault="00040C3A" w:rsidP="009C5C36">
      <w:pPr>
        <w:tabs>
          <w:tab w:val="center" w:pos="5400"/>
        </w:tabs>
        <w:suppressAutoHyphens/>
        <w:jc w:val="both"/>
        <w:rPr>
          <w:rFonts w:asciiTheme="majorHAnsi" w:hAnsiTheme="majorHAnsi"/>
          <w:sz w:val="22"/>
          <w:szCs w:val="22"/>
          <w:lang w:val="es-ES"/>
        </w:rPr>
      </w:pPr>
    </w:p>
    <w:p w:rsidR="00040C3A" w:rsidRPr="009C5C36" w:rsidRDefault="00040C3A" w:rsidP="009C5C36">
      <w:pPr>
        <w:tabs>
          <w:tab w:val="center" w:pos="5400"/>
        </w:tabs>
        <w:suppressAutoHyphens/>
        <w:jc w:val="both"/>
        <w:rPr>
          <w:rFonts w:asciiTheme="majorHAnsi" w:hAnsiTheme="majorHAnsi"/>
          <w:sz w:val="22"/>
          <w:szCs w:val="22"/>
          <w:lang w:val="es-ES"/>
        </w:rPr>
      </w:pPr>
    </w:p>
    <w:p w:rsidR="005128E4" w:rsidRPr="009C5C36" w:rsidRDefault="005128E4" w:rsidP="009C5C36">
      <w:pPr>
        <w:tabs>
          <w:tab w:val="center" w:pos="5400"/>
        </w:tabs>
        <w:suppressAutoHyphens/>
        <w:rPr>
          <w:rFonts w:asciiTheme="majorHAnsi" w:hAnsiTheme="majorHAnsi"/>
          <w:sz w:val="22"/>
          <w:szCs w:val="22"/>
          <w:lang w:val="es-ES_tradnl"/>
        </w:rPr>
      </w:pPr>
    </w:p>
    <w:p w:rsidR="005128E4" w:rsidRPr="009C5C36" w:rsidRDefault="005128E4" w:rsidP="009C5C36">
      <w:pPr>
        <w:tabs>
          <w:tab w:val="center" w:pos="5400"/>
        </w:tabs>
        <w:suppressAutoHyphens/>
        <w:rPr>
          <w:rFonts w:asciiTheme="majorHAnsi" w:hAnsiTheme="majorHAnsi"/>
          <w:sz w:val="22"/>
          <w:szCs w:val="22"/>
          <w:lang w:val="es-ES_tradnl"/>
        </w:rPr>
      </w:pPr>
    </w:p>
    <w:p w:rsidR="005128E4" w:rsidRPr="009C5C36" w:rsidRDefault="005128E4" w:rsidP="009C5C36">
      <w:pPr>
        <w:tabs>
          <w:tab w:val="center" w:pos="5400"/>
        </w:tabs>
        <w:suppressAutoHyphens/>
        <w:rPr>
          <w:rFonts w:asciiTheme="majorHAnsi" w:hAnsiTheme="majorHAnsi"/>
          <w:sz w:val="22"/>
          <w:szCs w:val="22"/>
          <w:lang w:val="es-ES_tradnl"/>
        </w:rPr>
      </w:pPr>
    </w:p>
    <w:p w:rsidR="00040C3A" w:rsidRPr="009C5C36" w:rsidRDefault="00040C3A" w:rsidP="009C5C36">
      <w:pPr>
        <w:tabs>
          <w:tab w:val="center" w:pos="5400"/>
        </w:tabs>
        <w:suppressAutoHyphens/>
        <w:jc w:val="center"/>
        <w:rPr>
          <w:rFonts w:asciiTheme="majorHAnsi" w:hAnsiTheme="majorHAnsi"/>
          <w:sz w:val="22"/>
          <w:szCs w:val="22"/>
          <w:lang w:val="es-ES_tradnl"/>
        </w:rPr>
      </w:pPr>
    </w:p>
    <w:p w:rsidR="00040C3A" w:rsidRPr="009C5C36" w:rsidRDefault="00040C3A" w:rsidP="009C5C36">
      <w:pPr>
        <w:tabs>
          <w:tab w:val="center" w:pos="5400"/>
        </w:tabs>
        <w:suppressAutoHyphens/>
        <w:jc w:val="center"/>
        <w:rPr>
          <w:rFonts w:asciiTheme="majorHAnsi" w:hAnsiTheme="majorHAnsi"/>
          <w:sz w:val="22"/>
          <w:szCs w:val="22"/>
          <w:lang w:val="es-ES_tradnl"/>
        </w:rPr>
      </w:pPr>
    </w:p>
    <w:p w:rsidR="005B52B0" w:rsidRPr="009C5C36" w:rsidRDefault="005B52B0" w:rsidP="009C5C36">
      <w:pPr>
        <w:tabs>
          <w:tab w:val="center" w:pos="5400"/>
        </w:tabs>
        <w:suppressAutoHyphens/>
        <w:jc w:val="center"/>
        <w:rPr>
          <w:rFonts w:asciiTheme="majorHAnsi" w:hAnsiTheme="majorHAnsi"/>
          <w:sz w:val="22"/>
          <w:szCs w:val="22"/>
          <w:lang w:val="es-ES_tradnl"/>
        </w:rPr>
      </w:pPr>
    </w:p>
    <w:p w:rsidR="005B52B0" w:rsidRPr="009C5C36" w:rsidRDefault="005B52B0" w:rsidP="009C5C36">
      <w:pPr>
        <w:tabs>
          <w:tab w:val="center" w:pos="5400"/>
        </w:tabs>
        <w:suppressAutoHyphens/>
        <w:jc w:val="center"/>
        <w:rPr>
          <w:rFonts w:asciiTheme="majorHAnsi" w:hAnsiTheme="majorHAnsi"/>
          <w:sz w:val="22"/>
          <w:szCs w:val="22"/>
          <w:lang w:val="es-ES_tradnl"/>
        </w:rPr>
      </w:pPr>
    </w:p>
    <w:p w:rsidR="005B52B0" w:rsidRPr="009C5C36" w:rsidRDefault="005B52B0" w:rsidP="009C5C36">
      <w:pPr>
        <w:tabs>
          <w:tab w:val="center" w:pos="5400"/>
        </w:tabs>
        <w:suppressAutoHyphens/>
        <w:jc w:val="center"/>
        <w:rPr>
          <w:rFonts w:asciiTheme="majorHAnsi" w:hAnsiTheme="majorHAnsi"/>
          <w:sz w:val="22"/>
          <w:szCs w:val="22"/>
          <w:lang w:val="es-ES_tradnl"/>
        </w:rPr>
      </w:pPr>
    </w:p>
    <w:p w:rsidR="00040C3A" w:rsidRPr="009C5C36" w:rsidRDefault="00040C3A" w:rsidP="009C5C36">
      <w:pPr>
        <w:tabs>
          <w:tab w:val="center" w:pos="5400"/>
        </w:tabs>
        <w:suppressAutoHyphens/>
        <w:jc w:val="center"/>
        <w:rPr>
          <w:rFonts w:asciiTheme="majorHAnsi" w:hAnsiTheme="majorHAnsi"/>
          <w:sz w:val="22"/>
          <w:szCs w:val="22"/>
          <w:lang w:val="es-ES_tradnl"/>
        </w:rPr>
      </w:pPr>
    </w:p>
    <w:p w:rsidR="00040C3A" w:rsidRPr="009C5C36" w:rsidRDefault="00040C3A" w:rsidP="009C5C36">
      <w:pPr>
        <w:tabs>
          <w:tab w:val="center" w:pos="5400"/>
        </w:tabs>
        <w:suppressAutoHyphens/>
        <w:jc w:val="center"/>
        <w:rPr>
          <w:rFonts w:asciiTheme="majorHAnsi" w:hAnsiTheme="majorHAnsi"/>
          <w:sz w:val="22"/>
          <w:szCs w:val="22"/>
          <w:lang w:val="es-ES_tradnl"/>
        </w:rPr>
      </w:pPr>
    </w:p>
    <w:p w:rsidR="00040C3A" w:rsidRPr="009C5C36" w:rsidRDefault="003D3BC2" w:rsidP="009C5C36">
      <w:pPr>
        <w:tabs>
          <w:tab w:val="center" w:pos="5400"/>
        </w:tabs>
        <w:suppressAutoHyphens/>
        <w:jc w:val="center"/>
        <w:rPr>
          <w:rFonts w:asciiTheme="majorHAnsi" w:hAnsiTheme="majorHAnsi"/>
          <w:sz w:val="22"/>
          <w:szCs w:val="22"/>
          <w:lang w:val="es-ES_tradnl"/>
        </w:rPr>
      </w:pPr>
      <w:r w:rsidRPr="009C5C36">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712A79C" wp14:editId="01B4DF4C">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36BE" w:rsidRPr="004E2649" w:rsidRDefault="002A36BE"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0730B1">
                              <w:rPr>
                                <w:rFonts w:asciiTheme="majorHAnsi" w:hAnsiTheme="majorHAnsi" w:cs="Arial"/>
                                <w:b/>
                                <w:bCs/>
                                <w:color w:val="0D0D0D" w:themeColor="text1" w:themeTint="F2"/>
                                <w:sz w:val="36"/>
                                <w:szCs w:val="22"/>
                                <w:lang w:val="es-ES_tradnl"/>
                              </w:rPr>
                              <w:t>12</w:t>
                            </w:r>
                            <w:r>
                              <w:rPr>
                                <w:rFonts w:asciiTheme="majorHAnsi" w:hAnsiTheme="majorHAnsi" w:cs="Arial"/>
                                <w:b/>
                                <w:bCs/>
                                <w:color w:val="0D0D0D" w:themeColor="text1" w:themeTint="F2"/>
                                <w:sz w:val="36"/>
                                <w:szCs w:val="22"/>
                                <w:lang w:val="es-ES_tradnl"/>
                              </w:rPr>
                              <w:t>/18</w:t>
                            </w:r>
                          </w:p>
                          <w:p w:rsidR="002A36BE" w:rsidRDefault="002A36BE"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178</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rsidR="002A36BE" w:rsidRPr="0010736F" w:rsidRDefault="002A36BE"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Pr>
                                <w:rFonts w:asciiTheme="majorHAnsi" w:hAnsiTheme="majorHAnsi" w:cs="Arial"/>
                                <w:color w:val="0D0D0D" w:themeColor="text1" w:themeTint="F2"/>
                                <w:szCs w:val="22"/>
                                <w:lang w:val="es-ES_tradnl"/>
                              </w:rPr>
                              <w:t xml:space="preserve"> </w:t>
                            </w:r>
                            <w:r w:rsidRPr="0010736F">
                              <w:rPr>
                                <w:rFonts w:asciiTheme="majorHAnsi" w:hAnsiTheme="majorHAnsi" w:cs="Arial"/>
                                <w:color w:val="0D0D0D" w:themeColor="text1" w:themeTint="F2"/>
                                <w:szCs w:val="22"/>
                                <w:lang w:val="es-ES_tradnl"/>
                              </w:rPr>
                              <w:t xml:space="preserve"> </w:t>
                            </w:r>
                          </w:p>
                          <w:p w:rsidR="002A36BE" w:rsidRPr="0010736F" w:rsidRDefault="002A36BE" w:rsidP="00997BC5">
                            <w:pPr>
                              <w:spacing w:line="276" w:lineRule="auto"/>
                              <w:rPr>
                                <w:rFonts w:asciiTheme="majorHAnsi" w:hAnsiTheme="majorHAnsi" w:cs="Arial"/>
                                <w:color w:val="0D0D0D" w:themeColor="text1" w:themeTint="F2"/>
                                <w:szCs w:val="22"/>
                                <w:lang w:val="es-ES_tradnl"/>
                              </w:rPr>
                            </w:pPr>
                            <w:bookmarkStart w:id="1" w:name="_ftnref1"/>
                          </w:p>
                          <w:p w:rsidR="002A36BE" w:rsidRPr="002255D0" w:rsidRDefault="00B114B7" w:rsidP="00997BC5">
                            <w:pPr>
                              <w:spacing w:line="276" w:lineRule="auto"/>
                              <w:rPr>
                                <w:rFonts w:asciiTheme="majorHAnsi" w:hAnsiTheme="majorHAnsi" w:cs="Arial"/>
                                <w:color w:val="0D0D0D" w:themeColor="text1" w:themeTint="F2"/>
                                <w:szCs w:val="22"/>
                                <w:lang w:val="es-ES_tradnl"/>
                              </w:rPr>
                            </w:pPr>
                            <w:r w:rsidRPr="002255D0">
                              <w:rPr>
                                <w:rFonts w:asciiTheme="majorHAnsi" w:hAnsiTheme="majorHAnsi" w:cs="Arial"/>
                                <w:color w:val="0D0D0D" w:themeColor="text1" w:themeTint="F2"/>
                                <w:szCs w:val="22"/>
                                <w:lang w:val="es-ES_tradnl"/>
                              </w:rPr>
                              <w:t>48 TRABAJADORES FALLECIDOS EN</w:t>
                            </w:r>
                            <w:r w:rsidR="002A36BE" w:rsidRPr="002255D0">
                              <w:rPr>
                                <w:rFonts w:asciiTheme="majorHAnsi" w:hAnsiTheme="majorHAnsi" w:cs="Arial"/>
                                <w:color w:val="0D0D0D" w:themeColor="text1" w:themeTint="F2"/>
                                <w:szCs w:val="22"/>
                                <w:lang w:val="es-ES_tradnl"/>
                              </w:rPr>
                              <w:t xml:space="preserve"> LA EXPLOSIÓN DE LA MINA PASTA DE CONCHOS</w:t>
                            </w:r>
                          </w:p>
                          <w:bookmarkEnd w:id="1"/>
                          <w:p w:rsidR="002A36BE" w:rsidRPr="0010736F" w:rsidRDefault="002A36BE" w:rsidP="00997BC5">
                            <w:pPr>
                              <w:spacing w:line="276" w:lineRule="auto"/>
                              <w:rPr>
                                <w:rFonts w:asciiTheme="majorHAnsi" w:hAnsiTheme="majorHAnsi" w:cs="Arial"/>
                                <w:color w:val="0D0D0D" w:themeColor="text1" w:themeTint="F2"/>
                                <w:szCs w:val="22"/>
                                <w:lang w:val="es-ES"/>
                              </w:rPr>
                            </w:pPr>
                            <w:r w:rsidRPr="002255D0">
                              <w:rPr>
                                <w:rFonts w:asciiTheme="majorHAnsi" w:hAnsiTheme="majorHAnsi" w:cs="Arial"/>
                                <w:color w:val="0D0D0D" w:themeColor="text1" w:themeTint="F2"/>
                                <w:szCs w:val="22"/>
                                <w:lang w:val="es-ES_tradnl"/>
                              </w:rPr>
                              <w:t>MÉXICO</w:t>
                            </w:r>
                          </w:p>
                          <w:p w:rsidR="002A36BE" w:rsidRPr="00AE5488" w:rsidRDefault="002A36BE"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2A36BE" w:rsidRPr="004E2649" w:rsidRDefault="002A36BE"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0730B1">
                        <w:rPr>
                          <w:rFonts w:asciiTheme="majorHAnsi" w:hAnsiTheme="majorHAnsi" w:cs="Arial"/>
                          <w:b/>
                          <w:bCs/>
                          <w:color w:val="0D0D0D" w:themeColor="text1" w:themeTint="F2"/>
                          <w:sz w:val="36"/>
                          <w:szCs w:val="22"/>
                          <w:lang w:val="es-ES_tradnl"/>
                        </w:rPr>
                        <w:t>12</w:t>
                      </w:r>
                      <w:r>
                        <w:rPr>
                          <w:rFonts w:asciiTheme="majorHAnsi" w:hAnsiTheme="majorHAnsi" w:cs="Arial"/>
                          <w:b/>
                          <w:bCs/>
                          <w:color w:val="0D0D0D" w:themeColor="text1" w:themeTint="F2"/>
                          <w:sz w:val="36"/>
                          <w:szCs w:val="22"/>
                          <w:lang w:val="es-ES_tradnl"/>
                        </w:rPr>
                        <w:t>/18</w:t>
                      </w:r>
                    </w:p>
                    <w:p w:rsidR="002A36BE" w:rsidRDefault="002A36BE"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178</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10</w:t>
                      </w:r>
                      <w:r w:rsidRPr="004E2649">
                        <w:rPr>
                          <w:rFonts w:asciiTheme="majorHAnsi" w:hAnsiTheme="majorHAnsi" w:cs="Arial"/>
                          <w:b/>
                          <w:color w:val="0D0D0D" w:themeColor="text1" w:themeTint="F2"/>
                          <w:sz w:val="36"/>
                          <w:szCs w:val="22"/>
                          <w:lang w:val="es-ES_tradnl"/>
                        </w:rPr>
                        <w:t xml:space="preserve"> </w:t>
                      </w:r>
                    </w:p>
                    <w:p w:rsidR="002A36BE" w:rsidRPr="0010736F" w:rsidRDefault="002A36BE"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Pr>
                          <w:rFonts w:asciiTheme="majorHAnsi" w:hAnsiTheme="majorHAnsi" w:cs="Arial"/>
                          <w:color w:val="0D0D0D" w:themeColor="text1" w:themeTint="F2"/>
                          <w:szCs w:val="22"/>
                          <w:lang w:val="es-ES_tradnl"/>
                        </w:rPr>
                        <w:t xml:space="preserve"> </w:t>
                      </w:r>
                      <w:r w:rsidRPr="0010736F">
                        <w:rPr>
                          <w:rFonts w:asciiTheme="majorHAnsi" w:hAnsiTheme="majorHAnsi" w:cs="Arial"/>
                          <w:color w:val="0D0D0D" w:themeColor="text1" w:themeTint="F2"/>
                          <w:szCs w:val="22"/>
                          <w:lang w:val="es-ES_tradnl"/>
                        </w:rPr>
                        <w:t xml:space="preserve"> </w:t>
                      </w:r>
                    </w:p>
                    <w:p w:rsidR="002A36BE" w:rsidRPr="0010736F" w:rsidRDefault="002A36BE" w:rsidP="00997BC5">
                      <w:pPr>
                        <w:spacing w:line="276" w:lineRule="auto"/>
                        <w:rPr>
                          <w:rFonts w:asciiTheme="majorHAnsi" w:hAnsiTheme="majorHAnsi" w:cs="Arial"/>
                          <w:color w:val="0D0D0D" w:themeColor="text1" w:themeTint="F2"/>
                          <w:szCs w:val="22"/>
                          <w:lang w:val="es-ES_tradnl"/>
                        </w:rPr>
                      </w:pPr>
                      <w:bookmarkStart w:id="1" w:name="_ftnref1"/>
                    </w:p>
                    <w:p w:rsidR="002A36BE" w:rsidRPr="002255D0" w:rsidRDefault="00B114B7" w:rsidP="00997BC5">
                      <w:pPr>
                        <w:spacing w:line="276" w:lineRule="auto"/>
                        <w:rPr>
                          <w:rFonts w:asciiTheme="majorHAnsi" w:hAnsiTheme="majorHAnsi" w:cs="Arial"/>
                          <w:color w:val="0D0D0D" w:themeColor="text1" w:themeTint="F2"/>
                          <w:szCs w:val="22"/>
                          <w:lang w:val="es-ES_tradnl"/>
                        </w:rPr>
                      </w:pPr>
                      <w:r w:rsidRPr="002255D0">
                        <w:rPr>
                          <w:rFonts w:asciiTheme="majorHAnsi" w:hAnsiTheme="majorHAnsi" w:cs="Arial"/>
                          <w:color w:val="0D0D0D" w:themeColor="text1" w:themeTint="F2"/>
                          <w:szCs w:val="22"/>
                          <w:lang w:val="es-ES_tradnl"/>
                        </w:rPr>
                        <w:t>48 TRABAJADORES FALLECIDOS EN</w:t>
                      </w:r>
                      <w:r w:rsidR="002A36BE" w:rsidRPr="002255D0">
                        <w:rPr>
                          <w:rFonts w:asciiTheme="majorHAnsi" w:hAnsiTheme="majorHAnsi" w:cs="Arial"/>
                          <w:color w:val="0D0D0D" w:themeColor="text1" w:themeTint="F2"/>
                          <w:szCs w:val="22"/>
                          <w:lang w:val="es-ES_tradnl"/>
                        </w:rPr>
                        <w:t xml:space="preserve"> LA EXPLOSIÓN DE LA MINA PASTA DE CONCHOS</w:t>
                      </w:r>
                    </w:p>
                    <w:bookmarkEnd w:id="1"/>
                    <w:p w:rsidR="002A36BE" w:rsidRPr="0010736F" w:rsidRDefault="002A36BE" w:rsidP="00997BC5">
                      <w:pPr>
                        <w:spacing w:line="276" w:lineRule="auto"/>
                        <w:rPr>
                          <w:rFonts w:asciiTheme="majorHAnsi" w:hAnsiTheme="majorHAnsi" w:cs="Arial"/>
                          <w:color w:val="0D0D0D" w:themeColor="text1" w:themeTint="F2"/>
                          <w:szCs w:val="22"/>
                          <w:lang w:val="es-ES"/>
                        </w:rPr>
                      </w:pPr>
                      <w:r w:rsidRPr="002255D0">
                        <w:rPr>
                          <w:rFonts w:asciiTheme="majorHAnsi" w:hAnsiTheme="majorHAnsi" w:cs="Arial"/>
                          <w:color w:val="0D0D0D" w:themeColor="text1" w:themeTint="F2"/>
                          <w:szCs w:val="22"/>
                          <w:lang w:val="es-ES_tradnl"/>
                        </w:rPr>
                        <w:t>MÉXICO</w:t>
                      </w:r>
                    </w:p>
                    <w:p w:rsidR="002A36BE" w:rsidRPr="00AE5488" w:rsidRDefault="002A36BE" w:rsidP="007A5817">
                      <w:pPr>
                        <w:rPr>
                          <w:color w:val="0D0D0D" w:themeColor="text1" w:themeTint="F2"/>
                          <w:lang w:val="es-ES_tradnl"/>
                        </w:rPr>
                      </w:pPr>
                    </w:p>
                  </w:txbxContent>
                </v:textbox>
              </v:shape>
            </w:pict>
          </mc:Fallback>
        </mc:AlternateContent>
      </w:r>
      <w:r w:rsidR="004E2649" w:rsidRPr="009C5C36">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12E70F00" wp14:editId="453722CE">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36BE" w:rsidRPr="004E2649" w:rsidRDefault="002A36BE"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r w:rsidR="00713275" w:rsidRPr="004E2649">
                              <w:rPr>
                                <w:rFonts w:asciiTheme="minorHAnsi" w:hAnsiTheme="minorHAnsi"/>
                                <w:color w:val="FFFFFF" w:themeColor="background1"/>
                                <w:sz w:val="22"/>
                                <w:lang w:val="pt-BR"/>
                              </w:rPr>
                              <w:t>1</w:t>
                            </w:r>
                            <w:r w:rsidR="00713275">
                              <w:rPr>
                                <w:rFonts w:asciiTheme="minorHAnsi" w:hAnsiTheme="minorHAnsi"/>
                                <w:color w:val="FFFFFF" w:themeColor="background1"/>
                                <w:sz w:val="22"/>
                                <w:lang w:val="pt-BR"/>
                              </w:rPr>
                              <w:t>6</w:t>
                            </w:r>
                            <w:r w:rsidR="000730B1">
                              <w:rPr>
                                <w:rFonts w:asciiTheme="minorHAnsi" w:hAnsiTheme="minorHAnsi"/>
                                <w:color w:val="FFFFFF" w:themeColor="background1"/>
                                <w:sz w:val="22"/>
                                <w:lang w:val="pt-BR"/>
                              </w:rPr>
                              <w:t>7</w:t>
                            </w:r>
                          </w:p>
                          <w:p w:rsidR="002A36BE" w:rsidRPr="004E2649" w:rsidRDefault="002A36BE"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0730B1">
                              <w:rPr>
                                <w:rFonts w:asciiTheme="minorHAnsi" w:hAnsiTheme="minorHAnsi"/>
                                <w:color w:val="FFFFFF" w:themeColor="background1"/>
                                <w:sz w:val="22"/>
                                <w:lang w:val="pt-BR"/>
                              </w:rPr>
                              <w:t>16</w:t>
                            </w:r>
                          </w:p>
                          <w:p w:rsidR="002A36BE" w:rsidRPr="005E03D5" w:rsidRDefault="000730B1"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24 febrero</w:t>
                            </w:r>
                            <w:r w:rsidR="002A36BE" w:rsidRPr="005E03D5">
                              <w:rPr>
                                <w:rFonts w:asciiTheme="minorHAnsi" w:hAnsiTheme="minorHAnsi"/>
                                <w:color w:val="FFFFFF" w:themeColor="background1"/>
                                <w:sz w:val="22"/>
                                <w:lang w:val="es-AR"/>
                              </w:rPr>
                              <w:t xml:space="preserve"> 201</w:t>
                            </w:r>
                            <w:r w:rsidR="002A36BE">
                              <w:rPr>
                                <w:rFonts w:asciiTheme="minorHAnsi" w:hAnsiTheme="minorHAnsi"/>
                                <w:color w:val="FFFFFF" w:themeColor="background1"/>
                                <w:sz w:val="22"/>
                                <w:lang w:val="es-AR"/>
                              </w:rPr>
                              <w:t>8</w:t>
                            </w:r>
                          </w:p>
                          <w:p w:rsidR="002A36BE" w:rsidRPr="005E03D5" w:rsidRDefault="002A36BE" w:rsidP="007A5817">
                            <w:pPr>
                              <w:spacing w:line="276" w:lineRule="auto"/>
                              <w:jc w:val="right"/>
                              <w:rPr>
                                <w:rFonts w:asciiTheme="minorHAnsi" w:hAnsiTheme="minorHAnsi"/>
                                <w:color w:val="FFFFFF" w:themeColor="background1"/>
                                <w:sz w:val="22"/>
                                <w:lang w:val="es-AR"/>
                              </w:rPr>
                            </w:pPr>
                            <w:r w:rsidRPr="005E03D5">
                              <w:rPr>
                                <w:rFonts w:asciiTheme="minorHAnsi" w:hAnsiTheme="minorHAnsi"/>
                                <w:color w:val="FFFFFF" w:themeColor="background1"/>
                                <w:sz w:val="22"/>
                                <w:lang w:val="es-AR"/>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2A36BE" w:rsidRPr="004E2649" w:rsidRDefault="002A36BE"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OEA/Ser.L/V/II.</w:t>
                      </w:r>
                      <w:r w:rsidR="00713275" w:rsidRPr="004E2649">
                        <w:rPr>
                          <w:rFonts w:asciiTheme="minorHAnsi" w:hAnsiTheme="minorHAnsi"/>
                          <w:color w:val="FFFFFF" w:themeColor="background1"/>
                          <w:sz w:val="22"/>
                          <w:lang w:val="pt-BR"/>
                        </w:rPr>
                        <w:t>1</w:t>
                      </w:r>
                      <w:r w:rsidR="00713275">
                        <w:rPr>
                          <w:rFonts w:asciiTheme="minorHAnsi" w:hAnsiTheme="minorHAnsi"/>
                          <w:color w:val="FFFFFF" w:themeColor="background1"/>
                          <w:sz w:val="22"/>
                          <w:lang w:val="pt-BR"/>
                        </w:rPr>
                        <w:t>6</w:t>
                      </w:r>
                      <w:r w:rsidR="000730B1">
                        <w:rPr>
                          <w:rFonts w:asciiTheme="minorHAnsi" w:hAnsiTheme="minorHAnsi"/>
                          <w:color w:val="FFFFFF" w:themeColor="background1"/>
                          <w:sz w:val="22"/>
                          <w:lang w:val="pt-BR"/>
                        </w:rPr>
                        <w:t>7</w:t>
                      </w:r>
                    </w:p>
                    <w:p w:rsidR="002A36BE" w:rsidRPr="004E2649" w:rsidRDefault="002A36BE"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0730B1">
                        <w:rPr>
                          <w:rFonts w:asciiTheme="minorHAnsi" w:hAnsiTheme="minorHAnsi"/>
                          <w:color w:val="FFFFFF" w:themeColor="background1"/>
                          <w:sz w:val="22"/>
                          <w:lang w:val="pt-BR"/>
                        </w:rPr>
                        <w:t>16</w:t>
                      </w:r>
                    </w:p>
                    <w:p w:rsidR="002A36BE" w:rsidRPr="005E03D5" w:rsidRDefault="000730B1" w:rsidP="007A5817">
                      <w:pPr>
                        <w:spacing w:line="276" w:lineRule="auto"/>
                        <w:jc w:val="right"/>
                        <w:rPr>
                          <w:rFonts w:asciiTheme="minorHAnsi" w:hAnsiTheme="minorHAnsi"/>
                          <w:color w:val="FFFFFF" w:themeColor="background1"/>
                          <w:sz w:val="22"/>
                          <w:lang w:val="es-AR"/>
                        </w:rPr>
                      </w:pPr>
                      <w:r>
                        <w:rPr>
                          <w:rFonts w:asciiTheme="minorHAnsi" w:hAnsiTheme="minorHAnsi"/>
                          <w:color w:val="FFFFFF" w:themeColor="background1"/>
                          <w:sz w:val="22"/>
                          <w:lang w:val="es-AR"/>
                        </w:rPr>
                        <w:t>24 febrero</w:t>
                      </w:r>
                      <w:r w:rsidR="002A36BE" w:rsidRPr="005E03D5">
                        <w:rPr>
                          <w:rFonts w:asciiTheme="minorHAnsi" w:hAnsiTheme="minorHAnsi"/>
                          <w:color w:val="FFFFFF" w:themeColor="background1"/>
                          <w:sz w:val="22"/>
                          <w:lang w:val="es-AR"/>
                        </w:rPr>
                        <w:t xml:space="preserve"> 201</w:t>
                      </w:r>
                      <w:r w:rsidR="002A36BE">
                        <w:rPr>
                          <w:rFonts w:asciiTheme="minorHAnsi" w:hAnsiTheme="minorHAnsi"/>
                          <w:color w:val="FFFFFF" w:themeColor="background1"/>
                          <w:sz w:val="22"/>
                          <w:lang w:val="es-AR"/>
                        </w:rPr>
                        <w:t>8</w:t>
                      </w:r>
                    </w:p>
                    <w:p w:rsidR="002A36BE" w:rsidRPr="005E03D5" w:rsidRDefault="002A36BE" w:rsidP="007A5817">
                      <w:pPr>
                        <w:spacing w:line="276" w:lineRule="auto"/>
                        <w:jc w:val="right"/>
                        <w:rPr>
                          <w:rFonts w:asciiTheme="minorHAnsi" w:hAnsiTheme="minorHAnsi"/>
                          <w:color w:val="FFFFFF" w:themeColor="background1"/>
                          <w:sz w:val="22"/>
                          <w:lang w:val="es-AR"/>
                        </w:rPr>
                      </w:pPr>
                      <w:r w:rsidRPr="005E03D5">
                        <w:rPr>
                          <w:rFonts w:asciiTheme="minorHAnsi" w:hAnsiTheme="minorHAnsi"/>
                          <w:color w:val="FFFFFF" w:themeColor="background1"/>
                          <w:sz w:val="22"/>
                          <w:lang w:val="es-AR"/>
                        </w:rPr>
                        <w:t>Original: español</w:t>
                      </w:r>
                    </w:p>
                  </w:txbxContent>
                </v:textbox>
              </v:shape>
            </w:pict>
          </mc:Fallback>
        </mc:AlternateContent>
      </w:r>
    </w:p>
    <w:p w:rsidR="00040C3A" w:rsidRPr="009C5C36" w:rsidRDefault="00040C3A" w:rsidP="009C5C36">
      <w:pPr>
        <w:tabs>
          <w:tab w:val="center" w:pos="5400"/>
        </w:tabs>
        <w:suppressAutoHyphens/>
        <w:jc w:val="center"/>
        <w:rPr>
          <w:rFonts w:asciiTheme="majorHAnsi" w:hAnsiTheme="majorHAnsi"/>
          <w:sz w:val="22"/>
          <w:szCs w:val="22"/>
          <w:lang w:val="es-ES_tradnl"/>
        </w:rPr>
      </w:pPr>
    </w:p>
    <w:p w:rsidR="00040C3A" w:rsidRPr="009C5C36" w:rsidRDefault="00040C3A" w:rsidP="009C5C36">
      <w:pPr>
        <w:tabs>
          <w:tab w:val="center" w:pos="5400"/>
        </w:tabs>
        <w:suppressAutoHyphens/>
        <w:jc w:val="center"/>
        <w:rPr>
          <w:rFonts w:asciiTheme="majorHAnsi" w:hAnsiTheme="majorHAnsi"/>
          <w:sz w:val="22"/>
          <w:szCs w:val="22"/>
          <w:lang w:val="es-ES_tradnl"/>
        </w:rPr>
      </w:pPr>
    </w:p>
    <w:p w:rsidR="00040C3A" w:rsidRPr="009C5C36" w:rsidRDefault="00040C3A" w:rsidP="009C5C36">
      <w:pPr>
        <w:tabs>
          <w:tab w:val="center" w:pos="5400"/>
        </w:tabs>
        <w:suppressAutoHyphens/>
        <w:jc w:val="center"/>
        <w:rPr>
          <w:rFonts w:asciiTheme="majorHAnsi" w:hAnsiTheme="majorHAnsi" w:cs="Arial"/>
          <w:sz w:val="22"/>
          <w:szCs w:val="22"/>
          <w:lang w:val="es-ES_tradnl"/>
        </w:rPr>
      </w:pPr>
    </w:p>
    <w:p w:rsidR="00040C3A" w:rsidRPr="009C5C36" w:rsidRDefault="00040C3A" w:rsidP="009C5C36">
      <w:pPr>
        <w:tabs>
          <w:tab w:val="center" w:pos="5400"/>
        </w:tabs>
        <w:suppressAutoHyphens/>
        <w:jc w:val="center"/>
        <w:rPr>
          <w:rFonts w:asciiTheme="majorHAnsi" w:hAnsiTheme="majorHAnsi"/>
          <w:sz w:val="22"/>
          <w:szCs w:val="22"/>
          <w:lang w:val="es-ES_tradnl"/>
        </w:rPr>
      </w:pPr>
    </w:p>
    <w:p w:rsidR="00040C3A" w:rsidRPr="009C5C36" w:rsidRDefault="00040C3A" w:rsidP="009C5C36">
      <w:pPr>
        <w:tabs>
          <w:tab w:val="center" w:pos="5400"/>
        </w:tabs>
        <w:suppressAutoHyphens/>
        <w:jc w:val="center"/>
        <w:rPr>
          <w:rFonts w:asciiTheme="majorHAnsi" w:hAnsiTheme="majorHAnsi"/>
          <w:sz w:val="22"/>
          <w:szCs w:val="22"/>
          <w:lang w:val="es-ES_tradnl"/>
        </w:rPr>
      </w:pPr>
    </w:p>
    <w:p w:rsidR="00040C3A" w:rsidRPr="009C5C36" w:rsidRDefault="00040C3A" w:rsidP="009C5C36">
      <w:pPr>
        <w:tabs>
          <w:tab w:val="center" w:pos="5400"/>
        </w:tabs>
        <w:suppressAutoHyphens/>
        <w:jc w:val="center"/>
        <w:rPr>
          <w:rFonts w:asciiTheme="majorHAnsi" w:hAnsiTheme="majorHAnsi"/>
          <w:sz w:val="22"/>
          <w:szCs w:val="22"/>
          <w:lang w:val="es-ES_tradnl"/>
        </w:rPr>
      </w:pPr>
    </w:p>
    <w:p w:rsidR="00040C3A" w:rsidRPr="009C5C36" w:rsidRDefault="00040C3A" w:rsidP="009C5C36">
      <w:pPr>
        <w:tabs>
          <w:tab w:val="center" w:pos="5400"/>
        </w:tabs>
        <w:suppressAutoHyphens/>
        <w:jc w:val="center"/>
        <w:rPr>
          <w:rFonts w:asciiTheme="majorHAnsi" w:hAnsiTheme="majorHAnsi"/>
          <w:sz w:val="22"/>
          <w:szCs w:val="22"/>
          <w:lang w:val="es-ES_tradnl"/>
        </w:rPr>
      </w:pPr>
    </w:p>
    <w:p w:rsidR="005128E4" w:rsidRPr="009C5C36" w:rsidRDefault="005128E4" w:rsidP="009C5C36">
      <w:pPr>
        <w:tabs>
          <w:tab w:val="center" w:pos="5400"/>
        </w:tabs>
        <w:suppressAutoHyphens/>
        <w:jc w:val="center"/>
        <w:rPr>
          <w:rFonts w:asciiTheme="majorHAnsi" w:hAnsiTheme="majorHAnsi"/>
          <w:sz w:val="22"/>
          <w:szCs w:val="22"/>
          <w:lang w:val="es-ES_tradnl"/>
        </w:rPr>
      </w:pPr>
    </w:p>
    <w:p w:rsidR="00040C3A" w:rsidRPr="009C5C36" w:rsidRDefault="00040C3A" w:rsidP="009C5C36">
      <w:pPr>
        <w:tabs>
          <w:tab w:val="center" w:pos="5400"/>
        </w:tabs>
        <w:suppressAutoHyphens/>
        <w:jc w:val="center"/>
        <w:rPr>
          <w:rFonts w:asciiTheme="majorHAnsi" w:hAnsiTheme="majorHAnsi"/>
          <w:sz w:val="22"/>
          <w:szCs w:val="22"/>
          <w:lang w:val="es-ES_tradnl"/>
        </w:rPr>
      </w:pPr>
    </w:p>
    <w:p w:rsidR="005128E4" w:rsidRPr="009C5C36" w:rsidRDefault="005128E4" w:rsidP="009C5C36">
      <w:pPr>
        <w:tabs>
          <w:tab w:val="center" w:pos="5400"/>
        </w:tabs>
        <w:suppressAutoHyphens/>
        <w:jc w:val="center"/>
        <w:rPr>
          <w:rFonts w:asciiTheme="majorHAnsi" w:hAnsiTheme="majorHAnsi"/>
          <w:sz w:val="22"/>
          <w:szCs w:val="22"/>
          <w:lang w:val="es-ES_tradnl"/>
        </w:rPr>
      </w:pPr>
    </w:p>
    <w:p w:rsidR="005128E4" w:rsidRPr="009C5C36" w:rsidRDefault="005128E4" w:rsidP="009C5C36">
      <w:pPr>
        <w:tabs>
          <w:tab w:val="center" w:pos="5400"/>
        </w:tabs>
        <w:suppressAutoHyphens/>
        <w:jc w:val="center"/>
        <w:rPr>
          <w:rFonts w:asciiTheme="majorHAnsi" w:hAnsiTheme="majorHAnsi"/>
          <w:sz w:val="22"/>
          <w:szCs w:val="22"/>
          <w:lang w:val="es-ES_tradnl"/>
        </w:rPr>
      </w:pPr>
    </w:p>
    <w:p w:rsidR="005128E4" w:rsidRPr="009C5C36" w:rsidRDefault="005128E4" w:rsidP="009C5C36">
      <w:pPr>
        <w:tabs>
          <w:tab w:val="center" w:pos="5400"/>
        </w:tabs>
        <w:suppressAutoHyphens/>
        <w:jc w:val="center"/>
        <w:rPr>
          <w:rFonts w:asciiTheme="majorHAnsi" w:hAnsiTheme="majorHAnsi"/>
          <w:sz w:val="22"/>
          <w:szCs w:val="22"/>
          <w:lang w:val="es-ES_tradnl"/>
        </w:rPr>
      </w:pPr>
    </w:p>
    <w:p w:rsidR="00040C3A" w:rsidRPr="009C5C36" w:rsidRDefault="00040C3A" w:rsidP="009C5C36">
      <w:pPr>
        <w:tabs>
          <w:tab w:val="center" w:pos="5400"/>
        </w:tabs>
        <w:suppressAutoHyphens/>
        <w:jc w:val="center"/>
        <w:rPr>
          <w:rFonts w:asciiTheme="majorHAnsi" w:hAnsiTheme="majorHAnsi"/>
          <w:sz w:val="22"/>
          <w:szCs w:val="22"/>
          <w:lang w:val="es-ES_tradnl"/>
        </w:rPr>
      </w:pPr>
    </w:p>
    <w:p w:rsidR="00040C3A" w:rsidRPr="009C5C36" w:rsidRDefault="00040C3A" w:rsidP="009C5C36">
      <w:pPr>
        <w:tabs>
          <w:tab w:val="center" w:pos="5400"/>
        </w:tabs>
        <w:suppressAutoHyphens/>
        <w:jc w:val="center"/>
        <w:rPr>
          <w:rFonts w:asciiTheme="majorHAnsi" w:hAnsiTheme="majorHAnsi"/>
          <w:sz w:val="22"/>
          <w:szCs w:val="22"/>
          <w:lang w:val="es-ES_tradnl"/>
        </w:rPr>
      </w:pPr>
    </w:p>
    <w:p w:rsidR="00A50FCF" w:rsidRPr="009C5C36" w:rsidRDefault="00A50FCF" w:rsidP="009C5C36">
      <w:pPr>
        <w:tabs>
          <w:tab w:val="center" w:pos="5400"/>
        </w:tabs>
        <w:suppressAutoHyphens/>
        <w:jc w:val="center"/>
        <w:rPr>
          <w:rFonts w:asciiTheme="majorHAnsi" w:hAnsiTheme="majorHAnsi"/>
          <w:sz w:val="18"/>
          <w:szCs w:val="22"/>
          <w:lang w:val="es-ES_tradnl"/>
        </w:rPr>
      </w:pPr>
    </w:p>
    <w:p w:rsidR="00A50FCF" w:rsidRPr="009C5C36" w:rsidRDefault="00A50FCF" w:rsidP="009C5C36">
      <w:pPr>
        <w:tabs>
          <w:tab w:val="center" w:pos="5400"/>
        </w:tabs>
        <w:suppressAutoHyphens/>
        <w:jc w:val="center"/>
        <w:rPr>
          <w:rFonts w:asciiTheme="majorHAnsi" w:hAnsiTheme="majorHAnsi"/>
          <w:sz w:val="18"/>
          <w:szCs w:val="22"/>
          <w:lang w:val="es-ES_tradnl"/>
        </w:rPr>
      </w:pPr>
    </w:p>
    <w:p w:rsidR="00A50FCF" w:rsidRPr="009C5C36" w:rsidRDefault="00A50FCF" w:rsidP="009C5C36">
      <w:pPr>
        <w:tabs>
          <w:tab w:val="center" w:pos="5400"/>
        </w:tabs>
        <w:suppressAutoHyphens/>
        <w:jc w:val="center"/>
        <w:rPr>
          <w:rFonts w:asciiTheme="majorHAnsi" w:hAnsiTheme="majorHAnsi"/>
          <w:sz w:val="18"/>
          <w:szCs w:val="22"/>
          <w:lang w:val="es-ES_tradnl"/>
        </w:rPr>
      </w:pPr>
    </w:p>
    <w:p w:rsidR="00A50FCF" w:rsidRPr="009C5C36" w:rsidRDefault="00A50FCF" w:rsidP="009C5C36">
      <w:pPr>
        <w:tabs>
          <w:tab w:val="center" w:pos="5400"/>
        </w:tabs>
        <w:suppressAutoHyphens/>
        <w:jc w:val="center"/>
        <w:rPr>
          <w:rFonts w:asciiTheme="majorHAnsi" w:hAnsiTheme="majorHAnsi"/>
          <w:sz w:val="18"/>
          <w:szCs w:val="22"/>
          <w:lang w:val="es-ES_tradnl"/>
        </w:rPr>
      </w:pPr>
    </w:p>
    <w:p w:rsidR="00A50FCF" w:rsidRPr="009C5C36" w:rsidRDefault="00A50FCF" w:rsidP="009C5C36">
      <w:pPr>
        <w:tabs>
          <w:tab w:val="center" w:pos="5400"/>
        </w:tabs>
        <w:suppressAutoHyphens/>
        <w:jc w:val="center"/>
        <w:rPr>
          <w:rFonts w:asciiTheme="majorHAnsi" w:hAnsiTheme="majorHAnsi"/>
          <w:sz w:val="18"/>
          <w:szCs w:val="22"/>
          <w:lang w:val="es-ES_tradnl"/>
        </w:rPr>
      </w:pPr>
    </w:p>
    <w:p w:rsidR="00A50FCF" w:rsidRPr="009C5C36" w:rsidRDefault="00A50FCF" w:rsidP="009C5C36">
      <w:pPr>
        <w:tabs>
          <w:tab w:val="center" w:pos="5400"/>
        </w:tabs>
        <w:suppressAutoHyphens/>
        <w:jc w:val="center"/>
        <w:rPr>
          <w:rFonts w:asciiTheme="majorHAnsi" w:hAnsiTheme="majorHAnsi"/>
          <w:sz w:val="18"/>
          <w:szCs w:val="22"/>
          <w:lang w:val="es-ES_tradnl"/>
        </w:rPr>
      </w:pPr>
    </w:p>
    <w:p w:rsidR="00A50FCF" w:rsidRPr="009C5C36" w:rsidRDefault="00A50FCF" w:rsidP="009C5C36">
      <w:pPr>
        <w:tabs>
          <w:tab w:val="center" w:pos="5400"/>
        </w:tabs>
        <w:suppressAutoHyphens/>
        <w:jc w:val="center"/>
        <w:rPr>
          <w:rFonts w:asciiTheme="majorHAnsi" w:hAnsiTheme="majorHAnsi"/>
          <w:sz w:val="18"/>
          <w:szCs w:val="22"/>
          <w:lang w:val="es-ES_tradnl"/>
        </w:rPr>
      </w:pPr>
    </w:p>
    <w:p w:rsidR="00A50FCF" w:rsidRPr="009C5C36" w:rsidRDefault="00A50FCF" w:rsidP="009C5C36">
      <w:pPr>
        <w:tabs>
          <w:tab w:val="center" w:pos="5400"/>
        </w:tabs>
        <w:suppressAutoHyphens/>
        <w:jc w:val="center"/>
        <w:rPr>
          <w:rFonts w:asciiTheme="majorHAnsi" w:hAnsiTheme="majorHAnsi"/>
          <w:sz w:val="18"/>
          <w:szCs w:val="22"/>
          <w:lang w:val="es-ES_tradnl"/>
        </w:rPr>
      </w:pPr>
    </w:p>
    <w:p w:rsidR="00A50FCF" w:rsidRPr="009C5C36" w:rsidRDefault="00A50FCF" w:rsidP="009C5C36">
      <w:pPr>
        <w:tabs>
          <w:tab w:val="center" w:pos="5400"/>
        </w:tabs>
        <w:suppressAutoHyphens/>
        <w:jc w:val="center"/>
        <w:rPr>
          <w:rFonts w:asciiTheme="majorHAnsi" w:hAnsiTheme="majorHAnsi"/>
          <w:sz w:val="18"/>
          <w:szCs w:val="22"/>
          <w:lang w:val="es-ES_tradnl"/>
        </w:rPr>
      </w:pPr>
    </w:p>
    <w:p w:rsidR="00A50FCF" w:rsidRPr="009C5C36" w:rsidRDefault="00A50FCF" w:rsidP="009C5C36">
      <w:pPr>
        <w:tabs>
          <w:tab w:val="center" w:pos="5400"/>
        </w:tabs>
        <w:suppressAutoHyphens/>
        <w:jc w:val="center"/>
        <w:rPr>
          <w:rFonts w:asciiTheme="majorHAnsi" w:hAnsiTheme="majorHAnsi"/>
          <w:sz w:val="18"/>
          <w:szCs w:val="22"/>
          <w:lang w:val="es-ES_tradnl"/>
        </w:rPr>
      </w:pPr>
    </w:p>
    <w:p w:rsidR="00A50FCF" w:rsidRPr="009C5C36" w:rsidRDefault="00A50FCF" w:rsidP="009C5C36">
      <w:pPr>
        <w:tabs>
          <w:tab w:val="center" w:pos="5400"/>
        </w:tabs>
        <w:suppressAutoHyphens/>
        <w:jc w:val="center"/>
        <w:rPr>
          <w:rFonts w:asciiTheme="majorHAnsi" w:hAnsiTheme="majorHAnsi"/>
          <w:sz w:val="18"/>
          <w:szCs w:val="22"/>
          <w:lang w:val="es-ES_tradnl"/>
        </w:rPr>
      </w:pPr>
    </w:p>
    <w:p w:rsidR="00A50FCF" w:rsidRPr="009C5C36" w:rsidRDefault="00A50FCF" w:rsidP="009C5C36">
      <w:pPr>
        <w:tabs>
          <w:tab w:val="center" w:pos="5400"/>
        </w:tabs>
        <w:suppressAutoHyphens/>
        <w:jc w:val="center"/>
        <w:rPr>
          <w:rFonts w:asciiTheme="majorHAnsi" w:hAnsiTheme="majorHAnsi"/>
          <w:sz w:val="18"/>
          <w:szCs w:val="22"/>
          <w:lang w:val="es-ES_tradnl"/>
        </w:rPr>
      </w:pPr>
    </w:p>
    <w:p w:rsidR="00A50FCF" w:rsidRPr="009C5C36" w:rsidRDefault="00A50FCF" w:rsidP="009C5C36">
      <w:pPr>
        <w:tabs>
          <w:tab w:val="center" w:pos="5400"/>
        </w:tabs>
        <w:suppressAutoHyphens/>
        <w:jc w:val="center"/>
        <w:rPr>
          <w:rFonts w:asciiTheme="majorHAnsi" w:hAnsiTheme="majorHAnsi"/>
          <w:sz w:val="18"/>
          <w:szCs w:val="22"/>
          <w:lang w:val="es-ES_tradnl"/>
        </w:rPr>
      </w:pPr>
    </w:p>
    <w:p w:rsidR="00A50FCF" w:rsidRPr="009C5C36" w:rsidRDefault="00A50FCF" w:rsidP="009C5C36">
      <w:pPr>
        <w:tabs>
          <w:tab w:val="center" w:pos="5400"/>
        </w:tabs>
        <w:suppressAutoHyphens/>
        <w:jc w:val="center"/>
        <w:rPr>
          <w:rFonts w:asciiTheme="majorHAnsi" w:hAnsiTheme="majorHAnsi"/>
          <w:sz w:val="18"/>
          <w:szCs w:val="22"/>
          <w:lang w:val="es-ES_tradnl"/>
        </w:rPr>
      </w:pPr>
    </w:p>
    <w:p w:rsidR="00A50FCF" w:rsidRPr="009C5C36" w:rsidRDefault="0090270B" w:rsidP="009C5C36">
      <w:pPr>
        <w:tabs>
          <w:tab w:val="center" w:pos="5400"/>
        </w:tabs>
        <w:suppressAutoHyphens/>
        <w:jc w:val="center"/>
        <w:rPr>
          <w:rFonts w:asciiTheme="majorHAnsi" w:hAnsiTheme="majorHAnsi"/>
          <w:sz w:val="18"/>
          <w:szCs w:val="22"/>
          <w:lang w:val="es-ES_tradnl"/>
        </w:rPr>
      </w:pPr>
      <w:r w:rsidRPr="009C5C36">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F3F2554" wp14:editId="64880851">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36BE" w:rsidRPr="00167A34" w:rsidRDefault="002A36BE" w:rsidP="0059191A">
                            <w:pPr>
                              <w:tabs>
                                <w:tab w:val="center" w:pos="5400"/>
                              </w:tabs>
                              <w:suppressAutoHyphens/>
                              <w:spacing w:before="60"/>
                              <w:rPr>
                                <w:rFonts w:ascii="Calibri" w:hAnsi="Calibri"/>
                                <w:color w:val="FFFFFF" w:themeColor="background1"/>
                                <w:spacing w:val="-2"/>
                                <w:sz w:val="16"/>
                                <w:lang w:val="es-ES"/>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0730B1">
                              <w:rPr>
                                <w:rFonts w:asciiTheme="majorHAnsi" w:hAnsiTheme="majorHAnsi"/>
                                <w:color w:val="0D0D0D" w:themeColor="text1" w:themeTint="F2"/>
                                <w:sz w:val="18"/>
                                <w:szCs w:val="20"/>
                                <w:lang w:val="es-ES"/>
                              </w:rPr>
                              <w:t>2115</w:t>
                            </w:r>
                            <w:r w:rsidRPr="00890650">
                              <w:rPr>
                                <w:rFonts w:asciiTheme="majorHAnsi" w:hAnsiTheme="majorHAnsi"/>
                                <w:color w:val="0D0D0D" w:themeColor="text1" w:themeTint="F2"/>
                                <w:sz w:val="18"/>
                                <w:szCs w:val="20"/>
                                <w:lang w:val="es-ES"/>
                              </w:rPr>
                              <w:t xml:space="preserve"> celebrada el </w:t>
                            </w:r>
                            <w:r w:rsidR="000730B1">
                              <w:rPr>
                                <w:rFonts w:asciiTheme="majorHAnsi" w:hAnsiTheme="majorHAnsi"/>
                                <w:color w:val="0D0D0D" w:themeColor="text1" w:themeTint="F2"/>
                                <w:sz w:val="18"/>
                                <w:szCs w:val="20"/>
                                <w:lang w:val="es-ES"/>
                              </w:rPr>
                              <w:t>24</w:t>
                            </w:r>
                            <w:r w:rsidRPr="00890650">
                              <w:rPr>
                                <w:rFonts w:asciiTheme="majorHAnsi" w:hAnsiTheme="majorHAnsi"/>
                                <w:color w:val="0D0D0D" w:themeColor="text1" w:themeTint="F2"/>
                                <w:sz w:val="18"/>
                                <w:szCs w:val="20"/>
                                <w:lang w:val="es-ES"/>
                              </w:rPr>
                              <w:t xml:space="preserve"> de </w:t>
                            </w:r>
                            <w:r w:rsidR="000730B1">
                              <w:rPr>
                                <w:rFonts w:asciiTheme="majorHAnsi" w:hAnsiTheme="majorHAnsi"/>
                                <w:color w:val="0D0D0D" w:themeColor="text1" w:themeTint="F2"/>
                                <w:sz w:val="18"/>
                                <w:szCs w:val="20"/>
                                <w:lang w:val="es-ES"/>
                              </w:rPr>
                              <w:t>febrero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00E71375">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sidR="000730B1">
                              <w:rPr>
                                <w:rFonts w:asciiTheme="majorHAnsi" w:hAnsiTheme="majorHAnsi" w:cs="Univers"/>
                                <w:color w:val="0D0D0D" w:themeColor="text1" w:themeTint="F2"/>
                                <w:sz w:val="18"/>
                                <w:szCs w:val="20"/>
                                <w:lang w:val="es-ES_tradnl"/>
                              </w:rPr>
                              <w:t xml:space="preserve">167 </w:t>
                            </w:r>
                            <w:r w:rsidRPr="00890650">
                              <w:rPr>
                                <w:rFonts w:asciiTheme="majorHAnsi" w:hAnsiTheme="majorHAnsi" w:cs="Univers"/>
                                <w:color w:val="0D0D0D" w:themeColor="text1" w:themeTint="F2"/>
                                <w:sz w:val="18"/>
                                <w:szCs w:val="20"/>
                                <w:lang w:val="es-ES_tradnl"/>
                              </w:rPr>
                              <w:t xml:space="preserve">período </w:t>
                            </w:r>
                            <w:r w:rsidR="000730B1">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r w:rsidR="00E71375">
                              <w:rPr>
                                <w:rFonts w:asciiTheme="majorHAnsi" w:hAnsiTheme="majorHAnsi" w:cs="Univers"/>
                                <w:color w:val="0D0D0D" w:themeColor="text1" w:themeTint="F2"/>
                                <w:sz w:val="18"/>
                                <w:szCs w:val="20"/>
                                <w:lang w:val="es-ES_trad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2A36BE" w:rsidRPr="00167A34" w:rsidRDefault="002A36BE" w:rsidP="0059191A">
                      <w:pPr>
                        <w:tabs>
                          <w:tab w:val="center" w:pos="5400"/>
                        </w:tabs>
                        <w:suppressAutoHyphens/>
                        <w:spacing w:before="60"/>
                        <w:rPr>
                          <w:rFonts w:ascii="Calibri" w:hAnsi="Calibri"/>
                          <w:color w:val="FFFFFF" w:themeColor="background1"/>
                          <w:spacing w:val="-2"/>
                          <w:sz w:val="16"/>
                          <w:lang w:val="es-ES"/>
                        </w:rPr>
                      </w:pPr>
                      <w:r w:rsidRPr="00890650">
                        <w:rPr>
                          <w:rFonts w:asciiTheme="majorHAnsi" w:hAnsiTheme="majorHAnsi"/>
                          <w:color w:val="0D0D0D" w:themeColor="text1" w:themeTint="F2"/>
                          <w:sz w:val="18"/>
                          <w:szCs w:val="20"/>
                          <w:lang w:val="es-ES"/>
                        </w:rPr>
                        <w:t>Aprobado por la Comisión en su sesión N</w:t>
                      </w:r>
                      <w:r>
                        <w:rPr>
                          <w:rFonts w:asciiTheme="majorHAnsi" w:hAnsiTheme="majorHAnsi"/>
                          <w:color w:val="0D0D0D" w:themeColor="text1" w:themeTint="F2"/>
                          <w:sz w:val="18"/>
                          <w:szCs w:val="20"/>
                          <w:lang w:val="es-ES"/>
                        </w:rPr>
                        <w:t>o.</w:t>
                      </w:r>
                      <w:r w:rsidRPr="00890650">
                        <w:rPr>
                          <w:rFonts w:asciiTheme="majorHAnsi" w:hAnsiTheme="majorHAnsi"/>
                          <w:color w:val="0D0D0D" w:themeColor="text1" w:themeTint="F2"/>
                          <w:sz w:val="18"/>
                          <w:szCs w:val="20"/>
                          <w:lang w:val="es-ES"/>
                        </w:rPr>
                        <w:t xml:space="preserve"> </w:t>
                      </w:r>
                      <w:r w:rsidR="000730B1">
                        <w:rPr>
                          <w:rFonts w:asciiTheme="majorHAnsi" w:hAnsiTheme="majorHAnsi"/>
                          <w:color w:val="0D0D0D" w:themeColor="text1" w:themeTint="F2"/>
                          <w:sz w:val="18"/>
                          <w:szCs w:val="20"/>
                          <w:lang w:val="es-ES"/>
                        </w:rPr>
                        <w:t>2115</w:t>
                      </w:r>
                      <w:r w:rsidRPr="00890650">
                        <w:rPr>
                          <w:rFonts w:asciiTheme="majorHAnsi" w:hAnsiTheme="majorHAnsi"/>
                          <w:color w:val="0D0D0D" w:themeColor="text1" w:themeTint="F2"/>
                          <w:sz w:val="18"/>
                          <w:szCs w:val="20"/>
                          <w:lang w:val="es-ES"/>
                        </w:rPr>
                        <w:t xml:space="preserve"> celebrada el </w:t>
                      </w:r>
                      <w:r w:rsidR="000730B1">
                        <w:rPr>
                          <w:rFonts w:asciiTheme="majorHAnsi" w:hAnsiTheme="majorHAnsi"/>
                          <w:color w:val="0D0D0D" w:themeColor="text1" w:themeTint="F2"/>
                          <w:sz w:val="18"/>
                          <w:szCs w:val="20"/>
                          <w:lang w:val="es-ES"/>
                        </w:rPr>
                        <w:t>24</w:t>
                      </w:r>
                      <w:r w:rsidRPr="00890650">
                        <w:rPr>
                          <w:rFonts w:asciiTheme="majorHAnsi" w:hAnsiTheme="majorHAnsi"/>
                          <w:color w:val="0D0D0D" w:themeColor="text1" w:themeTint="F2"/>
                          <w:sz w:val="18"/>
                          <w:szCs w:val="20"/>
                          <w:lang w:val="es-ES"/>
                        </w:rPr>
                        <w:t xml:space="preserve"> de </w:t>
                      </w:r>
                      <w:r w:rsidR="000730B1">
                        <w:rPr>
                          <w:rFonts w:asciiTheme="majorHAnsi" w:hAnsiTheme="majorHAnsi"/>
                          <w:color w:val="0D0D0D" w:themeColor="text1" w:themeTint="F2"/>
                          <w:sz w:val="18"/>
                          <w:szCs w:val="20"/>
                          <w:lang w:val="es-ES"/>
                        </w:rPr>
                        <w:t>febrero</w:t>
                      </w:r>
                      <w:r w:rsidRPr="00890650">
                        <w:rPr>
                          <w:rFonts w:asciiTheme="majorHAnsi" w:hAnsiTheme="majorHAnsi"/>
                          <w:color w:val="0D0D0D" w:themeColor="text1" w:themeTint="F2"/>
                          <w:sz w:val="18"/>
                          <w:szCs w:val="20"/>
                          <w:lang w:val="es-ES"/>
                        </w:rPr>
                        <w:t xml:space="preserve"> de 201</w:t>
                      </w:r>
                      <w:r>
                        <w:rPr>
                          <w:rFonts w:asciiTheme="majorHAnsi" w:hAnsiTheme="majorHAnsi"/>
                          <w:color w:val="0D0D0D" w:themeColor="text1" w:themeTint="F2"/>
                          <w:sz w:val="18"/>
                          <w:szCs w:val="20"/>
                          <w:lang w:val="es-ES"/>
                        </w:rPr>
                        <w:t>8</w:t>
                      </w:r>
                      <w:r w:rsidR="00E71375">
                        <w:rPr>
                          <w:rFonts w:asciiTheme="majorHAnsi" w:hAnsiTheme="majorHAnsi"/>
                          <w:color w:val="0D0D0D" w:themeColor="text1" w:themeTint="F2"/>
                          <w:sz w:val="18"/>
                          <w:szCs w:val="20"/>
                          <w:lang w:val="es-ES"/>
                        </w:rPr>
                        <w:t>.</w:t>
                      </w:r>
                      <w:r w:rsidRPr="00890650">
                        <w:rPr>
                          <w:rFonts w:asciiTheme="majorHAnsi" w:hAnsiTheme="majorHAnsi"/>
                          <w:color w:val="0D0D0D" w:themeColor="text1" w:themeTint="F2"/>
                          <w:sz w:val="18"/>
                          <w:szCs w:val="20"/>
                          <w:lang w:val="es-ES"/>
                        </w:rPr>
                        <w:br/>
                      </w:r>
                      <w:r w:rsidR="000730B1">
                        <w:rPr>
                          <w:rFonts w:asciiTheme="majorHAnsi" w:hAnsiTheme="majorHAnsi" w:cs="Univers"/>
                          <w:color w:val="0D0D0D" w:themeColor="text1" w:themeTint="F2"/>
                          <w:sz w:val="18"/>
                          <w:szCs w:val="20"/>
                          <w:lang w:val="es-ES_tradnl"/>
                        </w:rPr>
                        <w:t xml:space="preserve">167 </w:t>
                      </w:r>
                      <w:r w:rsidRPr="00890650">
                        <w:rPr>
                          <w:rFonts w:asciiTheme="majorHAnsi" w:hAnsiTheme="majorHAnsi" w:cs="Univers"/>
                          <w:color w:val="0D0D0D" w:themeColor="text1" w:themeTint="F2"/>
                          <w:sz w:val="18"/>
                          <w:szCs w:val="20"/>
                          <w:lang w:val="es-ES_tradnl"/>
                        </w:rPr>
                        <w:t xml:space="preserve">período </w:t>
                      </w:r>
                      <w:r w:rsidR="000730B1">
                        <w:rPr>
                          <w:rFonts w:asciiTheme="majorHAnsi" w:hAnsiTheme="majorHAnsi" w:cs="Univers"/>
                          <w:color w:val="0D0D0D" w:themeColor="text1" w:themeTint="F2"/>
                          <w:sz w:val="18"/>
                          <w:szCs w:val="20"/>
                          <w:lang w:val="es-ES_tradnl"/>
                        </w:rPr>
                        <w:t>extra</w:t>
                      </w:r>
                      <w:r w:rsidRPr="00890650">
                        <w:rPr>
                          <w:rFonts w:asciiTheme="majorHAnsi" w:hAnsiTheme="majorHAnsi" w:cs="Univers"/>
                          <w:color w:val="0D0D0D" w:themeColor="text1" w:themeTint="F2"/>
                          <w:sz w:val="18"/>
                          <w:szCs w:val="20"/>
                          <w:lang w:val="es-ES_tradnl"/>
                        </w:rPr>
                        <w:t>ordinario de sesiones</w:t>
                      </w:r>
                      <w:r w:rsidR="00E71375">
                        <w:rPr>
                          <w:rFonts w:asciiTheme="majorHAnsi" w:hAnsiTheme="majorHAnsi" w:cs="Univers"/>
                          <w:color w:val="0D0D0D" w:themeColor="text1" w:themeTint="F2"/>
                          <w:sz w:val="18"/>
                          <w:szCs w:val="20"/>
                          <w:lang w:val="es-ES_tradnl"/>
                        </w:rPr>
                        <w:t>.</w:t>
                      </w:r>
                    </w:p>
                  </w:txbxContent>
                </v:textbox>
              </v:shape>
            </w:pict>
          </mc:Fallback>
        </mc:AlternateContent>
      </w:r>
    </w:p>
    <w:p w:rsidR="00A50FCF" w:rsidRPr="009C5C36" w:rsidRDefault="00A50FCF" w:rsidP="009C5C36">
      <w:pPr>
        <w:tabs>
          <w:tab w:val="center" w:pos="5400"/>
        </w:tabs>
        <w:suppressAutoHyphens/>
        <w:jc w:val="center"/>
        <w:rPr>
          <w:rFonts w:asciiTheme="majorHAnsi" w:hAnsiTheme="majorHAnsi"/>
          <w:sz w:val="18"/>
          <w:szCs w:val="22"/>
          <w:lang w:val="es-ES_tradnl"/>
        </w:rPr>
      </w:pPr>
    </w:p>
    <w:p w:rsidR="00A50FCF" w:rsidRPr="009C5C36" w:rsidRDefault="00A50FCF" w:rsidP="009C5C36">
      <w:pPr>
        <w:tabs>
          <w:tab w:val="center" w:pos="5400"/>
        </w:tabs>
        <w:suppressAutoHyphens/>
        <w:jc w:val="center"/>
        <w:rPr>
          <w:rFonts w:asciiTheme="majorHAnsi" w:hAnsiTheme="majorHAnsi"/>
          <w:sz w:val="18"/>
          <w:szCs w:val="22"/>
          <w:lang w:val="es-ES_tradnl"/>
        </w:rPr>
      </w:pPr>
    </w:p>
    <w:p w:rsidR="00A50FCF" w:rsidRPr="009C5C36" w:rsidRDefault="00A50FCF" w:rsidP="009C5C36">
      <w:pPr>
        <w:tabs>
          <w:tab w:val="center" w:pos="5400"/>
        </w:tabs>
        <w:suppressAutoHyphens/>
        <w:jc w:val="center"/>
        <w:rPr>
          <w:rFonts w:asciiTheme="majorHAnsi" w:hAnsiTheme="majorHAnsi"/>
          <w:sz w:val="18"/>
          <w:szCs w:val="22"/>
          <w:lang w:val="es-ES_tradnl"/>
        </w:rPr>
      </w:pPr>
    </w:p>
    <w:p w:rsidR="00A50FCF" w:rsidRPr="009C5C36" w:rsidRDefault="00A50FCF" w:rsidP="009C5C36">
      <w:pPr>
        <w:tabs>
          <w:tab w:val="center" w:pos="5400"/>
        </w:tabs>
        <w:suppressAutoHyphens/>
        <w:jc w:val="center"/>
        <w:rPr>
          <w:rFonts w:asciiTheme="majorHAnsi" w:hAnsiTheme="majorHAnsi"/>
          <w:sz w:val="18"/>
          <w:szCs w:val="22"/>
          <w:lang w:val="es-ES_tradnl"/>
        </w:rPr>
      </w:pPr>
    </w:p>
    <w:p w:rsidR="00A50FCF" w:rsidRPr="009C5C36" w:rsidRDefault="0090270B" w:rsidP="009C5C36">
      <w:pPr>
        <w:tabs>
          <w:tab w:val="center" w:pos="5400"/>
        </w:tabs>
        <w:suppressAutoHyphens/>
        <w:jc w:val="center"/>
        <w:rPr>
          <w:rFonts w:asciiTheme="majorHAnsi" w:hAnsiTheme="majorHAnsi"/>
          <w:sz w:val="18"/>
          <w:szCs w:val="22"/>
          <w:lang w:val="es-ES_tradnl"/>
        </w:rPr>
      </w:pPr>
      <w:r w:rsidRPr="009C5C36">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51B3EE8E" wp14:editId="7ED3A35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36BE" w:rsidRPr="007B05C4" w:rsidRDefault="002A36BE"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730B1" w:rsidRPr="000730B1">
                              <w:rPr>
                                <w:rFonts w:asciiTheme="majorHAnsi" w:hAnsiTheme="majorHAnsi"/>
                                <w:color w:val="595959" w:themeColor="text1" w:themeTint="A6"/>
                                <w:sz w:val="18"/>
                                <w:szCs w:val="18"/>
                                <w:lang w:val="pt-BR"/>
                              </w:rPr>
                              <w:t>12</w:t>
                            </w:r>
                            <w:r w:rsidRPr="000730B1">
                              <w:rPr>
                                <w:rFonts w:asciiTheme="majorHAnsi" w:hAnsiTheme="majorHAnsi"/>
                                <w:color w:val="595959" w:themeColor="text1" w:themeTint="A6"/>
                                <w:sz w:val="18"/>
                                <w:szCs w:val="18"/>
                                <w:lang w:val="pt-BR"/>
                              </w:rPr>
                              <w:t xml:space="preserve">/18. </w:t>
                            </w:r>
                            <w:r w:rsidRPr="002255D0">
                              <w:rPr>
                                <w:rFonts w:asciiTheme="majorHAnsi" w:hAnsiTheme="majorHAnsi"/>
                                <w:color w:val="595959" w:themeColor="text1" w:themeTint="A6"/>
                                <w:sz w:val="18"/>
                                <w:szCs w:val="18"/>
                                <w:lang w:val="es-ES_tradnl"/>
                              </w:rPr>
                              <w:t xml:space="preserve">Admisibilidad. </w:t>
                            </w:r>
                            <w:r w:rsidR="00B114B7" w:rsidRPr="002255D0">
                              <w:rPr>
                                <w:rFonts w:asciiTheme="majorHAnsi" w:hAnsiTheme="majorHAnsi"/>
                                <w:color w:val="595959" w:themeColor="text1" w:themeTint="A6"/>
                                <w:sz w:val="18"/>
                                <w:szCs w:val="18"/>
                                <w:lang w:val="es-ES_tradnl"/>
                              </w:rPr>
                              <w:t>48 trabajadores fallecidos en</w:t>
                            </w:r>
                            <w:r w:rsidRPr="002255D0">
                              <w:rPr>
                                <w:rFonts w:asciiTheme="majorHAnsi" w:hAnsiTheme="majorHAnsi"/>
                                <w:color w:val="595959" w:themeColor="text1" w:themeTint="A6"/>
                                <w:sz w:val="18"/>
                                <w:szCs w:val="18"/>
                                <w:lang w:val="es-ES_tradnl"/>
                              </w:rPr>
                              <w:t xml:space="preserve"> la</w:t>
                            </w:r>
                            <w:r>
                              <w:rPr>
                                <w:rFonts w:asciiTheme="majorHAnsi" w:hAnsiTheme="majorHAnsi"/>
                                <w:color w:val="595959" w:themeColor="text1" w:themeTint="A6"/>
                                <w:sz w:val="18"/>
                                <w:szCs w:val="18"/>
                                <w:lang w:val="es-ES_tradnl"/>
                              </w:rPr>
                              <w:t xml:space="preserve"> explosión de la mina Pasta de Conchos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0730B1">
                              <w:rPr>
                                <w:rFonts w:asciiTheme="majorHAnsi" w:hAnsiTheme="majorHAnsi"/>
                                <w:color w:val="595959" w:themeColor="text1" w:themeTint="A6"/>
                                <w:sz w:val="18"/>
                                <w:szCs w:val="18"/>
                                <w:lang w:val="es-ES"/>
                              </w:rPr>
                              <w:t>24 de febrero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2A36BE" w:rsidRPr="007B05C4" w:rsidRDefault="002A36BE"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730B1" w:rsidRPr="000730B1">
                        <w:rPr>
                          <w:rFonts w:asciiTheme="majorHAnsi" w:hAnsiTheme="majorHAnsi"/>
                          <w:color w:val="595959" w:themeColor="text1" w:themeTint="A6"/>
                          <w:sz w:val="18"/>
                          <w:szCs w:val="18"/>
                          <w:lang w:val="pt-BR"/>
                        </w:rPr>
                        <w:t>12</w:t>
                      </w:r>
                      <w:r w:rsidRPr="000730B1">
                        <w:rPr>
                          <w:rFonts w:asciiTheme="majorHAnsi" w:hAnsiTheme="majorHAnsi"/>
                          <w:color w:val="595959" w:themeColor="text1" w:themeTint="A6"/>
                          <w:sz w:val="18"/>
                          <w:szCs w:val="18"/>
                          <w:lang w:val="pt-BR"/>
                        </w:rPr>
                        <w:t xml:space="preserve">/18. </w:t>
                      </w:r>
                      <w:r w:rsidRPr="002255D0">
                        <w:rPr>
                          <w:rFonts w:asciiTheme="majorHAnsi" w:hAnsiTheme="majorHAnsi"/>
                          <w:color w:val="595959" w:themeColor="text1" w:themeTint="A6"/>
                          <w:sz w:val="18"/>
                          <w:szCs w:val="18"/>
                          <w:lang w:val="es-ES_tradnl"/>
                        </w:rPr>
                        <w:t xml:space="preserve">Admisibilidad. </w:t>
                      </w:r>
                      <w:r w:rsidR="00B114B7" w:rsidRPr="002255D0">
                        <w:rPr>
                          <w:rFonts w:asciiTheme="majorHAnsi" w:hAnsiTheme="majorHAnsi"/>
                          <w:color w:val="595959" w:themeColor="text1" w:themeTint="A6"/>
                          <w:sz w:val="18"/>
                          <w:szCs w:val="18"/>
                          <w:lang w:val="es-ES_tradnl"/>
                        </w:rPr>
                        <w:t>48 trabajadores fallecidos en</w:t>
                      </w:r>
                      <w:r w:rsidRPr="002255D0">
                        <w:rPr>
                          <w:rFonts w:asciiTheme="majorHAnsi" w:hAnsiTheme="majorHAnsi"/>
                          <w:color w:val="595959" w:themeColor="text1" w:themeTint="A6"/>
                          <w:sz w:val="18"/>
                          <w:szCs w:val="18"/>
                          <w:lang w:val="es-ES_tradnl"/>
                        </w:rPr>
                        <w:t xml:space="preserve"> la</w:t>
                      </w:r>
                      <w:r>
                        <w:rPr>
                          <w:rFonts w:asciiTheme="majorHAnsi" w:hAnsiTheme="majorHAnsi"/>
                          <w:color w:val="595959" w:themeColor="text1" w:themeTint="A6"/>
                          <w:sz w:val="18"/>
                          <w:szCs w:val="18"/>
                          <w:lang w:val="es-ES_tradnl"/>
                        </w:rPr>
                        <w:t xml:space="preserve"> explosión de la mina Pasta de Conchos</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0730B1">
                        <w:rPr>
                          <w:rFonts w:asciiTheme="majorHAnsi" w:hAnsiTheme="majorHAnsi"/>
                          <w:color w:val="595959" w:themeColor="text1" w:themeTint="A6"/>
                          <w:sz w:val="18"/>
                          <w:szCs w:val="18"/>
                          <w:lang w:val="es-ES"/>
                        </w:rPr>
                        <w:t>24 de febrero de 2018</w:t>
                      </w:r>
                      <w:r w:rsidRPr="007B05C4">
                        <w:rPr>
                          <w:rFonts w:asciiTheme="majorHAnsi" w:hAnsiTheme="majorHAnsi"/>
                          <w:color w:val="595959" w:themeColor="text1" w:themeTint="A6"/>
                          <w:sz w:val="18"/>
                          <w:szCs w:val="18"/>
                          <w:lang w:val="es-ES"/>
                        </w:rPr>
                        <w:t>.</w:t>
                      </w:r>
                    </w:p>
                  </w:txbxContent>
                </v:textbox>
              </v:shape>
            </w:pict>
          </mc:Fallback>
        </mc:AlternateContent>
      </w:r>
    </w:p>
    <w:p w:rsidR="00A50FCF" w:rsidRPr="009C5C36" w:rsidRDefault="00A50FCF" w:rsidP="009C5C36">
      <w:pPr>
        <w:tabs>
          <w:tab w:val="center" w:pos="5400"/>
        </w:tabs>
        <w:suppressAutoHyphens/>
        <w:jc w:val="center"/>
        <w:rPr>
          <w:rFonts w:asciiTheme="majorHAnsi" w:hAnsiTheme="majorHAnsi"/>
          <w:sz w:val="18"/>
          <w:szCs w:val="22"/>
          <w:lang w:val="es-ES_tradnl"/>
        </w:rPr>
      </w:pPr>
    </w:p>
    <w:p w:rsidR="0090270B" w:rsidRPr="009C5C36" w:rsidRDefault="00D306D1" w:rsidP="009C5C36">
      <w:pPr>
        <w:tabs>
          <w:tab w:val="center" w:pos="5400"/>
        </w:tabs>
        <w:suppressAutoHyphens/>
        <w:jc w:val="center"/>
        <w:rPr>
          <w:rFonts w:asciiTheme="majorHAnsi" w:hAnsiTheme="majorHAnsi"/>
          <w:b/>
          <w:sz w:val="20"/>
          <w:lang w:val="es-ES_tradnl"/>
        </w:rPr>
      </w:pPr>
      <w:r w:rsidRPr="009C5C36">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182E0DB6" wp14:editId="39D0AF26">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A36BE" w:rsidRPr="00D72DC6" w:rsidRDefault="002A36BE"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EA95DE5" wp14:editId="5283EE1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2A36BE" w:rsidRPr="00D72DC6" w:rsidRDefault="002A36BE"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4EA95DE5" wp14:editId="5283EE1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9C5C36">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15DC08D8" wp14:editId="354BF74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A36BE" w:rsidRPr="004B7EB6" w:rsidRDefault="002A36B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2A36BE" w:rsidRPr="004B7EB6" w:rsidRDefault="002A36B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9C5C36" w:rsidRDefault="0070697F" w:rsidP="009C5C36">
      <w:pPr>
        <w:tabs>
          <w:tab w:val="center" w:pos="5400"/>
        </w:tabs>
        <w:suppressAutoHyphens/>
        <w:jc w:val="center"/>
        <w:rPr>
          <w:rFonts w:asciiTheme="majorHAnsi" w:hAnsiTheme="majorHAnsi"/>
          <w:b/>
          <w:sz w:val="20"/>
          <w:lang w:val="es-ES_tradnl"/>
        </w:rPr>
        <w:sectPr w:rsidR="0070697F" w:rsidRPr="009C5C36"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3239B8" w:rsidRPr="009C5C36" w:rsidRDefault="003239B8" w:rsidP="009C5C36">
      <w:pPr>
        <w:spacing w:after="240"/>
        <w:ind w:firstLine="720"/>
        <w:jc w:val="both"/>
        <w:rPr>
          <w:rFonts w:asciiTheme="majorHAnsi" w:hAnsiTheme="majorHAnsi"/>
          <w:b/>
          <w:bCs/>
          <w:sz w:val="20"/>
          <w:szCs w:val="20"/>
          <w:lang w:val="es-ES"/>
        </w:rPr>
      </w:pPr>
      <w:r w:rsidRPr="009C5C36">
        <w:rPr>
          <w:rFonts w:asciiTheme="majorHAnsi" w:hAnsiTheme="majorHAnsi"/>
          <w:b/>
          <w:bCs/>
          <w:sz w:val="20"/>
          <w:szCs w:val="20"/>
          <w:lang w:val="es-ES"/>
        </w:rPr>
        <w:lastRenderedPageBreak/>
        <w:t>I.</w:t>
      </w:r>
      <w:r w:rsidRPr="009C5C36">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3E63BF" w:rsidTr="00B114B7">
        <w:tc>
          <w:tcPr>
            <w:tcW w:w="3600" w:type="dxa"/>
            <w:tcBorders>
              <w:top w:val="single" w:sz="4" w:space="0" w:color="auto"/>
              <w:bottom w:val="single" w:sz="6" w:space="0" w:color="auto"/>
            </w:tcBorders>
            <w:shd w:val="clear" w:color="auto" w:fill="386294"/>
            <w:vAlign w:val="center"/>
          </w:tcPr>
          <w:p w:rsidR="003239B8" w:rsidRPr="009C5C36" w:rsidRDefault="003239B8" w:rsidP="009C5C36">
            <w:pPr>
              <w:jc w:val="center"/>
              <w:rPr>
                <w:rFonts w:ascii="Cambria" w:hAnsi="Cambria"/>
                <w:b/>
                <w:bCs/>
                <w:color w:val="FFFFFF" w:themeColor="background1"/>
                <w:sz w:val="20"/>
                <w:szCs w:val="20"/>
              </w:rPr>
            </w:pPr>
            <w:r w:rsidRPr="009C5C36">
              <w:rPr>
                <w:rFonts w:ascii="Cambria" w:hAnsi="Cambria"/>
                <w:b/>
                <w:bCs/>
                <w:color w:val="FFFFFF" w:themeColor="background1"/>
                <w:sz w:val="20"/>
                <w:szCs w:val="20"/>
              </w:rPr>
              <w:t>Parte peticionaria:</w:t>
            </w:r>
          </w:p>
        </w:tc>
        <w:tc>
          <w:tcPr>
            <w:tcW w:w="5760" w:type="dxa"/>
            <w:vAlign w:val="center"/>
          </w:tcPr>
          <w:p w:rsidR="003239B8" w:rsidRPr="009C5C36" w:rsidRDefault="00FB2328" w:rsidP="009C5C36">
            <w:pPr>
              <w:jc w:val="both"/>
              <w:rPr>
                <w:rFonts w:ascii="Cambria" w:hAnsi="Cambria"/>
                <w:bCs/>
                <w:sz w:val="20"/>
                <w:szCs w:val="20"/>
                <w:lang w:val="es-AR"/>
              </w:rPr>
            </w:pPr>
            <w:r w:rsidRPr="009C5C36">
              <w:rPr>
                <w:rFonts w:asciiTheme="majorHAnsi" w:hAnsiTheme="majorHAnsi"/>
                <w:bCs/>
                <w:sz w:val="20"/>
                <w:szCs w:val="20"/>
                <w:lang w:val="es-ES"/>
              </w:rPr>
              <w:t>Centro de Derechos Humanos Miguel Agustín Pro Juárez, A.C. (Centro Prodh), Centro de Reflexión y Acción Laboral (CEREAL), Equipo Nacional de Pastoral Laboral, Organización Familia Pasta de Conchos (OFPC) y familiares de las víctimas</w:t>
            </w:r>
          </w:p>
        </w:tc>
      </w:tr>
      <w:tr w:rsidR="003239B8" w:rsidRPr="003E63BF" w:rsidTr="00B114B7">
        <w:tc>
          <w:tcPr>
            <w:tcW w:w="3600" w:type="dxa"/>
            <w:tcBorders>
              <w:top w:val="single" w:sz="6" w:space="0" w:color="auto"/>
              <w:bottom w:val="single" w:sz="6" w:space="0" w:color="auto"/>
            </w:tcBorders>
            <w:shd w:val="clear" w:color="auto" w:fill="386294"/>
            <w:vAlign w:val="center"/>
          </w:tcPr>
          <w:p w:rsidR="003239B8" w:rsidRPr="009C5C36" w:rsidRDefault="000452BC" w:rsidP="009C5C36">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B2328" w:rsidRPr="009C5C36">
                  <w:rPr>
                    <w:rFonts w:ascii="Cambria" w:hAnsi="Cambria"/>
                    <w:b/>
                    <w:bCs/>
                    <w:color w:val="FFFFFF" w:themeColor="background1"/>
                    <w:sz w:val="20"/>
                    <w:szCs w:val="20"/>
                  </w:rPr>
                  <w:t>Presuntas víctimas</w:t>
                </w:r>
              </w:sdtContent>
            </w:sdt>
            <w:r w:rsidR="003239B8" w:rsidRPr="009C5C36">
              <w:rPr>
                <w:rFonts w:ascii="Cambria" w:hAnsi="Cambria"/>
                <w:b/>
                <w:bCs/>
                <w:color w:val="FFFFFF" w:themeColor="background1"/>
                <w:sz w:val="20"/>
                <w:szCs w:val="20"/>
              </w:rPr>
              <w:t>:</w:t>
            </w:r>
          </w:p>
        </w:tc>
        <w:tc>
          <w:tcPr>
            <w:tcW w:w="5760" w:type="dxa"/>
            <w:vAlign w:val="center"/>
          </w:tcPr>
          <w:p w:rsidR="003239B8" w:rsidRPr="009C5C36" w:rsidRDefault="00B97E49" w:rsidP="009C5C36">
            <w:pPr>
              <w:jc w:val="both"/>
              <w:rPr>
                <w:rFonts w:ascii="Cambria" w:hAnsi="Cambria"/>
                <w:bCs/>
                <w:sz w:val="20"/>
                <w:szCs w:val="20"/>
                <w:lang w:val="es-ES"/>
              </w:rPr>
            </w:pPr>
            <w:r w:rsidRPr="009C5C36">
              <w:rPr>
                <w:rFonts w:asciiTheme="majorHAnsi" w:hAnsiTheme="majorHAnsi"/>
                <w:bCs/>
                <w:sz w:val="20"/>
                <w:szCs w:val="20"/>
                <w:lang w:val="es-ES"/>
              </w:rPr>
              <w:t>48 t</w:t>
            </w:r>
            <w:r w:rsidR="00FB2328" w:rsidRPr="009C5C36">
              <w:rPr>
                <w:rFonts w:asciiTheme="majorHAnsi" w:hAnsiTheme="majorHAnsi"/>
                <w:bCs/>
                <w:sz w:val="20"/>
                <w:szCs w:val="20"/>
                <w:lang w:val="es-ES"/>
              </w:rPr>
              <w:t>rabajadores fallecidos en la explosión de la Mina Pasta de Conchos y sus familiares</w:t>
            </w:r>
            <w:r w:rsidR="00FB2328" w:rsidRPr="009C5C36">
              <w:rPr>
                <w:rStyle w:val="FootnoteReference"/>
                <w:rFonts w:asciiTheme="majorHAnsi" w:hAnsiTheme="majorHAnsi"/>
                <w:bCs/>
                <w:sz w:val="20"/>
                <w:szCs w:val="20"/>
                <w:lang w:val="es-ES"/>
              </w:rPr>
              <w:footnoteReference w:id="2"/>
            </w:r>
          </w:p>
        </w:tc>
      </w:tr>
      <w:tr w:rsidR="003239B8" w:rsidRPr="009C5C36" w:rsidTr="00B114B7">
        <w:tc>
          <w:tcPr>
            <w:tcW w:w="3600" w:type="dxa"/>
            <w:tcBorders>
              <w:top w:val="single" w:sz="6" w:space="0" w:color="auto"/>
              <w:bottom w:val="single" w:sz="6" w:space="0" w:color="auto"/>
            </w:tcBorders>
            <w:shd w:val="clear" w:color="auto" w:fill="386294"/>
            <w:vAlign w:val="center"/>
          </w:tcPr>
          <w:p w:rsidR="003239B8" w:rsidRPr="009C5C36" w:rsidRDefault="003239B8" w:rsidP="009C5C36">
            <w:pPr>
              <w:jc w:val="center"/>
              <w:rPr>
                <w:rFonts w:ascii="Cambria" w:hAnsi="Cambria"/>
                <w:b/>
                <w:bCs/>
                <w:color w:val="FFFFFF" w:themeColor="background1"/>
                <w:sz w:val="20"/>
                <w:szCs w:val="20"/>
              </w:rPr>
            </w:pPr>
            <w:r w:rsidRPr="009C5C36">
              <w:rPr>
                <w:rFonts w:ascii="Cambria" w:hAnsi="Cambria"/>
                <w:b/>
                <w:bCs/>
                <w:color w:val="FFFFFF" w:themeColor="background1"/>
                <w:sz w:val="20"/>
                <w:szCs w:val="20"/>
              </w:rPr>
              <w:t>Estado denunciado:</w:t>
            </w:r>
          </w:p>
        </w:tc>
        <w:tc>
          <w:tcPr>
            <w:tcW w:w="5760" w:type="dxa"/>
            <w:vAlign w:val="center"/>
          </w:tcPr>
          <w:p w:rsidR="003239B8" w:rsidRPr="009C5C36" w:rsidRDefault="00FB2328" w:rsidP="009C5C36">
            <w:pPr>
              <w:jc w:val="both"/>
              <w:rPr>
                <w:rFonts w:ascii="Cambria" w:hAnsi="Cambria"/>
                <w:bCs/>
                <w:sz w:val="20"/>
                <w:szCs w:val="20"/>
              </w:rPr>
            </w:pPr>
            <w:r w:rsidRPr="009C5C36">
              <w:rPr>
                <w:rFonts w:ascii="Cambria" w:hAnsi="Cambria"/>
                <w:bCs/>
                <w:sz w:val="20"/>
                <w:szCs w:val="20"/>
              </w:rPr>
              <w:t>México</w:t>
            </w:r>
            <w:r w:rsidR="00B114B7" w:rsidRPr="009C5C36">
              <w:rPr>
                <w:rStyle w:val="FootnoteReference"/>
                <w:rFonts w:asciiTheme="majorHAnsi" w:hAnsiTheme="majorHAnsi"/>
                <w:sz w:val="20"/>
                <w:szCs w:val="20"/>
                <w:lang w:val="es-ES_tradnl"/>
              </w:rPr>
              <w:footnoteReference w:id="3"/>
            </w:r>
          </w:p>
        </w:tc>
      </w:tr>
      <w:tr w:rsidR="00223A29" w:rsidRPr="003E63BF" w:rsidTr="00B114B7">
        <w:tc>
          <w:tcPr>
            <w:tcW w:w="3600" w:type="dxa"/>
            <w:tcBorders>
              <w:top w:val="single" w:sz="6" w:space="0" w:color="auto"/>
              <w:bottom w:val="single" w:sz="6" w:space="0" w:color="auto"/>
            </w:tcBorders>
            <w:shd w:val="clear" w:color="auto" w:fill="386294"/>
            <w:vAlign w:val="center"/>
          </w:tcPr>
          <w:p w:rsidR="00223A29" w:rsidRPr="009C5C36" w:rsidRDefault="001B3A00" w:rsidP="009C5C36">
            <w:pPr>
              <w:jc w:val="center"/>
              <w:rPr>
                <w:rFonts w:ascii="Cambria" w:hAnsi="Cambria"/>
                <w:b/>
                <w:bCs/>
                <w:color w:val="FFFFFF" w:themeColor="background1"/>
                <w:sz w:val="20"/>
                <w:szCs w:val="20"/>
              </w:rPr>
            </w:pPr>
            <w:r w:rsidRPr="009C5C36">
              <w:rPr>
                <w:rFonts w:ascii="Cambria" w:hAnsi="Cambria"/>
                <w:b/>
                <w:bCs/>
                <w:color w:val="FFFFFF" w:themeColor="background1"/>
                <w:sz w:val="20"/>
                <w:szCs w:val="20"/>
              </w:rPr>
              <w:t xml:space="preserve">Derechos </w:t>
            </w:r>
            <w:r w:rsidR="00E4118C" w:rsidRPr="009C5C36">
              <w:rPr>
                <w:rFonts w:ascii="Cambria" w:hAnsi="Cambria"/>
                <w:b/>
                <w:bCs/>
                <w:color w:val="FFFFFF" w:themeColor="background1"/>
                <w:sz w:val="20"/>
                <w:szCs w:val="20"/>
              </w:rPr>
              <w:t>invocados</w:t>
            </w:r>
            <w:r w:rsidRPr="009C5C36">
              <w:rPr>
                <w:rFonts w:ascii="Cambria" w:hAnsi="Cambria"/>
                <w:b/>
                <w:bCs/>
                <w:color w:val="FFFFFF" w:themeColor="background1"/>
                <w:sz w:val="20"/>
                <w:szCs w:val="20"/>
              </w:rPr>
              <w:t>:</w:t>
            </w:r>
          </w:p>
        </w:tc>
        <w:tc>
          <w:tcPr>
            <w:tcW w:w="5760" w:type="dxa"/>
            <w:vAlign w:val="center"/>
          </w:tcPr>
          <w:p w:rsidR="00223A29" w:rsidRPr="009C5C36" w:rsidRDefault="00B114B7" w:rsidP="009C5C36">
            <w:pPr>
              <w:jc w:val="both"/>
              <w:rPr>
                <w:rFonts w:ascii="Cambria" w:hAnsi="Cambria"/>
                <w:bCs/>
                <w:sz w:val="20"/>
                <w:szCs w:val="20"/>
                <w:lang w:val="es-MX"/>
              </w:rPr>
            </w:pPr>
            <w:r w:rsidRPr="009C5C36">
              <w:rPr>
                <w:rFonts w:asciiTheme="majorHAnsi" w:hAnsiTheme="majorHAnsi"/>
                <w:bCs/>
                <w:sz w:val="20"/>
                <w:szCs w:val="20"/>
                <w:lang w:val="es-ES"/>
              </w:rPr>
              <w:t>Artículos 4 (</w:t>
            </w:r>
            <w:r w:rsidR="00B97E49" w:rsidRPr="009C5C36">
              <w:rPr>
                <w:rFonts w:asciiTheme="majorHAnsi" w:hAnsiTheme="majorHAnsi"/>
                <w:bCs/>
                <w:sz w:val="20"/>
                <w:szCs w:val="20"/>
                <w:lang w:val="es-ES"/>
              </w:rPr>
              <w:t>vida), 5 (</w:t>
            </w:r>
            <w:r w:rsidR="00FB2328" w:rsidRPr="009C5C36">
              <w:rPr>
                <w:rFonts w:asciiTheme="majorHAnsi" w:hAnsiTheme="majorHAnsi"/>
                <w:bCs/>
                <w:sz w:val="20"/>
                <w:szCs w:val="20"/>
                <w:lang w:val="es-ES"/>
              </w:rPr>
              <w:t xml:space="preserve">integridad), 8 (garantías judiciales) y 25 (protección ante la ley) </w:t>
            </w:r>
            <w:r w:rsidR="00B97E49" w:rsidRPr="009C5C36">
              <w:rPr>
                <w:rFonts w:asciiTheme="majorHAnsi" w:hAnsiTheme="majorHAnsi"/>
                <w:bCs/>
                <w:sz w:val="20"/>
                <w:szCs w:val="20"/>
                <w:lang w:val="es-ES"/>
              </w:rPr>
              <w:t>de la Convención Americana sobre Derechos Humanos</w:t>
            </w:r>
            <w:r w:rsidR="00B97E49" w:rsidRPr="009C5C36">
              <w:rPr>
                <w:rStyle w:val="FootnoteReference"/>
                <w:rFonts w:asciiTheme="majorHAnsi" w:hAnsiTheme="majorHAnsi"/>
                <w:bCs/>
                <w:sz w:val="20"/>
                <w:szCs w:val="20"/>
                <w:lang w:val="es-MX"/>
              </w:rPr>
              <w:footnoteReference w:id="4"/>
            </w:r>
            <w:r w:rsidR="00FB2328" w:rsidRPr="009C5C36">
              <w:rPr>
                <w:rFonts w:asciiTheme="majorHAnsi" w:hAnsiTheme="majorHAnsi"/>
                <w:bCs/>
                <w:sz w:val="20"/>
                <w:szCs w:val="20"/>
                <w:lang w:val="es-ES"/>
              </w:rPr>
              <w:t xml:space="preserve">en relación con </w:t>
            </w:r>
            <w:r w:rsidR="00B97E49" w:rsidRPr="009C5C36">
              <w:rPr>
                <w:rFonts w:asciiTheme="majorHAnsi" w:hAnsiTheme="majorHAnsi"/>
                <w:bCs/>
                <w:sz w:val="20"/>
                <w:szCs w:val="20"/>
                <w:lang w:val="es-ES"/>
              </w:rPr>
              <w:t>su artículo</w:t>
            </w:r>
            <w:r w:rsidR="00FB2328" w:rsidRPr="009C5C36">
              <w:rPr>
                <w:rFonts w:asciiTheme="majorHAnsi" w:hAnsiTheme="majorHAnsi"/>
                <w:bCs/>
                <w:sz w:val="20"/>
                <w:szCs w:val="20"/>
                <w:lang w:val="es-ES"/>
              </w:rPr>
              <w:t xml:space="preserve"> 1.1 </w:t>
            </w:r>
          </w:p>
        </w:tc>
      </w:tr>
    </w:tbl>
    <w:p w:rsidR="003239B8" w:rsidRPr="009C5C36" w:rsidRDefault="003239B8" w:rsidP="009C5C36">
      <w:pPr>
        <w:spacing w:before="240" w:after="240"/>
        <w:ind w:firstLine="720"/>
        <w:jc w:val="both"/>
        <w:rPr>
          <w:rFonts w:asciiTheme="majorHAnsi" w:hAnsiTheme="majorHAnsi"/>
          <w:b/>
          <w:bCs/>
          <w:sz w:val="20"/>
          <w:szCs w:val="20"/>
          <w:lang w:val="es-ES"/>
        </w:rPr>
      </w:pPr>
      <w:r w:rsidRPr="009C5C36">
        <w:rPr>
          <w:rFonts w:asciiTheme="majorHAnsi" w:hAnsiTheme="majorHAnsi"/>
          <w:b/>
          <w:bCs/>
          <w:sz w:val="20"/>
          <w:szCs w:val="20"/>
          <w:lang w:val="es-ES"/>
        </w:rPr>
        <w:t>II.</w:t>
      </w:r>
      <w:r w:rsidRPr="009C5C36">
        <w:rPr>
          <w:rFonts w:asciiTheme="majorHAnsi" w:hAnsiTheme="majorHAnsi"/>
          <w:b/>
          <w:bCs/>
          <w:sz w:val="20"/>
          <w:szCs w:val="20"/>
          <w:lang w:val="es-ES"/>
        </w:rPr>
        <w:tab/>
        <w:t>TRÁMITE ANTE LA CIDH</w:t>
      </w:r>
      <w:r w:rsidR="008E3BFE" w:rsidRPr="009C5C36">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FB2328" w:rsidRPr="009C5C36" w:rsidTr="00B114B7">
        <w:tc>
          <w:tcPr>
            <w:tcW w:w="3600" w:type="dxa"/>
            <w:tcBorders>
              <w:top w:val="single" w:sz="6" w:space="0" w:color="auto"/>
              <w:bottom w:val="single" w:sz="6" w:space="0" w:color="auto"/>
            </w:tcBorders>
            <w:shd w:val="clear" w:color="auto" w:fill="386294"/>
            <w:vAlign w:val="center"/>
          </w:tcPr>
          <w:p w:rsidR="00FB2328" w:rsidRPr="009C5C36" w:rsidRDefault="00B114B7" w:rsidP="009C5C36">
            <w:pPr>
              <w:jc w:val="center"/>
              <w:rPr>
                <w:rFonts w:ascii="Cambria" w:hAnsi="Cambria"/>
                <w:b/>
                <w:bCs/>
                <w:color w:val="FFFFFF" w:themeColor="background1"/>
                <w:sz w:val="20"/>
                <w:szCs w:val="20"/>
                <w:lang w:val="es-ES"/>
              </w:rPr>
            </w:pPr>
            <w:r w:rsidRPr="009C5C36">
              <w:rPr>
                <w:rFonts w:ascii="Cambria" w:hAnsi="Cambria"/>
                <w:b/>
                <w:bCs/>
                <w:color w:val="FFFFFF" w:themeColor="background1"/>
                <w:sz w:val="20"/>
                <w:szCs w:val="20"/>
                <w:lang w:val="es-ES"/>
              </w:rPr>
              <w:t>P</w:t>
            </w:r>
            <w:r w:rsidR="00FB2328" w:rsidRPr="009C5C36">
              <w:rPr>
                <w:rFonts w:ascii="Cambria" w:hAnsi="Cambria"/>
                <w:b/>
                <w:bCs/>
                <w:color w:val="FFFFFF" w:themeColor="background1"/>
                <w:sz w:val="20"/>
                <w:szCs w:val="20"/>
                <w:lang w:val="es-ES"/>
              </w:rPr>
              <w:t>resentación de la petición:</w:t>
            </w:r>
          </w:p>
        </w:tc>
        <w:tc>
          <w:tcPr>
            <w:tcW w:w="5760" w:type="dxa"/>
            <w:vAlign w:val="center"/>
          </w:tcPr>
          <w:p w:rsidR="00FB2328" w:rsidRPr="009C5C36" w:rsidRDefault="00FB2328" w:rsidP="009C5C36">
            <w:pPr>
              <w:jc w:val="both"/>
              <w:rPr>
                <w:rFonts w:ascii="Cambria" w:hAnsi="Cambria"/>
                <w:bCs/>
                <w:sz w:val="20"/>
                <w:szCs w:val="20"/>
                <w:lang w:val="es-ES"/>
              </w:rPr>
            </w:pPr>
            <w:r w:rsidRPr="009C5C36">
              <w:rPr>
                <w:rFonts w:asciiTheme="majorHAnsi" w:hAnsiTheme="majorHAnsi"/>
                <w:bCs/>
                <w:sz w:val="20"/>
                <w:szCs w:val="20"/>
                <w:lang w:val="es-ES"/>
              </w:rPr>
              <w:t>16 de febrero de 2010</w:t>
            </w:r>
          </w:p>
        </w:tc>
      </w:tr>
      <w:tr w:rsidR="00FB2328" w:rsidRPr="009C5C36" w:rsidTr="00B114B7">
        <w:tc>
          <w:tcPr>
            <w:tcW w:w="3600" w:type="dxa"/>
            <w:tcBorders>
              <w:top w:val="single" w:sz="6" w:space="0" w:color="auto"/>
              <w:bottom w:val="single" w:sz="6" w:space="0" w:color="auto"/>
            </w:tcBorders>
            <w:shd w:val="clear" w:color="auto" w:fill="386294"/>
            <w:vAlign w:val="center"/>
          </w:tcPr>
          <w:p w:rsidR="00FB2328" w:rsidRPr="009C5C36" w:rsidRDefault="00B114B7" w:rsidP="009C5C36">
            <w:pPr>
              <w:jc w:val="center"/>
              <w:rPr>
                <w:rFonts w:ascii="Cambria" w:hAnsi="Cambria"/>
                <w:b/>
                <w:bCs/>
                <w:color w:val="FFFFFF" w:themeColor="background1"/>
                <w:sz w:val="20"/>
                <w:szCs w:val="20"/>
                <w:lang w:val="es-ES"/>
              </w:rPr>
            </w:pPr>
            <w:r w:rsidRPr="009C5C36">
              <w:rPr>
                <w:rFonts w:ascii="Cambria" w:hAnsi="Cambria"/>
                <w:b/>
                <w:color w:val="FFFFFF" w:themeColor="background1"/>
                <w:sz w:val="20"/>
                <w:szCs w:val="20"/>
                <w:lang w:val="es-ES"/>
              </w:rPr>
              <w:t>N</w:t>
            </w:r>
            <w:r w:rsidR="00FB2328" w:rsidRPr="009C5C36">
              <w:rPr>
                <w:rFonts w:ascii="Cambria" w:hAnsi="Cambria"/>
                <w:b/>
                <w:color w:val="FFFFFF" w:themeColor="background1"/>
                <w:sz w:val="20"/>
                <w:szCs w:val="20"/>
                <w:lang w:val="es-ES"/>
              </w:rPr>
              <w:t>otificación de la petición al Estado:</w:t>
            </w:r>
          </w:p>
        </w:tc>
        <w:tc>
          <w:tcPr>
            <w:tcW w:w="5760" w:type="dxa"/>
            <w:vAlign w:val="center"/>
          </w:tcPr>
          <w:p w:rsidR="00FB2328" w:rsidRPr="009C5C36" w:rsidRDefault="00FB2328" w:rsidP="009C5C36">
            <w:pPr>
              <w:jc w:val="both"/>
              <w:rPr>
                <w:rFonts w:ascii="Cambria" w:hAnsi="Cambria"/>
                <w:bCs/>
                <w:sz w:val="20"/>
                <w:szCs w:val="20"/>
                <w:lang w:val="es-ES"/>
              </w:rPr>
            </w:pPr>
            <w:r w:rsidRPr="009C5C36">
              <w:rPr>
                <w:rFonts w:asciiTheme="majorHAnsi" w:hAnsiTheme="majorHAnsi"/>
                <w:bCs/>
                <w:sz w:val="20"/>
                <w:szCs w:val="20"/>
                <w:lang w:val="es-ES"/>
              </w:rPr>
              <w:t>6 de octubre de 2010</w:t>
            </w:r>
          </w:p>
        </w:tc>
      </w:tr>
      <w:tr w:rsidR="00FB2328" w:rsidRPr="009C5C36" w:rsidTr="00B114B7">
        <w:tc>
          <w:tcPr>
            <w:tcW w:w="3600" w:type="dxa"/>
            <w:tcBorders>
              <w:top w:val="single" w:sz="6" w:space="0" w:color="auto"/>
              <w:bottom w:val="single" w:sz="6" w:space="0" w:color="auto"/>
            </w:tcBorders>
            <w:shd w:val="clear" w:color="auto" w:fill="386294"/>
            <w:vAlign w:val="center"/>
          </w:tcPr>
          <w:p w:rsidR="00FB2328" w:rsidRPr="009C5C36" w:rsidRDefault="00B97E49" w:rsidP="009C5C36">
            <w:pPr>
              <w:jc w:val="center"/>
              <w:rPr>
                <w:rFonts w:ascii="Cambria" w:hAnsi="Cambria"/>
                <w:b/>
                <w:bCs/>
                <w:color w:val="FFFFFF" w:themeColor="background1"/>
                <w:sz w:val="20"/>
                <w:szCs w:val="20"/>
                <w:lang w:val="es-ES"/>
              </w:rPr>
            </w:pPr>
            <w:r w:rsidRPr="009C5C36">
              <w:rPr>
                <w:rFonts w:ascii="Cambria" w:hAnsi="Cambria"/>
                <w:b/>
                <w:color w:val="FFFFFF" w:themeColor="background1"/>
                <w:sz w:val="20"/>
                <w:szCs w:val="20"/>
                <w:lang w:val="es-ES"/>
              </w:rPr>
              <w:t>P</w:t>
            </w:r>
            <w:r w:rsidR="00FB2328" w:rsidRPr="009C5C36">
              <w:rPr>
                <w:rFonts w:ascii="Cambria" w:hAnsi="Cambria"/>
                <w:b/>
                <w:color w:val="FFFFFF" w:themeColor="background1"/>
                <w:sz w:val="20"/>
                <w:szCs w:val="20"/>
                <w:lang w:val="es-ES"/>
              </w:rPr>
              <w:t>rimera respuesta del Estado:</w:t>
            </w:r>
          </w:p>
        </w:tc>
        <w:tc>
          <w:tcPr>
            <w:tcW w:w="5760" w:type="dxa"/>
            <w:vAlign w:val="center"/>
          </w:tcPr>
          <w:p w:rsidR="00FB2328" w:rsidRPr="009C5C36" w:rsidRDefault="00FB2328" w:rsidP="009C5C36">
            <w:pPr>
              <w:jc w:val="both"/>
              <w:rPr>
                <w:rFonts w:ascii="Cambria" w:hAnsi="Cambria"/>
                <w:bCs/>
                <w:sz w:val="20"/>
                <w:szCs w:val="20"/>
                <w:lang w:val="es-ES"/>
              </w:rPr>
            </w:pPr>
            <w:r w:rsidRPr="009C5C36">
              <w:rPr>
                <w:rFonts w:asciiTheme="majorHAnsi" w:hAnsiTheme="majorHAnsi"/>
                <w:bCs/>
                <w:sz w:val="20"/>
                <w:szCs w:val="20"/>
                <w:lang w:val="es-ES"/>
              </w:rPr>
              <w:t>2</w:t>
            </w:r>
            <w:r w:rsidR="00FB1A26" w:rsidRPr="009C5C36">
              <w:rPr>
                <w:rFonts w:asciiTheme="majorHAnsi" w:hAnsiTheme="majorHAnsi"/>
                <w:bCs/>
                <w:sz w:val="20"/>
                <w:szCs w:val="20"/>
                <w:lang w:val="es-ES"/>
              </w:rPr>
              <w:t>5</w:t>
            </w:r>
            <w:r w:rsidRPr="009C5C36">
              <w:rPr>
                <w:rFonts w:asciiTheme="majorHAnsi" w:hAnsiTheme="majorHAnsi"/>
                <w:bCs/>
                <w:sz w:val="20"/>
                <w:szCs w:val="20"/>
                <w:lang w:val="es-ES"/>
              </w:rPr>
              <w:t xml:space="preserve"> de febrero de 2011</w:t>
            </w:r>
          </w:p>
        </w:tc>
      </w:tr>
      <w:tr w:rsidR="00FB2328" w:rsidRPr="003E63BF" w:rsidTr="00B114B7">
        <w:tc>
          <w:tcPr>
            <w:tcW w:w="3600" w:type="dxa"/>
            <w:tcBorders>
              <w:top w:val="single" w:sz="6" w:space="0" w:color="auto"/>
              <w:bottom w:val="single" w:sz="6" w:space="0" w:color="auto"/>
            </w:tcBorders>
            <w:shd w:val="clear" w:color="auto" w:fill="386294"/>
            <w:vAlign w:val="center"/>
          </w:tcPr>
          <w:p w:rsidR="00FB2328" w:rsidRPr="009C5C36" w:rsidRDefault="00FB2328" w:rsidP="009C5C36">
            <w:pPr>
              <w:jc w:val="center"/>
              <w:rPr>
                <w:rFonts w:ascii="Cambria" w:hAnsi="Cambria"/>
                <w:b/>
                <w:bCs/>
                <w:color w:val="FFFFFF" w:themeColor="background1"/>
                <w:sz w:val="20"/>
                <w:szCs w:val="20"/>
                <w:lang w:val="es-ES"/>
              </w:rPr>
            </w:pPr>
            <w:r w:rsidRPr="009C5C36">
              <w:rPr>
                <w:rFonts w:ascii="Cambria" w:hAnsi="Cambria"/>
                <w:b/>
                <w:bCs/>
                <w:color w:val="FFFFFF" w:themeColor="background1"/>
                <w:sz w:val="20"/>
                <w:szCs w:val="20"/>
                <w:lang w:val="es-ES"/>
              </w:rPr>
              <w:t>Observaciones adicionales de la parte peticionaria:</w:t>
            </w:r>
          </w:p>
        </w:tc>
        <w:tc>
          <w:tcPr>
            <w:tcW w:w="5760" w:type="dxa"/>
            <w:vAlign w:val="center"/>
          </w:tcPr>
          <w:p w:rsidR="00FB2328" w:rsidRPr="009C5C36" w:rsidRDefault="002133F7" w:rsidP="009C5C36">
            <w:pPr>
              <w:jc w:val="both"/>
              <w:rPr>
                <w:rFonts w:ascii="Cambria" w:hAnsi="Cambria"/>
                <w:bCs/>
                <w:sz w:val="20"/>
                <w:szCs w:val="20"/>
                <w:lang w:val="es-ES"/>
              </w:rPr>
            </w:pPr>
            <w:r w:rsidRPr="009C5C36">
              <w:rPr>
                <w:rFonts w:asciiTheme="majorHAnsi" w:hAnsiTheme="majorHAnsi"/>
                <w:bCs/>
                <w:sz w:val="20"/>
                <w:szCs w:val="20"/>
                <w:lang w:val="es-AR"/>
              </w:rPr>
              <w:t>1</w:t>
            </w:r>
            <w:r w:rsidR="00FB1A26" w:rsidRPr="009C5C36">
              <w:rPr>
                <w:rFonts w:asciiTheme="majorHAnsi" w:hAnsiTheme="majorHAnsi"/>
                <w:bCs/>
                <w:sz w:val="20"/>
                <w:szCs w:val="20"/>
                <w:lang w:val="es-AR"/>
              </w:rPr>
              <w:t>4</w:t>
            </w:r>
            <w:r w:rsidRPr="009C5C36">
              <w:rPr>
                <w:rFonts w:asciiTheme="majorHAnsi" w:hAnsiTheme="majorHAnsi"/>
                <w:bCs/>
                <w:sz w:val="20"/>
                <w:szCs w:val="20"/>
                <w:lang w:val="es-AR"/>
              </w:rPr>
              <w:t xml:space="preserve"> de febrero, </w:t>
            </w:r>
            <w:r w:rsidR="00FB2328" w:rsidRPr="009C5C36">
              <w:rPr>
                <w:rFonts w:asciiTheme="majorHAnsi" w:hAnsiTheme="majorHAnsi"/>
                <w:bCs/>
                <w:sz w:val="20"/>
                <w:szCs w:val="20"/>
                <w:lang w:val="es-AR"/>
              </w:rPr>
              <w:t>14</w:t>
            </w:r>
            <w:r w:rsidR="00642DF0" w:rsidRPr="009C5C36">
              <w:rPr>
                <w:rFonts w:asciiTheme="majorHAnsi" w:hAnsiTheme="majorHAnsi"/>
                <w:bCs/>
                <w:sz w:val="20"/>
                <w:szCs w:val="20"/>
                <w:lang w:val="es-AR"/>
              </w:rPr>
              <w:t xml:space="preserve"> </w:t>
            </w:r>
            <w:r w:rsidR="00FB2328" w:rsidRPr="009C5C36">
              <w:rPr>
                <w:rFonts w:asciiTheme="majorHAnsi" w:hAnsiTheme="majorHAnsi"/>
                <w:bCs/>
                <w:sz w:val="20"/>
                <w:szCs w:val="20"/>
                <w:lang w:val="es-AR"/>
              </w:rPr>
              <w:t>de mayo, 20 de junio y 1</w:t>
            </w:r>
            <w:r w:rsidR="00642DF0" w:rsidRPr="009C5C36">
              <w:rPr>
                <w:rFonts w:asciiTheme="majorHAnsi" w:hAnsiTheme="majorHAnsi"/>
                <w:bCs/>
                <w:sz w:val="20"/>
                <w:szCs w:val="20"/>
                <w:lang w:val="es-AR"/>
              </w:rPr>
              <w:t>8</w:t>
            </w:r>
            <w:r w:rsidR="00FB2328" w:rsidRPr="009C5C36">
              <w:rPr>
                <w:rFonts w:asciiTheme="majorHAnsi" w:hAnsiTheme="majorHAnsi"/>
                <w:bCs/>
                <w:sz w:val="20"/>
                <w:szCs w:val="20"/>
                <w:lang w:val="es-AR"/>
              </w:rPr>
              <w:t xml:space="preserve"> de agosto de 2011; </w:t>
            </w:r>
            <w:r w:rsidR="0083547A" w:rsidRPr="009C5C36">
              <w:rPr>
                <w:rFonts w:asciiTheme="majorHAnsi" w:hAnsiTheme="majorHAnsi"/>
                <w:bCs/>
                <w:sz w:val="20"/>
                <w:szCs w:val="20"/>
                <w:lang w:val="es-AR"/>
              </w:rPr>
              <w:t>20</w:t>
            </w:r>
            <w:r w:rsidR="00AD0417" w:rsidRPr="009C5C36">
              <w:rPr>
                <w:rFonts w:asciiTheme="majorHAnsi" w:hAnsiTheme="majorHAnsi"/>
                <w:bCs/>
                <w:sz w:val="20"/>
                <w:szCs w:val="20"/>
                <w:lang w:val="es-AR"/>
              </w:rPr>
              <w:t xml:space="preserve"> </w:t>
            </w:r>
            <w:r w:rsidR="00FB2328" w:rsidRPr="009C5C36">
              <w:rPr>
                <w:rFonts w:asciiTheme="majorHAnsi" w:hAnsiTheme="majorHAnsi"/>
                <w:bCs/>
                <w:sz w:val="20"/>
                <w:szCs w:val="20"/>
                <w:lang w:val="es-AR"/>
              </w:rPr>
              <w:t>de enero</w:t>
            </w:r>
            <w:r w:rsidR="005838C0" w:rsidRPr="009C5C36">
              <w:rPr>
                <w:rFonts w:asciiTheme="majorHAnsi" w:hAnsiTheme="majorHAnsi"/>
                <w:bCs/>
                <w:sz w:val="20"/>
                <w:szCs w:val="20"/>
                <w:lang w:val="es-AR"/>
              </w:rPr>
              <w:t xml:space="preserve"> y</w:t>
            </w:r>
            <w:r w:rsidR="00EB4391" w:rsidRPr="009C5C36">
              <w:rPr>
                <w:rFonts w:asciiTheme="majorHAnsi" w:hAnsiTheme="majorHAnsi"/>
                <w:bCs/>
                <w:sz w:val="20"/>
                <w:szCs w:val="20"/>
                <w:lang w:val="es-AR"/>
              </w:rPr>
              <w:t xml:space="preserve"> </w:t>
            </w:r>
            <w:r w:rsidR="005838C0" w:rsidRPr="009C5C36">
              <w:rPr>
                <w:rFonts w:asciiTheme="majorHAnsi" w:hAnsiTheme="majorHAnsi"/>
                <w:bCs/>
                <w:sz w:val="20"/>
                <w:szCs w:val="20"/>
                <w:lang w:val="es-AR"/>
              </w:rPr>
              <w:t>27</w:t>
            </w:r>
            <w:r w:rsidR="00EB4391" w:rsidRPr="009C5C36">
              <w:rPr>
                <w:rFonts w:asciiTheme="majorHAnsi" w:hAnsiTheme="majorHAnsi"/>
                <w:bCs/>
                <w:sz w:val="20"/>
                <w:szCs w:val="20"/>
                <w:lang w:val="es-AR"/>
              </w:rPr>
              <w:t xml:space="preserve"> de octubre</w:t>
            </w:r>
            <w:r w:rsidR="00FB2328" w:rsidRPr="009C5C36">
              <w:rPr>
                <w:rFonts w:asciiTheme="majorHAnsi" w:hAnsiTheme="majorHAnsi"/>
                <w:bCs/>
                <w:sz w:val="20"/>
                <w:szCs w:val="20"/>
                <w:lang w:val="es-AR"/>
              </w:rPr>
              <w:t xml:space="preserve"> de 2012</w:t>
            </w:r>
            <w:r w:rsidR="008973CC" w:rsidRPr="009C5C36">
              <w:rPr>
                <w:rFonts w:asciiTheme="majorHAnsi" w:hAnsiTheme="majorHAnsi"/>
                <w:bCs/>
                <w:sz w:val="20"/>
                <w:szCs w:val="20"/>
                <w:lang w:val="es-AR"/>
              </w:rPr>
              <w:t>;</w:t>
            </w:r>
            <w:r w:rsidR="00FB2328" w:rsidRPr="009C5C36">
              <w:rPr>
                <w:rFonts w:asciiTheme="majorHAnsi" w:hAnsiTheme="majorHAnsi"/>
                <w:bCs/>
                <w:sz w:val="20"/>
                <w:szCs w:val="20"/>
                <w:lang w:val="es-AR"/>
              </w:rPr>
              <w:t xml:space="preserve"> 6 de diciembre de 2013</w:t>
            </w:r>
            <w:r w:rsidR="008973CC" w:rsidRPr="009C5C36">
              <w:rPr>
                <w:rFonts w:asciiTheme="majorHAnsi" w:hAnsiTheme="majorHAnsi"/>
                <w:bCs/>
                <w:sz w:val="20"/>
                <w:szCs w:val="20"/>
                <w:lang w:val="es-AR"/>
              </w:rPr>
              <w:t>;</w:t>
            </w:r>
            <w:r w:rsidR="00FB2328" w:rsidRPr="009C5C36">
              <w:rPr>
                <w:rFonts w:asciiTheme="majorHAnsi" w:hAnsiTheme="majorHAnsi"/>
                <w:bCs/>
                <w:sz w:val="20"/>
                <w:szCs w:val="20"/>
                <w:lang w:val="es-AR"/>
              </w:rPr>
              <w:t xml:space="preserve"> 20</w:t>
            </w:r>
            <w:r w:rsidR="00F32733" w:rsidRPr="009C5C36">
              <w:rPr>
                <w:rFonts w:asciiTheme="majorHAnsi" w:hAnsiTheme="majorHAnsi"/>
                <w:bCs/>
                <w:sz w:val="20"/>
                <w:szCs w:val="20"/>
                <w:lang w:val="es-AR"/>
              </w:rPr>
              <w:t xml:space="preserve"> </w:t>
            </w:r>
            <w:r w:rsidR="00FB2328" w:rsidRPr="009C5C36">
              <w:rPr>
                <w:rFonts w:asciiTheme="majorHAnsi" w:hAnsiTheme="majorHAnsi"/>
                <w:bCs/>
                <w:sz w:val="20"/>
                <w:szCs w:val="20"/>
                <w:lang w:val="es-AR"/>
              </w:rPr>
              <w:t xml:space="preserve">de mayo </w:t>
            </w:r>
            <w:r w:rsidR="008973CC" w:rsidRPr="009C5C36">
              <w:rPr>
                <w:rFonts w:asciiTheme="majorHAnsi" w:hAnsiTheme="majorHAnsi"/>
                <w:bCs/>
                <w:sz w:val="20"/>
                <w:szCs w:val="20"/>
                <w:lang w:val="es-AR"/>
              </w:rPr>
              <w:t>y</w:t>
            </w:r>
            <w:r w:rsidR="00FB2328" w:rsidRPr="009C5C36">
              <w:rPr>
                <w:rFonts w:asciiTheme="majorHAnsi" w:hAnsiTheme="majorHAnsi"/>
                <w:bCs/>
                <w:sz w:val="20"/>
                <w:szCs w:val="20"/>
                <w:lang w:val="es-AR"/>
              </w:rPr>
              <w:t xml:space="preserve"> 22 de julio de 2014</w:t>
            </w:r>
            <w:r w:rsidR="008973CC" w:rsidRPr="009C5C36">
              <w:rPr>
                <w:rFonts w:asciiTheme="majorHAnsi" w:hAnsiTheme="majorHAnsi"/>
                <w:bCs/>
                <w:sz w:val="20"/>
                <w:szCs w:val="20"/>
                <w:lang w:val="es-AR"/>
              </w:rPr>
              <w:t>;</w:t>
            </w:r>
            <w:r w:rsidR="00FB2328" w:rsidRPr="009C5C36">
              <w:rPr>
                <w:rFonts w:asciiTheme="majorHAnsi" w:hAnsiTheme="majorHAnsi"/>
                <w:bCs/>
                <w:sz w:val="20"/>
                <w:szCs w:val="20"/>
                <w:lang w:val="es-AR"/>
              </w:rPr>
              <w:t xml:space="preserve"> </w:t>
            </w:r>
            <w:r w:rsidR="007D34AE" w:rsidRPr="009C5C36">
              <w:rPr>
                <w:rFonts w:asciiTheme="majorHAnsi" w:hAnsiTheme="majorHAnsi"/>
                <w:bCs/>
                <w:sz w:val="20"/>
                <w:szCs w:val="20"/>
                <w:lang w:val="es-AR"/>
              </w:rPr>
              <w:t>5</w:t>
            </w:r>
            <w:r w:rsidR="00FB2328" w:rsidRPr="009C5C36">
              <w:rPr>
                <w:rFonts w:asciiTheme="majorHAnsi" w:hAnsiTheme="majorHAnsi"/>
                <w:bCs/>
                <w:sz w:val="20"/>
                <w:szCs w:val="20"/>
                <w:lang w:val="es-AR"/>
              </w:rPr>
              <w:t xml:space="preserve"> de abril de 2016  </w:t>
            </w:r>
            <w:r w:rsidR="00FB2328" w:rsidRPr="009C5C36">
              <w:rPr>
                <w:rFonts w:asciiTheme="majorHAnsi" w:hAnsiTheme="majorHAnsi"/>
                <w:bCs/>
                <w:sz w:val="20"/>
                <w:szCs w:val="20"/>
                <w:lang w:val="es-ES"/>
              </w:rPr>
              <w:t xml:space="preserve">                                          </w:t>
            </w:r>
          </w:p>
        </w:tc>
      </w:tr>
      <w:tr w:rsidR="00FB2328" w:rsidRPr="003E63BF" w:rsidTr="00B114B7">
        <w:tc>
          <w:tcPr>
            <w:tcW w:w="3600" w:type="dxa"/>
            <w:tcBorders>
              <w:top w:val="single" w:sz="6" w:space="0" w:color="auto"/>
              <w:bottom w:val="single" w:sz="6" w:space="0" w:color="auto"/>
            </w:tcBorders>
            <w:shd w:val="clear" w:color="auto" w:fill="386294"/>
            <w:vAlign w:val="center"/>
          </w:tcPr>
          <w:p w:rsidR="00FB2328" w:rsidRPr="009C5C36" w:rsidRDefault="00FB2328" w:rsidP="009C5C36">
            <w:pPr>
              <w:jc w:val="center"/>
              <w:rPr>
                <w:rFonts w:ascii="Cambria" w:hAnsi="Cambria"/>
                <w:b/>
                <w:bCs/>
                <w:color w:val="FFFFFF" w:themeColor="background1"/>
                <w:sz w:val="20"/>
                <w:szCs w:val="20"/>
              </w:rPr>
            </w:pPr>
            <w:r w:rsidRPr="009C5C36">
              <w:rPr>
                <w:rFonts w:ascii="Cambria" w:hAnsi="Cambria"/>
                <w:b/>
                <w:bCs/>
                <w:color w:val="FFFFFF" w:themeColor="background1"/>
                <w:sz w:val="20"/>
                <w:szCs w:val="20"/>
              </w:rPr>
              <w:t>Observaciones adicionales del Estado:</w:t>
            </w:r>
          </w:p>
        </w:tc>
        <w:tc>
          <w:tcPr>
            <w:tcW w:w="5760" w:type="dxa"/>
            <w:vAlign w:val="center"/>
          </w:tcPr>
          <w:p w:rsidR="00FB2328" w:rsidRPr="009C5C36" w:rsidRDefault="00FB2328" w:rsidP="009C5C36">
            <w:pPr>
              <w:jc w:val="both"/>
              <w:rPr>
                <w:rFonts w:ascii="Cambria" w:hAnsi="Cambria"/>
                <w:bCs/>
                <w:sz w:val="20"/>
                <w:szCs w:val="20"/>
                <w:lang w:val="es-AR"/>
              </w:rPr>
            </w:pPr>
            <w:r w:rsidRPr="009C5C36">
              <w:rPr>
                <w:rFonts w:asciiTheme="majorHAnsi" w:hAnsiTheme="majorHAnsi"/>
                <w:bCs/>
                <w:sz w:val="20"/>
                <w:szCs w:val="20"/>
                <w:lang w:val="es-ES"/>
              </w:rPr>
              <w:t>2</w:t>
            </w:r>
            <w:r w:rsidR="0029212A" w:rsidRPr="009C5C36">
              <w:rPr>
                <w:rFonts w:asciiTheme="majorHAnsi" w:hAnsiTheme="majorHAnsi"/>
                <w:bCs/>
                <w:sz w:val="20"/>
                <w:szCs w:val="20"/>
                <w:lang w:val="es-ES"/>
              </w:rPr>
              <w:t>0</w:t>
            </w:r>
            <w:r w:rsidRPr="009C5C36">
              <w:rPr>
                <w:rFonts w:asciiTheme="majorHAnsi" w:hAnsiTheme="majorHAnsi"/>
                <w:bCs/>
                <w:sz w:val="20"/>
                <w:szCs w:val="20"/>
                <w:lang w:val="es-ES"/>
              </w:rPr>
              <w:t xml:space="preserve"> de abril </w:t>
            </w:r>
            <w:r w:rsidR="008973CC" w:rsidRPr="009C5C36">
              <w:rPr>
                <w:rFonts w:asciiTheme="majorHAnsi" w:hAnsiTheme="majorHAnsi"/>
                <w:bCs/>
                <w:sz w:val="20"/>
                <w:szCs w:val="20"/>
                <w:lang w:val="es-ES"/>
              </w:rPr>
              <w:t>y</w:t>
            </w:r>
            <w:r w:rsidRPr="009C5C36">
              <w:rPr>
                <w:rFonts w:asciiTheme="majorHAnsi" w:hAnsiTheme="majorHAnsi"/>
                <w:bCs/>
                <w:sz w:val="20"/>
                <w:szCs w:val="20"/>
                <w:lang w:val="es-ES"/>
              </w:rPr>
              <w:t xml:space="preserve"> 11 de noviembre de 2011</w:t>
            </w:r>
            <w:r w:rsidR="007811B3" w:rsidRPr="009C5C36">
              <w:rPr>
                <w:rFonts w:asciiTheme="majorHAnsi" w:hAnsiTheme="majorHAnsi"/>
                <w:bCs/>
                <w:sz w:val="20"/>
                <w:szCs w:val="20"/>
                <w:lang w:val="es-ES"/>
              </w:rPr>
              <w:t>;</w:t>
            </w:r>
            <w:r w:rsidRPr="009C5C36">
              <w:rPr>
                <w:rFonts w:asciiTheme="majorHAnsi" w:hAnsiTheme="majorHAnsi"/>
                <w:bCs/>
                <w:sz w:val="20"/>
                <w:szCs w:val="20"/>
                <w:lang w:val="es-ES"/>
              </w:rPr>
              <w:t xml:space="preserve"> </w:t>
            </w:r>
            <w:r w:rsidR="00C17663" w:rsidRPr="009C5C36">
              <w:rPr>
                <w:rFonts w:asciiTheme="majorHAnsi" w:hAnsiTheme="majorHAnsi"/>
                <w:bCs/>
                <w:sz w:val="20"/>
                <w:szCs w:val="20"/>
                <w:lang w:val="es-ES"/>
              </w:rPr>
              <w:t xml:space="preserve">23 de mayo y </w:t>
            </w:r>
            <w:r w:rsidRPr="009C5C36">
              <w:rPr>
                <w:rFonts w:asciiTheme="majorHAnsi" w:hAnsiTheme="majorHAnsi"/>
                <w:bCs/>
                <w:sz w:val="20"/>
                <w:szCs w:val="20"/>
                <w:lang w:val="es-ES"/>
              </w:rPr>
              <w:t>6 de septiembre de 2012</w:t>
            </w:r>
            <w:r w:rsidR="007811B3" w:rsidRPr="009C5C36">
              <w:rPr>
                <w:rFonts w:asciiTheme="majorHAnsi" w:hAnsiTheme="majorHAnsi"/>
                <w:bCs/>
                <w:sz w:val="20"/>
                <w:szCs w:val="20"/>
                <w:lang w:val="es-ES"/>
              </w:rPr>
              <w:t>;</w:t>
            </w:r>
            <w:r w:rsidRPr="009C5C36">
              <w:rPr>
                <w:rFonts w:asciiTheme="majorHAnsi" w:hAnsiTheme="majorHAnsi"/>
                <w:bCs/>
                <w:color w:val="FF0000"/>
                <w:sz w:val="20"/>
                <w:szCs w:val="20"/>
                <w:lang w:val="es-ES"/>
              </w:rPr>
              <w:t xml:space="preserve"> </w:t>
            </w:r>
            <w:r w:rsidRPr="009C5C36">
              <w:rPr>
                <w:rFonts w:asciiTheme="majorHAnsi" w:hAnsiTheme="majorHAnsi"/>
                <w:bCs/>
                <w:sz w:val="20"/>
                <w:szCs w:val="20"/>
                <w:lang w:val="es-ES"/>
              </w:rPr>
              <w:t xml:space="preserve"> 14 de agosto de 2013</w:t>
            </w:r>
          </w:p>
        </w:tc>
      </w:tr>
    </w:tbl>
    <w:p w:rsidR="003239B8" w:rsidRPr="009C5C36" w:rsidRDefault="003239B8" w:rsidP="009C5C36">
      <w:pPr>
        <w:spacing w:before="240" w:after="240"/>
        <w:ind w:firstLine="720"/>
        <w:jc w:val="both"/>
        <w:rPr>
          <w:rFonts w:asciiTheme="majorHAnsi" w:hAnsiTheme="majorHAnsi"/>
          <w:b/>
          <w:bCs/>
          <w:sz w:val="20"/>
          <w:szCs w:val="20"/>
          <w:lang w:val="es-ES"/>
        </w:rPr>
      </w:pPr>
      <w:r w:rsidRPr="009C5C36">
        <w:rPr>
          <w:rFonts w:asciiTheme="majorHAnsi" w:hAnsiTheme="majorHAnsi"/>
          <w:b/>
          <w:bCs/>
          <w:sz w:val="20"/>
          <w:szCs w:val="20"/>
          <w:lang w:val="es-ES"/>
        </w:rPr>
        <w:t xml:space="preserve">III. </w:t>
      </w:r>
      <w:r w:rsidRPr="009C5C36">
        <w:rPr>
          <w:rFonts w:asciiTheme="majorHAnsi" w:hAnsiTheme="majorHAnsi"/>
          <w:b/>
          <w:bCs/>
          <w:sz w:val="20"/>
          <w:szCs w:val="20"/>
          <w:lang w:val="es-ES"/>
        </w:rPr>
        <w:tab/>
        <w:t>COMPETENCIA</w:t>
      </w:r>
      <w:r w:rsidR="00EE00E9" w:rsidRPr="009C5C36">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9C5C36" w:rsidTr="00B114B7">
        <w:trPr>
          <w:cantSplit/>
        </w:trPr>
        <w:tc>
          <w:tcPr>
            <w:tcW w:w="3600" w:type="dxa"/>
            <w:tcBorders>
              <w:top w:val="single" w:sz="4" w:space="0" w:color="auto"/>
              <w:bottom w:val="single" w:sz="6" w:space="0" w:color="auto"/>
            </w:tcBorders>
            <w:shd w:val="clear" w:color="auto" w:fill="386294"/>
            <w:vAlign w:val="center"/>
          </w:tcPr>
          <w:p w:rsidR="003239B8" w:rsidRPr="009C5C36" w:rsidRDefault="003239B8" w:rsidP="009C5C36">
            <w:pPr>
              <w:jc w:val="center"/>
              <w:rPr>
                <w:rFonts w:ascii="Cambria" w:hAnsi="Cambria"/>
                <w:b/>
                <w:bCs/>
                <w:i/>
                <w:color w:val="FFFFFF" w:themeColor="background1"/>
                <w:sz w:val="20"/>
                <w:szCs w:val="20"/>
              </w:rPr>
            </w:pPr>
            <w:r w:rsidRPr="009C5C36">
              <w:rPr>
                <w:rFonts w:ascii="Cambria" w:hAnsi="Cambria"/>
                <w:b/>
                <w:bCs/>
                <w:color w:val="FFFFFF" w:themeColor="background1"/>
                <w:sz w:val="20"/>
                <w:szCs w:val="20"/>
              </w:rPr>
              <w:t>Competencia</w:t>
            </w:r>
            <w:r w:rsidRPr="009C5C36">
              <w:rPr>
                <w:rFonts w:ascii="Cambria" w:hAnsi="Cambria"/>
                <w:b/>
                <w:bCs/>
                <w:i/>
                <w:color w:val="FFFFFF" w:themeColor="background1"/>
                <w:sz w:val="20"/>
                <w:szCs w:val="20"/>
              </w:rPr>
              <w:t xml:space="preserve"> Ratione personae:</w:t>
            </w:r>
          </w:p>
        </w:tc>
        <w:tc>
          <w:tcPr>
            <w:tcW w:w="5760" w:type="dxa"/>
            <w:vAlign w:val="center"/>
          </w:tcPr>
          <w:p w:rsidR="003239B8" w:rsidRPr="009C5C36" w:rsidRDefault="00FB2328" w:rsidP="009C5C36">
            <w:pPr>
              <w:rPr>
                <w:rFonts w:ascii="Cambria" w:hAnsi="Cambria"/>
                <w:bCs/>
                <w:sz w:val="20"/>
                <w:szCs w:val="20"/>
              </w:rPr>
            </w:pPr>
            <w:r w:rsidRPr="009C5C36">
              <w:rPr>
                <w:rFonts w:ascii="Cambria" w:hAnsi="Cambria"/>
                <w:bCs/>
                <w:sz w:val="20"/>
                <w:szCs w:val="20"/>
              </w:rPr>
              <w:t>Sí</w:t>
            </w:r>
          </w:p>
        </w:tc>
      </w:tr>
      <w:tr w:rsidR="003239B8" w:rsidRPr="009C5C36" w:rsidTr="00B114B7">
        <w:trPr>
          <w:cantSplit/>
        </w:trPr>
        <w:tc>
          <w:tcPr>
            <w:tcW w:w="3600" w:type="dxa"/>
            <w:tcBorders>
              <w:top w:val="single" w:sz="6" w:space="0" w:color="auto"/>
              <w:bottom w:val="single" w:sz="6" w:space="0" w:color="auto"/>
            </w:tcBorders>
            <w:shd w:val="clear" w:color="auto" w:fill="386294"/>
            <w:vAlign w:val="center"/>
          </w:tcPr>
          <w:p w:rsidR="003239B8" w:rsidRPr="009C5C36" w:rsidRDefault="003239B8" w:rsidP="009C5C36">
            <w:pPr>
              <w:jc w:val="center"/>
              <w:rPr>
                <w:rFonts w:ascii="Cambria" w:hAnsi="Cambria"/>
                <w:b/>
                <w:bCs/>
                <w:color w:val="FFFFFF" w:themeColor="background1"/>
                <w:sz w:val="20"/>
                <w:szCs w:val="20"/>
              </w:rPr>
            </w:pPr>
            <w:r w:rsidRPr="009C5C36">
              <w:rPr>
                <w:rFonts w:ascii="Cambria" w:hAnsi="Cambria"/>
                <w:b/>
                <w:bCs/>
                <w:color w:val="FFFFFF" w:themeColor="background1"/>
                <w:sz w:val="20"/>
                <w:szCs w:val="20"/>
              </w:rPr>
              <w:t>Competencia</w:t>
            </w:r>
            <w:r w:rsidRPr="009C5C36">
              <w:rPr>
                <w:rFonts w:ascii="Cambria" w:hAnsi="Cambria"/>
                <w:b/>
                <w:bCs/>
                <w:i/>
                <w:color w:val="FFFFFF" w:themeColor="background1"/>
                <w:sz w:val="20"/>
                <w:szCs w:val="20"/>
              </w:rPr>
              <w:t xml:space="preserve"> Ratione loci</w:t>
            </w:r>
            <w:r w:rsidRPr="009C5C36">
              <w:rPr>
                <w:rFonts w:ascii="Cambria" w:hAnsi="Cambria"/>
                <w:b/>
                <w:bCs/>
                <w:color w:val="FFFFFF" w:themeColor="background1"/>
                <w:sz w:val="20"/>
                <w:szCs w:val="20"/>
              </w:rPr>
              <w:t>:</w:t>
            </w:r>
          </w:p>
        </w:tc>
        <w:tc>
          <w:tcPr>
            <w:tcW w:w="5760" w:type="dxa"/>
            <w:vAlign w:val="center"/>
          </w:tcPr>
          <w:p w:rsidR="003239B8" w:rsidRPr="009C5C36" w:rsidRDefault="00FB2328" w:rsidP="009C5C36">
            <w:pPr>
              <w:rPr>
                <w:rFonts w:ascii="Cambria" w:hAnsi="Cambria"/>
                <w:bCs/>
                <w:sz w:val="20"/>
                <w:szCs w:val="20"/>
              </w:rPr>
            </w:pPr>
            <w:r w:rsidRPr="009C5C36">
              <w:rPr>
                <w:rFonts w:ascii="Cambria" w:hAnsi="Cambria"/>
                <w:bCs/>
                <w:sz w:val="20"/>
                <w:szCs w:val="20"/>
              </w:rPr>
              <w:t>Sí</w:t>
            </w:r>
          </w:p>
        </w:tc>
      </w:tr>
      <w:tr w:rsidR="003239B8" w:rsidRPr="009C5C36" w:rsidTr="00B114B7">
        <w:trPr>
          <w:cantSplit/>
        </w:trPr>
        <w:tc>
          <w:tcPr>
            <w:tcW w:w="3600" w:type="dxa"/>
            <w:tcBorders>
              <w:top w:val="single" w:sz="6" w:space="0" w:color="auto"/>
              <w:bottom w:val="single" w:sz="6" w:space="0" w:color="auto"/>
            </w:tcBorders>
            <w:shd w:val="clear" w:color="auto" w:fill="386294"/>
            <w:vAlign w:val="center"/>
          </w:tcPr>
          <w:p w:rsidR="003239B8" w:rsidRPr="009C5C36" w:rsidRDefault="003239B8" w:rsidP="009C5C36">
            <w:pPr>
              <w:jc w:val="center"/>
              <w:rPr>
                <w:rFonts w:ascii="Cambria" w:hAnsi="Cambria"/>
                <w:b/>
                <w:bCs/>
                <w:color w:val="FFFFFF" w:themeColor="background1"/>
                <w:sz w:val="20"/>
                <w:szCs w:val="20"/>
              </w:rPr>
            </w:pPr>
            <w:r w:rsidRPr="009C5C36">
              <w:rPr>
                <w:rFonts w:ascii="Cambria" w:hAnsi="Cambria"/>
                <w:b/>
                <w:bCs/>
                <w:color w:val="FFFFFF" w:themeColor="background1"/>
                <w:sz w:val="20"/>
                <w:szCs w:val="20"/>
              </w:rPr>
              <w:t>Competencia</w:t>
            </w:r>
            <w:r w:rsidRPr="009C5C36">
              <w:rPr>
                <w:rFonts w:ascii="Cambria" w:hAnsi="Cambria"/>
                <w:b/>
                <w:bCs/>
                <w:i/>
                <w:color w:val="FFFFFF" w:themeColor="background1"/>
                <w:sz w:val="20"/>
                <w:szCs w:val="20"/>
              </w:rPr>
              <w:t xml:space="preserve"> Ratione temporis</w:t>
            </w:r>
            <w:r w:rsidRPr="009C5C36">
              <w:rPr>
                <w:rFonts w:ascii="Cambria" w:hAnsi="Cambria"/>
                <w:b/>
                <w:bCs/>
                <w:color w:val="FFFFFF" w:themeColor="background1"/>
                <w:sz w:val="20"/>
                <w:szCs w:val="20"/>
              </w:rPr>
              <w:t>:</w:t>
            </w:r>
          </w:p>
        </w:tc>
        <w:tc>
          <w:tcPr>
            <w:tcW w:w="5760" w:type="dxa"/>
            <w:vAlign w:val="center"/>
          </w:tcPr>
          <w:p w:rsidR="003239B8" w:rsidRPr="009C5C36" w:rsidRDefault="00FB2328" w:rsidP="009C5C36">
            <w:pPr>
              <w:rPr>
                <w:bCs/>
                <w:sz w:val="20"/>
                <w:szCs w:val="20"/>
              </w:rPr>
            </w:pPr>
            <w:r w:rsidRPr="009C5C36">
              <w:rPr>
                <w:rFonts w:ascii="Cambria" w:hAnsi="Cambria"/>
                <w:bCs/>
                <w:sz w:val="20"/>
                <w:szCs w:val="20"/>
              </w:rPr>
              <w:t>Sí</w:t>
            </w:r>
          </w:p>
        </w:tc>
      </w:tr>
      <w:tr w:rsidR="003239B8" w:rsidRPr="003E63BF" w:rsidTr="00B114B7">
        <w:trPr>
          <w:cantSplit/>
        </w:trPr>
        <w:tc>
          <w:tcPr>
            <w:tcW w:w="3600" w:type="dxa"/>
            <w:tcBorders>
              <w:top w:val="single" w:sz="6" w:space="0" w:color="auto"/>
              <w:bottom w:val="single" w:sz="6" w:space="0" w:color="auto"/>
            </w:tcBorders>
            <w:shd w:val="clear" w:color="auto" w:fill="386294"/>
            <w:vAlign w:val="center"/>
          </w:tcPr>
          <w:p w:rsidR="003239B8" w:rsidRPr="009C5C36" w:rsidRDefault="003239B8" w:rsidP="009C5C36">
            <w:pPr>
              <w:jc w:val="center"/>
              <w:rPr>
                <w:rFonts w:ascii="Cambria" w:hAnsi="Cambria"/>
                <w:b/>
                <w:bCs/>
                <w:color w:val="FFFFFF" w:themeColor="background1"/>
                <w:sz w:val="20"/>
                <w:szCs w:val="20"/>
              </w:rPr>
            </w:pPr>
            <w:r w:rsidRPr="009C5C36">
              <w:rPr>
                <w:rFonts w:ascii="Cambria" w:hAnsi="Cambria"/>
                <w:b/>
                <w:bCs/>
                <w:color w:val="FFFFFF" w:themeColor="background1"/>
                <w:sz w:val="20"/>
                <w:szCs w:val="20"/>
              </w:rPr>
              <w:t>Competencia</w:t>
            </w:r>
            <w:r w:rsidRPr="009C5C36">
              <w:rPr>
                <w:rFonts w:ascii="Cambria" w:hAnsi="Cambria"/>
                <w:b/>
                <w:bCs/>
                <w:i/>
                <w:color w:val="FFFFFF" w:themeColor="background1"/>
                <w:sz w:val="20"/>
                <w:szCs w:val="20"/>
              </w:rPr>
              <w:t xml:space="preserve"> Ratione materia</w:t>
            </w:r>
            <w:r w:rsidR="00EE00E9" w:rsidRPr="009C5C36">
              <w:rPr>
                <w:rFonts w:ascii="Cambria" w:hAnsi="Cambria"/>
                <w:b/>
                <w:bCs/>
                <w:i/>
                <w:color w:val="FFFFFF" w:themeColor="background1"/>
                <w:sz w:val="20"/>
                <w:szCs w:val="20"/>
              </w:rPr>
              <w:t>e</w:t>
            </w:r>
            <w:r w:rsidRPr="009C5C36">
              <w:rPr>
                <w:rFonts w:ascii="Cambria" w:hAnsi="Cambria"/>
                <w:b/>
                <w:bCs/>
                <w:color w:val="FFFFFF" w:themeColor="background1"/>
                <w:sz w:val="20"/>
                <w:szCs w:val="20"/>
              </w:rPr>
              <w:t>:</w:t>
            </w:r>
          </w:p>
        </w:tc>
        <w:tc>
          <w:tcPr>
            <w:tcW w:w="5760" w:type="dxa"/>
            <w:vAlign w:val="center"/>
          </w:tcPr>
          <w:p w:rsidR="003239B8" w:rsidRPr="009C5C36" w:rsidRDefault="00FB2328" w:rsidP="009C5C36">
            <w:pPr>
              <w:jc w:val="both"/>
              <w:rPr>
                <w:rFonts w:ascii="Cambria" w:hAnsi="Cambria"/>
                <w:bCs/>
                <w:sz w:val="20"/>
                <w:szCs w:val="20"/>
                <w:lang w:val="es-ES"/>
              </w:rPr>
            </w:pPr>
            <w:r w:rsidRPr="009C5C36">
              <w:rPr>
                <w:rFonts w:asciiTheme="majorHAnsi" w:hAnsiTheme="majorHAnsi"/>
                <w:bCs/>
                <w:sz w:val="20"/>
                <w:szCs w:val="20"/>
                <w:lang w:val="es-ES"/>
              </w:rPr>
              <w:t>Sí</w:t>
            </w:r>
            <w:r w:rsidRPr="009C5C36">
              <w:rPr>
                <w:rFonts w:asciiTheme="majorHAnsi" w:hAnsiTheme="majorHAnsi"/>
                <w:lang w:val="es-ES"/>
              </w:rPr>
              <w:t xml:space="preserve">, </w:t>
            </w:r>
            <w:r w:rsidRPr="009C5C36">
              <w:rPr>
                <w:rFonts w:asciiTheme="majorHAnsi" w:hAnsiTheme="majorHAnsi"/>
                <w:bCs/>
                <w:sz w:val="20"/>
                <w:szCs w:val="20"/>
                <w:lang w:val="es-ES"/>
              </w:rPr>
              <w:t xml:space="preserve">Convención Americana (depósito de instrumento realizado el 24 de marzo de 1981) </w:t>
            </w:r>
          </w:p>
        </w:tc>
      </w:tr>
    </w:tbl>
    <w:p w:rsidR="003239B8" w:rsidRPr="009C5C36" w:rsidRDefault="003239B8" w:rsidP="009C5C36">
      <w:pPr>
        <w:spacing w:before="240" w:after="240"/>
        <w:ind w:firstLine="720"/>
        <w:jc w:val="both"/>
        <w:rPr>
          <w:rFonts w:asciiTheme="majorHAnsi" w:hAnsiTheme="majorHAnsi"/>
          <w:b/>
          <w:bCs/>
          <w:sz w:val="20"/>
          <w:szCs w:val="20"/>
          <w:lang w:val="es-ES"/>
        </w:rPr>
      </w:pPr>
      <w:r w:rsidRPr="009C5C36">
        <w:rPr>
          <w:rFonts w:asciiTheme="majorHAnsi" w:hAnsiTheme="majorHAnsi"/>
          <w:b/>
          <w:bCs/>
          <w:sz w:val="20"/>
          <w:szCs w:val="20"/>
          <w:lang w:val="es-ES"/>
        </w:rPr>
        <w:t xml:space="preserve">IV. </w:t>
      </w:r>
      <w:r w:rsidRPr="009C5C36">
        <w:rPr>
          <w:rFonts w:asciiTheme="majorHAnsi" w:hAnsiTheme="majorHAnsi"/>
          <w:b/>
          <w:bCs/>
          <w:sz w:val="20"/>
          <w:szCs w:val="20"/>
          <w:lang w:val="es-ES"/>
        </w:rPr>
        <w:tab/>
      </w:r>
      <w:r w:rsidR="00EE00E9" w:rsidRPr="009C5C36">
        <w:rPr>
          <w:rFonts w:asciiTheme="majorHAnsi" w:hAnsiTheme="majorHAnsi"/>
          <w:b/>
          <w:bCs/>
          <w:sz w:val="20"/>
          <w:szCs w:val="20"/>
          <w:lang w:val="es-ES"/>
        </w:rPr>
        <w:t>DUPLICACIÓN</w:t>
      </w:r>
      <w:r w:rsidR="00EE00E9" w:rsidRPr="009C5C36">
        <w:rPr>
          <w:rFonts w:asciiTheme="majorHAnsi" w:hAnsiTheme="majorHAnsi"/>
          <w:b/>
          <w:bCs/>
          <w:color w:val="FFFFFF" w:themeColor="background1"/>
          <w:sz w:val="20"/>
          <w:szCs w:val="20"/>
          <w:lang w:val="es-ES"/>
        </w:rPr>
        <w:t xml:space="preserve"> </w:t>
      </w:r>
      <w:r w:rsidR="00EE00E9" w:rsidRPr="009C5C36">
        <w:rPr>
          <w:rFonts w:asciiTheme="majorHAnsi" w:hAnsiTheme="majorHAnsi"/>
          <w:b/>
          <w:bCs/>
          <w:sz w:val="20"/>
          <w:szCs w:val="20"/>
          <w:lang w:val="es-ES"/>
        </w:rPr>
        <w:t>DE PROCEDIMIENTOS Y COSA JUZGADA</w:t>
      </w:r>
      <w:r w:rsidR="00EE00E9" w:rsidRPr="009C5C36">
        <w:rPr>
          <w:rFonts w:asciiTheme="majorHAnsi" w:hAnsiTheme="majorHAnsi"/>
          <w:b/>
          <w:bCs/>
          <w:i/>
          <w:sz w:val="20"/>
          <w:szCs w:val="20"/>
          <w:lang w:val="es-ES"/>
        </w:rPr>
        <w:t xml:space="preserve"> </w:t>
      </w:r>
      <w:r w:rsidR="00EE00E9" w:rsidRPr="009C5C36">
        <w:rPr>
          <w:rFonts w:asciiTheme="majorHAnsi" w:hAnsiTheme="majorHAnsi"/>
          <w:b/>
          <w:bCs/>
          <w:sz w:val="20"/>
          <w:szCs w:val="20"/>
          <w:lang w:val="es-ES"/>
        </w:rPr>
        <w:t xml:space="preserve">INTERNACIONAL, </w:t>
      </w:r>
      <w:r w:rsidRPr="009C5C36">
        <w:rPr>
          <w:rFonts w:asciiTheme="majorHAnsi" w:hAnsiTheme="majorHAnsi"/>
          <w:b/>
          <w:bCs/>
          <w:sz w:val="20"/>
          <w:szCs w:val="20"/>
          <w:lang w:val="es-ES"/>
        </w:rPr>
        <w:t xml:space="preserve"> CARACTERIZACIÓN, </w:t>
      </w:r>
      <w:r w:rsidRPr="009C5C36">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3E63BF" w:rsidTr="00B114B7">
        <w:trPr>
          <w:cantSplit/>
        </w:trPr>
        <w:tc>
          <w:tcPr>
            <w:tcW w:w="3600" w:type="dxa"/>
            <w:tcBorders>
              <w:top w:val="single" w:sz="4" w:space="0" w:color="auto"/>
              <w:bottom w:val="single" w:sz="6" w:space="0" w:color="auto"/>
            </w:tcBorders>
            <w:shd w:val="clear" w:color="auto" w:fill="386294"/>
            <w:vAlign w:val="center"/>
          </w:tcPr>
          <w:p w:rsidR="00EE00E9" w:rsidRPr="009C5C36" w:rsidRDefault="00EE00E9" w:rsidP="009C5C36">
            <w:pPr>
              <w:jc w:val="center"/>
              <w:rPr>
                <w:rFonts w:ascii="Cambria" w:hAnsi="Cambria"/>
                <w:b/>
                <w:bCs/>
                <w:color w:val="FFFFFF" w:themeColor="background1"/>
                <w:sz w:val="20"/>
                <w:szCs w:val="20"/>
                <w:lang w:val="es-ES"/>
              </w:rPr>
            </w:pPr>
            <w:r w:rsidRPr="009C5C36">
              <w:rPr>
                <w:rFonts w:ascii="Cambria" w:hAnsi="Cambria"/>
                <w:b/>
                <w:bCs/>
                <w:color w:val="FFFFFF" w:themeColor="background1"/>
                <w:sz w:val="20"/>
                <w:szCs w:val="20"/>
                <w:lang w:val="es-ES"/>
              </w:rPr>
              <w:t>Duplicación de procedimientos y cosa juzgada internacional:</w:t>
            </w:r>
          </w:p>
        </w:tc>
        <w:tc>
          <w:tcPr>
            <w:tcW w:w="5760" w:type="dxa"/>
            <w:vAlign w:val="center"/>
          </w:tcPr>
          <w:p w:rsidR="00EE00E9" w:rsidRPr="009C5C36" w:rsidRDefault="00B114B7" w:rsidP="009C5C36">
            <w:pPr>
              <w:jc w:val="both"/>
              <w:rPr>
                <w:rFonts w:ascii="Cambria" w:hAnsi="Cambria"/>
                <w:bCs/>
                <w:sz w:val="20"/>
                <w:szCs w:val="20"/>
                <w:lang w:val="es-ES"/>
              </w:rPr>
            </w:pPr>
            <w:r w:rsidRPr="009C5C36">
              <w:rPr>
                <w:rFonts w:asciiTheme="majorHAnsi" w:hAnsiTheme="majorHAnsi"/>
                <w:bCs/>
                <w:sz w:val="20"/>
                <w:szCs w:val="20"/>
                <w:lang w:val="es-ES"/>
              </w:rPr>
              <w:t>No, en los términos de la s</w:t>
            </w:r>
            <w:r w:rsidR="00FB2328" w:rsidRPr="009C5C36">
              <w:rPr>
                <w:rFonts w:asciiTheme="majorHAnsi" w:hAnsiTheme="majorHAnsi"/>
                <w:bCs/>
                <w:sz w:val="20"/>
                <w:szCs w:val="20"/>
                <w:lang w:val="es-ES"/>
              </w:rPr>
              <w:t>ección VII</w:t>
            </w:r>
          </w:p>
        </w:tc>
      </w:tr>
      <w:tr w:rsidR="003239B8" w:rsidRPr="003E63BF" w:rsidTr="00B114B7">
        <w:trPr>
          <w:cantSplit/>
        </w:trPr>
        <w:tc>
          <w:tcPr>
            <w:tcW w:w="3600" w:type="dxa"/>
            <w:tcBorders>
              <w:top w:val="single" w:sz="4" w:space="0" w:color="auto"/>
              <w:bottom w:val="single" w:sz="6" w:space="0" w:color="auto"/>
            </w:tcBorders>
            <w:shd w:val="clear" w:color="auto" w:fill="386294"/>
            <w:vAlign w:val="center"/>
          </w:tcPr>
          <w:p w:rsidR="003239B8" w:rsidRPr="009C5C36" w:rsidRDefault="003239B8" w:rsidP="009C5C36">
            <w:pPr>
              <w:jc w:val="center"/>
              <w:rPr>
                <w:rFonts w:ascii="Cambria" w:hAnsi="Cambria"/>
                <w:b/>
                <w:bCs/>
                <w:i/>
                <w:color w:val="FFFFFF" w:themeColor="background1"/>
                <w:sz w:val="20"/>
                <w:szCs w:val="20"/>
              </w:rPr>
            </w:pPr>
            <w:r w:rsidRPr="009C5C36">
              <w:rPr>
                <w:rFonts w:ascii="Cambria" w:hAnsi="Cambria"/>
                <w:b/>
                <w:bCs/>
                <w:color w:val="FFFFFF" w:themeColor="background1"/>
                <w:sz w:val="20"/>
                <w:szCs w:val="20"/>
              </w:rPr>
              <w:t>Derechos declarados admisibles</w:t>
            </w:r>
            <w:r w:rsidRPr="009C5C36">
              <w:rPr>
                <w:rFonts w:ascii="Cambria" w:hAnsi="Cambria"/>
                <w:b/>
                <w:bCs/>
                <w:i/>
                <w:color w:val="FFFFFF" w:themeColor="background1"/>
                <w:sz w:val="20"/>
                <w:szCs w:val="20"/>
              </w:rPr>
              <w:t>:</w:t>
            </w:r>
          </w:p>
        </w:tc>
        <w:tc>
          <w:tcPr>
            <w:tcW w:w="5760" w:type="dxa"/>
            <w:vAlign w:val="center"/>
          </w:tcPr>
          <w:p w:rsidR="003239B8" w:rsidRPr="009C5C36" w:rsidRDefault="00FB2328" w:rsidP="00137F56">
            <w:pPr>
              <w:jc w:val="both"/>
              <w:rPr>
                <w:rFonts w:ascii="Cambria" w:hAnsi="Cambria"/>
                <w:bCs/>
                <w:sz w:val="20"/>
                <w:szCs w:val="20"/>
                <w:lang w:val="es-AR"/>
              </w:rPr>
            </w:pPr>
            <w:r w:rsidRPr="009C5C36">
              <w:rPr>
                <w:rFonts w:asciiTheme="majorHAnsi" w:hAnsiTheme="majorHAnsi"/>
                <w:sz w:val="20"/>
                <w:szCs w:val="20"/>
                <w:lang w:val="es-ES"/>
              </w:rPr>
              <w:t>Artículos 4 (vida), 5 (integridad personal), 8 (garantías judiciales), 25 (protección judicial)</w:t>
            </w:r>
            <w:r w:rsidR="00ED3703" w:rsidRPr="009C5C36">
              <w:rPr>
                <w:rFonts w:asciiTheme="majorHAnsi" w:hAnsiTheme="majorHAnsi"/>
                <w:sz w:val="20"/>
                <w:szCs w:val="20"/>
                <w:lang w:val="es-ES"/>
              </w:rPr>
              <w:t xml:space="preserve"> y</w:t>
            </w:r>
            <w:r w:rsidRPr="009C5C36">
              <w:rPr>
                <w:rFonts w:asciiTheme="majorHAnsi" w:hAnsiTheme="majorHAnsi"/>
                <w:sz w:val="20"/>
                <w:szCs w:val="20"/>
                <w:lang w:val="es-ES"/>
              </w:rPr>
              <w:t xml:space="preserve"> 26 (</w:t>
            </w:r>
            <w:r w:rsidR="00137F56">
              <w:rPr>
                <w:rFonts w:asciiTheme="majorHAnsi" w:hAnsiTheme="majorHAnsi"/>
                <w:sz w:val="20"/>
                <w:szCs w:val="20"/>
                <w:lang w:val="es-ES"/>
              </w:rPr>
              <w:t>derechos económicos, sociales y culturales</w:t>
            </w:r>
            <w:r w:rsidRPr="009C5C36">
              <w:rPr>
                <w:rFonts w:asciiTheme="majorHAnsi" w:hAnsiTheme="majorHAnsi"/>
                <w:sz w:val="20"/>
                <w:szCs w:val="20"/>
                <w:lang w:val="es-ES"/>
              </w:rPr>
              <w:t>)</w:t>
            </w:r>
            <w:r w:rsidR="004E031F" w:rsidRPr="009C5C36">
              <w:rPr>
                <w:rFonts w:asciiTheme="majorHAnsi" w:hAnsiTheme="majorHAnsi"/>
                <w:sz w:val="20"/>
                <w:szCs w:val="20"/>
                <w:lang w:val="es-ES"/>
              </w:rPr>
              <w:t>,</w:t>
            </w:r>
            <w:r w:rsidRPr="009C5C36">
              <w:rPr>
                <w:rFonts w:asciiTheme="majorHAnsi" w:hAnsiTheme="majorHAnsi"/>
                <w:sz w:val="20"/>
                <w:szCs w:val="20"/>
                <w:lang w:val="es-ES"/>
              </w:rPr>
              <w:t xml:space="preserve"> en relación con los artículos 1.1 y 2 de la Convención Americana </w:t>
            </w:r>
          </w:p>
        </w:tc>
      </w:tr>
      <w:tr w:rsidR="003239B8" w:rsidRPr="003E63BF" w:rsidTr="00B114B7">
        <w:trPr>
          <w:cantSplit/>
        </w:trPr>
        <w:tc>
          <w:tcPr>
            <w:tcW w:w="3600" w:type="dxa"/>
            <w:tcBorders>
              <w:top w:val="single" w:sz="6" w:space="0" w:color="auto"/>
              <w:bottom w:val="single" w:sz="6" w:space="0" w:color="auto"/>
            </w:tcBorders>
            <w:shd w:val="clear" w:color="auto" w:fill="386294"/>
            <w:vAlign w:val="center"/>
          </w:tcPr>
          <w:p w:rsidR="003239B8" w:rsidRPr="009C5C36" w:rsidRDefault="003239B8" w:rsidP="009C5C36">
            <w:pPr>
              <w:jc w:val="center"/>
              <w:rPr>
                <w:rFonts w:ascii="Cambria" w:hAnsi="Cambria"/>
                <w:b/>
                <w:bCs/>
                <w:color w:val="FFFFFF" w:themeColor="background1"/>
                <w:sz w:val="20"/>
                <w:szCs w:val="20"/>
                <w:lang w:val="es-ES"/>
              </w:rPr>
            </w:pPr>
            <w:r w:rsidRPr="009C5C36">
              <w:rPr>
                <w:rFonts w:ascii="Cambria" w:hAnsi="Cambria"/>
                <w:b/>
                <w:bCs/>
                <w:color w:val="FFFFFF" w:themeColor="background1"/>
                <w:sz w:val="20"/>
                <w:szCs w:val="20"/>
                <w:lang w:val="es-ES"/>
              </w:rPr>
              <w:t>Agotamiento de recursos internos</w:t>
            </w:r>
            <w:r w:rsidR="00EE00E9" w:rsidRPr="009C5C36">
              <w:rPr>
                <w:rFonts w:ascii="Cambria" w:hAnsi="Cambria"/>
                <w:b/>
                <w:bCs/>
                <w:color w:val="FFFFFF" w:themeColor="background1"/>
                <w:sz w:val="20"/>
                <w:szCs w:val="20"/>
                <w:lang w:val="es-ES"/>
              </w:rPr>
              <w:t xml:space="preserve"> o procedencia de una excepción</w:t>
            </w:r>
            <w:r w:rsidRPr="009C5C36">
              <w:rPr>
                <w:rFonts w:ascii="Cambria" w:hAnsi="Cambria"/>
                <w:b/>
                <w:bCs/>
                <w:color w:val="FFFFFF" w:themeColor="background1"/>
                <w:sz w:val="20"/>
                <w:szCs w:val="20"/>
                <w:lang w:val="es-ES"/>
              </w:rPr>
              <w:t>:</w:t>
            </w:r>
          </w:p>
        </w:tc>
        <w:tc>
          <w:tcPr>
            <w:tcW w:w="5760" w:type="dxa"/>
            <w:vAlign w:val="center"/>
          </w:tcPr>
          <w:p w:rsidR="003239B8" w:rsidRPr="009C5C36" w:rsidRDefault="00FB2328" w:rsidP="009C5C36">
            <w:pPr>
              <w:rPr>
                <w:rFonts w:ascii="Cambria" w:hAnsi="Cambria"/>
                <w:bCs/>
                <w:sz w:val="20"/>
                <w:szCs w:val="20"/>
                <w:lang w:val="es-ES"/>
              </w:rPr>
            </w:pPr>
            <w:r w:rsidRPr="009C5C36">
              <w:rPr>
                <w:rFonts w:asciiTheme="majorHAnsi" w:hAnsiTheme="majorHAnsi"/>
                <w:bCs/>
                <w:sz w:val="20"/>
                <w:szCs w:val="20"/>
                <w:lang w:val="es-ES"/>
              </w:rPr>
              <w:t>Sí, en los términos de la sección VI</w:t>
            </w:r>
          </w:p>
        </w:tc>
      </w:tr>
      <w:tr w:rsidR="003239B8" w:rsidRPr="003E63BF" w:rsidTr="00B114B7">
        <w:trPr>
          <w:cantSplit/>
        </w:trPr>
        <w:tc>
          <w:tcPr>
            <w:tcW w:w="3600" w:type="dxa"/>
            <w:tcBorders>
              <w:top w:val="single" w:sz="6" w:space="0" w:color="auto"/>
              <w:bottom w:val="single" w:sz="6" w:space="0" w:color="auto"/>
            </w:tcBorders>
            <w:shd w:val="clear" w:color="auto" w:fill="386294"/>
            <w:vAlign w:val="center"/>
          </w:tcPr>
          <w:p w:rsidR="003239B8" w:rsidRPr="009C5C36" w:rsidRDefault="003239B8" w:rsidP="009C5C36">
            <w:pPr>
              <w:jc w:val="center"/>
              <w:rPr>
                <w:rFonts w:ascii="Cambria" w:hAnsi="Cambria"/>
                <w:b/>
                <w:bCs/>
                <w:color w:val="FFFFFF" w:themeColor="background1"/>
                <w:sz w:val="20"/>
                <w:szCs w:val="20"/>
              </w:rPr>
            </w:pPr>
            <w:r w:rsidRPr="00137F56">
              <w:rPr>
                <w:rFonts w:ascii="Cambria" w:hAnsi="Cambria"/>
                <w:b/>
                <w:bCs/>
                <w:color w:val="FFFFFF" w:themeColor="background1"/>
                <w:sz w:val="20"/>
                <w:szCs w:val="20"/>
                <w:lang w:val="es-ES"/>
              </w:rPr>
              <w:t>Presentación dent</w:t>
            </w:r>
            <w:r w:rsidRPr="009C5C36">
              <w:rPr>
                <w:rFonts w:ascii="Cambria" w:hAnsi="Cambria"/>
                <w:b/>
                <w:bCs/>
                <w:color w:val="FFFFFF" w:themeColor="background1"/>
                <w:sz w:val="20"/>
                <w:szCs w:val="20"/>
              </w:rPr>
              <w:t>ro de plazo:</w:t>
            </w:r>
          </w:p>
        </w:tc>
        <w:tc>
          <w:tcPr>
            <w:tcW w:w="5760" w:type="dxa"/>
            <w:vAlign w:val="center"/>
          </w:tcPr>
          <w:p w:rsidR="003239B8" w:rsidRPr="009C5C36" w:rsidRDefault="00FB2328" w:rsidP="009C5C36">
            <w:pPr>
              <w:rPr>
                <w:bCs/>
                <w:sz w:val="20"/>
                <w:szCs w:val="20"/>
                <w:lang w:val="es-AR"/>
              </w:rPr>
            </w:pPr>
            <w:r w:rsidRPr="009C5C36">
              <w:rPr>
                <w:rFonts w:asciiTheme="majorHAnsi" w:hAnsiTheme="majorHAnsi"/>
                <w:bCs/>
                <w:sz w:val="20"/>
                <w:szCs w:val="20"/>
                <w:lang w:val="es-ES"/>
              </w:rPr>
              <w:t>Sí, en los términos de la sección VI</w:t>
            </w:r>
          </w:p>
        </w:tc>
      </w:tr>
    </w:tbl>
    <w:p w:rsidR="00D82CD1" w:rsidRPr="009C5C36" w:rsidRDefault="00D82CD1" w:rsidP="009C5C36">
      <w:pPr>
        <w:spacing w:before="240" w:after="240"/>
        <w:ind w:firstLine="720"/>
        <w:jc w:val="both"/>
        <w:rPr>
          <w:rFonts w:asciiTheme="majorHAnsi" w:hAnsiTheme="majorHAnsi"/>
          <w:b/>
          <w:sz w:val="20"/>
          <w:szCs w:val="20"/>
          <w:lang w:val="es-UY"/>
        </w:rPr>
      </w:pPr>
    </w:p>
    <w:p w:rsidR="003239B8" w:rsidRPr="009C5C36" w:rsidRDefault="00223A29" w:rsidP="009C5C36">
      <w:pPr>
        <w:spacing w:before="240" w:after="240"/>
        <w:ind w:firstLine="720"/>
        <w:jc w:val="both"/>
        <w:rPr>
          <w:rFonts w:asciiTheme="majorHAnsi" w:hAnsiTheme="majorHAnsi"/>
          <w:b/>
          <w:sz w:val="20"/>
          <w:szCs w:val="20"/>
          <w:lang w:val="es-UY"/>
        </w:rPr>
      </w:pPr>
      <w:r w:rsidRPr="009C5C36">
        <w:rPr>
          <w:rFonts w:asciiTheme="majorHAnsi" w:hAnsiTheme="majorHAnsi"/>
          <w:b/>
          <w:sz w:val="20"/>
          <w:szCs w:val="20"/>
          <w:lang w:val="es-UY"/>
        </w:rPr>
        <w:lastRenderedPageBreak/>
        <w:t xml:space="preserve">V. </w:t>
      </w:r>
      <w:r w:rsidRPr="009C5C36">
        <w:rPr>
          <w:rFonts w:asciiTheme="majorHAnsi" w:hAnsiTheme="majorHAnsi"/>
          <w:b/>
          <w:sz w:val="20"/>
          <w:szCs w:val="20"/>
          <w:lang w:val="es-UY"/>
        </w:rPr>
        <w:tab/>
      </w:r>
      <w:r w:rsidR="003239B8" w:rsidRPr="009C5C36">
        <w:rPr>
          <w:rFonts w:asciiTheme="majorHAnsi" w:hAnsiTheme="majorHAnsi"/>
          <w:b/>
          <w:sz w:val="20"/>
          <w:szCs w:val="20"/>
          <w:lang w:val="es-UY"/>
        </w:rPr>
        <w:t xml:space="preserve">HECHOS ALEGADOS </w:t>
      </w:r>
    </w:p>
    <w:p w:rsidR="00FB2328" w:rsidRPr="009C5C36" w:rsidRDefault="00FB2328" w:rsidP="009C5C36">
      <w:pPr>
        <w:pStyle w:val="ListParagraph"/>
        <w:numPr>
          <w:ilvl w:val="0"/>
          <w:numId w:val="55"/>
        </w:numPr>
        <w:spacing w:before="240" w:after="240"/>
        <w:jc w:val="both"/>
        <w:rPr>
          <w:rFonts w:asciiTheme="majorHAnsi" w:hAnsiTheme="majorHAnsi"/>
          <w:sz w:val="20"/>
          <w:lang w:val="es-ES"/>
        </w:rPr>
      </w:pPr>
      <w:r w:rsidRPr="009C5C36">
        <w:rPr>
          <w:rFonts w:asciiTheme="majorHAnsi" w:hAnsiTheme="majorHAnsi"/>
          <w:sz w:val="20"/>
          <w:lang w:val="es-ES"/>
        </w:rPr>
        <w:t xml:space="preserve">Los peticionarios alegan la falta de investigación sobre la explosión ocurrida el 19 de febrero de 2006 en la mina de carbón llamada Pasta de Conchos, ubicada en el Estado de Coahuila, concesionada por el Estado al Grupo Industrial Minera México S. A. B. de C.V. (en adelante, “la empresa” o “IIMSA”). Señalan que 65 trabajadores fallecieron como consecuencia de la explosión, y que 63 de los cuerpos no han sido rescatados a la fecha. Asimismo, informan que ocho mineros lograron </w:t>
      </w:r>
      <w:r w:rsidR="009C5C36" w:rsidRPr="009C5C36">
        <w:rPr>
          <w:rFonts w:asciiTheme="majorHAnsi" w:hAnsiTheme="majorHAnsi"/>
          <w:sz w:val="20"/>
          <w:lang w:val="es-ES"/>
        </w:rPr>
        <w:t>sobrevivir,</w:t>
      </w:r>
      <w:r w:rsidRPr="009C5C36">
        <w:rPr>
          <w:rFonts w:asciiTheme="majorHAnsi" w:hAnsiTheme="majorHAnsi"/>
          <w:sz w:val="20"/>
          <w:lang w:val="es-ES"/>
        </w:rPr>
        <w:t xml:space="preserve"> aunque con graves afectaciones a su salud e integridad personal. Alegan que las autoridades de la Secretaría del Trabajo y de la Previsión Social tenían conocimiento de las condiciones de alto riesgo que caracterizan a la industria del carbón, así como de diversas fallas de seguridad documentadas en la mina Pasta de Conchos a través de las inspecciones allí realizadas a partir de 2000 y que ponían en riesgo la vida y la integridad de los trabajadores. Según los peticionarios, las autoridades estatales no dieron seguimiento puntual, rápido y efectivo a la subsanación de aquellas irregularidades, por lo cual sostienen que el Estado es responsable por haber incumplido sus deberes de contralor. </w:t>
      </w:r>
    </w:p>
    <w:p w:rsidR="00FB2328" w:rsidRPr="009C5C36" w:rsidRDefault="00FB2328" w:rsidP="009C5C36">
      <w:pPr>
        <w:pStyle w:val="ListParagraph"/>
        <w:numPr>
          <w:ilvl w:val="0"/>
          <w:numId w:val="55"/>
        </w:numPr>
        <w:spacing w:after="240"/>
        <w:jc w:val="both"/>
        <w:rPr>
          <w:rFonts w:asciiTheme="majorHAnsi" w:hAnsiTheme="majorHAnsi"/>
          <w:sz w:val="20"/>
          <w:lang w:val="es-ES"/>
        </w:rPr>
      </w:pPr>
      <w:r w:rsidRPr="009C5C36">
        <w:rPr>
          <w:rFonts w:asciiTheme="majorHAnsi" w:hAnsiTheme="majorHAnsi"/>
          <w:sz w:val="20"/>
          <w:lang w:val="es-ES"/>
        </w:rPr>
        <w:t>Los peticionarios sostienen que los hechos de la presente petición se enmarcan en un contexto caracterizado a partir del año 2000 por la implementación en M</w:t>
      </w:r>
      <w:r w:rsidRPr="009C5C36">
        <w:rPr>
          <w:rFonts w:asciiTheme="majorHAnsi" w:hAnsiTheme="majorHAnsi" w:cs="Times New Roman"/>
          <w:sz w:val="20"/>
          <w:lang w:val="es-ES" w:eastAsia="ja-JP"/>
        </w:rPr>
        <w:t>éxico de</w:t>
      </w:r>
      <w:r w:rsidRPr="009C5C36">
        <w:rPr>
          <w:rFonts w:asciiTheme="majorHAnsi" w:hAnsiTheme="majorHAnsi"/>
          <w:sz w:val="20"/>
          <w:lang w:val="es-ES"/>
        </w:rPr>
        <w:t xml:space="preserve"> políticas de ajuste estructural y desregulación de los derechos laborales que han conllevado a la progresiva tercerización del empleo y a la reducción del presupuesto destinado a la función de la inspección. Agregan que las empresas dedicadas a la explotación minera en México se han proyectado como uno de los sectores de mayor rentabilidad económica mientras que los trabajadores mineros y sus familias constituyen una población que vive en condiciones de pobreza y marginación. </w:t>
      </w:r>
    </w:p>
    <w:p w:rsidR="00FB2328" w:rsidRPr="009C5C36" w:rsidRDefault="00FB2328" w:rsidP="009C5C36">
      <w:pPr>
        <w:pStyle w:val="ListParagraph"/>
        <w:numPr>
          <w:ilvl w:val="0"/>
          <w:numId w:val="55"/>
        </w:numPr>
        <w:spacing w:after="240"/>
        <w:jc w:val="both"/>
        <w:rPr>
          <w:rFonts w:asciiTheme="majorHAnsi" w:hAnsiTheme="majorHAnsi"/>
          <w:sz w:val="20"/>
          <w:lang w:val="es-ES"/>
        </w:rPr>
      </w:pPr>
      <w:r w:rsidRPr="009C5C36">
        <w:rPr>
          <w:rFonts w:asciiTheme="majorHAnsi" w:hAnsiTheme="majorHAnsi"/>
          <w:sz w:val="20"/>
          <w:lang w:val="es-ES"/>
        </w:rPr>
        <w:t>Los hechos del caso ocurrieron en la madrugada del 19 de enero de 2006 cuando se suscitó una explosi</w:t>
      </w:r>
      <w:r w:rsidRPr="009C5C36">
        <w:rPr>
          <w:rFonts w:asciiTheme="majorHAnsi" w:hAnsiTheme="majorHAnsi"/>
          <w:vanish/>
          <w:sz w:val="20"/>
          <w:lang w:val="es-ES"/>
        </w:rPr>
        <w:t xml:space="preserve">ón al interior de la Mina 8 de la Unidad Pasta de Conchos a las 02.15 </w:t>
      </w:r>
      <w:r w:rsidR="00357602" w:rsidRPr="009C5C36">
        <w:rPr>
          <w:rFonts w:asciiTheme="majorHAnsi" w:hAnsiTheme="majorHAnsi"/>
          <w:sz w:val="20"/>
          <w:lang w:val="es-ES"/>
        </w:rPr>
        <w:t>ón</w:t>
      </w:r>
      <w:r w:rsidRPr="009C5C36">
        <w:rPr>
          <w:rFonts w:asciiTheme="majorHAnsi" w:hAnsiTheme="majorHAnsi"/>
          <w:sz w:val="20"/>
          <w:lang w:val="es-ES"/>
        </w:rPr>
        <w:t xml:space="preserve"> y quedaron atrapados 65 de los 73 mineros que en aquel momento se encontraban laborando en el tercer turno de la mina. Los peticionarios relatan que inspectores gubernamentales de la Secretaría del Trabajo y la Previsión Social (en adelante, STSP) habían documentado desde el año 2000 un conjunto de irregularidades y faltas de seguridad e higiene a partir de inspecciones efectuadas en la mina. Precisan que varias de las deficiencias de la mina representaban un riesgo grave e inminente para los trabajadores pero que su modificación no fue verificada oportunamente por las autoridades estatales. Esto habría sido constatado en la</w:t>
      </w:r>
      <w:r w:rsidR="000552BC" w:rsidRPr="009C5C36">
        <w:rPr>
          <w:rFonts w:asciiTheme="majorHAnsi" w:hAnsiTheme="majorHAnsi"/>
          <w:sz w:val="20"/>
          <w:lang w:val="es-ES"/>
        </w:rPr>
        <w:t>s</w:t>
      </w:r>
      <w:r w:rsidRPr="009C5C36">
        <w:rPr>
          <w:rFonts w:asciiTheme="majorHAnsi" w:hAnsiTheme="majorHAnsi"/>
          <w:sz w:val="20"/>
          <w:lang w:val="es-ES"/>
        </w:rPr>
        <w:t xml:space="preserve"> investigaci</w:t>
      </w:r>
      <w:r w:rsidR="000552BC" w:rsidRPr="009C5C36">
        <w:rPr>
          <w:rFonts w:asciiTheme="majorHAnsi" w:hAnsiTheme="majorHAnsi"/>
          <w:sz w:val="20"/>
          <w:lang w:val="es-ES"/>
        </w:rPr>
        <w:t>ones</w:t>
      </w:r>
      <w:r w:rsidRPr="009C5C36">
        <w:rPr>
          <w:rFonts w:asciiTheme="majorHAnsi" w:hAnsiTheme="majorHAnsi"/>
          <w:sz w:val="20"/>
          <w:lang w:val="es-ES"/>
        </w:rPr>
        <w:t xml:space="preserve"> realizada</w:t>
      </w:r>
      <w:r w:rsidR="000552BC" w:rsidRPr="009C5C36">
        <w:rPr>
          <w:rFonts w:asciiTheme="majorHAnsi" w:hAnsiTheme="majorHAnsi"/>
          <w:sz w:val="20"/>
          <w:lang w:val="es-ES"/>
        </w:rPr>
        <w:t xml:space="preserve">s por una Comisión Legislativa </w:t>
      </w:r>
      <w:r w:rsidR="000552BC" w:rsidRPr="009C5C36">
        <w:rPr>
          <w:rFonts w:asciiTheme="majorHAnsi" w:hAnsiTheme="majorHAnsi"/>
          <w:i/>
          <w:sz w:val="20"/>
          <w:lang w:val="es-ES"/>
        </w:rPr>
        <w:t>ad hoc</w:t>
      </w:r>
      <w:r w:rsidR="000552BC" w:rsidRPr="009C5C36">
        <w:rPr>
          <w:rFonts w:asciiTheme="majorHAnsi" w:hAnsiTheme="majorHAnsi"/>
          <w:sz w:val="20"/>
          <w:lang w:val="es-ES"/>
        </w:rPr>
        <w:t xml:space="preserve"> y</w:t>
      </w:r>
      <w:r w:rsidRPr="009C5C36">
        <w:rPr>
          <w:rFonts w:asciiTheme="majorHAnsi" w:hAnsiTheme="majorHAnsi"/>
          <w:sz w:val="20"/>
          <w:lang w:val="es-ES"/>
        </w:rPr>
        <w:t xml:space="preserve"> por la Comisión Nacional de Derechos Humanos (en adelante, CNDH) que emitió la recomendación 26/2006 a través de la cual determinó la responsabilidad de los servidores públicos de la STSP. Por lo tanto, los peticionarios manifiestan que la explosión de la Mina de Pasta de Conchos fue un evento previsible y evitable por el Estado.</w:t>
      </w:r>
    </w:p>
    <w:p w:rsidR="00FB2328" w:rsidRPr="009C5C36" w:rsidRDefault="00FB2328" w:rsidP="009C5C36">
      <w:pPr>
        <w:pStyle w:val="ListParagraph"/>
        <w:numPr>
          <w:ilvl w:val="0"/>
          <w:numId w:val="55"/>
        </w:numPr>
        <w:spacing w:after="240"/>
        <w:jc w:val="both"/>
        <w:rPr>
          <w:rFonts w:asciiTheme="majorHAnsi" w:hAnsiTheme="majorHAnsi"/>
          <w:sz w:val="20"/>
          <w:lang w:val="es-ES"/>
        </w:rPr>
      </w:pPr>
      <w:r w:rsidRPr="009C5C36">
        <w:rPr>
          <w:rFonts w:asciiTheme="majorHAnsi" w:hAnsiTheme="majorHAnsi"/>
          <w:sz w:val="20"/>
          <w:lang w:val="es-ES"/>
        </w:rPr>
        <w:t>Asimismo</w:t>
      </w:r>
      <w:r w:rsidR="0045357D" w:rsidRPr="009C5C36">
        <w:rPr>
          <w:rFonts w:asciiTheme="majorHAnsi" w:hAnsiTheme="majorHAnsi"/>
          <w:sz w:val="20"/>
          <w:lang w:val="es-ES"/>
        </w:rPr>
        <w:t>,</w:t>
      </w:r>
      <w:r w:rsidRPr="009C5C36">
        <w:rPr>
          <w:rFonts w:asciiTheme="majorHAnsi" w:hAnsiTheme="majorHAnsi"/>
          <w:sz w:val="20"/>
          <w:lang w:val="es-ES"/>
        </w:rPr>
        <w:t xml:space="preserve"> cuestionan la decisión adoptada el 5 de abril de 2007 de suspender el rescate de los restos mortales de los mineros fallecidos en la explosión bajo el argumento brindado por el Estado de que existían condiciones de peligro que impedían el acceso al interior de la mina. </w:t>
      </w:r>
      <w:r w:rsidR="0098453D" w:rsidRPr="009C5C36">
        <w:rPr>
          <w:rFonts w:asciiTheme="majorHAnsi" w:hAnsiTheme="majorHAnsi"/>
          <w:sz w:val="20"/>
          <w:lang w:val="es-ES"/>
        </w:rPr>
        <w:t>Indican que</w:t>
      </w:r>
      <w:r w:rsidRPr="009C5C36">
        <w:rPr>
          <w:rFonts w:asciiTheme="majorHAnsi" w:hAnsiTheme="majorHAnsi"/>
          <w:sz w:val="20"/>
          <w:lang w:val="es-ES"/>
        </w:rPr>
        <w:t>, de acuerdo a la información disponible</w:t>
      </w:r>
      <w:r w:rsidR="0045357D" w:rsidRPr="009C5C36">
        <w:rPr>
          <w:rFonts w:asciiTheme="majorHAnsi" w:hAnsiTheme="majorHAnsi"/>
          <w:sz w:val="20"/>
          <w:lang w:val="es-ES"/>
        </w:rPr>
        <w:t>,</w:t>
      </w:r>
      <w:r w:rsidRPr="009C5C36">
        <w:rPr>
          <w:rFonts w:asciiTheme="majorHAnsi" w:hAnsiTheme="majorHAnsi"/>
          <w:sz w:val="20"/>
          <w:lang w:val="es-ES"/>
        </w:rPr>
        <w:t xml:space="preserve"> la mina continuó en funciones hasta el 21 de noviembre del mismo año. Al respecto</w:t>
      </w:r>
      <w:r w:rsidR="0045357D" w:rsidRPr="009C5C36">
        <w:rPr>
          <w:rFonts w:asciiTheme="majorHAnsi" w:hAnsiTheme="majorHAnsi"/>
          <w:sz w:val="20"/>
          <w:lang w:val="es-ES"/>
        </w:rPr>
        <w:t>,</w:t>
      </w:r>
      <w:r w:rsidRPr="009C5C36">
        <w:rPr>
          <w:rFonts w:asciiTheme="majorHAnsi" w:hAnsiTheme="majorHAnsi"/>
          <w:sz w:val="20"/>
          <w:lang w:val="es-ES"/>
        </w:rPr>
        <w:t xml:space="preserve"> expresan que aquella decisión y la negativa del Estado </w:t>
      </w:r>
      <w:r w:rsidR="0045357D" w:rsidRPr="009C5C36">
        <w:rPr>
          <w:rFonts w:asciiTheme="majorHAnsi" w:hAnsiTheme="majorHAnsi"/>
          <w:sz w:val="20"/>
          <w:lang w:val="es-ES"/>
        </w:rPr>
        <w:t xml:space="preserve">de </w:t>
      </w:r>
      <w:r w:rsidRPr="009C5C36">
        <w:rPr>
          <w:rFonts w:asciiTheme="majorHAnsi" w:hAnsiTheme="majorHAnsi"/>
          <w:sz w:val="20"/>
          <w:lang w:val="es-ES"/>
        </w:rPr>
        <w:t>reactivar la búsqueda de los cuerpos se basaron en informes que carecen de sustento científico y que, con ellas, el Estado ha buscado impedir la realización de estudios dirigidos a precisar las causas reales del siniestro. En consecuencia, reclaman el esclarecimiento de los hechos, la determinación de las responsabilidades y de las sanciones a los funcionarios estatales</w:t>
      </w:r>
      <w:r w:rsidR="002255D0" w:rsidRPr="009C5C36">
        <w:rPr>
          <w:rFonts w:asciiTheme="majorHAnsi" w:hAnsiTheme="majorHAnsi"/>
          <w:sz w:val="20"/>
          <w:lang w:val="es-ES"/>
        </w:rPr>
        <w:t>,</w:t>
      </w:r>
      <w:r w:rsidRPr="009C5C36">
        <w:rPr>
          <w:rFonts w:asciiTheme="majorHAnsi" w:hAnsiTheme="majorHAnsi"/>
          <w:sz w:val="20"/>
          <w:lang w:val="es-ES"/>
        </w:rPr>
        <w:t xml:space="preserve"> así como el rescate de los cuerpos de los trabajadores mineros fallecidos como principal medida de reparación. </w:t>
      </w:r>
    </w:p>
    <w:p w:rsidR="00FB2328" w:rsidRPr="009C5C36" w:rsidRDefault="00FB2328" w:rsidP="009C5C36">
      <w:pPr>
        <w:pStyle w:val="ListParagraph"/>
        <w:numPr>
          <w:ilvl w:val="0"/>
          <w:numId w:val="55"/>
        </w:numPr>
        <w:spacing w:after="240"/>
        <w:jc w:val="both"/>
        <w:rPr>
          <w:rFonts w:asciiTheme="majorHAnsi" w:hAnsiTheme="majorHAnsi"/>
          <w:sz w:val="20"/>
          <w:lang w:val="es-ES"/>
        </w:rPr>
      </w:pPr>
      <w:r w:rsidRPr="009C5C36">
        <w:rPr>
          <w:rFonts w:asciiTheme="majorHAnsi" w:hAnsiTheme="majorHAnsi"/>
          <w:sz w:val="20"/>
          <w:lang w:val="es-ES"/>
        </w:rPr>
        <w:t>Los peticionarios indican que, a pesar de haberse iniciado</w:t>
      </w:r>
      <w:r w:rsidRPr="009C5C36">
        <w:rPr>
          <w:rFonts w:asciiTheme="majorHAnsi" w:hAnsiTheme="majorHAnsi"/>
          <w:color w:val="auto"/>
          <w:sz w:val="20"/>
          <w:lang w:val="es-ES"/>
        </w:rPr>
        <w:t xml:space="preserve"> múltiples investigaciones en diversas instancias judiciales, administrativas, no jurisdiccionales e incluso legislativas, </w:t>
      </w:r>
      <w:r w:rsidRPr="009C5C36">
        <w:rPr>
          <w:rFonts w:asciiTheme="majorHAnsi" w:hAnsiTheme="majorHAnsi"/>
          <w:sz w:val="20"/>
          <w:lang w:val="es-ES"/>
        </w:rPr>
        <w:t>los hechos de la presente petición han quedado impunes y no han sido adecuadamente investigados ni reparados. También describen las dificultades que tuvieron para estar informad</w:t>
      </w:r>
      <w:r w:rsidR="0045357D" w:rsidRPr="009C5C36">
        <w:rPr>
          <w:rFonts w:asciiTheme="majorHAnsi" w:hAnsiTheme="majorHAnsi"/>
          <w:sz w:val="20"/>
          <w:lang w:val="es-ES"/>
        </w:rPr>
        <w:t>o</w:t>
      </w:r>
      <w:r w:rsidRPr="009C5C36">
        <w:rPr>
          <w:rFonts w:asciiTheme="majorHAnsi" w:hAnsiTheme="majorHAnsi"/>
          <w:sz w:val="20"/>
          <w:lang w:val="es-ES"/>
        </w:rPr>
        <w:t>s sobre la marcha</w:t>
      </w:r>
      <w:r w:rsidRPr="009C5C36">
        <w:rPr>
          <w:rFonts w:asciiTheme="majorHAnsi" w:hAnsiTheme="majorHAnsi"/>
          <w:color w:val="FF0000"/>
          <w:sz w:val="20"/>
          <w:lang w:val="es-ES"/>
        </w:rPr>
        <w:t xml:space="preserve"> </w:t>
      </w:r>
      <w:r w:rsidRPr="009C5C36">
        <w:rPr>
          <w:rFonts w:asciiTheme="majorHAnsi" w:hAnsiTheme="majorHAnsi"/>
          <w:sz w:val="20"/>
          <w:lang w:val="es-ES"/>
        </w:rPr>
        <w:t xml:space="preserve">de las causas judiciales y afirman que </w:t>
      </w:r>
      <w:r w:rsidR="00111C0E" w:rsidRPr="009C5C36">
        <w:rPr>
          <w:rFonts w:asciiTheme="majorHAnsi" w:hAnsiTheme="majorHAnsi"/>
          <w:sz w:val="20"/>
          <w:lang w:val="es-ES"/>
        </w:rPr>
        <w:t xml:space="preserve">a las viudas de los mineros </w:t>
      </w:r>
      <w:r w:rsidRPr="009C5C36">
        <w:rPr>
          <w:rFonts w:asciiTheme="majorHAnsi" w:hAnsiTheme="majorHAnsi"/>
          <w:sz w:val="20"/>
          <w:lang w:val="es-ES"/>
        </w:rPr>
        <w:t xml:space="preserve">se les negó legitimación procesal como coadyuvantes en los dos procesos penales y en los procedimientos administrativos de responsabilidad de servidores públicos y de la empresa, por lo </w:t>
      </w:r>
      <w:r w:rsidR="0045357D" w:rsidRPr="009C5C36">
        <w:rPr>
          <w:rFonts w:asciiTheme="majorHAnsi" w:hAnsiTheme="majorHAnsi"/>
          <w:sz w:val="20"/>
          <w:lang w:val="es-ES"/>
        </w:rPr>
        <w:t xml:space="preserve">que </w:t>
      </w:r>
      <w:r w:rsidRPr="009C5C36">
        <w:rPr>
          <w:rFonts w:asciiTheme="majorHAnsi" w:hAnsiTheme="majorHAnsi"/>
          <w:sz w:val="20"/>
          <w:lang w:val="es-ES"/>
        </w:rPr>
        <w:t xml:space="preserve">no pudieron aportar pruebas ni interponer recursos. </w:t>
      </w:r>
    </w:p>
    <w:p w:rsidR="0098453D" w:rsidRPr="009C5C36" w:rsidRDefault="0098453D" w:rsidP="009C5C36">
      <w:pPr>
        <w:pStyle w:val="ListParagraph"/>
        <w:spacing w:after="240"/>
        <w:ind w:left="0" w:firstLine="720"/>
        <w:jc w:val="both"/>
        <w:rPr>
          <w:rFonts w:asciiTheme="majorHAnsi" w:hAnsiTheme="majorHAnsi"/>
          <w:i/>
          <w:sz w:val="20"/>
          <w:lang w:val="es-ES"/>
        </w:rPr>
      </w:pPr>
    </w:p>
    <w:p w:rsidR="00FB2328" w:rsidRPr="009C5C36" w:rsidRDefault="0045357D" w:rsidP="009C5C36">
      <w:pPr>
        <w:pStyle w:val="ListParagraph"/>
        <w:spacing w:after="240"/>
        <w:ind w:left="0" w:firstLine="720"/>
        <w:jc w:val="both"/>
        <w:rPr>
          <w:rFonts w:asciiTheme="majorHAnsi" w:hAnsiTheme="majorHAnsi"/>
          <w:i/>
          <w:sz w:val="20"/>
          <w:lang w:val="es-ES"/>
        </w:rPr>
      </w:pPr>
      <w:r w:rsidRPr="009C5C36">
        <w:rPr>
          <w:rFonts w:asciiTheme="majorHAnsi" w:hAnsiTheme="majorHAnsi"/>
          <w:i/>
          <w:sz w:val="20"/>
          <w:lang w:val="es-ES"/>
        </w:rPr>
        <w:lastRenderedPageBreak/>
        <w:t xml:space="preserve">Procesos </w:t>
      </w:r>
      <w:r w:rsidR="00FB2328" w:rsidRPr="009C5C36">
        <w:rPr>
          <w:rFonts w:asciiTheme="majorHAnsi" w:hAnsiTheme="majorHAnsi"/>
          <w:i/>
          <w:sz w:val="20"/>
          <w:lang w:val="es-ES"/>
        </w:rPr>
        <w:t>penales</w:t>
      </w:r>
    </w:p>
    <w:p w:rsidR="00FB2328" w:rsidRPr="009C5C36" w:rsidRDefault="00FB2328" w:rsidP="009C5C36">
      <w:pPr>
        <w:pStyle w:val="ListParagraph"/>
        <w:numPr>
          <w:ilvl w:val="0"/>
          <w:numId w:val="55"/>
        </w:numPr>
        <w:jc w:val="both"/>
        <w:rPr>
          <w:rFonts w:asciiTheme="majorHAnsi" w:hAnsiTheme="majorHAnsi"/>
          <w:sz w:val="20"/>
          <w:lang w:val="es-ES"/>
        </w:rPr>
      </w:pPr>
      <w:r w:rsidRPr="009C5C36">
        <w:rPr>
          <w:rFonts w:asciiTheme="majorHAnsi" w:hAnsiTheme="majorHAnsi"/>
          <w:sz w:val="20"/>
          <w:lang w:val="es-ES"/>
        </w:rPr>
        <w:t xml:space="preserve">En primer lugar, alegan que en el fuero penal ordinario del Estado de Coahuila se inició el proceso 200/2007 por homicidio culposo contra cinco empleados de la empresa en el cual no se imputó a ningún funcionario público. </w:t>
      </w:r>
      <w:r w:rsidR="00AF070D" w:rsidRPr="009C5C36">
        <w:rPr>
          <w:rFonts w:asciiTheme="majorHAnsi" w:hAnsiTheme="majorHAnsi"/>
          <w:sz w:val="20"/>
          <w:lang w:val="es-ES"/>
        </w:rPr>
        <w:t>Señalan que a los familiares de las presuntas víctimas en ningún momento se les permitió coadyuva</w:t>
      </w:r>
      <w:r w:rsidR="000A6CDB" w:rsidRPr="009C5C36">
        <w:rPr>
          <w:rFonts w:asciiTheme="majorHAnsi" w:hAnsiTheme="majorHAnsi"/>
          <w:sz w:val="20"/>
          <w:lang w:val="es-ES"/>
        </w:rPr>
        <w:t>r</w:t>
      </w:r>
      <w:r w:rsidR="00AF070D" w:rsidRPr="009C5C36">
        <w:rPr>
          <w:rFonts w:asciiTheme="majorHAnsi" w:hAnsiTheme="majorHAnsi"/>
          <w:sz w:val="20"/>
          <w:lang w:val="es-ES"/>
        </w:rPr>
        <w:t xml:space="preserve">. </w:t>
      </w:r>
      <w:r w:rsidR="00E56910" w:rsidRPr="009C5C36">
        <w:rPr>
          <w:rFonts w:asciiTheme="majorHAnsi" w:hAnsiTheme="majorHAnsi"/>
          <w:sz w:val="20"/>
          <w:lang w:val="es-ES"/>
        </w:rPr>
        <w:t>Indican que</w:t>
      </w:r>
      <w:r w:rsidRPr="009C5C36">
        <w:rPr>
          <w:rFonts w:asciiTheme="majorHAnsi" w:hAnsiTheme="majorHAnsi"/>
          <w:sz w:val="20"/>
          <w:lang w:val="es-ES"/>
        </w:rPr>
        <w:t xml:space="preserve"> el 28 de marzo de 2007 el juez de la causa dictó auto de formal prisión</w:t>
      </w:r>
      <w:r w:rsidR="00E56910" w:rsidRPr="009C5C36">
        <w:rPr>
          <w:rFonts w:asciiTheme="majorHAnsi" w:hAnsiTheme="majorHAnsi"/>
          <w:sz w:val="20"/>
          <w:lang w:val="es-ES"/>
        </w:rPr>
        <w:t>;</w:t>
      </w:r>
      <w:r w:rsidRPr="009C5C36">
        <w:rPr>
          <w:rFonts w:asciiTheme="majorHAnsi" w:hAnsiTheme="majorHAnsi"/>
          <w:sz w:val="20"/>
          <w:lang w:val="es-ES"/>
        </w:rPr>
        <w:t xml:space="preserve"> </w:t>
      </w:r>
      <w:r w:rsidR="00E56910" w:rsidRPr="009C5C36">
        <w:rPr>
          <w:rFonts w:asciiTheme="majorHAnsi" w:hAnsiTheme="majorHAnsi"/>
          <w:sz w:val="20"/>
          <w:lang w:val="es-ES"/>
        </w:rPr>
        <w:t>n</w:t>
      </w:r>
      <w:r w:rsidRPr="009C5C36">
        <w:rPr>
          <w:rFonts w:asciiTheme="majorHAnsi" w:hAnsiTheme="majorHAnsi"/>
          <w:sz w:val="20"/>
          <w:lang w:val="es-ES"/>
        </w:rPr>
        <w:t>o obstante, el 13 de abril de</w:t>
      </w:r>
      <w:r w:rsidR="00E56910" w:rsidRPr="009C5C36">
        <w:rPr>
          <w:rFonts w:asciiTheme="majorHAnsi" w:hAnsiTheme="majorHAnsi"/>
          <w:sz w:val="20"/>
          <w:lang w:val="es-ES"/>
        </w:rPr>
        <w:t>l mismo</w:t>
      </w:r>
      <w:r w:rsidRPr="009C5C36">
        <w:rPr>
          <w:rFonts w:asciiTheme="majorHAnsi" w:hAnsiTheme="majorHAnsi"/>
          <w:sz w:val="20"/>
          <w:lang w:val="es-ES"/>
        </w:rPr>
        <w:t xml:space="preserve"> año el juez decretó el sobreseimiento por reparación del daño en base al artículo 155 del Código Penal local</w:t>
      </w:r>
      <w:r w:rsidRPr="009C5C36">
        <w:rPr>
          <w:rStyle w:val="FootnoteReference"/>
          <w:rFonts w:asciiTheme="majorHAnsi" w:hAnsiTheme="majorHAnsi"/>
          <w:sz w:val="20"/>
          <w:lang w:val="es-ES"/>
        </w:rPr>
        <w:footnoteReference w:id="6"/>
      </w:r>
      <w:r w:rsidRPr="009C5C36">
        <w:rPr>
          <w:rFonts w:asciiTheme="majorHAnsi" w:hAnsiTheme="majorHAnsi"/>
          <w:sz w:val="20"/>
          <w:lang w:val="es-ES"/>
        </w:rPr>
        <w:t>, lo cual condujo a la extinción de la acción penal. Explican que los procesados consignaron la cantidad de $182.629,20 pesos mexicanos (equivalentes a $14.048,40 USD</w:t>
      </w:r>
      <w:r w:rsidR="00234E8C" w:rsidRPr="009C5C36">
        <w:rPr>
          <w:rFonts w:asciiTheme="majorHAnsi" w:hAnsiTheme="majorHAnsi"/>
          <w:sz w:val="20"/>
          <w:lang w:val="es-ES"/>
        </w:rPr>
        <w:t xml:space="preserve"> al momento de </w:t>
      </w:r>
      <w:r w:rsidR="00BA3A2C" w:rsidRPr="009C5C36">
        <w:rPr>
          <w:rFonts w:asciiTheme="majorHAnsi" w:hAnsiTheme="majorHAnsi"/>
          <w:sz w:val="20"/>
          <w:lang w:val="es-ES"/>
        </w:rPr>
        <w:t>la interposición de la petición</w:t>
      </w:r>
      <w:r w:rsidR="00234E8C" w:rsidRPr="009C5C36">
        <w:rPr>
          <w:rFonts w:asciiTheme="majorHAnsi" w:hAnsiTheme="majorHAnsi"/>
          <w:sz w:val="20"/>
          <w:lang w:val="es-ES"/>
        </w:rPr>
        <w:t xml:space="preserve"> ante la Comisión</w:t>
      </w:r>
      <w:r w:rsidRPr="009C5C36">
        <w:rPr>
          <w:rFonts w:asciiTheme="majorHAnsi" w:hAnsiTheme="majorHAnsi"/>
          <w:sz w:val="20"/>
          <w:lang w:val="es-ES"/>
        </w:rPr>
        <w:t>)</w:t>
      </w:r>
      <w:r w:rsidR="000708F0" w:rsidRPr="009C5C36">
        <w:rPr>
          <w:rFonts w:asciiTheme="majorHAnsi" w:hAnsiTheme="majorHAnsi"/>
          <w:sz w:val="20"/>
          <w:lang w:val="es-ES"/>
        </w:rPr>
        <w:t>, a cada familia de los 65 mineros</w:t>
      </w:r>
      <w:r w:rsidRPr="009C5C36">
        <w:rPr>
          <w:rFonts w:asciiTheme="majorHAnsi" w:hAnsiTheme="majorHAnsi"/>
          <w:sz w:val="20"/>
          <w:lang w:val="es-ES"/>
        </w:rPr>
        <w:t xml:space="preserve"> en concepto de reparación. Los peticionarios aclaran que los familiares recibieron </w:t>
      </w:r>
      <w:r w:rsidR="008E013F" w:rsidRPr="009C5C36">
        <w:rPr>
          <w:rFonts w:asciiTheme="majorHAnsi" w:hAnsiTheme="majorHAnsi"/>
          <w:sz w:val="20"/>
          <w:lang w:val="es-ES"/>
        </w:rPr>
        <w:t>dicha suma</w:t>
      </w:r>
      <w:r w:rsidRPr="009C5C36">
        <w:rPr>
          <w:rFonts w:asciiTheme="majorHAnsi" w:hAnsiTheme="majorHAnsi"/>
          <w:sz w:val="20"/>
          <w:lang w:val="es-ES"/>
        </w:rPr>
        <w:t xml:space="preserve"> apremiados por la necesidad económica que implicó la pérdida de la fuente de ingresos de la familia y que, a cambio, fueron requeridos a conformarse con la reparación del daño y el sobreseimiento. Por otra parte, enfatizan que aquella indemnización no fue calculada en base al salario de los mineros y que su aceptación está lejos de significar la concesión del perdón. </w:t>
      </w:r>
    </w:p>
    <w:p w:rsidR="00B757CF" w:rsidRPr="009C5C36" w:rsidRDefault="00B757CF" w:rsidP="009C5C36">
      <w:pPr>
        <w:pStyle w:val="ListParagraph"/>
        <w:jc w:val="both"/>
        <w:rPr>
          <w:rFonts w:asciiTheme="majorHAnsi" w:hAnsiTheme="majorHAnsi"/>
          <w:sz w:val="20"/>
          <w:lang w:val="es-ES"/>
        </w:rPr>
      </w:pPr>
    </w:p>
    <w:p w:rsidR="00FB2328" w:rsidRPr="009C5C36" w:rsidRDefault="00FB2328" w:rsidP="009C5C36">
      <w:pPr>
        <w:pStyle w:val="ListParagraph"/>
        <w:numPr>
          <w:ilvl w:val="0"/>
          <w:numId w:val="55"/>
        </w:numPr>
        <w:spacing w:after="240"/>
        <w:jc w:val="both"/>
        <w:rPr>
          <w:rFonts w:asciiTheme="majorHAnsi" w:hAnsiTheme="majorHAnsi"/>
          <w:sz w:val="20"/>
          <w:lang w:val="es-ES"/>
        </w:rPr>
      </w:pPr>
      <w:r w:rsidRPr="009C5C36">
        <w:rPr>
          <w:rFonts w:asciiTheme="majorHAnsi" w:hAnsiTheme="majorHAnsi"/>
          <w:sz w:val="20"/>
          <w:lang w:val="es-ES"/>
        </w:rPr>
        <w:t>Los peticionarios consideran que los hechos no fueron debidamente calificados</w:t>
      </w:r>
      <w:r w:rsidR="008E013F" w:rsidRPr="009C5C36">
        <w:rPr>
          <w:rFonts w:asciiTheme="majorHAnsi" w:hAnsiTheme="majorHAnsi"/>
          <w:sz w:val="20"/>
          <w:lang w:val="es-ES"/>
        </w:rPr>
        <w:t>,</w:t>
      </w:r>
      <w:r w:rsidRPr="009C5C36">
        <w:rPr>
          <w:rFonts w:asciiTheme="majorHAnsi" w:hAnsiTheme="majorHAnsi"/>
          <w:sz w:val="20"/>
          <w:lang w:val="es-ES"/>
        </w:rPr>
        <w:t xml:space="preserve"> lo cual permitió aminorar las presuntas violaciones al derecho a la vida a cambio de una indemnización económica. En virtud de estos motivos alegan que el fuero común</w:t>
      </w:r>
      <w:r w:rsidR="00520A44" w:rsidRPr="009C5C36">
        <w:rPr>
          <w:rFonts w:asciiTheme="majorHAnsi" w:hAnsiTheme="majorHAnsi"/>
          <w:sz w:val="20"/>
          <w:lang w:val="es-ES"/>
        </w:rPr>
        <w:t>, en el que no pudieron coadyuvar,</w:t>
      </w:r>
      <w:r w:rsidRPr="009C5C36">
        <w:rPr>
          <w:rFonts w:asciiTheme="majorHAnsi" w:hAnsiTheme="majorHAnsi"/>
          <w:sz w:val="20"/>
          <w:lang w:val="es-ES"/>
        </w:rPr>
        <w:t xml:space="preserve"> no resultó un recurso efectivo para determinar la verdad de los hechos y la sanción de todos los responsables, </w:t>
      </w:r>
      <w:r w:rsidR="008E013F" w:rsidRPr="009C5C36">
        <w:rPr>
          <w:rFonts w:asciiTheme="majorHAnsi" w:hAnsiTheme="majorHAnsi"/>
          <w:sz w:val="20"/>
          <w:lang w:val="es-ES"/>
        </w:rPr>
        <w:t xml:space="preserve">y </w:t>
      </w:r>
      <w:r w:rsidRPr="009C5C36">
        <w:rPr>
          <w:rFonts w:asciiTheme="majorHAnsi" w:hAnsiTheme="majorHAnsi"/>
          <w:sz w:val="20"/>
          <w:lang w:val="es-ES"/>
        </w:rPr>
        <w:t>por ende solicitan la aplicación de la</w:t>
      </w:r>
      <w:r w:rsidR="00520A44" w:rsidRPr="009C5C36">
        <w:rPr>
          <w:rFonts w:asciiTheme="majorHAnsi" w:hAnsiTheme="majorHAnsi"/>
          <w:sz w:val="20"/>
          <w:lang w:val="es-ES"/>
        </w:rPr>
        <w:t>s</w:t>
      </w:r>
      <w:r w:rsidRPr="009C5C36">
        <w:rPr>
          <w:rFonts w:asciiTheme="majorHAnsi" w:hAnsiTheme="majorHAnsi"/>
          <w:sz w:val="20"/>
          <w:lang w:val="es-ES"/>
        </w:rPr>
        <w:t xml:space="preserve"> excepci</w:t>
      </w:r>
      <w:r w:rsidR="00520A44" w:rsidRPr="009C5C36">
        <w:rPr>
          <w:rFonts w:asciiTheme="majorHAnsi" w:hAnsiTheme="majorHAnsi"/>
          <w:sz w:val="20"/>
          <w:lang w:val="es-ES"/>
        </w:rPr>
        <w:t>ones</w:t>
      </w:r>
      <w:r w:rsidRPr="009C5C36">
        <w:rPr>
          <w:rFonts w:asciiTheme="majorHAnsi" w:hAnsiTheme="majorHAnsi"/>
          <w:sz w:val="20"/>
          <w:lang w:val="es-ES"/>
        </w:rPr>
        <w:t xml:space="preserve"> al agotamiento de los recursos internos contenida</w:t>
      </w:r>
      <w:r w:rsidR="00520A44" w:rsidRPr="009C5C36">
        <w:rPr>
          <w:rFonts w:asciiTheme="majorHAnsi" w:hAnsiTheme="majorHAnsi"/>
          <w:sz w:val="20"/>
          <w:lang w:val="es-ES"/>
        </w:rPr>
        <w:t>s</w:t>
      </w:r>
      <w:r w:rsidRPr="009C5C36">
        <w:rPr>
          <w:rFonts w:asciiTheme="majorHAnsi" w:hAnsiTheme="majorHAnsi"/>
          <w:sz w:val="20"/>
          <w:lang w:val="es-ES"/>
        </w:rPr>
        <w:t xml:space="preserve"> en el artículo 46.2</w:t>
      </w:r>
      <w:r w:rsidR="00520A44" w:rsidRPr="009C5C36">
        <w:rPr>
          <w:rFonts w:asciiTheme="majorHAnsi" w:hAnsiTheme="majorHAnsi"/>
          <w:sz w:val="20"/>
          <w:lang w:val="es-ES"/>
        </w:rPr>
        <w:t xml:space="preserve"> incisos a y b</w:t>
      </w:r>
      <w:r w:rsidRPr="009C5C36">
        <w:rPr>
          <w:rFonts w:asciiTheme="majorHAnsi" w:hAnsiTheme="majorHAnsi"/>
          <w:sz w:val="20"/>
          <w:lang w:val="es-ES"/>
        </w:rPr>
        <w:t xml:space="preserve"> de la Convención Americana.  </w:t>
      </w:r>
    </w:p>
    <w:p w:rsidR="00FB2328" w:rsidRPr="009C5C36" w:rsidRDefault="00FB2328" w:rsidP="009C5C36">
      <w:pPr>
        <w:pStyle w:val="ListParagraph"/>
        <w:numPr>
          <w:ilvl w:val="0"/>
          <w:numId w:val="55"/>
        </w:numPr>
        <w:spacing w:after="240"/>
        <w:jc w:val="both"/>
        <w:rPr>
          <w:rFonts w:asciiTheme="majorHAnsi" w:hAnsiTheme="majorHAnsi"/>
          <w:sz w:val="20"/>
          <w:lang w:val="es-ES"/>
        </w:rPr>
      </w:pPr>
      <w:r w:rsidRPr="009C5C36">
        <w:rPr>
          <w:rFonts w:asciiTheme="majorHAnsi" w:hAnsiTheme="majorHAnsi"/>
          <w:sz w:val="20"/>
          <w:lang w:val="es-ES"/>
        </w:rPr>
        <w:t>En segundo lugar, l</w:t>
      </w:r>
      <w:r w:rsidRPr="009C5C36">
        <w:rPr>
          <w:rFonts w:asciiTheme="majorHAnsi" w:hAnsiTheme="majorHAnsi"/>
          <w:color w:val="auto"/>
          <w:sz w:val="20"/>
          <w:lang w:val="es-ES"/>
        </w:rPr>
        <w:t xml:space="preserve">os peticionarios se refieren a la investigación penal iniciada en paralelo el 19 de febrero de 2007 en el fuero federal sobre la presunta </w:t>
      </w:r>
      <w:r w:rsidRPr="009C5C36">
        <w:rPr>
          <w:rFonts w:asciiTheme="majorHAnsi" w:hAnsiTheme="majorHAnsi"/>
          <w:sz w:val="20"/>
          <w:lang w:val="es-ES"/>
        </w:rPr>
        <w:t>responsabilidad penal de los servidores públicos federales. Agregan que, al año siguiente, la investigación ministerial fue reservada [archivada temporalmente] de oficio</w:t>
      </w:r>
      <w:r w:rsidRPr="009C5C36">
        <w:rPr>
          <w:rFonts w:asciiTheme="majorHAnsi" w:hAnsiTheme="majorHAnsi"/>
          <w:color w:val="auto"/>
          <w:sz w:val="20"/>
          <w:lang w:val="es-ES"/>
        </w:rPr>
        <w:t xml:space="preserve">, por lo cual no fue ejercida la acción penal. </w:t>
      </w:r>
      <w:r w:rsidR="00492818" w:rsidRPr="009C5C36">
        <w:rPr>
          <w:rFonts w:asciiTheme="majorHAnsi" w:hAnsiTheme="majorHAnsi"/>
          <w:color w:val="auto"/>
          <w:sz w:val="20"/>
          <w:lang w:val="es-ES"/>
        </w:rPr>
        <w:t xml:space="preserve">Indican que </w:t>
      </w:r>
      <w:r w:rsidR="0020547D" w:rsidRPr="009C5C36">
        <w:rPr>
          <w:rFonts w:asciiTheme="majorHAnsi" w:hAnsiTheme="majorHAnsi"/>
          <w:color w:val="auto"/>
          <w:sz w:val="20"/>
          <w:lang w:val="es-ES"/>
        </w:rPr>
        <w:t xml:space="preserve">las autoridades </w:t>
      </w:r>
      <w:r w:rsidR="00492818" w:rsidRPr="009C5C36">
        <w:rPr>
          <w:rFonts w:asciiTheme="majorHAnsi" w:hAnsiTheme="majorHAnsi"/>
          <w:color w:val="auto"/>
          <w:sz w:val="20"/>
          <w:lang w:val="es-ES"/>
        </w:rPr>
        <w:t xml:space="preserve">justificaron el cierre temporal e indefinido de la investigación </w:t>
      </w:r>
      <w:r w:rsidR="0020547D" w:rsidRPr="009C5C36">
        <w:rPr>
          <w:rFonts w:asciiTheme="majorHAnsi" w:hAnsiTheme="majorHAnsi"/>
          <w:color w:val="auto"/>
          <w:sz w:val="20"/>
          <w:lang w:val="es-ES"/>
        </w:rPr>
        <w:t xml:space="preserve">en la falta de elementos para determinar las causas de la explosión ya </w:t>
      </w:r>
      <w:r w:rsidR="00492818" w:rsidRPr="009C5C36">
        <w:rPr>
          <w:rFonts w:asciiTheme="majorHAnsi" w:hAnsiTheme="majorHAnsi"/>
          <w:color w:val="auto"/>
          <w:sz w:val="20"/>
          <w:lang w:val="es-ES"/>
        </w:rPr>
        <w:t xml:space="preserve">que “no pudieron practicarse diligencias que no implicaran un alto riesgo e inseguridad para las personas [ingresar a la mina]”. Destacan que la posibilidad de practicar diligencias en la mina fue descartada sin fundamento científico creíble y que el Ministerio Público se negó a recibir varios peritajes sugeridos para determinar las causas de la explosión. </w:t>
      </w:r>
      <w:r w:rsidR="00AC5AC5" w:rsidRPr="009C5C36">
        <w:rPr>
          <w:rFonts w:asciiTheme="majorHAnsi" w:hAnsiTheme="majorHAnsi"/>
          <w:color w:val="auto"/>
          <w:sz w:val="20"/>
          <w:lang w:val="es-ES"/>
        </w:rPr>
        <w:t>Los peticionarios alegan que los familiares no tenían acceso a</w:t>
      </w:r>
      <w:r w:rsidR="0039233F" w:rsidRPr="009C5C36">
        <w:rPr>
          <w:rFonts w:asciiTheme="majorHAnsi" w:hAnsiTheme="majorHAnsi"/>
          <w:color w:val="auto"/>
          <w:sz w:val="20"/>
          <w:lang w:val="es-ES"/>
        </w:rPr>
        <w:t>l expediente de la averiguación previa ni a</w:t>
      </w:r>
      <w:r w:rsidR="00AC5AC5" w:rsidRPr="009C5C36">
        <w:rPr>
          <w:rFonts w:asciiTheme="majorHAnsi" w:hAnsiTheme="majorHAnsi"/>
          <w:color w:val="auto"/>
          <w:sz w:val="20"/>
          <w:lang w:val="es-ES"/>
        </w:rPr>
        <w:t xml:space="preserve"> recurso alguno para impugnar la reserva porque no les fue reconocido su interés jurídico en el caso. </w:t>
      </w:r>
      <w:r w:rsidRPr="009C5C36">
        <w:rPr>
          <w:rFonts w:asciiTheme="majorHAnsi" w:hAnsiTheme="majorHAnsi"/>
          <w:color w:val="auto"/>
          <w:sz w:val="20"/>
          <w:lang w:val="es-ES"/>
        </w:rPr>
        <w:t xml:space="preserve">Tiempo después la CNDH se pronunció nuevamente sobre los hechos del caso a través de la Recomendación 64/2008 en la que determinó que el archivo de la averiguación previa constituyó una violación al derecho a la protección judicial. </w:t>
      </w:r>
    </w:p>
    <w:p w:rsidR="00FB2328" w:rsidRPr="009C5C36" w:rsidRDefault="00587033" w:rsidP="009C5C36">
      <w:pPr>
        <w:pStyle w:val="ListParagraph"/>
        <w:spacing w:after="240"/>
        <w:ind w:left="0" w:firstLine="720"/>
        <w:jc w:val="both"/>
        <w:rPr>
          <w:rFonts w:asciiTheme="majorHAnsi" w:hAnsiTheme="majorHAnsi"/>
          <w:i/>
          <w:sz w:val="20"/>
          <w:lang w:val="es-ES"/>
        </w:rPr>
      </w:pPr>
      <w:r w:rsidRPr="009C5C36">
        <w:rPr>
          <w:rFonts w:asciiTheme="majorHAnsi" w:hAnsiTheme="majorHAnsi"/>
          <w:i/>
          <w:color w:val="auto"/>
          <w:sz w:val="20"/>
          <w:lang w:val="es-ES"/>
        </w:rPr>
        <w:t>Procesos administrativos</w:t>
      </w:r>
    </w:p>
    <w:p w:rsidR="00FB2328" w:rsidRPr="009C5C36" w:rsidRDefault="00587033" w:rsidP="009C5C36">
      <w:pPr>
        <w:pStyle w:val="ListParagraph"/>
        <w:numPr>
          <w:ilvl w:val="0"/>
          <w:numId w:val="55"/>
        </w:numPr>
        <w:spacing w:after="240"/>
        <w:jc w:val="both"/>
        <w:rPr>
          <w:rFonts w:asciiTheme="majorHAnsi" w:hAnsiTheme="majorHAnsi"/>
          <w:sz w:val="20"/>
          <w:lang w:val="es-ES"/>
        </w:rPr>
      </w:pPr>
      <w:r w:rsidRPr="009C5C36">
        <w:rPr>
          <w:rFonts w:asciiTheme="majorHAnsi" w:hAnsiTheme="majorHAnsi"/>
          <w:sz w:val="20"/>
          <w:lang w:val="es-ES"/>
        </w:rPr>
        <w:t>L</w:t>
      </w:r>
      <w:r w:rsidR="00FB2328" w:rsidRPr="009C5C36">
        <w:rPr>
          <w:rFonts w:asciiTheme="majorHAnsi" w:hAnsiTheme="majorHAnsi"/>
          <w:sz w:val="20"/>
          <w:lang w:val="es-ES"/>
        </w:rPr>
        <w:t xml:space="preserve">os peticionarios enumeran diversos procesos administrativos llevados adelante por el Estado. Remarcan que, si bien derivaron en sanciones administrativas contra servidores públicos y contra la empresa, estos procedimientos no son adecuados para responsabilizar a la empresa por las violaciones al derecho a la vida sino únicamente para determinar el incumplimiento de normas de seguridad e higiene. </w:t>
      </w:r>
    </w:p>
    <w:p w:rsidR="00FB2328" w:rsidRPr="009C5C36" w:rsidRDefault="00FB2328" w:rsidP="009C5C36">
      <w:pPr>
        <w:pStyle w:val="ListParagraph"/>
        <w:numPr>
          <w:ilvl w:val="0"/>
          <w:numId w:val="55"/>
        </w:numPr>
        <w:spacing w:after="240"/>
        <w:jc w:val="both"/>
        <w:rPr>
          <w:rFonts w:asciiTheme="majorHAnsi" w:hAnsiTheme="majorHAnsi"/>
          <w:sz w:val="20"/>
          <w:lang w:val="es-ES"/>
        </w:rPr>
      </w:pPr>
      <w:r w:rsidRPr="009C5C36">
        <w:rPr>
          <w:rFonts w:asciiTheme="majorHAnsi" w:hAnsiTheme="majorHAnsi"/>
          <w:sz w:val="20"/>
          <w:lang w:val="es-ES"/>
        </w:rPr>
        <w:t>Entre ellos informan que el Órgano Interno de Control de la STPS inició un procedimiento administrativo de responsabilidad (Expediente DE/66/2006) que concluyó el 15 de febrero de 2008. E</w:t>
      </w:r>
      <w:r w:rsidR="008103FB" w:rsidRPr="009C5C36">
        <w:rPr>
          <w:rFonts w:asciiTheme="majorHAnsi" w:hAnsiTheme="majorHAnsi"/>
          <w:sz w:val="20"/>
          <w:lang w:val="es-ES"/>
        </w:rPr>
        <w:t>n dicho</w:t>
      </w:r>
      <w:r w:rsidRPr="009C5C36">
        <w:rPr>
          <w:rFonts w:asciiTheme="majorHAnsi" w:hAnsiTheme="majorHAnsi"/>
          <w:sz w:val="20"/>
          <w:lang w:val="es-ES"/>
        </w:rPr>
        <w:t xml:space="preserve"> procedimiento fueron sancionados diversos funcionarios públicos con la destitución en el cargo y la inhabilitación en las funciones por el término de un año como consecuencia de su actuación negligente previa </w:t>
      </w:r>
      <w:r w:rsidRPr="009C5C36">
        <w:rPr>
          <w:rFonts w:asciiTheme="majorHAnsi" w:hAnsiTheme="majorHAnsi"/>
          <w:sz w:val="20"/>
          <w:lang w:val="es-ES"/>
        </w:rPr>
        <w:lastRenderedPageBreak/>
        <w:t>a la explosión</w:t>
      </w:r>
      <w:r w:rsidR="008103FB" w:rsidRPr="009C5C36">
        <w:rPr>
          <w:rFonts w:asciiTheme="majorHAnsi" w:hAnsiTheme="majorHAnsi"/>
          <w:sz w:val="20"/>
          <w:lang w:val="es-ES"/>
        </w:rPr>
        <w:t>. Alegan</w:t>
      </w:r>
      <w:r w:rsidRPr="009C5C36">
        <w:rPr>
          <w:rFonts w:asciiTheme="majorHAnsi" w:hAnsiTheme="majorHAnsi"/>
          <w:sz w:val="20"/>
          <w:lang w:val="es-ES"/>
        </w:rPr>
        <w:t xml:space="preserve"> que, sin embargo, no se involucró al Secretario de Trabajo y Previsión Social quien, por ser la máxima autoridad, tenía a su cargo la responsabilidad de aplicar y supervisar las políticas preventivas de protección a los trabajadores. </w:t>
      </w:r>
    </w:p>
    <w:p w:rsidR="00FB2328" w:rsidRPr="009C5C36" w:rsidRDefault="008E013F" w:rsidP="009C5C36">
      <w:pPr>
        <w:pStyle w:val="ListParagraph"/>
        <w:numPr>
          <w:ilvl w:val="0"/>
          <w:numId w:val="55"/>
        </w:numPr>
        <w:spacing w:after="240"/>
        <w:jc w:val="both"/>
        <w:rPr>
          <w:rFonts w:asciiTheme="majorHAnsi" w:hAnsiTheme="majorHAnsi"/>
          <w:sz w:val="20"/>
          <w:lang w:val="es-ES"/>
        </w:rPr>
      </w:pPr>
      <w:r w:rsidRPr="009C5C36">
        <w:rPr>
          <w:rFonts w:asciiTheme="majorHAnsi" w:hAnsiTheme="majorHAnsi"/>
          <w:sz w:val="20"/>
          <w:lang w:val="es-ES"/>
        </w:rPr>
        <w:t>Señalan</w:t>
      </w:r>
      <w:r w:rsidR="00FB2328" w:rsidRPr="009C5C36">
        <w:rPr>
          <w:rFonts w:asciiTheme="majorHAnsi" w:hAnsiTheme="majorHAnsi"/>
          <w:sz w:val="20"/>
          <w:lang w:val="es-ES"/>
        </w:rPr>
        <w:t xml:space="preserve"> que, en algunos de los casos en que fue reclamado, se otorgaron indemnizaciones por la responsabilidad patrimonial del Estado. </w:t>
      </w:r>
      <w:r w:rsidRPr="009C5C36">
        <w:rPr>
          <w:rFonts w:asciiTheme="majorHAnsi" w:hAnsiTheme="majorHAnsi"/>
          <w:sz w:val="20"/>
          <w:lang w:val="es-ES"/>
        </w:rPr>
        <w:t>I</w:t>
      </w:r>
      <w:r w:rsidR="00FB2328" w:rsidRPr="009C5C36">
        <w:rPr>
          <w:rFonts w:asciiTheme="majorHAnsi" w:hAnsiTheme="majorHAnsi"/>
          <w:sz w:val="20"/>
          <w:lang w:val="es-ES"/>
        </w:rPr>
        <w:t xml:space="preserve">nforman que uno de estos juicios, </w:t>
      </w:r>
      <w:r w:rsidR="00FB2328" w:rsidRPr="009C5C36">
        <w:rPr>
          <w:rFonts w:asciiTheme="majorHAnsi" w:hAnsiTheme="majorHAnsi"/>
          <w:color w:val="auto"/>
          <w:sz w:val="20"/>
          <w:lang w:val="es-ES"/>
        </w:rPr>
        <w:t xml:space="preserve">iniciado el 17 de noviembre de 2006 por San Juanita Camacho Pérez a favor de las peticionarias Cindy Fabiola y Mayra Guadalupe García Camacho, se encuentra pendiente de resolución por lo cual se verifica una demora injustificada. </w:t>
      </w:r>
    </w:p>
    <w:p w:rsidR="00FB2328" w:rsidRPr="009C5C36" w:rsidRDefault="00FB2328" w:rsidP="009C5C36">
      <w:pPr>
        <w:pStyle w:val="ListParagraph"/>
        <w:spacing w:after="240"/>
        <w:ind w:left="0" w:firstLine="720"/>
        <w:jc w:val="both"/>
        <w:rPr>
          <w:rFonts w:asciiTheme="majorHAnsi" w:hAnsiTheme="majorHAnsi"/>
          <w:i/>
          <w:sz w:val="20"/>
          <w:lang w:val="es-ES"/>
        </w:rPr>
      </w:pPr>
      <w:r w:rsidRPr="009C5C36">
        <w:rPr>
          <w:rFonts w:asciiTheme="majorHAnsi" w:hAnsiTheme="majorHAnsi"/>
          <w:i/>
          <w:sz w:val="20"/>
          <w:lang w:val="es-ES"/>
        </w:rPr>
        <w:t>Procesos laborales</w:t>
      </w:r>
    </w:p>
    <w:p w:rsidR="00FB2328" w:rsidRPr="009C5C36" w:rsidRDefault="00FB2328" w:rsidP="009C5C36">
      <w:pPr>
        <w:pStyle w:val="ListParagraph"/>
        <w:numPr>
          <w:ilvl w:val="0"/>
          <w:numId w:val="55"/>
        </w:numPr>
        <w:spacing w:after="240"/>
        <w:jc w:val="both"/>
        <w:rPr>
          <w:rFonts w:asciiTheme="majorHAnsi" w:hAnsiTheme="majorHAnsi"/>
          <w:sz w:val="20"/>
          <w:lang w:val="es-ES"/>
        </w:rPr>
      </w:pPr>
      <w:r w:rsidRPr="009C5C36">
        <w:rPr>
          <w:rFonts w:asciiTheme="majorHAnsi" w:hAnsiTheme="majorHAnsi"/>
          <w:sz w:val="20"/>
          <w:szCs w:val="20"/>
          <w:lang w:val="es-ES"/>
        </w:rPr>
        <w:t>Los peticionarios sostienen que el patrocinio legal provisto por la defensa pública para reclamar las indemnizaciones laborales y de la seguridad social fue deficiente</w:t>
      </w:r>
      <w:r w:rsidR="00741C28" w:rsidRPr="009C5C36">
        <w:rPr>
          <w:rFonts w:asciiTheme="majorHAnsi" w:hAnsiTheme="majorHAnsi"/>
          <w:sz w:val="20"/>
          <w:szCs w:val="20"/>
          <w:lang w:val="es-ES"/>
        </w:rPr>
        <w:t>. Alegan</w:t>
      </w:r>
      <w:r w:rsidRPr="009C5C36">
        <w:rPr>
          <w:rFonts w:asciiTheme="majorHAnsi" w:hAnsiTheme="majorHAnsi"/>
          <w:sz w:val="20"/>
          <w:szCs w:val="20"/>
          <w:lang w:val="es-ES"/>
        </w:rPr>
        <w:t xml:space="preserve"> que las indemnizaciones determinadas por la Junta de Conciliación y Arbitraje </w:t>
      </w:r>
      <w:r w:rsidR="00741C28" w:rsidRPr="009C5C36">
        <w:rPr>
          <w:rFonts w:asciiTheme="majorHAnsi" w:hAnsiTheme="majorHAnsi"/>
          <w:sz w:val="20"/>
          <w:szCs w:val="20"/>
          <w:lang w:val="es-ES"/>
        </w:rPr>
        <w:t xml:space="preserve">fueron </w:t>
      </w:r>
      <w:r w:rsidRPr="009C5C36">
        <w:rPr>
          <w:rFonts w:asciiTheme="majorHAnsi" w:hAnsiTheme="majorHAnsi"/>
          <w:sz w:val="20"/>
          <w:szCs w:val="20"/>
          <w:lang w:val="es-ES"/>
        </w:rPr>
        <w:t xml:space="preserve">injustas debido a que </w:t>
      </w:r>
      <w:r w:rsidR="00741C28" w:rsidRPr="009C5C36">
        <w:rPr>
          <w:rFonts w:asciiTheme="majorHAnsi" w:hAnsiTheme="majorHAnsi"/>
          <w:sz w:val="20"/>
          <w:szCs w:val="20"/>
          <w:lang w:val="es-ES"/>
        </w:rPr>
        <w:t xml:space="preserve">se </w:t>
      </w:r>
      <w:r w:rsidRPr="009C5C36">
        <w:rPr>
          <w:rFonts w:asciiTheme="majorHAnsi" w:hAnsiTheme="majorHAnsi"/>
          <w:sz w:val="20"/>
          <w:szCs w:val="20"/>
          <w:lang w:val="es-ES"/>
        </w:rPr>
        <w:t>calcula</w:t>
      </w:r>
      <w:r w:rsidR="00741C28" w:rsidRPr="009C5C36">
        <w:rPr>
          <w:rFonts w:asciiTheme="majorHAnsi" w:hAnsiTheme="majorHAnsi"/>
          <w:sz w:val="20"/>
          <w:szCs w:val="20"/>
          <w:lang w:val="es-ES"/>
        </w:rPr>
        <w:t>ron</w:t>
      </w:r>
      <w:r w:rsidRPr="009C5C36">
        <w:rPr>
          <w:rFonts w:asciiTheme="majorHAnsi" w:hAnsiTheme="majorHAnsi"/>
          <w:sz w:val="20"/>
          <w:szCs w:val="20"/>
          <w:lang w:val="es-ES"/>
        </w:rPr>
        <w:t xml:space="preserve"> en base al salario de los mineros fallecidos reportado por la empresa ante el Instituto Mexicano de la Seguridad Social, en lugar de computar el salario real que era mayor. Por consiguiente, afirman que el Estado también es responsable por haber incumplido su deber de registrar a los trabajadores con el salario </w:t>
      </w:r>
      <w:r w:rsidR="00741C28" w:rsidRPr="009C5C36">
        <w:rPr>
          <w:rFonts w:asciiTheme="majorHAnsi" w:hAnsiTheme="majorHAnsi"/>
          <w:sz w:val="20"/>
          <w:szCs w:val="20"/>
          <w:lang w:val="es-ES"/>
        </w:rPr>
        <w:t xml:space="preserve">real </w:t>
      </w:r>
      <w:r w:rsidRPr="009C5C36">
        <w:rPr>
          <w:rFonts w:asciiTheme="majorHAnsi" w:hAnsiTheme="majorHAnsi"/>
          <w:sz w:val="20"/>
          <w:szCs w:val="20"/>
          <w:lang w:val="es-ES"/>
        </w:rPr>
        <w:t xml:space="preserve">ante los órganos de servicio social. </w:t>
      </w:r>
      <w:r w:rsidRPr="009C5C36" w:rsidDel="002D7FD0">
        <w:rPr>
          <w:rFonts w:asciiTheme="majorHAnsi" w:hAnsiTheme="majorHAnsi"/>
          <w:sz w:val="20"/>
          <w:lang w:val="es-ES"/>
        </w:rPr>
        <w:t xml:space="preserve"> </w:t>
      </w:r>
    </w:p>
    <w:p w:rsidR="00C7454C" w:rsidRPr="009C5C36" w:rsidRDefault="00C7454C" w:rsidP="009C5C36">
      <w:pPr>
        <w:pStyle w:val="ListParagraph"/>
        <w:spacing w:after="240"/>
        <w:jc w:val="both"/>
        <w:rPr>
          <w:rFonts w:asciiTheme="majorHAnsi" w:hAnsiTheme="majorHAnsi"/>
          <w:i/>
          <w:sz w:val="20"/>
          <w:lang w:val="es-ES"/>
        </w:rPr>
      </w:pPr>
      <w:r w:rsidRPr="009C5C36">
        <w:rPr>
          <w:rFonts w:asciiTheme="majorHAnsi" w:hAnsiTheme="majorHAnsi"/>
          <w:i/>
          <w:sz w:val="20"/>
          <w:lang w:val="es-ES"/>
        </w:rPr>
        <w:t>Conclusiones</w:t>
      </w:r>
    </w:p>
    <w:p w:rsidR="00FB2328" w:rsidRPr="009C5C36" w:rsidRDefault="00FB2328" w:rsidP="009C5C36">
      <w:pPr>
        <w:pStyle w:val="ListParagraph"/>
        <w:numPr>
          <w:ilvl w:val="0"/>
          <w:numId w:val="55"/>
        </w:numPr>
        <w:spacing w:after="240"/>
        <w:jc w:val="both"/>
        <w:rPr>
          <w:rFonts w:asciiTheme="majorHAnsi" w:hAnsiTheme="majorHAnsi"/>
          <w:sz w:val="20"/>
          <w:lang w:val="es-ES"/>
        </w:rPr>
      </w:pPr>
      <w:r w:rsidRPr="009C5C36">
        <w:rPr>
          <w:rFonts w:asciiTheme="majorHAnsi" w:hAnsiTheme="majorHAnsi"/>
          <w:sz w:val="20"/>
          <w:lang w:val="es-ES"/>
        </w:rPr>
        <w:t>En resumen, los peticionarios sostienen que</w:t>
      </w:r>
      <w:r w:rsidR="00741C28" w:rsidRPr="009C5C36">
        <w:rPr>
          <w:rFonts w:asciiTheme="majorHAnsi" w:hAnsiTheme="majorHAnsi"/>
          <w:sz w:val="20"/>
          <w:lang w:val="es-ES"/>
        </w:rPr>
        <w:t>,</w:t>
      </w:r>
      <w:r w:rsidRPr="009C5C36">
        <w:rPr>
          <w:rFonts w:asciiTheme="majorHAnsi" w:hAnsiTheme="majorHAnsi"/>
          <w:sz w:val="20"/>
          <w:lang w:val="es-ES"/>
        </w:rPr>
        <w:t xml:space="preserve"> a pesar de su actividad constante para impulsar las investigaciones, se configura un cuadro de impunidad debido a la demora injustificada y a la falta de debida diligencia para esclarecer y sancionar los hechos ocurridos en torno a la explosión de la mina. Enfatizan que</w:t>
      </w:r>
      <w:r w:rsidR="00536983" w:rsidRPr="009C5C36">
        <w:rPr>
          <w:rFonts w:asciiTheme="majorHAnsi" w:hAnsiTheme="majorHAnsi"/>
          <w:sz w:val="20"/>
          <w:lang w:val="es-ES"/>
        </w:rPr>
        <w:t>,</w:t>
      </w:r>
      <w:r w:rsidRPr="009C5C36">
        <w:rPr>
          <w:rFonts w:asciiTheme="majorHAnsi" w:hAnsiTheme="majorHAnsi"/>
          <w:sz w:val="20"/>
          <w:lang w:val="es-ES"/>
        </w:rPr>
        <w:t xml:space="preserve"> luego de transcurridos </w:t>
      </w:r>
      <w:r w:rsidR="00741C28" w:rsidRPr="009C5C36">
        <w:rPr>
          <w:rFonts w:asciiTheme="majorHAnsi" w:hAnsiTheme="majorHAnsi"/>
          <w:sz w:val="20"/>
          <w:lang w:val="es-ES"/>
        </w:rPr>
        <w:t xml:space="preserve">más de </w:t>
      </w:r>
      <w:r w:rsidRPr="009C5C36">
        <w:rPr>
          <w:rFonts w:asciiTheme="majorHAnsi" w:hAnsiTheme="majorHAnsi"/>
          <w:sz w:val="20"/>
          <w:lang w:val="es-ES"/>
        </w:rPr>
        <w:t>diez años</w:t>
      </w:r>
      <w:r w:rsidR="00741C28" w:rsidRPr="009C5C36">
        <w:rPr>
          <w:rFonts w:asciiTheme="majorHAnsi" w:hAnsiTheme="majorHAnsi"/>
          <w:sz w:val="20"/>
          <w:lang w:val="es-ES"/>
        </w:rPr>
        <w:t>,</w:t>
      </w:r>
      <w:r w:rsidRPr="009C5C36">
        <w:rPr>
          <w:rFonts w:asciiTheme="majorHAnsi" w:hAnsiTheme="majorHAnsi"/>
          <w:sz w:val="20"/>
          <w:lang w:val="es-ES"/>
        </w:rPr>
        <w:t xml:space="preserve"> ningún servidor público fue sancionado penalmente, que las sancionas administrativas establecidas no son las idóneas para </w:t>
      </w:r>
      <w:r w:rsidR="0098453D" w:rsidRPr="009C5C36">
        <w:rPr>
          <w:rFonts w:asciiTheme="majorHAnsi" w:hAnsiTheme="majorHAnsi"/>
          <w:sz w:val="20"/>
          <w:lang w:val="es-ES"/>
        </w:rPr>
        <w:t>hacer</w:t>
      </w:r>
      <w:r w:rsidRPr="009C5C36">
        <w:rPr>
          <w:rFonts w:asciiTheme="majorHAnsi" w:hAnsiTheme="majorHAnsi"/>
          <w:sz w:val="20"/>
          <w:lang w:val="es-ES"/>
        </w:rPr>
        <w:t xml:space="preserve"> justicia por las graves violaciones a derechos humanos que ocasionaron la muerte de los 65 mineros</w:t>
      </w:r>
      <w:r w:rsidR="008E013F" w:rsidRPr="009C5C36">
        <w:rPr>
          <w:rFonts w:asciiTheme="majorHAnsi" w:hAnsiTheme="majorHAnsi"/>
          <w:sz w:val="20"/>
          <w:lang w:val="es-ES"/>
        </w:rPr>
        <w:t>,</w:t>
      </w:r>
      <w:r w:rsidRPr="009C5C36">
        <w:rPr>
          <w:rFonts w:asciiTheme="majorHAnsi" w:hAnsiTheme="majorHAnsi"/>
          <w:sz w:val="20"/>
          <w:lang w:val="es-ES"/>
        </w:rPr>
        <w:t xml:space="preserve"> que </w:t>
      </w:r>
      <w:r w:rsidR="008E013F" w:rsidRPr="009C5C36">
        <w:rPr>
          <w:rFonts w:asciiTheme="majorHAnsi" w:hAnsiTheme="majorHAnsi"/>
          <w:sz w:val="20"/>
          <w:lang w:val="es-ES"/>
        </w:rPr>
        <w:t xml:space="preserve">no se han rescatado </w:t>
      </w:r>
      <w:r w:rsidRPr="009C5C36">
        <w:rPr>
          <w:rFonts w:asciiTheme="majorHAnsi" w:hAnsiTheme="majorHAnsi"/>
          <w:sz w:val="20"/>
          <w:lang w:val="es-ES"/>
        </w:rPr>
        <w:t>los restos mortales de los trabajadores</w:t>
      </w:r>
      <w:r w:rsidR="00E2449E" w:rsidRPr="009C5C36">
        <w:rPr>
          <w:rFonts w:asciiTheme="majorHAnsi" w:hAnsiTheme="majorHAnsi"/>
          <w:sz w:val="20"/>
          <w:lang w:val="es-ES"/>
        </w:rPr>
        <w:t xml:space="preserve"> y que los familiares de los trabajadores fallecidos no han sido reparados</w:t>
      </w:r>
      <w:r w:rsidRPr="009C5C36">
        <w:rPr>
          <w:rFonts w:asciiTheme="majorHAnsi" w:hAnsiTheme="majorHAnsi"/>
          <w:sz w:val="20"/>
          <w:lang w:val="es-ES"/>
        </w:rPr>
        <w:t>.</w:t>
      </w:r>
      <w:r w:rsidR="00A428D8" w:rsidRPr="009C5C36">
        <w:rPr>
          <w:rFonts w:asciiTheme="majorHAnsi" w:hAnsiTheme="majorHAnsi"/>
          <w:sz w:val="20"/>
          <w:lang w:val="es-ES"/>
        </w:rPr>
        <w:t xml:space="preserve"> </w:t>
      </w:r>
      <w:r w:rsidRPr="009C5C36">
        <w:rPr>
          <w:rFonts w:asciiTheme="majorHAnsi" w:hAnsiTheme="majorHAnsi"/>
          <w:sz w:val="20"/>
          <w:lang w:val="es-ES"/>
        </w:rPr>
        <w:t xml:space="preserve">Por último, manifiestan que han denunciado reiteradamente un patrón de actos de hostigamiento contra la integridad de Cristina Auerbach Benavides y Manuel Fuentes Muñiz, como consecuencia de su defensa y patrocinio legal a las familias de los trabajadores fallecidos, pero que en ningún caso </w:t>
      </w:r>
      <w:r w:rsidR="00CF77AC" w:rsidRPr="009C5C36">
        <w:rPr>
          <w:rFonts w:asciiTheme="majorHAnsi" w:hAnsiTheme="majorHAnsi"/>
          <w:sz w:val="20"/>
          <w:lang w:val="es-ES"/>
        </w:rPr>
        <w:t>el Ministerio Público</w:t>
      </w:r>
      <w:r w:rsidRPr="009C5C36">
        <w:rPr>
          <w:rFonts w:asciiTheme="majorHAnsi" w:hAnsiTheme="majorHAnsi"/>
          <w:sz w:val="20"/>
          <w:lang w:val="es-ES"/>
        </w:rPr>
        <w:t xml:space="preserve"> ejerció la acción penal. </w:t>
      </w:r>
    </w:p>
    <w:p w:rsidR="00C7454C" w:rsidRPr="009C5C36" w:rsidRDefault="00C7454C" w:rsidP="009C5C36">
      <w:pPr>
        <w:pStyle w:val="ListParagraph"/>
        <w:spacing w:after="240"/>
        <w:jc w:val="both"/>
        <w:rPr>
          <w:rFonts w:asciiTheme="majorHAnsi" w:hAnsiTheme="majorHAnsi"/>
          <w:i/>
          <w:sz w:val="20"/>
          <w:lang w:val="es-ES"/>
        </w:rPr>
      </w:pPr>
      <w:r w:rsidRPr="009C5C36">
        <w:rPr>
          <w:rFonts w:asciiTheme="majorHAnsi" w:hAnsiTheme="majorHAnsi"/>
          <w:i/>
          <w:sz w:val="20"/>
          <w:lang w:val="es-ES"/>
        </w:rPr>
        <w:t>Alegatos del Estado</w:t>
      </w:r>
    </w:p>
    <w:p w:rsidR="00FB2328" w:rsidRPr="009C5C36" w:rsidRDefault="00FB2328" w:rsidP="009C5C36">
      <w:pPr>
        <w:pStyle w:val="ListParagraph"/>
        <w:numPr>
          <w:ilvl w:val="0"/>
          <w:numId w:val="55"/>
        </w:numPr>
        <w:spacing w:after="240"/>
        <w:jc w:val="both"/>
        <w:rPr>
          <w:rFonts w:asciiTheme="majorHAnsi" w:hAnsiTheme="majorHAnsi"/>
          <w:sz w:val="20"/>
          <w:lang w:val="es-ES"/>
        </w:rPr>
      </w:pPr>
      <w:r w:rsidRPr="009C5C36">
        <w:rPr>
          <w:rFonts w:asciiTheme="majorHAnsi" w:hAnsiTheme="majorHAnsi"/>
          <w:sz w:val="20"/>
          <w:lang w:val="es-ES"/>
        </w:rPr>
        <w:t xml:space="preserve">Por su parte, el Estado </w:t>
      </w:r>
      <w:r w:rsidRPr="009C5C36">
        <w:rPr>
          <w:rFonts w:asciiTheme="majorHAnsi" w:hAnsiTheme="majorHAnsi"/>
          <w:color w:val="auto"/>
          <w:sz w:val="20"/>
          <w:lang w:val="es-ES"/>
        </w:rPr>
        <w:t xml:space="preserve">manifiesta que el accidente ocurrido en la Mina de Pasta de Conchos fue atendido a través de diversas vías jurídicas que apuntaron a garantizar en conjunto una reparación integral para las víctimas. </w:t>
      </w:r>
      <w:r w:rsidR="008E013F" w:rsidRPr="009C5C36">
        <w:rPr>
          <w:rFonts w:asciiTheme="majorHAnsi" w:hAnsiTheme="majorHAnsi"/>
          <w:sz w:val="20"/>
          <w:lang w:val="es-ES"/>
        </w:rPr>
        <w:t>A</w:t>
      </w:r>
      <w:r w:rsidR="00D74219" w:rsidRPr="009C5C36">
        <w:rPr>
          <w:rFonts w:asciiTheme="majorHAnsi" w:hAnsiTheme="majorHAnsi"/>
          <w:sz w:val="20"/>
          <w:lang w:val="es-ES"/>
        </w:rPr>
        <w:t>firma que los recursos internos en los ámbitos penal, laboral y administrativo han demostrado ser eficaces.</w:t>
      </w:r>
      <w:r w:rsidR="00D74219" w:rsidRPr="009C5C36">
        <w:rPr>
          <w:rFonts w:asciiTheme="majorHAnsi" w:hAnsiTheme="majorHAnsi"/>
          <w:color w:val="auto"/>
          <w:sz w:val="20"/>
          <w:lang w:val="es-ES"/>
        </w:rPr>
        <w:t xml:space="preserve"> Alega al respecto que</w:t>
      </w:r>
      <w:r w:rsidR="00D74219" w:rsidRPr="009C5C36">
        <w:rPr>
          <w:rFonts w:asciiTheme="majorHAnsi" w:hAnsiTheme="majorHAnsi"/>
          <w:sz w:val="20"/>
          <w:lang w:val="es-ES"/>
        </w:rPr>
        <w:t xml:space="preserve"> investigó hasta el máximo de sus capacidades, sancionó a los responsables, reparó a las víctimas a través de diversas indemnizaciones y adoptó </w:t>
      </w:r>
      <w:r w:rsidR="00D74219" w:rsidRPr="009C5C36">
        <w:rPr>
          <w:rFonts w:asciiTheme="majorHAnsi" w:hAnsiTheme="majorHAnsi" w:cs="Times New Roman"/>
          <w:sz w:val="20"/>
          <w:lang w:val="es-ES"/>
        </w:rPr>
        <w:t xml:space="preserve">un conjunto de medidas normativas y estructurales de no repetición </w:t>
      </w:r>
      <w:r w:rsidR="00D74219" w:rsidRPr="009C5C36">
        <w:rPr>
          <w:rFonts w:asciiTheme="majorHAnsi" w:hAnsiTheme="majorHAnsi"/>
          <w:sz w:val="20"/>
          <w:lang w:val="es-ES"/>
        </w:rPr>
        <w:t xml:space="preserve">para evitar que vuelvan a ocurrir hechos como el de la explosión de la Mina Pasta de Conchos. </w:t>
      </w:r>
      <w:r w:rsidRPr="009C5C36">
        <w:rPr>
          <w:rFonts w:asciiTheme="majorHAnsi" w:hAnsiTheme="majorHAnsi"/>
          <w:color w:val="auto"/>
          <w:sz w:val="20"/>
          <w:lang w:val="es-ES"/>
        </w:rPr>
        <w:t xml:space="preserve">Por consiguiente, el Estado </w:t>
      </w:r>
      <w:r w:rsidRPr="009C5C36">
        <w:rPr>
          <w:rFonts w:asciiTheme="majorHAnsi" w:hAnsiTheme="majorHAnsi"/>
          <w:sz w:val="20"/>
          <w:lang w:val="es-ES"/>
        </w:rPr>
        <w:t>sostiene que la petición es inadmisible por falta de caracterización de los hechos como violaciones a los derechos garantizados por la Convención Americana</w:t>
      </w:r>
      <w:r w:rsidR="00D74219" w:rsidRPr="009C5C36">
        <w:rPr>
          <w:rFonts w:asciiTheme="majorHAnsi" w:hAnsiTheme="majorHAnsi"/>
          <w:sz w:val="20"/>
          <w:lang w:val="es-ES"/>
        </w:rPr>
        <w:t>.</w:t>
      </w:r>
      <w:r w:rsidRPr="009C5C36">
        <w:rPr>
          <w:rFonts w:asciiTheme="majorHAnsi" w:hAnsiTheme="majorHAnsi"/>
          <w:sz w:val="20"/>
          <w:lang w:val="es-ES"/>
        </w:rPr>
        <w:t xml:space="preserve"> </w:t>
      </w:r>
    </w:p>
    <w:p w:rsidR="00FB2328" w:rsidRPr="009C5C36" w:rsidRDefault="00D74219" w:rsidP="009C5C36">
      <w:pPr>
        <w:pStyle w:val="ListParagraph"/>
        <w:numPr>
          <w:ilvl w:val="0"/>
          <w:numId w:val="55"/>
        </w:numPr>
        <w:spacing w:after="240"/>
        <w:jc w:val="both"/>
        <w:rPr>
          <w:rFonts w:asciiTheme="majorHAnsi" w:hAnsiTheme="majorHAnsi"/>
          <w:sz w:val="20"/>
          <w:lang w:val="es-ES"/>
        </w:rPr>
      </w:pPr>
      <w:r w:rsidRPr="009C5C36">
        <w:rPr>
          <w:rFonts w:asciiTheme="majorHAnsi" w:hAnsiTheme="majorHAnsi"/>
          <w:sz w:val="20"/>
          <w:lang w:val="es-ES"/>
        </w:rPr>
        <w:t>Por otra parte, el Estado alega</w:t>
      </w:r>
      <w:r w:rsidR="00FB2328" w:rsidRPr="009C5C36">
        <w:rPr>
          <w:rFonts w:asciiTheme="majorHAnsi" w:hAnsiTheme="majorHAnsi"/>
          <w:sz w:val="20"/>
          <w:lang w:val="es-ES"/>
        </w:rPr>
        <w:t xml:space="preserve"> que solo </w:t>
      </w:r>
      <w:r w:rsidRPr="009C5C36">
        <w:rPr>
          <w:rFonts w:asciiTheme="majorHAnsi" w:hAnsiTheme="majorHAnsi"/>
          <w:sz w:val="20"/>
          <w:lang w:val="es-ES"/>
        </w:rPr>
        <w:t>unos pocos</w:t>
      </w:r>
      <w:r w:rsidR="00FB2328" w:rsidRPr="009C5C36">
        <w:rPr>
          <w:rFonts w:asciiTheme="majorHAnsi" w:hAnsiTheme="majorHAnsi"/>
          <w:sz w:val="20"/>
          <w:lang w:val="es-ES"/>
        </w:rPr>
        <w:t xml:space="preserve"> peticionarios han agotados los recursos internos</w:t>
      </w:r>
      <w:r w:rsidRPr="009C5C36">
        <w:rPr>
          <w:rFonts w:asciiTheme="majorHAnsi" w:hAnsiTheme="majorHAnsi"/>
          <w:sz w:val="20"/>
          <w:lang w:val="es-ES"/>
        </w:rPr>
        <w:t xml:space="preserve"> y que</w:t>
      </w:r>
      <w:r w:rsidR="00FB2328" w:rsidRPr="009C5C36">
        <w:rPr>
          <w:rFonts w:asciiTheme="majorHAnsi" w:hAnsiTheme="majorHAnsi"/>
          <w:sz w:val="20"/>
          <w:lang w:val="es-ES"/>
        </w:rPr>
        <w:t xml:space="preserve"> la petición es inadmisible respecto de </w:t>
      </w:r>
      <w:r w:rsidRPr="009C5C36">
        <w:rPr>
          <w:rFonts w:asciiTheme="majorHAnsi" w:hAnsiTheme="majorHAnsi"/>
          <w:sz w:val="20"/>
          <w:lang w:val="es-ES"/>
        </w:rPr>
        <w:t>las presuntas víctimas</w:t>
      </w:r>
      <w:r w:rsidR="00FB2328" w:rsidRPr="009C5C36">
        <w:rPr>
          <w:rFonts w:asciiTheme="majorHAnsi" w:hAnsiTheme="majorHAnsi"/>
          <w:sz w:val="20"/>
          <w:lang w:val="es-ES"/>
        </w:rPr>
        <w:t xml:space="preserve"> que no han acreditado su calidad de ofendid</w:t>
      </w:r>
      <w:r w:rsidRPr="009C5C36">
        <w:rPr>
          <w:rFonts w:asciiTheme="majorHAnsi" w:hAnsiTheme="majorHAnsi"/>
          <w:sz w:val="20"/>
          <w:lang w:val="es-ES"/>
        </w:rPr>
        <w:t>a</w:t>
      </w:r>
      <w:r w:rsidR="00FB2328" w:rsidRPr="009C5C36">
        <w:rPr>
          <w:rFonts w:asciiTheme="majorHAnsi" w:hAnsiTheme="majorHAnsi"/>
          <w:sz w:val="20"/>
          <w:lang w:val="es-ES"/>
        </w:rPr>
        <w:t xml:space="preserve">s o de dependientes económicos a nivel interno, como una condición previa requerida para el correcto agotamiento de los recursos. </w:t>
      </w:r>
    </w:p>
    <w:p w:rsidR="00FB2328" w:rsidRPr="009C5C36" w:rsidRDefault="00FB2328" w:rsidP="009C5C36">
      <w:pPr>
        <w:pStyle w:val="ListParagraph"/>
        <w:numPr>
          <w:ilvl w:val="0"/>
          <w:numId w:val="55"/>
        </w:numPr>
        <w:spacing w:after="240"/>
        <w:jc w:val="both"/>
        <w:rPr>
          <w:rFonts w:asciiTheme="majorHAnsi" w:hAnsiTheme="majorHAnsi"/>
          <w:sz w:val="20"/>
          <w:lang w:val="es-ES"/>
        </w:rPr>
      </w:pPr>
      <w:r w:rsidRPr="009C5C36">
        <w:rPr>
          <w:rFonts w:asciiTheme="majorHAnsi" w:hAnsiTheme="majorHAnsi"/>
          <w:sz w:val="20"/>
          <w:lang w:val="es-ES"/>
        </w:rPr>
        <w:t>En este orden de cosas, el Estado subraya que</w:t>
      </w:r>
      <w:r w:rsidR="009C5C36" w:rsidRPr="009C5C36">
        <w:rPr>
          <w:rFonts w:asciiTheme="majorHAnsi" w:hAnsiTheme="majorHAnsi"/>
          <w:sz w:val="20"/>
          <w:lang w:val="es-ES"/>
        </w:rPr>
        <w:t>,</w:t>
      </w:r>
      <w:r w:rsidRPr="009C5C36">
        <w:rPr>
          <w:rFonts w:asciiTheme="majorHAnsi" w:hAnsiTheme="majorHAnsi"/>
          <w:color w:val="auto"/>
          <w:sz w:val="20"/>
          <w:lang w:val="es-ES"/>
        </w:rPr>
        <w:t xml:space="preserve"> a través de una investigación exhaustiva</w:t>
      </w:r>
      <w:r w:rsidR="00AD4B48" w:rsidRPr="009C5C36">
        <w:rPr>
          <w:rFonts w:asciiTheme="majorHAnsi" w:hAnsiTheme="majorHAnsi"/>
          <w:color w:val="auto"/>
          <w:sz w:val="20"/>
          <w:lang w:val="es-ES"/>
        </w:rPr>
        <w:t xml:space="preserve">, iniciada por </w:t>
      </w:r>
      <w:r w:rsidR="001E1BD7" w:rsidRPr="009C5C36">
        <w:rPr>
          <w:rFonts w:asciiTheme="majorHAnsi" w:hAnsiTheme="majorHAnsi"/>
          <w:color w:val="auto"/>
          <w:sz w:val="20"/>
          <w:lang w:val="es-ES"/>
        </w:rPr>
        <w:t>denuncia interpuesta por</w:t>
      </w:r>
      <w:r w:rsidR="00AD4B48" w:rsidRPr="009C5C36">
        <w:rPr>
          <w:rFonts w:asciiTheme="majorHAnsi" w:hAnsiTheme="majorHAnsi"/>
          <w:color w:val="auto"/>
          <w:sz w:val="20"/>
          <w:lang w:val="es-ES"/>
        </w:rPr>
        <w:t xml:space="preserve"> el Secretario General del Sindicato Nacional de Trabajadores Mineros, Metalúrgicos y Similares,</w:t>
      </w:r>
      <w:r w:rsidRPr="009C5C36">
        <w:rPr>
          <w:rFonts w:asciiTheme="majorHAnsi" w:hAnsiTheme="majorHAnsi"/>
          <w:color w:val="auto"/>
          <w:sz w:val="20"/>
          <w:lang w:val="es-ES"/>
        </w:rPr>
        <w:t xml:space="preserve"> se acreditó la responsabilidad penal directa de diversos empleados de la empresa por causar imprudencialmente el accidente que provocó la muerte de los 65 mineros. Al respecto, señala que la extinción de la acción penal cumplió con los requisitos establecidos en la legislación mexicana</w:t>
      </w:r>
      <w:r w:rsidRPr="009C5C36">
        <w:rPr>
          <w:rFonts w:asciiTheme="majorHAnsi" w:hAnsiTheme="majorHAnsi"/>
          <w:sz w:val="20"/>
          <w:lang w:val="es-ES"/>
        </w:rPr>
        <w:t xml:space="preserve"> pues</w:t>
      </w:r>
      <w:r w:rsidRPr="009C5C36">
        <w:rPr>
          <w:rFonts w:asciiTheme="majorHAnsi" w:hAnsiTheme="majorHAnsi"/>
          <w:color w:val="auto"/>
          <w:sz w:val="20"/>
          <w:lang w:val="es-ES"/>
        </w:rPr>
        <w:t xml:space="preserve"> se </w:t>
      </w:r>
      <w:r w:rsidRPr="009C5C36">
        <w:rPr>
          <w:rFonts w:asciiTheme="majorHAnsi" w:hAnsiTheme="majorHAnsi"/>
          <w:sz w:val="20"/>
          <w:lang w:val="es-ES"/>
        </w:rPr>
        <w:t xml:space="preserve">verificó el otorgamiento del perdón y la aceptación voluntaria de la indemnización por parte de las 65 </w:t>
      </w:r>
      <w:r w:rsidRPr="009C5C36">
        <w:rPr>
          <w:rFonts w:asciiTheme="majorHAnsi" w:hAnsiTheme="majorHAnsi"/>
          <w:sz w:val="20"/>
          <w:lang w:val="es-ES"/>
        </w:rPr>
        <w:lastRenderedPageBreak/>
        <w:t xml:space="preserve">familias. Subraya que los peticionarios no manifestaron disconformidad con el sobreseimiento a pesar de haber tenido a disposición el recurso de apelación previsto en el artículo 517 del Código de Procedimientos Penales del Estado de Coahuila. </w:t>
      </w:r>
      <w:r w:rsidR="00D74219" w:rsidRPr="009C5C36">
        <w:rPr>
          <w:rFonts w:asciiTheme="majorHAnsi" w:hAnsiTheme="majorHAnsi"/>
          <w:sz w:val="20"/>
          <w:lang w:val="es-ES"/>
        </w:rPr>
        <w:t>A</w:t>
      </w:r>
      <w:r w:rsidRPr="009C5C36">
        <w:rPr>
          <w:rFonts w:asciiTheme="majorHAnsi" w:hAnsiTheme="majorHAnsi"/>
          <w:sz w:val="20"/>
          <w:lang w:val="es-ES"/>
        </w:rPr>
        <w:t>grega que dos familias</w:t>
      </w:r>
      <w:r w:rsidR="00E56892" w:rsidRPr="009C5C36">
        <w:rPr>
          <w:rFonts w:asciiTheme="majorHAnsi" w:hAnsiTheme="majorHAnsi"/>
          <w:sz w:val="20"/>
          <w:lang w:val="es-ES"/>
        </w:rPr>
        <w:t xml:space="preserve"> disconformes con el monto de la indemnización</w:t>
      </w:r>
      <w:r w:rsidRPr="009C5C36">
        <w:rPr>
          <w:rFonts w:asciiTheme="majorHAnsi" w:hAnsiTheme="majorHAnsi"/>
          <w:sz w:val="20"/>
          <w:lang w:val="es-ES"/>
        </w:rPr>
        <w:t>, que no son peticionarias en la presente denuncia, promovieron un juicio de amparo y que</w:t>
      </w:r>
      <w:r w:rsidR="009C5C36" w:rsidRPr="009C5C36">
        <w:rPr>
          <w:rFonts w:asciiTheme="majorHAnsi" w:hAnsiTheme="majorHAnsi"/>
          <w:sz w:val="20"/>
          <w:lang w:val="es-ES"/>
        </w:rPr>
        <w:t>,</w:t>
      </w:r>
      <w:r w:rsidRPr="009C5C36">
        <w:rPr>
          <w:rFonts w:asciiTheme="majorHAnsi" w:hAnsiTheme="majorHAnsi"/>
          <w:sz w:val="20"/>
          <w:lang w:val="es-ES"/>
        </w:rPr>
        <w:t xml:space="preserve"> como resultado, recibieron una reparación mayor. Sostiene que a las restantes familias se les respetó el derecho a coadyuvar </w:t>
      </w:r>
      <w:r w:rsidR="00D771D2" w:rsidRPr="009C5C36">
        <w:rPr>
          <w:rFonts w:asciiTheme="majorHAnsi" w:hAnsiTheme="majorHAnsi"/>
          <w:sz w:val="20"/>
          <w:lang w:val="es-ES"/>
        </w:rPr>
        <w:t>por lo que</w:t>
      </w:r>
      <w:r w:rsidRPr="009C5C36">
        <w:rPr>
          <w:rFonts w:asciiTheme="majorHAnsi" w:hAnsiTheme="majorHAnsi"/>
          <w:sz w:val="20"/>
          <w:lang w:val="es-ES"/>
        </w:rPr>
        <w:t xml:space="preserve"> fueron escuchadas y valoradas sus querellas. </w:t>
      </w:r>
    </w:p>
    <w:p w:rsidR="00FB2328" w:rsidRPr="009C5C36" w:rsidRDefault="00064036" w:rsidP="009C5C3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jc w:val="both"/>
        <w:rPr>
          <w:rFonts w:asciiTheme="majorHAnsi" w:hAnsiTheme="majorHAnsi"/>
          <w:sz w:val="20"/>
          <w:lang w:val="es-ES"/>
        </w:rPr>
      </w:pPr>
      <w:r w:rsidRPr="009C5C36">
        <w:rPr>
          <w:rFonts w:asciiTheme="majorHAnsi" w:hAnsiTheme="majorHAnsi"/>
          <w:sz w:val="20"/>
          <w:lang w:val="es-ES"/>
        </w:rPr>
        <w:t>Por otra parte</w:t>
      </w:r>
      <w:r w:rsidR="00FB2328" w:rsidRPr="009C5C36">
        <w:rPr>
          <w:rFonts w:asciiTheme="majorHAnsi" w:hAnsiTheme="majorHAnsi"/>
          <w:sz w:val="20"/>
          <w:lang w:val="es-ES"/>
        </w:rPr>
        <w:t>, informa que la investigación penal federal</w:t>
      </w:r>
      <w:r w:rsidR="00AD4B48" w:rsidRPr="009C5C36">
        <w:rPr>
          <w:rFonts w:asciiTheme="majorHAnsi" w:hAnsiTheme="majorHAnsi"/>
          <w:sz w:val="20"/>
          <w:lang w:val="es-ES"/>
        </w:rPr>
        <w:t xml:space="preserve">, iniciada a </w:t>
      </w:r>
      <w:r w:rsidR="001E1BD7" w:rsidRPr="009C5C36">
        <w:rPr>
          <w:rFonts w:asciiTheme="majorHAnsi" w:hAnsiTheme="majorHAnsi"/>
          <w:sz w:val="20"/>
          <w:lang w:val="es-ES"/>
        </w:rPr>
        <w:t>solicitud</w:t>
      </w:r>
      <w:r w:rsidR="00AD4B48" w:rsidRPr="009C5C36">
        <w:rPr>
          <w:rFonts w:asciiTheme="majorHAnsi" w:hAnsiTheme="majorHAnsi"/>
          <w:sz w:val="20"/>
          <w:lang w:val="es-ES"/>
        </w:rPr>
        <w:t xml:space="preserve"> de un diputado de la Asamblea Legislativa del Distrito Federal,</w:t>
      </w:r>
      <w:r w:rsidR="00FB2328" w:rsidRPr="009C5C36">
        <w:rPr>
          <w:rFonts w:asciiTheme="majorHAnsi" w:hAnsiTheme="majorHAnsi"/>
          <w:sz w:val="20"/>
          <w:lang w:val="es-ES"/>
        </w:rPr>
        <w:t xml:space="preserve"> debió remitirse a reserva debido a </w:t>
      </w:r>
      <w:r w:rsidR="008C619F" w:rsidRPr="009C5C36">
        <w:rPr>
          <w:rFonts w:asciiTheme="majorHAnsi" w:hAnsiTheme="majorHAnsi"/>
          <w:sz w:val="20"/>
          <w:lang w:val="es-ES"/>
        </w:rPr>
        <w:t>que no pudieron practicarse mayores diligencias que no implicaran alto riesgo e inseguridad para las personas por el elevado grado de concentración de gases en la mina, lo cual se demostró a través de peritajes</w:t>
      </w:r>
      <w:r w:rsidR="00FB2328" w:rsidRPr="009C5C36">
        <w:rPr>
          <w:rFonts w:asciiTheme="majorHAnsi" w:hAnsiTheme="majorHAnsi"/>
          <w:sz w:val="20"/>
          <w:lang w:val="es-ES"/>
        </w:rPr>
        <w:t>.</w:t>
      </w:r>
      <w:r w:rsidR="008C619F" w:rsidRPr="009C5C36">
        <w:rPr>
          <w:rFonts w:asciiTheme="majorHAnsi" w:hAnsiTheme="majorHAnsi"/>
          <w:sz w:val="20"/>
          <w:lang w:val="es-ES"/>
        </w:rPr>
        <w:t xml:space="preserve"> Destaca que las investigaciones se reservan hasta que puedan obtenerse datos adicionales para su continuación sin poner en riesgo la vida de las personas.</w:t>
      </w:r>
      <w:r w:rsidR="00FB2328" w:rsidRPr="009C5C36">
        <w:rPr>
          <w:rFonts w:asciiTheme="majorHAnsi" w:hAnsiTheme="majorHAnsi"/>
          <w:sz w:val="20"/>
          <w:lang w:val="es-ES"/>
        </w:rPr>
        <w:t xml:space="preserve"> </w:t>
      </w:r>
      <w:r w:rsidR="005B4DAA" w:rsidRPr="009C5C36">
        <w:rPr>
          <w:rFonts w:asciiTheme="majorHAnsi" w:hAnsiTheme="majorHAnsi"/>
          <w:sz w:val="20"/>
          <w:lang w:val="es-ES"/>
        </w:rPr>
        <w:t xml:space="preserve">Sostiene que el tiempo transcurrido y el resultado de los recursos </w:t>
      </w:r>
      <w:r w:rsidR="00403E75" w:rsidRPr="009C5C36">
        <w:rPr>
          <w:rFonts w:asciiTheme="majorHAnsi" w:hAnsiTheme="majorHAnsi"/>
          <w:sz w:val="20"/>
          <w:lang w:val="es-ES"/>
        </w:rPr>
        <w:t xml:space="preserve">judiciales se justifican </w:t>
      </w:r>
      <w:r w:rsidR="002255D0" w:rsidRPr="009C5C36">
        <w:rPr>
          <w:rFonts w:asciiTheme="majorHAnsi" w:hAnsiTheme="majorHAnsi"/>
          <w:sz w:val="20"/>
          <w:lang w:val="es-ES"/>
        </w:rPr>
        <w:t>debido a</w:t>
      </w:r>
      <w:r w:rsidR="005B4DAA" w:rsidRPr="009C5C36">
        <w:rPr>
          <w:rFonts w:asciiTheme="majorHAnsi" w:hAnsiTheme="majorHAnsi"/>
          <w:sz w:val="20"/>
          <w:lang w:val="es-ES"/>
        </w:rPr>
        <w:t xml:space="preserve"> la complejidad de la explosión y</w:t>
      </w:r>
      <w:r w:rsidR="00403E75" w:rsidRPr="009C5C36">
        <w:rPr>
          <w:rFonts w:asciiTheme="majorHAnsi" w:hAnsiTheme="majorHAnsi"/>
          <w:sz w:val="20"/>
          <w:lang w:val="es-ES"/>
        </w:rPr>
        <w:t xml:space="preserve"> de</w:t>
      </w:r>
      <w:r w:rsidR="005B4DAA" w:rsidRPr="009C5C36">
        <w:rPr>
          <w:rFonts w:asciiTheme="majorHAnsi" w:hAnsiTheme="majorHAnsi"/>
          <w:sz w:val="20"/>
          <w:lang w:val="es-ES"/>
        </w:rPr>
        <w:t xml:space="preserve"> sus riesgos junto con la gran cantidad de personas afectadas y la confluencia de diversos tipos de jurisdicciones y competencias. </w:t>
      </w:r>
      <w:r w:rsidR="00FB2328" w:rsidRPr="009C5C36">
        <w:rPr>
          <w:rFonts w:asciiTheme="majorHAnsi" w:hAnsiTheme="majorHAnsi"/>
          <w:sz w:val="20"/>
          <w:szCs w:val="20"/>
          <w:lang w:val="es-ES"/>
        </w:rPr>
        <w:t xml:space="preserve">El Estado alega </w:t>
      </w:r>
      <w:r w:rsidR="00E45181" w:rsidRPr="009C5C36">
        <w:rPr>
          <w:rFonts w:asciiTheme="majorHAnsi" w:hAnsiTheme="majorHAnsi"/>
          <w:sz w:val="20"/>
          <w:szCs w:val="20"/>
          <w:lang w:val="es-ES"/>
        </w:rPr>
        <w:t xml:space="preserve">asimismo </w:t>
      </w:r>
      <w:r w:rsidR="00FB2328" w:rsidRPr="009C5C36">
        <w:rPr>
          <w:rFonts w:asciiTheme="majorHAnsi" w:hAnsiTheme="majorHAnsi"/>
          <w:sz w:val="20"/>
          <w:szCs w:val="20"/>
          <w:lang w:val="es-ES"/>
        </w:rPr>
        <w:t>que la eficacia de las vías administrativas en el presente caso queda probada a partir de las s</w:t>
      </w:r>
      <w:r w:rsidR="00FB2328" w:rsidRPr="009C5C36">
        <w:rPr>
          <w:rFonts w:asciiTheme="majorHAnsi" w:hAnsiTheme="majorHAnsi"/>
          <w:sz w:val="20"/>
          <w:lang w:val="es-ES"/>
        </w:rPr>
        <w:t xml:space="preserve">anciones administrativas que fueron dictadas contra la empresa Grupo Industrial Minera México S.A. y contra agentes estatales con motivo del indebido ejercicio de la función pública. </w:t>
      </w:r>
    </w:p>
    <w:p w:rsidR="00E45181" w:rsidRPr="009C5C36" w:rsidRDefault="00FB2328" w:rsidP="009C5C36">
      <w:pPr>
        <w:pStyle w:val="ListParagraph"/>
        <w:numPr>
          <w:ilvl w:val="0"/>
          <w:numId w:val="55"/>
        </w:numPr>
        <w:spacing w:after="240"/>
        <w:jc w:val="both"/>
        <w:rPr>
          <w:rFonts w:asciiTheme="majorHAnsi" w:hAnsiTheme="majorHAnsi"/>
          <w:b/>
          <w:bCs/>
          <w:color w:val="FF0000"/>
          <w:sz w:val="20"/>
          <w:szCs w:val="20"/>
          <w:lang w:val="es-ES"/>
        </w:rPr>
      </w:pPr>
      <w:r w:rsidRPr="009C5C36">
        <w:rPr>
          <w:rFonts w:asciiTheme="majorHAnsi" w:hAnsiTheme="majorHAnsi"/>
          <w:sz w:val="20"/>
          <w:lang w:val="es-ES"/>
        </w:rPr>
        <w:t xml:space="preserve">Indica además que </w:t>
      </w:r>
      <w:r w:rsidRPr="009C5C36">
        <w:rPr>
          <w:rFonts w:asciiTheme="majorHAnsi" w:hAnsiTheme="majorHAnsi"/>
          <w:color w:val="auto"/>
          <w:sz w:val="20"/>
          <w:lang w:val="es-ES"/>
        </w:rPr>
        <w:t>los Tribunales Federales de Justicia Fiscal y Administrativa han resuelto los 6 juicios de responsabilidad patrimonial del Estado</w:t>
      </w:r>
      <w:r w:rsidR="008E013F" w:rsidRPr="009C5C36">
        <w:rPr>
          <w:rFonts w:asciiTheme="majorHAnsi" w:hAnsiTheme="majorHAnsi"/>
          <w:color w:val="auto"/>
          <w:sz w:val="20"/>
          <w:lang w:val="es-ES"/>
        </w:rPr>
        <w:t>,</w:t>
      </w:r>
      <w:r w:rsidRPr="009C5C36">
        <w:rPr>
          <w:rFonts w:asciiTheme="majorHAnsi" w:hAnsiTheme="majorHAnsi"/>
          <w:color w:val="auto"/>
          <w:sz w:val="20"/>
          <w:lang w:val="es-ES"/>
        </w:rPr>
        <w:t xml:space="preserve"> iniciados por los </w:t>
      </w:r>
      <w:r w:rsidR="00E45181" w:rsidRPr="009C5C36">
        <w:rPr>
          <w:rFonts w:asciiTheme="majorHAnsi" w:hAnsiTheme="majorHAnsi"/>
          <w:color w:val="auto"/>
          <w:sz w:val="20"/>
          <w:lang w:val="es-ES"/>
        </w:rPr>
        <w:t xml:space="preserve">familiares </w:t>
      </w:r>
      <w:r w:rsidRPr="009C5C36">
        <w:rPr>
          <w:rFonts w:asciiTheme="majorHAnsi" w:hAnsiTheme="majorHAnsi"/>
          <w:color w:val="auto"/>
          <w:sz w:val="20"/>
          <w:lang w:val="es-ES"/>
        </w:rPr>
        <w:t xml:space="preserve">de los mineros fallecidos. Aclara que dos de ellos fueron rechazados por falta de acreditación de la acción mientras que los cuatro restantes – que incluyen a </w:t>
      </w:r>
      <w:r w:rsidR="00535316" w:rsidRPr="009C5C36">
        <w:rPr>
          <w:rFonts w:asciiTheme="majorHAnsi" w:hAnsiTheme="majorHAnsi"/>
          <w:color w:val="auto"/>
          <w:sz w:val="20"/>
          <w:lang w:val="es-ES"/>
        </w:rPr>
        <w:t>10</w:t>
      </w:r>
      <w:r w:rsidR="009B633E" w:rsidRPr="009C5C36">
        <w:rPr>
          <w:rFonts w:asciiTheme="majorHAnsi" w:hAnsiTheme="majorHAnsi"/>
          <w:color w:val="auto"/>
          <w:sz w:val="20"/>
          <w:lang w:val="es-ES"/>
        </w:rPr>
        <w:t xml:space="preserve"> viudas de la presente petición</w:t>
      </w:r>
      <w:r w:rsidRPr="009C5C36">
        <w:rPr>
          <w:rFonts w:asciiTheme="majorHAnsi" w:hAnsiTheme="majorHAnsi"/>
          <w:color w:val="auto"/>
          <w:sz w:val="20"/>
          <w:lang w:val="es-ES"/>
        </w:rPr>
        <w:t xml:space="preserve"> – han obtenido sentencias favorables, por lo cual se han ordenado diversas indemnizaciones que han sido pagadas. El Estado </w:t>
      </w:r>
      <w:r w:rsidR="008E013F" w:rsidRPr="009C5C36">
        <w:rPr>
          <w:rFonts w:asciiTheme="majorHAnsi" w:hAnsiTheme="majorHAnsi"/>
          <w:color w:val="auto"/>
          <w:sz w:val="20"/>
          <w:lang w:val="es-ES"/>
        </w:rPr>
        <w:t>destaca</w:t>
      </w:r>
      <w:r w:rsidRPr="009C5C36">
        <w:rPr>
          <w:rFonts w:asciiTheme="majorHAnsi" w:hAnsiTheme="majorHAnsi"/>
          <w:color w:val="auto"/>
          <w:sz w:val="20"/>
          <w:lang w:val="es-ES"/>
        </w:rPr>
        <w:t xml:space="preserve"> que el resto de los familiares de los mineros fallecidos</w:t>
      </w:r>
      <w:r w:rsidR="00E45181" w:rsidRPr="009C5C36">
        <w:rPr>
          <w:rFonts w:asciiTheme="majorHAnsi" w:hAnsiTheme="majorHAnsi"/>
          <w:color w:val="auto"/>
          <w:sz w:val="20"/>
          <w:lang w:val="es-ES"/>
        </w:rPr>
        <w:t xml:space="preserve">, presuntas víctimas en la presente </w:t>
      </w:r>
      <w:r w:rsidR="002255D0" w:rsidRPr="009C5C36">
        <w:rPr>
          <w:rFonts w:asciiTheme="majorHAnsi" w:hAnsiTheme="majorHAnsi"/>
          <w:color w:val="auto"/>
          <w:sz w:val="20"/>
          <w:lang w:val="es-ES"/>
        </w:rPr>
        <w:t>petición</w:t>
      </w:r>
      <w:r w:rsidR="00A024F5">
        <w:rPr>
          <w:rFonts w:asciiTheme="majorHAnsi" w:hAnsiTheme="majorHAnsi"/>
          <w:color w:val="auto"/>
          <w:sz w:val="20"/>
          <w:lang w:val="es-ES"/>
        </w:rPr>
        <w:t>,</w:t>
      </w:r>
      <w:r w:rsidRPr="009C5C36">
        <w:rPr>
          <w:rFonts w:asciiTheme="majorHAnsi" w:hAnsiTheme="majorHAnsi"/>
          <w:color w:val="auto"/>
          <w:sz w:val="20"/>
          <w:lang w:val="es-ES"/>
        </w:rPr>
        <w:t xml:space="preserve"> no </w:t>
      </w:r>
      <w:r w:rsidR="00C2657E" w:rsidRPr="009C5C36">
        <w:rPr>
          <w:rFonts w:asciiTheme="majorHAnsi" w:hAnsiTheme="majorHAnsi"/>
          <w:color w:val="auto"/>
          <w:sz w:val="20"/>
          <w:lang w:val="es-ES"/>
        </w:rPr>
        <w:t>promovieron una demanda</w:t>
      </w:r>
      <w:r w:rsidRPr="009C5C36">
        <w:rPr>
          <w:rFonts w:asciiTheme="majorHAnsi" w:hAnsiTheme="majorHAnsi" w:cs="Times New Roman"/>
          <w:color w:val="auto"/>
          <w:sz w:val="20"/>
          <w:lang w:val="es-ES"/>
        </w:rPr>
        <w:t xml:space="preserve"> para reclamar la responsabilidad patrimonial del Estado. Asimismo, explica que la interposición de diversos recursos ha incrementado el tiempo de resolución de estos procedimientos y que, por consiguiente, no se configura un supuesto de demora injustificada. </w:t>
      </w:r>
    </w:p>
    <w:p w:rsidR="00FB2328" w:rsidRPr="009C5C36" w:rsidRDefault="008E013F" w:rsidP="009C5C36">
      <w:pPr>
        <w:pStyle w:val="ListParagraph"/>
        <w:numPr>
          <w:ilvl w:val="0"/>
          <w:numId w:val="55"/>
        </w:numPr>
        <w:spacing w:after="240"/>
        <w:jc w:val="both"/>
        <w:rPr>
          <w:rFonts w:asciiTheme="majorHAnsi" w:hAnsiTheme="majorHAnsi"/>
          <w:b/>
          <w:bCs/>
          <w:color w:val="FF0000"/>
          <w:sz w:val="20"/>
          <w:szCs w:val="20"/>
          <w:lang w:val="es-ES"/>
        </w:rPr>
      </w:pPr>
      <w:r w:rsidRPr="009C5C36">
        <w:rPr>
          <w:rFonts w:asciiTheme="majorHAnsi" w:hAnsiTheme="majorHAnsi"/>
          <w:sz w:val="20"/>
          <w:szCs w:val="20"/>
          <w:lang w:val="es-ES"/>
        </w:rPr>
        <w:t>Por otra parte, e</w:t>
      </w:r>
      <w:r w:rsidR="00FB2328" w:rsidRPr="009C5C36">
        <w:rPr>
          <w:rFonts w:asciiTheme="majorHAnsi" w:hAnsiTheme="majorHAnsi"/>
          <w:sz w:val="20"/>
          <w:szCs w:val="20"/>
          <w:lang w:val="es-ES"/>
        </w:rPr>
        <w:t xml:space="preserve">l Estado </w:t>
      </w:r>
      <w:r w:rsidR="00E45181" w:rsidRPr="009C5C36">
        <w:rPr>
          <w:rFonts w:asciiTheme="majorHAnsi" w:hAnsiTheme="majorHAnsi"/>
          <w:sz w:val="20"/>
          <w:szCs w:val="20"/>
          <w:lang w:val="es-ES"/>
        </w:rPr>
        <w:t>sostiene que</w:t>
      </w:r>
      <w:r w:rsidR="00FB2328" w:rsidRPr="009C5C36">
        <w:rPr>
          <w:rFonts w:asciiTheme="majorHAnsi" w:hAnsiTheme="majorHAnsi"/>
          <w:sz w:val="20"/>
          <w:szCs w:val="20"/>
          <w:lang w:val="es-ES"/>
        </w:rPr>
        <w:t xml:space="preserve"> </w:t>
      </w:r>
      <w:r w:rsidR="00E45181" w:rsidRPr="009C5C36">
        <w:rPr>
          <w:rFonts w:asciiTheme="majorHAnsi" w:hAnsiTheme="majorHAnsi"/>
          <w:sz w:val="20"/>
          <w:szCs w:val="20"/>
          <w:lang w:val="es-ES"/>
        </w:rPr>
        <w:t>otorgó</w:t>
      </w:r>
      <w:r w:rsidR="00FB2328" w:rsidRPr="009C5C36">
        <w:rPr>
          <w:rFonts w:asciiTheme="majorHAnsi" w:hAnsiTheme="majorHAnsi"/>
          <w:sz w:val="20"/>
          <w:szCs w:val="20"/>
          <w:lang w:val="es-ES"/>
        </w:rPr>
        <w:t xml:space="preserve"> asistencia y representación legal </w:t>
      </w:r>
      <w:r w:rsidRPr="009C5C36">
        <w:rPr>
          <w:rFonts w:asciiTheme="majorHAnsi" w:hAnsiTheme="majorHAnsi"/>
          <w:sz w:val="20"/>
          <w:szCs w:val="20"/>
          <w:lang w:val="es-ES"/>
        </w:rPr>
        <w:t>a 59 de las 65 familias</w:t>
      </w:r>
      <w:r w:rsidRPr="009C5C36" w:rsidDel="00E45181">
        <w:rPr>
          <w:rFonts w:asciiTheme="majorHAnsi" w:hAnsiTheme="majorHAnsi"/>
          <w:sz w:val="20"/>
          <w:szCs w:val="20"/>
          <w:lang w:val="es-ES"/>
        </w:rPr>
        <w:t xml:space="preserve"> </w:t>
      </w:r>
      <w:r w:rsidR="00FB2328" w:rsidRPr="009C5C36">
        <w:rPr>
          <w:rFonts w:asciiTheme="majorHAnsi" w:hAnsiTheme="majorHAnsi"/>
          <w:sz w:val="20"/>
          <w:szCs w:val="20"/>
          <w:lang w:val="es-ES"/>
        </w:rPr>
        <w:t>a través de la PROFEDET (</w:t>
      </w:r>
      <w:r w:rsidR="009E73AE" w:rsidRPr="009C5C36">
        <w:rPr>
          <w:rFonts w:asciiTheme="majorHAnsi" w:hAnsiTheme="majorHAnsi"/>
          <w:sz w:val="20"/>
          <w:szCs w:val="20"/>
          <w:lang w:val="es-ES"/>
        </w:rPr>
        <w:t>Procuraduría</w:t>
      </w:r>
      <w:r w:rsidR="00FB2328" w:rsidRPr="009C5C36">
        <w:rPr>
          <w:rFonts w:asciiTheme="majorHAnsi" w:hAnsiTheme="majorHAnsi"/>
          <w:sz w:val="20"/>
          <w:szCs w:val="20"/>
          <w:lang w:val="es-ES"/>
        </w:rPr>
        <w:t xml:space="preserve"> Federal de la Defensa del Trabajo) en el fuero laboral y de la seguridad social. Destaca que en primera instancia la PROFEDET logró que en sede judicial se ordenara a la empresa pagar las indemnizaciones tomando como base un salario diario de $300 pesos mexicanos. No obstante, </w:t>
      </w:r>
      <w:r w:rsidR="007A0120" w:rsidRPr="009C5C36">
        <w:rPr>
          <w:rFonts w:asciiTheme="majorHAnsi" w:hAnsiTheme="majorHAnsi"/>
          <w:sz w:val="20"/>
          <w:szCs w:val="20"/>
          <w:lang w:val="es-ES"/>
        </w:rPr>
        <w:t xml:space="preserve">informa </w:t>
      </w:r>
      <w:r w:rsidR="00FB2328" w:rsidRPr="009C5C36">
        <w:rPr>
          <w:rFonts w:asciiTheme="majorHAnsi" w:hAnsiTheme="majorHAnsi"/>
          <w:sz w:val="20"/>
          <w:szCs w:val="20"/>
          <w:lang w:val="es-ES"/>
        </w:rPr>
        <w:t>que, como corolario de las sucesivas impugnaciones interpuestas por la empresa, qued</w:t>
      </w:r>
      <w:r w:rsidR="007A0120" w:rsidRPr="009C5C36">
        <w:rPr>
          <w:rFonts w:asciiTheme="majorHAnsi" w:hAnsiTheme="majorHAnsi"/>
          <w:sz w:val="20"/>
          <w:szCs w:val="20"/>
          <w:lang w:val="es-ES"/>
        </w:rPr>
        <w:t>ó</w:t>
      </w:r>
      <w:r w:rsidR="00FB2328" w:rsidRPr="009C5C36">
        <w:rPr>
          <w:rFonts w:asciiTheme="majorHAnsi" w:hAnsiTheme="majorHAnsi"/>
          <w:sz w:val="20"/>
          <w:szCs w:val="20"/>
          <w:lang w:val="es-ES"/>
        </w:rPr>
        <w:t xml:space="preserve"> firme el monto de las indemnizaciones y pensiones calculadas por la Suprema Corte de Justicia de la Nación sobre la base del salario registrado de los trabajadores </w:t>
      </w:r>
      <w:r w:rsidR="007A0120" w:rsidRPr="009C5C36">
        <w:rPr>
          <w:rFonts w:asciiTheme="majorHAnsi" w:hAnsiTheme="majorHAnsi"/>
          <w:sz w:val="20"/>
          <w:szCs w:val="20"/>
          <w:lang w:val="es-ES"/>
        </w:rPr>
        <w:t>(</w:t>
      </w:r>
      <w:r w:rsidR="00FB2328" w:rsidRPr="009C5C36">
        <w:rPr>
          <w:rFonts w:asciiTheme="majorHAnsi" w:hAnsiTheme="majorHAnsi"/>
          <w:sz w:val="20"/>
          <w:szCs w:val="20"/>
          <w:lang w:val="es-ES"/>
        </w:rPr>
        <w:t>$110 pesos mexicanos</w:t>
      </w:r>
      <w:r w:rsidR="007A0120" w:rsidRPr="009C5C36">
        <w:rPr>
          <w:rFonts w:asciiTheme="majorHAnsi" w:hAnsiTheme="majorHAnsi"/>
          <w:sz w:val="20"/>
          <w:szCs w:val="20"/>
          <w:lang w:val="es-ES"/>
        </w:rPr>
        <w:t>)</w:t>
      </w:r>
      <w:r w:rsidR="00FB2328" w:rsidRPr="009C5C36">
        <w:rPr>
          <w:rFonts w:asciiTheme="majorHAnsi" w:hAnsiTheme="majorHAnsi"/>
          <w:sz w:val="20"/>
          <w:szCs w:val="20"/>
          <w:lang w:val="es-ES"/>
        </w:rPr>
        <w:t xml:space="preserve">. El Estado contradice a los peticionarios al observar que también obtuvo que se le ordenara al Instituto Mexicano del Seguro Social que abone un 25% adicional a las indemnizaciones por falta inexcusable del patrón de conformidad con el alcance del artículo 490 de la Ley Federal del Trabajo.   </w:t>
      </w:r>
      <w:r w:rsidR="00FB2328" w:rsidRPr="009C5C36">
        <w:rPr>
          <w:rFonts w:asciiTheme="majorHAnsi" w:hAnsiTheme="majorHAnsi"/>
          <w:sz w:val="20"/>
          <w:lang w:val="es-ES"/>
        </w:rPr>
        <w:t xml:space="preserve">  </w:t>
      </w:r>
    </w:p>
    <w:p w:rsidR="00A11E44" w:rsidRPr="009C5C36" w:rsidRDefault="00FB2328" w:rsidP="009C5C3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AR"/>
        </w:rPr>
      </w:pPr>
      <w:r w:rsidRPr="009C5C36">
        <w:rPr>
          <w:rFonts w:asciiTheme="majorHAnsi" w:hAnsiTheme="majorHAnsi"/>
          <w:sz w:val="20"/>
          <w:lang w:val="es-ES"/>
        </w:rPr>
        <w:t>Por último, el Estado hace referencia al reclamo iniciado por un conjunto de sindicatos ante la Organización Internacional del Trabajo (en adelante, OIT) en base a los acontecimientos de la Mina Pasta de Conchos. Como resultado, el 19 de marzo de 2009 el Consejo de Administración de la OIT public</w:t>
      </w:r>
      <w:r w:rsidRPr="009C5C36">
        <w:rPr>
          <w:rFonts w:asciiTheme="majorHAnsi" w:hAnsiTheme="majorHAnsi" w:cs="Times New Roman"/>
          <w:sz w:val="20"/>
          <w:lang w:val="es-ES"/>
        </w:rPr>
        <w:t xml:space="preserve">ó </w:t>
      </w:r>
      <w:r w:rsidRPr="009C5C36">
        <w:rPr>
          <w:rFonts w:asciiTheme="majorHAnsi" w:hAnsiTheme="majorHAnsi"/>
          <w:sz w:val="20"/>
          <w:lang w:val="es-ES"/>
        </w:rPr>
        <w:t xml:space="preserve">un Informe en el que determinó el incumplimiento por parte del Estado de los Convenios 150 sobre la </w:t>
      </w:r>
      <w:r w:rsidRPr="009C5C36">
        <w:rPr>
          <w:rFonts w:asciiTheme="majorHAnsi" w:hAnsiTheme="majorHAnsi"/>
          <w:color w:val="auto"/>
          <w:sz w:val="20"/>
          <w:szCs w:val="27"/>
          <w:shd w:val="clear" w:color="auto" w:fill="FFFFFF"/>
          <w:lang w:val="es-ES"/>
        </w:rPr>
        <w:t>administración del trabajo, 155 sobre la seguridad y la salud de los trabajadores y 170 sobre los productos químicos.</w:t>
      </w:r>
      <w:r w:rsidRPr="009C5C36">
        <w:rPr>
          <w:rFonts w:asciiTheme="majorHAnsi" w:hAnsiTheme="majorHAnsi"/>
          <w:sz w:val="20"/>
          <w:lang w:val="es-ES"/>
        </w:rPr>
        <w:t xml:space="preserve"> El Estado manifiesta que el procedimiento ante la OIT se encuentra en la etapa de supervisión de cumplimiento de las recomendaciones encomendadas y que, por lo tanto, la petición es inadmisible</w:t>
      </w:r>
      <w:r w:rsidR="00317C7F" w:rsidRPr="009C5C36">
        <w:rPr>
          <w:rFonts w:asciiTheme="majorHAnsi" w:hAnsiTheme="majorHAnsi"/>
          <w:sz w:val="20"/>
          <w:lang w:val="es-ES"/>
        </w:rPr>
        <w:t xml:space="preserve"> con base en el artículo 46.1.c de la Convención</w:t>
      </w:r>
      <w:r w:rsidRPr="009C5C36">
        <w:rPr>
          <w:rFonts w:asciiTheme="majorHAnsi" w:hAnsiTheme="majorHAnsi"/>
          <w:sz w:val="20"/>
          <w:lang w:val="es-ES"/>
        </w:rPr>
        <w:t xml:space="preserve">. </w:t>
      </w:r>
    </w:p>
    <w:p w:rsidR="003239B8" w:rsidRPr="009C5C36" w:rsidRDefault="003239B8" w:rsidP="009C5C36">
      <w:pPr>
        <w:spacing w:before="240" w:after="240"/>
        <w:ind w:firstLine="720"/>
        <w:jc w:val="both"/>
        <w:rPr>
          <w:rFonts w:ascii="Cambria" w:hAnsi="Cambria"/>
          <w:sz w:val="20"/>
          <w:szCs w:val="20"/>
          <w:lang w:val="es-UY"/>
        </w:rPr>
      </w:pPr>
      <w:r w:rsidRPr="009C5C36">
        <w:rPr>
          <w:rFonts w:asciiTheme="majorHAnsi" w:eastAsia="Cambria" w:hAnsiTheme="majorHAnsi" w:cs="Cambria"/>
          <w:b/>
          <w:bCs/>
          <w:color w:val="000000"/>
          <w:sz w:val="20"/>
          <w:szCs w:val="20"/>
          <w:u w:color="000000"/>
          <w:lang w:val="es-ES" w:eastAsia="es-ES"/>
        </w:rPr>
        <w:t>VI.</w:t>
      </w:r>
      <w:r w:rsidRPr="009C5C36">
        <w:rPr>
          <w:rFonts w:asciiTheme="majorHAnsi" w:eastAsia="Cambria" w:hAnsiTheme="majorHAnsi" w:cs="Cambria"/>
          <w:b/>
          <w:bCs/>
          <w:color w:val="000000"/>
          <w:sz w:val="20"/>
          <w:szCs w:val="20"/>
          <w:u w:color="000000"/>
          <w:lang w:val="es-ES" w:eastAsia="es-ES"/>
        </w:rPr>
        <w:tab/>
      </w:r>
      <w:r w:rsidR="00B114B7" w:rsidRPr="009C5C36">
        <w:rPr>
          <w:rFonts w:asciiTheme="majorHAnsi" w:eastAsia="Cambria" w:hAnsiTheme="majorHAnsi" w:cs="Cambria"/>
          <w:b/>
          <w:bCs/>
          <w:color w:val="000000"/>
          <w:sz w:val="20"/>
          <w:szCs w:val="20"/>
          <w:u w:color="000000"/>
          <w:lang w:val="es-ES" w:eastAsia="es-ES"/>
        </w:rPr>
        <w:t xml:space="preserve">ANÁLISIS DE </w:t>
      </w:r>
      <w:r w:rsidR="00C21FEF" w:rsidRPr="009C5C36">
        <w:rPr>
          <w:rFonts w:asciiTheme="majorHAnsi" w:hAnsiTheme="majorHAnsi"/>
          <w:b/>
          <w:sz w:val="20"/>
          <w:szCs w:val="20"/>
          <w:lang w:val="es-ES"/>
        </w:rPr>
        <w:t>AGOTAMIENTO DE LOS RECURSOS INTERNOS Y PLAZO DE PRESENTACIÓN</w:t>
      </w:r>
      <w:r w:rsidR="00C21FEF" w:rsidRPr="009C5C36">
        <w:rPr>
          <w:rFonts w:asciiTheme="majorHAnsi" w:eastAsia="Cambria" w:hAnsiTheme="majorHAnsi" w:cs="Cambria"/>
          <w:b/>
          <w:bCs/>
          <w:color w:val="000000"/>
          <w:sz w:val="20"/>
          <w:szCs w:val="20"/>
          <w:u w:color="000000"/>
          <w:lang w:val="es-ES" w:eastAsia="es-ES"/>
        </w:rPr>
        <w:t xml:space="preserve"> </w:t>
      </w:r>
    </w:p>
    <w:p w:rsidR="00B757CF" w:rsidRPr="009C5C36" w:rsidRDefault="00B757CF" w:rsidP="009C5C36">
      <w:pPr>
        <w:pStyle w:val="ListParagraph"/>
        <w:numPr>
          <w:ilvl w:val="0"/>
          <w:numId w:val="55"/>
        </w:numPr>
        <w:spacing w:after="240"/>
        <w:jc w:val="both"/>
        <w:rPr>
          <w:rFonts w:asciiTheme="majorHAnsi" w:hAnsiTheme="majorHAnsi"/>
          <w:sz w:val="20"/>
          <w:szCs w:val="20"/>
          <w:lang w:val="es-ES"/>
        </w:rPr>
      </w:pPr>
      <w:r w:rsidRPr="009C5C36">
        <w:rPr>
          <w:rFonts w:asciiTheme="majorHAnsi" w:hAnsiTheme="majorHAnsi"/>
          <w:sz w:val="20"/>
          <w:szCs w:val="20"/>
          <w:lang w:val="es-ES"/>
        </w:rPr>
        <w:t xml:space="preserve">Los peticionarios sostienen que </w:t>
      </w:r>
      <w:r w:rsidR="00D8627E" w:rsidRPr="009C5C36">
        <w:rPr>
          <w:rFonts w:asciiTheme="majorHAnsi" w:hAnsiTheme="majorHAnsi"/>
          <w:sz w:val="20"/>
          <w:szCs w:val="20"/>
          <w:lang w:val="es-ES"/>
        </w:rPr>
        <w:t>se les negó legitimación procesal para intervenir en los procesos penales</w:t>
      </w:r>
      <w:r w:rsidR="001F1AE0" w:rsidRPr="009C5C36">
        <w:rPr>
          <w:rFonts w:asciiTheme="majorHAnsi" w:hAnsiTheme="majorHAnsi"/>
          <w:sz w:val="20"/>
          <w:szCs w:val="20"/>
          <w:lang w:val="es-ES"/>
        </w:rPr>
        <w:t xml:space="preserve"> y que estos no fueron efectivos para</w:t>
      </w:r>
      <w:r w:rsidR="000B4674" w:rsidRPr="009C5C36">
        <w:rPr>
          <w:rFonts w:asciiTheme="majorHAnsi" w:hAnsiTheme="majorHAnsi"/>
          <w:sz w:val="20"/>
          <w:szCs w:val="20"/>
          <w:lang w:val="es-ES"/>
        </w:rPr>
        <w:t xml:space="preserve"> determin</w:t>
      </w:r>
      <w:r w:rsidR="001F1AE0" w:rsidRPr="009C5C36">
        <w:rPr>
          <w:rFonts w:asciiTheme="majorHAnsi" w:hAnsiTheme="majorHAnsi"/>
          <w:sz w:val="20"/>
          <w:szCs w:val="20"/>
          <w:lang w:val="es-ES"/>
        </w:rPr>
        <w:t>ar</w:t>
      </w:r>
      <w:r w:rsidRPr="009C5C36">
        <w:rPr>
          <w:rFonts w:asciiTheme="majorHAnsi" w:hAnsiTheme="majorHAnsi"/>
          <w:sz w:val="20"/>
          <w:szCs w:val="20"/>
          <w:lang w:val="es-ES"/>
        </w:rPr>
        <w:t xml:space="preserve"> la responsabilidad de los funcionarios públicos implicados ni las circunstancias bajo las cuales ocurrió la explosión</w:t>
      </w:r>
      <w:r w:rsidR="001F1AE0" w:rsidRPr="009C5C36">
        <w:rPr>
          <w:rFonts w:asciiTheme="majorHAnsi" w:hAnsiTheme="majorHAnsi"/>
          <w:sz w:val="20"/>
          <w:szCs w:val="20"/>
          <w:lang w:val="es-ES"/>
        </w:rPr>
        <w:t xml:space="preserve"> en la Mina Pasta de Conchos</w:t>
      </w:r>
      <w:r w:rsidR="00BC5CAD" w:rsidRPr="009C5C36">
        <w:rPr>
          <w:rFonts w:asciiTheme="majorHAnsi" w:hAnsiTheme="majorHAnsi"/>
          <w:sz w:val="20"/>
          <w:szCs w:val="20"/>
          <w:lang w:val="es-ES"/>
        </w:rPr>
        <w:t xml:space="preserve">, </w:t>
      </w:r>
      <w:r w:rsidRPr="009C5C36">
        <w:rPr>
          <w:rFonts w:asciiTheme="majorHAnsi" w:hAnsiTheme="majorHAnsi"/>
          <w:sz w:val="20"/>
          <w:szCs w:val="20"/>
          <w:lang w:val="es-ES"/>
        </w:rPr>
        <w:t xml:space="preserve">por </w:t>
      </w:r>
      <w:r w:rsidRPr="009C5C36">
        <w:rPr>
          <w:rFonts w:asciiTheme="majorHAnsi" w:hAnsiTheme="majorHAnsi"/>
          <w:sz w:val="20"/>
          <w:szCs w:val="20"/>
          <w:lang w:val="es-ES"/>
        </w:rPr>
        <w:lastRenderedPageBreak/>
        <w:t xml:space="preserve">lo cual invocan las excepciones </w:t>
      </w:r>
      <w:r w:rsidR="000B4674" w:rsidRPr="009C5C36">
        <w:rPr>
          <w:rFonts w:asciiTheme="majorHAnsi" w:hAnsiTheme="majorHAnsi"/>
          <w:sz w:val="20"/>
          <w:szCs w:val="20"/>
          <w:lang w:val="es-ES"/>
        </w:rPr>
        <w:t xml:space="preserve">al </w:t>
      </w:r>
      <w:r w:rsidRPr="009C5C36">
        <w:rPr>
          <w:rFonts w:asciiTheme="majorHAnsi" w:hAnsiTheme="majorHAnsi"/>
          <w:sz w:val="20"/>
          <w:szCs w:val="20"/>
          <w:lang w:val="es-ES"/>
        </w:rPr>
        <w:t>agotamiento de los recursos internos</w:t>
      </w:r>
      <w:r w:rsidR="00D8627E" w:rsidRPr="009C5C36">
        <w:rPr>
          <w:rFonts w:asciiTheme="majorHAnsi" w:hAnsiTheme="majorHAnsi"/>
          <w:sz w:val="20"/>
          <w:szCs w:val="20"/>
          <w:lang w:val="es-ES"/>
        </w:rPr>
        <w:t xml:space="preserve"> </w:t>
      </w:r>
      <w:r w:rsidR="00BC5CAD" w:rsidRPr="009C5C36">
        <w:rPr>
          <w:rFonts w:asciiTheme="majorHAnsi" w:hAnsiTheme="majorHAnsi"/>
          <w:sz w:val="20"/>
          <w:szCs w:val="20"/>
          <w:lang w:val="es-ES"/>
        </w:rPr>
        <w:t xml:space="preserve">previstas los </w:t>
      </w:r>
      <w:r w:rsidRPr="009C5C36">
        <w:rPr>
          <w:rFonts w:asciiTheme="majorHAnsi" w:hAnsiTheme="majorHAnsi"/>
          <w:sz w:val="20"/>
          <w:szCs w:val="20"/>
          <w:lang w:val="es-ES"/>
        </w:rPr>
        <w:t>artículo</w:t>
      </w:r>
      <w:r w:rsidR="00BC5CAD" w:rsidRPr="009C5C36">
        <w:rPr>
          <w:rFonts w:asciiTheme="majorHAnsi" w:hAnsiTheme="majorHAnsi"/>
          <w:sz w:val="20"/>
          <w:szCs w:val="20"/>
          <w:lang w:val="es-ES"/>
        </w:rPr>
        <w:t>s</w:t>
      </w:r>
      <w:r w:rsidRPr="009C5C36">
        <w:rPr>
          <w:rFonts w:asciiTheme="majorHAnsi" w:hAnsiTheme="majorHAnsi"/>
          <w:sz w:val="20"/>
          <w:szCs w:val="20"/>
          <w:lang w:val="es-ES"/>
        </w:rPr>
        <w:t xml:space="preserve"> 46.2.</w:t>
      </w:r>
      <w:r w:rsidR="00BC5CAD" w:rsidRPr="009C5C36">
        <w:rPr>
          <w:rFonts w:asciiTheme="majorHAnsi" w:hAnsiTheme="majorHAnsi"/>
          <w:sz w:val="20"/>
          <w:szCs w:val="20"/>
          <w:lang w:val="es-ES"/>
        </w:rPr>
        <w:t xml:space="preserve"> a) y </w:t>
      </w:r>
      <w:r w:rsidRPr="009C5C36">
        <w:rPr>
          <w:rFonts w:asciiTheme="majorHAnsi" w:hAnsiTheme="majorHAnsi"/>
          <w:sz w:val="20"/>
          <w:szCs w:val="20"/>
          <w:lang w:val="es-ES"/>
        </w:rPr>
        <w:t>b)</w:t>
      </w:r>
      <w:r w:rsidR="000E2E0B" w:rsidRPr="009C5C36">
        <w:rPr>
          <w:rFonts w:asciiTheme="majorHAnsi" w:hAnsiTheme="majorHAnsi"/>
          <w:sz w:val="20"/>
          <w:szCs w:val="20"/>
          <w:lang w:val="es-ES"/>
        </w:rPr>
        <w:t xml:space="preserve"> de la Convención Americana</w:t>
      </w:r>
      <w:r w:rsidR="007F4C26" w:rsidRPr="009C5C36">
        <w:rPr>
          <w:rFonts w:asciiTheme="majorHAnsi" w:hAnsiTheme="majorHAnsi"/>
          <w:sz w:val="20"/>
          <w:szCs w:val="20"/>
          <w:lang w:val="es-ES"/>
        </w:rPr>
        <w:t>. Asimismo</w:t>
      </w:r>
      <w:r w:rsidR="00CD74AE" w:rsidRPr="009C5C36">
        <w:rPr>
          <w:rFonts w:asciiTheme="majorHAnsi" w:hAnsiTheme="majorHAnsi"/>
          <w:sz w:val="20"/>
          <w:szCs w:val="20"/>
          <w:lang w:val="es-ES"/>
        </w:rPr>
        <w:t>,</w:t>
      </w:r>
      <w:r w:rsidR="00BC5CAD" w:rsidRPr="009C5C36">
        <w:rPr>
          <w:rFonts w:asciiTheme="majorHAnsi" w:hAnsiTheme="majorHAnsi"/>
          <w:sz w:val="20"/>
          <w:szCs w:val="20"/>
          <w:lang w:val="es-ES"/>
        </w:rPr>
        <w:t xml:space="preserve"> consideran que</w:t>
      </w:r>
      <w:r w:rsidR="007F4C26" w:rsidRPr="009C5C36">
        <w:rPr>
          <w:rFonts w:asciiTheme="majorHAnsi" w:hAnsiTheme="majorHAnsi"/>
          <w:sz w:val="20"/>
          <w:szCs w:val="20"/>
          <w:lang w:val="es-ES"/>
        </w:rPr>
        <w:t>,</w:t>
      </w:r>
      <w:r w:rsidR="00BC5CAD" w:rsidRPr="009C5C36">
        <w:rPr>
          <w:rFonts w:asciiTheme="majorHAnsi" w:hAnsiTheme="majorHAnsi"/>
          <w:sz w:val="20"/>
          <w:szCs w:val="20"/>
          <w:lang w:val="es-ES"/>
        </w:rPr>
        <w:t xml:space="preserve"> a doce años de ocurridos los hechos</w:t>
      </w:r>
      <w:r w:rsidR="007F4C26" w:rsidRPr="009C5C36">
        <w:rPr>
          <w:rFonts w:asciiTheme="majorHAnsi" w:hAnsiTheme="majorHAnsi"/>
          <w:sz w:val="20"/>
          <w:szCs w:val="20"/>
          <w:lang w:val="es-ES"/>
        </w:rPr>
        <w:t>,</w:t>
      </w:r>
      <w:r w:rsidR="00BC5CAD" w:rsidRPr="009C5C36">
        <w:rPr>
          <w:rFonts w:asciiTheme="majorHAnsi" w:hAnsiTheme="majorHAnsi"/>
          <w:sz w:val="20"/>
          <w:szCs w:val="20"/>
          <w:lang w:val="es-ES"/>
        </w:rPr>
        <w:t xml:space="preserve"> se configura un </w:t>
      </w:r>
      <w:r w:rsidR="000E2E0B" w:rsidRPr="009C5C36">
        <w:rPr>
          <w:rFonts w:asciiTheme="majorHAnsi" w:hAnsiTheme="majorHAnsi"/>
          <w:sz w:val="20"/>
          <w:szCs w:val="20"/>
          <w:lang w:val="es-ES"/>
        </w:rPr>
        <w:t>retardo injustificado de justicia de conformidad con la excepción contemplada en el artículo 46.2.</w:t>
      </w:r>
      <w:r w:rsidRPr="009C5C36">
        <w:rPr>
          <w:rFonts w:asciiTheme="majorHAnsi" w:hAnsiTheme="majorHAnsi"/>
          <w:sz w:val="20"/>
          <w:szCs w:val="20"/>
          <w:lang w:val="es-ES"/>
        </w:rPr>
        <w:t xml:space="preserve">c) de la Convención. El Estado </w:t>
      </w:r>
      <w:r w:rsidR="00C2657E" w:rsidRPr="009C5C36">
        <w:rPr>
          <w:rFonts w:asciiTheme="majorHAnsi" w:hAnsiTheme="majorHAnsi"/>
          <w:sz w:val="20"/>
          <w:szCs w:val="20"/>
          <w:lang w:val="es-ES"/>
        </w:rPr>
        <w:t xml:space="preserve">por su parte </w:t>
      </w:r>
      <w:r w:rsidRPr="009C5C36">
        <w:rPr>
          <w:rFonts w:asciiTheme="majorHAnsi" w:hAnsiTheme="majorHAnsi"/>
          <w:sz w:val="20"/>
          <w:szCs w:val="20"/>
          <w:lang w:val="es-ES"/>
        </w:rPr>
        <w:t xml:space="preserve">alega que los peticionarios </w:t>
      </w:r>
      <w:r w:rsidR="00346F51" w:rsidRPr="009C5C36">
        <w:rPr>
          <w:rFonts w:asciiTheme="majorHAnsi" w:hAnsiTheme="majorHAnsi"/>
          <w:sz w:val="20"/>
          <w:szCs w:val="20"/>
          <w:lang w:val="es-ES"/>
        </w:rPr>
        <w:t xml:space="preserve">no agotaron los recursos internos pues </w:t>
      </w:r>
      <w:r w:rsidRPr="009C5C36">
        <w:rPr>
          <w:rFonts w:asciiTheme="majorHAnsi" w:hAnsiTheme="majorHAnsi"/>
          <w:sz w:val="20"/>
          <w:szCs w:val="20"/>
          <w:lang w:val="es-ES"/>
        </w:rPr>
        <w:t xml:space="preserve">no </w:t>
      </w:r>
      <w:r w:rsidR="00C2657E" w:rsidRPr="009C5C36">
        <w:rPr>
          <w:rFonts w:asciiTheme="majorHAnsi" w:hAnsiTheme="majorHAnsi"/>
          <w:sz w:val="20"/>
          <w:szCs w:val="20"/>
          <w:lang w:val="es-ES"/>
        </w:rPr>
        <w:t>apelaron el sobreseimiento dictado en sede penal</w:t>
      </w:r>
      <w:r w:rsidR="00696723" w:rsidRPr="009C5C36">
        <w:rPr>
          <w:rFonts w:asciiTheme="majorHAnsi" w:hAnsiTheme="majorHAnsi"/>
          <w:sz w:val="20"/>
          <w:szCs w:val="20"/>
          <w:lang w:val="es-ES"/>
        </w:rPr>
        <w:t xml:space="preserve"> </w:t>
      </w:r>
      <w:r w:rsidR="00346F51" w:rsidRPr="009C5C36">
        <w:rPr>
          <w:rFonts w:asciiTheme="majorHAnsi" w:hAnsiTheme="majorHAnsi"/>
          <w:sz w:val="20"/>
          <w:szCs w:val="20"/>
          <w:lang w:val="es-ES"/>
        </w:rPr>
        <w:t>y por</w:t>
      </w:r>
      <w:r w:rsidR="00AD4B48" w:rsidRPr="009C5C36">
        <w:rPr>
          <w:rFonts w:asciiTheme="majorHAnsi" w:hAnsiTheme="majorHAnsi"/>
          <w:sz w:val="20"/>
          <w:szCs w:val="20"/>
          <w:lang w:val="es-ES"/>
        </w:rPr>
        <w:t>que</w:t>
      </w:r>
      <w:r w:rsidR="00696723" w:rsidRPr="009C5C36">
        <w:rPr>
          <w:rFonts w:asciiTheme="majorHAnsi" w:hAnsiTheme="majorHAnsi"/>
          <w:sz w:val="20"/>
          <w:szCs w:val="20"/>
          <w:lang w:val="es-ES"/>
        </w:rPr>
        <w:t xml:space="preserve"> familiares</w:t>
      </w:r>
      <w:r w:rsidR="00535316" w:rsidRPr="009C5C36">
        <w:rPr>
          <w:rFonts w:asciiTheme="majorHAnsi" w:hAnsiTheme="majorHAnsi"/>
          <w:sz w:val="20"/>
          <w:szCs w:val="20"/>
          <w:lang w:val="es-ES"/>
        </w:rPr>
        <w:t xml:space="preserve"> de 38 de las presuntas víctimas fallecidas</w:t>
      </w:r>
      <w:r w:rsidR="00696723" w:rsidRPr="009C5C36">
        <w:rPr>
          <w:rFonts w:asciiTheme="majorHAnsi" w:hAnsiTheme="majorHAnsi"/>
          <w:sz w:val="20"/>
          <w:szCs w:val="20"/>
          <w:lang w:val="es-ES"/>
        </w:rPr>
        <w:t xml:space="preserve"> </w:t>
      </w:r>
      <w:r w:rsidR="00696723" w:rsidRPr="009C5C36">
        <w:rPr>
          <w:rFonts w:asciiTheme="majorHAnsi" w:hAnsiTheme="majorHAnsi"/>
          <w:color w:val="auto"/>
          <w:sz w:val="20"/>
          <w:lang w:val="es-ES"/>
        </w:rPr>
        <w:t xml:space="preserve">no </w:t>
      </w:r>
      <w:r w:rsidR="00696723" w:rsidRPr="009C5C36">
        <w:rPr>
          <w:rFonts w:asciiTheme="majorHAnsi" w:hAnsiTheme="majorHAnsi" w:cs="Times New Roman"/>
          <w:color w:val="auto"/>
          <w:sz w:val="20"/>
          <w:lang w:val="es-ES"/>
        </w:rPr>
        <w:t>reclamar</w:t>
      </w:r>
      <w:r w:rsidR="00346F51" w:rsidRPr="009C5C36">
        <w:rPr>
          <w:rFonts w:asciiTheme="majorHAnsi" w:hAnsiTheme="majorHAnsi" w:cs="Times New Roman"/>
          <w:color w:val="auto"/>
          <w:sz w:val="20"/>
          <w:lang w:val="es-ES"/>
        </w:rPr>
        <w:t>on judicialmente</w:t>
      </w:r>
      <w:r w:rsidR="00696723" w:rsidRPr="009C5C36">
        <w:rPr>
          <w:rFonts w:asciiTheme="majorHAnsi" w:hAnsiTheme="majorHAnsi" w:cs="Times New Roman"/>
          <w:color w:val="auto"/>
          <w:sz w:val="20"/>
          <w:lang w:val="es-ES"/>
        </w:rPr>
        <w:t xml:space="preserve"> la responsabilidad patrimonial del Estado</w:t>
      </w:r>
      <w:r w:rsidR="00346F51" w:rsidRPr="009C5C36">
        <w:rPr>
          <w:rFonts w:asciiTheme="majorHAnsi" w:hAnsiTheme="majorHAnsi" w:cs="Times New Roman"/>
          <w:color w:val="auto"/>
          <w:sz w:val="20"/>
          <w:lang w:val="es-ES"/>
        </w:rPr>
        <w:t xml:space="preserve">. </w:t>
      </w:r>
      <w:r w:rsidR="001049D4" w:rsidRPr="009C5C36">
        <w:rPr>
          <w:rFonts w:asciiTheme="majorHAnsi" w:hAnsiTheme="majorHAnsi" w:cs="Times New Roman"/>
          <w:color w:val="auto"/>
          <w:sz w:val="20"/>
          <w:lang w:val="es-ES"/>
        </w:rPr>
        <w:t>Por otro lado, afirma</w:t>
      </w:r>
      <w:r w:rsidRPr="009C5C36">
        <w:rPr>
          <w:rFonts w:asciiTheme="majorHAnsi" w:hAnsiTheme="majorHAnsi"/>
          <w:sz w:val="20"/>
          <w:szCs w:val="20"/>
          <w:lang w:val="es-ES"/>
        </w:rPr>
        <w:t xml:space="preserve"> que la dilación en la reserva de la averiguación federal se debió a la complejidad del asunto y a causas de fuerza mayor no atribuibles al Estado</w:t>
      </w:r>
      <w:r w:rsidR="00C2657E" w:rsidRPr="009C5C36">
        <w:rPr>
          <w:rFonts w:asciiTheme="majorHAnsi" w:hAnsiTheme="majorHAnsi"/>
          <w:sz w:val="20"/>
          <w:szCs w:val="20"/>
          <w:lang w:val="es-ES"/>
        </w:rPr>
        <w:t>,</w:t>
      </w:r>
      <w:r w:rsidRPr="009C5C36">
        <w:rPr>
          <w:rFonts w:asciiTheme="majorHAnsi" w:hAnsiTheme="majorHAnsi"/>
          <w:sz w:val="20"/>
          <w:szCs w:val="20"/>
          <w:lang w:val="es-ES"/>
        </w:rPr>
        <w:t xml:space="preserve"> por lo cual no hubo retardo injustificado</w:t>
      </w:r>
      <w:r w:rsidR="001F1AE0" w:rsidRPr="009C5C36">
        <w:rPr>
          <w:rFonts w:asciiTheme="majorHAnsi" w:hAnsiTheme="majorHAnsi"/>
          <w:sz w:val="20"/>
          <w:szCs w:val="20"/>
          <w:lang w:val="es-ES"/>
        </w:rPr>
        <w:t xml:space="preserve"> de justicia</w:t>
      </w:r>
      <w:r w:rsidRPr="009C5C36">
        <w:rPr>
          <w:rFonts w:asciiTheme="majorHAnsi" w:hAnsiTheme="majorHAnsi"/>
          <w:sz w:val="20"/>
          <w:szCs w:val="20"/>
          <w:lang w:val="es-ES"/>
        </w:rPr>
        <w:t xml:space="preserve">. </w:t>
      </w:r>
    </w:p>
    <w:p w:rsidR="000F7E20" w:rsidRPr="009C5C36" w:rsidRDefault="00A201D6" w:rsidP="009C5C36">
      <w:pPr>
        <w:pStyle w:val="ListParagraph"/>
        <w:numPr>
          <w:ilvl w:val="0"/>
          <w:numId w:val="55"/>
        </w:numPr>
        <w:spacing w:after="240"/>
        <w:jc w:val="both"/>
        <w:rPr>
          <w:rFonts w:asciiTheme="majorHAnsi" w:hAnsiTheme="majorHAnsi"/>
          <w:sz w:val="20"/>
          <w:szCs w:val="20"/>
          <w:lang w:val="es-ES"/>
        </w:rPr>
      </w:pPr>
      <w:r w:rsidRPr="009C5C36">
        <w:rPr>
          <w:rFonts w:asciiTheme="majorHAnsi" w:hAnsiTheme="majorHAnsi" w:cs="Calibri"/>
          <w:sz w:val="20"/>
          <w:szCs w:val="20"/>
          <w:lang w:val="es-AR"/>
        </w:rPr>
        <w:t xml:space="preserve">En primer lugar, corresponde aclarar cuáles son los recursos internos que deben ser agotados </w:t>
      </w:r>
      <w:r w:rsidR="007F77F1" w:rsidRPr="009C5C36">
        <w:rPr>
          <w:rFonts w:asciiTheme="majorHAnsi" w:hAnsiTheme="majorHAnsi" w:cs="Calibri"/>
          <w:sz w:val="20"/>
          <w:szCs w:val="20"/>
          <w:lang w:val="es-AR"/>
        </w:rPr>
        <w:t>a los efectos de cumplir con el requisito de admisibilidad</w:t>
      </w:r>
      <w:r w:rsidRPr="009C5C36">
        <w:rPr>
          <w:rFonts w:asciiTheme="majorHAnsi" w:hAnsiTheme="majorHAnsi" w:cs="Calibri"/>
          <w:sz w:val="20"/>
          <w:szCs w:val="20"/>
          <w:lang w:val="es-AR"/>
        </w:rPr>
        <w:t xml:space="preserve">. Los peticionarios denuncian la muerte de </w:t>
      </w:r>
      <w:r w:rsidR="00CD74AE" w:rsidRPr="009C5C36">
        <w:rPr>
          <w:rFonts w:asciiTheme="majorHAnsi" w:hAnsiTheme="majorHAnsi" w:cs="Calibri"/>
          <w:sz w:val="20"/>
          <w:szCs w:val="20"/>
          <w:lang w:val="es-AR"/>
        </w:rPr>
        <w:t>48</w:t>
      </w:r>
      <w:r w:rsidRPr="009C5C36">
        <w:rPr>
          <w:rFonts w:asciiTheme="majorHAnsi" w:hAnsiTheme="majorHAnsi" w:cs="Calibri"/>
          <w:sz w:val="20"/>
          <w:szCs w:val="20"/>
          <w:lang w:val="es-AR"/>
        </w:rPr>
        <w:t xml:space="preserve"> trabajadores mineros fallecidos en la explosión de una mina ocurrida, según alegan, debido a fallas en la seguridad que habían sido previamente constatadas por las autoridades</w:t>
      </w:r>
      <w:r w:rsidR="00B05F0B" w:rsidRPr="009C5C36">
        <w:rPr>
          <w:rFonts w:asciiTheme="majorHAnsi" w:hAnsiTheme="majorHAnsi" w:cs="Calibri"/>
          <w:sz w:val="20"/>
          <w:szCs w:val="20"/>
          <w:lang w:val="es-AR"/>
        </w:rPr>
        <w:t xml:space="preserve"> federales</w:t>
      </w:r>
      <w:r w:rsidR="007F77F1" w:rsidRPr="009C5C36">
        <w:rPr>
          <w:rFonts w:asciiTheme="majorHAnsi" w:hAnsiTheme="majorHAnsi" w:cs="Calibri"/>
          <w:sz w:val="20"/>
          <w:szCs w:val="20"/>
          <w:lang w:val="es-AR"/>
        </w:rPr>
        <w:t xml:space="preserve">, lo cual constituiría un presunto </w:t>
      </w:r>
      <w:r w:rsidR="003A26CE" w:rsidRPr="009C5C36">
        <w:rPr>
          <w:rFonts w:asciiTheme="majorHAnsi" w:hAnsiTheme="majorHAnsi" w:cs="Calibri"/>
          <w:sz w:val="20"/>
          <w:szCs w:val="20"/>
          <w:lang w:val="es-AR"/>
        </w:rPr>
        <w:t>delito</w:t>
      </w:r>
      <w:r w:rsidR="007F77F1" w:rsidRPr="009C5C36">
        <w:rPr>
          <w:rFonts w:asciiTheme="majorHAnsi" w:hAnsiTheme="majorHAnsi" w:cs="Calibri"/>
          <w:sz w:val="20"/>
          <w:szCs w:val="20"/>
          <w:lang w:val="es-AR"/>
        </w:rPr>
        <w:t xml:space="preserve"> perseguible de oficio según la legislación </w:t>
      </w:r>
      <w:r w:rsidR="009A0791" w:rsidRPr="009C5C36">
        <w:rPr>
          <w:rFonts w:asciiTheme="majorHAnsi" w:hAnsiTheme="majorHAnsi" w:cs="Calibri"/>
          <w:sz w:val="20"/>
          <w:szCs w:val="20"/>
          <w:lang w:val="es-AR"/>
        </w:rPr>
        <w:t xml:space="preserve">del Estado de Coahuila </w:t>
      </w:r>
      <w:r w:rsidR="00632FBE" w:rsidRPr="009C5C36">
        <w:rPr>
          <w:rFonts w:asciiTheme="majorHAnsi" w:hAnsiTheme="majorHAnsi" w:cs="Calibri"/>
          <w:sz w:val="20"/>
          <w:szCs w:val="20"/>
          <w:lang w:val="es-AR"/>
        </w:rPr>
        <w:t>y del fuero federal</w:t>
      </w:r>
      <w:r w:rsidRPr="009C5C36">
        <w:rPr>
          <w:rFonts w:asciiTheme="majorHAnsi" w:hAnsiTheme="majorHAnsi" w:cs="Calibri"/>
          <w:sz w:val="20"/>
          <w:szCs w:val="20"/>
          <w:lang w:val="es-AR"/>
        </w:rPr>
        <w:t>.</w:t>
      </w:r>
      <w:r w:rsidR="00632FBE" w:rsidRPr="009C5C36">
        <w:rPr>
          <w:rFonts w:asciiTheme="majorHAnsi" w:hAnsiTheme="majorHAnsi" w:cs="Calibri"/>
          <w:sz w:val="20"/>
          <w:szCs w:val="20"/>
          <w:lang w:val="es-AR"/>
        </w:rPr>
        <w:t xml:space="preserve"> </w:t>
      </w:r>
      <w:r w:rsidR="00030C8A" w:rsidRPr="009C5C36">
        <w:rPr>
          <w:rFonts w:asciiTheme="majorHAnsi" w:hAnsiTheme="majorHAnsi" w:cs="Calibri"/>
          <w:sz w:val="20"/>
          <w:szCs w:val="20"/>
          <w:lang w:val="es-AR"/>
        </w:rPr>
        <w:t xml:space="preserve">Por lo tanto, el recurso idóneo es el proceso penal a fin de investigar </w:t>
      </w:r>
      <w:r w:rsidR="00030C8A" w:rsidRPr="009C5C36">
        <w:rPr>
          <w:rFonts w:asciiTheme="majorHAnsi" w:hAnsiTheme="majorHAnsi"/>
          <w:sz w:val="20"/>
          <w:szCs w:val="20"/>
          <w:lang w:val="es-ES"/>
        </w:rPr>
        <w:t xml:space="preserve">la posible existencia de responsabilidades de servidores públicos o particulares. </w:t>
      </w:r>
      <w:r w:rsidR="00B757CF" w:rsidRPr="009C5C36">
        <w:rPr>
          <w:rFonts w:asciiTheme="majorHAnsi" w:hAnsiTheme="majorHAnsi"/>
          <w:sz w:val="20"/>
          <w:szCs w:val="20"/>
          <w:lang w:val="es-ES"/>
        </w:rPr>
        <w:t xml:space="preserve">La Comisión nota que </w:t>
      </w:r>
      <w:r w:rsidR="00030C8A" w:rsidRPr="009C5C36">
        <w:rPr>
          <w:rFonts w:asciiTheme="majorHAnsi" w:hAnsiTheme="majorHAnsi"/>
          <w:sz w:val="20"/>
          <w:szCs w:val="20"/>
          <w:lang w:val="es-ES"/>
        </w:rPr>
        <w:t>en el presente caso</w:t>
      </w:r>
      <w:r w:rsidR="007F4C26" w:rsidRPr="009C5C36">
        <w:rPr>
          <w:rFonts w:asciiTheme="majorHAnsi" w:hAnsiTheme="majorHAnsi"/>
          <w:sz w:val="20"/>
          <w:szCs w:val="20"/>
          <w:lang w:val="es-ES"/>
        </w:rPr>
        <w:t xml:space="preserve"> </w:t>
      </w:r>
      <w:r w:rsidR="00BD4F05" w:rsidRPr="009C5C36">
        <w:rPr>
          <w:rFonts w:asciiTheme="majorHAnsi" w:hAnsiTheme="majorHAnsi"/>
          <w:sz w:val="20"/>
          <w:szCs w:val="20"/>
          <w:lang w:val="es-ES"/>
        </w:rPr>
        <w:t xml:space="preserve">se inició una investigación penal de servidores públicos en el fuero federal, la cual fue temporalmente archivada en 2008 debido a que </w:t>
      </w:r>
      <w:r w:rsidR="008B4EC1" w:rsidRPr="009C5C36">
        <w:rPr>
          <w:rFonts w:asciiTheme="majorHAnsi" w:hAnsiTheme="majorHAnsi"/>
          <w:sz w:val="20"/>
          <w:szCs w:val="20"/>
          <w:lang w:val="es-ES"/>
        </w:rPr>
        <w:t>no se continuaron con las diligencias para determinar las causas de la explosión debido al riesgo que, según las autoridades, dichas diligencias implicaban.</w:t>
      </w:r>
      <w:r w:rsidR="00737F38" w:rsidRPr="009C5C36">
        <w:rPr>
          <w:rFonts w:asciiTheme="majorHAnsi" w:hAnsiTheme="majorHAnsi"/>
          <w:sz w:val="20"/>
          <w:szCs w:val="20"/>
          <w:lang w:val="es-ES"/>
        </w:rPr>
        <w:t xml:space="preserve"> </w:t>
      </w:r>
      <w:r w:rsidR="00B71AF0" w:rsidRPr="009C5C36">
        <w:rPr>
          <w:rFonts w:asciiTheme="majorHAnsi" w:hAnsiTheme="majorHAnsi"/>
          <w:color w:val="auto"/>
          <w:sz w:val="20"/>
          <w:lang w:val="es-ES"/>
        </w:rPr>
        <w:t xml:space="preserve">Los peticionarios </w:t>
      </w:r>
      <w:r w:rsidR="0039233F" w:rsidRPr="009C5C36">
        <w:rPr>
          <w:rFonts w:asciiTheme="majorHAnsi" w:hAnsiTheme="majorHAnsi"/>
          <w:color w:val="auto"/>
          <w:sz w:val="20"/>
          <w:lang w:val="es-ES"/>
        </w:rPr>
        <w:t xml:space="preserve">controvierten los alegatos del Estado respecto a la imposibilidad de realizar diligencias y </w:t>
      </w:r>
      <w:r w:rsidR="00B71AF0" w:rsidRPr="009C5C36">
        <w:rPr>
          <w:rFonts w:asciiTheme="majorHAnsi" w:hAnsiTheme="majorHAnsi"/>
          <w:color w:val="auto"/>
          <w:sz w:val="20"/>
          <w:lang w:val="es-ES"/>
        </w:rPr>
        <w:t xml:space="preserve">alegan que los familiares no tenían acceso a recurso alguno para impugnar el archivo porque no </w:t>
      </w:r>
      <w:r w:rsidR="000F7E20" w:rsidRPr="009C5C36">
        <w:rPr>
          <w:rFonts w:asciiTheme="majorHAnsi" w:hAnsiTheme="majorHAnsi"/>
          <w:color w:val="auto"/>
          <w:sz w:val="20"/>
          <w:lang w:val="es-ES"/>
        </w:rPr>
        <w:t>se les permitió coadyuvar</w:t>
      </w:r>
      <w:r w:rsidR="00B71AF0" w:rsidRPr="009C5C36">
        <w:rPr>
          <w:rFonts w:asciiTheme="majorHAnsi" w:hAnsiTheme="majorHAnsi"/>
          <w:color w:val="auto"/>
          <w:sz w:val="20"/>
          <w:lang w:val="es-ES"/>
        </w:rPr>
        <w:t xml:space="preserve">. </w:t>
      </w:r>
    </w:p>
    <w:p w:rsidR="00737F38" w:rsidRPr="009C5C36" w:rsidRDefault="00CD74AE" w:rsidP="009C5C36">
      <w:pPr>
        <w:pStyle w:val="ListParagraph"/>
        <w:numPr>
          <w:ilvl w:val="0"/>
          <w:numId w:val="55"/>
        </w:numPr>
        <w:spacing w:after="240"/>
        <w:jc w:val="both"/>
        <w:rPr>
          <w:rFonts w:asciiTheme="majorHAnsi" w:hAnsiTheme="majorHAnsi"/>
          <w:sz w:val="20"/>
          <w:szCs w:val="20"/>
          <w:lang w:val="es-ES"/>
        </w:rPr>
      </w:pPr>
      <w:r w:rsidRPr="009C5C36">
        <w:rPr>
          <w:rFonts w:asciiTheme="majorHAnsi" w:hAnsiTheme="majorHAnsi"/>
          <w:color w:val="auto"/>
          <w:sz w:val="20"/>
          <w:lang w:val="es-ES"/>
        </w:rPr>
        <w:t>D</w:t>
      </w:r>
      <w:r w:rsidRPr="009C5C36">
        <w:rPr>
          <w:rFonts w:asciiTheme="majorHAnsi" w:hAnsiTheme="majorHAnsi"/>
          <w:sz w:val="20"/>
          <w:szCs w:val="20"/>
          <w:lang w:val="es-ES"/>
        </w:rPr>
        <w:t>e acuerdo con</w:t>
      </w:r>
      <w:r w:rsidR="00737F38" w:rsidRPr="009C5C36">
        <w:rPr>
          <w:rFonts w:asciiTheme="majorHAnsi" w:hAnsiTheme="majorHAnsi"/>
          <w:sz w:val="20"/>
          <w:szCs w:val="20"/>
          <w:lang w:val="es-ES"/>
        </w:rPr>
        <w:t xml:space="preserve"> información disponible, </w:t>
      </w:r>
      <w:r w:rsidR="00737F38" w:rsidRPr="009C5C36">
        <w:rPr>
          <w:rFonts w:asciiTheme="majorHAnsi" w:hAnsiTheme="majorHAnsi"/>
          <w:sz w:val="20"/>
          <w:lang w:val="es-ES"/>
        </w:rPr>
        <w:t>la investigación federal fue reactivada en el año 2012 y el 31 de agosto de 2015</w:t>
      </w:r>
      <w:r w:rsidR="008C3E9A" w:rsidRPr="009C5C36">
        <w:rPr>
          <w:rFonts w:asciiTheme="majorHAnsi" w:hAnsiTheme="majorHAnsi"/>
          <w:sz w:val="20"/>
          <w:lang w:val="es-ES"/>
        </w:rPr>
        <w:t xml:space="preserve"> se </w:t>
      </w:r>
      <w:r w:rsidR="00B71AF0" w:rsidRPr="009C5C36">
        <w:rPr>
          <w:rFonts w:asciiTheme="majorHAnsi" w:hAnsiTheme="majorHAnsi"/>
          <w:sz w:val="20"/>
          <w:lang w:val="es-ES"/>
        </w:rPr>
        <w:t>decretó</w:t>
      </w:r>
      <w:r w:rsidR="00737F38" w:rsidRPr="009C5C36">
        <w:rPr>
          <w:rFonts w:asciiTheme="majorHAnsi" w:hAnsiTheme="majorHAnsi"/>
          <w:sz w:val="20"/>
          <w:lang w:val="es-ES"/>
        </w:rPr>
        <w:t xml:space="preserve"> la prescripción del delito de ejercicio indebido del servicio público, declinando la competencia a favor del fuero local. </w:t>
      </w:r>
      <w:r w:rsidR="00737F38" w:rsidRPr="009C5C36">
        <w:rPr>
          <w:rFonts w:asciiTheme="majorHAnsi" w:hAnsiTheme="majorHAnsi"/>
          <w:sz w:val="20"/>
          <w:szCs w:val="20"/>
          <w:lang w:val="es-ES"/>
        </w:rPr>
        <w:t>De la información disponible no surge que dicho fuero haya iniciado una investigación.</w:t>
      </w:r>
      <w:r w:rsidR="00B71AF0" w:rsidRPr="009C5C36">
        <w:rPr>
          <w:rFonts w:asciiTheme="majorHAnsi" w:hAnsiTheme="majorHAnsi"/>
          <w:sz w:val="20"/>
          <w:szCs w:val="20"/>
          <w:lang w:val="es-ES"/>
        </w:rPr>
        <w:t xml:space="preserve"> Por lo tanto, luego de </w:t>
      </w:r>
      <w:r w:rsidR="0039233F" w:rsidRPr="009C5C36">
        <w:rPr>
          <w:rFonts w:asciiTheme="majorHAnsi" w:hAnsiTheme="majorHAnsi"/>
          <w:sz w:val="20"/>
          <w:szCs w:val="20"/>
          <w:lang w:val="es-ES"/>
        </w:rPr>
        <w:t>doce</w:t>
      </w:r>
      <w:r w:rsidR="00B71AF0" w:rsidRPr="009C5C36">
        <w:rPr>
          <w:rFonts w:asciiTheme="majorHAnsi" w:hAnsiTheme="majorHAnsi"/>
          <w:sz w:val="20"/>
          <w:szCs w:val="20"/>
          <w:lang w:val="es-ES"/>
        </w:rPr>
        <w:t xml:space="preserve"> años de ocurridos los hechos, no se ha</w:t>
      </w:r>
      <w:r w:rsidR="009472B1" w:rsidRPr="009C5C36">
        <w:rPr>
          <w:rFonts w:asciiTheme="majorHAnsi" w:hAnsiTheme="majorHAnsi"/>
          <w:sz w:val="20"/>
          <w:szCs w:val="20"/>
          <w:lang w:val="es-ES"/>
        </w:rPr>
        <w:t>n</w:t>
      </w:r>
      <w:r w:rsidR="00B71AF0" w:rsidRPr="009C5C36">
        <w:rPr>
          <w:rFonts w:asciiTheme="majorHAnsi" w:hAnsiTheme="majorHAnsi"/>
          <w:sz w:val="20"/>
          <w:szCs w:val="20"/>
          <w:lang w:val="es-ES"/>
        </w:rPr>
        <w:t xml:space="preserve"> </w:t>
      </w:r>
      <w:r w:rsidR="009472B1" w:rsidRPr="009C5C36">
        <w:rPr>
          <w:rFonts w:asciiTheme="majorHAnsi" w:hAnsiTheme="majorHAnsi"/>
          <w:sz w:val="20"/>
          <w:szCs w:val="20"/>
          <w:lang w:val="es-ES"/>
        </w:rPr>
        <w:t xml:space="preserve">determinado las causas de la explosión, </w:t>
      </w:r>
      <w:r w:rsidRPr="009C5C36">
        <w:rPr>
          <w:rFonts w:asciiTheme="majorHAnsi" w:hAnsiTheme="majorHAnsi"/>
          <w:sz w:val="20"/>
          <w:szCs w:val="20"/>
          <w:lang w:val="es-ES"/>
        </w:rPr>
        <w:t>l</w:t>
      </w:r>
      <w:r w:rsidR="00B71AF0" w:rsidRPr="009C5C36">
        <w:rPr>
          <w:rFonts w:asciiTheme="majorHAnsi" w:hAnsiTheme="majorHAnsi"/>
          <w:sz w:val="20"/>
          <w:szCs w:val="20"/>
          <w:lang w:val="es-ES"/>
        </w:rPr>
        <w:t>a p</w:t>
      </w:r>
      <w:r w:rsidR="009472B1" w:rsidRPr="009C5C36">
        <w:rPr>
          <w:rFonts w:asciiTheme="majorHAnsi" w:hAnsiTheme="majorHAnsi"/>
          <w:sz w:val="20"/>
          <w:szCs w:val="20"/>
          <w:lang w:val="es-ES"/>
        </w:rPr>
        <w:t>resunta responsabilidad de s</w:t>
      </w:r>
      <w:r w:rsidR="00B71AF0" w:rsidRPr="009C5C36">
        <w:rPr>
          <w:rFonts w:asciiTheme="majorHAnsi" w:hAnsiTheme="majorHAnsi"/>
          <w:sz w:val="20"/>
          <w:szCs w:val="20"/>
          <w:lang w:val="es-ES"/>
        </w:rPr>
        <w:t>ervidores públicos</w:t>
      </w:r>
      <w:r w:rsidR="009472B1" w:rsidRPr="009C5C36">
        <w:rPr>
          <w:rFonts w:asciiTheme="majorHAnsi" w:hAnsiTheme="majorHAnsi"/>
          <w:sz w:val="20"/>
          <w:szCs w:val="20"/>
          <w:lang w:val="es-ES"/>
        </w:rPr>
        <w:t>,</w:t>
      </w:r>
      <w:r w:rsidR="00B71AF0" w:rsidRPr="009C5C36">
        <w:rPr>
          <w:rFonts w:asciiTheme="majorHAnsi" w:hAnsiTheme="majorHAnsi"/>
          <w:sz w:val="20"/>
          <w:szCs w:val="20"/>
          <w:lang w:val="es-ES"/>
        </w:rPr>
        <w:t xml:space="preserve"> </w:t>
      </w:r>
      <w:r w:rsidR="000F7E20" w:rsidRPr="009C5C36">
        <w:rPr>
          <w:rFonts w:asciiTheme="majorHAnsi" w:hAnsiTheme="majorHAnsi"/>
          <w:sz w:val="20"/>
          <w:szCs w:val="20"/>
          <w:lang w:val="es-ES"/>
        </w:rPr>
        <w:t>ni se han re</w:t>
      </w:r>
      <w:r w:rsidRPr="009C5C36">
        <w:rPr>
          <w:rFonts w:asciiTheme="majorHAnsi" w:hAnsiTheme="majorHAnsi"/>
          <w:sz w:val="20"/>
          <w:szCs w:val="20"/>
          <w:lang w:val="es-ES"/>
        </w:rPr>
        <w:t>cuperado</w:t>
      </w:r>
      <w:r w:rsidR="00B71AF0" w:rsidRPr="009C5C36">
        <w:rPr>
          <w:rFonts w:asciiTheme="majorHAnsi" w:hAnsiTheme="majorHAnsi"/>
          <w:sz w:val="20"/>
          <w:szCs w:val="20"/>
          <w:lang w:val="es-ES"/>
        </w:rPr>
        <w:t xml:space="preserve"> los cuerpos de los trabajadores mineros. </w:t>
      </w:r>
      <w:r w:rsidR="000F7E20" w:rsidRPr="009C5C36">
        <w:rPr>
          <w:rFonts w:asciiTheme="majorHAnsi" w:hAnsiTheme="majorHAnsi"/>
          <w:sz w:val="20"/>
          <w:szCs w:val="20"/>
          <w:lang w:val="es-ES"/>
        </w:rPr>
        <w:t>Con base en ello</w:t>
      </w:r>
      <w:r w:rsidR="00B71AF0" w:rsidRPr="009C5C36">
        <w:rPr>
          <w:rFonts w:asciiTheme="majorHAnsi" w:hAnsiTheme="majorHAnsi"/>
          <w:sz w:val="20"/>
          <w:szCs w:val="20"/>
          <w:lang w:val="es-ES"/>
        </w:rPr>
        <w:t>, la Comisión concluye que es aplicable la excepción al agotamiento de los recursos internos establecida en el artículo 46.2.c de la Convención Americana.</w:t>
      </w:r>
      <w:r w:rsidR="00B71AF0" w:rsidRPr="009C5C36">
        <w:rPr>
          <w:rFonts w:asciiTheme="majorHAnsi" w:hAnsiTheme="majorHAnsi"/>
          <w:sz w:val="20"/>
          <w:szCs w:val="20"/>
          <w:lang w:val="es-MX"/>
        </w:rPr>
        <w:t xml:space="preserve"> </w:t>
      </w:r>
      <w:r w:rsidR="00B71AF0" w:rsidRPr="009C5C36">
        <w:rPr>
          <w:rFonts w:asciiTheme="majorHAnsi" w:hAnsiTheme="majorHAnsi"/>
          <w:sz w:val="20"/>
          <w:szCs w:val="20"/>
          <w:lang w:val="es-ES"/>
        </w:rPr>
        <w:t xml:space="preserve">  </w:t>
      </w:r>
    </w:p>
    <w:p w:rsidR="007A30EB" w:rsidRPr="002676E5" w:rsidRDefault="00737F38" w:rsidP="009C5C36">
      <w:pPr>
        <w:pStyle w:val="ListParagraph"/>
        <w:numPr>
          <w:ilvl w:val="0"/>
          <w:numId w:val="55"/>
        </w:numPr>
        <w:spacing w:after="240"/>
        <w:jc w:val="both"/>
        <w:rPr>
          <w:rFonts w:asciiTheme="majorHAnsi" w:hAnsiTheme="majorHAnsi"/>
          <w:color w:val="FF0000"/>
          <w:sz w:val="20"/>
          <w:szCs w:val="20"/>
          <w:lang w:val="es-ES"/>
        </w:rPr>
      </w:pPr>
      <w:r w:rsidRPr="009C5C36">
        <w:rPr>
          <w:rFonts w:asciiTheme="majorHAnsi" w:hAnsiTheme="majorHAnsi"/>
          <w:sz w:val="20"/>
          <w:szCs w:val="20"/>
          <w:lang w:val="es-ES"/>
        </w:rPr>
        <w:t xml:space="preserve">Por otra parte, </w:t>
      </w:r>
      <w:r w:rsidR="00B6601F" w:rsidRPr="009C5C36">
        <w:rPr>
          <w:rFonts w:asciiTheme="majorHAnsi" w:hAnsiTheme="majorHAnsi"/>
          <w:sz w:val="20"/>
          <w:szCs w:val="20"/>
          <w:lang w:val="es-ES"/>
        </w:rPr>
        <w:t xml:space="preserve">en el año 2007 </w:t>
      </w:r>
      <w:r w:rsidR="005F454A" w:rsidRPr="009C5C36">
        <w:rPr>
          <w:rFonts w:asciiTheme="majorHAnsi" w:hAnsiTheme="majorHAnsi"/>
          <w:sz w:val="20"/>
          <w:szCs w:val="20"/>
          <w:lang w:val="es-ES"/>
        </w:rPr>
        <w:t xml:space="preserve">se inició un proceso en el fuero penal ordinario del Estado de Coahuila por homicidio culposo </w:t>
      </w:r>
      <w:r w:rsidR="005F454A" w:rsidRPr="002676E5">
        <w:rPr>
          <w:rFonts w:asciiTheme="majorHAnsi" w:hAnsiTheme="majorHAnsi"/>
          <w:sz w:val="20"/>
          <w:szCs w:val="20"/>
          <w:lang w:val="es-ES"/>
        </w:rPr>
        <w:t xml:space="preserve">contra cinco empleados de la empresa. </w:t>
      </w:r>
      <w:r w:rsidR="00B6601F" w:rsidRPr="002676E5">
        <w:rPr>
          <w:rFonts w:asciiTheme="majorHAnsi" w:hAnsiTheme="majorHAnsi"/>
          <w:sz w:val="20"/>
          <w:szCs w:val="20"/>
          <w:lang w:val="es-ES"/>
        </w:rPr>
        <w:t xml:space="preserve">Luego que el juez dictara auto de formal prisión, el proceso </w:t>
      </w:r>
      <w:r w:rsidR="005F454A" w:rsidRPr="002676E5">
        <w:rPr>
          <w:rFonts w:asciiTheme="majorHAnsi" w:hAnsiTheme="majorHAnsi"/>
          <w:sz w:val="20"/>
          <w:szCs w:val="20"/>
          <w:lang w:val="es-ES"/>
        </w:rPr>
        <w:t>fue sobreseído con base en el pago de una reparación a los familiares</w:t>
      </w:r>
      <w:r w:rsidR="00A81730" w:rsidRPr="002676E5">
        <w:rPr>
          <w:rFonts w:asciiTheme="majorHAnsi" w:hAnsiTheme="majorHAnsi"/>
          <w:sz w:val="20"/>
          <w:szCs w:val="20"/>
          <w:lang w:val="es-ES"/>
        </w:rPr>
        <w:t xml:space="preserve"> que, según los peticionarios, éstos recibieron apremiados por la necesidad económica.</w:t>
      </w:r>
      <w:r w:rsidR="005F454A" w:rsidRPr="002676E5">
        <w:rPr>
          <w:rFonts w:asciiTheme="majorHAnsi" w:hAnsiTheme="majorHAnsi"/>
          <w:sz w:val="20"/>
          <w:szCs w:val="20"/>
          <w:lang w:val="es-ES"/>
        </w:rPr>
        <w:t xml:space="preserve"> </w:t>
      </w:r>
      <w:r w:rsidR="00A81730" w:rsidRPr="002676E5">
        <w:rPr>
          <w:rFonts w:asciiTheme="majorHAnsi" w:hAnsiTheme="majorHAnsi"/>
          <w:sz w:val="20"/>
          <w:szCs w:val="20"/>
          <w:lang w:val="es-ES"/>
        </w:rPr>
        <w:t xml:space="preserve">El Estado alega que dos familias que no son parte de la presente petición promovieron juicio de amparo contra el monto de la indemnización y recibieron una reparación mayor. Los peticionarios por su parte alegan </w:t>
      </w:r>
      <w:r w:rsidR="000A6CDB" w:rsidRPr="002676E5">
        <w:rPr>
          <w:rFonts w:asciiTheme="majorHAnsi" w:hAnsiTheme="majorHAnsi"/>
          <w:sz w:val="20"/>
          <w:szCs w:val="20"/>
          <w:lang w:val="es-ES"/>
        </w:rPr>
        <w:t xml:space="preserve">que </w:t>
      </w:r>
      <w:r w:rsidR="000A6CDB" w:rsidRPr="002676E5">
        <w:rPr>
          <w:rFonts w:asciiTheme="majorHAnsi" w:hAnsiTheme="majorHAnsi"/>
          <w:sz w:val="20"/>
          <w:lang w:val="es-ES"/>
        </w:rPr>
        <w:t xml:space="preserve">a los familiares en ningún momento </w:t>
      </w:r>
      <w:r w:rsidR="00A81730" w:rsidRPr="002676E5">
        <w:rPr>
          <w:rFonts w:asciiTheme="majorHAnsi" w:hAnsiTheme="majorHAnsi"/>
          <w:sz w:val="20"/>
          <w:lang w:val="es-ES"/>
        </w:rPr>
        <w:t xml:space="preserve">del proceso </w:t>
      </w:r>
      <w:r w:rsidR="000A6CDB" w:rsidRPr="002676E5">
        <w:rPr>
          <w:rFonts w:asciiTheme="majorHAnsi" w:hAnsiTheme="majorHAnsi"/>
          <w:sz w:val="20"/>
          <w:lang w:val="es-ES"/>
        </w:rPr>
        <w:t>se les permitió coadyuvar.</w:t>
      </w:r>
      <w:r w:rsidR="007A30EB" w:rsidRPr="002676E5">
        <w:rPr>
          <w:rFonts w:asciiTheme="majorHAnsi" w:hAnsiTheme="majorHAnsi"/>
          <w:sz w:val="20"/>
          <w:lang w:val="es-ES"/>
        </w:rPr>
        <w:t xml:space="preserve"> </w:t>
      </w:r>
      <w:r w:rsidR="00CD74AE" w:rsidRPr="002676E5">
        <w:rPr>
          <w:rFonts w:asciiTheme="majorHAnsi" w:hAnsiTheme="majorHAnsi"/>
          <w:sz w:val="20"/>
          <w:lang w:val="es-ES"/>
        </w:rPr>
        <w:t xml:space="preserve">Al respecto, la CIDH destaca que, al tratarse de un delito perseguible de oficio, es el Estado y no los familiares quienes tienen el deber de impulsar el proceso. </w:t>
      </w:r>
      <w:r w:rsidR="007A30EB" w:rsidRPr="002676E5">
        <w:rPr>
          <w:rFonts w:asciiTheme="majorHAnsi" w:hAnsiTheme="majorHAnsi"/>
          <w:sz w:val="20"/>
          <w:lang w:val="es-ES"/>
        </w:rPr>
        <w:t xml:space="preserve">Por lo tanto, a los efectos del análisis de admisibilidad y </w:t>
      </w:r>
      <w:r w:rsidR="00CD74AE" w:rsidRPr="002676E5">
        <w:rPr>
          <w:rFonts w:asciiTheme="majorHAnsi" w:hAnsiTheme="majorHAnsi"/>
          <w:sz w:val="20"/>
          <w:lang w:val="es-ES"/>
        </w:rPr>
        <w:t>de acuerdo con</w:t>
      </w:r>
      <w:r w:rsidR="007A30EB" w:rsidRPr="002676E5">
        <w:rPr>
          <w:rFonts w:asciiTheme="majorHAnsi" w:hAnsiTheme="majorHAnsi"/>
          <w:sz w:val="20"/>
          <w:lang w:val="es-ES"/>
        </w:rPr>
        <w:t xml:space="preserve"> la información disponible, la Comisión concluye que, respecto de la investigación penal a nivel estatal, aplica la excepción prevista en el artículo 46.2.b de la Convención.</w:t>
      </w:r>
    </w:p>
    <w:p w:rsidR="00B05F0B" w:rsidRPr="009C5C36" w:rsidRDefault="0039233F" w:rsidP="009C5C36">
      <w:pPr>
        <w:pStyle w:val="ListParagraph"/>
        <w:numPr>
          <w:ilvl w:val="0"/>
          <w:numId w:val="55"/>
        </w:numPr>
        <w:spacing w:after="240"/>
        <w:jc w:val="both"/>
        <w:rPr>
          <w:rFonts w:asciiTheme="majorHAnsi" w:hAnsiTheme="majorHAnsi"/>
          <w:color w:val="FF0000"/>
          <w:sz w:val="20"/>
          <w:szCs w:val="20"/>
          <w:lang w:val="es-ES"/>
        </w:rPr>
      </w:pPr>
      <w:r w:rsidRPr="002676E5">
        <w:rPr>
          <w:rFonts w:asciiTheme="majorHAnsi" w:hAnsiTheme="majorHAnsi"/>
          <w:color w:val="auto"/>
          <w:sz w:val="20"/>
          <w:szCs w:val="20"/>
          <w:lang w:val="es-ES"/>
        </w:rPr>
        <w:t>Respecto a los procesos laboral</w:t>
      </w:r>
      <w:r w:rsidR="00D72070" w:rsidRPr="002676E5">
        <w:rPr>
          <w:rFonts w:asciiTheme="majorHAnsi" w:hAnsiTheme="majorHAnsi"/>
          <w:color w:val="auto"/>
          <w:sz w:val="20"/>
          <w:szCs w:val="20"/>
          <w:lang w:val="es-ES"/>
        </w:rPr>
        <w:t>es</w:t>
      </w:r>
      <w:r w:rsidRPr="002676E5">
        <w:rPr>
          <w:rFonts w:asciiTheme="majorHAnsi" w:hAnsiTheme="majorHAnsi"/>
          <w:color w:val="auto"/>
          <w:sz w:val="20"/>
          <w:szCs w:val="20"/>
          <w:lang w:val="es-ES"/>
        </w:rPr>
        <w:t>, administrativo</w:t>
      </w:r>
      <w:r w:rsidR="00D72070" w:rsidRPr="002676E5">
        <w:rPr>
          <w:rFonts w:asciiTheme="majorHAnsi" w:hAnsiTheme="majorHAnsi"/>
          <w:color w:val="auto"/>
          <w:sz w:val="20"/>
          <w:szCs w:val="20"/>
          <w:lang w:val="es-ES"/>
        </w:rPr>
        <w:t>s</w:t>
      </w:r>
      <w:r w:rsidRPr="002676E5">
        <w:rPr>
          <w:rFonts w:asciiTheme="majorHAnsi" w:hAnsiTheme="majorHAnsi"/>
          <w:color w:val="auto"/>
          <w:sz w:val="20"/>
          <w:szCs w:val="20"/>
          <w:lang w:val="es-ES"/>
        </w:rPr>
        <w:t xml:space="preserve"> y sancionatorio</w:t>
      </w:r>
      <w:r w:rsidR="00D72070" w:rsidRPr="002676E5">
        <w:rPr>
          <w:rFonts w:asciiTheme="majorHAnsi" w:hAnsiTheme="majorHAnsi"/>
          <w:color w:val="auto"/>
          <w:sz w:val="20"/>
          <w:szCs w:val="20"/>
          <w:lang w:val="es-ES"/>
        </w:rPr>
        <w:t>s</w:t>
      </w:r>
      <w:r w:rsidRPr="002676E5">
        <w:rPr>
          <w:rFonts w:asciiTheme="majorHAnsi" w:hAnsiTheme="majorHAnsi"/>
          <w:color w:val="auto"/>
          <w:sz w:val="20"/>
          <w:szCs w:val="20"/>
          <w:lang w:val="es-ES"/>
        </w:rPr>
        <w:t xml:space="preserve">, </w:t>
      </w:r>
      <w:r w:rsidR="00B05F0B" w:rsidRPr="002676E5">
        <w:rPr>
          <w:rFonts w:asciiTheme="majorHAnsi" w:hAnsiTheme="majorHAnsi"/>
          <w:color w:val="auto"/>
          <w:sz w:val="20"/>
          <w:szCs w:val="20"/>
          <w:lang w:val="es-ES"/>
        </w:rPr>
        <w:t>dado que el objeto principal de la presente petición es la investigación y sanción</w:t>
      </w:r>
      <w:r w:rsidR="00B05F0B" w:rsidRPr="009C5C36">
        <w:rPr>
          <w:rFonts w:asciiTheme="majorHAnsi" w:hAnsiTheme="majorHAnsi"/>
          <w:color w:val="auto"/>
          <w:sz w:val="20"/>
          <w:szCs w:val="20"/>
          <w:lang w:val="es-ES"/>
        </w:rPr>
        <w:t xml:space="preserve"> penal</w:t>
      </w:r>
      <w:r w:rsidR="00743BA9" w:rsidRPr="009C5C36">
        <w:rPr>
          <w:rFonts w:asciiTheme="majorHAnsi" w:hAnsiTheme="majorHAnsi"/>
          <w:color w:val="auto"/>
          <w:sz w:val="20"/>
          <w:szCs w:val="20"/>
          <w:lang w:val="es-ES"/>
        </w:rPr>
        <w:t xml:space="preserve"> en una situación en la cual </w:t>
      </w:r>
      <w:r w:rsidR="00B05F0B" w:rsidRPr="009C5C36">
        <w:rPr>
          <w:rFonts w:asciiTheme="majorHAnsi" w:hAnsiTheme="majorHAnsi"/>
          <w:color w:val="auto"/>
          <w:sz w:val="20"/>
          <w:szCs w:val="20"/>
          <w:lang w:val="es-ES"/>
        </w:rPr>
        <w:t xml:space="preserve">el Estado tiene la obligación de promover e impulsar el proceso penal, </w:t>
      </w:r>
      <w:r w:rsidR="00743BA9" w:rsidRPr="009C5C36">
        <w:rPr>
          <w:rFonts w:asciiTheme="majorHAnsi" w:hAnsiTheme="majorHAnsi"/>
          <w:color w:val="auto"/>
          <w:sz w:val="20"/>
          <w:szCs w:val="20"/>
          <w:lang w:val="es-ES"/>
        </w:rPr>
        <w:t>la Comisión concluye que no es necesario agotar dichos recursos antes de acudir al sistema interamericano</w:t>
      </w:r>
      <w:r w:rsidR="00743BA9" w:rsidRPr="009C5C36">
        <w:rPr>
          <w:rStyle w:val="FootnoteReference"/>
          <w:rFonts w:asciiTheme="majorHAnsi" w:hAnsiTheme="majorHAnsi"/>
          <w:color w:val="auto"/>
          <w:sz w:val="20"/>
          <w:szCs w:val="20"/>
          <w:lang w:val="es-ES"/>
        </w:rPr>
        <w:footnoteReference w:id="7"/>
      </w:r>
      <w:r w:rsidR="00743BA9" w:rsidRPr="009C5C36">
        <w:rPr>
          <w:rFonts w:asciiTheme="majorHAnsi" w:hAnsiTheme="majorHAnsi"/>
          <w:color w:val="auto"/>
          <w:sz w:val="20"/>
          <w:szCs w:val="20"/>
          <w:lang w:val="es-ES"/>
        </w:rPr>
        <w:t>.</w:t>
      </w:r>
    </w:p>
    <w:p w:rsidR="003239B8" w:rsidRPr="009C5C36" w:rsidRDefault="00B757CF" w:rsidP="009C5C3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9C5C36">
        <w:rPr>
          <w:rFonts w:asciiTheme="majorHAnsi" w:hAnsiTheme="majorHAnsi"/>
          <w:sz w:val="20"/>
          <w:szCs w:val="20"/>
          <w:lang w:val="es-ES"/>
        </w:rPr>
        <w:t xml:space="preserve">Respecto del plazo de presentación, la Comisión observa que la petición fue presentada el 16 de febrero de 2010, los hechos que dieron lugar a la petición ocurrieron el </w:t>
      </w:r>
      <w:r w:rsidRPr="009C5C36">
        <w:rPr>
          <w:rFonts w:asciiTheme="majorHAnsi" w:hAnsiTheme="majorHAnsi"/>
          <w:sz w:val="20"/>
          <w:lang w:val="es-ES"/>
        </w:rPr>
        <w:t xml:space="preserve">19 de febrero de 2006 y </w:t>
      </w:r>
      <w:r w:rsidR="00204D43" w:rsidRPr="009C5C36">
        <w:rPr>
          <w:rFonts w:asciiTheme="majorHAnsi" w:hAnsiTheme="majorHAnsi"/>
          <w:sz w:val="20"/>
          <w:lang w:val="es-ES"/>
        </w:rPr>
        <w:t>la alegada denegación de justicia</w:t>
      </w:r>
      <w:r w:rsidRPr="009C5C36">
        <w:rPr>
          <w:rFonts w:asciiTheme="majorHAnsi" w:hAnsiTheme="majorHAnsi"/>
          <w:sz w:val="20"/>
          <w:lang w:val="es-ES"/>
        </w:rPr>
        <w:t xml:space="preserve"> se extendería hasta el presente</w:t>
      </w:r>
      <w:r w:rsidRPr="009C5C36">
        <w:rPr>
          <w:rFonts w:asciiTheme="majorHAnsi" w:hAnsiTheme="majorHAnsi"/>
          <w:sz w:val="20"/>
          <w:szCs w:val="20"/>
          <w:lang w:val="es-ES"/>
        </w:rPr>
        <w:t xml:space="preserve">. Por lo tanto, considerando el contexto y las </w:t>
      </w:r>
      <w:r w:rsidRPr="009C5C36">
        <w:rPr>
          <w:rFonts w:asciiTheme="majorHAnsi" w:hAnsiTheme="majorHAnsi"/>
          <w:sz w:val="20"/>
          <w:szCs w:val="20"/>
          <w:lang w:val="es-ES"/>
        </w:rPr>
        <w:lastRenderedPageBreak/>
        <w:t>características del presente caso, la Comisión considera que la petición fue presentada dentro de un plazo razonable y debe darse por satisfecho el requisito de admisibilidad referente al plazo de presentación.</w:t>
      </w:r>
    </w:p>
    <w:p w:rsidR="003239B8" w:rsidRPr="009C5C36" w:rsidRDefault="003239B8" w:rsidP="009C5C36">
      <w:pPr>
        <w:pStyle w:val="ListParagraph"/>
        <w:spacing w:before="240" w:after="240"/>
        <w:jc w:val="both"/>
        <w:rPr>
          <w:rFonts w:asciiTheme="majorHAnsi" w:hAnsiTheme="majorHAnsi"/>
          <w:b/>
          <w:sz w:val="20"/>
          <w:szCs w:val="20"/>
          <w:lang w:val="es-ES"/>
        </w:rPr>
      </w:pPr>
      <w:r w:rsidRPr="009C5C36">
        <w:rPr>
          <w:rFonts w:asciiTheme="majorHAnsi" w:hAnsiTheme="majorHAnsi"/>
          <w:b/>
          <w:bCs/>
          <w:sz w:val="20"/>
          <w:szCs w:val="20"/>
          <w:lang w:val="es-ES"/>
        </w:rPr>
        <w:t>VII.</w:t>
      </w:r>
      <w:r w:rsidRPr="009C5C36">
        <w:rPr>
          <w:rFonts w:asciiTheme="majorHAnsi" w:hAnsiTheme="majorHAnsi"/>
          <w:b/>
          <w:bCs/>
          <w:sz w:val="20"/>
          <w:szCs w:val="20"/>
          <w:lang w:val="es-ES"/>
        </w:rPr>
        <w:tab/>
      </w:r>
      <w:r w:rsidR="00B114B7" w:rsidRPr="009C5C36">
        <w:rPr>
          <w:rFonts w:asciiTheme="majorHAnsi" w:hAnsiTheme="majorHAnsi"/>
          <w:b/>
          <w:bCs/>
          <w:sz w:val="20"/>
          <w:szCs w:val="20"/>
          <w:lang w:val="es-ES"/>
        </w:rPr>
        <w:t xml:space="preserve">ANÁLISIS DE </w:t>
      </w:r>
      <w:r w:rsidR="00C21FEF" w:rsidRPr="009C5C36">
        <w:rPr>
          <w:rFonts w:asciiTheme="majorHAnsi" w:hAnsiTheme="majorHAnsi"/>
          <w:b/>
          <w:bCs/>
          <w:sz w:val="20"/>
          <w:szCs w:val="20"/>
          <w:lang w:val="es-ES"/>
        </w:rPr>
        <w:t xml:space="preserve">CARACTERIZACIÓN </w:t>
      </w:r>
      <w:r w:rsidR="00C21FEF" w:rsidRPr="009C5C36">
        <w:rPr>
          <w:rFonts w:asciiTheme="majorHAnsi" w:hAnsiTheme="majorHAnsi"/>
          <w:b/>
          <w:bCs/>
          <w:sz w:val="20"/>
          <w:szCs w:val="20"/>
          <w:lang w:val="es-UY"/>
        </w:rPr>
        <w:t>DE LOS HECHOS ALEGADOS</w:t>
      </w:r>
    </w:p>
    <w:p w:rsidR="00B757CF" w:rsidRPr="009C5C36" w:rsidRDefault="00B757CF" w:rsidP="009C5C36">
      <w:pPr>
        <w:pStyle w:val="ListParagraph"/>
        <w:numPr>
          <w:ilvl w:val="0"/>
          <w:numId w:val="55"/>
        </w:numPr>
        <w:spacing w:before="240" w:after="240"/>
        <w:jc w:val="both"/>
        <w:rPr>
          <w:rFonts w:asciiTheme="majorHAnsi" w:hAnsiTheme="majorHAnsi"/>
          <w:sz w:val="20"/>
          <w:szCs w:val="20"/>
          <w:lang w:val="es-ES"/>
        </w:rPr>
      </w:pPr>
      <w:r w:rsidRPr="009C5C36">
        <w:rPr>
          <w:rFonts w:asciiTheme="majorHAnsi" w:hAnsiTheme="majorHAnsi"/>
          <w:sz w:val="20"/>
          <w:szCs w:val="20"/>
          <w:lang w:val="es-ES"/>
        </w:rPr>
        <w:t>En vista de los elementos de hecho y de derecho presentados por las partes y la naturaleza del asunto puesto bajo su conocimiento, la CIDH considera que</w:t>
      </w:r>
      <w:r w:rsidR="00CE5695" w:rsidRPr="009C5C36">
        <w:rPr>
          <w:rFonts w:asciiTheme="majorHAnsi" w:hAnsiTheme="majorHAnsi"/>
          <w:sz w:val="20"/>
          <w:szCs w:val="20"/>
          <w:lang w:val="es-ES"/>
        </w:rPr>
        <w:t>,</w:t>
      </w:r>
      <w:r w:rsidRPr="009C5C36">
        <w:rPr>
          <w:rFonts w:asciiTheme="majorHAnsi" w:hAnsiTheme="majorHAnsi"/>
          <w:sz w:val="20"/>
          <w:szCs w:val="20"/>
          <w:lang w:val="es-ES"/>
        </w:rPr>
        <w:t xml:space="preserve"> de ser probada la </w:t>
      </w:r>
      <w:r w:rsidR="00CE5695" w:rsidRPr="009C5C36">
        <w:rPr>
          <w:rFonts w:asciiTheme="majorHAnsi" w:hAnsiTheme="majorHAnsi"/>
          <w:sz w:val="20"/>
          <w:szCs w:val="20"/>
          <w:lang w:val="es-ES"/>
        </w:rPr>
        <w:t>alegada responsabilidad del Estado en la</w:t>
      </w:r>
      <w:r w:rsidR="00174A79" w:rsidRPr="009C5C36">
        <w:rPr>
          <w:rFonts w:asciiTheme="majorHAnsi" w:hAnsiTheme="majorHAnsi"/>
          <w:sz w:val="20"/>
          <w:szCs w:val="20"/>
          <w:lang w:val="es-ES"/>
        </w:rPr>
        <w:t>s causas que llevaron a la</w:t>
      </w:r>
      <w:r w:rsidR="00CE5695" w:rsidRPr="009C5C36">
        <w:rPr>
          <w:rFonts w:asciiTheme="majorHAnsi" w:hAnsiTheme="majorHAnsi"/>
          <w:sz w:val="20"/>
          <w:szCs w:val="20"/>
          <w:lang w:val="es-ES"/>
        </w:rPr>
        <w:t xml:space="preserve"> explosión de la </w:t>
      </w:r>
      <w:r w:rsidR="00202DBE" w:rsidRPr="009C5C36">
        <w:rPr>
          <w:rFonts w:asciiTheme="majorHAnsi" w:hAnsiTheme="majorHAnsi"/>
          <w:sz w:val="20"/>
          <w:szCs w:val="20"/>
          <w:lang w:val="es-ES"/>
        </w:rPr>
        <w:t>m</w:t>
      </w:r>
      <w:r w:rsidR="00CE5695" w:rsidRPr="009C5C36">
        <w:rPr>
          <w:rFonts w:asciiTheme="majorHAnsi" w:hAnsiTheme="majorHAnsi"/>
          <w:sz w:val="20"/>
          <w:szCs w:val="20"/>
          <w:lang w:val="es-ES"/>
        </w:rPr>
        <w:t>ina Pasta de Conchos</w:t>
      </w:r>
      <w:r w:rsidRPr="009C5C36">
        <w:rPr>
          <w:rFonts w:asciiTheme="majorHAnsi" w:hAnsiTheme="majorHAnsi"/>
          <w:sz w:val="20"/>
          <w:szCs w:val="20"/>
          <w:lang w:val="es-ES"/>
        </w:rPr>
        <w:t xml:space="preserve"> </w:t>
      </w:r>
      <w:r w:rsidR="00CE5695" w:rsidRPr="009C5C36">
        <w:rPr>
          <w:rFonts w:asciiTheme="majorHAnsi" w:hAnsiTheme="majorHAnsi"/>
          <w:sz w:val="20"/>
          <w:szCs w:val="20"/>
          <w:lang w:val="es-ES"/>
        </w:rPr>
        <w:t xml:space="preserve">debido a presuntas </w:t>
      </w:r>
      <w:r w:rsidRPr="009C5C36">
        <w:rPr>
          <w:rFonts w:asciiTheme="majorHAnsi" w:hAnsiTheme="majorHAnsi"/>
          <w:sz w:val="20"/>
          <w:szCs w:val="20"/>
          <w:lang w:val="es-ES"/>
        </w:rPr>
        <w:t xml:space="preserve">irregularidades en </w:t>
      </w:r>
      <w:r w:rsidR="00CE5695" w:rsidRPr="009C5C36">
        <w:rPr>
          <w:rFonts w:asciiTheme="majorHAnsi" w:hAnsiTheme="majorHAnsi"/>
          <w:sz w:val="20"/>
          <w:szCs w:val="20"/>
          <w:lang w:val="es-ES"/>
        </w:rPr>
        <w:t>su</w:t>
      </w:r>
      <w:r w:rsidRPr="009C5C36">
        <w:rPr>
          <w:rFonts w:asciiTheme="majorHAnsi" w:hAnsiTheme="majorHAnsi"/>
          <w:sz w:val="20"/>
          <w:szCs w:val="20"/>
          <w:lang w:val="es-ES"/>
        </w:rPr>
        <w:t xml:space="preserve"> función de supervisión</w:t>
      </w:r>
      <w:r w:rsidR="00743857" w:rsidRPr="009C5C36">
        <w:rPr>
          <w:rFonts w:asciiTheme="majorHAnsi" w:hAnsiTheme="majorHAnsi"/>
          <w:sz w:val="20"/>
          <w:szCs w:val="20"/>
          <w:lang w:val="es-ES"/>
        </w:rPr>
        <w:t xml:space="preserve">, </w:t>
      </w:r>
      <w:r w:rsidR="00CE5695" w:rsidRPr="009C5C36">
        <w:rPr>
          <w:rFonts w:asciiTheme="majorHAnsi" w:hAnsiTheme="majorHAnsi"/>
          <w:sz w:val="20"/>
          <w:szCs w:val="20"/>
          <w:lang w:val="es-ES"/>
        </w:rPr>
        <w:t xml:space="preserve">lo cual habría provocado la muerte </w:t>
      </w:r>
      <w:r w:rsidR="00AC7151" w:rsidRPr="009C5C36">
        <w:rPr>
          <w:rFonts w:asciiTheme="majorHAnsi" w:hAnsiTheme="majorHAnsi"/>
          <w:sz w:val="20"/>
          <w:szCs w:val="20"/>
          <w:lang w:val="es-ES"/>
        </w:rPr>
        <w:t>los trabajadores</w:t>
      </w:r>
      <w:r w:rsidR="00CE5695" w:rsidRPr="009C5C36">
        <w:rPr>
          <w:rFonts w:asciiTheme="majorHAnsi" w:hAnsiTheme="majorHAnsi"/>
          <w:sz w:val="20"/>
          <w:szCs w:val="20"/>
          <w:lang w:val="es-ES"/>
        </w:rPr>
        <w:t xml:space="preserve"> </w:t>
      </w:r>
      <w:r w:rsidR="00174A79" w:rsidRPr="009C5C36">
        <w:rPr>
          <w:rFonts w:asciiTheme="majorHAnsi" w:hAnsiTheme="majorHAnsi"/>
          <w:sz w:val="20"/>
          <w:szCs w:val="20"/>
          <w:lang w:val="es-ES"/>
        </w:rPr>
        <w:t>mineros</w:t>
      </w:r>
      <w:r w:rsidR="00CE5695" w:rsidRPr="009C5C36">
        <w:rPr>
          <w:rFonts w:asciiTheme="majorHAnsi" w:hAnsiTheme="majorHAnsi"/>
          <w:sz w:val="20"/>
          <w:szCs w:val="20"/>
          <w:lang w:val="es-ES"/>
        </w:rPr>
        <w:t xml:space="preserve">, </w:t>
      </w:r>
      <w:r w:rsidR="00743857" w:rsidRPr="009C5C36">
        <w:rPr>
          <w:rFonts w:asciiTheme="majorHAnsi" w:hAnsiTheme="majorHAnsi"/>
          <w:sz w:val="20"/>
          <w:szCs w:val="20"/>
          <w:lang w:val="es-ES"/>
        </w:rPr>
        <w:t>así como</w:t>
      </w:r>
      <w:r w:rsidRPr="009C5C36">
        <w:rPr>
          <w:rFonts w:asciiTheme="majorHAnsi" w:hAnsiTheme="majorHAnsi"/>
          <w:sz w:val="20"/>
          <w:szCs w:val="20"/>
          <w:lang w:val="es-ES"/>
        </w:rPr>
        <w:t xml:space="preserve"> la falta de debida diligencia en las investigaciones sobre los hechos, en la recuperación de los cuerpos y en las reparaciones a los familiares, podrían caracterizar una posible violación a los derechos protegidos en los artículos 4 (vida), 5 (integridad personal), 8 (garantías judiciales), 25 </w:t>
      </w:r>
      <w:r w:rsidR="00CE5695" w:rsidRPr="009C5C36">
        <w:rPr>
          <w:rFonts w:asciiTheme="majorHAnsi" w:hAnsiTheme="majorHAnsi"/>
          <w:sz w:val="20"/>
          <w:szCs w:val="20"/>
          <w:lang w:val="es-ES"/>
        </w:rPr>
        <w:t xml:space="preserve">(protección judicial) </w:t>
      </w:r>
      <w:r w:rsidRPr="009C5C36">
        <w:rPr>
          <w:rFonts w:asciiTheme="majorHAnsi" w:hAnsiTheme="majorHAnsi"/>
          <w:sz w:val="20"/>
          <w:szCs w:val="20"/>
          <w:lang w:val="es-ES"/>
        </w:rPr>
        <w:t>y 2</w:t>
      </w:r>
      <w:r w:rsidR="00137F56">
        <w:rPr>
          <w:rFonts w:asciiTheme="majorHAnsi" w:hAnsiTheme="majorHAnsi"/>
          <w:sz w:val="20"/>
          <w:szCs w:val="20"/>
          <w:lang w:val="es-ES"/>
        </w:rPr>
        <w:t>6 (</w:t>
      </w:r>
      <w:r w:rsidRPr="009C5C36">
        <w:rPr>
          <w:rFonts w:asciiTheme="majorHAnsi" w:hAnsiTheme="majorHAnsi"/>
          <w:sz w:val="20"/>
          <w:szCs w:val="20"/>
          <w:lang w:val="es-ES"/>
        </w:rPr>
        <w:t>derechos económicos, sociales y culturales) de la Convención</w:t>
      </w:r>
      <w:r w:rsidR="00CE5695" w:rsidRPr="009C5C36">
        <w:rPr>
          <w:rFonts w:asciiTheme="majorHAnsi" w:hAnsiTheme="majorHAnsi"/>
          <w:sz w:val="20"/>
          <w:szCs w:val="20"/>
          <w:lang w:val="es-ES"/>
        </w:rPr>
        <w:t xml:space="preserve"> Americana</w:t>
      </w:r>
      <w:r w:rsidR="004E031F" w:rsidRPr="009C5C36">
        <w:rPr>
          <w:rFonts w:asciiTheme="majorHAnsi" w:hAnsiTheme="majorHAnsi"/>
          <w:sz w:val="20"/>
          <w:szCs w:val="20"/>
          <w:lang w:val="es-ES"/>
        </w:rPr>
        <w:t>,</w:t>
      </w:r>
      <w:r w:rsidRPr="009C5C36">
        <w:rPr>
          <w:rFonts w:asciiTheme="majorHAnsi" w:hAnsiTheme="majorHAnsi"/>
          <w:sz w:val="20"/>
          <w:szCs w:val="20"/>
          <w:lang w:val="es-ES"/>
        </w:rPr>
        <w:t xml:space="preserve"> en concordancia con </w:t>
      </w:r>
      <w:r w:rsidR="004E031F" w:rsidRPr="009C5C36">
        <w:rPr>
          <w:rFonts w:asciiTheme="majorHAnsi" w:hAnsiTheme="majorHAnsi"/>
          <w:sz w:val="20"/>
          <w:szCs w:val="20"/>
          <w:lang w:val="es-ES"/>
        </w:rPr>
        <w:t xml:space="preserve">sus </w:t>
      </w:r>
      <w:r w:rsidRPr="009C5C36">
        <w:rPr>
          <w:rFonts w:asciiTheme="majorHAnsi" w:hAnsiTheme="majorHAnsi"/>
          <w:sz w:val="20"/>
          <w:szCs w:val="20"/>
          <w:lang w:val="es-ES"/>
        </w:rPr>
        <w:t>artículos 1.1 y 2</w:t>
      </w:r>
      <w:r w:rsidR="004E031F" w:rsidRPr="009C5C36">
        <w:rPr>
          <w:rFonts w:asciiTheme="majorHAnsi" w:hAnsiTheme="majorHAnsi"/>
          <w:sz w:val="20"/>
          <w:szCs w:val="20"/>
          <w:lang w:val="es-ES"/>
        </w:rPr>
        <w:t>.</w:t>
      </w:r>
      <w:r w:rsidRPr="009C5C36">
        <w:rPr>
          <w:rFonts w:asciiTheme="majorHAnsi" w:hAnsiTheme="majorHAnsi"/>
          <w:sz w:val="20"/>
          <w:szCs w:val="20"/>
          <w:lang w:val="es-ES"/>
        </w:rPr>
        <w:t xml:space="preserve"> </w:t>
      </w:r>
    </w:p>
    <w:p w:rsidR="00B24EB2" w:rsidRPr="009C5C36" w:rsidRDefault="00B757CF" w:rsidP="009C5C3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lang w:val="es-ES"/>
        </w:rPr>
      </w:pPr>
      <w:r w:rsidRPr="009C5C36">
        <w:rPr>
          <w:rFonts w:asciiTheme="majorHAnsi" w:hAnsiTheme="majorHAnsi"/>
          <w:sz w:val="20"/>
          <w:szCs w:val="20"/>
          <w:lang w:val="es-ES"/>
        </w:rPr>
        <w:t xml:space="preserve">En relación </w:t>
      </w:r>
      <w:r w:rsidR="00C01B3D" w:rsidRPr="009C5C36">
        <w:rPr>
          <w:rFonts w:asciiTheme="majorHAnsi" w:hAnsiTheme="majorHAnsi"/>
          <w:sz w:val="20"/>
          <w:szCs w:val="20"/>
          <w:lang w:val="es-ES"/>
        </w:rPr>
        <w:t>con e</w:t>
      </w:r>
      <w:r w:rsidRPr="009C5C36">
        <w:rPr>
          <w:rFonts w:asciiTheme="majorHAnsi" w:hAnsiTheme="majorHAnsi"/>
          <w:sz w:val="20"/>
          <w:szCs w:val="20"/>
          <w:lang w:val="es-ES"/>
        </w:rPr>
        <w:t xml:space="preserve">l alegato del Estado sobre la falta de acreditación de la afectación directa por parte de las presuntas víctimas, ya sea como ofendidos o como dependientes directos a nivel interno, la Comisión observa que a lo largo del trámite las peticionarias individualizaron a </w:t>
      </w:r>
      <w:r w:rsidR="00D43E7F" w:rsidRPr="009C5C36">
        <w:rPr>
          <w:rFonts w:asciiTheme="majorHAnsi" w:hAnsiTheme="majorHAnsi"/>
          <w:sz w:val="20"/>
          <w:szCs w:val="20"/>
          <w:lang w:val="es-ES"/>
        </w:rPr>
        <w:t xml:space="preserve">48 </w:t>
      </w:r>
      <w:r w:rsidRPr="009C5C36">
        <w:rPr>
          <w:rFonts w:asciiTheme="majorHAnsi" w:hAnsiTheme="majorHAnsi"/>
          <w:sz w:val="20"/>
          <w:szCs w:val="20"/>
          <w:lang w:val="es-ES"/>
        </w:rPr>
        <w:t>de los 65</w:t>
      </w:r>
      <w:r w:rsidR="00202DBE" w:rsidRPr="009C5C36">
        <w:rPr>
          <w:rFonts w:asciiTheme="majorHAnsi" w:hAnsiTheme="majorHAnsi"/>
          <w:sz w:val="20"/>
          <w:szCs w:val="20"/>
          <w:lang w:val="es-ES"/>
        </w:rPr>
        <w:t xml:space="preserve"> trabajadores fallecidos en la m</w:t>
      </w:r>
      <w:r w:rsidRPr="009C5C36">
        <w:rPr>
          <w:rFonts w:asciiTheme="majorHAnsi" w:hAnsiTheme="majorHAnsi"/>
          <w:sz w:val="20"/>
          <w:szCs w:val="20"/>
          <w:lang w:val="es-ES"/>
        </w:rPr>
        <w:t xml:space="preserve">ina Pasta de Conchos como presuntas víctimas y a sus familiares. La Comisión </w:t>
      </w:r>
      <w:r w:rsidR="00C01B3D" w:rsidRPr="009C5C36">
        <w:rPr>
          <w:rFonts w:asciiTheme="majorHAnsi" w:hAnsiTheme="majorHAnsi"/>
          <w:sz w:val="20"/>
          <w:szCs w:val="20"/>
          <w:lang w:val="es-ES"/>
        </w:rPr>
        <w:t>destaca</w:t>
      </w:r>
      <w:r w:rsidRPr="009C5C36">
        <w:rPr>
          <w:rFonts w:asciiTheme="majorHAnsi" w:hAnsiTheme="majorHAnsi"/>
          <w:sz w:val="20"/>
          <w:szCs w:val="20"/>
          <w:lang w:val="es-ES"/>
        </w:rPr>
        <w:t xml:space="preserve"> que la calidad de víctima ante el Sistema Interamericano se determina según las disposiciones de la Convención Americana y del Reglamento de la Comisión </w:t>
      </w:r>
      <w:r w:rsidR="002255D0" w:rsidRPr="009C5C36">
        <w:rPr>
          <w:rFonts w:asciiTheme="majorHAnsi" w:hAnsiTheme="majorHAnsi"/>
          <w:sz w:val="20"/>
          <w:szCs w:val="20"/>
          <w:lang w:val="es-ES"/>
        </w:rPr>
        <w:t xml:space="preserve">durante la etapa de fondo ante la CIDH </w:t>
      </w:r>
      <w:r w:rsidRPr="009C5C36">
        <w:rPr>
          <w:rFonts w:asciiTheme="majorHAnsi" w:hAnsiTheme="majorHAnsi"/>
          <w:sz w:val="20"/>
          <w:szCs w:val="20"/>
          <w:lang w:val="es-ES"/>
        </w:rPr>
        <w:t xml:space="preserve">y no ante instancias internas.  </w:t>
      </w:r>
    </w:p>
    <w:p w:rsidR="00FA1C9C" w:rsidRPr="009C5C36" w:rsidRDefault="008E58A0" w:rsidP="009C5C3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lang w:val="es-ES"/>
        </w:rPr>
      </w:pPr>
      <w:r w:rsidRPr="009C5C36">
        <w:rPr>
          <w:rFonts w:asciiTheme="majorHAnsi" w:hAnsiTheme="majorHAnsi"/>
          <w:sz w:val="20"/>
          <w:szCs w:val="27"/>
          <w:shd w:val="clear" w:color="auto" w:fill="FFFFFF"/>
          <w:lang w:val="es-ES"/>
        </w:rPr>
        <w:t>R</w:t>
      </w:r>
      <w:r w:rsidR="007B6E8E" w:rsidRPr="009C5C36">
        <w:rPr>
          <w:rFonts w:asciiTheme="majorHAnsi" w:hAnsiTheme="majorHAnsi"/>
          <w:sz w:val="20"/>
          <w:szCs w:val="27"/>
          <w:shd w:val="clear" w:color="auto" w:fill="FFFFFF"/>
          <w:lang w:val="es-ES"/>
        </w:rPr>
        <w:t>especto del alegato del</w:t>
      </w:r>
      <w:r w:rsidR="00B24EB2" w:rsidRPr="009C5C36">
        <w:rPr>
          <w:rFonts w:asciiTheme="majorHAnsi" w:hAnsiTheme="majorHAnsi"/>
          <w:sz w:val="20"/>
          <w:szCs w:val="27"/>
          <w:shd w:val="clear" w:color="auto" w:fill="FFFFFF"/>
          <w:lang w:val="es-ES"/>
        </w:rPr>
        <w:t xml:space="preserve"> Estado </w:t>
      </w:r>
      <w:r w:rsidR="007B6E8E" w:rsidRPr="009C5C36">
        <w:rPr>
          <w:rFonts w:asciiTheme="majorHAnsi" w:hAnsiTheme="majorHAnsi"/>
          <w:sz w:val="20"/>
          <w:szCs w:val="27"/>
          <w:shd w:val="clear" w:color="auto" w:fill="FFFFFF"/>
          <w:lang w:val="es-ES"/>
        </w:rPr>
        <w:t xml:space="preserve">sobre </w:t>
      </w:r>
      <w:r w:rsidR="007B6E8E" w:rsidRPr="009C5C36">
        <w:rPr>
          <w:rFonts w:asciiTheme="majorHAnsi" w:hAnsiTheme="majorHAnsi"/>
          <w:i/>
          <w:sz w:val="20"/>
          <w:szCs w:val="27"/>
          <w:shd w:val="clear" w:color="auto" w:fill="FFFFFF"/>
          <w:lang w:val="es-ES"/>
        </w:rPr>
        <w:t>litis</w:t>
      </w:r>
      <w:r w:rsidR="007B6E8E" w:rsidRPr="009C5C36">
        <w:rPr>
          <w:rFonts w:asciiTheme="majorHAnsi" w:hAnsiTheme="majorHAnsi"/>
          <w:sz w:val="20"/>
          <w:szCs w:val="27"/>
          <w:shd w:val="clear" w:color="auto" w:fill="FFFFFF"/>
          <w:lang w:val="es-ES"/>
        </w:rPr>
        <w:t xml:space="preserve"> pendencia internacional</w:t>
      </w:r>
      <w:r w:rsidR="00B24EB2" w:rsidRPr="009C5C36">
        <w:rPr>
          <w:rFonts w:asciiTheme="majorHAnsi" w:hAnsiTheme="majorHAnsi"/>
          <w:color w:val="auto"/>
          <w:sz w:val="20"/>
          <w:szCs w:val="27"/>
          <w:shd w:val="clear" w:color="auto" w:fill="FFFFFF"/>
          <w:lang w:val="es-ES"/>
        </w:rPr>
        <w:t xml:space="preserve"> con fundamento </w:t>
      </w:r>
      <w:r w:rsidR="00B24EB2" w:rsidRPr="009C5C36">
        <w:rPr>
          <w:rFonts w:asciiTheme="majorHAnsi" w:hAnsiTheme="majorHAnsi"/>
          <w:sz w:val="20"/>
          <w:szCs w:val="27"/>
          <w:shd w:val="clear" w:color="auto" w:fill="FFFFFF"/>
          <w:lang w:val="es-ES"/>
        </w:rPr>
        <w:t>en la existencia de un proceso ante la OIT</w:t>
      </w:r>
      <w:r w:rsidR="00D65F29" w:rsidRPr="009C5C36">
        <w:rPr>
          <w:rFonts w:asciiTheme="majorHAnsi" w:hAnsiTheme="majorHAnsi"/>
          <w:sz w:val="20"/>
          <w:szCs w:val="27"/>
          <w:shd w:val="clear" w:color="auto" w:fill="FFFFFF"/>
          <w:lang w:val="es-ES"/>
        </w:rPr>
        <w:t>, l</w:t>
      </w:r>
      <w:r w:rsidR="00B24EB2" w:rsidRPr="009C5C36">
        <w:rPr>
          <w:rFonts w:asciiTheme="majorHAnsi" w:hAnsiTheme="majorHAnsi"/>
          <w:sz w:val="20"/>
          <w:szCs w:val="27"/>
          <w:shd w:val="clear" w:color="auto" w:fill="FFFFFF"/>
          <w:lang w:val="es-ES"/>
        </w:rPr>
        <w:t xml:space="preserve">a Comisión </w:t>
      </w:r>
      <w:r w:rsidR="00A024F5">
        <w:rPr>
          <w:rFonts w:asciiTheme="majorHAnsi" w:hAnsiTheme="majorHAnsi"/>
          <w:sz w:val="20"/>
          <w:szCs w:val="27"/>
          <w:shd w:val="clear" w:color="auto" w:fill="FFFFFF"/>
          <w:lang w:val="es-ES"/>
        </w:rPr>
        <w:t>observa que entre ambas denuncias no existe identidad de objeto y recuerda</w:t>
      </w:r>
      <w:r w:rsidR="00B24EB2" w:rsidRPr="009C5C36">
        <w:rPr>
          <w:rFonts w:asciiTheme="majorHAnsi" w:hAnsiTheme="majorHAnsi"/>
          <w:sz w:val="20"/>
          <w:szCs w:val="27"/>
          <w:shd w:val="clear" w:color="auto" w:fill="FFFFFF"/>
          <w:lang w:val="es-ES"/>
        </w:rPr>
        <w:t xml:space="preserve"> </w:t>
      </w:r>
      <w:r w:rsidR="00A024F5">
        <w:rPr>
          <w:rFonts w:asciiTheme="majorHAnsi" w:hAnsiTheme="majorHAnsi"/>
          <w:sz w:val="20"/>
          <w:szCs w:val="27"/>
          <w:shd w:val="clear" w:color="auto" w:fill="FFFFFF"/>
          <w:lang w:val="es-ES"/>
        </w:rPr>
        <w:t xml:space="preserve">además </w:t>
      </w:r>
      <w:r w:rsidR="00B24EB2" w:rsidRPr="009C5C36">
        <w:rPr>
          <w:rFonts w:asciiTheme="majorHAnsi" w:hAnsiTheme="majorHAnsi"/>
          <w:sz w:val="20"/>
          <w:szCs w:val="27"/>
          <w:shd w:val="clear" w:color="auto" w:fill="FFFFFF"/>
          <w:lang w:val="es-ES"/>
        </w:rPr>
        <w:t>que</w:t>
      </w:r>
      <w:r w:rsidR="00A024F5">
        <w:rPr>
          <w:rFonts w:asciiTheme="majorHAnsi" w:hAnsiTheme="majorHAnsi"/>
          <w:sz w:val="20"/>
          <w:szCs w:val="27"/>
          <w:shd w:val="clear" w:color="auto" w:fill="FFFFFF"/>
          <w:lang w:val="es-ES"/>
        </w:rPr>
        <w:t xml:space="preserve"> las posibilidades de “arreglo internacional”</w:t>
      </w:r>
      <w:r w:rsidR="00B9566D">
        <w:rPr>
          <w:rFonts w:asciiTheme="majorHAnsi" w:hAnsiTheme="majorHAnsi"/>
          <w:sz w:val="20"/>
          <w:szCs w:val="27"/>
          <w:shd w:val="clear" w:color="auto" w:fill="FFFFFF"/>
          <w:lang w:val="es-ES"/>
        </w:rPr>
        <w:t>,</w:t>
      </w:r>
      <w:r w:rsidR="00A024F5">
        <w:rPr>
          <w:rFonts w:asciiTheme="majorHAnsi" w:hAnsiTheme="majorHAnsi"/>
          <w:sz w:val="20"/>
          <w:szCs w:val="27"/>
          <w:shd w:val="clear" w:color="auto" w:fill="FFFFFF"/>
          <w:lang w:val="es-ES"/>
        </w:rPr>
        <w:t xml:space="preserve"> referidas por el artículo 46.1.c de la </w:t>
      </w:r>
      <w:r w:rsidR="00B9566D">
        <w:rPr>
          <w:rFonts w:asciiTheme="majorHAnsi" w:hAnsiTheme="majorHAnsi"/>
          <w:sz w:val="20"/>
          <w:szCs w:val="27"/>
          <w:shd w:val="clear" w:color="auto" w:fill="FFFFFF"/>
          <w:lang w:val="es-ES"/>
        </w:rPr>
        <w:t>Convención</w:t>
      </w:r>
      <w:r w:rsidR="00A024F5">
        <w:rPr>
          <w:rFonts w:asciiTheme="majorHAnsi" w:hAnsiTheme="majorHAnsi"/>
          <w:sz w:val="20"/>
          <w:szCs w:val="27"/>
          <w:shd w:val="clear" w:color="auto" w:fill="FFFFFF"/>
          <w:lang w:val="es-ES"/>
        </w:rPr>
        <w:t>, que ofrece el procedimiento ante el Comité de Libertad Sindical no son equivalentes a las que brinda el Sistema Interamericano de Derechos Humanos</w:t>
      </w:r>
      <w:r w:rsidR="00B24EB2" w:rsidRPr="009C5C36">
        <w:rPr>
          <w:rStyle w:val="FootnoteReference"/>
          <w:rFonts w:asciiTheme="majorHAnsi" w:hAnsiTheme="majorHAnsi"/>
          <w:sz w:val="20"/>
          <w:szCs w:val="27"/>
          <w:shd w:val="clear" w:color="auto" w:fill="FFFFFF"/>
          <w:lang w:val="es-ES"/>
        </w:rPr>
        <w:footnoteReference w:id="8"/>
      </w:r>
      <w:r w:rsidR="00B24EB2" w:rsidRPr="009C5C36">
        <w:rPr>
          <w:rFonts w:asciiTheme="majorHAnsi" w:hAnsiTheme="majorHAnsi"/>
          <w:sz w:val="20"/>
          <w:szCs w:val="27"/>
          <w:shd w:val="clear" w:color="auto" w:fill="FFFFFF"/>
          <w:lang w:val="es-ES"/>
        </w:rPr>
        <w:t xml:space="preserve">. Por las razones expuestas, la Comisión considera que no es procedente la excepción alegada por el Estado.  </w:t>
      </w:r>
    </w:p>
    <w:p w:rsidR="008E58A0" w:rsidRPr="009C5C36" w:rsidRDefault="00B757CF" w:rsidP="009C5C3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lang w:val="es-ES"/>
        </w:rPr>
      </w:pPr>
      <w:r w:rsidRPr="009C5C36">
        <w:rPr>
          <w:rFonts w:asciiTheme="majorHAnsi" w:hAnsiTheme="majorHAnsi"/>
          <w:sz w:val="20"/>
          <w:szCs w:val="20"/>
          <w:lang w:val="es-ES"/>
        </w:rPr>
        <w:t xml:space="preserve"> </w:t>
      </w:r>
      <w:r w:rsidR="000C73F0" w:rsidRPr="009C5C36">
        <w:rPr>
          <w:sz w:val="20"/>
          <w:szCs w:val="20"/>
          <w:lang w:val="es-ES"/>
        </w:rPr>
        <w:t>Por último, respecto al alegato del Estado de cuarta instancia, la Comisión observa que al admitir esta petición no pretende suplantar la competencia de las autoridades judiciales domésticas. La Comisión analizará en etapa de fondo si los procesos judiciales internos cumplieron con las garantías del debido proceso y protección judicial, y ofreció las debidas garantías de acceso a la justicia de las presuntas víctimas en los términos de la Convención Americana.</w:t>
      </w:r>
    </w:p>
    <w:p w:rsidR="003239B8" w:rsidRPr="009C5C36" w:rsidRDefault="003239B8" w:rsidP="009C5C36">
      <w:pPr>
        <w:pStyle w:val="ListParagraph"/>
        <w:spacing w:before="240" w:after="240"/>
        <w:jc w:val="both"/>
        <w:rPr>
          <w:rFonts w:asciiTheme="majorHAnsi" w:hAnsiTheme="majorHAnsi"/>
          <w:b/>
          <w:bCs/>
          <w:sz w:val="20"/>
          <w:szCs w:val="20"/>
          <w:lang w:val="es-ES"/>
        </w:rPr>
      </w:pPr>
      <w:r w:rsidRPr="009C5C36">
        <w:rPr>
          <w:rFonts w:asciiTheme="majorHAnsi" w:hAnsiTheme="majorHAnsi"/>
          <w:b/>
          <w:bCs/>
          <w:sz w:val="20"/>
          <w:szCs w:val="20"/>
          <w:lang w:val="es-ES"/>
        </w:rPr>
        <w:t xml:space="preserve">VIII. </w:t>
      </w:r>
      <w:r w:rsidRPr="009C5C36">
        <w:rPr>
          <w:rFonts w:asciiTheme="majorHAnsi" w:hAnsiTheme="majorHAnsi"/>
          <w:b/>
          <w:bCs/>
          <w:sz w:val="20"/>
          <w:szCs w:val="20"/>
          <w:lang w:val="es-ES"/>
        </w:rPr>
        <w:tab/>
        <w:t>DECISIÓN</w:t>
      </w:r>
    </w:p>
    <w:p w:rsidR="00B757CF" w:rsidRPr="009C5C36" w:rsidRDefault="00B757CF" w:rsidP="009C5C3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C5C36">
        <w:rPr>
          <w:rFonts w:asciiTheme="majorHAnsi" w:hAnsiTheme="majorHAnsi"/>
          <w:sz w:val="20"/>
          <w:szCs w:val="20"/>
          <w:lang w:val="es-ES"/>
        </w:rPr>
        <w:t>Declarar admisible la presente petición en relación con los artículos 4, 5, 8, 25 y 26 de la Convención Americana</w:t>
      </w:r>
      <w:r w:rsidR="00B24EB2" w:rsidRPr="009C5C36">
        <w:rPr>
          <w:rFonts w:asciiTheme="majorHAnsi" w:hAnsiTheme="majorHAnsi"/>
          <w:sz w:val="20"/>
          <w:szCs w:val="20"/>
          <w:lang w:val="es-ES"/>
        </w:rPr>
        <w:t>,</w:t>
      </w:r>
      <w:r w:rsidRPr="009C5C36">
        <w:rPr>
          <w:rFonts w:asciiTheme="majorHAnsi" w:hAnsiTheme="majorHAnsi"/>
          <w:sz w:val="20"/>
          <w:szCs w:val="20"/>
          <w:lang w:val="es-ES"/>
        </w:rPr>
        <w:t xml:space="preserve"> en concordancia con </w:t>
      </w:r>
      <w:r w:rsidR="00B24EB2" w:rsidRPr="009C5C36">
        <w:rPr>
          <w:rFonts w:asciiTheme="majorHAnsi" w:hAnsiTheme="majorHAnsi"/>
          <w:sz w:val="20"/>
          <w:szCs w:val="20"/>
          <w:lang w:val="es-ES"/>
        </w:rPr>
        <w:t>su</w:t>
      </w:r>
      <w:r w:rsidRPr="009C5C36">
        <w:rPr>
          <w:rFonts w:asciiTheme="majorHAnsi" w:hAnsiTheme="majorHAnsi"/>
          <w:sz w:val="20"/>
          <w:szCs w:val="20"/>
          <w:lang w:val="es-ES"/>
        </w:rPr>
        <w:t>s artículos 1.1 y 2;</w:t>
      </w:r>
      <w:r w:rsidR="00B114B7" w:rsidRPr="009C5C36">
        <w:rPr>
          <w:rFonts w:asciiTheme="majorHAnsi" w:hAnsiTheme="majorHAnsi"/>
          <w:sz w:val="20"/>
          <w:szCs w:val="20"/>
          <w:lang w:val="es-ES"/>
        </w:rPr>
        <w:t xml:space="preserve"> y</w:t>
      </w:r>
    </w:p>
    <w:p w:rsidR="00B757CF" w:rsidRDefault="00B757CF" w:rsidP="009C5C36">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line="276" w:lineRule="auto"/>
        <w:jc w:val="both"/>
        <w:rPr>
          <w:rFonts w:asciiTheme="majorHAnsi" w:hAnsiTheme="majorHAnsi" w:cs="Calibri"/>
          <w:sz w:val="20"/>
          <w:szCs w:val="20"/>
          <w:lang w:val="es-ES"/>
        </w:rPr>
      </w:pPr>
      <w:r w:rsidRPr="009C5C36">
        <w:rPr>
          <w:rFonts w:asciiTheme="majorHAnsi" w:hAnsiTheme="majorHAnsi"/>
          <w:sz w:val="20"/>
          <w:szCs w:val="20"/>
          <w:lang w:val="es-ES"/>
        </w:rPr>
        <w:t>Notificar a las partes la presente decisión;</w:t>
      </w:r>
      <w:r w:rsidR="00B114B7" w:rsidRPr="009C5C36">
        <w:rPr>
          <w:rFonts w:asciiTheme="majorHAnsi" w:hAnsiTheme="majorHAnsi"/>
          <w:sz w:val="20"/>
          <w:szCs w:val="20"/>
          <w:lang w:val="es-ES"/>
        </w:rPr>
        <w:t xml:space="preserve"> c</w:t>
      </w:r>
      <w:r w:rsidRPr="009C5C36">
        <w:rPr>
          <w:rFonts w:asciiTheme="majorHAnsi" w:hAnsiTheme="majorHAnsi"/>
          <w:sz w:val="20"/>
          <w:szCs w:val="20"/>
          <w:lang w:val="es-ES"/>
        </w:rPr>
        <w:t>ontinuar con el análisis del fondo de la cuestión; y</w:t>
      </w:r>
      <w:r w:rsidR="00B114B7" w:rsidRPr="009C5C36">
        <w:rPr>
          <w:rFonts w:asciiTheme="majorHAnsi" w:hAnsiTheme="majorHAnsi"/>
          <w:sz w:val="20"/>
          <w:szCs w:val="20"/>
          <w:lang w:val="es-ES"/>
        </w:rPr>
        <w:t xml:space="preserve"> p</w:t>
      </w:r>
      <w:r w:rsidRPr="009C5C36">
        <w:rPr>
          <w:rFonts w:asciiTheme="majorHAnsi" w:hAnsiTheme="majorHAnsi"/>
          <w:sz w:val="20"/>
          <w:szCs w:val="20"/>
          <w:lang w:val="es-ES"/>
        </w:rPr>
        <w:t>ublicar esta decisión e incluirla en su Informe Anual a la Asamblea General de la Organización de los Estados Americanos.</w:t>
      </w:r>
    </w:p>
    <w:p w:rsidR="008D768D" w:rsidRPr="009C5C36" w:rsidRDefault="00093715" w:rsidP="0061672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r w:rsidRPr="00E75191">
        <w:rPr>
          <w:rFonts w:asciiTheme="majorHAnsi" w:hAnsiTheme="majorHAnsi"/>
          <w:sz w:val="20"/>
          <w:szCs w:val="20"/>
          <w:lang w:val="es-ES"/>
        </w:rPr>
        <w:t>Aprobado por la Comisión Interamericana de Derechos Humanos en la ciudad de Bogotá, Colombia, a los 24 días del mes de febrero de 2018.  (Firmado): Margarette May Macaulay, Presidenta; Esmeralda E. Arosemena Bernal de Troitiño, Primera Vicepresidenta; Luis Ernesto Vargas Silva, Segundo Vicepresidente; Francisco José Eguiguren Praeli, Antonia Urrejola, y Flávia Piovesan, Miembros de la Comisión.</w:t>
      </w:r>
    </w:p>
    <w:p w:rsidR="008D768D" w:rsidRPr="009C5C36" w:rsidRDefault="008D768D" w:rsidP="00093715">
      <w:pPr>
        <w:tabs>
          <w:tab w:val="center" w:pos="5400"/>
        </w:tabs>
        <w:suppressAutoHyphens/>
        <w:rPr>
          <w:rFonts w:asciiTheme="majorHAnsi" w:hAnsiTheme="majorHAnsi"/>
          <w:sz w:val="20"/>
          <w:szCs w:val="20"/>
          <w:lang w:val="es-ES_tradnl"/>
        </w:rPr>
      </w:pPr>
    </w:p>
    <w:p w:rsidR="005C1236" w:rsidRPr="009C5C36" w:rsidRDefault="005C1236" w:rsidP="009C5C36">
      <w:pPr>
        <w:rPr>
          <w:rFonts w:ascii="Cambria" w:hAnsi="Cambria" w:cs="Calibri"/>
          <w:sz w:val="20"/>
          <w:szCs w:val="20"/>
          <w:lang w:val="es-ES"/>
        </w:rPr>
      </w:pPr>
      <w:r w:rsidRPr="009C5C36">
        <w:rPr>
          <w:rFonts w:ascii="Cambria" w:hAnsi="Cambria" w:cs="Calibri"/>
          <w:sz w:val="20"/>
          <w:szCs w:val="20"/>
          <w:lang w:val="es-ES"/>
        </w:rPr>
        <w:br w:type="page"/>
      </w:r>
    </w:p>
    <w:p w:rsidR="005C1236" w:rsidRPr="009C5C36" w:rsidRDefault="005C1236" w:rsidP="009C5C36">
      <w:pPr>
        <w:jc w:val="center"/>
        <w:rPr>
          <w:rFonts w:asciiTheme="majorHAnsi" w:hAnsiTheme="majorHAnsi"/>
          <w:b/>
          <w:sz w:val="20"/>
          <w:szCs w:val="20"/>
          <w:lang w:val="es-ES"/>
        </w:rPr>
      </w:pPr>
      <w:r w:rsidRPr="009C5C36">
        <w:rPr>
          <w:rFonts w:asciiTheme="majorHAnsi" w:hAnsiTheme="majorHAnsi"/>
          <w:b/>
          <w:sz w:val="20"/>
          <w:szCs w:val="20"/>
          <w:lang w:val="es-ES"/>
        </w:rPr>
        <w:lastRenderedPageBreak/>
        <w:t>Anexo</w:t>
      </w:r>
    </w:p>
    <w:p w:rsidR="005C1236" w:rsidRPr="009C5C36" w:rsidRDefault="005C1236" w:rsidP="009C5C36">
      <w:pPr>
        <w:jc w:val="center"/>
        <w:rPr>
          <w:rFonts w:asciiTheme="majorHAnsi" w:hAnsiTheme="majorHAnsi"/>
          <w:b/>
          <w:sz w:val="20"/>
          <w:szCs w:val="20"/>
          <w:lang w:val="es-ES"/>
        </w:rPr>
      </w:pPr>
      <w:r w:rsidRPr="009C5C36">
        <w:rPr>
          <w:rFonts w:asciiTheme="majorHAnsi" w:hAnsiTheme="majorHAnsi"/>
          <w:b/>
          <w:sz w:val="20"/>
          <w:szCs w:val="20"/>
          <w:lang w:val="es-ES"/>
        </w:rPr>
        <w:t>Listado de presuntas víctimas</w:t>
      </w:r>
    </w:p>
    <w:p w:rsidR="005C1236" w:rsidRPr="009C5C36" w:rsidRDefault="005C1236" w:rsidP="009C5C36">
      <w:pPr>
        <w:rPr>
          <w:rFonts w:asciiTheme="majorHAnsi" w:hAnsiTheme="majorHAnsi"/>
          <w:b/>
          <w:sz w:val="20"/>
          <w:szCs w:val="20"/>
          <w:u w:val="single"/>
          <w:lang w:val="es-ES"/>
        </w:rPr>
      </w:pPr>
    </w:p>
    <w:p w:rsidR="005C1236" w:rsidRPr="009C5C36" w:rsidRDefault="005C1236" w:rsidP="009C5C36">
      <w:pPr>
        <w:rPr>
          <w:rFonts w:asciiTheme="majorHAnsi" w:hAnsiTheme="majorHAnsi"/>
          <w:b/>
          <w:sz w:val="20"/>
          <w:szCs w:val="20"/>
          <w:lang w:val="es-ES"/>
        </w:rPr>
      </w:pPr>
      <w:r w:rsidRPr="009C5C36">
        <w:rPr>
          <w:rFonts w:asciiTheme="majorHAnsi" w:hAnsiTheme="majorHAnsi"/>
          <w:b/>
          <w:sz w:val="20"/>
          <w:szCs w:val="20"/>
          <w:lang w:val="es-ES"/>
        </w:rPr>
        <w:t>Presuntas víctimas de la petición inicial:</w:t>
      </w:r>
    </w:p>
    <w:p w:rsidR="005C1236" w:rsidRPr="009C5C36" w:rsidRDefault="005C1236" w:rsidP="009C5C36">
      <w:pPr>
        <w:rPr>
          <w:rFonts w:asciiTheme="majorHAnsi" w:hAnsiTheme="majorHAnsi"/>
          <w:b/>
          <w:sz w:val="20"/>
          <w:szCs w:val="20"/>
          <w:u w:val="single"/>
          <w:lang w:val="es-ES"/>
        </w:rPr>
      </w:pPr>
    </w:p>
    <w:p w:rsidR="005C1236" w:rsidRPr="009C5C36" w:rsidRDefault="005C1236" w:rsidP="009C5C3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ajorHAnsi" w:hAnsiTheme="majorHAnsi"/>
          <w:sz w:val="20"/>
          <w:szCs w:val="20"/>
          <w:lang w:val="es-ES"/>
        </w:rPr>
      </w:pPr>
      <w:r w:rsidRPr="009C5C36">
        <w:rPr>
          <w:rFonts w:asciiTheme="majorHAnsi" w:hAnsiTheme="majorHAnsi"/>
          <w:sz w:val="20"/>
          <w:szCs w:val="20"/>
          <w:lang w:val="es-ES"/>
        </w:rPr>
        <w:t>Guillermo Iglesias Ramos</w:t>
      </w:r>
    </w:p>
    <w:p w:rsidR="005C1236" w:rsidRPr="009C5C36" w:rsidRDefault="005C1236" w:rsidP="009C5C3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ajorHAnsi" w:hAnsiTheme="majorHAnsi"/>
          <w:sz w:val="20"/>
          <w:szCs w:val="20"/>
          <w:lang w:val="es-ES"/>
        </w:rPr>
      </w:pPr>
      <w:r w:rsidRPr="009C5C36">
        <w:rPr>
          <w:rFonts w:asciiTheme="majorHAnsi" w:hAnsiTheme="majorHAnsi"/>
          <w:sz w:val="20"/>
          <w:szCs w:val="20"/>
          <w:lang w:val="es-ES"/>
        </w:rPr>
        <w:t>José Armando Rodríguez Torres</w:t>
      </w:r>
    </w:p>
    <w:p w:rsidR="005C1236" w:rsidRPr="009C5C36" w:rsidRDefault="005C1236" w:rsidP="009C5C3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ajorHAnsi" w:hAnsiTheme="majorHAnsi"/>
          <w:sz w:val="20"/>
          <w:szCs w:val="20"/>
          <w:lang w:val="es-ES"/>
        </w:rPr>
      </w:pPr>
      <w:r w:rsidRPr="009C5C36">
        <w:rPr>
          <w:rFonts w:asciiTheme="majorHAnsi" w:hAnsiTheme="majorHAnsi"/>
          <w:sz w:val="20"/>
          <w:szCs w:val="20"/>
          <w:lang w:val="es-ES"/>
        </w:rPr>
        <w:t>Mario Alberto Ruiz Ramos</w:t>
      </w:r>
    </w:p>
    <w:p w:rsidR="005C1236" w:rsidRPr="009C5C36" w:rsidRDefault="005C1236" w:rsidP="009C5C3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ajorHAnsi" w:hAnsiTheme="majorHAnsi"/>
          <w:sz w:val="20"/>
          <w:szCs w:val="20"/>
          <w:lang w:val="es-ES"/>
        </w:rPr>
      </w:pPr>
      <w:r w:rsidRPr="009C5C36">
        <w:rPr>
          <w:rFonts w:asciiTheme="majorHAnsi" w:hAnsiTheme="majorHAnsi"/>
          <w:sz w:val="20"/>
          <w:szCs w:val="20"/>
          <w:lang w:val="es-ES"/>
        </w:rPr>
        <w:t>Jorge Bladimir Muñoz Delgado</w:t>
      </w:r>
    </w:p>
    <w:p w:rsidR="005C1236" w:rsidRPr="009C5C36" w:rsidRDefault="005C1236" w:rsidP="009C5C3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ajorHAnsi" w:hAnsiTheme="majorHAnsi"/>
          <w:sz w:val="20"/>
          <w:szCs w:val="20"/>
          <w:lang w:val="es-ES"/>
        </w:rPr>
      </w:pPr>
      <w:r w:rsidRPr="009C5C36">
        <w:rPr>
          <w:rFonts w:asciiTheme="majorHAnsi" w:hAnsiTheme="majorHAnsi"/>
          <w:sz w:val="20"/>
          <w:szCs w:val="20"/>
          <w:lang w:val="es-ES"/>
        </w:rPr>
        <w:t>Mauro Antonio Sánchez Rocha</w:t>
      </w:r>
    </w:p>
    <w:p w:rsidR="005C1236" w:rsidRPr="009C5C36" w:rsidRDefault="005C1236" w:rsidP="009C5C3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ajorHAnsi" w:hAnsiTheme="majorHAnsi"/>
          <w:sz w:val="20"/>
          <w:szCs w:val="20"/>
          <w:lang w:val="es-ES"/>
        </w:rPr>
      </w:pPr>
      <w:r w:rsidRPr="009C5C36">
        <w:rPr>
          <w:rFonts w:asciiTheme="majorHAnsi" w:hAnsiTheme="majorHAnsi"/>
          <w:sz w:val="20"/>
          <w:szCs w:val="20"/>
          <w:lang w:val="es-ES"/>
        </w:rPr>
        <w:t>Raúl Villasana Cantú</w:t>
      </w:r>
    </w:p>
    <w:p w:rsidR="005C1236" w:rsidRPr="009C5C36" w:rsidRDefault="005C1236" w:rsidP="009C5C3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ajorHAnsi" w:hAnsiTheme="majorHAnsi"/>
          <w:sz w:val="20"/>
          <w:szCs w:val="20"/>
          <w:lang w:val="es-ES"/>
        </w:rPr>
      </w:pPr>
      <w:r w:rsidRPr="009C5C36">
        <w:rPr>
          <w:rFonts w:asciiTheme="majorHAnsi" w:hAnsiTheme="majorHAnsi"/>
          <w:sz w:val="20"/>
          <w:szCs w:val="20"/>
          <w:lang w:val="es-ES"/>
        </w:rPr>
        <w:t>José Porfirio Cibrián Mendoza</w:t>
      </w:r>
    </w:p>
    <w:p w:rsidR="005C1236" w:rsidRPr="009C5C36" w:rsidRDefault="005C1236" w:rsidP="009C5C3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ajorHAnsi" w:hAnsiTheme="majorHAnsi"/>
          <w:sz w:val="20"/>
          <w:szCs w:val="20"/>
          <w:lang w:val="es-ES"/>
        </w:rPr>
      </w:pPr>
      <w:r w:rsidRPr="009C5C36">
        <w:rPr>
          <w:rFonts w:asciiTheme="majorHAnsi" w:hAnsiTheme="majorHAnsi"/>
          <w:sz w:val="20"/>
          <w:szCs w:val="20"/>
          <w:lang w:val="es-ES"/>
        </w:rPr>
        <w:t>Juan Antonio Cruz García</w:t>
      </w:r>
    </w:p>
    <w:p w:rsidR="005C1236" w:rsidRPr="009C5C36" w:rsidRDefault="005C1236" w:rsidP="009C5C3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ajorHAnsi" w:hAnsiTheme="majorHAnsi"/>
          <w:sz w:val="20"/>
          <w:szCs w:val="20"/>
          <w:lang w:val="es-ES"/>
        </w:rPr>
      </w:pPr>
      <w:r w:rsidRPr="009C5C36">
        <w:rPr>
          <w:rFonts w:asciiTheme="majorHAnsi" w:hAnsiTheme="majorHAnsi"/>
          <w:sz w:val="20"/>
          <w:szCs w:val="20"/>
          <w:lang w:val="es-ES"/>
        </w:rPr>
        <w:t>Margarito Cruz Ríos</w:t>
      </w:r>
    </w:p>
    <w:p w:rsidR="005C1236" w:rsidRPr="009C5C36" w:rsidRDefault="005C1236" w:rsidP="009C5C3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ajorHAnsi" w:hAnsiTheme="majorHAnsi"/>
          <w:sz w:val="20"/>
          <w:szCs w:val="20"/>
          <w:lang w:val="es-ES"/>
        </w:rPr>
      </w:pPr>
      <w:r w:rsidRPr="009C5C36">
        <w:rPr>
          <w:rFonts w:asciiTheme="majorHAnsi" w:hAnsiTheme="majorHAnsi"/>
          <w:sz w:val="20"/>
          <w:szCs w:val="20"/>
          <w:lang w:val="es-ES"/>
        </w:rPr>
        <w:t>Jesús Cortés (Cortez) Ibarra</w:t>
      </w:r>
    </w:p>
    <w:p w:rsidR="005C1236" w:rsidRPr="009C5C36" w:rsidRDefault="005C1236" w:rsidP="009C5C3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ajorHAnsi" w:hAnsiTheme="majorHAnsi"/>
          <w:sz w:val="20"/>
          <w:szCs w:val="20"/>
          <w:lang w:val="es-ES"/>
        </w:rPr>
      </w:pPr>
      <w:r w:rsidRPr="009C5C36">
        <w:rPr>
          <w:rFonts w:asciiTheme="majorHAnsi" w:hAnsiTheme="majorHAnsi"/>
          <w:sz w:val="20"/>
          <w:szCs w:val="20"/>
          <w:lang w:val="es-ES"/>
        </w:rPr>
        <w:t>José Isabel Minjares (Minjarez) Yañez</w:t>
      </w:r>
    </w:p>
    <w:p w:rsidR="005C1236" w:rsidRPr="009C5C36" w:rsidRDefault="005C1236" w:rsidP="009C5C3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ajorHAnsi" w:hAnsiTheme="majorHAnsi"/>
          <w:sz w:val="20"/>
          <w:szCs w:val="20"/>
          <w:lang w:val="es-ES"/>
        </w:rPr>
      </w:pPr>
      <w:r w:rsidRPr="009C5C36">
        <w:rPr>
          <w:rFonts w:asciiTheme="majorHAnsi" w:hAnsiTheme="majorHAnsi"/>
          <w:sz w:val="20"/>
          <w:szCs w:val="20"/>
          <w:lang w:val="es-ES"/>
        </w:rPr>
        <w:t>Julián Martínez Ojeda</w:t>
      </w:r>
    </w:p>
    <w:p w:rsidR="005C1236" w:rsidRPr="009C5C36" w:rsidRDefault="005C1236" w:rsidP="009C5C3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ajorHAnsi" w:hAnsiTheme="majorHAnsi"/>
          <w:sz w:val="20"/>
          <w:szCs w:val="20"/>
          <w:lang w:val="es-ES"/>
        </w:rPr>
      </w:pPr>
      <w:r w:rsidRPr="009C5C36">
        <w:rPr>
          <w:rFonts w:asciiTheme="majorHAnsi" w:hAnsiTheme="majorHAnsi"/>
          <w:sz w:val="20"/>
          <w:szCs w:val="20"/>
          <w:lang w:val="es-ES"/>
        </w:rPr>
        <w:t>Juan Antonio Cárdenas Limón</w:t>
      </w:r>
    </w:p>
    <w:p w:rsidR="005C1236" w:rsidRPr="009C5C36" w:rsidRDefault="005C1236" w:rsidP="009C5C3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ajorHAnsi" w:hAnsiTheme="majorHAnsi"/>
          <w:sz w:val="20"/>
          <w:szCs w:val="20"/>
          <w:lang w:val="es-ES"/>
        </w:rPr>
      </w:pPr>
      <w:r w:rsidRPr="009C5C36">
        <w:rPr>
          <w:rFonts w:asciiTheme="majorHAnsi" w:hAnsiTheme="majorHAnsi"/>
          <w:sz w:val="20"/>
          <w:szCs w:val="20"/>
          <w:lang w:val="es-ES"/>
        </w:rPr>
        <w:t>Juan Ramón Barrientos Gloria</w:t>
      </w:r>
    </w:p>
    <w:p w:rsidR="005C1236" w:rsidRPr="009C5C36" w:rsidRDefault="005C1236" w:rsidP="009C5C3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ajorHAnsi" w:hAnsiTheme="majorHAnsi"/>
          <w:sz w:val="20"/>
          <w:szCs w:val="20"/>
          <w:lang w:val="es-ES"/>
        </w:rPr>
      </w:pPr>
      <w:r w:rsidRPr="009C5C36">
        <w:rPr>
          <w:rFonts w:asciiTheme="majorHAnsi" w:hAnsiTheme="majorHAnsi"/>
          <w:sz w:val="20"/>
          <w:szCs w:val="20"/>
          <w:lang w:val="es-ES"/>
        </w:rPr>
        <w:t>Mario de Jesús Cordero Arévalo</w:t>
      </w:r>
    </w:p>
    <w:p w:rsidR="005C1236" w:rsidRPr="009C5C36" w:rsidRDefault="005C1236" w:rsidP="009C5C3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ajorHAnsi" w:hAnsiTheme="majorHAnsi"/>
          <w:sz w:val="20"/>
          <w:szCs w:val="20"/>
          <w:lang w:val="es-ES"/>
        </w:rPr>
      </w:pPr>
      <w:r w:rsidRPr="009C5C36">
        <w:rPr>
          <w:rFonts w:asciiTheme="majorHAnsi" w:hAnsiTheme="majorHAnsi"/>
          <w:sz w:val="20"/>
          <w:szCs w:val="20"/>
          <w:lang w:val="es-ES"/>
        </w:rPr>
        <w:t>Juan Arturo Salazar Olivera</w:t>
      </w:r>
    </w:p>
    <w:p w:rsidR="005C1236" w:rsidRPr="009C5C36" w:rsidRDefault="005C1236" w:rsidP="009C5C3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ajorHAnsi" w:hAnsiTheme="majorHAnsi"/>
          <w:sz w:val="20"/>
          <w:szCs w:val="20"/>
          <w:lang w:val="es-ES"/>
        </w:rPr>
      </w:pPr>
      <w:r w:rsidRPr="009C5C36">
        <w:rPr>
          <w:rFonts w:asciiTheme="majorHAnsi" w:hAnsiTheme="majorHAnsi"/>
          <w:sz w:val="20"/>
          <w:szCs w:val="20"/>
          <w:lang w:val="es-ES"/>
        </w:rPr>
        <w:t>Ricardo Hernández Rocha</w:t>
      </w:r>
    </w:p>
    <w:p w:rsidR="005C1236" w:rsidRPr="009C5C36" w:rsidRDefault="005C1236" w:rsidP="009C5C3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ajorHAnsi" w:hAnsiTheme="majorHAnsi"/>
          <w:sz w:val="20"/>
          <w:szCs w:val="20"/>
          <w:lang w:val="es-ES"/>
        </w:rPr>
      </w:pPr>
      <w:r w:rsidRPr="009C5C36">
        <w:rPr>
          <w:rFonts w:asciiTheme="majorHAnsi" w:hAnsiTheme="majorHAnsi"/>
          <w:sz w:val="20"/>
          <w:szCs w:val="20"/>
          <w:lang w:val="es-ES"/>
        </w:rPr>
        <w:t>Isidro Briseño Ríos</w:t>
      </w:r>
    </w:p>
    <w:p w:rsidR="005C1236" w:rsidRPr="009C5C36" w:rsidRDefault="005C1236" w:rsidP="009C5C3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ajorHAnsi" w:hAnsiTheme="majorHAnsi"/>
          <w:sz w:val="20"/>
          <w:szCs w:val="20"/>
          <w:lang w:val="es-ES"/>
        </w:rPr>
      </w:pPr>
      <w:r w:rsidRPr="009C5C36">
        <w:rPr>
          <w:rFonts w:asciiTheme="majorHAnsi" w:hAnsiTheme="majorHAnsi"/>
          <w:sz w:val="20"/>
          <w:szCs w:val="20"/>
          <w:lang w:val="es-ES"/>
        </w:rPr>
        <w:t>Amado Rosales Hernández</w:t>
      </w:r>
    </w:p>
    <w:p w:rsidR="005C1236" w:rsidRPr="009C5C36" w:rsidRDefault="005C1236" w:rsidP="009C5C3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ajorHAnsi" w:hAnsiTheme="majorHAnsi"/>
          <w:sz w:val="20"/>
          <w:szCs w:val="20"/>
          <w:lang w:val="es-ES"/>
        </w:rPr>
      </w:pPr>
      <w:r w:rsidRPr="009C5C36">
        <w:rPr>
          <w:rFonts w:asciiTheme="majorHAnsi" w:hAnsiTheme="majorHAnsi"/>
          <w:sz w:val="20"/>
          <w:szCs w:val="20"/>
          <w:lang w:val="es-ES"/>
        </w:rPr>
        <w:t>Juan Manuel Rosales Hernández</w:t>
      </w:r>
    </w:p>
    <w:p w:rsidR="005C1236" w:rsidRPr="009C5C36" w:rsidRDefault="005C1236" w:rsidP="009C5C3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ajorHAnsi" w:hAnsiTheme="majorHAnsi"/>
          <w:sz w:val="20"/>
          <w:szCs w:val="20"/>
          <w:lang w:val="es-ES"/>
        </w:rPr>
      </w:pPr>
      <w:r w:rsidRPr="009C5C36">
        <w:rPr>
          <w:rFonts w:asciiTheme="majorHAnsi" w:hAnsiTheme="majorHAnsi"/>
          <w:sz w:val="20"/>
          <w:szCs w:val="20"/>
          <w:lang w:val="es-ES"/>
        </w:rPr>
        <w:t>Ignacio Campos Rosales</w:t>
      </w:r>
    </w:p>
    <w:p w:rsidR="005C1236" w:rsidRPr="009C5C36" w:rsidRDefault="005C1236" w:rsidP="009C5C3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ajorHAnsi" w:hAnsiTheme="majorHAnsi"/>
          <w:sz w:val="20"/>
          <w:szCs w:val="20"/>
          <w:lang w:val="es-ES"/>
        </w:rPr>
      </w:pPr>
      <w:r w:rsidRPr="009C5C36">
        <w:rPr>
          <w:rFonts w:asciiTheme="majorHAnsi" w:hAnsiTheme="majorHAnsi"/>
          <w:sz w:val="20"/>
          <w:szCs w:val="20"/>
          <w:lang w:val="es-ES"/>
        </w:rPr>
        <w:t>Guillermo Ortiz Mora</w:t>
      </w:r>
    </w:p>
    <w:p w:rsidR="005C1236" w:rsidRPr="009C5C36" w:rsidRDefault="005C1236" w:rsidP="009C5C3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ajorHAnsi" w:hAnsiTheme="majorHAnsi"/>
          <w:sz w:val="20"/>
          <w:szCs w:val="20"/>
          <w:lang w:val="es-ES"/>
        </w:rPr>
      </w:pPr>
      <w:r w:rsidRPr="009C5C36">
        <w:rPr>
          <w:rFonts w:asciiTheme="majorHAnsi" w:hAnsiTheme="majorHAnsi"/>
          <w:sz w:val="20"/>
          <w:szCs w:val="20"/>
          <w:lang w:val="es-ES"/>
        </w:rPr>
        <w:t>José Alfredo Ordóñez Martínez</w:t>
      </w:r>
    </w:p>
    <w:p w:rsidR="005C1236" w:rsidRPr="009C5C36" w:rsidRDefault="005C1236" w:rsidP="009C5C3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ajorHAnsi" w:hAnsiTheme="majorHAnsi"/>
          <w:sz w:val="20"/>
          <w:szCs w:val="20"/>
          <w:lang w:val="es-ES"/>
        </w:rPr>
      </w:pPr>
      <w:r w:rsidRPr="009C5C36">
        <w:rPr>
          <w:rFonts w:asciiTheme="majorHAnsi" w:hAnsiTheme="majorHAnsi"/>
          <w:sz w:val="20"/>
          <w:szCs w:val="20"/>
          <w:lang w:val="es-ES"/>
        </w:rPr>
        <w:t>José Guadalupe García Mercado</w:t>
      </w:r>
    </w:p>
    <w:p w:rsidR="005C1236" w:rsidRPr="009C5C36" w:rsidRDefault="005C1236" w:rsidP="009C5C3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ajorHAnsi" w:hAnsiTheme="majorHAnsi"/>
          <w:sz w:val="20"/>
          <w:szCs w:val="20"/>
          <w:lang w:val="es-ES"/>
        </w:rPr>
      </w:pPr>
      <w:r w:rsidRPr="009C5C36">
        <w:rPr>
          <w:rFonts w:asciiTheme="majorHAnsi" w:hAnsiTheme="majorHAnsi"/>
          <w:sz w:val="20"/>
          <w:szCs w:val="20"/>
          <w:lang w:val="es-ES"/>
        </w:rPr>
        <w:t>José Manuel Peña Saucedo</w:t>
      </w:r>
    </w:p>
    <w:p w:rsidR="005C1236" w:rsidRPr="009C5C36" w:rsidRDefault="005C1236" w:rsidP="009C5C3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ajorHAnsi" w:hAnsiTheme="majorHAnsi"/>
          <w:sz w:val="20"/>
          <w:szCs w:val="20"/>
          <w:lang w:val="es-ES"/>
        </w:rPr>
      </w:pPr>
      <w:r w:rsidRPr="009C5C36">
        <w:rPr>
          <w:rFonts w:asciiTheme="majorHAnsi" w:hAnsiTheme="majorHAnsi"/>
          <w:sz w:val="20"/>
          <w:szCs w:val="20"/>
          <w:lang w:val="es-ES"/>
        </w:rPr>
        <w:t>José Alfredo Silva Contreras</w:t>
      </w:r>
    </w:p>
    <w:p w:rsidR="005C1236" w:rsidRPr="009C5C36" w:rsidRDefault="005C1236" w:rsidP="009C5C3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ajorHAnsi" w:hAnsiTheme="majorHAnsi"/>
          <w:sz w:val="20"/>
          <w:szCs w:val="20"/>
          <w:lang w:val="es-ES"/>
        </w:rPr>
      </w:pPr>
      <w:r w:rsidRPr="009C5C36">
        <w:rPr>
          <w:rFonts w:asciiTheme="majorHAnsi" w:hAnsiTheme="majorHAnsi"/>
          <w:sz w:val="20"/>
          <w:szCs w:val="20"/>
          <w:lang w:val="es-ES"/>
        </w:rPr>
        <w:t>Juan Pablo Soto Nieto</w:t>
      </w:r>
    </w:p>
    <w:p w:rsidR="005C1236" w:rsidRPr="009C5C36" w:rsidRDefault="005C1236" w:rsidP="009C5C36">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ajorHAnsi" w:hAnsiTheme="majorHAnsi"/>
          <w:sz w:val="20"/>
          <w:szCs w:val="20"/>
          <w:lang w:val="es-ES"/>
        </w:rPr>
      </w:pPr>
      <w:r w:rsidRPr="009C5C36">
        <w:rPr>
          <w:rFonts w:asciiTheme="majorHAnsi" w:hAnsiTheme="majorHAnsi"/>
          <w:sz w:val="20"/>
          <w:szCs w:val="20"/>
          <w:lang w:val="es-ES"/>
        </w:rPr>
        <w:t xml:space="preserve">Eliud Valero Valero </w:t>
      </w:r>
    </w:p>
    <w:p w:rsidR="005C1236" w:rsidRPr="009C5C36" w:rsidRDefault="005C1236" w:rsidP="009C5C36">
      <w:pPr>
        <w:rPr>
          <w:rFonts w:asciiTheme="majorHAnsi" w:hAnsiTheme="majorHAnsi"/>
          <w:b/>
          <w:sz w:val="20"/>
          <w:szCs w:val="20"/>
          <w:lang w:val="es-ES"/>
        </w:rPr>
      </w:pPr>
      <w:r w:rsidRPr="009C5C36">
        <w:rPr>
          <w:rFonts w:asciiTheme="majorHAnsi" w:hAnsiTheme="majorHAnsi"/>
          <w:b/>
          <w:sz w:val="20"/>
          <w:szCs w:val="20"/>
          <w:lang w:val="es-ES"/>
        </w:rPr>
        <w:t>Presuntas víctimas agregadas el 1 de noviembre de 2012:</w:t>
      </w:r>
    </w:p>
    <w:p w:rsidR="005C1236" w:rsidRPr="009C5C36" w:rsidRDefault="005C1236" w:rsidP="009C5C36">
      <w:pPr>
        <w:rPr>
          <w:rFonts w:asciiTheme="majorHAnsi" w:hAnsiTheme="majorHAnsi"/>
          <w:b/>
          <w:sz w:val="20"/>
          <w:szCs w:val="20"/>
          <w:lang w:val="es-ES"/>
        </w:rPr>
      </w:pPr>
    </w:p>
    <w:p w:rsidR="005C1236" w:rsidRPr="009C5C36" w:rsidRDefault="005C1236" w:rsidP="009C5C3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ajorHAnsi" w:hAnsiTheme="majorHAnsi"/>
          <w:sz w:val="20"/>
          <w:szCs w:val="20"/>
          <w:lang w:val="es-ES"/>
        </w:rPr>
      </w:pPr>
      <w:r w:rsidRPr="009C5C36">
        <w:rPr>
          <w:rFonts w:asciiTheme="majorHAnsi" w:hAnsiTheme="majorHAnsi"/>
          <w:sz w:val="20"/>
          <w:szCs w:val="20"/>
          <w:lang w:val="es-ES"/>
        </w:rPr>
        <w:t>Jesús Álvarez Flota</w:t>
      </w:r>
    </w:p>
    <w:p w:rsidR="005C1236" w:rsidRPr="009C5C36" w:rsidRDefault="005C1236" w:rsidP="009C5C3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ajorHAnsi" w:hAnsiTheme="majorHAnsi"/>
          <w:sz w:val="20"/>
          <w:szCs w:val="20"/>
          <w:lang w:val="es-ES"/>
        </w:rPr>
      </w:pPr>
      <w:r w:rsidRPr="009C5C36">
        <w:rPr>
          <w:rFonts w:asciiTheme="majorHAnsi" w:hAnsiTheme="majorHAnsi"/>
          <w:sz w:val="20"/>
          <w:szCs w:val="20"/>
          <w:lang w:val="es-ES"/>
        </w:rPr>
        <w:t>Juan Raúl Arteaga García</w:t>
      </w:r>
    </w:p>
    <w:p w:rsidR="005C1236" w:rsidRPr="009C5C36" w:rsidRDefault="005C1236" w:rsidP="009C5C3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ajorHAnsi" w:hAnsiTheme="majorHAnsi"/>
          <w:sz w:val="20"/>
          <w:szCs w:val="20"/>
          <w:lang w:val="es-ES"/>
        </w:rPr>
      </w:pPr>
      <w:r w:rsidRPr="009C5C36">
        <w:rPr>
          <w:rFonts w:asciiTheme="majorHAnsi" w:hAnsiTheme="majorHAnsi"/>
          <w:sz w:val="20"/>
          <w:szCs w:val="20"/>
          <w:lang w:val="es-ES"/>
        </w:rPr>
        <w:t>José Luis Calvillo Hernández</w:t>
      </w:r>
    </w:p>
    <w:p w:rsidR="005C1236" w:rsidRPr="009C5C36" w:rsidRDefault="005C1236" w:rsidP="009C5C3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ajorHAnsi" w:hAnsiTheme="majorHAnsi"/>
          <w:sz w:val="20"/>
          <w:szCs w:val="20"/>
          <w:lang w:val="es-ES"/>
        </w:rPr>
      </w:pPr>
      <w:r w:rsidRPr="009C5C36">
        <w:rPr>
          <w:rFonts w:asciiTheme="majorHAnsi" w:hAnsiTheme="majorHAnsi"/>
          <w:sz w:val="20"/>
          <w:szCs w:val="20"/>
          <w:lang w:val="es-ES"/>
        </w:rPr>
        <w:t>Ernesto de la Cruz Sánchez</w:t>
      </w:r>
    </w:p>
    <w:p w:rsidR="005C1236" w:rsidRPr="009C5C36" w:rsidRDefault="005C1236" w:rsidP="009C5C3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ajorHAnsi" w:hAnsiTheme="majorHAnsi"/>
          <w:sz w:val="20"/>
          <w:szCs w:val="20"/>
          <w:lang w:val="es-ES"/>
        </w:rPr>
      </w:pPr>
      <w:r w:rsidRPr="009C5C36">
        <w:rPr>
          <w:rFonts w:asciiTheme="majorHAnsi" w:hAnsiTheme="majorHAnsi"/>
          <w:sz w:val="20"/>
          <w:szCs w:val="20"/>
          <w:lang w:val="es-ES"/>
        </w:rPr>
        <w:t>José Ángel Guzmán Franco</w:t>
      </w:r>
    </w:p>
    <w:p w:rsidR="005C1236" w:rsidRPr="009C5C36" w:rsidRDefault="005C1236" w:rsidP="009C5C3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ajorHAnsi" w:hAnsiTheme="majorHAnsi"/>
          <w:sz w:val="20"/>
          <w:szCs w:val="20"/>
          <w:lang w:val="es-ES"/>
        </w:rPr>
      </w:pPr>
      <w:r w:rsidRPr="009C5C36">
        <w:rPr>
          <w:rFonts w:asciiTheme="majorHAnsi" w:hAnsiTheme="majorHAnsi"/>
          <w:sz w:val="20"/>
          <w:szCs w:val="20"/>
          <w:lang w:val="es-ES"/>
        </w:rPr>
        <w:t>Hugo Ramírez García</w:t>
      </w:r>
    </w:p>
    <w:p w:rsidR="005C1236" w:rsidRPr="009C5C36" w:rsidRDefault="005C1236" w:rsidP="009C5C3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ajorHAnsi" w:hAnsiTheme="majorHAnsi"/>
          <w:sz w:val="20"/>
          <w:szCs w:val="20"/>
          <w:lang w:val="es-ES"/>
        </w:rPr>
      </w:pPr>
      <w:r w:rsidRPr="009C5C36">
        <w:rPr>
          <w:rFonts w:asciiTheme="majorHAnsi" w:hAnsiTheme="majorHAnsi"/>
          <w:sz w:val="20"/>
          <w:szCs w:val="20"/>
          <w:lang w:val="es-ES"/>
        </w:rPr>
        <w:t>Felipe de Jesús Torres Reina</w:t>
      </w:r>
    </w:p>
    <w:p w:rsidR="005C1236" w:rsidRPr="009C5C36" w:rsidRDefault="005C1236" w:rsidP="009C5C36">
      <w:pPr>
        <w:pStyle w:val="ListParagraph"/>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ajorHAnsi" w:hAnsiTheme="majorHAnsi"/>
          <w:sz w:val="20"/>
          <w:szCs w:val="20"/>
          <w:lang w:val="es-ES"/>
        </w:rPr>
      </w:pPr>
      <w:r w:rsidRPr="009C5C36">
        <w:rPr>
          <w:rFonts w:asciiTheme="majorHAnsi" w:hAnsiTheme="majorHAnsi"/>
          <w:sz w:val="20"/>
          <w:szCs w:val="20"/>
          <w:lang w:val="es-ES"/>
        </w:rPr>
        <w:t xml:space="preserve">Jesús Viera Armendariz </w:t>
      </w:r>
    </w:p>
    <w:p w:rsidR="005C1236" w:rsidRPr="009C5C36" w:rsidRDefault="005C1236" w:rsidP="009C5C36">
      <w:pPr>
        <w:rPr>
          <w:rFonts w:asciiTheme="majorHAnsi" w:hAnsiTheme="majorHAnsi"/>
          <w:b/>
          <w:sz w:val="20"/>
          <w:szCs w:val="20"/>
          <w:lang w:val="es-ES"/>
        </w:rPr>
      </w:pPr>
      <w:r w:rsidRPr="009C5C36">
        <w:rPr>
          <w:rFonts w:asciiTheme="majorHAnsi" w:hAnsiTheme="majorHAnsi"/>
          <w:b/>
          <w:sz w:val="20"/>
          <w:szCs w:val="20"/>
          <w:lang w:val="es-ES"/>
        </w:rPr>
        <w:t>Presuntas víctimas agregadas el 20 de mayo de 2014:</w:t>
      </w:r>
    </w:p>
    <w:p w:rsidR="005C1236" w:rsidRPr="009C5C36" w:rsidRDefault="005C1236" w:rsidP="009C5C36">
      <w:pPr>
        <w:rPr>
          <w:rFonts w:asciiTheme="majorHAnsi" w:hAnsiTheme="majorHAnsi"/>
          <w:b/>
          <w:sz w:val="20"/>
          <w:szCs w:val="20"/>
          <w:lang w:val="es-ES"/>
        </w:rPr>
      </w:pPr>
    </w:p>
    <w:p w:rsidR="005C1236" w:rsidRPr="009C5C36" w:rsidRDefault="005C1236" w:rsidP="009C5C36">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ajorHAnsi" w:hAnsiTheme="majorHAnsi"/>
          <w:sz w:val="20"/>
          <w:szCs w:val="20"/>
          <w:lang w:val="es-ES"/>
        </w:rPr>
      </w:pPr>
      <w:r w:rsidRPr="009C5C36">
        <w:rPr>
          <w:rFonts w:asciiTheme="majorHAnsi" w:hAnsiTheme="majorHAnsi"/>
          <w:sz w:val="20"/>
          <w:szCs w:val="20"/>
          <w:lang w:val="es-ES"/>
        </w:rPr>
        <w:t>Javier Pérez Aguilar</w:t>
      </w:r>
    </w:p>
    <w:p w:rsidR="005C1236" w:rsidRPr="009C5C36" w:rsidRDefault="005C1236" w:rsidP="009C5C36">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ajorHAnsi" w:hAnsiTheme="majorHAnsi"/>
          <w:sz w:val="20"/>
          <w:szCs w:val="20"/>
          <w:lang w:val="es-ES"/>
        </w:rPr>
      </w:pPr>
      <w:r w:rsidRPr="009C5C36">
        <w:rPr>
          <w:rFonts w:asciiTheme="majorHAnsi" w:hAnsiTheme="majorHAnsi"/>
          <w:sz w:val="20"/>
          <w:szCs w:val="20"/>
          <w:lang w:val="es-ES"/>
        </w:rPr>
        <w:t>Lauro Olacio Zarazua</w:t>
      </w:r>
    </w:p>
    <w:p w:rsidR="005C1236" w:rsidRPr="009C5C36" w:rsidRDefault="005C1236" w:rsidP="009C5C36">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ajorHAnsi" w:hAnsiTheme="majorHAnsi"/>
          <w:sz w:val="20"/>
          <w:szCs w:val="20"/>
          <w:lang w:val="es-ES"/>
        </w:rPr>
      </w:pPr>
      <w:r w:rsidRPr="009C5C36">
        <w:rPr>
          <w:rFonts w:asciiTheme="majorHAnsi" w:hAnsiTheme="majorHAnsi"/>
          <w:sz w:val="20"/>
          <w:szCs w:val="20"/>
          <w:lang w:val="es-ES"/>
        </w:rPr>
        <w:lastRenderedPageBreak/>
        <w:t>José Eduardo Martínez Baltazar</w:t>
      </w:r>
    </w:p>
    <w:p w:rsidR="005C1236" w:rsidRPr="009C5C36" w:rsidRDefault="005C1236" w:rsidP="009C5C36">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ajorHAnsi" w:hAnsiTheme="majorHAnsi"/>
          <w:sz w:val="20"/>
          <w:szCs w:val="20"/>
          <w:lang w:val="es-ES"/>
        </w:rPr>
      </w:pPr>
      <w:r w:rsidRPr="009C5C36">
        <w:rPr>
          <w:rFonts w:asciiTheme="majorHAnsi" w:hAnsiTheme="majorHAnsi"/>
          <w:sz w:val="20"/>
          <w:szCs w:val="20"/>
          <w:lang w:val="es-ES"/>
        </w:rPr>
        <w:t>Roberto Zapata González</w:t>
      </w:r>
    </w:p>
    <w:p w:rsidR="005C1236" w:rsidRPr="009C5C36" w:rsidRDefault="005C1236" w:rsidP="009C5C36">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ajorHAnsi" w:hAnsiTheme="majorHAnsi"/>
          <w:sz w:val="20"/>
          <w:szCs w:val="20"/>
          <w:lang w:val="es-ES"/>
        </w:rPr>
      </w:pPr>
      <w:r w:rsidRPr="009C5C36">
        <w:rPr>
          <w:rFonts w:asciiTheme="majorHAnsi" w:hAnsiTheme="majorHAnsi"/>
          <w:sz w:val="20"/>
          <w:szCs w:val="20"/>
          <w:lang w:val="es-ES"/>
        </w:rPr>
        <w:t>Feliciano Vázques Posada</w:t>
      </w:r>
    </w:p>
    <w:p w:rsidR="005C1236" w:rsidRPr="009C5C36" w:rsidRDefault="005C1236" w:rsidP="009C5C36">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ajorHAnsi" w:hAnsiTheme="majorHAnsi"/>
          <w:sz w:val="20"/>
          <w:szCs w:val="20"/>
          <w:lang w:val="es-ES"/>
        </w:rPr>
      </w:pPr>
      <w:r w:rsidRPr="009C5C36">
        <w:rPr>
          <w:rFonts w:asciiTheme="majorHAnsi" w:hAnsiTheme="majorHAnsi"/>
          <w:sz w:val="20"/>
          <w:szCs w:val="20"/>
          <w:lang w:val="es-ES"/>
        </w:rPr>
        <w:t>Juan Gómez Martínez</w:t>
      </w:r>
    </w:p>
    <w:p w:rsidR="005C1236" w:rsidRPr="009C5C36" w:rsidRDefault="005C1236" w:rsidP="009C5C36">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ajorHAnsi" w:hAnsiTheme="majorHAnsi"/>
          <w:sz w:val="20"/>
          <w:szCs w:val="20"/>
          <w:lang w:val="es-ES"/>
        </w:rPr>
      </w:pPr>
      <w:r w:rsidRPr="009C5C36">
        <w:rPr>
          <w:rFonts w:asciiTheme="majorHAnsi" w:hAnsiTheme="majorHAnsi"/>
          <w:sz w:val="20"/>
          <w:szCs w:val="20"/>
          <w:lang w:val="es-ES"/>
        </w:rPr>
        <w:t>Jesús Alberto de León Camarillo</w:t>
      </w:r>
    </w:p>
    <w:p w:rsidR="005C1236" w:rsidRPr="009C5C36" w:rsidRDefault="005C1236" w:rsidP="009C5C36">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ajorHAnsi" w:hAnsiTheme="majorHAnsi"/>
          <w:sz w:val="20"/>
          <w:szCs w:val="20"/>
          <w:lang w:val="es-ES"/>
        </w:rPr>
      </w:pPr>
      <w:r w:rsidRPr="009C5C36">
        <w:rPr>
          <w:rFonts w:asciiTheme="majorHAnsi" w:hAnsiTheme="majorHAnsi"/>
          <w:sz w:val="20"/>
          <w:szCs w:val="20"/>
          <w:lang w:val="es-ES"/>
        </w:rPr>
        <w:t>Gregorio Rangel Ocura</w:t>
      </w:r>
    </w:p>
    <w:p w:rsidR="005C1236" w:rsidRPr="009C5C36" w:rsidRDefault="005C1236" w:rsidP="009C5C36">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ajorHAnsi" w:hAnsiTheme="majorHAnsi"/>
          <w:sz w:val="20"/>
          <w:szCs w:val="20"/>
          <w:lang w:val="es-ES"/>
        </w:rPr>
      </w:pPr>
      <w:r w:rsidRPr="009C5C36">
        <w:rPr>
          <w:rFonts w:asciiTheme="majorHAnsi" w:hAnsiTheme="majorHAnsi"/>
          <w:sz w:val="20"/>
          <w:szCs w:val="20"/>
          <w:lang w:val="es-ES"/>
        </w:rPr>
        <w:t>Fermín Tavares Garza</w:t>
      </w:r>
    </w:p>
    <w:p w:rsidR="005C1236" w:rsidRPr="009C5C36" w:rsidRDefault="005C1236" w:rsidP="009C5C36">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ajorHAnsi" w:hAnsiTheme="majorHAnsi"/>
          <w:sz w:val="20"/>
          <w:szCs w:val="20"/>
          <w:lang w:val="es-ES"/>
        </w:rPr>
      </w:pPr>
      <w:r w:rsidRPr="009C5C36">
        <w:rPr>
          <w:rFonts w:asciiTheme="majorHAnsi" w:hAnsiTheme="majorHAnsi"/>
          <w:sz w:val="20"/>
          <w:szCs w:val="20"/>
          <w:lang w:val="es-ES"/>
        </w:rPr>
        <w:t>Adrián Barboza Álvarez</w:t>
      </w:r>
    </w:p>
    <w:p w:rsidR="005C1236" w:rsidRPr="009C5C36" w:rsidRDefault="005C1236" w:rsidP="009C5C36">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ajorHAnsi" w:hAnsiTheme="majorHAnsi"/>
          <w:sz w:val="20"/>
          <w:szCs w:val="20"/>
          <w:lang w:val="es-ES"/>
        </w:rPr>
      </w:pPr>
      <w:r w:rsidRPr="009C5C36">
        <w:rPr>
          <w:rFonts w:asciiTheme="majorHAnsi" w:hAnsiTheme="majorHAnsi"/>
          <w:sz w:val="20"/>
          <w:szCs w:val="20"/>
          <w:lang w:val="es-ES"/>
        </w:rPr>
        <w:t>Jorge Arturo Ortega Jiménez</w:t>
      </w:r>
    </w:p>
    <w:p w:rsidR="005C1236" w:rsidRPr="009C5C36" w:rsidRDefault="005C1236" w:rsidP="009C5C36">
      <w:pPr>
        <w:pStyle w:val="ListParagraph"/>
        <w:numPr>
          <w:ilvl w:val="0"/>
          <w:numId w:val="61"/>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ajorHAnsi" w:hAnsiTheme="majorHAnsi"/>
          <w:sz w:val="20"/>
          <w:szCs w:val="20"/>
          <w:lang w:val="es-ES"/>
        </w:rPr>
      </w:pPr>
      <w:r w:rsidRPr="009C5C36">
        <w:rPr>
          <w:rFonts w:asciiTheme="majorHAnsi" w:hAnsiTheme="majorHAnsi"/>
          <w:sz w:val="20"/>
          <w:szCs w:val="20"/>
          <w:lang w:val="es-ES"/>
        </w:rPr>
        <w:t xml:space="preserve">Arturo García Díaz </w:t>
      </w:r>
    </w:p>
    <w:p w:rsidR="00722C9F" w:rsidRPr="00093715" w:rsidRDefault="00722C9F" w:rsidP="009C5C36">
      <w:pPr>
        <w:rPr>
          <w:rFonts w:ascii="Cambria" w:hAnsi="Cambria" w:cs="Calibri"/>
          <w:sz w:val="20"/>
          <w:szCs w:val="20"/>
          <w:lang w:val="pt-BR"/>
        </w:rPr>
      </w:pPr>
    </w:p>
    <w:sectPr w:rsidR="00722C9F" w:rsidRPr="00093715"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2BC" w:rsidRDefault="000452BC">
      <w:r>
        <w:separator/>
      </w:r>
    </w:p>
  </w:endnote>
  <w:endnote w:type="continuationSeparator" w:id="0">
    <w:p w:rsidR="000452BC" w:rsidRDefault="00045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3BF" w:rsidRDefault="003E63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2A36BE" w:rsidRPr="00934A2C" w:rsidRDefault="002A36BE">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3E63BF">
          <w:rPr>
            <w:noProof/>
            <w:sz w:val="16"/>
            <w:szCs w:val="22"/>
          </w:rPr>
          <w:t>8</w:t>
        </w:r>
        <w:r w:rsidRPr="00934A2C">
          <w:rPr>
            <w:noProof/>
            <w:sz w:val="16"/>
            <w:szCs w:val="22"/>
          </w:rPr>
          <w:fldChar w:fldCharType="end"/>
        </w:r>
      </w:p>
    </w:sdtContent>
  </w:sdt>
  <w:p w:rsidR="002A36BE" w:rsidRDefault="002A36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6BE" w:rsidRPr="00934A2C" w:rsidRDefault="002A36BE">
    <w:pPr>
      <w:pStyle w:val="Footer"/>
      <w:jc w:val="center"/>
      <w:rPr>
        <w:sz w:val="16"/>
        <w:szCs w:val="22"/>
      </w:rPr>
    </w:pPr>
  </w:p>
  <w:p w:rsidR="002A36BE" w:rsidRDefault="002A36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2BC" w:rsidRPr="000F35ED" w:rsidRDefault="000452BC">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0452BC" w:rsidRPr="000F35ED" w:rsidRDefault="000452BC" w:rsidP="000F35ED">
      <w:pPr>
        <w:rPr>
          <w:rFonts w:asciiTheme="majorHAnsi" w:hAnsiTheme="majorHAnsi"/>
          <w:sz w:val="16"/>
          <w:szCs w:val="16"/>
        </w:rPr>
      </w:pPr>
      <w:r w:rsidRPr="000F35ED">
        <w:rPr>
          <w:rFonts w:asciiTheme="majorHAnsi" w:hAnsiTheme="majorHAnsi"/>
          <w:sz w:val="16"/>
          <w:szCs w:val="16"/>
        </w:rPr>
        <w:separator/>
      </w:r>
    </w:p>
    <w:p w:rsidR="000452BC" w:rsidRPr="000F35ED" w:rsidRDefault="000452B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0452BC" w:rsidRPr="000F35ED" w:rsidRDefault="000452B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2A36BE" w:rsidRPr="00743BA9" w:rsidRDefault="002A36BE" w:rsidP="00743BA9">
      <w:pPr>
        <w:pStyle w:val="FootnoteText"/>
        <w:ind w:firstLine="720"/>
        <w:jc w:val="both"/>
        <w:rPr>
          <w:rFonts w:asciiTheme="majorHAnsi" w:hAnsiTheme="majorHAnsi"/>
          <w:sz w:val="16"/>
          <w:szCs w:val="16"/>
          <w:lang w:val="es-ES"/>
        </w:rPr>
      </w:pPr>
      <w:r w:rsidRPr="00743BA9">
        <w:rPr>
          <w:rStyle w:val="FootnoteReference"/>
          <w:rFonts w:asciiTheme="majorHAnsi" w:hAnsiTheme="majorHAnsi"/>
          <w:sz w:val="16"/>
          <w:szCs w:val="16"/>
        </w:rPr>
        <w:footnoteRef/>
      </w:r>
      <w:r w:rsidRPr="00743BA9">
        <w:rPr>
          <w:rFonts w:asciiTheme="majorHAnsi" w:hAnsiTheme="majorHAnsi"/>
          <w:sz w:val="16"/>
          <w:szCs w:val="16"/>
          <w:lang w:val="es-ES"/>
        </w:rPr>
        <w:t xml:space="preserve"> Individualizadas en documento anexo. La petición inicial refiere a 28 presuntas víctimas y</w:t>
      </w:r>
      <w:r w:rsidRPr="00743BA9">
        <w:rPr>
          <w:rFonts w:asciiTheme="majorHAnsi" w:hAnsiTheme="majorHAnsi"/>
          <w:color w:val="auto"/>
          <w:sz w:val="16"/>
          <w:szCs w:val="16"/>
          <w:lang w:val="es-ES"/>
        </w:rPr>
        <w:t xml:space="preserve"> sus familiares. En el escrito presentado en fecha 1 de noviembre de 2012 los peticionarios </w:t>
      </w:r>
      <w:r w:rsidRPr="00743BA9">
        <w:rPr>
          <w:rFonts w:asciiTheme="majorHAnsi" w:hAnsiTheme="majorHAnsi"/>
          <w:sz w:val="16"/>
          <w:szCs w:val="16"/>
          <w:lang w:val="es-ES"/>
        </w:rPr>
        <w:t xml:space="preserve">agregaron las familias de 8 mineros adicionales, y en el escrito  presentado el 20 de mayo de 2014 añadieron las familias de 12 mineros, lo que en total resulta en 48 mineros fallecidos y sus familiares. </w:t>
      </w:r>
    </w:p>
  </w:footnote>
  <w:footnote w:id="3">
    <w:p w:rsidR="00B114B7" w:rsidRPr="00743BA9" w:rsidRDefault="00B114B7" w:rsidP="00743BA9">
      <w:pPr>
        <w:pStyle w:val="FootnoteText"/>
        <w:ind w:firstLine="720"/>
        <w:jc w:val="both"/>
        <w:rPr>
          <w:rFonts w:asciiTheme="majorHAnsi" w:hAnsiTheme="majorHAnsi"/>
          <w:sz w:val="16"/>
          <w:szCs w:val="16"/>
          <w:lang w:val="es-ES"/>
        </w:rPr>
      </w:pPr>
      <w:r w:rsidRPr="00743BA9">
        <w:rPr>
          <w:rStyle w:val="FootnoteReference"/>
          <w:rFonts w:asciiTheme="majorHAnsi" w:hAnsiTheme="majorHAnsi"/>
          <w:sz w:val="16"/>
          <w:szCs w:val="16"/>
        </w:rPr>
        <w:footnoteRef/>
      </w:r>
      <w:r w:rsidRPr="00743BA9">
        <w:rPr>
          <w:rFonts w:asciiTheme="majorHAnsi" w:hAnsiTheme="majorHAnsi"/>
          <w:sz w:val="16"/>
          <w:szCs w:val="16"/>
          <w:lang w:val="es-ES"/>
        </w:rPr>
        <w:t xml:space="preserve"> Conforme a lo dispuesto en el artículo 17.2.a del Reglamento de la Comisión, el Comisionado Joel </w:t>
      </w:r>
      <w:r w:rsidR="00584A73" w:rsidRPr="00743BA9">
        <w:rPr>
          <w:rFonts w:asciiTheme="majorHAnsi" w:hAnsiTheme="majorHAnsi"/>
          <w:sz w:val="16"/>
          <w:szCs w:val="16"/>
          <w:lang w:val="es-ES"/>
        </w:rPr>
        <w:t>Hernández</w:t>
      </w:r>
      <w:r w:rsidRPr="00743BA9">
        <w:rPr>
          <w:rFonts w:asciiTheme="majorHAnsi" w:hAnsiTheme="majorHAnsi"/>
          <w:sz w:val="16"/>
          <w:szCs w:val="16"/>
          <w:lang w:val="es-ES"/>
        </w:rPr>
        <w:t xml:space="preserve"> García, de nacionalidad mexicana, no participó en el debate ni en la decisión del presente asunto.</w:t>
      </w:r>
    </w:p>
  </w:footnote>
  <w:footnote w:id="4">
    <w:p w:rsidR="00B97E49" w:rsidRPr="00743BA9" w:rsidRDefault="00B97E49" w:rsidP="00743BA9">
      <w:pPr>
        <w:pStyle w:val="FootnoteText"/>
        <w:ind w:firstLine="720"/>
        <w:contextualSpacing/>
        <w:jc w:val="both"/>
        <w:rPr>
          <w:rFonts w:asciiTheme="majorHAnsi" w:hAnsiTheme="majorHAnsi"/>
          <w:sz w:val="16"/>
          <w:szCs w:val="16"/>
          <w:lang w:val="es-ES"/>
        </w:rPr>
      </w:pPr>
      <w:r w:rsidRPr="00743BA9">
        <w:rPr>
          <w:rStyle w:val="FootnoteReference"/>
          <w:rFonts w:asciiTheme="majorHAnsi" w:hAnsiTheme="majorHAnsi"/>
          <w:sz w:val="16"/>
          <w:szCs w:val="16"/>
        </w:rPr>
        <w:footnoteRef/>
      </w:r>
      <w:r w:rsidRPr="00743BA9">
        <w:rPr>
          <w:rFonts w:asciiTheme="majorHAnsi" w:hAnsiTheme="majorHAnsi"/>
          <w:sz w:val="16"/>
          <w:szCs w:val="16"/>
          <w:lang w:val="es-ES"/>
        </w:rPr>
        <w:t xml:space="preserve"> En adelante “Convención” o “Convención Americana”.</w:t>
      </w:r>
    </w:p>
  </w:footnote>
  <w:footnote w:id="5">
    <w:p w:rsidR="002A36BE" w:rsidRPr="00743BA9" w:rsidRDefault="002A36BE" w:rsidP="00743BA9">
      <w:pPr>
        <w:pStyle w:val="FootnoteText"/>
        <w:ind w:firstLine="720"/>
        <w:jc w:val="both"/>
        <w:rPr>
          <w:rFonts w:asciiTheme="majorHAnsi" w:hAnsiTheme="majorHAnsi"/>
          <w:sz w:val="16"/>
          <w:szCs w:val="16"/>
          <w:lang w:val="es-ES"/>
        </w:rPr>
      </w:pPr>
      <w:r w:rsidRPr="00743BA9">
        <w:rPr>
          <w:rStyle w:val="FootnoteReference"/>
          <w:rFonts w:asciiTheme="majorHAnsi" w:hAnsiTheme="majorHAnsi"/>
          <w:sz w:val="16"/>
          <w:szCs w:val="16"/>
        </w:rPr>
        <w:footnoteRef/>
      </w:r>
      <w:r w:rsidRPr="00743BA9">
        <w:rPr>
          <w:rFonts w:asciiTheme="majorHAnsi" w:hAnsiTheme="majorHAnsi"/>
          <w:sz w:val="16"/>
          <w:szCs w:val="16"/>
          <w:lang w:val="es-ES"/>
        </w:rPr>
        <w:t xml:space="preserve"> Las observaciones de cada parte fueron debidamente trasladadas a la parte contraria.</w:t>
      </w:r>
    </w:p>
  </w:footnote>
  <w:footnote w:id="6">
    <w:p w:rsidR="002A36BE" w:rsidRPr="00743BA9" w:rsidRDefault="002A36BE" w:rsidP="00743BA9">
      <w:pPr>
        <w:pStyle w:val="FootnoteText"/>
        <w:ind w:firstLine="720"/>
        <w:jc w:val="both"/>
        <w:rPr>
          <w:rFonts w:asciiTheme="majorHAnsi" w:hAnsiTheme="majorHAnsi"/>
          <w:sz w:val="16"/>
          <w:szCs w:val="16"/>
          <w:lang w:val="es-ES"/>
        </w:rPr>
      </w:pPr>
      <w:r w:rsidRPr="00743BA9">
        <w:rPr>
          <w:rStyle w:val="FootnoteReference"/>
          <w:rFonts w:asciiTheme="majorHAnsi" w:hAnsiTheme="majorHAnsi"/>
          <w:sz w:val="16"/>
          <w:szCs w:val="16"/>
        </w:rPr>
        <w:footnoteRef/>
      </w:r>
      <w:r w:rsidRPr="00743BA9">
        <w:rPr>
          <w:rFonts w:asciiTheme="majorHAnsi" w:hAnsiTheme="majorHAnsi"/>
          <w:sz w:val="16"/>
          <w:szCs w:val="16"/>
          <w:lang w:val="es-ES"/>
        </w:rPr>
        <w:t xml:space="preserve"> Código Penal del Estado de Coahuila, Artículo 155. EXTINCIÓN DE LA ACCIÓN PENAL POR PERDÓN O ACTO EQUIVALENTE EN CIERTOS DELITOS PERSEGUIBLES DE OFICIO. La acción penal también se extinguirá cuando el delito se persiga de oficio, si se reúnen las condiciones siguientes: […]</w:t>
      </w:r>
    </w:p>
    <w:p w:rsidR="002A36BE" w:rsidRPr="00743BA9" w:rsidRDefault="002A36BE" w:rsidP="00743BA9">
      <w:pPr>
        <w:pStyle w:val="FootnoteText"/>
        <w:ind w:firstLine="720"/>
        <w:jc w:val="both"/>
        <w:rPr>
          <w:rFonts w:asciiTheme="majorHAnsi" w:hAnsiTheme="majorHAnsi"/>
          <w:sz w:val="16"/>
          <w:szCs w:val="16"/>
          <w:lang w:val="es-AR"/>
        </w:rPr>
      </w:pPr>
      <w:r w:rsidRPr="00743BA9">
        <w:rPr>
          <w:rFonts w:asciiTheme="majorHAnsi" w:hAnsiTheme="majorHAnsi"/>
          <w:sz w:val="16"/>
          <w:szCs w:val="16"/>
          <w:lang w:val="es-ES"/>
        </w:rPr>
        <w:t>IV. PERDÓN, REPARACIÓN DEL DAÑO O ACTO EQUIVALENTE. El ofendido o representante legítimo formule perdón; o que se repare el daño, si es que se causó. Si no hubiere ofendido determinable, ni aparece daño causado, será necesario que el inculpado confiese el delito y que según sus condiciones personales y circunstancias del caso, no aparezca que existe riesgo para la comunidad […]”</w:t>
      </w:r>
    </w:p>
  </w:footnote>
  <w:footnote w:id="7">
    <w:p w:rsidR="00743BA9" w:rsidRPr="00743BA9" w:rsidRDefault="00743BA9" w:rsidP="00743BA9">
      <w:pPr>
        <w:pStyle w:val="FootnoteText"/>
        <w:ind w:firstLine="720"/>
        <w:jc w:val="both"/>
        <w:rPr>
          <w:rFonts w:asciiTheme="majorHAnsi" w:hAnsiTheme="majorHAnsi"/>
          <w:sz w:val="16"/>
          <w:szCs w:val="16"/>
          <w:lang w:val="es-ES"/>
        </w:rPr>
      </w:pPr>
      <w:r w:rsidRPr="002255D0">
        <w:rPr>
          <w:rStyle w:val="FootnoteReference"/>
          <w:rFonts w:asciiTheme="majorHAnsi" w:hAnsiTheme="majorHAnsi"/>
          <w:sz w:val="16"/>
          <w:szCs w:val="16"/>
        </w:rPr>
        <w:footnoteRef/>
      </w:r>
      <w:r w:rsidRPr="002255D0">
        <w:rPr>
          <w:rFonts w:asciiTheme="majorHAnsi" w:hAnsiTheme="majorHAnsi"/>
          <w:sz w:val="16"/>
          <w:szCs w:val="16"/>
          <w:lang w:val="es-ES"/>
        </w:rPr>
        <w:t xml:space="preserve"> CIDH. Informe No. 105/13. Petición 541-00. Admisibilidad. Oscar Alfonso Morales Días y familiares. Colombia. 5 de noviembre de 2013, párr. 40.</w:t>
      </w:r>
    </w:p>
  </w:footnote>
  <w:footnote w:id="8">
    <w:p w:rsidR="002A36BE" w:rsidRPr="00743BA9" w:rsidRDefault="002A36BE" w:rsidP="00743BA9">
      <w:pPr>
        <w:pStyle w:val="FootnoteText"/>
        <w:ind w:firstLine="720"/>
        <w:jc w:val="both"/>
        <w:rPr>
          <w:rFonts w:asciiTheme="majorHAnsi" w:hAnsiTheme="majorHAnsi"/>
          <w:sz w:val="16"/>
          <w:szCs w:val="16"/>
          <w:lang w:val="es-ES"/>
        </w:rPr>
      </w:pPr>
      <w:r w:rsidRPr="00743BA9">
        <w:rPr>
          <w:rStyle w:val="FootnoteReference"/>
          <w:rFonts w:asciiTheme="majorHAnsi" w:hAnsiTheme="majorHAnsi"/>
          <w:sz w:val="16"/>
          <w:szCs w:val="16"/>
        </w:rPr>
        <w:footnoteRef/>
      </w:r>
      <w:r w:rsidR="00743BA9">
        <w:rPr>
          <w:rFonts w:asciiTheme="majorHAnsi" w:hAnsiTheme="majorHAnsi"/>
          <w:sz w:val="16"/>
          <w:szCs w:val="16"/>
          <w:lang w:val="es-ES"/>
        </w:rPr>
        <w:t xml:space="preserve"> CIDH. Informe No. 41/16. Petición 142-04. Admisibilidad.</w:t>
      </w:r>
      <w:r w:rsidRPr="00743BA9">
        <w:rPr>
          <w:rFonts w:asciiTheme="majorHAnsi" w:hAnsiTheme="majorHAnsi"/>
          <w:sz w:val="16"/>
          <w:szCs w:val="16"/>
          <w:lang w:val="es-ES"/>
        </w:rPr>
        <w:t xml:space="preserve"> José Tomás Tenorio Morales y Otros (Sindicato de Profesionales de la Educación Superior “Ervin Abarca Jiménez” de la Univ</w:t>
      </w:r>
      <w:r w:rsidR="00743BA9">
        <w:rPr>
          <w:rFonts w:asciiTheme="majorHAnsi" w:hAnsiTheme="majorHAnsi"/>
          <w:sz w:val="16"/>
          <w:szCs w:val="16"/>
          <w:lang w:val="es-ES"/>
        </w:rPr>
        <w:t>ersidad Nacional de Ingeniería).</w:t>
      </w:r>
      <w:r w:rsidRPr="00743BA9">
        <w:rPr>
          <w:rFonts w:asciiTheme="majorHAnsi" w:hAnsiTheme="majorHAnsi"/>
          <w:sz w:val="16"/>
          <w:szCs w:val="16"/>
          <w:lang w:val="es-ES"/>
        </w:rPr>
        <w:t xml:space="preserve"> Nicaragua, párr. 53.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6BE" w:rsidRDefault="002A36BE" w:rsidP="002A36BE">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2A36BE" w:rsidRDefault="002A36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6BE" w:rsidRDefault="002A36BE" w:rsidP="00A50FCF">
    <w:pPr>
      <w:pStyle w:val="Header"/>
      <w:tabs>
        <w:tab w:val="clear" w:pos="4320"/>
        <w:tab w:val="clear" w:pos="8640"/>
      </w:tabs>
      <w:jc w:val="center"/>
      <w:rPr>
        <w:sz w:val="22"/>
        <w:szCs w:val="22"/>
      </w:rPr>
    </w:pPr>
    <w:r>
      <w:rPr>
        <w:noProof/>
        <w:sz w:val="22"/>
        <w:szCs w:val="22"/>
      </w:rPr>
      <w:drawing>
        <wp:inline distT="0" distB="0" distL="0" distR="0" wp14:anchorId="468E7251" wp14:editId="61C479D8">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2A36BE" w:rsidRPr="00EC7D62" w:rsidRDefault="000452BC" w:rsidP="00A50FCF">
    <w:pPr>
      <w:pStyle w:val="Header"/>
      <w:tabs>
        <w:tab w:val="clear" w:pos="4320"/>
        <w:tab w:val="clear" w:pos="8640"/>
      </w:tabs>
      <w:jc w:val="center"/>
      <w:rPr>
        <w:sz w:val="22"/>
        <w:szCs w:val="22"/>
      </w:rPr>
    </w:pPr>
    <w:r>
      <w:rPr>
        <w:sz w:val="22"/>
        <w:szCs w:val="22"/>
      </w:rPr>
      <w:pict w14:anchorId="49834D4D">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3BF" w:rsidRDefault="003E63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nsid w:val="0E1D2261"/>
    <w:multiLevelType w:val="hybridMultilevel"/>
    <w:tmpl w:val="620CC630"/>
    <w:lvl w:ilvl="0" w:tplc="B5E0E10E">
      <w:start w:val="1"/>
      <w:numFmt w:val="decimal"/>
      <w:lvlText w:val="%1."/>
      <w:lvlJc w:val="left"/>
      <w:pPr>
        <w:tabs>
          <w:tab w:val="num" w:pos="720"/>
        </w:tabs>
        <w:ind w:left="0" w:firstLine="7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6">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67F0CD3"/>
    <w:multiLevelType w:val="multilevel"/>
    <w:tmpl w:val="747AF8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nsid w:val="5E2463BF"/>
    <w:multiLevelType w:val="hybridMultilevel"/>
    <w:tmpl w:val="40A08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nsid w:val="6B626D89"/>
    <w:multiLevelType w:val="hybridMultilevel"/>
    <w:tmpl w:val="40A08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82912FA"/>
    <w:multiLevelType w:val="hybridMultilevel"/>
    <w:tmpl w:val="29CCF7B6"/>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54"/>
  </w:num>
  <w:num w:numId="4">
    <w:abstractNumId w:val="20"/>
  </w:num>
  <w:num w:numId="5">
    <w:abstractNumId w:val="46"/>
  </w:num>
  <w:num w:numId="6">
    <w:abstractNumId w:val="25"/>
  </w:num>
  <w:num w:numId="7">
    <w:abstractNumId w:val="6"/>
  </w:num>
  <w:num w:numId="8">
    <w:abstractNumId w:val="16"/>
  </w:num>
  <w:num w:numId="9">
    <w:abstractNumId w:val="39"/>
  </w:num>
  <w:num w:numId="10">
    <w:abstractNumId w:val="0"/>
  </w:num>
  <w:num w:numId="11">
    <w:abstractNumId w:val="34"/>
  </w:num>
  <w:num w:numId="12">
    <w:abstractNumId w:val="35"/>
  </w:num>
  <w:num w:numId="13">
    <w:abstractNumId w:val="42"/>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4"/>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6"/>
  </w:num>
  <w:num w:numId="40">
    <w:abstractNumId w:val="37"/>
  </w:num>
  <w:num w:numId="41">
    <w:abstractNumId w:val="45"/>
  </w:num>
  <w:num w:numId="42">
    <w:abstractNumId w:val="47"/>
  </w:num>
  <w:num w:numId="43">
    <w:abstractNumId w:val="49"/>
  </w:num>
  <w:num w:numId="44">
    <w:abstractNumId w:val="51"/>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19"/>
  </w:num>
  <w:num w:numId="52">
    <w:abstractNumId w:val="38"/>
  </w:num>
  <w:num w:numId="53">
    <w:abstractNumId w:val="50"/>
  </w:num>
  <w:num w:numId="54">
    <w:abstractNumId w:val="43"/>
  </w:num>
  <w:num w:numId="55">
    <w:abstractNumId w:val="4"/>
  </w:num>
  <w:num w:numId="56">
    <w:abstractNumId w:val="40"/>
  </w:num>
  <w:num w:numId="57">
    <w:abstractNumId w:val="41"/>
  </w:num>
  <w:num w:numId="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8"/>
  </w:num>
  <w:num w:numId="60">
    <w:abstractNumId w:val="52"/>
  </w:num>
  <w:num w:numId="61">
    <w:abstractNumId w:val="4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788C"/>
    <w:rsid w:val="00030C8A"/>
    <w:rsid w:val="000337EF"/>
    <w:rsid w:val="00040C3A"/>
    <w:rsid w:val="000419AD"/>
    <w:rsid w:val="000452BC"/>
    <w:rsid w:val="000552BC"/>
    <w:rsid w:val="00064036"/>
    <w:rsid w:val="000708F0"/>
    <w:rsid w:val="000716C5"/>
    <w:rsid w:val="000730B1"/>
    <w:rsid w:val="00074B1B"/>
    <w:rsid w:val="00075E23"/>
    <w:rsid w:val="00083DC8"/>
    <w:rsid w:val="0008472E"/>
    <w:rsid w:val="0009032F"/>
    <w:rsid w:val="0009344A"/>
    <w:rsid w:val="00093715"/>
    <w:rsid w:val="000A392E"/>
    <w:rsid w:val="000A575F"/>
    <w:rsid w:val="000A6CDB"/>
    <w:rsid w:val="000B4674"/>
    <w:rsid w:val="000C2C71"/>
    <w:rsid w:val="000C7251"/>
    <w:rsid w:val="000C73F0"/>
    <w:rsid w:val="000D10DB"/>
    <w:rsid w:val="000E1040"/>
    <w:rsid w:val="000E2E0B"/>
    <w:rsid w:val="000E5EB5"/>
    <w:rsid w:val="000F35ED"/>
    <w:rsid w:val="000F7E20"/>
    <w:rsid w:val="001049D4"/>
    <w:rsid w:val="00107131"/>
    <w:rsid w:val="0010736F"/>
    <w:rsid w:val="00111C0E"/>
    <w:rsid w:val="00113F73"/>
    <w:rsid w:val="00121CC2"/>
    <w:rsid w:val="00133EE5"/>
    <w:rsid w:val="00134885"/>
    <w:rsid w:val="00137F56"/>
    <w:rsid w:val="0016119D"/>
    <w:rsid w:val="0016760F"/>
    <w:rsid w:val="00167A34"/>
    <w:rsid w:val="00174A79"/>
    <w:rsid w:val="00186D2B"/>
    <w:rsid w:val="00196CB4"/>
    <w:rsid w:val="001A0867"/>
    <w:rsid w:val="001A7870"/>
    <w:rsid w:val="001B3A00"/>
    <w:rsid w:val="001B43B5"/>
    <w:rsid w:val="001C1B41"/>
    <w:rsid w:val="001D65EF"/>
    <w:rsid w:val="001D6D86"/>
    <w:rsid w:val="001E1BD7"/>
    <w:rsid w:val="001E49E7"/>
    <w:rsid w:val="001F1149"/>
    <w:rsid w:val="001F1AE0"/>
    <w:rsid w:val="001F7201"/>
    <w:rsid w:val="00202DBE"/>
    <w:rsid w:val="00204D43"/>
    <w:rsid w:val="0020547D"/>
    <w:rsid w:val="002133F7"/>
    <w:rsid w:val="00223A29"/>
    <w:rsid w:val="002250A3"/>
    <w:rsid w:val="002255D0"/>
    <w:rsid w:val="00234E8C"/>
    <w:rsid w:val="00235217"/>
    <w:rsid w:val="00240750"/>
    <w:rsid w:val="0024145A"/>
    <w:rsid w:val="00246D1F"/>
    <w:rsid w:val="00247403"/>
    <w:rsid w:val="00247542"/>
    <w:rsid w:val="00266B61"/>
    <w:rsid w:val="0026712A"/>
    <w:rsid w:val="002676E5"/>
    <w:rsid w:val="002704DB"/>
    <w:rsid w:val="00284E6E"/>
    <w:rsid w:val="00291E6F"/>
    <w:rsid w:val="0029212A"/>
    <w:rsid w:val="002A0AAE"/>
    <w:rsid w:val="002A36BE"/>
    <w:rsid w:val="002A5820"/>
    <w:rsid w:val="002B606F"/>
    <w:rsid w:val="002D2B26"/>
    <w:rsid w:val="002D7EA2"/>
    <w:rsid w:val="002E187C"/>
    <w:rsid w:val="002E3A0A"/>
    <w:rsid w:val="00302091"/>
    <w:rsid w:val="00302733"/>
    <w:rsid w:val="00314078"/>
    <w:rsid w:val="0031535D"/>
    <w:rsid w:val="00317425"/>
    <w:rsid w:val="00317C7F"/>
    <w:rsid w:val="003239B8"/>
    <w:rsid w:val="00325322"/>
    <w:rsid w:val="0033169F"/>
    <w:rsid w:val="00344977"/>
    <w:rsid w:val="00345B9C"/>
    <w:rsid w:val="00345F0A"/>
    <w:rsid w:val="00346C95"/>
    <w:rsid w:val="00346F51"/>
    <w:rsid w:val="00356185"/>
    <w:rsid w:val="00357602"/>
    <w:rsid w:val="00360380"/>
    <w:rsid w:val="0037519E"/>
    <w:rsid w:val="00386CF0"/>
    <w:rsid w:val="0039233F"/>
    <w:rsid w:val="003A26CE"/>
    <w:rsid w:val="003B70FB"/>
    <w:rsid w:val="003C0C89"/>
    <w:rsid w:val="003C0F16"/>
    <w:rsid w:val="003C676B"/>
    <w:rsid w:val="003D3BC2"/>
    <w:rsid w:val="003E63BF"/>
    <w:rsid w:val="003E6CA1"/>
    <w:rsid w:val="00403E75"/>
    <w:rsid w:val="00415A54"/>
    <w:rsid w:val="004165C2"/>
    <w:rsid w:val="00420DEB"/>
    <w:rsid w:val="00441ECB"/>
    <w:rsid w:val="00445193"/>
    <w:rsid w:val="0045357D"/>
    <w:rsid w:val="004553A4"/>
    <w:rsid w:val="004564EB"/>
    <w:rsid w:val="00462C1B"/>
    <w:rsid w:val="00467B7E"/>
    <w:rsid w:val="00473BB4"/>
    <w:rsid w:val="00477592"/>
    <w:rsid w:val="004806B3"/>
    <w:rsid w:val="00486F1C"/>
    <w:rsid w:val="00492818"/>
    <w:rsid w:val="0049419D"/>
    <w:rsid w:val="004A231F"/>
    <w:rsid w:val="004B0324"/>
    <w:rsid w:val="004B259C"/>
    <w:rsid w:val="004C20D2"/>
    <w:rsid w:val="004C2312"/>
    <w:rsid w:val="004C4B62"/>
    <w:rsid w:val="004C54C9"/>
    <w:rsid w:val="004D4ABA"/>
    <w:rsid w:val="004D6025"/>
    <w:rsid w:val="004E031F"/>
    <w:rsid w:val="004E2649"/>
    <w:rsid w:val="00501399"/>
    <w:rsid w:val="0050633D"/>
    <w:rsid w:val="00507BC4"/>
    <w:rsid w:val="005128E4"/>
    <w:rsid w:val="005133DB"/>
    <w:rsid w:val="00520A44"/>
    <w:rsid w:val="00525560"/>
    <w:rsid w:val="00535316"/>
    <w:rsid w:val="00536983"/>
    <w:rsid w:val="00544C49"/>
    <w:rsid w:val="00546532"/>
    <w:rsid w:val="005516A1"/>
    <w:rsid w:val="00563557"/>
    <w:rsid w:val="00564454"/>
    <w:rsid w:val="0057402A"/>
    <w:rsid w:val="005771D0"/>
    <w:rsid w:val="005838C0"/>
    <w:rsid w:val="00584A73"/>
    <w:rsid w:val="00587033"/>
    <w:rsid w:val="0059191A"/>
    <w:rsid w:val="005921FF"/>
    <w:rsid w:val="005966E2"/>
    <w:rsid w:val="005A24ED"/>
    <w:rsid w:val="005A6D0E"/>
    <w:rsid w:val="005B4DAA"/>
    <w:rsid w:val="005B52B0"/>
    <w:rsid w:val="005B6806"/>
    <w:rsid w:val="005C1236"/>
    <w:rsid w:val="005C4225"/>
    <w:rsid w:val="005E03D5"/>
    <w:rsid w:val="005F0DAD"/>
    <w:rsid w:val="005F0F33"/>
    <w:rsid w:val="005F454A"/>
    <w:rsid w:val="00600DEB"/>
    <w:rsid w:val="006139EB"/>
    <w:rsid w:val="0061672C"/>
    <w:rsid w:val="00626313"/>
    <w:rsid w:val="00627C9F"/>
    <w:rsid w:val="006311E9"/>
    <w:rsid w:val="00632354"/>
    <w:rsid w:val="00632FBE"/>
    <w:rsid w:val="00642810"/>
    <w:rsid w:val="00642A0F"/>
    <w:rsid w:val="00642DF0"/>
    <w:rsid w:val="00652333"/>
    <w:rsid w:val="0068009E"/>
    <w:rsid w:val="00691465"/>
    <w:rsid w:val="00692219"/>
    <w:rsid w:val="00696723"/>
    <w:rsid w:val="006A17D2"/>
    <w:rsid w:val="006A73E6"/>
    <w:rsid w:val="006B2D5C"/>
    <w:rsid w:val="006B4E1C"/>
    <w:rsid w:val="006C4EB1"/>
    <w:rsid w:val="006E0166"/>
    <w:rsid w:val="006E29FE"/>
    <w:rsid w:val="006E7B34"/>
    <w:rsid w:val="0070697F"/>
    <w:rsid w:val="00713275"/>
    <w:rsid w:val="0072199C"/>
    <w:rsid w:val="00722C9F"/>
    <w:rsid w:val="007253B8"/>
    <w:rsid w:val="007367CB"/>
    <w:rsid w:val="0073741F"/>
    <w:rsid w:val="00737F38"/>
    <w:rsid w:val="00741C28"/>
    <w:rsid w:val="00743857"/>
    <w:rsid w:val="00743BA9"/>
    <w:rsid w:val="007476D8"/>
    <w:rsid w:val="0076643F"/>
    <w:rsid w:val="00777F63"/>
    <w:rsid w:val="007811B3"/>
    <w:rsid w:val="007A0120"/>
    <w:rsid w:val="007A30EB"/>
    <w:rsid w:val="007A5817"/>
    <w:rsid w:val="007B05C4"/>
    <w:rsid w:val="007B4E6D"/>
    <w:rsid w:val="007B60E9"/>
    <w:rsid w:val="007B6CC3"/>
    <w:rsid w:val="007B6E8E"/>
    <w:rsid w:val="007C3334"/>
    <w:rsid w:val="007C3BF6"/>
    <w:rsid w:val="007D2B98"/>
    <w:rsid w:val="007D34AE"/>
    <w:rsid w:val="007E21BC"/>
    <w:rsid w:val="007E5071"/>
    <w:rsid w:val="007F4C26"/>
    <w:rsid w:val="007F77F1"/>
    <w:rsid w:val="00803F1C"/>
    <w:rsid w:val="0080600E"/>
    <w:rsid w:val="008103FB"/>
    <w:rsid w:val="00817612"/>
    <w:rsid w:val="00831AB3"/>
    <w:rsid w:val="008338A4"/>
    <w:rsid w:val="0083547A"/>
    <w:rsid w:val="00837C45"/>
    <w:rsid w:val="00844730"/>
    <w:rsid w:val="008452A0"/>
    <w:rsid w:val="008457C2"/>
    <w:rsid w:val="00857A82"/>
    <w:rsid w:val="00870CFE"/>
    <w:rsid w:val="00873836"/>
    <w:rsid w:val="00885737"/>
    <w:rsid w:val="00890650"/>
    <w:rsid w:val="008973CC"/>
    <w:rsid w:val="00897E12"/>
    <w:rsid w:val="008A7E0F"/>
    <w:rsid w:val="008B12F5"/>
    <w:rsid w:val="008B26F2"/>
    <w:rsid w:val="008B3887"/>
    <w:rsid w:val="008B4EC1"/>
    <w:rsid w:val="008C1AF9"/>
    <w:rsid w:val="008C3E9A"/>
    <w:rsid w:val="008C619F"/>
    <w:rsid w:val="008D343B"/>
    <w:rsid w:val="008D768D"/>
    <w:rsid w:val="008E013F"/>
    <w:rsid w:val="008E2DE6"/>
    <w:rsid w:val="008E3759"/>
    <w:rsid w:val="008E3BFE"/>
    <w:rsid w:val="008E58A0"/>
    <w:rsid w:val="008F1912"/>
    <w:rsid w:val="0090270B"/>
    <w:rsid w:val="009041DC"/>
    <w:rsid w:val="0090764C"/>
    <w:rsid w:val="00914B4E"/>
    <w:rsid w:val="00917B5A"/>
    <w:rsid w:val="00920A58"/>
    <w:rsid w:val="00920A8C"/>
    <w:rsid w:val="009222F6"/>
    <w:rsid w:val="009257BF"/>
    <w:rsid w:val="00927E30"/>
    <w:rsid w:val="00934A2C"/>
    <w:rsid w:val="00940519"/>
    <w:rsid w:val="009472B1"/>
    <w:rsid w:val="00955626"/>
    <w:rsid w:val="00956C9C"/>
    <w:rsid w:val="00961477"/>
    <w:rsid w:val="0096196C"/>
    <w:rsid w:val="0096706E"/>
    <w:rsid w:val="00974491"/>
    <w:rsid w:val="00975C4E"/>
    <w:rsid w:val="009818B3"/>
    <w:rsid w:val="00981FBA"/>
    <w:rsid w:val="0098453D"/>
    <w:rsid w:val="00984957"/>
    <w:rsid w:val="0099100B"/>
    <w:rsid w:val="00997BC5"/>
    <w:rsid w:val="009A0791"/>
    <w:rsid w:val="009A4F41"/>
    <w:rsid w:val="009B381B"/>
    <w:rsid w:val="009B633E"/>
    <w:rsid w:val="009C5C36"/>
    <w:rsid w:val="009D0487"/>
    <w:rsid w:val="009D1753"/>
    <w:rsid w:val="009D7611"/>
    <w:rsid w:val="009E0B61"/>
    <w:rsid w:val="009E53DE"/>
    <w:rsid w:val="009E73AE"/>
    <w:rsid w:val="00A024F5"/>
    <w:rsid w:val="00A11E44"/>
    <w:rsid w:val="00A201D6"/>
    <w:rsid w:val="00A328B3"/>
    <w:rsid w:val="00A428D8"/>
    <w:rsid w:val="00A50FCF"/>
    <w:rsid w:val="00A528D1"/>
    <w:rsid w:val="00A539C7"/>
    <w:rsid w:val="00A610CD"/>
    <w:rsid w:val="00A628F0"/>
    <w:rsid w:val="00A758AA"/>
    <w:rsid w:val="00A81730"/>
    <w:rsid w:val="00A81E30"/>
    <w:rsid w:val="00A900E4"/>
    <w:rsid w:val="00AA09A2"/>
    <w:rsid w:val="00AA7996"/>
    <w:rsid w:val="00AC19CB"/>
    <w:rsid w:val="00AC5AC5"/>
    <w:rsid w:val="00AC7151"/>
    <w:rsid w:val="00AD0417"/>
    <w:rsid w:val="00AD4B48"/>
    <w:rsid w:val="00AE5488"/>
    <w:rsid w:val="00AE6F91"/>
    <w:rsid w:val="00AF070D"/>
    <w:rsid w:val="00AF5571"/>
    <w:rsid w:val="00B05F0B"/>
    <w:rsid w:val="00B07341"/>
    <w:rsid w:val="00B114B7"/>
    <w:rsid w:val="00B14FFE"/>
    <w:rsid w:val="00B24EB2"/>
    <w:rsid w:val="00B30539"/>
    <w:rsid w:val="00B314DB"/>
    <w:rsid w:val="00B31735"/>
    <w:rsid w:val="00B361F2"/>
    <w:rsid w:val="00B3718B"/>
    <w:rsid w:val="00B4632A"/>
    <w:rsid w:val="00B530F1"/>
    <w:rsid w:val="00B6601F"/>
    <w:rsid w:val="00B71AF0"/>
    <w:rsid w:val="00B757CF"/>
    <w:rsid w:val="00B87897"/>
    <w:rsid w:val="00B92703"/>
    <w:rsid w:val="00B92820"/>
    <w:rsid w:val="00B9566D"/>
    <w:rsid w:val="00B96C48"/>
    <w:rsid w:val="00B97E49"/>
    <w:rsid w:val="00BA276C"/>
    <w:rsid w:val="00BA3A2C"/>
    <w:rsid w:val="00BB306F"/>
    <w:rsid w:val="00BC2D69"/>
    <w:rsid w:val="00BC5CAD"/>
    <w:rsid w:val="00BD4B89"/>
    <w:rsid w:val="00BD4F05"/>
    <w:rsid w:val="00BD5922"/>
    <w:rsid w:val="00BE0C8B"/>
    <w:rsid w:val="00BE6FF2"/>
    <w:rsid w:val="00BF02CB"/>
    <w:rsid w:val="00BF6FD8"/>
    <w:rsid w:val="00C01B3D"/>
    <w:rsid w:val="00C03680"/>
    <w:rsid w:val="00C054DF"/>
    <w:rsid w:val="00C17663"/>
    <w:rsid w:val="00C2166C"/>
    <w:rsid w:val="00C21762"/>
    <w:rsid w:val="00C21FEF"/>
    <w:rsid w:val="00C23A6C"/>
    <w:rsid w:val="00C24543"/>
    <w:rsid w:val="00C256A2"/>
    <w:rsid w:val="00C2657E"/>
    <w:rsid w:val="00C51515"/>
    <w:rsid w:val="00C5660B"/>
    <w:rsid w:val="00C66099"/>
    <w:rsid w:val="00C66B72"/>
    <w:rsid w:val="00C7454C"/>
    <w:rsid w:val="00C87AC4"/>
    <w:rsid w:val="00C9567A"/>
    <w:rsid w:val="00CB212D"/>
    <w:rsid w:val="00CB2660"/>
    <w:rsid w:val="00CB46F8"/>
    <w:rsid w:val="00CC12B2"/>
    <w:rsid w:val="00CC4287"/>
    <w:rsid w:val="00CC5E90"/>
    <w:rsid w:val="00CD046C"/>
    <w:rsid w:val="00CD74AE"/>
    <w:rsid w:val="00CE076C"/>
    <w:rsid w:val="00CE4E72"/>
    <w:rsid w:val="00CE5199"/>
    <w:rsid w:val="00CE5695"/>
    <w:rsid w:val="00CE66D5"/>
    <w:rsid w:val="00CF637A"/>
    <w:rsid w:val="00CF77AC"/>
    <w:rsid w:val="00D059DE"/>
    <w:rsid w:val="00D05ABD"/>
    <w:rsid w:val="00D13FCE"/>
    <w:rsid w:val="00D17838"/>
    <w:rsid w:val="00D306D1"/>
    <w:rsid w:val="00D30800"/>
    <w:rsid w:val="00D34786"/>
    <w:rsid w:val="00D37BFC"/>
    <w:rsid w:val="00D43E7F"/>
    <w:rsid w:val="00D47A8E"/>
    <w:rsid w:val="00D50B48"/>
    <w:rsid w:val="00D52D14"/>
    <w:rsid w:val="00D65F29"/>
    <w:rsid w:val="00D712D3"/>
    <w:rsid w:val="00D71422"/>
    <w:rsid w:val="00D72070"/>
    <w:rsid w:val="00D72DC6"/>
    <w:rsid w:val="00D74219"/>
    <w:rsid w:val="00D7558D"/>
    <w:rsid w:val="00D76905"/>
    <w:rsid w:val="00D771D2"/>
    <w:rsid w:val="00D81D92"/>
    <w:rsid w:val="00D820D5"/>
    <w:rsid w:val="00D82CD1"/>
    <w:rsid w:val="00D8627E"/>
    <w:rsid w:val="00D90924"/>
    <w:rsid w:val="00DA7B5F"/>
    <w:rsid w:val="00DC11E7"/>
    <w:rsid w:val="00DC7023"/>
    <w:rsid w:val="00DC769A"/>
    <w:rsid w:val="00DD3D86"/>
    <w:rsid w:val="00DF1EC4"/>
    <w:rsid w:val="00E0044E"/>
    <w:rsid w:val="00E0340B"/>
    <w:rsid w:val="00E04A90"/>
    <w:rsid w:val="00E04F22"/>
    <w:rsid w:val="00E0551F"/>
    <w:rsid w:val="00E05E3B"/>
    <w:rsid w:val="00E219C7"/>
    <w:rsid w:val="00E2449E"/>
    <w:rsid w:val="00E254EF"/>
    <w:rsid w:val="00E4118C"/>
    <w:rsid w:val="00E43157"/>
    <w:rsid w:val="00E44C54"/>
    <w:rsid w:val="00E45181"/>
    <w:rsid w:val="00E461CE"/>
    <w:rsid w:val="00E544D7"/>
    <w:rsid w:val="00E56892"/>
    <w:rsid w:val="00E56910"/>
    <w:rsid w:val="00E71375"/>
    <w:rsid w:val="00E720CA"/>
    <w:rsid w:val="00E75D1E"/>
    <w:rsid w:val="00E84EB5"/>
    <w:rsid w:val="00E85662"/>
    <w:rsid w:val="00E8789F"/>
    <w:rsid w:val="00E96222"/>
    <w:rsid w:val="00E97B71"/>
    <w:rsid w:val="00EA3D34"/>
    <w:rsid w:val="00EA7CFD"/>
    <w:rsid w:val="00EB4391"/>
    <w:rsid w:val="00EB454D"/>
    <w:rsid w:val="00ED3703"/>
    <w:rsid w:val="00ED549D"/>
    <w:rsid w:val="00ED76BE"/>
    <w:rsid w:val="00EE00E9"/>
    <w:rsid w:val="00EE2222"/>
    <w:rsid w:val="00EF619B"/>
    <w:rsid w:val="00F00B55"/>
    <w:rsid w:val="00F02AD1"/>
    <w:rsid w:val="00F070BD"/>
    <w:rsid w:val="00F11B95"/>
    <w:rsid w:val="00F12C74"/>
    <w:rsid w:val="00F2237E"/>
    <w:rsid w:val="00F253CC"/>
    <w:rsid w:val="00F32733"/>
    <w:rsid w:val="00F32C4A"/>
    <w:rsid w:val="00F37106"/>
    <w:rsid w:val="00F519CF"/>
    <w:rsid w:val="00F56BA5"/>
    <w:rsid w:val="00F60E22"/>
    <w:rsid w:val="00F63090"/>
    <w:rsid w:val="00F81395"/>
    <w:rsid w:val="00F81BB8"/>
    <w:rsid w:val="00F917D1"/>
    <w:rsid w:val="00F9653B"/>
    <w:rsid w:val="00FA1C9C"/>
    <w:rsid w:val="00FB1A26"/>
    <w:rsid w:val="00FB2328"/>
    <w:rsid w:val="00FB62CF"/>
    <w:rsid w:val="00FB634A"/>
    <w:rsid w:val="00FD3C3B"/>
    <w:rsid w:val="00FD7DA3"/>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46F8"/>
    <w:rPr>
      <w:sz w:val="16"/>
      <w:szCs w:val="16"/>
    </w:rPr>
  </w:style>
  <w:style w:type="paragraph" w:styleId="CommentText">
    <w:name w:val="annotation text"/>
    <w:basedOn w:val="Normal"/>
    <w:link w:val="CommentTextChar"/>
    <w:uiPriority w:val="99"/>
    <w:semiHidden/>
    <w:unhideWhenUsed/>
    <w:rsid w:val="00CB46F8"/>
    <w:rPr>
      <w:sz w:val="20"/>
      <w:szCs w:val="20"/>
    </w:rPr>
  </w:style>
  <w:style w:type="character" w:customStyle="1" w:styleId="CommentTextChar">
    <w:name w:val="Comment Text Char"/>
    <w:basedOn w:val="DefaultParagraphFont"/>
    <w:link w:val="CommentText"/>
    <w:uiPriority w:val="99"/>
    <w:semiHidden/>
    <w:rsid w:val="00CB46F8"/>
    <w:rPr>
      <w:lang w:val="en-US" w:eastAsia="en-US"/>
    </w:rPr>
  </w:style>
  <w:style w:type="paragraph" w:styleId="CommentSubject">
    <w:name w:val="annotation subject"/>
    <w:basedOn w:val="CommentText"/>
    <w:next w:val="CommentText"/>
    <w:link w:val="CommentSubjectChar"/>
    <w:uiPriority w:val="99"/>
    <w:semiHidden/>
    <w:unhideWhenUsed/>
    <w:rsid w:val="00CB46F8"/>
    <w:rPr>
      <w:b/>
      <w:bCs/>
    </w:rPr>
  </w:style>
  <w:style w:type="character" w:customStyle="1" w:styleId="CommentSubjectChar">
    <w:name w:val="Comment Subject Char"/>
    <w:basedOn w:val="CommentTextChar"/>
    <w:link w:val="CommentSubject"/>
    <w:uiPriority w:val="99"/>
    <w:semiHidden/>
    <w:rsid w:val="00CB46F8"/>
    <w:rPr>
      <w:b/>
      <w:bCs/>
      <w:lang w:val="en-US" w:eastAsia="en-US"/>
    </w:rPr>
  </w:style>
  <w:style w:type="paragraph" w:styleId="Revision">
    <w:name w:val="Revision"/>
    <w:hidden/>
    <w:uiPriority w:val="99"/>
    <w:semiHidden/>
    <w:rsid w:val="00CB46F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46F8"/>
    <w:rPr>
      <w:sz w:val="16"/>
      <w:szCs w:val="16"/>
    </w:rPr>
  </w:style>
  <w:style w:type="paragraph" w:styleId="CommentText">
    <w:name w:val="annotation text"/>
    <w:basedOn w:val="Normal"/>
    <w:link w:val="CommentTextChar"/>
    <w:uiPriority w:val="99"/>
    <w:semiHidden/>
    <w:unhideWhenUsed/>
    <w:rsid w:val="00CB46F8"/>
    <w:rPr>
      <w:sz w:val="20"/>
      <w:szCs w:val="20"/>
    </w:rPr>
  </w:style>
  <w:style w:type="character" w:customStyle="1" w:styleId="CommentTextChar">
    <w:name w:val="Comment Text Char"/>
    <w:basedOn w:val="DefaultParagraphFont"/>
    <w:link w:val="CommentText"/>
    <w:uiPriority w:val="99"/>
    <w:semiHidden/>
    <w:rsid w:val="00CB46F8"/>
    <w:rPr>
      <w:lang w:val="en-US" w:eastAsia="en-US"/>
    </w:rPr>
  </w:style>
  <w:style w:type="paragraph" w:styleId="CommentSubject">
    <w:name w:val="annotation subject"/>
    <w:basedOn w:val="CommentText"/>
    <w:next w:val="CommentText"/>
    <w:link w:val="CommentSubjectChar"/>
    <w:uiPriority w:val="99"/>
    <w:semiHidden/>
    <w:unhideWhenUsed/>
    <w:rsid w:val="00CB46F8"/>
    <w:rPr>
      <w:b/>
      <w:bCs/>
    </w:rPr>
  </w:style>
  <w:style w:type="character" w:customStyle="1" w:styleId="CommentSubjectChar">
    <w:name w:val="Comment Subject Char"/>
    <w:basedOn w:val="CommentTextChar"/>
    <w:link w:val="CommentSubject"/>
    <w:uiPriority w:val="99"/>
    <w:semiHidden/>
    <w:rsid w:val="00CB46F8"/>
    <w:rPr>
      <w:b/>
      <w:bCs/>
      <w:lang w:val="en-US" w:eastAsia="en-US"/>
    </w:rPr>
  </w:style>
  <w:style w:type="paragraph" w:styleId="Revision">
    <w:name w:val="Revision"/>
    <w:hidden/>
    <w:uiPriority w:val="99"/>
    <w:semiHidden/>
    <w:rsid w:val="00CB46F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340094">
      <w:bodyDiv w:val="1"/>
      <w:marLeft w:val="0"/>
      <w:marRight w:val="0"/>
      <w:marTop w:val="0"/>
      <w:marBottom w:val="0"/>
      <w:divBdr>
        <w:top w:val="none" w:sz="0" w:space="0" w:color="auto"/>
        <w:left w:val="none" w:sz="0" w:space="0" w:color="auto"/>
        <w:bottom w:val="none" w:sz="0" w:space="0" w:color="auto"/>
        <w:right w:val="none" w:sz="0" w:space="0" w:color="auto"/>
      </w:divBdr>
      <w:divsChild>
        <w:div w:id="323968936">
          <w:marLeft w:val="0"/>
          <w:marRight w:val="0"/>
          <w:marTop w:val="0"/>
          <w:marBottom w:val="0"/>
          <w:divBdr>
            <w:top w:val="none" w:sz="0" w:space="0" w:color="auto"/>
            <w:left w:val="none" w:sz="0" w:space="0" w:color="auto"/>
            <w:bottom w:val="none" w:sz="0" w:space="0" w:color="auto"/>
            <w:right w:val="none" w:sz="0" w:space="0" w:color="auto"/>
          </w:divBdr>
        </w:div>
      </w:divsChild>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93868"/>
    <w:rsid w:val="001A10CF"/>
    <w:rsid w:val="00294925"/>
    <w:rsid w:val="002B3B7D"/>
    <w:rsid w:val="00394049"/>
    <w:rsid w:val="004F2DF8"/>
    <w:rsid w:val="00577227"/>
    <w:rsid w:val="006B565D"/>
    <w:rsid w:val="009969AC"/>
    <w:rsid w:val="009A261B"/>
    <w:rsid w:val="00AC15A4"/>
    <w:rsid w:val="00B0336C"/>
    <w:rsid w:val="00B25200"/>
    <w:rsid w:val="00B82872"/>
    <w:rsid w:val="00BA1C94"/>
    <w:rsid w:val="00C2700A"/>
    <w:rsid w:val="00D64263"/>
    <w:rsid w:val="00D90884"/>
    <w:rsid w:val="00E55302"/>
    <w:rsid w:val="00F00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F3759-95B3-41AA-8799-92CD6859F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4729</Words>
  <Characters>24733</Characters>
  <Application>Microsoft Office Word</Application>
  <DocSecurity>0</DocSecurity>
  <Lines>458</Lines>
  <Paragraphs>127</Paragraphs>
  <ScaleCrop>false</ScaleCrop>
  <Company/>
  <LinksUpToDate>false</LinksUpToDate>
  <CharactersWithSpaces>29335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12/18</dc:title>
  <dc:creator/>
  <cp:lastModifiedBy/>
  <cp:revision>1</cp:revision>
  <dcterms:created xsi:type="dcterms:W3CDTF">2018-05-16T11:52:00Z</dcterms:created>
  <dcterms:modified xsi:type="dcterms:W3CDTF">2018-05-16T11:52:00Z</dcterms:modified>
</cp:coreProperties>
</file>